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Times New Roman" w:hAnsi="Times New Roman" w:eastAsia="方正小标宋简体" w:cs="Times New Roman"/>
          <w:color w:val="auto"/>
          <w:sz w:val="72"/>
          <w:szCs w:val="72"/>
        </w:rPr>
      </w:pPr>
      <w:bookmarkStart w:id="0" w:name="_Toc15306267"/>
    </w:p>
    <w:p>
      <w:pPr>
        <w:spacing w:line="600" w:lineRule="exact"/>
        <w:jc w:val="center"/>
        <w:outlineLvl w:val="0"/>
        <w:rPr>
          <w:rFonts w:hint="default" w:ascii="Times New Roman" w:hAnsi="Times New Roman" w:eastAsia="方正小标宋简体" w:cs="Times New Roman"/>
          <w:color w:val="auto"/>
          <w:sz w:val="72"/>
          <w:szCs w:val="72"/>
        </w:rPr>
      </w:pPr>
    </w:p>
    <w:p>
      <w:pPr>
        <w:spacing w:line="600" w:lineRule="exact"/>
        <w:jc w:val="center"/>
        <w:outlineLvl w:val="0"/>
        <w:rPr>
          <w:rFonts w:hint="default" w:ascii="Times New Roman" w:hAnsi="Times New Roman" w:eastAsia="方正小标宋简体" w:cs="Times New Roman"/>
          <w:color w:val="auto"/>
          <w:sz w:val="72"/>
          <w:szCs w:val="72"/>
        </w:rPr>
      </w:pPr>
    </w:p>
    <w:p>
      <w:pPr>
        <w:spacing w:line="600" w:lineRule="exact"/>
        <w:jc w:val="center"/>
        <w:outlineLvl w:val="0"/>
        <w:rPr>
          <w:rFonts w:hint="default" w:ascii="Times New Roman" w:hAnsi="Times New Roman" w:eastAsia="方正小标宋简体" w:cs="Times New Roman"/>
          <w:color w:val="auto"/>
          <w:sz w:val="72"/>
          <w:szCs w:val="72"/>
        </w:rPr>
      </w:pPr>
    </w:p>
    <w:p>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outlineLvl w:val="0"/>
        <w:rPr>
          <w:rFonts w:hint="eastAsia" w:ascii="黑体" w:hAnsi="黑体" w:eastAsia="黑体" w:cs="黑体"/>
          <w:color w:val="auto"/>
          <w:sz w:val="72"/>
          <w:szCs w:val="72"/>
        </w:rPr>
      </w:pPr>
      <w:bookmarkStart w:id="1" w:name="_Toc15377193"/>
      <w:bookmarkStart w:id="2" w:name="_Toc15396475"/>
      <w:bookmarkStart w:id="3" w:name="_Toc15378441"/>
      <w:bookmarkStart w:id="4" w:name="_Toc15396597"/>
      <w:bookmarkStart w:id="5" w:name="_Toc15377425"/>
      <w:r>
        <w:rPr>
          <w:rFonts w:hint="eastAsia" w:ascii="黑体" w:hAnsi="黑体" w:eastAsia="黑体" w:cs="黑体"/>
          <w:color w:val="auto"/>
          <w:sz w:val="72"/>
          <w:szCs w:val="72"/>
          <w:lang w:val="en-US" w:eastAsia="zh-CN"/>
        </w:rPr>
        <w:t>2024</w:t>
      </w:r>
      <w:r>
        <w:rPr>
          <w:rFonts w:hint="eastAsia" w:ascii="黑体" w:hAnsi="黑体" w:eastAsia="黑体" w:cs="黑体"/>
          <w:color w:val="auto"/>
          <w:sz w:val="72"/>
          <w:szCs w:val="72"/>
        </w:rPr>
        <w:t>年度</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outlineLvl w:val="0"/>
        <w:rPr>
          <w:rFonts w:hint="eastAsia" w:ascii="黑体" w:hAnsi="黑体" w:eastAsia="黑体" w:cs="黑体"/>
          <w:color w:val="auto"/>
          <w:sz w:val="72"/>
          <w:szCs w:val="72"/>
          <w:lang w:eastAsia="zh-CN"/>
        </w:rPr>
      </w:pPr>
      <w:bookmarkStart w:id="6" w:name="_Toc15377426"/>
      <w:bookmarkStart w:id="7" w:name="_Toc15377194"/>
      <w:bookmarkStart w:id="8" w:name="_Toc15378442"/>
      <w:bookmarkStart w:id="9" w:name="_Toc15396476"/>
      <w:bookmarkStart w:id="10" w:name="_Toc15396598"/>
      <w:r>
        <w:rPr>
          <w:rFonts w:hint="eastAsia" w:ascii="黑体" w:hAnsi="黑体" w:eastAsia="黑体" w:cs="黑体"/>
          <w:color w:val="auto"/>
          <w:sz w:val="72"/>
          <w:szCs w:val="72"/>
        </w:rPr>
        <w:t>四川省阿坝州</w:t>
      </w:r>
      <w:r>
        <w:rPr>
          <w:rFonts w:hint="eastAsia" w:ascii="黑体" w:hAnsi="黑体" w:eastAsia="黑体" w:cs="黑体"/>
          <w:color w:val="auto"/>
          <w:sz w:val="72"/>
          <w:szCs w:val="72"/>
          <w:lang w:eastAsia="zh-CN"/>
        </w:rPr>
        <w:t>壤塘县</w:t>
      </w:r>
    </w:p>
    <w:bookmarkEnd w:id="0"/>
    <w:p>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outlineLvl w:val="0"/>
        <w:rPr>
          <w:rFonts w:hint="eastAsia" w:ascii="黑体" w:hAnsi="黑体" w:eastAsia="黑体" w:cs="黑体"/>
          <w:color w:val="auto"/>
          <w:sz w:val="72"/>
          <w:szCs w:val="72"/>
          <w:lang w:val="en-US" w:eastAsia="zh-CN"/>
        </w:rPr>
      </w:pPr>
      <w:bookmarkStart w:id="11" w:name="_Toc15306268"/>
      <w:r>
        <w:rPr>
          <w:rFonts w:hint="eastAsia" w:ascii="黑体" w:hAnsi="黑体" w:eastAsia="黑体" w:cs="黑体"/>
          <w:color w:val="auto"/>
          <w:sz w:val="72"/>
          <w:szCs w:val="72"/>
          <w:lang w:val="en-US" w:eastAsia="zh-CN"/>
        </w:rPr>
        <w:t>劳动人事争议仲裁院</w:t>
      </w:r>
    </w:p>
    <w:p>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outlineLvl w:val="0"/>
        <w:rPr>
          <w:rFonts w:hint="eastAsia" w:ascii="黑体" w:hAnsi="黑体" w:eastAsia="黑体" w:cs="黑体"/>
          <w:color w:val="auto"/>
          <w:sz w:val="72"/>
          <w:szCs w:val="72"/>
        </w:rPr>
      </w:pPr>
      <w:r>
        <w:rPr>
          <w:rFonts w:hint="eastAsia" w:ascii="黑体" w:hAnsi="黑体" w:eastAsia="黑体" w:cs="黑体"/>
          <w:color w:val="auto"/>
          <w:sz w:val="72"/>
          <w:szCs w:val="72"/>
        </w:rPr>
        <w:t>部门决算</w:t>
      </w:r>
      <w:bookmarkEnd w:id="6"/>
      <w:bookmarkEnd w:id="7"/>
      <w:bookmarkEnd w:id="8"/>
      <w:bookmarkEnd w:id="9"/>
      <w:bookmarkEnd w:id="10"/>
      <w:bookmarkEnd w:id="11"/>
    </w:p>
    <w:p>
      <w:pPr>
        <w:widowControl/>
        <w:jc w:val="center"/>
        <w:rPr>
          <w:rFonts w:hint="default" w:ascii="Times New Roman" w:hAnsi="Times New Roman" w:eastAsia="方正小标宋简体" w:cs="Times New Roman"/>
          <w:color w:val="auto"/>
          <w:sz w:val="36"/>
          <w:szCs w:val="36"/>
        </w:rPr>
      </w:pPr>
    </w:p>
    <w:p>
      <w:pPr>
        <w:rPr>
          <w:rFonts w:hint="default" w:ascii="Times New Roman" w:hAnsi="Times New Roman" w:eastAsia="方正小标宋简体" w:cs="Times New Roman"/>
          <w:color w:val="auto"/>
          <w:sz w:val="36"/>
          <w:szCs w:val="36"/>
        </w:rPr>
      </w:pPr>
    </w:p>
    <w:p>
      <w:pPr>
        <w:rPr>
          <w:rFonts w:hint="default" w:ascii="Times New Roman" w:hAnsi="Times New Roman" w:eastAsia="方正小标宋简体" w:cs="Times New Roman"/>
          <w:color w:val="auto"/>
          <w:sz w:val="36"/>
          <w:szCs w:val="36"/>
        </w:rPr>
      </w:pPr>
    </w:p>
    <w:p>
      <w:pPr>
        <w:rPr>
          <w:rFonts w:hint="default" w:ascii="Times New Roman" w:hAnsi="Times New Roman" w:eastAsia="方正小标宋简体" w:cs="Times New Roman"/>
          <w:color w:val="auto"/>
          <w:sz w:val="36"/>
          <w:szCs w:val="36"/>
        </w:rPr>
      </w:pPr>
    </w:p>
    <w:p>
      <w:pPr>
        <w:rPr>
          <w:rFonts w:hint="default" w:ascii="Times New Roman" w:hAnsi="Times New Roman" w:eastAsia="方正小标宋简体" w:cs="Times New Roman"/>
          <w:color w:val="auto"/>
          <w:sz w:val="36"/>
          <w:szCs w:val="36"/>
        </w:rPr>
      </w:pPr>
    </w:p>
    <w:p>
      <w:pPr>
        <w:widowControl/>
        <w:jc w:val="center"/>
        <w:rPr>
          <w:rFonts w:hint="default" w:ascii="Times New Roman" w:hAnsi="Times New Roman" w:eastAsia="黑体" w:cs="Times New Roman"/>
          <w:color w:val="auto"/>
          <w:sz w:val="48"/>
          <w:szCs w:val="48"/>
        </w:rPr>
      </w:pPr>
      <w:r>
        <w:rPr>
          <w:rFonts w:hint="default" w:ascii="Times New Roman" w:hAnsi="Times New Roman" w:eastAsia="方正小标宋简体" w:cs="Times New Roman"/>
          <w:color w:val="auto"/>
          <w:sz w:val="36"/>
          <w:szCs w:val="36"/>
        </w:rPr>
        <w:br w:type="page"/>
      </w:r>
      <w:bookmarkStart w:id="73" w:name="_GoBack"/>
      <w:r>
        <w:rPr>
          <w:rFonts w:hint="default" w:ascii="Times New Roman" w:hAnsi="Times New Roman" w:eastAsia="黑体" w:cs="Times New Roman"/>
          <w:color w:val="auto"/>
          <w:sz w:val="48"/>
          <w:szCs w:val="48"/>
        </w:rPr>
        <w:t>目录</w:t>
      </w:r>
    </w:p>
    <w:bookmarkEnd w:id="73"/>
    <w:p>
      <w:pPr>
        <w:pStyle w:val="12"/>
        <w:ind w:firstLine="2240" w:firstLineChars="800"/>
        <w:jc w:val="both"/>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公开时间：202</w:t>
      </w:r>
      <w:r>
        <w:rPr>
          <w:rFonts w:hint="eastAsia" w:ascii="Times New Roman" w:hAnsi="Times New Roman" w:eastAsia="仿宋_GB2312" w:cs="Times New Roman"/>
          <w:color w:val="auto"/>
          <w:lang w:val="en-US" w:eastAsia="zh-CN"/>
        </w:rPr>
        <w:t>5</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 xml:space="preserve"> 10 </w:t>
      </w:r>
      <w:r>
        <w:rPr>
          <w:rFonts w:hint="default" w:ascii="Times New Roman" w:hAnsi="Times New Roman" w:eastAsia="仿宋_GB2312" w:cs="Times New Roman"/>
          <w:color w:val="auto"/>
        </w:rPr>
        <w:t>月</w:t>
      </w:r>
      <w:r>
        <w:rPr>
          <w:rFonts w:hint="eastAsia" w:ascii="Times New Roman" w:hAnsi="Times New Roman" w:eastAsia="仿宋_GB2312" w:cs="Times New Roman"/>
          <w:color w:val="auto"/>
          <w:lang w:val="en-US" w:eastAsia="zh-CN"/>
        </w:rPr>
        <w:t>21</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eastAsia="zh-CN"/>
        </w:rPr>
        <w:t>）</w:t>
      </w:r>
    </w:p>
    <w:p>
      <w:pPr>
        <w:rPr>
          <w:rFonts w:hint="default" w:ascii="Times New Roman" w:hAnsi="Times New Roman" w:cs="Times New Roman"/>
          <w:color w:val="auto"/>
        </w:rPr>
      </w:pPr>
    </w:p>
    <w:p>
      <w:pPr>
        <w:pStyle w:val="12"/>
        <w:adjustRightInd w:val="0"/>
        <w:snapToGrid w:val="0"/>
        <w:spacing w:before="0" w:line="440" w:lineRule="exact"/>
        <w:ind w:firstLine="241" w:firstLineChars="100"/>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楷体_GB2312" w:cs="Times New Roman"/>
          <w:b/>
          <w:bCs/>
          <w:color w:val="auto"/>
          <w:sz w:val="24"/>
        </w:rPr>
        <w:t>第一部分 部门概况</w:t>
      </w:r>
      <w:r>
        <w:rPr>
          <w:rFonts w:hint="default" w:ascii="Times New Roman" w:hAnsi="Times New Roman" w:cs="Times New Roman"/>
          <w:color w:val="auto"/>
          <w:sz w:val="24"/>
          <w:lang w:val="en-US" w:eastAsia="zh-CN"/>
        </w:rPr>
        <w:t>...............................................................................................4</w:t>
      </w:r>
    </w:p>
    <w:p>
      <w:pPr>
        <w:pStyle w:val="13"/>
        <w:adjustRightInd w:val="0"/>
        <w:snapToGrid w:val="0"/>
        <w:spacing w:line="440" w:lineRule="exact"/>
        <w:ind w:left="0" w:leftChars="0"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一、基本职能及主要工作</w:t>
      </w:r>
      <w:r>
        <w:rPr>
          <w:rFonts w:hint="default" w:ascii="Times New Roman" w:hAnsi="Times New Roman" w:cs="Times New Roman"/>
          <w:color w:val="auto"/>
          <w:sz w:val="24"/>
          <w:lang w:val="en-US" w:eastAsia="zh-CN"/>
        </w:rPr>
        <w:t>.................................................................................4</w:t>
      </w:r>
    </w:p>
    <w:p>
      <w:pPr>
        <w:pStyle w:val="13"/>
        <w:adjustRightInd w:val="0"/>
        <w:snapToGrid w:val="0"/>
        <w:spacing w:line="440" w:lineRule="exact"/>
        <w:ind w:left="0" w:leftChars="0"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二、机构设置</w:t>
      </w:r>
      <w:r>
        <w:rPr>
          <w:rFonts w:hint="default" w:ascii="Times New Roman" w:hAnsi="Times New Roman" w:cs="Times New Roman"/>
          <w:color w:val="auto"/>
          <w:sz w:val="24"/>
          <w:lang w:val="en-US" w:eastAsia="zh-CN"/>
        </w:rPr>
        <w:t>....................................................................................................</w:t>
      </w:r>
      <w:r>
        <w:rPr>
          <w:rFonts w:hint="eastAsia" w:cs="Times New Roman"/>
          <w:color w:val="auto"/>
          <w:sz w:val="24"/>
          <w:lang w:val="en-US" w:eastAsia="zh-CN"/>
        </w:rPr>
        <w:t>.5</w:t>
      </w:r>
    </w:p>
    <w:p>
      <w:pPr>
        <w:pStyle w:val="12"/>
        <w:adjustRightInd w:val="0"/>
        <w:snapToGrid w:val="0"/>
        <w:spacing w:before="0" w:line="440" w:lineRule="exact"/>
        <w:ind w:firstLine="241" w:firstLineChars="100"/>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楷体_GB2312" w:cs="Times New Roman"/>
          <w:b/>
          <w:bCs/>
          <w:color w:val="auto"/>
          <w:sz w:val="24"/>
        </w:rPr>
        <w:t>第二部分</w:t>
      </w:r>
      <w:r>
        <w:rPr>
          <w:rFonts w:hint="default" w:ascii="Times New Roman" w:hAnsi="Times New Roman" w:eastAsia="楷体_GB2312" w:cs="Times New Roman"/>
          <w:b/>
          <w:bCs/>
          <w:color w:val="auto"/>
          <w:sz w:val="24"/>
          <w:lang w:val="en-US" w:eastAsia="zh-CN"/>
        </w:rPr>
        <w:t xml:space="preserve"> 年度</w:t>
      </w:r>
      <w:r>
        <w:rPr>
          <w:rFonts w:hint="default" w:ascii="Times New Roman" w:hAnsi="Times New Roman" w:eastAsia="楷体_GB2312" w:cs="Times New Roman"/>
          <w:b/>
          <w:bCs/>
          <w:color w:val="auto"/>
          <w:sz w:val="24"/>
        </w:rPr>
        <w:t>度部门决算情况</w:t>
      </w:r>
      <w:r>
        <w:rPr>
          <w:rFonts w:hint="default" w:ascii="Times New Roman" w:hAnsi="Times New Roman" w:eastAsia="楷体_GB2312" w:cs="Times New Roman"/>
          <w:b/>
          <w:bCs/>
          <w:color w:val="auto"/>
          <w:sz w:val="24"/>
          <w:lang w:val="en-US" w:eastAsia="zh-CN"/>
        </w:rPr>
        <w:t>说</w:t>
      </w:r>
      <w:r>
        <w:rPr>
          <w:rFonts w:hint="default" w:ascii="Times New Roman" w:hAnsi="Times New Roman" w:eastAsia="楷体_GB2312" w:cs="Times New Roman"/>
          <w:b/>
          <w:bCs/>
          <w:color w:val="auto"/>
          <w:sz w:val="24"/>
        </w:rPr>
        <w:t>明</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5</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一、收入支出决算总体情况说明</w:t>
      </w:r>
      <w:r>
        <w:rPr>
          <w:rFonts w:hint="default" w:ascii="Times New Roman" w:hAnsi="Times New Roman" w:cs="Times New Roman"/>
          <w:color w:val="auto"/>
          <w:sz w:val="24"/>
          <w:lang w:val="en-US" w:eastAsia="zh-CN"/>
        </w:rPr>
        <w:t>.......................................................................</w:t>
      </w:r>
      <w:r>
        <w:rPr>
          <w:rFonts w:hint="eastAsia" w:cs="Times New Roman"/>
          <w:color w:val="auto"/>
          <w:sz w:val="24"/>
          <w:lang w:val="en-US" w:eastAsia="zh-CN"/>
        </w:rPr>
        <w:t>5</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二、收入决算情况说明</w:t>
      </w:r>
      <w:r>
        <w:rPr>
          <w:rFonts w:hint="default" w:ascii="Times New Roman" w:hAnsi="Times New Roman" w:cs="Times New Roman"/>
          <w:color w:val="auto"/>
          <w:sz w:val="24"/>
          <w:lang w:val="en-US" w:eastAsia="zh-CN"/>
        </w:rPr>
        <w:t>.......................................................................................</w:t>
      </w:r>
      <w:r>
        <w:rPr>
          <w:rFonts w:hint="eastAsia" w:cs="Times New Roman"/>
          <w:color w:val="auto"/>
          <w:sz w:val="24"/>
          <w:lang w:val="en-US" w:eastAsia="zh-CN"/>
        </w:rPr>
        <w:t>6</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三、支出决算情况说明</w:t>
      </w:r>
      <w:r>
        <w:rPr>
          <w:rFonts w:hint="default" w:ascii="Times New Roman" w:hAnsi="Times New Roman" w:cs="Times New Roman"/>
          <w:color w:val="auto"/>
          <w:sz w:val="24"/>
          <w:lang w:val="en-US" w:eastAsia="zh-CN"/>
        </w:rPr>
        <w:t>.......................................................................................</w:t>
      </w:r>
      <w:r>
        <w:rPr>
          <w:rFonts w:hint="eastAsia" w:cs="Times New Roman"/>
          <w:color w:val="auto"/>
          <w:sz w:val="24"/>
          <w:lang w:val="en-US" w:eastAsia="zh-CN"/>
        </w:rPr>
        <w:t>7</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四、财政拨款收入支出决算总体情况说明</w:t>
      </w:r>
      <w:r>
        <w:rPr>
          <w:rFonts w:hint="default" w:ascii="Times New Roman" w:hAnsi="Times New Roman" w:cs="Times New Roman"/>
          <w:color w:val="auto"/>
          <w:sz w:val="24"/>
          <w:lang w:val="en-US" w:eastAsia="zh-CN"/>
        </w:rPr>
        <w:t>.......................................................</w:t>
      </w:r>
      <w:r>
        <w:rPr>
          <w:rFonts w:hint="eastAsia" w:cs="Times New Roman"/>
          <w:color w:val="auto"/>
          <w:sz w:val="24"/>
          <w:lang w:val="en-US" w:eastAsia="zh-CN"/>
        </w:rPr>
        <w:t>7</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五、一般公共预算财政拨款支出决算情况说明</w:t>
      </w:r>
      <w:r>
        <w:rPr>
          <w:rFonts w:hint="default" w:ascii="Times New Roman" w:hAnsi="Times New Roman" w:cs="Times New Roman"/>
          <w:color w:val="auto"/>
          <w:sz w:val="24"/>
          <w:lang w:val="en-US" w:eastAsia="zh-CN"/>
        </w:rPr>
        <w:t>...............................................</w:t>
      </w:r>
      <w:r>
        <w:rPr>
          <w:rFonts w:hint="eastAsia" w:cs="Times New Roman"/>
          <w:color w:val="auto"/>
          <w:sz w:val="24"/>
          <w:lang w:val="en-US" w:eastAsia="zh-CN"/>
        </w:rPr>
        <w:t>8</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六、一般公共预算财政拨款基本支出决算情况说明</w:t>
      </w:r>
      <w:r>
        <w:rPr>
          <w:rFonts w:hint="default" w:ascii="Times New Roman" w:hAnsi="Times New Roman" w:cs="Times New Roman"/>
          <w:color w:val="auto"/>
          <w:sz w:val="24"/>
          <w:lang w:val="en-US" w:eastAsia="zh-CN"/>
        </w:rPr>
        <w:t>......................................1</w:t>
      </w:r>
      <w:r>
        <w:rPr>
          <w:rFonts w:hint="eastAsia" w:cs="Times New Roman"/>
          <w:color w:val="auto"/>
          <w:sz w:val="24"/>
          <w:lang w:val="en-US" w:eastAsia="zh-CN"/>
        </w:rPr>
        <w:t>0</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七、“三公”经费财政拨款支出决算情况说明</w:t>
      </w:r>
      <w:r>
        <w:rPr>
          <w:rFonts w:hint="default" w:ascii="Times New Roman" w:hAnsi="Times New Roman" w:cs="Times New Roman"/>
          <w:color w:val="auto"/>
          <w:sz w:val="24"/>
          <w:lang w:val="en-US" w:eastAsia="zh-CN"/>
        </w:rPr>
        <w:t>.........................................</w:t>
      </w:r>
      <w:r>
        <w:rPr>
          <w:rFonts w:hint="eastAsia" w:cs="Times New Roman"/>
          <w:color w:val="auto"/>
          <w:sz w:val="24"/>
          <w:lang w:val="en-US" w:eastAsia="zh-CN"/>
        </w:rPr>
        <w:t>....</w:t>
      </w:r>
      <w:r>
        <w:rPr>
          <w:rFonts w:hint="default" w:ascii="Times New Roman" w:hAnsi="Times New Roman" w:cs="Times New Roman"/>
          <w:color w:val="auto"/>
          <w:sz w:val="24"/>
          <w:lang w:val="en-US" w:eastAsia="zh-CN"/>
        </w:rPr>
        <w:t>.....1</w:t>
      </w:r>
      <w:r>
        <w:rPr>
          <w:rFonts w:hint="eastAsia" w:cs="Times New Roman"/>
          <w:color w:val="auto"/>
          <w:sz w:val="24"/>
          <w:lang w:val="en-US" w:eastAsia="zh-CN"/>
        </w:rPr>
        <w:t>0</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八、政府性基金预算支出决算情况说明</w:t>
      </w:r>
      <w:r>
        <w:rPr>
          <w:rFonts w:hint="default" w:ascii="Times New Roman" w:hAnsi="Times New Roman" w:cs="Times New Roman"/>
          <w:color w:val="auto"/>
          <w:sz w:val="24"/>
          <w:lang w:val="en-US" w:eastAsia="zh-CN"/>
        </w:rPr>
        <w:t>..........................................................1</w:t>
      </w:r>
      <w:r>
        <w:rPr>
          <w:rFonts w:hint="eastAsia" w:cs="Times New Roman"/>
          <w:color w:val="auto"/>
          <w:sz w:val="24"/>
          <w:lang w:val="en-US" w:eastAsia="zh-CN"/>
        </w:rPr>
        <w:t>1</w:t>
      </w:r>
    </w:p>
    <w:p>
      <w:pPr>
        <w:pStyle w:val="13"/>
        <w:adjustRightInd w:val="0"/>
        <w:snapToGrid w:val="0"/>
        <w:spacing w:line="440" w:lineRule="exact"/>
        <w:ind w:leftChars="0"/>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九、国有资本经营预算支出决算情况说明</w:t>
      </w:r>
      <w:r>
        <w:rPr>
          <w:rFonts w:hint="default" w:ascii="Times New Roman" w:hAnsi="Times New Roman" w:cs="Times New Roman"/>
          <w:color w:val="auto"/>
          <w:sz w:val="24"/>
          <w:lang w:val="en-US" w:eastAsia="zh-CN"/>
        </w:rPr>
        <w:t>......................................................</w:t>
      </w:r>
      <w:r>
        <w:rPr>
          <w:rFonts w:hint="eastAsia" w:cs="Times New Roman"/>
          <w:color w:val="auto"/>
          <w:sz w:val="24"/>
          <w:lang w:val="en-US" w:eastAsia="zh-CN"/>
        </w:rPr>
        <w:t>11</w:t>
      </w:r>
    </w:p>
    <w:p>
      <w:pPr>
        <w:adjustRightInd w:val="0"/>
        <w:snapToGrid w:val="0"/>
        <w:spacing w:line="440" w:lineRule="exact"/>
        <w:ind w:firstLine="480" w:firstLineChars="200"/>
        <w:jc w:val="left"/>
        <w:rPr>
          <w:rFonts w:hint="default" w:ascii="Times New Roman" w:hAnsi="Times New Roman" w:eastAsia="仿宋" w:cs="Times New Roman"/>
          <w:color w:val="auto"/>
          <w:sz w:val="24"/>
          <w:lang w:val="en-US"/>
        </w:rPr>
      </w:pPr>
      <w:r>
        <w:rPr>
          <w:rFonts w:hint="default" w:ascii="Times New Roman" w:hAnsi="Times New Roman" w:eastAsia="仿宋_GB2312" w:cs="Times New Roman"/>
          <w:color w:val="auto"/>
          <w:kern w:val="2"/>
          <w:sz w:val="24"/>
          <w:szCs w:val="24"/>
          <w:lang w:val="en-US" w:eastAsia="zh-CN" w:bidi="ar-SA"/>
        </w:rPr>
        <w:t>十、其他重要事项的情况说明.</w:t>
      </w:r>
      <w:r>
        <w:rPr>
          <w:rFonts w:hint="default" w:ascii="Times New Roman" w:hAnsi="Times New Roman" w:cs="Times New Roman"/>
          <w:color w:val="auto"/>
          <w:sz w:val="24"/>
          <w:lang w:val="en-US" w:eastAsia="zh-CN"/>
        </w:rPr>
        <w:t>........................................................................1</w:t>
      </w:r>
      <w:r>
        <w:rPr>
          <w:rFonts w:hint="eastAsia" w:cs="Times New Roman"/>
          <w:color w:val="auto"/>
          <w:sz w:val="24"/>
          <w:lang w:val="en-US" w:eastAsia="zh-CN"/>
        </w:rPr>
        <w:t>1</w:t>
      </w:r>
    </w:p>
    <w:p>
      <w:pPr>
        <w:pStyle w:val="12"/>
        <w:adjustRightInd w:val="0"/>
        <w:snapToGrid w:val="0"/>
        <w:spacing w:before="0" w:line="440" w:lineRule="exact"/>
        <w:ind w:firstLine="241" w:firstLineChars="100"/>
        <w:jc w:val="left"/>
        <w:rPr>
          <w:rFonts w:hint="default" w:ascii="Times New Roman" w:hAnsi="Times New Roman" w:cs="Times New Roman"/>
          <w:color w:val="auto"/>
          <w:sz w:val="24"/>
          <w:szCs w:val="24"/>
          <w:lang w:val="en-US"/>
        </w:rPr>
      </w:pPr>
      <w:r>
        <w:rPr>
          <w:rFonts w:hint="default" w:ascii="Times New Roman" w:hAnsi="Times New Roman" w:eastAsia="楷体_GB2312" w:cs="Times New Roman"/>
          <w:b/>
          <w:bCs/>
          <w:color w:val="auto"/>
          <w:sz w:val="24"/>
        </w:rPr>
        <w:t>第三部分 名词解释</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lang w:val="en-US" w:eastAsia="zh-CN"/>
        </w:rPr>
        <w:t>2</w:t>
      </w:r>
    </w:p>
    <w:p>
      <w:pPr>
        <w:pStyle w:val="13"/>
        <w:adjustRightInd w:val="0"/>
        <w:snapToGrid w:val="0"/>
        <w:spacing w:line="440" w:lineRule="exact"/>
        <w:ind w:left="0" w:leftChars="0" w:firstLine="241" w:firstLineChars="100"/>
        <w:jc w:val="left"/>
        <w:rPr>
          <w:rFonts w:hint="default" w:ascii="Times New Roman" w:hAnsi="Times New Roman" w:eastAsia="宋体" w:cs="Times New Roman"/>
          <w:color w:val="auto"/>
          <w:sz w:val="24"/>
          <w:lang w:val="en-US" w:eastAsia="zh-CN"/>
        </w:rPr>
      </w:pPr>
      <w:r>
        <w:rPr>
          <w:rFonts w:hint="default" w:ascii="Times New Roman" w:hAnsi="Times New Roman" w:eastAsia="楷体_GB2312" w:cs="Times New Roman"/>
          <w:b/>
          <w:bCs/>
          <w:color w:val="auto"/>
          <w:kern w:val="2"/>
          <w:sz w:val="24"/>
          <w:szCs w:val="28"/>
          <w:lang w:val="en-US" w:eastAsia="zh-CN" w:bidi="ar-SA"/>
        </w:rPr>
        <w:t>第四部分 附件</w:t>
      </w:r>
      <w:r>
        <w:rPr>
          <w:rFonts w:hint="default" w:ascii="Times New Roman" w:hAnsi="Times New Roman" w:cs="Times New Roman"/>
          <w:color w:val="auto"/>
          <w:sz w:val="24"/>
          <w:lang w:val="en-US" w:eastAsia="zh-CN"/>
        </w:rPr>
        <w:t>.......................................................................................................1</w:t>
      </w:r>
      <w:r>
        <w:rPr>
          <w:rFonts w:hint="eastAsia" w:cs="Times New Roman"/>
          <w:color w:val="auto"/>
          <w:sz w:val="24"/>
          <w:lang w:val="en-US" w:eastAsia="zh-CN"/>
        </w:rPr>
        <w:t>4</w:t>
      </w:r>
    </w:p>
    <w:p>
      <w:pPr>
        <w:pStyle w:val="12"/>
        <w:adjustRightInd w:val="0"/>
        <w:snapToGrid w:val="0"/>
        <w:spacing w:before="0" w:line="440" w:lineRule="exact"/>
        <w:ind w:firstLine="241" w:firstLineChars="100"/>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楷体_GB2312" w:cs="Times New Roman"/>
          <w:b/>
          <w:bCs/>
          <w:color w:val="auto"/>
          <w:sz w:val="24"/>
        </w:rPr>
        <w:t>第五部分 附表</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17</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一、收入支出决算总表</w:t>
      </w:r>
      <w:r>
        <w:rPr>
          <w:rFonts w:hint="default" w:ascii="Times New Roman" w:hAnsi="Times New Roman" w:cs="Times New Roman"/>
          <w:color w:val="auto"/>
          <w:sz w:val="24"/>
          <w:lang w:val="en-US" w:eastAsia="zh-CN"/>
        </w:rPr>
        <w:t>......................................................................................</w:t>
      </w:r>
      <w:r>
        <w:rPr>
          <w:rFonts w:hint="eastAsia" w:cs="Times New Roman"/>
          <w:color w:val="auto"/>
          <w:sz w:val="24"/>
          <w:lang w:val="en-US" w:eastAsia="zh-CN"/>
        </w:rPr>
        <w:t>17</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二、收入决算表</w:t>
      </w:r>
      <w:r>
        <w:rPr>
          <w:rFonts w:hint="default" w:ascii="Times New Roman" w:hAnsi="Times New Roman" w:eastAsia="宋体"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cs="Times New Roman"/>
          <w:color w:val="auto"/>
          <w:sz w:val="24"/>
          <w:lang w:val="en-US" w:eastAsia="zh-CN"/>
        </w:rPr>
        <w:t>17</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三、支出决算表</w:t>
      </w:r>
      <w:r>
        <w:rPr>
          <w:rFonts w:hint="default" w:ascii="Times New Roman" w:hAnsi="Times New Roman" w:cs="Times New Roman"/>
          <w:color w:val="auto"/>
          <w:sz w:val="24"/>
          <w:lang w:val="en-US" w:eastAsia="zh-CN"/>
        </w:rPr>
        <w:t>..................................................................................................</w:t>
      </w:r>
      <w:r>
        <w:rPr>
          <w:rFonts w:hint="eastAsia" w:cs="Times New Roman"/>
          <w:color w:val="auto"/>
          <w:sz w:val="24"/>
          <w:lang w:val="en-US" w:eastAsia="zh-CN"/>
        </w:rPr>
        <w:t>17</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四、财政拨款收入支出决算总表</w:t>
      </w:r>
      <w:r>
        <w:rPr>
          <w:rFonts w:hint="default" w:ascii="Times New Roman" w:hAnsi="Times New Roman" w:cs="Times New Roman"/>
          <w:color w:val="auto"/>
          <w:sz w:val="24"/>
          <w:lang w:val="en-US" w:eastAsia="zh-CN"/>
        </w:rPr>
        <w:t>......................................................................</w:t>
      </w:r>
      <w:r>
        <w:rPr>
          <w:rFonts w:hint="eastAsia" w:cs="Times New Roman"/>
          <w:color w:val="auto"/>
          <w:sz w:val="24"/>
          <w:lang w:val="en-US" w:eastAsia="zh-CN"/>
        </w:rPr>
        <w:t>17</w:t>
      </w:r>
    </w:p>
    <w:p>
      <w:pPr>
        <w:pStyle w:val="13"/>
        <w:adjustRightInd w:val="0"/>
        <w:snapToGrid w:val="0"/>
        <w:spacing w:line="440" w:lineRule="exact"/>
        <w:jc w:val="left"/>
        <w:rPr>
          <w:rFonts w:hint="default" w:ascii="Times New Roman" w:hAnsi="Times New Roman" w:eastAsia="仿宋" w:cs="Times New Roman"/>
          <w:color w:val="auto"/>
          <w:sz w:val="24"/>
          <w:lang w:val="en-US" w:eastAsia="zh-CN"/>
        </w:rPr>
      </w:pPr>
      <w:r>
        <w:rPr>
          <w:rFonts w:hint="default" w:ascii="Times New Roman" w:hAnsi="Times New Roman" w:eastAsia="仿宋_GB2312" w:cs="Times New Roman"/>
          <w:color w:val="auto"/>
          <w:sz w:val="24"/>
        </w:rPr>
        <w:t>五、财政拨款支出决算明细表</w:t>
      </w:r>
      <w:r>
        <w:rPr>
          <w:rFonts w:hint="default" w:ascii="Times New Roman" w:hAnsi="Times New Roman" w:eastAsia="仿宋" w:cs="Times New Roman"/>
          <w:color w:val="auto"/>
          <w:sz w:val="24"/>
          <w:lang w:val="en-US" w:eastAsia="zh-CN"/>
        </w:rPr>
        <w:t>.................</w:t>
      </w:r>
      <w:r>
        <w:rPr>
          <w:rFonts w:hint="default" w:ascii="Times New Roman" w:hAnsi="Times New Roman" w:cs="Times New Roman"/>
          <w:color w:val="auto"/>
          <w:sz w:val="24"/>
          <w:lang w:val="en-US" w:eastAsia="zh-CN"/>
        </w:rPr>
        <w:t>...................................</w:t>
      </w:r>
      <w:r>
        <w:rPr>
          <w:rFonts w:hint="default" w:ascii="Times New Roman" w:hAnsi="Times New Roman" w:eastAsia="仿宋" w:cs="Times New Roman"/>
          <w:color w:val="auto"/>
          <w:sz w:val="24"/>
          <w:lang w:val="en-US" w:eastAsia="zh-CN"/>
        </w:rPr>
        <w:t>......................</w:t>
      </w:r>
      <w:r>
        <w:rPr>
          <w:rFonts w:hint="eastAsia" w:eastAsia="仿宋" w:cs="Times New Roman"/>
          <w:color w:val="auto"/>
          <w:sz w:val="24"/>
          <w:lang w:val="en-US" w:eastAsia="zh-CN"/>
        </w:rPr>
        <w:t>17</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六、一般公共预算财政拨款支出决算表</w:t>
      </w:r>
      <w:r>
        <w:rPr>
          <w:rFonts w:hint="default" w:ascii="Times New Roman" w:hAnsi="Times New Roman" w:cs="Times New Roman"/>
          <w:color w:val="auto"/>
          <w:sz w:val="24"/>
          <w:lang w:val="en-US" w:eastAsia="zh-CN"/>
        </w:rPr>
        <w:t>..........................................................</w:t>
      </w:r>
      <w:r>
        <w:rPr>
          <w:rFonts w:hint="eastAsia" w:cs="Times New Roman"/>
          <w:color w:val="auto"/>
          <w:sz w:val="24"/>
          <w:lang w:val="en-US" w:eastAsia="zh-CN"/>
        </w:rPr>
        <w:t>17</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七、一般公共预算财政拨款支出决算明细表</w:t>
      </w:r>
      <w:r>
        <w:rPr>
          <w:rFonts w:hint="default" w:ascii="Times New Roman" w:hAnsi="Times New Roman" w:cs="Times New Roman"/>
          <w:color w:val="auto"/>
          <w:sz w:val="24"/>
          <w:lang w:val="en-US" w:eastAsia="zh-CN"/>
        </w:rPr>
        <w:t>.............................................</w:t>
      </w:r>
      <w:r>
        <w:rPr>
          <w:rFonts w:hint="eastAsia"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cs="Times New Roman"/>
          <w:color w:val="auto"/>
          <w:sz w:val="24"/>
          <w:lang w:val="en-US" w:eastAsia="zh-CN"/>
        </w:rPr>
        <w:t>17</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八、一般公共预算财政拨款基本支出决算表</w:t>
      </w:r>
      <w:r>
        <w:rPr>
          <w:rFonts w:hint="default" w:ascii="Times New Roman" w:hAnsi="Times New Roman" w:cs="Times New Roman"/>
          <w:color w:val="auto"/>
          <w:sz w:val="24"/>
          <w:lang w:val="en-US" w:eastAsia="zh-CN"/>
        </w:rPr>
        <w:t>................................................</w:t>
      </w:r>
      <w:r>
        <w:rPr>
          <w:rFonts w:hint="eastAsia"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cs="Times New Roman"/>
          <w:color w:val="auto"/>
          <w:sz w:val="24"/>
          <w:lang w:val="en-US" w:eastAsia="zh-CN"/>
        </w:rPr>
        <w:t>17</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九、一般公共预算财政拨款项目支出决算表</w:t>
      </w:r>
      <w:r>
        <w:rPr>
          <w:rFonts w:hint="default" w:ascii="Times New Roman" w:hAnsi="Times New Roman" w:cs="Times New Roman"/>
          <w:color w:val="auto"/>
          <w:sz w:val="24"/>
          <w:lang w:val="en-US" w:eastAsia="zh-CN"/>
        </w:rPr>
        <w:t>...............................................</w:t>
      </w:r>
      <w:r>
        <w:rPr>
          <w:rFonts w:hint="eastAsia" w:cs="Times New Roman"/>
          <w:color w:val="auto"/>
          <w:sz w:val="24"/>
          <w:lang w:val="en-US" w:eastAsia="zh-CN"/>
        </w:rPr>
        <w:t>17</w:t>
      </w:r>
    </w:p>
    <w:p>
      <w:pPr>
        <w:pStyle w:val="13"/>
        <w:adjustRightInd w:val="0"/>
        <w:snapToGrid w:val="0"/>
        <w:spacing w:line="440" w:lineRule="exact"/>
        <w:jc w:val="left"/>
        <w:rPr>
          <w:rFonts w:hint="default" w:ascii="Times New Roman" w:hAnsi="Times New Roman" w:cs="Times New Roman"/>
          <w:color w:val="auto"/>
          <w:sz w:val="24"/>
          <w:lang w:val="en-US" w:eastAsia="zh-CN"/>
        </w:rPr>
      </w:pPr>
      <w:r>
        <w:rPr>
          <w:rFonts w:hint="default" w:ascii="Times New Roman" w:hAnsi="Times New Roman" w:eastAsia="仿宋_GB2312" w:cs="Times New Roman"/>
          <w:color w:val="auto"/>
          <w:sz w:val="24"/>
        </w:rPr>
        <w:t>十、一般公共预算财政拨款“三公”经费支出决算表</w:t>
      </w:r>
      <w:r>
        <w:rPr>
          <w:rFonts w:hint="default" w:ascii="Times New Roman" w:hAnsi="Times New Roman" w:cs="Times New Roman"/>
          <w:color w:val="auto"/>
          <w:sz w:val="24"/>
          <w:lang w:val="en-US" w:eastAsia="zh-CN"/>
        </w:rPr>
        <w:t>....................................</w:t>
      </w:r>
      <w:r>
        <w:rPr>
          <w:rFonts w:hint="eastAsia" w:cs="Times New Roman"/>
          <w:color w:val="auto"/>
          <w:sz w:val="24"/>
          <w:lang w:val="en-US" w:eastAsia="zh-CN"/>
        </w:rPr>
        <w:t>17</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十一、政府性基金预算财政拨款收入支出决算表</w:t>
      </w:r>
      <w:r>
        <w:rPr>
          <w:rFonts w:hint="default" w:ascii="Times New Roman" w:hAnsi="Times New Roman" w:cs="Times New Roman"/>
          <w:color w:val="auto"/>
          <w:sz w:val="24"/>
          <w:lang w:val="en-US" w:eastAsia="zh-CN"/>
        </w:rPr>
        <w:t>.....................................</w:t>
      </w:r>
      <w:r>
        <w:rPr>
          <w:rFonts w:hint="eastAsia" w:cs="Times New Roman"/>
          <w:color w:val="auto"/>
          <w:sz w:val="24"/>
          <w:lang w:val="en-US" w:eastAsia="zh-CN"/>
        </w:rPr>
        <w:t xml:space="preserve">. </w:t>
      </w:r>
      <w:r>
        <w:rPr>
          <w:rFonts w:hint="default" w:ascii="Times New Roman" w:hAnsi="Times New Roman" w:cs="Times New Roman"/>
          <w:color w:val="auto"/>
          <w:sz w:val="24"/>
          <w:lang w:val="en-US" w:eastAsia="zh-CN"/>
        </w:rPr>
        <w:t>.</w:t>
      </w:r>
      <w:r>
        <w:rPr>
          <w:rFonts w:hint="eastAsia" w:cs="Times New Roman"/>
          <w:color w:val="auto"/>
          <w:sz w:val="24"/>
          <w:lang w:val="en-US" w:eastAsia="zh-CN"/>
        </w:rPr>
        <w:t>17</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十二、政府性基金预算财政拨款“三公”经费支出决算</w:t>
      </w:r>
      <w:r>
        <w:rPr>
          <w:rFonts w:hint="eastAsia" w:ascii="仿宋_GB2312" w:hAnsi="仿宋_GB2312" w:eastAsia="仿宋_GB2312" w:cs="仿宋_GB2312"/>
          <w:color w:val="auto"/>
          <w:sz w:val="24"/>
        </w:rPr>
        <w:t>表</w:t>
      </w:r>
      <w:r>
        <w:rPr>
          <w:rFonts w:hint="default" w:ascii="Times New Roman" w:hAnsi="Times New Roman" w:cs="Times New Roman"/>
          <w:color w:val="auto"/>
          <w:sz w:val="24"/>
          <w:lang w:val="en-US" w:eastAsia="zh-CN"/>
        </w:rPr>
        <w:t>..........................</w:t>
      </w:r>
      <w:r>
        <w:rPr>
          <w:rFonts w:hint="eastAsia" w:cs="Times New Roman"/>
          <w:color w:val="auto"/>
          <w:sz w:val="24"/>
          <w:lang w:val="en-US" w:eastAsia="zh-CN"/>
        </w:rPr>
        <w:t>..17</w:t>
      </w:r>
    </w:p>
    <w:p>
      <w:pPr>
        <w:pStyle w:val="13"/>
        <w:adjustRightInd w:val="0"/>
        <w:snapToGrid w:val="0"/>
        <w:spacing w:line="440" w:lineRule="exact"/>
        <w:jc w:val="left"/>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rPr>
        <w:t>十三、国有资本经营预算支出决算表</w:t>
      </w:r>
      <w:r>
        <w:rPr>
          <w:rFonts w:hint="default" w:ascii="Times New Roman" w:hAnsi="Times New Roman" w:cs="Times New Roman"/>
          <w:color w:val="auto"/>
          <w:sz w:val="24"/>
          <w:lang w:val="en-US" w:eastAsia="zh-CN"/>
        </w:rPr>
        <w:t>.........................................................</w:t>
      </w:r>
      <w:r>
        <w:rPr>
          <w:rFonts w:hint="eastAsia"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cs="Times New Roman"/>
          <w:color w:val="auto"/>
          <w:sz w:val="24"/>
          <w:lang w:val="en-US" w:eastAsia="zh-CN"/>
        </w:rPr>
        <w:t>17</w:t>
      </w:r>
    </w:p>
    <w:p>
      <w:pPr>
        <w:pStyle w:val="3"/>
        <w:jc w:val="center"/>
        <w:rPr>
          <w:rFonts w:hint="default" w:ascii="Times New Roman" w:hAnsi="Times New Roman" w:eastAsia="黑体" w:cs="Times New Roman"/>
          <w:b w:val="0"/>
          <w:color w:val="auto"/>
        </w:rPr>
      </w:pPr>
      <w:bookmarkStart w:id="12" w:name="_Toc15377196"/>
      <w:bookmarkStart w:id="13" w:name="_Toc15396599"/>
    </w:p>
    <w:p>
      <w:pPr>
        <w:pStyle w:val="3"/>
        <w:jc w:val="center"/>
        <w:rPr>
          <w:rFonts w:hint="default" w:ascii="Times New Roman" w:hAnsi="Times New Roman" w:eastAsia="黑体" w:cs="Times New Roman"/>
          <w:b w:val="0"/>
          <w:color w:val="auto"/>
        </w:rPr>
      </w:pPr>
    </w:p>
    <w:p>
      <w:pPr>
        <w:pStyle w:val="3"/>
        <w:jc w:val="center"/>
        <w:rPr>
          <w:rFonts w:hint="default" w:ascii="Times New Roman" w:hAnsi="Times New Roman" w:eastAsia="黑体" w:cs="Times New Roman"/>
          <w:b w:val="0"/>
          <w:color w:val="auto"/>
        </w:rPr>
      </w:pPr>
    </w:p>
    <w:p>
      <w:pPr>
        <w:pStyle w:val="3"/>
        <w:jc w:val="center"/>
        <w:rPr>
          <w:rFonts w:hint="default" w:ascii="Times New Roman" w:hAnsi="Times New Roman" w:eastAsia="黑体" w:cs="Times New Roman"/>
          <w:b w:val="0"/>
          <w:color w:val="auto"/>
        </w:rPr>
      </w:pPr>
    </w:p>
    <w:p>
      <w:pPr>
        <w:pStyle w:val="3"/>
        <w:jc w:val="center"/>
        <w:rPr>
          <w:rFonts w:hint="default" w:ascii="Times New Roman" w:hAnsi="Times New Roman" w:eastAsia="黑体" w:cs="Times New Roman"/>
          <w:b w:val="0"/>
          <w:color w:val="auto"/>
        </w:rPr>
      </w:pPr>
    </w:p>
    <w:p>
      <w:pPr>
        <w:pStyle w:val="3"/>
        <w:jc w:val="center"/>
        <w:rPr>
          <w:rFonts w:hint="default" w:ascii="Times New Roman" w:hAnsi="Times New Roman" w:eastAsia="黑体" w:cs="Times New Roman"/>
          <w:b w:val="0"/>
          <w:color w:val="auto"/>
        </w:rPr>
      </w:pPr>
    </w:p>
    <w:p>
      <w:pPr>
        <w:pStyle w:val="3"/>
        <w:jc w:val="both"/>
        <w:rPr>
          <w:rFonts w:hint="default" w:ascii="Times New Roman" w:hAnsi="Times New Roman" w:eastAsia="黑体" w:cs="Times New Roman"/>
          <w:b w:val="0"/>
          <w:color w:val="auto"/>
        </w:rPr>
      </w:pPr>
    </w:p>
    <w:p>
      <w:pPr>
        <w:pStyle w:val="3"/>
        <w:jc w:val="both"/>
        <w:rPr>
          <w:rFonts w:hint="default" w:ascii="Times New Roman" w:hAnsi="Times New Roman" w:eastAsia="黑体" w:cs="Times New Roman"/>
          <w:b w:val="0"/>
          <w:color w:val="auto"/>
        </w:rPr>
      </w:pPr>
    </w:p>
    <w:p>
      <w:pPr>
        <w:jc w:val="center"/>
        <w:rPr>
          <w:rFonts w:hint="default" w:ascii="Times New Roman" w:hAnsi="Times New Roman" w:cs="Times New Roman"/>
          <w:color w:val="auto"/>
        </w:rPr>
      </w:pPr>
    </w:p>
    <w:p>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b w:val="0"/>
          <w:color w:val="auto"/>
          <w:sz w:val="44"/>
          <w:szCs w:val="44"/>
        </w:rPr>
        <w:t xml:space="preserve">第一部分 </w:t>
      </w:r>
      <w:r>
        <w:rPr>
          <w:rStyle w:val="26"/>
          <w:rFonts w:hint="default" w:ascii="Times New Roman" w:hAnsi="Times New Roman" w:eastAsia="方正小标宋简体" w:cs="Times New Roman"/>
          <w:b w:val="0"/>
          <w:bCs w:val="0"/>
          <w:color w:val="auto"/>
          <w:sz w:val="44"/>
          <w:szCs w:val="44"/>
        </w:rPr>
        <w:t>部门概况</w:t>
      </w:r>
      <w:bookmarkEnd w:id="12"/>
      <w:bookmarkEnd w:id="13"/>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27"/>
          <w:rFonts w:hint="default" w:ascii="Times New Roman" w:hAnsi="Times New Roman" w:eastAsia="黑体" w:cs="Times New Roman"/>
          <w:b w:val="0"/>
          <w:bCs w:val="0"/>
          <w:color w:val="auto"/>
        </w:rPr>
      </w:pPr>
      <w:bookmarkStart w:id="14" w:name="_Toc15396600"/>
      <w:bookmarkStart w:id="15" w:name="_Toc15377197"/>
      <w:r>
        <w:rPr>
          <w:rFonts w:hint="default" w:ascii="Times New Roman" w:hAnsi="Times New Roman" w:eastAsia="黑体" w:cs="Times New Roman"/>
          <w:b w:val="0"/>
          <w:color w:val="auto"/>
        </w:rPr>
        <w:t>一、基</w:t>
      </w:r>
      <w:r>
        <w:rPr>
          <w:rStyle w:val="27"/>
          <w:rFonts w:hint="default" w:ascii="Times New Roman" w:hAnsi="Times New Roman" w:eastAsia="黑体" w:cs="Times New Roman"/>
          <w:b w:val="0"/>
          <w:bCs w:val="0"/>
          <w:color w:val="auto"/>
        </w:rPr>
        <w:t>本职能及主要工作</w:t>
      </w:r>
      <w:bookmarkEnd w:id="14"/>
      <w:bookmarkEnd w:id="15"/>
      <w:bookmarkStart w:id="16" w:name="_Toc15378445"/>
      <w:bookmarkStart w:id="17" w:name="_Toc15377198"/>
    </w:p>
    <w:p>
      <w:pPr>
        <w:pStyle w:val="4"/>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b/>
          <w:bCs w:val="0"/>
          <w:color w:val="auto"/>
          <w:sz w:val="32"/>
          <w:szCs w:val="32"/>
        </w:rPr>
      </w:pPr>
      <w:r>
        <w:rPr>
          <w:rFonts w:hint="default" w:ascii="Times New Roman" w:hAnsi="Times New Roman" w:eastAsia="楷体_GB2312" w:cs="Times New Roman"/>
          <w:b/>
          <w:bCs w:val="0"/>
          <w:color w:val="auto"/>
          <w:sz w:val="32"/>
          <w:szCs w:val="32"/>
        </w:rPr>
        <w:t>（一）主要职能</w:t>
      </w:r>
      <w:bookmarkEnd w:id="16"/>
      <w:bookmarkEnd w:id="17"/>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val="0"/>
          <w:bCs/>
          <w:color w:val="auto"/>
          <w:kern w:val="0"/>
          <w:sz w:val="32"/>
          <w:szCs w:val="32"/>
          <w:lang w:val="en-US" w:eastAsia="zh-CN" w:bidi="ar-SA"/>
        </w:rPr>
        <w:t>在行政主管部门的授权下负责全县管辖范围内的劳动人事争议仲裁案件的立案、调查、审理、调解和裁决工作；指导和组织开展全县基层劳动人事争议和企业劳动争议调解工作；管理全县劳动人事争议仲裁工作文书、印鉴和档案；负责全县劳动人事争议仲裁委员会的日常工作；组织协调处理重大、疑难、群体性劳动人事争议案件；宣传贯彻劳动人事争议仲裁相关的法律法规及人事有关规定。完成局机关领导交办的其他工作。</w:t>
      </w:r>
    </w:p>
    <w:p>
      <w:pPr>
        <w:pStyle w:val="6"/>
        <w:keepNext w:val="0"/>
        <w:keepLines w:val="0"/>
        <w:pageBreakBefore w:val="0"/>
        <w:widowControl w:val="0"/>
        <w:kinsoku/>
        <w:wordWrap/>
        <w:overflowPunct/>
        <w:topLinePunct w:val="0"/>
        <w:autoSpaceDE/>
        <w:autoSpaceDN/>
        <w:bidi w:val="0"/>
        <w:adjustRightInd w:val="0"/>
        <w:snapToGrid w:val="0"/>
        <w:spacing w:before="93" w:line="560" w:lineRule="exact"/>
        <w:ind w:firstLine="643" w:firstLineChars="200"/>
        <w:textAlignment w:val="auto"/>
        <w:outlineLvl w:val="2"/>
        <w:rPr>
          <w:rFonts w:hint="default" w:ascii="Times New Roman" w:hAnsi="Times New Roman" w:eastAsia="楷体_GB2312" w:cs="Times New Roman"/>
          <w:b/>
          <w:bCs w:val="0"/>
          <w:color w:val="auto"/>
          <w:sz w:val="32"/>
          <w:szCs w:val="32"/>
        </w:rPr>
      </w:pPr>
      <w:bookmarkStart w:id="18" w:name="_Toc15377199"/>
      <w:bookmarkStart w:id="19" w:name="_Toc15378446"/>
      <w:r>
        <w:rPr>
          <w:rFonts w:hint="default" w:ascii="Times New Roman" w:hAnsi="Times New Roman" w:eastAsia="楷体_GB2312" w:cs="Times New Roman"/>
          <w:b/>
          <w:bCs w:val="0"/>
          <w:color w:val="auto"/>
          <w:sz w:val="32"/>
          <w:szCs w:val="32"/>
        </w:rPr>
        <w:t>（二）20</w:t>
      </w:r>
      <w:r>
        <w:rPr>
          <w:rFonts w:hint="default" w:ascii="Times New Roman" w:hAnsi="Times New Roman" w:eastAsia="楷体_GB2312" w:cs="Times New Roman"/>
          <w:b/>
          <w:bCs w:val="0"/>
          <w:color w:val="auto"/>
          <w:sz w:val="32"/>
          <w:szCs w:val="32"/>
          <w:lang w:val="en-US" w:eastAsia="zh-CN"/>
        </w:rPr>
        <w:t>2</w:t>
      </w:r>
      <w:r>
        <w:rPr>
          <w:rFonts w:hint="eastAsia" w:ascii="Times New Roman" w:eastAsia="楷体_GB2312" w:cs="Times New Roman"/>
          <w:b/>
          <w:bCs w:val="0"/>
          <w:color w:val="auto"/>
          <w:sz w:val="32"/>
          <w:szCs w:val="32"/>
          <w:lang w:val="en-US" w:eastAsia="zh-CN"/>
        </w:rPr>
        <w:t>4</w:t>
      </w:r>
      <w:r>
        <w:rPr>
          <w:rFonts w:hint="default" w:ascii="Times New Roman" w:hAnsi="Times New Roman" w:eastAsia="楷体_GB2312" w:cs="Times New Roman"/>
          <w:b/>
          <w:bCs w:val="0"/>
          <w:color w:val="auto"/>
          <w:sz w:val="32"/>
          <w:szCs w:val="32"/>
        </w:rPr>
        <w:t>年重点工作完成情况</w:t>
      </w:r>
      <w:bookmarkEnd w:id="18"/>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bookmarkStart w:id="20" w:name="_Toc15396601"/>
      <w:bookmarkStart w:id="21" w:name="_Toc15377200"/>
      <w:r>
        <w:rPr>
          <w:rFonts w:hint="eastAsia" w:ascii="Times New Roman" w:hAnsi="Times New Roman" w:eastAsia="楷体_GB2312" w:cs="Times New Roman"/>
          <w:b/>
          <w:bCs/>
          <w:color w:val="auto"/>
          <w:kern w:val="2"/>
          <w:sz w:val="32"/>
          <w:szCs w:val="32"/>
          <w:lang w:val="en-US" w:eastAsia="zh-CN" w:bidi="ar-SA"/>
        </w:rPr>
        <w:t>积极</w:t>
      </w:r>
      <w:r>
        <w:rPr>
          <w:rFonts w:hint="default" w:ascii="Times New Roman" w:hAnsi="Times New Roman" w:eastAsia="楷体_GB2312" w:cs="Times New Roman"/>
          <w:b/>
          <w:bCs/>
          <w:color w:val="auto"/>
          <w:sz w:val="32"/>
          <w:szCs w:val="32"/>
          <w:lang w:val="en-US" w:eastAsia="zh-CN"/>
        </w:rPr>
        <w:t>构建和谐劳动关系</w:t>
      </w:r>
      <w:r>
        <w:rPr>
          <w:rFonts w:hint="eastAsia" w:ascii="Times New Roman" w:hAnsi="Times New Roman" w:eastAsia="楷体_GB2312" w:cs="Times New Roman"/>
          <w:b/>
          <w:bCs/>
          <w:color w:val="auto"/>
          <w:sz w:val="32"/>
          <w:szCs w:val="32"/>
          <w:lang w:val="en-US" w:eastAsia="zh-CN"/>
        </w:rPr>
        <w:t>。</w:t>
      </w:r>
      <w:r>
        <w:rPr>
          <w:rFonts w:hint="eastAsia" w:ascii="仿宋_GB2312" w:hAnsi="仿宋_GB2312" w:eastAsia="仿宋_GB2312" w:cs="仿宋_GB2312"/>
          <w:b/>
          <w:bCs/>
          <w:color w:val="auto"/>
          <w:sz w:val="32"/>
          <w:szCs w:val="32"/>
          <w:lang w:val="en-US" w:eastAsia="zh-CN"/>
        </w:rPr>
        <w:t>劳动监察，</w:t>
      </w:r>
      <w:r>
        <w:rPr>
          <w:rFonts w:hint="eastAsia" w:ascii="仿宋_GB2312" w:hAnsi="仿宋_GB2312" w:eastAsia="仿宋_GB2312" w:cs="仿宋_GB2312"/>
          <w:b w:val="0"/>
          <w:bCs w:val="0"/>
          <w:color w:val="auto"/>
          <w:sz w:val="32"/>
          <w:szCs w:val="32"/>
          <w:lang w:val="en-US" w:eastAsia="zh-CN"/>
        </w:rPr>
        <w:t>开展</w:t>
      </w:r>
      <w:r>
        <w:rPr>
          <w:rFonts w:hint="eastAsia" w:ascii="仿宋_GB2312" w:hAnsi="仿宋_GB2312" w:eastAsia="仿宋_GB2312" w:cs="仿宋_GB2312"/>
          <w:b w:val="0"/>
          <w:bCs w:val="0"/>
          <w:color w:val="auto"/>
          <w:sz w:val="32"/>
          <w:szCs w:val="32"/>
          <w:lang w:eastAsia="zh-CN"/>
        </w:rPr>
        <w:t>根治欠</w:t>
      </w:r>
      <w:r>
        <w:rPr>
          <w:rFonts w:hint="eastAsia" w:ascii="仿宋_GB2312" w:hAnsi="仿宋_GB2312" w:eastAsia="仿宋_GB2312" w:cs="仿宋_GB2312"/>
          <w:color w:val="auto"/>
          <w:sz w:val="32"/>
          <w:szCs w:val="32"/>
          <w:lang w:eastAsia="zh-CN"/>
        </w:rPr>
        <w:t>薪行动</w:t>
      </w:r>
      <w:r>
        <w:rPr>
          <w:rFonts w:hint="eastAsia" w:ascii="仿宋_GB2312" w:hAnsi="仿宋_GB2312" w:eastAsia="仿宋_GB2312" w:cs="仿宋_GB2312"/>
          <w:color w:val="auto"/>
          <w:sz w:val="32"/>
          <w:szCs w:val="32"/>
          <w:lang w:val="en-US" w:eastAsia="zh-CN"/>
        </w:rPr>
        <w:t>多部门专项检查5次，</w:t>
      </w:r>
      <w:r>
        <w:rPr>
          <w:rFonts w:hint="eastAsia" w:ascii="仿宋_GB2312" w:hAnsi="仿宋_GB2312" w:eastAsia="仿宋_GB2312" w:cs="仿宋_GB2312"/>
          <w:color w:val="auto"/>
          <w:sz w:val="32"/>
          <w:szCs w:val="32"/>
          <w:lang w:eastAsia="zh-CN"/>
        </w:rPr>
        <w:t>共走访施工企业</w:t>
      </w:r>
      <w:r>
        <w:rPr>
          <w:rFonts w:hint="eastAsia" w:ascii="仿宋_GB2312" w:hAnsi="仿宋_GB2312" w:eastAsia="仿宋_GB2312" w:cs="仿宋_GB2312"/>
          <w:color w:val="auto"/>
          <w:sz w:val="32"/>
          <w:szCs w:val="32"/>
          <w:lang w:val="en-US" w:eastAsia="zh-CN"/>
        </w:rPr>
        <w:t>35家，现场劳动保障、安全生产资料检查共计1000余份，涉及民工1200余名，发放各类宣传资料800余份。办理农民工工资保证金56户，缴纳农民工工资保证金现金430余万元，保函380余万元，已退还28个项目农民工工资保证金共计148余万元；办理工程款拨付182次共计23710.4余万元，2024年，</w:t>
      </w:r>
      <w:r>
        <w:rPr>
          <w:rFonts w:hint="eastAsia" w:ascii="仿宋_GB2312" w:hAnsi="仿宋_GB2312" w:eastAsia="仿宋_GB2312" w:cs="仿宋_GB2312"/>
          <w:b w:val="0"/>
          <w:bCs w:val="0"/>
          <w:color w:val="auto"/>
          <w:sz w:val="32"/>
          <w:szCs w:val="32"/>
          <w:lang w:val="en-US" w:eastAsia="zh-CN"/>
        </w:rPr>
        <w:t>完成“全国根治欠薪线索反映平台”交办的线索案件36件，办结率达到100%。受理“政务服务热线12345系统”转办案件36件，已办理35件，1件正在办理，办结率达到97%。</w:t>
      </w:r>
      <w:r>
        <w:rPr>
          <w:rFonts w:hint="eastAsia" w:ascii="仿宋_GB2312" w:hAnsi="仿宋_GB2312" w:eastAsia="仿宋_GB2312" w:cs="仿宋_GB2312"/>
          <w:b/>
          <w:bCs/>
          <w:color w:val="auto"/>
          <w:sz w:val="32"/>
          <w:szCs w:val="32"/>
          <w:lang w:val="en-US" w:eastAsia="zh-CN"/>
        </w:rPr>
        <w:t>劳动仲裁</w:t>
      </w:r>
      <w:r>
        <w:rPr>
          <w:rFonts w:hint="eastAsia" w:ascii="仿宋_GB2312" w:hAnsi="仿宋_GB2312" w:eastAsia="仿宋_GB2312" w:cs="仿宋_GB2312"/>
          <w:color w:val="auto"/>
          <w:sz w:val="32"/>
          <w:szCs w:val="32"/>
          <w:lang w:val="en-US" w:eastAsia="zh-CN"/>
        </w:rPr>
        <w:t>，受理劳动争议案件2起，涉及劳动者2人，达成和解协议2件，涉及金额19万元；1起正在审理中。</w:t>
      </w:r>
      <w:r>
        <w:rPr>
          <w:rFonts w:hint="eastAsia" w:ascii="仿宋_GB2312" w:hAnsi="仿宋_GB2312" w:eastAsia="仿宋_GB2312" w:cs="仿宋_GB2312"/>
          <w:b/>
          <w:bCs/>
          <w:color w:val="auto"/>
          <w:sz w:val="32"/>
          <w:szCs w:val="32"/>
          <w:lang w:val="en-US" w:eastAsia="zh-CN"/>
        </w:rPr>
        <w:t>劳动关系，</w:t>
      </w:r>
      <w:r>
        <w:rPr>
          <w:rFonts w:hint="eastAsia" w:ascii="仿宋_GB2312" w:hAnsi="仿宋_GB2312" w:eastAsia="仿宋_GB2312" w:cs="仿宋_GB2312"/>
          <w:color w:val="auto"/>
          <w:sz w:val="32"/>
          <w:szCs w:val="32"/>
          <w:lang w:val="en-US" w:eastAsia="zh-CN"/>
        </w:rPr>
        <w:t>对我县4家劳务派遣企业开展年审工作，未发现企业存在违规违法行为；开展2024</w:t>
      </w:r>
      <w:r>
        <w:rPr>
          <w:rFonts w:hint="eastAsia" w:ascii="仿宋_GB2312" w:hAnsi="仿宋_GB2312" w:eastAsia="仿宋_GB2312" w:cs="仿宋_GB2312"/>
          <w:color w:val="auto"/>
          <w:sz w:val="32"/>
          <w:szCs w:val="32"/>
          <w:lang w:eastAsia="zh-CN"/>
        </w:rPr>
        <w:t>年女职工劳动保障权益专项执法行动，共检查企业</w:t>
      </w:r>
      <w:r>
        <w:rPr>
          <w:rFonts w:hint="eastAsia" w:ascii="仿宋_GB2312" w:hAnsi="仿宋_GB2312" w:eastAsia="仿宋_GB2312" w:cs="仿宋_GB2312"/>
          <w:color w:val="auto"/>
          <w:sz w:val="32"/>
          <w:szCs w:val="32"/>
          <w:lang w:val="en-US" w:eastAsia="zh-CN"/>
        </w:rPr>
        <w:t>8家，</w:t>
      </w:r>
      <w:r>
        <w:rPr>
          <w:rFonts w:hint="eastAsia" w:ascii="仿宋_GB2312" w:hAnsi="仿宋_GB2312" w:eastAsia="仿宋_GB2312" w:cs="仿宋_GB2312"/>
          <w:color w:val="auto"/>
          <w:sz w:val="32"/>
          <w:szCs w:val="32"/>
          <w:lang w:eastAsia="zh-CN"/>
        </w:rPr>
        <w:t>检查中</w:t>
      </w:r>
      <w:r>
        <w:rPr>
          <w:rFonts w:hint="eastAsia" w:ascii="仿宋_GB2312" w:hAnsi="仿宋_GB2312" w:eastAsia="仿宋_GB2312" w:cs="仿宋_GB2312"/>
          <w:color w:val="auto"/>
          <w:sz w:val="32"/>
          <w:szCs w:val="32"/>
          <w:lang w:val="en-US" w:eastAsia="zh-CN"/>
        </w:rPr>
        <w:t>发现企业与劳动者劳动合同签订不及时，劳动合同内容不完整、不规范，发现问题后立即要求企业负责人整改，并将整改后的合同报我单位备案；截至目前暂未发现劳动关系相关网络舆情，未发生系统性、区域性风险案件。</w:t>
      </w:r>
      <w:r>
        <w:rPr>
          <w:rFonts w:hint="eastAsia" w:ascii="仿宋_GB2312" w:hAnsi="仿宋_GB2312" w:eastAsia="仿宋_GB2312" w:cs="仿宋_GB2312"/>
          <w:b/>
          <w:bCs/>
          <w:color w:val="auto"/>
          <w:sz w:val="32"/>
          <w:szCs w:val="32"/>
          <w:lang w:val="en-US" w:eastAsia="zh-CN"/>
        </w:rPr>
        <w:t>工伤认定，</w:t>
      </w:r>
      <w:r>
        <w:rPr>
          <w:rFonts w:hint="eastAsia" w:ascii="仿宋_GB2312" w:hAnsi="仿宋_GB2312" w:eastAsia="仿宋_GB2312" w:cs="仿宋_GB2312"/>
          <w:b w:val="0"/>
          <w:bCs w:val="0"/>
          <w:color w:val="auto"/>
          <w:sz w:val="32"/>
          <w:szCs w:val="32"/>
          <w:lang w:val="en-US" w:eastAsia="zh-CN"/>
        </w:rPr>
        <w:t>工伤</w:t>
      </w:r>
      <w:r>
        <w:rPr>
          <w:rFonts w:hint="eastAsia" w:ascii="仿宋_GB2312" w:hAnsi="仿宋_GB2312" w:eastAsia="仿宋_GB2312" w:cs="仿宋_GB2312"/>
          <w:b w:val="0"/>
          <w:i w:val="0"/>
          <w:caps w:val="0"/>
          <w:color w:val="auto"/>
          <w:spacing w:val="0"/>
          <w:sz w:val="32"/>
          <w:szCs w:val="32"/>
          <w:shd w:val="clear" w:color="auto" w:fill="FFFFFF"/>
          <w:lang w:val="en-US" w:eastAsia="zh-CN"/>
        </w:rPr>
        <w:t>受理13起，认定5起，正在办理7起。</w:t>
      </w:r>
      <w:r>
        <w:rPr>
          <w:rFonts w:hint="eastAsia" w:ascii="仿宋_GB2312" w:hAnsi="仿宋_GB2312" w:eastAsia="仿宋_GB2312" w:cs="仿宋_GB2312"/>
          <w:color w:val="auto"/>
          <w:sz w:val="32"/>
          <w:szCs w:val="32"/>
        </w:rPr>
        <w:t>保障受伤职工及时得到基本救治和经济补偿，有效地维护企业和职工的合法权益。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27"/>
          <w:rFonts w:hint="default" w:ascii="Times New Roman" w:hAnsi="Times New Roman" w:cs="Times New Roman"/>
          <w:b w:val="0"/>
          <w:bCs w:val="0"/>
          <w:color w:val="auto"/>
          <w:sz w:val="32"/>
          <w:szCs w:val="32"/>
        </w:rPr>
      </w:pPr>
      <w:r>
        <w:rPr>
          <w:rFonts w:hint="default" w:ascii="Times New Roman" w:hAnsi="Times New Roman" w:eastAsia="黑体" w:cs="Times New Roman"/>
          <w:b w:val="0"/>
          <w:color w:val="auto"/>
          <w:sz w:val="32"/>
          <w:szCs w:val="32"/>
        </w:rPr>
        <w:t>二、机</w:t>
      </w:r>
      <w:r>
        <w:rPr>
          <w:rStyle w:val="27"/>
          <w:rFonts w:hint="default" w:ascii="Times New Roman" w:hAnsi="Times New Roman" w:eastAsia="黑体" w:cs="Times New Roman"/>
          <w:b w:val="0"/>
          <w:bCs w:val="0"/>
          <w:color w:val="auto"/>
          <w:sz w:val="32"/>
          <w:szCs w:val="32"/>
        </w:rPr>
        <w:t>构设置</w:t>
      </w:r>
      <w:bookmarkEnd w:id="20"/>
      <w:bookmarkEnd w:id="21"/>
    </w:p>
    <w:p>
      <w:pPr>
        <w:pageBreakBefore w:val="0"/>
        <w:widowControl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劳动人事争议仲裁</w:t>
      </w:r>
      <w:r>
        <w:rPr>
          <w:rFonts w:hint="default" w:ascii="Times New Roman" w:hAnsi="Times New Roman" w:eastAsia="仿宋_GB2312" w:cs="Times New Roman"/>
          <w:color w:val="auto"/>
          <w:sz w:val="32"/>
          <w:szCs w:val="32"/>
          <w:lang w:val="en-US" w:eastAsia="zh-CN"/>
        </w:rPr>
        <w:t>院</w:t>
      </w:r>
      <w:r>
        <w:rPr>
          <w:rFonts w:hint="default" w:ascii="Times New Roman" w:hAnsi="Times New Roman" w:eastAsia="仿宋_GB2312" w:cs="Times New Roman"/>
          <w:color w:val="auto"/>
          <w:sz w:val="32"/>
          <w:szCs w:val="32"/>
        </w:rPr>
        <w:t>属人社局二级股室，</w:t>
      </w:r>
      <w:r>
        <w:rPr>
          <w:rFonts w:hint="default" w:ascii="Times New Roman" w:hAnsi="Times New Roman" w:eastAsia="仿宋_GB2312" w:cs="Times New Roman"/>
          <w:color w:val="auto"/>
          <w:sz w:val="32"/>
          <w:szCs w:val="32"/>
          <w:lang w:val="en-US" w:eastAsia="zh-CN"/>
        </w:rPr>
        <w:t>单位性质为</w:t>
      </w:r>
      <w:r>
        <w:rPr>
          <w:rFonts w:hint="default" w:ascii="Times New Roman" w:hAnsi="Times New Roman" w:eastAsia="仿宋_GB2312" w:cs="Times New Roman"/>
          <w:color w:val="auto"/>
          <w:sz w:val="32"/>
          <w:szCs w:val="32"/>
        </w:rPr>
        <w:t>事业单位。</w:t>
      </w:r>
      <w:bookmarkStart w:id="22" w:name="_Toc15396602"/>
      <w:bookmarkStart w:id="23" w:name="_Toc15377204"/>
    </w:p>
    <w:p>
      <w:pPr>
        <w:pStyle w:val="3"/>
        <w:keepNext/>
        <w:keepLines/>
        <w:pageBreakBefore w:val="0"/>
        <w:widowControl w:val="0"/>
        <w:kinsoku/>
        <w:wordWrap/>
        <w:overflowPunct/>
        <w:topLinePunct w:val="0"/>
        <w:autoSpaceDE/>
        <w:autoSpaceDN/>
        <w:bidi w:val="0"/>
        <w:adjustRightInd/>
        <w:snapToGrid/>
        <w:spacing w:before="0" w:after="0" w:line="560" w:lineRule="exact"/>
        <w:ind w:right="442"/>
        <w:jc w:val="both"/>
        <w:textAlignment w:val="auto"/>
        <w:rPr>
          <w:rFonts w:hint="default" w:ascii="Times New Roman" w:hAnsi="Times New Roman" w:eastAsia="方正小标宋_GBK" w:cs="Times New Roman"/>
          <w:b w:val="0"/>
          <w:color w:val="auto"/>
        </w:rPr>
      </w:pPr>
    </w:p>
    <w:p>
      <w:pPr>
        <w:pStyle w:val="3"/>
        <w:keepNext/>
        <w:keepLines/>
        <w:pageBreakBefore w:val="0"/>
        <w:widowControl w:val="0"/>
        <w:kinsoku/>
        <w:wordWrap/>
        <w:overflowPunct/>
        <w:topLinePunct w:val="0"/>
        <w:autoSpaceDE/>
        <w:autoSpaceDN/>
        <w:bidi w:val="0"/>
        <w:adjustRightInd/>
        <w:snapToGrid/>
        <w:spacing w:before="0" w:after="0" w:line="560" w:lineRule="exact"/>
        <w:ind w:right="442" w:firstLine="880" w:firstLineChars="200"/>
        <w:jc w:val="both"/>
        <w:textAlignment w:val="auto"/>
        <w:rPr>
          <w:rStyle w:val="26"/>
          <w:rFonts w:hint="default" w:ascii="Times New Roman" w:hAnsi="Times New Roman" w:eastAsia="方正小标宋_GBK" w:cs="Times New Roman"/>
          <w:b w:val="0"/>
          <w:bCs w:val="0"/>
          <w:color w:val="auto"/>
        </w:rPr>
      </w:pPr>
      <w:r>
        <w:rPr>
          <w:rFonts w:hint="default" w:ascii="Times New Roman" w:hAnsi="Times New Roman" w:eastAsia="方正小标宋_GBK" w:cs="Times New Roman"/>
          <w:b w:val="0"/>
          <w:color w:val="auto"/>
        </w:rPr>
        <w:t>第二部分</w:t>
      </w:r>
      <w:r>
        <w:rPr>
          <w:rFonts w:hint="default" w:ascii="Times New Roman" w:hAnsi="Times New Roman" w:eastAsia="方正小标宋_GBK" w:cs="Times New Roman"/>
          <w:color w:val="auto"/>
        </w:rPr>
        <w:t xml:space="preserve"> </w:t>
      </w:r>
      <w:r>
        <w:rPr>
          <w:rStyle w:val="26"/>
          <w:rFonts w:hint="default" w:ascii="Times New Roman" w:hAnsi="Times New Roman" w:eastAsia="方正小标宋_GBK" w:cs="Times New Roman"/>
          <w:b w:val="0"/>
          <w:bCs w:val="0"/>
          <w:color w:val="auto"/>
        </w:rPr>
        <w:t>20</w:t>
      </w:r>
      <w:r>
        <w:rPr>
          <w:rStyle w:val="26"/>
          <w:rFonts w:hint="default" w:ascii="Times New Roman" w:hAnsi="Times New Roman" w:eastAsia="方正小标宋_GBK" w:cs="Times New Roman"/>
          <w:b w:val="0"/>
          <w:bCs w:val="0"/>
          <w:color w:val="auto"/>
          <w:lang w:val="en-US" w:eastAsia="zh-CN"/>
        </w:rPr>
        <w:t>2</w:t>
      </w:r>
      <w:r>
        <w:rPr>
          <w:rStyle w:val="26"/>
          <w:rFonts w:hint="eastAsia" w:eastAsia="方正小标宋_GBK" w:cs="Times New Roman"/>
          <w:b w:val="0"/>
          <w:bCs w:val="0"/>
          <w:color w:val="auto"/>
          <w:lang w:val="en-US" w:eastAsia="zh-CN"/>
        </w:rPr>
        <w:t>4</w:t>
      </w:r>
      <w:r>
        <w:rPr>
          <w:rStyle w:val="26"/>
          <w:rFonts w:hint="default" w:ascii="Times New Roman" w:hAnsi="Times New Roman" w:eastAsia="方正小标宋_GBK" w:cs="Times New Roman"/>
          <w:b w:val="0"/>
          <w:bCs w:val="0"/>
          <w:color w:val="auto"/>
        </w:rPr>
        <w:t>年度部门决算情况说明</w:t>
      </w:r>
      <w:bookmarkEnd w:id="22"/>
      <w:bookmarkEnd w:id="23"/>
    </w:p>
    <w:p>
      <w:pPr>
        <w:pageBreakBefore w:val="0"/>
        <w:kinsoku/>
        <w:wordWrap/>
        <w:overflowPunct/>
        <w:topLinePunct w:val="0"/>
        <w:bidi w:val="0"/>
        <w:spacing w:line="560" w:lineRule="exact"/>
        <w:textAlignment w:val="auto"/>
        <w:rPr>
          <w:rFonts w:hint="default" w:ascii="Times New Roman" w:hAnsi="Times New Roman" w:cs="Times New Roman"/>
          <w:color w:val="auto"/>
        </w:rPr>
      </w:pPr>
    </w:p>
    <w:p>
      <w:pPr>
        <w:pStyle w:val="25"/>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outlineLvl w:val="1"/>
        <w:rPr>
          <w:rStyle w:val="27"/>
          <w:rFonts w:hint="default" w:ascii="Times New Roman" w:hAnsi="Times New Roman" w:eastAsia="黑体" w:cs="Times New Roman"/>
          <w:b w:val="0"/>
          <w:color w:val="auto"/>
        </w:rPr>
      </w:pPr>
      <w:bookmarkStart w:id="24" w:name="_Toc15396603"/>
      <w:bookmarkStart w:id="25" w:name="_Toc15377205"/>
      <w:r>
        <w:rPr>
          <w:rFonts w:hint="default" w:ascii="Times New Roman" w:hAnsi="Times New Roman" w:eastAsia="黑体" w:cs="Times New Roman"/>
          <w:color w:val="auto"/>
          <w:sz w:val="32"/>
          <w:szCs w:val="32"/>
        </w:rPr>
        <w:t>收</w:t>
      </w:r>
      <w:r>
        <w:rPr>
          <w:rStyle w:val="27"/>
          <w:rFonts w:hint="default" w:ascii="Times New Roman" w:hAnsi="Times New Roman" w:eastAsia="黑体" w:cs="Times New Roman"/>
          <w:b w:val="0"/>
          <w:color w:val="auto"/>
        </w:rPr>
        <w:t>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年本年收入合计</w:t>
      </w:r>
      <w:r>
        <w:rPr>
          <w:rFonts w:hint="eastAsia" w:eastAsia="仿宋_GB2312" w:cs="Times New Roman"/>
          <w:color w:val="auto"/>
          <w:sz w:val="32"/>
          <w:szCs w:val="32"/>
          <w:lang w:val="en-US" w:eastAsia="zh-CN"/>
        </w:rPr>
        <w:t>238.55</w:t>
      </w:r>
      <w:r>
        <w:rPr>
          <w:rFonts w:hint="default" w:ascii="Times New Roman" w:hAnsi="Times New Roman" w:eastAsia="仿宋_GB2312" w:cs="Times New Roman"/>
          <w:color w:val="auto"/>
          <w:sz w:val="32"/>
          <w:szCs w:val="32"/>
        </w:rPr>
        <w:t>万元。与</w:t>
      </w:r>
      <w:r>
        <w:rPr>
          <w:rFonts w:hint="eastAsia"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rPr>
        <w:t>年相比，收</w:t>
      </w:r>
      <w:r>
        <w:rPr>
          <w:rFonts w:hint="eastAsia" w:eastAsia="仿宋_GB2312" w:cs="Times New Roman"/>
          <w:color w:val="auto"/>
          <w:sz w:val="32"/>
          <w:szCs w:val="32"/>
          <w:lang w:val="en-US" w:eastAsia="zh-CN"/>
        </w:rPr>
        <w:t>入</w:t>
      </w:r>
      <w:r>
        <w:rPr>
          <w:rFonts w:hint="default" w:ascii="Times New Roman" w:hAnsi="Times New Roman" w:eastAsia="仿宋_GB2312" w:cs="Times New Roman"/>
          <w:color w:val="auto"/>
          <w:sz w:val="32"/>
          <w:szCs w:val="32"/>
        </w:rPr>
        <w:t>总计</w:t>
      </w:r>
      <w:r>
        <w:rPr>
          <w:rFonts w:hint="eastAsia" w:eastAsia="仿宋_GB2312" w:cs="Times New Roman"/>
          <w:color w:val="auto"/>
          <w:sz w:val="32"/>
          <w:szCs w:val="32"/>
          <w:lang w:val="en-US" w:eastAsia="zh-CN"/>
        </w:rPr>
        <w:t>增加47.82</w:t>
      </w:r>
      <w:r>
        <w:rPr>
          <w:rFonts w:hint="default" w:ascii="Times New Roman" w:hAnsi="Times New Roman" w:eastAsia="仿宋_GB2312" w:cs="Times New Roman"/>
          <w:color w:val="auto"/>
          <w:sz w:val="32"/>
          <w:szCs w:val="32"/>
        </w:rPr>
        <w:t>万元，</w:t>
      </w:r>
      <w:r>
        <w:rPr>
          <w:rFonts w:hint="eastAsia" w:eastAsia="仿宋_GB2312" w:cs="Times New Roman"/>
          <w:color w:val="auto"/>
          <w:sz w:val="32"/>
          <w:szCs w:val="32"/>
          <w:lang w:val="en-US" w:eastAsia="zh-CN"/>
        </w:rPr>
        <w:t>上升25.07</w:t>
      </w:r>
      <w:r>
        <w:rPr>
          <w:rFonts w:hint="default" w:ascii="Times New Roman" w:hAnsi="Times New Roman" w:eastAsia="仿宋_GB2312" w:cs="Times New Roman"/>
          <w:color w:val="auto"/>
          <w:sz w:val="32"/>
          <w:szCs w:val="32"/>
        </w:rPr>
        <w:t>%。主要变动原因是</w:t>
      </w:r>
      <w:r>
        <w:rPr>
          <w:rFonts w:hint="eastAsia" w:eastAsia="仿宋_GB2312" w:cs="Times New Roman"/>
          <w:color w:val="auto"/>
          <w:sz w:val="32"/>
          <w:szCs w:val="32"/>
          <w:lang w:val="en-US" w:eastAsia="zh-CN"/>
        </w:rPr>
        <w:t>2024年人员工资及保险变动，预算增加。</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年本年支出合计</w:t>
      </w:r>
      <w:r>
        <w:rPr>
          <w:rFonts w:hint="eastAsia" w:eastAsia="仿宋_GB2312" w:cs="Times New Roman"/>
          <w:color w:val="auto"/>
          <w:sz w:val="32"/>
          <w:szCs w:val="32"/>
          <w:lang w:val="en-US" w:eastAsia="zh-CN"/>
        </w:rPr>
        <w:t>238.55万元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与</w:t>
      </w:r>
      <w:r>
        <w:rPr>
          <w:rFonts w:hint="eastAsia"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rPr>
        <w:t>年相比支</w:t>
      </w:r>
      <w:r>
        <w:rPr>
          <w:rFonts w:hint="eastAsia" w:eastAsia="仿宋_GB2312" w:cs="Times New Roman"/>
          <w:color w:val="auto"/>
          <w:sz w:val="32"/>
          <w:szCs w:val="32"/>
          <w:lang w:val="en-US" w:eastAsia="zh-CN"/>
        </w:rPr>
        <w:t>出</w:t>
      </w:r>
      <w:r>
        <w:rPr>
          <w:rFonts w:hint="default" w:ascii="Times New Roman" w:hAnsi="Times New Roman" w:eastAsia="仿宋_GB2312" w:cs="Times New Roman"/>
          <w:color w:val="auto"/>
          <w:sz w:val="32"/>
          <w:szCs w:val="32"/>
        </w:rPr>
        <w:t>总计</w:t>
      </w:r>
      <w:r>
        <w:rPr>
          <w:rFonts w:hint="eastAsia" w:eastAsia="仿宋_GB2312" w:cs="Times New Roman"/>
          <w:color w:val="auto"/>
          <w:sz w:val="32"/>
          <w:szCs w:val="32"/>
          <w:lang w:val="en-US" w:eastAsia="zh-CN"/>
        </w:rPr>
        <w:t>增加47.82</w:t>
      </w:r>
      <w:r>
        <w:rPr>
          <w:rFonts w:hint="default" w:ascii="Times New Roman" w:hAnsi="Times New Roman" w:eastAsia="仿宋_GB2312" w:cs="Times New Roman"/>
          <w:color w:val="auto"/>
          <w:sz w:val="32"/>
          <w:szCs w:val="32"/>
        </w:rPr>
        <w:t>万元，</w:t>
      </w:r>
      <w:r>
        <w:rPr>
          <w:rFonts w:hint="eastAsia" w:eastAsia="仿宋_GB2312" w:cs="Times New Roman"/>
          <w:color w:val="auto"/>
          <w:sz w:val="32"/>
          <w:szCs w:val="32"/>
          <w:lang w:val="en-US" w:eastAsia="zh-CN"/>
        </w:rPr>
        <w:t>上升25.07</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2024年人员工资及保险变动，支出相比于2023年增加。</w:t>
      </w:r>
    </w:p>
    <w:p>
      <w:pPr>
        <w:pageBreakBefore w:val="0"/>
        <w:kinsoku/>
        <w:wordWrap/>
        <w:overflowPunct/>
        <w:topLinePunct w:val="0"/>
        <w:bidi w:val="0"/>
        <w:spacing w:line="5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drawing>
          <wp:anchor distT="0" distB="0" distL="114300" distR="114300" simplePos="0" relativeHeight="251659264" behindDoc="0" locked="0" layoutInCell="1" allowOverlap="1">
            <wp:simplePos x="0" y="0"/>
            <wp:positionH relativeFrom="column">
              <wp:posOffset>340360</wp:posOffset>
            </wp:positionH>
            <wp:positionV relativeFrom="paragraph">
              <wp:posOffset>276860</wp:posOffset>
            </wp:positionV>
            <wp:extent cx="5080000" cy="2353310"/>
            <wp:effectExtent l="4445" t="4445" r="5715" b="1968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default" w:ascii="Times New Roman" w:hAnsi="Times New Roman" w:eastAsia="仿宋_GB2312" w:cs="Times New Roman"/>
          <w:color w:val="auto"/>
          <w:sz w:val="32"/>
          <w:szCs w:val="32"/>
        </w:rPr>
        <w:t>（图1：</w:t>
      </w:r>
      <w:r>
        <w:rPr>
          <w:rFonts w:hint="eastAsia" w:eastAsia="仿宋_GB2312" w:cs="Times New Roman"/>
          <w:color w:val="auto"/>
          <w:sz w:val="32"/>
          <w:szCs w:val="32"/>
          <w:lang w:val="en-US" w:eastAsia="zh-CN"/>
        </w:rPr>
        <w:t>2024年收入支出</w:t>
      </w:r>
      <w:r>
        <w:rPr>
          <w:rFonts w:hint="default" w:ascii="Times New Roman" w:hAnsi="Times New Roman" w:eastAsia="仿宋_GB2312" w:cs="Times New Roman"/>
          <w:color w:val="auto"/>
          <w:sz w:val="32"/>
          <w:szCs w:val="32"/>
        </w:rPr>
        <w:t>情况图）</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1"/>
        <w:rPr>
          <w:rStyle w:val="27"/>
          <w:rFonts w:hint="default" w:ascii="Times New Roman" w:hAnsi="Times New Roman" w:eastAsia="黑体" w:cs="Times New Roman"/>
          <w:b w:val="0"/>
          <w:color w:val="auto"/>
        </w:rPr>
      </w:pPr>
      <w:bookmarkStart w:id="26" w:name="_Toc15377206"/>
      <w:bookmarkStart w:id="27" w:name="_Toc15396604"/>
      <w:r>
        <w:rPr>
          <w:rFonts w:hint="eastAsia" w:eastAsia="黑体" w:cs="Times New Roman"/>
          <w:color w:val="auto"/>
          <w:sz w:val="32"/>
          <w:szCs w:val="32"/>
          <w:lang w:val="en-US" w:eastAsia="zh-CN"/>
        </w:rPr>
        <w:t>二、</w:t>
      </w:r>
      <w:r>
        <w:rPr>
          <w:rFonts w:hint="default" w:ascii="Times New Roman" w:hAnsi="Times New Roman" w:eastAsia="黑体" w:cs="Times New Roman"/>
          <w:color w:val="auto"/>
          <w:sz w:val="32"/>
          <w:szCs w:val="32"/>
        </w:rPr>
        <w:t>收</w:t>
      </w:r>
      <w:r>
        <w:rPr>
          <w:rStyle w:val="27"/>
          <w:rFonts w:hint="default" w:ascii="Times New Roman" w:hAnsi="Times New Roman" w:eastAsia="黑体" w:cs="Times New Roman"/>
          <w:b w:val="0"/>
          <w:color w:val="auto"/>
        </w:rPr>
        <w:t>入决算情况说明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年本年收入合计</w:t>
      </w:r>
      <w:r>
        <w:rPr>
          <w:rFonts w:hint="eastAsia" w:eastAsia="仿宋_GB2312" w:cs="Times New Roman"/>
          <w:color w:val="auto"/>
          <w:sz w:val="32"/>
          <w:szCs w:val="32"/>
          <w:lang w:val="en-US" w:eastAsia="zh-CN"/>
        </w:rPr>
        <w:t>238.55</w:t>
      </w:r>
      <w:r>
        <w:rPr>
          <w:rFonts w:hint="default" w:ascii="Times New Roman" w:hAnsi="Times New Roman" w:eastAsia="仿宋_GB2312" w:cs="Times New Roman"/>
          <w:color w:val="auto"/>
          <w:sz w:val="32"/>
          <w:szCs w:val="32"/>
        </w:rPr>
        <w:t>万元，其中：一般公共预算财政拨款收入</w:t>
      </w:r>
      <w:r>
        <w:rPr>
          <w:rFonts w:hint="eastAsia" w:eastAsia="仿宋_GB2312" w:cs="Times New Roman"/>
          <w:color w:val="auto"/>
          <w:sz w:val="32"/>
          <w:szCs w:val="32"/>
          <w:lang w:val="en-US" w:eastAsia="zh-CN"/>
        </w:rPr>
        <w:t>238.55</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%；政府性基金预算财政拨款收入</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%；上级补助收入</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%；事业收入</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%；经营收入</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%；附属单位上缴收入</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%；其他收入</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w:t>
      </w:r>
    </w:p>
    <w:p>
      <w:pPr>
        <w:pageBreakBefore w:val="0"/>
        <w:kinsoku/>
        <w:wordWrap/>
        <w:overflowPunct/>
        <w:topLinePunct w:val="0"/>
        <w:bidi w:val="0"/>
        <w:spacing w:line="560" w:lineRule="exact"/>
        <w:jc w:val="center"/>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图2：收入决算结构图</w:t>
      </w:r>
      <w:r>
        <w:rPr>
          <w:rFonts w:hint="default" w:ascii="Times New Roman" w:hAnsi="Times New Roman" w:eastAsia="仿宋_GB2312" w:cs="Times New Roman"/>
          <w:color w:val="auto"/>
          <w:sz w:val="32"/>
          <w:szCs w:val="32"/>
          <w:lang w:eastAsia="zh-CN"/>
        </w:rPr>
        <w:t>）</w:t>
      </w:r>
    </w:p>
    <w:p>
      <w:pPr>
        <w:pStyle w:val="10"/>
        <w:rPr>
          <w:rFonts w:hint="default" w:ascii="Times New Roman" w:hAnsi="Times New Roman" w:eastAsia="仿宋_GB2312" w:cs="Times New Roman"/>
          <w:color w:val="auto"/>
          <w:sz w:val="32"/>
          <w:szCs w:val="32"/>
          <w:lang w:eastAsia="zh-CN"/>
        </w:rPr>
      </w:pPr>
    </w:p>
    <w:p>
      <w:pPr>
        <w:pStyle w:val="1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drawing>
          <wp:anchor distT="0" distB="0" distL="114300" distR="114300" simplePos="0" relativeHeight="251660288" behindDoc="0" locked="0" layoutInCell="1" allowOverlap="1">
            <wp:simplePos x="0" y="0"/>
            <wp:positionH relativeFrom="column">
              <wp:posOffset>419735</wp:posOffset>
            </wp:positionH>
            <wp:positionV relativeFrom="paragraph">
              <wp:posOffset>101600</wp:posOffset>
            </wp:positionV>
            <wp:extent cx="4613275" cy="2305685"/>
            <wp:effectExtent l="4445" t="5080" r="11430" b="1333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10"/>
        <w:rPr>
          <w:rFonts w:hint="default" w:ascii="Times New Roman" w:hAnsi="Times New Roman" w:eastAsia="仿宋_GB2312" w:cs="Times New Roman"/>
          <w:color w:val="auto"/>
          <w:sz w:val="32"/>
          <w:szCs w:val="32"/>
          <w:lang w:eastAsia="zh-CN"/>
        </w:rPr>
      </w:pPr>
    </w:p>
    <w:p>
      <w:pPr>
        <w:pStyle w:val="10"/>
        <w:rPr>
          <w:rFonts w:hint="default" w:ascii="Times New Roman" w:hAnsi="Times New Roman" w:eastAsia="仿宋_GB2312" w:cs="Times New Roman"/>
          <w:color w:val="auto"/>
          <w:sz w:val="32"/>
          <w:szCs w:val="32"/>
          <w:lang w:eastAsia="zh-CN"/>
        </w:rPr>
      </w:pPr>
    </w:p>
    <w:p>
      <w:pPr>
        <w:pStyle w:val="10"/>
        <w:rPr>
          <w:rFonts w:hint="default" w:ascii="Times New Roman" w:hAnsi="Times New Roman" w:eastAsia="仿宋_GB2312" w:cs="Times New Roman"/>
          <w:color w:val="auto"/>
          <w:sz w:val="32"/>
          <w:szCs w:val="32"/>
          <w:lang w:eastAsia="zh-CN"/>
        </w:rPr>
      </w:pPr>
    </w:p>
    <w:p>
      <w:pPr>
        <w:pStyle w:val="10"/>
        <w:pageBreakBefore w:val="0"/>
        <w:kinsoku/>
        <w:wordWrap/>
        <w:overflowPunct/>
        <w:topLinePunct w:val="0"/>
        <w:bidi w:val="0"/>
        <w:spacing w:line="560" w:lineRule="exact"/>
        <w:textAlignment w:val="auto"/>
        <w:rPr>
          <w:rFonts w:hint="default" w:ascii="Times New Roman" w:hAnsi="Times New Roman" w:cs="Times New Roman"/>
          <w:lang w:eastAsia="zh-CN"/>
        </w:rPr>
      </w:pPr>
    </w:p>
    <w:p>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Style w:val="27"/>
          <w:rFonts w:hint="default" w:ascii="Times New Roman" w:hAnsi="Times New Roman" w:eastAsia="黑体" w:cs="Times New Roman"/>
          <w:b w:val="0"/>
          <w:color w:val="auto"/>
        </w:rPr>
      </w:pPr>
      <w:bookmarkStart w:id="28" w:name="_Toc15377207"/>
      <w:bookmarkStart w:id="29" w:name="_Toc15396605"/>
      <w:r>
        <w:rPr>
          <w:rFonts w:hint="eastAsia" w:eastAsia="黑体" w:cs="Times New Roman"/>
          <w:color w:val="auto"/>
          <w:sz w:val="32"/>
          <w:szCs w:val="32"/>
          <w:lang w:val="en-US" w:eastAsia="zh-CN"/>
        </w:rPr>
        <w:t>三、</w:t>
      </w:r>
      <w:r>
        <w:rPr>
          <w:rFonts w:hint="default" w:ascii="Times New Roman" w:hAnsi="Times New Roman" w:eastAsia="黑体" w:cs="Times New Roman"/>
          <w:color w:val="auto"/>
          <w:sz w:val="32"/>
          <w:szCs w:val="32"/>
        </w:rPr>
        <w:t>支</w:t>
      </w:r>
      <w:r>
        <w:rPr>
          <w:rStyle w:val="27"/>
          <w:rFonts w:hint="default" w:ascii="Times New Roman" w:hAnsi="Times New Roman" w:eastAsia="黑体" w:cs="Times New Roman"/>
          <w:b w:val="0"/>
          <w:color w:val="auto"/>
        </w:rPr>
        <w:t>出决算情况说明</w:t>
      </w:r>
      <w:bookmarkEnd w:id="28"/>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cs="Times New Roman"/>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年本年支出合计</w:t>
      </w:r>
      <w:r>
        <w:rPr>
          <w:rFonts w:hint="eastAsia" w:eastAsia="仿宋_GB2312" w:cs="Times New Roman"/>
          <w:color w:val="auto"/>
          <w:sz w:val="32"/>
          <w:szCs w:val="32"/>
          <w:lang w:val="en-US" w:eastAsia="zh-CN"/>
        </w:rPr>
        <w:t>238.55</w:t>
      </w:r>
      <w:r>
        <w:rPr>
          <w:rFonts w:hint="default" w:ascii="Times New Roman" w:hAnsi="Times New Roman" w:eastAsia="仿宋_GB2312" w:cs="Times New Roman"/>
          <w:color w:val="auto"/>
          <w:sz w:val="32"/>
          <w:szCs w:val="32"/>
        </w:rPr>
        <w:t>万元，其中：基本支出</w:t>
      </w:r>
      <w:r>
        <w:rPr>
          <w:rFonts w:hint="eastAsia" w:eastAsia="仿宋_GB2312" w:cs="Times New Roman"/>
          <w:color w:val="auto"/>
          <w:sz w:val="32"/>
          <w:szCs w:val="32"/>
          <w:lang w:val="en-US" w:eastAsia="zh-CN"/>
        </w:rPr>
        <w:t>238.55</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%；项目支出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%；上缴上级支出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%；经营支出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%；对附属单位补助支出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w:t>
      </w:r>
    </w:p>
    <w:p>
      <w:pPr>
        <w:pStyle w:val="10"/>
        <w:pageBreakBefore w:val="0"/>
        <w:kinsoku/>
        <w:wordWrap/>
        <w:overflowPunct/>
        <w:topLinePunct w:val="0"/>
        <w:bidi w:val="0"/>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drawing>
          <wp:anchor distT="0" distB="0" distL="114300" distR="114300" simplePos="0" relativeHeight="251661312" behindDoc="0" locked="0" layoutInCell="1" allowOverlap="1">
            <wp:simplePos x="0" y="0"/>
            <wp:positionH relativeFrom="column">
              <wp:posOffset>13335</wp:posOffset>
            </wp:positionH>
            <wp:positionV relativeFrom="paragraph">
              <wp:posOffset>261620</wp:posOffset>
            </wp:positionV>
            <wp:extent cx="5501640" cy="1729105"/>
            <wp:effectExtent l="4445" t="4445" r="18415" b="1905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图3：支出</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结算结构图</w:t>
      </w:r>
      <w:r>
        <w:rPr>
          <w:rFonts w:hint="default" w:ascii="Times New Roman" w:hAnsi="Times New Roman" w:eastAsia="仿宋_GB2312" w:cs="Times New Roman"/>
          <w:color w:val="auto"/>
          <w:sz w:val="32"/>
          <w:szCs w:val="32"/>
          <w:lang w:eastAsia="zh-CN"/>
        </w:rPr>
        <w:t>）</w:t>
      </w:r>
      <w:bookmarkStart w:id="30" w:name="_Toc15377208"/>
      <w:bookmarkStart w:id="31" w:name="_Toc15396606"/>
    </w:p>
    <w:p>
      <w:pPr>
        <w:pStyle w:val="10"/>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7"/>
          <w:rFonts w:hint="default" w:ascii="Times New Roman" w:hAnsi="Times New Roman" w:eastAsia="黑体" w:cs="Times New Roman"/>
          <w:b w:val="0"/>
          <w:color w:val="auto"/>
        </w:rPr>
      </w:pPr>
      <w:r>
        <w:rPr>
          <w:rFonts w:hint="default" w:ascii="Times New Roman" w:hAnsi="Times New Roman" w:eastAsia="黑体" w:cs="Times New Roman"/>
          <w:color w:val="auto"/>
          <w:sz w:val="32"/>
          <w:szCs w:val="32"/>
        </w:rPr>
        <w:t>四、财</w:t>
      </w:r>
      <w:r>
        <w:rPr>
          <w:rStyle w:val="27"/>
          <w:rFonts w:hint="default" w:ascii="Times New Roman" w:hAnsi="Times New Roman" w:eastAsia="黑体" w:cs="Times New Roman"/>
          <w:b w:val="0"/>
          <w:color w:val="auto"/>
        </w:rPr>
        <w:t>政拨款收入支出决算总体情况说明</w:t>
      </w:r>
      <w:bookmarkEnd w:id="30"/>
      <w:bookmarkEnd w:id="3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年本年收入合计</w:t>
      </w:r>
      <w:r>
        <w:rPr>
          <w:rFonts w:hint="eastAsia" w:eastAsia="仿宋_GB2312" w:cs="Times New Roman"/>
          <w:color w:val="auto"/>
          <w:sz w:val="32"/>
          <w:szCs w:val="32"/>
          <w:lang w:val="en-US" w:eastAsia="zh-CN"/>
        </w:rPr>
        <w:t>238.55</w:t>
      </w:r>
      <w:r>
        <w:rPr>
          <w:rFonts w:hint="default" w:ascii="Times New Roman" w:hAnsi="Times New Roman" w:eastAsia="仿宋_GB2312" w:cs="Times New Roman"/>
          <w:color w:val="auto"/>
          <w:sz w:val="32"/>
          <w:szCs w:val="32"/>
        </w:rPr>
        <w:t>万元。与</w:t>
      </w:r>
      <w:r>
        <w:rPr>
          <w:rFonts w:hint="eastAsia"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rPr>
        <w:t>年相比，</w:t>
      </w:r>
      <w:r>
        <w:rPr>
          <w:rFonts w:hint="eastAsia" w:eastAsia="仿宋_GB2312" w:cs="Times New Roman"/>
          <w:color w:val="auto"/>
          <w:sz w:val="32"/>
          <w:szCs w:val="32"/>
          <w:lang w:val="en-US" w:eastAsia="zh-CN"/>
        </w:rPr>
        <w:t>收入</w:t>
      </w:r>
      <w:r>
        <w:rPr>
          <w:rFonts w:hint="default" w:ascii="Times New Roman" w:hAnsi="Times New Roman" w:eastAsia="仿宋_GB2312" w:cs="Times New Roman"/>
          <w:color w:val="auto"/>
          <w:sz w:val="32"/>
          <w:szCs w:val="32"/>
        </w:rPr>
        <w:t>总计</w:t>
      </w:r>
      <w:r>
        <w:rPr>
          <w:rFonts w:hint="eastAsia" w:eastAsia="仿宋_GB2312" w:cs="Times New Roman"/>
          <w:color w:val="auto"/>
          <w:sz w:val="32"/>
          <w:szCs w:val="32"/>
          <w:lang w:val="en-US" w:eastAsia="zh-CN"/>
        </w:rPr>
        <w:t>增加47.82</w:t>
      </w:r>
      <w:r>
        <w:rPr>
          <w:rFonts w:hint="default" w:ascii="Times New Roman" w:hAnsi="Times New Roman" w:eastAsia="仿宋_GB2312" w:cs="Times New Roman"/>
          <w:color w:val="auto"/>
          <w:sz w:val="32"/>
          <w:szCs w:val="32"/>
        </w:rPr>
        <w:t>元，</w:t>
      </w:r>
      <w:r>
        <w:rPr>
          <w:rFonts w:hint="eastAsia" w:eastAsia="仿宋_GB2312" w:cs="Times New Roman"/>
          <w:color w:val="auto"/>
          <w:sz w:val="32"/>
          <w:szCs w:val="32"/>
          <w:lang w:val="en-US" w:eastAsia="zh-CN"/>
        </w:rPr>
        <w:t>上升25.07</w:t>
      </w:r>
      <w:r>
        <w:rPr>
          <w:rFonts w:hint="default" w:ascii="Times New Roman" w:hAnsi="Times New Roman" w:eastAsia="仿宋_GB2312" w:cs="Times New Roman"/>
          <w:color w:val="auto"/>
          <w:sz w:val="32"/>
          <w:szCs w:val="32"/>
        </w:rPr>
        <w:t>%。主要变动原因是</w:t>
      </w:r>
      <w:r>
        <w:rPr>
          <w:rFonts w:hint="eastAsia" w:eastAsia="仿宋_GB2312" w:cs="Times New Roman"/>
          <w:color w:val="auto"/>
          <w:sz w:val="32"/>
          <w:szCs w:val="32"/>
          <w:lang w:val="en-US" w:eastAsia="zh-CN"/>
        </w:rPr>
        <w:t>2024年人员工资及保险变动，预算收入增加。</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年本年支出合计</w:t>
      </w:r>
      <w:r>
        <w:rPr>
          <w:rFonts w:hint="eastAsia" w:eastAsia="仿宋_GB2312" w:cs="Times New Roman"/>
          <w:color w:val="auto"/>
          <w:sz w:val="32"/>
          <w:szCs w:val="32"/>
          <w:lang w:val="en-US" w:eastAsia="zh-CN"/>
        </w:rPr>
        <w:t>238.55</w:t>
      </w:r>
      <w:r>
        <w:rPr>
          <w:rFonts w:hint="default" w:ascii="Times New Roman" w:hAnsi="Times New Roman" w:eastAsia="仿宋_GB2312" w:cs="Times New Roman"/>
          <w:color w:val="auto"/>
          <w:sz w:val="32"/>
          <w:szCs w:val="32"/>
        </w:rPr>
        <w:t>万元，其中：基本支出</w:t>
      </w:r>
      <w:r>
        <w:rPr>
          <w:rFonts w:hint="eastAsia" w:eastAsia="仿宋_GB2312" w:cs="Times New Roman"/>
          <w:color w:val="auto"/>
          <w:sz w:val="32"/>
          <w:szCs w:val="32"/>
          <w:lang w:val="en-US" w:eastAsia="zh-CN"/>
        </w:rPr>
        <w:t>238.55</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与</w:t>
      </w:r>
      <w:r>
        <w:rPr>
          <w:rFonts w:hint="eastAsia"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rPr>
        <w:t>年相比，</w:t>
      </w:r>
      <w:r>
        <w:rPr>
          <w:rFonts w:hint="eastAsia" w:eastAsia="仿宋_GB2312" w:cs="Times New Roman"/>
          <w:color w:val="auto"/>
          <w:sz w:val="32"/>
          <w:szCs w:val="32"/>
          <w:lang w:val="en-US" w:eastAsia="zh-CN"/>
        </w:rPr>
        <w:t>支出</w:t>
      </w:r>
      <w:r>
        <w:rPr>
          <w:rFonts w:hint="default" w:ascii="Times New Roman" w:hAnsi="Times New Roman" w:eastAsia="仿宋_GB2312" w:cs="Times New Roman"/>
          <w:color w:val="auto"/>
          <w:sz w:val="32"/>
          <w:szCs w:val="32"/>
        </w:rPr>
        <w:t>总计</w:t>
      </w:r>
      <w:r>
        <w:rPr>
          <w:rFonts w:hint="eastAsia" w:eastAsia="仿宋_GB2312" w:cs="Times New Roman"/>
          <w:color w:val="auto"/>
          <w:sz w:val="32"/>
          <w:szCs w:val="32"/>
          <w:lang w:val="en-US" w:eastAsia="zh-CN"/>
        </w:rPr>
        <w:t>增加47.82</w:t>
      </w:r>
      <w:r>
        <w:rPr>
          <w:rFonts w:hint="default" w:ascii="Times New Roman" w:hAnsi="Times New Roman" w:eastAsia="仿宋_GB2312" w:cs="Times New Roman"/>
          <w:color w:val="auto"/>
          <w:sz w:val="32"/>
          <w:szCs w:val="32"/>
        </w:rPr>
        <w:t>万元，</w:t>
      </w:r>
      <w:r>
        <w:rPr>
          <w:rFonts w:hint="eastAsia" w:eastAsia="仿宋_GB2312" w:cs="Times New Roman"/>
          <w:color w:val="auto"/>
          <w:sz w:val="32"/>
          <w:szCs w:val="32"/>
          <w:lang w:val="en-US" w:eastAsia="zh-CN"/>
        </w:rPr>
        <w:t>上升率为25.07%</w:t>
      </w:r>
      <w:r>
        <w:rPr>
          <w:rFonts w:hint="default" w:ascii="Times New Roman" w:hAnsi="Times New Roman" w:eastAsia="仿宋_GB2312" w:cs="Times New Roman"/>
          <w:color w:val="auto"/>
          <w:sz w:val="32"/>
          <w:szCs w:val="32"/>
        </w:rPr>
        <w:t>。主要变动原因是</w:t>
      </w:r>
      <w:r>
        <w:rPr>
          <w:rFonts w:hint="eastAsia" w:eastAsia="仿宋_GB2312" w:cs="Times New Roman"/>
          <w:color w:val="auto"/>
          <w:sz w:val="32"/>
          <w:szCs w:val="32"/>
          <w:lang w:val="en-US" w:eastAsia="zh-CN"/>
        </w:rPr>
        <w:t>2024年人员工资及保险变动，支出增加。</w:t>
      </w:r>
    </w:p>
    <w:p>
      <w:pPr>
        <w:pageBreakBefore w:val="0"/>
        <w:kinsoku/>
        <w:wordWrap/>
        <w:overflowPunct/>
        <w:topLinePunct w:val="0"/>
        <w:bidi w:val="0"/>
        <w:spacing w:line="560" w:lineRule="exact"/>
        <w:jc w:val="center"/>
        <w:textAlignment w:val="auto"/>
        <w:rPr>
          <w:rFonts w:hint="default" w:ascii="Times New Roman" w:hAnsi="Times New Roman" w:eastAsia="仿宋" w:cs="Times New Roman"/>
          <w:b/>
          <w:color w:val="auto"/>
          <w:sz w:val="32"/>
          <w:szCs w:val="32"/>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图4：</w:t>
      </w:r>
      <w:r>
        <w:rPr>
          <w:rFonts w:hint="default" w:ascii="Times New Roman" w:hAnsi="Times New Roman" w:eastAsia="仿宋_GB2312" w:cs="Times New Roman"/>
          <w:b w:val="0"/>
          <w:bCs/>
          <w:color w:val="auto"/>
          <w:sz w:val="32"/>
          <w:szCs w:val="32"/>
        </w:rPr>
        <w:t>财</w:t>
      </w:r>
      <w:r>
        <w:rPr>
          <w:rStyle w:val="27"/>
          <w:rFonts w:hint="default" w:ascii="Times New Roman" w:hAnsi="Times New Roman" w:eastAsia="仿宋_GB2312" w:cs="Times New Roman"/>
          <w:b w:val="0"/>
          <w:bCs/>
          <w:color w:val="auto"/>
          <w:sz w:val="32"/>
          <w:szCs w:val="32"/>
        </w:rPr>
        <w:t>政拨款收</w:t>
      </w:r>
      <w:r>
        <w:rPr>
          <w:rStyle w:val="27"/>
          <w:rFonts w:hint="default" w:ascii="Times New Roman" w:hAnsi="Times New Roman" w:eastAsia="仿宋_GB2312" w:cs="Times New Roman"/>
          <w:b w:val="0"/>
          <w:bCs/>
          <w:color w:val="auto"/>
          <w:sz w:val="32"/>
          <w:szCs w:val="32"/>
          <w:lang w:eastAsia="zh-CN"/>
        </w:rPr>
        <w:t>、</w:t>
      </w:r>
      <w:r>
        <w:rPr>
          <w:rStyle w:val="27"/>
          <w:rFonts w:hint="default" w:ascii="Times New Roman" w:hAnsi="Times New Roman" w:eastAsia="仿宋_GB2312" w:cs="Times New Roman"/>
          <w:b w:val="0"/>
          <w:bCs/>
          <w:color w:val="auto"/>
          <w:sz w:val="32"/>
          <w:szCs w:val="32"/>
        </w:rPr>
        <w:t>支决算</w:t>
      </w:r>
      <w:r>
        <w:rPr>
          <w:rStyle w:val="27"/>
          <w:rFonts w:hint="default" w:ascii="Times New Roman" w:hAnsi="Times New Roman" w:eastAsia="仿宋_GB2312" w:cs="Times New Roman"/>
          <w:b w:val="0"/>
          <w:bCs/>
          <w:color w:val="auto"/>
          <w:sz w:val="32"/>
          <w:szCs w:val="32"/>
          <w:lang w:val="en-US" w:eastAsia="zh-CN"/>
        </w:rPr>
        <w:t>总计变动情况）</w:t>
      </w:r>
    </w:p>
    <w:p>
      <w:pPr>
        <w:pStyle w:val="10"/>
        <w:pageBreakBefore w:val="0"/>
        <w:kinsoku/>
        <w:wordWrap/>
        <w:overflowPunct/>
        <w:topLinePunct w:val="0"/>
        <w:bidi w:val="0"/>
        <w:spacing w:line="560" w:lineRule="exac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lang w:eastAsia="zh-CN"/>
        </w:rPr>
        <w:drawing>
          <wp:anchor distT="0" distB="0" distL="114300" distR="114300" simplePos="0" relativeHeight="251662336" behindDoc="0" locked="0" layoutInCell="1" allowOverlap="1">
            <wp:simplePos x="0" y="0"/>
            <wp:positionH relativeFrom="column">
              <wp:posOffset>29845</wp:posOffset>
            </wp:positionH>
            <wp:positionV relativeFrom="paragraph">
              <wp:posOffset>-413385</wp:posOffset>
            </wp:positionV>
            <wp:extent cx="5194300" cy="4264025"/>
            <wp:effectExtent l="4445" t="4445" r="20955" b="1778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auto"/>
          <w:sz w:val="32"/>
          <w:szCs w:val="32"/>
        </w:rPr>
      </w:pPr>
      <w:bookmarkStart w:id="32" w:name="_Toc15377209"/>
      <w:bookmarkStart w:id="33" w:name="_Toc1539660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7"/>
          <w:rFonts w:hint="default" w:ascii="Times New Roman" w:hAnsi="Times New Roman" w:eastAsia="黑体" w:cs="Times New Roman"/>
          <w:b w:val="0"/>
          <w:color w:val="auto"/>
        </w:rPr>
      </w:pPr>
      <w:r>
        <w:rPr>
          <w:rFonts w:hint="default" w:ascii="Times New Roman" w:hAnsi="Times New Roman" w:eastAsia="黑体" w:cs="Times New Roman"/>
          <w:color w:val="auto"/>
          <w:sz w:val="32"/>
          <w:szCs w:val="32"/>
        </w:rPr>
        <w:t>五、</w:t>
      </w:r>
      <w:r>
        <w:rPr>
          <w:rFonts w:hint="default" w:ascii="Times New Roman" w:hAnsi="Times New Roman" w:eastAsia="黑体" w:cs="Times New Roman"/>
          <w:b/>
          <w:color w:val="auto"/>
          <w:sz w:val="32"/>
          <w:szCs w:val="32"/>
        </w:rPr>
        <w:t>一</w:t>
      </w:r>
      <w:r>
        <w:rPr>
          <w:rStyle w:val="27"/>
          <w:rFonts w:hint="default" w:ascii="Times New Roman" w:hAnsi="Times New Roman" w:eastAsia="黑体" w:cs="Times New Roman"/>
          <w:b w:val="0"/>
          <w:color w:val="auto"/>
        </w:rPr>
        <w:t>般公共预算财政拨款支出决算情况说明</w:t>
      </w:r>
      <w:bookmarkEnd w:id="32"/>
      <w:bookmarkEnd w:id="3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楷体_GB2312" w:cs="Times New Roman"/>
          <w:b/>
          <w:color w:val="auto"/>
          <w:sz w:val="32"/>
          <w:szCs w:val="32"/>
        </w:rPr>
      </w:pPr>
      <w:bookmarkStart w:id="34" w:name="_Toc15377210"/>
      <w:r>
        <w:rPr>
          <w:rFonts w:hint="default" w:ascii="Times New Roman" w:hAnsi="Times New Roman" w:eastAsia="楷体_GB2312" w:cs="Times New Roman"/>
          <w:b/>
          <w:color w:val="auto"/>
          <w:sz w:val="32"/>
          <w:szCs w:val="32"/>
        </w:rPr>
        <w:t>（一）一般公共预算财政拨款支出决算总体情况</w:t>
      </w:r>
      <w:bookmarkEnd w:id="3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年一般公共预算财政拨款支出</w:t>
      </w:r>
      <w:r>
        <w:rPr>
          <w:rFonts w:hint="eastAsia" w:eastAsia="仿宋_GB2312" w:cs="Times New Roman"/>
          <w:color w:val="auto"/>
          <w:sz w:val="32"/>
          <w:szCs w:val="32"/>
          <w:lang w:val="en-US" w:eastAsia="zh-CN"/>
        </w:rPr>
        <w:t>238.55</w:t>
      </w:r>
      <w:r>
        <w:rPr>
          <w:rFonts w:hint="default" w:ascii="Times New Roman" w:hAnsi="Times New Roman" w:eastAsia="仿宋_GB2312" w:cs="Times New Roman"/>
          <w:color w:val="auto"/>
          <w:sz w:val="32"/>
          <w:szCs w:val="32"/>
        </w:rPr>
        <w:t>万元，占本年支出合计的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%。与</w:t>
      </w:r>
      <w:r>
        <w:rPr>
          <w:rFonts w:hint="eastAsia"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rPr>
        <w:t>年相比，一般公共预算财政拨款</w:t>
      </w:r>
      <w:r>
        <w:rPr>
          <w:rFonts w:hint="eastAsia" w:eastAsia="仿宋_GB2312" w:cs="Times New Roman"/>
          <w:color w:val="auto"/>
          <w:sz w:val="32"/>
          <w:szCs w:val="32"/>
          <w:lang w:val="en-US" w:eastAsia="zh-CN"/>
        </w:rPr>
        <w:t>增加47.82</w:t>
      </w:r>
      <w:r>
        <w:rPr>
          <w:rFonts w:hint="default" w:ascii="Times New Roman" w:hAnsi="Times New Roman" w:eastAsia="仿宋_GB2312" w:cs="Times New Roman"/>
          <w:color w:val="auto"/>
          <w:sz w:val="32"/>
          <w:szCs w:val="32"/>
        </w:rPr>
        <w:t>万元，</w:t>
      </w:r>
      <w:r>
        <w:rPr>
          <w:rFonts w:hint="eastAsia" w:eastAsia="仿宋_GB2312" w:cs="Times New Roman"/>
          <w:color w:val="auto"/>
          <w:sz w:val="32"/>
          <w:szCs w:val="32"/>
          <w:lang w:val="en-US" w:eastAsia="zh-CN"/>
        </w:rPr>
        <w:t>上升25.07</w:t>
      </w:r>
      <w:r>
        <w:rPr>
          <w:rFonts w:hint="default" w:ascii="Times New Roman" w:hAnsi="Times New Roman" w:eastAsia="仿宋_GB2312" w:cs="Times New Roman"/>
          <w:color w:val="auto"/>
          <w:sz w:val="32"/>
          <w:szCs w:val="32"/>
        </w:rPr>
        <w:t>%。主要变动原因是主要变动原因是</w:t>
      </w:r>
      <w:r>
        <w:rPr>
          <w:rFonts w:hint="eastAsia" w:eastAsia="仿宋_GB2312" w:cs="Times New Roman"/>
          <w:color w:val="auto"/>
          <w:sz w:val="32"/>
          <w:szCs w:val="32"/>
          <w:lang w:val="en-US" w:eastAsia="zh-CN"/>
        </w:rPr>
        <w:t>人员工资及保险变动，预算增加。</w:t>
      </w:r>
    </w:p>
    <w:p>
      <w:pPr>
        <w:pStyle w:val="10"/>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lang w:val="en-US" w:eastAsia="zh-CN"/>
        </w:rPr>
        <w:t>（图5：</w:t>
      </w:r>
      <w:r>
        <w:rPr>
          <w:rFonts w:hint="default" w:ascii="Times New Roman" w:hAnsi="Times New Roman" w:eastAsia="仿宋_GB2312" w:cs="Times New Roman"/>
          <w:color w:val="auto"/>
          <w:sz w:val="32"/>
          <w:szCs w:val="32"/>
        </w:rPr>
        <w:t>一般公共预算财政拨款支出</w:t>
      </w:r>
      <w:r>
        <w:rPr>
          <w:rFonts w:hint="default" w:ascii="Times New Roman" w:hAnsi="Times New Roman" w:eastAsia="仿宋_GB2312" w:cs="Times New Roman"/>
          <w:color w:val="auto"/>
          <w:sz w:val="32"/>
          <w:szCs w:val="32"/>
          <w:lang w:val="en-US" w:eastAsia="zh-CN"/>
        </w:rPr>
        <w:t>决算变动表）</w:t>
      </w:r>
    </w:p>
    <w:p>
      <w:pPr>
        <w:pStyle w:val="10"/>
        <w:pageBreakBefore w:val="0"/>
        <w:kinsoku/>
        <w:wordWrap/>
        <w:overflowPunct/>
        <w:topLinePunct w:val="0"/>
        <w:bidi w:val="0"/>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drawing>
          <wp:anchor distT="0" distB="0" distL="114300" distR="114300" simplePos="0" relativeHeight="251663360" behindDoc="0" locked="0" layoutInCell="1" allowOverlap="1">
            <wp:simplePos x="0" y="0"/>
            <wp:positionH relativeFrom="column">
              <wp:posOffset>20320</wp:posOffset>
            </wp:positionH>
            <wp:positionV relativeFrom="paragraph">
              <wp:posOffset>170180</wp:posOffset>
            </wp:positionV>
            <wp:extent cx="5251450" cy="2366010"/>
            <wp:effectExtent l="4445" t="4445" r="20955" b="1079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楷体_GB2312" w:cs="Times New Roman"/>
          <w:b/>
          <w:color w:val="auto"/>
          <w:sz w:val="32"/>
          <w:szCs w:val="32"/>
        </w:rPr>
      </w:pPr>
      <w:bookmarkStart w:id="35" w:name="_Toc15377211"/>
      <w:r>
        <w:rPr>
          <w:rFonts w:hint="default" w:ascii="Times New Roman" w:hAnsi="Times New Roman" w:eastAsia="楷体_GB2312" w:cs="Times New Roman"/>
          <w:b/>
          <w:color w:val="auto"/>
          <w:sz w:val="32"/>
          <w:szCs w:val="32"/>
        </w:rPr>
        <w:t>（二）一般公共预算财政拨款支出决算结构情况</w:t>
      </w:r>
      <w:bookmarkEnd w:id="35"/>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年一般公共预算财政拨款支出</w:t>
      </w:r>
      <w:r>
        <w:rPr>
          <w:rFonts w:hint="eastAsia" w:eastAsia="仿宋_GB2312" w:cs="Times New Roman"/>
          <w:color w:val="auto"/>
          <w:sz w:val="32"/>
          <w:szCs w:val="32"/>
          <w:lang w:val="en-US" w:eastAsia="zh-CN"/>
        </w:rPr>
        <w:t>238.55</w:t>
      </w:r>
      <w:r>
        <w:rPr>
          <w:rFonts w:hint="default" w:ascii="Times New Roman" w:hAnsi="Times New Roman" w:eastAsia="仿宋_GB2312" w:cs="Times New Roman"/>
          <w:color w:val="auto"/>
          <w:sz w:val="32"/>
          <w:szCs w:val="32"/>
        </w:rPr>
        <w:t>万元，主要用于以下方面:</w:t>
      </w:r>
      <w:r>
        <w:rPr>
          <w:rFonts w:hint="default" w:ascii="Times New Roman" w:hAnsi="Times New Roman" w:eastAsia="仿宋_GB2312" w:cs="Times New Roman"/>
          <w:b/>
          <w:color w:val="auto"/>
          <w:sz w:val="32"/>
          <w:szCs w:val="32"/>
        </w:rPr>
        <w:t>社会保障和就业（类）</w:t>
      </w:r>
      <w:r>
        <w:rPr>
          <w:rFonts w:hint="default" w:ascii="Times New Roman" w:hAnsi="Times New Roman" w:eastAsia="仿宋_GB2312" w:cs="Times New Roman"/>
          <w:color w:val="auto"/>
          <w:sz w:val="32"/>
          <w:szCs w:val="32"/>
        </w:rPr>
        <w:t>支出</w:t>
      </w:r>
      <w:r>
        <w:rPr>
          <w:rFonts w:hint="eastAsia" w:eastAsia="仿宋_GB2312" w:cs="Times New Roman"/>
          <w:color w:val="auto"/>
          <w:sz w:val="32"/>
          <w:szCs w:val="32"/>
          <w:lang w:val="en-US" w:eastAsia="zh-CN"/>
        </w:rPr>
        <w:t>208.79</w:t>
      </w:r>
      <w:r>
        <w:rPr>
          <w:rFonts w:hint="default" w:ascii="Times New Roman" w:hAnsi="Times New Roman" w:eastAsia="仿宋_GB2312" w:cs="Times New Roman"/>
          <w:color w:val="auto"/>
          <w:sz w:val="32"/>
          <w:szCs w:val="32"/>
        </w:rPr>
        <w:t>万元，占</w:t>
      </w:r>
      <w:r>
        <w:rPr>
          <w:rFonts w:hint="eastAsia" w:eastAsia="仿宋_GB2312" w:cs="Times New Roman"/>
          <w:color w:val="auto"/>
          <w:sz w:val="32"/>
          <w:szCs w:val="32"/>
          <w:lang w:val="en-US" w:eastAsia="zh-CN"/>
        </w:rPr>
        <w:t>87.52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卫生健康支出</w:t>
      </w:r>
      <w:r>
        <w:rPr>
          <w:rFonts w:hint="eastAsia" w:eastAsia="仿宋_GB2312" w:cs="Times New Roman"/>
          <w:color w:val="auto"/>
          <w:sz w:val="32"/>
          <w:szCs w:val="32"/>
          <w:lang w:val="en-US" w:eastAsia="zh-CN"/>
        </w:rPr>
        <w:t>13.04</w:t>
      </w:r>
      <w:r>
        <w:rPr>
          <w:rFonts w:hint="default" w:ascii="Times New Roman" w:hAnsi="Times New Roman" w:eastAsia="仿宋_GB2312" w:cs="Times New Roman"/>
          <w:color w:val="auto"/>
          <w:sz w:val="32"/>
          <w:szCs w:val="32"/>
        </w:rPr>
        <w:t>万元，占</w:t>
      </w:r>
      <w:r>
        <w:rPr>
          <w:rFonts w:hint="eastAsia" w:eastAsia="仿宋_GB2312" w:cs="Times New Roman"/>
          <w:color w:val="auto"/>
          <w:sz w:val="32"/>
          <w:szCs w:val="32"/>
          <w:lang w:val="en-US" w:eastAsia="zh-CN"/>
        </w:rPr>
        <w:t>5.47</w:t>
      </w:r>
      <w:r>
        <w:rPr>
          <w:rFonts w:hint="default" w:ascii="Times New Roman" w:hAnsi="Times New Roman" w:eastAsia="仿宋_GB2312" w:cs="Times New Roman"/>
          <w:color w:val="auto"/>
          <w:sz w:val="32"/>
          <w:szCs w:val="32"/>
        </w:rPr>
        <w:t>%；住房保障支出</w:t>
      </w:r>
      <w:r>
        <w:rPr>
          <w:rFonts w:hint="eastAsia" w:eastAsia="仿宋_GB2312" w:cs="Times New Roman"/>
          <w:color w:val="auto"/>
          <w:sz w:val="32"/>
          <w:szCs w:val="32"/>
          <w:lang w:val="en-US" w:eastAsia="zh-CN"/>
        </w:rPr>
        <w:t>16.73</w:t>
      </w:r>
      <w:r>
        <w:rPr>
          <w:rFonts w:hint="default" w:ascii="Times New Roman" w:hAnsi="Times New Roman" w:eastAsia="仿宋_GB2312" w:cs="Times New Roman"/>
          <w:color w:val="auto"/>
          <w:sz w:val="32"/>
          <w:szCs w:val="32"/>
        </w:rPr>
        <w:t>万元，占</w:t>
      </w:r>
      <w:r>
        <w:rPr>
          <w:rFonts w:hint="eastAsia" w:eastAsia="仿宋_GB2312" w:cs="Times New Roman"/>
          <w:color w:val="auto"/>
          <w:sz w:val="32"/>
          <w:szCs w:val="32"/>
          <w:lang w:val="en-US" w:eastAsia="zh-CN"/>
        </w:rPr>
        <w:t>7.01</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楷体_GB2312" w:cs="Times New Roman"/>
          <w:b/>
          <w:bCs w:val="0"/>
          <w:color w:val="auto"/>
          <w:sz w:val="32"/>
          <w:szCs w:val="32"/>
        </w:rPr>
      </w:pPr>
      <w:bookmarkStart w:id="36" w:name="_Toc15377212"/>
      <w:r>
        <w:rPr>
          <w:rFonts w:hint="default" w:ascii="Times New Roman" w:hAnsi="Times New Roman" w:eastAsia="仿宋" w:cs="Times New Roman"/>
          <w:color w:val="auto"/>
          <w:sz w:val="32"/>
          <w:szCs w:val="32"/>
          <w:lang w:eastAsia="zh-CN"/>
        </w:rPr>
        <w:drawing>
          <wp:anchor distT="0" distB="0" distL="114300" distR="114300" simplePos="0" relativeHeight="251664384" behindDoc="0" locked="0" layoutInCell="1" allowOverlap="1">
            <wp:simplePos x="0" y="0"/>
            <wp:positionH relativeFrom="column">
              <wp:posOffset>140970</wp:posOffset>
            </wp:positionH>
            <wp:positionV relativeFrom="paragraph">
              <wp:posOffset>205105</wp:posOffset>
            </wp:positionV>
            <wp:extent cx="5445125" cy="1918970"/>
            <wp:effectExtent l="5080" t="4445" r="5715" b="1206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Times New Roman" w:hAnsi="Times New Roman" w:eastAsia="楷体_GB2312" w:cs="Times New Roman"/>
          <w:b/>
          <w:color w:val="auto"/>
          <w:sz w:val="32"/>
          <w:szCs w:val="32"/>
        </w:rPr>
        <w:t>（三）一般公共预算财政拨款支出决算具体情况</w:t>
      </w:r>
      <w:bookmarkEnd w:id="36"/>
    </w:p>
    <w:p>
      <w:pPr>
        <w:keepNext w:val="0"/>
        <w:keepLines w:val="0"/>
        <w:pageBreakBefore w:val="0"/>
        <w:widowControl w:val="0"/>
        <w:kinsoku/>
        <w:wordWrap/>
        <w:overflowPunct/>
        <w:topLinePunct w:val="0"/>
        <w:bidi w:val="0"/>
        <w:spacing w:line="560" w:lineRule="exact"/>
        <w:ind w:firstLine="640" w:firstLineChars="200"/>
        <w:textAlignment w:val="auto"/>
        <w:outlineLvl w:val="2"/>
        <w:rPr>
          <w:rFonts w:hint="default" w:ascii="Times New Roman" w:hAnsi="Times New Roman" w:eastAsia="仿宋_GB2312" w:cs="Times New Roman"/>
          <w:b w:val="0"/>
          <w:bCs/>
          <w:color w:val="auto"/>
          <w:sz w:val="32"/>
          <w:szCs w:val="32"/>
        </w:rPr>
      </w:pPr>
      <w:bookmarkStart w:id="37" w:name="_Toc15377213"/>
      <w:bookmarkStart w:id="38" w:name="_Toc15377444"/>
      <w:bookmarkStart w:id="39" w:name="_Toc15378460"/>
      <w:r>
        <w:rPr>
          <w:rFonts w:hint="default" w:ascii="Times New Roman" w:hAnsi="Times New Roman" w:eastAsia="仿宋_GB2312" w:cs="Times New Roman"/>
          <w:b w:val="0"/>
          <w:bCs/>
          <w:color w:val="auto"/>
          <w:sz w:val="32"/>
          <w:szCs w:val="32"/>
        </w:rPr>
        <w:t>20</w:t>
      </w:r>
      <w:r>
        <w:rPr>
          <w:rFonts w:hint="default" w:ascii="Times New Roman" w:hAnsi="Times New Roman" w:eastAsia="仿宋_GB2312" w:cs="Times New Roman"/>
          <w:b w:val="0"/>
          <w:bCs/>
          <w:color w:val="auto"/>
          <w:sz w:val="32"/>
          <w:szCs w:val="32"/>
          <w:lang w:val="en-US" w:eastAsia="zh-CN"/>
        </w:rPr>
        <w:t>2</w:t>
      </w:r>
      <w:r>
        <w:rPr>
          <w:rFonts w:hint="eastAsia" w:eastAsia="仿宋_GB2312"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rPr>
        <w:t>年</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般公共预算支出决算数为</w:t>
      </w:r>
      <w:r>
        <w:rPr>
          <w:rFonts w:hint="eastAsia" w:eastAsia="仿宋_GB2312" w:cs="Times New Roman"/>
          <w:b w:val="0"/>
          <w:bCs/>
          <w:color w:val="auto"/>
          <w:sz w:val="32"/>
          <w:szCs w:val="32"/>
          <w:lang w:val="en-US" w:eastAsia="zh-CN"/>
        </w:rPr>
        <w:t>238.55</w:t>
      </w:r>
      <w:r>
        <w:rPr>
          <w:rFonts w:hint="default" w:ascii="Times New Roman" w:hAnsi="Times New Roman" w:eastAsia="仿宋_GB2312" w:cs="Times New Roman"/>
          <w:b w:val="0"/>
          <w:bCs/>
          <w:color w:val="auto"/>
          <w:sz w:val="32"/>
          <w:szCs w:val="32"/>
          <w:lang w:val="en-US" w:eastAsia="zh-CN"/>
        </w:rPr>
        <w:t>万元</w:t>
      </w:r>
      <w:r>
        <w:rPr>
          <w:rFonts w:hint="default" w:ascii="Times New Roman" w:hAnsi="Times New Roman" w:eastAsia="仿宋_GB2312" w:cs="Times New Roman"/>
          <w:b w:val="0"/>
          <w:bCs/>
          <w:color w:val="auto"/>
          <w:sz w:val="32"/>
          <w:szCs w:val="32"/>
        </w:rPr>
        <w:t>，</w:t>
      </w:r>
      <w:r>
        <w:rPr>
          <w:rStyle w:val="16"/>
          <w:rFonts w:hint="default" w:ascii="Times New Roman" w:hAnsi="Times New Roman" w:eastAsia="仿宋_GB2312" w:cs="Times New Roman"/>
          <w:b w:val="0"/>
          <w:bCs/>
          <w:color w:val="auto"/>
          <w:sz w:val="32"/>
          <w:szCs w:val="32"/>
        </w:rPr>
        <w:t>完成预算</w:t>
      </w:r>
      <w:r>
        <w:rPr>
          <w:rStyle w:val="16"/>
          <w:rFonts w:hint="default" w:ascii="Times New Roman" w:hAnsi="Times New Roman" w:eastAsia="仿宋_GB2312" w:cs="Times New Roman"/>
          <w:b w:val="0"/>
          <w:bCs/>
          <w:color w:val="auto"/>
          <w:sz w:val="32"/>
          <w:szCs w:val="32"/>
          <w:lang w:val="en-US" w:eastAsia="zh-CN"/>
        </w:rPr>
        <w:t>100</w:t>
      </w:r>
      <w:r>
        <w:rPr>
          <w:rStyle w:val="16"/>
          <w:rFonts w:hint="default" w:ascii="Times New Roman" w:hAnsi="Times New Roman" w:eastAsia="仿宋_GB2312" w:cs="Times New Roman"/>
          <w:b w:val="0"/>
          <w:bCs/>
          <w:color w:val="auto"/>
          <w:sz w:val="32"/>
          <w:szCs w:val="32"/>
        </w:rPr>
        <w:t>%。其中：</w:t>
      </w:r>
      <w:bookmarkEnd w:id="37"/>
      <w:bookmarkEnd w:id="38"/>
      <w:bookmarkEnd w:id="39"/>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color w:val="auto"/>
          <w:sz w:val="32"/>
          <w:szCs w:val="32"/>
        </w:rPr>
      </w:pPr>
      <w:r>
        <w:rPr>
          <w:rStyle w:val="16"/>
          <w:rFonts w:hint="eastAsia" w:eastAsia="仿宋_GB2312" w:cs="Times New Roman"/>
          <w:bCs/>
          <w:color w:val="auto"/>
          <w:sz w:val="32"/>
          <w:szCs w:val="32"/>
          <w:lang w:val="en-US" w:eastAsia="zh-CN"/>
        </w:rPr>
        <w:t>1</w:t>
      </w:r>
      <w:r>
        <w:rPr>
          <w:rStyle w:val="16"/>
          <w:rFonts w:hint="default" w:ascii="Times New Roman" w:hAnsi="Times New Roman" w:eastAsia="仿宋_GB2312" w:cs="Times New Roman"/>
          <w:bCs/>
          <w:color w:val="auto"/>
          <w:sz w:val="32"/>
          <w:szCs w:val="32"/>
        </w:rPr>
        <w:t>.社会保障和就业</w:t>
      </w:r>
      <w:r>
        <w:rPr>
          <w:rStyle w:val="16"/>
          <w:rFonts w:hint="default" w:ascii="Times New Roman" w:hAnsi="Times New Roman" w:eastAsia="仿宋_GB2312" w:cs="Times New Roman"/>
          <w:bCs/>
          <w:color w:val="auto"/>
          <w:sz w:val="32"/>
          <w:szCs w:val="32"/>
          <w:lang w:val="en-US" w:eastAsia="zh-CN"/>
        </w:rPr>
        <w:t>208</w:t>
      </w:r>
      <w:r>
        <w:rPr>
          <w:rStyle w:val="16"/>
          <w:rFonts w:hint="default" w:ascii="Times New Roman" w:hAnsi="Times New Roman" w:eastAsia="仿宋_GB2312" w:cs="Times New Roman"/>
          <w:bCs/>
          <w:color w:val="auto"/>
          <w:sz w:val="32"/>
          <w:szCs w:val="32"/>
        </w:rPr>
        <w:t>（类）:</w:t>
      </w:r>
      <w:r>
        <w:rPr>
          <w:rStyle w:val="16"/>
          <w:rFonts w:hint="default" w:ascii="Times New Roman" w:hAnsi="Times New Roman" w:eastAsia="仿宋_GB2312" w:cs="Times New Roman"/>
          <w:b w:val="0"/>
          <w:bCs/>
          <w:color w:val="auto"/>
          <w:sz w:val="32"/>
          <w:szCs w:val="32"/>
        </w:rPr>
        <w:t>支出决算为</w:t>
      </w:r>
      <w:r>
        <w:rPr>
          <w:rStyle w:val="16"/>
          <w:rFonts w:hint="eastAsia" w:eastAsia="仿宋_GB2312" w:cs="Times New Roman"/>
          <w:b w:val="0"/>
          <w:bCs/>
          <w:color w:val="auto"/>
          <w:sz w:val="32"/>
          <w:szCs w:val="32"/>
          <w:lang w:val="en-US" w:eastAsia="zh-CN"/>
        </w:rPr>
        <w:t>208.79</w:t>
      </w:r>
      <w:r>
        <w:rPr>
          <w:rStyle w:val="16"/>
          <w:rFonts w:hint="default" w:ascii="Times New Roman" w:hAnsi="Times New Roman" w:eastAsia="仿宋_GB2312" w:cs="Times New Roman"/>
          <w:b w:val="0"/>
          <w:bCs/>
          <w:color w:val="auto"/>
          <w:sz w:val="32"/>
          <w:szCs w:val="32"/>
        </w:rPr>
        <w:t>万元，完成预算</w:t>
      </w:r>
      <w:r>
        <w:rPr>
          <w:rStyle w:val="16"/>
          <w:rFonts w:hint="default" w:ascii="Times New Roman" w:hAnsi="Times New Roman" w:eastAsia="仿宋_GB2312" w:cs="Times New Roman"/>
          <w:b w:val="0"/>
          <w:bCs/>
          <w:color w:val="auto"/>
          <w:sz w:val="32"/>
          <w:szCs w:val="32"/>
          <w:lang w:val="en-US" w:eastAsia="zh-CN"/>
        </w:rPr>
        <w:t>100</w:t>
      </w:r>
      <w:r>
        <w:rPr>
          <w:rStyle w:val="16"/>
          <w:rFonts w:hint="default" w:ascii="Times New Roman" w:hAnsi="Times New Roman" w:eastAsia="仿宋_GB2312" w:cs="Times New Roman"/>
          <w:b w:val="0"/>
          <w:bCs/>
          <w:color w:val="auto"/>
          <w:sz w:val="32"/>
          <w:szCs w:val="32"/>
        </w:rPr>
        <w:t>%，决算数等于预算数。</w:t>
      </w:r>
    </w:p>
    <w:p>
      <w:pPr>
        <w:keepNext w:val="0"/>
        <w:keepLines w:val="0"/>
        <w:pageBreakBefore w:val="0"/>
        <w:widowControl w:val="0"/>
        <w:kinsoku/>
        <w:wordWrap/>
        <w:overflowPunct/>
        <w:topLinePunct w:val="0"/>
        <w:bidi w:val="0"/>
        <w:spacing w:line="560" w:lineRule="exact"/>
        <w:ind w:firstLine="640" w:firstLineChars="200"/>
        <w:textAlignment w:val="auto"/>
        <w:rPr>
          <w:rStyle w:val="16"/>
          <w:rFonts w:hint="default" w:ascii="Times New Roman" w:hAnsi="Times New Roman" w:eastAsia="仿宋_GB2312" w:cs="Times New Roman"/>
          <w:b w:val="0"/>
          <w:bCs/>
          <w:color w:val="auto"/>
          <w:sz w:val="32"/>
          <w:szCs w:val="32"/>
        </w:rPr>
      </w:pPr>
      <w:r>
        <w:rPr>
          <w:rStyle w:val="16"/>
          <w:rFonts w:hint="eastAsia" w:eastAsia="仿宋_GB2312" w:cs="Times New Roman"/>
          <w:b w:val="0"/>
          <w:bCs w:val="0"/>
          <w:color w:val="auto"/>
          <w:sz w:val="32"/>
          <w:szCs w:val="32"/>
          <w:lang w:val="en-US" w:eastAsia="zh-CN"/>
        </w:rPr>
        <w:t>2</w:t>
      </w:r>
      <w:r>
        <w:rPr>
          <w:rStyle w:val="16"/>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bCs/>
          <w:color w:val="auto"/>
          <w:sz w:val="32"/>
          <w:szCs w:val="32"/>
        </w:rPr>
        <w:t>卫生健康</w:t>
      </w:r>
      <w:r>
        <w:rPr>
          <w:rFonts w:hint="default" w:ascii="Times New Roman" w:hAnsi="Times New Roman" w:eastAsia="仿宋_GB2312" w:cs="Times New Roman"/>
          <w:b/>
          <w:bCs/>
          <w:color w:val="auto"/>
          <w:sz w:val="32"/>
          <w:szCs w:val="32"/>
          <w:lang w:val="en-US" w:eastAsia="zh-CN"/>
        </w:rPr>
        <w:t>210</w:t>
      </w:r>
      <w:r>
        <w:rPr>
          <w:rStyle w:val="16"/>
          <w:rFonts w:hint="default" w:ascii="Times New Roman" w:hAnsi="Times New Roman" w:eastAsia="仿宋_GB2312" w:cs="Times New Roman"/>
          <w:bCs/>
          <w:color w:val="auto"/>
          <w:sz w:val="32"/>
          <w:szCs w:val="32"/>
        </w:rPr>
        <w:t>（类）:</w:t>
      </w:r>
      <w:r>
        <w:rPr>
          <w:rStyle w:val="16"/>
          <w:rFonts w:hint="default" w:ascii="Times New Roman" w:hAnsi="Times New Roman" w:eastAsia="仿宋_GB2312" w:cs="Times New Roman"/>
          <w:b w:val="0"/>
          <w:bCs/>
          <w:color w:val="auto"/>
          <w:sz w:val="32"/>
          <w:szCs w:val="32"/>
        </w:rPr>
        <w:t>支出决算为</w:t>
      </w:r>
      <w:r>
        <w:rPr>
          <w:rStyle w:val="16"/>
          <w:rFonts w:hint="eastAsia" w:eastAsia="仿宋_GB2312" w:cs="Times New Roman"/>
          <w:b w:val="0"/>
          <w:bCs/>
          <w:color w:val="auto"/>
          <w:sz w:val="32"/>
          <w:szCs w:val="32"/>
          <w:lang w:val="en-US" w:eastAsia="zh-CN"/>
        </w:rPr>
        <w:t>13.04</w:t>
      </w:r>
      <w:r>
        <w:rPr>
          <w:rStyle w:val="16"/>
          <w:rFonts w:hint="default" w:ascii="Times New Roman" w:hAnsi="Times New Roman" w:eastAsia="仿宋_GB2312" w:cs="Times New Roman"/>
          <w:b w:val="0"/>
          <w:bCs/>
          <w:color w:val="auto"/>
          <w:sz w:val="32"/>
          <w:szCs w:val="32"/>
        </w:rPr>
        <w:t>万元，完成预算</w:t>
      </w:r>
      <w:r>
        <w:rPr>
          <w:rStyle w:val="16"/>
          <w:rFonts w:hint="default" w:ascii="Times New Roman" w:hAnsi="Times New Roman" w:eastAsia="仿宋_GB2312" w:cs="Times New Roman"/>
          <w:b w:val="0"/>
          <w:bCs/>
          <w:color w:val="auto"/>
          <w:sz w:val="32"/>
          <w:szCs w:val="32"/>
          <w:lang w:val="en-US" w:eastAsia="zh-CN"/>
        </w:rPr>
        <w:t>100</w:t>
      </w:r>
      <w:r>
        <w:rPr>
          <w:rStyle w:val="16"/>
          <w:rFonts w:hint="default" w:ascii="Times New Roman" w:hAnsi="Times New Roman" w:eastAsia="仿宋_GB2312" w:cs="Times New Roman"/>
          <w:b w:val="0"/>
          <w:bCs/>
          <w:color w:val="auto"/>
          <w:sz w:val="32"/>
          <w:szCs w:val="32"/>
        </w:rPr>
        <w:t>%，决算数等于预算数。</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 w:cs="Times New Roman"/>
          <w:b/>
          <w:color w:val="auto"/>
          <w:sz w:val="32"/>
          <w:szCs w:val="32"/>
        </w:rPr>
      </w:pP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Style w:val="16"/>
          <w:rFonts w:hint="default" w:ascii="Times New Roman" w:hAnsi="Times New Roman" w:eastAsia="仿宋_GB2312" w:cs="Times New Roman"/>
          <w:color w:val="auto"/>
          <w:sz w:val="32"/>
          <w:szCs w:val="32"/>
        </w:rPr>
        <w:t>住房保障支出221（类）:</w:t>
      </w:r>
      <w:r>
        <w:rPr>
          <w:rStyle w:val="16"/>
          <w:rFonts w:hint="default" w:ascii="Times New Roman" w:hAnsi="Times New Roman" w:eastAsia="仿宋_GB2312" w:cs="Times New Roman"/>
          <w:b w:val="0"/>
          <w:color w:val="auto"/>
          <w:sz w:val="32"/>
          <w:szCs w:val="32"/>
        </w:rPr>
        <w:t>支出决算</w:t>
      </w:r>
      <w:r>
        <w:rPr>
          <w:rStyle w:val="16"/>
          <w:rFonts w:hint="eastAsia" w:eastAsia="仿宋_GB2312" w:cs="Times New Roman"/>
          <w:b w:val="0"/>
          <w:color w:val="auto"/>
          <w:sz w:val="32"/>
          <w:szCs w:val="32"/>
          <w:lang w:val="en-US" w:eastAsia="zh-CN"/>
        </w:rPr>
        <w:t>16.73</w:t>
      </w:r>
      <w:r>
        <w:rPr>
          <w:rStyle w:val="16"/>
          <w:rFonts w:hint="default" w:ascii="Times New Roman" w:hAnsi="Times New Roman" w:eastAsia="仿宋_GB2312" w:cs="Times New Roman"/>
          <w:b w:val="0"/>
          <w:color w:val="auto"/>
          <w:sz w:val="32"/>
          <w:szCs w:val="32"/>
        </w:rPr>
        <w:t>万元，完成预算</w:t>
      </w:r>
      <w:r>
        <w:rPr>
          <w:rStyle w:val="16"/>
          <w:rFonts w:hint="default" w:ascii="Times New Roman" w:hAnsi="Times New Roman" w:eastAsia="仿宋_GB2312" w:cs="Times New Roman"/>
          <w:b w:val="0"/>
          <w:color w:val="auto"/>
          <w:sz w:val="32"/>
          <w:szCs w:val="32"/>
          <w:lang w:val="en-US" w:eastAsia="zh-CN"/>
        </w:rPr>
        <w:t>100</w:t>
      </w:r>
      <w:r>
        <w:rPr>
          <w:rStyle w:val="16"/>
          <w:rFonts w:hint="default" w:ascii="Times New Roman" w:hAnsi="Times New Roman" w:eastAsia="仿宋_GB2312" w:cs="Times New Roman"/>
          <w:b w:val="0"/>
          <w:color w:val="auto"/>
          <w:sz w:val="32"/>
          <w:szCs w:val="32"/>
        </w:rPr>
        <w:t>%，</w:t>
      </w:r>
      <w:r>
        <w:rPr>
          <w:rStyle w:val="16"/>
          <w:rFonts w:hint="default" w:ascii="Times New Roman" w:hAnsi="Times New Roman" w:eastAsia="仿宋_GB2312" w:cs="Times New Roman"/>
          <w:b w:val="0"/>
          <w:bCs/>
          <w:color w:val="auto"/>
          <w:sz w:val="32"/>
          <w:szCs w:val="32"/>
        </w:rPr>
        <w:t>决算数等于预算数</w:t>
      </w:r>
      <w:r>
        <w:rPr>
          <w:rStyle w:val="16"/>
          <w:rFonts w:hint="default" w:ascii="Times New Roman" w:hAnsi="Times New Roman" w:eastAsia="仿宋_GB2312" w:cs="Times New Roman"/>
          <w:b w:val="0"/>
          <w:color w:val="auto"/>
          <w:sz w:val="32"/>
          <w:szCs w:val="32"/>
        </w:rPr>
        <w:t>。</w:t>
      </w:r>
    </w:p>
    <w:p>
      <w:pPr>
        <w:keepNext w:val="0"/>
        <w:keepLines w:val="0"/>
        <w:pageBreakBefore w:val="0"/>
        <w:widowControl w:val="0"/>
        <w:tabs>
          <w:tab w:val="right" w:pos="8306"/>
        </w:tabs>
        <w:kinsoku/>
        <w:wordWrap/>
        <w:overflowPunct/>
        <w:topLinePunct w:val="0"/>
        <w:bidi w:val="0"/>
        <w:spacing w:line="560" w:lineRule="exact"/>
        <w:ind w:firstLine="640"/>
        <w:textAlignment w:val="auto"/>
        <w:outlineLvl w:val="1"/>
        <w:rPr>
          <w:rStyle w:val="27"/>
          <w:rFonts w:hint="default" w:ascii="Times New Roman" w:hAnsi="Times New Roman" w:cs="Times New Roman"/>
          <w:color w:val="auto"/>
        </w:rPr>
      </w:pPr>
      <w:bookmarkStart w:id="40" w:name="_Toc15377214"/>
      <w:bookmarkStart w:id="41" w:name="_Toc15396608"/>
      <w:r>
        <w:rPr>
          <w:rFonts w:hint="default" w:ascii="Times New Roman" w:hAnsi="Times New Roman" w:eastAsia="黑体" w:cs="Times New Roman"/>
          <w:color w:val="auto"/>
          <w:sz w:val="32"/>
          <w:szCs w:val="32"/>
        </w:rPr>
        <w:t>六</w:t>
      </w:r>
      <w:r>
        <w:rPr>
          <w:rFonts w:hint="default" w:ascii="Times New Roman" w:hAnsi="Times New Roman" w:eastAsia="黑体" w:cs="Times New Roman"/>
          <w:b/>
          <w:color w:val="auto"/>
          <w:sz w:val="32"/>
          <w:szCs w:val="32"/>
        </w:rPr>
        <w:t>、一</w:t>
      </w:r>
      <w:r>
        <w:rPr>
          <w:rStyle w:val="27"/>
          <w:rFonts w:hint="default" w:ascii="Times New Roman" w:hAnsi="Times New Roman" w:eastAsia="黑体" w:cs="Times New Roman"/>
          <w:b w:val="0"/>
          <w:color w:val="auto"/>
        </w:rPr>
        <w:t>般公共预算财政拨款基本支出决算情况说明</w:t>
      </w:r>
      <w:bookmarkEnd w:id="40"/>
      <w:bookmarkEnd w:id="41"/>
      <w:r>
        <w:rPr>
          <w:rStyle w:val="27"/>
          <w:rFonts w:hint="default" w:ascii="Times New Roman" w:hAnsi="Times New Roman" w:eastAsia="黑体" w:cs="Times New Roman"/>
          <w:b w:val="0"/>
          <w:color w:val="auto"/>
        </w:rPr>
        <w:tab/>
      </w:r>
    </w:p>
    <w:p>
      <w:pPr>
        <w:keepNext w:val="0"/>
        <w:keepLines w:val="0"/>
        <w:pageBreakBefore w:val="0"/>
        <w:widowControl w:val="0"/>
        <w:kinsoku/>
        <w:wordWrap/>
        <w:overflowPunct/>
        <w:topLinePunct w:val="0"/>
        <w:bidi w:val="0"/>
        <w:spacing w:line="560" w:lineRule="exact"/>
        <w:ind w:firstLine="64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年一般公共预算财政拨款基本支出</w:t>
      </w:r>
      <w:r>
        <w:rPr>
          <w:rFonts w:hint="eastAsia" w:eastAsia="仿宋_GB2312" w:cs="Times New Roman"/>
          <w:color w:val="auto"/>
          <w:sz w:val="32"/>
          <w:szCs w:val="32"/>
          <w:lang w:val="en-US" w:eastAsia="zh-CN"/>
        </w:rPr>
        <w:t>238.55</w:t>
      </w:r>
      <w:r>
        <w:rPr>
          <w:rFonts w:hint="default" w:ascii="Times New Roman" w:hAnsi="Times New Roman" w:eastAsia="仿宋_GB2312" w:cs="Times New Roman"/>
          <w:color w:val="auto"/>
          <w:sz w:val="32"/>
          <w:szCs w:val="32"/>
        </w:rPr>
        <w:t>万元，其中：</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人员经费</w:t>
      </w:r>
      <w:r>
        <w:rPr>
          <w:rFonts w:hint="eastAsia" w:eastAsia="仿宋_GB2312" w:cs="Times New Roman"/>
          <w:color w:val="auto"/>
          <w:sz w:val="32"/>
          <w:szCs w:val="32"/>
          <w:lang w:val="en-US" w:eastAsia="zh-CN"/>
        </w:rPr>
        <w:t>228.16</w:t>
      </w:r>
      <w:r>
        <w:rPr>
          <w:rFonts w:hint="default" w:ascii="Times New Roman" w:hAnsi="Times New Roman" w:eastAsia="仿宋_GB2312" w:cs="Times New Roman"/>
          <w:color w:val="auto"/>
          <w:sz w:val="32"/>
          <w:szCs w:val="32"/>
        </w:rPr>
        <w:t>万元，主要包括：基本工资、津贴补贴、奖金、伙食补助费、绩效工资、机关事业单位基本养老保险缴费、职业年金缴费、其他社会保障缴费、住房公积金。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日常公用经费</w:t>
      </w:r>
      <w:r>
        <w:rPr>
          <w:rFonts w:hint="eastAsia" w:eastAsia="仿宋_GB2312" w:cs="Times New Roman"/>
          <w:color w:val="auto"/>
          <w:sz w:val="32"/>
          <w:szCs w:val="32"/>
          <w:lang w:val="en-US" w:eastAsia="zh-CN"/>
        </w:rPr>
        <w:t>10.40</w:t>
      </w:r>
      <w:r>
        <w:rPr>
          <w:rFonts w:hint="default" w:ascii="Times New Roman" w:hAnsi="Times New Roman" w:eastAsia="仿宋_GB2312" w:cs="Times New Roman"/>
          <w:color w:val="auto"/>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Start w:id="42" w:name="_Toc15396609"/>
      <w:bookmarkStart w:id="43" w:name="_Toc15377215"/>
    </w:p>
    <w:p>
      <w:pPr>
        <w:keepNext w:val="0"/>
        <w:keepLines w:val="0"/>
        <w:pageBreakBefore w:val="0"/>
        <w:widowControl w:val="0"/>
        <w:kinsoku/>
        <w:wordWrap/>
        <w:overflowPunct/>
        <w:topLinePunct w:val="0"/>
        <w:bidi w:val="0"/>
        <w:spacing w:line="560" w:lineRule="exact"/>
        <w:ind w:firstLine="645"/>
        <w:textAlignment w:val="auto"/>
        <w:rPr>
          <w:rStyle w:val="27"/>
          <w:rFonts w:hint="default" w:ascii="Times New Roman" w:hAnsi="Times New Roman" w:eastAsia="黑体" w:cs="Times New Roman"/>
          <w:b w:val="0"/>
          <w:color w:val="auto"/>
        </w:rPr>
      </w:pPr>
      <w:r>
        <w:rPr>
          <w:rFonts w:hint="default" w:ascii="Times New Roman" w:hAnsi="Times New Roman" w:eastAsia="黑体" w:cs="Times New Roman"/>
          <w:color w:val="auto"/>
          <w:sz w:val="32"/>
          <w:szCs w:val="32"/>
        </w:rPr>
        <w:t>七、</w:t>
      </w:r>
      <w:r>
        <w:rPr>
          <w:rFonts w:hint="default" w:ascii="Times New Roman" w:hAnsi="Times New Roman" w:eastAsia="黑体" w:cs="Times New Roman"/>
          <w:color w:val="auto"/>
          <w:sz w:val="32"/>
          <w:szCs w:val="32"/>
          <w:lang w:eastAsia="zh-CN"/>
        </w:rPr>
        <w:t>“</w:t>
      </w:r>
      <w:r>
        <w:rPr>
          <w:rStyle w:val="27"/>
          <w:rFonts w:hint="default" w:ascii="Times New Roman" w:hAnsi="Times New Roman" w:eastAsia="黑体" w:cs="Times New Roman"/>
          <w:b w:val="0"/>
          <w:color w:val="auto"/>
        </w:rPr>
        <w:t>三公</w:t>
      </w:r>
      <w:r>
        <w:rPr>
          <w:rFonts w:hint="default" w:ascii="Times New Roman" w:hAnsi="Times New Roman" w:eastAsia="黑体" w:cs="Times New Roman"/>
          <w:color w:val="auto"/>
          <w:sz w:val="32"/>
          <w:szCs w:val="32"/>
          <w:lang w:eastAsia="zh-CN"/>
        </w:rPr>
        <w:t>”</w:t>
      </w:r>
      <w:r>
        <w:rPr>
          <w:rStyle w:val="27"/>
          <w:rFonts w:hint="default" w:ascii="Times New Roman" w:hAnsi="Times New Roman" w:eastAsia="黑体" w:cs="Times New Roman"/>
          <w:b w:val="0"/>
          <w:color w:val="auto"/>
        </w:rPr>
        <w:t>经费财政拨款支出决算情况说明</w:t>
      </w:r>
      <w:bookmarkEnd w:id="42"/>
      <w:bookmarkEnd w:id="43"/>
    </w:p>
    <w:p>
      <w:pPr>
        <w:keepNext w:val="0"/>
        <w:keepLines w:val="0"/>
        <w:pageBreakBefore w:val="0"/>
        <w:widowControl w:val="0"/>
        <w:kinsoku/>
        <w:wordWrap/>
        <w:overflowPunct/>
        <w:topLinePunct w:val="0"/>
        <w:bidi w:val="0"/>
        <w:spacing w:line="560" w:lineRule="exact"/>
        <w:ind w:firstLine="640"/>
        <w:textAlignment w:val="auto"/>
        <w:outlineLvl w:val="2"/>
        <w:rPr>
          <w:rFonts w:hint="default" w:ascii="Times New Roman" w:hAnsi="Times New Roman" w:eastAsia="楷体_GB2312" w:cs="Times New Roman"/>
          <w:b/>
          <w:color w:val="auto"/>
          <w:sz w:val="32"/>
          <w:szCs w:val="32"/>
        </w:rPr>
      </w:pPr>
      <w:bookmarkStart w:id="44" w:name="_Toc15377216"/>
      <w:r>
        <w:rPr>
          <w:rFonts w:hint="default" w:ascii="Times New Roman" w:hAnsi="Times New Roman" w:eastAsia="楷体_GB2312" w:cs="Times New Roman"/>
          <w:b/>
          <w:color w:val="auto"/>
          <w:sz w:val="32"/>
          <w:szCs w:val="32"/>
        </w:rPr>
        <w:t>（一）“三公”经费财政拨款支出决算总体情况说明</w:t>
      </w:r>
      <w:bookmarkEnd w:id="44"/>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20</w:t>
      </w:r>
      <w:r>
        <w:rPr>
          <w:rFonts w:hint="default" w:ascii="Times New Roman" w:hAnsi="Times New Roman" w:eastAsia="仿宋" w:cs="Times New Roman"/>
          <w:color w:val="auto"/>
          <w:sz w:val="32"/>
          <w:szCs w:val="32"/>
          <w:lang w:val="en-US" w:eastAsia="zh-CN"/>
        </w:rPr>
        <w:t>2</w:t>
      </w:r>
      <w:r>
        <w:rPr>
          <w:rFonts w:hint="eastAsia" w:eastAsia="仿宋" w:cs="Times New Roman"/>
          <w:color w:val="auto"/>
          <w:sz w:val="32"/>
          <w:szCs w:val="32"/>
          <w:lang w:val="en-US" w:eastAsia="zh-CN"/>
        </w:rPr>
        <w:t>4</w:t>
      </w:r>
      <w:r>
        <w:rPr>
          <w:rFonts w:hint="default" w:ascii="Times New Roman" w:hAnsi="Times New Roman" w:eastAsia="仿宋" w:cs="Times New Roman"/>
          <w:color w:val="auto"/>
          <w:sz w:val="32"/>
          <w:szCs w:val="32"/>
        </w:rPr>
        <w:t>年“三公”经费财政拨款支出决算为</w:t>
      </w:r>
      <w:r>
        <w:rPr>
          <w:rFonts w:hint="default"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rPr>
        <w:t>万元</w:t>
      </w:r>
      <w:r>
        <w:rPr>
          <w:rFonts w:hint="default" w:ascii="Times New Roman" w:hAnsi="Times New Roman" w:eastAsia="仿宋" w:cs="Times New Roman"/>
          <w:color w:val="auto"/>
          <w:sz w:val="32"/>
          <w:szCs w:val="32"/>
          <w:lang w:eastAsia="zh-CN"/>
        </w:rPr>
        <w:t>。</w:t>
      </w:r>
    </w:p>
    <w:p>
      <w:pPr>
        <w:keepNext w:val="0"/>
        <w:keepLines w:val="0"/>
        <w:pageBreakBefore w:val="0"/>
        <w:widowControl w:val="0"/>
        <w:kinsoku/>
        <w:wordWrap/>
        <w:overflowPunct/>
        <w:topLinePunct w:val="0"/>
        <w:bidi w:val="0"/>
        <w:spacing w:line="560" w:lineRule="exact"/>
        <w:ind w:firstLine="640"/>
        <w:textAlignment w:val="auto"/>
        <w:outlineLvl w:val="2"/>
        <w:rPr>
          <w:rFonts w:hint="default" w:ascii="Times New Roman" w:hAnsi="Times New Roman" w:eastAsia="楷体_GB2312" w:cs="Times New Roman"/>
          <w:b/>
          <w:color w:val="auto"/>
          <w:sz w:val="32"/>
          <w:szCs w:val="32"/>
        </w:rPr>
      </w:pPr>
      <w:bookmarkStart w:id="45" w:name="_Toc15377217"/>
      <w:r>
        <w:rPr>
          <w:rFonts w:hint="default" w:ascii="Times New Roman" w:hAnsi="Times New Roman" w:eastAsia="楷体_GB2312" w:cs="Times New Roman"/>
          <w:b/>
          <w:color w:val="auto"/>
          <w:sz w:val="32"/>
          <w:szCs w:val="32"/>
        </w:rPr>
        <w:t>（二）“三公”经费财政拨款支出决算具体情况说明</w:t>
      </w:r>
      <w:bookmarkEnd w:id="45"/>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年“三公”经费财政拨款支出决算中，因公出国（境）费支出决算</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%；公务用车购置及运行维护费支出决算</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%；公务接待费支出决算</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16"/>
          <w:rFonts w:hint="default" w:ascii="Times New Roman" w:hAnsi="Times New Roman" w:eastAsia="仿宋" w:cs="Times New Roman"/>
          <w:b w:val="0"/>
          <w:bCs/>
          <w:color w:val="auto"/>
          <w:sz w:val="32"/>
          <w:szCs w:val="32"/>
        </w:rPr>
      </w:pPr>
      <w:r>
        <w:rPr>
          <w:rFonts w:hint="default" w:ascii="Times New Roman" w:hAnsi="Times New Roman" w:eastAsia="仿宋_GB2312" w:cs="Times New Roman"/>
          <w:b/>
          <w:color w:val="auto"/>
          <w:sz w:val="32"/>
          <w:szCs w:val="32"/>
          <w:lang w:val="en-US" w:eastAsia="zh-CN"/>
        </w:rPr>
        <w:t>1.</w:t>
      </w:r>
      <w:r>
        <w:rPr>
          <w:rFonts w:hint="default" w:ascii="Times New Roman" w:hAnsi="Times New Roman" w:eastAsia="仿宋_GB2312" w:cs="Times New Roman"/>
          <w:b/>
          <w:color w:val="auto"/>
          <w:sz w:val="32"/>
          <w:szCs w:val="32"/>
        </w:rPr>
        <w:t>因公出国（境）经费支出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Style w:val="16"/>
          <w:rFonts w:hint="default" w:ascii="Times New Roman" w:hAnsi="Times New Roman" w:eastAsia="仿宋" w:cs="Times New Roman"/>
          <w:b w:val="0"/>
          <w:bCs/>
          <w:color w:val="auto"/>
          <w:sz w:val="32"/>
          <w:szCs w:val="32"/>
        </w:rPr>
        <w:t>。</w:t>
      </w:r>
    </w:p>
    <w:p>
      <w:pPr>
        <w:keepNext w:val="0"/>
        <w:keepLines w:val="0"/>
        <w:pageBreakBefore w:val="0"/>
        <w:widowControl w:val="0"/>
        <w:numPr>
          <w:ilvl w:val="0"/>
          <w:numId w:val="0"/>
        </w:numPr>
        <w:kinsoku/>
        <w:wordWrap/>
        <w:overflowPunct/>
        <w:topLinePunct w:val="0"/>
        <w:bidi w:val="0"/>
        <w:spacing w:line="560" w:lineRule="exact"/>
        <w:ind w:left="640" w:leftChars="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en-US" w:eastAsia="zh-CN"/>
        </w:rPr>
        <w:t>2.</w:t>
      </w:r>
      <w:r>
        <w:rPr>
          <w:rFonts w:hint="default" w:ascii="Times New Roman" w:hAnsi="Times New Roman" w:eastAsia="仿宋_GB2312" w:cs="Times New Roman"/>
          <w:b/>
          <w:color w:val="auto"/>
          <w:sz w:val="32"/>
          <w:szCs w:val="32"/>
        </w:rPr>
        <w:t>公务用车购置及运行维护费支出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Style w:val="16"/>
          <w:rFonts w:hint="default" w:ascii="Times New Roman" w:hAnsi="Times New Roman" w:eastAsia="仿宋" w:cs="Times New Roman"/>
          <w:b w:val="0"/>
          <w:bCs/>
          <w:color w:val="auto"/>
          <w:sz w:val="32"/>
          <w:szCs w:val="32"/>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其中：</w:t>
      </w:r>
      <w:r>
        <w:rPr>
          <w:rFonts w:hint="default" w:ascii="Times New Roman" w:hAnsi="Times New Roman" w:eastAsia="仿宋_GB2312" w:cs="Times New Roman"/>
          <w:b/>
          <w:color w:val="auto"/>
          <w:sz w:val="32"/>
          <w:szCs w:val="32"/>
        </w:rPr>
        <w:t>公务用车购置支出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keepNext w:val="0"/>
        <w:keepLines w:val="0"/>
        <w:pageBreakBefore w:val="0"/>
        <w:widowControl w:val="0"/>
        <w:kinsoku/>
        <w:wordWrap/>
        <w:overflowPunct/>
        <w:topLinePunct w:val="0"/>
        <w:bidi w:val="0"/>
        <w:spacing w:line="560" w:lineRule="exact"/>
        <w:ind w:firstLine="1606" w:firstLineChars="5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公务用车运行维护费支出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keepNext w:val="0"/>
        <w:keepLines w:val="0"/>
        <w:pageBreakBefore w:val="0"/>
        <w:widowControl w:val="0"/>
        <w:numPr>
          <w:ilvl w:val="0"/>
          <w:numId w:val="0"/>
        </w:numPr>
        <w:kinsoku/>
        <w:wordWrap/>
        <w:overflowPunct/>
        <w:topLinePunct w:val="0"/>
        <w:bidi w:val="0"/>
        <w:spacing w:line="560" w:lineRule="exact"/>
        <w:ind w:left="640" w:left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color w:val="auto"/>
          <w:sz w:val="32"/>
          <w:szCs w:val="32"/>
          <w:lang w:val="en-US" w:eastAsia="zh-CN"/>
        </w:rPr>
        <w:t>3.</w:t>
      </w:r>
      <w:r>
        <w:rPr>
          <w:rFonts w:hint="default" w:ascii="Times New Roman" w:hAnsi="Times New Roman" w:eastAsia="仿宋_GB2312" w:cs="Times New Roman"/>
          <w:b/>
          <w:color w:val="auto"/>
          <w:sz w:val="32"/>
          <w:szCs w:val="32"/>
        </w:rPr>
        <w:t>公务接待费支出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Style w:val="16"/>
          <w:rFonts w:hint="default" w:ascii="Times New Roman" w:hAnsi="Times New Roman" w:eastAsia="仿宋" w:cs="Times New Roman"/>
          <w:b w:val="0"/>
          <w:bCs/>
          <w:color w:val="auto"/>
          <w:sz w:val="32"/>
          <w:szCs w:val="32"/>
        </w:rPr>
        <w:t>。</w:t>
      </w:r>
    </w:p>
    <w:p>
      <w:pPr>
        <w:keepNext w:val="0"/>
        <w:keepLines w:val="0"/>
        <w:pageBreakBefore w:val="0"/>
        <w:widowControl w:val="0"/>
        <w:kinsoku/>
        <w:wordWrap/>
        <w:overflowPunct/>
        <w:topLinePunct w:val="0"/>
        <w:bidi w:val="0"/>
        <w:spacing w:line="560" w:lineRule="exact"/>
        <w:ind w:firstLine="640"/>
        <w:textAlignment w:val="auto"/>
        <w:outlineLvl w:val="1"/>
        <w:rPr>
          <w:rStyle w:val="27"/>
          <w:rFonts w:hint="default" w:ascii="Times New Roman" w:hAnsi="Times New Roman" w:eastAsia="黑体" w:cs="Times New Roman"/>
          <w:color w:val="auto"/>
        </w:rPr>
      </w:pPr>
      <w:bookmarkStart w:id="46" w:name="_Toc15396610"/>
      <w:bookmarkStart w:id="47" w:name="_Toc15377218"/>
      <w:r>
        <w:rPr>
          <w:rFonts w:hint="default" w:ascii="Times New Roman" w:hAnsi="Times New Roman" w:eastAsia="黑体" w:cs="Times New Roman"/>
          <w:color w:val="auto"/>
          <w:sz w:val="32"/>
          <w:szCs w:val="32"/>
        </w:rPr>
        <w:t>八、</w:t>
      </w:r>
      <w:r>
        <w:rPr>
          <w:rStyle w:val="27"/>
          <w:rFonts w:hint="default" w:ascii="Times New Roman" w:hAnsi="Times New Roman" w:eastAsia="黑体" w:cs="Times New Roman"/>
          <w:b w:val="0"/>
          <w:color w:val="auto"/>
        </w:rPr>
        <w:t>政府性基金预算支出决算情况说明</w:t>
      </w:r>
      <w:bookmarkEnd w:id="46"/>
      <w:bookmarkEnd w:id="47"/>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年政府性基金预算拨款支出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keepNext w:val="0"/>
        <w:keepLines w:val="0"/>
        <w:pageBreakBefore w:val="0"/>
        <w:widowControl w:val="0"/>
        <w:numPr>
          <w:ilvl w:val="0"/>
          <w:numId w:val="2"/>
        </w:numPr>
        <w:kinsoku/>
        <w:wordWrap/>
        <w:overflowPunct/>
        <w:topLinePunct w:val="0"/>
        <w:bidi w:val="0"/>
        <w:spacing w:line="560" w:lineRule="exact"/>
        <w:ind w:firstLine="640"/>
        <w:textAlignment w:val="auto"/>
        <w:outlineLvl w:val="1"/>
        <w:rPr>
          <w:rStyle w:val="27"/>
          <w:rFonts w:hint="default" w:ascii="Times New Roman" w:hAnsi="Times New Roman" w:eastAsia="黑体" w:cs="Times New Roman"/>
          <w:b w:val="0"/>
          <w:color w:val="auto"/>
        </w:rPr>
      </w:pPr>
      <w:bookmarkStart w:id="48" w:name="_Toc15396611"/>
      <w:bookmarkStart w:id="49" w:name="_Toc15377219"/>
      <w:r>
        <w:rPr>
          <w:rStyle w:val="27"/>
          <w:rFonts w:hint="default" w:ascii="Times New Roman" w:hAnsi="Times New Roman" w:eastAsia="黑体" w:cs="Times New Roman"/>
          <w:b w:val="0"/>
          <w:color w:val="auto"/>
        </w:rPr>
        <w:t>国有资本经营预算支出决算情况说明</w:t>
      </w:r>
      <w:bookmarkEnd w:id="48"/>
      <w:bookmarkEnd w:id="49"/>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方正小标宋简体" w:cs="Times New Roman"/>
          <w:color w:val="auto"/>
          <w:sz w:val="44"/>
          <w:szCs w:val="44"/>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年国有资本经营预算拨款支出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keepNext w:val="0"/>
        <w:keepLines w:val="0"/>
        <w:pageBreakBefore w:val="0"/>
        <w:widowControl w:val="0"/>
        <w:kinsoku/>
        <w:wordWrap/>
        <w:overflowPunct/>
        <w:topLinePunct w:val="0"/>
        <w:bidi w:val="0"/>
        <w:spacing w:line="560" w:lineRule="exact"/>
        <w:ind w:firstLine="640" w:firstLineChars="200"/>
        <w:textAlignment w:val="auto"/>
        <w:outlineLvl w:val="1"/>
        <w:rPr>
          <w:rStyle w:val="27"/>
          <w:rFonts w:hint="default" w:ascii="Times New Roman" w:hAnsi="Times New Roman" w:eastAsia="黑体" w:cs="Times New Roman"/>
          <w:color w:val="auto"/>
        </w:rPr>
      </w:pPr>
      <w:bookmarkStart w:id="50" w:name="_Toc15396612"/>
      <w:bookmarkStart w:id="51" w:name="_Toc15377221"/>
      <w:r>
        <w:rPr>
          <w:rFonts w:hint="default" w:ascii="Times New Roman" w:hAnsi="Times New Roman" w:eastAsia="黑体" w:cs="Times New Roman"/>
          <w:color w:val="auto"/>
          <w:sz w:val="32"/>
          <w:szCs w:val="32"/>
        </w:rPr>
        <w:t>十</w:t>
      </w:r>
      <w:r>
        <w:rPr>
          <w:rStyle w:val="27"/>
          <w:rFonts w:hint="default" w:ascii="Times New Roman" w:hAnsi="Times New Roman" w:eastAsia="黑体" w:cs="Times New Roman"/>
          <w:color w:val="auto"/>
        </w:rPr>
        <w:t>、</w:t>
      </w:r>
      <w:r>
        <w:rPr>
          <w:rStyle w:val="27"/>
          <w:rFonts w:hint="default" w:ascii="Times New Roman" w:hAnsi="Times New Roman" w:eastAsia="黑体" w:cs="Times New Roman"/>
          <w:b w:val="0"/>
          <w:color w:val="auto"/>
        </w:rPr>
        <w:t>其他重要事项的情况说明</w:t>
      </w:r>
      <w:bookmarkEnd w:id="50"/>
      <w:bookmarkEnd w:id="51"/>
    </w:p>
    <w:p>
      <w:pPr>
        <w:keepNext w:val="0"/>
        <w:keepLines w:val="0"/>
        <w:pageBreakBefore w:val="0"/>
        <w:widowControl w:val="0"/>
        <w:kinsoku/>
        <w:wordWrap/>
        <w:overflowPunct/>
        <w:topLinePunct w:val="0"/>
        <w:bidi w:val="0"/>
        <w:spacing w:line="560" w:lineRule="exact"/>
        <w:ind w:firstLine="643" w:firstLineChars="200"/>
        <w:textAlignment w:val="auto"/>
        <w:outlineLvl w:val="2"/>
        <w:rPr>
          <w:rFonts w:hint="default" w:ascii="Times New Roman" w:hAnsi="Times New Roman" w:eastAsia="楷体_GB2312" w:cs="Times New Roman"/>
          <w:color w:val="auto"/>
          <w:sz w:val="32"/>
          <w:szCs w:val="32"/>
        </w:rPr>
      </w:pPr>
      <w:bookmarkStart w:id="52" w:name="_Toc15377222"/>
      <w:r>
        <w:rPr>
          <w:rFonts w:hint="default" w:ascii="Times New Roman" w:hAnsi="Times New Roman" w:eastAsia="楷体_GB2312" w:cs="Times New Roman"/>
          <w:b/>
          <w:color w:val="auto"/>
          <w:sz w:val="32"/>
          <w:szCs w:val="32"/>
        </w:rPr>
        <w:t>（一）机关运行经费支出情况</w:t>
      </w:r>
      <w:bookmarkEnd w:id="52"/>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壤塘县</w:t>
      </w:r>
      <w:r>
        <w:rPr>
          <w:rFonts w:hint="default" w:ascii="Times New Roman" w:hAnsi="Times New Roman" w:eastAsia="仿宋_GB2312" w:cs="Times New Roman"/>
          <w:color w:val="auto"/>
          <w:sz w:val="32"/>
          <w:szCs w:val="32"/>
          <w:lang w:val="en-US" w:eastAsia="zh-CN"/>
        </w:rPr>
        <w:t>劳动人事争议仲裁院</w:t>
      </w:r>
      <w:r>
        <w:rPr>
          <w:rFonts w:hint="default" w:ascii="Times New Roman" w:hAnsi="Times New Roman" w:eastAsia="仿宋_GB2312" w:cs="Times New Roman"/>
          <w:color w:val="auto"/>
          <w:sz w:val="32"/>
          <w:szCs w:val="32"/>
        </w:rPr>
        <w:t>机关运行经费支出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hint="default" w:ascii="Times New Roman" w:hAnsi="Times New Roman" w:eastAsia="楷体_GB2312" w:cs="Times New Roman"/>
          <w:b/>
          <w:color w:val="auto"/>
          <w:sz w:val="32"/>
          <w:szCs w:val="32"/>
        </w:rPr>
      </w:pPr>
      <w:bookmarkStart w:id="53" w:name="_Toc15377223"/>
      <w:r>
        <w:rPr>
          <w:rFonts w:hint="default" w:ascii="Times New Roman" w:hAnsi="Times New Roman" w:eastAsia="楷体_GB2312" w:cs="Times New Roman"/>
          <w:b/>
          <w:color w:val="auto"/>
          <w:sz w:val="32"/>
          <w:szCs w:val="32"/>
        </w:rPr>
        <w:t>（二）政府采购支出情况</w:t>
      </w:r>
      <w:bookmarkEnd w:id="53"/>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壤塘县</w:t>
      </w:r>
      <w:r>
        <w:rPr>
          <w:rFonts w:hint="default" w:ascii="Times New Roman" w:hAnsi="Times New Roman" w:eastAsia="仿宋_GB2312" w:cs="Times New Roman"/>
          <w:color w:val="auto"/>
          <w:sz w:val="32"/>
          <w:szCs w:val="32"/>
          <w:lang w:val="en-US" w:eastAsia="zh-CN"/>
        </w:rPr>
        <w:t>劳动人事争议仲裁院</w:t>
      </w:r>
      <w:r>
        <w:rPr>
          <w:rFonts w:hint="default" w:ascii="Times New Roman" w:hAnsi="Times New Roman" w:eastAsia="仿宋_GB2312" w:cs="Times New Roman"/>
          <w:color w:val="auto"/>
          <w:sz w:val="32"/>
          <w:szCs w:val="32"/>
        </w:rPr>
        <w:t>政府采购支出总额</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hint="default" w:ascii="Times New Roman" w:hAnsi="Times New Roman" w:eastAsia="楷体_GB2312" w:cs="Times New Roman"/>
          <w:b/>
          <w:color w:val="auto"/>
          <w:sz w:val="32"/>
          <w:szCs w:val="32"/>
        </w:rPr>
      </w:pPr>
      <w:bookmarkStart w:id="54" w:name="_Toc15377224"/>
      <w:r>
        <w:rPr>
          <w:rFonts w:hint="default" w:ascii="Times New Roman" w:hAnsi="Times New Roman" w:eastAsia="楷体_GB2312" w:cs="Times New Roman"/>
          <w:b/>
          <w:color w:val="auto"/>
          <w:sz w:val="32"/>
          <w:szCs w:val="32"/>
        </w:rPr>
        <w:t>（三）国有资产占有使用情况</w:t>
      </w:r>
      <w:bookmarkEnd w:id="54"/>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截至20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年12月31日，</w:t>
      </w:r>
      <w:r>
        <w:rPr>
          <w:rFonts w:hint="default" w:ascii="Times New Roman" w:hAnsi="Times New Roman" w:eastAsia="仿宋_GB2312" w:cs="Times New Roman"/>
          <w:color w:val="auto"/>
          <w:sz w:val="32"/>
          <w:szCs w:val="32"/>
          <w:lang w:eastAsia="zh-CN"/>
        </w:rPr>
        <w:t>壤塘县</w:t>
      </w:r>
      <w:r>
        <w:rPr>
          <w:rFonts w:hint="default" w:ascii="Times New Roman" w:hAnsi="Times New Roman" w:eastAsia="仿宋_GB2312" w:cs="Times New Roman"/>
          <w:color w:val="auto"/>
          <w:sz w:val="32"/>
          <w:szCs w:val="32"/>
          <w:lang w:val="en-US" w:eastAsia="zh-CN"/>
        </w:rPr>
        <w:t>劳动人事争议仲裁院</w:t>
      </w:r>
      <w:r>
        <w:rPr>
          <w:rFonts w:hint="default" w:ascii="Times New Roman" w:hAnsi="Times New Roman" w:eastAsia="仿宋_GB2312" w:cs="Times New Roman"/>
          <w:color w:val="auto"/>
          <w:sz w:val="32"/>
          <w:szCs w:val="32"/>
        </w:rPr>
        <w:t>共有车辆</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w:t>
      </w:r>
    </w:p>
    <w:p>
      <w:pPr>
        <w:pStyle w:val="10"/>
        <w:pageBreakBefore w:val="0"/>
        <w:kinsoku/>
        <w:wordWrap/>
        <w:overflowPunct/>
        <w:topLinePunct w:val="0"/>
        <w:bidi w:val="0"/>
        <w:spacing w:line="560" w:lineRule="exact"/>
        <w:textAlignment w:val="auto"/>
        <w:rPr>
          <w:rFonts w:hint="default" w:ascii="Times New Roman" w:hAnsi="Times New Roman" w:eastAsia="仿宋_GB2312" w:cs="Times New Roman"/>
          <w:color w:val="auto"/>
          <w:sz w:val="32"/>
          <w:szCs w:val="32"/>
        </w:rPr>
      </w:pPr>
    </w:p>
    <w:p>
      <w:pPr>
        <w:pageBreakBefore w:val="0"/>
        <w:numPr>
          <w:ilvl w:val="0"/>
          <w:numId w:val="3"/>
        </w:numPr>
        <w:kinsoku/>
        <w:wordWrap/>
        <w:overflowPunct/>
        <w:topLinePunct w:val="0"/>
        <w:bidi w:val="0"/>
        <w:spacing w:line="560" w:lineRule="exact"/>
        <w:ind w:firstLine="660" w:firstLineChars="150"/>
        <w:jc w:val="center"/>
        <w:textAlignment w:val="auto"/>
        <w:outlineLvl w:val="0"/>
        <w:rPr>
          <w:rFonts w:hint="default" w:ascii="Times New Roman" w:hAnsi="Times New Roman" w:eastAsia="方正小标宋简体" w:cs="Times New Roman"/>
          <w:b/>
          <w:color w:val="auto"/>
          <w:sz w:val="44"/>
          <w:szCs w:val="44"/>
        </w:rPr>
      </w:pPr>
      <w:bookmarkStart w:id="55" w:name="_Toc15377225"/>
      <w:bookmarkStart w:id="56" w:name="_Toc15396613"/>
      <w:r>
        <w:rPr>
          <w:rFonts w:hint="default" w:ascii="Times New Roman" w:hAnsi="Times New Roman" w:eastAsia="方正小标宋简体" w:cs="Times New Roman"/>
          <w:color w:val="auto"/>
          <w:sz w:val="44"/>
          <w:szCs w:val="44"/>
        </w:rPr>
        <w:t>名</w:t>
      </w:r>
      <w:r>
        <w:rPr>
          <w:rStyle w:val="26"/>
          <w:rFonts w:hint="default" w:ascii="Times New Roman" w:hAnsi="Times New Roman" w:eastAsia="方正小标宋简体" w:cs="Times New Roman"/>
          <w:b w:val="0"/>
          <w:color w:val="auto"/>
        </w:rPr>
        <w:t>词解释</w:t>
      </w:r>
      <w:bookmarkEnd w:id="55"/>
      <w:bookmarkEnd w:id="56"/>
    </w:p>
    <w:p>
      <w:pPr>
        <w:pStyle w:val="10"/>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color w:val="auto"/>
        </w:rPr>
      </w:pPr>
    </w:p>
    <w:p>
      <w:pPr>
        <w:pStyle w:val="24"/>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1.财政拨款收入：指单位从同级财政部门取得的财政预算资金。</w:t>
      </w:r>
    </w:p>
    <w:p>
      <w:pPr>
        <w:pStyle w:val="24"/>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2.其他收入：指单位取得的除上述收入以外的各项收入。主要是银行利息收入等。</w:t>
      </w:r>
    </w:p>
    <w:p>
      <w:pPr>
        <w:pStyle w:val="24"/>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3.年初结转和结余：指以前年度尚未完成、结转到本年按有关规定继续使用的资金。</w:t>
      </w:r>
    </w:p>
    <w:p>
      <w:pPr>
        <w:pStyle w:val="24"/>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4.年末结转和结余：指单位按有关规定结转到下年或以后年度继续使用的资金。</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.社会保障和就业（208类）：指用于社会保险和就业方面的支出。</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（1）机关事业单位基本养老保险208（类）05（款）05（项）: 指用于机构职工基本养老保险支出。</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（2）机关事业单位职业年金208（类）05（款）06（项）: 指用于机构职工职业年金支出。</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.医疗</w:t>
      </w:r>
      <w:r>
        <w:rPr>
          <w:rFonts w:hint="default" w:ascii="Times New Roman" w:hAnsi="Times New Roman" w:eastAsia="仿宋_GB2312" w:cs="Times New Roman"/>
          <w:color w:val="auto"/>
          <w:sz w:val="32"/>
          <w:szCs w:val="32"/>
          <w:lang w:val="en-US" w:eastAsia="zh-CN"/>
        </w:rPr>
        <w:t>健康支出</w:t>
      </w:r>
      <w:r>
        <w:rPr>
          <w:rFonts w:hint="default" w:ascii="Times New Roman" w:hAnsi="Times New Roman" w:eastAsia="仿宋_GB2312" w:cs="Times New Roman"/>
          <w:color w:val="auto"/>
          <w:sz w:val="32"/>
          <w:szCs w:val="32"/>
        </w:rPr>
        <w:t>（210类）（</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款）（0</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项）：指用于医疗卫生与计划生育方面的支出。</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.住房保障支出221（类）02（款）01（项）：用于住房保障方面的支出。</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4"/>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60" w:lineRule="exact"/>
        <w:jc w:val="center"/>
        <w:textAlignment w:val="auto"/>
        <w:outlineLvl w:val="0"/>
        <w:rPr>
          <w:rFonts w:hint="default" w:ascii="Times New Roman" w:hAnsi="Times New Roman" w:eastAsia="仿宋_GB2312" w:cs="Times New Roman"/>
          <w:color w:val="auto"/>
          <w:sz w:val="32"/>
          <w:szCs w:val="32"/>
        </w:rPr>
      </w:pPr>
      <w:bookmarkStart w:id="57" w:name="_Toc15396614"/>
      <w:bookmarkStart w:id="58" w:name="_Toc15377226"/>
    </w:p>
    <w:p>
      <w:pPr>
        <w:pageBreakBefore w:val="0"/>
        <w:kinsoku/>
        <w:wordWrap/>
        <w:overflowPunct/>
        <w:topLinePunct w:val="0"/>
        <w:bidi w:val="0"/>
        <w:spacing w:line="560" w:lineRule="exact"/>
        <w:jc w:val="both"/>
        <w:textAlignment w:val="auto"/>
        <w:outlineLvl w:val="0"/>
        <w:rPr>
          <w:rFonts w:hint="default" w:ascii="Times New Roman" w:hAnsi="Times New Roman" w:eastAsia="黑体" w:cs="Times New Roman"/>
          <w:color w:val="auto"/>
          <w:sz w:val="44"/>
          <w:szCs w:val="44"/>
        </w:rPr>
      </w:pPr>
    </w:p>
    <w:p>
      <w:pPr>
        <w:pageBreakBefore w:val="0"/>
        <w:kinsoku/>
        <w:wordWrap/>
        <w:overflowPunct/>
        <w:topLinePunct w:val="0"/>
        <w:bidi w:val="0"/>
        <w:spacing w:line="560" w:lineRule="exact"/>
        <w:ind w:firstLine="4840" w:firstLineChars="1100"/>
        <w:jc w:val="both"/>
        <w:textAlignment w:val="auto"/>
        <w:outlineLvl w:val="0"/>
        <w:rPr>
          <w:rFonts w:hint="default" w:ascii="Times New Roman" w:hAnsi="Times New Roman" w:eastAsia="方正小标宋简体" w:cs="Times New Roman"/>
          <w:color w:val="auto"/>
          <w:sz w:val="44"/>
          <w:szCs w:val="44"/>
        </w:rPr>
      </w:pPr>
    </w:p>
    <w:p>
      <w:pPr>
        <w:pageBreakBefore w:val="0"/>
        <w:kinsoku/>
        <w:wordWrap/>
        <w:overflowPunct/>
        <w:topLinePunct w:val="0"/>
        <w:bidi w:val="0"/>
        <w:spacing w:line="560" w:lineRule="exact"/>
        <w:ind w:firstLine="4840" w:firstLineChars="1100"/>
        <w:jc w:val="both"/>
        <w:textAlignment w:val="auto"/>
        <w:outlineLvl w:val="0"/>
        <w:rPr>
          <w:rFonts w:hint="default" w:ascii="Times New Roman" w:hAnsi="Times New Roman" w:eastAsia="方正小标宋简体" w:cs="Times New Roman"/>
          <w:color w:val="auto"/>
          <w:sz w:val="44"/>
          <w:szCs w:val="44"/>
        </w:rPr>
      </w:pPr>
    </w:p>
    <w:p>
      <w:pPr>
        <w:pageBreakBefore w:val="0"/>
        <w:kinsoku/>
        <w:wordWrap/>
        <w:overflowPunct/>
        <w:topLinePunct w:val="0"/>
        <w:bidi w:val="0"/>
        <w:spacing w:line="560" w:lineRule="exact"/>
        <w:ind w:firstLine="4840" w:firstLineChars="1100"/>
        <w:jc w:val="both"/>
        <w:textAlignment w:val="auto"/>
        <w:outlineLvl w:val="0"/>
        <w:rPr>
          <w:rFonts w:hint="default" w:ascii="Times New Roman" w:hAnsi="Times New Roman" w:eastAsia="方正小标宋简体" w:cs="Times New Roman"/>
          <w:color w:val="auto"/>
          <w:sz w:val="44"/>
          <w:szCs w:val="44"/>
        </w:rPr>
      </w:pPr>
    </w:p>
    <w:p>
      <w:pPr>
        <w:pageBreakBefore w:val="0"/>
        <w:kinsoku/>
        <w:wordWrap/>
        <w:overflowPunct/>
        <w:topLinePunct w:val="0"/>
        <w:bidi w:val="0"/>
        <w:spacing w:line="560" w:lineRule="exact"/>
        <w:ind w:firstLine="4840" w:firstLineChars="1100"/>
        <w:jc w:val="both"/>
        <w:textAlignment w:val="auto"/>
        <w:outlineLvl w:val="0"/>
        <w:rPr>
          <w:rFonts w:hint="default" w:ascii="Times New Roman" w:hAnsi="Times New Roman" w:eastAsia="方正小标宋简体" w:cs="Times New Roman"/>
          <w:color w:val="auto"/>
          <w:sz w:val="44"/>
          <w:szCs w:val="44"/>
        </w:rPr>
      </w:pPr>
    </w:p>
    <w:p>
      <w:pPr>
        <w:pageBreakBefore w:val="0"/>
        <w:kinsoku/>
        <w:wordWrap/>
        <w:overflowPunct/>
        <w:topLinePunct w:val="0"/>
        <w:bidi w:val="0"/>
        <w:spacing w:line="560" w:lineRule="exact"/>
        <w:ind w:firstLine="3520" w:firstLineChars="800"/>
        <w:jc w:val="both"/>
        <w:textAlignment w:val="auto"/>
        <w:outlineLvl w:val="0"/>
        <w:rPr>
          <w:rFonts w:hint="default" w:ascii="Times New Roman" w:hAnsi="Times New Roman" w:eastAsia="方正小标宋简体" w:cs="Times New Roman"/>
          <w:color w:val="auto"/>
          <w:sz w:val="44"/>
          <w:szCs w:val="44"/>
        </w:rPr>
      </w:pPr>
    </w:p>
    <w:p>
      <w:pPr>
        <w:pageBreakBefore w:val="0"/>
        <w:kinsoku/>
        <w:wordWrap/>
        <w:overflowPunct/>
        <w:topLinePunct w:val="0"/>
        <w:bidi w:val="0"/>
        <w:spacing w:line="560" w:lineRule="exact"/>
        <w:ind w:firstLine="3520" w:firstLineChars="800"/>
        <w:jc w:val="both"/>
        <w:textAlignment w:val="auto"/>
        <w:outlineLvl w:val="0"/>
        <w:rPr>
          <w:rStyle w:val="26"/>
          <w:rFonts w:hint="default" w:ascii="Times New Roman" w:hAnsi="Times New Roman" w:eastAsia="方正小标宋简体" w:cs="Times New Roman"/>
          <w:b w:val="0"/>
          <w:color w:val="auto"/>
        </w:rPr>
      </w:pPr>
      <w:r>
        <w:rPr>
          <w:rFonts w:hint="default" w:ascii="Times New Roman" w:hAnsi="Times New Roman" w:eastAsia="方正小标宋简体" w:cs="Times New Roman"/>
          <w:color w:val="auto"/>
          <w:sz w:val="44"/>
          <w:szCs w:val="44"/>
        </w:rPr>
        <w:t>第</w:t>
      </w:r>
      <w:r>
        <w:rPr>
          <w:rStyle w:val="26"/>
          <w:rFonts w:hint="default" w:ascii="Times New Roman" w:hAnsi="Times New Roman" w:eastAsia="方正小标宋简体" w:cs="Times New Roman"/>
          <w:b w:val="0"/>
          <w:color w:val="auto"/>
        </w:rPr>
        <w:t>四部分 附件</w:t>
      </w:r>
      <w:bookmarkEnd w:id="57"/>
    </w:p>
    <w:p>
      <w:pPr>
        <w:pageBreakBefore w:val="0"/>
        <w:kinsoku/>
        <w:wordWrap/>
        <w:overflowPunct/>
        <w:topLinePunct w:val="0"/>
        <w:bidi w:val="0"/>
        <w:spacing w:line="560" w:lineRule="exact"/>
        <w:jc w:val="both"/>
        <w:textAlignment w:val="auto"/>
        <w:outlineLvl w:val="0"/>
        <w:rPr>
          <w:rFonts w:hint="default" w:ascii="Times New Roman" w:hAnsi="Times New Roman" w:eastAsia="方正小标宋简体" w:cs="Times New Roman"/>
          <w:color w:val="auto"/>
          <w:sz w:val="32"/>
          <w:szCs w:val="32"/>
        </w:rPr>
      </w:pPr>
      <w:r>
        <w:rPr>
          <w:rFonts w:hint="default" w:ascii="Times New Roman" w:hAnsi="Times New Roman" w:eastAsia="黑体" w:cs="Times New Roman"/>
          <w:color w:val="auto"/>
          <w:sz w:val="32"/>
          <w:szCs w:val="32"/>
        </w:rPr>
        <w:t>附件1</w:t>
      </w:r>
    </w:p>
    <w:p>
      <w:pPr>
        <w:pageBreakBefore w:val="0"/>
        <w:kinsoku/>
        <w:wordWrap/>
        <w:overflowPunct/>
        <w:topLinePunct w:val="0"/>
        <w:bidi w:val="0"/>
        <w:spacing w:line="560" w:lineRule="exact"/>
        <w:jc w:val="both"/>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lang w:eastAsia="zh-CN"/>
        </w:rPr>
        <w:t>壤塘县</w:t>
      </w:r>
      <w:r>
        <w:rPr>
          <w:rFonts w:hint="default" w:ascii="Times New Roman" w:hAnsi="Times New Roman" w:eastAsia="方正小标宋简体" w:cs="Times New Roman"/>
          <w:color w:val="auto"/>
          <w:kern w:val="0"/>
          <w:sz w:val="44"/>
          <w:szCs w:val="44"/>
          <w:lang w:val="en-US" w:eastAsia="zh-CN"/>
        </w:rPr>
        <w:t>劳动人事争议仲裁院202</w:t>
      </w:r>
      <w:r>
        <w:rPr>
          <w:rFonts w:hint="eastAsia" w:eastAsia="方正小标宋简体" w:cs="Times New Roman"/>
          <w:color w:val="auto"/>
          <w:kern w:val="0"/>
          <w:sz w:val="44"/>
          <w:szCs w:val="44"/>
          <w:lang w:val="en-US" w:eastAsia="zh-CN"/>
        </w:rPr>
        <w:t>4</w:t>
      </w:r>
      <w:r>
        <w:rPr>
          <w:rFonts w:hint="default" w:ascii="Times New Roman" w:hAnsi="Times New Roman" w:eastAsia="方正小标宋简体" w:cs="Times New Roman"/>
          <w:color w:val="auto"/>
          <w:kern w:val="0"/>
          <w:sz w:val="44"/>
          <w:szCs w:val="44"/>
        </w:rPr>
        <w:t>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lang w:val="zh-CN"/>
        </w:rPr>
      </w:pPr>
      <w:r>
        <w:rPr>
          <w:rFonts w:hint="default" w:ascii="Times New Roman" w:hAnsi="Times New Roman" w:eastAsia="方正小标宋简体" w:cs="Times New Roman"/>
          <w:color w:val="auto"/>
          <w:kern w:val="0"/>
          <w:sz w:val="44"/>
          <w:szCs w:val="44"/>
        </w:rPr>
        <w:t>部门</w:t>
      </w:r>
      <w:r>
        <w:rPr>
          <w:rFonts w:hint="default" w:ascii="Times New Roman" w:hAnsi="Times New Roman" w:eastAsia="方正小标宋简体" w:cs="Times New Roman"/>
          <w:color w:val="auto"/>
          <w:kern w:val="0"/>
          <w:sz w:val="44"/>
          <w:szCs w:val="44"/>
          <w:lang w:val="zh-CN"/>
        </w:rPr>
        <w:t>整体支出绩效评价报告</w:t>
      </w:r>
    </w:p>
    <w:p>
      <w:pPr>
        <w:pStyle w:val="10"/>
        <w:jc w:val="both"/>
        <w:rPr>
          <w:rFonts w:hint="default" w:ascii="Times New Roman" w:hAnsi="Times New Roman" w:cs="Times New Roman"/>
        </w:rPr>
      </w:pP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auto"/>
          <w:kern w:val="0"/>
          <w:sz w:val="32"/>
          <w:szCs w:val="32"/>
          <w:shd w:val="clear" w:color="auto" w:fill="FFFFFF"/>
          <w:lang w:val="zh-CN"/>
        </w:rPr>
      </w:pPr>
      <w:r>
        <w:rPr>
          <w:rFonts w:hint="default" w:ascii="Times New Roman" w:hAnsi="Times New Roman" w:eastAsia="黑体" w:cs="Times New Roman"/>
          <w:color w:val="auto"/>
          <w:kern w:val="0"/>
          <w:sz w:val="32"/>
          <w:szCs w:val="32"/>
          <w:shd w:val="clear" w:color="auto" w:fill="FFFFFF"/>
        </w:rPr>
        <w:t>一、</w:t>
      </w:r>
      <w:r>
        <w:rPr>
          <w:rFonts w:hint="default" w:ascii="Times New Roman" w:hAnsi="Times New Roman" w:eastAsia="黑体" w:cs="Times New Roman"/>
          <w:color w:val="auto"/>
          <w:kern w:val="0"/>
          <w:sz w:val="32"/>
          <w:szCs w:val="32"/>
          <w:shd w:val="clear" w:color="auto" w:fill="FFFFFF"/>
          <w:lang w:val="zh-CN"/>
        </w:rPr>
        <w:t>部门概况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一</w:t>
      </w:r>
      <w:r>
        <w:rPr>
          <w:rFonts w:hint="default" w:ascii="Times New Roman" w:hAnsi="Times New Roman" w:eastAsia="仿宋_GB2312" w:cs="Times New Roman"/>
          <w:color w:val="auto"/>
          <w:sz w:val="32"/>
          <w:szCs w:val="32"/>
        </w:rPr>
        <w:t>统筹拟订劳动人事争议调解仲裁制度和劳动关系政策,完善劳动关系协商协调机制；</w:t>
      </w:r>
      <w:r>
        <w:rPr>
          <w:rFonts w:hint="default"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color w:val="auto"/>
          <w:sz w:val="32"/>
          <w:szCs w:val="32"/>
        </w:rPr>
        <w:t>贯彻职工工作时间、休息休假和假期制度,落实消除非法使用童工政策和女工、未成年工特殊劳动保护政策；</w:t>
      </w: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color w:val="auto"/>
          <w:sz w:val="32"/>
          <w:szCs w:val="32"/>
        </w:rPr>
        <w:t>依法督促用人单位在劳动关系用工、合同签订与履约时,载明劳动保护、劳动条件和职业危害防护等条款；</w:t>
      </w:r>
      <w:r>
        <w:rPr>
          <w:rFonts w:hint="default" w:ascii="Times New Roman" w:hAnsi="Times New Roman" w:eastAsia="仿宋_GB2312" w:cs="Times New Roman"/>
          <w:b/>
          <w:bCs/>
          <w:color w:val="auto"/>
          <w:sz w:val="32"/>
          <w:szCs w:val="32"/>
          <w:lang w:val="en-US" w:eastAsia="zh-CN"/>
        </w:rPr>
        <w:t>四</w:t>
      </w:r>
      <w:r>
        <w:rPr>
          <w:rFonts w:hint="default" w:ascii="Times New Roman" w:hAnsi="Times New Roman" w:eastAsia="仿宋_GB2312" w:cs="Times New Roman"/>
          <w:color w:val="auto"/>
          <w:sz w:val="32"/>
          <w:szCs w:val="32"/>
        </w:rPr>
        <w:t>组织实施劳动保障监察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协调劳动者维权工作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依法查处重大案件；</w:t>
      </w:r>
      <w:r>
        <w:rPr>
          <w:rFonts w:hint="default"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color w:val="auto"/>
          <w:sz w:val="32"/>
          <w:szCs w:val="32"/>
        </w:rPr>
        <w:t>培训就业与劳动监察股。拟定城乡就业、职业技能培训、人力资源市场发展的规划和管理办法并组织实施。拟定国有企业下岗职工分流安置、基本生活保障和再就业的规划和政策,组织实施再就业工作。拟定全县就业经费的管理规则和就业服务事业发展体系建设规划。拟定再就业服务中心和职业介绍机构管理办法并组织实施。审核、颁发《职业介绍机构许可证》、《就业许可证》和《就业证》并进行年检和监督检查。拟定在县机构从事人力资源招聘中介、咨询、培训业务的资格管理办法。实施职业分类、职业技能国家标准和行业标准的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建立职业资格证书制度。搞好企业在职职工技能培训和失业人员、企业下岗职工再就业培训的规划；</w:t>
      </w:r>
      <w:r>
        <w:rPr>
          <w:rFonts w:hint="default" w:ascii="Times New Roman" w:hAnsi="Times New Roman" w:eastAsia="仿宋_GB2312" w:cs="Times New Roman"/>
          <w:b/>
          <w:bCs/>
          <w:color w:val="auto"/>
          <w:sz w:val="32"/>
          <w:szCs w:val="32"/>
        </w:rPr>
        <w:t>六</w:t>
      </w:r>
      <w:r>
        <w:rPr>
          <w:rFonts w:hint="default" w:ascii="Times New Roman" w:hAnsi="Times New Roman" w:eastAsia="仿宋_GB2312" w:cs="Times New Roman"/>
          <w:color w:val="auto"/>
          <w:sz w:val="32"/>
          <w:szCs w:val="32"/>
        </w:rPr>
        <w:t>负责全县工伤认定工作。拟定劳动监察的地方性法规和规章并组织实施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依法行使国家劳动监察检查权。拟定社会保障监督检査工作规范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并组织实施和监督检査。依法查处违反社会保障法律法规行为。制定社会保障政策服务咨询机构管理办法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负责政策法规的宣传教育和贯彻落实。承办局机关法律事务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处理人力资源和社会保障行政复议、行政诉讼案件负责普法工作及人力资源和社会保障法律咨询工作。办理全县范围内职工劳动合同鉴定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受理和处理有关劳动合同、集体合同争议案件。承办县人力资源和社会保障仲裁委员会日常工作。负责处理社会保障方面的群体性突发事件</w:t>
      </w:r>
      <w:r>
        <w:rPr>
          <w:rFonts w:hint="default" w:ascii="Times New Roman" w:hAnsi="Times New Roman" w:eastAsia="仿宋_GB2312" w:cs="Times New Roman"/>
          <w:color w:val="auto"/>
          <w:sz w:val="32"/>
          <w:szCs w:val="32"/>
          <w:lang w:eastAsia="zh-CN"/>
        </w:rPr>
        <w:t>。</w:t>
      </w:r>
    </w:p>
    <w:p>
      <w:pPr>
        <w:pageBreakBefore w:val="0"/>
        <w:numPr>
          <w:ilvl w:val="0"/>
          <w:numId w:val="4"/>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机构职能</w:t>
      </w: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lang w:val="en-US" w:eastAsia="zh-CN"/>
        </w:rPr>
        <w:t>壤塘县</w:t>
      </w:r>
      <w:r>
        <w:rPr>
          <w:rFonts w:hint="default" w:ascii="Times New Roman" w:hAnsi="Times New Roman" w:eastAsia="仿宋_GB2312" w:cs="Times New Roman"/>
          <w:color w:val="auto"/>
          <w:sz w:val="32"/>
          <w:szCs w:val="32"/>
        </w:rPr>
        <w:t>劳动人事争议仲裁</w:t>
      </w:r>
      <w:r>
        <w:rPr>
          <w:rFonts w:hint="default" w:ascii="Times New Roman" w:hAnsi="Times New Roman" w:eastAsia="仿宋_GB2312" w:cs="Times New Roman"/>
          <w:color w:val="auto"/>
          <w:sz w:val="32"/>
          <w:szCs w:val="32"/>
          <w:lang w:val="en-US" w:eastAsia="zh-CN"/>
        </w:rPr>
        <w:t>院</w:t>
      </w:r>
      <w:r>
        <w:rPr>
          <w:rFonts w:hint="default" w:ascii="Times New Roman" w:hAnsi="Times New Roman" w:eastAsia="仿宋_GB2312" w:cs="Times New Roman"/>
          <w:color w:val="auto"/>
          <w:sz w:val="32"/>
          <w:szCs w:val="32"/>
        </w:rPr>
        <w:t>属人社局二级股室，</w:t>
      </w:r>
      <w:r>
        <w:rPr>
          <w:rFonts w:hint="default" w:ascii="Times New Roman" w:hAnsi="Times New Roman" w:eastAsia="仿宋_GB2312" w:cs="Times New Roman"/>
          <w:color w:val="auto"/>
          <w:sz w:val="32"/>
          <w:szCs w:val="32"/>
          <w:lang w:val="en-US" w:eastAsia="zh-CN"/>
        </w:rPr>
        <w:t>单位性质为</w:t>
      </w:r>
      <w:r>
        <w:rPr>
          <w:rFonts w:hint="default" w:ascii="Times New Roman" w:hAnsi="Times New Roman" w:eastAsia="仿宋_GB2312" w:cs="Times New Roman"/>
          <w:color w:val="auto"/>
          <w:sz w:val="32"/>
          <w:szCs w:val="32"/>
        </w:rPr>
        <w:t>事业单位。</w:t>
      </w:r>
    </w:p>
    <w:p>
      <w:pPr>
        <w:pageBreakBefore w:val="0"/>
        <w:numPr>
          <w:ilvl w:val="0"/>
          <w:numId w:val="0"/>
        </w:numPr>
        <w:kinsoku/>
        <w:wordWrap/>
        <w:overflowPunct/>
        <w:topLinePunct w:val="0"/>
        <w:autoSpaceDE/>
        <w:autoSpaceDN/>
        <w:bidi w:val="0"/>
        <w:spacing w:line="560" w:lineRule="exact"/>
        <w:ind w:leftChars="200" w:firstLine="321" w:firstLineChars="100"/>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三</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人员概况</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eastAsia="仿宋_GB2312" w:cs="Times New Roman"/>
          <w:color w:val="auto"/>
          <w:kern w:val="0"/>
          <w:sz w:val="32"/>
          <w:szCs w:val="32"/>
          <w:lang w:val="en-US" w:eastAsia="zh-CN"/>
        </w:rPr>
        <w:t>在编人数11</w:t>
      </w:r>
      <w:r>
        <w:rPr>
          <w:rFonts w:hint="default" w:ascii="Times New Roman" w:hAnsi="Times New Roman" w:eastAsia="仿宋_GB2312" w:cs="Times New Roman"/>
          <w:color w:val="auto"/>
          <w:kern w:val="0"/>
          <w:sz w:val="32"/>
          <w:szCs w:val="32"/>
        </w:rPr>
        <w:t>名</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其中</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事业编制</w:t>
      </w:r>
      <w:r>
        <w:rPr>
          <w:rFonts w:hint="eastAsia" w:eastAsia="仿宋_GB2312" w:cs="Times New Roman"/>
          <w:color w:val="auto"/>
          <w:kern w:val="0"/>
          <w:sz w:val="32"/>
          <w:szCs w:val="32"/>
          <w:lang w:val="en-US" w:eastAsia="zh-CN"/>
        </w:rPr>
        <w:t>11</w:t>
      </w:r>
      <w:r>
        <w:rPr>
          <w:rFonts w:hint="default" w:ascii="Times New Roman" w:hAnsi="Times New Roman" w:eastAsia="仿宋_GB2312" w:cs="Times New Roman"/>
          <w:color w:val="auto"/>
          <w:kern w:val="0"/>
          <w:sz w:val="32"/>
          <w:szCs w:val="32"/>
          <w:lang w:val="en-US" w:eastAsia="zh-CN"/>
        </w:rPr>
        <w:t>人</w:t>
      </w:r>
      <w:r>
        <w:rPr>
          <w:rFonts w:hint="default" w:ascii="Times New Roman" w:hAnsi="Times New Roman" w:eastAsia="仿宋_GB2312" w:cs="Times New Roman"/>
          <w:color w:val="auto"/>
          <w:kern w:val="0"/>
          <w:sz w:val="32"/>
          <w:szCs w:val="32"/>
        </w:rPr>
        <w:t>。</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auto"/>
          <w:kern w:val="0"/>
          <w:sz w:val="32"/>
          <w:szCs w:val="32"/>
          <w:shd w:val="clear" w:color="auto" w:fill="FFFFFF"/>
        </w:rPr>
      </w:pPr>
      <w:r>
        <w:rPr>
          <w:rFonts w:hint="default" w:ascii="Times New Roman" w:hAnsi="Times New Roman" w:eastAsia="黑体" w:cs="Times New Roman"/>
          <w:color w:val="auto"/>
          <w:kern w:val="0"/>
          <w:sz w:val="32"/>
          <w:szCs w:val="32"/>
          <w:shd w:val="clear" w:color="auto" w:fill="FFFFFF"/>
        </w:rPr>
        <w:t>二、部门财政资金收支情况</w:t>
      </w:r>
    </w:p>
    <w:p>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bCs/>
          <w:color w:val="auto"/>
          <w:kern w:val="0"/>
          <w:sz w:val="32"/>
          <w:szCs w:val="32"/>
          <w:shd w:val="clear" w:color="auto" w:fill="FFFFFF"/>
          <w:lang w:val="zh-CN"/>
        </w:rPr>
        <w:t>（一）部门财政资金收入情况</w:t>
      </w:r>
    </w:p>
    <w:p>
      <w:pPr>
        <w:pageBreakBefore w:val="0"/>
        <w:kinsoku/>
        <w:wordWrap/>
        <w:overflowPunct/>
        <w:topLinePunct w:val="0"/>
        <w:autoSpaceDE/>
        <w:autoSpaceDN/>
        <w:bidi w:val="0"/>
        <w:spacing w:line="560" w:lineRule="exact"/>
        <w:ind w:firstLine="640" w:firstLineChars="200"/>
        <w:textAlignment w:val="auto"/>
        <w:outlineLvl w:val="1"/>
        <w:rPr>
          <w:rFonts w:hint="default" w:ascii="Times New Roman" w:hAnsi="Times New Roman" w:eastAsia="仿宋_GB2312" w:cs="Times New Roman"/>
          <w:color w:val="auto"/>
          <w:kern w:val="0"/>
          <w:sz w:val="32"/>
          <w:szCs w:val="32"/>
          <w:shd w:val="clear" w:color="auto" w:fill="FFFFFF"/>
          <w:lang w:val="zh-CN"/>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kern w:val="0"/>
          <w:sz w:val="32"/>
          <w:szCs w:val="32"/>
          <w:shd w:val="clear" w:color="auto" w:fill="FFFFFF"/>
          <w:lang w:val="zh-CN"/>
        </w:rPr>
        <w:t>部门财政资金收入</w:t>
      </w:r>
      <w:r>
        <w:rPr>
          <w:rFonts w:hint="default" w:ascii="Times New Roman" w:hAnsi="Times New Roman" w:eastAsia="仿宋_GB2312" w:cs="Times New Roman"/>
          <w:color w:val="auto"/>
          <w:sz w:val="32"/>
          <w:szCs w:val="32"/>
        </w:rPr>
        <w:t>合计</w:t>
      </w:r>
      <w:r>
        <w:rPr>
          <w:rFonts w:hint="eastAsia" w:eastAsia="仿宋_GB2312" w:cs="Times New Roman"/>
          <w:color w:val="auto"/>
          <w:sz w:val="32"/>
          <w:szCs w:val="32"/>
          <w:lang w:val="en-US" w:eastAsia="zh-CN"/>
        </w:rPr>
        <w:t>238.55</w:t>
      </w:r>
      <w:r>
        <w:rPr>
          <w:rFonts w:hint="default" w:ascii="Times New Roman" w:hAnsi="Times New Roman" w:eastAsia="仿宋_GB2312" w:cs="Times New Roman"/>
          <w:color w:val="auto"/>
          <w:sz w:val="32"/>
          <w:szCs w:val="32"/>
        </w:rPr>
        <w:t>万元，其中：一般公共预算财政拨款收入</w:t>
      </w:r>
      <w:r>
        <w:rPr>
          <w:rFonts w:hint="eastAsia" w:eastAsia="仿宋_GB2312" w:cs="Times New Roman"/>
          <w:color w:val="auto"/>
          <w:sz w:val="32"/>
          <w:szCs w:val="32"/>
          <w:lang w:val="en-US" w:eastAsia="zh-CN"/>
        </w:rPr>
        <w:t>238.55</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sz w:val="32"/>
          <w:szCs w:val="32"/>
          <w:lang w:val="zh-CN"/>
        </w:rPr>
      </w:pPr>
      <w:r>
        <w:rPr>
          <w:rFonts w:hint="default" w:ascii="Times New Roman" w:hAnsi="Times New Roman" w:eastAsia="楷体_GB2312" w:cs="Times New Roman"/>
          <w:b/>
          <w:bCs/>
          <w:color w:val="auto"/>
          <w:kern w:val="0"/>
          <w:sz w:val="32"/>
          <w:szCs w:val="32"/>
          <w:shd w:val="clear" w:color="auto" w:fill="FFFFFF"/>
          <w:lang w:val="zh-CN"/>
        </w:rPr>
        <w:t>部门财政资金支出情况</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cs="Times New Roman"/>
          <w:color w:val="auto"/>
          <w:lang w:val="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zh-CN"/>
        </w:rPr>
        <w:t>年</w:t>
      </w:r>
      <w:r>
        <w:rPr>
          <w:rFonts w:hint="default" w:ascii="Times New Roman" w:hAnsi="Times New Roman" w:eastAsia="仿宋_GB2312" w:cs="Times New Roman"/>
          <w:color w:val="auto"/>
          <w:kern w:val="0"/>
          <w:sz w:val="32"/>
          <w:szCs w:val="32"/>
          <w:shd w:val="clear" w:color="auto" w:fill="FFFFFF"/>
          <w:lang w:val="zh-CN"/>
        </w:rPr>
        <w:t>部门财政资金支出</w:t>
      </w:r>
      <w:r>
        <w:rPr>
          <w:rFonts w:hint="default" w:ascii="Times New Roman" w:hAnsi="Times New Roman" w:eastAsia="仿宋_GB2312" w:cs="Times New Roman"/>
          <w:color w:val="auto"/>
          <w:sz w:val="32"/>
          <w:szCs w:val="32"/>
          <w:lang w:val="zh-CN"/>
        </w:rPr>
        <w:t>合计</w:t>
      </w:r>
      <w:r>
        <w:rPr>
          <w:rFonts w:hint="eastAsia" w:ascii="Times New Roman" w:hAnsi="Times New Roman" w:eastAsia="仿宋_GB2312" w:cs="Times New Roman"/>
          <w:color w:val="auto"/>
          <w:sz w:val="32"/>
          <w:szCs w:val="32"/>
          <w:lang w:val="en-US" w:eastAsia="zh-CN"/>
        </w:rPr>
        <w:t>238.55</w:t>
      </w:r>
      <w:r>
        <w:rPr>
          <w:rFonts w:hint="default" w:ascii="Times New Roman" w:hAnsi="Times New Roman" w:eastAsia="仿宋_GB2312" w:cs="Times New Roman"/>
          <w:color w:val="auto"/>
          <w:sz w:val="32"/>
          <w:szCs w:val="32"/>
          <w:lang w:val="zh-CN"/>
        </w:rPr>
        <w:t>万元，其中：基本支出</w:t>
      </w:r>
      <w:r>
        <w:rPr>
          <w:rFonts w:hint="eastAsia" w:ascii="Times New Roman" w:hAnsi="Times New Roman" w:eastAsia="仿宋_GB2312" w:cs="Times New Roman"/>
          <w:color w:val="auto"/>
          <w:sz w:val="32"/>
          <w:szCs w:val="32"/>
          <w:lang w:val="en-US" w:eastAsia="zh-CN"/>
        </w:rPr>
        <w:t>238.55</w:t>
      </w:r>
      <w:r>
        <w:rPr>
          <w:rFonts w:hint="default" w:ascii="Times New Roman" w:hAnsi="Times New Roman" w:eastAsia="仿宋_GB2312" w:cs="Times New Roman"/>
          <w:color w:val="auto"/>
          <w:sz w:val="32"/>
          <w:szCs w:val="32"/>
          <w:lang w:val="zh-CN"/>
        </w:rPr>
        <w:t>万元，占</w:t>
      </w:r>
      <w:r>
        <w:rPr>
          <w:rFonts w:hint="default" w:ascii="Times New Roman" w:hAnsi="Times New Roman" w:eastAsia="仿宋_GB2312" w:cs="Times New Roman"/>
          <w:color w:val="auto"/>
          <w:sz w:val="32"/>
          <w:szCs w:val="32"/>
          <w:lang w:val="zh-CN" w:eastAsia="zh-CN"/>
        </w:rPr>
        <w:t>100</w:t>
      </w:r>
      <w:r>
        <w:rPr>
          <w:rFonts w:hint="default" w:ascii="Times New Roman" w:hAnsi="Times New Roman" w:eastAsia="仿宋_GB2312" w:cs="Times New Roman"/>
          <w:color w:val="auto"/>
          <w:sz w:val="32"/>
          <w:szCs w:val="32"/>
          <w:lang w:val="zh-CN"/>
        </w:rPr>
        <w:t>%；项目支出</w:t>
      </w:r>
      <w:r>
        <w:rPr>
          <w:rFonts w:hint="default" w:ascii="Times New Roman" w:hAnsi="Times New Roman" w:eastAsia="仿宋_GB2312" w:cs="Times New Roman"/>
          <w:color w:val="auto"/>
          <w:sz w:val="32"/>
          <w:szCs w:val="32"/>
          <w:lang w:val="zh-CN" w:eastAsia="zh-CN"/>
        </w:rPr>
        <w:t>0</w:t>
      </w:r>
      <w:r>
        <w:rPr>
          <w:rFonts w:hint="default" w:ascii="Times New Roman" w:hAnsi="Times New Roman" w:eastAsia="仿宋_GB2312" w:cs="Times New Roman"/>
          <w:color w:val="auto"/>
          <w:sz w:val="32"/>
          <w:szCs w:val="32"/>
          <w:lang w:val="zh-CN"/>
        </w:rPr>
        <w:t>万元，占</w:t>
      </w:r>
      <w:r>
        <w:rPr>
          <w:rFonts w:hint="default" w:ascii="Times New Roman" w:hAnsi="Times New Roman" w:eastAsia="仿宋_GB2312" w:cs="Times New Roman"/>
          <w:color w:val="auto"/>
          <w:sz w:val="32"/>
          <w:szCs w:val="32"/>
          <w:lang w:val="zh-CN" w:eastAsia="zh-CN"/>
        </w:rPr>
        <w:t>0</w:t>
      </w:r>
      <w:r>
        <w:rPr>
          <w:rFonts w:hint="default" w:ascii="Times New Roman" w:hAnsi="Times New Roman" w:eastAsia="仿宋_GB2312" w:cs="Times New Roman"/>
          <w:color w:val="auto"/>
          <w:sz w:val="32"/>
          <w:szCs w:val="32"/>
          <w:lang w:val="zh-CN"/>
        </w:rPr>
        <w:t>%；上缴上级支出</w:t>
      </w:r>
      <w:r>
        <w:rPr>
          <w:rFonts w:hint="default" w:ascii="Times New Roman" w:hAnsi="Times New Roman" w:eastAsia="仿宋_GB2312" w:cs="Times New Roman"/>
          <w:color w:val="auto"/>
          <w:sz w:val="32"/>
          <w:szCs w:val="32"/>
          <w:lang w:val="zh-CN" w:eastAsia="zh-CN"/>
        </w:rPr>
        <w:t>0</w:t>
      </w:r>
      <w:r>
        <w:rPr>
          <w:rFonts w:hint="default" w:ascii="Times New Roman" w:hAnsi="Times New Roman" w:eastAsia="仿宋_GB2312" w:cs="Times New Roman"/>
          <w:color w:val="auto"/>
          <w:sz w:val="32"/>
          <w:szCs w:val="32"/>
          <w:lang w:val="zh-CN"/>
        </w:rPr>
        <w:t>万元，占</w:t>
      </w:r>
      <w:r>
        <w:rPr>
          <w:rFonts w:hint="default" w:ascii="Times New Roman" w:hAnsi="Times New Roman" w:eastAsia="仿宋_GB2312" w:cs="Times New Roman"/>
          <w:color w:val="auto"/>
          <w:sz w:val="32"/>
          <w:szCs w:val="32"/>
          <w:lang w:val="zh-CN" w:eastAsia="zh-CN"/>
        </w:rPr>
        <w:t>0</w:t>
      </w:r>
      <w:r>
        <w:rPr>
          <w:rFonts w:hint="default" w:ascii="Times New Roman" w:hAnsi="Times New Roman" w:eastAsia="仿宋_GB2312" w:cs="Times New Roman"/>
          <w:color w:val="auto"/>
          <w:sz w:val="32"/>
          <w:szCs w:val="32"/>
          <w:lang w:val="zh-CN"/>
        </w:rPr>
        <w:t>%；经营支出</w:t>
      </w:r>
      <w:r>
        <w:rPr>
          <w:rFonts w:hint="default" w:ascii="Times New Roman" w:hAnsi="Times New Roman" w:eastAsia="仿宋_GB2312" w:cs="Times New Roman"/>
          <w:color w:val="auto"/>
          <w:sz w:val="32"/>
          <w:szCs w:val="32"/>
          <w:lang w:val="zh-CN" w:eastAsia="zh-CN"/>
        </w:rPr>
        <w:t>0</w:t>
      </w:r>
      <w:r>
        <w:rPr>
          <w:rFonts w:hint="default" w:ascii="Times New Roman" w:hAnsi="Times New Roman" w:eastAsia="仿宋_GB2312" w:cs="Times New Roman"/>
          <w:color w:val="auto"/>
          <w:sz w:val="32"/>
          <w:szCs w:val="32"/>
          <w:lang w:val="zh-CN"/>
        </w:rPr>
        <w:t>万元，占</w:t>
      </w:r>
      <w:r>
        <w:rPr>
          <w:rFonts w:hint="default" w:ascii="Times New Roman" w:hAnsi="Times New Roman" w:eastAsia="仿宋_GB2312" w:cs="Times New Roman"/>
          <w:color w:val="auto"/>
          <w:sz w:val="32"/>
          <w:szCs w:val="32"/>
          <w:lang w:val="zh-CN" w:eastAsia="zh-CN"/>
        </w:rPr>
        <w:t>0</w:t>
      </w:r>
      <w:r>
        <w:rPr>
          <w:rFonts w:hint="default" w:ascii="Times New Roman" w:hAnsi="Times New Roman" w:eastAsia="仿宋_GB2312" w:cs="Times New Roman"/>
          <w:color w:val="auto"/>
          <w:sz w:val="32"/>
          <w:szCs w:val="32"/>
          <w:lang w:val="zh-CN"/>
        </w:rPr>
        <w:t>%；对附属单位补助支出</w:t>
      </w:r>
      <w:r>
        <w:rPr>
          <w:rFonts w:hint="default" w:ascii="Times New Roman" w:hAnsi="Times New Roman" w:eastAsia="仿宋_GB2312" w:cs="Times New Roman"/>
          <w:color w:val="auto"/>
          <w:sz w:val="32"/>
          <w:szCs w:val="32"/>
          <w:lang w:val="zh-CN" w:eastAsia="zh-CN"/>
        </w:rPr>
        <w:t>0</w:t>
      </w:r>
      <w:r>
        <w:rPr>
          <w:rFonts w:hint="default" w:ascii="Times New Roman" w:hAnsi="Times New Roman" w:eastAsia="仿宋_GB2312" w:cs="Times New Roman"/>
          <w:color w:val="auto"/>
          <w:sz w:val="32"/>
          <w:szCs w:val="32"/>
          <w:lang w:val="zh-CN"/>
        </w:rPr>
        <w:t>万元，占</w:t>
      </w:r>
      <w:r>
        <w:rPr>
          <w:rFonts w:hint="default" w:ascii="Times New Roman" w:hAnsi="Times New Roman" w:eastAsia="仿宋_GB2312" w:cs="Times New Roman"/>
          <w:color w:val="auto"/>
          <w:sz w:val="32"/>
          <w:szCs w:val="32"/>
          <w:lang w:val="zh-CN" w:eastAsia="zh-CN"/>
        </w:rPr>
        <w:t>0</w:t>
      </w:r>
      <w:r>
        <w:rPr>
          <w:rFonts w:hint="default" w:ascii="Times New Roman" w:hAnsi="Times New Roman" w:eastAsia="仿宋_GB2312" w:cs="Times New Roman"/>
          <w:color w:val="auto"/>
          <w:sz w:val="32"/>
          <w:szCs w:val="32"/>
          <w:lang w:val="zh-CN"/>
        </w:rPr>
        <w:t>%。</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auto"/>
          <w:kern w:val="0"/>
          <w:sz w:val="32"/>
          <w:szCs w:val="32"/>
          <w:shd w:val="clear" w:color="auto" w:fill="FFFFFF"/>
        </w:rPr>
      </w:pPr>
      <w:r>
        <w:rPr>
          <w:rFonts w:hint="default" w:ascii="Times New Roman" w:hAnsi="Times New Roman" w:eastAsia="黑体" w:cs="Times New Roman"/>
          <w:color w:val="auto"/>
          <w:kern w:val="0"/>
          <w:sz w:val="32"/>
          <w:szCs w:val="32"/>
          <w:shd w:val="clear" w:color="auto" w:fill="FFFFFF"/>
        </w:rPr>
        <w:t>三、部门整体预算绩效管理情况</w:t>
      </w:r>
    </w:p>
    <w:p>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（一）部门预算管理</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我单位按照预算管理，增加了工作的透明度。</w:t>
      </w:r>
    </w:p>
    <w:p>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（二）结果应用情况</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严格按照预算管理程序，但还是存在诸多不足，以后会加强全面规划，减少中期追加指标等情况。</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auto"/>
          <w:kern w:val="0"/>
          <w:sz w:val="32"/>
          <w:szCs w:val="32"/>
          <w:shd w:val="clear" w:color="auto" w:fill="FFFFFF"/>
        </w:rPr>
      </w:pPr>
      <w:r>
        <w:rPr>
          <w:rFonts w:hint="default" w:ascii="Times New Roman" w:hAnsi="Times New Roman" w:eastAsia="黑体" w:cs="Times New Roman"/>
          <w:color w:val="auto"/>
          <w:kern w:val="0"/>
          <w:sz w:val="32"/>
          <w:szCs w:val="32"/>
          <w:shd w:val="clear" w:color="auto" w:fill="FFFFFF"/>
        </w:rPr>
        <w:t>四、评价结论及建议</w:t>
      </w:r>
    </w:p>
    <w:p>
      <w:pPr>
        <w:pageBreakBefore w:val="0"/>
        <w:kinsoku/>
        <w:wordWrap/>
        <w:overflowPunct/>
        <w:topLinePunct w:val="0"/>
        <w:autoSpaceDE/>
        <w:autoSpaceDN/>
        <w:bidi w:val="0"/>
        <w:spacing w:line="560" w:lineRule="exact"/>
        <w:ind w:firstLine="643" w:firstLineChars="200"/>
        <w:textAlignment w:val="auto"/>
        <w:rPr>
          <w:rStyle w:val="32"/>
          <w:rFonts w:hint="default" w:ascii="Times New Roman" w:hAnsi="Times New Roman" w:eastAsia="楷体_GB2312" w:cs="Times New Roman"/>
          <w:b/>
          <w:bCs/>
          <w:color w:val="auto"/>
          <w:sz w:val="32"/>
          <w:szCs w:val="32"/>
        </w:rPr>
      </w:pPr>
      <w:r>
        <w:rPr>
          <w:rStyle w:val="32"/>
          <w:rFonts w:hint="default" w:ascii="Times New Roman" w:hAnsi="Times New Roman" w:eastAsia="楷体_GB2312" w:cs="Times New Roman"/>
          <w:b/>
          <w:bCs/>
          <w:color w:val="auto"/>
          <w:sz w:val="32"/>
          <w:szCs w:val="32"/>
        </w:rPr>
        <w:t>（一）评价结论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Style w:val="32"/>
          <w:rFonts w:hint="default" w:ascii="Times New Roman" w:hAnsi="Times New Roman" w:eastAsia="仿宋_GB2312" w:cs="Times New Roman"/>
          <w:b w:val="0"/>
          <w:bCs w:val="0"/>
          <w:color w:val="auto"/>
          <w:sz w:val="32"/>
          <w:szCs w:val="32"/>
        </w:rPr>
      </w:pPr>
      <w:r>
        <w:rPr>
          <w:rStyle w:val="32"/>
          <w:rFonts w:hint="default" w:ascii="Times New Roman" w:hAnsi="Times New Roman" w:eastAsia="仿宋_GB2312" w:cs="Times New Roman"/>
          <w:b w:val="0"/>
          <w:bCs w:val="0"/>
          <w:color w:val="auto"/>
          <w:sz w:val="32"/>
          <w:szCs w:val="32"/>
        </w:rPr>
        <w:t>加强预算管理，不断完善内控制度，达到预期</w:t>
      </w:r>
      <w:r>
        <w:rPr>
          <w:rStyle w:val="32"/>
          <w:rFonts w:hint="default" w:ascii="Times New Roman" w:hAnsi="Times New Roman" w:eastAsia="仿宋_GB2312" w:cs="Times New Roman"/>
          <w:b w:val="0"/>
          <w:bCs w:val="0"/>
          <w:color w:val="auto"/>
          <w:sz w:val="32"/>
          <w:szCs w:val="32"/>
          <w:lang w:val="en-US" w:eastAsia="zh-CN"/>
        </w:rPr>
        <w:t>使用</w:t>
      </w:r>
      <w:r>
        <w:rPr>
          <w:rStyle w:val="32"/>
          <w:rFonts w:hint="default" w:ascii="Times New Roman" w:hAnsi="Times New Roman" w:eastAsia="仿宋_GB2312" w:cs="Times New Roman"/>
          <w:b w:val="0"/>
          <w:bCs w:val="0"/>
          <w:color w:val="auto"/>
          <w:sz w:val="32"/>
          <w:szCs w:val="32"/>
        </w:rPr>
        <w:t>效果，保障了</w:t>
      </w:r>
      <w:r>
        <w:rPr>
          <w:rStyle w:val="32"/>
          <w:rFonts w:hint="default" w:ascii="Times New Roman" w:hAnsi="Times New Roman" w:eastAsia="仿宋_GB2312" w:cs="Times New Roman"/>
          <w:b w:val="0"/>
          <w:bCs w:val="0"/>
          <w:color w:val="auto"/>
          <w:sz w:val="32"/>
          <w:szCs w:val="32"/>
          <w:lang w:val="en-US" w:eastAsia="zh-CN"/>
        </w:rPr>
        <w:t>本年度日常工作</w:t>
      </w:r>
      <w:r>
        <w:rPr>
          <w:rStyle w:val="32"/>
          <w:rFonts w:hint="default" w:ascii="Times New Roman" w:hAnsi="Times New Roman" w:eastAsia="仿宋_GB2312" w:cs="Times New Roman"/>
          <w:b w:val="0"/>
          <w:bCs w:val="0"/>
          <w:color w:val="auto"/>
          <w:sz w:val="32"/>
          <w:szCs w:val="32"/>
        </w:rPr>
        <w:t>正常运转。并认真完成了</w:t>
      </w:r>
      <w:r>
        <w:rPr>
          <w:rStyle w:val="32"/>
          <w:rFonts w:hint="eastAsia" w:eastAsia="仿宋_GB2312" w:cs="Times New Roman"/>
          <w:b w:val="0"/>
          <w:bCs w:val="0"/>
          <w:color w:val="auto"/>
          <w:sz w:val="32"/>
          <w:szCs w:val="32"/>
          <w:lang w:val="en-US" w:eastAsia="zh-CN"/>
        </w:rPr>
        <w:t>2024</w:t>
      </w:r>
      <w:r>
        <w:rPr>
          <w:rStyle w:val="32"/>
          <w:rFonts w:hint="default" w:ascii="Times New Roman" w:hAnsi="Times New Roman" w:eastAsia="仿宋_GB2312" w:cs="Times New Roman"/>
          <w:b w:val="0"/>
          <w:bCs w:val="0"/>
          <w:color w:val="auto"/>
          <w:sz w:val="32"/>
          <w:szCs w:val="32"/>
        </w:rPr>
        <w:t>年部门预算工作。</w:t>
      </w:r>
    </w:p>
    <w:p>
      <w:pPr>
        <w:pageBreakBefore w:val="0"/>
        <w:numPr>
          <w:ilvl w:val="0"/>
          <w:numId w:val="0"/>
        </w:numPr>
        <w:kinsoku/>
        <w:wordWrap/>
        <w:overflowPunct/>
        <w:topLinePunct w:val="0"/>
        <w:autoSpaceDE/>
        <w:autoSpaceDN/>
        <w:bidi w:val="0"/>
        <w:spacing w:line="560" w:lineRule="exact"/>
        <w:ind w:leftChars="200" w:firstLine="321" w:firstLineChars="100"/>
        <w:textAlignment w:val="auto"/>
        <w:rPr>
          <w:rStyle w:val="32"/>
          <w:rFonts w:hint="default" w:ascii="Times New Roman" w:hAnsi="Times New Roman" w:eastAsia="楷体_GB2312" w:cs="Times New Roman"/>
          <w:b/>
          <w:bCs/>
          <w:color w:val="auto"/>
          <w:sz w:val="32"/>
          <w:szCs w:val="32"/>
        </w:rPr>
      </w:pPr>
      <w:r>
        <w:rPr>
          <w:rStyle w:val="32"/>
          <w:rFonts w:hint="default" w:ascii="Times New Roman" w:hAnsi="Times New Roman" w:eastAsia="楷体_GB2312" w:cs="Times New Roman"/>
          <w:b/>
          <w:bCs/>
          <w:color w:val="auto"/>
          <w:sz w:val="32"/>
          <w:szCs w:val="32"/>
          <w:lang w:eastAsia="zh-CN"/>
        </w:rPr>
        <w:t>（</w:t>
      </w:r>
      <w:r>
        <w:rPr>
          <w:rStyle w:val="32"/>
          <w:rFonts w:hint="default" w:ascii="Times New Roman" w:hAnsi="Times New Roman" w:eastAsia="楷体_GB2312" w:cs="Times New Roman"/>
          <w:b/>
          <w:bCs/>
          <w:color w:val="auto"/>
          <w:sz w:val="32"/>
          <w:szCs w:val="32"/>
          <w:lang w:val="en-US" w:eastAsia="zh-CN"/>
        </w:rPr>
        <w:t>二</w:t>
      </w:r>
      <w:r>
        <w:rPr>
          <w:rStyle w:val="32"/>
          <w:rFonts w:hint="default" w:ascii="Times New Roman" w:hAnsi="Times New Roman" w:eastAsia="楷体_GB2312" w:cs="Times New Roman"/>
          <w:b/>
          <w:bCs/>
          <w:color w:val="auto"/>
          <w:sz w:val="32"/>
          <w:szCs w:val="32"/>
          <w:lang w:eastAsia="zh-CN"/>
        </w:rPr>
        <w:t>）</w:t>
      </w:r>
      <w:r>
        <w:rPr>
          <w:rStyle w:val="32"/>
          <w:rFonts w:hint="default" w:ascii="Times New Roman" w:hAnsi="Times New Roman" w:eastAsia="楷体_GB2312" w:cs="Times New Roman"/>
          <w:b/>
          <w:bCs/>
          <w:color w:val="auto"/>
          <w:sz w:val="32"/>
          <w:szCs w:val="32"/>
        </w:rPr>
        <w:t>存在问题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Style w:val="32"/>
          <w:rFonts w:hint="default" w:ascii="Times New Roman" w:hAnsi="Times New Roman" w:eastAsia="仿宋_GB2312" w:cs="Times New Roman"/>
          <w:b w:val="0"/>
          <w:bCs w:val="0"/>
          <w:color w:val="auto"/>
          <w:sz w:val="32"/>
          <w:szCs w:val="32"/>
        </w:rPr>
      </w:pPr>
      <w:r>
        <w:rPr>
          <w:rStyle w:val="32"/>
          <w:rFonts w:hint="default" w:ascii="Times New Roman" w:hAnsi="Times New Roman" w:eastAsia="仿宋_GB2312" w:cs="Times New Roman"/>
          <w:b w:val="0"/>
          <w:bCs w:val="0"/>
          <w:color w:val="auto"/>
          <w:sz w:val="32"/>
          <w:szCs w:val="32"/>
        </w:rPr>
        <w:t>我局在编制部门预算时，根据本单位职能职责</w:t>
      </w:r>
      <w:r>
        <w:rPr>
          <w:rStyle w:val="32"/>
          <w:rFonts w:hint="default" w:ascii="Times New Roman" w:hAnsi="Times New Roman" w:eastAsia="仿宋_GB2312" w:cs="Times New Roman"/>
          <w:b w:val="0"/>
          <w:bCs w:val="0"/>
          <w:color w:val="auto"/>
          <w:sz w:val="32"/>
          <w:szCs w:val="32"/>
          <w:lang w:val="en-US" w:eastAsia="zh-CN"/>
        </w:rPr>
        <w:t>编制年度工作计划</w:t>
      </w:r>
      <w:r>
        <w:rPr>
          <w:rStyle w:val="32"/>
          <w:rFonts w:hint="default" w:ascii="Times New Roman" w:hAnsi="Times New Roman" w:eastAsia="仿宋_GB2312" w:cs="Times New Roman"/>
          <w:b w:val="0"/>
          <w:bCs w:val="0"/>
          <w:color w:val="auto"/>
          <w:sz w:val="32"/>
          <w:szCs w:val="32"/>
        </w:rPr>
        <w:t>。整体预算绩效管理存在以下问题</w:t>
      </w:r>
      <w:r>
        <w:rPr>
          <w:rStyle w:val="32"/>
          <w:rFonts w:hint="default" w:ascii="Times New Roman" w:hAnsi="Times New Roman" w:eastAsia="仿宋_GB2312" w:cs="Times New Roman"/>
          <w:b w:val="0"/>
          <w:bCs w:val="0"/>
          <w:color w:val="auto"/>
          <w:sz w:val="32"/>
          <w:szCs w:val="32"/>
          <w:lang w:eastAsia="zh-CN"/>
        </w:rPr>
        <w:t>：</w:t>
      </w:r>
      <w:r>
        <w:rPr>
          <w:rStyle w:val="32"/>
          <w:rFonts w:hint="default" w:ascii="Times New Roman" w:hAnsi="Times New Roman" w:eastAsia="仿宋_GB2312" w:cs="Times New Roman"/>
          <w:b w:val="0"/>
          <w:bCs w:val="0"/>
          <w:color w:val="auto"/>
          <w:sz w:val="32"/>
          <w:szCs w:val="32"/>
        </w:rPr>
        <w:t>本部门整体支出预算资金的安排及使用上有不可预见性。</w:t>
      </w:r>
    </w:p>
    <w:p>
      <w:pPr>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textAlignment w:val="auto"/>
        <w:rPr>
          <w:rStyle w:val="32"/>
          <w:rFonts w:hint="default" w:ascii="Times New Roman" w:hAnsi="Times New Roman" w:eastAsia="楷体_GB2312" w:cs="Times New Roman"/>
          <w:b/>
          <w:bCs/>
          <w:color w:val="auto"/>
          <w:sz w:val="32"/>
          <w:szCs w:val="32"/>
        </w:rPr>
      </w:pPr>
      <w:r>
        <w:rPr>
          <w:rStyle w:val="32"/>
          <w:rFonts w:hint="default" w:ascii="Times New Roman" w:hAnsi="Times New Roman" w:eastAsia="楷体_GB2312" w:cs="Times New Roman"/>
          <w:b/>
          <w:bCs/>
          <w:color w:val="auto"/>
          <w:sz w:val="32"/>
          <w:szCs w:val="32"/>
        </w:rPr>
        <w:t>改进建议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44"/>
          <w:szCs w:val="44"/>
        </w:rPr>
      </w:pPr>
      <w:r>
        <w:rPr>
          <w:rStyle w:val="32"/>
          <w:rFonts w:hint="default" w:ascii="Times New Roman" w:hAnsi="Times New Roman" w:eastAsia="仿宋_GB2312" w:cs="Times New Roman"/>
          <w:b w:val="0"/>
          <w:bCs w:val="0"/>
          <w:color w:val="auto"/>
          <w:sz w:val="32"/>
          <w:szCs w:val="32"/>
        </w:rPr>
        <w:t>一是重视绩效管理，切实履行好职责。努力提升工作绩效，合理使用财政资金。二是建立长效机制。把绩效评价作为部门内控的日常工作，建立绩效评价管理工作考核长效机制。</w:t>
      </w:r>
    </w:p>
    <w:p>
      <w:pPr>
        <w:pStyle w:val="10"/>
        <w:pageBreakBefore w:val="0"/>
        <w:kinsoku/>
        <w:wordWrap/>
        <w:overflowPunct/>
        <w:topLinePunct w:val="0"/>
        <w:bidi w:val="0"/>
        <w:spacing w:line="560" w:lineRule="exact"/>
        <w:textAlignment w:val="auto"/>
        <w:rPr>
          <w:rFonts w:hint="default" w:ascii="Times New Roman" w:hAnsi="Times New Roman" w:eastAsia="黑体" w:cs="Times New Roman"/>
          <w:color w:val="auto"/>
          <w:sz w:val="44"/>
          <w:szCs w:val="44"/>
        </w:rPr>
      </w:pPr>
      <w:bookmarkStart w:id="59" w:name="_Toc15396618"/>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Style w:val="26"/>
          <w:rFonts w:hint="default" w:ascii="Times New Roman" w:hAnsi="Times New Roman" w:eastAsia="方正小标宋简体" w:cs="Times New Roman"/>
          <w:b w:val="0"/>
          <w:color w:val="auto"/>
        </w:rPr>
      </w:pPr>
      <w:r>
        <w:rPr>
          <w:rFonts w:hint="default" w:ascii="Times New Roman" w:hAnsi="Times New Roman" w:eastAsia="方正小标宋简体" w:cs="Times New Roman"/>
          <w:color w:val="auto"/>
          <w:sz w:val="44"/>
          <w:szCs w:val="44"/>
        </w:rPr>
        <w:t>第</w:t>
      </w:r>
      <w:r>
        <w:rPr>
          <w:rStyle w:val="26"/>
          <w:rFonts w:hint="default" w:ascii="Times New Roman" w:hAnsi="Times New Roman" w:eastAsia="方正小标宋简体" w:cs="Times New Roman"/>
          <w:b w:val="0"/>
          <w:color w:val="auto"/>
        </w:rPr>
        <w:t>五部分 附表</w:t>
      </w:r>
      <w:bookmarkEnd w:id="58"/>
      <w:bookmarkEnd w:id="59"/>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60" w:name="_Toc15396619"/>
      <w:r>
        <w:rPr>
          <w:rFonts w:hint="default" w:ascii="Times New Roman" w:hAnsi="Times New Roman" w:eastAsia="仿宋_GB2312" w:cs="Times New Roman"/>
          <w:sz w:val="32"/>
          <w:szCs w:val="32"/>
        </w:rPr>
        <w:t>一、收入支出决算总表</w:t>
      </w:r>
      <w:bookmarkEnd w:id="6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61" w:name="_Toc15396620"/>
      <w:r>
        <w:rPr>
          <w:rFonts w:hint="default" w:ascii="Times New Roman" w:hAnsi="Times New Roman" w:eastAsia="仿宋_GB2312" w:cs="Times New Roman"/>
          <w:sz w:val="32"/>
          <w:szCs w:val="32"/>
        </w:rPr>
        <w:t>二、收入决算表</w:t>
      </w:r>
      <w:bookmarkEnd w:id="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62" w:name="_Toc15396621"/>
      <w:r>
        <w:rPr>
          <w:rFonts w:hint="default" w:ascii="Times New Roman" w:hAnsi="Times New Roman" w:eastAsia="仿宋_GB2312" w:cs="Times New Roman"/>
          <w:sz w:val="32"/>
          <w:szCs w:val="32"/>
        </w:rPr>
        <w:t>三、支出决算表</w:t>
      </w:r>
      <w:bookmarkEnd w:id="6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63" w:name="_Toc15396622"/>
      <w:r>
        <w:rPr>
          <w:rFonts w:hint="default" w:ascii="Times New Roman" w:hAnsi="Times New Roman" w:eastAsia="仿宋_GB2312" w:cs="Times New Roman"/>
          <w:sz w:val="32"/>
          <w:szCs w:val="32"/>
        </w:rPr>
        <w:t>四、财政拨款收入支出决算总表</w:t>
      </w:r>
      <w:bookmarkEnd w:id="6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64" w:name="_Toc15396623"/>
      <w:r>
        <w:rPr>
          <w:rFonts w:hint="default" w:ascii="Times New Roman" w:hAnsi="Times New Roman" w:eastAsia="仿宋_GB2312" w:cs="Times New Roman"/>
          <w:sz w:val="32"/>
          <w:szCs w:val="32"/>
        </w:rPr>
        <w:t>五、财政拨款支出决算明细表</w:t>
      </w:r>
      <w:bookmarkEnd w:id="64"/>
      <w:bookmarkStart w:id="65" w:name="_Toc153966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6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66" w:name="_Toc15396625"/>
      <w:r>
        <w:rPr>
          <w:rFonts w:hint="default" w:ascii="Times New Roman" w:hAnsi="Times New Roman" w:eastAsia="仿宋_GB2312" w:cs="Times New Roman"/>
          <w:sz w:val="32"/>
          <w:szCs w:val="32"/>
        </w:rPr>
        <w:t>七、一般公共预算财政拨款支出决算明细表</w:t>
      </w:r>
      <w:bookmarkEnd w:id="6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67" w:name="_Toc15396626"/>
      <w:r>
        <w:rPr>
          <w:rFonts w:hint="default" w:ascii="Times New Roman" w:hAnsi="Times New Roman" w:eastAsia="仿宋_GB2312" w:cs="Times New Roman"/>
          <w:sz w:val="32"/>
          <w:szCs w:val="32"/>
        </w:rPr>
        <w:t>八、一般公共预算财政拨款基本支出决算表</w:t>
      </w:r>
      <w:bookmarkEnd w:id="6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68" w:name="_Toc15396627"/>
      <w:r>
        <w:rPr>
          <w:rFonts w:hint="default" w:ascii="Times New Roman" w:hAnsi="Times New Roman" w:eastAsia="仿宋_GB2312" w:cs="Times New Roman"/>
          <w:sz w:val="32"/>
          <w:szCs w:val="32"/>
        </w:rPr>
        <w:t>九、一般公共预算财政拨款项目支出决算表</w:t>
      </w:r>
      <w:bookmarkEnd w:id="6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69" w:name="_Toc15396628"/>
      <w:r>
        <w:rPr>
          <w:rFonts w:hint="default" w:ascii="Times New Roman" w:hAnsi="Times New Roman" w:eastAsia="仿宋_GB2312" w:cs="Times New Roman"/>
          <w:sz w:val="32"/>
          <w:szCs w:val="32"/>
        </w:rPr>
        <w:t>十、一般公共预算财政拨款“三公”经费支出决算表</w:t>
      </w:r>
      <w:bookmarkEnd w:id="6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70" w:name="_Toc15396629"/>
      <w:r>
        <w:rPr>
          <w:rFonts w:hint="default" w:ascii="Times New Roman" w:hAnsi="Times New Roman" w:eastAsia="仿宋_GB2312" w:cs="Times New Roman"/>
          <w:sz w:val="32"/>
          <w:szCs w:val="32"/>
        </w:rPr>
        <w:t>十一、政府性基金预算财政拨款收入支出决算表</w:t>
      </w:r>
      <w:bookmarkEnd w:id="7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71" w:name="_Toc15396630"/>
      <w:r>
        <w:rPr>
          <w:rFonts w:hint="default" w:ascii="Times New Roman" w:hAnsi="Times New Roman" w:eastAsia="仿宋_GB2312" w:cs="Times New Roman"/>
          <w:sz w:val="32"/>
          <w:szCs w:val="32"/>
        </w:rPr>
        <w:t>十二、政府性基金预算财政拨款“三公”经费支出决算表</w:t>
      </w:r>
      <w:bookmarkEnd w:id="7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72" w:name="_Toc15396631"/>
      <w:r>
        <w:rPr>
          <w:rFonts w:hint="default" w:ascii="Times New Roman" w:hAnsi="Times New Roman" w:eastAsia="仿宋_GB2312" w:cs="Times New Roman"/>
          <w:sz w:val="32"/>
          <w:szCs w:val="32"/>
        </w:rPr>
        <w:t>十三、国有资本经营预算支出决算表</w:t>
      </w:r>
      <w:bookmarkEnd w:id="72"/>
    </w:p>
    <w:sectPr>
      <w:headerReference r:id="rId3" w:type="default"/>
      <w:footerReference r:id="rId4" w:type="default"/>
      <w:pgSz w:w="11906" w:h="16838"/>
      <w:pgMar w:top="2098" w:right="1474" w:bottom="1984" w:left="158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994781956"/>
                          </w:sdtPr>
                          <w:sdtContent>
                            <w:p>
                              <w:pPr>
                                <w:pStyle w:val="10"/>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pPr>
                            <w:pStyle w:val="10"/>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sdt>
                    <w:sdtPr>
                      <w:id w:val="-1994781956"/>
                    </w:sdtPr>
                    <w:sdtContent>
                      <w:p>
                        <w:pPr>
                          <w:pStyle w:val="10"/>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pPr>
                      <w:pStyle w:val="10"/>
                    </w:pP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49C41E3"/>
    <w:multiLevelType w:val="singleLevel"/>
    <w:tmpl w:val="E49C41E3"/>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FA93F27"/>
    <w:multiLevelType w:val="singleLevel"/>
    <w:tmpl w:val="7FA93F27"/>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1EB7"/>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074C9"/>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35752"/>
    <w:rsid w:val="010E1298"/>
    <w:rsid w:val="01302193"/>
    <w:rsid w:val="023D04FE"/>
    <w:rsid w:val="0297309E"/>
    <w:rsid w:val="0428344F"/>
    <w:rsid w:val="0491565F"/>
    <w:rsid w:val="05A169C7"/>
    <w:rsid w:val="0679559F"/>
    <w:rsid w:val="06A039D1"/>
    <w:rsid w:val="07BC6D53"/>
    <w:rsid w:val="08F65E09"/>
    <w:rsid w:val="092F7E2F"/>
    <w:rsid w:val="09783895"/>
    <w:rsid w:val="0A4E23F8"/>
    <w:rsid w:val="0A8D768C"/>
    <w:rsid w:val="0E396E51"/>
    <w:rsid w:val="0EAC435A"/>
    <w:rsid w:val="10337CA6"/>
    <w:rsid w:val="10C055FF"/>
    <w:rsid w:val="11552894"/>
    <w:rsid w:val="13203ACA"/>
    <w:rsid w:val="13A86393"/>
    <w:rsid w:val="13EE3F92"/>
    <w:rsid w:val="15ED0225"/>
    <w:rsid w:val="16BB723D"/>
    <w:rsid w:val="17BA6800"/>
    <w:rsid w:val="188665BB"/>
    <w:rsid w:val="18F41357"/>
    <w:rsid w:val="19437313"/>
    <w:rsid w:val="1A2A4D75"/>
    <w:rsid w:val="1B3B0D5F"/>
    <w:rsid w:val="1BE129E5"/>
    <w:rsid w:val="1C93160B"/>
    <w:rsid w:val="1CC453E3"/>
    <w:rsid w:val="1D997047"/>
    <w:rsid w:val="1DA10191"/>
    <w:rsid w:val="1EE82215"/>
    <w:rsid w:val="1FEC3AC6"/>
    <w:rsid w:val="20CE2C99"/>
    <w:rsid w:val="210C5560"/>
    <w:rsid w:val="216876E5"/>
    <w:rsid w:val="216D2D37"/>
    <w:rsid w:val="231670E6"/>
    <w:rsid w:val="240371BF"/>
    <w:rsid w:val="241656BC"/>
    <w:rsid w:val="2510580D"/>
    <w:rsid w:val="259E0F4C"/>
    <w:rsid w:val="279623BC"/>
    <w:rsid w:val="2822203A"/>
    <w:rsid w:val="291E4A16"/>
    <w:rsid w:val="292955A4"/>
    <w:rsid w:val="296A7AC7"/>
    <w:rsid w:val="29CD5E71"/>
    <w:rsid w:val="29FD04D3"/>
    <w:rsid w:val="2BA84DFB"/>
    <w:rsid w:val="2C5C3DF0"/>
    <w:rsid w:val="2D34235C"/>
    <w:rsid w:val="2E0C396E"/>
    <w:rsid w:val="2E3920F2"/>
    <w:rsid w:val="2E7334B2"/>
    <w:rsid w:val="2EF2455C"/>
    <w:rsid w:val="2F8A4742"/>
    <w:rsid w:val="319F7F4E"/>
    <w:rsid w:val="31BA4700"/>
    <w:rsid w:val="31F2446B"/>
    <w:rsid w:val="31F621D8"/>
    <w:rsid w:val="342313BE"/>
    <w:rsid w:val="354B6D59"/>
    <w:rsid w:val="35E129A9"/>
    <w:rsid w:val="39E92FF5"/>
    <w:rsid w:val="3A444238"/>
    <w:rsid w:val="3A7621A8"/>
    <w:rsid w:val="3ABD10BB"/>
    <w:rsid w:val="3B0E125E"/>
    <w:rsid w:val="3B140003"/>
    <w:rsid w:val="3C80759B"/>
    <w:rsid w:val="3EC963E0"/>
    <w:rsid w:val="3EF76834"/>
    <w:rsid w:val="3F6D0D0D"/>
    <w:rsid w:val="3F715909"/>
    <w:rsid w:val="41617728"/>
    <w:rsid w:val="417828DD"/>
    <w:rsid w:val="446511C6"/>
    <w:rsid w:val="45A12E54"/>
    <w:rsid w:val="461238E8"/>
    <w:rsid w:val="463E0318"/>
    <w:rsid w:val="47042186"/>
    <w:rsid w:val="47276D92"/>
    <w:rsid w:val="47A11C12"/>
    <w:rsid w:val="492C27F9"/>
    <w:rsid w:val="496C5F37"/>
    <w:rsid w:val="4A3D14A0"/>
    <w:rsid w:val="4B4A608A"/>
    <w:rsid w:val="4CC024A3"/>
    <w:rsid w:val="4ECE2238"/>
    <w:rsid w:val="4EF45DE5"/>
    <w:rsid w:val="515B7035"/>
    <w:rsid w:val="51CE1742"/>
    <w:rsid w:val="52D819E7"/>
    <w:rsid w:val="57CB7758"/>
    <w:rsid w:val="58C87628"/>
    <w:rsid w:val="5ADF3D15"/>
    <w:rsid w:val="5BAA2E05"/>
    <w:rsid w:val="5C2D3918"/>
    <w:rsid w:val="5C8728D2"/>
    <w:rsid w:val="5CAE56CF"/>
    <w:rsid w:val="5D3337F8"/>
    <w:rsid w:val="5D910CC6"/>
    <w:rsid w:val="5DA04A00"/>
    <w:rsid w:val="5DA80ABE"/>
    <w:rsid w:val="5E1F4A70"/>
    <w:rsid w:val="5E2531E7"/>
    <w:rsid w:val="5E8E5AB6"/>
    <w:rsid w:val="5ECC7DFC"/>
    <w:rsid w:val="5F112DD2"/>
    <w:rsid w:val="5F663956"/>
    <w:rsid w:val="60AB5F0E"/>
    <w:rsid w:val="60C7643D"/>
    <w:rsid w:val="618A7F82"/>
    <w:rsid w:val="61EC3165"/>
    <w:rsid w:val="629F568E"/>
    <w:rsid w:val="63536107"/>
    <w:rsid w:val="63A73F5B"/>
    <w:rsid w:val="65FC15BC"/>
    <w:rsid w:val="67E3648E"/>
    <w:rsid w:val="67F638FF"/>
    <w:rsid w:val="69926102"/>
    <w:rsid w:val="6AA05949"/>
    <w:rsid w:val="6BBA036D"/>
    <w:rsid w:val="6D941B1B"/>
    <w:rsid w:val="6DCF0DA7"/>
    <w:rsid w:val="6F7C2CA6"/>
    <w:rsid w:val="707A1B19"/>
    <w:rsid w:val="70861BFE"/>
    <w:rsid w:val="71D67F57"/>
    <w:rsid w:val="72734D90"/>
    <w:rsid w:val="747C7280"/>
    <w:rsid w:val="756228AD"/>
    <w:rsid w:val="77BB6015"/>
    <w:rsid w:val="7B34233F"/>
    <w:rsid w:val="7C434A70"/>
    <w:rsid w:val="7C492842"/>
    <w:rsid w:val="7C8E5902"/>
    <w:rsid w:val="7DE261A8"/>
    <w:rsid w:val="7F203C58"/>
    <w:rsid w:val="7FDD4A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rPr>
      <w:rFonts w:ascii="宋体" w:hAnsi="Courier New"/>
    </w:r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3"/>
    <w:qFormat/>
    <w:uiPriority w:val="9"/>
    <w:rPr>
      <w:rFonts w:ascii="Times New Roman" w:hAnsi="Times New Roman"/>
      <w:b/>
      <w:bCs/>
      <w:kern w:val="44"/>
      <w:sz w:val="44"/>
      <w:szCs w:val="44"/>
    </w:rPr>
  </w:style>
  <w:style w:type="character" w:customStyle="1" w:styleId="27">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9"/>
    <w:semiHidden/>
    <w:qFormat/>
    <w:uiPriority w:val="99"/>
    <w:rPr>
      <w:rFonts w:ascii="Times New Roman" w:hAnsi="Times New Roman"/>
      <w:kern w:val="2"/>
      <w:sz w:val="18"/>
      <w:szCs w:val="18"/>
    </w:rPr>
  </w:style>
  <w:style w:type="character" w:customStyle="1" w:styleId="30">
    <w:name w:val="标题 3 字符"/>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标题 1 Char"/>
    <w:basedOn w:val="15"/>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cap="none" spc="0" normalizeH="0" baseline="0">
                <a:solidFill>
                  <a:schemeClr val="tx1"/>
                </a:solidFill>
                <a:uFill>
                  <a:solidFill>
                    <a:schemeClr val="tx1"/>
                  </a:solidFill>
                </a:uFill>
                <a:latin typeface="+mn-lt"/>
                <a:ea typeface="+mn-ea"/>
                <a:cs typeface="+mn-cs"/>
              </a:defRPr>
            </a:pPr>
            <a:r>
              <a:t>收入支出总额（万元）</a:t>
            </a:r>
          </a:p>
        </c:rich>
      </c:tx>
      <c:layout>
        <c:manualLayout>
          <c:xMode val="edge"/>
          <c:yMode val="edge"/>
          <c:x val="0.367375"/>
          <c:y val="0.032379924446843"/>
        </c:manualLayout>
      </c:layout>
      <c:overlay val="0"/>
      <c:spPr>
        <a:noFill/>
        <a:ln>
          <a:noFill/>
        </a:ln>
        <a:effectLst/>
      </c:spPr>
    </c:title>
    <c:autoTitleDeleted val="0"/>
    <c:plotArea>
      <c:layout/>
      <c:pieChart>
        <c:varyColors val="1"/>
        <c:ser>
          <c:idx val="0"/>
          <c:order val="0"/>
          <c:tx>
            <c:strRef>
              <c:f>Sheet1!$B$1</c:f>
              <c:strCache>
                <c:ptCount val="1"/>
                <c:pt idx="0">
                  <c:v>支出总额（万元）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72499451872252"/>
                  <c:y val="-0.391627868732723"/>
                </c:manualLayout>
              </c:layout>
              <c:tx>
                <c:rich>
                  <a:bodyPr rot="0" spcFirstLastPara="0" vertOverflow="ellipsis" vert="horz" wrap="square" lIns="38100" tIns="19050" rIns="38100" bIns="19050" anchor="ctr" anchorCtr="1"/>
                  <a:lstStyle/>
                  <a:p>
                    <a:pPr defTabSz="914400">
                      <a:defRPr lang="zh-CN" sz="1000" b="0" i="0" u="none" strike="noStrike" kern="1200" cap="none" spc="0" normalizeH="0" baseline="0">
                        <a:solidFill>
                          <a:schemeClr val="tx1"/>
                        </a:solidFill>
                        <a:uFill>
                          <a:solidFill>
                            <a:schemeClr val="tx1"/>
                          </a:solidFill>
                        </a:uFill>
                        <a:latin typeface="+mn-lt"/>
                        <a:ea typeface="+mn-ea"/>
                        <a:cs typeface="+mn-cs"/>
                      </a:defRPr>
                    </a:pPr>
                    <a:r>
                      <a:rPr lang="en-US" altLang="zh-CN" sz="1000" u="none" strike="noStrike" cap="none" normalizeH="0">
                        <a:solidFill>
                          <a:schemeClr val="tx1"/>
                        </a:solidFill>
                        <a:uFill>
                          <a:solidFill>
                            <a:schemeClr val="tx1"/>
                          </a:solidFill>
                        </a:uFill>
                      </a:rPr>
                      <a:t>190.73</a:t>
                    </a:r>
                    <a:endParaRPr lang="en-US" altLang="zh-CN" sz="1000" u="none" strike="noStrike" cap="none" normalizeH="0">
                      <a:solidFill>
                        <a:schemeClr val="tx1"/>
                      </a:solidFill>
                      <a:uFill>
                        <a:solidFill>
                          <a:schemeClr val="tx1"/>
                        </a:solidFill>
                      </a:uFill>
                    </a:endParaRP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Sheet1!$A$4:$A$5</c:f>
              <c:strCache>
                <c:ptCount val="2"/>
                <c:pt idx="0">
                  <c:v>2024年度支出总额</c:v>
                </c:pt>
                <c:pt idx="1">
                  <c:v>2024年度支出总额</c:v>
                </c:pt>
              </c:strCache>
            </c:strRef>
          </c:cat>
          <c:val>
            <c:numRef>
              <c:f>Sheet1!$B$4:$B$5</c:f>
              <c:numCache>
                <c:formatCode>General</c:formatCode>
                <c:ptCount val="2"/>
                <c:pt idx="0">
                  <c:v>238.55</c:v>
                </c:pt>
                <c:pt idx="1">
                  <c:v>238.55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u="none" strike="noStrike" kern="1200" cap="none" spc="0" normalizeH="0">
          <a:solidFill>
            <a:schemeClr val="tx1"/>
          </a:solidFill>
          <a:uFill>
            <a:solidFill>
              <a:schemeClr val="tx1"/>
            </a:solidFill>
          </a:u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r>
              <a:rPr sz="1000" u="none" strike="noStrike" cap="none" normalizeH="0">
                <a:solidFill>
                  <a:schemeClr val="tx1">
                    <a:lumMod val="65000"/>
                    <a:lumOff val="35000"/>
                  </a:schemeClr>
                </a:solidFill>
                <a:uFill>
                  <a:solidFill>
                    <a:schemeClr val="tx1">
                      <a:lumMod val="65000"/>
                      <a:lumOff val="35000"/>
                    </a:schemeClr>
                  </a:solidFill>
                </a:uFill>
              </a:rPr>
              <a:t>本年收入（万元）</a:t>
            </a:r>
            <a:endParaRPr sz="1000" u="none" strike="noStrike" cap="none" normalizeH="0">
              <a:solidFill>
                <a:schemeClr val="tx1">
                  <a:lumMod val="65000"/>
                  <a:lumOff val="35000"/>
                </a:schemeClr>
              </a:solidFill>
              <a:uFill>
                <a:solidFill>
                  <a:schemeClr val="tx1">
                    <a:lumMod val="65000"/>
                    <a:lumOff val="35000"/>
                  </a:schemeClr>
                </a:solidFill>
              </a:uFill>
            </a:endParaRPr>
          </a:p>
        </c:rich>
      </c:tx>
      <c:layout/>
      <c:overlay val="0"/>
      <c:spPr>
        <a:noFill/>
        <a:ln>
          <a:noFill/>
        </a:ln>
        <a:effectLst/>
      </c:spPr>
    </c:title>
    <c:autoTitleDeleted val="0"/>
    <c:plotArea>
      <c:layout/>
      <c:pieChart>
        <c:varyColors val="1"/>
        <c:ser>
          <c:idx val="0"/>
          <c:order val="0"/>
          <c:tx>
            <c:strRef>
              <c:f>Sheet1!$B$1</c:f>
              <c:strCache>
                <c:ptCount val="1"/>
                <c:pt idx="0">
                  <c:v>本年收入（万元）</c:v>
                </c:pt>
              </c:strCache>
            </c:strRef>
          </c:tx>
          <c:spPr>
            <a:solidFill>
              <a:srgbClr val="00B0F0"/>
            </a:solidFill>
            <a:ln w="19050">
              <a:solidFill>
                <a:srgbClr val="002060"/>
              </a:solidFill>
            </a:ln>
          </c:spPr>
          <c:explosion val="0"/>
          <c:dPt>
            <c:idx val="0"/>
            <c:bubble3D val="0"/>
            <c:spPr>
              <a:solidFill>
                <a:srgbClr val="00B0F0"/>
              </a:solidFill>
              <a:ln w="19050">
                <a:solidFill>
                  <a:srgbClr val="002060"/>
                </a:solidFill>
              </a:ln>
              <a:effectLst/>
            </c:spPr>
          </c:dPt>
          <c:dLbls>
            <c:dLbl>
              <c:idx val="0"/>
              <c:layout>
                <c:manualLayout>
                  <c:x val="0.208124340788552"/>
                  <c:y val="-0.278927558824691"/>
                </c:manualLayout>
              </c:layout>
              <c:tx>
                <c:rich>
                  <a:bodyPr rot="0" spcFirstLastPara="0" vertOverflow="ellipsis" vert="horz" wrap="square" lIns="38100" tIns="19050" rIns="38100" bIns="19050" anchor="ctr" anchorCtr="1"/>
                  <a:lstStyle/>
                  <a:p>
                    <a:pPr defTabSz="914400">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lang="en-US" altLang="zh-CN" sz="1000" u="none" strike="noStrike" cap="none" normalizeH="0">
                        <a:solidFill>
                          <a:schemeClr val="tx1">
                            <a:lumMod val="75000"/>
                            <a:lumOff val="25000"/>
                          </a:schemeClr>
                        </a:solidFill>
                        <a:uFill>
                          <a:solidFill>
                            <a:schemeClr val="tx1">
                              <a:lumMod val="75000"/>
                              <a:lumOff val="25000"/>
                            </a:schemeClr>
                          </a:solidFill>
                        </a:uFill>
                      </a:rPr>
                      <a:t>190.73</a:t>
                    </a:r>
                    <a:endParaRPr lang="en-US" altLang="zh-CN" sz="1000" u="none" strike="noStrike" cap="none" normalizeH="0">
                      <a:solidFill>
                        <a:schemeClr val="tx1">
                          <a:lumMod val="75000"/>
                          <a:lumOff val="25000"/>
                        </a:schemeClr>
                      </a:solidFill>
                      <a:uFill>
                        <a:solidFill>
                          <a:schemeClr val="tx1">
                            <a:lumMod val="75000"/>
                            <a:lumOff val="25000"/>
                          </a:schemeClr>
                        </a:solidFill>
                      </a:uFill>
                    </a:endParaRP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238.55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r>
              <a:rPr sz="1000" u="none" strike="noStrike" cap="none" normalizeH="0">
                <a:solidFill>
                  <a:schemeClr val="tx1">
                    <a:lumMod val="65000"/>
                    <a:lumOff val="35000"/>
                  </a:schemeClr>
                </a:solidFill>
                <a:uFill>
                  <a:solidFill>
                    <a:schemeClr val="tx1">
                      <a:lumMod val="65000"/>
                      <a:lumOff val="35000"/>
                    </a:schemeClr>
                  </a:solidFill>
                </a:uFill>
              </a:rPr>
              <a:t>本年支出（万元）</a:t>
            </a:r>
            <a:endParaRPr sz="1000" u="none" strike="noStrike" cap="none" normalizeH="0">
              <a:solidFill>
                <a:schemeClr val="tx1">
                  <a:lumMod val="65000"/>
                  <a:lumOff val="35000"/>
                </a:schemeClr>
              </a:solidFill>
              <a:uFill>
                <a:solidFill>
                  <a:schemeClr val="tx1">
                    <a:lumMod val="65000"/>
                    <a:lumOff val="35000"/>
                  </a:schemeClr>
                </a:solidFill>
              </a:uFill>
            </a:endParaRPr>
          </a:p>
        </c:rich>
      </c:tx>
      <c:layout/>
      <c:overlay val="0"/>
      <c:spPr>
        <a:noFill/>
        <a:ln>
          <a:noFill/>
        </a:ln>
        <a:effectLst/>
      </c:spPr>
    </c:title>
    <c:autoTitleDeleted val="0"/>
    <c:plotArea>
      <c:layout/>
      <c:pieChart>
        <c:varyColors val="1"/>
        <c:ser>
          <c:idx val="0"/>
          <c:order val="0"/>
          <c:tx>
            <c:strRef>
              <c:f>Sheet1!$B$1</c:f>
              <c:strCache>
                <c:ptCount val="1"/>
                <c:pt idx="0">
                  <c:v>本年支出（万元）</c:v>
                </c:pt>
              </c:strCache>
            </c:strRef>
          </c:tx>
          <c:spPr>
            <a:solidFill>
              <a:srgbClr val="00B0F0"/>
            </a:solidFill>
            <a:ln w="19050">
              <a:solidFill>
                <a:srgbClr val="002060"/>
              </a:solidFill>
            </a:ln>
          </c:spPr>
          <c:explosion val="0"/>
          <c:dPt>
            <c:idx val="0"/>
            <c:bubble3D val="0"/>
            <c:spPr>
              <a:solidFill>
                <a:srgbClr val="00B0F0"/>
              </a:solidFill>
              <a:ln w="19050">
                <a:solidFill>
                  <a:srgbClr val="002060"/>
                </a:solidFill>
              </a:ln>
              <a:effectLst/>
            </c:spPr>
          </c:dPt>
          <c:dLbls>
            <c:dLbl>
              <c:idx val="0"/>
              <c:layout>
                <c:manualLayout>
                  <c:x val="0.202618722811024"/>
                  <c:y val="-0.278927558824691"/>
                </c:manualLayout>
              </c:layout>
              <c:tx>
                <c:rich>
                  <a:bodyPr rot="0" spcFirstLastPara="0" vertOverflow="ellipsis" vert="horz" wrap="square" lIns="38100" tIns="19050" rIns="38100" bIns="19050" anchor="ctr" anchorCtr="1"/>
                  <a:lstStyle/>
                  <a:p>
                    <a:pPr defTabSz="914400">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lang="en-US" altLang="zh-CN" sz="1000" u="none" strike="noStrike" cap="none" normalizeH="0">
                        <a:solidFill>
                          <a:schemeClr val="tx1">
                            <a:lumMod val="75000"/>
                            <a:lumOff val="25000"/>
                          </a:schemeClr>
                        </a:solidFill>
                        <a:uFill>
                          <a:solidFill>
                            <a:schemeClr val="tx1">
                              <a:lumMod val="75000"/>
                              <a:lumOff val="25000"/>
                            </a:schemeClr>
                          </a:solidFill>
                        </a:uFill>
                      </a:rPr>
                      <a:t>238.55</a:t>
                    </a:r>
                    <a:endParaRPr lang="en-US" altLang="zh-CN" sz="1000" u="none" strike="noStrike" cap="none" normalizeH="0">
                      <a:solidFill>
                        <a:schemeClr val="tx1">
                          <a:lumMod val="75000"/>
                          <a:lumOff val="25000"/>
                        </a:schemeClr>
                      </a:solidFill>
                      <a:uFill>
                        <a:solidFill>
                          <a:schemeClr val="tx1">
                            <a:lumMod val="75000"/>
                            <a:lumOff val="25000"/>
                          </a:schemeClr>
                        </a:solidFill>
                      </a:uFill>
                    </a:endParaRP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基本支出</c:v>
                </c:pt>
              </c:strCache>
            </c:strRef>
          </c:cat>
          <c:val>
            <c:numRef>
              <c:f>Sheet1!$B$2</c:f>
              <c:numCache>
                <c:formatCode>General</c:formatCode>
                <c:ptCount val="1"/>
                <c:pt idx="0">
                  <c:v>238.55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manualLayout>
          <c:xMode val="edge"/>
          <c:yMode val="edge"/>
          <c:x val="0.379375"/>
          <c:y val="0.703614944899915"/>
          <c:w val="0.235375"/>
          <c:h val="0.144775390625"/>
        </c:manualLayout>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32029339853301"/>
          <c:y val="0.136498516320475"/>
          <c:w val="0.901344743276284"/>
          <c:h val="0.783906440914645"/>
        </c:manualLayout>
      </c:layout>
      <c:barChart>
        <c:barDir val="col"/>
        <c:grouping val="clustered"/>
        <c:varyColors val="0"/>
        <c:ser>
          <c:idx val="0"/>
          <c:order val="0"/>
          <c:tx>
            <c:strRef>
              <c:f>Sheet1!$B$1</c:f>
              <c:strCache>
                <c:ptCount val="1"/>
                <c:pt idx="0">
                  <c:v>收入（万元）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2024年度158.16</c:v>
                </c:pt>
                <c:pt idx="1">
                  <c:v>2023度</c:v>
                </c:pt>
              </c:strCache>
            </c:strRef>
          </c:cat>
          <c:val>
            <c:numRef>
              <c:f>Sheet1!$B$2:$B$3</c:f>
              <c:numCache>
                <c:formatCode>General</c:formatCode>
                <c:ptCount val="2"/>
                <c:pt idx="0">
                  <c:v>238.55</c:v>
                </c:pt>
                <c:pt idx="1">
                  <c:v>190.73</c:v>
                </c:pt>
              </c:numCache>
            </c:numRef>
          </c:val>
        </c:ser>
        <c:ser>
          <c:idx val="1"/>
          <c:order val="1"/>
          <c:tx>
            <c:strRef>
              <c:f>Sheet1!$C$1</c:f>
              <c:strCache>
                <c:ptCount val="1"/>
                <c:pt idx="0">
                  <c:v>支出（万元）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2024年度158.16</c:v>
                </c:pt>
                <c:pt idx="1">
                  <c:v>2023度</c:v>
                </c:pt>
              </c:strCache>
            </c:strRef>
          </c:cat>
          <c:val>
            <c:numRef>
              <c:f>Sheet1!$C$2:$C$3</c:f>
              <c:numCache>
                <c:formatCode>General</c:formatCode>
                <c:ptCount val="2"/>
                <c:pt idx="0">
                  <c:v>238.55</c:v>
                </c:pt>
                <c:pt idx="1">
                  <c:v>190.73</c:v>
                </c:pt>
              </c:numCache>
            </c:numRef>
          </c:val>
        </c:ser>
        <c:dLbls>
          <c:showLegendKey val="0"/>
          <c:showVal val="1"/>
          <c:showCatName val="0"/>
          <c:showSerName val="0"/>
          <c:showPercent val="0"/>
          <c:showBubbleSize val="0"/>
        </c:dLbls>
        <c:gapWidth val="219"/>
        <c:overlap val="-27"/>
        <c:axId val="577071062"/>
        <c:axId val="943690863"/>
      </c:barChart>
      <c:catAx>
        <c:axId val="5770710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crossAx val="943690863"/>
        <c:crosses val="autoZero"/>
        <c:auto val="1"/>
        <c:lblAlgn val="ctr"/>
        <c:lblOffset val="100"/>
        <c:noMultiLvlLbl val="0"/>
      </c:catAx>
      <c:valAx>
        <c:axId val="9436908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crossAx val="57707106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legendEntry>
      <c:layout>
        <c:manualLayout>
          <c:xMode val="edge"/>
          <c:yMode val="edge"/>
          <c:x val="0.421393643031785"/>
          <c:y val="0.930005236515971"/>
        </c:manualLayout>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u="none" strike="noStrike" kern="1200" cap="none" spc="0" normalizeH="0">
          <a:solidFill>
            <a:schemeClr val="tx1"/>
          </a:solidFill>
          <a:uFill>
            <a:solidFill>
              <a:schemeClr val="tx1"/>
            </a:solidFill>
          </a:u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0924423872157258"/>
          <c:y val="0.215858916419926"/>
          <c:w val="0.886638628503742"/>
          <c:h val="0.395698924731183"/>
        </c:manualLayout>
      </c:layout>
      <c:barChart>
        <c:barDir val="col"/>
        <c:grouping val="clustered"/>
        <c:varyColors val="0"/>
        <c:ser>
          <c:idx val="0"/>
          <c:order val="0"/>
          <c:tx>
            <c:strRef>
              <c:f>Sheet1!#REF!</c:f>
              <c:strCache>
                <c:ptCount val="1"/>
                <c:pt idx="0">
                  <c:v/>
                </c:pt>
              </c:strCache>
            </c:strRef>
          </c:tx>
          <c:spPr>
            <a:solidFill>
              <a:srgbClr val="00B050"/>
            </a:solidFill>
            <a:ln>
              <a:noFill/>
            </a:ln>
            <a:effectLst/>
          </c:spPr>
          <c:invertIfNegative val="0"/>
          <c:dLbls>
            <c:delete val="1"/>
          </c:dLbls>
          <c:cat>
            <c:strRef>
              <c:f>Sheet1!$A$2:$A$4</c:f>
              <c:strCache>
                <c:ptCount val="3"/>
                <c:pt idx="0">
                  <c:v>社会保障和就业支出</c:v>
                </c:pt>
                <c:pt idx="1">
                  <c:v>卫生健康指出</c:v>
                </c:pt>
                <c:pt idx="2">
                  <c:v>住房保障支出</c:v>
                </c:pt>
              </c:strCache>
            </c:strRef>
          </c:cat>
          <c:val>
            <c:numRef>
              <c:f>Sheet1!#REF!</c:f>
              <c:numCache>
                <c:formatCode>General</c:formatCode>
                <c:ptCount val="1"/>
                <c:pt idx="0">
                  <c:v>1</c:v>
                </c:pt>
              </c:numCache>
            </c:numRef>
          </c:val>
        </c:ser>
        <c:ser>
          <c:idx val="1"/>
          <c:order val="1"/>
          <c:tx>
            <c:strRef>
              <c:f>Sheet1!$B$1</c:f>
              <c:strCache>
                <c:ptCount val="1"/>
                <c:pt idx="0">
                  <c:v>24年度一般公共预算财政拨款支出（万元）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Sheet1!$A$2:$A$4</c:f>
              <c:strCache>
                <c:ptCount val="3"/>
                <c:pt idx="0">
                  <c:v>社会保障和就业支出</c:v>
                </c:pt>
                <c:pt idx="1">
                  <c:v>卫生健康指出</c:v>
                </c:pt>
                <c:pt idx="2">
                  <c:v>住房保障支出</c:v>
                </c:pt>
              </c:strCache>
            </c:strRef>
          </c:cat>
          <c:val>
            <c:numRef>
              <c:f>Sheet1!$B$2:$B$4</c:f>
              <c:numCache>
                <c:formatCode>General</c:formatCode>
                <c:ptCount val="3"/>
                <c:pt idx="0">
                  <c:v>208.79</c:v>
                </c:pt>
                <c:pt idx="1">
                  <c:v>13.04</c:v>
                </c:pt>
                <c:pt idx="2">
                  <c:v>16.73</c:v>
                </c:pt>
              </c:numCache>
            </c:numRef>
          </c:val>
        </c:ser>
        <c:dLbls>
          <c:showLegendKey val="0"/>
          <c:showVal val="0"/>
          <c:showCatName val="0"/>
          <c:showSerName val="0"/>
          <c:showPercent val="0"/>
          <c:showBubbleSize val="0"/>
        </c:dLbls>
        <c:gapWidth val="219"/>
        <c:overlap val="-27"/>
        <c:axId val="15300224"/>
        <c:axId val="468264407"/>
      </c:barChart>
      <c:catAx>
        <c:axId val="1530022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cap="none" spc="0" normalizeH="0" baseline="0">
                <a:solidFill>
                  <a:schemeClr val="tx1"/>
                </a:solidFill>
                <a:uFill>
                  <a:solidFill>
                    <a:schemeClr val="tx1"/>
                  </a:solidFill>
                </a:uFill>
                <a:latin typeface="+mn-lt"/>
                <a:ea typeface="+mn-ea"/>
                <a:cs typeface="+mn-cs"/>
              </a:defRPr>
            </a:pPr>
          </a:p>
        </c:txPr>
        <c:crossAx val="468264407"/>
        <c:crosses val="autoZero"/>
        <c:auto val="1"/>
        <c:lblAlgn val="ctr"/>
        <c:lblOffset val="100"/>
        <c:noMultiLvlLbl val="0"/>
      </c:catAx>
      <c:valAx>
        <c:axId val="46826440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crossAx val="15300224"/>
        <c:crosses val="autoZero"/>
        <c:crossBetween val="between"/>
      </c:valAx>
      <c:spPr>
        <a:noFill/>
        <a:ln>
          <a:noFill/>
        </a:ln>
        <a:effectLst/>
      </c:spPr>
    </c:plotArea>
    <c:legend>
      <c:legendPos val="b"/>
      <c:legendEntry>
        <c:idx val="0"/>
        <c:delete val="1"/>
      </c:legendEntry>
      <c:layout>
        <c:manualLayout>
          <c:xMode val="edge"/>
          <c:yMode val="edge"/>
          <c:x val="0.262636033857316"/>
          <c:y val="0.031201842328537"/>
        </c:manualLayout>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u="none" strike="noStrike" kern="1200" cap="none" spc="0" normalizeH="0">
          <a:solidFill>
            <a:schemeClr val="tx1"/>
          </a:solidFill>
          <a:uFill>
            <a:solidFill>
              <a:schemeClr val="tx1"/>
            </a:solidFill>
          </a:u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各占比例（%）</c:v>
                </c:pt>
              </c:strCache>
            </c:strRef>
          </c:tx>
          <c:spPr/>
          <c:explosion val="0"/>
          <c:dPt>
            <c:idx val="0"/>
            <c:bubble3D val="0"/>
            <c:explosion val="14"/>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36792865734348"/>
                  <c:y val="-0.0220084429178998"/>
                </c:manualLayout>
              </c:layout>
              <c:tx>
                <c:rich>
                  <a:bodyPr rot="0" spcFirstLastPara="0" vertOverflow="ellipsis" vert="horz" wrap="square" lIns="38100" tIns="19050" rIns="38100" bIns="19050" anchor="ctr" anchorCtr="1"/>
                  <a:lstStyle/>
                  <a:p>
                    <a:pPr defTabSz="914400">
                      <a:defRPr lang="zh-CN" sz="1000" b="0" i="0" u="none" strike="noStrike" kern="1200" cap="none" spc="0" normalizeH="0" baseline="0">
                        <a:solidFill>
                          <a:schemeClr val="tx1"/>
                        </a:solidFill>
                        <a:uFill>
                          <a:solidFill>
                            <a:schemeClr val="tx1"/>
                          </a:solidFill>
                        </a:uFill>
                        <a:latin typeface="+mn-lt"/>
                        <a:ea typeface="+mn-ea"/>
                        <a:cs typeface="+mn-cs"/>
                      </a:defRPr>
                    </a:pPr>
                    <a:r>
                      <a:rPr lang="en-US" altLang="zh-CN" sz="1000" u="none" strike="noStrike" cap="none" normalizeH="0">
                        <a:solidFill>
                          <a:schemeClr val="tx1"/>
                        </a:solidFill>
                        <a:uFill>
                          <a:solidFill>
                            <a:schemeClr val="tx1"/>
                          </a:solidFill>
                        </a:uFill>
                      </a:rPr>
                      <a:t>88.20</a:t>
                    </a:r>
                    <a:r>
                      <a:rPr sz="1000" u="none" strike="noStrike" cap="none" normalizeH="0">
                        <a:solidFill>
                          <a:schemeClr val="tx1"/>
                        </a:solidFill>
                        <a:uFill>
                          <a:solidFill>
                            <a:schemeClr val="tx1"/>
                          </a:solidFill>
                        </a:uFill>
                      </a:rPr>
                      <a:t>%</a:t>
                    </a:r>
                    <a:endParaRPr sz="1000" u="none" strike="noStrike" cap="none" normalizeH="0">
                      <a:solidFill>
                        <a:schemeClr val="tx1"/>
                      </a:solidFill>
                      <a:uFill>
                        <a:solidFill>
                          <a:schemeClr val="tx1"/>
                        </a:solidFill>
                      </a:uFill>
                    </a:endParaRP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02521662569925"/>
                  <c:y val="0.02339966585186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18733367711102"/>
                  <c:y val="0.003761054458477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社会保障和就业（类）支出</c:v>
                </c:pt>
                <c:pt idx="1">
                  <c:v>卫生健康支出</c:v>
                </c:pt>
                <c:pt idx="2">
                  <c:v>住房保障支出</c:v>
                </c:pt>
              </c:strCache>
            </c:strRef>
          </c:cat>
          <c:val>
            <c:numRef>
              <c:f>Sheet1!$B$2:$B$4</c:f>
              <c:numCache>
                <c:formatCode>0.00%</c:formatCode>
                <c:ptCount val="3"/>
                <c:pt idx="0">
                  <c:v>0.8752</c:v>
                </c:pt>
                <c:pt idx="1">
                  <c:v>0.0547</c:v>
                </c:pt>
                <c:pt idx="2">
                  <c:v>0.0701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legendEntry>
      <c:layout>
        <c:manualLayout>
          <c:xMode val="edge"/>
          <c:yMode val="edge"/>
          <c:x val="0.164874271137026"/>
          <c:y val="0.84117990142305"/>
        </c:manualLayout>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solidFill>
              <a:uFill>
                <a:solidFill>
                  <a:schemeClr val="tx1"/>
                </a:solidFill>
              </a:u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u="none" strike="noStrike" kern="1200" cap="none" spc="0" normalizeH="0">
          <a:solidFill>
            <a:schemeClr val="tx1"/>
          </a:solidFill>
          <a:uFill>
            <a:solidFill>
              <a:schemeClr val="tx1"/>
            </a:solidFill>
          </a:u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5960</Words>
  <Characters>8534</Characters>
  <Lines>61</Lines>
  <Paragraphs>17</Paragraphs>
  <TotalTime>5</TotalTime>
  <ScaleCrop>false</ScaleCrop>
  <LinksUpToDate>false</LinksUpToDate>
  <CharactersWithSpaces>8561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LENOVO</cp:lastModifiedBy>
  <cp:lastPrinted>2024-10-07T13:26:00Z</cp:lastPrinted>
  <dcterms:modified xsi:type="dcterms:W3CDTF">2025-10-20T08:03:39Z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C628BD85A77A4FBB81ACFEA32BF25830</vt:lpwstr>
  </property>
</Properties>
</file>