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52AE6">
      <w:pPr>
        <w:spacing w:line="600" w:lineRule="exact"/>
        <w:jc w:val="center"/>
        <w:outlineLvl w:val="0"/>
        <w:rPr>
          <w:rFonts w:ascii="方正小标宋简体" w:hAnsi="宋体" w:eastAsia="方正小标宋简体"/>
          <w:color w:val="000000"/>
          <w:sz w:val="72"/>
          <w:szCs w:val="72"/>
        </w:rPr>
      </w:pPr>
      <w:bookmarkStart w:id="0" w:name="_Toc15306267"/>
    </w:p>
    <w:p w14:paraId="091BBB61">
      <w:pPr>
        <w:spacing w:line="600" w:lineRule="exact"/>
        <w:jc w:val="center"/>
        <w:outlineLvl w:val="0"/>
        <w:rPr>
          <w:rFonts w:ascii="方正小标宋简体" w:hAnsi="宋体" w:eastAsia="方正小标宋简体"/>
          <w:color w:val="000000"/>
          <w:sz w:val="72"/>
          <w:szCs w:val="72"/>
        </w:rPr>
      </w:pPr>
    </w:p>
    <w:p w14:paraId="0640213C">
      <w:pPr>
        <w:spacing w:line="600" w:lineRule="exact"/>
        <w:jc w:val="center"/>
        <w:outlineLvl w:val="0"/>
        <w:rPr>
          <w:rFonts w:ascii="方正小标宋简体" w:hAnsi="宋体" w:eastAsia="方正小标宋简体"/>
          <w:color w:val="000000"/>
          <w:sz w:val="72"/>
          <w:szCs w:val="72"/>
        </w:rPr>
      </w:pPr>
    </w:p>
    <w:p w14:paraId="574A4450">
      <w:pPr>
        <w:jc w:val="center"/>
        <w:rPr>
          <w:rFonts w:ascii="黑体" w:hAnsi="黑体" w:eastAsia="黑体"/>
          <w:sz w:val="72"/>
          <w:szCs w:val="72"/>
        </w:rPr>
      </w:pPr>
    </w:p>
    <w:p w14:paraId="454D0C2D">
      <w:pPr>
        <w:jc w:val="center"/>
        <w:rPr>
          <w:rFonts w:hint="eastAsia" w:ascii="方正小标宋简体" w:eastAsia="方正小标宋简体"/>
          <w:sz w:val="72"/>
          <w:szCs w:val="72"/>
          <w:lang w:eastAsia="zh-CN"/>
        </w:rPr>
      </w:pPr>
      <w:bookmarkStart w:id="1" w:name="_Toc15396476"/>
      <w:bookmarkStart w:id="2" w:name="_Toc15377426"/>
      <w:bookmarkStart w:id="3" w:name="_Toc15396598"/>
      <w:bookmarkStart w:id="4" w:name="_Toc15378442"/>
      <w:bookmarkStart w:id="5" w:name="_Toc15377194"/>
      <w:r>
        <w:rPr>
          <w:rFonts w:hint="eastAsia" w:ascii="方正小标宋简体" w:eastAsia="方正小标宋简体"/>
          <w:sz w:val="72"/>
          <w:szCs w:val="72"/>
        </w:rPr>
        <w:t>阿坝州</w:t>
      </w:r>
      <w:bookmarkEnd w:id="0"/>
      <w:bookmarkStart w:id="6" w:name="_Toc15306268"/>
      <w:r>
        <w:rPr>
          <w:rFonts w:hint="eastAsia" w:ascii="方正小标宋简体" w:eastAsia="方正小标宋简体"/>
          <w:sz w:val="72"/>
          <w:szCs w:val="72"/>
          <w:lang w:eastAsia="zh-CN"/>
        </w:rPr>
        <w:t>壤塘县</w:t>
      </w:r>
      <w:r>
        <w:rPr>
          <w:rFonts w:hint="eastAsia" w:ascii="方正小标宋简体" w:eastAsia="方正小标宋简体"/>
          <w:sz w:val="72"/>
          <w:szCs w:val="72"/>
          <w:lang w:val="en-US" w:eastAsia="zh-CN"/>
        </w:rPr>
        <w:t>2024年度</w:t>
      </w:r>
      <w:r>
        <w:rPr>
          <w:rFonts w:hint="eastAsia" w:ascii="方正小标宋简体" w:eastAsia="方正小标宋简体"/>
          <w:sz w:val="72"/>
          <w:szCs w:val="72"/>
          <w:lang w:eastAsia="zh-CN"/>
        </w:rPr>
        <w:t>城乡居民养老保险事务中心</w:t>
      </w:r>
      <w:r>
        <w:rPr>
          <w:rFonts w:hint="eastAsia" w:ascii="方正小标宋简体" w:eastAsia="方正小标宋简体"/>
          <w:sz w:val="72"/>
          <w:szCs w:val="72"/>
        </w:rPr>
        <w:t>部门决算</w:t>
      </w:r>
      <w:bookmarkEnd w:id="1"/>
      <w:bookmarkEnd w:id="2"/>
      <w:bookmarkEnd w:id="3"/>
      <w:bookmarkEnd w:id="4"/>
      <w:bookmarkEnd w:id="5"/>
      <w:bookmarkEnd w:id="6"/>
      <w:r>
        <w:rPr>
          <w:rFonts w:hint="eastAsia" w:ascii="方正小标宋简体" w:eastAsia="方正小标宋简体"/>
          <w:sz w:val="72"/>
          <w:szCs w:val="72"/>
          <w:lang w:eastAsia="zh-CN"/>
        </w:rPr>
        <w:t>公开</w:t>
      </w:r>
    </w:p>
    <w:p w14:paraId="391664FE">
      <w:pPr>
        <w:jc w:val="center"/>
        <w:rPr>
          <w:rFonts w:ascii="方正小标宋简体" w:eastAsia="方正小标宋简体"/>
          <w:sz w:val="52"/>
          <w:szCs w:val="52"/>
        </w:rPr>
      </w:pPr>
    </w:p>
    <w:p w14:paraId="53E9FB21">
      <w:pPr>
        <w:widowControl/>
        <w:jc w:val="center"/>
        <w:rPr>
          <w:rFonts w:ascii="方正小标宋简体" w:hAnsi="宋体" w:eastAsia="方正小标宋简体"/>
          <w:color w:val="000000"/>
          <w:sz w:val="36"/>
          <w:szCs w:val="36"/>
        </w:rPr>
      </w:pPr>
    </w:p>
    <w:p w14:paraId="02FF0B63">
      <w:pPr>
        <w:rPr>
          <w:rFonts w:ascii="方正小标宋简体" w:hAnsi="宋体" w:eastAsia="方正小标宋简体"/>
          <w:sz w:val="36"/>
          <w:szCs w:val="36"/>
        </w:rPr>
      </w:pPr>
    </w:p>
    <w:p w14:paraId="4932F087">
      <w:pPr>
        <w:rPr>
          <w:rFonts w:ascii="方正小标宋简体" w:hAnsi="宋体" w:eastAsia="方正小标宋简体"/>
          <w:sz w:val="36"/>
          <w:szCs w:val="36"/>
        </w:rPr>
      </w:pPr>
    </w:p>
    <w:p w14:paraId="120287B9">
      <w:pPr>
        <w:rPr>
          <w:rFonts w:ascii="方正小标宋简体" w:hAnsi="宋体" w:eastAsia="方正小标宋简体"/>
          <w:sz w:val="36"/>
          <w:szCs w:val="36"/>
        </w:rPr>
      </w:pPr>
    </w:p>
    <w:p w14:paraId="5072A6EB">
      <w:pPr>
        <w:rPr>
          <w:rFonts w:ascii="方正小标宋简体" w:hAnsi="宋体" w:eastAsia="方正小标宋简体"/>
          <w:sz w:val="36"/>
          <w:szCs w:val="36"/>
        </w:rPr>
      </w:pPr>
    </w:p>
    <w:p w14:paraId="4D865E2B">
      <w:pPr>
        <w:rPr>
          <w:rFonts w:ascii="方正小标宋简体" w:hAnsi="宋体" w:eastAsia="方正小标宋简体"/>
          <w:sz w:val="36"/>
          <w:szCs w:val="36"/>
        </w:rPr>
      </w:pPr>
    </w:p>
    <w:p w14:paraId="4C29B879">
      <w:pPr>
        <w:rPr>
          <w:rFonts w:ascii="方正小标宋简体" w:hAnsi="宋体" w:eastAsia="方正小标宋简体"/>
          <w:sz w:val="36"/>
          <w:szCs w:val="36"/>
        </w:rPr>
      </w:pPr>
    </w:p>
    <w:p w14:paraId="1518DA88">
      <w:pPr>
        <w:rPr>
          <w:rFonts w:ascii="方正小标宋简体" w:hAnsi="宋体" w:eastAsia="方正小标宋简体"/>
          <w:sz w:val="36"/>
          <w:szCs w:val="36"/>
        </w:rPr>
      </w:pPr>
    </w:p>
    <w:p w14:paraId="2BF6E130">
      <w:pPr>
        <w:rPr>
          <w:rFonts w:ascii="方正小标宋简体" w:hAnsi="宋体" w:eastAsia="方正小标宋简体"/>
          <w:sz w:val="36"/>
          <w:szCs w:val="36"/>
        </w:rPr>
      </w:pPr>
    </w:p>
    <w:p w14:paraId="5F2CE911">
      <w:pPr>
        <w:rPr>
          <w:rFonts w:ascii="方正小标宋简体" w:hAnsi="宋体" w:eastAsia="方正小标宋简体"/>
          <w:sz w:val="36"/>
          <w:szCs w:val="36"/>
        </w:rPr>
      </w:pPr>
    </w:p>
    <w:p w14:paraId="7120F9E2">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1AE5452C">
      <w:pPr>
        <w:pStyle w:val="13"/>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5</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 xml:space="preserve"> 月</w:t>
      </w:r>
      <w:r>
        <w:rPr>
          <w:rFonts w:hint="eastAsia" w:hAnsiTheme="minorHAnsi"/>
          <w:b w:val="0"/>
          <w:bCs w:val="0"/>
          <w:sz w:val="24"/>
          <w:szCs w:val="24"/>
          <w:lang w:val="en-US" w:eastAsia="zh-CN"/>
        </w:rPr>
        <w:t>22</w:t>
      </w:r>
      <w:r>
        <w:rPr>
          <w:rFonts w:hint="eastAsia" w:hAnsiTheme="minorHAnsi"/>
          <w:b w:val="0"/>
          <w:bCs w:val="0"/>
          <w:sz w:val="24"/>
          <w:szCs w:val="24"/>
        </w:rPr>
        <w:t>日</w:t>
      </w:r>
    </w:p>
    <w:p w14:paraId="0ADE9A55">
      <w:pPr>
        <w:pStyle w:val="13"/>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hint="eastAsia" w:ascii="黑体" w:hAnsi="黑体" w:eastAsia="黑体"/>
          <w:b w:val="0"/>
          <w:bCs w:val="0"/>
          <w:lang w:eastAsia="zh-CN"/>
        </w:rPr>
        <w:t>部门</w:t>
      </w:r>
      <w:r>
        <w:rPr>
          <w:rFonts w:ascii="黑体" w:hAnsi="黑体" w:eastAsia="黑体"/>
          <w:b w:val="0"/>
          <w:bCs w:val="0"/>
        </w:rPr>
        <w:t>概况</w:t>
      </w:r>
      <w:r>
        <w:tab/>
      </w:r>
      <w:r>
        <w:rPr>
          <w:rFonts w:hint="eastAsia"/>
          <w:lang w:val="en-US" w:eastAsia="zh-CN"/>
        </w:rPr>
        <w:t>4</w:t>
      </w:r>
    </w:p>
    <w:p w14:paraId="0FB1A889">
      <w:pPr>
        <w:pStyle w:val="16"/>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w:t>
      </w:r>
      <w:r>
        <w:rPr>
          <w:rFonts w:hint="eastAsia" w:ascii="黑体" w:hAnsi="黑体" w:eastAsia="黑体"/>
          <w:lang w:eastAsia="zh-CN"/>
        </w:rPr>
        <w:t>部门职责</w:t>
      </w:r>
      <w:r>
        <w:tab/>
      </w:r>
      <w:r>
        <w:rPr>
          <w:rFonts w:hint="eastAsia"/>
          <w:lang w:val="en-US" w:eastAsia="zh-CN"/>
        </w:rPr>
        <w:t>4</w:t>
      </w:r>
    </w:p>
    <w:p w14:paraId="244E31A6">
      <w:pPr>
        <w:pStyle w:val="16"/>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5</w:t>
      </w:r>
    </w:p>
    <w:p w14:paraId="3C57EB7D">
      <w:pPr>
        <w:pStyle w:val="13"/>
        <w:tabs>
          <w:tab w:val="right" w:leader="dot" w:pos="8296"/>
        </w:tabs>
        <w:ind w:firstLine="200" w:firstLineChars="100"/>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3</w:t>
      </w:r>
      <w:r>
        <w:rPr>
          <w:rFonts w:ascii="黑体" w:hAnsi="黑体" w:eastAsia="黑体"/>
          <w:b w:val="0"/>
          <w:bCs w:val="0"/>
        </w:rPr>
        <w:t>年度</w:t>
      </w:r>
      <w:r>
        <w:rPr>
          <w:rFonts w:hint="eastAsia" w:ascii="黑体" w:hAnsi="黑体" w:eastAsia="黑体"/>
          <w:b w:val="0"/>
          <w:bCs w:val="0"/>
          <w:lang w:eastAsia="zh-CN"/>
        </w:rPr>
        <w:t>部门</w:t>
      </w:r>
      <w:r>
        <w:rPr>
          <w:rFonts w:ascii="黑体" w:hAnsi="黑体" w:eastAsia="黑体"/>
          <w:b w:val="0"/>
          <w:bCs w:val="0"/>
        </w:rPr>
        <w:t>决算情况说明</w:t>
      </w:r>
      <w:r>
        <w:tab/>
      </w:r>
      <w:r>
        <w:rPr>
          <w:rFonts w:hint="eastAsia"/>
          <w:lang w:val="en-US" w:eastAsia="zh-CN"/>
        </w:rPr>
        <w:t>5</w:t>
      </w:r>
    </w:p>
    <w:p w14:paraId="15D0E308">
      <w:pPr>
        <w:pStyle w:val="16"/>
        <w:tabs>
          <w:tab w:val="left" w:pos="840"/>
          <w:tab w:val="right" w:leader="dot" w:pos="8296"/>
        </w:tabs>
        <w:rPr>
          <w:rFonts w:hint="eastAsia" w:hAnsiTheme="minorHAnsi" w:eastAsiaTheme="minorHAnsi" w:cstheme="minorBidi"/>
          <w:smallCaps w:val="0"/>
          <w:sz w:val="21"/>
          <w:szCs w:val="22"/>
          <w:lang w:val="en-US"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5</w:t>
      </w:r>
    </w:p>
    <w:p w14:paraId="7DAD42B9">
      <w:pPr>
        <w:pStyle w:val="16"/>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6</w:t>
      </w:r>
    </w:p>
    <w:p w14:paraId="3D15D053">
      <w:pPr>
        <w:pStyle w:val="16"/>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7</w:t>
      </w:r>
    </w:p>
    <w:p w14:paraId="1C563802">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7</w:t>
      </w:r>
    </w:p>
    <w:p w14:paraId="45A97638">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8</w:t>
      </w:r>
    </w:p>
    <w:p w14:paraId="1E32CC9B">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（一）一般公共预算财政拨款支出决算总体情况</w:t>
      </w:r>
      <w:r>
        <w:tab/>
      </w:r>
      <w:r>
        <w:rPr>
          <w:rFonts w:hint="eastAsia"/>
          <w:lang w:val="en-US" w:eastAsia="zh-CN"/>
        </w:rPr>
        <w:t>8</w:t>
      </w:r>
    </w:p>
    <w:p w14:paraId="53B77F58">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（二）一般公共预算财政拨款支出决算结构情况</w:t>
      </w:r>
      <w:r>
        <w:tab/>
      </w:r>
      <w:r>
        <w:rPr>
          <w:rFonts w:hint="eastAsia"/>
          <w:lang w:val="en-US" w:eastAsia="zh-CN"/>
        </w:rPr>
        <w:t>9</w:t>
      </w:r>
    </w:p>
    <w:p w14:paraId="1E3D3671">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10</w:t>
      </w:r>
    </w:p>
    <w:p w14:paraId="48DD0770">
      <w:pPr>
        <w:pStyle w:val="16"/>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11</w:t>
      </w:r>
    </w:p>
    <w:p w14:paraId="3C21B987">
      <w:pPr>
        <w:pStyle w:val="16"/>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hint="eastAsia" w:ascii="黑体" w:eastAsia="黑体"/>
          <w:color w:val="000000"/>
          <w:lang w:eastAsia="zh-CN"/>
        </w:rPr>
        <w:t>财政拨款</w:t>
      </w:r>
      <w:r>
        <w:rPr>
          <w:rFonts w:ascii="黑体" w:hAnsi="黑体" w:eastAsia="黑体"/>
          <w:b/>
          <w:bCs/>
        </w:rPr>
        <w:t>“</w:t>
      </w:r>
      <w:r>
        <w:rPr>
          <w:rFonts w:ascii="黑体" w:hAnsi="黑体" w:eastAsia="黑体"/>
          <w:bCs/>
        </w:rPr>
        <w:t>三公”经费支出决算情况说明</w:t>
      </w:r>
      <w:r>
        <w:tab/>
      </w:r>
      <w:r>
        <w:rPr>
          <w:rFonts w:hint="eastAsia"/>
          <w:lang w:val="en-US" w:eastAsia="zh-CN"/>
        </w:rPr>
        <w:t>11</w:t>
      </w:r>
    </w:p>
    <w:p w14:paraId="42D52F1C">
      <w:pPr>
        <w:pStyle w:val="16"/>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11</w:t>
      </w:r>
    </w:p>
    <w:p w14:paraId="340671BB">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11</w:t>
      </w:r>
    </w:p>
    <w:p w14:paraId="3E42B0F6">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12</w:t>
      </w:r>
    </w:p>
    <w:p w14:paraId="621BACC1">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（一）机关运行经费支出情况</w:t>
      </w:r>
      <w:r>
        <w:tab/>
      </w:r>
      <w:r>
        <w:rPr>
          <w:rFonts w:hint="eastAsia"/>
          <w:lang w:val="en-US" w:eastAsia="zh-CN"/>
        </w:rPr>
        <w:t>12</w:t>
      </w:r>
    </w:p>
    <w:p w14:paraId="0F056E99">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（二）政府采购支出情况</w:t>
      </w:r>
      <w:r>
        <w:tab/>
      </w:r>
      <w:r>
        <w:rPr>
          <w:rFonts w:hint="eastAsia"/>
          <w:lang w:val="en-US" w:eastAsia="zh-CN"/>
        </w:rPr>
        <w:t>12</w:t>
      </w:r>
    </w:p>
    <w:p w14:paraId="63A4767A">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（三）国有资产占有使用情况</w:t>
      </w:r>
      <w:r>
        <w:tab/>
      </w:r>
      <w:r>
        <w:rPr>
          <w:rFonts w:hint="eastAsia"/>
          <w:lang w:val="en-US" w:eastAsia="zh-CN"/>
        </w:rPr>
        <w:t>12</w:t>
      </w:r>
    </w:p>
    <w:p w14:paraId="73D1ECE6">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12</w:t>
      </w:r>
    </w:p>
    <w:p w14:paraId="4EA3715C">
      <w:pPr>
        <w:pStyle w:val="13"/>
        <w:tabs>
          <w:tab w:val="right" w:leader="dot" w:pos="8296"/>
        </w:tabs>
        <w:rPr>
          <w:rFonts w:hint="default"/>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13</w:t>
      </w:r>
    </w:p>
    <w:p w14:paraId="46882C7D">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16</w:t>
      </w:r>
    </w:p>
    <w:p w14:paraId="45C8C2AF">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s="黑体"/>
        </w:rPr>
        <w:t>附件1</w:t>
      </w:r>
      <w:r>
        <w:tab/>
      </w:r>
      <w:r>
        <w:rPr>
          <w:rFonts w:hint="eastAsia"/>
          <w:lang w:val="en-US" w:eastAsia="zh-CN"/>
        </w:rPr>
        <w:t>16</w:t>
      </w:r>
    </w:p>
    <w:p w14:paraId="61A8B1B6">
      <w:pPr>
        <w:pStyle w:val="13"/>
        <w:tabs>
          <w:tab w:val="right" w:leader="dot" w:pos="8296"/>
        </w:tabs>
        <w:rPr>
          <w:rFonts w:hint="default" w:eastAsiaTheme="minorHAnsi"/>
          <w:lang w:val="en-US" w:eastAsia="zh-CN"/>
        </w:rPr>
      </w:pPr>
      <w:r>
        <w:rPr>
          <w:rFonts w:hint="eastAsia" w:ascii="方正小标宋简体" w:hAnsi="黑体" w:eastAsia="方正小标宋简体" w:cs="黑体"/>
          <w:lang w:eastAsia="zh-CN"/>
        </w:rPr>
        <w:t>壤塘县城乡居民养老保险事务中心</w:t>
      </w:r>
      <w:r>
        <w:rPr>
          <w:rFonts w:hint="eastAsia" w:ascii="方正小标宋简体" w:hAnsi="黑体" w:eastAsia="方正小标宋简体" w:cs="黑体"/>
          <w:lang w:val="en-US" w:eastAsia="zh-CN"/>
        </w:rPr>
        <w:t>2023</w:t>
      </w:r>
      <w:r>
        <w:rPr>
          <w:rFonts w:ascii="方正小标宋简体" w:hAnsi="黑体" w:eastAsia="方正小标宋简体" w:cs="黑体"/>
        </w:rPr>
        <w:t>年</w:t>
      </w:r>
      <w:r>
        <w:rPr>
          <w:rFonts w:hint="eastAsia" w:ascii="方正小标宋简体" w:hAnsi="黑体" w:eastAsia="方正小标宋简体" w:cs="黑体"/>
          <w:lang w:eastAsia="zh-CN"/>
        </w:rPr>
        <w:t>度部门</w:t>
      </w:r>
      <w:r>
        <w:rPr>
          <w:rFonts w:ascii="方正小标宋简体" w:hAnsi="黑体" w:eastAsia="方正小标宋简体" w:cs="黑体"/>
        </w:rPr>
        <w:t>整体支出绩效评价报告</w:t>
      </w:r>
      <w:r>
        <w:tab/>
      </w:r>
      <w:r>
        <w:rPr>
          <w:rFonts w:hint="eastAsia"/>
          <w:lang w:val="en-US" w:eastAsia="zh-CN"/>
        </w:rPr>
        <w:t>16</w:t>
      </w:r>
    </w:p>
    <w:p w14:paraId="305C19BF">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19</w:t>
      </w:r>
    </w:p>
    <w:p w14:paraId="3F69AF6F">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19</w:t>
      </w:r>
    </w:p>
    <w:p w14:paraId="096699C0">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19</w:t>
      </w:r>
    </w:p>
    <w:p w14:paraId="1198C2C2">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19</w:t>
      </w:r>
    </w:p>
    <w:p w14:paraId="5854842F">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19</w:t>
      </w:r>
    </w:p>
    <w:p w14:paraId="3235E5CB">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19</w:t>
      </w:r>
    </w:p>
    <w:p w14:paraId="71173650">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19</w:t>
      </w:r>
    </w:p>
    <w:p w14:paraId="0BC58825">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19</w:t>
      </w:r>
    </w:p>
    <w:p w14:paraId="2BDC63C7">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w:t>
      </w:r>
      <w:r>
        <w:rPr>
          <w:rFonts w:hint="eastAsia" w:ascii="仿宋" w:hAnsi="仿宋" w:eastAsia="仿宋"/>
          <w:lang w:eastAsia="zh-CN"/>
        </w:rPr>
        <w:t>明细</w:t>
      </w:r>
      <w:r>
        <w:rPr>
          <w:rFonts w:ascii="仿宋" w:hAnsi="仿宋" w:eastAsia="仿宋"/>
        </w:rPr>
        <w:t>表</w:t>
      </w:r>
      <w:r>
        <w:tab/>
      </w:r>
      <w:r>
        <w:rPr>
          <w:rFonts w:hint="eastAsia"/>
          <w:lang w:val="en-US" w:eastAsia="zh-CN"/>
        </w:rPr>
        <w:t>19</w:t>
      </w:r>
    </w:p>
    <w:p w14:paraId="7FAF584E">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19</w:t>
      </w:r>
    </w:p>
    <w:p w14:paraId="725AC26E">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19</w:t>
      </w:r>
    </w:p>
    <w:p w14:paraId="13C8F752">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一</w:t>
      </w:r>
      <w:r>
        <w:rPr>
          <w:rFonts w:ascii="仿宋" w:hAnsi="仿宋" w:eastAsia="仿宋"/>
        </w:rPr>
        <w:t>、</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19</w:t>
      </w:r>
    </w:p>
    <w:p w14:paraId="25D35C30">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二</w:t>
      </w:r>
      <w:r>
        <w:rPr>
          <w:rFonts w:ascii="仿宋" w:hAnsi="仿宋" w:eastAsia="仿宋"/>
        </w:rPr>
        <w:t>、国有资本经营预算财政拨款支出决算表</w:t>
      </w:r>
      <w:r>
        <w:tab/>
      </w:r>
      <w:r>
        <w:rPr>
          <w:rFonts w:hint="eastAsia"/>
          <w:lang w:val="en-US" w:eastAsia="zh-CN"/>
        </w:rPr>
        <w:t>19</w:t>
      </w:r>
    </w:p>
    <w:p w14:paraId="32271030">
      <w:pPr>
        <w:pStyle w:val="16"/>
        <w:tabs>
          <w:tab w:val="right" w:leader="dot" w:pos="8296"/>
        </w:tabs>
        <w:ind w:left="0" w:leftChars="0" w:firstLine="200" w:firstLineChars="100"/>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三</w:t>
      </w:r>
      <w:r>
        <w:rPr>
          <w:rFonts w:ascii="仿宋" w:hAnsi="仿宋" w:eastAsia="仿宋"/>
        </w:rPr>
        <w:t>、财政拨款“三公”经费支出决算表</w:t>
      </w:r>
      <w:r>
        <w:tab/>
      </w:r>
      <w:r>
        <w:rPr>
          <w:rFonts w:hint="eastAsia"/>
          <w:lang w:val="en-US" w:eastAsia="zh-CN"/>
        </w:rPr>
        <w:t>19</w:t>
      </w:r>
    </w:p>
    <w:p w14:paraId="7738CF7A">
      <w:pPr>
        <w:pStyle w:val="2"/>
        <w:jc w:val="both"/>
        <w:rPr>
          <w:rFonts w:hint="eastAsia" w:ascii="黑体" w:hAnsi="黑体" w:eastAsia="黑体"/>
          <w:b w:val="0"/>
        </w:rPr>
      </w:pPr>
      <w:r>
        <w:rPr>
          <w:rFonts w:asciiTheme="minorHAnsi" w:eastAsiaTheme="minorHAnsi"/>
          <w:b/>
          <w:bCs/>
          <w:caps/>
          <w:sz w:val="20"/>
          <w:szCs w:val="20"/>
        </w:rPr>
        <w:fldChar w:fldCharType="end"/>
      </w:r>
      <w:bookmarkStart w:id="7" w:name="_Toc79163601"/>
      <w:bookmarkStart w:id="8" w:name="_Toc79163851"/>
      <w:r>
        <w:rPr>
          <w:rFonts w:hint="eastAsia" w:asciiTheme="minorHAnsi" w:eastAsiaTheme="minorHAnsi"/>
          <w:b/>
          <w:bCs/>
          <w:caps/>
          <w:sz w:val="20"/>
          <w:szCs w:val="20"/>
          <w:lang w:val="en-US" w:eastAsia="zh-CN"/>
        </w:rPr>
        <w:t xml:space="preserve">               </w:t>
      </w:r>
      <w:r>
        <w:rPr>
          <w:rFonts w:hint="eastAsia" w:ascii="黑体" w:hAnsi="黑体" w:eastAsia="黑体"/>
          <w:b w:val="0"/>
        </w:rPr>
        <w:t>第一部分</w:t>
      </w:r>
      <w:r>
        <w:rPr>
          <w:rFonts w:ascii="黑体" w:hAnsi="黑体" w:eastAsia="黑体"/>
          <w:b w:val="0"/>
        </w:rPr>
        <w:t xml:space="preserve"> </w:t>
      </w:r>
      <w:r>
        <w:rPr>
          <w:rStyle w:val="22"/>
          <w:rFonts w:hint="eastAsia" w:ascii="黑体" w:hAnsi="黑体" w:eastAsia="黑体"/>
          <w:b w:val="0"/>
          <w:bCs w:val="0"/>
          <w:lang w:eastAsia="zh-CN"/>
        </w:rPr>
        <w:t>部门</w:t>
      </w:r>
      <w:r>
        <w:rPr>
          <w:rStyle w:val="22"/>
          <w:rFonts w:hint="eastAsia" w:ascii="黑体" w:hAnsi="黑体" w:eastAsia="黑体"/>
          <w:b w:val="0"/>
          <w:bCs w:val="0"/>
        </w:rPr>
        <w:t>概况</w:t>
      </w:r>
      <w:bookmarkEnd w:id="7"/>
      <w:bookmarkEnd w:id="8"/>
    </w:p>
    <w:p w14:paraId="7117131D">
      <w:pPr>
        <w:pStyle w:val="3"/>
        <w:numPr>
          <w:ilvl w:val="0"/>
          <w:numId w:val="1"/>
        </w:numPr>
        <w:rPr>
          <w:rStyle w:val="23"/>
          <w:rFonts w:hint="eastAsia" w:ascii="黑体" w:hAnsi="黑体" w:eastAsia="黑体"/>
          <w:b w:val="0"/>
          <w:bCs w:val="0"/>
        </w:rPr>
      </w:pPr>
      <w:bookmarkStart w:id="9" w:name="_Toc15377198"/>
      <w:bookmarkStart w:id="10" w:name="_Toc15378445"/>
      <w:bookmarkStart w:id="11" w:name="_Toc79163603"/>
      <w:bookmarkStart w:id="12" w:name="_Toc79163853"/>
      <w:r>
        <w:rPr>
          <w:rStyle w:val="23"/>
          <w:rFonts w:hint="eastAsia" w:ascii="黑体" w:hAnsi="黑体" w:eastAsia="黑体"/>
          <w:b w:val="0"/>
          <w:bCs w:val="0"/>
          <w:lang w:eastAsia="zh-CN"/>
        </w:rPr>
        <w:t>部门职责</w:t>
      </w:r>
    </w:p>
    <w:bookmarkEnd w:id="9"/>
    <w:bookmarkEnd w:id="10"/>
    <w:bookmarkEnd w:id="11"/>
    <w:bookmarkEnd w:id="12"/>
    <w:p w14:paraId="4FEF8EDD">
      <w:pPr>
        <w:pStyle w:val="6"/>
        <w:adjustRightInd w:val="0"/>
        <w:snapToGrid w:val="0"/>
        <w:spacing w:before="93" w:line="600" w:lineRule="exact"/>
        <w:ind w:firstLine="640" w:firstLineChars="200"/>
        <w:outlineLvl w:val="2"/>
        <w:rPr>
          <w:rFonts w:hint="eastAsia" w:ascii="仿宋_GB2312" w:hAnsi="Times New Roman" w:eastAsia="仿宋_GB2312" w:cs="Times New Roman"/>
          <w:kern w:val="2"/>
          <w:sz w:val="32"/>
          <w:szCs w:val="32"/>
          <w:lang w:val="en-US" w:eastAsia="zh-CN" w:bidi="ar-SA"/>
        </w:rPr>
      </w:pPr>
      <w:bookmarkStart w:id="13" w:name="_Toc79163604"/>
      <w:bookmarkStart w:id="14" w:name="_Toc15378446"/>
      <w:bookmarkStart w:id="15" w:name="_Toc15377199"/>
      <w:bookmarkStart w:id="16" w:name="_Toc79163854"/>
      <w:r>
        <w:rPr>
          <w:rFonts w:hint="eastAsia" w:ascii="仿宋_GB2312" w:hAnsi="Times New Roman" w:eastAsia="仿宋_GB2312" w:cs="Times New Roman"/>
          <w:kern w:val="2"/>
          <w:sz w:val="32"/>
          <w:szCs w:val="32"/>
          <w:lang w:val="en-US" w:eastAsia="zh-CN" w:bidi="ar-SA"/>
        </w:rPr>
        <w:t>1.根据法律、法规和规章，制定养老保险登记、养老保险费的申报、征缴、管理、使用、运营和待遇支付以及养老保险关系建立、中断、转移、接续、终止和基金转移的办事程序与操作规范并组织实施。</w:t>
      </w:r>
    </w:p>
    <w:p w14:paraId="26F79567">
      <w:p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2.制定参保居民养老保险个人账户、缴费记录、档案管理等业务工作规范并组织实施。</w:t>
      </w:r>
    </w:p>
    <w:p w14:paraId="1A71583A">
      <w:p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3.依照社会保险基金财务、会计制度的具体操作办法，按照社会保险基金财务、会计制度进行规范管理，编制汇总社会保险基金年度预决算报告和季度、月季度财务报告，加强基金财务管理和会计核算。</w:t>
      </w:r>
    </w:p>
    <w:p w14:paraId="58FE75D5">
      <w:p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4.负责制定全县基本养老保险统筹规划，研究提出年度统筹计划和实施意见，负责社会保险调剂金的上解工作。</w:t>
      </w:r>
    </w:p>
    <w:p w14:paraId="6B62FC67">
      <w:pPr>
        <w:spacing w:line="560" w:lineRule="exact"/>
        <w:ind w:firstLine="640" w:firstLineChars="200"/>
        <w:rPr>
          <w:rFonts w:hint="eastAsia" w:ascii="仿宋_GB2312" w:eastAsia="仿宋_GB2312"/>
          <w:sz w:val="32"/>
          <w:szCs w:val="32"/>
        </w:rPr>
      </w:pPr>
      <w:r>
        <w:rPr>
          <w:rFonts w:hint="eastAsia" w:ascii="仿宋_GB2312" w:hAnsi="Times New Roman" w:eastAsia="仿宋_GB2312" w:cs="Times New Roman"/>
          <w:kern w:val="2"/>
          <w:sz w:val="32"/>
          <w:szCs w:val="32"/>
          <w:lang w:val="en-US" w:eastAsia="zh-CN" w:bidi="ar-SA"/>
        </w:rPr>
        <w:t>5.负责确保参保的城乡居民退</w:t>
      </w:r>
      <w:r>
        <w:rPr>
          <w:rFonts w:hint="eastAsia" w:ascii="仿宋_GB2312" w:eastAsia="仿宋_GB2312"/>
          <w:sz w:val="32"/>
          <w:szCs w:val="32"/>
        </w:rPr>
        <w:t>休人员基本养老金按时足额发放工作的落实，制定养老保险社会化管理规范，开展退休人员社会化管理服务和推进、巩固、完善和规范基本养老金社会化发放工作。</w:t>
      </w:r>
    </w:p>
    <w:p w14:paraId="275649A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6.制定养老保险稽核工作规范，开展养老保险稽核工作；负责养老保险的基金监督和管理工作，保证基金专款专用和安全完整。</w:t>
      </w:r>
    </w:p>
    <w:p w14:paraId="5617D2B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7.承担养老保险信息、统计数据的采集、整理、分析及管理工作。</w:t>
      </w:r>
    </w:p>
    <w:p w14:paraId="54063FE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8.负责组织实施养老保险机构业务培训，提供养老保险咨询、查询服务，开展养老保险宣传工作。</w:t>
      </w:r>
    </w:p>
    <w:p w14:paraId="080DF081">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二、机构设置</w:t>
      </w:r>
    </w:p>
    <w:bookmarkEnd w:id="13"/>
    <w:bookmarkEnd w:id="14"/>
    <w:bookmarkEnd w:id="15"/>
    <w:bookmarkEnd w:id="16"/>
    <w:p w14:paraId="7C4D3F28">
      <w:pPr>
        <w:snapToGrid w:val="0"/>
        <w:spacing w:line="520" w:lineRule="exact"/>
        <w:ind w:firstLine="640" w:firstLineChars="200"/>
        <w:rPr>
          <w:rFonts w:hint="eastAsia" w:ascii="仿宋_GB2312" w:hAnsi="仿宋" w:eastAsia="仿宋_GB2312"/>
          <w:sz w:val="32"/>
          <w:szCs w:val="32"/>
        </w:rPr>
      </w:pPr>
      <w:bookmarkStart w:id="17" w:name="_Toc79163859"/>
      <w:bookmarkStart w:id="18" w:name="_Toc79163609"/>
      <w:bookmarkStart w:id="19" w:name="_Toc15396602"/>
      <w:bookmarkStart w:id="20" w:name="_Toc15377204"/>
      <w:r>
        <w:rPr>
          <w:rFonts w:hint="eastAsia" w:ascii="仿宋_GB2312" w:hAnsi="宋体" w:eastAsia="仿宋_GB2312" w:cs="宋体"/>
          <w:kern w:val="0"/>
          <w:sz w:val="32"/>
          <w:szCs w:val="32"/>
        </w:rPr>
        <w:t>壤塘县城乡居民养老保险</w:t>
      </w:r>
      <w:r>
        <w:rPr>
          <w:rFonts w:hint="eastAsia" w:ascii="仿宋_GB2312" w:hAnsi="宋体" w:eastAsia="仿宋_GB2312" w:cs="宋体"/>
          <w:kern w:val="0"/>
          <w:sz w:val="32"/>
          <w:szCs w:val="32"/>
          <w:lang w:eastAsia="zh-CN"/>
        </w:rPr>
        <w:t>事务中心</w:t>
      </w:r>
      <w:r>
        <w:rPr>
          <w:rFonts w:hint="eastAsia" w:ascii="仿宋_GB2312" w:hAnsi="宋体" w:eastAsia="仿宋_GB2312" w:cs="宋体"/>
          <w:kern w:val="0"/>
          <w:sz w:val="32"/>
          <w:szCs w:val="32"/>
        </w:rPr>
        <w:t>属</w:t>
      </w:r>
      <w:r>
        <w:rPr>
          <w:rFonts w:hint="eastAsia" w:ascii="仿宋_GB2312" w:hAnsi="宋体" w:eastAsia="仿宋_GB2312" w:cs="宋体"/>
          <w:kern w:val="0"/>
          <w:sz w:val="32"/>
          <w:szCs w:val="32"/>
          <w:lang w:eastAsia="zh-CN"/>
        </w:rPr>
        <w:t>一</w:t>
      </w:r>
      <w:r>
        <w:rPr>
          <w:rFonts w:hint="eastAsia" w:ascii="仿宋_GB2312" w:hAnsi="宋体" w:eastAsia="仿宋_GB2312" w:cs="宋体"/>
          <w:kern w:val="0"/>
          <w:sz w:val="32"/>
          <w:szCs w:val="32"/>
        </w:rPr>
        <w:t>级预算单位，其中内设机构1个。</w:t>
      </w:r>
      <w:r>
        <w:rPr>
          <w:rFonts w:hint="eastAsia" w:ascii="仿宋_GB2312" w:hAnsi="宋体" w:eastAsia="仿宋_GB2312" w:cs="仿宋_GB2312"/>
          <w:kern w:val="0"/>
          <w:sz w:val="32"/>
          <w:szCs w:val="32"/>
        </w:rPr>
        <w:t>总编制</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w:t>
      </w:r>
      <w:r>
        <w:rPr>
          <w:rFonts w:ascii="仿宋_GB2312" w:hAnsi="宋体" w:eastAsia="仿宋_GB2312" w:cs="仿宋_GB2312"/>
          <w:kern w:val="0"/>
          <w:sz w:val="32"/>
          <w:szCs w:val="32"/>
          <w:u w:val="single"/>
        </w:rPr>
        <w:t xml:space="preserve"> 0 </w:t>
      </w:r>
      <w:r>
        <w:rPr>
          <w:rFonts w:hint="eastAsia" w:ascii="仿宋_GB2312" w:hAnsi="宋体" w:eastAsia="仿宋_GB2312" w:cs="仿宋_GB2312"/>
          <w:kern w:val="0"/>
          <w:sz w:val="32"/>
          <w:szCs w:val="32"/>
        </w:rPr>
        <w:t>名。在职人员总数</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名，其中：行政人员</w:t>
      </w:r>
      <w:r>
        <w:rPr>
          <w:rFonts w:ascii="仿宋_GB2312" w:hAnsi="宋体" w:eastAsia="仿宋_GB2312" w:cs="仿宋_GB2312"/>
          <w:kern w:val="0"/>
          <w:sz w:val="32"/>
          <w:szCs w:val="32"/>
          <w:u w:val="single"/>
        </w:rPr>
        <w:t>0</w:t>
      </w:r>
      <w:r>
        <w:rPr>
          <w:rFonts w:hint="eastAsia" w:ascii="仿宋_GB2312" w:hAnsi="宋体" w:eastAsia="仿宋_GB2312" w:cs="仿宋_GB2312"/>
          <w:kern w:val="0"/>
          <w:sz w:val="32"/>
          <w:szCs w:val="32"/>
        </w:rPr>
        <w:t>名，其他事业人员</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名；退休人员</w:t>
      </w:r>
      <w:r>
        <w:rPr>
          <w:rFonts w:ascii="仿宋_GB2312" w:hAnsi="宋体" w:eastAsia="仿宋_GB2312" w:cs="仿宋_GB2312"/>
          <w:kern w:val="0"/>
          <w:sz w:val="32"/>
          <w:szCs w:val="32"/>
          <w:u w:val="single"/>
        </w:rPr>
        <w:t xml:space="preserve"> 0</w:t>
      </w:r>
      <w:r>
        <w:rPr>
          <w:rFonts w:hint="eastAsia" w:ascii="仿宋_GB2312" w:hAnsi="宋体" w:eastAsia="仿宋_GB2312" w:cs="仿宋_GB2312"/>
          <w:kern w:val="0"/>
          <w:sz w:val="32"/>
          <w:szCs w:val="32"/>
        </w:rPr>
        <w:t>人。</w:t>
      </w:r>
    </w:p>
    <w:p w14:paraId="67DB4357">
      <w:pPr>
        <w:pStyle w:val="2"/>
        <w:ind w:right="440"/>
        <w:jc w:val="center"/>
        <w:rPr>
          <w:rStyle w:val="22"/>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2"/>
          <w:rFonts w:ascii="黑体" w:hAnsi="黑体" w:eastAsia="黑体"/>
          <w:b w:val="0"/>
          <w:bCs w:val="0"/>
        </w:rPr>
        <w:t>202</w:t>
      </w:r>
      <w:r>
        <w:rPr>
          <w:rStyle w:val="22"/>
          <w:rFonts w:hint="eastAsia" w:ascii="黑体" w:hAnsi="黑体" w:eastAsia="黑体"/>
          <w:b w:val="0"/>
          <w:bCs w:val="0"/>
          <w:lang w:val="en-US" w:eastAsia="zh-CN"/>
        </w:rPr>
        <w:t>4</w:t>
      </w:r>
      <w:r>
        <w:rPr>
          <w:rStyle w:val="22"/>
          <w:rFonts w:hint="eastAsia" w:ascii="黑体" w:hAnsi="黑体" w:eastAsia="黑体"/>
          <w:b w:val="0"/>
          <w:bCs w:val="0"/>
        </w:rPr>
        <w:t>年度</w:t>
      </w:r>
      <w:r>
        <w:rPr>
          <w:rStyle w:val="22"/>
          <w:rFonts w:hint="eastAsia" w:ascii="黑体" w:hAnsi="黑体" w:eastAsia="黑体"/>
          <w:b w:val="0"/>
          <w:bCs w:val="0"/>
          <w:lang w:eastAsia="zh-CN"/>
        </w:rPr>
        <w:t>部门</w:t>
      </w:r>
      <w:r>
        <w:rPr>
          <w:rStyle w:val="22"/>
          <w:rFonts w:hint="eastAsia" w:ascii="黑体" w:hAnsi="黑体" w:eastAsia="黑体"/>
          <w:b w:val="0"/>
          <w:bCs w:val="0"/>
        </w:rPr>
        <w:t>决算情况说明</w:t>
      </w:r>
      <w:bookmarkEnd w:id="17"/>
      <w:bookmarkEnd w:id="18"/>
      <w:bookmarkEnd w:id="19"/>
      <w:bookmarkEnd w:id="20"/>
    </w:p>
    <w:p w14:paraId="1D6F4049">
      <w:pPr>
        <w:pStyle w:val="33"/>
        <w:numPr>
          <w:ilvl w:val="0"/>
          <w:numId w:val="2"/>
        </w:numPr>
        <w:spacing w:line="600" w:lineRule="exact"/>
        <w:ind w:firstLineChars="0"/>
        <w:outlineLvl w:val="1"/>
        <w:rPr>
          <w:rStyle w:val="23"/>
          <w:rFonts w:ascii="黑体" w:hAnsi="黑体" w:eastAsia="黑体"/>
          <w:b w:val="0"/>
        </w:rPr>
      </w:pPr>
      <w:bookmarkStart w:id="21" w:name="_Toc15396603"/>
      <w:bookmarkStart w:id="22" w:name="_Toc79163610"/>
      <w:bookmarkStart w:id="23" w:name="_Toc79163860"/>
      <w:bookmarkStart w:id="24" w:name="_Toc15377205"/>
      <w:r>
        <w:rPr>
          <w:rFonts w:hint="eastAsia" w:ascii="黑体" w:hAnsi="黑体" w:eastAsia="黑体"/>
          <w:color w:val="000000"/>
          <w:sz w:val="32"/>
          <w:szCs w:val="32"/>
        </w:rPr>
        <w:t>收</w:t>
      </w:r>
      <w:r>
        <w:rPr>
          <w:rStyle w:val="23"/>
          <w:rFonts w:hint="eastAsia" w:ascii="黑体" w:hAnsi="黑体" w:eastAsia="黑体"/>
          <w:b w:val="0"/>
        </w:rPr>
        <w:t>入支出决算总体情况说</w:t>
      </w:r>
      <w:bookmarkEnd w:id="21"/>
      <w:bookmarkEnd w:id="22"/>
      <w:bookmarkEnd w:id="23"/>
      <w:bookmarkEnd w:id="24"/>
      <w:r>
        <w:rPr>
          <w:rStyle w:val="23"/>
          <w:rFonts w:hint="eastAsia" w:ascii="黑体" w:hAnsi="黑体" w:eastAsia="黑体"/>
          <w:b w:val="0"/>
          <w:lang w:eastAsia="zh-CN"/>
        </w:rPr>
        <w:t>明</w:t>
      </w:r>
    </w:p>
    <w:p w14:paraId="676FF0E0">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2024</w:t>
      </w:r>
      <w:r>
        <w:rPr>
          <w:rFonts w:hint="eastAsia" w:ascii="仿宋" w:hAnsi="仿宋" w:eastAsia="仿宋"/>
          <w:color w:val="000000"/>
          <w:sz w:val="32"/>
          <w:szCs w:val="32"/>
        </w:rPr>
        <w:t>年度收入总</w:t>
      </w:r>
      <w:r>
        <w:rPr>
          <w:rFonts w:hint="eastAsia" w:ascii="仿宋" w:hAnsi="仿宋" w:eastAsia="仿宋"/>
          <w:color w:val="auto"/>
          <w:sz w:val="32"/>
          <w:szCs w:val="32"/>
        </w:rPr>
        <w:t>计</w:t>
      </w:r>
      <w:r>
        <w:rPr>
          <w:rFonts w:hint="eastAsia" w:ascii="仿宋" w:hAnsi="仿宋" w:eastAsia="仿宋"/>
          <w:color w:val="auto"/>
          <w:sz w:val="32"/>
          <w:szCs w:val="32"/>
          <w:lang w:val="en-US" w:eastAsia="zh-CN"/>
        </w:rPr>
        <w:t>218.98</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万元相比，收入</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20.63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9.42</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rPr>
        <w:t>原因为：</w:t>
      </w:r>
      <w:r>
        <w:rPr>
          <w:rFonts w:hint="eastAsia" w:ascii="仿宋_GB2312" w:hAnsi="仿宋" w:eastAsia="仿宋_GB2312" w:cs="仿宋"/>
          <w:sz w:val="32"/>
          <w:szCs w:val="32"/>
          <w:lang w:val="en-US" w:eastAsia="zh-CN"/>
        </w:rPr>
        <w:t>工资上调，保险基数增加</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 xml:space="preserve"> </w:t>
      </w:r>
    </w:p>
    <w:p w14:paraId="1E81E764">
      <w:pPr>
        <w:ind w:firstLine="800" w:firstLineChars="250"/>
        <w:jc w:val="left"/>
        <w:rPr>
          <w:rFonts w:hint="eastAsia"/>
          <w:sz w:val="32"/>
          <w:szCs w:val="32"/>
        </w:rPr>
      </w:pPr>
      <w:r>
        <w:rPr>
          <w:rFonts w:hint="eastAsia" w:ascii="仿宋" w:hAnsi="仿宋" w:eastAsia="仿宋"/>
          <w:color w:val="000000"/>
          <w:sz w:val="32"/>
          <w:szCs w:val="32"/>
          <w:lang w:val="en-US" w:eastAsia="zh-CN"/>
        </w:rPr>
        <w:t>2024</w:t>
      </w:r>
      <w:r>
        <w:rPr>
          <w:rFonts w:hint="eastAsia" w:ascii="仿宋" w:hAnsi="仿宋" w:eastAsia="仿宋"/>
          <w:color w:val="000000"/>
          <w:sz w:val="32"/>
          <w:szCs w:val="32"/>
        </w:rPr>
        <w:t>年度支出总计</w:t>
      </w:r>
      <w:r>
        <w:rPr>
          <w:rFonts w:hint="eastAsia" w:ascii="仿宋" w:hAnsi="仿宋" w:eastAsia="仿宋"/>
          <w:color w:val="000000"/>
          <w:sz w:val="32"/>
          <w:szCs w:val="32"/>
          <w:lang w:val="en-US" w:eastAsia="zh-CN"/>
        </w:rPr>
        <w:t>218.98</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万元相比，支出</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20.63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9.42</w:t>
      </w:r>
      <w:r>
        <w:rPr>
          <w:rFonts w:hint="eastAsia" w:ascii="仿宋" w:hAnsi="仿宋" w:eastAsia="仿宋"/>
          <w:color w:val="000000"/>
          <w:sz w:val="32"/>
          <w:szCs w:val="32"/>
        </w:rPr>
        <w:t>%。主要</w:t>
      </w:r>
      <w:r>
        <w:rPr>
          <w:rFonts w:hint="eastAsia" w:ascii="仿宋" w:hAnsi="仿宋" w:eastAsia="仿宋"/>
          <w:color w:val="000000"/>
          <w:sz w:val="32"/>
          <w:szCs w:val="32"/>
          <w:lang w:eastAsia="zh-CN"/>
        </w:rPr>
        <w:t>增加</w:t>
      </w:r>
      <w:r>
        <w:rPr>
          <w:rFonts w:hint="eastAsia" w:ascii="仿宋" w:hAnsi="仿宋" w:eastAsia="仿宋"/>
          <w:color w:val="000000"/>
          <w:sz w:val="32"/>
          <w:szCs w:val="32"/>
        </w:rPr>
        <w:t>原因</w:t>
      </w:r>
      <w:r>
        <w:rPr>
          <w:rFonts w:hint="eastAsia" w:ascii="仿宋" w:hAnsi="仿宋" w:eastAsia="仿宋"/>
          <w:color w:val="000000"/>
          <w:sz w:val="32"/>
          <w:szCs w:val="32"/>
          <w:lang w:eastAsia="zh-CN"/>
        </w:rPr>
        <w:t>：</w:t>
      </w:r>
      <w:r>
        <w:rPr>
          <w:rFonts w:hint="eastAsia" w:ascii="仿宋_GB2312" w:hAnsi="仿宋" w:eastAsia="仿宋_GB2312" w:cs="仿宋"/>
          <w:sz w:val="32"/>
          <w:szCs w:val="32"/>
          <w:lang w:val="en-US" w:eastAsia="zh-CN"/>
        </w:rPr>
        <w:t>工资上调，保险基数增加</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r>
        <w:rPr>
          <w:rFonts w:hint="eastAsia"/>
          <w:sz w:val="32"/>
          <w:szCs w:val="32"/>
        </w:rPr>
        <w:object>
          <v:shape id="_x0000_i1025" o:spt="75" type="#_x0000_t75" style="height:310.65pt;width:375.55pt;" o:ole="t" filled="f" o:preferrelative="t" stroked="f" coordsize="21600,21600">
            <v:path/>
            <v:fill on="f" focussize="0,0"/>
            <v:stroke on="f"/>
            <v:imagedata r:id="rId7" cropbottom="-29f" o:title=""/>
            <o:lock v:ext="edit" aspectratio="f"/>
            <w10:wrap type="none"/>
            <w10:anchorlock/>
          </v:shape>
          <o:OLEObject Type="Embed" ProgID="Excel.Chart.8" ShapeID="_x0000_i1025" DrawAspect="Content" ObjectID="_1468075725" r:id="rId6">
            <o:LockedField>false</o:LockedField>
          </o:OLEObject>
        </w:object>
      </w:r>
    </w:p>
    <w:p w14:paraId="3A896049">
      <w:pPr>
        <w:ind w:firstLine="800" w:firstLineChars="250"/>
        <w:jc w:val="left"/>
        <w:rPr>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5D908ADF">
      <w:pPr>
        <w:pStyle w:val="33"/>
        <w:numPr>
          <w:ilvl w:val="0"/>
          <w:numId w:val="2"/>
        </w:numPr>
        <w:spacing w:line="600" w:lineRule="exact"/>
        <w:ind w:firstLineChars="0"/>
        <w:outlineLvl w:val="1"/>
        <w:rPr>
          <w:rStyle w:val="23"/>
          <w:rFonts w:ascii="黑体" w:hAnsi="黑体" w:eastAsia="黑体"/>
          <w:b w:val="0"/>
        </w:rPr>
      </w:pPr>
      <w:bookmarkStart w:id="25" w:name="_Toc79163861"/>
      <w:bookmarkStart w:id="26" w:name="_Toc15377206"/>
      <w:bookmarkStart w:id="27" w:name="_Toc15396604"/>
      <w:bookmarkStart w:id="28" w:name="_Toc79163611"/>
      <w:r>
        <w:rPr>
          <w:rFonts w:hint="eastAsia" w:ascii="黑体" w:hAnsi="黑体" w:eastAsia="黑体"/>
          <w:color w:val="000000"/>
          <w:sz w:val="32"/>
          <w:szCs w:val="32"/>
        </w:rPr>
        <w:t>收</w:t>
      </w:r>
      <w:r>
        <w:rPr>
          <w:rStyle w:val="23"/>
          <w:rFonts w:hint="eastAsia" w:ascii="黑体" w:hAnsi="黑体" w:eastAsia="黑体"/>
          <w:b w:val="0"/>
        </w:rPr>
        <w:t>入决算情况说明</w:t>
      </w:r>
      <w:bookmarkEnd w:id="25"/>
      <w:bookmarkEnd w:id="26"/>
      <w:bookmarkEnd w:id="27"/>
      <w:bookmarkEnd w:id="28"/>
    </w:p>
    <w:p w14:paraId="34ACC81E">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218.98万</w:t>
      </w:r>
      <w:r>
        <w:rPr>
          <w:rFonts w:hint="eastAsia" w:ascii="仿宋" w:hAnsi="仿宋" w:eastAsia="仿宋"/>
          <w:color w:val="000000"/>
          <w:sz w:val="32"/>
          <w:szCs w:val="32"/>
        </w:rPr>
        <w:t>元，其中：一般公共预算财政拨款收入</w:t>
      </w:r>
      <w:r>
        <w:rPr>
          <w:rFonts w:hint="eastAsia" w:ascii="仿宋" w:hAnsi="仿宋" w:eastAsia="仿宋"/>
          <w:color w:val="000000"/>
          <w:sz w:val="32"/>
          <w:szCs w:val="32"/>
          <w:lang w:val="en-US" w:eastAsia="zh-CN"/>
        </w:rPr>
        <w:t>218.98</w:t>
      </w:r>
      <w:r>
        <w:rPr>
          <w:rFonts w:hint="eastAsia" w:ascii="仿宋" w:hAnsi="仿宋" w:eastAsia="仿宋"/>
          <w:color w:val="000000"/>
          <w:sz w:val="32"/>
          <w:szCs w:val="32"/>
        </w:rPr>
        <w:t>万元，占100%；本单位无政府性基金预算财政拨款收入、</w:t>
      </w:r>
      <w:r>
        <w:rPr>
          <w:rFonts w:hint="eastAsia" w:ascii="仿宋" w:hAnsi="仿宋" w:eastAsia="仿宋"/>
          <w:color w:val="000000"/>
          <w:sz w:val="32"/>
          <w:szCs w:val="32"/>
          <w:lang w:eastAsia="zh-CN"/>
        </w:rPr>
        <w:t>国有资本经营预算财政拨款收入、</w:t>
      </w:r>
      <w:r>
        <w:rPr>
          <w:rFonts w:hint="eastAsia" w:ascii="仿宋" w:hAnsi="仿宋" w:eastAsia="仿宋"/>
          <w:color w:val="000000"/>
          <w:sz w:val="32"/>
          <w:szCs w:val="32"/>
        </w:rPr>
        <w:t>上级补助收入、事业收入、经营收入、附属单位上缴收入、其他收入。</w:t>
      </w:r>
    </w:p>
    <w:p w14:paraId="20E2C0D4">
      <w:pPr>
        <w:spacing w:line="600" w:lineRule="exact"/>
        <w:ind w:firstLine="960" w:firstLineChars="3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r>
        <w:rPr>
          <w:rFonts w:hint="eastAsia" w:ascii="仿宋_GB2312" w:hAnsi="仿宋" w:eastAsia="仿宋_GB2312" w:cs="仿宋_GB2312"/>
          <w:sz w:val="32"/>
          <w:szCs w:val="32"/>
        </w:rPr>
        <w:pict>
          <v:shape id="_x0000_s1028" o:spid="_x0000_s1028" o:spt="75" type="#_x0000_t75" style="position:absolute;left:0pt;margin-left:21.5pt;margin-top:23.9pt;height:237.9pt;width:382.75pt;mso-wrap-distance-bottom:0pt;mso-wrap-distance-top:0pt;z-index:251659264;mso-width-relative:page;mso-height-relative:page;" o:ole="t" filled="f" o:preferrelative="t" stroked="f" coordsize="21600,21600">
            <v:path/>
            <v:fill on="f" focussize="0,0"/>
            <v:stroke on="f"/>
            <v:imagedata r:id="rId9" o:title=""/>
            <o:lock v:ext="edit" aspectratio="t"/>
            <w10:wrap type="topAndBottom"/>
          </v:shape>
          <o:OLEObject Type="Embed" ProgID="Excel.Chart.8" ShapeID="_x0000_s1028" DrawAspect="Content" ObjectID="_1468075726" r:id="rId8">
            <o:LockedField>false</o:LockedField>
          </o:OLEObject>
        </w:pict>
      </w:r>
    </w:p>
    <w:p w14:paraId="7B216367">
      <w:pPr>
        <w:pStyle w:val="33"/>
        <w:numPr>
          <w:ilvl w:val="0"/>
          <w:numId w:val="2"/>
        </w:numPr>
        <w:spacing w:line="600" w:lineRule="exact"/>
        <w:ind w:firstLineChars="0"/>
        <w:outlineLvl w:val="1"/>
        <w:rPr>
          <w:rStyle w:val="23"/>
          <w:rFonts w:ascii="黑体" w:hAnsi="黑体" w:eastAsia="黑体"/>
          <w:b w:val="0"/>
        </w:rPr>
      </w:pPr>
      <w:bookmarkStart w:id="29" w:name="_Toc79163612"/>
      <w:bookmarkStart w:id="30" w:name="_Toc15396605"/>
      <w:bookmarkStart w:id="31" w:name="_Toc15377207"/>
      <w:bookmarkStart w:id="32" w:name="_Toc79163862"/>
      <w:r>
        <w:rPr>
          <w:rFonts w:hint="eastAsia" w:ascii="黑体" w:hAnsi="黑体" w:eastAsia="黑体"/>
          <w:color w:val="000000"/>
          <w:sz w:val="32"/>
          <w:szCs w:val="32"/>
        </w:rPr>
        <w:t>支</w:t>
      </w:r>
      <w:r>
        <w:rPr>
          <w:rStyle w:val="23"/>
          <w:rFonts w:hint="eastAsia" w:ascii="黑体" w:hAnsi="黑体" w:eastAsia="黑体"/>
          <w:b w:val="0"/>
        </w:rPr>
        <w:t>出决算情况说明</w:t>
      </w:r>
      <w:bookmarkEnd w:id="29"/>
      <w:bookmarkEnd w:id="30"/>
      <w:bookmarkEnd w:id="31"/>
      <w:bookmarkEnd w:id="32"/>
    </w:p>
    <w:p w14:paraId="6075700C">
      <w:pPr>
        <w:spacing w:line="600" w:lineRule="exact"/>
        <w:ind w:firstLine="640" w:firstLineChars="2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年本年支出合计</w:t>
      </w:r>
      <w:r>
        <w:rPr>
          <w:rFonts w:hint="eastAsia" w:ascii="仿宋_GB2312" w:eastAsia="仿宋_GB2312"/>
          <w:sz w:val="32"/>
          <w:szCs w:val="32"/>
          <w:lang w:val="en-US" w:eastAsia="zh-CN"/>
        </w:rPr>
        <w:t>218.98</w:t>
      </w:r>
      <w:r>
        <w:rPr>
          <w:rFonts w:hint="eastAsia" w:ascii="仿宋_GB2312" w:eastAsia="仿宋_GB2312"/>
          <w:sz w:val="32"/>
          <w:szCs w:val="32"/>
        </w:rPr>
        <w:t>万元，其中：基本支出</w:t>
      </w:r>
      <w:r>
        <w:rPr>
          <w:rFonts w:hint="eastAsia" w:ascii="仿宋_GB2312" w:eastAsia="仿宋_GB2312"/>
          <w:sz w:val="32"/>
          <w:szCs w:val="32"/>
          <w:lang w:val="en-US" w:eastAsia="zh-CN"/>
        </w:rPr>
        <w:t>218.98</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%；本单位无</w:t>
      </w:r>
      <w:r>
        <w:rPr>
          <w:rFonts w:hint="eastAsia" w:ascii="仿宋_GB2312" w:eastAsia="仿宋_GB2312"/>
          <w:sz w:val="32"/>
          <w:szCs w:val="32"/>
          <w:lang w:eastAsia="zh-CN"/>
        </w:rPr>
        <w:t>项目支出、</w:t>
      </w:r>
      <w:r>
        <w:rPr>
          <w:rFonts w:hint="eastAsia" w:ascii="仿宋_GB2312" w:eastAsia="仿宋_GB2312"/>
          <w:sz w:val="32"/>
          <w:szCs w:val="32"/>
        </w:rPr>
        <w:t>上缴上级支出、经营支出、对附属单位补助支出。</w:t>
      </w:r>
    </w:p>
    <w:p w14:paraId="39A24F13">
      <w:pPr>
        <w:spacing w:line="600" w:lineRule="exact"/>
        <w:rPr>
          <w:rFonts w:ascii="仿宋_GB2312" w:eastAsia="仿宋_GB2312"/>
          <w:color w:val="FF0000"/>
          <w:sz w:val="32"/>
          <w:szCs w:val="32"/>
        </w:rPr>
      </w:pPr>
      <w:r>
        <w:rPr>
          <w:rFonts w:hint="eastAsia" w:ascii="仿宋_GB2312" w:hAnsi="仿宋" w:eastAsia="仿宋_GB2312" w:cs="仿宋_GB2312"/>
          <w:sz w:val="32"/>
          <w:szCs w:val="32"/>
        </w:rPr>
        <w:pict>
          <v:shape id="_x0000_s1033" o:spid="_x0000_s1033" o:spt="75" type="#_x0000_t75" style="position:absolute;left:0pt;margin-left:50.25pt;margin-top:39.8pt;height:203.75pt;width:326.7pt;mso-wrap-distance-bottom:0pt;mso-wrap-distance-top:0pt;z-index:251661312;mso-width-relative:page;mso-height-relative:page;" o:ole="t" filled="f" o:preferrelative="t" stroked="f" coordsize="21600,21600">
            <v:path/>
            <v:fill on="f" focussize="0,0"/>
            <v:stroke on="f"/>
            <v:imagedata r:id="rId11" o:title=""/>
            <o:lock v:ext="edit" aspectratio="t"/>
            <w10:wrap type="topAndBottom"/>
          </v:shape>
          <o:OLEObject Type="Embed" ProgID="Excel.Chart.8" ShapeID="_x0000_s1033" DrawAspect="Content" ObjectID="_1468075727" r:id="rId10">
            <o:LockedField>false</o:LockedField>
          </o:OLEObject>
        </w:pict>
      </w:r>
      <w:bookmarkStart w:id="33" w:name="_Toc79163613"/>
      <w:bookmarkStart w:id="34" w:name="_Toc15396606"/>
      <w:bookmarkStart w:id="35" w:name="_Toc79163863"/>
      <w:bookmarkStart w:id="36" w:name="_Toc15377208"/>
      <w:bookmarkStart w:id="37" w:name="_Toc15396607"/>
      <w:bookmarkStart w:id="38" w:name="_Toc15377209"/>
      <w:bookmarkStart w:id="39" w:name="_Toc79163614"/>
      <w:bookmarkStart w:id="40" w:name="_Toc79163864"/>
      <w:r>
        <w:rPr>
          <w:rFonts w:hint="eastAsia" w:ascii="仿宋_GB2312" w:hAnsi="仿宋" w:eastAsia="仿宋_GB2312" w:cs="仿宋_GB2312"/>
          <w:sz w:val="32"/>
          <w:szCs w:val="32"/>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5FF03576">
      <w:pPr>
        <w:spacing w:line="600" w:lineRule="exact"/>
        <w:ind w:firstLine="640" w:firstLineChars="200"/>
        <w:outlineLvl w:val="1"/>
        <w:rPr>
          <w:rStyle w:val="23"/>
          <w:rFonts w:ascii="黑体" w:hAnsi="黑体" w:eastAsia="黑体"/>
          <w:b w:val="0"/>
        </w:rPr>
      </w:pPr>
      <w:r>
        <w:rPr>
          <w:rFonts w:hint="eastAsia" w:ascii="黑体" w:hAnsi="黑体" w:eastAsia="黑体"/>
          <w:color w:val="000000"/>
          <w:sz w:val="32"/>
          <w:szCs w:val="32"/>
        </w:rPr>
        <w:t>四、财</w:t>
      </w:r>
      <w:r>
        <w:rPr>
          <w:rStyle w:val="23"/>
          <w:rFonts w:hint="eastAsia" w:ascii="黑体" w:hAnsi="黑体" w:eastAsia="黑体"/>
          <w:b w:val="0"/>
        </w:rPr>
        <w:t>政拨款收入支出决算总体情况说明</w:t>
      </w:r>
      <w:bookmarkEnd w:id="33"/>
      <w:bookmarkEnd w:id="34"/>
      <w:bookmarkEnd w:id="35"/>
      <w:bookmarkEnd w:id="36"/>
    </w:p>
    <w:p w14:paraId="45261BAE">
      <w:pPr>
        <w:spacing w:line="600" w:lineRule="exact"/>
        <w:ind w:firstLine="640" w:firstLineChars="200"/>
        <w:rPr>
          <w:rFonts w:hint="eastAsia" w:ascii="仿宋_GB2312" w:hAnsi="仿宋" w:eastAsia="仿宋_GB2312" w:cs="仿宋"/>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年财政拨款收入总计</w:t>
      </w:r>
      <w:r>
        <w:rPr>
          <w:rFonts w:hint="eastAsia" w:ascii="仿宋" w:hAnsi="仿宋" w:eastAsia="仿宋"/>
          <w:color w:val="000000"/>
          <w:sz w:val="32"/>
          <w:szCs w:val="32"/>
          <w:lang w:val="en-US" w:eastAsia="zh-CN"/>
        </w:rPr>
        <w:t>218.98</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万元相比，财政拨款收入总计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20.63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9.42</w:t>
      </w:r>
      <w:r>
        <w:rPr>
          <w:rFonts w:hint="eastAsia" w:ascii="仿宋" w:hAnsi="仿宋" w:eastAsia="仿宋"/>
          <w:color w:val="000000"/>
          <w:sz w:val="32"/>
          <w:szCs w:val="32"/>
        </w:rPr>
        <w:t>%。主要</w:t>
      </w:r>
      <w:r>
        <w:rPr>
          <w:rFonts w:hint="eastAsia" w:ascii="仿宋" w:hAnsi="仿宋" w:eastAsia="仿宋"/>
          <w:color w:val="000000"/>
          <w:sz w:val="32"/>
          <w:szCs w:val="32"/>
          <w:lang w:eastAsia="zh-CN"/>
        </w:rPr>
        <w:t>增加</w:t>
      </w:r>
      <w:r>
        <w:rPr>
          <w:rFonts w:hint="eastAsia" w:ascii="仿宋" w:hAnsi="仿宋" w:eastAsia="仿宋"/>
          <w:color w:val="000000"/>
          <w:sz w:val="32"/>
          <w:szCs w:val="32"/>
        </w:rPr>
        <w:t>原因</w:t>
      </w:r>
      <w:r>
        <w:rPr>
          <w:rFonts w:hint="eastAsia" w:ascii="仿宋" w:hAnsi="仿宋" w:eastAsia="仿宋"/>
          <w:color w:val="000000"/>
          <w:sz w:val="32"/>
          <w:szCs w:val="32"/>
          <w:lang w:eastAsia="zh-CN"/>
        </w:rPr>
        <w:t>：</w:t>
      </w:r>
      <w:r>
        <w:rPr>
          <w:rFonts w:hint="eastAsia" w:ascii="仿宋_GB2312" w:hAnsi="仿宋" w:eastAsia="仿宋_GB2312" w:cs="仿宋"/>
          <w:sz w:val="32"/>
          <w:szCs w:val="32"/>
          <w:lang w:val="en-US" w:eastAsia="zh-CN"/>
        </w:rPr>
        <w:t>工资上调，保险基数增加</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p>
    <w:p w14:paraId="6D46837C">
      <w:pPr>
        <w:spacing w:line="600" w:lineRule="exact"/>
        <w:ind w:firstLine="640" w:firstLineChars="200"/>
        <w:rPr>
          <w:rFonts w:hint="eastAsia" w:ascii="仿宋_GB2312" w:hAnsi="仿宋" w:eastAsia="仿宋_GB2312" w:cs="仿宋"/>
          <w:sz w:val="32"/>
          <w:szCs w:val="32"/>
        </w:rPr>
      </w:pPr>
      <w:r>
        <w:rPr>
          <w:rFonts w:hint="eastAsia" w:ascii="仿宋" w:hAnsi="仿宋" w:eastAsia="仿宋"/>
          <w:color w:val="000000"/>
          <w:sz w:val="32"/>
          <w:szCs w:val="32"/>
          <w:lang w:val="en-US" w:eastAsia="zh-CN"/>
        </w:rPr>
        <w:t>2024</w:t>
      </w:r>
      <w:r>
        <w:rPr>
          <w:rFonts w:hint="eastAsia" w:ascii="仿宋" w:hAnsi="仿宋" w:eastAsia="仿宋"/>
          <w:color w:val="000000"/>
          <w:sz w:val="32"/>
          <w:szCs w:val="32"/>
        </w:rPr>
        <w:t>年财政拨款支出总计</w:t>
      </w:r>
      <w:r>
        <w:rPr>
          <w:rFonts w:hint="eastAsia" w:ascii="仿宋" w:hAnsi="仿宋" w:eastAsia="仿宋"/>
          <w:color w:val="000000"/>
          <w:sz w:val="32"/>
          <w:szCs w:val="32"/>
          <w:lang w:val="en-US" w:eastAsia="zh-CN"/>
        </w:rPr>
        <w:t>218.98</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万元相比，财政拨款支出总计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20.63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9.42</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w:t>
      </w:r>
      <w:r>
        <w:rPr>
          <w:rFonts w:hint="eastAsia" w:ascii="仿宋_GB2312" w:hAnsi="仿宋" w:eastAsia="仿宋_GB2312" w:cs="仿宋"/>
          <w:sz w:val="32"/>
          <w:szCs w:val="32"/>
          <w:lang w:val="en-US" w:eastAsia="zh-CN"/>
        </w:rPr>
        <w:t>工资上调，保险基数增加</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p>
    <w:p w14:paraId="3C4D7391">
      <w:pPr>
        <w:spacing w:line="600" w:lineRule="exact"/>
        <w:ind w:firstLine="640" w:firstLineChars="200"/>
        <w:rPr>
          <w:rFonts w:hint="eastAsia" w:ascii="仿宋" w:hAnsi="仿宋" w:eastAsia="仿宋"/>
          <w:color w:val="000000"/>
          <w:sz w:val="32"/>
          <w:szCs w:val="32"/>
        </w:rPr>
      </w:pPr>
    </w:p>
    <w:p w14:paraId="6C9C6AA3">
      <w:pPr>
        <w:ind w:firstLine="800" w:firstLineChars="250"/>
        <w:jc w:val="center"/>
        <w:rPr>
          <w:rFonts w:hint="eastAsia" w:ascii="黑体" w:hAnsi="黑体" w:eastAsia="黑体"/>
          <w:color w:val="000000"/>
          <w:sz w:val="32"/>
          <w:szCs w:val="32"/>
        </w:rPr>
      </w:pPr>
      <w:r>
        <w:rPr>
          <w:rFonts w:hint="eastAsia"/>
          <w:sz w:val="32"/>
          <w:szCs w:val="32"/>
        </w:rPr>
        <w:object>
          <v:shape id="_x0000_i1026" o:spt="75" type="#_x0000_t75" style="height:310.75pt;width:375.6pt;" o:ole="t" filled="f" o:preferrelative="t" stroked="f" coordsize="21600,21600">
            <v:path/>
            <v:fill on="f" focussize="0,0"/>
            <v:stroke on="f"/>
            <v:imagedata r:id="rId13" cropbottom="-29f" o:title=""/>
            <o:lock v:ext="edit" aspectratio="f"/>
            <w10:wrap type="none"/>
            <w10:anchorlock/>
          </v:shape>
          <o:OLEObject Type="Embed" ProgID="Excel.Chart.8" ShapeID="_x0000_i1026" DrawAspect="Content" ObjectID="_1468075728" r:id="rId12">
            <o:LockedField>false</o:LockedField>
          </o:OLEObject>
        </w:object>
      </w:r>
      <w:r>
        <w:rPr>
          <w:rFonts w:hint="eastAsia"/>
          <w:sz w:val="32"/>
          <w:szCs w:val="32"/>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4E21332C">
      <w:pPr>
        <w:spacing w:line="600" w:lineRule="exact"/>
        <w:ind w:firstLine="640" w:firstLineChars="200"/>
        <w:outlineLvl w:val="1"/>
        <w:rPr>
          <w:rStyle w:val="23"/>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3"/>
          <w:rFonts w:hint="eastAsia" w:ascii="黑体" w:hAnsi="黑体" w:eastAsia="黑体"/>
          <w:b w:val="0"/>
        </w:rPr>
        <w:t>般公共预算财政拨款支出决算情况说明</w:t>
      </w:r>
      <w:bookmarkEnd w:id="37"/>
      <w:bookmarkEnd w:id="38"/>
      <w:bookmarkEnd w:id="39"/>
      <w:bookmarkEnd w:id="40"/>
    </w:p>
    <w:p w14:paraId="388E09B7">
      <w:pPr>
        <w:spacing w:line="600" w:lineRule="exact"/>
        <w:ind w:firstLine="643" w:firstLineChars="200"/>
        <w:outlineLvl w:val="2"/>
        <w:rPr>
          <w:rFonts w:ascii="仿宋" w:hAnsi="仿宋" w:eastAsia="仿宋"/>
          <w:b/>
          <w:color w:val="000000"/>
          <w:sz w:val="32"/>
          <w:szCs w:val="32"/>
        </w:rPr>
      </w:pPr>
      <w:bookmarkStart w:id="41" w:name="_Toc79163615"/>
      <w:bookmarkStart w:id="42" w:name="_Toc79163865"/>
      <w:bookmarkStart w:id="43" w:name="_Toc15377210"/>
      <w:r>
        <w:rPr>
          <w:rFonts w:hint="eastAsia" w:ascii="仿宋" w:hAnsi="仿宋" w:eastAsia="仿宋"/>
          <w:b/>
          <w:color w:val="000000"/>
          <w:sz w:val="32"/>
          <w:szCs w:val="32"/>
        </w:rPr>
        <w:t>（一）一般公共预算财政拨款支出决算总体情况</w:t>
      </w:r>
      <w:bookmarkEnd w:id="41"/>
      <w:bookmarkEnd w:id="42"/>
      <w:bookmarkEnd w:id="43"/>
    </w:p>
    <w:p w14:paraId="3CC0A9E9">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218.98</w:t>
      </w:r>
      <w:r>
        <w:rPr>
          <w:rFonts w:hint="eastAsia" w:ascii="仿宋" w:hAnsi="仿宋" w:eastAsia="仿宋"/>
          <w:color w:val="000000"/>
          <w:sz w:val="32"/>
          <w:szCs w:val="32"/>
        </w:rPr>
        <w:t>万元，占本年支出合计的100%。与20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20.63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9.42</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w:t>
      </w:r>
      <w:r>
        <w:rPr>
          <w:rFonts w:hint="eastAsia" w:ascii="仿宋_GB2312" w:hAnsi="仿宋" w:eastAsia="仿宋_GB2312" w:cs="仿宋"/>
          <w:sz w:val="32"/>
          <w:szCs w:val="32"/>
          <w:lang w:val="en-US" w:eastAsia="zh-CN"/>
        </w:rPr>
        <w:t>工资上调，保险基数增加</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p>
    <w:p w14:paraId="7F218926">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3E6BF6D5">
      <w:pPr>
        <w:spacing w:line="600" w:lineRule="exact"/>
        <w:ind w:firstLine="400" w:firstLineChars="200"/>
        <w:outlineLvl w:val="2"/>
        <w:rPr>
          <w:rFonts w:ascii="仿宋" w:hAnsi="仿宋" w:eastAsia="仿宋"/>
          <w:b/>
          <w:color w:val="000000"/>
          <w:sz w:val="32"/>
          <w:szCs w:val="32"/>
        </w:rPr>
      </w:pPr>
      <w:bookmarkStart w:id="44" w:name="_Toc79163866"/>
      <w:bookmarkStart w:id="45" w:name="_Toc79163616"/>
      <w:bookmarkStart w:id="46" w:name="_Toc15377211"/>
      <w:r>
        <w:rPr>
          <w:rFonts w:hint="eastAsia"/>
          <w:sz w:val="20"/>
          <w:szCs w:val="20"/>
        </w:rPr>
        <w:pict>
          <v:shape id="_x0000_s1031" o:spid="_x0000_s1031" o:spt="75" type="#_x0000_t75" style="position:absolute;left:0pt;margin-left:34.6pt;margin-top:8.2pt;height:230.45pt;width:370.7pt;mso-wrap-distance-bottom:0pt;mso-wrap-distance-top:0pt;z-index:251660288;mso-width-relative:page;mso-height-relative:page;" o:ole="t" filled="f" o:preferrelative="t" stroked="f" coordsize="21600,21600">
            <v:path/>
            <v:fill on="f" focussize="0,0"/>
            <v:stroke on="f"/>
            <v:imagedata r:id="rId15" o:title=""/>
            <o:lock v:ext="edit" aspectratio="t"/>
            <w10:wrap type="topAndBottom"/>
          </v:shape>
          <o:OLEObject Type="Embed" ProgID="Excel.Chart.8" ShapeID="_x0000_s1031" DrawAspect="Content" ObjectID="_1468075729" r:id="rId14">
            <o:LockedField>false</o:LockedField>
          </o:OLEObject>
        </w:pict>
      </w:r>
      <w:r>
        <w:rPr>
          <w:rFonts w:hint="eastAsia" w:ascii="仿宋" w:hAnsi="仿宋" w:eastAsia="仿宋"/>
          <w:b/>
          <w:color w:val="000000"/>
          <w:sz w:val="32"/>
          <w:szCs w:val="32"/>
        </w:rPr>
        <w:t>（二）一般公共预算财政拨款支出决算结构情况</w:t>
      </w:r>
      <w:bookmarkEnd w:id="44"/>
      <w:bookmarkEnd w:id="45"/>
      <w:bookmarkEnd w:id="46"/>
    </w:p>
    <w:p w14:paraId="1018D593">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218.98</w:t>
      </w:r>
      <w:r>
        <w:rPr>
          <w:rFonts w:hint="eastAsia" w:ascii="仿宋" w:hAnsi="仿宋" w:eastAsia="仿宋"/>
          <w:color w:val="000000"/>
          <w:sz w:val="32"/>
          <w:szCs w:val="32"/>
        </w:rPr>
        <w:t>万元，主要用于以下方面:社会保障和就业（类）支出</w:t>
      </w:r>
      <w:r>
        <w:rPr>
          <w:rFonts w:hint="eastAsia" w:ascii="仿宋" w:hAnsi="仿宋" w:eastAsia="仿宋"/>
          <w:color w:val="000000"/>
          <w:sz w:val="32"/>
          <w:szCs w:val="32"/>
          <w:lang w:val="en-US" w:eastAsia="zh-CN"/>
        </w:rPr>
        <w:t>168.91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77.13</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10.21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4.67</w:t>
      </w:r>
      <w:r>
        <w:rPr>
          <w:rFonts w:hint="eastAsia" w:ascii="仿宋" w:hAnsi="仿宋" w:eastAsia="仿宋"/>
          <w:color w:val="000000"/>
          <w:sz w:val="32"/>
          <w:szCs w:val="32"/>
        </w:rPr>
        <w:t>%；</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26.65万</w:t>
      </w:r>
      <w:r>
        <w:rPr>
          <w:rFonts w:hint="eastAsia" w:ascii="仿宋_GB2312" w:hAnsi="仿宋_GB2312" w:eastAsia="仿宋_GB2312" w:cs="仿宋_GB2312"/>
          <w:sz w:val="32"/>
          <w:szCs w:val="32"/>
        </w:rPr>
        <w:t>元，占支出总额的</w:t>
      </w:r>
      <w:r>
        <w:rPr>
          <w:rFonts w:hint="eastAsia" w:ascii="仿宋_GB2312" w:hAnsi="仿宋_GB2312" w:eastAsia="仿宋_GB2312" w:cs="仿宋_GB2312"/>
          <w:sz w:val="32"/>
          <w:szCs w:val="32"/>
          <w:lang w:val="en-US" w:eastAsia="zh-CN"/>
        </w:rPr>
        <w:t>12.17</w:t>
      </w:r>
      <w:r>
        <w:rPr>
          <w:rFonts w:hint="eastAsia" w:ascii="仿宋_GB2312" w:hAnsi="仿宋_GB2312" w:eastAsia="仿宋_GB2312" w:cs="仿宋_GB2312"/>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13.21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6.03</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p>
    <w:p w14:paraId="732AEE2D">
      <w:pPr>
        <w:jc w:val="left"/>
        <w:rPr>
          <w:rFonts w:hint="eastAsia"/>
        </w:rPr>
      </w:pPr>
      <w:bookmarkStart w:id="47" w:name="_Toc15377212"/>
      <w:bookmarkStart w:id="48" w:name="_Toc79163867"/>
      <w:bookmarkStart w:id="49" w:name="_Toc79163617"/>
      <w:r>
        <w:rPr>
          <w:rFonts w:hint="eastAsia"/>
        </w:rPr>
        <w:object>
          <v:shape id="_x0000_i1027" o:spt="75" type="#_x0000_t75" style="height:222.75pt;width:384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30" r:id="rId16">
            <o:LockedField>false</o:LockedField>
          </o:OLEObject>
        </w:object>
      </w:r>
    </w:p>
    <w:p w14:paraId="6508069C">
      <w:pPr>
        <w:jc w:val="left"/>
      </w:pPr>
    </w:p>
    <w:p w14:paraId="195EC6E6">
      <w:pPr>
        <w:spacing w:line="600" w:lineRule="exact"/>
        <w:rPr>
          <w:rFonts w:hint="eastAsia" w:ascii="仿宋" w:hAnsi="仿宋" w:eastAsia="仿宋"/>
          <w:b/>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6E17CF65">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（三）一般公共预算财政拨款支出决算具体情况</w:t>
      </w:r>
      <w:bookmarkEnd w:id="47"/>
      <w:bookmarkEnd w:id="48"/>
      <w:bookmarkEnd w:id="49"/>
    </w:p>
    <w:p w14:paraId="3264CEAC">
      <w:pPr>
        <w:spacing w:line="600" w:lineRule="exact"/>
        <w:ind w:firstLine="643" w:firstLineChars="200"/>
        <w:rPr>
          <w:rFonts w:hint="eastAsia" w:ascii="仿宋" w:hAnsi="仿宋" w:eastAsia="仿宋" w:cs="仿宋"/>
          <w:b/>
          <w:color w:val="000000"/>
          <w:sz w:val="32"/>
          <w:szCs w:val="32"/>
          <w:lang w:val="en-US" w:eastAsia="zh-CN"/>
        </w:rPr>
      </w:pPr>
      <w:bookmarkStart w:id="50" w:name="_Toc15377444"/>
      <w:bookmarkStart w:id="51" w:name="_Toc15377213"/>
      <w:bookmarkStart w:id="52" w:name="_Toc15378460"/>
      <w:r>
        <w:rPr>
          <w:rFonts w:ascii="仿宋_GB2312" w:eastAsia="仿宋_GB2312"/>
          <w:b/>
          <w:bCs/>
          <w:sz w:val="32"/>
          <w:szCs w:val="32"/>
        </w:rPr>
        <w:t>2</w:t>
      </w:r>
      <w:r>
        <w:rPr>
          <w:rFonts w:hint="eastAsia" w:ascii="仿宋" w:hAnsi="仿宋" w:eastAsia="仿宋" w:cs="仿宋"/>
          <w:b/>
          <w:color w:val="000000"/>
          <w:sz w:val="32"/>
          <w:szCs w:val="32"/>
          <w:lang w:val="en-US" w:eastAsia="zh-CN"/>
        </w:rPr>
        <w:t>024年一般公共预算支出决算数为218.98万元，完成预算100%。其中：</w:t>
      </w:r>
      <w:bookmarkEnd w:id="50"/>
      <w:bookmarkEnd w:id="51"/>
      <w:bookmarkEnd w:id="52"/>
    </w:p>
    <w:p w14:paraId="4FB83C18">
      <w:pPr>
        <w:spacing w:line="60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color w:val="000000"/>
          <w:sz w:val="32"/>
          <w:szCs w:val="32"/>
          <w:lang w:val="en-US" w:eastAsia="zh-CN"/>
        </w:rPr>
        <w:t xml:space="preserve">1.社会保障和就业（类）人力资源和社会保障管理事务（款）社会保障经办机构（项）: </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140.88万</w:t>
      </w:r>
      <w:r>
        <w:rPr>
          <w:rFonts w:hint="eastAsia" w:ascii="仿宋" w:hAnsi="仿宋" w:eastAsia="仿宋" w:cs="仿宋"/>
          <w:b w:val="0"/>
          <w:bCs w:val="0"/>
          <w:color w:val="000000"/>
          <w:sz w:val="32"/>
          <w:szCs w:val="32"/>
        </w:rPr>
        <w:t>元，完成预算</w:t>
      </w:r>
      <w:r>
        <w:rPr>
          <w:rFonts w:hint="eastAsia" w:ascii="仿宋" w:hAnsi="仿宋" w:eastAsia="仿宋" w:cs="仿宋"/>
          <w:b w:val="0"/>
          <w:bCs w:val="0"/>
          <w:color w:val="000000"/>
          <w:sz w:val="32"/>
          <w:szCs w:val="32"/>
          <w:lang w:val="en-US" w:eastAsia="zh-CN"/>
        </w:rPr>
        <w:t>100</w:t>
      </w:r>
      <w:r>
        <w:rPr>
          <w:rFonts w:hint="eastAsia" w:ascii="仿宋" w:hAnsi="仿宋" w:eastAsia="仿宋" w:cs="仿宋"/>
          <w:b w:val="0"/>
          <w:bCs w:val="0"/>
          <w:color w:val="000000"/>
          <w:sz w:val="32"/>
          <w:szCs w:val="32"/>
        </w:rPr>
        <w:t>%。</w:t>
      </w:r>
    </w:p>
    <w:p w14:paraId="5F571A85">
      <w:pPr>
        <w:spacing w:line="600" w:lineRule="exact"/>
        <w:ind w:firstLine="643" w:firstLineChars="200"/>
        <w:rPr>
          <w:rFonts w:hint="default" w:ascii="仿宋" w:hAnsi="仿宋" w:eastAsia="仿宋"/>
          <w:b w:val="0"/>
          <w:bCs w:val="0"/>
          <w:color w:val="000000"/>
          <w:sz w:val="32"/>
          <w:szCs w:val="32"/>
          <w:lang w:val="en-US"/>
        </w:rPr>
      </w:pPr>
      <w:r>
        <w:rPr>
          <w:rFonts w:hint="eastAsia" w:ascii="仿宋" w:hAnsi="仿宋" w:eastAsia="仿宋" w:cs="仿宋"/>
          <w:b/>
          <w:color w:val="000000"/>
          <w:sz w:val="32"/>
          <w:szCs w:val="32"/>
          <w:lang w:val="en-US" w:eastAsia="zh-CN"/>
        </w:rPr>
        <w:t>2</w:t>
      </w:r>
      <w:r>
        <w:rPr>
          <w:rFonts w:ascii="仿宋" w:hAnsi="仿宋" w:eastAsia="仿宋" w:cs="仿宋"/>
          <w:b/>
          <w:color w:val="000000"/>
          <w:sz w:val="32"/>
          <w:szCs w:val="32"/>
        </w:rPr>
        <w:t>.</w:t>
      </w:r>
      <w:r>
        <w:rPr>
          <w:rFonts w:hint="eastAsia" w:ascii="仿宋" w:hAnsi="仿宋" w:eastAsia="仿宋" w:cs="仿宋"/>
          <w:b/>
          <w:color w:val="000000"/>
          <w:sz w:val="32"/>
          <w:szCs w:val="32"/>
        </w:rPr>
        <w:t>社会保障和就业（类）行政事业单位离退休（款）机关事业单位基本养老保险缴费支出（项）：</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18.64万元，</w:t>
      </w:r>
      <w:r>
        <w:rPr>
          <w:rFonts w:hint="eastAsia" w:ascii="仿宋" w:hAnsi="仿宋" w:eastAsia="仿宋" w:cs="仿宋"/>
          <w:b w:val="0"/>
          <w:bCs w:val="0"/>
          <w:color w:val="000000"/>
          <w:sz w:val="32"/>
          <w:szCs w:val="32"/>
        </w:rPr>
        <w:t>完成预算</w:t>
      </w:r>
      <w:r>
        <w:rPr>
          <w:rFonts w:hint="eastAsia" w:ascii="仿宋" w:hAnsi="仿宋" w:eastAsia="仿宋" w:cs="仿宋"/>
          <w:b w:val="0"/>
          <w:bCs w:val="0"/>
          <w:color w:val="000000"/>
          <w:sz w:val="32"/>
          <w:szCs w:val="32"/>
          <w:lang w:val="en-US" w:eastAsia="zh-CN"/>
        </w:rPr>
        <w:t>100</w:t>
      </w:r>
      <w:r>
        <w:rPr>
          <w:rFonts w:hint="eastAsia" w:ascii="仿宋" w:hAnsi="仿宋" w:eastAsia="仿宋" w:cs="仿宋"/>
          <w:b w:val="0"/>
          <w:bCs w:val="0"/>
          <w:color w:val="000000"/>
          <w:sz w:val="32"/>
          <w:szCs w:val="32"/>
        </w:rPr>
        <w:t>%。</w:t>
      </w:r>
    </w:p>
    <w:p w14:paraId="6EDD0E19">
      <w:pPr>
        <w:spacing w:line="600" w:lineRule="exact"/>
        <w:ind w:firstLine="643" w:firstLineChars="200"/>
        <w:rPr>
          <w:rFonts w:ascii="仿宋" w:hAnsi="仿宋" w:eastAsia="仿宋"/>
          <w:b/>
          <w:bCs/>
          <w:color w:val="000000"/>
          <w:sz w:val="32"/>
          <w:szCs w:val="32"/>
        </w:rPr>
      </w:pPr>
      <w:r>
        <w:rPr>
          <w:rFonts w:hint="eastAsia" w:ascii="仿宋" w:hAnsi="仿宋" w:eastAsia="仿宋" w:cs="仿宋"/>
          <w:b/>
          <w:bCs/>
          <w:color w:val="000000"/>
          <w:sz w:val="32"/>
          <w:szCs w:val="32"/>
          <w:lang w:val="en-US" w:eastAsia="zh-CN"/>
        </w:rPr>
        <w:t>3</w:t>
      </w:r>
      <w:r>
        <w:rPr>
          <w:rFonts w:ascii="仿宋" w:hAnsi="仿宋" w:eastAsia="仿宋" w:cs="仿宋"/>
          <w:b/>
          <w:bCs/>
          <w:color w:val="000000"/>
          <w:sz w:val="32"/>
          <w:szCs w:val="32"/>
        </w:rPr>
        <w:t>.</w:t>
      </w:r>
      <w:r>
        <w:rPr>
          <w:rFonts w:hint="eastAsia" w:ascii="仿宋" w:hAnsi="仿宋" w:eastAsia="仿宋" w:cs="仿宋"/>
          <w:b/>
          <w:color w:val="000000"/>
          <w:sz w:val="32"/>
          <w:szCs w:val="32"/>
        </w:rPr>
        <w:t>社会保障和就业（类）行政事业单位离退休（款）机关事业单位职业年金缴费支出（项）：</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9.32</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rPr>
        <w:t>。</w:t>
      </w:r>
    </w:p>
    <w:p w14:paraId="74558738">
      <w:pPr>
        <w:spacing w:line="600" w:lineRule="exact"/>
        <w:ind w:firstLine="643" w:firstLineChars="200"/>
        <w:rPr>
          <w:rFonts w:hint="eastAsia" w:ascii="仿宋" w:hAnsi="仿宋" w:eastAsia="仿宋" w:cs="仿宋"/>
          <w:b w:val="0"/>
          <w:bCs w:val="0"/>
          <w:color w:val="000000"/>
          <w:sz w:val="32"/>
          <w:szCs w:val="32"/>
          <w:lang w:eastAsia="zh-CN"/>
        </w:rPr>
      </w:pPr>
      <w:r>
        <w:rPr>
          <w:rFonts w:hint="eastAsia" w:ascii="仿宋" w:hAnsi="仿宋" w:eastAsia="仿宋" w:cs="仿宋"/>
          <w:b/>
          <w:bCs/>
          <w:color w:val="000000"/>
          <w:sz w:val="32"/>
          <w:szCs w:val="32"/>
          <w:lang w:val="en-US" w:eastAsia="zh-CN"/>
        </w:rPr>
        <w:t>4</w:t>
      </w:r>
      <w:r>
        <w:rPr>
          <w:rFonts w:ascii="仿宋" w:hAnsi="仿宋" w:eastAsia="仿宋" w:cs="仿宋"/>
          <w:b/>
          <w:color w:val="000000"/>
          <w:sz w:val="32"/>
          <w:szCs w:val="32"/>
        </w:rPr>
        <w:t>.</w:t>
      </w:r>
      <w:r>
        <w:rPr>
          <w:rFonts w:hint="eastAsia" w:ascii="仿宋" w:hAnsi="仿宋" w:eastAsia="仿宋" w:cs="仿宋"/>
          <w:b/>
          <w:color w:val="000000"/>
          <w:sz w:val="32"/>
          <w:szCs w:val="32"/>
        </w:rPr>
        <w:t>医疗卫生与计划生育（类）行政事业单位医疗（款）事业单位医疗（项）</w:t>
      </w:r>
      <w:r>
        <w:rPr>
          <w:rFonts w:ascii="仿宋" w:hAnsi="仿宋" w:eastAsia="仿宋" w:cs="仿宋"/>
          <w:b/>
          <w:color w:val="000000"/>
          <w:sz w:val="32"/>
          <w:szCs w:val="32"/>
        </w:rPr>
        <w:t>:</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10.21</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lang w:eastAsia="zh-CN"/>
        </w:rPr>
        <w:t>。</w:t>
      </w:r>
    </w:p>
    <w:p w14:paraId="5F71DFEC">
      <w:pPr>
        <w:spacing w:line="60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lang w:val="en-US" w:eastAsia="zh-CN"/>
        </w:rPr>
        <w:t>5</w:t>
      </w:r>
      <w:r>
        <w:rPr>
          <w:rFonts w:ascii="仿宋" w:hAnsi="仿宋" w:eastAsia="仿宋" w:cs="仿宋"/>
          <w:b/>
          <w:color w:val="000000"/>
          <w:sz w:val="32"/>
          <w:szCs w:val="32"/>
        </w:rPr>
        <w:t>.</w:t>
      </w:r>
      <w:r>
        <w:rPr>
          <w:rFonts w:hint="eastAsia" w:ascii="仿宋" w:hAnsi="仿宋" w:eastAsia="仿宋" w:cs="仿宋"/>
          <w:b/>
          <w:color w:val="000000"/>
          <w:sz w:val="32"/>
          <w:szCs w:val="32"/>
          <w:lang w:val="en-US" w:eastAsia="zh-CN"/>
        </w:rPr>
        <w:t>社会保障和就业（类）人力资源和社会保障管理事务（款）财政代缴城乡居民基本养老保险费支出（项）：</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26.65</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rPr>
        <w:t>。</w:t>
      </w:r>
    </w:p>
    <w:p w14:paraId="3FC66049">
      <w:pPr>
        <w:spacing w:line="600" w:lineRule="exact"/>
        <w:ind w:firstLine="643" w:firstLineChars="200"/>
        <w:rPr>
          <w:rFonts w:ascii="仿宋" w:hAnsi="仿宋" w:eastAsia="仿宋"/>
          <w:b/>
          <w:color w:val="FF0000"/>
          <w:sz w:val="32"/>
          <w:szCs w:val="32"/>
        </w:rPr>
      </w:pPr>
      <w:r>
        <w:rPr>
          <w:rFonts w:hint="eastAsia" w:ascii="仿宋" w:hAnsi="仿宋" w:eastAsia="仿宋" w:cs="仿宋"/>
          <w:b/>
          <w:bCs/>
          <w:color w:val="000000"/>
          <w:sz w:val="32"/>
          <w:szCs w:val="32"/>
          <w:lang w:val="en-US" w:eastAsia="zh-CN"/>
        </w:rPr>
        <w:t>6</w:t>
      </w:r>
      <w:r>
        <w:rPr>
          <w:rFonts w:ascii="仿宋" w:hAnsi="仿宋" w:eastAsia="仿宋" w:cs="仿宋"/>
          <w:b/>
          <w:color w:val="000000"/>
          <w:sz w:val="32"/>
          <w:szCs w:val="32"/>
        </w:rPr>
        <w:t>.</w:t>
      </w:r>
      <w:r>
        <w:rPr>
          <w:rFonts w:hint="eastAsia" w:ascii="仿宋" w:hAnsi="仿宋" w:eastAsia="仿宋" w:cs="仿宋"/>
          <w:b/>
          <w:color w:val="000000"/>
          <w:sz w:val="32"/>
          <w:szCs w:val="32"/>
        </w:rPr>
        <w:t>住房保障支出（类）住房改革支出（款）住房公积金（项）</w:t>
      </w:r>
      <w:r>
        <w:rPr>
          <w:rFonts w:ascii="仿宋" w:hAnsi="仿宋" w:eastAsia="仿宋" w:cs="仿宋"/>
          <w:b/>
          <w:color w:val="000000"/>
          <w:sz w:val="32"/>
          <w:szCs w:val="32"/>
        </w:rPr>
        <w:t>:</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13.27</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rPr>
        <w:t>。</w:t>
      </w:r>
    </w:p>
    <w:p w14:paraId="6656F240">
      <w:pPr>
        <w:tabs>
          <w:tab w:val="right" w:pos="8306"/>
        </w:tabs>
        <w:spacing w:line="600" w:lineRule="exact"/>
        <w:ind w:firstLine="640" w:firstLineChars="200"/>
        <w:outlineLvl w:val="1"/>
        <w:rPr>
          <w:rStyle w:val="23"/>
        </w:rPr>
      </w:pPr>
      <w:bookmarkStart w:id="53" w:name="_Toc15377214"/>
      <w:bookmarkStart w:id="54" w:name="_Toc15396608"/>
      <w:bookmarkStart w:id="55" w:name="_Toc79163618"/>
      <w:bookmarkStart w:id="56"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3"/>
          <w:rFonts w:hint="eastAsia" w:ascii="黑体" w:hAnsi="黑体" w:eastAsia="黑体"/>
          <w:b w:val="0"/>
        </w:rPr>
        <w:t>般公共预算财政拨款基本支出决算情况说明</w:t>
      </w:r>
      <w:bookmarkEnd w:id="53"/>
      <w:bookmarkEnd w:id="54"/>
      <w:bookmarkEnd w:id="55"/>
      <w:bookmarkEnd w:id="56"/>
      <w:r>
        <w:rPr>
          <w:rStyle w:val="23"/>
          <w:rFonts w:ascii="黑体" w:hAnsi="黑体" w:eastAsia="黑体"/>
          <w:b w:val="0"/>
        </w:rPr>
        <w:tab/>
      </w:r>
    </w:p>
    <w:p w14:paraId="3386CC28">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218.98</w:t>
      </w:r>
      <w:r>
        <w:rPr>
          <w:rFonts w:hint="eastAsia" w:ascii="仿宋" w:hAnsi="仿宋" w:eastAsia="仿宋"/>
          <w:color w:val="000000"/>
          <w:sz w:val="32"/>
          <w:szCs w:val="32"/>
        </w:rPr>
        <w:t>万元，其中：</w:t>
      </w:r>
    </w:p>
    <w:p w14:paraId="6C7A95DC">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182.85</w:t>
      </w:r>
      <w:r>
        <w:rPr>
          <w:rFonts w:hint="eastAsia" w:ascii="仿宋" w:hAnsi="仿宋" w:eastAsia="仿宋"/>
          <w:color w:val="000000"/>
          <w:sz w:val="32"/>
          <w:szCs w:val="32"/>
        </w:rPr>
        <w:t>万元，主要包括：基本工资、津贴补贴、奖金、机关事业单位基本养老保险缴费、职业年金缴费、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其他社会保障缴费、医疗费补助、奖励金、住房公积金。</w:t>
      </w:r>
    </w:p>
    <w:p w14:paraId="31BEEBF8">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lang w:eastAsia="zh-CN"/>
        </w:rPr>
        <w:t>项目支出</w:t>
      </w:r>
      <w:r>
        <w:rPr>
          <w:rFonts w:hint="eastAsia" w:ascii="仿宋" w:hAnsi="仿宋" w:eastAsia="仿宋"/>
          <w:color w:val="000000"/>
          <w:sz w:val="32"/>
          <w:szCs w:val="32"/>
          <w:lang w:val="en-US" w:eastAsia="zh-CN"/>
        </w:rPr>
        <w:t>26.65万元，主要包括：</w:t>
      </w:r>
      <w:r>
        <w:rPr>
          <w:rFonts w:hint="eastAsia" w:ascii="仿宋_GB2312" w:eastAsia="仿宋_GB2312"/>
          <w:sz w:val="32"/>
          <w:szCs w:val="32"/>
          <w:lang w:val="en-US" w:eastAsia="zh-CN"/>
        </w:rPr>
        <w:t>2024年建档立卡贫困人口、低保对象、特困人员等困难群体政府城乡居民基本养老保险费及2024年死亡抚恤金</w:t>
      </w:r>
      <w:r>
        <w:rPr>
          <w:rFonts w:hint="eastAsia" w:ascii="仿宋" w:hAnsi="仿宋" w:eastAsia="仿宋"/>
          <w:color w:val="000000"/>
          <w:sz w:val="32"/>
          <w:szCs w:val="32"/>
          <w:lang w:eastAsia="zh-CN"/>
        </w:rPr>
        <w:t>。</w:t>
      </w:r>
      <w:r>
        <w:rPr>
          <w:rFonts w:hint="eastAsia" w:ascii="仿宋" w:hAnsi="仿宋" w:eastAsia="仿宋"/>
          <w:color w:val="000000"/>
          <w:sz w:val="32"/>
          <w:szCs w:val="32"/>
        </w:rPr>
        <w:t>　　</w:t>
      </w:r>
    </w:p>
    <w:p w14:paraId="6BE4E832">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9.48</w:t>
      </w:r>
      <w:r>
        <w:rPr>
          <w:rFonts w:hint="eastAsia" w:ascii="仿宋" w:hAnsi="仿宋" w:eastAsia="仿宋"/>
          <w:color w:val="000000"/>
          <w:sz w:val="32"/>
          <w:szCs w:val="32"/>
        </w:rPr>
        <w:t>万元，主要包括：办公费、差旅费、维修（护）费、培训费、</w:t>
      </w:r>
      <w:r>
        <w:rPr>
          <w:rFonts w:hint="eastAsia" w:ascii="仿宋" w:hAnsi="仿宋" w:eastAsia="仿宋"/>
          <w:color w:val="000000"/>
          <w:sz w:val="32"/>
          <w:szCs w:val="32"/>
          <w:lang w:eastAsia="zh-CN"/>
        </w:rPr>
        <w:t>印刷费、</w:t>
      </w:r>
      <w:r>
        <w:rPr>
          <w:rFonts w:hint="eastAsia" w:ascii="仿宋" w:hAnsi="仿宋" w:eastAsia="仿宋"/>
          <w:color w:val="000000"/>
          <w:sz w:val="32"/>
          <w:szCs w:val="32"/>
        </w:rPr>
        <w:t>公务用车运行维护费</w:t>
      </w:r>
      <w:r>
        <w:rPr>
          <w:rFonts w:hint="eastAsia" w:ascii="仿宋" w:hAnsi="仿宋" w:eastAsia="仿宋"/>
          <w:color w:val="000000"/>
          <w:sz w:val="32"/>
          <w:szCs w:val="32"/>
          <w:lang w:eastAsia="zh-CN"/>
        </w:rPr>
        <w:t>、办公设备购置</w:t>
      </w:r>
      <w:r>
        <w:rPr>
          <w:rFonts w:hint="eastAsia" w:ascii="仿宋" w:hAnsi="仿宋" w:eastAsia="仿宋"/>
          <w:color w:val="000000"/>
          <w:sz w:val="32"/>
          <w:szCs w:val="32"/>
        </w:rPr>
        <w:t>。</w:t>
      </w:r>
    </w:p>
    <w:p w14:paraId="55DC0B26">
      <w:pPr>
        <w:spacing w:line="600" w:lineRule="exact"/>
        <w:ind w:firstLine="640"/>
        <w:outlineLvl w:val="1"/>
        <w:rPr>
          <w:rStyle w:val="23"/>
          <w:rFonts w:ascii="黑体" w:hAnsi="黑体" w:eastAsia="黑体"/>
          <w:b w:val="0"/>
          <w:color w:val="auto"/>
        </w:rPr>
      </w:pPr>
      <w:bookmarkStart w:id="57" w:name="_Toc79163869"/>
      <w:bookmarkStart w:id="58" w:name="_Toc15377215"/>
      <w:bookmarkStart w:id="59" w:name="_Toc79163619"/>
      <w:bookmarkStart w:id="60" w:name="_Toc15396609"/>
      <w:r>
        <w:rPr>
          <w:rFonts w:hint="eastAsia" w:ascii="黑体" w:eastAsia="黑体"/>
          <w:color w:val="auto"/>
          <w:sz w:val="32"/>
          <w:szCs w:val="32"/>
        </w:rPr>
        <w:t>七、</w:t>
      </w:r>
      <w:r>
        <w:rPr>
          <w:rStyle w:val="23"/>
          <w:rFonts w:hint="eastAsia" w:ascii="黑体" w:hAnsi="黑体" w:eastAsia="黑体"/>
          <w:b w:val="0"/>
          <w:color w:val="auto"/>
        </w:rPr>
        <w:t>财政拨款</w:t>
      </w:r>
      <w:r>
        <w:rPr>
          <w:rStyle w:val="23"/>
          <w:rFonts w:hint="eastAsia" w:ascii="黑体" w:hAnsi="黑体" w:eastAsia="黑体"/>
          <w:color w:val="auto"/>
        </w:rPr>
        <w:t>“</w:t>
      </w:r>
      <w:r>
        <w:rPr>
          <w:rStyle w:val="23"/>
          <w:rFonts w:hint="eastAsia" w:ascii="黑体" w:hAnsi="黑体" w:eastAsia="黑体"/>
          <w:b w:val="0"/>
          <w:color w:val="auto"/>
        </w:rPr>
        <w:t>三公”经费支出决算情况说明</w:t>
      </w:r>
      <w:bookmarkEnd w:id="57"/>
      <w:bookmarkEnd w:id="58"/>
      <w:bookmarkEnd w:id="59"/>
      <w:bookmarkEnd w:id="60"/>
    </w:p>
    <w:p w14:paraId="5573412E">
      <w:pPr>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年本单位没有“三公”经费支出，共计0元。</w:t>
      </w:r>
    </w:p>
    <w:p w14:paraId="227178AB">
      <w:pPr>
        <w:numPr>
          <w:ilvl w:val="0"/>
          <w:numId w:val="0"/>
        </w:numPr>
        <w:spacing w:line="600" w:lineRule="exact"/>
        <w:ind w:leftChars="200" w:firstLine="320" w:firstLineChars="100"/>
        <w:outlineLvl w:val="1"/>
        <w:rPr>
          <w:rStyle w:val="23"/>
          <w:rFonts w:ascii="黑体" w:hAnsi="黑体" w:eastAsia="黑体"/>
          <w:color w:val="ED7D31" w:themeColor="accent2"/>
          <w14:textFill>
            <w14:solidFill>
              <w14:schemeClr w14:val="accent2"/>
            </w14:solidFill>
          </w14:textFill>
        </w:rPr>
      </w:pPr>
      <w:bookmarkStart w:id="61" w:name="_Toc15396610"/>
      <w:bookmarkStart w:id="62" w:name="_Toc15377218"/>
      <w:bookmarkStart w:id="63" w:name="_Toc79163622"/>
      <w:bookmarkStart w:id="64" w:name="_Toc79163872"/>
      <w:r>
        <w:rPr>
          <w:rFonts w:hint="eastAsia" w:ascii="黑体" w:eastAsia="黑体"/>
          <w:color w:val="auto"/>
          <w:sz w:val="32"/>
          <w:szCs w:val="32"/>
        </w:rPr>
        <w:t>八、</w:t>
      </w:r>
      <w:r>
        <w:rPr>
          <w:rStyle w:val="23"/>
          <w:rFonts w:hint="eastAsia" w:ascii="黑体" w:hAnsi="黑体" w:eastAsia="黑体"/>
          <w:b w:val="0"/>
          <w:color w:val="auto"/>
        </w:rPr>
        <w:t>政府性基金预算支出决算情况说明</w:t>
      </w:r>
      <w:bookmarkEnd w:id="61"/>
      <w:bookmarkEnd w:id="62"/>
      <w:bookmarkEnd w:id="63"/>
      <w:bookmarkEnd w:id="64"/>
    </w:p>
    <w:p w14:paraId="15062CEF">
      <w:pPr>
        <w:spacing w:line="600" w:lineRule="exact"/>
        <w:ind w:firstLine="1292" w:firstLineChars="404"/>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8D13323">
      <w:pPr>
        <w:numPr>
          <w:ilvl w:val="0"/>
          <w:numId w:val="3"/>
        </w:numPr>
        <w:spacing w:line="600" w:lineRule="exact"/>
        <w:ind w:firstLine="640"/>
        <w:outlineLvl w:val="1"/>
        <w:rPr>
          <w:rStyle w:val="23"/>
          <w:rFonts w:ascii="黑体" w:hAnsi="黑体" w:eastAsia="黑体"/>
          <w:b w:val="0"/>
        </w:rPr>
      </w:pPr>
      <w:bookmarkStart w:id="65" w:name="_Toc15377219"/>
      <w:bookmarkStart w:id="66" w:name="_Toc79163623"/>
      <w:bookmarkStart w:id="67" w:name="_Toc15396611"/>
      <w:bookmarkStart w:id="68" w:name="_Toc79163873"/>
      <w:r>
        <w:rPr>
          <w:rStyle w:val="23"/>
          <w:rFonts w:hint="eastAsia" w:ascii="黑体" w:hAnsi="黑体" w:eastAsia="黑体"/>
          <w:b w:val="0"/>
        </w:rPr>
        <w:t>国有资本经营预算支出决算情况说明</w:t>
      </w:r>
      <w:bookmarkEnd w:id="65"/>
      <w:bookmarkEnd w:id="66"/>
      <w:bookmarkEnd w:id="67"/>
      <w:bookmarkEnd w:id="68"/>
    </w:p>
    <w:p w14:paraId="0E430E85">
      <w:pPr>
        <w:spacing w:line="600" w:lineRule="exact"/>
        <w:ind w:firstLine="1292" w:firstLineChars="404"/>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C643B2E">
      <w:pPr>
        <w:spacing w:line="600" w:lineRule="exact"/>
        <w:ind w:firstLine="640" w:firstLineChars="200"/>
        <w:outlineLvl w:val="1"/>
        <w:rPr>
          <w:rStyle w:val="23"/>
          <w:rFonts w:ascii="黑体" w:hAnsi="黑体" w:eastAsia="黑体"/>
        </w:rPr>
      </w:pPr>
      <w:bookmarkStart w:id="69" w:name="_Toc79163874"/>
      <w:bookmarkStart w:id="70" w:name="_Toc15377221"/>
      <w:bookmarkStart w:id="71" w:name="_Toc79163624"/>
      <w:bookmarkStart w:id="72" w:name="_Toc15396612"/>
      <w:r>
        <w:rPr>
          <w:rFonts w:hint="eastAsia" w:ascii="黑体" w:hAnsi="黑体" w:eastAsia="黑体"/>
          <w:color w:val="000000"/>
          <w:sz w:val="32"/>
          <w:szCs w:val="32"/>
        </w:rPr>
        <w:t>十</w:t>
      </w:r>
      <w:r>
        <w:rPr>
          <w:rStyle w:val="23"/>
          <w:rFonts w:hint="eastAsia" w:ascii="黑体" w:hAnsi="黑体" w:eastAsia="黑体"/>
        </w:rPr>
        <w:t>、</w:t>
      </w:r>
      <w:r>
        <w:rPr>
          <w:rStyle w:val="23"/>
          <w:rFonts w:hint="eastAsia" w:ascii="黑体" w:hAnsi="黑体" w:eastAsia="黑体"/>
          <w:b w:val="0"/>
        </w:rPr>
        <w:t>其他重要事项的情况说明</w:t>
      </w:r>
      <w:bookmarkEnd w:id="69"/>
      <w:bookmarkEnd w:id="70"/>
      <w:bookmarkEnd w:id="71"/>
      <w:bookmarkEnd w:id="72"/>
    </w:p>
    <w:p w14:paraId="4DB90FE0">
      <w:pPr>
        <w:spacing w:line="600" w:lineRule="exact"/>
        <w:ind w:firstLine="643" w:firstLineChars="200"/>
        <w:outlineLvl w:val="2"/>
        <w:rPr>
          <w:rFonts w:hint="eastAsia" w:ascii="仿宋" w:hAnsi="仿宋" w:eastAsia="仿宋"/>
          <w:b/>
          <w:color w:val="000000"/>
          <w:sz w:val="32"/>
          <w:szCs w:val="32"/>
        </w:rPr>
      </w:pPr>
      <w:bookmarkStart w:id="73" w:name="_Toc79163875"/>
      <w:bookmarkStart w:id="74" w:name="_Toc15377222"/>
      <w:bookmarkStart w:id="75" w:name="_Toc79163625"/>
      <w:r>
        <w:rPr>
          <w:rFonts w:hint="eastAsia" w:ascii="仿宋" w:hAnsi="仿宋" w:eastAsia="仿宋"/>
          <w:b/>
          <w:color w:val="000000"/>
          <w:sz w:val="32"/>
          <w:szCs w:val="32"/>
        </w:rPr>
        <w:t>（一）机关运行经费支出情况</w:t>
      </w:r>
      <w:bookmarkEnd w:id="73"/>
      <w:bookmarkEnd w:id="74"/>
      <w:bookmarkEnd w:id="75"/>
    </w:p>
    <w:p w14:paraId="53416EE9">
      <w:pPr>
        <w:spacing w:line="600" w:lineRule="exact"/>
        <w:ind w:firstLine="1280" w:firstLineChars="4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城居中心机关运行经费</w:t>
      </w:r>
      <w:r>
        <w:rPr>
          <w:rFonts w:hint="eastAsia" w:ascii="仿宋_GB2312" w:eastAsia="仿宋_GB2312"/>
          <w:color w:val="000000"/>
          <w:sz w:val="32"/>
          <w:szCs w:val="32"/>
        </w:rPr>
        <w:t>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05A3A2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6" w:name="_Toc79163626"/>
      <w:bookmarkStart w:id="77" w:name="_Toc15377223"/>
      <w:bookmarkStart w:id="78" w:name="_Toc79163876"/>
      <w:r>
        <w:rPr>
          <w:rFonts w:hint="eastAsia" w:ascii="仿宋" w:hAnsi="仿宋" w:eastAsia="仿宋"/>
          <w:b/>
          <w:color w:val="000000"/>
          <w:sz w:val="32"/>
          <w:szCs w:val="32"/>
        </w:rPr>
        <w:t>（二）政府采购支出情况</w:t>
      </w:r>
      <w:bookmarkEnd w:id="76"/>
      <w:bookmarkEnd w:id="77"/>
      <w:bookmarkEnd w:id="78"/>
    </w:p>
    <w:p w14:paraId="724A8455">
      <w:pPr>
        <w:spacing w:line="600" w:lineRule="exact"/>
        <w:ind w:firstLine="1280" w:firstLineChars="400"/>
        <w:rPr>
          <w:rFonts w:hint="eastAsia" w:ascii="仿宋_GB2312" w:eastAsia="仿宋_GB2312"/>
          <w:color w:val="000000"/>
          <w:sz w:val="32"/>
          <w:szCs w:val="32"/>
          <w:lang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城居中心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AB9FC52">
      <w:pPr>
        <w:numPr>
          <w:ilvl w:val="0"/>
          <w:numId w:val="0"/>
        </w:numPr>
        <w:autoSpaceDE w:val="0"/>
        <w:autoSpaceDN w:val="0"/>
        <w:adjustRightInd w:val="0"/>
        <w:spacing w:line="600" w:lineRule="exact"/>
        <w:ind w:leftChars="0" w:firstLine="643" w:firstLineChars="200"/>
        <w:jc w:val="left"/>
        <w:outlineLvl w:val="2"/>
        <w:rPr>
          <w:rFonts w:hint="eastAsia" w:ascii="仿宋" w:hAnsi="仿宋" w:eastAsia="仿宋"/>
          <w:b/>
          <w:color w:val="000000"/>
          <w:sz w:val="32"/>
          <w:szCs w:val="32"/>
        </w:rPr>
      </w:pPr>
      <w:bookmarkStart w:id="79" w:name="_Toc79163877"/>
      <w:bookmarkStart w:id="80" w:name="_Toc15377224"/>
      <w:bookmarkStart w:id="81" w:name="_Toc79163627"/>
      <w:r>
        <w:rPr>
          <w:rFonts w:hint="eastAsia" w:ascii="仿宋" w:hAnsi="仿宋" w:eastAsia="仿宋"/>
          <w:b/>
          <w:color w:val="000000"/>
          <w:sz w:val="32"/>
          <w:szCs w:val="32"/>
          <w:lang w:eastAsia="zh-CN"/>
        </w:rPr>
        <w:t>（三）</w:t>
      </w:r>
      <w:r>
        <w:rPr>
          <w:rFonts w:hint="eastAsia" w:ascii="仿宋" w:hAnsi="仿宋" w:eastAsia="仿宋"/>
          <w:b/>
          <w:color w:val="000000"/>
          <w:sz w:val="32"/>
          <w:szCs w:val="32"/>
        </w:rPr>
        <w:t>国有资产占有使用情况</w:t>
      </w:r>
      <w:bookmarkEnd w:id="79"/>
      <w:bookmarkEnd w:id="80"/>
      <w:bookmarkEnd w:id="81"/>
    </w:p>
    <w:p w14:paraId="4ABEB661">
      <w:pPr>
        <w:numPr>
          <w:ilvl w:val="0"/>
          <w:numId w:val="0"/>
        </w:numPr>
        <w:autoSpaceDE w:val="0"/>
        <w:autoSpaceDN w:val="0"/>
        <w:adjustRightInd w:val="0"/>
        <w:spacing w:line="600" w:lineRule="exact"/>
        <w:ind w:leftChars="0"/>
        <w:jc w:val="left"/>
        <w:outlineLvl w:val="2"/>
        <w:rPr>
          <w:rFonts w:hint="default"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 xml:space="preserve">         无</w:t>
      </w:r>
    </w:p>
    <w:p w14:paraId="5E884F50">
      <w:pPr>
        <w:numPr>
          <w:ilvl w:val="0"/>
          <w:numId w:val="0"/>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82" w:name="_Toc79163628"/>
      <w:bookmarkStart w:id="83" w:name="_Toc79163878"/>
      <w:r>
        <w:rPr>
          <w:rFonts w:hint="eastAsia" w:ascii="仿宋" w:hAnsi="仿宋" w:eastAsia="仿宋"/>
          <w:b/>
          <w:color w:val="000000"/>
          <w:sz w:val="32"/>
          <w:szCs w:val="32"/>
          <w:lang w:eastAsia="zh-CN"/>
        </w:rPr>
        <w:t>（四）</w:t>
      </w:r>
      <w:r>
        <w:rPr>
          <w:rFonts w:hint="eastAsia" w:ascii="仿宋" w:hAnsi="仿宋" w:eastAsia="仿宋"/>
          <w:b/>
          <w:color w:val="000000"/>
          <w:sz w:val="32"/>
          <w:szCs w:val="32"/>
        </w:rPr>
        <w:t>预算绩效管理情况。</w:t>
      </w:r>
      <w:bookmarkEnd w:id="82"/>
      <w:bookmarkEnd w:id="83"/>
    </w:p>
    <w:p w14:paraId="3E3587C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开展预算事前绩效评估，对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7A30021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按要求对20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年部门整体支出开展绩效自评，从评价情况来看我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年部门整体支出情况良好，从预算到执行和收入、支出管理均严格按照相关要求进行，全年收支平衡，有效保障了单位正常运转，圆满完成了单位目标任务。</w:t>
      </w:r>
    </w:p>
    <w:p w14:paraId="2C87E970">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专项预算项目，</w:t>
      </w:r>
      <w:r>
        <w:rPr>
          <w:rFonts w:hint="eastAsia" w:ascii="仿宋_GB2312" w:hAnsi="仿宋_GB2312" w:eastAsia="仿宋_GB2312" w:cs="仿宋_GB2312"/>
          <w:sz w:val="32"/>
          <w:szCs w:val="32"/>
          <w:lang w:eastAsia="zh-CN"/>
        </w:rPr>
        <w:t>年末已</w:t>
      </w:r>
      <w:r>
        <w:rPr>
          <w:rFonts w:hint="eastAsia" w:ascii="仿宋_GB2312" w:hAnsi="仿宋_GB2312" w:eastAsia="仿宋_GB2312" w:cs="仿宋_GB2312"/>
          <w:sz w:val="32"/>
          <w:szCs w:val="32"/>
        </w:rPr>
        <w:t>组织开展项目支出绩效评价。</w:t>
      </w:r>
    </w:p>
    <w:p w14:paraId="1A426AA4">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09C19155">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3BA39581">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6DC4D1A5">
      <w:pPr>
        <w:numPr>
          <w:ilvl w:val="0"/>
          <w:numId w:val="4"/>
        </w:numPr>
        <w:spacing w:line="600" w:lineRule="exact"/>
        <w:ind w:firstLine="660" w:firstLineChars="150"/>
        <w:jc w:val="center"/>
        <w:outlineLvl w:val="0"/>
        <w:rPr>
          <w:rStyle w:val="22"/>
          <w:rFonts w:ascii="黑体" w:hAnsi="黑体" w:eastAsia="黑体"/>
          <w:b w:val="0"/>
        </w:rPr>
      </w:pPr>
      <w:bookmarkStart w:id="84" w:name="_Toc15377225"/>
      <w:bookmarkStart w:id="85" w:name="_Toc79163879"/>
      <w:bookmarkStart w:id="86" w:name="_Toc15396613"/>
      <w:bookmarkStart w:id="87" w:name="_Toc79163629"/>
      <w:r>
        <w:rPr>
          <w:rFonts w:hint="eastAsia" w:ascii="黑体" w:hAnsi="黑体" w:eastAsia="黑体"/>
          <w:color w:val="000000"/>
          <w:sz w:val="44"/>
          <w:szCs w:val="44"/>
        </w:rPr>
        <w:t>名</w:t>
      </w:r>
      <w:r>
        <w:rPr>
          <w:rStyle w:val="22"/>
          <w:rFonts w:hint="eastAsia" w:ascii="黑体" w:hAnsi="黑体" w:eastAsia="黑体"/>
          <w:b w:val="0"/>
        </w:rPr>
        <w:t>词解释</w:t>
      </w:r>
      <w:bookmarkEnd w:id="84"/>
      <w:bookmarkEnd w:id="85"/>
      <w:bookmarkEnd w:id="86"/>
      <w:bookmarkEnd w:id="87"/>
    </w:p>
    <w:p w14:paraId="711FDCF6">
      <w:pPr>
        <w:pStyle w:val="32"/>
        <w:spacing w:line="560" w:lineRule="exact"/>
        <w:ind w:firstLine="640" w:firstLineChars="200"/>
        <w:rPr>
          <w:rFonts w:ascii="仿宋_GB2312" w:eastAsia="仿宋_GB2312"/>
          <w:sz w:val="32"/>
          <w:szCs w:val="32"/>
        </w:rPr>
      </w:pPr>
      <w:bookmarkStart w:id="88"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65DBE13">
      <w:pPr>
        <w:pStyle w:val="3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658ABD8">
      <w:pPr>
        <w:pStyle w:val="3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14DBE819">
      <w:pPr>
        <w:pStyle w:val="32"/>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39E7C7E5">
      <w:pPr>
        <w:pStyle w:val="3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039B2398">
      <w:pPr>
        <w:pStyle w:val="3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61757EB">
      <w:pPr>
        <w:pStyle w:val="3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0CD6F2E5">
      <w:pPr>
        <w:pStyle w:val="32"/>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6745A75">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 社会保障和就业（类）人力资源和社会保障管理事务（款）社会保险经办机构（项）：指社会保险经办机构开展业务工作的支出</w:t>
      </w:r>
    </w:p>
    <w:p w14:paraId="1B404DC4">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10.社会保障和就业（类）行政事业单位离退休（款）机关事业单位基本养老保险缴费支出（项）：指机关事业单位实施养老保险制度由单位缴纳的基本养老保险费支出。</w:t>
      </w:r>
    </w:p>
    <w:p w14:paraId="1F101088">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 社会保障和就业（类）行政事业单位离退休（款）机关事业单位职业年金缴费支出（项）：指机关事业单位养老保险制度由单位缴纳的职业年金支出。</w:t>
      </w:r>
    </w:p>
    <w:p w14:paraId="34672A02">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12.医疗卫生与计划生育（类）行政事业单位医疗（款）事业单位医疗（项）：指财政部门集中安排的事业单位基本医疗保险缴费。</w:t>
      </w:r>
    </w:p>
    <w:p w14:paraId="0253C4BD">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13.住房保障（类）住房改革（款）住房公积金（项）：指行政事业单位按规定的标准和比例为职工缴纳的住房公积金。</w:t>
      </w:r>
    </w:p>
    <w:p w14:paraId="2A7CA5EA">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14.基本支出：指为保障机构正常运转、完成日常工作任务而发生的人员支出和公用支出。</w:t>
      </w:r>
    </w:p>
    <w:p w14:paraId="1E35FAEE">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15.项目支出：指在基本支出之外为完成特定行政任务和事业发展目标所发生的支出。</w:t>
      </w:r>
    </w:p>
    <w:p w14:paraId="22802164">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16.经营支出：指事业单位在专业业务活动及其辅助活动之外开展非独立核算经营活动发生的支出。</w:t>
      </w:r>
    </w:p>
    <w:p w14:paraId="6B4D4089">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465AFA">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A97D06">
      <w:pPr>
        <w:spacing w:line="600" w:lineRule="exact"/>
        <w:jc w:val="center"/>
        <w:outlineLvl w:val="0"/>
        <w:rPr>
          <w:rStyle w:val="22"/>
          <w:rFonts w:ascii="黑体" w:hAnsi="黑体" w:eastAsia="黑体"/>
          <w:b w:val="0"/>
        </w:rPr>
      </w:pPr>
      <w:r>
        <w:rPr>
          <w:rFonts w:ascii="宋体"/>
          <w:b/>
          <w:color w:val="000000"/>
          <w:sz w:val="44"/>
          <w:szCs w:val="44"/>
        </w:rPr>
        <w:br w:type="page"/>
      </w:r>
      <w:bookmarkStart w:id="89" w:name="_Toc79163880"/>
      <w:bookmarkStart w:id="90" w:name="_Toc15396614"/>
      <w:bookmarkStart w:id="91" w:name="_Toc79163630"/>
      <w:r>
        <w:rPr>
          <w:rFonts w:hint="eastAsia" w:ascii="黑体" w:hAnsi="黑体" w:eastAsia="黑体"/>
          <w:color w:val="000000"/>
          <w:sz w:val="44"/>
          <w:szCs w:val="44"/>
        </w:rPr>
        <w:t>第</w:t>
      </w:r>
      <w:r>
        <w:rPr>
          <w:rStyle w:val="22"/>
          <w:rFonts w:hint="eastAsia" w:ascii="黑体" w:hAnsi="黑体" w:eastAsia="黑体"/>
          <w:b w:val="0"/>
        </w:rPr>
        <w:t>四部分</w:t>
      </w:r>
      <w:r>
        <w:rPr>
          <w:rStyle w:val="22"/>
          <w:rFonts w:ascii="黑体" w:hAnsi="黑体" w:eastAsia="黑体"/>
          <w:b w:val="0"/>
        </w:rPr>
        <w:t xml:space="preserve"> </w:t>
      </w:r>
      <w:r>
        <w:rPr>
          <w:rStyle w:val="22"/>
          <w:rFonts w:hint="eastAsia" w:ascii="黑体" w:hAnsi="黑体" w:eastAsia="黑体"/>
          <w:b w:val="0"/>
        </w:rPr>
        <w:t>附件</w:t>
      </w:r>
      <w:bookmarkEnd w:id="89"/>
      <w:bookmarkEnd w:id="90"/>
      <w:bookmarkEnd w:id="91"/>
    </w:p>
    <w:p w14:paraId="0CB9FFD9">
      <w:pPr>
        <w:spacing w:line="600" w:lineRule="exact"/>
        <w:jc w:val="left"/>
        <w:outlineLvl w:val="0"/>
        <w:rPr>
          <w:rFonts w:ascii="方正小标宋简体" w:hAnsi="方正小标宋简体" w:eastAsia="方正小标宋简体" w:cs="方正小标宋简体"/>
          <w:sz w:val="32"/>
          <w:szCs w:val="32"/>
        </w:rPr>
      </w:pPr>
      <w:bookmarkStart w:id="92" w:name="_Toc79163631"/>
      <w:bookmarkStart w:id="93" w:name="_Toc79163881"/>
      <w:r>
        <w:rPr>
          <w:rFonts w:hint="eastAsia" w:ascii="黑体" w:hAnsi="黑体" w:eastAsia="黑体" w:cs="黑体"/>
          <w:sz w:val="32"/>
          <w:szCs w:val="32"/>
        </w:rPr>
        <w:t>附件</w:t>
      </w:r>
      <w:r>
        <w:rPr>
          <w:rFonts w:ascii="黑体" w:hAnsi="黑体" w:eastAsia="黑体" w:cs="黑体"/>
          <w:sz w:val="32"/>
          <w:szCs w:val="32"/>
        </w:rPr>
        <w:t>1</w:t>
      </w:r>
      <w:bookmarkEnd w:id="92"/>
      <w:bookmarkEnd w:id="93"/>
    </w:p>
    <w:p w14:paraId="0EDF187C">
      <w:pPr>
        <w:spacing w:line="600" w:lineRule="exact"/>
        <w:jc w:val="center"/>
        <w:outlineLvl w:val="0"/>
        <w:rPr>
          <w:rFonts w:ascii="方正小标宋简体" w:hAnsi="黑体" w:eastAsia="方正小标宋简体" w:cs="黑体"/>
          <w:sz w:val="44"/>
          <w:szCs w:val="44"/>
        </w:rPr>
      </w:pPr>
      <w:bookmarkStart w:id="94" w:name="_Toc79163632"/>
      <w:bookmarkStart w:id="95" w:name="_Toc79163882"/>
      <w:r>
        <w:rPr>
          <w:rFonts w:hint="eastAsia" w:ascii="方正小标宋简体" w:hAnsi="黑体" w:eastAsia="方正小标宋简体" w:cs="黑体"/>
          <w:sz w:val="44"/>
          <w:szCs w:val="44"/>
          <w:lang w:eastAsia="zh-CN"/>
        </w:rPr>
        <w:t>壤塘县城乡居民养老保险事务中心</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4</w:t>
      </w:r>
      <w:r>
        <w:rPr>
          <w:rFonts w:hint="eastAsia" w:ascii="方正小标宋简体" w:hAnsi="黑体" w:eastAsia="方正小标宋简体" w:cs="黑体"/>
          <w:sz w:val="44"/>
          <w:szCs w:val="44"/>
        </w:rPr>
        <w:t>年</w:t>
      </w:r>
      <w:r>
        <w:rPr>
          <w:rFonts w:hint="eastAsia" w:ascii="方正小标宋简体" w:hAnsi="黑体" w:eastAsia="方正小标宋简体" w:cs="黑体"/>
          <w:sz w:val="44"/>
          <w:szCs w:val="44"/>
          <w:lang w:eastAsia="zh-CN"/>
        </w:rPr>
        <w:t>度部门</w:t>
      </w:r>
      <w:r>
        <w:rPr>
          <w:rFonts w:hint="eastAsia" w:ascii="方正小标宋简体" w:hAnsi="黑体" w:eastAsia="方正小标宋简体" w:cs="黑体"/>
          <w:sz w:val="44"/>
          <w:szCs w:val="44"/>
        </w:rPr>
        <w:t>整体支出绩效评价报告</w:t>
      </w:r>
      <w:bookmarkEnd w:id="94"/>
      <w:bookmarkEnd w:id="95"/>
    </w:p>
    <w:p w14:paraId="0EE43E99">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部门概况</w:t>
      </w:r>
    </w:p>
    <w:p w14:paraId="136DA78D">
      <w:pPr>
        <w:widowControl/>
        <w:adjustRightInd w:val="0"/>
        <w:snapToGrid w:val="0"/>
        <w:spacing w:line="580" w:lineRule="exact"/>
        <w:ind w:firstLine="640" w:firstLineChars="200"/>
        <w:contextualSpacing/>
        <w:jc w:val="left"/>
        <w:rPr>
          <w:rFonts w:hint="eastAsia" w:ascii="楷体_GB2312" w:hAnsi="楷体_GB2312" w:eastAsia="楷体_GB2312" w:cs="楷体_GB2312"/>
          <w:b/>
          <w:bCs/>
          <w:sz w:val="32"/>
          <w:szCs w:val="32"/>
        </w:rPr>
      </w:pPr>
      <w:r>
        <w:rPr>
          <w:rFonts w:hint="eastAsia" w:ascii="楷体_GB2312" w:hAnsi="楷体_GB2312" w:eastAsia="楷体_GB2312" w:cs="楷体_GB2312"/>
          <w:color w:val="000000"/>
          <w:kern w:val="0"/>
          <w:sz w:val="32"/>
          <w:szCs w:val="32"/>
          <w:shd w:val="clear" w:color="auto" w:fill="FFFFFF"/>
          <w:lang w:val="zh-CN"/>
        </w:rPr>
        <w:t>（一）机构组成。</w:t>
      </w:r>
    </w:p>
    <w:p w14:paraId="0D670B20">
      <w:pPr>
        <w:ind w:firstLine="640" w:firstLineChars="200"/>
        <w:rPr>
          <w:rFonts w:hint="eastAsia"/>
          <w:bCs/>
          <w:color w:val="000000"/>
          <w:sz w:val="32"/>
          <w:szCs w:val="32"/>
        </w:rPr>
      </w:pPr>
      <w:r>
        <w:rPr>
          <w:rFonts w:hint="eastAsia" w:ascii="仿宋_GB2312" w:hAnsi="仿宋_GB2312" w:eastAsia="仿宋_GB2312" w:cs="仿宋_GB2312"/>
          <w:sz w:val="32"/>
          <w:szCs w:val="32"/>
        </w:rPr>
        <w:t>壤塘县城乡居民养老保险</w:t>
      </w:r>
      <w:r>
        <w:rPr>
          <w:rFonts w:hint="eastAsia" w:ascii="仿宋_GB2312" w:hAnsi="仿宋_GB2312" w:eastAsia="仿宋_GB2312" w:cs="仿宋_GB2312"/>
          <w:sz w:val="32"/>
          <w:szCs w:val="32"/>
          <w:lang w:eastAsia="zh-CN"/>
        </w:rPr>
        <w:t>事务中心</w:t>
      </w:r>
      <w:r>
        <w:rPr>
          <w:rFonts w:hint="eastAsia" w:ascii="仿宋_GB2312" w:hAnsi="仿宋_GB2312" w:eastAsia="仿宋_GB2312" w:cs="仿宋_GB2312"/>
          <w:sz w:val="32"/>
          <w:szCs w:val="32"/>
        </w:rPr>
        <w:t>是壤塘县人力资源和社会保障局下属部门。本部门下属</w:t>
      </w:r>
      <w:r>
        <w:rPr>
          <w:rFonts w:hint="eastAsia" w:ascii="仿宋_GB2312" w:hAnsi="仿宋_GB2312" w:eastAsia="仿宋_GB2312" w:cs="仿宋_GB2312"/>
          <w:sz w:val="32"/>
          <w:szCs w:val="32"/>
          <w:lang w:eastAsia="zh-CN"/>
        </w:rPr>
        <w:t>一</w:t>
      </w:r>
      <w:bookmarkStart w:id="138" w:name="_GoBack"/>
      <w:bookmarkEnd w:id="138"/>
      <w:r>
        <w:rPr>
          <w:rFonts w:hint="eastAsia" w:ascii="仿宋_GB2312" w:hAnsi="仿宋_GB2312" w:eastAsia="仿宋_GB2312" w:cs="仿宋_GB2312"/>
          <w:sz w:val="32"/>
          <w:szCs w:val="32"/>
        </w:rPr>
        <w:t>级预算单位</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个，其中内设机构</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个。</w:t>
      </w:r>
    </w:p>
    <w:p w14:paraId="6BEBF258">
      <w:pPr>
        <w:widowControl/>
        <w:numPr>
          <w:ilvl w:val="0"/>
          <w:numId w:val="0"/>
        </w:numPr>
        <w:adjustRightInd w:val="0"/>
        <w:snapToGrid w:val="0"/>
        <w:spacing w:line="580" w:lineRule="exact"/>
        <w:ind w:leftChars="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 xml:space="preserve">  </w:t>
      </w:r>
      <w:r>
        <w:rPr>
          <w:rFonts w:hint="eastAsia" w:ascii="楷体_GB2312" w:hAnsi="楷体_GB2312" w:eastAsia="楷体_GB2312" w:cs="楷体_GB2312"/>
          <w:color w:val="000000"/>
          <w:kern w:val="0"/>
          <w:sz w:val="32"/>
          <w:szCs w:val="32"/>
          <w:shd w:val="clear" w:color="auto" w:fill="FFFFFF"/>
          <w:lang w:val="en-US" w:eastAsia="zh-CN"/>
        </w:rPr>
        <w:t xml:space="preserve"> （二）</w:t>
      </w:r>
      <w:r>
        <w:rPr>
          <w:rFonts w:hint="eastAsia" w:ascii="楷体_GB2312" w:hAnsi="楷体_GB2312" w:eastAsia="楷体_GB2312" w:cs="楷体_GB2312"/>
          <w:color w:val="000000"/>
          <w:kern w:val="0"/>
          <w:sz w:val="32"/>
          <w:szCs w:val="32"/>
          <w:shd w:val="clear" w:color="auto" w:fill="FFFFFF"/>
          <w:lang w:val="zh-CN"/>
        </w:rPr>
        <w:t>机构职能。</w:t>
      </w:r>
    </w:p>
    <w:p w14:paraId="2B9AFFA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1.根据法律、法规和规章，制定养老保险登记、养老保险费的申报、征缴、管理、使用、运营和待遇支付以及养老保险关系建立、中断、转移、接续、终止和基金转移的办事程序与操作规范并组织实施。</w:t>
      </w:r>
    </w:p>
    <w:p w14:paraId="3E8E149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2.制定参保居民养老保险个人</w:t>
      </w:r>
      <w:r>
        <w:rPr>
          <w:rFonts w:hint="eastAsia" w:ascii="仿宋_GB2312" w:eastAsia="仿宋_GB2312"/>
          <w:sz w:val="32"/>
          <w:szCs w:val="32"/>
          <w:lang w:eastAsia="zh-CN"/>
        </w:rPr>
        <w:t>账</w:t>
      </w:r>
      <w:r>
        <w:rPr>
          <w:rFonts w:hint="eastAsia" w:ascii="仿宋_GB2312" w:eastAsia="仿宋_GB2312"/>
          <w:sz w:val="32"/>
          <w:szCs w:val="32"/>
        </w:rPr>
        <w:t>户、缴费记录、档案管理等业务工作规范并组织实施。</w:t>
      </w:r>
    </w:p>
    <w:p w14:paraId="0D34BDF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3.依照社会保险基金财务、会计制度的具体操作办法，按照社会保险基金财务、会计制度进行规范管理，编制汇总社会保险基金年度预决算报告和季度、月季度财务报告，加强基金财务管理和会计核算。</w:t>
      </w:r>
    </w:p>
    <w:p w14:paraId="2635780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4.负责制定全县基本养老保险统筹规划，研究提出年度统筹计划和实施意见，负责社会保险调剂金的上解工作。</w:t>
      </w:r>
    </w:p>
    <w:p w14:paraId="3D77F83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5.负责确保参保的城乡居民退休人员基本养老金按时足额发放工作的落实，制定养老保险社会化管理规范，开展退休人员社会化管理服务和推进、巩固、完善和规范基本养老金社会化发放工作。</w:t>
      </w:r>
    </w:p>
    <w:p w14:paraId="6D499D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6.制定养老保险稽核工作规范，开展养老保险稽核工作；负责养老保险的基金监督和管理工作，保证基金专款专用和安全完整。</w:t>
      </w:r>
    </w:p>
    <w:p w14:paraId="32AB061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7.承担养老保险信息、统计数据的采集、整理、分析及管理工作。</w:t>
      </w:r>
    </w:p>
    <w:p w14:paraId="0CC402EC">
      <w:pPr>
        <w:widowControl/>
        <w:numPr>
          <w:ilvl w:val="0"/>
          <w:numId w:val="0"/>
        </w:numPr>
        <w:adjustRightInd w:val="0"/>
        <w:snapToGrid w:val="0"/>
        <w:spacing w:line="580" w:lineRule="exact"/>
        <w:ind w:leftChars="0"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（三）人员概况。</w:t>
      </w:r>
    </w:p>
    <w:p w14:paraId="7A698F38">
      <w:p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cs="宋体"/>
          <w:kern w:val="0"/>
          <w:sz w:val="32"/>
          <w:szCs w:val="32"/>
        </w:rPr>
        <w:t>壤塘县城乡居民养老保险</w:t>
      </w:r>
      <w:r>
        <w:rPr>
          <w:rFonts w:hint="eastAsia" w:ascii="仿宋_GB2312" w:hAnsi="宋体" w:eastAsia="仿宋_GB2312" w:cs="宋体"/>
          <w:kern w:val="0"/>
          <w:sz w:val="32"/>
          <w:szCs w:val="32"/>
          <w:lang w:eastAsia="zh-CN"/>
        </w:rPr>
        <w:t>事务中心一</w:t>
      </w:r>
      <w:r>
        <w:rPr>
          <w:rFonts w:hint="eastAsia" w:ascii="仿宋_GB2312" w:hAnsi="宋体" w:eastAsia="仿宋_GB2312" w:cs="宋体"/>
          <w:kern w:val="0"/>
          <w:sz w:val="32"/>
          <w:szCs w:val="32"/>
        </w:rPr>
        <w:t>级预算单位，其中内设机构</w:t>
      </w:r>
      <w:r>
        <w:rPr>
          <w:rFonts w:hint="eastAsia" w:ascii="仿宋_GB2312" w:hAnsi="宋体" w:eastAsia="仿宋_GB2312" w:cs="宋体"/>
          <w:kern w:val="0"/>
          <w:sz w:val="32"/>
          <w:szCs w:val="32"/>
          <w:u w:val="single"/>
        </w:rPr>
        <w:t>1</w:t>
      </w:r>
      <w:r>
        <w:rPr>
          <w:rFonts w:hint="eastAsia" w:ascii="仿宋_GB2312" w:hAnsi="宋体" w:eastAsia="仿宋_GB2312" w:cs="宋体"/>
          <w:kern w:val="0"/>
          <w:sz w:val="32"/>
          <w:szCs w:val="32"/>
        </w:rPr>
        <w:t>个。</w:t>
      </w:r>
      <w:r>
        <w:rPr>
          <w:rFonts w:hint="eastAsia" w:ascii="仿宋_GB2312" w:hAnsi="宋体" w:eastAsia="仿宋_GB2312" w:cs="仿宋_GB2312"/>
          <w:kern w:val="0"/>
          <w:sz w:val="32"/>
          <w:szCs w:val="32"/>
        </w:rPr>
        <w:t>总编制</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w:t>
      </w:r>
      <w:r>
        <w:rPr>
          <w:rFonts w:ascii="仿宋_GB2312" w:hAnsi="宋体" w:eastAsia="仿宋_GB2312" w:cs="仿宋_GB2312"/>
          <w:kern w:val="0"/>
          <w:sz w:val="32"/>
          <w:szCs w:val="32"/>
          <w:u w:val="single"/>
        </w:rPr>
        <w:t xml:space="preserve"> 0 </w:t>
      </w:r>
      <w:r>
        <w:rPr>
          <w:rFonts w:hint="eastAsia" w:ascii="仿宋_GB2312" w:hAnsi="宋体" w:eastAsia="仿宋_GB2312" w:cs="仿宋_GB2312"/>
          <w:kern w:val="0"/>
          <w:sz w:val="32"/>
          <w:szCs w:val="32"/>
        </w:rPr>
        <w:t>名。在职人员总数</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名，其中：行政人员</w:t>
      </w:r>
      <w:r>
        <w:rPr>
          <w:rFonts w:ascii="仿宋_GB2312" w:hAnsi="宋体" w:eastAsia="仿宋_GB2312" w:cs="仿宋_GB2312"/>
          <w:kern w:val="0"/>
          <w:sz w:val="32"/>
          <w:szCs w:val="32"/>
          <w:u w:val="single"/>
        </w:rPr>
        <w:t>0</w:t>
      </w:r>
      <w:r>
        <w:rPr>
          <w:rFonts w:hint="eastAsia" w:ascii="仿宋_GB2312" w:hAnsi="宋体" w:eastAsia="仿宋_GB2312" w:cs="仿宋_GB2312"/>
          <w:kern w:val="0"/>
          <w:sz w:val="32"/>
          <w:szCs w:val="32"/>
        </w:rPr>
        <w:t>名，其他事业人员</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名；退休人员</w:t>
      </w:r>
      <w:r>
        <w:rPr>
          <w:rFonts w:ascii="仿宋_GB2312" w:hAnsi="宋体" w:eastAsia="仿宋_GB2312" w:cs="仿宋_GB2312"/>
          <w:kern w:val="0"/>
          <w:sz w:val="32"/>
          <w:szCs w:val="32"/>
          <w:u w:val="single"/>
        </w:rPr>
        <w:t xml:space="preserve"> 0</w:t>
      </w:r>
      <w:r>
        <w:rPr>
          <w:rFonts w:hint="eastAsia" w:ascii="仿宋_GB2312" w:hAnsi="宋体" w:eastAsia="仿宋_GB2312" w:cs="仿宋_GB2312"/>
          <w:kern w:val="0"/>
          <w:sz w:val="32"/>
          <w:szCs w:val="32"/>
        </w:rPr>
        <w:t>人。</w:t>
      </w:r>
    </w:p>
    <w:p w14:paraId="04D017F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22172E5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6BB361E2">
      <w:pPr>
        <w:spacing w:line="58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部门财政资金收入共计</w:t>
      </w:r>
      <w:r>
        <w:rPr>
          <w:rFonts w:hint="eastAsia" w:ascii="仿宋" w:hAnsi="仿宋" w:eastAsia="仿宋" w:cs="仿宋_GB2312"/>
          <w:sz w:val="32"/>
          <w:szCs w:val="32"/>
          <w:lang w:val="en-US" w:eastAsia="zh-CN"/>
        </w:rPr>
        <w:t>218.98</w:t>
      </w:r>
      <w:r>
        <w:rPr>
          <w:rFonts w:hint="eastAsia" w:ascii="仿宋" w:hAnsi="仿宋" w:eastAsia="仿宋" w:cs="仿宋_GB2312"/>
          <w:sz w:val="32"/>
          <w:szCs w:val="32"/>
        </w:rPr>
        <w:t>万元均为一般公共预算财政拨款收入。单位无上级补助收入、事业收入、经营收入等其他性质的经费收入。</w:t>
      </w:r>
    </w:p>
    <w:p w14:paraId="4555A342">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14:paraId="3B152AFA">
      <w:pPr>
        <w:spacing w:line="600" w:lineRule="exact"/>
        <w:ind w:firstLine="645"/>
        <w:rPr>
          <w:rFonts w:hint="eastAsia" w:ascii="仿宋" w:hAnsi="仿宋" w:eastAsia="仿宋"/>
          <w:color w:val="000000"/>
          <w:sz w:val="32"/>
          <w:szCs w:val="32"/>
        </w:rPr>
      </w:pPr>
      <w:r>
        <w:rPr>
          <w:rFonts w:hint="eastAsia" w:ascii="仿宋" w:hAnsi="仿宋" w:eastAsia="仿宋" w:cs="仿宋_GB2312"/>
          <w:sz w:val="32"/>
          <w:szCs w:val="32"/>
        </w:rPr>
        <w:t>部门财政资金支出共计</w:t>
      </w:r>
      <w:r>
        <w:rPr>
          <w:rFonts w:hint="eastAsia" w:ascii="仿宋" w:hAnsi="仿宋" w:eastAsia="仿宋" w:cs="仿宋_GB2312"/>
          <w:sz w:val="32"/>
          <w:szCs w:val="32"/>
          <w:lang w:val="en-US" w:eastAsia="zh-CN"/>
        </w:rPr>
        <w:t>218.98</w:t>
      </w:r>
      <w:r>
        <w:rPr>
          <w:rFonts w:hint="eastAsia" w:ascii="仿宋" w:hAnsi="仿宋" w:eastAsia="仿宋" w:cs="仿宋_GB2312"/>
          <w:sz w:val="32"/>
          <w:szCs w:val="32"/>
        </w:rPr>
        <w:t>万元</w:t>
      </w:r>
      <w:r>
        <w:rPr>
          <w:rFonts w:hint="eastAsia" w:ascii="仿宋" w:hAnsi="仿宋" w:eastAsia="仿宋" w:cs="仿宋_GB2312"/>
          <w:sz w:val="32"/>
          <w:szCs w:val="32"/>
          <w:lang w:eastAsia="zh-CN"/>
        </w:rPr>
        <w:t>，其中：</w:t>
      </w: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182.84</w:t>
      </w:r>
      <w:r>
        <w:rPr>
          <w:rFonts w:hint="eastAsia" w:ascii="仿宋" w:hAnsi="仿宋" w:eastAsia="仿宋"/>
          <w:color w:val="000000"/>
          <w:sz w:val="32"/>
          <w:szCs w:val="32"/>
        </w:rPr>
        <w:t>万元，主要包括：基本工资、津贴补贴、奖金、机关事业单位基本养老保险缴费、职业年金缴费、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其他社会保障缴费、医疗费补助、奖励金、住房公积金。</w:t>
      </w:r>
    </w:p>
    <w:p w14:paraId="45248FDC">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lang w:eastAsia="zh-CN"/>
        </w:rPr>
        <w:t>项目支出</w:t>
      </w:r>
      <w:r>
        <w:rPr>
          <w:rFonts w:hint="eastAsia" w:ascii="仿宋" w:hAnsi="仿宋" w:eastAsia="仿宋"/>
          <w:color w:val="000000"/>
          <w:sz w:val="32"/>
          <w:szCs w:val="32"/>
          <w:lang w:val="en-US" w:eastAsia="zh-CN"/>
        </w:rPr>
        <w:t>26.65万元，主要包括：</w:t>
      </w:r>
      <w:r>
        <w:rPr>
          <w:rFonts w:hint="eastAsia" w:ascii="仿宋_GB2312" w:eastAsia="仿宋_GB2312"/>
          <w:sz w:val="32"/>
          <w:szCs w:val="32"/>
          <w:lang w:val="en-US" w:eastAsia="zh-CN"/>
        </w:rPr>
        <w:t>2024年建档立卡贫困人口、低保对象、特困人员等困难群体政府城乡居民基本养老保险费及2024年死亡抚恤金</w:t>
      </w:r>
      <w:r>
        <w:rPr>
          <w:rFonts w:hint="eastAsia" w:ascii="仿宋" w:hAnsi="仿宋" w:eastAsia="仿宋"/>
          <w:color w:val="000000"/>
          <w:sz w:val="32"/>
          <w:szCs w:val="32"/>
          <w:lang w:eastAsia="zh-CN"/>
        </w:rPr>
        <w:t>。</w:t>
      </w:r>
      <w:r>
        <w:rPr>
          <w:rFonts w:hint="eastAsia" w:ascii="仿宋" w:hAnsi="仿宋" w:eastAsia="仿宋"/>
          <w:color w:val="000000"/>
          <w:sz w:val="32"/>
          <w:szCs w:val="32"/>
        </w:rPr>
        <w:t>　　</w:t>
      </w:r>
    </w:p>
    <w:p w14:paraId="22F6A2D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9.48</w:t>
      </w:r>
      <w:r>
        <w:rPr>
          <w:rFonts w:hint="eastAsia" w:ascii="仿宋" w:hAnsi="仿宋" w:eastAsia="仿宋"/>
          <w:color w:val="000000"/>
          <w:sz w:val="32"/>
          <w:szCs w:val="32"/>
        </w:rPr>
        <w:t>万元，主要包括：办公费、差旅费、维修（护）费、培训费、公务用车运行维护费。</w:t>
      </w:r>
    </w:p>
    <w:p w14:paraId="3A8217C1">
      <w:pPr>
        <w:widowControl/>
        <w:numPr>
          <w:ilvl w:val="0"/>
          <w:numId w:val="0"/>
        </w:numPr>
        <w:adjustRightInd w:val="0"/>
        <w:snapToGrid w:val="0"/>
        <w:spacing w:line="580" w:lineRule="exact"/>
        <w:ind w:left="640" w:leftChars="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lang w:eastAsia="zh-CN"/>
        </w:rPr>
        <w:t>三、</w:t>
      </w:r>
      <w:r>
        <w:rPr>
          <w:rFonts w:hint="eastAsia" w:ascii="黑体" w:hAnsi="宋体" w:eastAsia="黑体" w:cs="宋体"/>
          <w:color w:val="000000"/>
          <w:kern w:val="0"/>
          <w:sz w:val="32"/>
          <w:szCs w:val="32"/>
          <w:shd w:val="clear" w:color="auto" w:fill="FFFFFF"/>
        </w:rPr>
        <w:t>部门整体预算绩效管理情况</w:t>
      </w:r>
    </w:p>
    <w:p w14:paraId="2C7FEC7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40A3C1A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合理安排收支预算，严格预算管理，单位财务人员严格按照县级部门预算编制通知和有关文件要求，由县财政各部门审核无误后根据部门收支情况执行预算。在实际执行中，严格按照相关要求，做到收支平衡，完成目标任务。</w:t>
      </w:r>
    </w:p>
    <w:p w14:paraId="5FFB2D8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2548776A">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结合工作实际来规范了预算执行，落实了预算执行，完成了单位的目标任务。</w:t>
      </w:r>
    </w:p>
    <w:p w14:paraId="781FF933">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13C75584">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517A094F">
      <w:pPr>
        <w:widowControl/>
        <w:adjustRightInd w:val="0"/>
        <w:snapToGrid w:val="0"/>
        <w:spacing w:line="580" w:lineRule="exact"/>
        <w:ind w:firstLine="640" w:firstLineChars="200"/>
        <w:contextualSpacing/>
        <w:jc w:val="left"/>
        <w:rPr>
          <w:rFonts w:hint="eastAsia" w:ascii="仿宋" w:hAnsi="仿宋" w:eastAsia="仿宋" w:cs="仿宋_GB2312"/>
          <w:sz w:val="32"/>
          <w:szCs w:val="32"/>
        </w:rPr>
      </w:pPr>
      <w:r>
        <w:rPr>
          <w:rFonts w:hint="eastAsia" w:ascii="仿宋" w:hAnsi="仿宋" w:eastAsia="仿宋" w:cs="仿宋_GB2312"/>
          <w:sz w:val="32"/>
          <w:szCs w:val="32"/>
          <w:lang w:eastAsia="zh-CN"/>
        </w:rPr>
        <w:t>本单位</w:t>
      </w: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24</w:t>
      </w:r>
      <w:r>
        <w:rPr>
          <w:rFonts w:hint="eastAsia" w:ascii="仿宋" w:hAnsi="仿宋" w:eastAsia="仿宋" w:cs="仿宋_GB2312"/>
          <w:sz w:val="32"/>
          <w:szCs w:val="32"/>
        </w:rPr>
        <w:t>年部门整体支出情况良好，从预算到执行和收入、支出管理均严格按照相关要求进行，全年收支平衡，有效保障了单位正常运转，圆满完成了单位目标任务。</w:t>
      </w:r>
    </w:p>
    <w:p w14:paraId="467CF6A4">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 w:hAnsi="仿宋" w:eastAsia="仿宋" w:cs="仿宋_GB2312"/>
          <w:sz w:val="32"/>
          <w:szCs w:val="32"/>
          <w:lang w:eastAsia="zh-CN"/>
        </w:rPr>
        <w:t>（二）</w:t>
      </w:r>
      <w:r>
        <w:rPr>
          <w:rFonts w:hint="eastAsia" w:ascii="仿宋_GB2312" w:hAnsi="宋体" w:eastAsia="仿宋_GB2312" w:cs="宋体"/>
          <w:color w:val="000000"/>
          <w:kern w:val="0"/>
          <w:sz w:val="32"/>
          <w:szCs w:val="32"/>
          <w:shd w:val="clear" w:color="auto" w:fill="FFFFFF"/>
          <w:lang w:val="en-US" w:eastAsia="zh-CN"/>
        </w:rPr>
        <w:t>存在问题。</w:t>
      </w:r>
    </w:p>
    <w:p w14:paraId="3011D2B7">
      <w:pPr>
        <w:widowControl/>
        <w:numPr>
          <w:ilvl w:val="0"/>
          <w:numId w:val="0"/>
        </w:numPr>
        <w:adjustRightInd w:val="0"/>
        <w:snapToGrid w:val="0"/>
        <w:spacing w:line="580" w:lineRule="exact"/>
        <w:ind w:left="105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无</w:t>
      </w:r>
    </w:p>
    <w:p w14:paraId="0BE34ECF">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38428ECA">
      <w:pPr>
        <w:widowControl/>
        <w:numPr>
          <w:ilvl w:val="0"/>
          <w:numId w:val="0"/>
        </w:numPr>
        <w:adjustRightInd w:val="0"/>
        <w:snapToGrid w:val="0"/>
        <w:spacing w:line="580" w:lineRule="exact"/>
        <w:ind w:left="1050" w:leftChars="0" w:firstLine="640" w:firstLineChars="200"/>
        <w:contextualSpacing/>
        <w:jc w:val="left"/>
        <w:rPr>
          <w:rFonts w:hint="eastAsia" w:ascii="黑体" w:hAnsi="黑体" w:eastAsia="黑体"/>
          <w:color w:val="000000"/>
          <w:sz w:val="44"/>
          <w:szCs w:val="44"/>
        </w:rPr>
      </w:pPr>
      <w:r>
        <w:rPr>
          <w:rFonts w:hint="eastAsia" w:ascii="仿宋_GB2312" w:hAnsi="宋体" w:eastAsia="仿宋_GB2312" w:cs="宋体"/>
          <w:color w:val="000000"/>
          <w:kern w:val="0"/>
          <w:sz w:val="32"/>
          <w:szCs w:val="32"/>
          <w:shd w:val="clear" w:color="auto" w:fill="FFFFFF"/>
          <w:lang w:val="zh-CN"/>
        </w:rPr>
        <w:t>无</w:t>
      </w:r>
      <w:bookmarkStart w:id="96" w:name="_Toc79163635"/>
      <w:bookmarkStart w:id="97" w:name="_Toc15396618"/>
      <w:bookmarkStart w:id="98" w:name="_Toc79163885"/>
    </w:p>
    <w:p w14:paraId="389D6A9C">
      <w:pPr>
        <w:spacing w:line="600" w:lineRule="exact"/>
        <w:jc w:val="both"/>
        <w:outlineLvl w:val="0"/>
        <w:rPr>
          <w:rFonts w:hint="eastAsia" w:ascii="黑体" w:hAnsi="黑体" w:eastAsia="黑体"/>
          <w:color w:val="000000"/>
          <w:sz w:val="44"/>
          <w:szCs w:val="44"/>
        </w:rPr>
      </w:pPr>
    </w:p>
    <w:p w14:paraId="4F86A495">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textAlignment w:val="auto"/>
        <w:outlineLvl w:val="0"/>
        <w:rPr>
          <w:rStyle w:val="22"/>
          <w:rFonts w:ascii="黑体" w:hAnsi="黑体" w:eastAsia="黑体"/>
          <w:b w:val="0"/>
        </w:rPr>
      </w:pPr>
      <w:r>
        <w:rPr>
          <w:rFonts w:hint="eastAsia" w:ascii="黑体" w:hAnsi="黑体" w:eastAsia="黑体"/>
          <w:color w:val="000000"/>
          <w:sz w:val="44"/>
          <w:szCs w:val="44"/>
        </w:rPr>
        <w:t>第</w:t>
      </w:r>
      <w:r>
        <w:rPr>
          <w:rStyle w:val="22"/>
          <w:rFonts w:hint="eastAsia" w:ascii="黑体" w:hAnsi="黑体" w:eastAsia="黑体"/>
          <w:b w:val="0"/>
        </w:rPr>
        <w:t>五部分</w:t>
      </w:r>
      <w:r>
        <w:rPr>
          <w:rStyle w:val="22"/>
          <w:rFonts w:ascii="黑体" w:hAnsi="黑体" w:eastAsia="黑体"/>
          <w:b w:val="0"/>
        </w:rPr>
        <w:t xml:space="preserve"> </w:t>
      </w:r>
      <w:r>
        <w:rPr>
          <w:rStyle w:val="22"/>
          <w:rFonts w:hint="eastAsia" w:ascii="黑体" w:hAnsi="黑体" w:eastAsia="黑体"/>
          <w:b w:val="0"/>
        </w:rPr>
        <w:t>附表</w:t>
      </w:r>
      <w:bookmarkEnd w:id="88"/>
      <w:bookmarkEnd w:id="96"/>
      <w:bookmarkEnd w:id="97"/>
      <w:bookmarkEnd w:id="98"/>
    </w:p>
    <w:p w14:paraId="37290664">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99" w:name="_Toc79163886"/>
      <w:bookmarkStart w:id="100" w:name="_Toc15396619"/>
      <w:bookmarkStart w:id="101" w:name="_Toc79163636"/>
      <w:r>
        <w:rPr>
          <w:rFonts w:hint="eastAsia" w:ascii="仿宋" w:hAnsi="仿宋" w:eastAsia="仿宋"/>
          <w:b w:val="0"/>
          <w:color w:val="000000"/>
        </w:rPr>
        <w:t>一、收</w:t>
      </w:r>
      <w:r>
        <w:rPr>
          <w:rStyle w:val="23"/>
          <w:rFonts w:hint="eastAsia" w:ascii="仿宋" w:hAnsi="仿宋" w:eastAsia="仿宋"/>
          <w:b w:val="0"/>
          <w:bCs w:val="0"/>
        </w:rPr>
        <w:t>入支出决算总表</w:t>
      </w:r>
      <w:bookmarkEnd w:id="99"/>
      <w:bookmarkEnd w:id="100"/>
      <w:bookmarkEnd w:id="101"/>
    </w:p>
    <w:p w14:paraId="526751BC">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02" w:name="_Toc79163887"/>
      <w:bookmarkStart w:id="103" w:name="_Toc15396620"/>
      <w:bookmarkStart w:id="104" w:name="_Toc79163637"/>
      <w:r>
        <w:rPr>
          <w:rFonts w:hint="eastAsia" w:ascii="仿宋" w:hAnsi="仿宋" w:eastAsia="仿宋"/>
          <w:b w:val="0"/>
          <w:color w:val="000000"/>
        </w:rPr>
        <w:t>二、收</w:t>
      </w:r>
      <w:r>
        <w:rPr>
          <w:rStyle w:val="23"/>
          <w:rFonts w:hint="eastAsia" w:ascii="仿宋" w:hAnsi="仿宋" w:eastAsia="仿宋"/>
          <w:b w:val="0"/>
          <w:bCs w:val="0"/>
        </w:rPr>
        <w:t>入决算表</w:t>
      </w:r>
      <w:bookmarkEnd w:id="102"/>
      <w:bookmarkEnd w:id="103"/>
      <w:bookmarkEnd w:id="104"/>
    </w:p>
    <w:p w14:paraId="1F18D7F8">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05" w:name="_Toc79163638"/>
      <w:bookmarkStart w:id="106" w:name="_Toc15396621"/>
      <w:bookmarkStart w:id="107" w:name="_Toc79163888"/>
      <w:r>
        <w:rPr>
          <w:rStyle w:val="23"/>
          <w:rFonts w:hint="eastAsia" w:ascii="仿宋" w:hAnsi="仿宋" w:eastAsia="仿宋"/>
          <w:b w:val="0"/>
          <w:bCs w:val="0"/>
        </w:rPr>
        <w:t>三、</w:t>
      </w:r>
      <w:r>
        <w:rPr>
          <w:rFonts w:hint="eastAsia" w:ascii="仿宋" w:hAnsi="仿宋" w:eastAsia="仿宋"/>
          <w:b w:val="0"/>
          <w:color w:val="000000"/>
        </w:rPr>
        <w:t>支</w:t>
      </w:r>
      <w:r>
        <w:rPr>
          <w:rStyle w:val="23"/>
          <w:rFonts w:hint="eastAsia" w:ascii="仿宋" w:hAnsi="仿宋" w:eastAsia="仿宋"/>
          <w:b w:val="0"/>
          <w:bCs w:val="0"/>
        </w:rPr>
        <w:t>出决算表</w:t>
      </w:r>
      <w:bookmarkEnd w:id="105"/>
      <w:bookmarkEnd w:id="106"/>
      <w:bookmarkEnd w:id="107"/>
    </w:p>
    <w:p w14:paraId="7EA2365A">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b w:val="0"/>
          <w:color w:val="000000"/>
        </w:rPr>
      </w:pPr>
      <w:bookmarkStart w:id="108" w:name="_Toc79163889"/>
      <w:bookmarkStart w:id="109" w:name="_Toc79163639"/>
      <w:bookmarkStart w:id="110" w:name="_Toc15396622"/>
      <w:r>
        <w:rPr>
          <w:rStyle w:val="23"/>
          <w:rFonts w:hint="eastAsia" w:ascii="仿宋" w:hAnsi="仿宋" w:eastAsia="仿宋"/>
          <w:b w:val="0"/>
          <w:bCs w:val="0"/>
        </w:rPr>
        <w:t>四、</w:t>
      </w:r>
      <w:r>
        <w:rPr>
          <w:rFonts w:hint="eastAsia" w:ascii="仿宋" w:hAnsi="仿宋" w:eastAsia="仿宋"/>
          <w:b w:val="0"/>
          <w:color w:val="000000"/>
        </w:rPr>
        <w:t>财</w:t>
      </w:r>
      <w:r>
        <w:rPr>
          <w:rStyle w:val="23"/>
          <w:rFonts w:hint="eastAsia" w:ascii="仿宋" w:hAnsi="仿宋" w:eastAsia="仿宋"/>
          <w:b w:val="0"/>
          <w:bCs w:val="0"/>
        </w:rPr>
        <w:t>政拨款收入支出决算总表</w:t>
      </w:r>
      <w:bookmarkEnd w:id="108"/>
      <w:bookmarkEnd w:id="109"/>
      <w:bookmarkEnd w:id="110"/>
    </w:p>
    <w:p w14:paraId="7101058B">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3"/>
          <w:rFonts w:ascii="仿宋" w:hAnsi="仿宋" w:eastAsia="仿宋"/>
          <w:b w:val="0"/>
          <w:bCs w:val="0"/>
        </w:rPr>
      </w:pPr>
      <w:bookmarkStart w:id="111" w:name="_Toc79163890"/>
      <w:bookmarkStart w:id="112" w:name="_Toc79163640"/>
      <w:bookmarkStart w:id="113" w:name="_Toc15396623"/>
      <w:r>
        <w:rPr>
          <w:rStyle w:val="23"/>
          <w:rFonts w:hint="eastAsia" w:ascii="仿宋" w:hAnsi="仿宋" w:eastAsia="仿宋"/>
          <w:b w:val="0"/>
          <w:bCs w:val="0"/>
        </w:rPr>
        <w:t>五、</w:t>
      </w:r>
      <w:r>
        <w:rPr>
          <w:rFonts w:hint="eastAsia" w:ascii="仿宋" w:hAnsi="仿宋" w:eastAsia="仿宋"/>
          <w:b w:val="0"/>
          <w:color w:val="000000"/>
        </w:rPr>
        <w:t>财</w:t>
      </w:r>
      <w:r>
        <w:rPr>
          <w:rStyle w:val="23"/>
          <w:rFonts w:hint="eastAsia" w:ascii="仿宋" w:hAnsi="仿宋" w:eastAsia="仿宋"/>
          <w:b w:val="0"/>
          <w:bCs w:val="0"/>
        </w:rPr>
        <w:t>政拨款支出决算明细表</w:t>
      </w:r>
      <w:bookmarkEnd w:id="111"/>
      <w:bookmarkEnd w:id="112"/>
      <w:bookmarkEnd w:id="113"/>
      <w:bookmarkStart w:id="114" w:name="_Toc15396624"/>
    </w:p>
    <w:p w14:paraId="132A368D">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15" w:name="_Toc79163891"/>
      <w:bookmarkStart w:id="116" w:name="_Toc79163641"/>
      <w:r>
        <w:rPr>
          <w:rStyle w:val="23"/>
          <w:rFonts w:hint="eastAsia" w:ascii="仿宋" w:hAnsi="仿宋" w:eastAsia="仿宋"/>
          <w:b w:val="0"/>
          <w:bCs w:val="0"/>
        </w:rPr>
        <w:t>六、</w:t>
      </w:r>
      <w:r>
        <w:rPr>
          <w:rFonts w:hint="eastAsia" w:ascii="仿宋" w:hAnsi="仿宋" w:eastAsia="仿宋"/>
          <w:b w:val="0"/>
          <w:color w:val="000000"/>
        </w:rPr>
        <w:t>一</w:t>
      </w:r>
      <w:r>
        <w:rPr>
          <w:rStyle w:val="23"/>
          <w:rFonts w:hint="eastAsia" w:ascii="仿宋" w:hAnsi="仿宋" w:eastAsia="仿宋"/>
          <w:b w:val="0"/>
          <w:bCs w:val="0"/>
        </w:rPr>
        <w:t>般公共预算财政拨款支出决算表</w:t>
      </w:r>
      <w:bookmarkEnd w:id="114"/>
      <w:bookmarkEnd w:id="115"/>
      <w:bookmarkEnd w:id="116"/>
    </w:p>
    <w:p w14:paraId="07764691">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17" w:name="_Toc79163892"/>
      <w:bookmarkStart w:id="118" w:name="_Toc79163642"/>
      <w:bookmarkStart w:id="119" w:name="_Toc15396625"/>
      <w:r>
        <w:rPr>
          <w:rStyle w:val="23"/>
          <w:rFonts w:hint="eastAsia" w:ascii="仿宋" w:hAnsi="仿宋" w:eastAsia="仿宋"/>
          <w:b w:val="0"/>
          <w:bCs w:val="0"/>
        </w:rPr>
        <w:t>七、</w:t>
      </w:r>
      <w:r>
        <w:rPr>
          <w:rFonts w:hint="eastAsia" w:ascii="仿宋" w:hAnsi="仿宋" w:eastAsia="仿宋"/>
          <w:b w:val="0"/>
          <w:color w:val="000000"/>
        </w:rPr>
        <w:t>一</w:t>
      </w:r>
      <w:r>
        <w:rPr>
          <w:rStyle w:val="23"/>
          <w:rFonts w:hint="eastAsia" w:ascii="仿宋" w:hAnsi="仿宋" w:eastAsia="仿宋"/>
          <w:b w:val="0"/>
          <w:bCs w:val="0"/>
        </w:rPr>
        <w:t>般公共预算财政拨款支出决算明细表</w:t>
      </w:r>
      <w:bookmarkEnd w:id="117"/>
      <w:bookmarkEnd w:id="118"/>
      <w:bookmarkEnd w:id="119"/>
    </w:p>
    <w:p w14:paraId="4ACDD654">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20" w:name="_Toc79163643"/>
      <w:bookmarkStart w:id="121" w:name="_Toc79163893"/>
      <w:bookmarkStart w:id="122" w:name="_Toc15396626"/>
      <w:r>
        <w:rPr>
          <w:rStyle w:val="23"/>
          <w:rFonts w:hint="eastAsia" w:ascii="仿宋" w:hAnsi="仿宋" w:eastAsia="仿宋"/>
          <w:b w:val="0"/>
          <w:bCs w:val="0"/>
        </w:rPr>
        <w:t>八、</w:t>
      </w:r>
      <w:r>
        <w:rPr>
          <w:rFonts w:hint="eastAsia" w:ascii="仿宋" w:hAnsi="仿宋" w:eastAsia="仿宋"/>
          <w:b w:val="0"/>
          <w:color w:val="000000"/>
        </w:rPr>
        <w:t>一</w:t>
      </w:r>
      <w:r>
        <w:rPr>
          <w:rStyle w:val="23"/>
          <w:rFonts w:hint="eastAsia" w:ascii="仿宋" w:hAnsi="仿宋" w:eastAsia="仿宋"/>
          <w:b w:val="0"/>
          <w:bCs w:val="0"/>
        </w:rPr>
        <w:t>般公共预算财政拨款基本支出决算表</w:t>
      </w:r>
      <w:bookmarkEnd w:id="120"/>
      <w:bookmarkEnd w:id="121"/>
      <w:bookmarkEnd w:id="122"/>
    </w:p>
    <w:p w14:paraId="3B322F70">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23" w:name="_Toc15396627"/>
      <w:bookmarkStart w:id="124" w:name="_Toc79163644"/>
      <w:bookmarkStart w:id="125" w:name="_Toc79163894"/>
      <w:r>
        <w:rPr>
          <w:rStyle w:val="23"/>
          <w:rFonts w:hint="eastAsia" w:ascii="仿宋" w:hAnsi="仿宋" w:eastAsia="仿宋"/>
          <w:b w:val="0"/>
          <w:bCs w:val="0"/>
        </w:rPr>
        <w:t>九、</w:t>
      </w:r>
      <w:r>
        <w:rPr>
          <w:rFonts w:hint="eastAsia" w:ascii="仿宋" w:hAnsi="仿宋" w:eastAsia="仿宋"/>
          <w:b w:val="0"/>
          <w:color w:val="000000"/>
        </w:rPr>
        <w:t>一</w:t>
      </w:r>
      <w:r>
        <w:rPr>
          <w:rStyle w:val="23"/>
          <w:rFonts w:hint="eastAsia" w:ascii="仿宋" w:hAnsi="仿宋" w:eastAsia="仿宋"/>
          <w:b w:val="0"/>
          <w:bCs w:val="0"/>
        </w:rPr>
        <w:t>般公共预算财政拨款项目支出决算表</w:t>
      </w:r>
      <w:bookmarkEnd w:id="123"/>
      <w:bookmarkEnd w:id="124"/>
      <w:bookmarkEnd w:id="125"/>
    </w:p>
    <w:p w14:paraId="60460766">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26" w:name="_Toc79163895"/>
      <w:bookmarkStart w:id="127" w:name="_Toc79163645"/>
      <w:bookmarkStart w:id="128" w:name="_Toc15396628"/>
      <w:r>
        <w:rPr>
          <w:rStyle w:val="23"/>
          <w:rFonts w:hint="eastAsia" w:ascii="仿宋" w:hAnsi="仿宋" w:eastAsia="仿宋"/>
          <w:b w:val="0"/>
          <w:bCs w:val="0"/>
        </w:rPr>
        <w:t>十、</w:t>
      </w:r>
      <w:bookmarkEnd w:id="126"/>
      <w:bookmarkEnd w:id="127"/>
      <w:bookmarkEnd w:id="128"/>
      <w:r>
        <w:rPr>
          <w:rFonts w:hint="eastAsia" w:ascii="仿宋" w:hAnsi="仿宋" w:eastAsia="仿宋"/>
          <w:b w:val="0"/>
          <w:color w:val="000000"/>
        </w:rPr>
        <w:t>政</w:t>
      </w:r>
      <w:r>
        <w:rPr>
          <w:rStyle w:val="23"/>
          <w:rFonts w:hint="eastAsia" w:ascii="仿宋" w:hAnsi="仿宋" w:eastAsia="仿宋"/>
          <w:b w:val="0"/>
          <w:bCs w:val="0"/>
        </w:rPr>
        <w:t>府性基金预算财政拨款收入支出决算表</w:t>
      </w:r>
    </w:p>
    <w:p w14:paraId="648C1301">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3"/>
          <w:rFonts w:hint="eastAsia" w:ascii="仿宋" w:hAnsi="仿宋" w:eastAsia="仿宋"/>
          <w:b w:val="0"/>
          <w:bCs w:val="0"/>
        </w:rPr>
      </w:pPr>
      <w:bookmarkStart w:id="129" w:name="_Toc79163646"/>
      <w:bookmarkStart w:id="130" w:name="_Toc15396629"/>
      <w:bookmarkStart w:id="131" w:name="_Toc79163896"/>
      <w:r>
        <w:rPr>
          <w:rStyle w:val="23"/>
          <w:rFonts w:hint="eastAsia" w:ascii="仿宋" w:hAnsi="仿宋" w:eastAsia="仿宋"/>
          <w:b w:val="0"/>
          <w:bCs w:val="0"/>
        </w:rPr>
        <w:t>十一、</w:t>
      </w:r>
      <w:bookmarkEnd w:id="129"/>
      <w:bookmarkEnd w:id="130"/>
      <w:bookmarkEnd w:id="131"/>
      <w:bookmarkStart w:id="132" w:name="_Toc15396630"/>
      <w:bookmarkStart w:id="133" w:name="_Toc79163647"/>
      <w:bookmarkStart w:id="134" w:name="_Toc79163897"/>
      <w:r>
        <w:rPr>
          <w:rFonts w:hint="eastAsia" w:ascii="仿宋" w:hAnsi="仿宋" w:eastAsia="仿宋"/>
          <w:b w:val="0"/>
          <w:color w:val="000000"/>
        </w:rPr>
        <w:t>国</w:t>
      </w:r>
      <w:r>
        <w:rPr>
          <w:rStyle w:val="23"/>
          <w:rFonts w:hint="eastAsia" w:ascii="仿宋" w:hAnsi="仿宋" w:eastAsia="仿宋"/>
          <w:b w:val="0"/>
          <w:bCs w:val="0"/>
        </w:rPr>
        <w:t>有资本经营预算财政拨款</w:t>
      </w:r>
      <w:r>
        <w:rPr>
          <w:rStyle w:val="23"/>
          <w:rFonts w:hint="eastAsia" w:ascii="仿宋" w:hAnsi="仿宋" w:eastAsia="仿宋"/>
          <w:b w:val="0"/>
          <w:bCs w:val="0"/>
          <w:lang w:eastAsia="zh-CN"/>
        </w:rPr>
        <w:t>收入</w:t>
      </w:r>
      <w:r>
        <w:rPr>
          <w:rStyle w:val="23"/>
          <w:rFonts w:hint="eastAsia" w:ascii="仿宋" w:hAnsi="仿宋" w:eastAsia="仿宋"/>
          <w:b w:val="0"/>
          <w:bCs w:val="0"/>
        </w:rPr>
        <w:t>支出决算表</w:t>
      </w:r>
    </w:p>
    <w:p w14:paraId="4F7849BE">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3"/>
          <w:rFonts w:ascii="仿宋" w:hAnsi="仿宋" w:eastAsia="仿宋"/>
          <w:b w:val="0"/>
          <w:bCs w:val="0"/>
        </w:rPr>
      </w:pPr>
      <w:r>
        <w:rPr>
          <w:rStyle w:val="23"/>
          <w:rFonts w:hint="eastAsia" w:ascii="仿宋" w:hAnsi="仿宋" w:eastAsia="仿宋"/>
          <w:b w:val="0"/>
          <w:bCs w:val="0"/>
        </w:rPr>
        <w:t>十二、</w:t>
      </w:r>
      <w:bookmarkEnd w:id="132"/>
      <w:bookmarkEnd w:id="133"/>
      <w:bookmarkEnd w:id="134"/>
      <w:bookmarkStart w:id="135" w:name="_Toc15396631"/>
      <w:bookmarkStart w:id="136" w:name="_Toc79163898"/>
      <w:bookmarkStart w:id="137" w:name="_Toc79163648"/>
      <w:r>
        <w:rPr>
          <w:rStyle w:val="23"/>
          <w:rFonts w:hint="eastAsia" w:ascii="仿宋" w:hAnsi="仿宋" w:eastAsia="仿宋"/>
          <w:b w:val="0"/>
          <w:bCs w:val="0"/>
        </w:rPr>
        <w:t>国有资本经营预算财政拨款支出决算表</w:t>
      </w:r>
    </w:p>
    <w:p w14:paraId="3CA626F0">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r>
        <w:rPr>
          <w:rStyle w:val="23"/>
          <w:rFonts w:hint="eastAsia" w:ascii="仿宋" w:hAnsi="仿宋" w:eastAsia="仿宋"/>
          <w:b w:val="0"/>
          <w:bCs w:val="0"/>
        </w:rPr>
        <w:t>十三、</w:t>
      </w:r>
      <w:bookmarkEnd w:id="135"/>
      <w:bookmarkEnd w:id="136"/>
      <w:bookmarkEnd w:id="137"/>
      <w:r>
        <w:rPr>
          <w:rStyle w:val="23"/>
          <w:rFonts w:hint="eastAsia" w:ascii="仿宋" w:hAnsi="仿宋" w:eastAsia="仿宋"/>
          <w:b w:val="0"/>
          <w:bCs w:val="0"/>
        </w:rPr>
        <w:t>财政拨款“三公”经费支出决算表</w:t>
      </w:r>
    </w:p>
    <w:p w14:paraId="05947EB3">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3"/>
          <w:rFonts w:ascii="仿宋" w:hAnsi="仿宋" w:eastAsia="仿宋"/>
          <w:b w:val="0"/>
          <w:bCs w:val="0"/>
        </w:rPr>
      </w:pPr>
    </w:p>
    <w:p w14:paraId="296407D9">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3"/>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56BC">
    <w:pPr>
      <w:pStyle w:val="11"/>
      <w:jc w:val="center"/>
    </w:pPr>
    <w:r>
      <w:fldChar w:fldCharType="begin"/>
    </w:r>
    <w:r>
      <w:instrText xml:space="preserve">PAGE   \* MERGEFORMAT</w:instrText>
    </w:r>
    <w:r>
      <w:fldChar w:fldCharType="separate"/>
    </w:r>
    <w:r>
      <w:rPr>
        <w:lang w:val="zh-CN"/>
      </w:rPr>
      <w:t>3</w:t>
    </w:r>
    <w:r>
      <w:fldChar w:fldCharType="end"/>
    </w:r>
  </w:p>
  <w:p w14:paraId="2DB2620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7C8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19C9F6B2"/>
    <w:multiLevelType w:val="singleLevel"/>
    <w:tmpl w:val="19C9F6B2"/>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wOTViMzJhNTBmYTdjYjA0OWI0ZGYzOTQ4Zjc0Y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61ED"/>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6A69"/>
    <w:rsid w:val="011179BF"/>
    <w:rsid w:val="012A0989"/>
    <w:rsid w:val="01C30FCF"/>
    <w:rsid w:val="02785C71"/>
    <w:rsid w:val="02834BA2"/>
    <w:rsid w:val="02BA3F8E"/>
    <w:rsid w:val="02E7218E"/>
    <w:rsid w:val="03253F4C"/>
    <w:rsid w:val="035B575C"/>
    <w:rsid w:val="037E55F4"/>
    <w:rsid w:val="03AE5E46"/>
    <w:rsid w:val="0451111C"/>
    <w:rsid w:val="04A42800"/>
    <w:rsid w:val="051F7925"/>
    <w:rsid w:val="0578144E"/>
    <w:rsid w:val="05962A91"/>
    <w:rsid w:val="065E775E"/>
    <w:rsid w:val="070E1671"/>
    <w:rsid w:val="071A401C"/>
    <w:rsid w:val="08591B53"/>
    <w:rsid w:val="086B7D55"/>
    <w:rsid w:val="08AB6F60"/>
    <w:rsid w:val="08E46AC6"/>
    <w:rsid w:val="08E62DA9"/>
    <w:rsid w:val="091066B6"/>
    <w:rsid w:val="091E5277"/>
    <w:rsid w:val="09481641"/>
    <w:rsid w:val="09E619D6"/>
    <w:rsid w:val="0A0A1357"/>
    <w:rsid w:val="0A2032A3"/>
    <w:rsid w:val="0B9050D0"/>
    <w:rsid w:val="0B9D63F6"/>
    <w:rsid w:val="0BC8484E"/>
    <w:rsid w:val="0BDC5170"/>
    <w:rsid w:val="0CD53ED9"/>
    <w:rsid w:val="0DD1377E"/>
    <w:rsid w:val="0DD2387E"/>
    <w:rsid w:val="0E771DEF"/>
    <w:rsid w:val="0EB72F10"/>
    <w:rsid w:val="0F047E18"/>
    <w:rsid w:val="0F300D91"/>
    <w:rsid w:val="0F9A317D"/>
    <w:rsid w:val="0F9D3ACE"/>
    <w:rsid w:val="105F5CE8"/>
    <w:rsid w:val="10A24DDA"/>
    <w:rsid w:val="10C055FF"/>
    <w:rsid w:val="10D4446D"/>
    <w:rsid w:val="10D943B8"/>
    <w:rsid w:val="11401B02"/>
    <w:rsid w:val="11753AEE"/>
    <w:rsid w:val="117F298B"/>
    <w:rsid w:val="118107EC"/>
    <w:rsid w:val="11BA4BF4"/>
    <w:rsid w:val="126706BB"/>
    <w:rsid w:val="133B2641"/>
    <w:rsid w:val="1356560D"/>
    <w:rsid w:val="13CB7DA9"/>
    <w:rsid w:val="142A5F62"/>
    <w:rsid w:val="144063F9"/>
    <w:rsid w:val="14E45836"/>
    <w:rsid w:val="16BB723D"/>
    <w:rsid w:val="174340FA"/>
    <w:rsid w:val="17972A79"/>
    <w:rsid w:val="17B35FD9"/>
    <w:rsid w:val="17BE7C25"/>
    <w:rsid w:val="17FE036B"/>
    <w:rsid w:val="181B7031"/>
    <w:rsid w:val="18D40D35"/>
    <w:rsid w:val="19193365"/>
    <w:rsid w:val="198B14FD"/>
    <w:rsid w:val="19F309B8"/>
    <w:rsid w:val="1A620BF1"/>
    <w:rsid w:val="1A9055BC"/>
    <w:rsid w:val="1AED2D61"/>
    <w:rsid w:val="1AF75636"/>
    <w:rsid w:val="1B506DE6"/>
    <w:rsid w:val="1BD619E1"/>
    <w:rsid w:val="1C5F3D22"/>
    <w:rsid w:val="1C915908"/>
    <w:rsid w:val="1D155CEE"/>
    <w:rsid w:val="1E454D7D"/>
    <w:rsid w:val="1E6311F9"/>
    <w:rsid w:val="1E835D40"/>
    <w:rsid w:val="1F1A7326"/>
    <w:rsid w:val="1F861028"/>
    <w:rsid w:val="1FF113FE"/>
    <w:rsid w:val="203823E6"/>
    <w:rsid w:val="20786035"/>
    <w:rsid w:val="20827A42"/>
    <w:rsid w:val="20DE3D94"/>
    <w:rsid w:val="20E57FD0"/>
    <w:rsid w:val="218B6DCA"/>
    <w:rsid w:val="2288435D"/>
    <w:rsid w:val="22B9629C"/>
    <w:rsid w:val="22E70FFC"/>
    <w:rsid w:val="22E94AF1"/>
    <w:rsid w:val="22F2525A"/>
    <w:rsid w:val="23005E41"/>
    <w:rsid w:val="239A4151"/>
    <w:rsid w:val="23A22E0A"/>
    <w:rsid w:val="240371BF"/>
    <w:rsid w:val="24854E17"/>
    <w:rsid w:val="251F57E3"/>
    <w:rsid w:val="25943EAE"/>
    <w:rsid w:val="26071673"/>
    <w:rsid w:val="262F241A"/>
    <w:rsid w:val="26DF3C46"/>
    <w:rsid w:val="272D253A"/>
    <w:rsid w:val="28327F9F"/>
    <w:rsid w:val="2836125C"/>
    <w:rsid w:val="287D6FEB"/>
    <w:rsid w:val="291100B6"/>
    <w:rsid w:val="29FD04D3"/>
    <w:rsid w:val="2A1909FC"/>
    <w:rsid w:val="2A283B01"/>
    <w:rsid w:val="2A7D27C8"/>
    <w:rsid w:val="2A900FAD"/>
    <w:rsid w:val="2ABD64A7"/>
    <w:rsid w:val="2B0C4EB9"/>
    <w:rsid w:val="2B65068C"/>
    <w:rsid w:val="2B66231E"/>
    <w:rsid w:val="2C016606"/>
    <w:rsid w:val="2C3D6D40"/>
    <w:rsid w:val="2C594C89"/>
    <w:rsid w:val="2C717A28"/>
    <w:rsid w:val="2D2A393B"/>
    <w:rsid w:val="2D3F3458"/>
    <w:rsid w:val="2D9A706A"/>
    <w:rsid w:val="2DC62256"/>
    <w:rsid w:val="2DD47E05"/>
    <w:rsid w:val="2E622005"/>
    <w:rsid w:val="2EC65B71"/>
    <w:rsid w:val="2ECC26D1"/>
    <w:rsid w:val="2EF85A56"/>
    <w:rsid w:val="2F792957"/>
    <w:rsid w:val="30251C3E"/>
    <w:rsid w:val="30470A56"/>
    <w:rsid w:val="30665064"/>
    <w:rsid w:val="31783057"/>
    <w:rsid w:val="317E224F"/>
    <w:rsid w:val="319F7F4E"/>
    <w:rsid w:val="31C36D05"/>
    <w:rsid w:val="32050A8E"/>
    <w:rsid w:val="326B7F22"/>
    <w:rsid w:val="330E32C3"/>
    <w:rsid w:val="332A60CB"/>
    <w:rsid w:val="332F455A"/>
    <w:rsid w:val="336F213A"/>
    <w:rsid w:val="33C050F4"/>
    <w:rsid w:val="34E24AFB"/>
    <w:rsid w:val="34FF745B"/>
    <w:rsid w:val="35506DDC"/>
    <w:rsid w:val="356B048B"/>
    <w:rsid w:val="35BF5E6C"/>
    <w:rsid w:val="35BF7ACE"/>
    <w:rsid w:val="37823ECC"/>
    <w:rsid w:val="37C65B55"/>
    <w:rsid w:val="37D82760"/>
    <w:rsid w:val="38C56C0D"/>
    <w:rsid w:val="39250FB9"/>
    <w:rsid w:val="39473DD0"/>
    <w:rsid w:val="39D054E1"/>
    <w:rsid w:val="39DE3EC2"/>
    <w:rsid w:val="39FB1CE6"/>
    <w:rsid w:val="3A1954F0"/>
    <w:rsid w:val="3A9224D8"/>
    <w:rsid w:val="3AB213A3"/>
    <w:rsid w:val="3B335CBB"/>
    <w:rsid w:val="3C1E11FF"/>
    <w:rsid w:val="3C233782"/>
    <w:rsid w:val="3C5E7DEA"/>
    <w:rsid w:val="3CB43221"/>
    <w:rsid w:val="3CBC20D5"/>
    <w:rsid w:val="3D2008B6"/>
    <w:rsid w:val="3D2739F3"/>
    <w:rsid w:val="3D2D54A2"/>
    <w:rsid w:val="3D2F28A7"/>
    <w:rsid w:val="3D785FFC"/>
    <w:rsid w:val="3D8D72AD"/>
    <w:rsid w:val="3DD07BE6"/>
    <w:rsid w:val="3E0337B7"/>
    <w:rsid w:val="3E75146C"/>
    <w:rsid w:val="3E80165E"/>
    <w:rsid w:val="3F82528B"/>
    <w:rsid w:val="3FD9785C"/>
    <w:rsid w:val="40621ADD"/>
    <w:rsid w:val="408244D3"/>
    <w:rsid w:val="408F3260"/>
    <w:rsid w:val="40BA40B4"/>
    <w:rsid w:val="412C0BC8"/>
    <w:rsid w:val="41E74898"/>
    <w:rsid w:val="41FA7326"/>
    <w:rsid w:val="42B75819"/>
    <w:rsid w:val="439B11A2"/>
    <w:rsid w:val="43C04A47"/>
    <w:rsid w:val="43C4245E"/>
    <w:rsid w:val="443D41F0"/>
    <w:rsid w:val="44B46140"/>
    <w:rsid w:val="45273C7E"/>
    <w:rsid w:val="462E3558"/>
    <w:rsid w:val="46BC4F77"/>
    <w:rsid w:val="473F36BB"/>
    <w:rsid w:val="47504BD7"/>
    <w:rsid w:val="478B662D"/>
    <w:rsid w:val="47E9688B"/>
    <w:rsid w:val="47FD75BA"/>
    <w:rsid w:val="481F6480"/>
    <w:rsid w:val="4841317D"/>
    <w:rsid w:val="494C400A"/>
    <w:rsid w:val="49675177"/>
    <w:rsid w:val="49B54F13"/>
    <w:rsid w:val="49E30CA1"/>
    <w:rsid w:val="4A064990"/>
    <w:rsid w:val="4A5676C5"/>
    <w:rsid w:val="4AA93C99"/>
    <w:rsid w:val="4B2978E9"/>
    <w:rsid w:val="4B8B216B"/>
    <w:rsid w:val="4BC403F7"/>
    <w:rsid w:val="4C562ED5"/>
    <w:rsid w:val="4D553C64"/>
    <w:rsid w:val="4EAE296A"/>
    <w:rsid w:val="4ECE2238"/>
    <w:rsid w:val="4EE50312"/>
    <w:rsid w:val="4EEC05F8"/>
    <w:rsid w:val="4FA962D5"/>
    <w:rsid w:val="4FF6518B"/>
    <w:rsid w:val="500D20D1"/>
    <w:rsid w:val="508C6FA4"/>
    <w:rsid w:val="50C40F04"/>
    <w:rsid w:val="50D776C5"/>
    <w:rsid w:val="51730B5D"/>
    <w:rsid w:val="517B5C63"/>
    <w:rsid w:val="51B726A1"/>
    <w:rsid w:val="52506890"/>
    <w:rsid w:val="52BE22AC"/>
    <w:rsid w:val="53513120"/>
    <w:rsid w:val="53670FFF"/>
    <w:rsid w:val="536A42B3"/>
    <w:rsid w:val="53E915AA"/>
    <w:rsid w:val="54843081"/>
    <w:rsid w:val="54E12281"/>
    <w:rsid w:val="55A35789"/>
    <w:rsid w:val="55AB26B3"/>
    <w:rsid w:val="562A3E06"/>
    <w:rsid w:val="567A652B"/>
    <w:rsid w:val="56B3165C"/>
    <w:rsid w:val="57156960"/>
    <w:rsid w:val="572823EA"/>
    <w:rsid w:val="573427DF"/>
    <w:rsid w:val="58301AB4"/>
    <w:rsid w:val="58862A5F"/>
    <w:rsid w:val="58B93501"/>
    <w:rsid w:val="59133893"/>
    <w:rsid w:val="59480DA1"/>
    <w:rsid w:val="5960230F"/>
    <w:rsid w:val="59CB6703"/>
    <w:rsid w:val="59F062E0"/>
    <w:rsid w:val="5A57472B"/>
    <w:rsid w:val="5B3255E5"/>
    <w:rsid w:val="5B7D3883"/>
    <w:rsid w:val="5BD85DE0"/>
    <w:rsid w:val="5C1C14C8"/>
    <w:rsid w:val="5CAD1BBE"/>
    <w:rsid w:val="5CE60D7D"/>
    <w:rsid w:val="5DCC4AAE"/>
    <w:rsid w:val="5E07169A"/>
    <w:rsid w:val="5E4A0E97"/>
    <w:rsid w:val="5EA21746"/>
    <w:rsid w:val="5F002C5F"/>
    <w:rsid w:val="5F9E7E72"/>
    <w:rsid w:val="5FD534B7"/>
    <w:rsid w:val="607A5C92"/>
    <w:rsid w:val="60D52600"/>
    <w:rsid w:val="61112140"/>
    <w:rsid w:val="613E1C0D"/>
    <w:rsid w:val="619D5C13"/>
    <w:rsid w:val="61F53810"/>
    <w:rsid w:val="62747FE8"/>
    <w:rsid w:val="6382127C"/>
    <w:rsid w:val="644719B0"/>
    <w:rsid w:val="64FC2D2E"/>
    <w:rsid w:val="652409F7"/>
    <w:rsid w:val="65775FFF"/>
    <w:rsid w:val="659F6296"/>
    <w:rsid w:val="65A26CE1"/>
    <w:rsid w:val="65D43810"/>
    <w:rsid w:val="665112FA"/>
    <w:rsid w:val="66524D8D"/>
    <w:rsid w:val="66A440C2"/>
    <w:rsid w:val="66C304F7"/>
    <w:rsid w:val="6734348C"/>
    <w:rsid w:val="67616A13"/>
    <w:rsid w:val="67902011"/>
    <w:rsid w:val="67966EFB"/>
    <w:rsid w:val="67E416D6"/>
    <w:rsid w:val="682569F3"/>
    <w:rsid w:val="6878731B"/>
    <w:rsid w:val="69280B25"/>
    <w:rsid w:val="69380B64"/>
    <w:rsid w:val="69A70D43"/>
    <w:rsid w:val="69A753F0"/>
    <w:rsid w:val="6AD11C05"/>
    <w:rsid w:val="6B09533C"/>
    <w:rsid w:val="6B113EA7"/>
    <w:rsid w:val="6B550F15"/>
    <w:rsid w:val="6BA37B95"/>
    <w:rsid w:val="6C1B07D8"/>
    <w:rsid w:val="6C3C4386"/>
    <w:rsid w:val="6C4A05C8"/>
    <w:rsid w:val="6C577CDD"/>
    <w:rsid w:val="6D544E73"/>
    <w:rsid w:val="6DD8201C"/>
    <w:rsid w:val="6DF76F79"/>
    <w:rsid w:val="6E4E396D"/>
    <w:rsid w:val="6EAE6B68"/>
    <w:rsid w:val="6F7A654D"/>
    <w:rsid w:val="6FA128E1"/>
    <w:rsid w:val="6FCE78A5"/>
    <w:rsid w:val="7040659E"/>
    <w:rsid w:val="712C3534"/>
    <w:rsid w:val="71490FCB"/>
    <w:rsid w:val="72734D90"/>
    <w:rsid w:val="7344473E"/>
    <w:rsid w:val="735B088E"/>
    <w:rsid w:val="741E0193"/>
    <w:rsid w:val="748118A0"/>
    <w:rsid w:val="74A80D46"/>
    <w:rsid w:val="75C37A55"/>
    <w:rsid w:val="762F1005"/>
    <w:rsid w:val="763D0F45"/>
    <w:rsid w:val="763E532E"/>
    <w:rsid w:val="77065E4C"/>
    <w:rsid w:val="77535A26"/>
    <w:rsid w:val="782D178F"/>
    <w:rsid w:val="7855526F"/>
    <w:rsid w:val="78B418D7"/>
    <w:rsid w:val="791A655C"/>
    <w:rsid w:val="796E1A86"/>
    <w:rsid w:val="79AD5923"/>
    <w:rsid w:val="7A5549F4"/>
    <w:rsid w:val="7B744C73"/>
    <w:rsid w:val="7C0F0BB5"/>
    <w:rsid w:val="7C5A4C6A"/>
    <w:rsid w:val="7D352F15"/>
    <w:rsid w:val="7D6A6A08"/>
    <w:rsid w:val="7DD1447C"/>
    <w:rsid w:val="7E062BD5"/>
    <w:rsid w:val="7E66605F"/>
    <w:rsid w:val="7F310BCD"/>
    <w:rsid w:val="7FA7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1"/>
    <w:qFormat/>
    <w:uiPriority w:val="99"/>
    <w:pPr>
      <w:spacing w:beforeLines="30"/>
    </w:pPr>
    <w:rPr>
      <w:rFonts w:ascii="仿宋_GB2312" w:eastAsia="仿宋_GB2312"/>
      <w:kern w:val="0"/>
      <w:sz w:val="24"/>
      <w:szCs w:val="20"/>
      <w:lang w:val="zh-CN" w:eastAsia="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6"/>
    <w:semiHidden/>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character" w:customStyle="1" w:styleId="22">
    <w:name w:val="标题 1 字符"/>
    <w:basedOn w:val="19"/>
    <w:link w:val="2"/>
    <w:qFormat/>
    <w:locked/>
    <w:uiPriority w:val="9"/>
    <w:rPr>
      <w:rFonts w:ascii="Times New Roman" w:hAnsi="Times New Roman" w:cs="Times New Roman"/>
      <w:b/>
      <w:bCs/>
      <w:kern w:val="44"/>
      <w:sz w:val="44"/>
      <w:szCs w:val="44"/>
    </w:rPr>
  </w:style>
  <w:style w:type="character" w:customStyle="1" w:styleId="23">
    <w:name w:val="标题 2 字符"/>
    <w:basedOn w:val="19"/>
    <w:link w:val="3"/>
    <w:qFormat/>
    <w:locked/>
    <w:uiPriority w:val="9"/>
    <w:rPr>
      <w:rFonts w:ascii="Cambria" w:hAnsi="Cambria" w:eastAsia="宋体" w:cs="Times New Roman"/>
      <w:b/>
      <w:bCs/>
      <w:kern w:val="2"/>
      <w:sz w:val="32"/>
      <w:szCs w:val="32"/>
    </w:rPr>
  </w:style>
  <w:style w:type="character" w:customStyle="1" w:styleId="24">
    <w:name w:val="标题 3 字符"/>
    <w:basedOn w:val="19"/>
    <w:link w:val="4"/>
    <w:qFormat/>
    <w:locked/>
    <w:uiPriority w:val="9"/>
    <w:rPr>
      <w:rFonts w:ascii="Times New Roman" w:hAnsi="Times New Roman" w:cs="Times New Roman"/>
      <w:b/>
      <w:bCs/>
      <w:kern w:val="2"/>
      <w:sz w:val="32"/>
      <w:szCs w:val="32"/>
    </w:rPr>
  </w:style>
  <w:style w:type="character" w:customStyle="1" w:styleId="25">
    <w:name w:val="Body Text Char"/>
    <w:basedOn w:val="19"/>
    <w:semiHidden/>
    <w:qFormat/>
    <w:uiPriority w:val="99"/>
    <w:rPr>
      <w:rFonts w:ascii="Times New Roman" w:hAnsi="Times New Roman" w:cs="Times New Roman"/>
      <w:sz w:val="24"/>
      <w:szCs w:val="24"/>
    </w:rPr>
  </w:style>
  <w:style w:type="character" w:customStyle="1" w:styleId="26">
    <w:name w:val="批注框文本 字符"/>
    <w:basedOn w:val="19"/>
    <w:link w:val="10"/>
    <w:semiHidden/>
    <w:qFormat/>
    <w:locked/>
    <w:uiPriority w:val="99"/>
    <w:rPr>
      <w:rFonts w:ascii="Times New Roman" w:hAnsi="Times New Roman" w:cs="Times New Roman"/>
      <w:kern w:val="2"/>
      <w:sz w:val="18"/>
      <w:szCs w:val="18"/>
    </w:rPr>
  </w:style>
  <w:style w:type="character" w:customStyle="1" w:styleId="27">
    <w:name w:val="Footer Char"/>
    <w:basedOn w:val="19"/>
    <w:semiHidden/>
    <w:qFormat/>
    <w:uiPriority w:val="99"/>
    <w:rPr>
      <w:rFonts w:ascii="Times New Roman" w:hAnsi="Times New Roman" w:cs="Times New Roman"/>
      <w:sz w:val="18"/>
      <w:szCs w:val="18"/>
    </w:rPr>
  </w:style>
  <w:style w:type="character" w:customStyle="1" w:styleId="28">
    <w:name w:val="Header Char"/>
    <w:basedOn w:val="19"/>
    <w:semiHidden/>
    <w:qFormat/>
    <w:uiPriority w:val="99"/>
    <w:rPr>
      <w:rFonts w:ascii="Times New Roman" w:hAnsi="Times New Roman" w:cs="Times New Roman"/>
      <w:sz w:val="18"/>
      <w:szCs w:val="18"/>
    </w:rPr>
  </w:style>
  <w:style w:type="character" w:customStyle="1" w:styleId="29">
    <w:name w:val="页眉 字符"/>
    <w:link w:val="12"/>
    <w:semiHidden/>
    <w:qFormat/>
    <w:locked/>
    <w:uiPriority w:val="99"/>
    <w:rPr>
      <w:sz w:val="18"/>
    </w:rPr>
  </w:style>
  <w:style w:type="character" w:customStyle="1" w:styleId="30">
    <w:name w:val="页脚 字符"/>
    <w:link w:val="11"/>
    <w:qFormat/>
    <w:locked/>
    <w:uiPriority w:val="99"/>
    <w:rPr>
      <w:sz w:val="18"/>
    </w:rPr>
  </w:style>
  <w:style w:type="character" w:customStyle="1" w:styleId="31">
    <w:name w:val="正文文本 字符"/>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列表段落1"/>
    <w:basedOn w:val="1"/>
    <w:qFormat/>
    <w:uiPriority w:val="34"/>
    <w:pPr>
      <w:ind w:firstLine="420" w:firstLineChars="200"/>
    </w:pPr>
  </w:style>
  <w:style w:type="paragraph" w:customStyle="1" w:styleId="3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33"/>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5554</Words>
  <Characters>5975</Characters>
  <Lines>74</Lines>
  <Paragraphs>21</Paragraphs>
  <TotalTime>1</TotalTime>
  <ScaleCrop>false</ScaleCrop>
  <LinksUpToDate>false</LinksUpToDate>
  <CharactersWithSpaces>6082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2024-10-15T06:59:00Z</cp:lastPrinted>
  <dcterms:modified xsi:type="dcterms:W3CDTF">2025-10-22T06:57:31Z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05C87277D0B94808A5059927E5376A67_13</vt:lpwstr>
  </property>
  <property fmtid="{D5CDD505-2E9C-101B-9397-08002B2CF9AE}" pid="4" name="KSOTemplateDocerSaveRecord">
    <vt:lpwstr>eyJoZGlkIjoiY2YwOTViMzJhNTBmYTdjYjA0OWI0ZGYzOTQ4Zjc0YzUifQ==</vt:lpwstr>
  </property>
</Properties>
</file>