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0FA99">
      <w:pPr>
        <w:spacing w:line="600" w:lineRule="exact"/>
        <w:jc w:val="center"/>
        <w:outlineLvl w:val="0"/>
        <w:rPr>
          <w:rFonts w:ascii="方正小标宋简体" w:hAnsi="宋体" w:eastAsia="方正小标宋简体"/>
          <w:color w:val="000000"/>
          <w:sz w:val="72"/>
          <w:szCs w:val="72"/>
        </w:rPr>
      </w:pPr>
      <w:bookmarkStart w:id="0" w:name="_Toc15306267"/>
    </w:p>
    <w:p w14:paraId="16A3DA6B">
      <w:pPr>
        <w:spacing w:line="600" w:lineRule="exact"/>
        <w:jc w:val="center"/>
        <w:outlineLvl w:val="0"/>
        <w:rPr>
          <w:rFonts w:ascii="方正小标宋简体" w:hAnsi="宋体" w:eastAsia="方正小标宋简体"/>
          <w:color w:val="000000"/>
          <w:sz w:val="72"/>
          <w:szCs w:val="72"/>
        </w:rPr>
      </w:pPr>
    </w:p>
    <w:p w14:paraId="6A5C8893">
      <w:pPr>
        <w:spacing w:line="600" w:lineRule="exact"/>
        <w:jc w:val="center"/>
        <w:outlineLvl w:val="0"/>
        <w:rPr>
          <w:rFonts w:ascii="方正小标宋简体" w:hAnsi="宋体" w:eastAsia="方正小标宋简体"/>
          <w:color w:val="000000"/>
          <w:sz w:val="72"/>
          <w:szCs w:val="72"/>
        </w:rPr>
      </w:pPr>
    </w:p>
    <w:p w14:paraId="7269FD06">
      <w:pPr>
        <w:jc w:val="center"/>
        <w:rPr>
          <w:rFonts w:hint="eastAsia" w:ascii="方正小标宋简体" w:eastAsia="方正小标宋简体"/>
          <w:sz w:val="72"/>
          <w:szCs w:val="72"/>
          <w:lang w:eastAsia="zh-CN"/>
        </w:rPr>
      </w:pPr>
      <w:bookmarkStart w:id="1" w:name="_Toc15396598"/>
      <w:bookmarkStart w:id="2" w:name="_Toc15378442"/>
      <w:bookmarkStart w:id="3" w:name="_Toc15377194"/>
      <w:bookmarkStart w:id="4" w:name="_Toc15396476"/>
      <w:bookmarkStart w:id="5" w:name="_Toc15377426"/>
      <w:r>
        <w:rPr>
          <w:rFonts w:hint="eastAsia" w:ascii="方正小标宋简体" w:eastAsia="方正小标宋简体"/>
          <w:sz w:val="72"/>
          <w:szCs w:val="72"/>
        </w:rPr>
        <w:t>阿坝州</w:t>
      </w:r>
      <w:bookmarkEnd w:id="0"/>
      <w:bookmarkStart w:id="6" w:name="_Toc15306268"/>
      <w:r>
        <w:rPr>
          <w:rFonts w:hint="eastAsia" w:ascii="方正小标宋简体" w:eastAsia="方正小标宋简体"/>
          <w:sz w:val="72"/>
          <w:szCs w:val="72"/>
          <w:lang w:eastAsia="zh-CN"/>
        </w:rPr>
        <w:t>壤塘县202</w:t>
      </w:r>
      <w:r>
        <w:rPr>
          <w:rFonts w:hint="eastAsia" w:ascii="方正小标宋简体" w:eastAsia="方正小标宋简体"/>
          <w:sz w:val="72"/>
          <w:szCs w:val="72"/>
          <w:lang w:val="en-US" w:eastAsia="zh-CN"/>
        </w:rPr>
        <w:t>3</w:t>
      </w:r>
      <w:r>
        <w:rPr>
          <w:rFonts w:hint="eastAsia" w:ascii="方正小标宋简体" w:eastAsia="方正小标宋简体"/>
          <w:sz w:val="72"/>
          <w:szCs w:val="72"/>
          <w:lang w:eastAsia="zh-CN"/>
        </w:rPr>
        <w:t>年度审计稽核股部门</w:t>
      </w:r>
      <w:r>
        <w:rPr>
          <w:rFonts w:hint="eastAsia" w:ascii="方正小标宋简体" w:eastAsia="方正小标宋简体"/>
          <w:sz w:val="72"/>
          <w:szCs w:val="72"/>
        </w:rPr>
        <w:t>决算</w:t>
      </w:r>
      <w:bookmarkEnd w:id="1"/>
      <w:bookmarkEnd w:id="2"/>
      <w:bookmarkEnd w:id="3"/>
      <w:bookmarkEnd w:id="4"/>
      <w:bookmarkEnd w:id="5"/>
      <w:bookmarkEnd w:id="6"/>
      <w:r>
        <w:rPr>
          <w:rFonts w:hint="eastAsia" w:ascii="方正小标宋简体" w:eastAsia="方正小标宋简体"/>
          <w:sz w:val="72"/>
          <w:szCs w:val="72"/>
          <w:lang w:eastAsia="zh-CN"/>
        </w:rPr>
        <w:t>公开</w:t>
      </w:r>
    </w:p>
    <w:p w14:paraId="0C0F6F76">
      <w:pPr>
        <w:jc w:val="center"/>
        <w:rPr>
          <w:rFonts w:ascii="方正小标宋简体" w:eastAsia="方正小标宋简体"/>
          <w:sz w:val="52"/>
          <w:szCs w:val="52"/>
        </w:rPr>
      </w:pPr>
    </w:p>
    <w:p w14:paraId="4ACDA2CF">
      <w:pPr>
        <w:widowControl/>
        <w:jc w:val="center"/>
        <w:rPr>
          <w:rFonts w:ascii="方正小标宋简体" w:hAnsi="宋体" w:eastAsia="方正小标宋简体"/>
          <w:color w:val="000000"/>
          <w:sz w:val="36"/>
          <w:szCs w:val="36"/>
        </w:rPr>
      </w:pPr>
    </w:p>
    <w:p w14:paraId="4E5978AD">
      <w:pPr>
        <w:rPr>
          <w:rFonts w:ascii="方正小标宋简体" w:hAnsi="宋体" w:eastAsia="方正小标宋简体"/>
          <w:sz w:val="36"/>
          <w:szCs w:val="36"/>
        </w:rPr>
      </w:pPr>
    </w:p>
    <w:p w14:paraId="44A1FD6C">
      <w:pPr>
        <w:rPr>
          <w:rFonts w:ascii="方正小标宋简体" w:hAnsi="宋体" w:eastAsia="方正小标宋简体"/>
          <w:sz w:val="36"/>
          <w:szCs w:val="36"/>
        </w:rPr>
      </w:pPr>
    </w:p>
    <w:p w14:paraId="7C7C68BF">
      <w:pPr>
        <w:rPr>
          <w:rFonts w:ascii="方正小标宋简体" w:hAnsi="宋体" w:eastAsia="方正小标宋简体"/>
          <w:sz w:val="36"/>
          <w:szCs w:val="36"/>
        </w:rPr>
      </w:pPr>
    </w:p>
    <w:p w14:paraId="6D18E3BC">
      <w:pPr>
        <w:rPr>
          <w:rFonts w:ascii="方正小标宋简体" w:hAnsi="宋体" w:eastAsia="方正小标宋简体"/>
          <w:sz w:val="36"/>
          <w:szCs w:val="36"/>
        </w:rPr>
      </w:pPr>
    </w:p>
    <w:p w14:paraId="789C1587">
      <w:pPr>
        <w:rPr>
          <w:rFonts w:ascii="方正小标宋简体" w:hAnsi="宋体" w:eastAsia="方正小标宋简体"/>
          <w:sz w:val="36"/>
          <w:szCs w:val="36"/>
        </w:rPr>
      </w:pPr>
    </w:p>
    <w:p w14:paraId="07A31629">
      <w:pPr>
        <w:rPr>
          <w:rFonts w:ascii="方正小标宋简体" w:hAnsi="宋体" w:eastAsia="方正小标宋简体"/>
          <w:sz w:val="36"/>
          <w:szCs w:val="36"/>
        </w:rPr>
      </w:pPr>
    </w:p>
    <w:p w14:paraId="14BFB87E">
      <w:pPr>
        <w:rPr>
          <w:rFonts w:ascii="方正小标宋简体" w:hAnsi="宋体" w:eastAsia="方正小标宋简体"/>
          <w:sz w:val="36"/>
          <w:szCs w:val="36"/>
        </w:rPr>
      </w:pPr>
    </w:p>
    <w:p w14:paraId="571C9F7D">
      <w:pPr>
        <w:rPr>
          <w:rFonts w:ascii="方正小标宋简体" w:hAnsi="宋体" w:eastAsia="方正小标宋简体"/>
          <w:sz w:val="36"/>
          <w:szCs w:val="36"/>
        </w:rPr>
      </w:pPr>
    </w:p>
    <w:p w14:paraId="1CEC9C9B">
      <w:pPr>
        <w:rPr>
          <w:rFonts w:ascii="方正小标宋简体" w:hAnsi="宋体" w:eastAsia="方正小标宋简体"/>
          <w:sz w:val="36"/>
          <w:szCs w:val="36"/>
        </w:rPr>
      </w:pPr>
    </w:p>
    <w:p w14:paraId="3A742870">
      <w:pPr>
        <w:rPr>
          <w:rFonts w:ascii="方正小标宋简体" w:hAnsi="宋体" w:eastAsia="方正小标宋简体"/>
          <w:sz w:val="36"/>
          <w:szCs w:val="36"/>
        </w:rPr>
      </w:pPr>
    </w:p>
    <w:p w14:paraId="095D1569">
      <w:pPr>
        <w:rPr>
          <w:rFonts w:ascii="方正小标宋简体" w:hAnsi="宋体" w:eastAsia="方正小标宋简体"/>
          <w:sz w:val="36"/>
          <w:szCs w:val="36"/>
        </w:rPr>
      </w:pPr>
    </w:p>
    <w:p w14:paraId="64762C39">
      <w:pPr>
        <w:rPr>
          <w:rFonts w:ascii="方正小标宋简体" w:hAnsi="宋体" w:eastAsia="方正小标宋简体"/>
          <w:sz w:val="36"/>
          <w:szCs w:val="36"/>
        </w:rPr>
      </w:pPr>
    </w:p>
    <w:p w14:paraId="7120F9E2">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1AE5452C">
      <w:pPr>
        <w:pStyle w:val="13"/>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4</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 xml:space="preserve"> 月</w:t>
      </w:r>
      <w:r>
        <w:rPr>
          <w:rFonts w:hint="eastAsia" w:hAnsiTheme="minorHAnsi"/>
          <w:b w:val="0"/>
          <w:bCs w:val="0"/>
          <w:sz w:val="24"/>
          <w:szCs w:val="24"/>
          <w:lang w:val="en-US" w:eastAsia="zh-CN"/>
        </w:rPr>
        <w:t>15</w:t>
      </w:r>
      <w:r>
        <w:rPr>
          <w:rFonts w:hint="eastAsia" w:hAnsiTheme="minorHAnsi"/>
          <w:b w:val="0"/>
          <w:bCs w:val="0"/>
          <w:sz w:val="24"/>
          <w:szCs w:val="24"/>
        </w:rPr>
        <w:t>日</w:t>
      </w:r>
    </w:p>
    <w:p w14:paraId="0ADE9A55">
      <w:pPr>
        <w:pStyle w:val="13"/>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hint="eastAsia" w:ascii="黑体" w:hAnsi="黑体" w:eastAsia="黑体"/>
          <w:b w:val="0"/>
          <w:bCs w:val="0"/>
          <w:lang w:eastAsia="zh-CN"/>
        </w:rPr>
        <w:t>部门</w:t>
      </w:r>
      <w:r>
        <w:rPr>
          <w:rFonts w:ascii="黑体" w:hAnsi="黑体" w:eastAsia="黑体"/>
          <w:b w:val="0"/>
          <w:bCs w:val="0"/>
        </w:rPr>
        <w:t>概况</w:t>
      </w:r>
      <w:r>
        <w:tab/>
      </w:r>
      <w:r>
        <w:rPr>
          <w:rFonts w:hint="eastAsia"/>
          <w:lang w:val="en-US" w:eastAsia="zh-CN"/>
        </w:rPr>
        <w:t>4</w:t>
      </w:r>
    </w:p>
    <w:p w14:paraId="0FB1A889">
      <w:pPr>
        <w:pStyle w:val="16"/>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w:t>
      </w:r>
      <w:r>
        <w:rPr>
          <w:rFonts w:ascii="黑体" w:hAnsi="黑体" w:eastAsia="黑体"/>
        </w:rPr>
        <w:t>主要</w:t>
      </w:r>
      <w:r>
        <w:rPr>
          <w:rFonts w:hint="eastAsia" w:ascii="黑体" w:hAnsi="黑体" w:eastAsia="黑体"/>
          <w:lang w:eastAsia="zh-CN"/>
        </w:rPr>
        <w:t>职责</w:t>
      </w:r>
      <w:r>
        <w:tab/>
      </w:r>
      <w:r>
        <w:rPr>
          <w:rFonts w:hint="eastAsia"/>
          <w:lang w:val="en-US" w:eastAsia="zh-CN"/>
        </w:rPr>
        <w:t>4</w:t>
      </w:r>
    </w:p>
    <w:p w14:paraId="244E31A6">
      <w:pPr>
        <w:pStyle w:val="16"/>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4</w:t>
      </w:r>
    </w:p>
    <w:p w14:paraId="3C57EB7D">
      <w:pPr>
        <w:pStyle w:val="13"/>
        <w:tabs>
          <w:tab w:val="right" w:leader="dot" w:pos="8296"/>
        </w:tabs>
        <w:ind w:firstLine="200" w:firstLineChars="100"/>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3</w:t>
      </w:r>
      <w:r>
        <w:rPr>
          <w:rFonts w:ascii="黑体" w:hAnsi="黑体" w:eastAsia="黑体"/>
          <w:b w:val="0"/>
          <w:bCs w:val="0"/>
        </w:rPr>
        <w:t>年度</w:t>
      </w:r>
      <w:r>
        <w:rPr>
          <w:rFonts w:hint="eastAsia" w:ascii="黑体" w:hAnsi="黑体" w:eastAsia="黑体"/>
          <w:b w:val="0"/>
          <w:bCs w:val="0"/>
          <w:lang w:eastAsia="zh-CN"/>
        </w:rPr>
        <w:t>部门</w:t>
      </w:r>
      <w:r>
        <w:rPr>
          <w:rFonts w:ascii="黑体" w:hAnsi="黑体" w:eastAsia="黑体"/>
          <w:b w:val="0"/>
          <w:bCs w:val="0"/>
        </w:rPr>
        <w:t>决算情况说明</w:t>
      </w:r>
      <w:r>
        <w:tab/>
      </w:r>
      <w:r>
        <w:rPr>
          <w:rFonts w:hint="eastAsia"/>
          <w:lang w:val="en-US" w:eastAsia="zh-CN"/>
        </w:rPr>
        <w:t>4</w:t>
      </w:r>
    </w:p>
    <w:p w14:paraId="60787CF6">
      <w:pPr>
        <w:pStyle w:val="16"/>
        <w:tabs>
          <w:tab w:val="left" w:pos="840"/>
          <w:tab w:val="right" w:leader="dot" w:pos="8296"/>
        </w:tabs>
        <w:rPr>
          <w:rFonts w:hint="eastAsia"/>
          <w:lang w:val="en-US"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4</w:t>
      </w:r>
    </w:p>
    <w:p w14:paraId="7DAD42B9">
      <w:pPr>
        <w:pStyle w:val="16"/>
        <w:tabs>
          <w:tab w:val="left" w:pos="840"/>
          <w:tab w:val="right" w:leader="dot" w:pos="8296"/>
        </w:tabs>
        <w:rPr>
          <w:rFonts w:hint="eastAsia" w:hAnsiTheme="minorHAnsi" w:eastAsiaTheme="minorHAnsi" w:cstheme="minorBidi"/>
          <w:smallCaps w:val="0"/>
          <w:sz w:val="21"/>
          <w:szCs w:val="22"/>
          <w:lang w:val="en-US"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5</w:t>
      </w:r>
    </w:p>
    <w:p w14:paraId="3D15D053">
      <w:pPr>
        <w:pStyle w:val="16"/>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6</w:t>
      </w:r>
    </w:p>
    <w:p w14:paraId="1C563802">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6</w:t>
      </w:r>
    </w:p>
    <w:p w14:paraId="45A97638">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7</w:t>
      </w:r>
    </w:p>
    <w:p w14:paraId="1E32CC9B">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（一）一般公共预算财政拨款支出决算总体情况</w:t>
      </w:r>
      <w:r>
        <w:tab/>
      </w:r>
      <w:r>
        <w:rPr>
          <w:rFonts w:hint="eastAsia"/>
          <w:lang w:val="en-US" w:eastAsia="zh-CN"/>
        </w:rPr>
        <w:t>7</w:t>
      </w:r>
    </w:p>
    <w:p w14:paraId="53B77F58">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（二）一般公共预算财政拨款支出决算结构情况</w:t>
      </w:r>
      <w:r>
        <w:tab/>
      </w:r>
      <w:r>
        <w:rPr>
          <w:rFonts w:hint="eastAsia"/>
          <w:lang w:val="en-US" w:eastAsia="zh-CN"/>
        </w:rPr>
        <w:t>8</w:t>
      </w:r>
    </w:p>
    <w:p w14:paraId="1E3D3671">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9</w:t>
      </w:r>
    </w:p>
    <w:p w14:paraId="48DD0770">
      <w:pPr>
        <w:pStyle w:val="16"/>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10</w:t>
      </w:r>
    </w:p>
    <w:p w14:paraId="3C21B987">
      <w:pPr>
        <w:pStyle w:val="16"/>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hint="eastAsia" w:ascii="黑体" w:eastAsia="黑体"/>
          <w:color w:val="000000"/>
          <w:lang w:eastAsia="zh-CN"/>
        </w:rPr>
        <w:t>财政拨款</w:t>
      </w:r>
      <w:r>
        <w:rPr>
          <w:rFonts w:ascii="黑体" w:hAnsi="黑体" w:eastAsia="黑体"/>
          <w:b/>
          <w:bCs/>
        </w:rPr>
        <w:t>“</w:t>
      </w:r>
      <w:r>
        <w:rPr>
          <w:rFonts w:ascii="黑体" w:hAnsi="黑体" w:eastAsia="黑体"/>
          <w:bCs/>
        </w:rPr>
        <w:t>三公”经费支出决算情况说明</w:t>
      </w:r>
      <w:r>
        <w:tab/>
      </w:r>
      <w:r>
        <w:rPr>
          <w:rFonts w:hint="eastAsia"/>
          <w:lang w:val="en-US" w:eastAsia="zh-CN"/>
        </w:rPr>
        <w:t>10</w:t>
      </w:r>
    </w:p>
    <w:p w14:paraId="42D52F1C">
      <w:pPr>
        <w:pStyle w:val="16"/>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10</w:t>
      </w:r>
    </w:p>
    <w:p w14:paraId="340671BB">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10</w:t>
      </w:r>
    </w:p>
    <w:p w14:paraId="3E42B0F6">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10</w:t>
      </w:r>
    </w:p>
    <w:p w14:paraId="621BACC1">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（一）机关运行经费支出情况</w:t>
      </w:r>
      <w:r>
        <w:tab/>
      </w:r>
      <w:r>
        <w:rPr>
          <w:rFonts w:hint="eastAsia"/>
          <w:lang w:val="en-US" w:eastAsia="zh-CN"/>
        </w:rPr>
        <w:t>10</w:t>
      </w:r>
    </w:p>
    <w:p w14:paraId="0F056E99">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（二）政府采购支出情况</w:t>
      </w:r>
      <w:r>
        <w:tab/>
      </w:r>
      <w:r>
        <w:rPr>
          <w:rFonts w:hint="eastAsia"/>
          <w:lang w:val="en-US" w:eastAsia="zh-CN"/>
        </w:rPr>
        <w:t>10</w:t>
      </w:r>
    </w:p>
    <w:p w14:paraId="63A4767A">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（三）国有资产占有使用情况</w:t>
      </w:r>
      <w:r>
        <w:tab/>
      </w:r>
      <w:r>
        <w:rPr>
          <w:rFonts w:hint="eastAsia"/>
          <w:lang w:val="en-US" w:eastAsia="zh-CN"/>
        </w:rPr>
        <w:t>10</w:t>
      </w:r>
    </w:p>
    <w:p w14:paraId="73D1ECE6">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10</w:t>
      </w:r>
    </w:p>
    <w:p w14:paraId="4EA3715C">
      <w:pPr>
        <w:pStyle w:val="13"/>
        <w:tabs>
          <w:tab w:val="right" w:leader="dot" w:pos="8296"/>
        </w:tabs>
        <w:rPr>
          <w:rFonts w:hint="default"/>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12</w:t>
      </w:r>
    </w:p>
    <w:p w14:paraId="46882C7D">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15</w:t>
      </w:r>
    </w:p>
    <w:p w14:paraId="45C8C2AF">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s="黑体"/>
        </w:rPr>
        <w:t>附件1</w:t>
      </w:r>
      <w:r>
        <w:tab/>
      </w:r>
      <w:r>
        <w:rPr>
          <w:rFonts w:hint="eastAsia"/>
          <w:lang w:val="en-US" w:eastAsia="zh-CN"/>
        </w:rPr>
        <w:t>15</w:t>
      </w:r>
    </w:p>
    <w:p w14:paraId="61A8B1B6">
      <w:pPr>
        <w:pStyle w:val="13"/>
        <w:tabs>
          <w:tab w:val="right" w:leader="dot" w:pos="8296"/>
        </w:tabs>
        <w:rPr>
          <w:rFonts w:hint="default" w:eastAsiaTheme="minorHAnsi"/>
          <w:lang w:val="en-US" w:eastAsia="zh-CN"/>
        </w:rPr>
      </w:pPr>
      <w:r>
        <w:rPr>
          <w:rFonts w:hint="eastAsia" w:ascii="方正小标宋简体" w:hAnsi="黑体" w:eastAsia="方正小标宋简体" w:cs="黑体"/>
          <w:lang w:eastAsia="zh-CN"/>
        </w:rPr>
        <w:t>壤塘县审计稽核股</w:t>
      </w:r>
      <w:r>
        <w:rPr>
          <w:rFonts w:hint="eastAsia" w:ascii="方正小标宋简体" w:hAnsi="黑体" w:eastAsia="方正小标宋简体" w:cs="黑体"/>
          <w:lang w:val="en-US" w:eastAsia="zh-CN"/>
        </w:rPr>
        <w:t>2023</w:t>
      </w:r>
      <w:r>
        <w:rPr>
          <w:rFonts w:ascii="方正小标宋简体" w:hAnsi="黑体" w:eastAsia="方正小标宋简体" w:cs="黑体"/>
        </w:rPr>
        <w:t>年</w:t>
      </w:r>
      <w:r>
        <w:rPr>
          <w:rFonts w:hint="eastAsia" w:ascii="方正小标宋简体" w:hAnsi="黑体" w:eastAsia="方正小标宋简体" w:cs="黑体"/>
          <w:lang w:eastAsia="zh-CN"/>
        </w:rPr>
        <w:t>度部门</w:t>
      </w:r>
      <w:r>
        <w:rPr>
          <w:rFonts w:ascii="方正小标宋简体" w:hAnsi="黑体" w:eastAsia="方正小标宋简体" w:cs="黑体"/>
        </w:rPr>
        <w:t>整体支出绩效评价报告</w:t>
      </w:r>
      <w:r>
        <w:tab/>
      </w:r>
      <w:r>
        <w:rPr>
          <w:rFonts w:hint="eastAsia"/>
          <w:lang w:val="en-US" w:eastAsia="zh-CN"/>
        </w:rPr>
        <w:t>15</w:t>
      </w:r>
    </w:p>
    <w:p w14:paraId="305C19BF">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17</w:t>
      </w:r>
    </w:p>
    <w:p w14:paraId="3F69AF6F">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17</w:t>
      </w:r>
    </w:p>
    <w:p w14:paraId="096699C0">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17</w:t>
      </w:r>
    </w:p>
    <w:p w14:paraId="1198C2C2">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17</w:t>
      </w:r>
    </w:p>
    <w:p w14:paraId="5854842F">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17</w:t>
      </w:r>
    </w:p>
    <w:p w14:paraId="3235E5CB">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17</w:t>
      </w:r>
    </w:p>
    <w:p w14:paraId="71173650">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17</w:t>
      </w:r>
    </w:p>
    <w:p w14:paraId="0BC58825">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17</w:t>
      </w:r>
    </w:p>
    <w:p w14:paraId="2BDC63C7">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w:t>
      </w:r>
      <w:r>
        <w:rPr>
          <w:rFonts w:hint="eastAsia" w:ascii="仿宋" w:hAnsi="仿宋" w:eastAsia="仿宋"/>
          <w:lang w:eastAsia="zh-CN"/>
        </w:rPr>
        <w:t>明细</w:t>
      </w:r>
      <w:r>
        <w:rPr>
          <w:rFonts w:ascii="仿宋" w:hAnsi="仿宋" w:eastAsia="仿宋"/>
        </w:rPr>
        <w:t>表</w:t>
      </w:r>
      <w:r>
        <w:tab/>
      </w:r>
      <w:r>
        <w:rPr>
          <w:rFonts w:hint="eastAsia"/>
          <w:lang w:val="en-US" w:eastAsia="zh-CN"/>
        </w:rPr>
        <w:t>17</w:t>
      </w:r>
    </w:p>
    <w:p w14:paraId="7FAF584E">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17</w:t>
      </w:r>
    </w:p>
    <w:p w14:paraId="725AC26E">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17</w:t>
      </w:r>
    </w:p>
    <w:p w14:paraId="13C8F752">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一</w:t>
      </w:r>
      <w:r>
        <w:rPr>
          <w:rFonts w:ascii="仿宋" w:hAnsi="仿宋" w:eastAsia="仿宋"/>
        </w:rPr>
        <w:t>、</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17</w:t>
      </w:r>
    </w:p>
    <w:p w14:paraId="25D35C30">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二</w:t>
      </w:r>
      <w:r>
        <w:rPr>
          <w:rFonts w:ascii="仿宋" w:hAnsi="仿宋" w:eastAsia="仿宋"/>
        </w:rPr>
        <w:t>、国有资本经营预算财政拨款支出决算表</w:t>
      </w:r>
      <w:r>
        <w:tab/>
      </w:r>
      <w:r>
        <w:rPr>
          <w:rFonts w:hint="eastAsia"/>
          <w:lang w:val="en-US" w:eastAsia="zh-CN"/>
        </w:rPr>
        <w:t>17</w:t>
      </w:r>
    </w:p>
    <w:p w14:paraId="32271030">
      <w:pPr>
        <w:pStyle w:val="16"/>
        <w:tabs>
          <w:tab w:val="right" w:leader="dot" w:pos="8296"/>
        </w:tabs>
        <w:ind w:left="0" w:leftChars="0" w:firstLine="200" w:firstLineChars="100"/>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三</w:t>
      </w:r>
      <w:r>
        <w:rPr>
          <w:rFonts w:ascii="仿宋" w:hAnsi="仿宋" w:eastAsia="仿宋"/>
        </w:rPr>
        <w:t>、财政拨款“三公”经费支出决算表</w:t>
      </w:r>
      <w:r>
        <w:tab/>
      </w:r>
      <w:r>
        <w:rPr>
          <w:rFonts w:hint="eastAsia"/>
          <w:lang w:val="en-US" w:eastAsia="zh-CN"/>
        </w:rPr>
        <w:t>17</w:t>
      </w:r>
    </w:p>
    <w:p w14:paraId="7F0A7ADE">
      <w:pPr>
        <w:pStyle w:val="2"/>
        <w:jc w:val="both"/>
        <w:rPr>
          <w:rFonts w:hint="eastAsia" w:ascii="黑体" w:hAnsi="黑体" w:eastAsia="黑体"/>
          <w:b w:val="0"/>
        </w:rPr>
      </w:pPr>
      <w:r>
        <w:rPr>
          <w:rFonts w:asciiTheme="minorHAnsi" w:eastAsiaTheme="minorHAnsi"/>
          <w:b/>
          <w:bCs/>
          <w:caps/>
          <w:sz w:val="20"/>
          <w:szCs w:val="20"/>
        </w:rPr>
        <w:fldChar w:fldCharType="end"/>
      </w:r>
      <w:bookmarkStart w:id="7" w:name="_Toc79163851"/>
      <w:bookmarkStart w:id="8" w:name="_Toc79163601"/>
      <w:r>
        <w:rPr>
          <w:rFonts w:hint="eastAsia" w:asciiTheme="minorHAnsi" w:eastAsiaTheme="minorHAnsi"/>
          <w:b/>
          <w:bCs/>
          <w:caps/>
          <w:sz w:val="20"/>
          <w:szCs w:val="20"/>
          <w:lang w:val="en-US" w:eastAsia="zh-CN"/>
        </w:rPr>
        <w:t xml:space="preserve">                    </w:t>
      </w:r>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lang w:eastAsia="zh-CN"/>
        </w:rPr>
        <w:t>部门</w:t>
      </w:r>
      <w:r>
        <w:rPr>
          <w:rStyle w:val="23"/>
          <w:rFonts w:hint="eastAsia" w:ascii="黑体" w:hAnsi="黑体" w:eastAsia="黑体"/>
          <w:b w:val="0"/>
          <w:bCs w:val="0"/>
        </w:rPr>
        <w:t>概况</w:t>
      </w:r>
      <w:bookmarkEnd w:id="7"/>
      <w:bookmarkEnd w:id="8"/>
    </w:p>
    <w:p w14:paraId="0D269C14">
      <w:pPr>
        <w:rPr>
          <w:rFonts w:hint="eastAsia" w:ascii="黑体" w:hAnsi="黑体" w:eastAsia="黑体" w:cs="黑体"/>
          <w:b w:val="0"/>
          <w:bCs w:val="0"/>
          <w:sz w:val="32"/>
          <w:szCs w:val="32"/>
          <w:lang w:eastAsia="zh-CN"/>
        </w:rPr>
      </w:pPr>
      <w:bookmarkStart w:id="9" w:name="_Toc79163859"/>
      <w:bookmarkStart w:id="10" w:name="_Toc79163609"/>
      <w:bookmarkStart w:id="11" w:name="_Toc15377204"/>
      <w:bookmarkStart w:id="12" w:name="_Toc15396602"/>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主要</w:t>
      </w:r>
      <w:r>
        <w:rPr>
          <w:rFonts w:hint="eastAsia" w:ascii="黑体" w:hAnsi="黑体" w:eastAsia="黑体" w:cs="黑体"/>
          <w:b w:val="0"/>
          <w:bCs w:val="0"/>
          <w:sz w:val="32"/>
          <w:szCs w:val="32"/>
          <w:lang w:eastAsia="zh-CN"/>
        </w:rPr>
        <w:t>职责</w:t>
      </w:r>
    </w:p>
    <w:p w14:paraId="4F2B0977">
      <w:pPr>
        <w:numPr>
          <w:ilvl w:val="0"/>
          <w:numId w:val="0"/>
        </w:numPr>
        <w:ind w:firstLine="600" w:firstLineChars="200"/>
        <w:rPr>
          <w:rFonts w:hint="eastAsia" w:ascii="仿宋" w:hAnsi="仿宋" w:eastAsia="仿宋" w:cs="仿宋"/>
          <w:color w:val="000000"/>
          <w:kern w:val="2"/>
          <w:sz w:val="30"/>
          <w:szCs w:val="30"/>
          <w:lang w:eastAsia="zh-CN"/>
        </w:rPr>
      </w:pPr>
      <w:r>
        <w:rPr>
          <w:rFonts w:hint="eastAsia" w:ascii="仿宋" w:hAnsi="仿宋" w:eastAsia="仿宋" w:cs="仿宋"/>
          <w:color w:val="000000"/>
          <w:kern w:val="2"/>
          <w:sz w:val="30"/>
          <w:szCs w:val="30"/>
          <w:lang w:val="en-US" w:eastAsia="zh-CN"/>
        </w:rPr>
        <w:t>1.</w:t>
      </w:r>
      <w:r>
        <w:rPr>
          <w:rFonts w:hint="eastAsia" w:ascii="仿宋" w:hAnsi="仿宋" w:eastAsia="仿宋" w:cs="仿宋"/>
          <w:color w:val="000000"/>
          <w:kern w:val="2"/>
          <w:sz w:val="30"/>
          <w:szCs w:val="30"/>
          <w:lang w:eastAsia="zh-CN"/>
        </w:rPr>
        <w:t>及</w:t>
      </w:r>
      <w:r>
        <w:rPr>
          <w:rFonts w:hint="eastAsia" w:ascii="仿宋" w:hAnsi="仿宋" w:eastAsia="仿宋" w:cs="仿宋"/>
          <w:color w:val="000000"/>
          <w:kern w:val="2"/>
          <w:sz w:val="30"/>
          <w:szCs w:val="30"/>
        </w:rPr>
        <w:t>时完成</w:t>
      </w:r>
      <w:r>
        <w:rPr>
          <w:rFonts w:hint="eastAsia" w:ascii="仿宋" w:hAnsi="仿宋" w:eastAsia="仿宋" w:cs="仿宋"/>
          <w:color w:val="000000"/>
          <w:kern w:val="2"/>
          <w:sz w:val="30"/>
          <w:szCs w:val="30"/>
          <w:lang w:eastAsia="zh-CN"/>
        </w:rPr>
        <w:t>人社部稽核考核系统、风险防控子系统下发的</w:t>
      </w:r>
      <w:r>
        <w:rPr>
          <w:rFonts w:hint="eastAsia" w:ascii="仿宋" w:hAnsi="仿宋" w:eastAsia="仿宋" w:cs="仿宋"/>
          <w:color w:val="000000"/>
          <w:kern w:val="2"/>
          <w:sz w:val="30"/>
          <w:szCs w:val="30"/>
        </w:rPr>
        <w:t>各</w:t>
      </w:r>
      <w:r>
        <w:rPr>
          <w:rFonts w:hint="eastAsia" w:ascii="仿宋" w:hAnsi="仿宋" w:eastAsia="仿宋" w:cs="仿宋"/>
          <w:color w:val="000000"/>
          <w:kern w:val="2"/>
          <w:sz w:val="30"/>
          <w:szCs w:val="30"/>
          <w:lang w:eastAsia="zh-CN"/>
        </w:rPr>
        <w:t>类疑点数据</w:t>
      </w:r>
      <w:r>
        <w:rPr>
          <w:rFonts w:hint="eastAsia" w:ascii="仿宋" w:hAnsi="仿宋" w:eastAsia="仿宋" w:cs="仿宋"/>
          <w:color w:val="000000"/>
          <w:kern w:val="2"/>
          <w:sz w:val="30"/>
          <w:szCs w:val="30"/>
        </w:rPr>
        <w:t>核</w:t>
      </w:r>
      <w:r>
        <w:rPr>
          <w:rFonts w:hint="eastAsia" w:ascii="仿宋" w:hAnsi="仿宋" w:eastAsia="仿宋" w:cs="仿宋"/>
          <w:color w:val="000000"/>
          <w:kern w:val="2"/>
          <w:sz w:val="30"/>
          <w:szCs w:val="30"/>
          <w:lang w:eastAsia="zh-CN"/>
        </w:rPr>
        <w:t>查的转发、督促整改</w:t>
      </w:r>
      <w:r>
        <w:rPr>
          <w:rFonts w:hint="eastAsia" w:ascii="仿宋" w:hAnsi="仿宋" w:eastAsia="仿宋" w:cs="仿宋"/>
          <w:color w:val="000000"/>
          <w:kern w:val="2"/>
          <w:sz w:val="30"/>
          <w:szCs w:val="30"/>
        </w:rPr>
        <w:t>任务</w:t>
      </w:r>
      <w:r>
        <w:rPr>
          <w:rFonts w:hint="eastAsia" w:ascii="仿宋" w:hAnsi="仿宋" w:eastAsia="仿宋" w:cs="仿宋"/>
          <w:color w:val="000000"/>
          <w:kern w:val="2"/>
          <w:sz w:val="30"/>
          <w:szCs w:val="30"/>
          <w:lang w:eastAsia="zh-CN"/>
        </w:rPr>
        <w:t>。</w:t>
      </w:r>
    </w:p>
    <w:p w14:paraId="779ED3AB">
      <w:pPr>
        <w:numPr>
          <w:ilvl w:val="0"/>
          <w:numId w:val="0"/>
        </w:numPr>
        <w:ind w:firstLine="600" w:firstLineChars="200"/>
        <w:rPr>
          <w:rFonts w:hint="default" w:ascii="仿宋_GB2312" w:hAnsi="仿宋_GB2312" w:eastAsia="仿宋_GB2312" w:cs="仿宋_GB2312"/>
          <w:b/>
          <w:bCs/>
          <w:sz w:val="32"/>
          <w:szCs w:val="32"/>
          <w:lang w:val="en-US"/>
        </w:rPr>
      </w:pPr>
      <w:r>
        <w:rPr>
          <w:rFonts w:hint="eastAsia" w:ascii="仿宋" w:hAnsi="仿宋" w:eastAsia="仿宋" w:cs="仿宋"/>
          <w:color w:val="000000"/>
          <w:kern w:val="2"/>
          <w:sz w:val="30"/>
          <w:szCs w:val="30"/>
          <w:lang w:val="en-US" w:eastAsia="zh-CN"/>
        </w:rPr>
        <w:t>2.</w:t>
      </w:r>
      <w:r>
        <w:rPr>
          <w:rFonts w:hint="eastAsia" w:ascii="仿宋" w:hAnsi="仿宋" w:eastAsia="仿宋" w:cs="仿宋"/>
          <w:color w:val="000000"/>
          <w:kern w:val="2"/>
          <w:sz w:val="30"/>
          <w:szCs w:val="30"/>
        </w:rPr>
        <w:t>通过和同事</w:t>
      </w:r>
      <w:r>
        <w:rPr>
          <w:rFonts w:hint="eastAsia" w:ascii="仿宋" w:hAnsi="仿宋" w:eastAsia="仿宋" w:cs="仿宋"/>
          <w:color w:val="000000"/>
          <w:kern w:val="2"/>
          <w:sz w:val="30"/>
          <w:szCs w:val="30"/>
          <w:lang w:eastAsia="zh-CN"/>
        </w:rPr>
        <w:t>间</w:t>
      </w:r>
      <w:r>
        <w:rPr>
          <w:rFonts w:hint="eastAsia" w:ascii="仿宋" w:hAnsi="仿宋" w:eastAsia="仿宋" w:cs="仿宋"/>
          <w:color w:val="000000"/>
          <w:kern w:val="2"/>
          <w:sz w:val="30"/>
          <w:szCs w:val="30"/>
        </w:rPr>
        <w:t>的相互配合，有效地</w:t>
      </w:r>
      <w:r>
        <w:rPr>
          <w:rFonts w:hint="eastAsia" w:ascii="仿宋" w:hAnsi="仿宋" w:eastAsia="仿宋" w:cs="仿宋"/>
          <w:color w:val="000000"/>
          <w:kern w:val="2"/>
          <w:sz w:val="30"/>
          <w:szCs w:val="30"/>
          <w:lang w:eastAsia="zh-CN"/>
        </w:rPr>
        <w:t>开展</w:t>
      </w:r>
      <w:r>
        <w:rPr>
          <w:rFonts w:hint="eastAsia" w:ascii="仿宋" w:hAnsi="仿宋" w:eastAsia="仿宋" w:cs="仿宋"/>
          <w:color w:val="000000"/>
          <w:kern w:val="2"/>
          <w:sz w:val="30"/>
          <w:szCs w:val="30"/>
        </w:rPr>
        <w:t>了</w:t>
      </w:r>
      <w:r>
        <w:rPr>
          <w:rFonts w:hint="eastAsia" w:ascii="仿宋" w:hAnsi="仿宋" w:eastAsia="仿宋" w:cs="仿宋"/>
          <w:color w:val="000000"/>
          <w:kern w:val="2"/>
          <w:sz w:val="30"/>
          <w:szCs w:val="30"/>
          <w:lang w:eastAsia="zh-CN"/>
        </w:rPr>
        <w:t>死亡冒领、服刑领待、重复领待等违规领取社会保险基金的追缴工作。</w:t>
      </w:r>
    </w:p>
    <w:p w14:paraId="7F132398">
      <w:p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二、机构设置</w:t>
      </w:r>
    </w:p>
    <w:p w14:paraId="604AA71C">
      <w:pPr>
        <w:ind w:firstLine="640" w:firstLineChars="200"/>
        <w:rPr>
          <w:rFonts w:hint="eastAsia"/>
          <w:bCs/>
          <w:color w:val="000000"/>
          <w:sz w:val="32"/>
          <w:szCs w:val="32"/>
        </w:rPr>
      </w:pPr>
      <w:r>
        <w:rPr>
          <w:rFonts w:hint="eastAsia" w:ascii="仿宋_GB2312" w:hAnsi="仿宋_GB2312" w:eastAsia="仿宋_GB2312" w:cs="仿宋_GB2312"/>
          <w:sz w:val="32"/>
          <w:szCs w:val="32"/>
          <w:lang w:eastAsia="zh-CN"/>
        </w:rPr>
        <w:t>审计稽核股是</w:t>
      </w:r>
      <w:r>
        <w:rPr>
          <w:rFonts w:hint="eastAsia" w:ascii="仿宋_GB2312" w:hAnsi="仿宋_GB2312" w:eastAsia="仿宋_GB2312" w:cs="仿宋_GB2312"/>
          <w:sz w:val="32"/>
          <w:szCs w:val="32"/>
        </w:rPr>
        <w:t>壤塘县城乡居民养老保险</w:t>
      </w:r>
      <w:r>
        <w:rPr>
          <w:rFonts w:hint="eastAsia" w:ascii="仿宋_GB2312" w:hAnsi="仿宋_GB2312" w:eastAsia="仿宋_GB2312" w:cs="仿宋_GB2312"/>
          <w:sz w:val="32"/>
          <w:szCs w:val="32"/>
          <w:lang w:eastAsia="zh-CN"/>
        </w:rPr>
        <w:t>事务中心</w:t>
      </w:r>
      <w:r>
        <w:rPr>
          <w:rFonts w:hint="eastAsia" w:ascii="仿宋_GB2312" w:hAnsi="仿宋_GB2312" w:eastAsia="仿宋_GB2312" w:cs="仿宋_GB2312"/>
          <w:sz w:val="32"/>
          <w:szCs w:val="32"/>
        </w:rPr>
        <w:t>下属</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级预算单位1个，其中内设机构1个。</w:t>
      </w:r>
    </w:p>
    <w:p w14:paraId="45B16932">
      <w:pPr>
        <w:pStyle w:val="2"/>
        <w:ind w:right="440"/>
        <w:jc w:val="center"/>
        <w:rPr>
          <w:rStyle w:val="23"/>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3"/>
          <w:rFonts w:ascii="黑体" w:hAnsi="黑体" w:eastAsia="黑体"/>
          <w:b w:val="0"/>
          <w:bCs w:val="0"/>
        </w:rPr>
        <w:t>202</w:t>
      </w:r>
      <w:r>
        <w:rPr>
          <w:rStyle w:val="23"/>
          <w:rFonts w:hint="eastAsia" w:ascii="黑体" w:hAnsi="黑体" w:eastAsia="黑体"/>
          <w:b w:val="0"/>
          <w:bCs w:val="0"/>
          <w:lang w:val="en-US" w:eastAsia="zh-CN"/>
        </w:rPr>
        <w:t>3</w:t>
      </w:r>
      <w:r>
        <w:rPr>
          <w:rStyle w:val="23"/>
          <w:rFonts w:hint="eastAsia" w:ascii="黑体" w:hAnsi="黑体" w:eastAsia="黑体"/>
          <w:b w:val="0"/>
          <w:bCs w:val="0"/>
        </w:rPr>
        <w:t>年度</w:t>
      </w:r>
      <w:r>
        <w:rPr>
          <w:rStyle w:val="23"/>
          <w:rFonts w:hint="eastAsia" w:ascii="黑体" w:hAnsi="黑体" w:eastAsia="黑体"/>
          <w:b w:val="0"/>
          <w:bCs w:val="0"/>
          <w:lang w:eastAsia="zh-CN"/>
        </w:rPr>
        <w:t>部门</w:t>
      </w:r>
      <w:r>
        <w:rPr>
          <w:rStyle w:val="23"/>
          <w:rFonts w:hint="eastAsia" w:ascii="黑体" w:hAnsi="黑体" w:eastAsia="黑体"/>
          <w:b w:val="0"/>
          <w:bCs w:val="0"/>
        </w:rPr>
        <w:t>决算情况说明</w:t>
      </w:r>
      <w:bookmarkEnd w:id="9"/>
      <w:bookmarkEnd w:id="10"/>
      <w:bookmarkEnd w:id="11"/>
      <w:bookmarkEnd w:id="12"/>
    </w:p>
    <w:p w14:paraId="1BA28233">
      <w:pPr>
        <w:pStyle w:val="34"/>
        <w:numPr>
          <w:ilvl w:val="0"/>
          <w:numId w:val="1"/>
        </w:numPr>
        <w:spacing w:line="600" w:lineRule="exact"/>
        <w:ind w:firstLineChars="0"/>
        <w:outlineLvl w:val="1"/>
        <w:rPr>
          <w:rStyle w:val="24"/>
          <w:rFonts w:ascii="黑体" w:hAnsi="黑体" w:eastAsia="黑体"/>
          <w:b w:val="0"/>
        </w:rPr>
      </w:pPr>
      <w:bookmarkStart w:id="13" w:name="_Toc79163860"/>
      <w:bookmarkStart w:id="14" w:name="_Toc79163610"/>
      <w:bookmarkStart w:id="15" w:name="_Toc15396603"/>
      <w:bookmarkStart w:id="16" w:name="_Toc15377205"/>
      <w:r>
        <w:rPr>
          <w:rFonts w:hint="eastAsia" w:ascii="黑体" w:hAnsi="黑体" w:eastAsia="黑体"/>
          <w:color w:val="000000"/>
          <w:sz w:val="32"/>
          <w:szCs w:val="32"/>
        </w:rPr>
        <w:t>收</w:t>
      </w:r>
      <w:r>
        <w:rPr>
          <w:rStyle w:val="24"/>
          <w:rFonts w:hint="eastAsia" w:ascii="黑体" w:hAnsi="黑体" w:eastAsia="黑体"/>
          <w:b w:val="0"/>
        </w:rPr>
        <w:t>入支出决算总体情况说</w:t>
      </w:r>
      <w:bookmarkEnd w:id="13"/>
      <w:bookmarkEnd w:id="14"/>
      <w:bookmarkEnd w:id="15"/>
      <w:bookmarkEnd w:id="16"/>
      <w:r>
        <w:rPr>
          <w:rStyle w:val="24"/>
          <w:rFonts w:hint="eastAsia" w:ascii="黑体" w:hAnsi="黑体" w:eastAsia="黑体"/>
          <w:b w:val="0"/>
          <w:lang w:eastAsia="zh-CN"/>
        </w:rPr>
        <w:t>明</w:t>
      </w:r>
    </w:p>
    <w:p w14:paraId="676FF0E0">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21.19</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21.88</w:t>
      </w:r>
      <w:r>
        <w:rPr>
          <w:rFonts w:hint="eastAsia" w:ascii="仿宋" w:hAnsi="仿宋" w:eastAsia="仿宋"/>
          <w:color w:val="000000"/>
          <w:sz w:val="32"/>
          <w:szCs w:val="32"/>
        </w:rPr>
        <w:t>万元相比，收入</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0.69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3.26</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w:t>
      </w:r>
      <w:r>
        <w:rPr>
          <w:rFonts w:hint="eastAsia" w:ascii="仿宋_GB2312" w:hAnsi="仿宋" w:eastAsia="仿宋_GB2312" w:cs="仿宋"/>
          <w:sz w:val="32"/>
          <w:szCs w:val="32"/>
          <w:lang w:eastAsia="zh-CN"/>
        </w:rPr>
        <w:t>下降</w:t>
      </w:r>
      <w:r>
        <w:rPr>
          <w:rFonts w:hint="eastAsia" w:ascii="仿宋_GB2312" w:hAnsi="仿宋" w:eastAsia="仿宋_GB2312" w:cs="仿宋"/>
          <w:sz w:val="32"/>
          <w:szCs w:val="32"/>
        </w:rPr>
        <w:t>原因为：</w:t>
      </w:r>
      <w:r>
        <w:rPr>
          <w:rFonts w:hint="eastAsia" w:ascii="仿宋_GB2312" w:hAnsi="仿宋" w:eastAsia="仿宋_GB2312" w:cs="仿宋"/>
          <w:sz w:val="32"/>
          <w:szCs w:val="32"/>
          <w:lang w:val="en-US" w:eastAsia="zh-CN"/>
        </w:rPr>
        <w:t xml:space="preserve">2023年10月已退休。 </w:t>
      </w:r>
    </w:p>
    <w:p w14:paraId="6670E601">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21.19</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21.88</w:t>
      </w:r>
      <w:r>
        <w:rPr>
          <w:rFonts w:hint="eastAsia" w:ascii="仿宋" w:hAnsi="仿宋" w:eastAsia="仿宋"/>
          <w:color w:val="000000"/>
          <w:sz w:val="32"/>
          <w:szCs w:val="32"/>
        </w:rPr>
        <w:t>万元相比，</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lang w:val="en-US" w:eastAsia="zh-CN"/>
        </w:rPr>
        <w:t>0.69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3.26</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w:t>
      </w:r>
      <w:r>
        <w:rPr>
          <w:rFonts w:hint="eastAsia" w:ascii="仿宋_GB2312" w:hAnsi="仿宋" w:eastAsia="仿宋_GB2312" w:cs="仿宋"/>
          <w:sz w:val="32"/>
          <w:szCs w:val="32"/>
          <w:lang w:eastAsia="zh-CN"/>
        </w:rPr>
        <w:t>下降</w:t>
      </w:r>
      <w:r>
        <w:rPr>
          <w:rFonts w:hint="eastAsia" w:ascii="仿宋_GB2312" w:hAnsi="仿宋" w:eastAsia="仿宋_GB2312" w:cs="仿宋"/>
          <w:sz w:val="32"/>
          <w:szCs w:val="32"/>
        </w:rPr>
        <w:t>原因为：</w:t>
      </w:r>
      <w:r>
        <w:rPr>
          <w:rFonts w:hint="eastAsia" w:ascii="仿宋_GB2312" w:hAnsi="仿宋" w:eastAsia="仿宋_GB2312" w:cs="仿宋"/>
          <w:sz w:val="32"/>
          <w:szCs w:val="32"/>
          <w:lang w:val="en-US" w:eastAsia="zh-CN"/>
        </w:rPr>
        <w:t xml:space="preserve">2023年10月已退休。 </w:t>
      </w:r>
    </w:p>
    <w:p w14:paraId="1E50B1EB">
      <w:pPr>
        <w:snapToGrid w:val="0"/>
        <w:spacing w:line="560" w:lineRule="exact"/>
        <w:ind w:firstLine="1280" w:firstLineChars="400"/>
        <w:rPr>
          <w:rFonts w:hint="eastAsia" w:ascii="仿宋" w:hAnsi="仿宋" w:eastAsia="仿宋"/>
          <w:color w:val="000000"/>
          <w:sz w:val="32"/>
          <w:szCs w:val="32"/>
        </w:rPr>
      </w:pPr>
    </w:p>
    <w:p w14:paraId="1CEA8298">
      <w:pPr>
        <w:ind w:firstLine="800" w:firstLineChars="250"/>
        <w:jc w:val="left"/>
        <w:rPr>
          <w:rFonts w:hint="eastAsia"/>
          <w:sz w:val="32"/>
          <w:szCs w:val="32"/>
        </w:rPr>
      </w:pPr>
      <w:r>
        <w:rPr>
          <w:rFonts w:hint="eastAsia"/>
          <w:sz w:val="32"/>
          <w:szCs w:val="32"/>
        </w:rPr>
        <w:object>
          <v:shape id="_x0000_i1025" o:spt="75" type="#_x0000_t75" style="height:310.75pt;width:375.6pt;" o:ole="t" filled="f" o:preferrelative="t" stroked="f" coordsize="21600,21600">
            <v:path/>
            <v:fill on="f" focussize="0,0"/>
            <v:stroke on="f"/>
            <v:imagedata r:id="rId7" cropbottom="-29f" o:title=""/>
            <o:lock v:ext="edit" aspectratio="f"/>
            <w10:wrap type="none"/>
            <w10:anchorlock/>
          </v:shape>
          <o:OLEObject Type="Embed" ProgID="Excel.Chart.8" ShapeID="_x0000_i1025" DrawAspect="Content" ObjectID="_1468075725" r:id="rId6">
            <o:LockedField>false</o:LockedField>
          </o:OLEObject>
        </w:object>
      </w:r>
    </w:p>
    <w:p w14:paraId="149029B2">
      <w:pPr>
        <w:ind w:firstLine="800" w:firstLineChars="250"/>
        <w:jc w:val="left"/>
        <w:rPr>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2EC624ED">
      <w:pPr>
        <w:pStyle w:val="34"/>
        <w:numPr>
          <w:ilvl w:val="0"/>
          <w:numId w:val="1"/>
        </w:numPr>
        <w:spacing w:line="600" w:lineRule="exact"/>
        <w:ind w:firstLineChars="0"/>
        <w:outlineLvl w:val="1"/>
        <w:rPr>
          <w:rStyle w:val="24"/>
          <w:rFonts w:ascii="黑体" w:hAnsi="黑体" w:eastAsia="黑体"/>
          <w:b w:val="0"/>
        </w:rPr>
      </w:pPr>
      <w:bookmarkStart w:id="17" w:name="_Toc79163861"/>
      <w:bookmarkStart w:id="18" w:name="_Toc15377206"/>
      <w:bookmarkStart w:id="19" w:name="_Toc79163611"/>
      <w:bookmarkStart w:id="20" w:name="_Toc15396604"/>
      <w:r>
        <w:rPr>
          <w:rFonts w:hint="eastAsia" w:ascii="黑体" w:hAnsi="黑体" w:eastAsia="黑体"/>
          <w:color w:val="000000"/>
          <w:sz w:val="32"/>
          <w:szCs w:val="32"/>
        </w:rPr>
        <w:t>收</w:t>
      </w:r>
      <w:r>
        <w:rPr>
          <w:rStyle w:val="24"/>
          <w:rFonts w:hint="eastAsia" w:ascii="黑体" w:hAnsi="黑体" w:eastAsia="黑体"/>
          <w:b w:val="0"/>
        </w:rPr>
        <w:t>入决算情况说明</w:t>
      </w:r>
      <w:bookmarkEnd w:id="17"/>
      <w:bookmarkEnd w:id="18"/>
      <w:bookmarkEnd w:id="19"/>
      <w:bookmarkEnd w:id="20"/>
    </w:p>
    <w:p w14:paraId="34ACC81E">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21.19万</w:t>
      </w:r>
      <w:r>
        <w:rPr>
          <w:rFonts w:hint="eastAsia" w:ascii="仿宋" w:hAnsi="仿宋" w:eastAsia="仿宋"/>
          <w:color w:val="000000"/>
          <w:sz w:val="32"/>
          <w:szCs w:val="32"/>
        </w:rPr>
        <w:t>元，其中：一般公共预算财政拨款收入</w:t>
      </w:r>
      <w:r>
        <w:rPr>
          <w:rFonts w:hint="eastAsia" w:ascii="仿宋" w:hAnsi="仿宋" w:eastAsia="仿宋"/>
          <w:color w:val="000000"/>
          <w:sz w:val="32"/>
          <w:szCs w:val="32"/>
          <w:lang w:val="en-US" w:eastAsia="zh-CN"/>
        </w:rPr>
        <w:t>21.19</w:t>
      </w:r>
      <w:r>
        <w:rPr>
          <w:rFonts w:hint="eastAsia" w:ascii="仿宋" w:hAnsi="仿宋" w:eastAsia="仿宋"/>
          <w:color w:val="000000"/>
          <w:sz w:val="32"/>
          <w:szCs w:val="32"/>
        </w:rPr>
        <w:t>万元，占100%；本单位无政府性基金预算财政拨款收入、</w:t>
      </w:r>
      <w:r>
        <w:rPr>
          <w:rFonts w:hint="eastAsia" w:ascii="仿宋" w:hAnsi="仿宋" w:eastAsia="仿宋"/>
          <w:color w:val="000000"/>
          <w:sz w:val="32"/>
          <w:szCs w:val="32"/>
          <w:lang w:eastAsia="zh-CN"/>
        </w:rPr>
        <w:t>国有资本经营预算财政拨款收入、</w:t>
      </w:r>
      <w:r>
        <w:rPr>
          <w:rFonts w:hint="eastAsia" w:ascii="仿宋" w:hAnsi="仿宋" w:eastAsia="仿宋"/>
          <w:color w:val="000000"/>
          <w:sz w:val="32"/>
          <w:szCs w:val="32"/>
        </w:rPr>
        <w:t>上级补助收入、事业收入、经营收入、附属单位上缴收入、其他收入。</w:t>
      </w:r>
    </w:p>
    <w:p w14:paraId="6AD9EC4A">
      <w:pPr>
        <w:spacing w:line="600" w:lineRule="exact"/>
        <w:ind w:firstLine="640" w:firstLineChars="200"/>
        <w:rPr>
          <w:rFonts w:ascii="仿宋_GB2312" w:eastAsia="仿宋_GB2312"/>
          <w:color w:val="FF0000"/>
          <w:sz w:val="32"/>
          <w:szCs w:val="32"/>
        </w:rPr>
      </w:pPr>
    </w:p>
    <w:p w14:paraId="76A0976D">
      <w:pPr>
        <w:spacing w:line="600" w:lineRule="exact"/>
        <w:ind w:firstLine="960" w:firstLineChars="3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r>
        <w:rPr>
          <w:rFonts w:hint="eastAsia" w:ascii="仿宋_GB2312" w:hAnsi="仿宋" w:eastAsia="仿宋_GB2312" w:cs="仿宋_GB2312"/>
          <w:sz w:val="32"/>
          <w:szCs w:val="32"/>
        </w:rPr>
        <w:pict>
          <v:shape id="_x0000_s1028" o:spid="_x0000_s1028" o:spt="75" type="#_x0000_t75" style="position:absolute;left:0pt;margin-left:21.5pt;margin-top:23.9pt;height:237.8pt;width:382.6pt;mso-wrap-distance-bottom:0pt;mso-wrap-distance-top:0pt;z-index:251659264;mso-width-relative:page;mso-height-relative:page;" o:ole="t" filled="f" o:preferrelative="t" stroked="f" coordsize="21600,21600">
            <v:path/>
            <v:fill on="f" focussize="0,0"/>
            <v:stroke on="f"/>
            <v:imagedata r:id="rId9" o:title=""/>
            <o:lock v:ext="edit" aspectratio="t"/>
            <w10:wrap type="topAndBottom"/>
          </v:shape>
          <o:OLEObject Type="Embed" ProgID="Excel.Chart.8" ShapeID="_x0000_s1028" DrawAspect="Content" ObjectID="_1468075726" r:id="rId8">
            <o:LockedField>false</o:LockedField>
          </o:OLEObject>
        </w:pict>
      </w:r>
    </w:p>
    <w:p w14:paraId="2998D57B">
      <w:pPr>
        <w:pStyle w:val="34"/>
        <w:numPr>
          <w:ilvl w:val="0"/>
          <w:numId w:val="1"/>
        </w:numPr>
        <w:spacing w:line="600" w:lineRule="exact"/>
        <w:ind w:firstLineChars="0"/>
        <w:outlineLvl w:val="1"/>
        <w:rPr>
          <w:rStyle w:val="24"/>
          <w:rFonts w:ascii="黑体" w:hAnsi="黑体" w:eastAsia="黑体"/>
          <w:b w:val="0"/>
        </w:rPr>
      </w:pPr>
      <w:bookmarkStart w:id="21" w:name="_Toc79163862"/>
      <w:bookmarkStart w:id="22" w:name="_Toc15396605"/>
      <w:bookmarkStart w:id="23" w:name="_Toc79163612"/>
      <w:bookmarkStart w:id="24" w:name="_Toc15377207"/>
      <w:r>
        <w:rPr>
          <w:rFonts w:hint="eastAsia" w:ascii="黑体" w:hAnsi="黑体" w:eastAsia="黑体"/>
          <w:color w:val="000000"/>
          <w:sz w:val="32"/>
          <w:szCs w:val="32"/>
        </w:rPr>
        <w:t>支</w:t>
      </w:r>
      <w:r>
        <w:rPr>
          <w:rStyle w:val="24"/>
          <w:rFonts w:hint="eastAsia" w:ascii="黑体" w:hAnsi="黑体" w:eastAsia="黑体"/>
          <w:b w:val="0"/>
        </w:rPr>
        <w:t>出决算情况说明</w:t>
      </w:r>
      <w:bookmarkEnd w:id="21"/>
      <w:bookmarkEnd w:id="22"/>
      <w:bookmarkEnd w:id="23"/>
      <w:bookmarkEnd w:id="24"/>
    </w:p>
    <w:p w14:paraId="4493B994">
      <w:pPr>
        <w:spacing w:line="600" w:lineRule="exact"/>
        <w:ind w:firstLine="640" w:firstLineChars="2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年本年支出合计</w:t>
      </w:r>
      <w:r>
        <w:rPr>
          <w:rFonts w:hint="eastAsia" w:ascii="仿宋_GB2312" w:eastAsia="仿宋_GB2312"/>
          <w:sz w:val="32"/>
          <w:szCs w:val="32"/>
          <w:lang w:val="en-US" w:eastAsia="zh-CN"/>
        </w:rPr>
        <w:t>21.19</w:t>
      </w:r>
      <w:r>
        <w:rPr>
          <w:rFonts w:hint="eastAsia" w:ascii="仿宋_GB2312" w:eastAsia="仿宋_GB2312"/>
          <w:sz w:val="32"/>
          <w:szCs w:val="32"/>
        </w:rPr>
        <w:t>万元，其中：基本支出</w:t>
      </w:r>
      <w:r>
        <w:rPr>
          <w:rFonts w:hint="eastAsia" w:ascii="仿宋_GB2312" w:eastAsia="仿宋_GB2312"/>
          <w:sz w:val="32"/>
          <w:szCs w:val="32"/>
          <w:lang w:val="en-US" w:eastAsia="zh-CN"/>
        </w:rPr>
        <w:t>21.19</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%；本单位无</w:t>
      </w:r>
      <w:r>
        <w:rPr>
          <w:rFonts w:hint="eastAsia" w:ascii="仿宋_GB2312" w:eastAsia="仿宋_GB2312"/>
          <w:sz w:val="32"/>
          <w:szCs w:val="32"/>
          <w:lang w:eastAsia="zh-CN"/>
        </w:rPr>
        <w:t>项目支出、</w:t>
      </w:r>
      <w:r>
        <w:rPr>
          <w:rFonts w:hint="eastAsia" w:ascii="仿宋_GB2312" w:eastAsia="仿宋_GB2312"/>
          <w:sz w:val="32"/>
          <w:szCs w:val="32"/>
        </w:rPr>
        <w:t>上缴上级支出、经营支出、对附属单位补助支出。</w:t>
      </w:r>
    </w:p>
    <w:p w14:paraId="4CAB41DA">
      <w:pPr>
        <w:spacing w:line="600" w:lineRule="exact"/>
        <w:rPr>
          <w:rFonts w:ascii="仿宋_GB2312" w:eastAsia="仿宋_GB2312"/>
          <w:color w:val="FF0000"/>
          <w:sz w:val="32"/>
          <w:szCs w:val="32"/>
        </w:rPr>
      </w:pPr>
      <w:r>
        <w:rPr>
          <w:rFonts w:hint="eastAsia" w:ascii="仿宋_GB2312" w:hAnsi="仿宋" w:eastAsia="仿宋_GB2312" w:cs="仿宋_GB2312"/>
          <w:sz w:val="32"/>
          <w:szCs w:val="32"/>
        </w:rPr>
        <w:pict>
          <v:shape id="_x0000_s1033" o:spid="_x0000_s1033" o:spt="75" type="#_x0000_t75" style="position:absolute;left:0pt;margin-left:50.25pt;margin-top:39.8pt;height:203.75pt;width:326.7pt;mso-wrap-distance-bottom:0pt;mso-wrap-distance-top:0pt;z-index:251661312;mso-width-relative:page;mso-height-relative:page;" o:ole="t" filled="f" o:preferrelative="t" stroked="f" coordsize="21600,21600">
            <v:path/>
            <v:fill on="f" focussize="0,0"/>
            <v:stroke on="f"/>
            <v:imagedata r:id="rId11" o:title=""/>
            <o:lock v:ext="edit" aspectratio="t"/>
            <w10:wrap type="topAndBottom"/>
          </v:shape>
          <o:OLEObject Type="Embed" ProgID="Excel.Chart.8" ShapeID="_x0000_s1033" DrawAspect="Content" ObjectID="_1468075727" r:id="rId10">
            <o:LockedField>false</o:LockedField>
          </o:OLEObject>
        </w:pict>
      </w:r>
      <w:bookmarkStart w:id="25" w:name="_Toc79163863"/>
      <w:bookmarkStart w:id="26" w:name="_Toc15377208"/>
      <w:bookmarkStart w:id="27" w:name="_Toc15396606"/>
      <w:bookmarkStart w:id="28" w:name="_Toc79163613"/>
      <w:bookmarkStart w:id="29" w:name="_Toc15396607"/>
      <w:bookmarkStart w:id="30" w:name="_Toc79163864"/>
      <w:bookmarkStart w:id="31" w:name="_Toc15377209"/>
      <w:bookmarkStart w:id="32" w:name="_Toc79163614"/>
      <w:r>
        <w:rPr>
          <w:rFonts w:hint="eastAsia" w:ascii="仿宋_GB2312" w:hAnsi="仿宋" w:eastAsia="仿宋_GB2312" w:cs="仿宋_GB2312"/>
          <w:sz w:val="32"/>
          <w:szCs w:val="32"/>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492A7C68">
      <w:pPr>
        <w:spacing w:line="600" w:lineRule="exact"/>
        <w:ind w:firstLine="640" w:firstLineChars="200"/>
        <w:outlineLvl w:val="1"/>
        <w:rPr>
          <w:rStyle w:val="24"/>
          <w:rFonts w:ascii="黑体" w:hAnsi="黑体" w:eastAsia="黑体"/>
          <w:b w:val="0"/>
        </w:rPr>
      </w:pPr>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25"/>
      <w:bookmarkEnd w:id="26"/>
      <w:bookmarkEnd w:id="27"/>
      <w:bookmarkEnd w:id="28"/>
    </w:p>
    <w:bookmarkEnd w:id="29"/>
    <w:bookmarkEnd w:id="30"/>
    <w:bookmarkEnd w:id="31"/>
    <w:bookmarkEnd w:id="32"/>
    <w:p w14:paraId="45261BAE">
      <w:pPr>
        <w:spacing w:line="600" w:lineRule="exact"/>
        <w:ind w:firstLine="640" w:firstLineChars="200"/>
        <w:rPr>
          <w:rFonts w:hint="default" w:ascii="仿宋_GB2312" w:hAnsi="仿宋" w:eastAsia="仿宋" w:cs="仿宋"/>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年财政拨款收入总计</w:t>
      </w:r>
      <w:r>
        <w:rPr>
          <w:rFonts w:hint="eastAsia" w:ascii="仿宋" w:hAnsi="仿宋" w:eastAsia="仿宋"/>
          <w:color w:val="000000"/>
          <w:sz w:val="32"/>
          <w:szCs w:val="32"/>
          <w:lang w:val="en-US" w:eastAsia="zh-CN"/>
        </w:rPr>
        <w:t>21.19</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21.88</w:t>
      </w:r>
      <w:r>
        <w:rPr>
          <w:rFonts w:hint="eastAsia" w:ascii="仿宋" w:hAnsi="仿宋" w:eastAsia="仿宋"/>
          <w:color w:val="000000"/>
          <w:sz w:val="32"/>
          <w:szCs w:val="32"/>
        </w:rPr>
        <w:t>万元相比，财政拨款收入总计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0.69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3.26</w:t>
      </w:r>
      <w:r>
        <w:rPr>
          <w:rFonts w:hint="eastAsia" w:ascii="仿宋" w:hAnsi="仿宋" w:eastAsia="仿宋"/>
          <w:color w:val="000000"/>
          <w:sz w:val="32"/>
          <w:szCs w:val="32"/>
        </w:rPr>
        <w:t>%。主要</w:t>
      </w:r>
      <w:r>
        <w:rPr>
          <w:rFonts w:hint="eastAsia" w:ascii="仿宋" w:hAnsi="仿宋" w:eastAsia="仿宋"/>
          <w:color w:val="000000"/>
          <w:sz w:val="32"/>
          <w:szCs w:val="32"/>
          <w:lang w:eastAsia="zh-CN"/>
        </w:rPr>
        <w:t>下降</w:t>
      </w:r>
      <w:r>
        <w:rPr>
          <w:rFonts w:hint="eastAsia" w:ascii="仿宋" w:hAnsi="仿宋" w:eastAsia="仿宋"/>
          <w:color w:val="000000"/>
          <w:sz w:val="32"/>
          <w:szCs w:val="32"/>
        </w:rPr>
        <w:t>原因</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2023年</w:t>
      </w:r>
      <w:r>
        <w:rPr>
          <w:rFonts w:hint="eastAsia" w:ascii="仿宋_GB2312" w:hAnsi="仿宋" w:eastAsia="仿宋_GB2312" w:cs="仿宋"/>
          <w:sz w:val="32"/>
          <w:szCs w:val="32"/>
          <w:lang w:val="en-US" w:eastAsia="zh-CN"/>
        </w:rPr>
        <w:t>10月已退休。</w:t>
      </w:r>
    </w:p>
    <w:p w14:paraId="0F4E38D3">
      <w:pPr>
        <w:spacing w:line="600" w:lineRule="exact"/>
        <w:ind w:firstLine="640" w:firstLineChars="200"/>
        <w:rPr>
          <w:rFonts w:hint="default" w:ascii="仿宋_GB2312" w:hAnsi="仿宋" w:eastAsia="仿宋" w:cs="仿宋"/>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21.19</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21.88</w:t>
      </w:r>
      <w:r>
        <w:rPr>
          <w:rFonts w:hint="eastAsia" w:ascii="仿宋" w:hAnsi="仿宋" w:eastAsia="仿宋"/>
          <w:color w:val="000000"/>
          <w:sz w:val="32"/>
          <w:szCs w:val="32"/>
        </w:rPr>
        <w:t>万元相比，财政拨款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0.69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3.26</w:t>
      </w:r>
      <w:r>
        <w:rPr>
          <w:rFonts w:hint="eastAsia" w:ascii="仿宋" w:hAnsi="仿宋" w:eastAsia="仿宋"/>
          <w:color w:val="000000"/>
          <w:sz w:val="32"/>
          <w:szCs w:val="32"/>
        </w:rPr>
        <w:t>%。主要</w:t>
      </w:r>
      <w:r>
        <w:rPr>
          <w:rFonts w:hint="eastAsia" w:ascii="仿宋" w:hAnsi="仿宋" w:eastAsia="仿宋"/>
          <w:color w:val="000000"/>
          <w:sz w:val="32"/>
          <w:szCs w:val="32"/>
          <w:lang w:eastAsia="zh-CN"/>
        </w:rPr>
        <w:t>下降</w:t>
      </w:r>
      <w:r>
        <w:rPr>
          <w:rFonts w:hint="eastAsia" w:ascii="仿宋" w:hAnsi="仿宋" w:eastAsia="仿宋"/>
          <w:color w:val="000000"/>
          <w:sz w:val="32"/>
          <w:szCs w:val="32"/>
        </w:rPr>
        <w:t>原因</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2023年</w:t>
      </w:r>
      <w:r>
        <w:rPr>
          <w:rFonts w:hint="eastAsia" w:ascii="仿宋_GB2312" w:hAnsi="仿宋" w:eastAsia="仿宋_GB2312" w:cs="仿宋"/>
          <w:sz w:val="32"/>
          <w:szCs w:val="32"/>
          <w:lang w:val="en-US" w:eastAsia="zh-CN"/>
        </w:rPr>
        <w:t>10月已退休。</w:t>
      </w:r>
    </w:p>
    <w:p w14:paraId="2F401D38">
      <w:pPr>
        <w:ind w:firstLine="800" w:firstLineChars="250"/>
        <w:jc w:val="center"/>
        <w:rPr>
          <w:rFonts w:hint="eastAsia"/>
          <w:sz w:val="32"/>
          <w:szCs w:val="32"/>
          <w:lang w:val="en-US" w:eastAsia="zh-CN"/>
        </w:rPr>
      </w:pPr>
      <w:r>
        <w:rPr>
          <w:rFonts w:hint="eastAsia"/>
          <w:sz w:val="32"/>
          <w:szCs w:val="32"/>
        </w:rPr>
        <w:object>
          <v:shape id="_x0000_i1026" o:spt="75" type="#_x0000_t75" style="height:395.45pt;width:251.15pt;" o:ole="t" filled="f" o:preferrelative="t" stroked="f" coordsize="21600,21600">
            <v:path/>
            <v:fill on="f" focussize="0,0"/>
            <v:stroke on="f"/>
            <v:imagedata r:id="rId13" cropbottom="-29f" o:title=""/>
            <o:lock v:ext="edit" aspectratio="f"/>
            <w10:wrap type="none"/>
            <w10:anchorlock/>
          </v:shape>
          <o:OLEObject Type="Embed" ProgID="Excel.Chart.8" ShapeID="_x0000_i1026" DrawAspect="Content" ObjectID="_1468075728" r:id="rId12">
            <o:LockedField>false</o:LockedField>
          </o:OLEObject>
        </w:object>
      </w:r>
      <w:r>
        <w:rPr>
          <w:rFonts w:hint="eastAsia"/>
          <w:sz w:val="32"/>
          <w:szCs w:val="32"/>
          <w:lang w:val="en-US" w:eastAsia="zh-CN"/>
        </w:rPr>
        <w:t xml:space="preserve">  </w:t>
      </w:r>
    </w:p>
    <w:p w14:paraId="0133F1C7">
      <w:pPr>
        <w:ind w:firstLine="800" w:firstLineChars="250"/>
        <w:jc w:val="center"/>
        <w:rPr>
          <w:rFonts w:hint="eastAsia" w:ascii="黑体" w:hAnsi="黑体" w:eastAsia="黑体"/>
          <w:color w:val="000000"/>
          <w:sz w:val="32"/>
          <w:szCs w:val="32"/>
        </w:rPr>
      </w:pPr>
      <w:r>
        <w:rPr>
          <w:rFonts w:hint="eastAsia"/>
          <w:sz w:val="32"/>
          <w:szCs w:val="32"/>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51334D9F">
      <w:pPr>
        <w:spacing w:line="600" w:lineRule="exact"/>
        <w:ind w:firstLine="640" w:firstLineChars="200"/>
        <w:outlineLvl w:val="1"/>
        <w:rPr>
          <w:rStyle w:val="24"/>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p>
    <w:p w14:paraId="0D350353">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3" w:name="_Toc79163615"/>
      <w:bookmarkStart w:id="34" w:name="_Toc15377210"/>
      <w:bookmarkStart w:id="35" w:name="_Toc79163865"/>
      <w:r>
        <w:rPr>
          <w:rFonts w:hint="eastAsia" w:ascii="楷体_GB2312" w:hAnsi="楷体_GB2312" w:eastAsia="楷体_GB2312" w:cs="楷体_GB2312"/>
          <w:b w:val="0"/>
          <w:bCs/>
          <w:color w:val="000000"/>
          <w:sz w:val="32"/>
          <w:szCs w:val="32"/>
        </w:rPr>
        <w:t>（一）一般公共预算财政拨款支出决算总体情况</w:t>
      </w:r>
      <w:bookmarkEnd w:id="33"/>
      <w:bookmarkEnd w:id="34"/>
      <w:bookmarkEnd w:id="35"/>
    </w:p>
    <w:p w14:paraId="297C396F">
      <w:pPr>
        <w:spacing w:line="600" w:lineRule="exact"/>
        <w:ind w:firstLine="640" w:firstLineChars="200"/>
        <w:outlineLvl w:val="2"/>
        <w:rPr>
          <w:rFonts w:hint="eastAsia" w:ascii="仿宋" w:hAnsi="仿宋" w:eastAsia="仿宋"/>
          <w:b/>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21.19</w:t>
      </w:r>
      <w:r>
        <w:rPr>
          <w:rFonts w:hint="eastAsia" w:ascii="仿宋" w:hAnsi="仿宋" w:eastAsia="仿宋"/>
          <w:color w:val="000000"/>
          <w:sz w:val="32"/>
          <w:szCs w:val="32"/>
        </w:rPr>
        <w:t>万元，占本年支出合计的100%。与20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21.88</w:t>
      </w:r>
      <w:r>
        <w:rPr>
          <w:rFonts w:hint="eastAsia" w:ascii="仿宋" w:hAnsi="仿宋" w:eastAsia="仿宋"/>
          <w:color w:val="000000"/>
          <w:sz w:val="32"/>
          <w:szCs w:val="32"/>
        </w:rPr>
        <w:t>元相比，一般公共预算财政拨款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0.69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3.26</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2023年10月已退休。</w:t>
      </w:r>
    </w:p>
    <w:p w14:paraId="01195BB8">
      <w:pPr>
        <w:spacing w:line="600" w:lineRule="exact"/>
        <w:rPr>
          <w:rFonts w:hint="eastAsia" w:ascii="仿宋" w:hAnsi="仿宋" w:eastAsia="仿宋"/>
          <w:b/>
          <w:color w:val="000000"/>
          <w:sz w:val="32"/>
          <w:szCs w:val="32"/>
        </w:rPr>
      </w:pPr>
      <w:bookmarkStart w:id="36" w:name="_Toc15377211"/>
      <w:bookmarkStart w:id="37" w:name="_Toc79163616"/>
      <w:bookmarkStart w:id="38" w:name="_Toc79163866"/>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29FFA7E7">
      <w:pPr>
        <w:spacing w:line="600" w:lineRule="exact"/>
        <w:ind w:firstLine="640" w:firstLineChars="200"/>
        <w:outlineLvl w:val="2"/>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pict>
          <v:shape id="_x0000_s1031" o:spid="_x0000_s1031" o:spt="75" type="#_x0000_t75" style="position:absolute;left:0pt;margin-left:34.6pt;margin-top:8.2pt;height:230.5pt;width:370.75pt;mso-wrap-distance-bottom:0pt;mso-wrap-distance-top:0pt;z-index:251660288;mso-width-relative:page;mso-height-relative:page;" o:ole="t" filled="f" o:preferrelative="t" stroked="f" coordsize="21600,21600">
            <v:path/>
            <v:fill on="f" focussize="0,0"/>
            <v:stroke on="f"/>
            <v:imagedata r:id="rId15" o:title=""/>
            <o:lock v:ext="edit" aspectratio="t"/>
            <w10:wrap type="topAndBottom"/>
          </v:shape>
          <o:OLEObject Type="Embed" ProgID="Excel.Chart.8" ShapeID="_x0000_s1031" DrawAspect="Content" ObjectID="_1468075729" r:id="rId14">
            <o:LockedField>false</o:LockedField>
          </o:OLEObject>
        </w:pict>
      </w:r>
      <w:r>
        <w:rPr>
          <w:rFonts w:hint="eastAsia" w:ascii="楷体_GB2312" w:hAnsi="楷体_GB2312" w:eastAsia="楷体_GB2312" w:cs="楷体_GB2312"/>
          <w:b w:val="0"/>
          <w:bCs/>
          <w:color w:val="000000"/>
          <w:sz w:val="32"/>
          <w:szCs w:val="32"/>
        </w:rPr>
        <w:t>（二）一般公共预算财政拨款支出决算结构情况</w:t>
      </w:r>
      <w:bookmarkEnd w:id="36"/>
      <w:bookmarkEnd w:id="37"/>
      <w:bookmarkEnd w:id="38"/>
    </w:p>
    <w:p w14:paraId="7C91963F">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21.19</w:t>
      </w:r>
      <w:r>
        <w:rPr>
          <w:rFonts w:hint="eastAsia" w:ascii="仿宋" w:hAnsi="仿宋" w:eastAsia="仿宋"/>
          <w:color w:val="000000"/>
          <w:sz w:val="32"/>
          <w:szCs w:val="32"/>
        </w:rPr>
        <w:t>万元，主要用于以下方面:社会保障和就业（类）支出</w:t>
      </w:r>
      <w:r>
        <w:rPr>
          <w:rFonts w:hint="eastAsia" w:ascii="仿宋" w:hAnsi="仿宋" w:eastAsia="仿宋"/>
          <w:color w:val="000000"/>
          <w:sz w:val="32"/>
          <w:szCs w:val="32"/>
          <w:lang w:val="en-US" w:eastAsia="zh-CN"/>
        </w:rPr>
        <w:t>18.77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88.58</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1.07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5.05</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1.35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6.37</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p>
    <w:p w14:paraId="50DB88CB">
      <w:pPr>
        <w:jc w:val="left"/>
        <w:rPr>
          <w:rFonts w:hint="eastAsia"/>
        </w:rPr>
      </w:pPr>
      <w:bookmarkStart w:id="39" w:name="_Toc15377212"/>
      <w:bookmarkStart w:id="40" w:name="_Toc79163867"/>
      <w:bookmarkStart w:id="41" w:name="_Toc79163617"/>
      <w:r>
        <w:rPr>
          <w:rFonts w:hint="eastAsia"/>
        </w:rPr>
        <w:object>
          <v:shape id="_x0000_i1027" o:spt="75" type="#_x0000_t75" style="height:222.75pt;width:330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30" r:id="rId16">
            <o:LockedField>false</o:LockedField>
          </o:OLEObject>
        </w:object>
      </w:r>
    </w:p>
    <w:p w14:paraId="3FE1CD91">
      <w:pPr>
        <w:jc w:val="left"/>
      </w:pPr>
    </w:p>
    <w:p w14:paraId="5F2E9202">
      <w:pPr>
        <w:spacing w:line="600" w:lineRule="exact"/>
        <w:rPr>
          <w:rFonts w:hint="eastAsia" w:ascii="仿宋" w:hAnsi="仿宋" w:eastAsia="仿宋"/>
          <w:b/>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53E9AE88">
      <w:pPr>
        <w:spacing w:line="600" w:lineRule="exact"/>
        <w:ind w:firstLine="640" w:firstLineChars="200"/>
        <w:outlineLvl w:val="2"/>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（三）一般公共预算财政拨款支出决算具体情况</w:t>
      </w:r>
      <w:bookmarkEnd w:id="39"/>
      <w:bookmarkEnd w:id="40"/>
      <w:bookmarkEnd w:id="41"/>
    </w:p>
    <w:p w14:paraId="11065EFD">
      <w:pPr>
        <w:spacing w:line="600" w:lineRule="exact"/>
        <w:ind w:firstLine="643" w:firstLineChars="200"/>
        <w:rPr>
          <w:rFonts w:hint="eastAsia" w:ascii="仿宋" w:hAnsi="仿宋" w:eastAsia="仿宋" w:cs="仿宋"/>
          <w:b/>
          <w:color w:val="000000"/>
          <w:sz w:val="32"/>
          <w:szCs w:val="32"/>
          <w:lang w:val="en-US" w:eastAsia="zh-CN"/>
        </w:rPr>
      </w:pPr>
      <w:bookmarkStart w:id="42" w:name="_Toc15378460"/>
      <w:bookmarkStart w:id="43" w:name="_Toc15377213"/>
      <w:bookmarkStart w:id="44" w:name="_Toc15377444"/>
      <w:r>
        <w:rPr>
          <w:rFonts w:ascii="仿宋_GB2312" w:eastAsia="仿宋_GB2312"/>
          <w:b/>
          <w:bCs/>
          <w:sz w:val="32"/>
          <w:szCs w:val="32"/>
        </w:rPr>
        <w:t>2</w:t>
      </w:r>
      <w:r>
        <w:rPr>
          <w:rFonts w:hint="eastAsia" w:ascii="仿宋" w:hAnsi="仿宋" w:eastAsia="仿宋" w:cs="仿宋"/>
          <w:b/>
          <w:color w:val="000000"/>
          <w:sz w:val="32"/>
          <w:szCs w:val="32"/>
          <w:lang w:val="en-US" w:eastAsia="zh-CN"/>
        </w:rPr>
        <w:t>023年一般公共预算支出决算数为21.19万元，完成预算100%。其中：</w:t>
      </w:r>
      <w:bookmarkEnd w:id="42"/>
      <w:bookmarkEnd w:id="43"/>
      <w:bookmarkEnd w:id="44"/>
    </w:p>
    <w:p w14:paraId="4E45F0AE">
      <w:pPr>
        <w:spacing w:line="60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color w:val="000000"/>
          <w:sz w:val="32"/>
          <w:szCs w:val="32"/>
          <w:lang w:val="en-US" w:eastAsia="zh-CN"/>
        </w:rPr>
        <w:t xml:space="preserve">1.社会保障和就业（类）人力资源和社会保障管理事务（款）社会保障经办机构（项）: </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16.19</w:t>
      </w:r>
      <w:r>
        <w:rPr>
          <w:rFonts w:hint="eastAsia" w:ascii="仿宋" w:hAnsi="仿宋" w:eastAsia="仿宋" w:cs="仿宋"/>
          <w:b w:val="0"/>
          <w:bCs w:val="0"/>
          <w:color w:val="000000"/>
          <w:sz w:val="32"/>
          <w:szCs w:val="32"/>
        </w:rPr>
        <w:t>万元，完成预算</w:t>
      </w:r>
      <w:r>
        <w:rPr>
          <w:rFonts w:hint="eastAsia" w:ascii="仿宋" w:hAnsi="仿宋" w:eastAsia="仿宋" w:cs="仿宋"/>
          <w:b w:val="0"/>
          <w:bCs w:val="0"/>
          <w:color w:val="000000"/>
          <w:sz w:val="32"/>
          <w:szCs w:val="32"/>
          <w:lang w:val="en-US" w:eastAsia="zh-CN"/>
        </w:rPr>
        <w:t>100</w:t>
      </w:r>
      <w:r>
        <w:rPr>
          <w:rFonts w:hint="eastAsia" w:ascii="仿宋" w:hAnsi="仿宋" w:eastAsia="仿宋" w:cs="仿宋"/>
          <w:b w:val="0"/>
          <w:bCs w:val="0"/>
          <w:color w:val="000000"/>
          <w:sz w:val="32"/>
          <w:szCs w:val="32"/>
        </w:rPr>
        <w:t>%。</w:t>
      </w:r>
    </w:p>
    <w:p w14:paraId="6251C07D">
      <w:pPr>
        <w:spacing w:line="600" w:lineRule="exact"/>
        <w:ind w:firstLine="643" w:firstLineChars="200"/>
        <w:rPr>
          <w:rFonts w:ascii="仿宋" w:hAnsi="仿宋" w:eastAsia="仿宋"/>
          <w:b w:val="0"/>
          <w:bCs w:val="0"/>
          <w:color w:val="000000"/>
          <w:sz w:val="32"/>
          <w:szCs w:val="32"/>
        </w:rPr>
      </w:pPr>
      <w:r>
        <w:rPr>
          <w:rFonts w:hint="eastAsia" w:ascii="仿宋" w:hAnsi="仿宋" w:eastAsia="仿宋" w:cs="仿宋"/>
          <w:b/>
          <w:color w:val="000000"/>
          <w:sz w:val="32"/>
          <w:szCs w:val="32"/>
          <w:lang w:val="en-US" w:eastAsia="zh-CN"/>
        </w:rPr>
        <w:t>2</w:t>
      </w:r>
      <w:r>
        <w:rPr>
          <w:rFonts w:ascii="仿宋" w:hAnsi="仿宋" w:eastAsia="仿宋" w:cs="仿宋"/>
          <w:b/>
          <w:color w:val="000000"/>
          <w:sz w:val="32"/>
          <w:szCs w:val="32"/>
        </w:rPr>
        <w:t>.</w:t>
      </w:r>
      <w:r>
        <w:rPr>
          <w:rFonts w:hint="eastAsia" w:ascii="仿宋" w:hAnsi="仿宋" w:eastAsia="仿宋" w:cs="仿宋"/>
          <w:b/>
          <w:color w:val="000000"/>
          <w:sz w:val="32"/>
          <w:szCs w:val="32"/>
        </w:rPr>
        <w:t>社会保障和就业（类）行政事业单位离退休（款）机关事业单位基本养老保险缴费支出（项）：</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1.74</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rPr>
        <w:t>。</w:t>
      </w:r>
    </w:p>
    <w:p w14:paraId="5023D282">
      <w:pPr>
        <w:spacing w:line="600" w:lineRule="exact"/>
        <w:ind w:firstLine="643" w:firstLineChars="200"/>
        <w:rPr>
          <w:rFonts w:ascii="仿宋" w:hAnsi="仿宋" w:eastAsia="仿宋"/>
          <w:b/>
          <w:bCs/>
          <w:color w:val="000000"/>
          <w:sz w:val="32"/>
          <w:szCs w:val="32"/>
        </w:rPr>
      </w:pPr>
      <w:r>
        <w:rPr>
          <w:rFonts w:hint="eastAsia" w:ascii="仿宋" w:hAnsi="仿宋" w:eastAsia="仿宋" w:cs="仿宋"/>
          <w:b/>
          <w:bCs/>
          <w:color w:val="000000"/>
          <w:sz w:val="32"/>
          <w:szCs w:val="32"/>
          <w:lang w:val="en-US" w:eastAsia="zh-CN"/>
        </w:rPr>
        <w:t>3</w:t>
      </w:r>
      <w:r>
        <w:rPr>
          <w:rFonts w:ascii="仿宋" w:hAnsi="仿宋" w:eastAsia="仿宋" w:cs="仿宋"/>
          <w:b/>
          <w:bCs/>
          <w:color w:val="000000"/>
          <w:sz w:val="32"/>
          <w:szCs w:val="32"/>
        </w:rPr>
        <w:t>.</w:t>
      </w:r>
      <w:r>
        <w:rPr>
          <w:rFonts w:hint="eastAsia" w:ascii="仿宋" w:hAnsi="仿宋" w:eastAsia="仿宋" w:cs="仿宋"/>
          <w:b/>
          <w:color w:val="000000"/>
          <w:sz w:val="32"/>
          <w:szCs w:val="32"/>
        </w:rPr>
        <w:t>社会保障和就业（类）行政事业单位离退休（款）机关事业单位职业年金缴费支出（项）：</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0.83</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rPr>
        <w:t>。</w:t>
      </w:r>
    </w:p>
    <w:p w14:paraId="0899711B">
      <w:pPr>
        <w:spacing w:line="600" w:lineRule="exact"/>
        <w:ind w:firstLine="643" w:firstLineChars="200"/>
        <w:rPr>
          <w:rFonts w:hint="eastAsia" w:ascii="仿宋" w:hAnsi="仿宋" w:eastAsia="仿宋" w:cs="仿宋"/>
          <w:b w:val="0"/>
          <w:bCs w:val="0"/>
          <w:color w:val="000000"/>
          <w:sz w:val="32"/>
          <w:szCs w:val="32"/>
          <w:lang w:eastAsia="zh-CN"/>
        </w:rPr>
      </w:pPr>
      <w:r>
        <w:rPr>
          <w:rFonts w:hint="eastAsia" w:ascii="仿宋" w:hAnsi="仿宋" w:eastAsia="仿宋" w:cs="仿宋"/>
          <w:b/>
          <w:bCs/>
          <w:color w:val="000000"/>
          <w:sz w:val="32"/>
          <w:szCs w:val="32"/>
          <w:lang w:val="en-US" w:eastAsia="zh-CN"/>
        </w:rPr>
        <w:t>4</w:t>
      </w:r>
      <w:r>
        <w:rPr>
          <w:rFonts w:ascii="仿宋" w:hAnsi="仿宋" w:eastAsia="仿宋" w:cs="仿宋"/>
          <w:b/>
          <w:color w:val="000000"/>
          <w:sz w:val="32"/>
          <w:szCs w:val="32"/>
        </w:rPr>
        <w:t>.</w:t>
      </w:r>
      <w:r>
        <w:rPr>
          <w:rFonts w:hint="eastAsia" w:ascii="仿宋" w:hAnsi="仿宋" w:eastAsia="仿宋" w:cs="仿宋"/>
          <w:b/>
          <w:color w:val="000000"/>
          <w:sz w:val="32"/>
          <w:szCs w:val="32"/>
        </w:rPr>
        <w:t>医疗卫生与计划生育（类）行政事业单位医疗（款）事业单位医疗（项）</w:t>
      </w:r>
      <w:r>
        <w:rPr>
          <w:rFonts w:ascii="仿宋" w:hAnsi="仿宋" w:eastAsia="仿宋" w:cs="仿宋"/>
          <w:b/>
          <w:color w:val="000000"/>
          <w:sz w:val="32"/>
          <w:szCs w:val="32"/>
        </w:rPr>
        <w:t>:</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1.07</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lang w:eastAsia="zh-CN"/>
        </w:rPr>
        <w:t>。</w:t>
      </w:r>
    </w:p>
    <w:p w14:paraId="34EB5DB0">
      <w:pPr>
        <w:spacing w:line="600" w:lineRule="exact"/>
        <w:ind w:firstLine="643" w:firstLineChars="200"/>
        <w:rPr>
          <w:rFonts w:ascii="仿宋" w:hAnsi="仿宋" w:eastAsia="仿宋"/>
          <w:b/>
          <w:color w:val="FF0000"/>
          <w:sz w:val="32"/>
          <w:szCs w:val="32"/>
        </w:rPr>
      </w:pPr>
      <w:r>
        <w:rPr>
          <w:rFonts w:hint="eastAsia" w:ascii="仿宋" w:hAnsi="仿宋" w:eastAsia="仿宋" w:cs="仿宋"/>
          <w:b/>
          <w:bCs/>
          <w:color w:val="000000"/>
          <w:sz w:val="32"/>
          <w:szCs w:val="32"/>
          <w:lang w:val="en-US" w:eastAsia="zh-CN"/>
        </w:rPr>
        <w:t>5</w:t>
      </w:r>
      <w:r>
        <w:rPr>
          <w:rFonts w:ascii="仿宋" w:hAnsi="仿宋" w:eastAsia="仿宋" w:cs="仿宋"/>
          <w:b/>
          <w:color w:val="000000"/>
          <w:sz w:val="32"/>
          <w:szCs w:val="32"/>
        </w:rPr>
        <w:t>.</w:t>
      </w:r>
      <w:r>
        <w:rPr>
          <w:rFonts w:hint="eastAsia" w:ascii="仿宋" w:hAnsi="仿宋" w:eastAsia="仿宋" w:cs="仿宋"/>
          <w:b/>
          <w:color w:val="000000"/>
          <w:sz w:val="32"/>
          <w:szCs w:val="32"/>
        </w:rPr>
        <w:t>住房保障支出（类）住房改革支出（款）住房公积金（项）</w:t>
      </w:r>
      <w:r>
        <w:rPr>
          <w:rFonts w:ascii="仿宋" w:hAnsi="仿宋" w:eastAsia="仿宋" w:cs="仿宋"/>
          <w:b/>
          <w:color w:val="000000"/>
          <w:sz w:val="32"/>
          <w:szCs w:val="32"/>
        </w:rPr>
        <w:t>:</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1.35</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rPr>
        <w:t>。</w:t>
      </w:r>
    </w:p>
    <w:p w14:paraId="7568894D">
      <w:pPr>
        <w:tabs>
          <w:tab w:val="right" w:pos="8306"/>
        </w:tabs>
        <w:spacing w:line="600" w:lineRule="exact"/>
        <w:ind w:firstLine="640" w:firstLineChars="200"/>
        <w:outlineLvl w:val="1"/>
        <w:rPr>
          <w:rStyle w:val="24"/>
        </w:rPr>
      </w:pPr>
      <w:bookmarkStart w:id="45" w:name="_Toc15396608"/>
      <w:bookmarkStart w:id="46" w:name="_Toc15377214"/>
      <w:bookmarkStart w:id="47" w:name="_Toc79163618"/>
      <w:bookmarkStart w:id="48"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45"/>
      <w:bookmarkEnd w:id="46"/>
      <w:bookmarkEnd w:id="47"/>
      <w:bookmarkEnd w:id="48"/>
      <w:r>
        <w:rPr>
          <w:rStyle w:val="24"/>
          <w:rFonts w:ascii="黑体" w:hAnsi="黑体" w:eastAsia="黑体"/>
          <w:b w:val="0"/>
        </w:rPr>
        <w:tab/>
      </w:r>
    </w:p>
    <w:p w14:paraId="125AB2A9">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21.19</w:t>
      </w:r>
      <w:r>
        <w:rPr>
          <w:rFonts w:hint="eastAsia" w:ascii="仿宋" w:hAnsi="仿宋" w:eastAsia="仿宋"/>
          <w:color w:val="000000"/>
          <w:sz w:val="32"/>
          <w:szCs w:val="32"/>
        </w:rPr>
        <w:t>万元，其中：</w:t>
      </w:r>
    </w:p>
    <w:p w14:paraId="73844E68">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20.11</w:t>
      </w:r>
      <w:r>
        <w:rPr>
          <w:rFonts w:hint="eastAsia" w:ascii="仿宋" w:hAnsi="仿宋" w:eastAsia="仿宋"/>
          <w:color w:val="000000"/>
          <w:sz w:val="32"/>
          <w:szCs w:val="32"/>
        </w:rPr>
        <w:t>万元，主要包括：基本工资、津贴补贴、奖金、机关事业单位基本养老保险缴费、职业年金缴费、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其他社会保障缴费、医疗费补助、奖励金、住房公积金。　</w:t>
      </w:r>
    </w:p>
    <w:p w14:paraId="2A24B3B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1.08</w:t>
      </w:r>
      <w:r>
        <w:rPr>
          <w:rFonts w:hint="eastAsia" w:ascii="仿宋" w:hAnsi="仿宋" w:eastAsia="仿宋"/>
          <w:color w:val="000000"/>
          <w:sz w:val="32"/>
          <w:szCs w:val="32"/>
        </w:rPr>
        <w:t>万元，主要包括：办公费、差旅费、维修（护）费、培训费、</w:t>
      </w:r>
      <w:r>
        <w:rPr>
          <w:rFonts w:hint="eastAsia" w:ascii="仿宋" w:hAnsi="仿宋" w:eastAsia="仿宋"/>
          <w:color w:val="000000"/>
          <w:sz w:val="32"/>
          <w:szCs w:val="32"/>
          <w:lang w:eastAsia="zh-CN"/>
        </w:rPr>
        <w:t>印刷费、</w:t>
      </w:r>
      <w:r>
        <w:rPr>
          <w:rFonts w:hint="eastAsia" w:ascii="仿宋" w:hAnsi="仿宋" w:eastAsia="仿宋"/>
          <w:color w:val="000000"/>
          <w:sz w:val="32"/>
          <w:szCs w:val="32"/>
        </w:rPr>
        <w:t>公务用车运行维护费</w:t>
      </w:r>
      <w:r>
        <w:rPr>
          <w:rFonts w:hint="eastAsia" w:ascii="仿宋" w:hAnsi="仿宋" w:eastAsia="仿宋"/>
          <w:color w:val="000000"/>
          <w:sz w:val="32"/>
          <w:szCs w:val="32"/>
          <w:lang w:eastAsia="zh-CN"/>
        </w:rPr>
        <w:t>、办公设备购置</w:t>
      </w:r>
      <w:r>
        <w:rPr>
          <w:rFonts w:hint="eastAsia" w:ascii="仿宋" w:hAnsi="仿宋" w:eastAsia="仿宋"/>
          <w:color w:val="000000"/>
          <w:sz w:val="32"/>
          <w:szCs w:val="32"/>
        </w:rPr>
        <w:t>。</w:t>
      </w:r>
    </w:p>
    <w:p w14:paraId="26D08CF0">
      <w:pPr>
        <w:spacing w:line="600" w:lineRule="exact"/>
        <w:ind w:firstLine="640"/>
        <w:outlineLvl w:val="1"/>
        <w:rPr>
          <w:rStyle w:val="24"/>
          <w:rFonts w:ascii="黑体" w:hAnsi="黑体" w:eastAsia="黑体"/>
          <w:b w:val="0"/>
          <w:color w:val="auto"/>
        </w:rPr>
      </w:pPr>
      <w:bookmarkStart w:id="49" w:name="_Toc15377215"/>
      <w:bookmarkStart w:id="50" w:name="_Toc79163619"/>
      <w:bookmarkStart w:id="51" w:name="_Toc15396609"/>
      <w:bookmarkStart w:id="52" w:name="_Toc79163869"/>
      <w:r>
        <w:rPr>
          <w:rFonts w:hint="eastAsia" w:ascii="黑体" w:eastAsia="黑体"/>
          <w:color w:val="auto"/>
          <w:sz w:val="32"/>
          <w:szCs w:val="32"/>
        </w:rPr>
        <w:t>七、</w:t>
      </w:r>
      <w:r>
        <w:rPr>
          <w:rStyle w:val="24"/>
          <w:rFonts w:hint="eastAsia" w:ascii="黑体" w:hAnsi="黑体" w:eastAsia="黑体"/>
          <w:b w:val="0"/>
          <w:color w:val="auto"/>
        </w:rPr>
        <w:t>财政拨款</w:t>
      </w:r>
      <w:r>
        <w:rPr>
          <w:rStyle w:val="24"/>
          <w:rFonts w:hint="eastAsia" w:ascii="黑体" w:hAnsi="黑体" w:eastAsia="黑体"/>
          <w:color w:val="auto"/>
        </w:rPr>
        <w:t>“</w:t>
      </w:r>
      <w:r>
        <w:rPr>
          <w:rStyle w:val="24"/>
          <w:rFonts w:hint="eastAsia" w:ascii="黑体" w:hAnsi="黑体" w:eastAsia="黑体"/>
          <w:b w:val="0"/>
          <w:color w:val="auto"/>
        </w:rPr>
        <w:t>三公”经费支出决算情况说明</w:t>
      </w:r>
      <w:bookmarkEnd w:id="49"/>
      <w:bookmarkEnd w:id="50"/>
      <w:bookmarkEnd w:id="51"/>
      <w:bookmarkEnd w:id="52"/>
    </w:p>
    <w:p w14:paraId="65C00D4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审计稽核股</w:t>
      </w:r>
      <w:r>
        <w:rPr>
          <w:rFonts w:hint="eastAsia" w:ascii="仿宋_GB2312" w:hAnsi="仿宋_GB2312" w:eastAsia="仿宋_GB2312" w:cs="仿宋_GB2312"/>
          <w:color w:val="auto"/>
          <w:sz w:val="32"/>
          <w:szCs w:val="32"/>
        </w:rPr>
        <w:t>没有“三公”经费支出，共计0元。</w:t>
      </w:r>
    </w:p>
    <w:p w14:paraId="22F70E6D">
      <w:pPr>
        <w:numPr>
          <w:ilvl w:val="0"/>
          <w:numId w:val="0"/>
        </w:numPr>
        <w:spacing w:line="600" w:lineRule="exact"/>
        <w:ind w:leftChars="200" w:firstLine="320" w:firstLineChars="100"/>
        <w:outlineLvl w:val="1"/>
        <w:rPr>
          <w:rStyle w:val="24"/>
          <w:rFonts w:ascii="黑体" w:hAnsi="黑体" w:eastAsia="黑体"/>
          <w:color w:val="ED7D31" w:themeColor="accent2"/>
          <w14:textFill>
            <w14:solidFill>
              <w14:schemeClr w14:val="accent2"/>
            </w14:solidFill>
          </w14:textFill>
        </w:rPr>
      </w:pPr>
      <w:bookmarkStart w:id="53" w:name="_Toc15377218"/>
      <w:bookmarkStart w:id="54" w:name="_Toc79163872"/>
      <w:bookmarkStart w:id="55" w:name="_Toc79163622"/>
      <w:bookmarkStart w:id="56" w:name="_Toc15396610"/>
      <w:r>
        <w:rPr>
          <w:rFonts w:hint="eastAsia" w:ascii="黑体" w:eastAsia="黑体"/>
          <w:color w:val="auto"/>
          <w:sz w:val="32"/>
          <w:szCs w:val="32"/>
        </w:rPr>
        <w:t>八、</w:t>
      </w:r>
      <w:r>
        <w:rPr>
          <w:rStyle w:val="24"/>
          <w:rFonts w:hint="eastAsia" w:ascii="黑体" w:hAnsi="黑体" w:eastAsia="黑体"/>
          <w:b w:val="0"/>
          <w:color w:val="auto"/>
        </w:rPr>
        <w:t>政府性基金预算支出决算情况说明</w:t>
      </w:r>
      <w:bookmarkEnd w:id="53"/>
      <w:bookmarkEnd w:id="54"/>
      <w:bookmarkEnd w:id="55"/>
      <w:bookmarkEnd w:id="56"/>
    </w:p>
    <w:p w14:paraId="7D5F9C0B">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D5EBC87">
      <w:pPr>
        <w:numPr>
          <w:ilvl w:val="0"/>
          <w:numId w:val="2"/>
        </w:numPr>
        <w:spacing w:line="600" w:lineRule="exact"/>
        <w:ind w:firstLine="640"/>
        <w:outlineLvl w:val="1"/>
        <w:rPr>
          <w:rStyle w:val="24"/>
          <w:rFonts w:ascii="黑体" w:hAnsi="黑体" w:eastAsia="黑体"/>
          <w:b w:val="0"/>
        </w:rPr>
      </w:pPr>
      <w:bookmarkStart w:id="57" w:name="_Toc15377219"/>
      <w:bookmarkStart w:id="58" w:name="_Toc79163873"/>
      <w:bookmarkStart w:id="59" w:name="_Toc79163623"/>
      <w:bookmarkStart w:id="60" w:name="_Toc15396611"/>
      <w:r>
        <w:rPr>
          <w:rStyle w:val="24"/>
          <w:rFonts w:hint="eastAsia" w:ascii="黑体" w:hAnsi="黑体" w:eastAsia="黑体"/>
          <w:b w:val="0"/>
        </w:rPr>
        <w:t>国有资本经营预算支出决算情况说明</w:t>
      </w:r>
      <w:bookmarkEnd w:id="57"/>
      <w:bookmarkEnd w:id="58"/>
      <w:bookmarkEnd w:id="59"/>
      <w:bookmarkEnd w:id="60"/>
    </w:p>
    <w:p w14:paraId="01D9FEAD">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A08659E">
      <w:pPr>
        <w:spacing w:line="600" w:lineRule="exact"/>
        <w:ind w:firstLine="640" w:firstLineChars="200"/>
        <w:outlineLvl w:val="1"/>
        <w:rPr>
          <w:rStyle w:val="24"/>
          <w:rFonts w:ascii="黑体" w:hAnsi="黑体" w:eastAsia="黑体"/>
        </w:rPr>
      </w:pPr>
      <w:bookmarkStart w:id="61" w:name="_Toc79163624"/>
      <w:bookmarkStart w:id="62" w:name="_Toc79163874"/>
      <w:bookmarkStart w:id="63" w:name="_Toc15377221"/>
      <w:bookmarkStart w:id="64" w:name="_Toc15396612"/>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61"/>
      <w:bookmarkEnd w:id="62"/>
      <w:bookmarkEnd w:id="63"/>
      <w:bookmarkEnd w:id="64"/>
    </w:p>
    <w:p w14:paraId="0245649A">
      <w:pPr>
        <w:numPr>
          <w:ilvl w:val="0"/>
          <w:numId w:val="0"/>
        </w:numPr>
        <w:autoSpaceDE w:val="0"/>
        <w:autoSpaceDN w:val="0"/>
        <w:adjustRightInd w:val="0"/>
        <w:spacing w:line="600" w:lineRule="exact"/>
        <w:ind w:leftChars="0" w:firstLine="640" w:firstLineChars="200"/>
        <w:jc w:val="left"/>
        <w:outlineLvl w:val="2"/>
        <w:rPr>
          <w:rFonts w:hint="eastAsia" w:ascii="楷体_GB2312" w:hAnsi="楷体_GB2312" w:eastAsia="楷体_GB2312" w:cs="楷体_GB2312"/>
          <w:b w:val="0"/>
          <w:bCs/>
          <w:color w:val="000000"/>
          <w:sz w:val="32"/>
          <w:szCs w:val="32"/>
          <w:lang w:eastAsia="zh-CN"/>
        </w:rPr>
      </w:pPr>
      <w:bookmarkStart w:id="65" w:name="_Toc79163875"/>
      <w:bookmarkStart w:id="66" w:name="_Toc15377222"/>
      <w:bookmarkStart w:id="67" w:name="_Toc79163625"/>
      <w:r>
        <w:rPr>
          <w:rFonts w:hint="eastAsia" w:ascii="楷体_GB2312" w:hAnsi="楷体_GB2312" w:eastAsia="楷体_GB2312" w:cs="楷体_GB2312"/>
          <w:b w:val="0"/>
          <w:bCs/>
          <w:color w:val="000000"/>
          <w:sz w:val="32"/>
          <w:szCs w:val="32"/>
          <w:lang w:eastAsia="zh-CN"/>
        </w:rPr>
        <w:t>（一）机关运行经费支出情况</w:t>
      </w:r>
      <w:bookmarkEnd w:id="65"/>
      <w:bookmarkEnd w:id="66"/>
      <w:bookmarkEnd w:id="67"/>
    </w:p>
    <w:p w14:paraId="6078D5E8">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审计稽核股机关运行经费</w:t>
      </w:r>
      <w:r>
        <w:rPr>
          <w:rFonts w:hint="eastAsia" w:ascii="仿宋_GB2312" w:eastAsia="仿宋_GB2312"/>
          <w:color w:val="000000"/>
          <w:sz w:val="32"/>
          <w:szCs w:val="32"/>
        </w:rPr>
        <w:t>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B0241B6">
      <w:pPr>
        <w:numPr>
          <w:ilvl w:val="0"/>
          <w:numId w:val="0"/>
        </w:numPr>
        <w:autoSpaceDE w:val="0"/>
        <w:autoSpaceDN w:val="0"/>
        <w:adjustRightInd w:val="0"/>
        <w:spacing w:line="600" w:lineRule="exact"/>
        <w:ind w:leftChars="0" w:firstLine="640" w:firstLineChars="200"/>
        <w:jc w:val="left"/>
        <w:outlineLvl w:val="2"/>
        <w:rPr>
          <w:rFonts w:hint="eastAsia" w:ascii="楷体_GB2312" w:hAnsi="楷体_GB2312" w:eastAsia="楷体_GB2312" w:cs="楷体_GB2312"/>
          <w:b w:val="0"/>
          <w:bCs/>
          <w:color w:val="000000"/>
          <w:sz w:val="32"/>
          <w:szCs w:val="32"/>
          <w:lang w:eastAsia="zh-CN"/>
        </w:rPr>
      </w:pPr>
      <w:bookmarkStart w:id="68" w:name="_Toc15377223"/>
      <w:bookmarkStart w:id="69" w:name="_Toc79163626"/>
      <w:bookmarkStart w:id="70" w:name="_Toc79163876"/>
      <w:r>
        <w:rPr>
          <w:rFonts w:hint="eastAsia" w:ascii="楷体_GB2312" w:hAnsi="楷体_GB2312" w:eastAsia="楷体_GB2312" w:cs="楷体_GB2312"/>
          <w:b w:val="0"/>
          <w:bCs/>
          <w:color w:val="000000"/>
          <w:sz w:val="32"/>
          <w:szCs w:val="32"/>
          <w:lang w:eastAsia="zh-CN"/>
        </w:rPr>
        <w:t>（二）政府采购支出情况</w:t>
      </w:r>
      <w:bookmarkEnd w:id="68"/>
      <w:bookmarkEnd w:id="69"/>
      <w:bookmarkEnd w:id="70"/>
    </w:p>
    <w:p w14:paraId="01155DFA">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审计稽核股</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284E19C">
      <w:pPr>
        <w:numPr>
          <w:ilvl w:val="0"/>
          <w:numId w:val="0"/>
        </w:numPr>
        <w:autoSpaceDE w:val="0"/>
        <w:autoSpaceDN w:val="0"/>
        <w:adjustRightInd w:val="0"/>
        <w:spacing w:line="600" w:lineRule="exact"/>
        <w:ind w:leftChars="0" w:firstLine="640" w:firstLineChars="200"/>
        <w:jc w:val="left"/>
        <w:outlineLvl w:val="2"/>
        <w:rPr>
          <w:rFonts w:hint="eastAsia" w:ascii="楷体_GB2312" w:hAnsi="楷体_GB2312" w:eastAsia="楷体_GB2312" w:cs="楷体_GB2312"/>
          <w:b w:val="0"/>
          <w:bCs/>
          <w:color w:val="000000"/>
          <w:sz w:val="32"/>
          <w:szCs w:val="32"/>
        </w:rPr>
      </w:pPr>
      <w:bookmarkStart w:id="71" w:name="_Toc79163877"/>
      <w:bookmarkStart w:id="72" w:name="_Toc15377224"/>
      <w:bookmarkStart w:id="73" w:name="_Toc79163627"/>
      <w:r>
        <w:rPr>
          <w:rFonts w:hint="eastAsia" w:ascii="楷体_GB2312" w:hAnsi="楷体_GB2312" w:eastAsia="楷体_GB2312" w:cs="楷体_GB2312"/>
          <w:b w:val="0"/>
          <w:bCs/>
          <w:color w:val="000000"/>
          <w:sz w:val="32"/>
          <w:szCs w:val="32"/>
          <w:lang w:eastAsia="zh-CN"/>
        </w:rPr>
        <w:t>（三）</w:t>
      </w:r>
      <w:r>
        <w:rPr>
          <w:rFonts w:hint="eastAsia" w:ascii="楷体_GB2312" w:hAnsi="楷体_GB2312" w:eastAsia="楷体_GB2312" w:cs="楷体_GB2312"/>
          <w:b w:val="0"/>
          <w:bCs/>
          <w:color w:val="000000"/>
          <w:sz w:val="32"/>
          <w:szCs w:val="32"/>
        </w:rPr>
        <w:t>国有资产占有使用情况</w:t>
      </w:r>
      <w:bookmarkEnd w:id="71"/>
      <w:bookmarkEnd w:id="72"/>
      <w:bookmarkEnd w:id="73"/>
    </w:p>
    <w:p w14:paraId="46C9F74A">
      <w:pPr>
        <w:numPr>
          <w:ilvl w:val="0"/>
          <w:numId w:val="0"/>
        </w:numPr>
        <w:autoSpaceDE w:val="0"/>
        <w:autoSpaceDN w:val="0"/>
        <w:adjustRightInd w:val="0"/>
        <w:spacing w:line="600" w:lineRule="exact"/>
        <w:ind w:leftChars="0"/>
        <w:jc w:val="left"/>
        <w:outlineLvl w:val="2"/>
        <w:rPr>
          <w:rFonts w:hint="default"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 xml:space="preserve">         无</w:t>
      </w:r>
    </w:p>
    <w:p w14:paraId="5F93849E">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74" w:name="_Toc79163878"/>
      <w:bookmarkStart w:id="75" w:name="_Toc79163628"/>
      <w:r>
        <w:rPr>
          <w:rFonts w:hint="eastAsia" w:ascii="楷体_GB2312" w:hAnsi="楷体_GB2312" w:eastAsia="楷体_GB2312" w:cs="楷体_GB2312"/>
          <w:b w:val="0"/>
          <w:bCs/>
          <w:color w:val="000000"/>
          <w:sz w:val="32"/>
          <w:szCs w:val="32"/>
          <w:lang w:eastAsia="zh-CN"/>
        </w:rPr>
        <w:t>（四）</w:t>
      </w:r>
      <w:r>
        <w:rPr>
          <w:rFonts w:hint="eastAsia" w:ascii="楷体_GB2312" w:hAnsi="楷体_GB2312" w:eastAsia="楷体_GB2312" w:cs="楷体_GB2312"/>
          <w:b w:val="0"/>
          <w:bCs/>
          <w:color w:val="000000"/>
          <w:sz w:val="32"/>
          <w:szCs w:val="32"/>
        </w:rPr>
        <w:t>预算绩效管理情况。</w:t>
      </w:r>
      <w:bookmarkEnd w:id="74"/>
      <w:bookmarkEnd w:id="75"/>
    </w:p>
    <w:p w14:paraId="07EC89C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开展预算事前绩效评估，对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14:paraId="21E7969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审计稽核股</w:t>
      </w:r>
      <w:r>
        <w:rPr>
          <w:rFonts w:hint="eastAsia" w:ascii="仿宋_GB2312" w:hAnsi="仿宋_GB2312" w:eastAsia="仿宋_GB2312" w:cs="仿宋_GB2312"/>
          <w:sz w:val="32"/>
          <w:szCs w:val="32"/>
        </w:rPr>
        <w:t>按要求对20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审计稽核股</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年部门整体支出情况良好，从预算到执行和收入、支出管理均严格按照相关要求进行，全年收支平衡，有效保障了单位正常运转，圆满完成了单位目标任务。</w:t>
      </w:r>
    </w:p>
    <w:p w14:paraId="038A9389">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无专项预算项目，因此未组织开展项目支出绩效评价。</w:t>
      </w:r>
    </w:p>
    <w:p w14:paraId="5D06E18C">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2BE6D051">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67D6AA5D">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7B4ED00C">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1AB0998A">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2DEE3F3A">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0C0A4C56">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6B9D3803">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103EE1DA">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4FD37268">
      <w:pPr>
        <w:numPr>
          <w:ilvl w:val="0"/>
          <w:numId w:val="3"/>
        </w:numPr>
        <w:spacing w:line="600" w:lineRule="exact"/>
        <w:ind w:firstLine="660" w:firstLineChars="150"/>
        <w:jc w:val="center"/>
        <w:outlineLvl w:val="0"/>
        <w:rPr>
          <w:rStyle w:val="23"/>
          <w:rFonts w:ascii="黑体" w:hAnsi="黑体" w:eastAsia="黑体"/>
          <w:b w:val="0"/>
        </w:rPr>
      </w:pPr>
      <w:bookmarkStart w:id="76" w:name="_Toc79163879"/>
      <w:bookmarkStart w:id="77" w:name="_Toc79163629"/>
      <w:bookmarkStart w:id="78" w:name="_Toc15396613"/>
      <w:bookmarkStart w:id="79" w:name="_Toc15377225"/>
      <w:r>
        <w:rPr>
          <w:rFonts w:hint="eastAsia" w:ascii="黑体" w:hAnsi="黑体" w:eastAsia="黑体"/>
          <w:color w:val="000000"/>
          <w:sz w:val="44"/>
          <w:szCs w:val="44"/>
        </w:rPr>
        <w:t>名</w:t>
      </w:r>
      <w:r>
        <w:rPr>
          <w:rStyle w:val="23"/>
          <w:rFonts w:hint="eastAsia" w:ascii="黑体" w:hAnsi="黑体" w:eastAsia="黑体"/>
          <w:b w:val="0"/>
        </w:rPr>
        <w:t>词解释</w:t>
      </w:r>
      <w:bookmarkEnd w:id="76"/>
      <w:bookmarkEnd w:id="77"/>
      <w:bookmarkEnd w:id="78"/>
      <w:bookmarkEnd w:id="79"/>
    </w:p>
    <w:p w14:paraId="510190D6">
      <w:pPr>
        <w:pStyle w:val="33"/>
        <w:spacing w:line="560" w:lineRule="exact"/>
        <w:ind w:firstLine="640" w:firstLineChars="200"/>
        <w:rPr>
          <w:rFonts w:ascii="仿宋_GB2312" w:eastAsia="仿宋_GB2312"/>
          <w:sz w:val="32"/>
          <w:szCs w:val="32"/>
        </w:rPr>
      </w:pPr>
      <w:bookmarkStart w:id="80"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A7326CC">
      <w:pPr>
        <w:pStyle w:val="33"/>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7D4EC3D0">
      <w:pPr>
        <w:pStyle w:val="3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4439C8DF">
      <w:pPr>
        <w:pStyle w:val="33"/>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47704EA4">
      <w:pPr>
        <w:pStyle w:val="3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561D2E5F">
      <w:pPr>
        <w:pStyle w:val="3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9137FC0">
      <w:pPr>
        <w:pStyle w:val="3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42B96BBF">
      <w:pPr>
        <w:pStyle w:val="33"/>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8AE01F9">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 社会保障和就业（类）人力资源和社会保障管理事务（款）社会保险经办机构（项）：指社会保险经办机构开展业务工作的支出</w:t>
      </w:r>
    </w:p>
    <w:p w14:paraId="261FC5CA">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10.社会保障和就业（类）行政事业单位离退休（款）机关事业单位基本养老保险缴费支出（项）：指机关事业单位实施养老保险制度由单位缴纳的基本养老保险费支出。</w:t>
      </w:r>
    </w:p>
    <w:p w14:paraId="615BC3E2">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 社会保障和就业（类）行政事业单位离退休（款）机关事业单位职业年金缴费支出（项）：指机关事业单位养老保险制度由单位缴纳的职业年金支出。</w:t>
      </w:r>
    </w:p>
    <w:p w14:paraId="2FF350BA">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12.医疗卫生与计划生育（类）行政事业单位医疗（款）事业单位医疗（项）：指财政部门集中安排的事业单位基本医疗保险缴费。</w:t>
      </w:r>
    </w:p>
    <w:p w14:paraId="21292C4B">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13.住房保障（类）住房改革（款）住房公积金（项）：指行政事业单位按规定的标准和比例为职工缴纳的住房公积金。</w:t>
      </w:r>
    </w:p>
    <w:p w14:paraId="67D19CC5">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14.基本支出：指为保障机构正常运转、完成日常工作任务而发生的人员支出和公用支出。</w:t>
      </w:r>
    </w:p>
    <w:p w14:paraId="48E278C9">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15.项目支出：指在基本支出之外为完成特定行政任务和事业发展目标所发生的支出。</w:t>
      </w:r>
    </w:p>
    <w:p w14:paraId="4ECCD392">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16.经营支出：指事业单位在专业业务活动及其辅助活动之外开展非独立核算经营活动发生的支出。</w:t>
      </w:r>
    </w:p>
    <w:p w14:paraId="1A4657DB">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A930914">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D87622">
      <w:pPr>
        <w:spacing w:line="600" w:lineRule="exact"/>
        <w:jc w:val="center"/>
        <w:outlineLvl w:val="0"/>
        <w:rPr>
          <w:rStyle w:val="23"/>
          <w:rFonts w:ascii="黑体" w:hAnsi="黑体" w:eastAsia="黑体"/>
          <w:b w:val="0"/>
        </w:rPr>
      </w:pPr>
      <w:r>
        <w:rPr>
          <w:rFonts w:ascii="宋体"/>
          <w:b/>
          <w:color w:val="000000"/>
          <w:sz w:val="44"/>
          <w:szCs w:val="44"/>
        </w:rPr>
        <w:br w:type="page"/>
      </w:r>
      <w:bookmarkStart w:id="81" w:name="_Toc79163880"/>
      <w:bookmarkStart w:id="82" w:name="_Toc79163630"/>
      <w:bookmarkStart w:id="83" w:name="_Toc15396614"/>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81"/>
      <w:bookmarkEnd w:id="82"/>
      <w:bookmarkEnd w:id="83"/>
    </w:p>
    <w:p w14:paraId="23612E2B">
      <w:pPr>
        <w:spacing w:line="600" w:lineRule="exact"/>
        <w:jc w:val="left"/>
        <w:outlineLvl w:val="0"/>
        <w:rPr>
          <w:rFonts w:ascii="方正小标宋简体" w:hAnsi="方正小标宋简体" w:eastAsia="方正小标宋简体" w:cs="方正小标宋简体"/>
          <w:sz w:val="32"/>
          <w:szCs w:val="32"/>
        </w:rPr>
      </w:pPr>
      <w:bookmarkStart w:id="84" w:name="_Toc79163631"/>
      <w:bookmarkStart w:id="85" w:name="_Toc79163881"/>
      <w:r>
        <w:rPr>
          <w:rFonts w:hint="eastAsia" w:ascii="黑体" w:hAnsi="黑体" w:eastAsia="黑体" w:cs="黑体"/>
          <w:sz w:val="32"/>
          <w:szCs w:val="32"/>
        </w:rPr>
        <w:t>附件</w:t>
      </w:r>
      <w:r>
        <w:rPr>
          <w:rFonts w:ascii="黑体" w:hAnsi="黑体" w:eastAsia="黑体" w:cs="黑体"/>
          <w:sz w:val="32"/>
          <w:szCs w:val="32"/>
        </w:rPr>
        <w:t>1</w:t>
      </w:r>
      <w:bookmarkEnd w:id="84"/>
      <w:bookmarkEnd w:id="85"/>
    </w:p>
    <w:p w14:paraId="0F061892">
      <w:pPr>
        <w:spacing w:line="600" w:lineRule="exact"/>
        <w:jc w:val="center"/>
        <w:outlineLvl w:val="0"/>
        <w:rPr>
          <w:rFonts w:ascii="方正小标宋简体" w:hAnsi="黑体" w:eastAsia="方正小标宋简体" w:cs="黑体"/>
          <w:sz w:val="44"/>
          <w:szCs w:val="44"/>
        </w:rPr>
      </w:pPr>
      <w:bookmarkStart w:id="86" w:name="_Toc79163632"/>
      <w:bookmarkStart w:id="87" w:name="_Toc79163882"/>
      <w:r>
        <w:rPr>
          <w:rFonts w:hint="eastAsia" w:ascii="方正小标宋简体" w:hAnsi="黑体" w:eastAsia="方正小标宋简体" w:cs="黑体"/>
          <w:sz w:val="44"/>
          <w:szCs w:val="44"/>
          <w:lang w:eastAsia="zh-CN"/>
        </w:rPr>
        <w:t>壤塘县审计稽核股</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3</w:t>
      </w:r>
      <w:r>
        <w:rPr>
          <w:rFonts w:hint="eastAsia" w:ascii="方正小标宋简体" w:hAnsi="黑体" w:eastAsia="方正小标宋简体" w:cs="黑体"/>
          <w:sz w:val="44"/>
          <w:szCs w:val="44"/>
        </w:rPr>
        <w:t>年</w:t>
      </w:r>
      <w:r>
        <w:rPr>
          <w:rFonts w:hint="eastAsia" w:ascii="方正小标宋简体" w:hAnsi="黑体" w:eastAsia="方正小标宋简体" w:cs="黑体"/>
          <w:sz w:val="44"/>
          <w:szCs w:val="44"/>
          <w:lang w:eastAsia="zh-CN"/>
        </w:rPr>
        <w:t>度部门</w:t>
      </w:r>
      <w:bookmarkStart w:id="130" w:name="_GoBack"/>
      <w:bookmarkEnd w:id="130"/>
      <w:r>
        <w:rPr>
          <w:rFonts w:hint="eastAsia" w:ascii="方正小标宋简体" w:hAnsi="黑体" w:eastAsia="方正小标宋简体" w:cs="黑体"/>
          <w:sz w:val="44"/>
          <w:szCs w:val="44"/>
        </w:rPr>
        <w:t>整体支出绩效评价报告</w:t>
      </w:r>
      <w:bookmarkEnd w:id="86"/>
      <w:bookmarkEnd w:id="87"/>
    </w:p>
    <w:p w14:paraId="69B2FE9E">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14:paraId="1B28DD8C">
      <w:pPr>
        <w:widowControl/>
        <w:adjustRightInd w:val="0"/>
        <w:snapToGrid w:val="0"/>
        <w:spacing w:line="580" w:lineRule="exact"/>
        <w:ind w:firstLine="640" w:firstLineChars="200"/>
        <w:contextualSpacing/>
        <w:jc w:val="left"/>
        <w:rPr>
          <w:rFonts w:hint="eastAsia" w:ascii="楷体_GB2312" w:hAnsi="楷体_GB2312" w:eastAsia="楷体_GB2312" w:cs="楷体_GB2312"/>
          <w:b/>
          <w:bCs/>
          <w:sz w:val="32"/>
          <w:szCs w:val="32"/>
        </w:rPr>
      </w:pPr>
      <w:r>
        <w:rPr>
          <w:rFonts w:hint="eastAsia" w:ascii="楷体_GB2312" w:hAnsi="楷体_GB2312" w:eastAsia="楷体_GB2312" w:cs="楷体_GB2312"/>
          <w:color w:val="000000"/>
          <w:kern w:val="0"/>
          <w:sz w:val="32"/>
          <w:szCs w:val="32"/>
          <w:shd w:val="clear" w:color="auto" w:fill="FFFFFF"/>
          <w:lang w:val="zh-CN"/>
        </w:rPr>
        <w:t>（一）机构组成。</w:t>
      </w:r>
    </w:p>
    <w:p w14:paraId="74839228">
      <w:pPr>
        <w:ind w:firstLine="640" w:firstLineChars="200"/>
        <w:rPr>
          <w:rFonts w:hint="eastAsia"/>
          <w:bCs/>
          <w:color w:val="000000"/>
          <w:sz w:val="32"/>
          <w:szCs w:val="32"/>
        </w:rPr>
      </w:pPr>
      <w:r>
        <w:rPr>
          <w:rFonts w:hint="eastAsia" w:ascii="仿宋_GB2312" w:hAnsi="仿宋_GB2312" w:eastAsia="仿宋_GB2312" w:cs="仿宋_GB2312"/>
          <w:sz w:val="32"/>
          <w:szCs w:val="32"/>
          <w:lang w:eastAsia="zh-CN"/>
        </w:rPr>
        <w:t>审计稽核股是</w:t>
      </w:r>
      <w:r>
        <w:rPr>
          <w:rFonts w:hint="eastAsia" w:ascii="仿宋_GB2312" w:hAnsi="仿宋_GB2312" w:eastAsia="仿宋_GB2312" w:cs="仿宋_GB2312"/>
          <w:sz w:val="32"/>
          <w:szCs w:val="32"/>
        </w:rPr>
        <w:t>壤塘县城乡居民养老保险事业管理局是下属部门。本部门属</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级预算单位1个，其中内设机构1个。</w:t>
      </w:r>
    </w:p>
    <w:p w14:paraId="122A26AE">
      <w:pPr>
        <w:widowControl/>
        <w:numPr>
          <w:ilvl w:val="0"/>
          <w:numId w:val="0"/>
        </w:numPr>
        <w:adjustRightInd w:val="0"/>
        <w:snapToGrid w:val="0"/>
        <w:spacing w:line="580" w:lineRule="exact"/>
        <w:ind w:leftChars="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 xml:space="preserve"> </w:t>
      </w:r>
      <w:r>
        <w:rPr>
          <w:rFonts w:hint="eastAsia" w:ascii="楷体_GB2312" w:hAnsi="楷体_GB2312" w:eastAsia="楷体_GB2312" w:cs="楷体_GB2312"/>
          <w:color w:val="000000"/>
          <w:kern w:val="0"/>
          <w:sz w:val="32"/>
          <w:szCs w:val="32"/>
          <w:shd w:val="clear" w:color="auto" w:fill="FFFFFF"/>
          <w:lang w:val="en-US" w:eastAsia="zh-CN"/>
        </w:rPr>
        <w:t xml:space="preserve">  （二）</w:t>
      </w:r>
      <w:r>
        <w:rPr>
          <w:rFonts w:hint="eastAsia" w:ascii="楷体_GB2312" w:hAnsi="楷体_GB2312" w:eastAsia="楷体_GB2312" w:cs="楷体_GB2312"/>
          <w:color w:val="000000"/>
          <w:kern w:val="0"/>
          <w:sz w:val="32"/>
          <w:szCs w:val="32"/>
          <w:shd w:val="clear" w:color="auto" w:fill="FFFFFF"/>
          <w:lang w:val="zh-CN"/>
        </w:rPr>
        <w:t>机构职能。</w:t>
      </w:r>
    </w:p>
    <w:p w14:paraId="50C3B435">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及时完成人社部稽核考核系统、风险防控子系统下发的各类疑点数据核查的转发、督促整改任务。</w:t>
      </w:r>
    </w:p>
    <w:p w14:paraId="40E3E441">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通过和同事间的相互配合，有效地开展了死亡冒领、服刑领待、重复领待等违规领取社会保险基金的追缴工作。</w:t>
      </w:r>
    </w:p>
    <w:p w14:paraId="1DE8981A">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51E4B433">
      <w:pPr>
        <w:widowControl/>
        <w:numPr>
          <w:ilvl w:val="0"/>
          <w:numId w:val="0"/>
        </w:numPr>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（一）部门财政资金收入情况。</w:t>
      </w:r>
    </w:p>
    <w:p w14:paraId="0B613E7B">
      <w:pPr>
        <w:spacing w:line="58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部门财政资金收入共计</w:t>
      </w:r>
      <w:r>
        <w:rPr>
          <w:rFonts w:hint="eastAsia" w:ascii="仿宋" w:hAnsi="仿宋" w:eastAsia="仿宋" w:cs="仿宋_GB2312"/>
          <w:sz w:val="32"/>
          <w:szCs w:val="32"/>
          <w:lang w:val="en-US" w:eastAsia="zh-CN"/>
        </w:rPr>
        <w:t>21.19</w:t>
      </w:r>
      <w:r>
        <w:rPr>
          <w:rFonts w:hint="eastAsia" w:ascii="仿宋" w:hAnsi="仿宋" w:eastAsia="仿宋" w:cs="仿宋_GB2312"/>
          <w:sz w:val="32"/>
          <w:szCs w:val="32"/>
        </w:rPr>
        <w:t>万元均为一般公共预算财政拨款收入。单位无上级补助收入、事业收入、经营收入等其他性质的经费收入。</w:t>
      </w:r>
    </w:p>
    <w:p w14:paraId="5E7462FD">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w:t>
      </w:r>
      <w:r>
        <w:rPr>
          <w:rFonts w:hint="eastAsia" w:ascii="楷体_GB2312" w:hAnsi="楷体_GB2312" w:eastAsia="楷体_GB2312" w:cs="楷体_GB2312"/>
          <w:color w:val="000000"/>
          <w:kern w:val="0"/>
          <w:sz w:val="32"/>
          <w:szCs w:val="32"/>
          <w:shd w:val="clear" w:color="auto" w:fill="FFFFFF"/>
          <w:lang w:val="zh-CN"/>
        </w:rPr>
        <w:t>部门财政资金支出情况。</w:t>
      </w:r>
    </w:p>
    <w:p w14:paraId="42346986">
      <w:pPr>
        <w:spacing w:line="600" w:lineRule="exact"/>
        <w:ind w:firstLine="645"/>
        <w:rPr>
          <w:rFonts w:hint="eastAsia" w:ascii="仿宋" w:hAnsi="仿宋" w:eastAsia="仿宋"/>
          <w:color w:val="000000"/>
          <w:sz w:val="32"/>
          <w:szCs w:val="32"/>
        </w:rPr>
      </w:pPr>
      <w:r>
        <w:rPr>
          <w:rFonts w:hint="eastAsia" w:ascii="仿宋" w:hAnsi="仿宋" w:eastAsia="仿宋" w:cs="仿宋_GB2312"/>
          <w:sz w:val="32"/>
          <w:szCs w:val="32"/>
        </w:rPr>
        <w:t>部门财政资金支出共计</w:t>
      </w:r>
      <w:r>
        <w:rPr>
          <w:rFonts w:hint="eastAsia" w:ascii="仿宋" w:hAnsi="仿宋" w:eastAsia="仿宋" w:cs="仿宋_GB2312"/>
          <w:sz w:val="32"/>
          <w:szCs w:val="32"/>
          <w:lang w:val="en-US" w:eastAsia="zh-CN"/>
        </w:rPr>
        <w:t>21.19</w:t>
      </w:r>
      <w:r>
        <w:rPr>
          <w:rFonts w:hint="eastAsia" w:ascii="仿宋" w:hAnsi="仿宋" w:eastAsia="仿宋" w:cs="仿宋_GB2312"/>
          <w:sz w:val="32"/>
          <w:szCs w:val="32"/>
        </w:rPr>
        <w:t>万元</w:t>
      </w:r>
      <w:r>
        <w:rPr>
          <w:rFonts w:hint="eastAsia" w:ascii="仿宋" w:hAnsi="仿宋" w:eastAsia="仿宋" w:cs="仿宋_GB2312"/>
          <w:sz w:val="32"/>
          <w:szCs w:val="32"/>
          <w:lang w:eastAsia="zh-CN"/>
        </w:rPr>
        <w:t>，其中：</w:t>
      </w: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20.11</w:t>
      </w:r>
      <w:r>
        <w:rPr>
          <w:rFonts w:hint="eastAsia" w:ascii="仿宋" w:hAnsi="仿宋" w:eastAsia="仿宋"/>
          <w:color w:val="000000"/>
          <w:sz w:val="32"/>
          <w:szCs w:val="32"/>
        </w:rPr>
        <w:t>万元，主要包括：基本工资、津贴补贴、奖金、机关事业单位基本养老保险缴费、职业年金缴费、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其他社会保障缴费、医疗费补助、奖励金、住房公积金。</w:t>
      </w:r>
    </w:p>
    <w:p w14:paraId="22917A9C">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1.08</w:t>
      </w:r>
      <w:r>
        <w:rPr>
          <w:rFonts w:hint="eastAsia" w:ascii="仿宋" w:hAnsi="仿宋" w:eastAsia="仿宋"/>
          <w:color w:val="000000"/>
          <w:sz w:val="32"/>
          <w:szCs w:val="32"/>
        </w:rPr>
        <w:t>万元，主要包括：办公费、差旅费、维修（护）费、培训费、公务用车运行维护费。</w:t>
      </w:r>
    </w:p>
    <w:p w14:paraId="30857134">
      <w:pPr>
        <w:widowControl/>
        <w:numPr>
          <w:ilvl w:val="0"/>
          <w:numId w:val="1"/>
        </w:numPr>
        <w:adjustRightInd w:val="0"/>
        <w:snapToGrid w:val="0"/>
        <w:spacing w:line="580" w:lineRule="exact"/>
        <w:ind w:left="1360" w:leftChars="0" w:hanging="720" w:firstLineChars="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部门整体预算绩效管理情况</w:t>
      </w:r>
    </w:p>
    <w:p w14:paraId="4B36E692">
      <w:pPr>
        <w:widowControl/>
        <w:numPr>
          <w:ilvl w:val="0"/>
          <w:numId w:val="0"/>
        </w:numPr>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（一）部门预算管理。</w:t>
      </w:r>
    </w:p>
    <w:p w14:paraId="4734BFA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合理安排收支预算，严格预算管理，单位财务人员严格按照县级部门预算编制通知和有关文件要求，由县财政各部门审核无误后根据部门收支情况执行预算。在实际执行中，严格按照相关要求，做到收支平衡，完成目标任务。</w:t>
      </w:r>
    </w:p>
    <w:p w14:paraId="516208E7">
      <w:pPr>
        <w:widowControl/>
        <w:numPr>
          <w:ilvl w:val="0"/>
          <w:numId w:val="0"/>
        </w:numPr>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（二）结果应用情况。</w:t>
      </w:r>
    </w:p>
    <w:p w14:paraId="19EED1CE">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结合工作实际来规范了预算执行，落实了预算执行，完成了单位的目标任务。</w:t>
      </w:r>
    </w:p>
    <w:p w14:paraId="033B6CB8">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4ABA7673">
      <w:pPr>
        <w:widowControl/>
        <w:numPr>
          <w:ilvl w:val="0"/>
          <w:numId w:val="0"/>
        </w:numPr>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14:paraId="1816B944">
      <w:pPr>
        <w:widowControl/>
        <w:adjustRightInd w:val="0"/>
        <w:snapToGrid w:val="0"/>
        <w:spacing w:line="580" w:lineRule="exact"/>
        <w:ind w:firstLine="640" w:firstLineChars="200"/>
        <w:contextualSpacing/>
        <w:jc w:val="left"/>
        <w:rPr>
          <w:rFonts w:hint="eastAsia" w:ascii="仿宋" w:hAnsi="仿宋" w:eastAsia="仿宋" w:cs="仿宋_GB2312"/>
          <w:sz w:val="32"/>
          <w:szCs w:val="32"/>
        </w:rPr>
      </w:pPr>
      <w:r>
        <w:rPr>
          <w:rFonts w:hint="eastAsia" w:ascii="仿宋" w:hAnsi="仿宋" w:eastAsia="仿宋" w:cs="仿宋_GB2312"/>
          <w:sz w:val="32"/>
          <w:szCs w:val="32"/>
          <w:lang w:eastAsia="zh-CN"/>
        </w:rPr>
        <w:t>审计稽核股</w:t>
      </w: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23</w:t>
      </w:r>
      <w:r>
        <w:rPr>
          <w:rFonts w:hint="eastAsia" w:ascii="仿宋" w:hAnsi="仿宋" w:eastAsia="仿宋" w:cs="仿宋_GB2312"/>
          <w:sz w:val="32"/>
          <w:szCs w:val="32"/>
        </w:rPr>
        <w:t>年部门整体支出情况良好，从预算到执行和收入、支出管理均严格按照相关要求进行，全年收支平衡，有效保障了单位正常运转，圆满完成了单位目标任务。</w:t>
      </w:r>
    </w:p>
    <w:p w14:paraId="321D6D9B">
      <w:pPr>
        <w:widowControl/>
        <w:numPr>
          <w:ilvl w:val="0"/>
          <w:numId w:val="0"/>
        </w:numPr>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zh-CN" w:eastAsia="zh-CN"/>
        </w:rPr>
        <w:t>（二）</w:t>
      </w:r>
      <w:r>
        <w:rPr>
          <w:rFonts w:hint="eastAsia" w:ascii="楷体_GB2312" w:hAnsi="楷体_GB2312" w:eastAsia="楷体_GB2312" w:cs="楷体_GB2312"/>
          <w:color w:val="000000"/>
          <w:kern w:val="0"/>
          <w:sz w:val="32"/>
          <w:szCs w:val="32"/>
          <w:shd w:val="clear" w:color="auto" w:fill="FFFFFF"/>
          <w:lang w:val="en-US" w:eastAsia="zh-CN"/>
        </w:rPr>
        <w:t>存在问题。</w:t>
      </w:r>
    </w:p>
    <w:p w14:paraId="3BFB1B12">
      <w:pPr>
        <w:widowControl/>
        <w:numPr>
          <w:ilvl w:val="0"/>
          <w:numId w:val="0"/>
        </w:numPr>
        <w:adjustRightInd w:val="0"/>
        <w:snapToGrid w:val="0"/>
        <w:spacing w:line="580" w:lineRule="exact"/>
        <w:ind w:left="105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无</w:t>
      </w:r>
    </w:p>
    <w:p w14:paraId="4024216D">
      <w:pPr>
        <w:widowControl/>
        <w:numPr>
          <w:ilvl w:val="0"/>
          <w:numId w:val="0"/>
        </w:numPr>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（三）改进建议。</w:t>
      </w:r>
    </w:p>
    <w:p w14:paraId="313C4EA9">
      <w:pPr>
        <w:widowControl/>
        <w:numPr>
          <w:ilvl w:val="0"/>
          <w:numId w:val="0"/>
        </w:numPr>
        <w:adjustRightInd w:val="0"/>
        <w:snapToGrid w:val="0"/>
        <w:spacing w:line="580" w:lineRule="exact"/>
        <w:ind w:left="1050" w:leftChars="0" w:firstLine="640" w:firstLineChars="200"/>
        <w:contextualSpacing/>
        <w:jc w:val="left"/>
        <w:rPr>
          <w:rFonts w:hint="eastAsia" w:ascii="黑体" w:hAnsi="黑体" w:eastAsia="黑体"/>
          <w:color w:val="000000"/>
          <w:sz w:val="44"/>
          <w:szCs w:val="44"/>
        </w:rPr>
      </w:pPr>
      <w:r>
        <w:rPr>
          <w:rFonts w:hint="eastAsia" w:ascii="仿宋_GB2312" w:hAnsi="宋体" w:eastAsia="仿宋_GB2312" w:cs="宋体"/>
          <w:color w:val="000000"/>
          <w:kern w:val="0"/>
          <w:sz w:val="32"/>
          <w:szCs w:val="32"/>
          <w:shd w:val="clear" w:color="auto" w:fill="FFFFFF"/>
          <w:lang w:val="zh-CN"/>
        </w:rPr>
        <w:t>无</w:t>
      </w:r>
      <w:bookmarkStart w:id="88" w:name="_Toc79163885"/>
      <w:bookmarkStart w:id="89" w:name="_Toc15396618"/>
      <w:bookmarkStart w:id="90" w:name="_Toc79163635"/>
    </w:p>
    <w:p w14:paraId="5DC59BA8">
      <w:pPr>
        <w:spacing w:line="600" w:lineRule="exact"/>
        <w:jc w:val="both"/>
        <w:outlineLvl w:val="0"/>
        <w:rPr>
          <w:rFonts w:hint="eastAsia" w:ascii="黑体" w:hAnsi="黑体" w:eastAsia="黑体"/>
          <w:color w:val="000000"/>
          <w:sz w:val="44"/>
          <w:szCs w:val="44"/>
        </w:rPr>
      </w:pPr>
    </w:p>
    <w:p w14:paraId="34341540">
      <w:pPr>
        <w:spacing w:line="600" w:lineRule="exact"/>
        <w:jc w:val="center"/>
        <w:outlineLvl w:val="0"/>
        <w:rPr>
          <w:rFonts w:hint="eastAsia" w:ascii="黑体" w:hAnsi="黑体" w:eastAsia="黑体"/>
          <w:color w:val="000000"/>
          <w:sz w:val="44"/>
          <w:szCs w:val="44"/>
        </w:rPr>
      </w:pPr>
    </w:p>
    <w:p w14:paraId="3B988778">
      <w:pPr>
        <w:spacing w:line="600" w:lineRule="exact"/>
        <w:jc w:val="center"/>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80"/>
      <w:bookmarkEnd w:id="88"/>
      <w:bookmarkEnd w:id="89"/>
      <w:bookmarkEnd w:id="90"/>
    </w:p>
    <w:p w14:paraId="37290664">
      <w:pPr>
        <w:pStyle w:val="3"/>
        <w:rPr>
          <w:rFonts w:ascii="仿宋" w:hAnsi="仿宋" w:eastAsia="仿宋"/>
          <w:color w:val="000000"/>
        </w:rPr>
      </w:pPr>
      <w:bookmarkStart w:id="91" w:name="_Toc79163886"/>
      <w:bookmarkStart w:id="92" w:name="_Toc79163636"/>
      <w:bookmarkStart w:id="93" w:name="_Toc15396619"/>
      <w:r>
        <w:rPr>
          <w:rFonts w:hint="eastAsia" w:ascii="仿宋" w:hAnsi="仿宋" w:eastAsia="仿宋"/>
          <w:b w:val="0"/>
          <w:color w:val="000000"/>
        </w:rPr>
        <w:t>一、收</w:t>
      </w:r>
      <w:r>
        <w:rPr>
          <w:rStyle w:val="24"/>
          <w:rFonts w:hint="eastAsia" w:ascii="仿宋" w:hAnsi="仿宋" w:eastAsia="仿宋"/>
          <w:b w:val="0"/>
          <w:bCs w:val="0"/>
        </w:rPr>
        <w:t>入支出决算总表</w:t>
      </w:r>
      <w:bookmarkEnd w:id="91"/>
      <w:bookmarkEnd w:id="92"/>
      <w:bookmarkEnd w:id="93"/>
    </w:p>
    <w:p w14:paraId="526751BC">
      <w:pPr>
        <w:pStyle w:val="3"/>
        <w:rPr>
          <w:rFonts w:ascii="仿宋" w:hAnsi="仿宋" w:eastAsia="仿宋"/>
          <w:color w:val="000000"/>
        </w:rPr>
      </w:pPr>
      <w:bookmarkStart w:id="94" w:name="_Toc79163637"/>
      <w:bookmarkStart w:id="95" w:name="_Toc79163887"/>
      <w:bookmarkStart w:id="96" w:name="_Toc15396620"/>
      <w:r>
        <w:rPr>
          <w:rFonts w:hint="eastAsia" w:ascii="仿宋" w:hAnsi="仿宋" w:eastAsia="仿宋"/>
          <w:b w:val="0"/>
          <w:color w:val="000000"/>
        </w:rPr>
        <w:t>二、收</w:t>
      </w:r>
      <w:r>
        <w:rPr>
          <w:rStyle w:val="24"/>
          <w:rFonts w:hint="eastAsia" w:ascii="仿宋" w:hAnsi="仿宋" w:eastAsia="仿宋"/>
          <w:b w:val="0"/>
          <w:bCs w:val="0"/>
        </w:rPr>
        <w:t>入决算表</w:t>
      </w:r>
      <w:bookmarkEnd w:id="94"/>
      <w:bookmarkEnd w:id="95"/>
      <w:bookmarkEnd w:id="96"/>
    </w:p>
    <w:p w14:paraId="1F18D7F8">
      <w:pPr>
        <w:pStyle w:val="3"/>
        <w:rPr>
          <w:rFonts w:ascii="仿宋" w:hAnsi="仿宋" w:eastAsia="仿宋"/>
          <w:color w:val="000000"/>
        </w:rPr>
      </w:pPr>
      <w:bookmarkStart w:id="97" w:name="_Toc79163638"/>
      <w:bookmarkStart w:id="98" w:name="_Toc15396621"/>
      <w:bookmarkStart w:id="99" w:name="_Toc79163888"/>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97"/>
      <w:bookmarkEnd w:id="98"/>
      <w:bookmarkEnd w:id="99"/>
    </w:p>
    <w:p w14:paraId="7EA2365A">
      <w:pPr>
        <w:pStyle w:val="3"/>
        <w:rPr>
          <w:rFonts w:ascii="仿宋" w:hAnsi="仿宋" w:eastAsia="仿宋"/>
          <w:b w:val="0"/>
          <w:color w:val="000000"/>
        </w:rPr>
      </w:pPr>
      <w:bookmarkStart w:id="100" w:name="_Toc15396622"/>
      <w:bookmarkStart w:id="101" w:name="_Toc79163889"/>
      <w:bookmarkStart w:id="102" w:name="_Toc79163639"/>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100"/>
      <w:bookmarkEnd w:id="101"/>
      <w:bookmarkEnd w:id="102"/>
    </w:p>
    <w:p w14:paraId="7101058B">
      <w:pPr>
        <w:pStyle w:val="3"/>
        <w:rPr>
          <w:rStyle w:val="24"/>
          <w:rFonts w:ascii="仿宋" w:hAnsi="仿宋" w:eastAsia="仿宋"/>
          <w:b w:val="0"/>
          <w:bCs w:val="0"/>
        </w:rPr>
      </w:pPr>
      <w:bookmarkStart w:id="103" w:name="_Toc79163890"/>
      <w:bookmarkStart w:id="104" w:name="_Toc15396623"/>
      <w:bookmarkStart w:id="105" w:name="_Toc79163640"/>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103"/>
      <w:bookmarkEnd w:id="104"/>
      <w:bookmarkEnd w:id="105"/>
      <w:bookmarkStart w:id="106" w:name="_Toc15396624"/>
    </w:p>
    <w:p w14:paraId="132A368D">
      <w:pPr>
        <w:pStyle w:val="3"/>
        <w:rPr>
          <w:rFonts w:ascii="仿宋" w:hAnsi="仿宋" w:eastAsia="仿宋"/>
          <w:color w:val="000000"/>
        </w:rPr>
      </w:pPr>
      <w:bookmarkStart w:id="107" w:name="_Toc79163641"/>
      <w:bookmarkStart w:id="108" w:name="_Toc79163891"/>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06"/>
      <w:bookmarkEnd w:id="107"/>
      <w:bookmarkEnd w:id="108"/>
    </w:p>
    <w:p w14:paraId="07764691">
      <w:pPr>
        <w:pStyle w:val="3"/>
        <w:rPr>
          <w:rFonts w:ascii="仿宋" w:hAnsi="仿宋" w:eastAsia="仿宋"/>
          <w:color w:val="000000"/>
        </w:rPr>
      </w:pPr>
      <w:bookmarkStart w:id="109" w:name="_Toc15396625"/>
      <w:bookmarkStart w:id="110" w:name="_Toc79163642"/>
      <w:bookmarkStart w:id="111" w:name="_Toc79163892"/>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09"/>
      <w:bookmarkEnd w:id="110"/>
      <w:bookmarkEnd w:id="111"/>
    </w:p>
    <w:p w14:paraId="4ACDD654">
      <w:pPr>
        <w:pStyle w:val="3"/>
        <w:rPr>
          <w:rFonts w:ascii="仿宋" w:hAnsi="仿宋" w:eastAsia="仿宋"/>
          <w:color w:val="000000"/>
        </w:rPr>
      </w:pPr>
      <w:bookmarkStart w:id="112" w:name="_Toc15396626"/>
      <w:bookmarkStart w:id="113" w:name="_Toc79163893"/>
      <w:bookmarkStart w:id="114" w:name="_Toc79163643"/>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12"/>
      <w:bookmarkEnd w:id="113"/>
      <w:bookmarkEnd w:id="114"/>
    </w:p>
    <w:p w14:paraId="3B322F70">
      <w:pPr>
        <w:pStyle w:val="3"/>
        <w:rPr>
          <w:rFonts w:ascii="仿宋" w:hAnsi="仿宋" w:eastAsia="仿宋"/>
          <w:color w:val="000000"/>
        </w:rPr>
      </w:pPr>
      <w:bookmarkStart w:id="115" w:name="_Toc79163644"/>
      <w:bookmarkStart w:id="116" w:name="_Toc79163894"/>
      <w:bookmarkStart w:id="117" w:name="_Toc15396627"/>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15"/>
      <w:bookmarkEnd w:id="116"/>
      <w:bookmarkEnd w:id="117"/>
    </w:p>
    <w:p w14:paraId="60460766">
      <w:pPr>
        <w:pStyle w:val="3"/>
        <w:rPr>
          <w:rFonts w:ascii="仿宋" w:hAnsi="仿宋" w:eastAsia="仿宋"/>
          <w:color w:val="000000"/>
        </w:rPr>
      </w:pPr>
      <w:bookmarkStart w:id="118" w:name="_Toc79163645"/>
      <w:bookmarkStart w:id="119" w:name="_Toc79163895"/>
      <w:bookmarkStart w:id="120" w:name="_Toc15396628"/>
      <w:r>
        <w:rPr>
          <w:rStyle w:val="24"/>
          <w:rFonts w:hint="eastAsia" w:ascii="仿宋" w:hAnsi="仿宋" w:eastAsia="仿宋"/>
          <w:b w:val="0"/>
          <w:bCs w:val="0"/>
        </w:rPr>
        <w:t>十、</w:t>
      </w:r>
      <w:bookmarkEnd w:id="118"/>
      <w:bookmarkEnd w:id="119"/>
      <w:bookmarkEnd w:id="120"/>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p>
    <w:p w14:paraId="648C1301">
      <w:pPr>
        <w:pStyle w:val="3"/>
        <w:rPr>
          <w:rStyle w:val="24"/>
          <w:rFonts w:hint="eastAsia" w:ascii="仿宋" w:hAnsi="仿宋" w:eastAsia="仿宋"/>
          <w:b w:val="0"/>
          <w:bCs w:val="0"/>
        </w:rPr>
      </w:pPr>
      <w:bookmarkStart w:id="121" w:name="_Toc15396629"/>
      <w:bookmarkStart w:id="122" w:name="_Toc79163896"/>
      <w:bookmarkStart w:id="123" w:name="_Toc79163646"/>
      <w:r>
        <w:rPr>
          <w:rStyle w:val="24"/>
          <w:rFonts w:hint="eastAsia" w:ascii="仿宋" w:hAnsi="仿宋" w:eastAsia="仿宋"/>
          <w:b w:val="0"/>
          <w:bCs w:val="0"/>
        </w:rPr>
        <w:t>十一、</w:t>
      </w:r>
      <w:bookmarkEnd w:id="121"/>
      <w:bookmarkEnd w:id="122"/>
      <w:bookmarkEnd w:id="123"/>
      <w:bookmarkStart w:id="124" w:name="_Toc79163647"/>
      <w:bookmarkStart w:id="125" w:name="_Toc79163897"/>
      <w:bookmarkStart w:id="126" w:name="_Toc15396630"/>
      <w:r>
        <w:rPr>
          <w:rFonts w:hint="eastAsia" w:ascii="仿宋" w:hAnsi="仿宋" w:eastAsia="仿宋"/>
          <w:b w:val="0"/>
          <w:color w:val="000000"/>
        </w:rPr>
        <w:t>国</w:t>
      </w:r>
      <w:r>
        <w:rPr>
          <w:rStyle w:val="24"/>
          <w:rFonts w:hint="eastAsia" w:ascii="仿宋" w:hAnsi="仿宋" w:eastAsia="仿宋"/>
          <w:b w:val="0"/>
          <w:bCs w:val="0"/>
        </w:rPr>
        <w:t>有资本经营预算财政拨款</w:t>
      </w:r>
      <w:r>
        <w:rPr>
          <w:rStyle w:val="24"/>
          <w:rFonts w:hint="eastAsia" w:ascii="仿宋" w:hAnsi="仿宋" w:eastAsia="仿宋"/>
          <w:b w:val="0"/>
          <w:bCs w:val="0"/>
          <w:lang w:eastAsia="zh-CN"/>
        </w:rPr>
        <w:t>收入</w:t>
      </w:r>
      <w:r>
        <w:rPr>
          <w:rStyle w:val="24"/>
          <w:rFonts w:hint="eastAsia" w:ascii="仿宋" w:hAnsi="仿宋" w:eastAsia="仿宋"/>
          <w:b w:val="0"/>
          <w:bCs w:val="0"/>
        </w:rPr>
        <w:t>支出决算表</w:t>
      </w:r>
    </w:p>
    <w:p w14:paraId="4F7849BE">
      <w:pPr>
        <w:pStyle w:val="3"/>
        <w:rPr>
          <w:rStyle w:val="24"/>
          <w:rFonts w:ascii="仿宋" w:hAnsi="仿宋" w:eastAsia="仿宋"/>
          <w:b w:val="0"/>
          <w:bCs w:val="0"/>
        </w:rPr>
      </w:pPr>
      <w:r>
        <w:rPr>
          <w:rStyle w:val="24"/>
          <w:rFonts w:hint="eastAsia" w:ascii="仿宋" w:hAnsi="仿宋" w:eastAsia="仿宋"/>
          <w:b w:val="0"/>
          <w:bCs w:val="0"/>
        </w:rPr>
        <w:t>十二、</w:t>
      </w:r>
      <w:bookmarkEnd w:id="124"/>
      <w:bookmarkEnd w:id="125"/>
      <w:bookmarkEnd w:id="126"/>
      <w:bookmarkStart w:id="127" w:name="_Toc15396631"/>
      <w:bookmarkStart w:id="128" w:name="_Toc79163648"/>
      <w:bookmarkStart w:id="129" w:name="_Toc79163898"/>
      <w:r>
        <w:rPr>
          <w:rStyle w:val="24"/>
          <w:rFonts w:hint="eastAsia" w:ascii="仿宋" w:hAnsi="仿宋" w:eastAsia="仿宋"/>
          <w:b w:val="0"/>
          <w:bCs w:val="0"/>
        </w:rPr>
        <w:t>国有资本经营预算财政拨款支出决算表</w:t>
      </w:r>
    </w:p>
    <w:p w14:paraId="3CA626F0">
      <w:pPr>
        <w:pStyle w:val="3"/>
        <w:rPr>
          <w:rFonts w:ascii="仿宋" w:hAnsi="仿宋" w:eastAsia="仿宋"/>
          <w:color w:val="000000"/>
        </w:rPr>
      </w:pPr>
      <w:r>
        <w:rPr>
          <w:rStyle w:val="24"/>
          <w:rFonts w:hint="eastAsia" w:ascii="仿宋" w:hAnsi="仿宋" w:eastAsia="仿宋"/>
          <w:b w:val="0"/>
          <w:bCs w:val="0"/>
        </w:rPr>
        <w:t>十三、</w:t>
      </w:r>
      <w:bookmarkEnd w:id="127"/>
      <w:bookmarkEnd w:id="128"/>
      <w:bookmarkEnd w:id="129"/>
      <w:r>
        <w:rPr>
          <w:rStyle w:val="24"/>
          <w:rFonts w:hint="eastAsia" w:ascii="仿宋" w:hAnsi="仿宋" w:eastAsia="仿宋"/>
          <w:b w:val="0"/>
          <w:bCs w:val="0"/>
        </w:rPr>
        <w:t>财政拨款“三公”经费支出决算表</w:t>
      </w:r>
    </w:p>
    <w:p w14:paraId="639E135C">
      <w:pPr>
        <w:pStyle w:val="3"/>
        <w:rPr>
          <w:rStyle w:val="24"/>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36E3">
    <w:pPr>
      <w:pStyle w:val="11"/>
      <w:jc w:val="center"/>
    </w:pPr>
    <w:r>
      <w:fldChar w:fldCharType="begin"/>
    </w:r>
    <w:r>
      <w:instrText xml:space="preserve">PAGE   \* MERGEFORMAT</w:instrText>
    </w:r>
    <w:r>
      <w:fldChar w:fldCharType="separate"/>
    </w:r>
    <w:r>
      <w:rPr>
        <w:lang w:val="zh-CN"/>
      </w:rPr>
      <w:t>3</w:t>
    </w:r>
    <w:r>
      <w:fldChar w:fldCharType="end"/>
    </w:r>
  </w:p>
  <w:p w14:paraId="6385B6A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47B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wOTViMzJhNTBmYTdjYjA0OWI0ZGYzOTQ4Zjc0Y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61ED"/>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6A69"/>
    <w:rsid w:val="02B23EDB"/>
    <w:rsid w:val="02D373D9"/>
    <w:rsid w:val="02E7218E"/>
    <w:rsid w:val="036B7036"/>
    <w:rsid w:val="037E55F4"/>
    <w:rsid w:val="03AE5E46"/>
    <w:rsid w:val="0451111C"/>
    <w:rsid w:val="04A42800"/>
    <w:rsid w:val="051F7925"/>
    <w:rsid w:val="056F2E0E"/>
    <w:rsid w:val="05B809D1"/>
    <w:rsid w:val="060E1B99"/>
    <w:rsid w:val="071A401C"/>
    <w:rsid w:val="07B54D24"/>
    <w:rsid w:val="07F669BB"/>
    <w:rsid w:val="089D227F"/>
    <w:rsid w:val="08C10CC4"/>
    <w:rsid w:val="08CC0F6C"/>
    <w:rsid w:val="08E46AC6"/>
    <w:rsid w:val="091E5277"/>
    <w:rsid w:val="09481641"/>
    <w:rsid w:val="095F13EB"/>
    <w:rsid w:val="0A2032A3"/>
    <w:rsid w:val="0A5B3FCC"/>
    <w:rsid w:val="0AFB2E60"/>
    <w:rsid w:val="0B7D5B2D"/>
    <w:rsid w:val="0B9D63F6"/>
    <w:rsid w:val="0C886EAB"/>
    <w:rsid w:val="0CD53ED9"/>
    <w:rsid w:val="0D2752D3"/>
    <w:rsid w:val="0DD1377E"/>
    <w:rsid w:val="0E2E455F"/>
    <w:rsid w:val="0E771DEF"/>
    <w:rsid w:val="0EB72F10"/>
    <w:rsid w:val="0F300D91"/>
    <w:rsid w:val="0F824D84"/>
    <w:rsid w:val="0F88196A"/>
    <w:rsid w:val="0F9D3ACE"/>
    <w:rsid w:val="105F5CE8"/>
    <w:rsid w:val="10A24DDA"/>
    <w:rsid w:val="10C055FF"/>
    <w:rsid w:val="10D4446D"/>
    <w:rsid w:val="10D943B8"/>
    <w:rsid w:val="11401B02"/>
    <w:rsid w:val="118107EC"/>
    <w:rsid w:val="118C2F9A"/>
    <w:rsid w:val="11BA4BF4"/>
    <w:rsid w:val="124B69B1"/>
    <w:rsid w:val="129D179C"/>
    <w:rsid w:val="130354DD"/>
    <w:rsid w:val="1356560D"/>
    <w:rsid w:val="13760D6A"/>
    <w:rsid w:val="144063F9"/>
    <w:rsid w:val="14C40F66"/>
    <w:rsid w:val="16BB723D"/>
    <w:rsid w:val="16F83DC9"/>
    <w:rsid w:val="174340FA"/>
    <w:rsid w:val="179B7A92"/>
    <w:rsid w:val="17BE7C25"/>
    <w:rsid w:val="181B7031"/>
    <w:rsid w:val="183323C1"/>
    <w:rsid w:val="186F14CD"/>
    <w:rsid w:val="187A1D9E"/>
    <w:rsid w:val="18B2778A"/>
    <w:rsid w:val="198B14FD"/>
    <w:rsid w:val="19B327BD"/>
    <w:rsid w:val="19F309B8"/>
    <w:rsid w:val="1A5B60CC"/>
    <w:rsid w:val="1A620BF1"/>
    <w:rsid w:val="1AED2D61"/>
    <w:rsid w:val="1AF75636"/>
    <w:rsid w:val="1B500D35"/>
    <w:rsid w:val="1B506DE6"/>
    <w:rsid w:val="1B6C0EA5"/>
    <w:rsid w:val="1B776457"/>
    <w:rsid w:val="1BD94E2F"/>
    <w:rsid w:val="1C5F3D22"/>
    <w:rsid w:val="1CA62FBE"/>
    <w:rsid w:val="1D155CEE"/>
    <w:rsid w:val="1E454D7D"/>
    <w:rsid w:val="1E6311F9"/>
    <w:rsid w:val="1E835D40"/>
    <w:rsid w:val="1F23680D"/>
    <w:rsid w:val="1F443106"/>
    <w:rsid w:val="1FAE1CCF"/>
    <w:rsid w:val="1FF113FE"/>
    <w:rsid w:val="20384A18"/>
    <w:rsid w:val="20827A42"/>
    <w:rsid w:val="21B71486"/>
    <w:rsid w:val="22702E2F"/>
    <w:rsid w:val="2288435D"/>
    <w:rsid w:val="22D80C0E"/>
    <w:rsid w:val="22E70FFC"/>
    <w:rsid w:val="22E94AF1"/>
    <w:rsid w:val="22F2525A"/>
    <w:rsid w:val="23005E41"/>
    <w:rsid w:val="240371BF"/>
    <w:rsid w:val="24854E17"/>
    <w:rsid w:val="24954786"/>
    <w:rsid w:val="253F05F7"/>
    <w:rsid w:val="25943EAE"/>
    <w:rsid w:val="26071673"/>
    <w:rsid w:val="26F002E4"/>
    <w:rsid w:val="27C26BE0"/>
    <w:rsid w:val="27F136FF"/>
    <w:rsid w:val="28327F9F"/>
    <w:rsid w:val="2836125C"/>
    <w:rsid w:val="287D6FEB"/>
    <w:rsid w:val="288A18A7"/>
    <w:rsid w:val="28EF7C3E"/>
    <w:rsid w:val="291100B6"/>
    <w:rsid w:val="29FD04D3"/>
    <w:rsid w:val="2A1909FC"/>
    <w:rsid w:val="2A283B01"/>
    <w:rsid w:val="2A7D27C8"/>
    <w:rsid w:val="2ABD64A7"/>
    <w:rsid w:val="2AEF0D9E"/>
    <w:rsid w:val="2B0C4EB9"/>
    <w:rsid w:val="2B6E6FE2"/>
    <w:rsid w:val="2B920D55"/>
    <w:rsid w:val="2C3D6D40"/>
    <w:rsid w:val="2C594C89"/>
    <w:rsid w:val="2C717A28"/>
    <w:rsid w:val="2D655102"/>
    <w:rsid w:val="2D9A706A"/>
    <w:rsid w:val="2DC62256"/>
    <w:rsid w:val="2E4015DA"/>
    <w:rsid w:val="2E8C4181"/>
    <w:rsid w:val="2ECC26D1"/>
    <w:rsid w:val="2EF85A56"/>
    <w:rsid w:val="2F3D3BDD"/>
    <w:rsid w:val="2FBB6ACC"/>
    <w:rsid w:val="2FE94FBC"/>
    <w:rsid w:val="30251C3E"/>
    <w:rsid w:val="30665064"/>
    <w:rsid w:val="315A2124"/>
    <w:rsid w:val="31783057"/>
    <w:rsid w:val="319F7F4E"/>
    <w:rsid w:val="31C36D05"/>
    <w:rsid w:val="31DF2E38"/>
    <w:rsid w:val="32050A8E"/>
    <w:rsid w:val="326B7F22"/>
    <w:rsid w:val="32DA1FB7"/>
    <w:rsid w:val="32F305A2"/>
    <w:rsid w:val="330E32C3"/>
    <w:rsid w:val="336F213A"/>
    <w:rsid w:val="34FF745B"/>
    <w:rsid w:val="35506DDC"/>
    <w:rsid w:val="35BF5E6C"/>
    <w:rsid w:val="366223EA"/>
    <w:rsid w:val="36D36DF1"/>
    <w:rsid w:val="37022309"/>
    <w:rsid w:val="37023232"/>
    <w:rsid w:val="37623EFA"/>
    <w:rsid w:val="378123A9"/>
    <w:rsid w:val="378D0944"/>
    <w:rsid w:val="37C65B55"/>
    <w:rsid w:val="37D82760"/>
    <w:rsid w:val="38233460"/>
    <w:rsid w:val="39250FB9"/>
    <w:rsid w:val="393C5E43"/>
    <w:rsid w:val="39473DD0"/>
    <w:rsid w:val="39DE3EC2"/>
    <w:rsid w:val="39FB1CE6"/>
    <w:rsid w:val="3A6C5593"/>
    <w:rsid w:val="3A9224D8"/>
    <w:rsid w:val="3AA71D0D"/>
    <w:rsid w:val="3AB213A3"/>
    <w:rsid w:val="3B577EE7"/>
    <w:rsid w:val="3C5E7DEA"/>
    <w:rsid w:val="3D2739F3"/>
    <w:rsid w:val="3D2832C7"/>
    <w:rsid w:val="3DE90880"/>
    <w:rsid w:val="3E75146C"/>
    <w:rsid w:val="3E7E6056"/>
    <w:rsid w:val="3E80165E"/>
    <w:rsid w:val="3ED731F7"/>
    <w:rsid w:val="408244D3"/>
    <w:rsid w:val="40BA40B4"/>
    <w:rsid w:val="412C0BC8"/>
    <w:rsid w:val="41654AEA"/>
    <w:rsid w:val="42B75819"/>
    <w:rsid w:val="439B11A2"/>
    <w:rsid w:val="43C04A47"/>
    <w:rsid w:val="44310F91"/>
    <w:rsid w:val="447A1390"/>
    <w:rsid w:val="45273C7E"/>
    <w:rsid w:val="454569B0"/>
    <w:rsid w:val="46ED7A5B"/>
    <w:rsid w:val="473F36BB"/>
    <w:rsid w:val="47E9688B"/>
    <w:rsid w:val="48C7608A"/>
    <w:rsid w:val="491017DF"/>
    <w:rsid w:val="492D05E3"/>
    <w:rsid w:val="49602A8F"/>
    <w:rsid w:val="49675177"/>
    <w:rsid w:val="49E30CA1"/>
    <w:rsid w:val="49E52FC9"/>
    <w:rsid w:val="4A064990"/>
    <w:rsid w:val="4A5676C5"/>
    <w:rsid w:val="4BC403F7"/>
    <w:rsid w:val="4C87000A"/>
    <w:rsid w:val="4C8B732C"/>
    <w:rsid w:val="4D1C71ED"/>
    <w:rsid w:val="4D673998"/>
    <w:rsid w:val="4E3E5621"/>
    <w:rsid w:val="4E6929F7"/>
    <w:rsid w:val="4EAE296A"/>
    <w:rsid w:val="4ECE2238"/>
    <w:rsid w:val="4F8B08AD"/>
    <w:rsid w:val="4FB52EBC"/>
    <w:rsid w:val="4FF6518B"/>
    <w:rsid w:val="500D20D1"/>
    <w:rsid w:val="508C6FA4"/>
    <w:rsid w:val="50C40F04"/>
    <w:rsid w:val="52506890"/>
    <w:rsid w:val="52730B24"/>
    <w:rsid w:val="53E915AA"/>
    <w:rsid w:val="552E409B"/>
    <w:rsid w:val="562A3E06"/>
    <w:rsid w:val="57156960"/>
    <w:rsid w:val="582F7907"/>
    <w:rsid w:val="58301AB4"/>
    <w:rsid w:val="58862A5F"/>
    <w:rsid w:val="58A75FC9"/>
    <w:rsid w:val="58B8154B"/>
    <w:rsid w:val="5960230F"/>
    <w:rsid w:val="597B4402"/>
    <w:rsid w:val="5991743C"/>
    <w:rsid w:val="59CB6703"/>
    <w:rsid w:val="5A3D7F5A"/>
    <w:rsid w:val="5A57472B"/>
    <w:rsid w:val="5AB346C0"/>
    <w:rsid w:val="5B3255E5"/>
    <w:rsid w:val="5BD85DE0"/>
    <w:rsid w:val="5C1C14C8"/>
    <w:rsid w:val="5C7047DB"/>
    <w:rsid w:val="5CAD1BBE"/>
    <w:rsid w:val="5CB52971"/>
    <w:rsid w:val="5D195169"/>
    <w:rsid w:val="5E07169A"/>
    <w:rsid w:val="5E4A0E97"/>
    <w:rsid w:val="5F9E7E72"/>
    <w:rsid w:val="5FD534B7"/>
    <w:rsid w:val="5FF24D49"/>
    <w:rsid w:val="607A5C92"/>
    <w:rsid w:val="60D52600"/>
    <w:rsid w:val="613E1C0D"/>
    <w:rsid w:val="61C079E6"/>
    <w:rsid w:val="62747FE8"/>
    <w:rsid w:val="6382127C"/>
    <w:rsid w:val="644719B0"/>
    <w:rsid w:val="647C6082"/>
    <w:rsid w:val="648D591B"/>
    <w:rsid w:val="652409F7"/>
    <w:rsid w:val="65775FFF"/>
    <w:rsid w:val="657F5EE5"/>
    <w:rsid w:val="65A26CE1"/>
    <w:rsid w:val="65D43810"/>
    <w:rsid w:val="665112FA"/>
    <w:rsid w:val="66524D8D"/>
    <w:rsid w:val="67027AAC"/>
    <w:rsid w:val="6733397E"/>
    <w:rsid w:val="6734348C"/>
    <w:rsid w:val="67E416D6"/>
    <w:rsid w:val="67F3434E"/>
    <w:rsid w:val="68224C33"/>
    <w:rsid w:val="684133A2"/>
    <w:rsid w:val="68537D47"/>
    <w:rsid w:val="68580655"/>
    <w:rsid w:val="69280B25"/>
    <w:rsid w:val="69380B64"/>
    <w:rsid w:val="69913E1E"/>
    <w:rsid w:val="699A7360"/>
    <w:rsid w:val="69A70D43"/>
    <w:rsid w:val="69A753F0"/>
    <w:rsid w:val="6A4D0118"/>
    <w:rsid w:val="6A8B17A4"/>
    <w:rsid w:val="6B09533C"/>
    <w:rsid w:val="6B402598"/>
    <w:rsid w:val="6BA37B95"/>
    <w:rsid w:val="6C1B07D8"/>
    <w:rsid w:val="6C4A05C8"/>
    <w:rsid w:val="6CAD5413"/>
    <w:rsid w:val="6DF76F79"/>
    <w:rsid w:val="6E350CDF"/>
    <w:rsid w:val="6EAE6B68"/>
    <w:rsid w:val="6EB5142E"/>
    <w:rsid w:val="6F7A654D"/>
    <w:rsid w:val="6FCE78A5"/>
    <w:rsid w:val="7040659E"/>
    <w:rsid w:val="70F058CE"/>
    <w:rsid w:val="71490FCB"/>
    <w:rsid w:val="72734D90"/>
    <w:rsid w:val="7344473E"/>
    <w:rsid w:val="735B088E"/>
    <w:rsid w:val="741E0193"/>
    <w:rsid w:val="748118A0"/>
    <w:rsid w:val="74FE7754"/>
    <w:rsid w:val="751E5081"/>
    <w:rsid w:val="763D0F45"/>
    <w:rsid w:val="76610CFB"/>
    <w:rsid w:val="7855526F"/>
    <w:rsid w:val="785A0336"/>
    <w:rsid w:val="78B418D7"/>
    <w:rsid w:val="791A655C"/>
    <w:rsid w:val="792A1B99"/>
    <w:rsid w:val="79AD5923"/>
    <w:rsid w:val="79D7359E"/>
    <w:rsid w:val="7AD27EC2"/>
    <w:rsid w:val="7AF50B24"/>
    <w:rsid w:val="7B744C73"/>
    <w:rsid w:val="7C0F0BB5"/>
    <w:rsid w:val="7D1633C4"/>
    <w:rsid w:val="7D352F15"/>
    <w:rsid w:val="7DD1447C"/>
    <w:rsid w:val="7E062BD5"/>
    <w:rsid w:val="7ED554F9"/>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lang w:val="zh-CN" w:eastAsia="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7"/>
    <w:semiHidden/>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字符"/>
    <w:basedOn w:val="20"/>
    <w:link w:val="2"/>
    <w:qFormat/>
    <w:locked/>
    <w:uiPriority w:val="9"/>
    <w:rPr>
      <w:rFonts w:ascii="Times New Roman" w:hAnsi="Times New Roman" w:cs="Times New Roman"/>
      <w:b/>
      <w:bCs/>
      <w:kern w:val="44"/>
      <w:sz w:val="44"/>
      <w:szCs w:val="44"/>
    </w:rPr>
  </w:style>
  <w:style w:type="character" w:customStyle="1" w:styleId="24">
    <w:name w:val="标题 2 字符"/>
    <w:basedOn w:val="20"/>
    <w:link w:val="3"/>
    <w:qFormat/>
    <w:locked/>
    <w:uiPriority w:val="9"/>
    <w:rPr>
      <w:rFonts w:ascii="Cambria" w:hAnsi="Cambria" w:eastAsia="宋体" w:cs="Times New Roman"/>
      <w:b/>
      <w:bCs/>
      <w:kern w:val="2"/>
      <w:sz w:val="32"/>
      <w:szCs w:val="32"/>
    </w:rPr>
  </w:style>
  <w:style w:type="character" w:customStyle="1" w:styleId="25">
    <w:name w:val="标题 3 字符"/>
    <w:basedOn w:val="20"/>
    <w:link w:val="4"/>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字符"/>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字符"/>
    <w:link w:val="12"/>
    <w:semiHidden/>
    <w:qFormat/>
    <w:locked/>
    <w:uiPriority w:val="99"/>
    <w:rPr>
      <w:sz w:val="18"/>
    </w:rPr>
  </w:style>
  <w:style w:type="character" w:customStyle="1" w:styleId="31">
    <w:name w:val="页脚 字符"/>
    <w:link w:val="11"/>
    <w:qFormat/>
    <w:locked/>
    <w:uiPriority w:val="99"/>
    <w:rPr>
      <w:sz w:val="18"/>
    </w:rPr>
  </w:style>
  <w:style w:type="character" w:customStyle="1" w:styleId="32">
    <w:name w:val="正文文本 字符"/>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33"/>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4471</Words>
  <Characters>4833</Characters>
  <Lines>74</Lines>
  <Paragraphs>21</Paragraphs>
  <TotalTime>21</TotalTime>
  <ScaleCrop>false</ScaleCrop>
  <LinksUpToDate>false</LinksUpToDate>
  <CharactersWithSpaces>4937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2024-10-15T01:49:44Z</cp:lastPrinted>
  <dcterms:modified xsi:type="dcterms:W3CDTF">2024-10-15T01:50:52Z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7BFE09E12BB54965A9B4096EAED9F135_13</vt:lpwstr>
  </property>
</Properties>
</file>