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仿宋_GB2312"/>
          <w:color w:val="000000"/>
          <w:sz w:val="32"/>
          <w:szCs w:val="32"/>
        </w:rPr>
      </w:pPr>
      <w:bookmarkStart w:id="0" w:name="_Toc15306267"/>
      <w:bookmarkStart w:id="1" w:name="_Toc15377209"/>
      <w:bookmarkStart w:id="2" w:name="_Toc15396607"/>
    </w:p>
    <w:p>
      <w:pPr>
        <w:spacing w:line="560" w:lineRule="exact"/>
        <w:jc w:val="center"/>
        <w:outlineLvl w:val="0"/>
        <w:rPr>
          <w:rFonts w:eastAsia="仿宋_GB2312"/>
          <w:color w:val="000000"/>
          <w:sz w:val="32"/>
          <w:szCs w:val="32"/>
        </w:rPr>
      </w:pPr>
    </w:p>
    <w:p>
      <w:pPr>
        <w:spacing w:line="700" w:lineRule="exact"/>
        <w:jc w:val="center"/>
        <w:outlineLvl w:val="0"/>
        <w:rPr>
          <w:rFonts w:eastAsia="仿宋_GB2312"/>
          <w:color w:val="000000"/>
          <w:sz w:val="72"/>
          <w:szCs w:val="72"/>
        </w:rPr>
      </w:pPr>
    </w:p>
    <w:p>
      <w:pPr>
        <w:jc w:val="center"/>
        <w:outlineLvl w:val="0"/>
        <w:rPr>
          <w:rFonts w:eastAsia="方正小标宋简体"/>
          <w:color w:val="000000"/>
          <w:sz w:val="72"/>
          <w:szCs w:val="72"/>
        </w:rPr>
      </w:pPr>
    </w:p>
    <w:p>
      <w:pPr>
        <w:adjustRightInd w:val="0"/>
        <w:snapToGrid w:val="0"/>
        <w:jc w:val="center"/>
        <w:outlineLvl w:val="0"/>
        <w:rPr>
          <w:rFonts w:eastAsia="方正小标宋简体"/>
          <w:color w:val="000000"/>
          <w:sz w:val="72"/>
          <w:szCs w:val="72"/>
        </w:rPr>
      </w:pPr>
      <w:bookmarkStart w:id="3" w:name="_Toc15396475"/>
      <w:bookmarkStart w:id="4" w:name="_Toc15377425"/>
      <w:bookmarkStart w:id="5" w:name="_Toc15396597"/>
      <w:bookmarkStart w:id="6" w:name="_Toc15377193"/>
      <w:bookmarkStart w:id="7" w:name="_Toc15378441"/>
      <w:bookmarkStart w:id="75" w:name="_GoBack"/>
      <w:r>
        <w:rPr>
          <w:rFonts w:eastAsia="方正小标宋简体"/>
          <w:color w:val="000000"/>
          <w:sz w:val="72"/>
          <w:szCs w:val="72"/>
        </w:rPr>
        <w:t>2018年度</w:t>
      </w:r>
      <w:bookmarkEnd w:id="3"/>
      <w:bookmarkEnd w:id="4"/>
      <w:bookmarkEnd w:id="5"/>
      <w:bookmarkEnd w:id="6"/>
      <w:bookmarkEnd w:id="7"/>
    </w:p>
    <w:p>
      <w:pPr>
        <w:adjustRightInd w:val="0"/>
        <w:snapToGrid w:val="0"/>
        <w:jc w:val="center"/>
        <w:outlineLvl w:val="0"/>
        <w:rPr>
          <w:rFonts w:eastAsia="方正小标宋简体"/>
          <w:color w:val="000000"/>
          <w:sz w:val="72"/>
          <w:szCs w:val="72"/>
        </w:rPr>
      </w:pPr>
      <w:bookmarkStart w:id="8" w:name="_Toc15377426"/>
      <w:bookmarkStart w:id="9" w:name="_Toc15377194"/>
      <w:bookmarkStart w:id="10" w:name="_Toc15378442"/>
      <w:bookmarkStart w:id="11" w:name="_Toc15396476"/>
      <w:bookmarkStart w:id="12" w:name="_Toc15396598"/>
      <w:r>
        <w:rPr>
          <w:rFonts w:eastAsia="方正小标宋简体"/>
          <w:color w:val="000000"/>
          <w:sz w:val="72"/>
          <w:szCs w:val="72"/>
        </w:rPr>
        <w:t>四川省</w:t>
      </w:r>
      <w:bookmarkEnd w:id="0"/>
      <w:bookmarkStart w:id="13" w:name="_Toc15306268"/>
      <w:r>
        <w:rPr>
          <w:rFonts w:eastAsia="方正小标宋简体"/>
          <w:color w:val="000000"/>
          <w:sz w:val="72"/>
          <w:szCs w:val="72"/>
        </w:rPr>
        <w:t>壤塘县人社局决算</w:t>
      </w:r>
      <w:bookmarkEnd w:id="8"/>
      <w:bookmarkEnd w:id="9"/>
      <w:bookmarkEnd w:id="10"/>
      <w:bookmarkEnd w:id="11"/>
      <w:bookmarkEnd w:id="12"/>
      <w:bookmarkEnd w:id="13"/>
    </w:p>
    <w:bookmarkEnd w:id="75"/>
    <w:p>
      <w:pPr>
        <w:adjustRightInd w:val="0"/>
        <w:snapToGrid w:val="0"/>
        <w:jc w:val="center"/>
        <w:outlineLvl w:val="0"/>
        <w:rPr>
          <w:rFonts w:eastAsia="方正小标宋简体"/>
          <w:color w:val="000000"/>
          <w:sz w:val="72"/>
          <w:szCs w:val="72"/>
        </w:rPr>
      </w:pPr>
    </w:p>
    <w:p>
      <w:pPr>
        <w:adjustRightInd w:val="0"/>
        <w:snapToGrid w:val="0"/>
        <w:jc w:val="center"/>
        <w:outlineLvl w:val="0"/>
        <w:rPr>
          <w:rFonts w:eastAsia="方正小标宋简体"/>
          <w:color w:val="000000"/>
          <w:sz w:val="72"/>
          <w:szCs w:val="72"/>
        </w:rPr>
      </w:pPr>
    </w:p>
    <w:p>
      <w:pPr>
        <w:adjustRightInd w:val="0"/>
        <w:snapToGrid w:val="0"/>
        <w:jc w:val="center"/>
        <w:outlineLvl w:val="0"/>
        <w:rPr>
          <w:rFonts w:eastAsia="方正小标宋简体"/>
          <w:color w:val="000000"/>
          <w:sz w:val="72"/>
          <w:szCs w:val="72"/>
        </w:rPr>
      </w:pPr>
    </w:p>
    <w:p>
      <w:pPr>
        <w:adjustRightInd w:val="0"/>
        <w:snapToGrid w:val="0"/>
        <w:jc w:val="center"/>
        <w:outlineLvl w:val="0"/>
        <w:rPr>
          <w:rFonts w:eastAsia="方正小标宋简体"/>
          <w:color w:val="000000"/>
          <w:sz w:val="72"/>
          <w:szCs w:val="72"/>
        </w:rPr>
      </w:pPr>
    </w:p>
    <w:p>
      <w:pPr>
        <w:adjustRightInd w:val="0"/>
        <w:snapToGrid w:val="0"/>
        <w:jc w:val="center"/>
        <w:outlineLvl w:val="0"/>
        <w:rPr>
          <w:rFonts w:eastAsia="方正小标宋简体"/>
          <w:color w:val="000000"/>
          <w:sz w:val="72"/>
          <w:szCs w:val="72"/>
        </w:rPr>
      </w:pPr>
      <w:r>
        <w:rPr>
          <w:rFonts w:eastAsia="方正小标宋简体"/>
          <w:color w:val="000000"/>
          <w:sz w:val="72"/>
          <w:szCs w:val="72"/>
        </w:rPr>
        <w:t xml:space="preserve"> </w:t>
      </w:r>
    </w:p>
    <w:p>
      <w:pPr>
        <w:adjustRightInd w:val="0"/>
        <w:snapToGrid w:val="0"/>
        <w:jc w:val="center"/>
        <w:outlineLvl w:val="0"/>
        <w:rPr>
          <w:rFonts w:eastAsia="方正小标宋简体"/>
          <w:color w:val="000000"/>
          <w:sz w:val="72"/>
          <w:szCs w:val="72"/>
        </w:rPr>
      </w:pPr>
    </w:p>
    <w:p>
      <w:pPr>
        <w:adjustRightInd w:val="0"/>
        <w:snapToGrid w:val="0"/>
        <w:jc w:val="center"/>
        <w:outlineLvl w:val="0"/>
        <w:rPr>
          <w:rFonts w:eastAsia="方正小标宋简体"/>
          <w:color w:val="000000"/>
          <w:sz w:val="72"/>
          <w:szCs w:val="72"/>
        </w:rPr>
      </w:pPr>
    </w:p>
    <w:p>
      <w:pPr>
        <w:widowControl/>
        <w:spacing w:line="560" w:lineRule="exact"/>
        <w:jc w:val="center"/>
        <w:rPr>
          <w:rFonts w:eastAsia="黑体"/>
          <w:color w:val="000000"/>
          <w:sz w:val="48"/>
          <w:szCs w:val="48"/>
        </w:rPr>
      </w:pPr>
      <w:r>
        <w:rPr>
          <w:rFonts w:eastAsia="仿宋_GB2312"/>
          <w:color w:val="000000"/>
          <w:sz w:val="32"/>
          <w:szCs w:val="32"/>
        </w:rPr>
        <w:br w:type="page"/>
      </w:r>
      <w:r>
        <w:rPr>
          <w:rFonts w:hAnsi="黑体" w:eastAsia="黑体"/>
          <w:color w:val="000000"/>
          <w:sz w:val="48"/>
          <w:szCs w:val="48"/>
        </w:rPr>
        <w:t>目录</w:t>
      </w:r>
    </w:p>
    <w:p>
      <w:pPr>
        <w:widowControl/>
        <w:spacing w:line="560" w:lineRule="exact"/>
        <w:jc w:val="center"/>
        <w:rPr>
          <w:rFonts w:eastAsia="仿宋_GB2312"/>
          <w:sz w:val="32"/>
          <w:szCs w:val="32"/>
        </w:rPr>
      </w:pPr>
      <w:r>
        <w:rPr>
          <w:rFonts w:eastAsia="仿宋_GB2312"/>
          <w:color w:val="000000"/>
          <w:sz w:val="32"/>
          <w:szCs w:val="32"/>
        </w:rPr>
        <w:fldChar w:fldCharType="begin"/>
      </w:r>
      <w:r>
        <w:rPr>
          <w:rFonts w:eastAsia="仿宋_GB2312"/>
          <w:color w:val="000000"/>
          <w:sz w:val="32"/>
          <w:szCs w:val="32"/>
        </w:rPr>
        <w:instrText xml:space="preserve"> TOC \o "1-2" \h \z \u </w:instrText>
      </w:r>
      <w:r>
        <w:rPr>
          <w:rFonts w:eastAsia="仿宋_GB2312"/>
          <w:color w:val="000000"/>
          <w:sz w:val="32"/>
          <w:szCs w:val="32"/>
        </w:rPr>
        <w:fldChar w:fldCharType="separate"/>
      </w:r>
    </w:p>
    <w:p>
      <w:pPr>
        <w:spacing w:line="560" w:lineRule="exact"/>
        <w:rPr>
          <w:rFonts w:eastAsia="仿宋_GB2312"/>
          <w:sz w:val="32"/>
          <w:szCs w:val="32"/>
        </w:rPr>
      </w:pPr>
    </w:p>
    <w:p>
      <w:pPr>
        <w:pStyle w:val="10"/>
        <w:spacing w:line="560" w:lineRule="exact"/>
        <w:rPr>
          <w:rFonts w:ascii="Times New Roman" w:hAnsi="Times New Roman" w:eastAsia="仿宋_GB2312" w:cs="Times New Roman"/>
          <w:sz w:val="32"/>
          <w:szCs w:val="32"/>
        </w:rPr>
      </w:pPr>
      <w:r>
        <w:fldChar w:fldCharType="begin"/>
      </w:r>
      <w:r>
        <w:instrText xml:space="preserve"> HYPERLINK \l "_Toc15396599" </w:instrText>
      </w:r>
      <w:r>
        <w:fldChar w:fldCharType="separate"/>
      </w:r>
      <w:r>
        <w:rPr>
          <w:rStyle w:val="14"/>
          <w:rFonts w:ascii="Times New Roman" w:hAnsi="Times New Roman" w:eastAsia="仿宋_GB2312" w:cs="Times New Roman"/>
          <w:b/>
          <w:sz w:val="32"/>
          <w:szCs w:val="32"/>
          <w:u w:val="none"/>
        </w:rPr>
        <w:t>第一部分    部门概况</w:t>
      </w:r>
      <w:r>
        <w:rPr>
          <w:rFonts w:ascii="Times New Roman" w:hAnsi="Times New Roman" w:eastAsia="仿宋_GB2312" w:cs="Times New Roman"/>
          <w:sz w:val="32"/>
          <w:szCs w:val="32"/>
        </w:rPr>
        <w:tab/>
      </w:r>
      <w:r>
        <w:rPr>
          <w:rFonts w:ascii="Times New Roman" w:hAnsi="Times New Roman" w:eastAsia="仿宋_GB2312" w:cs="Times New Roman"/>
          <w:sz w:val="32"/>
          <w:szCs w:val="32"/>
        </w:rPr>
        <w:t>4</w:t>
      </w:r>
      <w:r>
        <w:rPr>
          <w:rFonts w:ascii="Times New Roman" w:hAnsi="Times New Roman" w:eastAsia="仿宋_GB2312" w:cs="Times New Roman"/>
          <w:sz w:val="32"/>
          <w:szCs w:val="32"/>
        </w:rPr>
        <w:fldChar w:fldCharType="end"/>
      </w:r>
    </w:p>
    <w:p>
      <w:pPr>
        <w:pStyle w:val="11"/>
        <w:spacing w:line="560" w:lineRule="exact"/>
        <w:ind w:left="0" w:leftChars="0" w:firstLine="735" w:firstLineChars="350"/>
        <w:rPr>
          <w:rFonts w:eastAsia="仿宋_GB2312"/>
          <w:sz w:val="32"/>
          <w:szCs w:val="32"/>
        </w:rPr>
      </w:pPr>
      <w:r>
        <w:fldChar w:fldCharType="begin"/>
      </w:r>
      <w:r>
        <w:instrText xml:space="preserve"> HYPERLINK \l "_Toc15396600" </w:instrText>
      </w:r>
      <w:r>
        <w:fldChar w:fldCharType="separate"/>
      </w:r>
      <w:r>
        <w:rPr>
          <w:rStyle w:val="14"/>
          <w:rFonts w:eastAsia="仿宋_GB2312"/>
          <w:sz w:val="32"/>
          <w:szCs w:val="32"/>
        </w:rPr>
        <w:t>一、基本职能及主要工作</w:t>
      </w:r>
      <w:r>
        <w:rPr>
          <w:rFonts w:eastAsia="仿宋_GB2312"/>
          <w:sz w:val="32"/>
          <w:szCs w:val="32"/>
        </w:rPr>
        <w:tab/>
      </w:r>
      <w:r>
        <w:rPr>
          <w:rFonts w:eastAsia="仿宋_GB2312"/>
          <w:sz w:val="32"/>
          <w:szCs w:val="32"/>
        </w:rPr>
        <w:t>4</w:t>
      </w:r>
      <w:r>
        <w:rPr>
          <w:rFonts w:eastAsia="仿宋_GB2312"/>
          <w:sz w:val="32"/>
          <w:szCs w:val="32"/>
        </w:rPr>
        <w:fldChar w:fldCharType="end"/>
      </w:r>
    </w:p>
    <w:p>
      <w:pPr>
        <w:pStyle w:val="11"/>
        <w:spacing w:line="560" w:lineRule="exact"/>
        <w:ind w:firstLine="315" w:firstLineChars="150"/>
        <w:rPr>
          <w:rFonts w:eastAsia="仿宋_GB2312"/>
          <w:sz w:val="32"/>
          <w:szCs w:val="32"/>
        </w:rPr>
      </w:pPr>
      <w:r>
        <w:fldChar w:fldCharType="begin"/>
      </w:r>
      <w:r>
        <w:instrText xml:space="preserve"> HYPERLINK \l "_Toc15396601" </w:instrText>
      </w:r>
      <w:r>
        <w:fldChar w:fldCharType="separate"/>
      </w:r>
      <w:r>
        <w:rPr>
          <w:rStyle w:val="14"/>
          <w:rFonts w:eastAsia="仿宋_GB2312"/>
          <w:sz w:val="32"/>
          <w:szCs w:val="32"/>
        </w:rPr>
        <w:t>二、机构设置</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_Toc15396601 \h </w:instrText>
      </w:r>
      <w:r>
        <w:rPr>
          <w:rFonts w:eastAsia="仿宋_GB2312"/>
          <w:sz w:val="32"/>
          <w:szCs w:val="32"/>
        </w:rPr>
        <w:fldChar w:fldCharType="separate"/>
      </w:r>
      <w:r>
        <w:rPr>
          <w:rFonts w:eastAsia="仿宋_GB2312"/>
          <w:sz w:val="32"/>
          <w:szCs w:val="32"/>
        </w:rPr>
        <w:t>6</w:t>
      </w:r>
      <w:r>
        <w:rPr>
          <w:rFonts w:eastAsia="仿宋_GB2312"/>
          <w:sz w:val="32"/>
          <w:szCs w:val="32"/>
        </w:rPr>
        <w:fldChar w:fldCharType="end"/>
      </w:r>
      <w:r>
        <w:rPr>
          <w:rFonts w:eastAsia="仿宋_GB2312"/>
          <w:sz w:val="32"/>
          <w:szCs w:val="32"/>
        </w:rPr>
        <w:fldChar w:fldCharType="end"/>
      </w:r>
    </w:p>
    <w:p>
      <w:pPr>
        <w:pStyle w:val="10"/>
        <w:spacing w:line="560" w:lineRule="exact"/>
        <w:rPr>
          <w:rFonts w:ascii="Times New Roman" w:hAnsi="Times New Roman" w:eastAsia="仿宋_GB2312" w:cs="Times New Roman"/>
          <w:sz w:val="32"/>
          <w:szCs w:val="32"/>
        </w:rPr>
      </w:pPr>
      <w:r>
        <w:fldChar w:fldCharType="begin"/>
      </w:r>
      <w:r>
        <w:instrText xml:space="preserve"> HYPERLINK \l "_Toc15396602" </w:instrText>
      </w:r>
      <w:r>
        <w:fldChar w:fldCharType="separate"/>
      </w:r>
      <w:r>
        <w:rPr>
          <w:rStyle w:val="14"/>
          <w:rFonts w:ascii="Times New Roman" w:hAnsi="Times New Roman" w:eastAsia="仿宋_GB2312" w:cs="Times New Roman"/>
          <w:b/>
          <w:sz w:val="32"/>
          <w:szCs w:val="32"/>
        </w:rPr>
        <w:t>第二部分    2018年度部门决算情况说明</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_Toc15396602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1"/>
        <w:spacing w:line="560" w:lineRule="exact"/>
        <w:ind w:firstLine="315" w:firstLineChars="150"/>
        <w:rPr>
          <w:rFonts w:eastAsia="仿宋_GB2312"/>
          <w:sz w:val="32"/>
          <w:szCs w:val="32"/>
        </w:rPr>
      </w:pPr>
      <w:r>
        <w:fldChar w:fldCharType="begin"/>
      </w:r>
      <w:r>
        <w:instrText xml:space="preserve"> HYPERLINK \l "_Toc15396603" </w:instrText>
      </w:r>
      <w:r>
        <w:fldChar w:fldCharType="separate"/>
      </w:r>
      <w:r>
        <w:rPr>
          <w:rStyle w:val="14"/>
          <w:rFonts w:eastAsia="仿宋_GB2312"/>
          <w:sz w:val="32"/>
          <w:szCs w:val="32"/>
        </w:rPr>
        <w:t>一、收入支出决算总体情况说明</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_Toc15396603 \h </w:instrText>
      </w:r>
      <w:r>
        <w:rPr>
          <w:rFonts w:eastAsia="仿宋_GB2312"/>
          <w:sz w:val="32"/>
          <w:szCs w:val="32"/>
        </w:rPr>
        <w:fldChar w:fldCharType="separate"/>
      </w:r>
      <w:r>
        <w:rPr>
          <w:rFonts w:eastAsia="仿宋_GB2312"/>
          <w:sz w:val="32"/>
          <w:szCs w:val="32"/>
        </w:rPr>
        <w:t>7</w:t>
      </w:r>
      <w:r>
        <w:rPr>
          <w:rFonts w:eastAsia="仿宋_GB2312"/>
          <w:sz w:val="32"/>
          <w:szCs w:val="32"/>
        </w:rPr>
        <w:fldChar w:fldCharType="end"/>
      </w:r>
      <w:r>
        <w:rPr>
          <w:rFonts w:eastAsia="仿宋_GB2312"/>
          <w:sz w:val="32"/>
          <w:szCs w:val="32"/>
        </w:rPr>
        <w:fldChar w:fldCharType="end"/>
      </w:r>
    </w:p>
    <w:p>
      <w:pPr>
        <w:pStyle w:val="11"/>
        <w:spacing w:line="560" w:lineRule="exact"/>
        <w:ind w:firstLine="315" w:firstLineChars="150"/>
        <w:rPr>
          <w:rFonts w:eastAsia="仿宋_GB2312"/>
          <w:sz w:val="32"/>
          <w:szCs w:val="32"/>
        </w:rPr>
      </w:pPr>
      <w:r>
        <w:fldChar w:fldCharType="begin"/>
      </w:r>
      <w:r>
        <w:instrText xml:space="preserve"> HYPERLINK \l "_Toc15396604" </w:instrText>
      </w:r>
      <w:r>
        <w:fldChar w:fldCharType="separate"/>
      </w:r>
      <w:r>
        <w:rPr>
          <w:rStyle w:val="14"/>
          <w:rFonts w:eastAsia="仿宋_GB2312"/>
          <w:sz w:val="32"/>
          <w:szCs w:val="32"/>
        </w:rPr>
        <w:t>二、收入决算情况说明</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_Toc15396604 \h </w:instrText>
      </w:r>
      <w:r>
        <w:rPr>
          <w:rFonts w:eastAsia="仿宋_GB2312"/>
          <w:sz w:val="32"/>
          <w:szCs w:val="32"/>
        </w:rPr>
        <w:fldChar w:fldCharType="separate"/>
      </w:r>
      <w:r>
        <w:rPr>
          <w:rFonts w:eastAsia="仿宋_GB2312"/>
          <w:sz w:val="32"/>
          <w:szCs w:val="32"/>
        </w:rPr>
        <w:t>7</w:t>
      </w:r>
      <w:r>
        <w:rPr>
          <w:rFonts w:eastAsia="仿宋_GB2312"/>
          <w:sz w:val="32"/>
          <w:szCs w:val="32"/>
        </w:rPr>
        <w:fldChar w:fldCharType="end"/>
      </w:r>
      <w:r>
        <w:rPr>
          <w:rFonts w:eastAsia="仿宋_GB2312"/>
          <w:sz w:val="32"/>
          <w:szCs w:val="32"/>
        </w:rPr>
        <w:fldChar w:fldCharType="end"/>
      </w:r>
    </w:p>
    <w:p>
      <w:pPr>
        <w:pStyle w:val="11"/>
        <w:spacing w:line="560" w:lineRule="exact"/>
        <w:ind w:firstLine="315" w:firstLineChars="150"/>
        <w:rPr>
          <w:rFonts w:eastAsia="仿宋_GB2312"/>
          <w:sz w:val="32"/>
          <w:szCs w:val="32"/>
        </w:rPr>
      </w:pPr>
      <w:r>
        <w:fldChar w:fldCharType="begin"/>
      </w:r>
      <w:r>
        <w:instrText xml:space="preserve"> HYPERLINK \l "_Toc15396605" </w:instrText>
      </w:r>
      <w:r>
        <w:fldChar w:fldCharType="separate"/>
      </w:r>
      <w:r>
        <w:rPr>
          <w:rStyle w:val="14"/>
          <w:rFonts w:eastAsia="仿宋_GB2312"/>
          <w:sz w:val="32"/>
          <w:szCs w:val="32"/>
        </w:rPr>
        <w:t>三、支出决算情况说明</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_Toc15396605 \h </w:instrText>
      </w:r>
      <w:r>
        <w:rPr>
          <w:rFonts w:eastAsia="仿宋_GB2312"/>
          <w:sz w:val="32"/>
          <w:szCs w:val="32"/>
        </w:rPr>
        <w:fldChar w:fldCharType="separate"/>
      </w:r>
      <w:r>
        <w:rPr>
          <w:rFonts w:eastAsia="仿宋_GB2312"/>
          <w:sz w:val="32"/>
          <w:szCs w:val="32"/>
        </w:rPr>
        <w:t>8</w:t>
      </w:r>
      <w:r>
        <w:rPr>
          <w:rFonts w:eastAsia="仿宋_GB2312"/>
          <w:sz w:val="32"/>
          <w:szCs w:val="32"/>
        </w:rPr>
        <w:fldChar w:fldCharType="end"/>
      </w:r>
      <w:r>
        <w:rPr>
          <w:rFonts w:eastAsia="仿宋_GB2312"/>
          <w:sz w:val="32"/>
          <w:szCs w:val="32"/>
        </w:rPr>
        <w:fldChar w:fldCharType="end"/>
      </w:r>
    </w:p>
    <w:p>
      <w:pPr>
        <w:pStyle w:val="11"/>
        <w:spacing w:line="560" w:lineRule="exact"/>
        <w:ind w:firstLine="315" w:firstLineChars="150"/>
        <w:rPr>
          <w:rFonts w:eastAsia="仿宋_GB2312"/>
          <w:sz w:val="32"/>
          <w:szCs w:val="32"/>
        </w:rPr>
      </w:pPr>
      <w:r>
        <w:fldChar w:fldCharType="begin"/>
      </w:r>
      <w:r>
        <w:instrText xml:space="preserve"> HYPERLINK \l "_Toc15396606" </w:instrText>
      </w:r>
      <w:r>
        <w:fldChar w:fldCharType="separate"/>
      </w:r>
      <w:r>
        <w:rPr>
          <w:rStyle w:val="14"/>
          <w:rFonts w:eastAsia="仿宋_GB2312"/>
          <w:sz w:val="32"/>
          <w:szCs w:val="32"/>
        </w:rPr>
        <w:t>四、财政拨款收入支出决算总体情况说明</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_Toc15396606 \h </w:instrText>
      </w:r>
      <w:r>
        <w:rPr>
          <w:rFonts w:eastAsia="仿宋_GB2312"/>
          <w:sz w:val="32"/>
          <w:szCs w:val="32"/>
        </w:rPr>
        <w:fldChar w:fldCharType="separate"/>
      </w:r>
      <w:r>
        <w:rPr>
          <w:rFonts w:eastAsia="仿宋_GB2312"/>
          <w:sz w:val="32"/>
          <w:szCs w:val="32"/>
        </w:rPr>
        <w:t>8</w:t>
      </w:r>
      <w:r>
        <w:rPr>
          <w:rFonts w:eastAsia="仿宋_GB2312"/>
          <w:sz w:val="32"/>
          <w:szCs w:val="32"/>
        </w:rPr>
        <w:fldChar w:fldCharType="end"/>
      </w:r>
      <w:r>
        <w:rPr>
          <w:rFonts w:eastAsia="仿宋_GB2312"/>
          <w:sz w:val="32"/>
          <w:szCs w:val="32"/>
        </w:rPr>
        <w:fldChar w:fldCharType="end"/>
      </w:r>
    </w:p>
    <w:p>
      <w:pPr>
        <w:pStyle w:val="11"/>
        <w:spacing w:line="560" w:lineRule="exact"/>
        <w:ind w:firstLine="315" w:firstLineChars="150"/>
        <w:rPr>
          <w:rFonts w:eastAsia="仿宋_GB2312"/>
          <w:sz w:val="32"/>
          <w:szCs w:val="32"/>
        </w:rPr>
      </w:pPr>
      <w:r>
        <w:fldChar w:fldCharType="begin"/>
      </w:r>
      <w:r>
        <w:instrText xml:space="preserve"> HYPERLINK \l "_Toc15396607" </w:instrText>
      </w:r>
      <w:r>
        <w:fldChar w:fldCharType="separate"/>
      </w:r>
      <w:r>
        <w:rPr>
          <w:rStyle w:val="14"/>
          <w:rFonts w:eastAsia="仿宋_GB2312"/>
          <w:sz w:val="32"/>
          <w:szCs w:val="32"/>
        </w:rPr>
        <w:t>五、一般公共预算财政拨款支出决算情况说明</w:t>
      </w:r>
      <w:r>
        <w:rPr>
          <w:rFonts w:eastAsia="仿宋_GB2312"/>
          <w:sz w:val="32"/>
          <w:szCs w:val="32"/>
        </w:rPr>
        <w:tab/>
      </w:r>
      <w:r>
        <w:rPr>
          <w:rFonts w:eastAsia="仿宋_GB2312"/>
          <w:sz w:val="32"/>
          <w:szCs w:val="32"/>
        </w:rPr>
        <w:t>9</w:t>
      </w:r>
      <w:r>
        <w:rPr>
          <w:rFonts w:eastAsia="仿宋_GB2312"/>
          <w:sz w:val="32"/>
          <w:szCs w:val="32"/>
        </w:rPr>
        <w:fldChar w:fldCharType="end"/>
      </w:r>
    </w:p>
    <w:p>
      <w:pPr>
        <w:pStyle w:val="11"/>
        <w:spacing w:line="560" w:lineRule="exact"/>
        <w:ind w:firstLine="315" w:firstLineChars="150"/>
        <w:rPr>
          <w:rFonts w:eastAsia="仿宋_GB2312"/>
          <w:sz w:val="32"/>
          <w:szCs w:val="32"/>
        </w:rPr>
      </w:pPr>
      <w:r>
        <w:fldChar w:fldCharType="begin"/>
      </w:r>
      <w:r>
        <w:instrText xml:space="preserve"> HYPERLINK \l "_Toc15396608" </w:instrText>
      </w:r>
      <w:r>
        <w:fldChar w:fldCharType="separate"/>
      </w:r>
      <w:r>
        <w:rPr>
          <w:rStyle w:val="14"/>
          <w:rFonts w:eastAsia="仿宋_GB2312"/>
          <w:sz w:val="32"/>
          <w:szCs w:val="32"/>
        </w:rPr>
        <w:t>六、一般公共预算财政拨款基本支出决算情况说明</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_Toc15396608 \h </w:instrText>
      </w:r>
      <w:r>
        <w:rPr>
          <w:rFonts w:eastAsia="仿宋_GB2312"/>
          <w:sz w:val="32"/>
          <w:szCs w:val="32"/>
        </w:rPr>
        <w:fldChar w:fldCharType="separate"/>
      </w:r>
      <w:r>
        <w:rPr>
          <w:rFonts w:eastAsia="仿宋_GB2312"/>
          <w:sz w:val="32"/>
          <w:szCs w:val="32"/>
        </w:rPr>
        <w:t>11</w:t>
      </w:r>
      <w:r>
        <w:rPr>
          <w:rFonts w:eastAsia="仿宋_GB2312"/>
          <w:sz w:val="32"/>
          <w:szCs w:val="32"/>
        </w:rPr>
        <w:fldChar w:fldCharType="end"/>
      </w:r>
      <w:r>
        <w:rPr>
          <w:rFonts w:eastAsia="仿宋_GB2312"/>
          <w:sz w:val="32"/>
          <w:szCs w:val="32"/>
        </w:rPr>
        <w:fldChar w:fldCharType="end"/>
      </w:r>
    </w:p>
    <w:p>
      <w:pPr>
        <w:pStyle w:val="11"/>
        <w:spacing w:line="560" w:lineRule="exact"/>
        <w:ind w:firstLine="315" w:firstLineChars="150"/>
        <w:rPr>
          <w:rFonts w:eastAsia="仿宋_GB2312"/>
          <w:sz w:val="32"/>
          <w:szCs w:val="32"/>
        </w:rPr>
      </w:pPr>
      <w:r>
        <w:fldChar w:fldCharType="begin"/>
      </w:r>
      <w:r>
        <w:instrText xml:space="preserve"> HYPERLINK \l "_Toc15396609" </w:instrText>
      </w:r>
      <w:r>
        <w:fldChar w:fldCharType="separate"/>
      </w:r>
      <w:r>
        <w:rPr>
          <w:rStyle w:val="14"/>
          <w:rFonts w:eastAsia="仿宋_GB2312"/>
          <w:sz w:val="32"/>
          <w:szCs w:val="32"/>
        </w:rPr>
        <w:t>七、“三公”经费财政拨款支出决算情况说明</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_Toc15396609 \h </w:instrText>
      </w:r>
      <w:r>
        <w:rPr>
          <w:rFonts w:eastAsia="仿宋_GB2312"/>
          <w:sz w:val="32"/>
          <w:szCs w:val="32"/>
        </w:rPr>
        <w:fldChar w:fldCharType="separate"/>
      </w:r>
      <w:r>
        <w:rPr>
          <w:rFonts w:eastAsia="仿宋_GB2312"/>
          <w:sz w:val="32"/>
          <w:szCs w:val="32"/>
        </w:rPr>
        <w:t>11</w:t>
      </w:r>
      <w:r>
        <w:rPr>
          <w:rFonts w:eastAsia="仿宋_GB2312"/>
          <w:sz w:val="32"/>
          <w:szCs w:val="32"/>
        </w:rPr>
        <w:fldChar w:fldCharType="end"/>
      </w:r>
      <w:r>
        <w:rPr>
          <w:rFonts w:eastAsia="仿宋_GB2312"/>
          <w:sz w:val="32"/>
          <w:szCs w:val="32"/>
        </w:rPr>
        <w:fldChar w:fldCharType="end"/>
      </w:r>
    </w:p>
    <w:p>
      <w:pPr>
        <w:pStyle w:val="11"/>
        <w:spacing w:line="560" w:lineRule="exact"/>
        <w:ind w:firstLine="315" w:firstLineChars="150"/>
        <w:rPr>
          <w:rFonts w:eastAsia="仿宋_GB2312"/>
          <w:sz w:val="32"/>
          <w:szCs w:val="32"/>
        </w:rPr>
      </w:pPr>
      <w:r>
        <w:fldChar w:fldCharType="begin"/>
      </w:r>
      <w:r>
        <w:instrText xml:space="preserve"> HYPERLINK \l "_Toc15396610" </w:instrText>
      </w:r>
      <w:r>
        <w:fldChar w:fldCharType="separate"/>
      </w:r>
      <w:r>
        <w:rPr>
          <w:rStyle w:val="14"/>
          <w:rFonts w:eastAsia="仿宋_GB2312"/>
          <w:sz w:val="32"/>
          <w:szCs w:val="32"/>
        </w:rPr>
        <w:t>八、政府性基金预算支出决算情况说明</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_Toc15396610 \h </w:instrText>
      </w:r>
      <w:r>
        <w:rPr>
          <w:rFonts w:eastAsia="仿宋_GB2312"/>
          <w:sz w:val="32"/>
          <w:szCs w:val="32"/>
        </w:rPr>
        <w:fldChar w:fldCharType="separate"/>
      </w:r>
      <w:r>
        <w:rPr>
          <w:rFonts w:eastAsia="仿宋_GB2312"/>
          <w:sz w:val="32"/>
          <w:szCs w:val="32"/>
        </w:rPr>
        <w:t>13</w:t>
      </w:r>
      <w:r>
        <w:rPr>
          <w:rFonts w:eastAsia="仿宋_GB2312"/>
          <w:sz w:val="32"/>
          <w:szCs w:val="32"/>
        </w:rPr>
        <w:fldChar w:fldCharType="end"/>
      </w:r>
      <w:r>
        <w:rPr>
          <w:rFonts w:eastAsia="仿宋_GB2312"/>
          <w:sz w:val="32"/>
          <w:szCs w:val="32"/>
        </w:rPr>
        <w:fldChar w:fldCharType="end"/>
      </w:r>
    </w:p>
    <w:p>
      <w:pPr>
        <w:pStyle w:val="11"/>
        <w:spacing w:line="560" w:lineRule="exact"/>
        <w:ind w:firstLine="315" w:firstLineChars="150"/>
        <w:rPr>
          <w:rFonts w:eastAsia="仿宋_GB2312"/>
          <w:sz w:val="32"/>
          <w:szCs w:val="32"/>
        </w:rPr>
      </w:pPr>
      <w:r>
        <w:fldChar w:fldCharType="begin"/>
      </w:r>
      <w:r>
        <w:instrText xml:space="preserve"> HYPERLINK \l "_Toc15396611" </w:instrText>
      </w:r>
      <w:r>
        <w:fldChar w:fldCharType="separate"/>
      </w:r>
      <w:r>
        <w:rPr>
          <w:rStyle w:val="14"/>
          <w:rFonts w:eastAsia="仿宋_GB2312"/>
          <w:sz w:val="32"/>
          <w:szCs w:val="32"/>
        </w:rPr>
        <w:t>九、国有资本经营预算支出决算情况说明</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_Toc15396611 \h </w:instrText>
      </w:r>
      <w:r>
        <w:rPr>
          <w:rFonts w:eastAsia="仿宋_GB2312"/>
          <w:sz w:val="32"/>
          <w:szCs w:val="32"/>
        </w:rPr>
        <w:fldChar w:fldCharType="separate"/>
      </w:r>
      <w:r>
        <w:rPr>
          <w:rFonts w:eastAsia="仿宋_GB2312"/>
          <w:sz w:val="32"/>
          <w:szCs w:val="32"/>
        </w:rPr>
        <w:t>13</w:t>
      </w:r>
      <w:r>
        <w:rPr>
          <w:rFonts w:eastAsia="仿宋_GB2312"/>
          <w:sz w:val="32"/>
          <w:szCs w:val="32"/>
        </w:rPr>
        <w:fldChar w:fldCharType="end"/>
      </w:r>
      <w:r>
        <w:rPr>
          <w:rFonts w:eastAsia="仿宋_GB2312"/>
          <w:sz w:val="32"/>
          <w:szCs w:val="32"/>
        </w:rPr>
        <w:fldChar w:fldCharType="end"/>
      </w:r>
    </w:p>
    <w:p>
      <w:pPr>
        <w:pStyle w:val="11"/>
        <w:spacing w:line="560" w:lineRule="exact"/>
        <w:ind w:firstLine="320" w:firstLineChars="100"/>
        <w:rPr>
          <w:rFonts w:eastAsia="仿宋_GB2312"/>
          <w:sz w:val="32"/>
          <w:szCs w:val="32"/>
        </w:rPr>
      </w:pPr>
      <w:r>
        <w:rPr>
          <w:rStyle w:val="14"/>
          <w:rFonts w:eastAsia="仿宋_GB2312"/>
          <w:color w:val="000000"/>
          <w:sz w:val="32"/>
          <w:szCs w:val="32"/>
          <w:u w:val="none"/>
        </w:rPr>
        <w:t>十、预算绩效情况说明………………………  ………13</w:t>
      </w:r>
    </w:p>
    <w:p>
      <w:pPr>
        <w:pStyle w:val="11"/>
        <w:spacing w:line="560" w:lineRule="exact"/>
        <w:ind w:firstLine="315" w:firstLineChars="150"/>
        <w:rPr>
          <w:rFonts w:eastAsia="仿宋_GB2312"/>
          <w:sz w:val="32"/>
          <w:szCs w:val="32"/>
        </w:rPr>
      </w:pPr>
      <w:r>
        <w:fldChar w:fldCharType="begin"/>
      </w:r>
      <w:r>
        <w:instrText xml:space="preserve"> HYPERLINK \l "_Toc15396612" </w:instrText>
      </w:r>
      <w:r>
        <w:fldChar w:fldCharType="separate"/>
      </w:r>
      <w:r>
        <w:rPr>
          <w:rStyle w:val="14"/>
          <w:rFonts w:eastAsia="仿宋_GB2312"/>
          <w:sz w:val="32"/>
          <w:szCs w:val="32"/>
        </w:rPr>
        <w:t>十一、其他重要事项的情况说明</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_Toc15396612 \h </w:instrText>
      </w:r>
      <w:r>
        <w:rPr>
          <w:rFonts w:eastAsia="仿宋_GB2312"/>
          <w:sz w:val="32"/>
          <w:szCs w:val="32"/>
        </w:rPr>
        <w:fldChar w:fldCharType="separate"/>
      </w:r>
      <w:r>
        <w:rPr>
          <w:rFonts w:eastAsia="仿宋_GB2312"/>
          <w:sz w:val="32"/>
          <w:szCs w:val="32"/>
        </w:rPr>
        <w:t>13</w:t>
      </w:r>
      <w:r>
        <w:rPr>
          <w:rFonts w:eastAsia="仿宋_GB2312"/>
          <w:sz w:val="32"/>
          <w:szCs w:val="32"/>
        </w:rPr>
        <w:fldChar w:fldCharType="end"/>
      </w:r>
      <w:r>
        <w:rPr>
          <w:rFonts w:eastAsia="仿宋_GB2312"/>
          <w:sz w:val="32"/>
          <w:szCs w:val="32"/>
        </w:rPr>
        <w:fldChar w:fldCharType="end"/>
      </w:r>
    </w:p>
    <w:p>
      <w:pPr>
        <w:pStyle w:val="10"/>
        <w:spacing w:line="560" w:lineRule="exact"/>
        <w:rPr>
          <w:rFonts w:ascii="Times New Roman" w:hAnsi="Times New Roman" w:eastAsia="仿宋_GB2312" w:cs="Times New Roman"/>
          <w:sz w:val="32"/>
          <w:szCs w:val="32"/>
        </w:rPr>
      </w:pPr>
      <w:r>
        <w:fldChar w:fldCharType="begin"/>
      </w:r>
      <w:r>
        <w:instrText xml:space="preserve"> HYPERLINK \l "_Toc15396613" </w:instrText>
      </w:r>
      <w:r>
        <w:fldChar w:fldCharType="separate"/>
      </w:r>
      <w:r>
        <w:rPr>
          <w:rStyle w:val="14"/>
          <w:rFonts w:ascii="Times New Roman" w:hAnsi="Times New Roman" w:eastAsia="仿宋_GB2312" w:cs="Times New Roman"/>
          <w:b/>
          <w:kern w:val="44"/>
          <w:sz w:val="32"/>
          <w:szCs w:val="32"/>
        </w:rPr>
        <w:t xml:space="preserve">第三部分    </w:t>
      </w:r>
      <w:r>
        <w:rPr>
          <w:rStyle w:val="14"/>
          <w:rFonts w:ascii="Times New Roman" w:hAnsi="Times New Roman" w:eastAsia="仿宋_GB2312" w:cs="Times New Roman"/>
          <w:b/>
          <w:sz w:val="32"/>
          <w:szCs w:val="32"/>
        </w:rPr>
        <w:t>名</w:t>
      </w:r>
      <w:r>
        <w:rPr>
          <w:rStyle w:val="14"/>
          <w:rFonts w:ascii="Times New Roman" w:hAnsi="Times New Roman" w:eastAsia="仿宋_GB2312" w:cs="Times New Roman"/>
          <w:b/>
          <w:kern w:val="44"/>
          <w:sz w:val="32"/>
          <w:szCs w:val="32"/>
        </w:rPr>
        <w:t>词解释</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_Toc15396613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spacing w:line="560" w:lineRule="exact"/>
        <w:rPr>
          <w:rFonts w:ascii="Times New Roman" w:hAnsi="Times New Roman" w:eastAsia="仿宋_GB2312" w:cs="Times New Roman"/>
          <w:sz w:val="32"/>
          <w:szCs w:val="32"/>
        </w:rPr>
      </w:pPr>
      <w:r>
        <w:fldChar w:fldCharType="begin"/>
      </w:r>
      <w:r>
        <w:instrText xml:space="preserve"> HYPERLINK \l "_Toc15396614" </w:instrText>
      </w:r>
      <w:r>
        <w:fldChar w:fldCharType="separate"/>
      </w:r>
      <w:r>
        <w:rPr>
          <w:rStyle w:val="14"/>
          <w:rFonts w:ascii="Times New Roman" w:hAnsi="Times New Roman" w:eastAsia="仿宋_GB2312" w:cs="Times New Roman"/>
          <w:b/>
          <w:sz w:val="32"/>
          <w:szCs w:val="32"/>
        </w:rPr>
        <w:t>第</w:t>
      </w:r>
      <w:r>
        <w:rPr>
          <w:rStyle w:val="14"/>
          <w:rFonts w:ascii="Times New Roman" w:hAnsi="Times New Roman" w:eastAsia="仿宋_GB2312" w:cs="Times New Roman"/>
          <w:b/>
          <w:kern w:val="44"/>
          <w:sz w:val="32"/>
          <w:szCs w:val="32"/>
        </w:rPr>
        <w:t>四部分    附件</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_Toc15396614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1"/>
        <w:spacing w:line="560" w:lineRule="exact"/>
        <w:ind w:firstLine="315" w:firstLineChars="150"/>
        <w:rPr>
          <w:rFonts w:eastAsia="仿宋_GB2312"/>
          <w:sz w:val="32"/>
          <w:szCs w:val="32"/>
        </w:rPr>
      </w:pPr>
      <w:r>
        <w:fldChar w:fldCharType="begin"/>
      </w:r>
      <w:r>
        <w:instrText xml:space="preserve"> HYPERLINK \l "_Toc15396615" </w:instrText>
      </w:r>
      <w:r>
        <w:fldChar w:fldCharType="separate"/>
      </w:r>
      <w:r>
        <w:rPr>
          <w:rStyle w:val="14"/>
          <w:rFonts w:eastAsia="仿宋_GB2312"/>
          <w:kern w:val="44"/>
          <w:sz w:val="32"/>
          <w:szCs w:val="32"/>
        </w:rPr>
        <w:t>附件1</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_Toc15396615 \h </w:instrText>
      </w:r>
      <w:r>
        <w:rPr>
          <w:rFonts w:eastAsia="仿宋_GB2312"/>
          <w:sz w:val="32"/>
          <w:szCs w:val="32"/>
        </w:rPr>
        <w:fldChar w:fldCharType="separate"/>
      </w:r>
      <w:r>
        <w:rPr>
          <w:rFonts w:eastAsia="仿宋_GB2312"/>
          <w:sz w:val="32"/>
          <w:szCs w:val="32"/>
        </w:rPr>
        <w:t>17</w:t>
      </w:r>
      <w:r>
        <w:rPr>
          <w:rFonts w:eastAsia="仿宋_GB2312"/>
          <w:sz w:val="32"/>
          <w:szCs w:val="32"/>
        </w:rPr>
        <w:fldChar w:fldCharType="end"/>
      </w:r>
      <w:r>
        <w:rPr>
          <w:rFonts w:eastAsia="仿宋_GB2312"/>
          <w:sz w:val="32"/>
          <w:szCs w:val="32"/>
        </w:rPr>
        <w:fldChar w:fldCharType="end"/>
      </w:r>
    </w:p>
    <w:p>
      <w:pPr>
        <w:pStyle w:val="10"/>
        <w:spacing w:line="560" w:lineRule="exact"/>
        <w:rPr>
          <w:rFonts w:ascii="Times New Roman" w:hAnsi="Times New Roman" w:eastAsia="仿宋_GB2312" w:cs="Times New Roman"/>
          <w:sz w:val="32"/>
          <w:szCs w:val="32"/>
        </w:rPr>
      </w:pPr>
      <w:r>
        <w:fldChar w:fldCharType="begin"/>
      </w:r>
      <w:r>
        <w:instrText xml:space="preserve"> HYPERLINK \l "_Toc15396618" </w:instrText>
      </w:r>
      <w:r>
        <w:fldChar w:fldCharType="separate"/>
      </w:r>
      <w:r>
        <w:rPr>
          <w:rStyle w:val="14"/>
          <w:rFonts w:ascii="Times New Roman" w:hAnsi="Times New Roman" w:eastAsia="仿宋_GB2312" w:cs="Times New Roman"/>
          <w:b/>
          <w:sz w:val="32"/>
          <w:szCs w:val="32"/>
        </w:rPr>
        <w:t>第</w:t>
      </w:r>
      <w:r>
        <w:rPr>
          <w:rStyle w:val="14"/>
          <w:rFonts w:ascii="Times New Roman" w:hAnsi="Times New Roman" w:eastAsia="仿宋_GB2312" w:cs="Times New Roman"/>
          <w:b/>
          <w:kern w:val="44"/>
          <w:sz w:val="32"/>
          <w:szCs w:val="32"/>
        </w:rPr>
        <w:t>五部分    附表</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_Toc15396618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1"/>
        <w:spacing w:line="560" w:lineRule="exact"/>
        <w:ind w:firstLine="320" w:firstLineChars="100"/>
        <w:rPr>
          <w:rFonts w:eastAsia="仿宋_GB2312"/>
          <w:sz w:val="32"/>
          <w:szCs w:val="32"/>
        </w:rPr>
      </w:pPr>
      <w:r>
        <w:rPr>
          <w:rFonts w:eastAsia="仿宋_GB2312"/>
          <w:sz w:val="32"/>
          <w:szCs w:val="32"/>
        </w:rPr>
        <w:t>一、</w:t>
      </w:r>
      <w:r>
        <w:fldChar w:fldCharType="begin"/>
      </w:r>
      <w:r>
        <w:instrText xml:space="preserve"> HYPERLINK \l "_Toc15396619" </w:instrText>
      </w:r>
      <w:r>
        <w:fldChar w:fldCharType="separate"/>
      </w:r>
      <w:r>
        <w:rPr>
          <w:rStyle w:val="14"/>
          <w:rFonts w:eastAsia="仿宋_GB2312"/>
          <w:sz w:val="32"/>
          <w:szCs w:val="32"/>
        </w:rPr>
        <w:t>收入支出决算总表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_Toc15396619 \h </w:instrText>
      </w:r>
      <w:r>
        <w:rPr>
          <w:rFonts w:eastAsia="仿宋_GB2312"/>
          <w:sz w:val="32"/>
          <w:szCs w:val="32"/>
        </w:rPr>
        <w:fldChar w:fldCharType="separate"/>
      </w:r>
      <w:r>
        <w:rPr>
          <w:rFonts w:eastAsia="仿宋_GB2312"/>
          <w:sz w:val="32"/>
          <w:szCs w:val="32"/>
        </w:rPr>
        <w:t>21</w:t>
      </w:r>
      <w:r>
        <w:rPr>
          <w:rFonts w:eastAsia="仿宋_GB2312"/>
          <w:sz w:val="32"/>
          <w:szCs w:val="32"/>
        </w:rPr>
        <w:fldChar w:fldCharType="end"/>
      </w:r>
      <w:r>
        <w:rPr>
          <w:rFonts w:eastAsia="仿宋_GB2312"/>
          <w:sz w:val="32"/>
          <w:szCs w:val="32"/>
        </w:rPr>
        <w:fldChar w:fldCharType="end"/>
      </w:r>
    </w:p>
    <w:p>
      <w:pPr>
        <w:pStyle w:val="11"/>
        <w:spacing w:line="560" w:lineRule="exact"/>
        <w:ind w:firstLine="320" w:firstLineChars="100"/>
        <w:rPr>
          <w:rFonts w:eastAsia="仿宋_GB2312"/>
          <w:sz w:val="32"/>
          <w:szCs w:val="32"/>
        </w:rPr>
      </w:pPr>
      <w:r>
        <w:rPr>
          <w:rFonts w:eastAsia="仿宋_GB2312"/>
          <w:sz w:val="32"/>
          <w:szCs w:val="32"/>
        </w:rPr>
        <w:t>二、</w:t>
      </w:r>
      <w:r>
        <w:fldChar w:fldCharType="begin"/>
      </w:r>
      <w:r>
        <w:instrText xml:space="preserve"> HYPERLINK \l "_Toc15396620" </w:instrText>
      </w:r>
      <w:r>
        <w:fldChar w:fldCharType="separate"/>
      </w:r>
      <w:r>
        <w:rPr>
          <w:rStyle w:val="14"/>
          <w:rFonts w:eastAsia="仿宋_GB2312"/>
          <w:sz w:val="32"/>
          <w:szCs w:val="32"/>
        </w:rPr>
        <w:t>收入总表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_Toc15396620 \h </w:instrText>
      </w:r>
      <w:r>
        <w:rPr>
          <w:rFonts w:eastAsia="仿宋_GB2312"/>
          <w:sz w:val="32"/>
          <w:szCs w:val="32"/>
        </w:rPr>
        <w:fldChar w:fldCharType="separate"/>
      </w:r>
      <w:r>
        <w:rPr>
          <w:rFonts w:eastAsia="仿宋_GB2312"/>
          <w:sz w:val="32"/>
          <w:szCs w:val="32"/>
        </w:rPr>
        <w:t>21</w:t>
      </w:r>
      <w:r>
        <w:rPr>
          <w:rFonts w:eastAsia="仿宋_GB2312"/>
          <w:sz w:val="32"/>
          <w:szCs w:val="32"/>
        </w:rPr>
        <w:fldChar w:fldCharType="end"/>
      </w:r>
      <w:r>
        <w:rPr>
          <w:rFonts w:eastAsia="仿宋_GB2312"/>
          <w:sz w:val="32"/>
          <w:szCs w:val="32"/>
        </w:rPr>
        <w:fldChar w:fldCharType="end"/>
      </w:r>
    </w:p>
    <w:p>
      <w:pPr>
        <w:pStyle w:val="11"/>
        <w:spacing w:line="560" w:lineRule="exact"/>
        <w:ind w:firstLine="320" w:firstLineChars="100"/>
        <w:rPr>
          <w:rFonts w:eastAsia="仿宋_GB2312"/>
          <w:sz w:val="32"/>
          <w:szCs w:val="32"/>
        </w:rPr>
      </w:pPr>
      <w:r>
        <w:rPr>
          <w:rFonts w:eastAsia="仿宋_GB2312"/>
          <w:sz w:val="32"/>
          <w:szCs w:val="32"/>
        </w:rPr>
        <w:t>三、</w:t>
      </w:r>
      <w:r>
        <w:fldChar w:fldCharType="begin"/>
      </w:r>
      <w:r>
        <w:instrText xml:space="preserve"> HYPERLINK \l "_Toc15396621" </w:instrText>
      </w:r>
      <w:r>
        <w:fldChar w:fldCharType="separate"/>
      </w:r>
      <w:r>
        <w:rPr>
          <w:rStyle w:val="14"/>
          <w:rFonts w:eastAsia="仿宋_GB2312"/>
          <w:sz w:val="32"/>
          <w:szCs w:val="32"/>
        </w:rPr>
        <w:t>支出总表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_Toc15396621 \h </w:instrText>
      </w:r>
      <w:r>
        <w:rPr>
          <w:rFonts w:eastAsia="仿宋_GB2312"/>
          <w:sz w:val="32"/>
          <w:szCs w:val="32"/>
        </w:rPr>
        <w:fldChar w:fldCharType="separate"/>
      </w:r>
      <w:r>
        <w:rPr>
          <w:rFonts w:eastAsia="仿宋_GB2312"/>
          <w:sz w:val="32"/>
          <w:szCs w:val="32"/>
        </w:rPr>
        <w:t>21</w:t>
      </w:r>
      <w:r>
        <w:rPr>
          <w:rFonts w:eastAsia="仿宋_GB2312"/>
          <w:sz w:val="32"/>
          <w:szCs w:val="32"/>
        </w:rPr>
        <w:fldChar w:fldCharType="end"/>
      </w:r>
      <w:r>
        <w:rPr>
          <w:rFonts w:eastAsia="仿宋_GB2312"/>
          <w:sz w:val="32"/>
          <w:szCs w:val="32"/>
        </w:rPr>
        <w:fldChar w:fldCharType="end"/>
      </w:r>
    </w:p>
    <w:p>
      <w:pPr>
        <w:pStyle w:val="11"/>
        <w:spacing w:line="560" w:lineRule="exact"/>
        <w:ind w:firstLine="320" w:firstLineChars="100"/>
        <w:rPr>
          <w:rFonts w:eastAsia="仿宋_GB2312"/>
          <w:sz w:val="32"/>
          <w:szCs w:val="32"/>
        </w:rPr>
      </w:pPr>
      <w:r>
        <w:rPr>
          <w:rFonts w:eastAsia="仿宋_GB2312"/>
          <w:sz w:val="32"/>
          <w:szCs w:val="32"/>
        </w:rPr>
        <w:t>四、</w:t>
      </w:r>
      <w:r>
        <w:fldChar w:fldCharType="begin"/>
      </w:r>
      <w:r>
        <w:instrText xml:space="preserve"> HYPERLINK \l "_Toc15396622" </w:instrText>
      </w:r>
      <w:r>
        <w:fldChar w:fldCharType="separate"/>
      </w:r>
      <w:r>
        <w:rPr>
          <w:rStyle w:val="14"/>
          <w:rFonts w:eastAsia="仿宋_GB2312"/>
          <w:sz w:val="32"/>
          <w:szCs w:val="32"/>
        </w:rPr>
        <w:t>财政拨款收入支出决算总表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_Toc15396622 \h </w:instrText>
      </w:r>
      <w:r>
        <w:rPr>
          <w:rFonts w:eastAsia="仿宋_GB2312"/>
          <w:sz w:val="32"/>
          <w:szCs w:val="32"/>
        </w:rPr>
        <w:fldChar w:fldCharType="separate"/>
      </w:r>
      <w:r>
        <w:rPr>
          <w:rFonts w:eastAsia="仿宋_GB2312"/>
          <w:sz w:val="32"/>
          <w:szCs w:val="32"/>
        </w:rPr>
        <w:t>21</w:t>
      </w:r>
      <w:r>
        <w:rPr>
          <w:rFonts w:eastAsia="仿宋_GB2312"/>
          <w:sz w:val="32"/>
          <w:szCs w:val="32"/>
        </w:rPr>
        <w:fldChar w:fldCharType="end"/>
      </w:r>
      <w:r>
        <w:rPr>
          <w:rFonts w:eastAsia="仿宋_GB2312"/>
          <w:sz w:val="32"/>
          <w:szCs w:val="32"/>
        </w:rPr>
        <w:fldChar w:fldCharType="end"/>
      </w:r>
    </w:p>
    <w:p>
      <w:pPr>
        <w:pStyle w:val="11"/>
        <w:spacing w:line="560" w:lineRule="exact"/>
        <w:ind w:left="739" w:leftChars="352"/>
        <w:rPr>
          <w:rFonts w:eastAsia="仿宋_GB2312"/>
          <w:sz w:val="32"/>
          <w:szCs w:val="32"/>
        </w:rPr>
      </w:pPr>
      <w:r>
        <w:rPr>
          <w:rFonts w:eastAsia="仿宋_GB2312"/>
          <w:sz w:val="32"/>
          <w:szCs w:val="32"/>
        </w:rPr>
        <w:t>五、</w:t>
      </w:r>
      <w:r>
        <w:fldChar w:fldCharType="begin"/>
      </w:r>
      <w:r>
        <w:instrText xml:space="preserve"> HYPERLINK \l "_Toc15396623" </w:instrText>
      </w:r>
      <w:r>
        <w:fldChar w:fldCharType="separate"/>
      </w:r>
      <w:r>
        <w:rPr>
          <w:rFonts w:eastAsia="仿宋_GB2312"/>
          <w:sz w:val="32"/>
          <w:szCs w:val="32"/>
        </w:rPr>
        <w:t>财政拨款支出决算明细表（政府经济分类科目）</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_Toc15396623 \h </w:instrText>
      </w:r>
      <w:r>
        <w:rPr>
          <w:rFonts w:eastAsia="仿宋_GB2312"/>
          <w:sz w:val="32"/>
          <w:szCs w:val="32"/>
        </w:rPr>
        <w:fldChar w:fldCharType="separate"/>
      </w:r>
      <w:r>
        <w:rPr>
          <w:rFonts w:eastAsia="仿宋_GB2312"/>
          <w:sz w:val="32"/>
          <w:szCs w:val="32"/>
        </w:rPr>
        <w:t>21</w:t>
      </w:r>
      <w:r>
        <w:rPr>
          <w:rFonts w:eastAsia="仿宋_GB2312"/>
          <w:sz w:val="32"/>
          <w:szCs w:val="32"/>
        </w:rPr>
        <w:fldChar w:fldCharType="end"/>
      </w:r>
      <w:r>
        <w:rPr>
          <w:rFonts w:eastAsia="仿宋_GB2312"/>
          <w:sz w:val="32"/>
          <w:szCs w:val="32"/>
        </w:rPr>
        <w:fldChar w:fldCharType="end"/>
      </w:r>
    </w:p>
    <w:p>
      <w:pPr>
        <w:pStyle w:val="11"/>
        <w:spacing w:line="560" w:lineRule="exact"/>
        <w:ind w:firstLine="320" w:firstLineChars="100"/>
        <w:rPr>
          <w:rFonts w:eastAsia="仿宋_GB2312"/>
          <w:sz w:val="32"/>
          <w:szCs w:val="32"/>
        </w:rPr>
      </w:pPr>
      <w:r>
        <w:rPr>
          <w:rFonts w:eastAsia="仿宋_GB2312"/>
          <w:sz w:val="32"/>
          <w:szCs w:val="32"/>
        </w:rPr>
        <w:t>六、</w:t>
      </w:r>
      <w:r>
        <w:fldChar w:fldCharType="begin"/>
      </w:r>
      <w:r>
        <w:instrText xml:space="preserve"> HYPERLINK \l "_Toc15396624" </w:instrText>
      </w:r>
      <w:r>
        <w:fldChar w:fldCharType="separate"/>
      </w:r>
      <w:r>
        <w:rPr>
          <w:rStyle w:val="14"/>
          <w:rFonts w:eastAsia="仿宋_GB2312"/>
          <w:sz w:val="32"/>
          <w:szCs w:val="32"/>
        </w:rPr>
        <w:t>一般公共预算财政拨款支出决算表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_Toc15396624 \h </w:instrText>
      </w:r>
      <w:r>
        <w:rPr>
          <w:rFonts w:eastAsia="仿宋_GB2312"/>
          <w:sz w:val="32"/>
          <w:szCs w:val="32"/>
        </w:rPr>
        <w:fldChar w:fldCharType="separate"/>
      </w:r>
      <w:r>
        <w:rPr>
          <w:rFonts w:eastAsia="仿宋_GB2312"/>
          <w:sz w:val="32"/>
          <w:szCs w:val="32"/>
        </w:rPr>
        <w:t>21</w:t>
      </w:r>
      <w:r>
        <w:rPr>
          <w:rFonts w:eastAsia="仿宋_GB2312"/>
          <w:sz w:val="32"/>
          <w:szCs w:val="32"/>
        </w:rPr>
        <w:fldChar w:fldCharType="end"/>
      </w:r>
      <w:r>
        <w:rPr>
          <w:rFonts w:eastAsia="仿宋_GB2312"/>
          <w:sz w:val="32"/>
          <w:szCs w:val="32"/>
        </w:rPr>
        <w:fldChar w:fldCharType="end"/>
      </w:r>
    </w:p>
    <w:p>
      <w:pPr>
        <w:pStyle w:val="11"/>
        <w:spacing w:line="560" w:lineRule="exact"/>
        <w:ind w:firstLine="320" w:firstLineChars="100"/>
        <w:rPr>
          <w:rFonts w:eastAsia="仿宋_GB2312"/>
          <w:sz w:val="32"/>
          <w:szCs w:val="32"/>
        </w:rPr>
      </w:pPr>
      <w:r>
        <w:rPr>
          <w:rFonts w:eastAsia="仿宋_GB2312"/>
          <w:sz w:val="32"/>
          <w:szCs w:val="32"/>
        </w:rPr>
        <w:t>七、</w:t>
      </w:r>
      <w:r>
        <w:fldChar w:fldCharType="begin"/>
      </w:r>
      <w:r>
        <w:instrText xml:space="preserve"> HYPERLINK \l "_Toc15396625" </w:instrText>
      </w:r>
      <w:r>
        <w:fldChar w:fldCharType="separate"/>
      </w:r>
      <w:r>
        <w:rPr>
          <w:rStyle w:val="14"/>
          <w:rFonts w:eastAsia="仿宋_GB2312"/>
          <w:sz w:val="32"/>
          <w:szCs w:val="32"/>
        </w:rPr>
        <w:t>一般公共预算财政拨款支出决算明细表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_Toc15396625 \h </w:instrText>
      </w:r>
      <w:r>
        <w:rPr>
          <w:rFonts w:eastAsia="仿宋_GB2312"/>
          <w:sz w:val="32"/>
          <w:szCs w:val="32"/>
        </w:rPr>
        <w:fldChar w:fldCharType="separate"/>
      </w:r>
      <w:r>
        <w:rPr>
          <w:rFonts w:eastAsia="仿宋_GB2312"/>
          <w:sz w:val="32"/>
          <w:szCs w:val="32"/>
        </w:rPr>
        <w:t>21</w:t>
      </w:r>
      <w:r>
        <w:rPr>
          <w:rFonts w:eastAsia="仿宋_GB2312"/>
          <w:sz w:val="32"/>
          <w:szCs w:val="32"/>
        </w:rPr>
        <w:fldChar w:fldCharType="end"/>
      </w:r>
      <w:r>
        <w:rPr>
          <w:rFonts w:eastAsia="仿宋_GB2312"/>
          <w:sz w:val="32"/>
          <w:szCs w:val="32"/>
        </w:rPr>
        <w:fldChar w:fldCharType="end"/>
      </w:r>
    </w:p>
    <w:p>
      <w:pPr>
        <w:pStyle w:val="11"/>
        <w:spacing w:line="560" w:lineRule="exact"/>
        <w:ind w:firstLine="320" w:firstLineChars="100"/>
        <w:rPr>
          <w:rFonts w:eastAsia="仿宋_GB2312"/>
          <w:sz w:val="32"/>
          <w:szCs w:val="32"/>
        </w:rPr>
      </w:pPr>
      <w:r>
        <w:rPr>
          <w:rFonts w:eastAsia="仿宋_GB2312"/>
          <w:sz w:val="32"/>
          <w:szCs w:val="32"/>
        </w:rPr>
        <w:t>八、</w:t>
      </w:r>
      <w:r>
        <w:fldChar w:fldCharType="begin"/>
      </w:r>
      <w:r>
        <w:instrText xml:space="preserve"> HYPERLINK \l "_Toc15396626" </w:instrText>
      </w:r>
      <w:r>
        <w:fldChar w:fldCharType="separate"/>
      </w:r>
      <w:r>
        <w:rPr>
          <w:rStyle w:val="14"/>
          <w:rFonts w:eastAsia="仿宋_GB2312"/>
          <w:sz w:val="32"/>
          <w:szCs w:val="32"/>
        </w:rPr>
        <w:t>一般公共预算财政拨款基本支出决算表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_Toc15396626 \h </w:instrText>
      </w:r>
      <w:r>
        <w:rPr>
          <w:rFonts w:eastAsia="仿宋_GB2312"/>
          <w:sz w:val="32"/>
          <w:szCs w:val="32"/>
        </w:rPr>
        <w:fldChar w:fldCharType="separate"/>
      </w:r>
      <w:r>
        <w:rPr>
          <w:rFonts w:eastAsia="仿宋_GB2312"/>
          <w:sz w:val="32"/>
          <w:szCs w:val="32"/>
        </w:rPr>
        <w:t>21</w:t>
      </w:r>
      <w:r>
        <w:rPr>
          <w:rFonts w:eastAsia="仿宋_GB2312"/>
          <w:sz w:val="32"/>
          <w:szCs w:val="32"/>
        </w:rPr>
        <w:fldChar w:fldCharType="end"/>
      </w:r>
      <w:r>
        <w:rPr>
          <w:rFonts w:eastAsia="仿宋_GB2312"/>
          <w:sz w:val="32"/>
          <w:szCs w:val="32"/>
        </w:rPr>
        <w:fldChar w:fldCharType="end"/>
      </w:r>
    </w:p>
    <w:p>
      <w:pPr>
        <w:pStyle w:val="11"/>
        <w:spacing w:line="560" w:lineRule="exact"/>
        <w:ind w:firstLine="320" w:firstLineChars="100"/>
        <w:rPr>
          <w:rFonts w:eastAsia="仿宋_GB2312"/>
          <w:sz w:val="32"/>
          <w:szCs w:val="32"/>
        </w:rPr>
      </w:pPr>
      <w:r>
        <w:rPr>
          <w:rFonts w:eastAsia="仿宋_GB2312"/>
          <w:sz w:val="32"/>
          <w:szCs w:val="32"/>
        </w:rPr>
        <w:t>九、</w:t>
      </w:r>
      <w:r>
        <w:fldChar w:fldCharType="begin"/>
      </w:r>
      <w:r>
        <w:instrText xml:space="preserve"> HYPERLINK \l "_Toc15396627" </w:instrText>
      </w:r>
      <w:r>
        <w:fldChar w:fldCharType="separate"/>
      </w:r>
      <w:r>
        <w:rPr>
          <w:rStyle w:val="14"/>
          <w:rFonts w:eastAsia="仿宋_GB2312"/>
          <w:sz w:val="32"/>
          <w:szCs w:val="32"/>
        </w:rPr>
        <w:t>一般公共预算财政拨款项目支出决算表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_Toc15396627 \h </w:instrText>
      </w:r>
      <w:r>
        <w:rPr>
          <w:rFonts w:eastAsia="仿宋_GB2312"/>
          <w:sz w:val="32"/>
          <w:szCs w:val="32"/>
        </w:rPr>
        <w:fldChar w:fldCharType="separate"/>
      </w:r>
      <w:r>
        <w:rPr>
          <w:rFonts w:eastAsia="仿宋_GB2312"/>
          <w:sz w:val="32"/>
          <w:szCs w:val="32"/>
        </w:rPr>
        <w:t>21</w:t>
      </w:r>
      <w:r>
        <w:rPr>
          <w:rFonts w:eastAsia="仿宋_GB2312"/>
          <w:sz w:val="32"/>
          <w:szCs w:val="32"/>
        </w:rPr>
        <w:fldChar w:fldCharType="end"/>
      </w:r>
      <w:r>
        <w:rPr>
          <w:rFonts w:eastAsia="仿宋_GB2312"/>
          <w:sz w:val="32"/>
          <w:szCs w:val="32"/>
        </w:rPr>
        <w:fldChar w:fldCharType="end"/>
      </w:r>
    </w:p>
    <w:p>
      <w:pPr>
        <w:pStyle w:val="11"/>
        <w:spacing w:line="560" w:lineRule="exact"/>
        <w:ind w:firstLine="320" w:firstLineChars="100"/>
        <w:rPr>
          <w:rFonts w:eastAsia="仿宋_GB2312"/>
          <w:sz w:val="32"/>
          <w:szCs w:val="32"/>
        </w:rPr>
      </w:pPr>
      <w:r>
        <w:rPr>
          <w:rFonts w:eastAsia="仿宋_GB2312"/>
          <w:sz w:val="32"/>
          <w:szCs w:val="32"/>
        </w:rPr>
        <w:t>十、</w:t>
      </w:r>
      <w:r>
        <w:fldChar w:fldCharType="begin"/>
      </w:r>
      <w:r>
        <w:instrText xml:space="preserve"> HYPERLINK \l "_Toc15396628" </w:instrText>
      </w:r>
      <w:r>
        <w:fldChar w:fldCharType="separate"/>
      </w:r>
      <w:r>
        <w:rPr>
          <w:rStyle w:val="14"/>
          <w:rFonts w:eastAsia="仿宋_GB2312"/>
          <w:sz w:val="32"/>
          <w:szCs w:val="32"/>
        </w:rPr>
        <w:t>一般公共预算财政拨款“三公”经费支出决算表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_Toc15396628 \h </w:instrText>
      </w:r>
      <w:r>
        <w:rPr>
          <w:rFonts w:eastAsia="仿宋_GB2312"/>
          <w:sz w:val="32"/>
          <w:szCs w:val="32"/>
        </w:rPr>
        <w:fldChar w:fldCharType="separate"/>
      </w:r>
      <w:r>
        <w:rPr>
          <w:rFonts w:eastAsia="仿宋_GB2312"/>
          <w:sz w:val="32"/>
          <w:szCs w:val="32"/>
        </w:rPr>
        <w:t>21</w:t>
      </w:r>
      <w:r>
        <w:rPr>
          <w:rFonts w:eastAsia="仿宋_GB2312"/>
          <w:sz w:val="32"/>
          <w:szCs w:val="32"/>
        </w:rPr>
        <w:fldChar w:fldCharType="end"/>
      </w:r>
      <w:r>
        <w:rPr>
          <w:rFonts w:eastAsia="仿宋_GB2312"/>
          <w:sz w:val="32"/>
          <w:szCs w:val="32"/>
        </w:rPr>
        <w:fldChar w:fldCharType="end"/>
      </w:r>
    </w:p>
    <w:p>
      <w:pPr>
        <w:pStyle w:val="11"/>
        <w:spacing w:line="560" w:lineRule="exact"/>
        <w:ind w:firstLine="320" w:firstLineChars="100"/>
        <w:rPr>
          <w:rFonts w:eastAsia="仿宋_GB2312"/>
          <w:sz w:val="32"/>
          <w:szCs w:val="32"/>
        </w:rPr>
      </w:pPr>
      <w:r>
        <w:rPr>
          <w:rFonts w:eastAsia="仿宋_GB2312"/>
          <w:sz w:val="32"/>
          <w:szCs w:val="32"/>
        </w:rPr>
        <w:t>十一、</w:t>
      </w:r>
      <w:r>
        <w:fldChar w:fldCharType="begin"/>
      </w:r>
      <w:r>
        <w:instrText xml:space="preserve"> HYPERLINK \l "_Toc15396629" </w:instrText>
      </w:r>
      <w:r>
        <w:fldChar w:fldCharType="separate"/>
      </w:r>
      <w:r>
        <w:rPr>
          <w:rStyle w:val="14"/>
          <w:rFonts w:eastAsia="仿宋_GB2312"/>
          <w:sz w:val="32"/>
          <w:szCs w:val="32"/>
        </w:rPr>
        <w:t>政府性基金预算财政拨款收入支出决算表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_Toc15396629 \h </w:instrText>
      </w:r>
      <w:r>
        <w:rPr>
          <w:rFonts w:eastAsia="仿宋_GB2312"/>
          <w:sz w:val="32"/>
          <w:szCs w:val="32"/>
        </w:rPr>
        <w:fldChar w:fldCharType="separate"/>
      </w:r>
      <w:r>
        <w:rPr>
          <w:rFonts w:eastAsia="仿宋_GB2312"/>
          <w:sz w:val="32"/>
          <w:szCs w:val="32"/>
        </w:rPr>
        <w:t>21</w:t>
      </w:r>
      <w:r>
        <w:rPr>
          <w:rFonts w:eastAsia="仿宋_GB2312"/>
          <w:sz w:val="32"/>
          <w:szCs w:val="32"/>
        </w:rPr>
        <w:fldChar w:fldCharType="end"/>
      </w:r>
      <w:r>
        <w:rPr>
          <w:rFonts w:eastAsia="仿宋_GB2312"/>
          <w:sz w:val="32"/>
          <w:szCs w:val="32"/>
        </w:rPr>
        <w:fldChar w:fldCharType="end"/>
      </w:r>
    </w:p>
    <w:p>
      <w:pPr>
        <w:pStyle w:val="11"/>
        <w:spacing w:line="560" w:lineRule="exact"/>
        <w:ind w:left="739" w:leftChars="352"/>
        <w:rPr>
          <w:rFonts w:eastAsia="仿宋_GB2312"/>
          <w:sz w:val="32"/>
          <w:szCs w:val="32"/>
        </w:rPr>
      </w:pPr>
      <w:r>
        <w:rPr>
          <w:rFonts w:eastAsia="仿宋_GB2312"/>
          <w:sz w:val="32"/>
          <w:szCs w:val="32"/>
        </w:rPr>
        <w:t>十二、</w:t>
      </w:r>
      <w:r>
        <w:fldChar w:fldCharType="begin"/>
      </w:r>
      <w:r>
        <w:instrText xml:space="preserve"> HYPERLINK \l "_Toc15396630" </w:instrText>
      </w:r>
      <w:r>
        <w:fldChar w:fldCharType="separate"/>
      </w:r>
      <w:r>
        <w:rPr>
          <w:rStyle w:val="14"/>
          <w:rFonts w:eastAsia="仿宋_GB2312"/>
          <w:sz w:val="32"/>
          <w:szCs w:val="32"/>
        </w:rPr>
        <w:t>政府性基金预算财政拨款“三公”经费支出决算表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_Toc15396630 \h </w:instrText>
      </w:r>
      <w:r>
        <w:rPr>
          <w:rFonts w:eastAsia="仿宋_GB2312"/>
          <w:sz w:val="32"/>
          <w:szCs w:val="32"/>
        </w:rPr>
        <w:fldChar w:fldCharType="separate"/>
      </w:r>
      <w:r>
        <w:rPr>
          <w:rFonts w:eastAsia="仿宋_GB2312"/>
          <w:sz w:val="32"/>
          <w:szCs w:val="32"/>
        </w:rPr>
        <w:t>21</w:t>
      </w:r>
      <w:r>
        <w:rPr>
          <w:rFonts w:eastAsia="仿宋_GB2312"/>
          <w:sz w:val="32"/>
          <w:szCs w:val="32"/>
        </w:rPr>
        <w:fldChar w:fldCharType="end"/>
      </w:r>
      <w:r>
        <w:rPr>
          <w:rFonts w:eastAsia="仿宋_GB2312"/>
          <w:sz w:val="32"/>
          <w:szCs w:val="32"/>
        </w:rPr>
        <w:fldChar w:fldCharType="end"/>
      </w:r>
    </w:p>
    <w:p>
      <w:pPr>
        <w:pStyle w:val="11"/>
        <w:spacing w:line="560" w:lineRule="exact"/>
        <w:ind w:firstLine="320" w:firstLineChars="100"/>
        <w:rPr>
          <w:rFonts w:eastAsia="仿宋_GB2312"/>
          <w:sz w:val="32"/>
          <w:szCs w:val="32"/>
        </w:rPr>
      </w:pPr>
      <w:r>
        <w:rPr>
          <w:rFonts w:eastAsia="仿宋_GB2312"/>
          <w:sz w:val="32"/>
          <w:szCs w:val="32"/>
        </w:rPr>
        <w:t>十三、</w:t>
      </w:r>
      <w:r>
        <w:fldChar w:fldCharType="begin"/>
      </w:r>
      <w:r>
        <w:instrText xml:space="preserve"> HYPERLINK \l "_Toc15396631" </w:instrText>
      </w:r>
      <w:r>
        <w:fldChar w:fldCharType="separate"/>
      </w:r>
      <w:r>
        <w:rPr>
          <w:rStyle w:val="14"/>
          <w:rFonts w:eastAsia="仿宋_GB2312"/>
          <w:sz w:val="32"/>
          <w:szCs w:val="32"/>
        </w:rPr>
        <w:t>国有资本经营预算支出决算表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_Toc15396631 \h </w:instrText>
      </w:r>
      <w:r>
        <w:rPr>
          <w:rFonts w:eastAsia="仿宋_GB2312"/>
          <w:sz w:val="32"/>
          <w:szCs w:val="32"/>
        </w:rPr>
        <w:fldChar w:fldCharType="separate"/>
      </w:r>
      <w:r>
        <w:rPr>
          <w:rFonts w:eastAsia="仿宋_GB2312"/>
          <w:sz w:val="32"/>
          <w:szCs w:val="32"/>
        </w:rPr>
        <w:t>21</w:t>
      </w:r>
      <w:r>
        <w:rPr>
          <w:rFonts w:eastAsia="仿宋_GB2312"/>
          <w:sz w:val="32"/>
          <w:szCs w:val="32"/>
        </w:rPr>
        <w:fldChar w:fldCharType="end"/>
      </w:r>
      <w:r>
        <w:rPr>
          <w:rFonts w:eastAsia="仿宋_GB2312"/>
          <w:sz w:val="32"/>
          <w:szCs w:val="32"/>
        </w:rPr>
        <w:fldChar w:fldCharType="end"/>
      </w:r>
    </w:p>
    <w:p>
      <w:pPr>
        <w:widowControl/>
        <w:spacing w:line="560" w:lineRule="exact"/>
        <w:jc w:val="left"/>
        <w:rPr>
          <w:rFonts w:eastAsia="仿宋_GB2312"/>
          <w:color w:val="000000"/>
          <w:sz w:val="32"/>
          <w:szCs w:val="32"/>
        </w:rPr>
      </w:pPr>
      <w:r>
        <w:rPr>
          <w:rFonts w:eastAsia="仿宋_GB2312"/>
          <w:color w:val="000000"/>
          <w:sz w:val="32"/>
          <w:szCs w:val="32"/>
        </w:rPr>
        <w:fldChar w:fldCharType="end"/>
      </w:r>
    </w:p>
    <w:p>
      <w:pPr>
        <w:widowControl/>
        <w:spacing w:line="560" w:lineRule="exact"/>
        <w:jc w:val="left"/>
        <w:rPr>
          <w:rFonts w:eastAsia="仿宋_GB2312"/>
          <w:b/>
          <w:bCs/>
          <w:sz w:val="32"/>
          <w:szCs w:val="32"/>
        </w:rPr>
      </w:pPr>
      <w:bookmarkStart w:id="14" w:name="_Toc15396599"/>
      <w:bookmarkStart w:id="15" w:name="_Toc15377196"/>
    </w:p>
    <w:p>
      <w:pPr>
        <w:widowControl/>
        <w:spacing w:line="560" w:lineRule="exact"/>
        <w:jc w:val="left"/>
        <w:rPr>
          <w:rFonts w:eastAsia="仿宋_GB2312"/>
          <w:b/>
          <w:bCs/>
          <w:sz w:val="32"/>
          <w:szCs w:val="32"/>
        </w:rPr>
      </w:pPr>
    </w:p>
    <w:p>
      <w:pPr>
        <w:widowControl/>
        <w:spacing w:line="560" w:lineRule="exact"/>
        <w:jc w:val="left"/>
        <w:rPr>
          <w:rFonts w:eastAsia="仿宋_GB2312"/>
          <w:b/>
          <w:bCs/>
          <w:sz w:val="32"/>
          <w:szCs w:val="32"/>
        </w:rPr>
      </w:pPr>
    </w:p>
    <w:p>
      <w:pPr>
        <w:widowControl/>
        <w:spacing w:line="560" w:lineRule="exact"/>
        <w:jc w:val="left"/>
        <w:rPr>
          <w:rFonts w:eastAsia="仿宋_GB2312"/>
          <w:b/>
          <w:bCs/>
          <w:sz w:val="32"/>
          <w:szCs w:val="32"/>
        </w:rPr>
      </w:pPr>
    </w:p>
    <w:p>
      <w:pPr>
        <w:widowControl/>
        <w:spacing w:line="560" w:lineRule="exact"/>
        <w:jc w:val="left"/>
        <w:rPr>
          <w:rFonts w:eastAsia="仿宋_GB2312"/>
          <w:b/>
          <w:bCs/>
          <w:sz w:val="32"/>
          <w:szCs w:val="32"/>
        </w:rPr>
      </w:pPr>
    </w:p>
    <w:p>
      <w:pPr>
        <w:widowControl/>
        <w:spacing w:line="560" w:lineRule="exact"/>
        <w:jc w:val="left"/>
        <w:rPr>
          <w:rFonts w:eastAsia="仿宋_GB2312"/>
          <w:b/>
          <w:bCs/>
          <w:sz w:val="32"/>
          <w:szCs w:val="32"/>
        </w:rPr>
      </w:pPr>
    </w:p>
    <w:p>
      <w:pPr>
        <w:widowControl/>
        <w:spacing w:line="560" w:lineRule="exact"/>
        <w:jc w:val="left"/>
        <w:rPr>
          <w:rFonts w:eastAsia="仿宋_GB2312"/>
          <w:b/>
          <w:bCs/>
          <w:sz w:val="32"/>
          <w:szCs w:val="32"/>
        </w:rPr>
      </w:pPr>
    </w:p>
    <w:p>
      <w:pPr>
        <w:widowControl/>
        <w:spacing w:line="560" w:lineRule="exact"/>
        <w:jc w:val="left"/>
        <w:rPr>
          <w:rFonts w:eastAsia="仿宋_GB2312"/>
          <w:kern w:val="44"/>
          <w:sz w:val="32"/>
          <w:szCs w:val="32"/>
        </w:rPr>
      </w:pPr>
    </w:p>
    <w:p>
      <w:pPr>
        <w:pStyle w:val="2"/>
        <w:numPr>
          <w:ilvl w:val="0"/>
          <w:numId w:val="1"/>
        </w:numPr>
        <w:spacing w:line="700" w:lineRule="exact"/>
        <w:jc w:val="center"/>
        <w:rPr>
          <w:rStyle w:val="16"/>
          <w:rFonts w:eastAsia="方正小标宋简体"/>
          <w:b/>
          <w:bCs/>
        </w:rPr>
      </w:pPr>
      <w:r>
        <w:rPr>
          <w:rFonts w:eastAsia="方正小标宋简体"/>
          <w:b w:val="0"/>
          <w:bCs w:val="0"/>
        </w:rPr>
        <w:t xml:space="preserve"> </w:t>
      </w:r>
      <w:r>
        <w:rPr>
          <w:rStyle w:val="16"/>
          <w:rFonts w:eastAsia="方正小标宋简体"/>
          <w:b w:val="0"/>
          <w:bCs w:val="0"/>
        </w:rPr>
        <w:t>部门概况</w:t>
      </w:r>
      <w:bookmarkEnd w:id="14"/>
      <w:bookmarkEnd w:id="15"/>
    </w:p>
    <w:p>
      <w:pPr>
        <w:pStyle w:val="3"/>
        <w:spacing w:line="560" w:lineRule="exact"/>
        <w:ind w:firstLine="640" w:firstLineChars="200"/>
        <w:rPr>
          <w:rFonts w:ascii="Times New Roman" w:hAnsi="Times New Roman" w:eastAsia="黑体" w:cs="Times New Roman"/>
          <w:b w:val="0"/>
          <w:bCs w:val="0"/>
          <w:color w:val="000000"/>
        </w:rPr>
      </w:pPr>
      <w:bookmarkStart w:id="16" w:name="_Toc15396600"/>
      <w:bookmarkStart w:id="17" w:name="_Toc15377197"/>
    </w:p>
    <w:p>
      <w:pPr>
        <w:pStyle w:val="3"/>
        <w:spacing w:line="560" w:lineRule="exact"/>
        <w:ind w:firstLine="640" w:firstLineChars="200"/>
        <w:rPr>
          <w:rStyle w:val="17"/>
          <w:rFonts w:ascii="Times New Roman" w:hAnsi="Times New Roman" w:eastAsia="黑体" w:cs="Times New Roman"/>
          <w:b w:val="0"/>
          <w:bCs w:val="0"/>
        </w:rPr>
      </w:pPr>
      <w:r>
        <w:rPr>
          <w:rFonts w:ascii="Times New Roman" w:hAnsi="Times New Roman" w:eastAsia="黑体" w:cs="Times New Roman"/>
          <w:b w:val="0"/>
          <w:bCs w:val="0"/>
          <w:color w:val="000000"/>
        </w:rPr>
        <w:t>一、基</w:t>
      </w:r>
      <w:r>
        <w:rPr>
          <w:rStyle w:val="17"/>
          <w:rFonts w:ascii="Times New Roman" w:hAnsi="Times New Roman" w:eastAsia="黑体" w:cs="Times New Roman"/>
          <w:b w:val="0"/>
          <w:bCs w:val="0"/>
        </w:rPr>
        <w:t>本职能及主要工作</w:t>
      </w:r>
      <w:bookmarkEnd w:id="16"/>
      <w:bookmarkEnd w:id="17"/>
    </w:p>
    <w:p>
      <w:pPr>
        <w:pStyle w:val="5"/>
        <w:adjustRightInd w:val="0"/>
        <w:snapToGrid w:val="0"/>
        <w:spacing w:before="93" w:line="560" w:lineRule="exact"/>
        <w:ind w:firstLine="675" w:firstLineChars="210"/>
        <w:outlineLvl w:val="2"/>
        <w:rPr>
          <w:rFonts w:ascii="Times New Roman" w:eastAsia="楷体_GB2312"/>
          <w:b/>
          <w:color w:val="000000"/>
          <w:sz w:val="32"/>
          <w:szCs w:val="32"/>
        </w:rPr>
      </w:pPr>
      <w:bookmarkStart w:id="18" w:name="_Toc15378445"/>
      <w:bookmarkStart w:id="19" w:name="_Toc15377198"/>
      <w:r>
        <w:rPr>
          <w:rFonts w:ascii="Times New Roman" w:eastAsia="楷体_GB2312"/>
          <w:b/>
          <w:color w:val="000000"/>
          <w:sz w:val="32"/>
          <w:szCs w:val="32"/>
        </w:rPr>
        <w:t>（一）主要职能</w:t>
      </w:r>
      <w:bookmarkEnd w:id="18"/>
      <w:bookmarkEnd w:id="19"/>
      <w:bookmarkStart w:id="20" w:name="_Toc15377199"/>
      <w:bookmarkStart w:id="21" w:name="_Toc15378446"/>
    </w:p>
    <w:p>
      <w:pPr>
        <w:pStyle w:val="5"/>
        <w:adjustRightInd w:val="0"/>
        <w:snapToGrid w:val="0"/>
        <w:spacing w:before="93" w:line="560" w:lineRule="exact"/>
        <w:ind w:firstLine="672" w:firstLineChars="210"/>
        <w:outlineLvl w:val="2"/>
        <w:rPr>
          <w:rFonts w:ascii="Times New Roman" w:eastAsia="仿宋_GB2312"/>
          <w:color w:val="000000"/>
          <w:sz w:val="32"/>
          <w:szCs w:val="32"/>
        </w:rPr>
      </w:pPr>
      <w:r>
        <w:rPr>
          <w:rFonts w:ascii="Times New Roman" w:eastAsia="仿宋_GB2312"/>
          <w:color w:val="000000"/>
          <w:sz w:val="32"/>
          <w:szCs w:val="32"/>
        </w:rPr>
        <w:t>1.贯彻执行国家、省、州人力资源和社会保障工作的相关法律、法规、规章和政策，拟订全县人力资源和社会保障事业发展规划、政策并组织实施和监督检查。</w:t>
      </w:r>
    </w:p>
    <w:p>
      <w:pPr>
        <w:pStyle w:val="5"/>
        <w:adjustRightInd w:val="0"/>
        <w:snapToGrid w:val="0"/>
        <w:spacing w:before="93" w:line="560" w:lineRule="exact"/>
        <w:ind w:firstLine="672" w:firstLineChars="210"/>
        <w:outlineLvl w:val="2"/>
        <w:rPr>
          <w:rFonts w:ascii="Times New Roman" w:eastAsia="仿宋_GB2312"/>
          <w:color w:val="000000"/>
          <w:sz w:val="32"/>
          <w:szCs w:val="32"/>
        </w:rPr>
      </w:pPr>
      <w:r>
        <w:rPr>
          <w:rFonts w:ascii="Times New Roman" w:eastAsia="仿宋_GB2312"/>
          <w:color w:val="000000"/>
          <w:sz w:val="32"/>
          <w:szCs w:val="32"/>
        </w:rPr>
        <w:t>2.拟订并组织实施人力资源市场发展规划，管理人力资源和社会保障公共服务机构，建立全县统一规范的人力资源市场，促进人力资源合理流动、有效配置。</w:t>
      </w:r>
    </w:p>
    <w:p>
      <w:pPr>
        <w:pStyle w:val="5"/>
        <w:adjustRightInd w:val="0"/>
        <w:snapToGrid w:val="0"/>
        <w:spacing w:before="93" w:line="560" w:lineRule="exact"/>
        <w:ind w:firstLine="672" w:firstLineChars="210"/>
        <w:outlineLvl w:val="2"/>
        <w:rPr>
          <w:rFonts w:ascii="Times New Roman" w:eastAsia="仿宋_GB2312"/>
          <w:color w:val="000000"/>
          <w:sz w:val="32"/>
          <w:szCs w:val="32"/>
        </w:rPr>
      </w:pPr>
      <w:r>
        <w:rPr>
          <w:rFonts w:ascii="Times New Roman" w:eastAsia="仿宋_GB2312"/>
          <w:color w:val="000000"/>
          <w:sz w:val="32"/>
          <w:szCs w:val="32"/>
        </w:rPr>
        <w:t>3.负责促进就业工作。</w:t>
      </w:r>
    </w:p>
    <w:p>
      <w:pPr>
        <w:pStyle w:val="5"/>
        <w:adjustRightInd w:val="0"/>
        <w:snapToGrid w:val="0"/>
        <w:spacing w:before="93" w:line="560" w:lineRule="exact"/>
        <w:ind w:firstLine="672" w:firstLineChars="210"/>
        <w:outlineLvl w:val="2"/>
        <w:rPr>
          <w:rFonts w:ascii="Times New Roman" w:eastAsia="仿宋_GB2312"/>
          <w:color w:val="000000"/>
          <w:sz w:val="32"/>
          <w:szCs w:val="32"/>
        </w:rPr>
      </w:pPr>
      <w:r>
        <w:rPr>
          <w:rFonts w:ascii="Times New Roman" w:eastAsia="仿宋_GB2312"/>
          <w:color w:val="000000"/>
          <w:sz w:val="32"/>
          <w:szCs w:val="32"/>
        </w:rPr>
        <w:t>4.统筹建立覆盖城乡的社会保障体系。</w:t>
      </w:r>
    </w:p>
    <w:p>
      <w:pPr>
        <w:pStyle w:val="5"/>
        <w:adjustRightInd w:val="0"/>
        <w:snapToGrid w:val="0"/>
        <w:spacing w:before="93" w:line="560" w:lineRule="exact"/>
        <w:ind w:firstLine="672" w:firstLineChars="210"/>
        <w:outlineLvl w:val="2"/>
        <w:rPr>
          <w:rFonts w:ascii="Times New Roman" w:eastAsia="仿宋_GB2312"/>
          <w:color w:val="000000"/>
          <w:sz w:val="32"/>
          <w:szCs w:val="32"/>
        </w:rPr>
      </w:pPr>
      <w:r>
        <w:rPr>
          <w:rFonts w:ascii="Times New Roman" w:eastAsia="仿宋_GB2312"/>
          <w:color w:val="000000"/>
          <w:sz w:val="32"/>
          <w:szCs w:val="32"/>
        </w:rPr>
        <w:t>5.负责就业、失业、社会保险基金预测预警和信息引导。</w:t>
      </w:r>
    </w:p>
    <w:p>
      <w:pPr>
        <w:pStyle w:val="5"/>
        <w:adjustRightInd w:val="0"/>
        <w:snapToGrid w:val="0"/>
        <w:spacing w:before="93" w:line="560" w:lineRule="exact"/>
        <w:ind w:firstLine="672" w:firstLineChars="210"/>
        <w:outlineLvl w:val="2"/>
        <w:rPr>
          <w:rFonts w:ascii="Times New Roman" w:eastAsia="仿宋_GB2312"/>
          <w:color w:val="000000"/>
          <w:sz w:val="32"/>
          <w:szCs w:val="32"/>
        </w:rPr>
      </w:pPr>
      <w:r>
        <w:rPr>
          <w:rFonts w:ascii="Times New Roman" w:eastAsia="仿宋_GB2312"/>
          <w:color w:val="000000"/>
          <w:sz w:val="32"/>
          <w:szCs w:val="32"/>
        </w:rPr>
        <w:t>6.综合管理全县机关企事业单位的工资福利工作。</w:t>
      </w:r>
    </w:p>
    <w:p>
      <w:pPr>
        <w:pStyle w:val="5"/>
        <w:adjustRightInd w:val="0"/>
        <w:snapToGrid w:val="0"/>
        <w:spacing w:before="93" w:line="560" w:lineRule="exact"/>
        <w:ind w:firstLine="672" w:firstLineChars="210"/>
        <w:outlineLvl w:val="2"/>
        <w:rPr>
          <w:rFonts w:ascii="Times New Roman" w:eastAsia="仿宋_GB2312"/>
          <w:color w:val="000000"/>
          <w:sz w:val="32"/>
          <w:szCs w:val="32"/>
        </w:rPr>
      </w:pPr>
      <w:r>
        <w:rPr>
          <w:rFonts w:ascii="Times New Roman" w:eastAsia="仿宋_GB2312"/>
          <w:color w:val="000000"/>
          <w:sz w:val="32"/>
          <w:szCs w:val="32"/>
        </w:rPr>
        <w:t>7.会同有关部门做好军队转业干部的安置工作。</w:t>
      </w:r>
    </w:p>
    <w:p>
      <w:pPr>
        <w:pStyle w:val="5"/>
        <w:adjustRightInd w:val="0"/>
        <w:snapToGrid w:val="0"/>
        <w:spacing w:before="93" w:line="560" w:lineRule="exact"/>
        <w:ind w:firstLine="672" w:firstLineChars="210"/>
        <w:outlineLvl w:val="2"/>
        <w:rPr>
          <w:rFonts w:ascii="Times New Roman" w:eastAsia="仿宋_GB2312"/>
          <w:color w:val="000000"/>
          <w:sz w:val="32"/>
          <w:szCs w:val="32"/>
        </w:rPr>
      </w:pPr>
      <w:r>
        <w:rPr>
          <w:rFonts w:ascii="Times New Roman" w:eastAsia="仿宋_GB2312"/>
          <w:color w:val="000000"/>
          <w:sz w:val="32"/>
          <w:szCs w:val="32"/>
        </w:rPr>
        <w:t>8.综合管理全县公务员，贯彻执行国家、省、州有关公务员分类、录用、考核、奖惩、任用、交流、培训、辞退等法律、法规、规章和政策，拟订贯彻事业单位工作人员参照《公务员法》管理和聘任制公务员管理的具体办法并组织实施和监督检查，指导、协调各乡、县级各部门公务员管理工作。</w:t>
      </w:r>
    </w:p>
    <w:p>
      <w:pPr>
        <w:pStyle w:val="5"/>
        <w:adjustRightInd w:val="0"/>
        <w:snapToGrid w:val="0"/>
        <w:spacing w:before="93" w:line="560" w:lineRule="exact"/>
        <w:ind w:firstLine="675" w:firstLineChars="210"/>
        <w:outlineLvl w:val="2"/>
        <w:rPr>
          <w:rFonts w:ascii="Times New Roman" w:eastAsia="楷体_GB2312"/>
          <w:b/>
          <w:color w:val="000000"/>
          <w:sz w:val="32"/>
          <w:szCs w:val="32"/>
        </w:rPr>
      </w:pPr>
      <w:r>
        <w:rPr>
          <w:rFonts w:ascii="Times New Roman" w:eastAsia="楷体_GB2312"/>
          <w:b/>
          <w:color w:val="000000"/>
          <w:sz w:val="32"/>
          <w:szCs w:val="32"/>
        </w:rPr>
        <w:t>（二）2018年重点工作完成情况</w:t>
      </w:r>
      <w:bookmarkEnd w:id="20"/>
      <w:bookmarkEnd w:id="21"/>
    </w:p>
    <w:p>
      <w:pPr>
        <w:pStyle w:val="5"/>
        <w:adjustRightInd w:val="0"/>
        <w:spacing w:before="93" w:line="560" w:lineRule="exact"/>
        <w:ind w:firstLine="672" w:firstLineChars="210"/>
        <w:outlineLvl w:val="2"/>
        <w:rPr>
          <w:rFonts w:ascii="Times New Roman" w:eastAsia="仿宋_GB2312"/>
          <w:bCs/>
          <w:color w:val="000000"/>
          <w:sz w:val="32"/>
          <w:szCs w:val="32"/>
        </w:rPr>
      </w:pPr>
      <w:r>
        <w:rPr>
          <w:rFonts w:ascii="Times New Roman" w:eastAsia="仿宋_GB2312"/>
          <w:bCs/>
          <w:color w:val="000000"/>
          <w:sz w:val="32"/>
          <w:szCs w:val="32"/>
        </w:rPr>
        <w:t>1.立足民生为本，就业创业助推扶贫</w:t>
      </w:r>
    </w:p>
    <w:p>
      <w:pPr>
        <w:pStyle w:val="5"/>
        <w:adjustRightInd w:val="0"/>
        <w:snapToGrid w:val="0"/>
        <w:spacing w:before="93" w:line="560" w:lineRule="exact"/>
        <w:ind w:firstLine="672" w:firstLineChars="210"/>
        <w:outlineLvl w:val="2"/>
        <w:rPr>
          <w:rFonts w:ascii="Times New Roman" w:eastAsia="仿宋_GB2312"/>
          <w:color w:val="000000"/>
          <w:sz w:val="32"/>
          <w:szCs w:val="32"/>
        </w:rPr>
      </w:pPr>
      <w:r>
        <w:rPr>
          <w:rFonts w:ascii="Times New Roman" w:eastAsia="仿宋_GB2312"/>
          <w:color w:val="000000"/>
          <w:sz w:val="32"/>
          <w:szCs w:val="32"/>
        </w:rPr>
        <w:t>我局紧紧围绕“为民生服务，为脱贫助力，为维稳减压”的思路，以贫困家庭“户户有就业”为目标，以今年的脱贫摘帽村为重点，以搭建平台，技能培训、创业服务，公益性岗位托底安置为具体方式，全面贯彻落实各项人社保障政策。</w:t>
      </w:r>
    </w:p>
    <w:p>
      <w:pPr>
        <w:pStyle w:val="5"/>
        <w:adjustRightInd w:val="0"/>
        <w:snapToGrid w:val="0"/>
        <w:spacing w:before="93" w:line="560" w:lineRule="exact"/>
        <w:ind w:firstLine="672" w:firstLineChars="210"/>
        <w:outlineLvl w:val="2"/>
        <w:rPr>
          <w:rFonts w:ascii="Times New Roman" w:eastAsia="仿宋_GB2312"/>
          <w:bCs/>
          <w:color w:val="000000"/>
          <w:sz w:val="32"/>
          <w:szCs w:val="32"/>
        </w:rPr>
      </w:pPr>
      <w:r>
        <w:rPr>
          <w:rFonts w:ascii="Times New Roman" w:eastAsia="仿宋_GB2312"/>
          <w:bCs/>
          <w:color w:val="000000"/>
          <w:sz w:val="32"/>
          <w:szCs w:val="32"/>
        </w:rPr>
        <w:t>2.按时完成退休人员待遇调整</w:t>
      </w:r>
    </w:p>
    <w:p>
      <w:pPr>
        <w:pStyle w:val="5"/>
        <w:adjustRightInd w:val="0"/>
        <w:snapToGrid w:val="0"/>
        <w:spacing w:before="93" w:line="560" w:lineRule="exact"/>
        <w:ind w:firstLine="672" w:firstLineChars="210"/>
        <w:outlineLvl w:val="2"/>
        <w:rPr>
          <w:rFonts w:ascii="Times New Roman" w:eastAsia="仿宋_GB2312"/>
          <w:color w:val="000000"/>
          <w:sz w:val="32"/>
          <w:szCs w:val="32"/>
        </w:rPr>
      </w:pPr>
      <w:r>
        <w:rPr>
          <w:rFonts w:ascii="Times New Roman" w:eastAsia="仿宋_GB2312"/>
          <w:color w:val="000000"/>
          <w:sz w:val="32"/>
          <w:szCs w:val="32"/>
        </w:rPr>
        <w:t>为确保退休人员及时领取增发养老金，7月底按照上级部门文件规定，完成退休人员的待遇调整。完成1515名退休人员调待工作，共计补发养老金242.8万元，人均增加养老金228.9元。</w:t>
      </w:r>
    </w:p>
    <w:p>
      <w:pPr>
        <w:pStyle w:val="5"/>
        <w:adjustRightInd w:val="0"/>
        <w:snapToGrid w:val="0"/>
        <w:spacing w:before="93" w:line="560" w:lineRule="exact"/>
        <w:ind w:firstLine="672" w:firstLineChars="210"/>
        <w:outlineLvl w:val="2"/>
        <w:rPr>
          <w:rFonts w:ascii="Times New Roman" w:eastAsia="仿宋_GB2312"/>
          <w:bCs/>
          <w:color w:val="000000"/>
          <w:sz w:val="32"/>
          <w:szCs w:val="32"/>
        </w:rPr>
      </w:pPr>
      <w:r>
        <w:rPr>
          <w:rFonts w:ascii="Times New Roman" w:eastAsia="仿宋_GB2312"/>
          <w:bCs/>
          <w:color w:val="000000"/>
          <w:sz w:val="32"/>
          <w:szCs w:val="32"/>
        </w:rPr>
        <w:t>3.积极推进社保扶贫</w:t>
      </w:r>
    </w:p>
    <w:p>
      <w:pPr>
        <w:pStyle w:val="5"/>
        <w:adjustRightInd w:val="0"/>
        <w:snapToGrid w:val="0"/>
        <w:spacing w:before="93" w:line="560" w:lineRule="exact"/>
        <w:ind w:firstLine="672" w:firstLineChars="210"/>
        <w:outlineLvl w:val="2"/>
        <w:rPr>
          <w:rFonts w:ascii="Times New Roman" w:eastAsia="仿宋_GB2312"/>
          <w:color w:val="000000"/>
          <w:sz w:val="32"/>
          <w:szCs w:val="32"/>
        </w:rPr>
      </w:pPr>
      <w:r>
        <w:rPr>
          <w:rFonts w:ascii="Times New Roman" w:eastAsia="仿宋_GB2312"/>
          <w:bCs/>
          <w:sz w:val="32"/>
          <w:szCs w:val="32"/>
        </w:rPr>
        <w:t>一是</w:t>
      </w:r>
      <w:r>
        <w:rPr>
          <w:rFonts w:ascii="Times New Roman" w:eastAsia="仿宋_GB2312"/>
          <w:sz w:val="32"/>
          <w:szCs w:val="32"/>
        </w:rPr>
        <w:t>已完成17465人建档立卡贫困人员政府代缴养老保险费174.65万元。</w:t>
      </w:r>
      <w:r>
        <w:rPr>
          <w:rFonts w:ascii="Times New Roman" w:eastAsia="仿宋_GB2312"/>
          <w:bCs/>
          <w:sz w:val="32"/>
          <w:szCs w:val="32"/>
        </w:rPr>
        <w:t>二是</w:t>
      </w:r>
      <w:r>
        <w:rPr>
          <w:rFonts w:ascii="Times New Roman" w:eastAsia="仿宋_GB2312"/>
          <w:sz w:val="32"/>
          <w:szCs w:val="32"/>
        </w:rPr>
        <w:t>积极为建档立卡贫困人员提供一站式报销服务，全年共为1922人次建档立卡贫困人员报销基本医疗保险费，报销767.15万元。</w:t>
      </w:r>
    </w:p>
    <w:p>
      <w:pPr>
        <w:spacing w:line="560" w:lineRule="exact"/>
        <w:ind w:firstLine="627" w:firstLineChars="196"/>
        <w:rPr>
          <w:rFonts w:eastAsia="仿宋_GB2312"/>
          <w:bCs/>
          <w:sz w:val="32"/>
          <w:szCs w:val="32"/>
        </w:rPr>
      </w:pPr>
      <w:r>
        <w:rPr>
          <w:rFonts w:eastAsia="仿宋_GB2312"/>
          <w:bCs/>
          <w:color w:val="000000"/>
          <w:kern w:val="0"/>
          <w:sz w:val="32"/>
          <w:szCs w:val="32"/>
        </w:rPr>
        <w:t>4.</w:t>
      </w:r>
      <w:r>
        <w:rPr>
          <w:rFonts w:eastAsia="仿宋_GB2312"/>
          <w:bCs/>
          <w:sz w:val="32"/>
          <w:szCs w:val="32"/>
        </w:rPr>
        <w:t>立足依法施管，人事制度改革不断深化</w:t>
      </w:r>
    </w:p>
    <w:p>
      <w:pPr>
        <w:spacing w:line="560" w:lineRule="exact"/>
        <w:ind w:firstLine="627" w:firstLineChars="196"/>
        <w:rPr>
          <w:rFonts w:eastAsia="仿宋_GB2312"/>
          <w:b/>
          <w:bCs/>
          <w:sz w:val="32"/>
          <w:szCs w:val="32"/>
        </w:rPr>
      </w:pPr>
      <w:r>
        <w:rPr>
          <w:rFonts w:eastAsia="仿宋_GB2312"/>
          <w:sz w:val="32"/>
          <w:szCs w:val="32"/>
        </w:rPr>
        <w:t>招录公务员51名，其中</w:t>
      </w:r>
      <w:r>
        <w:rPr>
          <w:rFonts w:eastAsia="仿宋_GB2312"/>
          <w:color w:val="333333"/>
          <w:sz w:val="32"/>
          <w:szCs w:val="32"/>
          <w:shd w:val="clear" w:color="auto" w:fill="FFFFFF"/>
        </w:rPr>
        <w:t>2018年上半年招录37名，县公安局招录9名，县森林公安招录2名，从公安院校招录1名、从“9+3”毕业生招录2名</w:t>
      </w:r>
      <w:r>
        <w:rPr>
          <w:rFonts w:eastAsia="仿宋_GB2312"/>
          <w:sz w:val="32"/>
          <w:szCs w:val="32"/>
        </w:rPr>
        <w:t>；招聘事业人员100人，其中公开招聘57人，直接考核招聘24人，定向医学生11人，执业医师转正2人，医学“3+3”3人，退役士兵安置1人，“9+3”退役士兵2人；招募“三支一扶”5人。全年共完成《聘用合同》签订备案117人。</w:t>
      </w:r>
    </w:p>
    <w:p>
      <w:pPr>
        <w:pStyle w:val="5"/>
        <w:adjustRightInd w:val="0"/>
        <w:snapToGrid w:val="0"/>
        <w:spacing w:before="93" w:line="560" w:lineRule="exact"/>
        <w:ind w:firstLine="627" w:firstLineChars="196"/>
        <w:outlineLvl w:val="2"/>
        <w:rPr>
          <w:rFonts w:ascii="Times New Roman" w:eastAsia="仿宋_GB2312"/>
          <w:bCs/>
          <w:color w:val="000000"/>
          <w:sz w:val="32"/>
          <w:szCs w:val="32"/>
        </w:rPr>
      </w:pPr>
      <w:r>
        <w:rPr>
          <w:rFonts w:ascii="Times New Roman" w:eastAsia="仿宋_GB2312"/>
          <w:bCs/>
          <w:color w:val="000000"/>
          <w:sz w:val="32"/>
          <w:szCs w:val="32"/>
        </w:rPr>
        <w:t>5.深化工资制度改革</w:t>
      </w:r>
    </w:p>
    <w:p>
      <w:pPr>
        <w:pStyle w:val="5"/>
        <w:adjustRightInd w:val="0"/>
        <w:snapToGrid w:val="0"/>
        <w:spacing w:before="93" w:line="560" w:lineRule="exact"/>
        <w:ind w:firstLine="627" w:firstLineChars="196"/>
        <w:outlineLvl w:val="2"/>
        <w:rPr>
          <w:rFonts w:ascii="Times New Roman" w:eastAsia="仿宋_GB2312"/>
          <w:color w:val="000000"/>
          <w:sz w:val="32"/>
          <w:szCs w:val="32"/>
        </w:rPr>
      </w:pPr>
      <w:r>
        <w:rPr>
          <w:rFonts w:ascii="Times New Roman" w:eastAsia="仿宋_GB2312"/>
          <w:color w:val="000000"/>
          <w:sz w:val="32"/>
          <w:szCs w:val="32"/>
        </w:rPr>
        <w:t>落实机关事业单位基本工作正常增长机制，按要求调整工作人员基本工资标准。做好艰边津贴增资兑现工作。</w:t>
      </w:r>
    </w:p>
    <w:p>
      <w:pPr>
        <w:spacing w:line="560" w:lineRule="exact"/>
        <w:ind w:firstLine="640" w:firstLineChars="200"/>
        <w:rPr>
          <w:rFonts w:eastAsia="仿宋_GB2312"/>
          <w:bCs/>
          <w:sz w:val="32"/>
          <w:szCs w:val="32"/>
        </w:rPr>
      </w:pPr>
      <w:r>
        <w:rPr>
          <w:rFonts w:eastAsia="仿宋_GB2312"/>
          <w:color w:val="000000"/>
          <w:sz w:val="32"/>
          <w:szCs w:val="32"/>
        </w:rPr>
        <w:t>6.</w:t>
      </w:r>
      <w:r>
        <w:rPr>
          <w:rFonts w:eastAsia="仿宋_GB2312"/>
          <w:bCs/>
          <w:sz w:val="32"/>
          <w:szCs w:val="32"/>
        </w:rPr>
        <w:t>立足优质高效，社会保障制度不断完善</w:t>
      </w:r>
    </w:p>
    <w:p>
      <w:pPr>
        <w:spacing w:line="560" w:lineRule="exact"/>
        <w:ind w:firstLine="640" w:firstLineChars="200"/>
        <w:rPr>
          <w:rFonts w:eastAsia="仿宋_GB2312"/>
          <w:sz w:val="32"/>
          <w:szCs w:val="32"/>
        </w:rPr>
      </w:pPr>
      <w:r>
        <w:rPr>
          <w:rFonts w:eastAsia="仿宋_GB2312"/>
          <w:sz w:val="32"/>
          <w:szCs w:val="32"/>
        </w:rPr>
        <w:t>社会保险覆盖范围进一步扩大，全县城乡居民养老保险覆盖人数为23000人，完成目标任务的115%；参保缴费18647人，待遇领取月均3623人，发放养老金月均36.07万元，截至目前共计发放养老金396.79万元。</w:t>
      </w:r>
      <w:r>
        <w:rPr>
          <w:rFonts w:eastAsia="仿宋_GB2312"/>
          <w:color w:val="000000"/>
          <w:kern w:val="0"/>
          <w:sz w:val="32"/>
          <w:szCs w:val="32"/>
        </w:rPr>
        <w:t>城乡居民医疗保险参保38589人，其中一般人员13553人，建卡贫困户10140人，低保人员12430人，农村五保供养及在乡优抚对象1381人，重度残疾451人。城乡居民医疗保险基金收入624.16万元，基金支出1292.73万元。</w:t>
      </w:r>
    </w:p>
    <w:p>
      <w:pPr>
        <w:pStyle w:val="3"/>
        <w:spacing w:line="560" w:lineRule="exact"/>
        <w:ind w:firstLine="640" w:firstLineChars="200"/>
        <w:rPr>
          <w:rStyle w:val="17"/>
          <w:rFonts w:ascii="Times New Roman" w:hAnsi="Times New Roman" w:eastAsia="黑体" w:cs="Times New Roman"/>
          <w:b w:val="0"/>
          <w:bCs w:val="0"/>
        </w:rPr>
      </w:pPr>
      <w:bookmarkStart w:id="22" w:name="_Toc15396601"/>
      <w:bookmarkStart w:id="23" w:name="_Toc15377200"/>
      <w:r>
        <w:rPr>
          <w:rFonts w:ascii="Times New Roman" w:hAnsi="Times New Roman" w:eastAsia="黑体" w:cs="Times New Roman"/>
          <w:b w:val="0"/>
          <w:bCs w:val="0"/>
          <w:color w:val="000000"/>
        </w:rPr>
        <w:t>二、机</w:t>
      </w:r>
      <w:r>
        <w:rPr>
          <w:rStyle w:val="17"/>
          <w:rFonts w:ascii="Times New Roman" w:hAnsi="Times New Roman" w:eastAsia="黑体" w:cs="Times New Roman"/>
          <w:b w:val="0"/>
          <w:bCs w:val="0"/>
        </w:rPr>
        <w:t>构设置</w:t>
      </w:r>
      <w:bookmarkEnd w:id="22"/>
      <w:bookmarkEnd w:id="23"/>
    </w:p>
    <w:p>
      <w:pPr>
        <w:spacing w:line="560" w:lineRule="exact"/>
        <w:ind w:firstLine="800" w:firstLineChars="250"/>
        <w:rPr>
          <w:rFonts w:eastAsia="仿宋_GB2312"/>
          <w:sz w:val="32"/>
          <w:szCs w:val="32"/>
        </w:rPr>
      </w:pPr>
      <w:r>
        <w:rPr>
          <w:rFonts w:eastAsia="仿宋_GB2312"/>
          <w:sz w:val="32"/>
          <w:szCs w:val="32"/>
        </w:rPr>
        <w:t>壤塘县人力资源和社会保障局下属二级单位3个，其中参照公务员法管理的事业单位2个，其他事业单位1个。</w:t>
      </w:r>
    </w:p>
    <w:p>
      <w:pPr>
        <w:pStyle w:val="2"/>
        <w:spacing w:line="560" w:lineRule="exact"/>
        <w:ind w:right="440"/>
        <w:jc w:val="right"/>
        <w:rPr>
          <w:rFonts w:eastAsia="仿宋_GB2312"/>
          <w:b w:val="0"/>
          <w:bCs w:val="0"/>
          <w:color w:val="000000"/>
          <w:sz w:val="32"/>
          <w:szCs w:val="32"/>
        </w:rPr>
      </w:pPr>
      <w:bookmarkStart w:id="24" w:name="_Toc15396602"/>
      <w:bookmarkStart w:id="25" w:name="_Toc15377204"/>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pStyle w:val="2"/>
        <w:numPr>
          <w:ilvl w:val="0"/>
          <w:numId w:val="1"/>
        </w:numPr>
        <w:spacing w:line="700" w:lineRule="exact"/>
        <w:ind w:right="440"/>
        <w:jc w:val="center"/>
        <w:rPr>
          <w:rStyle w:val="16"/>
          <w:rFonts w:eastAsia="方正小标宋简体"/>
          <w:b w:val="0"/>
          <w:bCs w:val="0"/>
        </w:rPr>
      </w:pPr>
      <w:r>
        <w:rPr>
          <w:rFonts w:eastAsia="方正小标宋简体"/>
          <w:b w:val="0"/>
          <w:bCs w:val="0"/>
          <w:color w:val="000000"/>
        </w:rPr>
        <w:t xml:space="preserve"> </w:t>
      </w:r>
      <w:r>
        <w:rPr>
          <w:rStyle w:val="16"/>
          <w:rFonts w:eastAsia="方正小标宋简体"/>
          <w:b w:val="0"/>
          <w:bCs w:val="0"/>
        </w:rPr>
        <w:t>2018年度部门决算情况说明</w:t>
      </w:r>
      <w:bookmarkEnd w:id="24"/>
      <w:bookmarkEnd w:id="25"/>
    </w:p>
    <w:p>
      <w:pPr>
        <w:spacing w:line="560" w:lineRule="exact"/>
        <w:rPr>
          <w:rFonts w:eastAsia="仿宋_GB2312"/>
          <w:sz w:val="32"/>
          <w:szCs w:val="32"/>
        </w:rPr>
      </w:pPr>
    </w:p>
    <w:p>
      <w:pPr>
        <w:pStyle w:val="27"/>
        <w:numPr>
          <w:ilvl w:val="0"/>
          <w:numId w:val="2"/>
        </w:numPr>
        <w:spacing w:line="560" w:lineRule="exact"/>
        <w:ind w:firstLineChars="0"/>
        <w:outlineLvl w:val="1"/>
        <w:rPr>
          <w:rStyle w:val="17"/>
          <w:rFonts w:ascii="Times New Roman" w:hAnsi="Times New Roman" w:eastAsia="黑体" w:cs="Times New Roman"/>
          <w:b w:val="0"/>
          <w:bCs w:val="0"/>
        </w:rPr>
      </w:pPr>
      <w:bookmarkStart w:id="26" w:name="_Toc15377205"/>
      <w:bookmarkStart w:id="27" w:name="_Toc15396603"/>
      <w:r>
        <w:rPr>
          <w:rFonts w:eastAsia="黑体"/>
          <w:color w:val="000000"/>
          <w:sz w:val="32"/>
          <w:szCs w:val="32"/>
        </w:rPr>
        <w:t>收</w:t>
      </w:r>
      <w:r>
        <w:rPr>
          <w:rStyle w:val="17"/>
          <w:rFonts w:ascii="Times New Roman" w:hAnsi="Times New Roman" w:eastAsia="黑体" w:cs="Times New Roman"/>
          <w:b w:val="0"/>
          <w:bCs w:val="0"/>
        </w:rPr>
        <w:t>入支出决算总体情况说明</w:t>
      </w:r>
      <w:bookmarkEnd w:id="26"/>
      <w:bookmarkEnd w:id="27"/>
    </w:p>
    <w:p>
      <w:pPr>
        <w:spacing w:line="560" w:lineRule="exact"/>
        <w:ind w:firstLine="420" w:firstLineChars="200"/>
        <w:rPr>
          <w:rFonts w:eastAsia="仿宋_GB2312"/>
          <w:color w:val="000000"/>
          <w:sz w:val="32"/>
          <w:szCs w:val="32"/>
        </w:rPr>
      </w:pPr>
      <w:r>
        <w:pict>
          <v:shape id="_x0000_s1026" o:spid="_x0000_s1026" o:spt="75" type="#_x0000_t75" style="position:absolute;left:0pt;margin-left:0pt;margin-top:142.1pt;height:168.05pt;width:431.65pt;mso-wrap-distance-bottom:0pt;mso-wrap-distance-left:9pt;mso-wrap-distance-right:9pt;mso-wrap-distance-top:0pt;z-index:1024;mso-width-relative:page;mso-height-relative:page;" filled="f" o:preferrelative="t" stroked="f" coordsize="21600,21600">
            <v:path/>
            <v:fill on="f" focussize="0,0"/>
            <v:stroke on="f" joinstyle="miter"/>
            <v:imagedata r:id="rId6" o:title=""/>
            <o:lock v:ext="edit" aspectratio="t"/>
            <w10:wrap type="square"/>
          </v:shape>
        </w:pict>
      </w:r>
      <w:r>
        <w:rPr>
          <w:rFonts w:eastAsia="仿宋_GB2312"/>
          <w:color w:val="000000"/>
          <w:sz w:val="32"/>
          <w:szCs w:val="32"/>
        </w:rPr>
        <w:t>2018年度收、支总计854.91万元。与2017年相比，收、支总计各增加236.69万元，增长38%。主要变动原因一是我单位在2018年购买两间国资商铺用于壤塘县人力资源和社会保障公共服务中心（壤塘县第三政务大厅）。</w:t>
      </w:r>
    </w:p>
    <w:p>
      <w:pPr>
        <w:spacing w:line="560" w:lineRule="exact"/>
        <w:jc w:val="left"/>
        <w:rPr>
          <w:rFonts w:eastAsia="仿宋_GB2312"/>
          <w:color w:val="000000"/>
          <w:sz w:val="32"/>
          <w:szCs w:val="32"/>
        </w:rPr>
      </w:pPr>
    </w:p>
    <w:p>
      <w:pPr>
        <w:pStyle w:val="27"/>
        <w:numPr>
          <w:ilvl w:val="0"/>
          <w:numId w:val="2"/>
        </w:numPr>
        <w:spacing w:line="560" w:lineRule="exact"/>
        <w:ind w:firstLineChars="0"/>
        <w:outlineLvl w:val="1"/>
        <w:rPr>
          <w:rStyle w:val="17"/>
          <w:rFonts w:ascii="Times New Roman" w:hAnsi="Times New Roman" w:eastAsia="黑体" w:cs="Times New Roman"/>
          <w:b w:val="0"/>
          <w:bCs w:val="0"/>
        </w:rPr>
      </w:pPr>
      <w:bookmarkStart w:id="28" w:name="_Toc15396604"/>
      <w:bookmarkStart w:id="29" w:name="_Toc15377206"/>
      <w:r>
        <w:rPr>
          <w:rFonts w:eastAsia="黑体"/>
          <w:color w:val="000000"/>
          <w:sz w:val="32"/>
          <w:szCs w:val="32"/>
        </w:rPr>
        <w:t>收</w:t>
      </w:r>
      <w:r>
        <w:rPr>
          <w:rStyle w:val="17"/>
          <w:rFonts w:ascii="Times New Roman" w:hAnsi="Times New Roman" w:eastAsia="黑体" w:cs="Times New Roman"/>
          <w:b w:val="0"/>
          <w:bCs w:val="0"/>
        </w:rPr>
        <w:t>入决算情况说明</w:t>
      </w:r>
      <w:bookmarkEnd w:id="28"/>
      <w:bookmarkEnd w:id="29"/>
    </w:p>
    <w:p>
      <w:pPr>
        <w:spacing w:line="560" w:lineRule="exact"/>
        <w:ind w:firstLine="640" w:firstLineChars="200"/>
        <w:outlineLvl w:val="1"/>
        <w:rPr>
          <w:rFonts w:eastAsia="仿宋_GB2312"/>
          <w:color w:val="000000"/>
          <w:sz w:val="32"/>
          <w:szCs w:val="32"/>
        </w:rPr>
      </w:pPr>
      <w:r>
        <w:rPr>
          <w:rFonts w:eastAsia="仿宋_GB2312"/>
          <w:color w:val="000000"/>
          <w:sz w:val="32"/>
          <w:szCs w:val="32"/>
        </w:rPr>
        <w:t>2018年本年收入合计428.88万元，其中：一般公共预算财政拨款收入428.86万元，占99%；政府性基金预算财政拨款收入0万元，占0%；国有资本经营预算财政拨款收入0万元，占0%；事业收入0万元，占0%；经营收入0万元，占0%；其他收入0.02万元，占0.01%。</w:t>
      </w:r>
    </w:p>
    <w:p>
      <w:pPr>
        <w:spacing w:line="560" w:lineRule="exact"/>
        <w:ind w:firstLine="420" w:firstLineChars="200"/>
        <w:rPr>
          <w:rFonts w:eastAsia="仿宋_GB2312"/>
          <w:color w:val="FF0000"/>
          <w:sz w:val="32"/>
          <w:szCs w:val="32"/>
        </w:rPr>
      </w:pPr>
      <w:r>
        <w:pict>
          <v:shape id="_x0000_s1027" o:spid="_x0000_s1027" o:spt="75" type="#_x0000_t75" style="position:absolute;left:0pt;margin-left:5.25pt;margin-top:1.5pt;height:109.2pt;width:412.15pt;z-index:1024;mso-width-relative:page;mso-height-relative:page;" o:ole="t" filled="f" o:preferrelative="t" stroked="f" coordsize="21600,21600">
            <v:path/>
            <v:fill on="f" focussize="0,0"/>
            <v:stroke on="f" joinstyle="miter"/>
            <v:imagedata r:id="rId8" o:title=""/>
            <o:lock v:ext="edit" aspectratio="t"/>
          </v:shape>
          <o:OLEObject Type="Embed" ProgID="Excel.Sheet.8" ShapeID="_x0000_s1027" DrawAspect="Content" ObjectID="_1468075725" r:id="rId7">
            <o:LockedField>false</o:LockedField>
          </o:OLEObject>
        </w:pict>
      </w:r>
    </w:p>
    <w:p>
      <w:pPr>
        <w:spacing w:line="560" w:lineRule="exact"/>
        <w:ind w:firstLine="640" w:firstLineChars="200"/>
        <w:rPr>
          <w:rFonts w:eastAsia="仿宋_GB2312"/>
          <w:color w:val="FF0000"/>
          <w:sz w:val="32"/>
          <w:szCs w:val="32"/>
        </w:rPr>
      </w:pPr>
    </w:p>
    <w:p>
      <w:pPr>
        <w:spacing w:line="560" w:lineRule="exact"/>
        <w:ind w:firstLine="640" w:firstLineChars="200"/>
        <w:rPr>
          <w:rFonts w:eastAsia="仿宋_GB2312"/>
          <w:color w:val="FF0000"/>
          <w:sz w:val="32"/>
          <w:szCs w:val="32"/>
        </w:rPr>
      </w:pPr>
    </w:p>
    <w:p>
      <w:pPr>
        <w:spacing w:line="560" w:lineRule="exact"/>
        <w:rPr>
          <w:rFonts w:eastAsia="仿宋_GB2312"/>
          <w:color w:val="FF0000"/>
          <w:sz w:val="32"/>
          <w:szCs w:val="32"/>
        </w:rPr>
      </w:pPr>
    </w:p>
    <w:p>
      <w:pPr>
        <w:pStyle w:val="27"/>
        <w:numPr>
          <w:ilvl w:val="0"/>
          <w:numId w:val="2"/>
        </w:numPr>
        <w:spacing w:line="560" w:lineRule="exact"/>
        <w:ind w:firstLineChars="0"/>
        <w:outlineLvl w:val="1"/>
        <w:rPr>
          <w:rStyle w:val="17"/>
          <w:rFonts w:ascii="Times New Roman" w:hAnsi="Times New Roman" w:eastAsia="黑体" w:cs="Times New Roman"/>
          <w:b w:val="0"/>
          <w:bCs w:val="0"/>
        </w:rPr>
      </w:pPr>
      <w:bookmarkStart w:id="30" w:name="_Toc15377207"/>
      <w:bookmarkStart w:id="31" w:name="_Toc15396605"/>
      <w:r>
        <w:rPr>
          <w:rFonts w:eastAsia="黑体"/>
          <w:color w:val="000000"/>
          <w:sz w:val="32"/>
          <w:szCs w:val="32"/>
        </w:rPr>
        <w:t>支</w:t>
      </w:r>
      <w:r>
        <w:rPr>
          <w:rStyle w:val="17"/>
          <w:rFonts w:ascii="Times New Roman" w:hAnsi="Times New Roman" w:eastAsia="黑体" w:cs="Times New Roman"/>
          <w:b w:val="0"/>
          <w:bCs w:val="0"/>
        </w:rPr>
        <w:t>出决算情况说明</w:t>
      </w:r>
      <w:bookmarkEnd w:id="30"/>
      <w:bookmarkEnd w:id="31"/>
    </w:p>
    <w:p>
      <w:pPr>
        <w:spacing w:line="560" w:lineRule="exact"/>
        <w:ind w:firstLine="640"/>
        <w:rPr>
          <w:rFonts w:eastAsia="仿宋_GB2312"/>
          <w:color w:val="000000"/>
          <w:sz w:val="32"/>
          <w:szCs w:val="32"/>
        </w:rPr>
      </w:pPr>
      <w:r>
        <w:rPr>
          <w:rFonts w:eastAsia="仿宋_GB2312"/>
          <w:color w:val="000000"/>
          <w:sz w:val="32"/>
          <w:szCs w:val="32"/>
        </w:rPr>
        <w:t>2018年本年支出合计839.58万元，其中：基本支出405.88万元，占48%；项目支出433.7万元，占52%；上缴上级支出0万元，占0%；经营支出0万元，占0%；对附属单位补助支出0万元，占0%。</w:t>
      </w:r>
    </w:p>
    <w:p>
      <w:pPr>
        <w:spacing w:line="560" w:lineRule="exact"/>
        <w:ind w:firstLine="640"/>
        <w:rPr>
          <w:rFonts w:eastAsia="仿宋_GB2312"/>
          <w:color w:val="000000"/>
          <w:sz w:val="32"/>
          <w:szCs w:val="32"/>
        </w:rPr>
      </w:pPr>
      <w:r>
        <w:pict>
          <v:shape id="_x0000_s1028" o:spid="_x0000_s1028" o:spt="75" type="#_x0000_t75" style="position:absolute;left:0pt;margin-left:17.75pt;margin-top:3.1pt;height:172.3pt;width:385.45pt;z-index:1024;mso-width-relative:page;mso-height-relative:page;" o:ole="t" filled="f" o:preferrelative="t" stroked="f" coordsize="21600,21600">
            <v:path/>
            <v:fill on="f" focussize="0,0"/>
            <v:stroke on="f" joinstyle="miter"/>
            <v:imagedata r:id="rId10" o:title=""/>
            <o:lock v:ext="edit" aspectratio="t"/>
          </v:shape>
          <o:OLEObject Type="Embed" ProgID="Excel.Sheet.8" ShapeID="_x0000_s1028" DrawAspect="Content" ObjectID="_1468075726" r:id="rId9">
            <o:LockedField>false</o:LockedField>
          </o:OLEObject>
        </w:pict>
      </w:r>
    </w:p>
    <w:p>
      <w:pPr>
        <w:spacing w:line="560" w:lineRule="exact"/>
        <w:ind w:firstLine="640"/>
        <w:rPr>
          <w:rFonts w:eastAsia="仿宋_GB2312"/>
          <w:color w:val="000000"/>
          <w:sz w:val="32"/>
          <w:szCs w:val="32"/>
        </w:rPr>
      </w:pPr>
    </w:p>
    <w:p>
      <w:pPr>
        <w:spacing w:line="560" w:lineRule="exact"/>
        <w:ind w:firstLine="640"/>
        <w:rPr>
          <w:rFonts w:eastAsia="仿宋_GB2312"/>
          <w:color w:val="000000"/>
          <w:sz w:val="32"/>
          <w:szCs w:val="32"/>
        </w:rPr>
      </w:pPr>
    </w:p>
    <w:p>
      <w:pPr>
        <w:spacing w:line="560" w:lineRule="exact"/>
        <w:ind w:firstLine="640"/>
        <w:rPr>
          <w:rFonts w:eastAsia="仿宋_GB2312"/>
          <w:color w:val="000000"/>
          <w:sz w:val="32"/>
          <w:szCs w:val="32"/>
        </w:rPr>
      </w:pPr>
    </w:p>
    <w:p>
      <w:pPr>
        <w:spacing w:line="560" w:lineRule="exact"/>
        <w:ind w:firstLine="640"/>
        <w:rPr>
          <w:rFonts w:eastAsia="仿宋_GB2312"/>
          <w:color w:val="000000"/>
          <w:sz w:val="32"/>
          <w:szCs w:val="32"/>
        </w:rPr>
      </w:pPr>
    </w:p>
    <w:p>
      <w:pPr>
        <w:spacing w:line="560" w:lineRule="exact"/>
        <w:ind w:firstLine="640" w:firstLineChars="200"/>
        <w:rPr>
          <w:rFonts w:eastAsia="仿宋_GB2312"/>
          <w:color w:val="FF0000"/>
          <w:sz w:val="32"/>
          <w:szCs w:val="32"/>
        </w:rPr>
      </w:pPr>
    </w:p>
    <w:p>
      <w:pPr>
        <w:spacing w:line="560" w:lineRule="exact"/>
        <w:ind w:firstLine="640" w:firstLineChars="200"/>
        <w:outlineLvl w:val="1"/>
        <w:rPr>
          <w:rStyle w:val="17"/>
          <w:rFonts w:ascii="Times New Roman" w:hAnsi="Times New Roman" w:eastAsia="黑体" w:cs="Times New Roman"/>
          <w:b w:val="0"/>
          <w:bCs w:val="0"/>
        </w:rPr>
      </w:pPr>
      <w:r>
        <w:rPr>
          <w:rFonts w:eastAsia="黑体"/>
          <w:color w:val="000000"/>
          <w:sz w:val="32"/>
          <w:szCs w:val="32"/>
        </w:rPr>
        <w:t>四、</w:t>
      </w:r>
      <w:bookmarkStart w:id="32" w:name="_Toc15396606"/>
      <w:bookmarkStart w:id="33" w:name="_Toc15377208"/>
      <w:r>
        <w:rPr>
          <w:rFonts w:eastAsia="黑体"/>
          <w:color w:val="000000"/>
          <w:sz w:val="32"/>
          <w:szCs w:val="32"/>
        </w:rPr>
        <w:t>财</w:t>
      </w:r>
      <w:r>
        <w:rPr>
          <w:rStyle w:val="17"/>
          <w:rFonts w:ascii="Times New Roman" w:hAnsi="Times New Roman" w:eastAsia="黑体" w:cs="Times New Roman"/>
          <w:b w:val="0"/>
          <w:bCs w:val="0"/>
        </w:rPr>
        <w:t>政拨款收入支出决算总体情况说明</w:t>
      </w:r>
      <w:bookmarkEnd w:id="32"/>
      <w:bookmarkEnd w:id="33"/>
    </w:p>
    <w:p>
      <w:pPr>
        <w:spacing w:line="560" w:lineRule="exact"/>
        <w:ind w:firstLine="640" w:firstLineChars="200"/>
        <w:rPr>
          <w:rFonts w:eastAsia="仿宋_GB2312"/>
          <w:color w:val="000000"/>
          <w:sz w:val="32"/>
          <w:szCs w:val="32"/>
        </w:rPr>
      </w:pPr>
      <w:r>
        <w:rPr>
          <w:rFonts w:eastAsia="仿宋_GB2312"/>
          <w:color w:val="000000"/>
          <w:sz w:val="32"/>
          <w:szCs w:val="32"/>
        </w:rPr>
        <w:t>2018年财政拨款收、支总计854.91万元。与2017年相比，财政拨款收、支总计各增加236.69万元，增长38%。主要变动原因是我单位在2018年购买两间国资商铺用于壤塘县人力资源和社会保障公共服务中心（壤塘县第三政务大厅）。</w:t>
      </w:r>
    </w:p>
    <w:p>
      <w:pPr>
        <w:spacing w:line="560" w:lineRule="exact"/>
        <w:ind w:firstLine="420" w:firstLineChars="200"/>
        <w:rPr>
          <w:rFonts w:eastAsia="仿宋_GB2312"/>
          <w:color w:val="000000"/>
          <w:sz w:val="32"/>
          <w:szCs w:val="32"/>
        </w:rPr>
      </w:pPr>
      <w:r>
        <w:pict>
          <v:shape id="_x0000_s1029" o:spid="_x0000_s1029" o:spt="75" type="#_x0000_t75" style="position:absolute;left:0pt;margin-left:5.25pt;margin-top:7.6pt;height:178.05pt;width:398.65pt;mso-wrap-distance-bottom:0pt;mso-wrap-distance-left:9pt;mso-wrap-distance-right:9pt;mso-wrap-distance-top:0pt;z-index:-1024;mso-width-relative:page;mso-height-relative:page;" o:ole="t" filled="f" o:preferrelative="t" stroked="f" coordsize="21600,21600">
            <v:path/>
            <v:fill on="f" focussize="0,0"/>
            <v:stroke on="f" joinstyle="miter"/>
            <v:imagedata r:id="rId12" o:title=""/>
            <o:lock v:ext="edit" aspectratio="f"/>
            <w10:wrap type="square"/>
          </v:shape>
          <o:OLEObject Type="Embed" ProgID="Excel.Sheet.8" ShapeID="_x0000_s1029" DrawAspect="Content" ObjectID="_1468075727" r:id="rId11">
            <o:LockedField>false</o:LockedField>
          </o:OLEObject>
        </w:pict>
      </w:r>
    </w:p>
    <w:p>
      <w:pPr>
        <w:spacing w:line="560" w:lineRule="exact"/>
        <w:ind w:firstLine="640" w:firstLineChars="200"/>
        <w:rPr>
          <w:rStyle w:val="17"/>
          <w:rFonts w:ascii="Times New Roman" w:hAnsi="Times New Roman" w:eastAsia="黑体" w:cs="Times New Roman"/>
          <w:b w:val="0"/>
          <w:bCs w:val="0"/>
        </w:rPr>
      </w:pPr>
      <w:r>
        <w:rPr>
          <w:rFonts w:eastAsia="黑体"/>
          <w:color w:val="000000"/>
          <w:sz w:val="32"/>
          <w:szCs w:val="32"/>
        </w:rPr>
        <w:t>五、</w:t>
      </w:r>
      <w:r>
        <w:rPr>
          <w:rFonts w:eastAsia="黑体"/>
          <w:b/>
          <w:bCs/>
          <w:color w:val="000000"/>
          <w:sz w:val="32"/>
          <w:szCs w:val="32"/>
        </w:rPr>
        <w:t>一</w:t>
      </w:r>
      <w:r>
        <w:rPr>
          <w:rStyle w:val="17"/>
          <w:rFonts w:ascii="Times New Roman" w:hAnsi="Times New Roman" w:eastAsia="黑体" w:cs="Times New Roman"/>
          <w:b w:val="0"/>
          <w:bCs w:val="0"/>
        </w:rPr>
        <w:t>般公共预算财政拨款支出决算情况说明</w:t>
      </w:r>
      <w:bookmarkEnd w:id="1"/>
      <w:bookmarkEnd w:id="2"/>
    </w:p>
    <w:p>
      <w:pPr>
        <w:spacing w:line="560" w:lineRule="exact"/>
        <w:ind w:firstLine="643" w:firstLineChars="200"/>
        <w:outlineLvl w:val="2"/>
        <w:rPr>
          <w:rFonts w:eastAsia="楷体_GB2312"/>
          <w:b/>
          <w:bCs/>
          <w:color w:val="000000"/>
          <w:sz w:val="32"/>
          <w:szCs w:val="32"/>
        </w:rPr>
      </w:pPr>
      <w:bookmarkStart w:id="34" w:name="_Toc15377210"/>
      <w:r>
        <w:rPr>
          <w:rFonts w:eastAsia="楷体_GB2312"/>
          <w:b/>
          <w:bCs/>
          <w:color w:val="000000"/>
          <w:sz w:val="32"/>
          <w:szCs w:val="32"/>
        </w:rPr>
        <w:t>（一）一般公共预算财政拨款支出决算总体情况</w:t>
      </w:r>
      <w:bookmarkEnd w:id="34"/>
    </w:p>
    <w:p>
      <w:pPr>
        <w:spacing w:line="560" w:lineRule="exact"/>
        <w:ind w:firstLine="420" w:firstLineChars="200"/>
        <w:rPr>
          <w:rFonts w:eastAsia="仿宋_GB2312"/>
          <w:color w:val="000000"/>
          <w:sz w:val="32"/>
          <w:szCs w:val="32"/>
        </w:rPr>
      </w:pPr>
      <w:r>
        <w:pict>
          <v:shape id="_x0000_s1030" o:spid="_x0000_s1030" o:spt="75" type="#_x0000_t75" style="position:absolute;left:0pt;margin-left:21pt;margin-top:178pt;height:132.6pt;width:351.75pt;mso-wrap-distance-left:9pt;mso-wrap-distance-right:9pt;z-index:-1024;mso-width-relative:page;mso-height-relative:page;" o:ole="t" filled="f" o:preferrelative="t" stroked="f" coordsize="21600,21600" wrapcoords="0 0 -46 244 -46 21478 21600 21478 21600 0 0 0">
            <v:path/>
            <v:fill on="f" focussize="0,0"/>
            <v:stroke on="f" joinstyle="miter"/>
            <v:imagedata r:id="rId14" o:title=""/>
            <o:lock v:ext="edit" aspectratio="f"/>
            <w10:wrap type="through"/>
          </v:shape>
          <o:OLEObject Type="Embed" ProgID="Excel.Sheet.8" ShapeID="_x0000_s1030" DrawAspect="Content" ObjectID="_1468075728" r:id="rId13">
            <o:LockedField>false</o:LockedField>
          </o:OLEObject>
        </w:pict>
      </w:r>
      <w:r>
        <w:rPr>
          <w:rFonts w:eastAsia="仿宋_GB2312"/>
          <w:color w:val="000000"/>
          <w:sz w:val="32"/>
          <w:szCs w:val="32"/>
        </w:rPr>
        <w:t>2018年一般公共预算财政拨款支出839.58万元，占本年支出合计的98%。与2017年相比，一般公共预算财政拨款增加240.97万元，增长40%。主要变动原因一是我单位在2018年购买两间国资商铺用于壤塘县人力资源和社会保障公共服务中心（壤塘县第三政务大厅）；二是我单位在2018年有东西部劳务协作专项经费。</w:t>
      </w:r>
    </w:p>
    <w:p>
      <w:pPr>
        <w:spacing w:line="560" w:lineRule="exact"/>
        <w:ind w:firstLine="643" w:firstLineChars="200"/>
        <w:rPr>
          <w:rFonts w:eastAsia="楷体_GB2312"/>
          <w:b/>
          <w:bCs/>
          <w:color w:val="000000"/>
          <w:sz w:val="32"/>
          <w:szCs w:val="32"/>
        </w:rPr>
      </w:pPr>
      <w:bookmarkStart w:id="35" w:name="_Toc15377211"/>
      <w:r>
        <w:rPr>
          <w:rFonts w:eastAsia="楷体_GB2312"/>
          <w:b/>
          <w:bCs/>
          <w:color w:val="000000"/>
          <w:sz w:val="32"/>
          <w:szCs w:val="32"/>
        </w:rPr>
        <w:t>（二）一般公共预算财政拨款支出决算结构情况</w:t>
      </w:r>
      <w:bookmarkEnd w:id="35"/>
    </w:p>
    <w:p>
      <w:pPr>
        <w:spacing w:line="560" w:lineRule="exact"/>
        <w:ind w:firstLine="640"/>
        <w:rPr>
          <w:rFonts w:eastAsia="仿宋_GB2312"/>
          <w:color w:val="000000"/>
          <w:sz w:val="32"/>
          <w:szCs w:val="32"/>
        </w:rPr>
      </w:pPr>
      <w:r>
        <w:pict>
          <v:shape id="对象 10" o:spid="_x0000_s1031" o:spt="75" type="#_x0000_t75" style="position:absolute;left:0pt;margin-left:21pt;margin-top:120.45pt;height:143.65pt;width:390.95pt;mso-wrap-distance-left:9pt;mso-wrap-distance-right:9pt;z-index:-1024;mso-width-relative:page;mso-height-relative:page;" o:ole="t" filled="f" o:preferrelative="t" stroked="f" coordsize="21600,21600" wrapcoords="-42 0 -42 21382 21600 21382 21600 0 -42 0">
            <v:path/>
            <v:fill on="f" focussize="0,0"/>
            <v:stroke on="f" joinstyle="miter"/>
            <v:imagedata r:id="rId16" o:title=""/>
            <o:lock v:ext="edit" aspectratio="f"/>
            <w10:wrap type="through"/>
          </v:shape>
          <o:OLEObject Type="Embed" ProgID="Excel.Sheet.8" ShapeID="对象 10" DrawAspect="Content" ObjectID="_1468075729" r:id="rId15">
            <o:LockedField>false</o:LockedField>
          </o:OLEObject>
        </w:pict>
      </w:r>
      <w:r>
        <w:rPr>
          <w:rFonts w:eastAsia="仿宋_GB2312"/>
          <w:color w:val="000000"/>
          <w:sz w:val="32"/>
          <w:szCs w:val="32"/>
        </w:rPr>
        <w:t>2018年一般公共预算财政拨款支出839.58万元，主要用于以下方面:</w:t>
      </w:r>
      <w:r>
        <w:rPr>
          <w:rFonts w:eastAsia="仿宋_GB2312"/>
          <w:bCs/>
          <w:color w:val="000000"/>
          <w:sz w:val="32"/>
          <w:szCs w:val="32"/>
        </w:rPr>
        <w:t>一般公共服务（类）</w:t>
      </w:r>
      <w:r>
        <w:rPr>
          <w:rFonts w:eastAsia="仿宋_GB2312"/>
          <w:color w:val="000000"/>
          <w:sz w:val="32"/>
          <w:szCs w:val="32"/>
        </w:rPr>
        <w:t>支出455.32万元，占54%；</w:t>
      </w:r>
      <w:r>
        <w:rPr>
          <w:rFonts w:eastAsia="仿宋_GB2312"/>
          <w:bCs/>
          <w:color w:val="000000"/>
          <w:sz w:val="32"/>
          <w:szCs w:val="32"/>
        </w:rPr>
        <w:t>社会保障和就业（类）</w:t>
      </w:r>
      <w:r>
        <w:rPr>
          <w:rFonts w:eastAsia="仿宋_GB2312"/>
          <w:color w:val="000000"/>
          <w:sz w:val="32"/>
          <w:szCs w:val="32"/>
        </w:rPr>
        <w:t>支出343.9万元，占41%；</w:t>
      </w:r>
      <w:r>
        <w:rPr>
          <w:rFonts w:eastAsia="仿宋_GB2312"/>
          <w:bCs/>
          <w:color w:val="000000"/>
          <w:sz w:val="32"/>
          <w:szCs w:val="32"/>
        </w:rPr>
        <w:t>医疗卫生支出</w:t>
      </w:r>
      <w:r>
        <w:rPr>
          <w:rFonts w:eastAsia="仿宋_GB2312"/>
          <w:color w:val="000000"/>
          <w:sz w:val="32"/>
          <w:szCs w:val="32"/>
        </w:rPr>
        <w:t>13.47万元，占1.7%；</w:t>
      </w:r>
      <w:r>
        <w:rPr>
          <w:rFonts w:eastAsia="仿宋_GB2312"/>
          <w:bCs/>
          <w:color w:val="000000"/>
          <w:sz w:val="32"/>
          <w:szCs w:val="32"/>
        </w:rPr>
        <w:t>住房保障支出</w:t>
      </w:r>
      <w:r>
        <w:rPr>
          <w:rFonts w:eastAsia="仿宋_GB2312"/>
          <w:color w:val="000000"/>
          <w:sz w:val="32"/>
          <w:szCs w:val="32"/>
        </w:rPr>
        <w:t>26.89万元，占3.3%。</w:t>
      </w:r>
    </w:p>
    <w:p>
      <w:pPr>
        <w:spacing w:line="560" w:lineRule="exact"/>
        <w:ind w:firstLine="643" w:firstLineChars="200"/>
        <w:rPr>
          <w:rFonts w:eastAsia="楷体_GB2312"/>
          <w:b/>
          <w:bCs/>
          <w:color w:val="000000"/>
          <w:sz w:val="32"/>
          <w:szCs w:val="32"/>
        </w:rPr>
      </w:pPr>
      <w:bookmarkStart w:id="36" w:name="_Toc15377212"/>
      <w:r>
        <w:rPr>
          <w:rFonts w:eastAsia="楷体_GB2312"/>
          <w:b/>
          <w:bCs/>
          <w:color w:val="000000"/>
          <w:sz w:val="32"/>
          <w:szCs w:val="32"/>
        </w:rPr>
        <w:t>（三）一般公共预算财政拨款支出决算具体情况</w:t>
      </w:r>
      <w:bookmarkEnd w:id="36"/>
    </w:p>
    <w:p>
      <w:pPr>
        <w:spacing w:line="560" w:lineRule="exact"/>
        <w:ind w:firstLine="800" w:firstLineChars="250"/>
        <w:outlineLvl w:val="2"/>
        <w:rPr>
          <w:rFonts w:eastAsia="仿宋_GB2312"/>
          <w:b/>
          <w:color w:val="FF0000"/>
          <w:sz w:val="32"/>
          <w:szCs w:val="32"/>
        </w:rPr>
      </w:pPr>
      <w:bookmarkStart w:id="37" w:name="_Toc15378460"/>
      <w:bookmarkStart w:id="38" w:name="_Toc15377213"/>
      <w:bookmarkStart w:id="39" w:name="_Toc15377444"/>
      <w:r>
        <w:rPr>
          <w:rFonts w:eastAsia="仿宋_GB2312"/>
          <w:color w:val="000000"/>
          <w:sz w:val="32"/>
          <w:szCs w:val="32"/>
        </w:rPr>
        <w:t>2018年一般公共预算支出决算数为839.58万元，</w:t>
      </w:r>
      <w:r>
        <w:rPr>
          <w:rStyle w:val="13"/>
          <w:rFonts w:eastAsia="仿宋_GB2312"/>
          <w:b w:val="0"/>
          <w:color w:val="000000"/>
          <w:sz w:val="32"/>
          <w:szCs w:val="32"/>
        </w:rPr>
        <w:t>完成预算97%。其中：</w:t>
      </w:r>
      <w:bookmarkEnd w:id="37"/>
      <w:bookmarkEnd w:id="38"/>
      <w:bookmarkEnd w:id="39"/>
    </w:p>
    <w:p>
      <w:pPr>
        <w:spacing w:line="560" w:lineRule="exact"/>
        <w:ind w:firstLine="640" w:firstLineChars="200"/>
        <w:rPr>
          <w:rFonts w:eastAsia="仿宋_GB2312"/>
          <w:b/>
          <w:bCs/>
          <w:color w:val="000000"/>
          <w:sz w:val="32"/>
          <w:szCs w:val="32"/>
        </w:rPr>
      </w:pPr>
      <w:r>
        <w:rPr>
          <w:rStyle w:val="13"/>
          <w:rFonts w:eastAsia="仿宋_GB2312"/>
          <w:b w:val="0"/>
          <w:color w:val="000000"/>
          <w:sz w:val="32"/>
          <w:szCs w:val="32"/>
        </w:rPr>
        <w:t>1.一般公共服务201（类）:</w:t>
      </w:r>
      <w:r>
        <w:rPr>
          <w:rStyle w:val="13"/>
          <w:rFonts w:eastAsia="仿宋_GB2312"/>
          <w:b w:val="0"/>
          <w:bCs w:val="0"/>
          <w:color w:val="000000"/>
          <w:sz w:val="32"/>
          <w:szCs w:val="32"/>
        </w:rPr>
        <w:t>支出决算为455.32万元，完成预算97%，决算数小于预算数的主要原因是军队转业干部安置经费未使用完。</w:t>
      </w:r>
    </w:p>
    <w:p>
      <w:pPr>
        <w:spacing w:line="560" w:lineRule="exact"/>
        <w:ind w:firstLine="640" w:firstLineChars="200"/>
        <w:rPr>
          <w:rStyle w:val="13"/>
          <w:rFonts w:eastAsia="仿宋_GB2312"/>
          <w:b w:val="0"/>
          <w:bCs w:val="0"/>
          <w:color w:val="000000"/>
          <w:sz w:val="32"/>
          <w:szCs w:val="32"/>
        </w:rPr>
      </w:pPr>
      <w:r>
        <w:rPr>
          <w:rStyle w:val="13"/>
          <w:rFonts w:eastAsia="仿宋_GB2312"/>
          <w:b w:val="0"/>
          <w:color w:val="000000"/>
          <w:sz w:val="32"/>
          <w:szCs w:val="32"/>
        </w:rPr>
        <w:t>2.社会保障和就业208（类）:</w:t>
      </w:r>
      <w:r>
        <w:rPr>
          <w:rStyle w:val="13"/>
          <w:rFonts w:eastAsia="仿宋_GB2312"/>
          <w:b w:val="0"/>
          <w:bCs w:val="0"/>
          <w:color w:val="000000"/>
          <w:sz w:val="32"/>
          <w:szCs w:val="32"/>
        </w:rPr>
        <w:t>支出决算为343.90万元，完成预算100%，决算数等于预算数。</w:t>
      </w:r>
    </w:p>
    <w:p>
      <w:pPr>
        <w:spacing w:line="560" w:lineRule="exact"/>
        <w:ind w:firstLine="640" w:firstLineChars="200"/>
        <w:rPr>
          <w:rFonts w:eastAsia="仿宋_GB2312"/>
          <w:b/>
          <w:color w:val="000000"/>
          <w:sz w:val="32"/>
          <w:szCs w:val="32"/>
        </w:rPr>
      </w:pPr>
      <w:r>
        <w:rPr>
          <w:rStyle w:val="13"/>
          <w:rFonts w:eastAsia="仿宋_GB2312"/>
          <w:b w:val="0"/>
          <w:color w:val="000000"/>
          <w:sz w:val="32"/>
          <w:szCs w:val="32"/>
        </w:rPr>
        <w:t>（1）机关事业单位基本养老保险208（类）05（款）05（项）:</w:t>
      </w:r>
      <w:r>
        <w:rPr>
          <w:rStyle w:val="13"/>
          <w:rFonts w:eastAsia="仿宋_GB2312"/>
          <w:b w:val="0"/>
          <w:bCs w:val="0"/>
          <w:color w:val="000000"/>
          <w:sz w:val="32"/>
          <w:szCs w:val="32"/>
        </w:rPr>
        <w:t>支出决算为30.70万元，完成预算100%，决算数等于预算数；</w:t>
      </w:r>
    </w:p>
    <w:p>
      <w:pPr>
        <w:spacing w:line="560" w:lineRule="exact"/>
        <w:ind w:firstLine="640" w:firstLineChars="200"/>
        <w:rPr>
          <w:rStyle w:val="13"/>
          <w:rFonts w:eastAsia="仿宋_GB2312"/>
          <w:b w:val="0"/>
          <w:bCs w:val="0"/>
          <w:color w:val="000000"/>
          <w:sz w:val="32"/>
          <w:szCs w:val="32"/>
        </w:rPr>
      </w:pPr>
      <w:r>
        <w:rPr>
          <w:rStyle w:val="13"/>
          <w:rFonts w:eastAsia="仿宋_GB2312"/>
          <w:b w:val="0"/>
          <w:color w:val="000000"/>
          <w:sz w:val="32"/>
          <w:szCs w:val="32"/>
        </w:rPr>
        <w:t>（2）机关事业单位职业年金208（类）05（款）06（项）:</w:t>
      </w:r>
      <w:r>
        <w:rPr>
          <w:rStyle w:val="13"/>
          <w:rFonts w:eastAsia="仿宋_GB2312"/>
          <w:b w:val="0"/>
          <w:bCs w:val="0"/>
          <w:color w:val="000000"/>
          <w:sz w:val="32"/>
          <w:szCs w:val="32"/>
        </w:rPr>
        <w:t>支出决算为15.96万元，完成预算100%，决算数等于预算数。</w:t>
      </w:r>
    </w:p>
    <w:p>
      <w:pPr>
        <w:spacing w:line="560" w:lineRule="exact"/>
        <w:ind w:firstLine="640" w:firstLineChars="200"/>
        <w:rPr>
          <w:rStyle w:val="13"/>
          <w:rFonts w:eastAsia="仿宋_GB2312"/>
          <w:b w:val="0"/>
          <w:bCs w:val="0"/>
          <w:color w:val="000000"/>
          <w:sz w:val="32"/>
          <w:szCs w:val="32"/>
        </w:rPr>
      </w:pPr>
      <w:r>
        <w:rPr>
          <w:rStyle w:val="13"/>
          <w:rFonts w:eastAsia="仿宋_GB2312"/>
          <w:b w:val="0"/>
          <w:color w:val="000000"/>
          <w:sz w:val="32"/>
          <w:szCs w:val="32"/>
        </w:rPr>
        <w:t xml:space="preserve">（3）其他社会保障就业支出208（类）99（款）01（项）: </w:t>
      </w:r>
      <w:r>
        <w:rPr>
          <w:rStyle w:val="13"/>
          <w:rFonts w:eastAsia="仿宋_GB2312"/>
          <w:b w:val="0"/>
          <w:bCs w:val="0"/>
          <w:color w:val="000000"/>
          <w:sz w:val="32"/>
          <w:szCs w:val="32"/>
        </w:rPr>
        <w:t>支出决算为297.24万元，完成预算100%，决算数大于预算数的主要原因是</w:t>
      </w:r>
      <w:r>
        <w:rPr>
          <w:rFonts w:eastAsia="仿宋_GB2312"/>
          <w:color w:val="000000"/>
          <w:sz w:val="32"/>
          <w:szCs w:val="32"/>
        </w:rPr>
        <w:t>我单位在2018年购买两间国资商铺用于壤塘县人力资源和社会保障公共服务中心（壤塘县第三政务大厅）</w:t>
      </w:r>
      <w:r>
        <w:rPr>
          <w:rStyle w:val="13"/>
          <w:rFonts w:eastAsia="仿宋_GB2312"/>
          <w:b w:val="0"/>
          <w:bCs w:val="0"/>
          <w:color w:val="000000"/>
          <w:sz w:val="32"/>
          <w:szCs w:val="32"/>
        </w:rPr>
        <w:t>。</w:t>
      </w:r>
    </w:p>
    <w:p>
      <w:pPr>
        <w:spacing w:line="560" w:lineRule="exact"/>
        <w:ind w:firstLine="640" w:firstLineChars="200"/>
        <w:rPr>
          <w:rStyle w:val="13"/>
          <w:rFonts w:eastAsia="仿宋_GB2312"/>
          <w:b w:val="0"/>
          <w:bCs w:val="0"/>
          <w:color w:val="000000"/>
          <w:sz w:val="32"/>
          <w:szCs w:val="32"/>
        </w:rPr>
      </w:pPr>
      <w:r>
        <w:rPr>
          <w:rStyle w:val="13"/>
          <w:rFonts w:eastAsia="仿宋_GB2312"/>
          <w:b w:val="0"/>
          <w:color w:val="000000"/>
          <w:sz w:val="32"/>
          <w:szCs w:val="32"/>
        </w:rPr>
        <w:t>3.医疗卫生与计划生育210（类）:</w:t>
      </w:r>
      <w:r>
        <w:rPr>
          <w:rStyle w:val="13"/>
          <w:rFonts w:eastAsia="仿宋_GB2312"/>
          <w:b w:val="0"/>
          <w:bCs w:val="0"/>
          <w:color w:val="000000"/>
          <w:sz w:val="32"/>
          <w:szCs w:val="32"/>
        </w:rPr>
        <w:t>支出决算为13.47万元，完成预算100%，决算数等于预算数。</w:t>
      </w:r>
    </w:p>
    <w:p>
      <w:pPr>
        <w:spacing w:line="560" w:lineRule="exact"/>
        <w:ind w:firstLine="640" w:firstLineChars="200"/>
        <w:rPr>
          <w:rStyle w:val="13"/>
          <w:rFonts w:eastAsia="仿宋_GB2312"/>
          <w:b w:val="0"/>
          <w:bCs w:val="0"/>
          <w:color w:val="000000"/>
          <w:sz w:val="32"/>
          <w:szCs w:val="32"/>
        </w:rPr>
      </w:pPr>
      <w:r>
        <w:rPr>
          <w:rStyle w:val="13"/>
          <w:rFonts w:eastAsia="仿宋_GB2312"/>
          <w:b w:val="0"/>
          <w:color w:val="000000"/>
          <w:sz w:val="32"/>
          <w:szCs w:val="32"/>
        </w:rPr>
        <w:t>（1）行政单位医疗210（类）11（款）01（项）:</w:t>
      </w:r>
      <w:r>
        <w:rPr>
          <w:rStyle w:val="13"/>
          <w:rFonts w:eastAsia="仿宋_GB2312"/>
          <w:b w:val="0"/>
          <w:bCs w:val="0"/>
          <w:color w:val="000000"/>
          <w:sz w:val="32"/>
          <w:szCs w:val="32"/>
        </w:rPr>
        <w:t>支出决算为13.47万元，完成预算100%，决算数等于预算数。</w:t>
      </w:r>
    </w:p>
    <w:p>
      <w:pPr>
        <w:spacing w:line="560" w:lineRule="exact"/>
        <w:ind w:firstLine="640" w:firstLineChars="200"/>
        <w:rPr>
          <w:rStyle w:val="13"/>
          <w:rFonts w:eastAsia="仿宋_GB2312"/>
          <w:b w:val="0"/>
          <w:bCs w:val="0"/>
          <w:color w:val="000000"/>
          <w:sz w:val="32"/>
          <w:szCs w:val="32"/>
        </w:rPr>
      </w:pPr>
      <w:r>
        <w:rPr>
          <w:rStyle w:val="13"/>
          <w:rFonts w:eastAsia="仿宋_GB2312"/>
          <w:b w:val="0"/>
          <w:color w:val="000000"/>
          <w:sz w:val="32"/>
          <w:szCs w:val="32"/>
        </w:rPr>
        <w:t>4.住房保障支出221（类）:</w:t>
      </w:r>
      <w:r>
        <w:rPr>
          <w:rStyle w:val="13"/>
          <w:rFonts w:eastAsia="仿宋_GB2312"/>
          <w:b w:val="0"/>
          <w:bCs w:val="0"/>
          <w:color w:val="000000"/>
          <w:sz w:val="32"/>
          <w:szCs w:val="32"/>
        </w:rPr>
        <w:t>支出决算为26.89万元，完成预算100%，决算数等于预算数。</w:t>
      </w:r>
    </w:p>
    <w:p>
      <w:pPr>
        <w:spacing w:line="560" w:lineRule="exact"/>
        <w:ind w:firstLine="640" w:firstLineChars="200"/>
        <w:rPr>
          <w:rFonts w:eastAsia="仿宋_GB2312"/>
          <w:b/>
          <w:bCs/>
          <w:color w:val="000000"/>
          <w:sz w:val="32"/>
          <w:szCs w:val="32"/>
        </w:rPr>
      </w:pPr>
      <w:r>
        <w:rPr>
          <w:rStyle w:val="13"/>
          <w:rFonts w:eastAsia="仿宋_GB2312"/>
          <w:b w:val="0"/>
          <w:color w:val="000000"/>
          <w:sz w:val="32"/>
          <w:szCs w:val="32"/>
        </w:rPr>
        <w:t>(1)住房公积金221（类）02（款）01（项）:</w:t>
      </w:r>
      <w:r>
        <w:rPr>
          <w:rStyle w:val="13"/>
          <w:rFonts w:eastAsia="仿宋_GB2312"/>
          <w:b w:val="0"/>
          <w:bCs w:val="0"/>
          <w:color w:val="000000"/>
          <w:sz w:val="32"/>
          <w:szCs w:val="32"/>
        </w:rPr>
        <w:t>支出决算为26.89万元，完成预算100%，决算数等于预算数。</w:t>
      </w:r>
    </w:p>
    <w:p>
      <w:pPr>
        <w:tabs>
          <w:tab w:val="right" w:pos="8306"/>
        </w:tabs>
        <w:spacing w:line="560" w:lineRule="exact"/>
        <w:ind w:firstLine="640"/>
        <w:outlineLvl w:val="1"/>
        <w:rPr>
          <w:rStyle w:val="17"/>
          <w:rFonts w:ascii="Times New Roman" w:hAnsi="Times New Roman" w:eastAsia="黑体" w:cs="Times New Roman"/>
        </w:rPr>
      </w:pPr>
      <w:bookmarkStart w:id="40" w:name="_Toc15396608"/>
      <w:bookmarkStart w:id="41" w:name="_Toc15377214"/>
      <w:r>
        <w:rPr>
          <w:rFonts w:eastAsia="黑体"/>
          <w:color w:val="000000"/>
          <w:sz w:val="32"/>
          <w:szCs w:val="32"/>
        </w:rPr>
        <w:t>六</w:t>
      </w:r>
      <w:r>
        <w:rPr>
          <w:rFonts w:eastAsia="黑体"/>
          <w:b/>
          <w:bCs/>
          <w:color w:val="000000"/>
          <w:sz w:val="32"/>
          <w:szCs w:val="32"/>
        </w:rPr>
        <w:t>、一</w:t>
      </w:r>
      <w:r>
        <w:rPr>
          <w:rStyle w:val="17"/>
          <w:rFonts w:ascii="Times New Roman" w:hAnsi="Times New Roman" w:eastAsia="黑体" w:cs="Times New Roman"/>
          <w:b w:val="0"/>
          <w:bCs w:val="0"/>
        </w:rPr>
        <w:t>般公共预算财政拨款基本支出决算情况说明</w:t>
      </w:r>
      <w:bookmarkEnd w:id="40"/>
      <w:bookmarkEnd w:id="41"/>
      <w:r>
        <w:rPr>
          <w:rStyle w:val="17"/>
          <w:rFonts w:ascii="Times New Roman" w:hAnsi="Times New Roman" w:eastAsia="黑体" w:cs="Times New Roman"/>
          <w:b w:val="0"/>
          <w:bCs w:val="0"/>
        </w:rPr>
        <w:tab/>
      </w:r>
    </w:p>
    <w:p>
      <w:pPr>
        <w:spacing w:line="560" w:lineRule="exact"/>
        <w:ind w:firstLine="645"/>
        <w:rPr>
          <w:rFonts w:eastAsia="仿宋_GB2312"/>
          <w:color w:val="000000"/>
          <w:sz w:val="32"/>
          <w:szCs w:val="32"/>
        </w:rPr>
      </w:pPr>
      <w:r>
        <w:rPr>
          <w:rFonts w:eastAsia="仿宋_GB2312"/>
          <w:color w:val="000000"/>
          <w:sz w:val="32"/>
          <w:szCs w:val="32"/>
        </w:rPr>
        <w:t>2018年一般公共预算财政拨款基本支出405.88万元，其中：</w:t>
      </w:r>
    </w:p>
    <w:p>
      <w:pPr>
        <w:spacing w:line="560" w:lineRule="exact"/>
        <w:ind w:firstLine="645"/>
        <w:rPr>
          <w:rFonts w:eastAsia="仿宋_GB2312"/>
          <w:color w:val="000000"/>
          <w:sz w:val="32"/>
          <w:szCs w:val="32"/>
        </w:rPr>
      </w:pPr>
      <w:r>
        <w:rPr>
          <w:rFonts w:eastAsia="仿宋_GB2312"/>
          <w:color w:val="000000"/>
          <w:sz w:val="32"/>
          <w:szCs w:val="32"/>
        </w:rPr>
        <w:t>人员经费357.33万元，主要包括：基本工资、津贴补贴、奖金、伙食补助费、机关事业单位基本养老保险缴费、职业年金缴费、其他社会保障缴费、其他工资福利支出、生活补助、医疗费补助、奖励金、住房公积金。</w:t>
      </w:r>
      <w:r>
        <w:rPr>
          <w:rFonts w:eastAsia="仿宋_GB2312"/>
          <w:color w:val="000000"/>
          <w:sz w:val="32"/>
          <w:szCs w:val="32"/>
        </w:rPr>
        <w:br w:type="textWrapping"/>
      </w:r>
      <w:r>
        <w:rPr>
          <w:rFonts w:eastAsia="仿宋_GB2312"/>
          <w:color w:val="000000"/>
          <w:sz w:val="32"/>
          <w:szCs w:val="32"/>
        </w:rPr>
        <w:t>　　公用经费48.55万元，主要包括：办公费、印刷费、手续费、水费、电费、邮电费、物业管理费、差旅费、维修（护）费、租赁费、培训费、公务接待费、劳务费公务用车运行维护费。</w:t>
      </w:r>
    </w:p>
    <w:p>
      <w:pPr>
        <w:spacing w:line="560" w:lineRule="exact"/>
        <w:ind w:firstLine="640"/>
        <w:outlineLvl w:val="1"/>
        <w:rPr>
          <w:rStyle w:val="17"/>
          <w:rFonts w:ascii="Times New Roman" w:hAnsi="Times New Roman" w:eastAsia="黑体" w:cs="Times New Roman"/>
          <w:b w:val="0"/>
          <w:bCs w:val="0"/>
        </w:rPr>
      </w:pPr>
      <w:bookmarkStart w:id="42" w:name="_Toc15396609"/>
      <w:bookmarkStart w:id="43" w:name="_Toc15377215"/>
      <w:r>
        <w:rPr>
          <w:rFonts w:eastAsia="黑体"/>
          <w:color w:val="000000"/>
          <w:sz w:val="32"/>
          <w:szCs w:val="32"/>
        </w:rPr>
        <w:t>七、</w:t>
      </w:r>
      <w:r>
        <w:rPr>
          <w:rStyle w:val="17"/>
          <w:rFonts w:ascii="Times New Roman" w:hAnsi="Times New Roman" w:eastAsia="黑体" w:cs="Times New Roman"/>
        </w:rPr>
        <w:t>“</w:t>
      </w:r>
      <w:r>
        <w:rPr>
          <w:rStyle w:val="17"/>
          <w:rFonts w:ascii="Times New Roman" w:hAnsi="Times New Roman" w:eastAsia="黑体" w:cs="Times New Roman"/>
          <w:b w:val="0"/>
          <w:bCs w:val="0"/>
        </w:rPr>
        <w:t>三公”经费财政拨款支出决算情况说明</w:t>
      </w:r>
      <w:bookmarkEnd w:id="42"/>
      <w:bookmarkEnd w:id="43"/>
    </w:p>
    <w:p>
      <w:pPr>
        <w:spacing w:line="560" w:lineRule="exact"/>
        <w:ind w:firstLine="640"/>
        <w:outlineLvl w:val="2"/>
        <w:rPr>
          <w:rFonts w:eastAsia="楷体_GB2312"/>
          <w:b/>
          <w:bCs/>
          <w:color w:val="000000"/>
          <w:sz w:val="32"/>
          <w:szCs w:val="32"/>
        </w:rPr>
      </w:pPr>
      <w:bookmarkStart w:id="44" w:name="_Toc15377216"/>
      <w:r>
        <w:rPr>
          <w:rFonts w:eastAsia="楷体_GB2312"/>
          <w:b/>
          <w:bCs/>
          <w:color w:val="000000"/>
          <w:sz w:val="32"/>
          <w:szCs w:val="32"/>
        </w:rPr>
        <w:t>（一）“三公”经费财政拨款支出决算总体情况说明</w:t>
      </w:r>
      <w:bookmarkEnd w:id="44"/>
    </w:p>
    <w:p>
      <w:pPr>
        <w:spacing w:line="560" w:lineRule="exact"/>
        <w:ind w:firstLine="640"/>
        <w:rPr>
          <w:rFonts w:eastAsia="仿宋_GB2312"/>
          <w:color w:val="000000"/>
          <w:sz w:val="32"/>
          <w:szCs w:val="32"/>
        </w:rPr>
      </w:pPr>
      <w:r>
        <w:rPr>
          <w:rFonts w:eastAsia="仿宋_GB2312"/>
          <w:color w:val="000000"/>
          <w:sz w:val="32"/>
          <w:szCs w:val="32"/>
        </w:rPr>
        <w:t>2018年“三公”经费财政拨款支出决算为6.41万元，完成预算59%，决算数大于预算数的主要原因是我单位在2018年度人事招录及人事争议仲裁院日常经费支出较多，所以决算数大于预算数。</w:t>
      </w:r>
    </w:p>
    <w:p>
      <w:pPr>
        <w:spacing w:line="560" w:lineRule="exact"/>
        <w:ind w:firstLine="640"/>
        <w:outlineLvl w:val="2"/>
        <w:rPr>
          <w:rFonts w:eastAsia="楷体_GB2312"/>
          <w:b/>
          <w:bCs/>
          <w:color w:val="000000"/>
          <w:sz w:val="32"/>
          <w:szCs w:val="32"/>
        </w:rPr>
      </w:pPr>
      <w:bookmarkStart w:id="45" w:name="_Toc15377217"/>
      <w:r>
        <w:rPr>
          <w:rFonts w:eastAsia="楷体_GB2312"/>
          <w:b/>
          <w:bCs/>
          <w:color w:val="000000"/>
          <w:sz w:val="32"/>
          <w:szCs w:val="32"/>
        </w:rPr>
        <w:t>（二）“三公”经费财政拨款支出决算具体情况说明</w:t>
      </w:r>
      <w:bookmarkEnd w:id="45"/>
    </w:p>
    <w:p>
      <w:pPr>
        <w:spacing w:line="560" w:lineRule="exact"/>
        <w:ind w:firstLine="640"/>
        <w:rPr>
          <w:rFonts w:eastAsia="仿宋_GB2312"/>
          <w:color w:val="000000"/>
          <w:sz w:val="32"/>
          <w:szCs w:val="32"/>
        </w:rPr>
      </w:pPr>
      <w:r>
        <w:rPr>
          <w:rFonts w:eastAsia="仿宋_GB2312"/>
          <w:color w:val="000000"/>
          <w:sz w:val="32"/>
          <w:szCs w:val="32"/>
        </w:rPr>
        <w:t>2018年“三公”经费财政拨款支出决算中，因公出国（境）费支出决算0万元，占0%；公务用车购置及运行维护费支出决算6.37万元，占99%；公务接待费支出决算0.04万元，占1%。具体情况如下：</w:t>
      </w:r>
    </w:p>
    <w:p>
      <w:pPr>
        <w:spacing w:line="560" w:lineRule="exact"/>
        <w:ind w:firstLine="640"/>
        <w:rPr>
          <w:rFonts w:eastAsia="仿宋_GB2312"/>
          <w:color w:val="000000"/>
          <w:sz w:val="32"/>
          <w:szCs w:val="32"/>
        </w:rPr>
      </w:pPr>
      <w:r>
        <w:pict>
          <v:shape id="_x0000_s1032" o:spid="_x0000_s1032" o:spt="75" type="#_x0000_t75" style="position:absolute;left:0pt;margin-left:48.75pt;margin-top:7pt;height:118.1pt;width:317.75pt;mso-wrap-distance-bottom:0.05pt;mso-wrap-distance-left:9pt;mso-wrap-distance-right:9pt;mso-wrap-distance-top:0pt;z-index:1024;mso-width-relative:page;mso-height-relative:page;" o:ole="t" filled="f" o:preferrelative="t" stroked="f" coordsize="21600,21600">
            <v:path/>
            <v:fill on="f" focussize="0,0"/>
            <v:stroke on="f" joinstyle="miter"/>
            <v:imagedata r:id="rId18" o:title=""/>
            <o:lock v:ext="edit" aspectratio="t"/>
            <w10:wrap type="square"/>
          </v:shape>
          <o:OLEObject Type="Embed" ProgID="Excel.Sheet.8" ShapeID="_x0000_s1032" DrawAspect="Content" ObjectID="_1468075730" r:id="rId17">
            <o:LockedField>false</o:LockedField>
          </o:OLEObject>
        </w:pict>
      </w:r>
    </w:p>
    <w:p>
      <w:pPr>
        <w:spacing w:line="560" w:lineRule="exact"/>
        <w:ind w:firstLine="640"/>
        <w:rPr>
          <w:rFonts w:eastAsia="仿宋_GB2312"/>
          <w:color w:val="000000"/>
          <w:sz w:val="32"/>
          <w:szCs w:val="32"/>
        </w:rPr>
      </w:pPr>
    </w:p>
    <w:p>
      <w:pPr>
        <w:spacing w:line="560" w:lineRule="exact"/>
        <w:ind w:firstLine="640"/>
        <w:rPr>
          <w:rFonts w:eastAsia="仿宋_GB2312"/>
          <w:color w:val="000000"/>
          <w:sz w:val="32"/>
          <w:szCs w:val="32"/>
        </w:rPr>
      </w:pPr>
    </w:p>
    <w:p>
      <w:pPr>
        <w:spacing w:line="560" w:lineRule="exact"/>
        <w:ind w:firstLine="640"/>
        <w:rPr>
          <w:rFonts w:eastAsia="仿宋_GB2312"/>
          <w:color w:val="000000"/>
          <w:sz w:val="32"/>
          <w:szCs w:val="32"/>
        </w:rPr>
      </w:pPr>
    </w:p>
    <w:p>
      <w:pPr>
        <w:spacing w:line="560" w:lineRule="exact"/>
        <w:rPr>
          <w:rFonts w:eastAsia="仿宋_GB2312"/>
          <w:color w:val="000000"/>
          <w:sz w:val="32"/>
          <w:szCs w:val="32"/>
        </w:rPr>
      </w:pPr>
    </w:p>
    <w:p>
      <w:pPr>
        <w:spacing w:line="560" w:lineRule="exact"/>
        <w:ind w:firstLine="640" w:firstLineChars="200"/>
        <w:rPr>
          <w:rFonts w:eastAsia="仿宋_GB2312"/>
          <w:color w:val="000000"/>
          <w:sz w:val="32"/>
          <w:szCs w:val="32"/>
        </w:rPr>
      </w:pPr>
      <w:r>
        <w:rPr>
          <w:rFonts w:eastAsia="仿宋_GB2312"/>
          <w:bCs/>
          <w:color w:val="000000"/>
          <w:sz w:val="32"/>
          <w:szCs w:val="32"/>
        </w:rPr>
        <w:t>1.因公出国（境）经费支出</w:t>
      </w:r>
      <w:r>
        <w:rPr>
          <w:rFonts w:eastAsia="仿宋_GB2312"/>
          <w:color w:val="000000"/>
          <w:sz w:val="32"/>
          <w:szCs w:val="32"/>
        </w:rPr>
        <w:t>2018年我局未产生因公出国（境）经费支出，与2017年持平。</w:t>
      </w:r>
    </w:p>
    <w:p>
      <w:pPr>
        <w:spacing w:line="560" w:lineRule="exact"/>
        <w:ind w:firstLine="640"/>
        <w:rPr>
          <w:rFonts w:eastAsia="仿宋_GB2312"/>
          <w:b/>
          <w:bCs/>
          <w:color w:val="000000"/>
          <w:sz w:val="32"/>
          <w:szCs w:val="32"/>
        </w:rPr>
      </w:pPr>
      <w:r>
        <w:rPr>
          <w:rFonts w:eastAsia="仿宋_GB2312"/>
          <w:bCs/>
          <w:color w:val="000000"/>
          <w:sz w:val="32"/>
          <w:szCs w:val="32"/>
        </w:rPr>
        <w:t>2.公务用车购置及运行维护费支出</w:t>
      </w:r>
      <w:r>
        <w:rPr>
          <w:rFonts w:eastAsia="仿宋_GB2312"/>
          <w:color w:val="000000"/>
          <w:sz w:val="32"/>
          <w:szCs w:val="32"/>
        </w:rPr>
        <w:t>6.37万元,</w:t>
      </w:r>
      <w:r>
        <w:rPr>
          <w:rStyle w:val="13"/>
          <w:rFonts w:eastAsia="仿宋_GB2312"/>
          <w:b w:val="0"/>
          <w:bCs w:val="0"/>
          <w:color w:val="000000"/>
          <w:sz w:val="32"/>
          <w:szCs w:val="32"/>
        </w:rPr>
        <w:t>完成预算59%。</w:t>
      </w:r>
      <w:r>
        <w:rPr>
          <w:rFonts w:eastAsia="仿宋_GB2312"/>
          <w:color w:val="000000"/>
          <w:sz w:val="32"/>
          <w:szCs w:val="32"/>
        </w:rPr>
        <w:t>公务用车购置及运行维护费支出决算比2017年减少2.13万元，下降25%。主要原因是原因是我单位在2018年人事招录及人事争议仲裁院日常工作与2017年相比较少，所以比上年相比下降25%。。</w:t>
      </w:r>
    </w:p>
    <w:p>
      <w:pPr>
        <w:spacing w:line="560" w:lineRule="exact"/>
        <w:ind w:firstLine="640" w:firstLineChars="200"/>
        <w:rPr>
          <w:rFonts w:eastAsia="仿宋_GB2312"/>
          <w:b/>
          <w:bCs/>
          <w:color w:val="000000"/>
          <w:sz w:val="32"/>
          <w:szCs w:val="32"/>
        </w:rPr>
      </w:pPr>
      <w:r>
        <w:rPr>
          <w:rFonts w:eastAsia="仿宋_GB2312"/>
          <w:color w:val="000000"/>
          <w:sz w:val="32"/>
          <w:szCs w:val="32"/>
        </w:rPr>
        <w:t>其中：</w:t>
      </w:r>
      <w:r>
        <w:rPr>
          <w:rFonts w:eastAsia="仿宋_GB2312"/>
          <w:bCs/>
          <w:color w:val="000000"/>
          <w:sz w:val="32"/>
          <w:szCs w:val="32"/>
        </w:rPr>
        <w:t>公务用车购置支出</w:t>
      </w:r>
      <w:r>
        <w:rPr>
          <w:rFonts w:eastAsia="仿宋_GB2312"/>
          <w:color w:val="000000"/>
          <w:sz w:val="32"/>
          <w:szCs w:val="32"/>
        </w:rPr>
        <w:t>未产生公务用车购置费用。截至2018年12月底，单位共有公务用车1辆，其中：越野车1辆。</w:t>
      </w:r>
    </w:p>
    <w:p>
      <w:pPr>
        <w:spacing w:line="560" w:lineRule="exact"/>
        <w:ind w:firstLine="640"/>
        <w:rPr>
          <w:rFonts w:eastAsia="仿宋_GB2312"/>
          <w:color w:val="000000"/>
          <w:sz w:val="32"/>
          <w:szCs w:val="32"/>
        </w:rPr>
      </w:pPr>
      <w:r>
        <w:rPr>
          <w:rFonts w:eastAsia="仿宋_GB2312"/>
          <w:bCs/>
          <w:color w:val="000000"/>
          <w:sz w:val="32"/>
          <w:szCs w:val="32"/>
        </w:rPr>
        <w:t>公务用车运行维护费支出</w:t>
      </w:r>
      <w:r>
        <w:rPr>
          <w:rFonts w:eastAsia="仿宋_GB2312"/>
          <w:color w:val="000000"/>
          <w:sz w:val="32"/>
          <w:szCs w:val="32"/>
        </w:rPr>
        <w:t>6.37万元。主要用于原因是我单位在2018年人事招录及人事争议仲裁院日常工作较多。</w:t>
      </w:r>
    </w:p>
    <w:p>
      <w:pPr>
        <w:spacing w:line="560" w:lineRule="exact"/>
        <w:ind w:firstLine="640"/>
        <w:rPr>
          <w:rFonts w:eastAsia="仿宋_GB2312"/>
          <w:color w:val="000000"/>
          <w:sz w:val="32"/>
          <w:szCs w:val="32"/>
        </w:rPr>
      </w:pPr>
      <w:r>
        <w:rPr>
          <w:rFonts w:eastAsia="仿宋_GB2312"/>
          <w:bCs/>
          <w:color w:val="000000"/>
          <w:sz w:val="32"/>
          <w:szCs w:val="32"/>
        </w:rPr>
        <w:t>3.公务接待费支出0.04</w:t>
      </w:r>
      <w:r>
        <w:rPr>
          <w:rFonts w:eastAsia="仿宋_GB2312"/>
          <w:color w:val="000000"/>
          <w:sz w:val="32"/>
          <w:szCs w:val="32"/>
        </w:rPr>
        <w:t>万元，</w:t>
      </w:r>
      <w:r>
        <w:rPr>
          <w:rStyle w:val="13"/>
          <w:rFonts w:eastAsia="仿宋_GB2312"/>
          <w:b w:val="0"/>
          <w:bCs w:val="0"/>
          <w:color w:val="000000"/>
          <w:sz w:val="32"/>
          <w:szCs w:val="32"/>
        </w:rPr>
        <w:t>完成预算27%。</w:t>
      </w:r>
      <w:r>
        <w:rPr>
          <w:rFonts w:eastAsia="仿宋_GB2312"/>
          <w:color w:val="000000"/>
          <w:sz w:val="32"/>
          <w:szCs w:val="32"/>
        </w:rPr>
        <w:t>公务接待费支出决算比2017年减少0.09万元，下降69%。主要原因是多数公务接待工作符合县接待办接待程序，所以比上年减少接待支出费用。</w:t>
      </w:r>
    </w:p>
    <w:p>
      <w:pPr>
        <w:spacing w:line="560" w:lineRule="exact"/>
        <w:ind w:firstLine="640" w:firstLineChars="200"/>
        <w:rPr>
          <w:rFonts w:eastAsia="仿宋_GB2312"/>
          <w:color w:val="000000"/>
          <w:sz w:val="32"/>
          <w:szCs w:val="32"/>
        </w:rPr>
      </w:pPr>
      <w:r>
        <w:rPr>
          <w:rFonts w:eastAsia="仿宋_GB2312"/>
          <w:color w:val="000000"/>
          <w:sz w:val="32"/>
          <w:szCs w:val="32"/>
        </w:rPr>
        <w:t>主要用于执行公务、开展业务活动开支的交通费、住宿费、用餐费等。国内公务接待1批次，2人次（不包括陪同人员），共计支出0.04万元。</w:t>
      </w:r>
    </w:p>
    <w:p>
      <w:pPr>
        <w:spacing w:line="560" w:lineRule="exact"/>
        <w:ind w:firstLine="640" w:firstLineChars="200"/>
        <w:outlineLvl w:val="1"/>
        <w:rPr>
          <w:rStyle w:val="17"/>
          <w:rFonts w:ascii="Times New Roman" w:hAnsi="Times New Roman" w:eastAsia="黑体" w:cs="Times New Roman"/>
        </w:rPr>
      </w:pPr>
      <w:bookmarkStart w:id="46" w:name="_Toc15396610"/>
      <w:bookmarkStart w:id="47" w:name="_Toc15377218"/>
      <w:r>
        <w:rPr>
          <w:rFonts w:eastAsia="黑体"/>
          <w:color w:val="000000"/>
          <w:sz w:val="32"/>
          <w:szCs w:val="32"/>
        </w:rPr>
        <w:t>八、</w:t>
      </w:r>
      <w:r>
        <w:rPr>
          <w:rStyle w:val="17"/>
          <w:rFonts w:ascii="Times New Roman" w:hAnsi="Times New Roman" w:eastAsia="黑体" w:cs="Times New Roman"/>
          <w:b w:val="0"/>
          <w:bCs w:val="0"/>
        </w:rPr>
        <w:t>政府性基金预算支出决算情况说明</w:t>
      </w:r>
      <w:bookmarkEnd w:id="46"/>
      <w:bookmarkEnd w:id="47"/>
    </w:p>
    <w:p>
      <w:pPr>
        <w:spacing w:line="560" w:lineRule="exact"/>
        <w:ind w:firstLine="640"/>
        <w:rPr>
          <w:rFonts w:eastAsia="仿宋_GB2312"/>
          <w:color w:val="000000"/>
          <w:sz w:val="32"/>
          <w:szCs w:val="32"/>
        </w:rPr>
      </w:pPr>
      <w:r>
        <w:rPr>
          <w:rFonts w:eastAsia="仿宋_GB2312"/>
          <w:color w:val="000000"/>
          <w:sz w:val="32"/>
          <w:szCs w:val="32"/>
        </w:rPr>
        <w:t>2018年政府性基金预算拨款支出0万元。</w:t>
      </w:r>
    </w:p>
    <w:p>
      <w:pPr>
        <w:numPr>
          <w:ilvl w:val="0"/>
          <w:numId w:val="3"/>
        </w:numPr>
        <w:spacing w:line="560" w:lineRule="exact"/>
        <w:ind w:firstLine="640"/>
        <w:outlineLvl w:val="1"/>
        <w:rPr>
          <w:rStyle w:val="17"/>
          <w:rFonts w:ascii="Times New Roman" w:hAnsi="Times New Roman" w:eastAsia="黑体" w:cs="Times New Roman"/>
          <w:b w:val="0"/>
          <w:bCs w:val="0"/>
        </w:rPr>
      </w:pPr>
      <w:bookmarkStart w:id="48" w:name="_Toc15396611"/>
      <w:bookmarkStart w:id="49" w:name="_Toc15377219"/>
      <w:r>
        <w:rPr>
          <w:rStyle w:val="17"/>
          <w:rFonts w:ascii="Times New Roman" w:hAnsi="Times New Roman" w:eastAsia="黑体" w:cs="Times New Roman"/>
          <w:b w:val="0"/>
          <w:bCs w:val="0"/>
        </w:rPr>
        <w:t>国有资本经营预算支出决算情况说明</w:t>
      </w:r>
      <w:bookmarkEnd w:id="48"/>
      <w:bookmarkEnd w:id="49"/>
    </w:p>
    <w:p>
      <w:pPr>
        <w:spacing w:line="560" w:lineRule="exact"/>
        <w:ind w:firstLine="640"/>
        <w:rPr>
          <w:rFonts w:eastAsia="仿宋_GB2312"/>
          <w:color w:val="000000"/>
          <w:sz w:val="32"/>
          <w:szCs w:val="32"/>
        </w:rPr>
      </w:pPr>
      <w:r>
        <w:rPr>
          <w:rFonts w:eastAsia="仿宋_GB2312"/>
          <w:color w:val="000000"/>
          <w:sz w:val="32"/>
          <w:szCs w:val="32"/>
        </w:rPr>
        <w:t>2018年国有资本经营预算拨款支出0万元。</w:t>
      </w:r>
    </w:p>
    <w:p>
      <w:pPr>
        <w:pStyle w:val="27"/>
        <w:numPr>
          <w:ilvl w:val="0"/>
          <w:numId w:val="4"/>
        </w:numPr>
        <w:spacing w:line="560" w:lineRule="exact"/>
        <w:ind w:firstLineChars="0"/>
        <w:rPr>
          <w:rStyle w:val="17"/>
          <w:rFonts w:ascii="Times New Roman" w:hAnsi="Times New Roman" w:eastAsia="黑体" w:cs="Times New Roman"/>
          <w:b w:val="0"/>
          <w:bCs w:val="0"/>
        </w:rPr>
      </w:pPr>
      <w:r>
        <w:rPr>
          <w:rStyle w:val="17"/>
          <w:rFonts w:ascii="Times New Roman" w:hAnsi="Times New Roman" w:eastAsia="黑体" w:cs="Times New Roman"/>
          <w:b w:val="0"/>
          <w:bCs w:val="0"/>
        </w:rPr>
        <w:t>预算绩效情况说明</w:t>
      </w:r>
    </w:p>
    <w:p>
      <w:pPr>
        <w:numPr>
          <w:ilvl w:val="0"/>
          <w:numId w:val="5"/>
        </w:numPr>
        <w:spacing w:line="560" w:lineRule="exact"/>
        <w:ind w:firstLine="643" w:firstLineChars="200"/>
        <w:rPr>
          <w:rFonts w:eastAsia="楷体_GB2312"/>
          <w:b/>
          <w:bCs/>
          <w:sz w:val="32"/>
          <w:szCs w:val="32"/>
        </w:rPr>
      </w:pPr>
      <w:r>
        <w:rPr>
          <w:rFonts w:eastAsia="楷体_GB2312"/>
          <w:b/>
          <w:bCs/>
          <w:sz w:val="32"/>
          <w:szCs w:val="32"/>
        </w:rPr>
        <w:t>预算绩效管理工作开展情况</w:t>
      </w:r>
    </w:p>
    <w:p>
      <w:pPr>
        <w:spacing w:line="560" w:lineRule="exact"/>
        <w:ind w:firstLine="640" w:firstLineChars="200"/>
        <w:rPr>
          <w:rFonts w:eastAsia="仿宋_GB2312"/>
          <w:sz w:val="32"/>
          <w:szCs w:val="32"/>
        </w:rPr>
      </w:pPr>
      <w:r>
        <w:rPr>
          <w:rFonts w:eastAsia="仿宋_GB2312"/>
          <w:sz w:val="32"/>
          <w:szCs w:val="32"/>
        </w:rPr>
        <w:t>我局2018年度扎实有效的按照年初绩效评价管理办法开展所有工作。</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1.项目绩效目标完成情况</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我局2018年度无项目。</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2.项目绩效目标完成情况</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我局2018年度无项目。</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3.部门开展绩效评价结果</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我局2018年度绩效评价结果中等。</w:t>
      </w:r>
    </w:p>
    <w:p>
      <w:pPr>
        <w:spacing w:line="560" w:lineRule="exact"/>
        <w:ind w:firstLine="800" w:firstLineChars="250"/>
        <w:outlineLvl w:val="1"/>
        <w:rPr>
          <w:rStyle w:val="17"/>
          <w:rFonts w:ascii="Times New Roman" w:hAnsi="Times New Roman" w:eastAsia="黑体" w:cs="Times New Roman"/>
        </w:rPr>
      </w:pPr>
      <w:bookmarkStart w:id="50" w:name="_Toc15377221"/>
      <w:bookmarkStart w:id="51" w:name="_Toc15396612"/>
      <w:r>
        <w:rPr>
          <w:rFonts w:eastAsia="黑体"/>
          <w:color w:val="000000"/>
          <w:sz w:val="32"/>
          <w:szCs w:val="32"/>
        </w:rPr>
        <w:t>十</w:t>
      </w:r>
      <w:r>
        <w:rPr>
          <w:rStyle w:val="17"/>
          <w:rFonts w:ascii="Times New Roman" w:hAnsi="Times New Roman" w:eastAsia="黑体" w:cs="Times New Roman"/>
        </w:rPr>
        <w:t>一、</w:t>
      </w:r>
      <w:r>
        <w:rPr>
          <w:rStyle w:val="17"/>
          <w:rFonts w:ascii="Times New Roman" w:hAnsi="Times New Roman" w:eastAsia="黑体" w:cs="Times New Roman"/>
          <w:b w:val="0"/>
          <w:bCs w:val="0"/>
        </w:rPr>
        <w:t>其他重要事项的情况说明</w:t>
      </w:r>
      <w:bookmarkEnd w:id="50"/>
      <w:bookmarkEnd w:id="51"/>
    </w:p>
    <w:p>
      <w:pPr>
        <w:spacing w:line="560" w:lineRule="exact"/>
        <w:ind w:firstLine="643" w:firstLineChars="200"/>
        <w:outlineLvl w:val="2"/>
        <w:rPr>
          <w:rFonts w:eastAsia="楷体_GB2312"/>
          <w:color w:val="000000"/>
          <w:sz w:val="32"/>
          <w:szCs w:val="32"/>
        </w:rPr>
      </w:pPr>
      <w:bookmarkStart w:id="52" w:name="_Toc15377222"/>
      <w:r>
        <w:rPr>
          <w:rFonts w:eastAsia="楷体_GB2312"/>
          <w:b/>
          <w:bCs/>
          <w:color w:val="000000"/>
          <w:sz w:val="32"/>
          <w:szCs w:val="32"/>
        </w:rPr>
        <w:t>（一）机关运行经费支出情况</w:t>
      </w:r>
      <w:bookmarkEnd w:id="52"/>
    </w:p>
    <w:p>
      <w:pPr>
        <w:spacing w:line="560" w:lineRule="exact"/>
        <w:ind w:firstLine="640" w:firstLineChars="200"/>
        <w:rPr>
          <w:rFonts w:eastAsia="仿宋_GB2312"/>
          <w:color w:val="000000"/>
          <w:sz w:val="32"/>
          <w:szCs w:val="32"/>
        </w:rPr>
      </w:pPr>
      <w:r>
        <w:rPr>
          <w:rFonts w:eastAsia="仿宋_GB2312"/>
          <w:color w:val="000000"/>
          <w:sz w:val="32"/>
          <w:szCs w:val="32"/>
        </w:rPr>
        <w:t>2018年，壤塘县人社局机关运行经费支出48.55万元，比2017年增加9.08万元，相比去年增长23%。主要原因是我单位在2018年人事招录及人事争议仲裁院日常经费支出较多。</w:t>
      </w:r>
    </w:p>
    <w:p>
      <w:pPr>
        <w:autoSpaceDE w:val="0"/>
        <w:autoSpaceDN w:val="0"/>
        <w:adjustRightInd w:val="0"/>
        <w:spacing w:line="560" w:lineRule="exact"/>
        <w:ind w:firstLine="643" w:firstLineChars="200"/>
        <w:jc w:val="left"/>
        <w:outlineLvl w:val="2"/>
        <w:rPr>
          <w:rFonts w:eastAsia="楷体_GB2312"/>
          <w:b/>
          <w:bCs/>
          <w:color w:val="000000"/>
          <w:sz w:val="32"/>
          <w:szCs w:val="32"/>
        </w:rPr>
      </w:pPr>
      <w:bookmarkStart w:id="53" w:name="_Toc15377223"/>
      <w:r>
        <w:rPr>
          <w:rFonts w:eastAsia="楷体_GB2312"/>
          <w:b/>
          <w:bCs/>
          <w:color w:val="000000"/>
          <w:sz w:val="32"/>
          <w:szCs w:val="32"/>
        </w:rPr>
        <w:t>（二）政府采购支出情况</w:t>
      </w:r>
      <w:bookmarkEnd w:id="53"/>
    </w:p>
    <w:p>
      <w:pPr>
        <w:autoSpaceDE w:val="0"/>
        <w:autoSpaceDN w:val="0"/>
        <w:adjustRightInd w:val="0"/>
        <w:spacing w:line="560" w:lineRule="exact"/>
        <w:ind w:firstLine="640" w:firstLineChars="200"/>
        <w:jc w:val="left"/>
        <w:outlineLvl w:val="2"/>
        <w:rPr>
          <w:rFonts w:eastAsia="仿宋_GB2312"/>
          <w:b/>
          <w:bCs/>
          <w:color w:val="000000"/>
          <w:sz w:val="32"/>
          <w:szCs w:val="32"/>
        </w:rPr>
      </w:pPr>
      <w:r>
        <w:rPr>
          <w:rFonts w:eastAsia="仿宋_GB2312"/>
          <w:color w:val="000000"/>
          <w:sz w:val="32"/>
          <w:szCs w:val="32"/>
        </w:rPr>
        <w:t>2018年壤塘县人社局无政府采购支出。</w:t>
      </w:r>
    </w:p>
    <w:p>
      <w:pPr>
        <w:autoSpaceDE w:val="0"/>
        <w:autoSpaceDN w:val="0"/>
        <w:adjustRightInd w:val="0"/>
        <w:spacing w:line="560" w:lineRule="exact"/>
        <w:ind w:firstLine="643" w:firstLineChars="200"/>
        <w:jc w:val="left"/>
        <w:outlineLvl w:val="2"/>
        <w:rPr>
          <w:rFonts w:eastAsia="楷体_GB2312"/>
          <w:b/>
          <w:bCs/>
          <w:color w:val="000000"/>
          <w:sz w:val="32"/>
          <w:szCs w:val="32"/>
        </w:rPr>
      </w:pPr>
      <w:bookmarkStart w:id="54" w:name="_Toc15377224"/>
      <w:r>
        <w:rPr>
          <w:rFonts w:eastAsia="楷体_GB2312"/>
          <w:b/>
          <w:bCs/>
          <w:color w:val="000000"/>
          <w:sz w:val="32"/>
          <w:szCs w:val="32"/>
        </w:rPr>
        <w:t>（三）国有资产占有使用情况</w:t>
      </w:r>
      <w:bookmarkEnd w:id="54"/>
    </w:p>
    <w:p>
      <w:pPr>
        <w:autoSpaceDE w:val="0"/>
        <w:autoSpaceDN w:val="0"/>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截至2018年12月31日，壤塘县人社局共有公务用车1辆。</w:t>
      </w:r>
    </w:p>
    <w:p>
      <w:pPr>
        <w:numPr>
          <w:ilvl w:val="0"/>
          <w:numId w:val="6"/>
        </w:numPr>
        <w:spacing w:line="700" w:lineRule="exact"/>
        <w:ind w:firstLine="660" w:firstLineChars="150"/>
        <w:jc w:val="center"/>
        <w:outlineLvl w:val="0"/>
        <w:rPr>
          <w:rStyle w:val="16"/>
          <w:rFonts w:eastAsia="方正小标宋简体"/>
          <w:b w:val="0"/>
          <w:bCs w:val="0"/>
        </w:rPr>
      </w:pPr>
      <w:bookmarkStart w:id="55" w:name="_Toc15396613"/>
      <w:bookmarkStart w:id="56" w:name="_Toc15377225"/>
      <w:r>
        <w:rPr>
          <w:rFonts w:eastAsia="方正小标宋简体"/>
          <w:b/>
          <w:bCs/>
          <w:color w:val="000000"/>
          <w:sz w:val="44"/>
          <w:szCs w:val="44"/>
        </w:rPr>
        <w:t>名</w:t>
      </w:r>
      <w:r>
        <w:rPr>
          <w:rStyle w:val="16"/>
          <w:rFonts w:eastAsia="方正小标宋简体"/>
          <w:b w:val="0"/>
          <w:bCs w:val="0"/>
        </w:rPr>
        <w:t>词解释</w:t>
      </w:r>
      <w:bookmarkEnd w:id="55"/>
      <w:bookmarkEnd w:id="56"/>
    </w:p>
    <w:p>
      <w:pPr>
        <w:spacing w:line="560" w:lineRule="exact"/>
        <w:jc w:val="left"/>
        <w:rPr>
          <w:rFonts w:eastAsia="仿宋_GB2312"/>
          <w:b/>
          <w:bCs/>
          <w:color w:val="000000"/>
          <w:sz w:val="32"/>
          <w:szCs w:val="32"/>
        </w:rPr>
      </w:pPr>
    </w:p>
    <w:p>
      <w:pPr>
        <w:pStyle w:val="26"/>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1.财政拨款收入：指单位从同级财政部门取得的财政预算资金。</w:t>
      </w:r>
    </w:p>
    <w:p>
      <w:pPr>
        <w:pStyle w:val="26"/>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2.其他收入：指单位取得的除上述收入以外的各项收入。主要是银行利息收入等。</w:t>
      </w:r>
    </w:p>
    <w:p>
      <w:pPr>
        <w:pStyle w:val="26"/>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3.年初结转和结余：指以前年度尚未完成、结转到本年按有关规定继续使用的资金。</w:t>
      </w:r>
    </w:p>
    <w:p>
      <w:pPr>
        <w:pStyle w:val="26"/>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4.年末结转和结余：指单位按有关规定结转到下年或以后年度继续使用的资金。</w:t>
      </w:r>
    </w:p>
    <w:p>
      <w:pPr>
        <w:spacing w:line="560" w:lineRule="exact"/>
        <w:ind w:firstLine="640" w:firstLineChars="200"/>
        <w:rPr>
          <w:rFonts w:eastAsia="仿宋_GB2312"/>
          <w:sz w:val="32"/>
          <w:szCs w:val="32"/>
        </w:rPr>
      </w:pPr>
      <w:r>
        <w:rPr>
          <w:rFonts w:eastAsia="仿宋_GB2312"/>
          <w:sz w:val="32"/>
          <w:szCs w:val="32"/>
        </w:rPr>
        <w:t>5.年初结转和结余：指以前年度尚未完成、结转到本年按有关规定继续使用的资金。</w:t>
      </w:r>
    </w:p>
    <w:p>
      <w:pPr>
        <w:spacing w:line="560" w:lineRule="exact"/>
        <w:rPr>
          <w:rFonts w:eastAsia="仿宋_GB2312"/>
          <w:sz w:val="32"/>
          <w:szCs w:val="32"/>
        </w:rPr>
      </w:pPr>
      <w:r>
        <w:rPr>
          <w:rFonts w:eastAsia="仿宋_GB2312"/>
          <w:sz w:val="32"/>
          <w:szCs w:val="32"/>
        </w:rPr>
        <w:t>　  6.一般公共服务（201类）（01款）（01项）：指反映政府提供一般公共服务的支出。</w:t>
      </w:r>
    </w:p>
    <w:p>
      <w:pPr>
        <w:spacing w:line="560" w:lineRule="exact"/>
        <w:ind w:firstLine="640" w:firstLineChars="200"/>
        <w:rPr>
          <w:rFonts w:eastAsia="仿宋_GB2312"/>
          <w:sz w:val="32"/>
          <w:szCs w:val="32"/>
        </w:rPr>
      </w:pPr>
      <w:r>
        <w:rPr>
          <w:rFonts w:eastAsia="仿宋_GB2312"/>
          <w:sz w:val="32"/>
          <w:szCs w:val="32"/>
        </w:rPr>
        <w:t>7.社会保障和就业（208类）：指用于社会保险和就业方面的支出。</w:t>
      </w:r>
    </w:p>
    <w:p>
      <w:pPr>
        <w:spacing w:line="560" w:lineRule="exact"/>
        <w:ind w:firstLine="640" w:firstLineChars="200"/>
        <w:rPr>
          <w:rFonts w:eastAsia="仿宋_GB2312"/>
          <w:sz w:val="32"/>
          <w:szCs w:val="32"/>
        </w:rPr>
      </w:pPr>
      <w:r>
        <w:rPr>
          <w:rFonts w:eastAsia="仿宋_GB2312"/>
          <w:sz w:val="32"/>
          <w:szCs w:val="32"/>
        </w:rPr>
        <w:t>（1）机关事业单位基本养老保险208（类）05（款）05（项）: 指用于机构职工基本养老保险支出。</w:t>
      </w:r>
    </w:p>
    <w:p>
      <w:pPr>
        <w:spacing w:line="560" w:lineRule="exact"/>
        <w:ind w:firstLine="640" w:firstLineChars="200"/>
        <w:rPr>
          <w:rFonts w:eastAsia="仿宋_GB2312"/>
          <w:sz w:val="32"/>
          <w:szCs w:val="32"/>
        </w:rPr>
      </w:pPr>
      <w:r>
        <w:rPr>
          <w:rFonts w:eastAsia="仿宋_GB2312"/>
          <w:sz w:val="32"/>
          <w:szCs w:val="32"/>
        </w:rPr>
        <w:t>（2）机关事业单位职业年金208（类）05（款）06（项）: 指用于机构职工职业年金支出。</w:t>
      </w:r>
    </w:p>
    <w:p>
      <w:pPr>
        <w:spacing w:line="560" w:lineRule="exact"/>
        <w:ind w:firstLine="640" w:firstLineChars="200"/>
        <w:rPr>
          <w:rFonts w:eastAsia="仿宋_GB2312"/>
          <w:sz w:val="32"/>
          <w:szCs w:val="32"/>
        </w:rPr>
      </w:pPr>
      <w:r>
        <w:rPr>
          <w:rFonts w:eastAsia="仿宋_GB2312"/>
          <w:sz w:val="32"/>
          <w:szCs w:val="32"/>
        </w:rPr>
        <w:t>8.医疗卫生和计划生育（210类）（11款）（01项）：指用于医疗卫生与计划生育方面的支出。</w:t>
      </w:r>
    </w:p>
    <w:p>
      <w:pPr>
        <w:spacing w:line="560" w:lineRule="exact"/>
        <w:ind w:firstLine="640" w:firstLineChars="200"/>
        <w:rPr>
          <w:rFonts w:eastAsia="仿宋_GB2312"/>
          <w:sz w:val="32"/>
          <w:szCs w:val="32"/>
        </w:rPr>
      </w:pPr>
      <w:r>
        <w:rPr>
          <w:rFonts w:eastAsia="仿宋_GB2312"/>
          <w:sz w:val="32"/>
          <w:szCs w:val="32"/>
        </w:rPr>
        <w:t>9.民族事务（201类）（23款）（99项）：反映用于民族管理方面的支出。</w:t>
      </w:r>
    </w:p>
    <w:p>
      <w:pPr>
        <w:spacing w:line="560" w:lineRule="exact"/>
        <w:ind w:firstLine="640" w:firstLineChars="200"/>
        <w:rPr>
          <w:rFonts w:eastAsia="仿宋_GB2312"/>
          <w:sz w:val="32"/>
          <w:szCs w:val="32"/>
        </w:rPr>
      </w:pPr>
      <w:r>
        <w:rPr>
          <w:rFonts w:eastAsia="仿宋_GB2312"/>
          <w:sz w:val="32"/>
          <w:szCs w:val="32"/>
        </w:rPr>
        <w:t>10.结余分配：指事业单位按规定提取的职工福利基金、事业基金和缴纳的所得税，以及建设单位按规定应交回的基本建设竣工项目结余资金。</w:t>
      </w:r>
    </w:p>
    <w:p>
      <w:pPr>
        <w:spacing w:line="560" w:lineRule="exact"/>
        <w:ind w:firstLine="640" w:firstLineChars="200"/>
        <w:rPr>
          <w:rFonts w:eastAsia="仿宋_GB2312"/>
          <w:sz w:val="32"/>
          <w:szCs w:val="32"/>
        </w:rPr>
      </w:pPr>
      <w:r>
        <w:rPr>
          <w:rFonts w:eastAsia="仿宋_GB2312"/>
          <w:sz w:val="32"/>
          <w:szCs w:val="32"/>
        </w:rPr>
        <w:t>11.年末结转和结余：指本年度或以前年度预算安排、因客观条件发生变化无法按原计划实施，需延迟到以后年度按有关规定继续使用的资金。</w:t>
      </w:r>
    </w:p>
    <w:p>
      <w:pPr>
        <w:spacing w:line="560" w:lineRule="exact"/>
        <w:ind w:firstLine="640" w:firstLineChars="200"/>
        <w:rPr>
          <w:rFonts w:eastAsia="仿宋_GB2312"/>
          <w:sz w:val="32"/>
          <w:szCs w:val="32"/>
        </w:rPr>
      </w:pPr>
      <w:r>
        <w:rPr>
          <w:rFonts w:eastAsia="仿宋_GB2312"/>
          <w:sz w:val="32"/>
          <w:szCs w:val="32"/>
        </w:rPr>
        <w:t>12.基本支出：指为保障机构正常运转、完成日常工作任务而发生的人员支出和公用支出。</w:t>
      </w:r>
    </w:p>
    <w:p>
      <w:pPr>
        <w:spacing w:line="560" w:lineRule="exact"/>
        <w:ind w:firstLine="640" w:firstLineChars="200"/>
        <w:rPr>
          <w:rFonts w:eastAsia="仿宋_GB2312"/>
          <w:sz w:val="32"/>
          <w:szCs w:val="32"/>
        </w:rPr>
      </w:pPr>
      <w:r>
        <w:rPr>
          <w:rFonts w:eastAsia="仿宋_GB2312"/>
          <w:sz w:val="32"/>
          <w:szCs w:val="32"/>
        </w:rPr>
        <w:t>13.项目支出：指在基本支出之外为完成特定行政任务和事业发展目标所发生的支出。</w:t>
      </w:r>
    </w:p>
    <w:p>
      <w:pPr>
        <w:spacing w:line="560" w:lineRule="exact"/>
        <w:ind w:firstLine="640" w:firstLineChars="200"/>
        <w:rPr>
          <w:rFonts w:eastAsia="仿宋_GB2312"/>
          <w:sz w:val="32"/>
          <w:szCs w:val="32"/>
        </w:rPr>
      </w:pPr>
      <w:r>
        <w:rPr>
          <w:rFonts w:eastAsia="仿宋_GB2312"/>
          <w:sz w:val="32"/>
          <w:szCs w:val="32"/>
        </w:rPr>
        <w:t>14.“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60" w:lineRule="exact"/>
        <w:ind w:firstLine="640" w:firstLineChars="200"/>
        <w:rPr>
          <w:rFonts w:eastAsia="仿宋_GB2312"/>
          <w:color w:val="000000"/>
          <w:sz w:val="32"/>
          <w:szCs w:val="32"/>
        </w:rPr>
      </w:pPr>
      <w:r>
        <w:rPr>
          <w:rFonts w:eastAsia="仿宋_GB2312"/>
          <w:color w:val="000000"/>
          <w:sz w:val="32"/>
          <w:szCs w:val="32"/>
        </w:rPr>
        <w:t>15.基本支出：指为保障机构正常运转、完成日常工作任务而发生的人员支出和公用支出。</w:t>
      </w:r>
    </w:p>
    <w:p>
      <w:pPr>
        <w:pStyle w:val="26"/>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6"/>
        <w:spacing w:line="560" w:lineRule="exact"/>
        <w:ind w:firstLine="640" w:firstLineChars="200"/>
        <w:rPr>
          <w:rFonts w:ascii="Times New Roman" w:hAnsi="Times New Roman" w:eastAsia="仿宋_GB2312" w:cs="Times New Roman"/>
          <w:sz w:val="32"/>
          <w:szCs w:val="32"/>
        </w:rPr>
      </w:pPr>
    </w:p>
    <w:p>
      <w:pPr>
        <w:spacing w:line="560" w:lineRule="exact"/>
        <w:jc w:val="center"/>
        <w:outlineLvl w:val="0"/>
        <w:rPr>
          <w:rStyle w:val="16"/>
          <w:rFonts w:eastAsia="方正小标宋简体"/>
          <w:b w:val="0"/>
          <w:bCs w:val="0"/>
        </w:rPr>
      </w:pPr>
      <w:bookmarkStart w:id="57" w:name="_Toc15377226"/>
      <w:r>
        <w:rPr>
          <w:rFonts w:eastAsia="仿宋_GB2312"/>
          <w:b/>
          <w:bCs/>
          <w:color w:val="000000"/>
          <w:sz w:val="32"/>
          <w:szCs w:val="32"/>
        </w:rPr>
        <w:br w:type="page"/>
      </w:r>
      <w:bookmarkStart w:id="58" w:name="_Toc15396614"/>
      <w:r>
        <w:rPr>
          <w:rFonts w:eastAsia="方正小标宋简体"/>
          <w:color w:val="000000"/>
          <w:sz w:val="44"/>
          <w:szCs w:val="44"/>
        </w:rPr>
        <w:t>第</w:t>
      </w:r>
      <w:r>
        <w:rPr>
          <w:rStyle w:val="16"/>
          <w:rFonts w:eastAsia="方正小标宋简体"/>
          <w:b w:val="0"/>
          <w:bCs w:val="0"/>
        </w:rPr>
        <w:t>四部分  附件</w:t>
      </w:r>
      <w:bookmarkEnd w:id="58"/>
    </w:p>
    <w:p>
      <w:pPr>
        <w:spacing w:line="560" w:lineRule="exact"/>
        <w:jc w:val="center"/>
        <w:outlineLvl w:val="0"/>
        <w:rPr>
          <w:rStyle w:val="16"/>
          <w:rFonts w:eastAsia="仿宋_GB2312"/>
          <w:sz w:val="32"/>
          <w:szCs w:val="32"/>
        </w:rPr>
      </w:pPr>
    </w:p>
    <w:p>
      <w:pPr>
        <w:pStyle w:val="3"/>
        <w:spacing w:line="560" w:lineRule="exact"/>
        <w:rPr>
          <w:rStyle w:val="16"/>
          <w:rFonts w:eastAsia="黑体"/>
          <w:b w:val="0"/>
          <w:bCs w:val="0"/>
          <w:sz w:val="32"/>
          <w:szCs w:val="32"/>
        </w:rPr>
      </w:pPr>
      <w:bookmarkStart w:id="59" w:name="_Toc15396615"/>
      <w:r>
        <w:rPr>
          <w:rStyle w:val="16"/>
          <w:rFonts w:eastAsia="黑体"/>
          <w:b w:val="0"/>
          <w:bCs w:val="0"/>
          <w:sz w:val="32"/>
          <w:szCs w:val="32"/>
        </w:rPr>
        <w:t>附件1</w:t>
      </w:r>
      <w:bookmarkEnd w:id="59"/>
    </w:p>
    <w:p>
      <w:pPr>
        <w:spacing w:line="700" w:lineRule="exact"/>
        <w:jc w:val="center"/>
        <w:outlineLvl w:val="0"/>
        <w:rPr>
          <w:rFonts w:eastAsia="方正小标宋简体"/>
          <w:sz w:val="44"/>
          <w:szCs w:val="44"/>
        </w:rPr>
      </w:pPr>
      <w:bookmarkStart w:id="60" w:name="_Toc15396616"/>
      <w:r>
        <w:rPr>
          <w:rFonts w:eastAsia="方正小标宋简体"/>
          <w:sz w:val="44"/>
          <w:szCs w:val="44"/>
        </w:rPr>
        <w:t>壤塘县人社局2018年整体支出绩效</w:t>
      </w:r>
    </w:p>
    <w:p>
      <w:pPr>
        <w:spacing w:line="700" w:lineRule="exact"/>
        <w:jc w:val="center"/>
        <w:outlineLvl w:val="0"/>
        <w:rPr>
          <w:rFonts w:eastAsia="方正小标宋简体"/>
          <w:sz w:val="44"/>
          <w:szCs w:val="44"/>
        </w:rPr>
      </w:pPr>
      <w:r>
        <w:rPr>
          <w:rFonts w:eastAsia="方正小标宋简体"/>
          <w:sz w:val="44"/>
          <w:szCs w:val="44"/>
        </w:rPr>
        <w:t>评价报告</w:t>
      </w:r>
      <w:bookmarkEnd w:id="60"/>
    </w:p>
    <w:p>
      <w:pPr>
        <w:spacing w:line="700" w:lineRule="exact"/>
        <w:jc w:val="center"/>
        <w:outlineLvl w:val="0"/>
        <w:rPr>
          <w:rFonts w:eastAsia="方正小标宋简体"/>
          <w:sz w:val="32"/>
          <w:szCs w:val="32"/>
        </w:rPr>
      </w:pPr>
    </w:p>
    <w:p>
      <w:pPr>
        <w:spacing w:line="560" w:lineRule="exact"/>
        <w:ind w:firstLine="640" w:firstLineChars="200"/>
        <w:rPr>
          <w:rFonts w:eastAsia="黑体"/>
          <w:sz w:val="32"/>
          <w:szCs w:val="32"/>
        </w:rPr>
      </w:pPr>
      <w:r>
        <w:rPr>
          <w:rFonts w:eastAsia="黑体"/>
          <w:sz w:val="32"/>
          <w:szCs w:val="32"/>
        </w:rPr>
        <w:t>一、部门概况</w:t>
      </w:r>
    </w:p>
    <w:p>
      <w:pPr>
        <w:spacing w:line="560" w:lineRule="exact"/>
        <w:ind w:firstLine="643" w:firstLineChars="200"/>
        <w:rPr>
          <w:rFonts w:eastAsia="楷体_GB2312"/>
          <w:b/>
          <w:sz w:val="32"/>
          <w:szCs w:val="32"/>
        </w:rPr>
      </w:pPr>
      <w:r>
        <w:rPr>
          <w:rFonts w:eastAsia="楷体_GB2312"/>
          <w:b/>
          <w:sz w:val="32"/>
          <w:szCs w:val="32"/>
        </w:rPr>
        <w:t>（一）机构组成</w:t>
      </w:r>
    </w:p>
    <w:p>
      <w:pPr>
        <w:spacing w:line="560" w:lineRule="exact"/>
        <w:ind w:firstLine="640" w:firstLineChars="200"/>
        <w:rPr>
          <w:rFonts w:eastAsia="仿宋_GB2312"/>
          <w:sz w:val="32"/>
          <w:szCs w:val="32"/>
        </w:rPr>
      </w:pPr>
      <w:r>
        <w:rPr>
          <w:rFonts w:eastAsia="仿宋_GB2312"/>
          <w:sz w:val="32"/>
          <w:szCs w:val="32"/>
        </w:rPr>
        <w:t>壤塘县人社局下属二级单位3个，参照公务员法管理的事业单位2个，其他事业单位1个。</w:t>
      </w:r>
    </w:p>
    <w:p>
      <w:pPr>
        <w:spacing w:line="560" w:lineRule="exact"/>
        <w:ind w:firstLine="643" w:firstLineChars="200"/>
        <w:rPr>
          <w:rFonts w:eastAsia="楷体_GB2312"/>
          <w:b/>
          <w:sz w:val="32"/>
          <w:szCs w:val="32"/>
        </w:rPr>
      </w:pPr>
      <w:r>
        <w:rPr>
          <w:rFonts w:eastAsia="楷体_GB2312"/>
          <w:b/>
          <w:sz w:val="32"/>
          <w:szCs w:val="32"/>
        </w:rPr>
        <w:t>（二）机构职能</w:t>
      </w:r>
    </w:p>
    <w:p>
      <w:pPr>
        <w:spacing w:line="560" w:lineRule="exact"/>
        <w:ind w:firstLine="640" w:firstLineChars="200"/>
        <w:rPr>
          <w:rFonts w:eastAsia="仿宋_GB2312"/>
          <w:sz w:val="32"/>
          <w:szCs w:val="32"/>
        </w:rPr>
      </w:pPr>
      <w:r>
        <w:rPr>
          <w:rFonts w:eastAsia="仿宋_GB2312"/>
          <w:sz w:val="32"/>
          <w:szCs w:val="32"/>
        </w:rPr>
        <w:t>1.贯彻执行国家、省、州人力资源和社会保障工作的相关法律、法规、规章和政策，拟订全县人力资源和社会保障事业发展规划、政策并组织实施和监督检查。</w:t>
      </w:r>
    </w:p>
    <w:p>
      <w:pPr>
        <w:spacing w:line="560" w:lineRule="exact"/>
        <w:ind w:firstLine="640" w:firstLineChars="200"/>
        <w:rPr>
          <w:rFonts w:eastAsia="仿宋_GB2312"/>
          <w:sz w:val="32"/>
          <w:szCs w:val="32"/>
        </w:rPr>
      </w:pPr>
      <w:r>
        <w:rPr>
          <w:rFonts w:eastAsia="仿宋_GB2312"/>
          <w:sz w:val="32"/>
          <w:szCs w:val="32"/>
        </w:rPr>
        <w:t>2.拟订并组织实施人力资源市场发展规划，管理人力资源和社会保障公共服务机构，建立全县统一规范的人力资源市场，促进人力资源合理流动、有效配置。</w:t>
      </w:r>
    </w:p>
    <w:p>
      <w:pPr>
        <w:spacing w:line="560" w:lineRule="exact"/>
        <w:ind w:firstLine="640" w:firstLineChars="200"/>
        <w:rPr>
          <w:rFonts w:eastAsia="仿宋_GB2312"/>
          <w:sz w:val="32"/>
          <w:szCs w:val="32"/>
        </w:rPr>
      </w:pPr>
      <w:r>
        <w:rPr>
          <w:rFonts w:eastAsia="仿宋_GB2312"/>
          <w:sz w:val="32"/>
          <w:szCs w:val="32"/>
        </w:rPr>
        <w:t>3.负责促进就业工作。</w:t>
      </w:r>
    </w:p>
    <w:p>
      <w:pPr>
        <w:spacing w:line="560" w:lineRule="exact"/>
        <w:ind w:firstLine="640" w:firstLineChars="200"/>
        <w:rPr>
          <w:rFonts w:eastAsia="仿宋_GB2312"/>
          <w:sz w:val="32"/>
          <w:szCs w:val="32"/>
        </w:rPr>
      </w:pPr>
      <w:r>
        <w:rPr>
          <w:rFonts w:eastAsia="仿宋_GB2312"/>
          <w:sz w:val="32"/>
          <w:szCs w:val="32"/>
        </w:rPr>
        <w:t>4.统筹建立覆盖城乡的社会保障体系。</w:t>
      </w:r>
    </w:p>
    <w:p>
      <w:pPr>
        <w:spacing w:line="560" w:lineRule="exact"/>
        <w:ind w:firstLine="640" w:firstLineChars="200"/>
        <w:rPr>
          <w:rFonts w:eastAsia="仿宋_GB2312"/>
          <w:sz w:val="32"/>
          <w:szCs w:val="32"/>
        </w:rPr>
      </w:pPr>
      <w:r>
        <w:rPr>
          <w:rFonts w:eastAsia="仿宋_GB2312"/>
          <w:sz w:val="32"/>
          <w:szCs w:val="32"/>
        </w:rPr>
        <w:t>5.负责就业、失业、社会保险基金预测预警和信息引导。</w:t>
      </w:r>
    </w:p>
    <w:p>
      <w:pPr>
        <w:spacing w:line="560" w:lineRule="exact"/>
        <w:ind w:firstLine="640" w:firstLineChars="200"/>
        <w:rPr>
          <w:rFonts w:eastAsia="仿宋_GB2312"/>
          <w:sz w:val="32"/>
          <w:szCs w:val="32"/>
        </w:rPr>
      </w:pPr>
      <w:r>
        <w:rPr>
          <w:rFonts w:eastAsia="仿宋_GB2312"/>
          <w:sz w:val="32"/>
          <w:szCs w:val="32"/>
        </w:rPr>
        <w:t>6.综合管理全县机关企事业单位的工资福利工作。</w:t>
      </w:r>
    </w:p>
    <w:p>
      <w:pPr>
        <w:spacing w:line="560" w:lineRule="exact"/>
        <w:ind w:firstLine="640" w:firstLineChars="200"/>
        <w:rPr>
          <w:rFonts w:eastAsia="仿宋_GB2312"/>
          <w:sz w:val="32"/>
          <w:szCs w:val="32"/>
        </w:rPr>
      </w:pPr>
      <w:r>
        <w:rPr>
          <w:rFonts w:eastAsia="仿宋_GB2312"/>
          <w:sz w:val="32"/>
          <w:szCs w:val="32"/>
        </w:rPr>
        <w:t>7.会同有关部门做好军队转业干部的安置工作。</w:t>
      </w:r>
    </w:p>
    <w:p>
      <w:pPr>
        <w:spacing w:line="560" w:lineRule="exact"/>
        <w:ind w:firstLine="640" w:firstLineChars="200"/>
        <w:rPr>
          <w:rFonts w:eastAsia="仿宋_GB2312"/>
          <w:sz w:val="32"/>
          <w:szCs w:val="32"/>
        </w:rPr>
      </w:pPr>
      <w:r>
        <w:rPr>
          <w:rFonts w:eastAsia="仿宋_GB2312"/>
          <w:sz w:val="32"/>
          <w:szCs w:val="32"/>
        </w:rPr>
        <w:t>8.综合管理全县公务员，贯彻执行国家、省、州有关公务员分类、录用、考核、奖惩、任用、交流、培训、辞退等法律、法规、规章和政策，拟订贯彻事业单位工作人员参照《公务员法》管理和聘任制公务员管理的具体办法并组织实施和监督检查，指导、协调各乡、县级各部门公务员管理工作。</w:t>
      </w:r>
    </w:p>
    <w:p>
      <w:pPr>
        <w:spacing w:line="560" w:lineRule="exact"/>
        <w:ind w:firstLine="643" w:firstLineChars="200"/>
        <w:rPr>
          <w:rFonts w:eastAsia="楷体_GB2312"/>
          <w:b/>
          <w:sz w:val="32"/>
          <w:szCs w:val="32"/>
        </w:rPr>
      </w:pPr>
      <w:r>
        <w:rPr>
          <w:rFonts w:eastAsia="楷体_GB2312"/>
          <w:b/>
          <w:sz w:val="32"/>
          <w:szCs w:val="32"/>
        </w:rPr>
        <w:t>（三）人员概况。</w:t>
      </w:r>
    </w:p>
    <w:p>
      <w:pPr>
        <w:spacing w:line="560" w:lineRule="exact"/>
        <w:ind w:firstLine="640" w:firstLineChars="200"/>
        <w:rPr>
          <w:rFonts w:eastAsia="仿宋_GB2312"/>
          <w:kern w:val="0"/>
          <w:sz w:val="32"/>
          <w:szCs w:val="32"/>
        </w:rPr>
      </w:pPr>
      <w:r>
        <w:rPr>
          <w:rFonts w:eastAsia="仿宋_GB2312"/>
          <w:kern w:val="0"/>
          <w:sz w:val="32"/>
          <w:szCs w:val="32"/>
        </w:rPr>
        <w:t>总编制27名，其中：行政编制16人、工勤2人、参公编制11人。</w:t>
      </w:r>
    </w:p>
    <w:p>
      <w:pPr>
        <w:spacing w:line="560" w:lineRule="exact"/>
        <w:ind w:firstLine="640" w:firstLineChars="200"/>
        <w:rPr>
          <w:rFonts w:eastAsia="黑体"/>
          <w:sz w:val="32"/>
          <w:szCs w:val="32"/>
        </w:rPr>
      </w:pPr>
      <w:r>
        <w:rPr>
          <w:rFonts w:eastAsia="黑体"/>
          <w:sz w:val="32"/>
          <w:szCs w:val="32"/>
        </w:rPr>
        <w:t>二、部门财政资金收支情况</w:t>
      </w:r>
    </w:p>
    <w:p>
      <w:pPr>
        <w:spacing w:line="560" w:lineRule="exact"/>
        <w:ind w:firstLine="643" w:firstLineChars="200"/>
        <w:rPr>
          <w:rFonts w:eastAsia="楷体_GB2312"/>
          <w:b/>
          <w:sz w:val="32"/>
          <w:szCs w:val="32"/>
        </w:rPr>
      </w:pPr>
      <w:r>
        <w:rPr>
          <w:rFonts w:eastAsia="楷体_GB2312"/>
          <w:b/>
          <w:sz w:val="32"/>
          <w:szCs w:val="32"/>
        </w:rPr>
        <w:t>（一）部门财政资金收入情况</w:t>
      </w:r>
    </w:p>
    <w:p>
      <w:pPr>
        <w:spacing w:line="560" w:lineRule="exact"/>
        <w:ind w:firstLine="640" w:firstLineChars="200"/>
        <w:rPr>
          <w:rFonts w:eastAsia="仿宋_GB2312"/>
          <w:sz w:val="32"/>
          <w:szCs w:val="32"/>
        </w:rPr>
      </w:pPr>
      <w:r>
        <w:rPr>
          <w:rFonts w:eastAsia="仿宋_GB2312"/>
          <w:sz w:val="32"/>
          <w:szCs w:val="32"/>
        </w:rPr>
        <w:t>今年总收入854.91万元，其中：财政拨款收入：428.86万元、年初财政拨款结转结余426.03万元、其他收入0.02万元。本年收入指标上下年变动幅度增长5%,其中：变动的原因为:事业人员单独核算。</w:t>
      </w:r>
    </w:p>
    <w:p>
      <w:pPr>
        <w:spacing w:line="560" w:lineRule="exact"/>
        <w:ind w:firstLine="643" w:firstLineChars="200"/>
        <w:rPr>
          <w:rFonts w:eastAsia="楷体_GB2312"/>
          <w:b/>
          <w:sz w:val="32"/>
          <w:szCs w:val="32"/>
        </w:rPr>
      </w:pPr>
      <w:r>
        <w:rPr>
          <w:rFonts w:eastAsia="楷体_GB2312"/>
          <w:b/>
          <w:sz w:val="32"/>
          <w:szCs w:val="32"/>
        </w:rPr>
        <w:t>（二）部门财政资金支出情况</w:t>
      </w:r>
    </w:p>
    <w:p>
      <w:pPr>
        <w:spacing w:line="560" w:lineRule="exact"/>
        <w:ind w:firstLine="640" w:firstLineChars="200"/>
        <w:rPr>
          <w:rFonts w:eastAsia="仿宋_GB2312"/>
          <w:sz w:val="32"/>
          <w:szCs w:val="32"/>
        </w:rPr>
      </w:pPr>
      <w:r>
        <w:rPr>
          <w:rFonts w:eastAsia="仿宋_GB2312"/>
          <w:sz w:val="32"/>
          <w:szCs w:val="32"/>
        </w:rPr>
        <w:t>今年总支出839.58万元，具体情况如下：</w:t>
      </w:r>
    </w:p>
    <w:p>
      <w:pPr>
        <w:spacing w:line="560" w:lineRule="exact"/>
        <w:ind w:firstLine="640" w:firstLineChars="200"/>
        <w:rPr>
          <w:rFonts w:eastAsia="仿宋_GB2312"/>
          <w:sz w:val="32"/>
          <w:szCs w:val="32"/>
        </w:rPr>
      </w:pPr>
      <w:r>
        <w:rPr>
          <w:rFonts w:eastAsia="仿宋_GB2312"/>
          <w:sz w:val="32"/>
          <w:szCs w:val="32"/>
        </w:rPr>
        <w:t>其中：基本支出405.88万元；项目支出433.70万元。按支出功能分类包括：一般公共服务支出318.86万元、军队转业干部安置支出101.70万元、公务员招考支出12万元、民族事务支出2.97万元；社会保障和就业支出343.90万元、医疗卫生与计划生育支出13.47万元、住房保障支出26.89万元；按支出经济分类包括：工资福利支出352.89万元、对个人和家庭的补助支出4.44万元、商品和服务支出48.55万元。</w:t>
      </w:r>
    </w:p>
    <w:p>
      <w:pPr>
        <w:spacing w:line="560" w:lineRule="exact"/>
        <w:ind w:firstLine="640" w:firstLineChars="200"/>
        <w:rPr>
          <w:rFonts w:eastAsia="仿宋_GB2312"/>
          <w:sz w:val="32"/>
          <w:szCs w:val="32"/>
        </w:rPr>
      </w:pPr>
      <w:r>
        <w:rPr>
          <w:rFonts w:eastAsia="仿宋_GB2312"/>
          <w:sz w:val="32"/>
          <w:szCs w:val="32"/>
        </w:rPr>
        <w:t>“三公”经费决算总额6.41万元。</w:t>
      </w:r>
    </w:p>
    <w:p>
      <w:pPr>
        <w:numPr>
          <w:ilvl w:val="0"/>
          <w:numId w:val="2"/>
        </w:numPr>
        <w:spacing w:line="560" w:lineRule="exact"/>
        <w:rPr>
          <w:rFonts w:eastAsia="黑体"/>
          <w:sz w:val="32"/>
          <w:szCs w:val="32"/>
        </w:rPr>
      </w:pPr>
      <w:r>
        <w:rPr>
          <w:rFonts w:eastAsia="黑体"/>
          <w:sz w:val="32"/>
          <w:szCs w:val="32"/>
        </w:rPr>
        <w:t>部门整体预算绩效管理情况</w:t>
      </w:r>
    </w:p>
    <w:p>
      <w:pPr>
        <w:spacing w:line="560" w:lineRule="exact"/>
        <w:ind w:left="640"/>
        <w:rPr>
          <w:rFonts w:eastAsia="楷体_GB2312"/>
          <w:b/>
          <w:sz w:val="32"/>
          <w:szCs w:val="32"/>
        </w:rPr>
      </w:pPr>
      <w:r>
        <w:rPr>
          <w:rFonts w:eastAsia="楷体_GB2312"/>
          <w:b/>
          <w:sz w:val="32"/>
          <w:szCs w:val="32"/>
        </w:rPr>
        <w:t>（一）部门预算管理</w:t>
      </w:r>
    </w:p>
    <w:p>
      <w:pPr>
        <w:spacing w:line="560" w:lineRule="exact"/>
        <w:ind w:firstLine="640" w:firstLineChars="200"/>
        <w:rPr>
          <w:rFonts w:eastAsia="仿宋_GB2312"/>
          <w:sz w:val="32"/>
          <w:szCs w:val="32"/>
        </w:rPr>
      </w:pPr>
      <w:r>
        <w:rPr>
          <w:rFonts w:eastAsia="仿宋_GB2312"/>
          <w:sz w:val="32"/>
          <w:szCs w:val="32"/>
        </w:rPr>
        <w:t>我局严格按照要求编制2018年预决算。在预算编制中，全面统筹规划预算编制数据，做到决算数等于预算数。严格控制“三公”经费预算及支出，严格预算编制及决算编制，增加工作透明度。</w:t>
      </w:r>
    </w:p>
    <w:p>
      <w:pPr>
        <w:spacing w:line="560" w:lineRule="exact"/>
        <w:ind w:firstLine="643" w:firstLineChars="200"/>
        <w:rPr>
          <w:rFonts w:eastAsia="楷体_GB2312"/>
          <w:b/>
          <w:sz w:val="32"/>
          <w:szCs w:val="32"/>
        </w:rPr>
      </w:pPr>
      <w:r>
        <w:rPr>
          <w:rFonts w:eastAsia="楷体_GB2312"/>
          <w:b/>
          <w:sz w:val="32"/>
          <w:szCs w:val="32"/>
        </w:rPr>
        <w:t>（二）专项预算管理</w:t>
      </w:r>
    </w:p>
    <w:p>
      <w:pPr>
        <w:spacing w:line="560" w:lineRule="exact"/>
        <w:ind w:firstLine="640" w:firstLineChars="200"/>
        <w:rPr>
          <w:rFonts w:eastAsia="仿宋_GB2312"/>
          <w:sz w:val="32"/>
          <w:szCs w:val="32"/>
        </w:rPr>
      </w:pPr>
      <w:r>
        <w:rPr>
          <w:rFonts w:eastAsia="仿宋_GB2312"/>
          <w:sz w:val="32"/>
          <w:szCs w:val="32"/>
        </w:rPr>
        <w:t>我局专项预算项目严格按照项目审批制度进行，专款专用。遵循项目预算管理，增加工作透明度。</w:t>
      </w:r>
    </w:p>
    <w:p>
      <w:pPr>
        <w:spacing w:line="560" w:lineRule="exact"/>
        <w:ind w:firstLine="643" w:firstLineChars="200"/>
        <w:rPr>
          <w:rFonts w:eastAsia="楷体_GB2312"/>
          <w:b/>
          <w:sz w:val="32"/>
          <w:szCs w:val="32"/>
        </w:rPr>
      </w:pPr>
      <w:r>
        <w:rPr>
          <w:rFonts w:eastAsia="楷体_GB2312"/>
          <w:b/>
          <w:sz w:val="32"/>
          <w:szCs w:val="32"/>
        </w:rPr>
        <w:t>（三）结果应用情况</w:t>
      </w:r>
    </w:p>
    <w:p>
      <w:pPr>
        <w:spacing w:line="560" w:lineRule="exact"/>
        <w:ind w:firstLine="640" w:firstLineChars="200"/>
        <w:rPr>
          <w:rFonts w:eastAsia="仿宋_GB2312"/>
          <w:sz w:val="32"/>
          <w:szCs w:val="32"/>
        </w:rPr>
      </w:pPr>
      <w:r>
        <w:rPr>
          <w:rFonts w:eastAsia="仿宋_GB2312"/>
          <w:sz w:val="32"/>
          <w:szCs w:val="32"/>
        </w:rPr>
        <w:t>严格按照预算管理程序，但还是存在诸多不足，以后会加强全面规划，减少中期追加指标等情况。</w:t>
      </w:r>
    </w:p>
    <w:p>
      <w:pPr>
        <w:spacing w:line="560" w:lineRule="exact"/>
        <w:ind w:firstLine="640" w:firstLineChars="200"/>
        <w:rPr>
          <w:rFonts w:eastAsia="黑体"/>
          <w:sz w:val="32"/>
          <w:szCs w:val="32"/>
        </w:rPr>
      </w:pPr>
      <w:r>
        <w:rPr>
          <w:rFonts w:eastAsia="黑体"/>
          <w:sz w:val="32"/>
          <w:szCs w:val="32"/>
        </w:rPr>
        <w:t>四、评价结论及建议</w:t>
      </w:r>
    </w:p>
    <w:p>
      <w:pPr>
        <w:spacing w:line="560" w:lineRule="exact"/>
        <w:ind w:firstLine="643" w:firstLineChars="200"/>
        <w:rPr>
          <w:rFonts w:eastAsia="楷体_GB2312"/>
          <w:b/>
          <w:sz w:val="32"/>
          <w:szCs w:val="32"/>
        </w:rPr>
      </w:pPr>
      <w:r>
        <w:rPr>
          <w:rFonts w:eastAsia="楷体_GB2312"/>
          <w:b/>
          <w:sz w:val="32"/>
          <w:szCs w:val="32"/>
        </w:rPr>
        <w:t>（一）评价结论</w:t>
      </w:r>
    </w:p>
    <w:p>
      <w:pPr>
        <w:spacing w:line="560" w:lineRule="exact"/>
        <w:ind w:firstLine="640" w:firstLineChars="200"/>
        <w:rPr>
          <w:rFonts w:eastAsia="仿宋_GB2312"/>
          <w:sz w:val="32"/>
          <w:szCs w:val="32"/>
        </w:rPr>
      </w:pPr>
      <w:r>
        <w:rPr>
          <w:rFonts w:eastAsia="仿宋_GB2312"/>
          <w:sz w:val="32"/>
          <w:szCs w:val="32"/>
        </w:rPr>
        <w:t>加强预算管理，不断完善内控制度，达到预期效果，保障部门年度日常工作正常运转。严格按照财经制度及纪律，合理安排和使用预算经费，完成资金的拨付进度，提升财政资金使用效率。</w:t>
      </w:r>
    </w:p>
    <w:p>
      <w:pPr>
        <w:spacing w:line="560" w:lineRule="exact"/>
        <w:ind w:firstLine="643" w:firstLineChars="200"/>
        <w:rPr>
          <w:rFonts w:eastAsia="楷体_GB2312"/>
          <w:b/>
          <w:sz w:val="32"/>
          <w:szCs w:val="32"/>
        </w:rPr>
      </w:pPr>
      <w:r>
        <w:rPr>
          <w:rFonts w:eastAsia="楷体_GB2312"/>
          <w:b/>
          <w:sz w:val="32"/>
          <w:szCs w:val="32"/>
        </w:rPr>
        <w:t>（二）存在问题</w:t>
      </w:r>
    </w:p>
    <w:p>
      <w:pPr>
        <w:spacing w:line="560" w:lineRule="exact"/>
        <w:ind w:firstLine="640" w:firstLineChars="200"/>
        <w:rPr>
          <w:rFonts w:eastAsia="仿宋_GB2312"/>
          <w:color w:val="000000"/>
          <w:sz w:val="32"/>
          <w:szCs w:val="32"/>
        </w:rPr>
      </w:pPr>
      <w:r>
        <w:rPr>
          <w:rFonts w:eastAsia="仿宋_GB2312"/>
          <w:color w:val="000000"/>
          <w:sz w:val="32"/>
          <w:szCs w:val="32"/>
        </w:rPr>
        <w:t>我局在编制部门预算时，根据本单位职能职责编制年度工作计划。整体预算绩效管理存在以下问题：本部门整体支出预算资金的安排及使用上有不可预见性。</w:t>
      </w:r>
    </w:p>
    <w:p>
      <w:pPr>
        <w:spacing w:line="560" w:lineRule="exact"/>
        <w:ind w:firstLine="643" w:firstLineChars="200"/>
        <w:rPr>
          <w:rFonts w:eastAsia="楷体_GB2312"/>
          <w:b/>
          <w:sz w:val="32"/>
          <w:szCs w:val="32"/>
        </w:rPr>
      </w:pPr>
      <w:r>
        <w:rPr>
          <w:rFonts w:eastAsia="楷体_GB2312"/>
          <w:b/>
          <w:sz w:val="32"/>
          <w:szCs w:val="32"/>
        </w:rPr>
        <w:t>（三）改进建议</w:t>
      </w:r>
    </w:p>
    <w:p>
      <w:pPr>
        <w:spacing w:line="560" w:lineRule="exact"/>
        <w:ind w:firstLine="640" w:firstLineChars="200"/>
        <w:rPr>
          <w:rFonts w:eastAsia="仿宋_GB2312"/>
          <w:sz w:val="32"/>
          <w:szCs w:val="32"/>
        </w:rPr>
      </w:pPr>
      <w:r>
        <w:rPr>
          <w:rFonts w:eastAsia="仿宋_GB2312"/>
          <w:sz w:val="32"/>
          <w:szCs w:val="32"/>
        </w:rPr>
        <w:t>一是重视绩效管理，切实履行好职责。努力提升工作绩效，合理使用财政资金；二是建立长效机制。把绩效评价作为部门内控的日常工作，建立绩效评价管理工作考核长效机制。</w:t>
      </w:r>
      <w:r>
        <w:rPr>
          <w:rFonts w:eastAsia="仿宋_GB2312"/>
          <w:sz w:val="32"/>
          <w:szCs w:val="32"/>
        </w:rPr>
        <w:br w:type="page"/>
      </w:r>
    </w:p>
    <w:p>
      <w:pPr>
        <w:spacing w:line="700" w:lineRule="exact"/>
        <w:jc w:val="center"/>
        <w:outlineLvl w:val="0"/>
        <w:rPr>
          <w:rStyle w:val="16"/>
          <w:rFonts w:eastAsia="方正小标宋简体"/>
          <w:b w:val="0"/>
          <w:bCs w:val="0"/>
        </w:rPr>
      </w:pPr>
      <w:bookmarkStart w:id="61" w:name="_Toc15396618"/>
      <w:r>
        <w:rPr>
          <w:rFonts w:eastAsia="方正小标宋简体"/>
          <w:color w:val="000000"/>
          <w:sz w:val="44"/>
          <w:szCs w:val="44"/>
        </w:rPr>
        <w:t>第</w:t>
      </w:r>
      <w:r>
        <w:rPr>
          <w:rStyle w:val="16"/>
          <w:rFonts w:eastAsia="方正小标宋简体"/>
          <w:b w:val="0"/>
          <w:bCs w:val="0"/>
        </w:rPr>
        <w:t>五部分  附表</w:t>
      </w:r>
      <w:bookmarkEnd w:id="57"/>
      <w:bookmarkEnd w:id="61"/>
    </w:p>
    <w:p>
      <w:pPr>
        <w:spacing w:line="560" w:lineRule="exact"/>
        <w:jc w:val="center"/>
        <w:outlineLvl w:val="0"/>
        <w:rPr>
          <w:rFonts w:eastAsia="仿宋_GB2312"/>
          <w:b/>
          <w:bCs/>
          <w:color w:val="000000"/>
          <w:sz w:val="32"/>
          <w:szCs w:val="32"/>
        </w:rPr>
      </w:pPr>
    </w:p>
    <w:p>
      <w:pPr>
        <w:pStyle w:val="3"/>
        <w:spacing w:line="560" w:lineRule="exact"/>
        <w:rPr>
          <w:rFonts w:ascii="Times New Roman" w:hAnsi="Times New Roman" w:eastAsia="仿宋_GB2312" w:cs="Times New Roman"/>
          <w:color w:val="000000"/>
        </w:rPr>
      </w:pPr>
      <w:bookmarkStart w:id="62" w:name="_Toc15396619"/>
      <w:r>
        <w:rPr>
          <w:rFonts w:ascii="Times New Roman" w:hAnsi="Times New Roman" w:eastAsia="仿宋_GB2312" w:cs="Times New Roman"/>
          <w:b w:val="0"/>
          <w:bCs w:val="0"/>
          <w:color w:val="000000"/>
        </w:rPr>
        <w:t>一、收</w:t>
      </w:r>
      <w:r>
        <w:rPr>
          <w:rStyle w:val="17"/>
          <w:rFonts w:ascii="Times New Roman" w:hAnsi="Times New Roman" w:eastAsia="仿宋_GB2312" w:cs="Times New Roman"/>
          <w:b w:val="0"/>
          <w:bCs w:val="0"/>
        </w:rPr>
        <w:t>入支出决算总表</w:t>
      </w:r>
      <w:bookmarkEnd w:id="62"/>
    </w:p>
    <w:p>
      <w:pPr>
        <w:pStyle w:val="3"/>
        <w:spacing w:line="560" w:lineRule="exact"/>
        <w:rPr>
          <w:rFonts w:ascii="Times New Roman" w:hAnsi="Times New Roman" w:eastAsia="仿宋_GB2312" w:cs="Times New Roman"/>
          <w:color w:val="000000"/>
        </w:rPr>
      </w:pPr>
      <w:bookmarkStart w:id="63" w:name="_Toc15396620"/>
      <w:r>
        <w:rPr>
          <w:rFonts w:ascii="Times New Roman" w:hAnsi="Times New Roman" w:eastAsia="仿宋_GB2312" w:cs="Times New Roman"/>
          <w:b w:val="0"/>
          <w:bCs w:val="0"/>
          <w:color w:val="000000"/>
        </w:rPr>
        <w:t>二、收</w:t>
      </w:r>
      <w:r>
        <w:rPr>
          <w:rStyle w:val="17"/>
          <w:rFonts w:ascii="Times New Roman" w:hAnsi="Times New Roman" w:eastAsia="仿宋_GB2312" w:cs="Times New Roman"/>
          <w:b w:val="0"/>
          <w:bCs w:val="0"/>
        </w:rPr>
        <w:t>入总表</w:t>
      </w:r>
      <w:bookmarkEnd w:id="63"/>
    </w:p>
    <w:p>
      <w:pPr>
        <w:pStyle w:val="3"/>
        <w:spacing w:line="560" w:lineRule="exact"/>
        <w:rPr>
          <w:rFonts w:ascii="Times New Roman" w:hAnsi="Times New Roman" w:eastAsia="仿宋_GB2312" w:cs="Times New Roman"/>
          <w:color w:val="000000"/>
        </w:rPr>
      </w:pPr>
      <w:bookmarkStart w:id="64" w:name="_Toc15396621"/>
      <w:r>
        <w:rPr>
          <w:rStyle w:val="17"/>
          <w:rFonts w:ascii="Times New Roman" w:hAnsi="Times New Roman" w:eastAsia="仿宋_GB2312" w:cs="Times New Roman"/>
          <w:b w:val="0"/>
          <w:bCs w:val="0"/>
        </w:rPr>
        <w:t>三、</w:t>
      </w:r>
      <w:r>
        <w:rPr>
          <w:rFonts w:ascii="Times New Roman" w:hAnsi="Times New Roman" w:eastAsia="仿宋_GB2312" w:cs="Times New Roman"/>
          <w:b w:val="0"/>
          <w:bCs w:val="0"/>
          <w:color w:val="000000"/>
        </w:rPr>
        <w:t>支</w:t>
      </w:r>
      <w:r>
        <w:rPr>
          <w:rStyle w:val="17"/>
          <w:rFonts w:ascii="Times New Roman" w:hAnsi="Times New Roman" w:eastAsia="仿宋_GB2312" w:cs="Times New Roman"/>
          <w:b w:val="0"/>
          <w:bCs w:val="0"/>
        </w:rPr>
        <w:t>出总表</w:t>
      </w:r>
      <w:bookmarkEnd w:id="64"/>
    </w:p>
    <w:p>
      <w:pPr>
        <w:pStyle w:val="3"/>
        <w:spacing w:line="560" w:lineRule="exact"/>
        <w:rPr>
          <w:rFonts w:ascii="Times New Roman" w:hAnsi="Times New Roman" w:eastAsia="仿宋_GB2312" w:cs="Times New Roman"/>
          <w:b w:val="0"/>
          <w:bCs w:val="0"/>
          <w:color w:val="000000"/>
        </w:rPr>
      </w:pPr>
      <w:bookmarkStart w:id="65" w:name="_Toc15396622"/>
      <w:r>
        <w:rPr>
          <w:rStyle w:val="17"/>
          <w:rFonts w:ascii="Times New Roman" w:hAnsi="Times New Roman" w:eastAsia="仿宋_GB2312" w:cs="Times New Roman"/>
          <w:b w:val="0"/>
          <w:bCs w:val="0"/>
        </w:rPr>
        <w:t>四、</w:t>
      </w:r>
      <w:r>
        <w:rPr>
          <w:rFonts w:ascii="Times New Roman" w:hAnsi="Times New Roman" w:eastAsia="仿宋_GB2312" w:cs="Times New Roman"/>
          <w:b w:val="0"/>
          <w:bCs w:val="0"/>
          <w:color w:val="000000"/>
        </w:rPr>
        <w:t>财</w:t>
      </w:r>
      <w:r>
        <w:rPr>
          <w:rStyle w:val="17"/>
          <w:rFonts w:ascii="Times New Roman" w:hAnsi="Times New Roman" w:eastAsia="仿宋_GB2312" w:cs="Times New Roman"/>
          <w:b w:val="0"/>
          <w:bCs w:val="0"/>
        </w:rPr>
        <w:t>政拨款收入支出决算总表</w:t>
      </w:r>
      <w:bookmarkEnd w:id="65"/>
    </w:p>
    <w:p>
      <w:pPr>
        <w:pStyle w:val="3"/>
        <w:spacing w:line="560" w:lineRule="exact"/>
        <w:rPr>
          <w:rFonts w:ascii="Times New Roman" w:hAnsi="Times New Roman" w:eastAsia="仿宋_GB2312" w:cs="Times New Roman"/>
          <w:color w:val="000000"/>
        </w:rPr>
      </w:pPr>
      <w:bookmarkStart w:id="66" w:name="_Toc15396623"/>
      <w:r>
        <w:rPr>
          <w:rStyle w:val="17"/>
          <w:rFonts w:ascii="Times New Roman" w:hAnsi="Times New Roman" w:eastAsia="仿宋_GB2312" w:cs="Times New Roman"/>
          <w:b w:val="0"/>
          <w:bCs w:val="0"/>
        </w:rPr>
        <w:t>五、</w:t>
      </w:r>
      <w:r>
        <w:rPr>
          <w:rFonts w:ascii="Times New Roman" w:hAnsi="Times New Roman" w:eastAsia="仿宋_GB2312" w:cs="Times New Roman"/>
          <w:b w:val="0"/>
          <w:bCs w:val="0"/>
          <w:color w:val="000000"/>
        </w:rPr>
        <w:t>财</w:t>
      </w:r>
      <w:r>
        <w:rPr>
          <w:rStyle w:val="17"/>
          <w:rFonts w:ascii="Times New Roman" w:hAnsi="Times New Roman" w:eastAsia="仿宋_GB2312" w:cs="Times New Roman"/>
          <w:b w:val="0"/>
          <w:bCs w:val="0"/>
        </w:rPr>
        <w:t>政拨款支出决算明细表（政府经济分类科目）</w:t>
      </w:r>
      <w:bookmarkEnd w:id="66"/>
    </w:p>
    <w:p>
      <w:pPr>
        <w:pStyle w:val="3"/>
        <w:spacing w:line="560" w:lineRule="exact"/>
        <w:rPr>
          <w:rFonts w:ascii="Times New Roman" w:hAnsi="Times New Roman" w:eastAsia="仿宋_GB2312" w:cs="Times New Roman"/>
          <w:color w:val="000000"/>
        </w:rPr>
      </w:pPr>
      <w:bookmarkStart w:id="67" w:name="_Toc15396624"/>
      <w:r>
        <w:rPr>
          <w:rStyle w:val="17"/>
          <w:rFonts w:ascii="Times New Roman" w:hAnsi="Times New Roman" w:eastAsia="仿宋_GB2312" w:cs="Times New Roman"/>
          <w:b w:val="0"/>
          <w:bCs w:val="0"/>
        </w:rPr>
        <w:t>六、</w:t>
      </w:r>
      <w:r>
        <w:rPr>
          <w:rFonts w:ascii="Times New Roman" w:hAnsi="Times New Roman" w:eastAsia="仿宋_GB2312" w:cs="Times New Roman"/>
          <w:b w:val="0"/>
          <w:bCs w:val="0"/>
          <w:color w:val="000000"/>
        </w:rPr>
        <w:t>一</w:t>
      </w:r>
      <w:r>
        <w:rPr>
          <w:rStyle w:val="17"/>
          <w:rFonts w:ascii="Times New Roman" w:hAnsi="Times New Roman" w:eastAsia="仿宋_GB2312" w:cs="Times New Roman"/>
          <w:b w:val="0"/>
          <w:bCs w:val="0"/>
        </w:rPr>
        <w:t>般公共预算财政拨款支出决算表</w:t>
      </w:r>
      <w:bookmarkEnd w:id="67"/>
    </w:p>
    <w:p>
      <w:pPr>
        <w:pStyle w:val="3"/>
        <w:spacing w:line="560" w:lineRule="exact"/>
        <w:rPr>
          <w:rFonts w:ascii="Times New Roman" w:hAnsi="Times New Roman" w:eastAsia="仿宋_GB2312" w:cs="Times New Roman"/>
          <w:color w:val="000000"/>
        </w:rPr>
      </w:pPr>
      <w:bookmarkStart w:id="68" w:name="_Toc15396625"/>
      <w:r>
        <w:rPr>
          <w:rStyle w:val="17"/>
          <w:rFonts w:ascii="Times New Roman" w:hAnsi="Times New Roman" w:eastAsia="仿宋_GB2312" w:cs="Times New Roman"/>
          <w:b w:val="0"/>
          <w:bCs w:val="0"/>
        </w:rPr>
        <w:t>七、</w:t>
      </w:r>
      <w:r>
        <w:rPr>
          <w:rFonts w:ascii="Times New Roman" w:hAnsi="Times New Roman" w:eastAsia="仿宋_GB2312" w:cs="Times New Roman"/>
          <w:b w:val="0"/>
          <w:bCs w:val="0"/>
          <w:color w:val="000000"/>
        </w:rPr>
        <w:t>一</w:t>
      </w:r>
      <w:r>
        <w:rPr>
          <w:rStyle w:val="17"/>
          <w:rFonts w:ascii="Times New Roman" w:hAnsi="Times New Roman" w:eastAsia="仿宋_GB2312" w:cs="Times New Roman"/>
          <w:b w:val="0"/>
          <w:bCs w:val="0"/>
        </w:rPr>
        <w:t>般公共预算财政拨款支出决算明细表</w:t>
      </w:r>
      <w:bookmarkEnd w:id="68"/>
    </w:p>
    <w:p>
      <w:pPr>
        <w:pStyle w:val="3"/>
        <w:spacing w:line="560" w:lineRule="exact"/>
        <w:rPr>
          <w:rFonts w:ascii="Times New Roman" w:hAnsi="Times New Roman" w:eastAsia="仿宋_GB2312" w:cs="Times New Roman"/>
          <w:color w:val="000000"/>
        </w:rPr>
      </w:pPr>
      <w:bookmarkStart w:id="69" w:name="_Toc15396626"/>
      <w:r>
        <w:rPr>
          <w:rStyle w:val="17"/>
          <w:rFonts w:ascii="Times New Roman" w:hAnsi="Times New Roman" w:eastAsia="仿宋_GB2312" w:cs="Times New Roman"/>
          <w:b w:val="0"/>
          <w:bCs w:val="0"/>
        </w:rPr>
        <w:t>八、</w:t>
      </w:r>
      <w:r>
        <w:rPr>
          <w:rFonts w:ascii="Times New Roman" w:hAnsi="Times New Roman" w:eastAsia="仿宋_GB2312" w:cs="Times New Roman"/>
          <w:b w:val="0"/>
          <w:bCs w:val="0"/>
          <w:color w:val="000000"/>
        </w:rPr>
        <w:t>一</w:t>
      </w:r>
      <w:r>
        <w:rPr>
          <w:rStyle w:val="17"/>
          <w:rFonts w:ascii="Times New Roman" w:hAnsi="Times New Roman" w:eastAsia="仿宋_GB2312" w:cs="Times New Roman"/>
          <w:b w:val="0"/>
          <w:bCs w:val="0"/>
        </w:rPr>
        <w:t>般公共预算财政拨款基本支出决算表</w:t>
      </w:r>
      <w:bookmarkEnd w:id="69"/>
    </w:p>
    <w:p>
      <w:pPr>
        <w:pStyle w:val="3"/>
        <w:spacing w:line="560" w:lineRule="exact"/>
        <w:rPr>
          <w:rFonts w:ascii="Times New Roman" w:hAnsi="Times New Roman" w:eastAsia="仿宋_GB2312" w:cs="Times New Roman"/>
          <w:color w:val="000000"/>
        </w:rPr>
      </w:pPr>
      <w:bookmarkStart w:id="70" w:name="_Toc15396627"/>
      <w:r>
        <w:rPr>
          <w:rStyle w:val="17"/>
          <w:rFonts w:ascii="Times New Roman" w:hAnsi="Times New Roman" w:eastAsia="仿宋_GB2312" w:cs="Times New Roman"/>
          <w:b w:val="0"/>
          <w:bCs w:val="0"/>
        </w:rPr>
        <w:t>九、</w:t>
      </w:r>
      <w:r>
        <w:rPr>
          <w:rFonts w:ascii="Times New Roman" w:hAnsi="Times New Roman" w:eastAsia="仿宋_GB2312" w:cs="Times New Roman"/>
          <w:b w:val="0"/>
          <w:bCs w:val="0"/>
          <w:color w:val="000000"/>
        </w:rPr>
        <w:t>一</w:t>
      </w:r>
      <w:r>
        <w:rPr>
          <w:rStyle w:val="17"/>
          <w:rFonts w:ascii="Times New Roman" w:hAnsi="Times New Roman" w:eastAsia="仿宋_GB2312" w:cs="Times New Roman"/>
          <w:b w:val="0"/>
          <w:bCs w:val="0"/>
        </w:rPr>
        <w:t>般公共预算财政拨款项目支出决算表</w:t>
      </w:r>
      <w:bookmarkEnd w:id="70"/>
    </w:p>
    <w:p>
      <w:pPr>
        <w:pStyle w:val="3"/>
        <w:spacing w:line="560" w:lineRule="exact"/>
        <w:rPr>
          <w:rFonts w:ascii="Times New Roman" w:hAnsi="Times New Roman" w:eastAsia="仿宋_GB2312" w:cs="Times New Roman"/>
          <w:color w:val="000000"/>
        </w:rPr>
      </w:pPr>
      <w:bookmarkStart w:id="71" w:name="_Toc15396628"/>
      <w:r>
        <w:rPr>
          <w:rStyle w:val="17"/>
          <w:rFonts w:ascii="Times New Roman" w:hAnsi="Times New Roman" w:eastAsia="仿宋_GB2312" w:cs="Times New Roman"/>
          <w:b w:val="0"/>
          <w:bCs w:val="0"/>
        </w:rPr>
        <w:t>十、</w:t>
      </w:r>
      <w:r>
        <w:rPr>
          <w:rFonts w:ascii="Times New Roman" w:hAnsi="Times New Roman" w:eastAsia="仿宋_GB2312" w:cs="Times New Roman"/>
          <w:b w:val="0"/>
          <w:bCs w:val="0"/>
          <w:color w:val="000000"/>
        </w:rPr>
        <w:t>一</w:t>
      </w:r>
      <w:r>
        <w:rPr>
          <w:rStyle w:val="17"/>
          <w:rFonts w:ascii="Times New Roman" w:hAnsi="Times New Roman" w:eastAsia="仿宋_GB2312" w:cs="Times New Roman"/>
          <w:b w:val="0"/>
          <w:bCs w:val="0"/>
        </w:rPr>
        <w:t>般公共预算财政拨款“三公”经费支出决算表</w:t>
      </w:r>
      <w:bookmarkEnd w:id="71"/>
    </w:p>
    <w:p>
      <w:pPr>
        <w:pStyle w:val="3"/>
        <w:spacing w:line="560" w:lineRule="exact"/>
        <w:rPr>
          <w:rFonts w:ascii="Times New Roman" w:hAnsi="Times New Roman" w:eastAsia="仿宋_GB2312" w:cs="Times New Roman"/>
          <w:color w:val="000000"/>
        </w:rPr>
      </w:pPr>
      <w:bookmarkStart w:id="72" w:name="_Toc15396629"/>
      <w:r>
        <w:rPr>
          <w:rStyle w:val="17"/>
          <w:rFonts w:ascii="Times New Roman" w:hAnsi="Times New Roman" w:eastAsia="仿宋_GB2312" w:cs="Times New Roman"/>
          <w:b w:val="0"/>
          <w:bCs w:val="0"/>
        </w:rPr>
        <w:t>十一、</w:t>
      </w:r>
      <w:r>
        <w:rPr>
          <w:rFonts w:ascii="Times New Roman" w:hAnsi="Times New Roman" w:eastAsia="仿宋_GB2312" w:cs="Times New Roman"/>
          <w:b w:val="0"/>
          <w:bCs w:val="0"/>
          <w:color w:val="000000"/>
        </w:rPr>
        <w:t>政</w:t>
      </w:r>
      <w:r>
        <w:rPr>
          <w:rStyle w:val="17"/>
          <w:rFonts w:ascii="Times New Roman" w:hAnsi="Times New Roman" w:eastAsia="仿宋_GB2312" w:cs="Times New Roman"/>
          <w:b w:val="0"/>
          <w:bCs w:val="0"/>
        </w:rPr>
        <w:t>府性基金预算财政拨款收入支出决算表</w:t>
      </w:r>
      <w:bookmarkEnd w:id="72"/>
    </w:p>
    <w:p>
      <w:pPr>
        <w:pStyle w:val="3"/>
        <w:spacing w:line="560" w:lineRule="exact"/>
        <w:rPr>
          <w:rFonts w:ascii="Times New Roman" w:hAnsi="Times New Roman" w:eastAsia="仿宋_GB2312" w:cs="Times New Roman"/>
          <w:color w:val="000000"/>
        </w:rPr>
      </w:pPr>
      <w:bookmarkStart w:id="73" w:name="_Toc15396630"/>
      <w:r>
        <w:rPr>
          <w:rStyle w:val="17"/>
          <w:rFonts w:ascii="Times New Roman" w:hAnsi="Times New Roman" w:eastAsia="仿宋_GB2312" w:cs="Times New Roman"/>
          <w:b w:val="0"/>
          <w:bCs w:val="0"/>
        </w:rPr>
        <w:t>十二、</w:t>
      </w:r>
      <w:r>
        <w:rPr>
          <w:rFonts w:ascii="Times New Roman" w:hAnsi="Times New Roman" w:eastAsia="仿宋_GB2312" w:cs="Times New Roman"/>
          <w:b w:val="0"/>
          <w:bCs w:val="0"/>
          <w:color w:val="000000"/>
        </w:rPr>
        <w:t>政</w:t>
      </w:r>
      <w:r>
        <w:rPr>
          <w:rStyle w:val="17"/>
          <w:rFonts w:ascii="Times New Roman" w:hAnsi="Times New Roman" w:eastAsia="仿宋_GB2312" w:cs="Times New Roman"/>
          <w:b w:val="0"/>
          <w:bCs w:val="0"/>
        </w:rPr>
        <w:t>府性基金预算财政拨款“三公”经费支出决算表</w:t>
      </w:r>
      <w:bookmarkEnd w:id="73"/>
    </w:p>
    <w:p>
      <w:pPr>
        <w:pStyle w:val="3"/>
        <w:spacing w:line="560" w:lineRule="exact"/>
        <w:rPr>
          <w:rFonts w:ascii="Times New Roman" w:hAnsi="Times New Roman" w:eastAsia="仿宋_GB2312" w:cs="Times New Roman"/>
          <w:color w:val="000000"/>
        </w:rPr>
      </w:pPr>
      <w:bookmarkStart w:id="74" w:name="_Toc15396631"/>
      <w:r>
        <w:rPr>
          <w:rStyle w:val="17"/>
          <w:rFonts w:ascii="Times New Roman" w:hAnsi="Times New Roman" w:eastAsia="仿宋_GB2312" w:cs="Times New Roman"/>
          <w:b w:val="0"/>
          <w:bCs w:val="0"/>
        </w:rPr>
        <w:t>十三、</w:t>
      </w:r>
      <w:r>
        <w:rPr>
          <w:rFonts w:ascii="Times New Roman" w:hAnsi="Times New Roman" w:eastAsia="仿宋_GB2312" w:cs="Times New Roman"/>
          <w:b w:val="0"/>
          <w:bCs w:val="0"/>
          <w:color w:val="000000"/>
        </w:rPr>
        <w:t>国</w:t>
      </w:r>
      <w:r>
        <w:rPr>
          <w:rStyle w:val="17"/>
          <w:rFonts w:ascii="Times New Roman" w:hAnsi="Times New Roman" w:eastAsia="仿宋_GB2312" w:cs="Times New Roman"/>
          <w:b w:val="0"/>
          <w:bCs w:val="0"/>
        </w:rPr>
        <w:t>有资本经营预算支出决算表</w:t>
      </w:r>
      <w:bookmarkEnd w:id="74"/>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lang w:val="en-US"/>
      </w:rPr>
      <w:fldChar w:fldCharType="begin"/>
    </w:r>
    <w:r>
      <w:instrText xml:space="preserve">PAGE   \* MERGEFORMAT</w:instrText>
    </w:r>
    <w:r>
      <w:rPr>
        <w:lang w:val="en-US"/>
      </w:rPr>
      <w:fldChar w:fldCharType="separate"/>
    </w:r>
    <w:r>
      <w:rPr>
        <w:lang w:val="zh-CN"/>
      </w:rPr>
      <w:t>2</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b/>
        <w:bCs/>
        <w:sz w:val="32"/>
        <w:szCs w:val="32"/>
      </w:rPr>
    </w:lvl>
  </w:abstractNum>
  <w:abstractNum w:abstractNumId="3">
    <w:nsid w:val="03F32CC6"/>
    <w:multiLevelType w:val="multilevel"/>
    <w:tmpl w:val="03F32CC6"/>
    <w:lvl w:ilvl="0" w:tentative="0">
      <w:start w:val="1"/>
      <w:numFmt w:val="japaneseCounting"/>
      <w:lvlText w:val="第%1部"/>
      <w:lvlJc w:val="left"/>
      <w:pPr>
        <w:ind w:left="1800" w:hanging="1800"/>
      </w:pPr>
      <w:rPr>
        <w:rFonts w:hint="default" w:cs="方正小标宋简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bCs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0750F"/>
    <w:rsid w:val="000222C6"/>
    <w:rsid w:val="0002549F"/>
    <w:rsid w:val="000428A8"/>
    <w:rsid w:val="0006487A"/>
    <w:rsid w:val="00065F8F"/>
    <w:rsid w:val="000728B7"/>
    <w:rsid w:val="000768F2"/>
    <w:rsid w:val="0009184B"/>
    <w:rsid w:val="0009593C"/>
    <w:rsid w:val="000A0A0D"/>
    <w:rsid w:val="000B047F"/>
    <w:rsid w:val="000B050F"/>
    <w:rsid w:val="000B5923"/>
    <w:rsid w:val="000B5A48"/>
    <w:rsid w:val="000B5A5A"/>
    <w:rsid w:val="000B6FF3"/>
    <w:rsid w:val="000C3467"/>
    <w:rsid w:val="000C3CA6"/>
    <w:rsid w:val="000D1267"/>
    <w:rsid w:val="000D1D50"/>
    <w:rsid w:val="000D5782"/>
    <w:rsid w:val="000E130C"/>
    <w:rsid w:val="000E6613"/>
    <w:rsid w:val="000E7119"/>
    <w:rsid w:val="000F2378"/>
    <w:rsid w:val="001067DA"/>
    <w:rsid w:val="00114E9B"/>
    <w:rsid w:val="001228C9"/>
    <w:rsid w:val="0014729F"/>
    <w:rsid w:val="00157BAB"/>
    <w:rsid w:val="001654D1"/>
    <w:rsid w:val="00175CED"/>
    <w:rsid w:val="00180E26"/>
    <w:rsid w:val="0018106D"/>
    <w:rsid w:val="001877A7"/>
    <w:rsid w:val="00191536"/>
    <w:rsid w:val="00196687"/>
    <w:rsid w:val="001C0962"/>
    <w:rsid w:val="001D7531"/>
    <w:rsid w:val="001E737D"/>
    <w:rsid w:val="001F0592"/>
    <w:rsid w:val="001F67A2"/>
    <w:rsid w:val="001F7506"/>
    <w:rsid w:val="002006CD"/>
    <w:rsid w:val="00202B36"/>
    <w:rsid w:val="002034C5"/>
    <w:rsid w:val="00204B7A"/>
    <w:rsid w:val="0021101A"/>
    <w:rsid w:val="00220536"/>
    <w:rsid w:val="00235629"/>
    <w:rsid w:val="002570DD"/>
    <w:rsid w:val="00260921"/>
    <w:rsid w:val="00260C38"/>
    <w:rsid w:val="002616C0"/>
    <w:rsid w:val="002662AA"/>
    <w:rsid w:val="00272058"/>
    <w:rsid w:val="00280496"/>
    <w:rsid w:val="002860C2"/>
    <w:rsid w:val="00295495"/>
    <w:rsid w:val="002A249C"/>
    <w:rsid w:val="002B2613"/>
    <w:rsid w:val="002B723B"/>
    <w:rsid w:val="002F1818"/>
    <w:rsid w:val="002F567B"/>
    <w:rsid w:val="00301E69"/>
    <w:rsid w:val="0031462F"/>
    <w:rsid w:val="00317789"/>
    <w:rsid w:val="003216A9"/>
    <w:rsid w:val="00357481"/>
    <w:rsid w:val="0037013F"/>
    <w:rsid w:val="00380C92"/>
    <w:rsid w:val="00394164"/>
    <w:rsid w:val="003A484F"/>
    <w:rsid w:val="003B0BE0"/>
    <w:rsid w:val="003B0C1B"/>
    <w:rsid w:val="003B688C"/>
    <w:rsid w:val="003C0291"/>
    <w:rsid w:val="003C39AE"/>
    <w:rsid w:val="003C7B60"/>
    <w:rsid w:val="003D1FB2"/>
    <w:rsid w:val="003D3FBC"/>
    <w:rsid w:val="003D66DA"/>
    <w:rsid w:val="003E1310"/>
    <w:rsid w:val="003E6F55"/>
    <w:rsid w:val="003F14D9"/>
    <w:rsid w:val="00406254"/>
    <w:rsid w:val="004223DE"/>
    <w:rsid w:val="0042294A"/>
    <w:rsid w:val="00430984"/>
    <w:rsid w:val="00434489"/>
    <w:rsid w:val="00437085"/>
    <w:rsid w:val="00443880"/>
    <w:rsid w:val="004464F4"/>
    <w:rsid w:val="00457F07"/>
    <w:rsid w:val="00471401"/>
    <w:rsid w:val="00472EA2"/>
    <w:rsid w:val="00473F31"/>
    <w:rsid w:val="00481D8A"/>
    <w:rsid w:val="0048263A"/>
    <w:rsid w:val="004875EB"/>
    <w:rsid w:val="00487E5D"/>
    <w:rsid w:val="004959B2"/>
    <w:rsid w:val="004A31BD"/>
    <w:rsid w:val="004A711F"/>
    <w:rsid w:val="004B199D"/>
    <w:rsid w:val="004B4690"/>
    <w:rsid w:val="004C058F"/>
    <w:rsid w:val="004D4B0A"/>
    <w:rsid w:val="004D4D3D"/>
    <w:rsid w:val="004E0A2D"/>
    <w:rsid w:val="004E206B"/>
    <w:rsid w:val="004E6DF7"/>
    <w:rsid w:val="004F0FBD"/>
    <w:rsid w:val="00505A47"/>
    <w:rsid w:val="00510C02"/>
    <w:rsid w:val="00512FDA"/>
    <w:rsid w:val="0051780F"/>
    <w:rsid w:val="00520DA0"/>
    <w:rsid w:val="005304FC"/>
    <w:rsid w:val="005664BB"/>
    <w:rsid w:val="00567ED1"/>
    <w:rsid w:val="0057481D"/>
    <w:rsid w:val="0058486E"/>
    <w:rsid w:val="005C03F8"/>
    <w:rsid w:val="005D1C8B"/>
    <w:rsid w:val="005D5CED"/>
    <w:rsid w:val="005F1A4C"/>
    <w:rsid w:val="005F3ADC"/>
    <w:rsid w:val="005F5EC0"/>
    <w:rsid w:val="00605688"/>
    <w:rsid w:val="006070AF"/>
    <w:rsid w:val="006079A4"/>
    <w:rsid w:val="00607E6C"/>
    <w:rsid w:val="006101B1"/>
    <w:rsid w:val="00614E44"/>
    <w:rsid w:val="0061517E"/>
    <w:rsid w:val="00622830"/>
    <w:rsid w:val="00630AEF"/>
    <w:rsid w:val="006325F8"/>
    <w:rsid w:val="00634C9A"/>
    <w:rsid w:val="00637F55"/>
    <w:rsid w:val="006400E2"/>
    <w:rsid w:val="006440E4"/>
    <w:rsid w:val="0066343B"/>
    <w:rsid w:val="00663678"/>
    <w:rsid w:val="00664777"/>
    <w:rsid w:val="00672385"/>
    <w:rsid w:val="006748A4"/>
    <w:rsid w:val="006752CB"/>
    <w:rsid w:val="00683E73"/>
    <w:rsid w:val="0068533E"/>
    <w:rsid w:val="006A3141"/>
    <w:rsid w:val="006A5E34"/>
    <w:rsid w:val="006B2422"/>
    <w:rsid w:val="006B2B9A"/>
    <w:rsid w:val="006C1937"/>
    <w:rsid w:val="006F020C"/>
    <w:rsid w:val="007127B7"/>
    <w:rsid w:val="00730ABB"/>
    <w:rsid w:val="007416B6"/>
    <w:rsid w:val="00746F48"/>
    <w:rsid w:val="0075404D"/>
    <w:rsid w:val="0076182A"/>
    <w:rsid w:val="00763A03"/>
    <w:rsid w:val="00764414"/>
    <w:rsid w:val="00767B7E"/>
    <w:rsid w:val="007770C3"/>
    <w:rsid w:val="00777B52"/>
    <w:rsid w:val="00784D24"/>
    <w:rsid w:val="00785FBA"/>
    <w:rsid w:val="007865F0"/>
    <w:rsid w:val="00786E4A"/>
    <w:rsid w:val="007875EB"/>
    <w:rsid w:val="0079426B"/>
    <w:rsid w:val="00795C21"/>
    <w:rsid w:val="007C7B37"/>
    <w:rsid w:val="007D312A"/>
    <w:rsid w:val="007D3F19"/>
    <w:rsid w:val="007E23B0"/>
    <w:rsid w:val="007E7F66"/>
    <w:rsid w:val="007F1991"/>
    <w:rsid w:val="007F2C2F"/>
    <w:rsid w:val="007F55FC"/>
    <w:rsid w:val="007F5665"/>
    <w:rsid w:val="007F7752"/>
    <w:rsid w:val="00800112"/>
    <w:rsid w:val="008253BB"/>
    <w:rsid w:val="0083152B"/>
    <w:rsid w:val="0083706E"/>
    <w:rsid w:val="008423A5"/>
    <w:rsid w:val="00845DAE"/>
    <w:rsid w:val="00850625"/>
    <w:rsid w:val="00853718"/>
    <w:rsid w:val="00855221"/>
    <w:rsid w:val="00860645"/>
    <w:rsid w:val="00871F71"/>
    <w:rsid w:val="00880B74"/>
    <w:rsid w:val="00885AF4"/>
    <w:rsid w:val="00890CAF"/>
    <w:rsid w:val="008939CD"/>
    <w:rsid w:val="008B4D82"/>
    <w:rsid w:val="008B768C"/>
    <w:rsid w:val="008C2996"/>
    <w:rsid w:val="008C4DB1"/>
    <w:rsid w:val="008C4E48"/>
    <w:rsid w:val="008C4EAF"/>
    <w:rsid w:val="008C5176"/>
    <w:rsid w:val="008C7FD0"/>
    <w:rsid w:val="008D5942"/>
    <w:rsid w:val="008E1DE7"/>
    <w:rsid w:val="008E707C"/>
    <w:rsid w:val="008F42A0"/>
    <w:rsid w:val="00900B08"/>
    <w:rsid w:val="00902155"/>
    <w:rsid w:val="00902FA3"/>
    <w:rsid w:val="00905780"/>
    <w:rsid w:val="00923564"/>
    <w:rsid w:val="009238D3"/>
    <w:rsid w:val="0092392E"/>
    <w:rsid w:val="0092530F"/>
    <w:rsid w:val="009315F9"/>
    <w:rsid w:val="00946945"/>
    <w:rsid w:val="00951248"/>
    <w:rsid w:val="0095152F"/>
    <w:rsid w:val="00954C49"/>
    <w:rsid w:val="00967D59"/>
    <w:rsid w:val="0097099F"/>
    <w:rsid w:val="00971997"/>
    <w:rsid w:val="00971FFC"/>
    <w:rsid w:val="0098660A"/>
    <w:rsid w:val="009931C3"/>
    <w:rsid w:val="009A24C8"/>
    <w:rsid w:val="009B2C43"/>
    <w:rsid w:val="009B4EAE"/>
    <w:rsid w:val="009B7573"/>
    <w:rsid w:val="009C1411"/>
    <w:rsid w:val="009C22F4"/>
    <w:rsid w:val="009C2E98"/>
    <w:rsid w:val="009D04B0"/>
    <w:rsid w:val="009D17EE"/>
    <w:rsid w:val="009D3447"/>
    <w:rsid w:val="009D4711"/>
    <w:rsid w:val="009D65A8"/>
    <w:rsid w:val="009D6D1E"/>
    <w:rsid w:val="009E6B17"/>
    <w:rsid w:val="009F1185"/>
    <w:rsid w:val="009F18CD"/>
    <w:rsid w:val="009F2A13"/>
    <w:rsid w:val="009F5961"/>
    <w:rsid w:val="00A02250"/>
    <w:rsid w:val="00A02D83"/>
    <w:rsid w:val="00A0350C"/>
    <w:rsid w:val="00A04EB0"/>
    <w:rsid w:val="00A13CC1"/>
    <w:rsid w:val="00A16847"/>
    <w:rsid w:val="00A172DC"/>
    <w:rsid w:val="00A237D8"/>
    <w:rsid w:val="00A268C4"/>
    <w:rsid w:val="00A307CD"/>
    <w:rsid w:val="00A323E1"/>
    <w:rsid w:val="00A40A00"/>
    <w:rsid w:val="00A4142F"/>
    <w:rsid w:val="00A5173C"/>
    <w:rsid w:val="00A56DF2"/>
    <w:rsid w:val="00A67AB5"/>
    <w:rsid w:val="00A84D5F"/>
    <w:rsid w:val="00A91760"/>
    <w:rsid w:val="00A9238A"/>
    <w:rsid w:val="00A93B00"/>
    <w:rsid w:val="00A93C21"/>
    <w:rsid w:val="00AC3C6A"/>
    <w:rsid w:val="00AD5620"/>
    <w:rsid w:val="00AD7C1B"/>
    <w:rsid w:val="00AE16BA"/>
    <w:rsid w:val="00AE1EBE"/>
    <w:rsid w:val="00AE66CE"/>
    <w:rsid w:val="00AF5F00"/>
    <w:rsid w:val="00B014F1"/>
    <w:rsid w:val="00B0378A"/>
    <w:rsid w:val="00B03C9D"/>
    <w:rsid w:val="00B045D5"/>
    <w:rsid w:val="00B060AE"/>
    <w:rsid w:val="00B10517"/>
    <w:rsid w:val="00B14E76"/>
    <w:rsid w:val="00B161B8"/>
    <w:rsid w:val="00B2048C"/>
    <w:rsid w:val="00B310B9"/>
    <w:rsid w:val="00B35F3F"/>
    <w:rsid w:val="00B36CBB"/>
    <w:rsid w:val="00B425E0"/>
    <w:rsid w:val="00B440AA"/>
    <w:rsid w:val="00B44B70"/>
    <w:rsid w:val="00B45121"/>
    <w:rsid w:val="00B53C56"/>
    <w:rsid w:val="00B55959"/>
    <w:rsid w:val="00B66950"/>
    <w:rsid w:val="00B77EA6"/>
    <w:rsid w:val="00B81598"/>
    <w:rsid w:val="00B82D13"/>
    <w:rsid w:val="00B841F1"/>
    <w:rsid w:val="00B944D6"/>
    <w:rsid w:val="00BB4DF0"/>
    <w:rsid w:val="00BB5FB0"/>
    <w:rsid w:val="00BC289F"/>
    <w:rsid w:val="00BC5361"/>
    <w:rsid w:val="00BC5460"/>
    <w:rsid w:val="00BC6B50"/>
    <w:rsid w:val="00BD0E25"/>
    <w:rsid w:val="00BD5641"/>
    <w:rsid w:val="00BF5BD6"/>
    <w:rsid w:val="00C03E31"/>
    <w:rsid w:val="00C05468"/>
    <w:rsid w:val="00C158CD"/>
    <w:rsid w:val="00C24C8D"/>
    <w:rsid w:val="00C33E72"/>
    <w:rsid w:val="00C354B2"/>
    <w:rsid w:val="00C35554"/>
    <w:rsid w:val="00C42709"/>
    <w:rsid w:val="00C533CC"/>
    <w:rsid w:val="00C5751C"/>
    <w:rsid w:val="00C61BFC"/>
    <w:rsid w:val="00C62B85"/>
    <w:rsid w:val="00C65438"/>
    <w:rsid w:val="00C91CBB"/>
    <w:rsid w:val="00C96A7C"/>
    <w:rsid w:val="00CB359E"/>
    <w:rsid w:val="00CC09B6"/>
    <w:rsid w:val="00CC666F"/>
    <w:rsid w:val="00CD1E3F"/>
    <w:rsid w:val="00CE44F6"/>
    <w:rsid w:val="00CE49DA"/>
    <w:rsid w:val="00CE7B61"/>
    <w:rsid w:val="00CF7939"/>
    <w:rsid w:val="00D00095"/>
    <w:rsid w:val="00D20620"/>
    <w:rsid w:val="00D26091"/>
    <w:rsid w:val="00D34E7C"/>
    <w:rsid w:val="00D35489"/>
    <w:rsid w:val="00D51276"/>
    <w:rsid w:val="00D7035F"/>
    <w:rsid w:val="00DA65AC"/>
    <w:rsid w:val="00DB1913"/>
    <w:rsid w:val="00DB4EFA"/>
    <w:rsid w:val="00DC410D"/>
    <w:rsid w:val="00DC68CA"/>
    <w:rsid w:val="00DC7CBA"/>
    <w:rsid w:val="00DD467E"/>
    <w:rsid w:val="00DD73B7"/>
    <w:rsid w:val="00DF28BC"/>
    <w:rsid w:val="00DF2C12"/>
    <w:rsid w:val="00DF34B9"/>
    <w:rsid w:val="00DF48D2"/>
    <w:rsid w:val="00DF6DA2"/>
    <w:rsid w:val="00E01053"/>
    <w:rsid w:val="00E07ACF"/>
    <w:rsid w:val="00E07FDD"/>
    <w:rsid w:val="00E15F53"/>
    <w:rsid w:val="00E22096"/>
    <w:rsid w:val="00E331A1"/>
    <w:rsid w:val="00E33202"/>
    <w:rsid w:val="00E336A9"/>
    <w:rsid w:val="00E40AF2"/>
    <w:rsid w:val="00E50624"/>
    <w:rsid w:val="00E568DF"/>
    <w:rsid w:val="00E64269"/>
    <w:rsid w:val="00E81634"/>
    <w:rsid w:val="00E82267"/>
    <w:rsid w:val="00E86A2D"/>
    <w:rsid w:val="00EA010F"/>
    <w:rsid w:val="00EB7F1F"/>
    <w:rsid w:val="00ED1B63"/>
    <w:rsid w:val="00ED1BA0"/>
    <w:rsid w:val="00ED3C1F"/>
    <w:rsid w:val="00ED4085"/>
    <w:rsid w:val="00ED420E"/>
    <w:rsid w:val="00EE2F57"/>
    <w:rsid w:val="00EF2BA5"/>
    <w:rsid w:val="00EF4C34"/>
    <w:rsid w:val="00EF77C6"/>
    <w:rsid w:val="00F05438"/>
    <w:rsid w:val="00F1361C"/>
    <w:rsid w:val="00F160C7"/>
    <w:rsid w:val="00F325E4"/>
    <w:rsid w:val="00F36D8F"/>
    <w:rsid w:val="00F417B1"/>
    <w:rsid w:val="00F44CB9"/>
    <w:rsid w:val="00F539D7"/>
    <w:rsid w:val="00F602DF"/>
    <w:rsid w:val="00F61B31"/>
    <w:rsid w:val="00F81FD9"/>
    <w:rsid w:val="00F841AA"/>
    <w:rsid w:val="00FA0FA7"/>
    <w:rsid w:val="00FA23E8"/>
    <w:rsid w:val="00FD3CC1"/>
    <w:rsid w:val="00FD7F98"/>
    <w:rsid w:val="00FE3967"/>
    <w:rsid w:val="00FF1E02"/>
    <w:rsid w:val="00FF30B4"/>
    <w:rsid w:val="011C0507"/>
    <w:rsid w:val="024C29CB"/>
    <w:rsid w:val="03587D8E"/>
    <w:rsid w:val="04AE2910"/>
    <w:rsid w:val="04E5169C"/>
    <w:rsid w:val="05811628"/>
    <w:rsid w:val="095F2263"/>
    <w:rsid w:val="0B44401F"/>
    <w:rsid w:val="0D1D6E84"/>
    <w:rsid w:val="0D233BB4"/>
    <w:rsid w:val="0F9806E6"/>
    <w:rsid w:val="0FD87715"/>
    <w:rsid w:val="10C055FF"/>
    <w:rsid w:val="11A71D55"/>
    <w:rsid w:val="13951E44"/>
    <w:rsid w:val="158D315E"/>
    <w:rsid w:val="16BB723D"/>
    <w:rsid w:val="16C0587C"/>
    <w:rsid w:val="1D4560CF"/>
    <w:rsid w:val="1DD82D8C"/>
    <w:rsid w:val="1E2E0E7B"/>
    <w:rsid w:val="1FAE38A1"/>
    <w:rsid w:val="229B4E09"/>
    <w:rsid w:val="240371BF"/>
    <w:rsid w:val="26E6453D"/>
    <w:rsid w:val="28CE729F"/>
    <w:rsid w:val="29FD04D3"/>
    <w:rsid w:val="2BF80810"/>
    <w:rsid w:val="2CA553A5"/>
    <w:rsid w:val="2D48358C"/>
    <w:rsid w:val="2E1D4B40"/>
    <w:rsid w:val="2FEC1D16"/>
    <w:rsid w:val="302B6DBC"/>
    <w:rsid w:val="319F7F4E"/>
    <w:rsid w:val="33BC7A5A"/>
    <w:rsid w:val="34DD0771"/>
    <w:rsid w:val="358476C1"/>
    <w:rsid w:val="36A06463"/>
    <w:rsid w:val="37537AF8"/>
    <w:rsid w:val="3AEF5606"/>
    <w:rsid w:val="3EDF766D"/>
    <w:rsid w:val="3F816078"/>
    <w:rsid w:val="3F8E518B"/>
    <w:rsid w:val="404C7506"/>
    <w:rsid w:val="410C7BD9"/>
    <w:rsid w:val="414E2A3F"/>
    <w:rsid w:val="44483AFF"/>
    <w:rsid w:val="452E023B"/>
    <w:rsid w:val="454B56AE"/>
    <w:rsid w:val="464A4494"/>
    <w:rsid w:val="4B251BA6"/>
    <w:rsid w:val="4B5E5630"/>
    <w:rsid w:val="4CE11A67"/>
    <w:rsid w:val="4E7677F0"/>
    <w:rsid w:val="5038133F"/>
    <w:rsid w:val="50513767"/>
    <w:rsid w:val="50605EBF"/>
    <w:rsid w:val="54050501"/>
    <w:rsid w:val="54AA03E4"/>
    <w:rsid w:val="54B35FB1"/>
    <w:rsid w:val="593304CF"/>
    <w:rsid w:val="599764C1"/>
    <w:rsid w:val="59DC1954"/>
    <w:rsid w:val="5B3F7C52"/>
    <w:rsid w:val="5DCC32AA"/>
    <w:rsid w:val="5F351AAD"/>
    <w:rsid w:val="600E32AD"/>
    <w:rsid w:val="6334417D"/>
    <w:rsid w:val="633E7B46"/>
    <w:rsid w:val="652D4953"/>
    <w:rsid w:val="656C65EA"/>
    <w:rsid w:val="6694131C"/>
    <w:rsid w:val="68B23CCB"/>
    <w:rsid w:val="692D72C6"/>
    <w:rsid w:val="69D00F7C"/>
    <w:rsid w:val="6A6F4461"/>
    <w:rsid w:val="6AF91C16"/>
    <w:rsid w:val="6D0F1623"/>
    <w:rsid w:val="6D112C45"/>
    <w:rsid w:val="6E2947A5"/>
    <w:rsid w:val="6E776D55"/>
    <w:rsid w:val="6F050DBE"/>
    <w:rsid w:val="6F2401B3"/>
    <w:rsid w:val="72177D4C"/>
    <w:rsid w:val="7306006D"/>
    <w:rsid w:val="74176094"/>
    <w:rsid w:val="74D16855"/>
    <w:rsid w:val="75524905"/>
    <w:rsid w:val="758A2DCE"/>
    <w:rsid w:val="78CF76D5"/>
    <w:rsid w:val="79801E67"/>
    <w:rsid w:val="7D394A96"/>
    <w:rsid w:val="7EB03F35"/>
    <w:rsid w:val="7F16520A"/>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18"/>
    <w:qFormat/>
    <w:uiPriority w:val="9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5"/>
    <w:uiPriority w:val="99"/>
    <w:pPr>
      <w:spacing w:beforeLines="30"/>
    </w:pPr>
    <w:rPr>
      <w:rFonts w:ascii="??_GB2312" w:eastAsia="Times New Roman"/>
      <w:kern w:val="0"/>
      <w:sz w:val="24"/>
      <w:szCs w:val="24"/>
    </w:rPr>
  </w:style>
  <w:style w:type="paragraph" w:styleId="6">
    <w:name w:val="toc 3"/>
    <w:basedOn w:val="1"/>
    <w:next w:val="1"/>
    <w:semiHidden/>
    <w:qFormat/>
    <w:uiPriority w:val="99"/>
    <w:pPr>
      <w:tabs>
        <w:tab w:val="right" w:leader="dot" w:pos="8296"/>
      </w:tabs>
      <w:ind w:left="840" w:leftChars="400"/>
    </w:pPr>
  </w:style>
  <w:style w:type="paragraph" w:styleId="7">
    <w:name w:val="Balloon Text"/>
    <w:basedOn w:val="1"/>
    <w:link w:val="20"/>
    <w:semiHidden/>
    <w:uiPriority w:val="99"/>
    <w:rPr>
      <w:sz w:val="18"/>
      <w:szCs w:val="18"/>
    </w:rPr>
  </w:style>
  <w:style w:type="paragraph" w:styleId="8">
    <w:name w:val="footer"/>
    <w:basedOn w:val="1"/>
    <w:link w:val="24"/>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3"/>
    <w:semiHidden/>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11">
    <w:name w:val="toc 2"/>
    <w:basedOn w:val="1"/>
    <w:next w:val="1"/>
    <w:semiHidden/>
    <w:uiPriority w:val="99"/>
    <w:pPr>
      <w:tabs>
        <w:tab w:val="right" w:leader="dot" w:pos="8296"/>
      </w:tabs>
      <w:ind w:left="420" w:leftChars="200"/>
    </w:pPr>
  </w:style>
  <w:style w:type="character" w:styleId="13">
    <w:name w:val="Strong"/>
    <w:basedOn w:val="12"/>
    <w:qFormat/>
    <w:uiPriority w:val="99"/>
    <w:rPr>
      <w:b/>
      <w:bCs/>
    </w:rPr>
  </w:style>
  <w:style w:type="character" w:styleId="14">
    <w:name w:val="Hyperlink"/>
    <w:basedOn w:val="12"/>
    <w:qFormat/>
    <w:uiPriority w:val="99"/>
    <w:rPr>
      <w:color w:val="0000FF"/>
      <w:u w:val="single"/>
    </w:rPr>
  </w:style>
  <w:style w:type="character" w:customStyle="1" w:styleId="16">
    <w:name w:val="标题 1 Char"/>
    <w:basedOn w:val="12"/>
    <w:link w:val="2"/>
    <w:locked/>
    <w:uiPriority w:val="99"/>
    <w:rPr>
      <w:rFonts w:ascii="Times New Roman" w:hAnsi="Times New Roman" w:cs="Times New Roman"/>
      <w:b/>
      <w:bCs/>
      <w:kern w:val="44"/>
      <w:sz w:val="44"/>
      <w:szCs w:val="44"/>
    </w:rPr>
  </w:style>
  <w:style w:type="character" w:customStyle="1" w:styleId="17">
    <w:name w:val="标题 2 Char"/>
    <w:basedOn w:val="12"/>
    <w:link w:val="3"/>
    <w:locked/>
    <w:uiPriority w:val="99"/>
    <w:rPr>
      <w:rFonts w:ascii="Cambria" w:hAnsi="Cambria" w:eastAsia="宋体" w:cs="Cambria"/>
      <w:b/>
      <w:bCs/>
      <w:kern w:val="2"/>
      <w:sz w:val="32"/>
      <w:szCs w:val="32"/>
    </w:rPr>
  </w:style>
  <w:style w:type="character" w:customStyle="1" w:styleId="18">
    <w:name w:val="标题 3 Char"/>
    <w:basedOn w:val="12"/>
    <w:link w:val="4"/>
    <w:qFormat/>
    <w:locked/>
    <w:uiPriority w:val="99"/>
    <w:rPr>
      <w:rFonts w:ascii="Times New Roman" w:hAnsi="Times New Roman" w:cs="Times New Roman"/>
      <w:b/>
      <w:bCs/>
      <w:kern w:val="2"/>
      <w:sz w:val="32"/>
      <w:szCs w:val="32"/>
    </w:rPr>
  </w:style>
  <w:style w:type="character" w:customStyle="1" w:styleId="19">
    <w:name w:val="Body Text Char"/>
    <w:basedOn w:val="12"/>
    <w:link w:val="5"/>
    <w:semiHidden/>
    <w:locked/>
    <w:uiPriority w:val="99"/>
    <w:rPr>
      <w:rFonts w:ascii="Times New Roman" w:hAnsi="Times New Roman" w:cs="Times New Roman"/>
      <w:sz w:val="24"/>
      <w:szCs w:val="24"/>
    </w:rPr>
  </w:style>
  <w:style w:type="character" w:customStyle="1" w:styleId="20">
    <w:name w:val="批注框文本 Char"/>
    <w:basedOn w:val="12"/>
    <w:link w:val="7"/>
    <w:semiHidden/>
    <w:qFormat/>
    <w:locked/>
    <w:uiPriority w:val="99"/>
    <w:rPr>
      <w:rFonts w:ascii="Times New Roman" w:hAnsi="Times New Roman" w:cs="Times New Roman"/>
      <w:kern w:val="2"/>
      <w:sz w:val="18"/>
      <w:szCs w:val="18"/>
    </w:rPr>
  </w:style>
  <w:style w:type="character" w:customStyle="1" w:styleId="21">
    <w:name w:val="Footer Char"/>
    <w:basedOn w:val="12"/>
    <w:link w:val="8"/>
    <w:semiHidden/>
    <w:qFormat/>
    <w:locked/>
    <w:uiPriority w:val="99"/>
    <w:rPr>
      <w:rFonts w:ascii="Times New Roman" w:hAnsi="Times New Roman" w:cs="Times New Roman"/>
      <w:sz w:val="18"/>
      <w:szCs w:val="18"/>
    </w:rPr>
  </w:style>
  <w:style w:type="character" w:customStyle="1" w:styleId="22">
    <w:name w:val="Header Char"/>
    <w:basedOn w:val="12"/>
    <w:link w:val="9"/>
    <w:semiHidden/>
    <w:locked/>
    <w:uiPriority w:val="99"/>
    <w:rPr>
      <w:rFonts w:ascii="Times New Roman" w:hAnsi="Times New Roman" w:cs="Times New Roman"/>
      <w:sz w:val="18"/>
      <w:szCs w:val="18"/>
    </w:rPr>
  </w:style>
  <w:style w:type="character" w:customStyle="1" w:styleId="23">
    <w:name w:val="页眉 Char"/>
    <w:link w:val="9"/>
    <w:semiHidden/>
    <w:qFormat/>
    <w:locked/>
    <w:uiPriority w:val="99"/>
    <w:rPr>
      <w:sz w:val="18"/>
      <w:szCs w:val="18"/>
    </w:rPr>
  </w:style>
  <w:style w:type="character" w:customStyle="1" w:styleId="24">
    <w:name w:val="页脚 Char"/>
    <w:link w:val="8"/>
    <w:locked/>
    <w:uiPriority w:val="99"/>
    <w:rPr>
      <w:sz w:val="18"/>
      <w:szCs w:val="18"/>
    </w:rPr>
  </w:style>
  <w:style w:type="character" w:customStyle="1" w:styleId="25">
    <w:name w:val="正文文本 Char"/>
    <w:link w:val="5"/>
    <w:qFormat/>
    <w:locked/>
    <w:uiPriority w:val="99"/>
    <w:rPr>
      <w:rFonts w:ascii="??_GB2312" w:hAnsi="Times New Roman" w:eastAsia="Times New Roman" w:cs="??_GB2312"/>
      <w:sz w:val="24"/>
      <w:szCs w:val="24"/>
    </w:rPr>
  </w:style>
  <w:style w:type="paragraph" w:customStyle="1" w:styleId="26">
    <w:name w:val="Defaul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99"/>
    <w:pPr>
      <w:ind w:firstLine="420" w:firstLineChars="200"/>
    </w:pPr>
  </w:style>
  <w:style w:type="paragraph" w:customStyle="1" w:styleId="28">
    <w:name w:val="TOC Heading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emf"/><Relationship Id="rId7" Type="http://schemas.openxmlformats.org/officeDocument/2006/relationships/oleObject" Target="embeddings/oleObject1.bin"/><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7.emf"/><Relationship Id="rId17" Type="http://schemas.openxmlformats.org/officeDocument/2006/relationships/oleObject" Target="embeddings/oleObject6.bin"/><Relationship Id="rId16" Type="http://schemas.openxmlformats.org/officeDocument/2006/relationships/image" Target="media/image6.emf"/><Relationship Id="rId15" Type="http://schemas.openxmlformats.org/officeDocument/2006/relationships/oleObject" Target="embeddings/oleObject5.bin"/><Relationship Id="rId14" Type="http://schemas.openxmlformats.org/officeDocument/2006/relationships/image" Target="media/image5.emf"/><Relationship Id="rId13" Type="http://schemas.openxmlformats.org/officeDocument/2006/relationships/oleObject" Target="embeddings/oleObject4.bin"/><Relationship Id="rId12" Type="http://schemas.openxmlformats.org/officeDocument/2006/relationships/image" Target="media/image4.emf"/><Relationship Id="rId11" Type="http://schemas.openxmlformats.org/officeDocument/2006/relationships/oleObject" Target="embeddings/oleObject3.bin"/><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21</Pages>
  <Words>1395</Words>
  <Characters>7958</Characters>
  <Lines>66</Lines>
  <Paragraphs>18</Paragraphs>
  <TotalTime>49</TotalTime>
  <ScaleCrop>false</ScaleCrop>
  <LinksUpToDate>false</LinksUpToDate>
  <CharactersWithSpaces>9335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陶淑群</cp:lastModifiedBy>
  <cp:lastPrinted>2019-08-01T00:48:00Z</cp:lastPrinted>
  <dcterms:modified xsi:type="dcterms:W3CDTF">2019-10-25T04:08:31Z</dcterms:modified>
  <dc:title>四川省***</dc:title>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