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pageBreakBefore w:val="0"/>
        <w:kinsoku/>
        <w:wordWrap/>
        <w:overflowPunct/>
        <w:topLinePunct w:val="0"/>
        <w:autoSpaceDE/>
        <w:autoSpaceDN/>
        <w:bidi w:val="0"/>
        <w:spacing w:line="560" w:lineRule="exact"/>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阿坝州壤塘县2025年度</w:t>
      </w:r>
      <w:r>
        <w:rPr>
          <w:rFonts w:hint="eastAsia" w:ascii="Times New Roman" w:eastAsia="方正小标宋简体" w:cs="Times New Roman"/>
          <w:color w:val="auto"/>
          <w:kern w:val="2"/>
          <w:sz w:val="44"/>
          <w:szCs w:val="44"/>
          <w:highlight w:val="none"/>
          <w:lang w:val="en-US" w:eastAsia="zh-CN" w:bidi="ar-SA"/>
        </w:rPr>
        <w:t>壤塘县财政局</w:t>
      </w:r>
    </w:p>
    <w:p>
      <w:pPr>
        <w:pStyle w:val="8"/>
        <w:pageBreakBefore w:val="0"/>
        <w:kinsoku/>
        <w:wordWrap/>
        <w:overflowPunct/>
        <w:topLinePunct w:val="0"/>
        <w:autoSpaceDE/>
        <w:autoSpaceDN/>
        <w:bidi w:val="0"/>
        <w:spacing w:line="560" w:lineRule="exact"/>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部门决算公开</w:t>
      </w:r>
    </w:p>
    <w:p>
      <w:pPr>
        <w:pageBreakBefore w:val="0"/>
        <w:widowControl/>
        <w:kinsoku/>
        <w:wordWrap/>
        <w:overflowPunct/>
        <w:topLinePunct w:val="0"/>
        <w:autoSpaceDE/>
        <w:autoSpaceDN/>
        <w:bidi w:val="0"/>
        <w:spacing w:line="560" w:lineRule="exact"/>
        <w:jc w:val="center"/>
        <w:rPr>
          <w:rFonts w:hint="eastAsia" w:ascii="Times New Roman" w:hAnsi="Times New Roman" w:eastAsia="黑体"/>
          <w:color w:val="auto"/>
          <w:sz w:val="48"/>
          <w:szCs w:val="48"/>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pageBreakBefore w:val="0"/>
        <w:widowControl/>
        <w:kinsoku/>
        <w:wordWrap/>
        <w:overflowPunct/>
        <w:topLinePunct w:val="0"/>
        <w:autoSpaceDE/>
        <w:autoSpaceDN/>
        <w:bidi w:val="0"/>
        <w:spacing w:line="560" w:lineRule="exact"/>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pageBreakBefore w:val="0"/>
        <w:widowControl/>
        <w:kinsoku/>
        <w:wordWrap/>
        <w:overflowPunct/>
        <w:topLinePunct w:val="0"/>
        <w:autoSpaceDE/>
        <w:autoSpaceDN/>
        <w:bidi w:val="0"/>
        <w:spacing w:line="560" w:lineRule="exact"/>
        <w:jc w:val="center"/>
        <w:rPr>
          <w:rFonts w:ascii="Times New Roman" w:hAnsi="Times New Roman" w:eastAsia="黑体" w:cstheme="minorBidi"/>
          <w:color w:val="auto"/>
          <w:sz w:val="28"/>
          <w:szCs w:val="28"/>
          <w:highlight w:val="none"/>
        </w:rPr>
      </w:pPr>
    </w:p>
    <w:p>
      <w:pPr>
        <w:pStyle w:val="13"/>
        <w:pageBreakBefore w:val="0"/>
        <w:kinsoku/>
        <w:wordWrap/>
        <w:overflowPunct/>
        <w:topLinePunct w:val="0"/>
        <w:autoSpaceDE/>
        <w:autoSpaceDN/>
        <w:bidi w:val="0"/>
        <w:spacing w:line="560" w:lineRule="exact"/>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27</w:t>
      </w:r>
      <w:r>
        <w:rPr>
          <w:rFonts w:hint="eastAsia" w:ascii="Times New Roman" w:hAnsi="Times New Roman" w:eastAsia="仿宋_GB2312" w:cs="仿宋_GB2312"/>
          <w:color w:val="auto"/>
          <w:sz w:val="32"/>
          <w:szCs w:val="32"/>
          <w:highlight w:val="none"/>
        </w:rPr>
        <w:t>日</w:t>
      </w:r>
    </w:p>
    <w:p>
      <w:pPr>
        <w:pageBreakBefore w:val="0"/>
        <w:kinsoku/>
        <w:wordWrap/>
        <w:overflowPunct/>
        <w:topLinePunct w:val="0"/>
        <w:autoSpaceDE/>
        <w:autoSpaceDN/>
        <w:bidi w:val="0"/>
        <w:spacing w:line="560" w:lineRule="exact"/>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第一部分 部门概况</w:t>
      </w:r>
      <w:r>
        <w:rPr>
          <w:rFonts w:hint="eastAsia" w:ascii="Times New Roman" w:hAnsi="Times New Roman" w:eastAsia="黑体" w:cs="黑体"/>
          <w:color w:val="auto"/>
          <w:sz w:val="32"/>
          <w:szCs w:val="32"/>
          <w:highlight w:val="none"/>
          <w:lang w:val="en-US" w:eastAsia="zh-CN"/>
        </w:rPr>
        <w:t>·································1</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eastAsia="仿宋_GB2312" w:cs="仿宋_GB2312"/>
          <w:color w:val="auto"/>
          <w:sz w:val="32"/>
          <w:szCs w:val="32"/>
          <w:highlight w:val="none"/>
          <w:lang w:val="en-US" w:eastAsia="zh-CN"/>
        </w:rPr>
        <w:t>···································1</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val="en-US" w:eastAsia="zh-CN"/>
        </w:rPr>
        <w:t>··································2</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lang w:val="en-US" w:eastAsia="zh-CN"/>
        </w:rPr>
        <w:t>·················3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三、支出决算情况说明</w:t>
      </w:r>
      <w:r>
        <w:rPr>
          <w:rFonts w:hint="eastAsia" w:eastAsia="仿宋_GB2312" w:cs="仿宋_GB2312"/>
          <w:color w:val="auto"/>
          <w:sz w:val="32"/>
          <w:szCs w:val="32"/>
          <w:highlight w:val="none"/>
          <w:lang w:val="en-US" w:eastAsia="zh-CN"/>
        </w:rPr>
        <w:t>··························4</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··········4</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······5</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··7</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············10</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··········10</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····················10</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································11</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····································13</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····································26</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rPr>
          <w:rFonts w:hint="eastAsia" w:eastAsia="仿宋_GB2312" w:cs="仿宋_GB2312"/>
          <w:color w:val="auto"/>
          <w:sz w:val="32"/>
          <w:szCs w:val="32"/>
          <w:highlight w:val="none"/>
          <w:lang w:val="en-US" w:eastAsia="zh-CN"/>
        </w:rPr>
        <w:t>·························27</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二、收入决算表</w:t>
      </w:r>
      <w:r>
        <w:rPr>
          <w:rFonts w:hint="eastAsia" w:eastAsia="仿宋_GB2312" w:cs="仿宋_GB2312"/>
          <w:color w:val="auto"/>
          <w:sz w:val="32"/>
          <w:szCs w:val="32"/>
          <w:highlight w:val="none"/>
          <w:lang w:val="en-US" w:eastAsia="zh-CN"/>
        </w:rPr>
        <w:t>·······························28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三、支出决算表</w:t>
      </w:r>
      <w:r>
        <w:rPr>
          <w:rFonts w:hint="eastAsia" w:eastAsia="仿宋_GB2312" w:cs="仿宋_GB2312"/>
          <w:color w:val="auto"/>
          <w:sz w:val="32"/>
          <w:szCs w:val="32"/>
          <w:highlight w:val="none"/>
          <w:lang w:val="en-US" w:eastAsia="zh-CN"/>
        </w:rPr>
        <w:t>·······························29</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四、财政拨款收入支出决算总表</w:t>
      </w:r>
      <w:r>
        <w:rPr>
          <w:rFonts w:hint="eastAsia" w:eastAsia="仿宋_GB2312" w:cs="仿宋_GB2312"/>
          <w:color w:val="auto"/>
          <w:sz w:val="32"/>
          <w:szCs w:val="32"/>
          <w:highlight w:val="none"/>
          <w:lang w:val="en-US" w:eastAsia="zh-CN"/>
        </w:rPr>
        <w:t>················30</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五、财政拨款支出决算明细表</w:t>
      </w:r>
      <w:r>
        <w:rPr>
          <w:rFonts w:hint="eastAsia" w:eastAsia="仿宋_GB2312" w:cs="仿宋_GB2312"/>
          <w:color w:val="auto"/>
          <w:sz w:val="32"/>
          <w:szCs w:val="32"/>
          <w:highlight w:val="none"/>
          <w:lang w:val="en-US" w:eastAsia="zh-CN"/>
        </w:rPr>
        <w:t>··················31</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六、一般公共预算财政拨款支出决算表</w:t>
      </w:r>
      <w:r>
        <w:rPr>
          <w:rFonts w:hint="eastAsia" w:eastAsia="仿宋_GB2312" w:cs="仿宋_GB2312"/>
          <w:color w:val="auto"/>
          <w:sz w:val="32"/>
          <w:szCs w:val="32"/>
          <w:highlight w:val="none"/>
          <w:lang w:val="en-US" w:eastAsia="zh-CN"/>
        </w:rPr>
        <w:t>··········32</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eastAsia="仿宋_GB2312" w:cs="仿宋_GB2312"/>
          <w:color w:val="auto"/>
          <w:sz w:val="32"/>
          <w:szCs w:val="32"/>
          <w:highlight w:val="none"/>
          <w:lang w:val="en-US" w:eastAsia="zh-CN"/>
        </w:rPr>
        <w:t>······33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eastAsia="仿宋_GB2312" w:cs="仿宋_GB2312"/>
          <w:color w:val="auto"/>
          <w:sz w:val="32"/>
          <w:szCs w:val="32"/>
          <w:highlight w:val="none"/>
          <w:lang w:val="en-US" w:eastAsia="zh-CN"/>
        </w:rPr>
        <w:t>··34</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eastAsia="仿宋_GB2312" w:cs="仿宋_GB2312"/>
          <w:color w:val="auto"/>
          <w:sz w:val="32"/>
          <w:szCs w:val="32"/>
          <w:highlight w:val="none"/>
          <w:lang w:val="en-US" w:eastAsia="zh-CN"/>
        </w:rPr>
        <w:t>······35</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eastAsia="仿宋_GB2312" w:cs="仿宋_GB2312"/>
          <w:color w:val="auto"/>
          <w:sz w:val="32"/>
          <w:szCs w:val="32"/>
          <w:highlight w:val="none"/>
          <w:lang w:val="en-US" w:eastAsia="zh-CN"/>
        </w:rPr>
        <w:t xml:space="preserve">····36 </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eastAsia="仿宋_GB2312" w:cs="仿宋_GB2312"/>
          <w:color w:val="auto"/>
          <w:sz w:val="32"/>
          <w:szCs w:val="32"/>
          <w:highlight w:val="none"/>
          <w:lang w:val="en-US" w:eastAsia="zh-CN"/>
        </w:rPr>
        <w:t xml:space="preserve"> 37</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eastAsia="仿宋_GB2312" w:cs="仿宋_GB2312"/>
          <w:color w:val="auto"/>
          <w:sz w:val="32"/>
          <w:szCs w:val="32"/>
          <w:highlight w:val="none"/>
          <w:lang w:val="en-US" w:eastAsia="zh-CN"/>
        </w:rPr>
        <w:t>····38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十三、财政拨款“三公”经费支出决算表</w:t>
      </w:r>
      <w:r>
        <w:rPr>
          <w:rFonts w:hint="eastAsia" w:eastAsia="仿宋_GB2312" w:cs="仿宋_GB2312"/>
          <w:color w:val="auto"/>
          <w:sz w:val="32"/>
          <w:szCs w:val="32"/>
          <w:highlight w:val="none"/>
          <w:lang w:val="en-US" w:eastAsia="zh-CN"/>
        </w:rPr>
        <w:t>········39</w:t>
      </w:r>
    </w:p>
    <w:p>
      <w:pPr>
        <w:pStyle w:val="5"/>
        <w:pageBreakBefore w:val="0"/>
        <w:kinsoku/>
        <w:wordWrap/>
        <w:overflowPunct/>
        <w:topLinePunct w:val="0"/>
        <w:autoSpaceDE/>
        <w:autoSpaceDN/>
        <w:bidi w:val="0"/>
        <w:spacing w:line="560" w:lineRule="exact"/>
        <w:jc w:val="center"/>
        <w:rPr>
          <w:rFonts w:hint="eastAsia" w:ascii="Times New Roman" w:hAnsi="Times New Roman" w:eastAsia="方正小标宋简体" w:cs="方正小标宋简体"/>
          <w:b w:val="0"/>
          <w:color w:val="auto"/>
          <w:highlight w:val="none"/>
        </w:rPr>
      </w:pPr>
      <w:bookmarkStart w:id="0" w:name="_Toc15377196"/>
      <w:bookmarkStart w:id="1" w:name="_Toc15396599"/>
    </w:p>
    <w:p>
      <w:pPr>
        <w:pageBreakBefore w:val="0"/>
        <w:kinsoku/>
        <w:wordWrap/>
        <w:overflowPunct/>
        <w:topLinePunct w:val="0"/>
        <w:autoSpaceDE/>
        <w:autoSpaceDN/>
        <w:bidi w:val="0"/>
        <w:spacing w:line="560" w:lineRule="exact"/>
        <w:rPr>
          <w:rFonts w:hint="eastAsia"/>
        </w:rPr>
        <w:sectPr>
          <w:footerReference r:id="rId5" w:type="default"/>
          <w:pgSz w:w="11906" w:h="16838"/>
          <w:pgMar w:top="1440" w:right="1800" w:bottom="1440" w:left="1800" w:header="851" w:footer="992" w:gutter="0"/>
          <w:pgNumType w:fmt="decimal" w:start="1"/>
          <w:cols w:space="425" w:num="1"/>
          <w:docGrid w:type="lines" w:linePitch="312" w:charSpace="0"/>
        </w:sectPr>
      </w:pPr>
    </w:p>
    <w:p>
      <w:pPr>
        <w:pStyle w:val="5"/>
        <w:pageBreakBefore w:val="0"/>
        <w:kinsoku/>
        <w:wordWrap/>
        <w:overflowPunct/>
        <w:topLinePunct w:val="0"/>
        <w:autoSpaceDE/>
        <w:autoSpaceDN/>
        <w:bidi w:val="0"/>
        <w:spacing w:line="560" w:lineRule="exact"/>
        <w:jc w:val="center"/>
        <w:rPr>
          <w:rFonts w:ascii="Times New Roman" w:hAnsi="Times New Roman" w:eastAsia="黑体"/>
          <w:color w:val="auto"/>
          <w:sz w:val="32"/>
          <w:szCs w:val="32"/>
          <w:highlight w:val="none"/>
        </w:rPr>
      </w:pPr>
      <w:bookmarkStart w:id="2" w:name="_Toc138514070"/>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0"/>
      <w:bookmarkEnd w:id="1"/>
      <w:bookmarkEnd w:id="2"/>
    </w:p>
    <w:p>
      <w:pPr>
        <w:pStyle w:val="6"/>
        <w:pageBreakBefore w:val="0"/>
        <w:numPr>
          <w:ilvl w:val="0"/>
          <w:numId w:val="1"/>
        </w:numPr>
        <w:kinsoku/>
        <w:wordWrap/>
        <w:overflowPunct/>
        <w:topLinePunct w:val="0"/>
        <w:autoSpaceDE/>
        <w:autoSpaceDN/>
        <w:bidi w:val="0"/>
        <w:spacing w:line="560" w:lineRule="exact"/>
        <w:textAlignment w:val="auto"/>
        <w:rPr>
          <w:rFonts w:hint="eastAsia" w:ascii="Times New Roman" w:hAnsi="Times New Roman" w:eastAsia="黑体"/>
          <w:b w:val="0"/>
          <w:color w:val="auto"/>
          <w:highlight w:val="none"/>
          <w:lang w:eastAsia="zh-CN"/>
        </w:rPr>
      </w:pPr>
      <w:bookmarkStart w:id="3" w:name="_Toc840285074"/>
      <w:r>
        <w:rPr>
          <w:rFonts w:hint="eastAsia" w:ascii="Times New Roman" w:hAnsi="Times New Roman" w:eastAsia="黑体"/>
          <w:b w:val="0"/>
          <w:color w:val="auto"/>
          <w:highlight w:val="none"/>
          <w:lang w:eastAsia="zh-CN"/>
        </w:rPr>
        <w:t>部门职责</w:t>
      </w:r>
      <w:bookmarkEnd w:id="3"/>
    </w:p>
    <w:p>
      <w:pPr>
        <w:pStyle w:val="35"/>
        <w:pageBreakBefore w:val="0"/>
        <w:kinsoku/>
        <w:wordWrap/>
        <w:overflowPunct/>
        <w:topLinePunct w:val="0"/>
        <w:autoSpaceDE/>
        <w:autoSpaceDN/>
        <w:bidi w:val="0"/>
        <w:spacing w:before="0" w:line="560" w:lineRule="exact"/>
        <w:ind w:firstLine="640" w:firstLineChars="200"/>
        <w:textAlignment w:val="auto"/>
        <w:rPr>
          <w:rFonts w:hint="eastAsia" w:ascii="仿宋" w:eastAsia="仿宋"/>
          <w:sz w:val="32"/>
          <w:szCs w:val="32"/>
        </w:rPr>
      </w:pPr>
      <w:r>
        <w:rPr>
          <w:rFonts w:hint="eastAsia" w:ascii="仿宋" w:eastAsia="仿宋"/>
          <w:sz w:val="32"/>
          <w:szCs w:val="32"/>
        </w:rPr>
        <w:t>1、贯彻执行国家预算、税收、财务、会计等有关政策、法规、法令、规章制度，指导乡镇财政工作；拟</w:t>
      </w:r>
      <w:r>
        <w:rPr>
          <w:rFonts w:hint="eastAsia" w:ascii="仿宋" w:eastAsia="仿宋"/>
          <w:sz w:val="32"/>
          <w:szCs w:val="32"/>
          <w:lang w:eastAsia="zh-CN"/>
        </w:rPr>
        <w:t>订</w:t>
      </w:r>
      <w:r>
        <w:rPr>
          <w:rFonts w:hint="eastAsia" w:ascii="仿宋" w:eastAsia="仿宋"/>
          <w:sz w:val="32"/>
          <w:szCs w:val="32"/>
        </w:rPr>
        <w:t xml:space="preserve">全县财政预算、地方税收、财务会计管理等有关制度，并监督执行。 </w:t>
      </w:r>
      <w:r>
        <w:rPr>
          <w:rFonts w:hint="eastAsia" w:ascii="仿宋" w:eastAsia="仿宋"/>
          <w:sz w:val="32"/>
          <w:szCs w:val="32"/>
        </w:rPr>
        <w:br w:type="textWrapping"/>
      </w:r>
      <w:r>
        <w:rPr>
          <w:rFonts w:hint="eastAsia" w:ascii="仿宋" w:eastAsia="仿宋"/>
          <w:sz w:val="32"/>
          <w:szCs w:val="32"/>
          <w:lang w:val="en-US" w:eastAsia="zh-CN"/>
        </w:rPr>
        <w:t xml:space="preserve">  </w:t>
      </w:r>
      <w:r>
        <w:rPr>
          <w:rFonts w:hint="eastAsia" w:ascii="仿宋" w:eastAsia="仿宋"/>
          <w:sz w:val="32"/>
          <w:szCs w:val="32"/>
        </w:rPr>
        <w:t xml:space="preserve">  2、贯彻执行财政分配政策和财政改革；参与宏观经济分析预测和全县重大宏观经济政策的制定；提出运用财税政策实施宏观经济调控和综合平衡全县财力的建议；制定构建地方公共财政体系的政策、制度。 </w:t>
      </w:r>
      <w:r>
        <w:rPr>
          <w:rFonts w:hint="eastAsia" w:ascii="仿宋" w:eastAsia="仿宋"/>
          <w:sz w:val="32"/>
          <w:szCs w:val="32"/>
        </w:rPr>
        <w:br w:type="textWrapping"/>
      </w:r>
      <w:r>
        <w:rPr>
          <w:rFonts w:hint="eastAsia" w:ascii="仿宋" w:eastAsia="仿宋"/>
          <w:sz w:val="32"/>
          <w:szCs w:val="32"/>
        </w:rPr>
        <w:t xml:space="preserve">    3、拟订全县财政、税收发展战略和中长期财政计划；汇编全县年度财政预（决）算，受县人民政府委托向县人民代表大会报告全县预算草案和预算执行情况，批复部门年度预算；执行县人大批准的县级财政预算，组织、监督县级和乡镇预算的执行；管理和监督全县各项财政收支，负责财政资金的调度和拨付。 </w:t>
      </w:r>
      <w:r>
        <w:rPr>
          <w:rFonts w:hint="eastAsia" w:ascii="仿宋" w:eastAsia="仿宋"/>
          <w:sz w:val="32"/>
          <w:szCs w:val="32"/>
        </w:rPr>
        <w:br w:type="textWrapping"/>
      </w:r>
      <w:r>
        <w:rPr>
          <w:rFonts w:hint="eastAsia" w:ascii="仿宋" w:eastAsia="仿宋"/>
          <w:sz w:val="32"/>
          <w:szCs w:val="32"/>
        </w:rPr>
        <w:t xml:space="preserve">    4、组织拟订全县国库管理制度、国库集中收付制度，指导和监督国库业务；管理全县财政资金和财政专户，管理有关政府性基金，审查汇编财务收支计划和决算。 </w:t>
      </w:r>
      <w:r>
        <w:rPr>
          <w:rFonts w:hint="eastAsia" w:ascii="仿宋" w:eastAsia="仿宋"/>
          <w:sz w:val="32"/>
          <w:szCs w:val="32"/>
        </w:rPr>
        <w:br w:type="textWrapping"/>
      </w:r>
      <w:r>
        <w:rPr>
          <w:rFonts w:hint="eastAsia" w:ascii="仿宋" w:eastAsia="仿宋"/>
          <w:sz w:val="32"/>
          <w:szCs w:val="32"/>
        </w:rPr>
        <w:t xml:space="preserve">    5、负责管理国有资产，组织实施国有资产清产核资、产权界定和登记；负责国有资产管理的统计、分析、转让和处置等工作。 </w:t>
      </w:r>
      <w:r>
        <w:rPr>
          <w:rFonts w:hint="eastAsia" w:ascii="仿宋" w:eastAsia="仿宋"/>
          <w:sz w:val="32"/>
          <w:szCs w:val="32"/>
        </w:rPr>
        <w:br w:type="textWrapping"/>
      </w:r>
      <w:r>
        <w:rPr>
          <w:rFonts w:hint="eastAsia" w:ascii="仿宋" w:eastAsia="仿宋"/>
          <w:sz w:val="32"/>
          <w:szCs w:val="32"/>
          <w:lang w:val="en-US" w:eastAsia="zh-CN"/>
        </w:rPr>
        <w:t xml:space="preserve">    </w:t>
      </w:r>
      <w:r>
        <w:rPr>
          <w:rFonts w:hint="eastAsia" w:ascii="仿宋" w:eastAsia="仿宋"/>
          <w:sz w:val="32"/>
          <w:szCs w:val="32"/>
        </w:rPr>
        <w:t xml:space="preserve">6、监督社会保障资金和就业及医疗卫生财务管理制度的落实，拟订相关财务管理制度，负责全县财政社会保障支出；负责拟订政府采购制度，监督管理全县政府采购工作。 </w:t>
      </w:r>
      <w:r>
        <w:rPr>
          <w:rFonts w:hint="eastAsia" w:ascii="仿宋" w:eastAsia="仿宋"/>
          <w:sz w:val="32"/>
          <w:szCs w:val="32"/>
        </w:rPr>
        <w:br w:type="textWrapping"/>
      </w:r>
      <w:r>
        <w:rPr>
          <w:rFonts w:hint="eastAsia" w:ascii="仿宋" w:eastAsia="仿宋"/>
          <w:sz w:val="32"/>
          <w:szCs w:val="32"/>
        </w:rPr>
        <w:t xml:space="preserve">    7、贯彻实施国家、省、州对农业投入的法规，加强对农业投入的管理工作，管理县级</w:t>
      </w:r>
      <w:bookmarkStart w:id="78" w:name="_GoBack"/>
      <w:bookmarkEnd w:id="78"/>
      <w:r>
        <w:rPr>
          <w:rFonts w:hint="eastAsia" w:ascii="仿宋" w:eastAsia="仿宋"/>
          <w:sz w:val="32"/>
          <w:szCs w:val="32"/>
          <w:lang w:eastAsia="zh-CN"/>
        </w:rPr>
        <w:t>财政常态化帮扶资金</w:t>
      </w:r>
      <w:r>
        <w:rPr>
          <w:rFonts w:hint="eastAsia" w:ascii="仿宋" w:eastAsia="仿宋"/>
          <w:sz w:val="32"/>
          <w:szCs w:val="32"/>
        </w:rPr>
        <w:t xml:space="preserve">。 </w:t>
      </w:r>
      <w:r>
        <w:rPr>
          <w:rFonts w:hint="eastAsia" w:ascii="仿宋" w:eastAsia="仿宋"/>
          <w:sz w:val="32"/>
          <w:szCs w:val="32"/>
        </w:rPr>
        <w:br w:type="textWrapping"/>
      </w:r>
      <w:r>
        <w:rPr>
          <w:rFonts w:hint="eastAsia" w:ascii="仿宋" w:eastAsia="仿宋"/>
          <w:sz w:val="32"/>
          <w:szCs w:val="32"/>
        </w:rPr>
        <w:t xml:space="preserve">    8、组织实施财政总预算会计制度和单位预算会计制度，监督会计规章制度的执行，指导全县会计工作，会同有关部门组织实施会计从业资格证、会计专业技术职务资格的考务工作，管理全县会计电算化工作。 </w:t>
      </w:r>
      <w:r>
        <w:rPr>
          <w:rFonts w:hint="eastAsia" w:ascii="仿宋" w:eastAsia="仿宋"/>
          <w:sz w:val="32"/>
          <w:szCs w:val="32"/>
        </w:rPr>
        <w:br w:type="textWrapping"/>
      </w:r>
      <w:r>
        <w:rPr>
          <w:rFonts w:hint="eastAsia" w:ascii="仿宋" w:eastAsia="仿宋"/>
          <w:sz w:val="32"/>
          <w:szCs w:val="32"/>
        </w:rPr>
        <w:t xml:space="preserve">    9、负责管理全县财政收入，加强非税收入管理；对地方金融机构财务进行监管；负责彩票管理工作；负责国债资金的监管工作。 </w:t>
      </w:r>
      <w:r>
        <w:rPr>
          <w:rFonts w:hint="eastAsia" w:ascii="仿宋" w:eastAsia="仿宋"/>
          <w:sz w:val="32"/>
          <w:szCs w:val="32"/>
        </w:rPr>
        <w:br w:type="textWrapping"/>
      </w:r>
      <w:r>
        <w:rPr>
          <w:rFonts w:hint="eastAsia" w:ascii="仿宋" w:eastAsia="仿宋"/>
          <w:sz w:val="32"/>
          <w:szCs w:val="32"/>
        </w:rPr>
        <w:t xml:space="preserve">    10、负责办理和监督财政性资金支出、政府性投资项目的财政拨款；负责投资评审管理工作，参与拟订政府性建设投资的有关政策；负责有关政策性补贴和专项储备资金财务管理工作。 </w:t>
      </w:r>
      <w:r>
        <w:rPr>
          <w:rFonts w:hint="eastAsia" w:ascii="仿宋" w:eastAsia="仿宋"/>
          <w:sz w:val="32"/>
          <w:szCs w:val="32"/>
        </w:rPr>
        <w:br w:type="textWrapping"/>
      </w:r>
      <w:r>
        <w:rPr>
          <w:rFonts w:hint="eastAsia" w:ascii="仿宋" w:eastAsia="仿宋"/>
          <w:sz w:val="32"/>
          <w:szCs w:val="32"/>
        </w:rPr>
        <w:t xml:space="preserve">    11、制定全县财政干部教育培训规划，组织财务人员培训；负责财政信息和财政宣传工作。 </w:t>
      </w:r>
      <w:r>
        <w:rPr>
          <w:rFonts w:hint="eastAsia" w:ascii="仿宋" w:eastAsia="仿宋"/>
          <w:sz w:val="32"/>
          <w:szCs w:val="32"/>
        </w:rPr>
        <w:br w:type="textWrapping"/>
      </w:r>
      <w:r>
        <w:rPr>
          <w:rFonts w:hint="eastAsia" w:ascii="仿宋" w:eastAsia="仿宋"/>
          <w:sz w:val="32"/>
          <w:szCs w:val="32"/>
          <w:lang w:val="en-US" w:eastAsia="zh-CN"/>
        </w:rPr>
        <w:t xml:space="preserve">    </w:t>
      </w:r>
      <w:r>
        <w:rPr>
          <w:rFonts w:hint="eastAsia" w:ascii="仿宋" w:eastAsia="仿宋"/>
          <w:sz w:val="32"/>
          <w:szCs w:val="32"/>
        </w:rPr>
        <w:t xml:space="preserve">12、承担县政府公布的有关行政审批事项。 </w:t>
      </w:r>
    </w:p>
    <w:p>
      <w:pPr>
        <w:pageBreakBefore w:val="0"/>
        <w:widowControl w:val="0"/>
        <w:numPr>
          <w:ilvl w:val="0"/>
          <w:numId w:val="0"/>
        </w:numPr>
        <w:kinsoku/>
        <w:wordWrap/>
        <w:overflowPunct/>
        <w:topLinePunct w:val="0"/>
        <w:autoSpaceDE/>
        <w:autoSpaceDN/>
        <w:bidi w:val="0"/>
        <w:spacing w:line="560" w:lineRule="exact"/>
        <w:ind w:firstLine="640" w:firstLineChars="200"/>
        <w:jc w:val="both"/>
        <w:textAlignment w:val="auto"/>
        <w:rPr>
          <w:rFonts w:hint="eastAsia"/>
          <w:lang w:eastAsia="zh-CN"/>
        </w:rPr>
      </w:pPr>
      <w:r>
        <w:rPr>
          <w:rFonts w:hint="eastAsia" w:ascii="仿宋" w:eastAsia="仿宋"/>
          <w:sz w:val="32"/>
          <w:szCs w:val="32"/>
        </w:rPr>
        <w:t>13、承办县委县政府和上级财政部门交办的其他事项。</w:t>
      </w:r>
    </w:p>
    <w:p>
      <w:pPr>
        <w:pStyle w:val="6"/>
        <w:keepNext/>
        <w:keepLines/>
        <w:pageBreakBefore w:val="0"/>
        <w:widowControl w:val="0"/>
        <w:kinsoku/>
        <w:wordWrap/>
        <w:overflowPunct/>
        <w:topLinePunct w:val="0"/>
        <w:autoSpaceDE/>
        <w:autoSpaceDN/>
        <w:bidi w:val="0"/>
        <w:adjustRightInd/>
        <w:snapToGrid/>
        <w:spacing w:line="560" w:lineRule="exact"/>
        <w:textAlignment w:val="auto"/>
        <w:rPr>
          <w:rStyle w:val="29"/>
          <w:rFonts w:ascii="Times New Roman" w:hAnsi="Times New Roman"/>
          <w:b w:val="0"/>
          <w:bCs w:val="0"/>
          <w:color w:val="auto"/>
          <w:highlight w:val="none"/>
        </w:rPr>
      </w:pPr>
      <w:bookmarkStart w:id="4" w:name="_Toc2051849984"/>
      <w:bookmarkStart w:id="5" w:name="_Toc15396601"/>
      <w:bookmarkStart w:id="6" w:name="_Toc15377200"/>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4"/>
      <w:bookmarkEnd w:id="5"/>
      <w:bookmarkEnd w:id="6"/>
    </w:p>
    <w:p>
      <w:pPr>
        <w:pStyle w:val="8"/>
        <w:pageBreakBefore w:val="0"/>
        <w:widowControl w:val="0"/>
        <w:kinsoku/>
        <w:wordWrap/>
        <w:overflowPunct/>
        <w:topLinePunct w:val="0"/>
        <w:autoSpaceDE/>
        <w:autoSpaceDN/>
        <w:bidi w:val="0"/>
        <w:adjustRightInd w:val="0"/>
        <w:snapToGrid w:val="0"/>
        <w:spacing w:before="93" w:line="560" w:lineRule="exact"/>
        <w:ind w:firstLine="640" w:firstLineChars="200"/>
        <w:textAlignment w:val="auto"/>
        <w:rPr>
          <w:rFonts w:ascii="仿宋" w:hAnsi="仿宋" w:eastAsia="仿宋"/>
          <w:color w:val="auto"/>
          <w:sz w:val="32"/>
          <w:szCs w:val="32"/>
          <w:highlight w:val="none"/>
        </w:rPr>
      </w:pPr>
      <w:r>
        <w:rPr>
          <w:rFonts w:hint="eastAsia" w:ascii="仿宋" w:hAnsi="仿宋" w:eastAsia="仿宋"/>
          <w:color w:val="auto"/>
          <w:sz w:val="32"/>
          <w:szCs w:val="32"/>
          <w:highlight w:val="none"/>
          <w:lang w:val="en-US" w:eastAsia="zh-CN"/>
        </w:rPr>
        <w:t>四川省阿坝州壤塘县财政局无下属单位。</w:t>
      </w:r>
    </w:p>
    <w:p>
      <w:pPr>
        <w:pageBreakBefore w:val="0"/>
        <w:widowControl/>
        <w:kinsoku/>
        <w:wordWrap/>
        <w:overflowPunct/>
        <w:topLinePunct w:val="0"/>
        <w:autoSpaceDE/>
        <w:autoSpaceDN/>
        <w:bidi w:val="0"/>
        <w:spacing w:line="560" w:lineRule="exact"/>
        <w:jc w:val="left"/>
        <w:textAlignment w:val="auto"/>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5"/>
        <w:pageBreakBefore w:val="0"/>
        <w:kinsoku/>
        <w:wordWrap/>
        <w:overflowPunct/>
        <w:topLinePunct w:val="0"/>
        <w:autoSpaceDE/>
        <w:autoSpaceDN/>
        <w:bidi w:val="0"/>
        <w:spacing w:line="560" w:lineRule="exact"/>
        <w:jc w:val="center"/>
        <w:textAlignment w:val="auto"/>
        <w:rPr>
          <w:rFonts w:hint="eastAsia" w:ascii="Times New Roman" w:hAnsi="Times New Roman" w:eastAsia="方正小标宋简体" w:cs="方正小标宋简体"/>
          <w:b w:val="0"/>
          <w:color w:val="auto"/>
          <w:highlight w:val="none"/>
        </w:rPr>
      </w:pPr>
      <w:bookmarkStart w:id="7" w:name="_Toc15396602"/>
      <w:bookmarkStart w:id="8" w:name="_Toc15377204"/>
      <w:bookmarkStart w:id="9" w:name="_Toc1417166131"/>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7"/>
      <w:bookmarkEnd w:id="8"/>
      <w:bookmarkEnd w:id="9"/>
    </w:p>
    <w:p>
      <w:pPr>
        <w:pageBreakBefore w:val="0"/>
        <w:kinsoku/>
        <w:wordWrap/>
        <w:overflowPunct/>
        <w:topLinePunct w:val="0"/>
        <w:autoSpaceDE/>
        <w:autoSpaceDN/>
        <w:bidi w:val="0"/>
        <w:spacing w:line="560" w:lineRule="exact"/>
        <w:textAlignment w:val="auto"/>
        <w:rPr>
          <w:rFonts w:ascii="Times New Roman" w:hAnsi="Times New Roman"/>
          <w:color w:val="auto"/>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Style w:val="29"/>
          <w:rFonts w:hint="eastAsia" w:ascii="Times New Roman" w:hAnsi="Times New Roman" w:eastAsia="黑体"/>
          <w:b w:val="0"/>
          <w:color w:val="auto"/>
          <w:highlight w:val="none"/>
        </w:rPr>
      </w:pPr>
      <w:bookmarkStart w:id="10" w:name="_Toc15377205"/>
      <w:bookmarkStart w:id="11" w:name="_Toc15396603"/>
      <w:bookmarkStart w:id="12" w:name="_Toc184015435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0"/>
      <w:bookmarkEnd w:id="11"/>
      <w:bookmarkEnd w:id="12"/>
    </w:p>
    <w:p>
      <w:pPr>
        <w:pStyle w:val="27"/>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rPr>
      </w:pPr>
      <w:bookmarkStart w:id="13" w:name="_Toc571304006"/>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59264" behindDoc="0" locked="0" layoutInCell="1" allowOverlap="1">
            <wp:simplePos x="0" y="0"/>
            <wp:positionH relativeFrom="column">
              <wp:posOffset>248285</wp:posOffset>
            </wp:positionH>
            <wp:positionV relativeFrom="page">
              <wp:posOffset>4101465</wp:posOffset>
            </wp:positionV>
            <wp:extent cx="4772025" cy="2603500"/>
            <wp:effectExtent l="4445" t="4445" r="5080" b="2095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Times New Roman" w:hAnsi="Times New Roman" w:eastAsia="仿宋_GB2312" w:cs="仿宋_GB2312"/>
          <w:color w:val="auto"/>
          <w:sz w:val="32"/>
          <w:szCs w:val="32"/>
          <w:highlight w:val="none"/>
        </w:rPr>
        <w:t>1,514.15万元。与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149.52</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10.96</w:t>
      </w:r>
      <w:r>
        <w:rPr>
          <w:rFonts w:hint="eastAsia" w:ascii="Times New Roman" w:hAnsi="Times New Roman" w:eastAsia="仿宋_GB2312" w:cs="仿宋_GB2312"/>
          <w:color w:val="auto"/>
          <w:sz w:val="32"/>
          <w:szCs w:val="32"/>
          <w:highlight w:val="none"/>
        </w:rPr>
        <w:t>%。</w:t>
      </w:r>
      <w:bookmarkEnd w:id="13"/>
      <w:r>
        <w:rPr>
          <w:rFonts w:hint="eastAsia" w:eastAsia="仿宋_GB2312" w:cs="仿宋_GB2312"/>
          <w:color w:val="auto"/>
          <w:sz w:val="32"/>
          <w:szCs w:val="32"/>
          <w:highlight w:val="none"/>
          <w:lang w:eastAsia="zh-CN"/>
        </w:rPr>
        <w:t>原因为</w:t>
      </w:r>
      <w:r>
        <w:rPr>
          <w:rFonts w:hint="eastAsia" w:eastAsia="仿宋_GB2312" w:cs="仿宋_GB2312"/>
          <w:color w:val="auto"/>
          <w:sz w:val="32"/>
          <w:szCs w:val="32"/>
          <w:highlight w:val="none"/>
          <w:lang w:val="en-US" w:eastAsia="zh-CN"/>
        </w:rPr>
        <w:t>2025年我单位在职人员增加，基本支出经费支出增加。</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bookmarkStart w:id="14" w:name="_Toc1054816331"/>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r>
        <w:rPr>
          <w:rFonts w:hint="eastAsia" w:ascii="Times New Roman" w:hAnsi="Times New Roman" w:eastAsia="仿宋_GB2312" w:cs="仿宋_GB2312"/>
          <w:color w:val="auto"/>
          <w:sz w:val="32"/>
          <w:szCs w:val="32"/>
          <w:highlight w:val="none"/>
          <w:lang w:eastAsia="zh-CN"/>
        </w:rPr>
        <w:t>（单位：万元）</w:t>
      </w:r>
      <w:bookmarkEnd w:id="14"/>
    </w:p>
    <w:p>
      <w:pPr>
        <w:pStyle w:val="27"/>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5" w:name="_Toc15377206"/>
      <w:bookmarkStart w:id="16" w:name="_Toc15396604"/>
      <w:bookmarkStart w:id="17" w:name="_Toc1810379238"/>
      <w:r>
        <w:rPr>
          <w:rFonts w:hint="eastAsia" w:ascii="Times New Roman" w:hAnsi="Times New Roman" w:eastAsia="黑体"/>
          <w:color w:val="auto"/>
          <w:sz w:val="32"/>
          <w:szCs w:val="32"/>
          <w:highlight w:val="none"/>
          <w:lang w:eastAsia="zh-CN"/>
        </w:rPr>
        <w:t>二、收入决算情况说明</w:t>
      </w:r>
      <w:bookmarkEnd w:id="15"/>
      <w:bookmarkEnd w:id="16"/>
      <w:bookmarkEnd w:id="17"/>
    </w:p>
    <w:p>
      <w:pPr>
        <w:pStyle w:val="27"/>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bookmarkStart w:id="18" w:name="_Toc1162134096"/>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1491615</wp:posOffset>
            </wp:positionH>
            <wp:positionV relativeFrom="paragraph">
              <wp:posOffset>836295</wp:posOffset>
            </wp:positionV>
            <wp:extent cx="2602230" cy="1451610"/>
            <wp:effectExtent l="4445" t="4445" r="22225" b="10795"/>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Times New Roman" w:hAnsi="Times New Roman" w:eastAsia="仿宋_GB2312" w:cs="仿宋_GB2312"/>
          <w:color w:val="auto"/>
          <w:sz w:val="32"/>
          <w:szCs w:val="32"/>
          <w:highlight w:val="none"/>
        </w:rPr>
        <w:t>1,514.15</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Times New Roman" w:hAnsi="Times New Roman" w:eastAsia="仿宋_GB2312" w:cs="仿宋_GB2312"/>
          <w:color w:val="auto"/>
          <w:sz w:val="32"/>
          <w:szCs w:val="32"/>
          <w:highlight w:val="none"/>
        </w:rPr>
        <w:t>1,514.15</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bookmarkEnd w:id="18"/>
    </w:p>
    <w:p>
      <w:pPr>
        <w:pStyle w:val="27"/>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bookmarkStart w:id="19" w:name="_Toc1980421242"/>
      <w:r>
        <w:rPr>
          <w:rFonts w:hint="eastAsia" w:ascii="Times New Roman" w:hAnsi="Times New Roman" w:eastAsia="仿宋_GB2312" w:cs="仿宋_GB2312"/>
          <w:color w:val="auto"/>
          <w:sz w:val="32"/>
          <w:szCs w:val="32"/>
          <w:highlight w:val="none"/>
          <w:lang w:eastAsia="zh-CN"/>
        </w:rPr>
        <w:t>图2：收入决算结构图（单位：万元）</w:t>
      </w:r>
      <w:bookmarkEnd w:id="19"/>
    </w:p>
    <w:p>
      <w:pPr>
        <w:pStyle w:val="27"/>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Style w:val="29"/>
          <w:rFonts w:hint="eastAsia" w:ascii="Times New Roman" w:hAnsi="Times New Roman" w:eastAsia="黑体"/>
          <w:b w:val="0"/>
          <w:color w:val="auto"/>
          <w:highlight w:val="none"/>
        </w:rPr>
      </w:pPr>
      <w:bookmarkStart w:id="20" w:name="_Toc15396605"/>
      <w:bookmarkStart w:id="21" w:name="_Toc2063080997"/>
      <w:bookmarkStart w:id="22"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0"/>
      <w:bookmarkEnd w:id="21"/>
      <w:bookmarkEnd w:id="22"/>
    </w:p>
    <w:p>
      <w:pPr>
        <w:pStyle w:val="27"/>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bookmarkStart w:id="23" w:name="_Toc797093695"/>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1312" behindDoc="0" locked="0" layoutInCell="1" allowOverlap="1">
            <wp:simplePos x="0" y="0"/>
            <wp:positionH relativeFrom="column">
              <wp:posOffset>960755</wp:posOffset>
            </wp:positionH>
            <wp:positionV relativeFrom="page">
              <wp:posOffset>2083435</wp:posOffset>
            </wp:positionV>
            <wp:extent cx="3453130" cy="2383790"/>
            <wp:effectExtent l="4445" t="5080" r="9525" b="11430"/>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Times New Roman" w:hAnsi="Times New Roman" w:eastAsia="仿宋_GB2312" w:cs="仿宋_GB2312"/>
          <w:color w:val="auto"/>
          <w:sz w:val="32"/>
          <w:szCs w:val="32"/>
          <w:highlight w:val="none"/>
        </w:rPr>
        <w:t>1,514.15</w:t>
      </w:r>
      <w:r>
        <w:rPr>
          <w:rFonts w:hint="eastAsia" w:ascii="Times New Roman" w:hAnsi="Times New Roman" w:eastAsia="仿宋_GB2312" w:cs="仿宋_GB2312"/>
          <w:color w:val="auto"/>
          <w:sz w:val="32"/>
          <w:szCs w:val="32"/>
          <w:highlight w:val="none"/>
          <w:lang w:eastAsia="zh-CN"/>
        </w:rPr>
        <w:t>万元，其中：基本支出1,052.44万元，占</w:t>
      </w:r>
      <w:r>
        <w:rPr>
          <w:rFonts w:hint="eastAsia" w:eastAsia="仿宋_GB2312" w:cs="仿宋_GB2312"/>
          <w:color w:val="auto"/>
          <w:sz w:val="32"/>
          <w:szCs w:val="32"/>
          <w:highlight w:val="none"/>
          <w:lang w:val="en-US" w:eastAsia="zh-CN"/>
        </w:rPr>
        <w:t>69.51</w:t>
      </w:r>
      <w:r>
        <w:rPr>
          <w:rFonts w:hint="eastAsia" w:ascii="Times New Roman" w:hAnsi="Times New Roman" w:eastAsia="仿宋_GB2312" w:cs="仿宋_GB2312"/>
          <w:color w:val="auto"/>
          <w:sz w:val="32"/>
          <w:szCs w:val="32"/>
          <w:highlight w:val="none"/>
          <w:lang w:eastAsia="zh-CN"/>
        </w:rPr>
        <w:t>%；项目支出461.71万元，占</w:t>
      </w:r>
      <w:r>
        <w:rPr>
          <w:rFonts w:hint="eastAsia" w:eastAsia="仿宋_GB2312" w:cs="仿宋_GB2312"/>
          <w:color w:val="auto"/>
          <w:sz w:val="32"/>
          <w:szCs w:val="32"/>
          <w:highlight w:val="none"/>
          <w:lang w:val="en-US" w:eastAsia="zh-CN"/>
        </w:rPr>
        <w:t>30.49</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w:t>
      </w:r>
      <w:bookmarkEnd w:id="23"/>
    </w:p>
    <w:p>
      <w:pPr>
        <w:pStyle w:val="27"/>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bookmarkStart w:id="24" w:name="_Toc1014145499"/>
      <w:r>
        <w:rPr>
          <w:rFonts w:hint="eastAsia" w:ascii="Times New Roman" w:hAnsi="Times New Roman" w:eastAsia="仿宋_GB2312" w:cs="仿宋_GB2312"/>
          <w:color w:val="auto"/>
          <w:sz w:val="32"/>
          <w:szCs w:val="32"/>
          <w:highlight w:val="none"/>
          <w:lang w:eastAsia="zh-CN"/>
        </w:rPr>
        <w:t>图3：支出决算结构图（单位：万元）</w:t>
      </w:r>
      <w:bookmarkEnd w:id="24"/>
    </w:p>
    <w:p>
      <w:pPr>
        <w:pageBreakBefore w:val="0"/>
        <w:kinsoku/>
        <w:wordWrap/>
        <w:overflowPunct/>
        <w:topLinePunct w:val="0"/>
        <w:autoSpaceDE/>
        <w:autoSpaceDN/>
        <w:bidi w:val="0"/>
        <w:spacing w:line="560" w:lineRule="exact"/>
        <w:ind w:firstLine="640" w:firstLineChars="200"/>
        <w:textAlignment w:val="auto"/>
        <w:outlineLvl w:val="1"/>
        <w:rPr>
          <w:rStyle w:val="29"/>
          <w:rFonts w:ascii="Times New Roman" w:hAnsi="Times New Roman" w:eastAsia="黑体"/>
          <w:b w:val="0"/>
          <w:color w:val="auto"/>
          <w:highlight w:val="none"/>
        </w:rPr>
      </w:pPr>
      <w:bookmarkStart w:id="25" w:name="_Toc477702027"/>
      <w:bookmarkStart w:id="26" w:name="_Toc15377208"/>
      <w:bookmarkStart w:id="27"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5"/>
      <w:bookmarkEnd w:id="26"/>
      <w:bookmarkEnd w:id="27"/>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Times New Roman" w:hAnsi="Times New Roman" w:eastAsia="仿宋_GB2312" w:cs="仿宋_GB2312"/>
          <w:color w:val="auto"/>
          <w:sz w:val="32"/>
          <w:szCs w:val="32"/>
          <w:highlight w:val="none"/>
        </w:rPr>
        <w:t>1,514.15</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sz w:val="32"/>
          <w:szCs w:val="32"/>
          <w:highlight w:val="none"/>
          <w:lang w:val="en-US" w:eastAsia="zh-CN"/>
        </w:rPr>
        <w:t>149.52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sz w:val="32"/>
          <w:szCs w:val="32"/>
          <w:highlight w:val="none"/>
          <w:lang w:val="en-US" w:eastAsia="zh-CN"/>
        </w:rPr>
        <w:t>10.96</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在职人员增加、经费支出增加。</w:t>
      </w:r>
    </w:p>
    <w:p>
      <w:pPr>
        <w:pageBreakBefore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2336" behindDoc="0" locked="0" layoutInCell="1" allowOverlap="1">
            <wp:simplePos x="0" y="0"/>
            <wp:positionH relativeFrom="column">
              <wp:posOffset>455930</wp:posOffset>
            </wp:positionH>
            <wp:positionV relativeFrom="page">
              <wp:posOffset>6461760</wp:posOffset>
            </wp:positionV>
            <wp:extent cx="4772025" cy="2603500"/>
            <wp:effectExtent l="4445" t="4445" r="5080" b="2095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r>
        <w:rPr>
          <w:rFonts w:hint="eastAsia" w:ascii="Times New Roman" w:hAnsi="Times New Roman" w:eastAsia="仿宋_GB2312" w:cs="仿宋_GB2312"/>
          <w:color w:val="auto"/>
          <w:sz w:val="32"/>
          <w:szCs w:val="32"/>
          <w:highlight w:val="none"/>
          <w:lang w:eastAsia="zh-CN"/>
        </w:rPr>
        <w:t>（单位：万元）</w:t>
      </w:r>
    </w:p>
    <w:p>
      <w:pPr>
        <w:pageBreakBefore w:val="0"/>
        <w:kinsoku/>
        <w:wordWrap/>
        <w:overflowPunct/>
        <w:topLinePunct w:val="0"/>
        <w:autoSpaceDE/>
        <w:autoSpaceDN/>
        <w:bidi w:val="0"/>
        <w:spacing w:line="560" w:lineRule="exact"/>
        <w:ind w:firstLine="640" w:firstLineChars="200"/>
        <w:textAlignment w:val="auto"/>
        <w:outlineLvl w:val="1"/>
        <w:rPr>
          <w:rStyle w:val="29"/>
          <w:rFonts w:ascii="Times New Roman" w:hAnsi="Times New Roman" w:eastAsia="黑体"/>
          <w:b w:val="0"/>
          <w:color w:val="auto"/>
          <w:highlight w:val="none"/>
        </w:rPr>
      </w:pPr>
      <w:bookmarkStart w:id="28" w:name="_Toc15396607"/>
      <w:bookmarkStart w:id="29" w:name="_Toc15377209"/>
      <w:bookmarkStart w:id="30" w:name="_Toc1062745548"/>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8"/>
      <w:bookmarkEnd w:id="29"/>
      <w:bookmarkEnd w:id="30"/>
    </w:p>
    <w:p>
      <w:pPr>
        <w:pageBreakBefore w:val="0"/>
        <w:kinsoku/>
        <w:wordWrap/>
        <w:overflowPunct/>
        <w:topLinePunct w:val="0"/>
        <w:autoSpaceDE/>
        <w:autoSpaceDN/>
        <w:bidi w:val="0"/>
        <w:spacing w:line="560" w:lineRule="exact"/>
        <w:ind w:firstLine="642" w:firstLineChars="200"/>
        <w:textAlignment w:val="auto"/>
        <w:outlineLvl w:val="2"/>
        <w:rPr>
          <w:rFonts w:hint="eastAsia" w:ascii="Times New Roman" w:hAnsi="Times New Roman" w:eastAsia="楷体_GB2312" w:cs="楷体_GB2312"/>
          <w:b/>
          <w:color w:val="auto"/>
          <w:sz w:val="32"/>
          <w:szCs w:val="32"/>
          <w:highlight w:val="none"/>
        </w:rPr>
      </w:pPr>
      <w:bookmarkStart w:id="31"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1"/>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Times New Roman" w:hAnsi="Times New Roman" w:eastAsia="仿宋_GB2312" w:cs="仿宋_GB2312"/>
          <w:color w:val="auto"/>
          <w:sz w:val="32"/>
          <w:szCs w:val="32"/>
          <w:highlight w:val="none"/>
        </w:rPr>
        <w:t>1,514.15</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sz w:val="32"/>
          <w:szCs w:val="32"/>
          <w:highlight w:val="none"/>
          <w:lang w:val="en-US" w:eastAsia="zh-CN"/>
        </w:rPr>
        <w:t>149.52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sz w:val="32"/>
          <w:szCs w:val="32"/>
          <w:highlight w:val="none"/>
          <w:lang w:val="en-US" w:eastAsia="zh-CN"/>
        </w:rPr>
        <w:t>10.96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在职人员增加、经费支出增加。</w:t>
      </w:r>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FF0000"/>
          <w:kern w:val="2"/>
          <w:sz w:val="32"/>
          <w:szCs w:val="32"/>
          <w:highlight w:val="none"/>
          <w:lang w:val="en-US" w:eastAsia="zh-CN" w:bidi="ar-SA"/>
        </w:rPr>
      </w:pPr>
    </w:p>
    <w:p>
      <w:pPr>
        <w:pageBreakBefore w:val="0"/>
        <w:kinsoku/>
        <w:wordWrap/>
        <w:overflowPunct/>
        <w:topLinePunct w:val="0"/>
        <w:autoSpaceDE/>
        <w:autoSpaceDN/>
        <w:bidi w:val="0"/>
        <w:spacing w:line="560" w:lineRule="exact"/>
        <w:jc w:val="center"/>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3360" behindDoc="0" locked="0" layoutInCell="1" allowOverlap="1">
            <wp:simplePos x="0" y="0"/>
            <wp:positionH relativeFrom="column">
              <wp:posOffset>254000</wp:posOffset>
            </wp:positionH>
            <wp:positionV relativeFrom="page">
              <wp:posOffset>3310890</wp:posOffset>
            </wp:positionV>
            <wp:extent cx="4772025" cy="2603500"/>
            <wp:effectExtent l="4445" t="4445" r="5080" b="2095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pPr>
        <w:pageBreakBefore w:val="0"/>
        <w:kinsoku/>
        <w:wordWrap/>
        <w:overflowPunct/>
        <w:topLinePunct w:val="0"/>
        <w:autoSpaceDE/>
        <w:autoSpaceDN/>
        <w:bidi w:val="0"/>
        <w:spacing w:line="560" w:lineRule="exact"/>
        <w:ind w:firstLine="642" w:firstLineChars="200"/>
        <w:textAlignment w:val="auto"/>
        <w:outlineLvl w:val="2"/>
        <w:rPr>
          <w:rFonts w:hint="eastAsia" w:ascii="Times New Roman" w:hAnsi="Times New Roman" w:eastAsia="楷体_GB2312" w:cs="楷体_GB2312"/>
          <w:b/>
          <w:color w:val="auto"/>
          <w:sz w:val="32"/>
          <w:szCs w:val="32"/>
          <w:highlight w:val="none"/>
        </w:rPr>
      </w:pPr>
      <w:bookmarkStart w:id="32"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2"/>
    </w:p>
    <w:p>
      <w:pPr>
        <w:pageBreakBefore w:val="0"/>
        <w:kinsoku/>
        <w:wordWrap/>
        <w:overflowPunct/>
        <w:topLinePunct w:val="0"/>
        <w:autoSpaceDE/>
        <w:autoSpaceDN/>
        <w:bidi w:val="0"/>
        <w:spacing w:line="560" w:lineRule="exact"/>
        <w:ind w:firstLine="640"/>
        <w:textAlignment w:val="auto"/>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Times New Roman" w:hAnsi="Times New Roman" w:eastAsia="仿宋_GB2312" w:cs="仿宋_GB2312"/>
          <w:color w:val="auto"/>
          <w:sz w:val="32"/>
          <w:szCs w:val="32"/>
          <w:highlight w:val="none"/>
        </w:rPr>
        <w:t>1,514.15</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一般公共服务支出1,214.23万元，占</w:t>
      </w:r>
      <w:r>
        <w:rPr>
          <w:rFonts w:hint="eastAsia" w:eastAsia="仿宋_GB2312" w:cs="仿宋_GB2312"/>
          <w:color w:val="auto"/>
          <w:kern w:val="2"/>
          <w:sz w:val="32"/>
          <w:szCs w:val="32"/>
          <w:highlight w:val="none"/>
          <w:lang w:val="en-US" w:eastAsia="zh-CN" w:bidi="ar-SA"/>
        </w:rPr>
        <w:t>80.19</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%；社会保障和就业支出176.52万元，占</w:t>
      </w:r>
      <w:r>
        <w:rPr>
          <w:rFonts w:hint="eastAsia" w:eastAsia="仿宋_GB2312" w:cs="仿宋_GB2312"/>
          <w:color w:val="auto"/>
          <w:kern w:val="2"/>
          <w:sz w:val="32"/>
          <w:szCs w:val="32"/>
          <w:highlight w:val="none"/>
          <w:lang w:val="en-US" w:eastAsia="zh-CN" w:bidi="ar-SA"/>
        </w:rPr>
        <w:t>11.66</w:t>
      </w:r>
      <w:r>
        <w:rPr>
          <w:rFonts w:hint="eastAsia" w:ascii="Times New Roman" w:hAnsi="Times New Roman" w:eastAsia="仿宋_GB2312" w:cs="仿宋_GB2312"/>
          <w:color w:val="auto"/>
          <w:kern w:val="2"/>
          <w:sz w:val="32"/>
          <w:szCs w:val="32"/>
          <w:highlight w:val="none"/>
          <w:lang w:val="en-US" w:eastAsia="zh-CN" w:bidi="ar-SA"/>
        </w:rPr>
        <w:t>%；卫生健康支出52.36万元，占</w:t>
      </w:r>
      <w:r>
        <w:rPr>
          <w:rFonts w:hint="eastAsia" w:eastAsia="仿宋_GB2312" w:cs="仿宋_GB2312"/>
          <w:color w:val="auto"/>
          <w:kern w:val="2"/>
          <w:sz w:val="32"/>
          <w:szCs w:val="32"/>
          <w:highlight w:val="none"/>
          <w:lang w:val="en-US" w:eastAsia="zh-CN" w:bidi="ar-SA"/>
        </w:rPr>
        <w:t>3.46</w:t>
      </w:r>
      <w:r>
        <w:rPr>
          <w:rFonts w:hint="eastAsia" w:ascii="Times New Roman" w:hAnsi="Times New Roman" w:eastAsia="仿宋_GB2312" w:cs="仿宋_GB2312"/>
          <w:color w:val="auto"/>
          <w:kern w:val="2"/>
          <w:sz w:val="32"/>
          <w:szCs w:val="32"/>
          <w:highlight w:val="none"/>
          <w:lang w:val="en-US" w:eastAsia="zh-CN" w:bidi="ar-SA"/>
        </w:rPr>
        <w:t>%；住房保障支出71.05万元，占</w:t>
      </w:r>
      <w:r>
        <w:rPr>
          <w:rFonts w:hint="eastAsia" w:eastAsia="仿宋_GB2312" w:cs="仿宋_GB2312"/>
          <w:color w:val="auto"/>
          <w:kern w:val="2"/>
          <w:sz w:val="32"/>
          <w:szCs w:val="32"/>
          <w:highlight w:val="none"/>
          <w:lang w:val="en-US" w:eastAsia="zh-CN" w:bidi="ar-SA"/>
        </w:rPr>
        <w:t>4.69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pageBreakBefore w:val="0"/>
        <w:kinsoku/>
        <w:wordWrap/>
        <w:overflowPunct/>
        <w:topLinePunct w:val="0"/>
        <w:autoSpaceDE/>
        <w:autoSpaceDN/>
        <w:bidi w:val="0"/>
        <w:spacing w:line="560" w:lineRule="exac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4384" behindDoc="0" locked="0" layoutInCell="1" allowOverlap="1">
            <wp:simplePos x="0" y="0"/>
            <wp:positionH relativeFrom="column">
              <wp:posOffset>224790</wp:posOffset>
            </wp:positionH>
            <wp:positionV relativeFrom="page">
              <wp:posOffset>975360</wp:posOffset>
            </wp:positionV>
            <wp:extent cx="4616450" cy="2430780"/>
            <wp:effectExtent l="4445" t="4445" r="8255" b="22225"/>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r>
        <w:rPr>
          <w:rFonts w:hint="eastAsia" w:ascii="Times New Roman" w:hAnsi="Times New Roman" w:eastAsia="仿宋_GB2312" w:cs="仿宋_GB2312"/>
          <w:color w:val="auto"/>
          <w:sz w:val="32"/>
          <w:szCs w:val="32"/>
          <w:highlight w:val="none"/>
          <w:lang w:eastAsia="zh-CN"/>
        </w:rPr>
        <w:t>（单位：万元）</w:t>
      </w:r>
    </w:p>
    <w:p>
      <w:pPr>
        <w:pageBreakBefore w:val="0"/>
        <w:kinsoku/>
        <w:wordWrap/>
        <w:overflowPunct/>
        <w:topLinePunct w:val="0"/>
        <w:autoSpaceDE/>
        <w:autoSpaceDN/>
        <w:bidi w:val="0"/>
        <w:spacing w:line="560" w:lineRule="exact"/>
        <w:ind w:firstLine="642" w:firstLineChars="200"/>
        <w:textAlignment w:val="auto"/>
        <w:outlineLvl w:val="2"/>
        <w:rPr>
          <w:rFonts w:hint="eastAsia" w:ascii="Times New Roman" w:hAnsi="Times New Roman" w:eastAsia="楷体_GB2312" w:cs="楷体_GB2312"/>
          <w:b/>
          <w:color w:val="auto"/>
          <w:sz w:val="32"/>
          <w:szCs w:val="32"/>
          <w:highlight w:val="none"/>
        </w:rPr>
      </w:pPr>
      <w:bookmarkStart w:id="33"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3"/>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bookmarkStart w:id="34" w:name="_Toc15378460"/>
      <w:bookmarkStart w:id="35" w:name="_Toc15377213"/>
      <w:bookmarkStart w:id="36"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Times New Roman" w:hAnsi="Times New Roman" w:eastAsia="仿宋_GB2312" w:cs="仿宋_GB2312"/>
          <w:color w:val="auto"/>
          <w:sz w:val="32"/>
          <w:szCs w:val="32"/>
          <w:highlight w:val="none"/>
        </w:rPr>
        <w:t>1,514.15</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4"/>
      <w:bookmarkEnd w:id="35"/>
      <w:bookmarkEnd w:id="36"/>
    </w:p>
    <w:p>
      <w:pPr>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b w:val="0"/>
          <w:bCs w:val="0"/>
          <w:color w:val="auto"/>
          <w:kern w:val="0"/>
          <w:sz w:val="32"/>
          <w:szCs w:val="32"/>
          <w:shd w:val="clear" w:color="auto" w:fill="FFFFFF"/>
          <w:lang w:eastAsia="zh-CN"/>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06</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支出决算为577.98万元，完成预算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0"/>
          <w:sz w:val="32"/>
          <w:szCs w:val="32"/>
          <w:shd w:val="clear" w:color="auto" w:fill="FFFFFF"/>
        </w:rPr>
        <w:t>决算数与预算数持平</w:t>
      </w:r>
      <w:r>
        <w:rPr>
          <w:rFonts w:hint="eastAsia" w:ascii="Times New Roman" w:hAnsi="Times New Roman" w:eastAsia="仿宋_GB2312" w:cs="Times New Roman"/>
          <w:b w:val="0"/>
          <w:bCs w:val="0"/>
          <w:color w:val="auto"/>
          <w:kern w:val="0"/>
          <w:sz w:val="32"/>
          <w:szCs w:val="32"/>
          <w:shd w:val="clear" w:color="auto" w:fill="FFFFFF"/>
          <w:lang w:eastAsia="zh-CN"/>
        </w:rPr>
        <w:t>。</w:t>
      </w:r>
    </w:p>
    <w:p>
      <w:pPr>
        <w:pageBreakBefore w:val="0"/>
        <w:kinsoku/>
        <w:wordWrap/>
        <w:overflowPunct/>
        <w:topLinePunct w:val="0"/>
        <w:autoSpaceDE/>
        <w:autoSpaceDN/>
        <w:bidi w:val="0"/>
        <w:spacing w:line="560" w:lineRule="exact"/>
        <w:ind w:firstLine="640" w:firstLineChars="200"/>
        <w:textAlignment w:val="auto"/>
        <w:rPr>
          <w:rStyle w:val="17"/>
          <w:rFonts w:hint="default" w:ascii="Times New Roman" w:hAnsi="Times New Roman" w:eastAsia="仿宋" w:cs="Times New Roman"/>
          <w:b w:val="0"/>
          <w:bCs w:val="0"/>
          <w:color w:val="FF0000"/>
          <w:sz w:val="32"/>
          <w:szCs w:val="32"/>
          <w:highlight w:val="none"/>
        </w:rPr>
      </w:pPr>
      <w:r>
        <w:rPr>
          <w:rStyle w:val="17"/>
          <w:rFonts w:hint="default" w:ascii="Times New Roman" w:hAnsi="Times New Roman" w:eastAsia="仿宋" w:cs="Times New Roman"/>
          <w:b w:val="0"/>
          <w:bCs w:val="0"/>
          <w:color w:val="auto"/>
          <w:sz w:val="32"/>
          <w:szCs w:val="32"/>
          <w:highlight w:val="none"/>
          <w:lang w:val="en-US" w:eastAsia="zh-CN"/>
        </w:rPr>
        <w:t>2.</w:t>
      </w:r>
      <w:r>
        <w:rPr>
          <w:rStyle w:val="17"/>
          <w:rFonts w:hint="default" w:ascii="Times New Roman" w:hAnsi="Times New Roman" w:eastAsia="仿宋" w:cs="Times New Roman"/>
          <w:b w:val="0"/>
          <w:bCs w:val="0"/>
          <w:color w:val="auto"/>
          <w:sz w:val="32"/>
          <w:szCs w:val="32"/>
          <w:highlight w:val="none"/>
        </w:rPr>
        <w:t>一般公共服务（类）</w:t>
      </w:r>
      <w:r>
        <w:rPr>
          <w:rStyle w:val="17"/>
          <w:rFonts w:hint="default" w:ascii="Times New Roman" w:hAnsi="Times New Roman" w:eastAsia="仿宋" w:cs="Times New Roman"/>
          <w:b w:val="0"/>
          <w:bCs w:val="0"/>
          <w:color w:val="auto"/>
          <w:sz w:val="32"/>
          <w:szCs w:val="32"/>
          <w:highlight w:val="none"/>
          <w:lang w:val="en-US" w:eastAsia="zh-CN"/>
        </w:rPr>
        <w:t>201</w:t>
      </w:r>
      <w:r>
        <w:rPr>
          <w:rStyle w:val="17"/>
          <w:rFonts w:hint="default" w:ascii="Times New Roman" w:hAnsi="Times New Roman" w:eastAsia="仿宋" w:cs="Times New Roman"/>
          <w:b w:val="0"/>
          <w:bCs w:val="0"/>
          <w:color w:val="auto"/>
          <w:sz w:val="32"/>
          <w:szCs w:val="32"/>
          <w:highlight w:val="none"/>
        </w:rPr>
        <w:t>（款）</w:t>
      </w:r>
      <w:r>
        <w:rPr>
          <w:rStyle w:val="17"/>
          <w:rFonts w:hint="default" w:ascii="Times New Roman" w:hAnsi="Times New Roman" w:eastAsia="仿宋" w:cs="Times New Roman"/>
          <w:b w:val="0"/>
          <w:bCs w:val="0"/>
          <w:color w:val="auto"/>
          <w:sz w:val="32"/>
          <w:szCs w:val="32"/>
          <w:highlight w:val="none"/>
          <w:lang w:val="en-US" w:eastAsia="zh-CN"/>
        </w:rPr>
        <w:t>06</w:t>
      </w:r>
      <w:r>
        <w:rPr>
          <w:rStyle w:val="17"/>
          <w:rFonts w:hint="default" w:ascii="Times New Roman" w:hAnsi="Times New Roman" w:eastAsia="仿宋" w:cs="Times New Roman"/>
          <w:b w:val="0"/>
          <w:bCs w:val="0"/>
          <w:color w:val="auto"/>
          <w:sz w:val="32"/>
          <w:szCs w:val="32"/>
          <w:highlight w:val="none"/>
        </w:rPr>
        <w:t>（项）</w:t>
      </w:r>
      <w:r>
        <w:rPr>
          <w:rStyle w:val="17"/>
          <w:rFonts w:hint="default" w:ascii="Times New Roman" w:hAnsi="Times New Roman" w:eastAsia="仿宋" w:cs="Times New Roman"/>
          <w:b w:val="0"/>
          <w:bCs w:val="0"/>
          <w:color w:val="auto"/>
          <w:sz w:val="32"/>
          <w:szCs w:val="32"/>
          <w:highlight w:val="none"/>
          <w:lang w:val="en-US" w:eastAsia="zh-CN"/>
        </w:rPr>
        <w:t>02</w:t>
      </w:r>
      <w:r>
        <w:rPr>
          <w:rStyle w:val="17"/>
          <w:rFonts w:hint="default" w:ascii="Times New Roman" w:hAnsi="Times New Roman" w:eastAsia="仿宋" w:cs="Times New Roman"/>
          <w:b w:val="0"/>
          <w:bCs w:val="0"/>
          <w:color w:val="auto"/>
          <w:sz w:val="32"/>
          <w:szCs w:val="32"/>
          <w:highlight w:val="none"/>
        </w:rPr>
        <w:t>: 支出决算为</w:t>
      </w:r>
      <w:r>
        <w:rPr>
          <w:rStyle w:val="17"/>
          <w:rFonts w:hint="eastAsia" w:ascii="Times New Roman" w:hAnsi="Times New Roman" w:eastAsia="仿宋" w:cs="Times New Roman"/>
          <w:b w:val="0"/>
          <w:bCs w:val="0"/>
          <w:color w:val="auto"/>
          <w:sz w:val="32"/>
          <w:szCs w:val="32"/>
          <w:highlight w:val="none"/>
          <w:lang w:val="en-US" w:eastAsia="zh-CN"/>
        </w:rPr>
        <w:t>106.14</w:t>
      </w:r>
      <w:r>
        <w:rPr>
          <w:rStyle w:val="17"/>
          <w:rFonts w:hint="default" w:ascii="Times New Roman" w:hAnsi="Times New Roman" w:eastAsia="仿宋" w:cs="Times New Roman"/>
          <w:b w:val="0"/>
          <w:bCs w:val="0"/>
          <w:color w:val="auto"/>
          <w:sz w:val="32"/>
          <w:szCs w:val="32"/>
          <w:highlight w:val="none"/>
        </w:rPr>
        <w:t>万元，完成预算</w:t>
      </w:r>
      <w:r>
        <w:rPr>
          <w:rStyle w:val="17"/>
          <w:rFonts w:hint="default" w:ascii="Times New Roman" w:hAnsi="Times New Roman" w:eastAsia="仿宋" w:cs="Times New Roman"/>
          <w:b w:val="0"/>
          <w:bCs w:val="0"/>
          <w:color w:val="auto"/>
          <w:sz w:val="32"/>
          <w:szCs w:val="32"/>
          <w:highlight w:val="none"/>
          <w:lang w:val="en-US" w:eastAsia="zh-CN"/>
        </w:rPr>
        <w:t>100</w:t>
      </w:r>
      <w:r>
        <w:rPr>
          <w:rStyle w:val="17"/>
          <w:rFonts w:hint="default" w:ascii="Times New Roman" w:hAnsi="Times New Roman" w:eastAsia="仿宋" w:cs="Times New Roman"/>
          <w:b w:val="0"/>
          <w:bCs w:val="0"/>
          <w:color w:val="auto"/>
          <w:sz w:val="32"/>
          <w:szCs w:val="32"/>
          <w:highlight w:val="none"/>
        </w:rPr>
        <w:t>%</w:t>
      </w:r>
      <w:r>
        <w:rPr>
          <w:rStyle w:val="17"/>
          <w:rFonts w:hint="default" w:ascii="Times New Roman" w:hAnsi="Times New Roman" w:eastAsia="仿宋"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kern w:val="0"/>
          <w:sz w:val="32"/>
          <w:szCs w:val="32"/>
          <w:shd w:val="clear" w:color="auto" w:fill="FFFFFF"/>
        </w:rPr>
        <w:t>决算数与预算数持平</w:t>
      </w:r>
      <w:r>
        <w:rPr>
          <w:rStyle w:val="17"/>
          <w:rFonts w:hint="default" w:ascii="Times New Roman" w:hAnsi="Times New Roman" w:eastAsia="仿宋" w:cs="Times New Roman"/>
          <w:b w:val="0"/>
          <w:bCs w:val="0"/>
          <w:color w:val="FF0000"/>
          <w:sz w:val="32"/>
          <w:szCs w:val="32"/>
          <w:highlight w:val="none"/>
        </w:rPr>
        <w:t>。</w:t>
      </w:r>
    </w:p>
    <w:p>
      <w:pPr>
        <w:pageBreakBefore w:val="0"/>
        <w:kinsoku/>
        <w:wordWrap/>
        <w:overflowPunct/>
        <w:topLinePunct w:val="0"/>
        <w:autoSpaceDE/>
        <w:autoSpaceDN/>
        <w:bidi w:val="0"/>
        <w:spacing w:line="560" w:lineRule="exact"/>
        <w:ind w:firstLine="640" w:firstLineChars="200"/>
        <w:textAlignment w:val="auto"/>
        <w:rPr>
          <w:rStyle w:val="17"/>
          <w:rFonts w:hint="default" w:ascii="Times New Roman" w:hAnsi="Times New Roman" w:eastAsia="仿宋" w:cs="Times New Roman"/>
          <w:b w:val="0"/>
          <w:bCs w:val="0"/>
          <w:color w:val="auto"/>
          <w:sz w:val="32"/>
          <w:szCs w:val="32"/>
          <w:highlight w:val="none"/>
        </w:rPr>
      </w:pPr>
      <w:r>
        <w:rPr>
          <w:rStyle w:val="17"/>
          <w:rFonts w:hint="default" w:ascii="Times New Roman" w:hAnsi="Times New Roman" w:eastAsia="仿宋" w:cs="Times New Roman"/>
          <w:b w:val="0"/>
          <w:bCs w:val="0"/>
          <w:color w:val="auto"/>
          <w:sz w:val="32"/>
          <w:szCs w:val="32"/>
          <w:highlight w:val="none"/>
          <w:lang w:val="en-US" w:eastAsia="zh-CN"/>
        </w:rPr>
        <w:t>3.</w:t>
      </w:r>
      <w:r>
        <w:rPr>
          <w:rStyle w:val="17"/>
          <w:rFonts w:hint="default" w:ascii="Times New Roman" w:hAnsi="Times New Roman" w:eastAsia="仿宋" w:cs="Times New Roman"/>
          <w:b w:val="0"/>
          <w:bCs w:val="0"/>
          <w:color w:val="auto"/>
          <w:sz w:val="32"/>
          <w:szCs w:val="32"/>
          <w:highlight w:val="none"/>
        </w:rPr>
        <w:t>一般公共服务（类）</w:t>
      </w:r>
      <w:r>
        <w:rPr>
          <w:rStyle w:val="17"/>
          <w:rFonts w:hint="default" w:ascii="Times New Roman" w:hAnsi="Times New Roman" w:eastAsia="仿宋" w:cs="Times New Roman"/>
          <w:b w:val="0"/>
          <w:bCs w:val="0"/>
          <w:color w:val="auto"/>
          <w:sz w:val="32"/>
          <w:szCs w:val="32"/>
          <w:highlight w:val="none"/>
          <w:lang w:val="en-US" w:eastAsia="zh-CN"/>
        </w:rPr>
        <w:t>201</w:t>
      </w:r>
      <w:r>
        <w:rPr>
          <w:rStyle w:val="17"/>
          <w:rFonts w:hint="default" w:ascii="Times New Roman" w:hAnsi="Times New Roman" w:eastAsia="仿宋" w:cs="Times New Roman"/>
          <w:b w:val="0"/>
          <w:bCs w:val="0"/>
          <w:color w:val="auto"/>
          <w:sz w:val="32"/>
          <w:szCs w:val="32"/>
          <w:highlight w:val="none"/>
        </w:rPr>
        <w:t>（款）</w:t>
      </w:r>
      <w:r>
        <w:rPr>
          <w:rStyle w:val="17"/>
          <w:rFonts w:hint="default" w:ascii="Times New Roman" w:hAnsi="Times New Roman" w:eastAsia="仿宋" w:cs="Times New Roman"/>
          <w:b w:val="0"/>
          <w:bCs w:val="0"/>
          <w:color w:val="auto"/>
          <w:sz w:val="32"/>
          <w:szCs w:val="32"/>
          <w:highlight w:val="none"/>
          <w:lang w:val="en-US" w:eastAsia="zh-CN"/>
        </w:rPr>
        <w:t>06</w:t>
      </w:r>
      <w:r>
        <w:rPr>
          <w:rStyle w:val="17"/>
          <w:rFonts w:hint="default" w:ascii="Times New Roman" w:hAnsi="Times New Roman" w:eastAsia="仿宋" w:cs="Times New Roman"/>
          <w:b w:val="0"/>
          <w:bCs w:val="0"/>
          <w:color w:val="auto"/>
          <w:sz w:val="32"/>
          <w:szCs w:val="32"/>
          <w:highlight w:val="none"/>
        </w:rPr>
        <w:t>（项）</w:t>
      </w:r>
      <w:r>
        <w:rPr>
          <w:rStyle w:val="17"/>
          <w:rFonts w:hint="default" w:ascii="Times New Roman" w:hAnsi="Times New Roman" w:eastAsia="仿宋" w:cs="Times New Roman"/>
          <w:b w:val="0"/>
          <w:bCs w:val="0"/>
          <w:color w:val="auto"/>
          <w:sz w:val="32"/>
          <w:szCs w:val="32"/>
          <w:highlight w:val="none"/>
          <w:lang w:val="en-US" w:eastAsia="zh-CN"/>
        </w:rPr>
        <w:t>0</w:t>
      </w:r>
      <w:r>
        <w:rPr>
          <w:rStyle w:val="17"/>
          <w:rFonts w:hint="eastAsia" w:ascii="Times New Roman" w:hAnsi="Times New Roman" w:eastAsia="仿宋" w:cs="Times New Roman"/>
          <w:b w:val="0"/>
          <w:bCs w:val="0"/>
          <w:color w:val="auto"/>
          <w:sz w:val="32"/>
          <w:szCs w:val="32"/>
          <w:highlight w:val="none"/>
          <w:lang w:val="en-US" w:eastAsia="zh-CN"/>
        </w:rPr>
        <w:t>7</w:t>
      </w:r>
      <w:r>
        <w:rPr>
          <w:rStyle w:val="17"/>
          <w:rFonts w:hint="default" w:ascii="Times New Roman" w:hAnsi="Times New Roman" w:eastAsia="仿宋" w:cs="Times New Roman"/>
          <w:b w:val="0"/>
          <w:bCs w:val="0"/>
          <w:color w:val="auto"/>
          <w:sz w:val="32"/>
          <w:szCs w:val="32"/>
          <w:highlight w:val="none"/>
        </w:rPr>
        <w:t>: 支出决算为</w:t>
      </w:r>
      <w:r>
        <w:rPr>
          <w:rStyle w:val="17"/>
          <w:rFonts w:hint="eastAsia" w:ascii="Times New Roman" w:hAnsi="Times New Roman" w:eastAsia="仿宋" w:cs="Times New Roman"/>
          <w:b w:val="0"/>
          <w:bCs w:val="0"/>
          <w:color w:val="auto"/>
          <w:sz w:val="32"/>
          <w:szCs w:val="32"/>
          <w:highlight w:val="none"/>
          <w:lang w:val="en-US" w:eastAsia="zh-CN"/>
        </w:rPr>
        <w:t>67.67</w:t>
      </w:r>
      <w:r>
        <w:rPr>
          <w:rStyle w:val="17"/>
          <w:rFonts w:hint="default" w:ascii="Times New Roman" w:hAnsi="Times New Roman" w:eastAsia="仿宋" w:cs="Times New Roman"/>
          <w:b w:val="0"/>
          <w:bCs w:val="0"/>
          <w:color w:val="auto"/>
          <w:sz w:val="32"/>
          <w:szCs w:val="32"/>
          <w:highlight w:val="none"/>
        </w:rPr>
        <w:t>万元，完成预算</w:t>
      </w:r>
      <w:r>
        <w:rPr>
          <w:rStyle w:val="17"/>
          <w:rFonts w:hint="default" w:ascii="Times New Roman" w:hAnsi="Times New Roman" w:eastAsia="仿宋" w:cs="Times New Roman"/>
          <w:b w:val="0"/>
          <w:bCs w:val="0"/>
          <w:color w:val="auto"/>
          <w:sz w:val="32"/>
          <w:szCs w:val="32"/>
          <w:highlight w:val="none"/>
          <w:lang w:val="en-US" w:eastAsia="zh-CN"/>
        </w:rPr>
        <w:t>100</w:t>
      </w:r>
      <w:r>
        <w:rPr>
          <w:rStyle w:val="17"/>
          <w:rFonts w:hint="default" w:ascii="Times New Roman" w:hAnsi="Times New Roman" w:eastAsia="仿宋" w:cs="Times New Roman"/>
          <w:b w:val="0"/>
          <w:bCs w:val="0"/>
          <w:color w:val="auto"/>
          <w:sz w:val="32"/>
          <w:szCs w:val="32"/>
          <w:highlight w:val="none"/>
        </w:rPr>
        <w:t>%</w:t>
      </w:r>
      <w:r>
        <w:rPr>
          <w:rStyle w:val="17"/>
          <w:rFonts w:hint="default" w:ascii="Times New Roman" w:hAnsi="Times New Roman" w:eastAsia="仿宋" w:cs="Times New Roman"/>
          <w:b w:val="0"/>
          <w:bCs w:val="0"/>
          <w:color w:val="auto"/>
          <w:sz w:val="32"/>
          <w:szCs w:val="32"/>
          <w:highlight w:val="none"/>
          <w:lang w:eastAsia="zh-CN"/>
        </w:rPr>
        <w:t>，</w:t>
      </w:r>
      <w:r>
        <w:rPr>
          <w:rFonts w:hint="default" w:ascii="Times New Roman" w:hAnsi="Times New Roman" w:eastAsia="仿宋_GB2312" w:cs="Times New Roman"/>
          <w:b w:val="0"/>
          <w:bCs w:val="0"/>
          <w:kern w:val="0"/>
          <w:sz w:val="32"/>
          <w:szCs w:val="32"/>
          <w:shd w:val="clear" w:color="auto" w:fill="FFFFFF"/>
        </w:rPr>
        <w:t>决算数与预算数持平</w:t>
      </w:r>
      <w:r>
        <w:rPr>
          <w:rStyle w:val="17"/>
          <w:rFonts w:hint="default" w:ascii="Times New Roman" w:hAnsi="Times New Roman" w:eastAsia="仿宋" w:cs="Times New Roman"/>
          <w:b w:val="0"/>
          <w:bCs w:val="0"/>
          <w:color w:val="auto"/>
          <w:sz w:val="32"/>
          <w:szCs w:val="32"/>
          <w:highlight w:val="none"/>
        </w:rPr>
        <w:t>。</w:t>
      </w:r>
    </w:p>
    <w:p>
      <w:pPr>
        <w:pageBreakBefore w:val="0"/>
        <w:kinsoku/>
        <w:wordWrap/>
        <w:overflowPunct/>
        <w:topLinePunct w:val="0"/>
        <w:autoSpaceDE/>
        <w:autoSpaceDN/>
        <w:bidi w:val="0"/>
        <w:spacing w:line="560" w:lineRule="exact"/>
        <w:ind w:firstLine="640" w:firstLineChars="200"/>
        <w:textAlignment w:val="auto"/>
        <w:rPr>
          <w:rStyle w:val="17"/>
          <w:rFonts w:hint="default" w:ascii="Times New Roman" w:hAnsi="Times New Roman" w:eastAsia="仿宋" w:cs="Times New Roman"/>
          <w:b w:val="0"/>
          <w:bCs w:val="0"/>
          <w:color w:val="auto"/>
          <w:sz w:val="32"/>
          <w:szCs w:val="32"/>
          <w:highlight w:val="none"/>
        </w:rPr>
      </w:pPr>
      <w:r>
        <w:rPr>
          <w:rStyle w:val="17"/>
          <w:rFonts w:hint="default" w:ascii="Times New Roman" w:hAnsi="Times New Roman" w:eastAsia="仿宋" w:cs="Times New Roman"/>
          <w:b w:val="0"/>
          <w:bCs w:val="0"/>
          <w:color w:val="auto"/>
          <w:sz w:val="32"/>
          <w:szCs w:val="32"/>
          <w:highlight w:val="none"/>
          <w:lang w:val="en-US" w:eastAsia="zh-CN"/>
        </w:rPr>
        <w:t>4.</w:t>
      </w:r>
      <w:r>
        <w:rPr>
          <w:rStyle w:val="17"/>
          <w:rFonts w:hint="default" w:ascii="Times New Roman" w:hAnsi="Times New Roman" w:eastAsia="仿宋" w:cs="Times New Roman"/>
          <w:b w:val="0"/>
          <w:bCs w:val="0"/>
          <w:color w:val="auto"/>
          <w:sz w:val="32"/>
          <w:szCs w:val="32"/>
          <w:highlight w:val="none"/>
        </w:rPr>
        <w:t>一般公共服务（类）</w:t>
      </w:r>
      <w:r>
        <w:rPr>
          <w:rStyle w:val="17"/>
          <w:rFonts w:hint="default" w:ascii="Times New Roman" w:hAnsi="Times New Roman" w:eastAsia="仿宋" w:cs="Times New Roman"/>
          <w:b w:val="0"/>
          <w:bCs w:val="0"/>
          <w:color w:val="auto"/>
          <w:sz w:val="32"/>
          <w:szCs w:val="32"/>
          <w:highlight w:val="none"/>
          <w:lang w:val="en-US" w:eastAsia="zh-CN"/>
        </w:rPr>
        <w:t>201</w:t>
      </w:r>
      <w:r>
        <w:rPr>
          <w:rStyle w:val="17"/>
          <w:rFonts w:hint="default" w:ascii="Times New Roman" w:hAnsi="Times New Roman" w:eastAsia="仿宋" w:cs="Times New Roman"/>
          <w:b w:val="0"/>
          <w:bCs w:val="0"/>
          <w:color w:val="auto"/>
          <w:sz w:val="32"/>
          <w:szCs w:val="32"/>
          <w:highlight w:val="none"/>
        </w:rPr>
        <w:t>（款）</w:t>
      </w:r>
      <w:r>
        <w:rPr>
          <w:rStyle w:val="17"/>
          <w:rFonts w:hint="default" w:ascii="Times New Roman" w:hAnsi="Times New Roman" w:eastAsia="仿宋" w:cs="Times New Roman"/>
          <w:b w:val="0"/>
          <w:bCs w:val="0"/>
          <w:color w:val="auto"/>
          <w:sz w:val="32"/>
          <w:szCs w:val="32"/>
          <w:highlight w:val="none"/>
          <w:lang w:val="en-US" w:eastAsia="zh-CN"/>
        </w:rPr>
        <w:t>06</w:t>
      </w:r>
      <w:r>
        <w:rPr>
          <w:rStyle w:val="17"/>
          <w:rFonts w:hint="default" w:ascii="Times New Roman" w:hAnsi="Times New Roman" w:eastAsia="仿宋" w:cs="Times New Roman"/>
          <w:b w:val="0"/>
          <w:bCs w:val="0"/>
          <w:color w:val="auto"/>
          <w:sz w:val="32"/>
          <w:szCs w:val="32"/>
          <w:highlight w:val="none"/>
        </w:rPr>
        <w:t>（项）</w:t>
      </w:r>
      <w:r>
        <w:rPr>
          <w:rStyle w:val="17"/>
          <w:rFonts w:hint="default" w:ascii="Times New Roman" w:hAnsi="Times New Roman" w:eastAsia="仿宋" w:cs="Times New Roman"/>
          <w:b w:val="0"/>
          <w:bCs w:val="0"/>
          <w:color w:val="auto"/>
          <w:sz w:val="32"/>
          <w:szCs w:val="32"/>
          <w:highlight w:val="none"/>
          <w:lang w:val="en-US" w:eastAsia="zh-CN"/>
        </w:rPr>
        <w:t>0</w:t>
      </w:r>
      <w:r>
        <w:rPr>
          <w:rStyle w:val="17"/>
          <w:rFonts w:hint="eastAsia" w:ascii="Times New Roman" w:hAnsi="Times New Roman" w:eastAsia="仿宋" w:cs="Times New Roman"/>
          <w:b w:val="0"/>
          <w:bCs w:val="0"/>
          <w:color w:val="auto"/>
          <w:sz w:val="32"/>
          <w:szCs w:val="32"/>
          <w:highlight w:val="none"/>
          <w:lang w:val="en-US" w:eastAsia="zh-CN"/>
        </w:rPr>
        <w:t>8</w:t>
      </w:r>
      <w:r>
        <w:rPr>
          <w:rStyle w:val="17"/>
          <w:rFonts w:hint="default" w:ascii="Times New Roman" w:hAnsi="Times New Roman" w:eastAsia="仿宋" w:cs="Times New Roman"/>
          <w:b w:val="0"/>
          <w:bCs w:val="0"/>
          <w:color w:val="auto"/>
          <w:sz w:val="32"/>
          <w:szCs w:val="32"/>
          <w:highlight w:val="none"/>
        </w:rPr>
        <w:t>: 支出决算为</w:t>
      </w:r>
      <w:r>
        <w:rPr>
          <w:rStyle w:val="17"/>
          <w:rFonts w:hint="eastAsia" w:ascii="Times New Roman" w:hAnsi="Times New Roman" w:eastAsia="仿宋" w:cs="Times New Roman"/>
          <w:b w:val="0"/>
          <w:bCs w:val="0"/>
          <w:color w:val="auto"/>
          <w:sz w:val="32"/>
          <w:szCs w:val="32"/>
          <w:highlight w:val="none"/>
          <w:lang w:val="en-US" w:eastAsia="zh-CN"/>
        </w:rPr>
        <w:t>274.56</w:t>
      </w:r>
      <w:r>
        <w:rPr>
          <w:rStyle w:val="17"/>
          <w:rFonts w:hint="default" w:ascii="Times New Roman" w:hAnsi="Times New Roman" w:eastAsia="仿宋" w:cs="Times New Roman"/>
          <w:b w:val="0"/>
          <w:bCs w:val="0"/>
          <w:color w:val="auto"/>
          <w:sz w:val="32"/>
          <w:szCs w:val="32"/>
          <w:highlight w:val="none"/>
        </w:rPr>
        <w:t>万元，完成预算</w:t>
      </w:r>
      <w:r>
        <w:rPr>
          <w:rStyle w:val="17"/>
          <w:rFonts w:hint="default" w:ascii="Times New Roman" w:hAnsi="Times New Roman" w:eastAsia="仿宋" w:cs="Times New Roman"/>
          <w:b w:val="0"/>
          <w:bCs w:val="0"/>
          <w:color w:val="auto"/>
          <w:sz w:val="32"/>
          <w:szCs w:val="32"/>
          <w:highlight w:val="none"/>
          <w:lang w:val="en-US" w:eastAsia="zh-CN"/>
        </w:rPr>
        <w:t>100</w:t>
      </w:r>
      <w:r>
        <w:rPr>
          <w:rStyle w:val="17"/>
          <w:rFonts w:hint="default" w:ascii="Times New Roman" w:hAnsi="Times New Roman" w:eastAsia="仿宋" w:cs="Times New Roman"/>
          <w:b w:val="0"/>
          <w:bCs w:val="0"/>
          <w:color w:val="auto"/>
          <w:sz w:val="32"/>
          <w:szCs w:val="32"/>
          <w:highlight w:val="none"/>
        </w:rPr>
        <w:t>%</w:t>
      </w:r>
      <w:r>
        <w:rPr>
          <w:rStyle w:val="17"/>
          <w:rFonts w:hint="default" w:ascii="Times New Roman" w:hAnsi="Times New Roman" w:eastAsia="仿宋" w:cs="Times New Roman"/>
          <w:b w:val="0"/>
          <w:bCs w:val="0"/>
          <w:color w:val="auto"/>
          <w:sz w:val="32"/>
          <w:szCs w:val="32"/>
          <w:highlight w:val="none"/>
          <w:lang w:eastAsia="zh-CN"/>
        </w:rPr>
        <w:t>，</w:t>
      </w:r>
      <w:r>
        <w:rPr>
          <w:rFonts w:hint="default" w:ascii="Times New Roman" w:hAnsi="Times New Roman" w:eastAsia="仿宋_GB2312" w:cs="Times New Roman"/>
          <w:b w:val="0"/>
          <w:bCs w:val="0"/>
          <w:kern w:val="0"/>
          <w:sz w:val="32"/>
          <w:szCs w:val="32"/>
          <w:shd w:val="clear" w:color="auto" w:fill="FFFFFF"/>
        </w:rPr>
        <w:t>决算数与预算数持平</w:t>
      </w:r>
      <w:r>
        <w:rPr>
          <w:rStyle w:val="17"/>
          <w:rFonts w:hint="default" w:ascii="Times New Roman" w:hAnsi="Times New Roman" w:eastAsia="仿宋" w:cs="Times New Roman"/>
          <w:b w:val="0"/>
          <w:bCs w:val="0"/>
          <w:color w:val="auto"/>
          <w:sz w:val="32"/>
          <w:szCs w:val="32"/>
          <w:highlight w:val="none"/>
        </w:rPr>
        <w:t>。</w:t>
      </w:r>
    </w:p>
    <w:p>
      <w:pPr>
        <w:pageBreakBefore w:val="0"/>
        <w:kinsoku/>
        <w:wordWrap/>
        <w:overflowPunct/>
        <w:topLinePunct w:val="0"/>
        <w:autoSpaceDE/>
        <w:autoSpaceDN/>
        <w:bidi w:val="0"/>
        <w:spacing w:line="560" w:lineRule="exact"/>
        <w:ind w:firstLine="640" w:firstLineChars="200"/>
        <w:textAlignment w:val="auto"/>
        <w:rPr>
          <w:rStyle w:val="17"/>
          <w:rFonts w:hint="default" w:ascii="Times New Roman" w:hAnsi="Times New Roman" w:eastAsia="仿宋" w:cs="Times New Roman"/>
          <w:b w:val="0"/>
          <w:bCs w:val="0"/>
          <w:color w:val="auto"/>
          <w:sz w:val="32"/>
          <w:szCs w:val="32"/>
          <w:highlight w:val="none"/>
        </w:rPr>
      </w:pPr>
      <w:r>
        <w:rPr>
          <w:rStyle w:val="17"/>
          <w:rFonts w:hint="eastAsia" w:ascii="Times New Roman" w:hAnsi="Times New Roman" w:eastAsia="仿宋" w:cs="Times New Roman"/>
          <w:b w:val="0"/>
          <w:bCs w:val="0"/>
          <w:color w:val="auto"/>
          <w:sz w:val="32"/>
          <w:szCs w:val="32"/>
          <w:highlight w:val="none"/>
          <w:lang w:val="en-US" w:eastAsia="zh-CN"/>
        </w:rPr>
        <w:t>5.</w:t>
      </w:r>
      <w:r>
        <w:rPr>
          <w:rStyle w:val="17"/>
          <w:rFonts w:hint="default" w:ascii="Times New Roman" w:hAnsi="Times New Roman" w:eastAsia="仿宋" w:cs="Times New Roman"/>
          <w:b w:val="0"/>
          <w:bCs w:val="0"/>
          <w:color w:val="auto"/>
          <w:sz w:val="32"/>
          <w:szCs w:val="32"/>
          <w:highlight w:val="none"/>
        </w:rPr>
        <w:t>一般公共服务（类）</w:t>
      </w:r>
      <w:r>
        <w:rPr>
          <w:rStyle w:val="17"/>
          <w:rFonts w:hint="default" w:ascii="Times New Roman" w:hAnsi="Times New Roman" w:eastAsia="仿宋" w:cs="Times New Roman"/>
          <w:b w:val="0"/>
          <w:bCs w:val="0"/>
          <w:color w:val="auto"/>
          <w:sz w:val="32"/>
          <w:szCs w:val="32"/>
          <w:highlight w:val="none"/>
          <w:lang w:val="en-US" w:eastAsia="zh-CN"/>
        </w:rPr>
        <w:t>201</w:t>
      </w:r>
      <w:r>
        <w:rPr>
          <w:rStyle w:val="17"/>
          <w:rFonts w:hint="default" w:ascii="Times New Roman" w:hAnsi="Times New Roman" w:eastAsia="仿宋" w:cs="Times New Roman"/>
          <w:b w:val="0"/>
          <w:bCs w:val="0"/>
          <w:color w:val="auto"/>
          <w:sz w:val="32"/>
          <w:szCs w:val="32"/>
          <w:highlight w:val="none"/>
        </w:rPr>
        <w:t>（款）</w:t>
      </w:r>
      <w:r>
        <w:rPr>
          <w:rStyle w:val="17"/>
          <w:rFonts w:hint="default" w:ascii="Times New Roman" w:hAnsi="Times New Roman" w:eastAsia="仿宋" w:cs="Times New Roman"/>
          <w:b w:val="0"/>
          <w:bCs w:val="0"/>
          <w:color w:val="auto"/>
          <w:sz w:val="32"/>
          <w:szCs w:val="32"/>
          <w:highlight w:val="none"/>
          <w:lang w:val="en-US" w:eastAsia="zh-CN"/>
        </w:rPr>
        <w:t>06</w:t>
      </w:r>
      <w:r>
        <w:rPr>
          <w:rStyle w:val="17"/>
          <w:rFonts w:hint="default" w:ascii="Times New Roman" w:hAnsi="Times New Roman" w:eastAsia="仿宋" w:cs="Times New Roman"/>
          <w:b w:val="0"/>
          <w:bCs w:val="0"/>
          <w:color w:val="auto"/>
          <w:sz w:val="32"/>
          <w:szCs w:val="32"/>
          <w:highlight w:val="none"/>
        </w:rPr>
        <w:t>（项）</w:t>
      </w:r>
      <w:r>
        <w:rPr>
          <w:rStyle w:val="17"/>
          <w:rFonts w:hint="eastAsia" w:ascii="Times New Roman" w:hAnsi="Times New Roman" w:eastAsia="仿宋" w:cs="Times New Roman"/>
          <w:b w:val="0"/>
          <w:bCs w:val="0"/>
          <w:color w:val="auto"/>
          <w:sz w:val="32"/>
          <w:szCs w:val="32"/>
          <w:highlight w:val="none"/>
          <w:lang w:val="en-US" w:eastAsia="zh-CN"/>
        </w:rPr>
        <w:t>50</w:t>
      </w:r>
      <w:r>
        <w:rPr>
          <w:rStyle w:val="17"/>
          <w:rFonts w:hint="default" w:ascii="Times New Roman" w:hAnsi="Times New Roman" w:eastAsia="仿宋" w:cs="Times New Roman"/>
          <w:b w:val="0"/>
          <w:bCs w:val="0"/>
          <w:color w:val="auto"/>
          <w:sz w:val="32"/>
          <w:szCs w:val="32"/>
          <w:highlight w:val="none"/>
        </w:rPr>
        <w:t>: 支出决算为</w:t>
      </w:r>
      <w:r>
        <w:rPr>
          <w:rStyle w:val="17"/>
          <w:rFonts w:hint="eastAsia" w:ascii="Times New Roman" w:hAnsi="Times New Roman" w:eastAsia="仿宋" w:cs="Times New Roman"/>
          <w:b w:val="0"/>
          <w:bCs w:val="0"/>
          <w:color w:val="auto"/>
          <w:sz w:val="32"/>
          <w:szCs w:val="32"/>
          <w:highlight w:val="none"/>
          <w:lang w:val="en-US" w:eastAsia="zh-CN"/>
        </w:rPr>
        <w:t>174.54</w:t>
      </w:r>
      <w:r>
        <w:rPr>
          <w:rStyle w:val="17"/>
          <w:rFonts w:hint="default" w:ascii="Times New Roman" w:hAnsi="Times New Roman" w:eastAsia="仿宋" w:cs="Times New Roman"/>
          <w:b w:val="0"/>
          <w:bCs w:val="0"/>
          <w:color w:val="auto"/>
          <w:sz w:val="32"/>
          <w:szCs w:val="32"/>
          <w:highlight w:val="none"/>
        </w:rPr>
        <w:t>万元，完成预算</w:t>
      </w:r>
      <w:r>
        <w:rPr>
          <w:rStyle w:val="17"/>
          <w:rFonts w:hint="default" w:ascii="Times New Roman" w:hAnsi="Times New Roman" w:eastAsia="仿宋" w:cs="Times New Roman"/>
          <w:b w:val="0"/>
          <w:bCs w:val="0"/>
          <w:color w:val="auto"/>
          <w:sz w:val="32"/>
          <w:szCs w:val="32"/>
          <w:highlight w:val="none"/>
          <w:lang w:val="en-US" w:eastAsia="zh-CN"/>
        </w:rPr>
        <w:t>100</w:t>
      </w:r>
      <w:r>
        <w:rPr>
          <w:rStyle w:val="17"/>
          <w:rFonts w:hint="default" w:ascii="Times New Roman" w:hAnsi="Times New Roman" w:eastAsia="仿宋" w:cs="Times New Roman"/>
          <w:b w:val="0"/>
          <w:bCs w:val="0"/>
          <w:color w:val="auto"/>
          <w:sz w:val="32"/>
          <w:szCs w:val="32"/>
          <w:highlight w:val="none"/>
        </w:rPr>
        <w:t>%</w:t>
      </w:r>
      <w:r>
        <w:rPr>
          <w:rStyle w:val="17"/>
          <w:rFonts w:hint="default" w:ascii="Times New Roman" w:hAnsi="Times New Roman" w:eastAsia="仿宋" w:cs="Times New Roman"/>
          <w:b w:val="0"/>
          <w:bCs w:val="0"/>
          <w:color w:val="auto"/>
          <w:sz w:val="32"/>
          <w:szCs w:val="32"/>
          <w:highlight w:val="none"/>
          <w:lang w:eastAsia="zh-CN"/>
        </w:rPr>
        <w:t>，</w:t>
      </w:r>
      <w:r>
        <w:rPr>
          <w:rFonts w:hint="default" w:ascii="Times New Roman" w:hAnsi="Times New Roman" w:eastAsia="仿宋_GB2312" w:cs="Times New Roman"/>
          <w:b w:val="0"/>
          <w:bCs w:val="0"/>
          <w:kern w:val="0"/>
          <w:sz w:val="32"/>
          <w:szCs w:val="32"/>
          <w:shd w:val="clear" w:color="auto" w:fill="FFFFFF"/>
        </w:rPr>
        <w:t>决算数与预算数持平</w:t>
      </w:r>
      <w:r>
        <w:rPr>
          <w:rStyle w:val="17"/>
          <w:rFonts w:hint="default" w:ascii="Times New Roman" w:hAnsi="Times New Roman" w:eastAsia="仿宋" w:cs="Times New Roman"/>
          <w:b w:val="0"/>
          <w:bCs w:val="0"/>
          <w:color w:val="auto"/>
          <w:sz w:val="32"/>
          <w:szCs w:val="32"/>
          <w:highlight w:val="none"/>
        </w:rPr>
        <w:t>。</w:t>
      </w:r>
    </w:p>
    <w:p>
      <w:pPr>
        <w:pageBreakBefore w:val="0"/>
        <w:kinsoku/>
        <w:wordWrap/>
        <w:overflowPunct/>
        <w:topLinePunct w:val="0"/>
        <w:autoSpaceDE/>
        <w:autoSpaceDN/>
        <w:bidi w:val="0"/>
        <w:spacing w:line="560" w:lineRule="exact"/>
        <w:ind w:firstLine="640" w:firstLineChars="200"/>
        <w:textAlignment w:val="auto"/>
        <w:rPr>
          <w:rStyle w:val="17"/>
          <w:rFonts w:hint="default" w:ascii="Times New Roman" w:hAnsi="Times New Roman" w:eastAsia="仿宋" w:cs="Times New Roman"/>
          <w:b w:val="0"/>
          <w:bCs w:val="0"/>
          <w:color w:val="auto"/>
          <w:sz w:val="32"/>
          <w:szCs w:val="32"/>
          <w:highlight w:val="none"/>
        </w:rPr>
      </w:pPr>
      <w:r>
        <w:rPr>
          <w:rStyle w:val="17"/>
          <w:rFonts w:hint="eastAsia" w:ascii="Times New Roman" w:hAnsi="Times New Roman" w:eastAsia="仿宋" w:cs="Times New Roman"/>
          <w:b w:val="0"/>
          <w:bCs w:val="0"/>
          <w:color w:val="auto"/>
          <w:sz w:val="32"/>
          <w:szCs w:val="32"/>
          <w:highlight w:val="none"/>
          <w:lang w:val="en-US" w:eastAsia="zh-CN"/>
        </w:rPr>
        <w:t>6</w:t>
      </w:r>
      <w:r>
        <w:rPr>
          <w:rStyle w:val="17"/>
          <w:rFonts w:hint="default" w:ascii="Times New Roman" w:hAnsi="Times New Roman" w:eastAsia="仿宋" w:cs="Times New Roman"/>
          <w:b w:val="0"/>
          <w:bCs w:val="0"/>
          <w:color w:val="auto"/>
          <w:sz w:val="32"/>
          <w:szCs w:val="32"/>
          <w:highlight w:val="none"/>
          <w:lang w:val="en-US" w:eastAsia="zh-CN"/>
        </w:rPr>
        <w:t>.</w:t>
      </w:r>
      <w:r>
        <w:rPr>
          <w:rStyle w:val="17"/>
          <w:rFonts w:hint="default" w:ascii="Times New Roman" w:hAnsi="Times New Roman" w:eastAsia="仿宋" w:cs="Times New Roman"/>
          <w:b w:val="0"/>
          <w:bCs w:val="0"/>
          <w:color w:val="auto"/>
          <w:sz w:val="32"/>
          <w:szCs w:val="32"/>
          <w:highlight w:val="none"/>
        </w:rPr>
        <w:t>一般公共服务（类）</w:t>
      </w:r>
      <w:r>
        <w:rPr>
          <w:rStyle w:val="17"/>
          <w:rFonts w:hint="default" w:ascii="Times New Roman" w:hAnsi="Times New Roman" w:eastAsia="仿宋" w:cs="Times New Roman"/>
          <w:b w:val="0"/>
          <w:bCs w:val="0"/>
          <w:color w:val="auto"/>
          <w:sz w:val="32"/>
          <w:szCs w:val="32"/>
          <w:highlight w:val="none"/>
          <w:lang w:val="en-US" w:eastAsia="zh-CN"/>
        </w:rPr>
        <w:t>201</w:t>
      </w:r>
      <w:r>
        <w:rPr>
          <w:rStyle w:val="17"/>
          <w:rFonts w:hint="default" w:ascii="Times New Roman" w:hAnsi="Times New Roman" w:eastAsia="仿宋" w:cs="Times New Roman"/>
          <w:b w:val="0"/>
          <w:bCs w:val="0"/>
          <w:color w:val="auto"/>
          <w:sz w:val="32"/>
          <w:szCs w:val="32"/>
          <w:highlight w:val="none"/>
        </w:rPr>
        <w:t>（款）</w:t>
      </w:r>
      <w:r>
        <w:rPr>
          <w:rStyle w:val="17"/>
          <w:rFonts w:hint="default" w:ascii="Times New Roman" w:hAnsi="Times New Roman" w:eastAsia="仿宋" w:cs="Times New Roman"/>
          <w:b w:val="0"/>
          <w:bCs w:val="0"/>
          <w:color w:val="auto"/>
          <w:sz w:val="32"/>
          <w:szCs w:val="32"/>
          <w:highlight w:val="none"/>
          <w:lang w:val="en-US" w:eastAsia="zh-CN"/>
        </w:rPr>
        <w:t>06</w:t>
      </w:r>
      <w:r>
        <w:rPr>
          <w:rStyle w:val="17"/>
          <w:rFonts w:hint="default" w:ascii="Times New Roman" w:hAnsi="Times New Roman" w:eastAsia="仿宋" w:cs="Times New Roman"/>
          <w:b w:val="0"/>
          <w:bCs w:val="0"/>
          <w:color w:val="auto"/>
          <w:sz w:val="32"/>
          <w:szCs w:val="32"/>
          <w:highlight w:val="none"/>
        </w:rPr>
        <w:t>（项）</w:t>
      </w:r>
      <w:r>
        <w:rPr>
          <w:rStyle w:val="17"/>
          <w:rFonts w:hint="default" w:ascii="Times New Roman" w:hAnsi="Times New Roman" w:eastAsia="仿宋" w:cs="Times New Roman"/>
          <w:b w:val="0"/>
          <w:bCs w:val="0"/>
          <w:color w:val="auto"/>
          <w:sz w:val="32"/>
          <w:szCs w:val="32"/>
          <w:highlight w:val="none"/>
          <w:lang w:val="en-US" w:eastAsia="zh-CN"/>
        </w:rPr>
        <w:t>99</w:t>
      </w:r>
      <w:r>
        <w:rPr>
          <w:rStyle w:val="17"/>
          <w:rFonts w:hint="default" w:ascii="Times New Roman" w:hAnsi="Times New Roman" w:eastAsia="仿宋" w:cs="Times New Roman"/>
          <w:b w:val="0"/>
          <w:bCs w:val="0"/>
          <w:color w:val="auto"/>
          <w:sz w:val="32"/>
          <w:szCs w:val="32"/>
          <w:highlight w:val="none"/>
        </w:rPr>
        <w:t>: 支出决算为</w:t>
      </w:r>
      <w:r>
        <w:rPr>
          <w:rStyle w:val="17"/>
          <w:rFonts w:hint="eastAsia" w:ascii="Times New Roman" w:hAnsi="Times New Roman" w:eastAsia="仿宋" w:cs="Times New Roman"/>
          <w:b w:val="0"/>
          <w:bCs w:val="0"/>
          <w:color w:val="auto"/>
          <w:sz w:val="32"/>
          <w:szCs w:val="32"/>
          <w:highlight w:val="none"/>
          <w:lang w:val="en-US" w:eastAsia="zh-CN"/>
        </w:rPr>
        <w:t>13.34</w:t>
      </w:r>
      <w:r>
        <w:rPr>
          <w:rStyle w:val="17"/>
          <w:rFonts w:hint="default" w:ascii="Times New Roman" w:hAnsi="Times New Roman" w:eastAsia="仿宋" w:cs="Times New Roman"/>
          <w:b w:val="0"/>
          <w:bCs w:val="0"/>
          <w:color w:val="auto"/>
          <w:sz w:val="32"/>
          <w:szCs w:val="32"/>
          <w:highlight w:val="none"/>
        </w:rPr>
        <w:t>万元，完成预算</w:t>
      </w:r>
      <w:r>
        <w:rPr>
          <w:rStyle w:val="17"/>
          <w:rFonts w:hint="default" w:ascii="Times New Roman" w:hAnsi="Times New Roman" w:eastAsia="仿宋" w:cs="Times New Roman"/>
          <w:b w:val="0"/>
          <w:bCs w:val="0"/>
          <w:color w:val="auto"/>
          <w:sz w:val="32"/>
          <w:szCs w:val="32"/>
          <w:highlight w:val="none"/>
          <w:lang w:val="en-US" w:eastAsia="zh-CN"/>
        </w:rPr>
        <w:t>100</w:t>
      </w:r>
      <w:r>
        <w:rPr>
          <w:rStyle w:val="17"/>
          <w:rFonts w:hint="default" w:ascii="Times New Roman" w:hAnsi="Times New Roman" w:eastAsia="仿宋" w:cs="Times New Roman"/>
          <w:b w:val="0"/>
          <w:bCs w:val="0"/>
          <w:color w:val="auto"/>
          <w:sz w:val="32"/>
          <w:szCs w:val="32"/>
          <w:highlight w:val="none"/>
        </w:rPr>
        <w:t>%</w:t>
      </w:r>
      <w:r>
        <w:rPr>
          <w:rStyle w:val="17"/>
          <w:rFonts w:hint="default" w:ascii="Times New Roman" w:hAnsi="Times New Roman" w:eastAsia="仿宋" w:cs="Times New Roman"/>
          <w:b w:val="0"/>
          <w:bCs w:val="0"/>
          <w:color w:val="auto"/>
          <w:sz w:val="32"/>
          <w:szCs w:val="32"/>
          <w:highlight w:val="none"/>
          <w:lang w:eastAsia="zh-CN"/>
        </w:rPr>
        <w:t>，</w:t>
      </w:r>
      <w:r>
        <w:rPr>
          <w:rFonts w:hint="default" w:ascii="Times New Roman" w:hAnsi="Times New Roman" w:eastAsia="仿宋_GB2312" w:cs="Times New Roman"/>
          <w:b w:val="0"/>
          <w:bCs w:val="0"/>
          <w:kern w:val="0"/>
          <w:sz w:val="32"/>
          <w:szCs w:val="32"/>
          <w:shd w:val="clear" w:color="auto" w:fill="FFFFFF"/>
        </w:rPr>
        <w:t>决算数与预算数持平</w:t>
      </w:r>
      <w:r>
        <w:rPr>
          <w:rStyle w:val="17"/>
          <w:rFonts w:hint="default" w:ascii="Times New Roman" w:hAnsi="Times New Roman" w:eastAsia="仿宋" w:cs="Times New Roman"/>
          <w:b w:val="0"/>
          <w:bCs w:val="0"/>
          <w:color w:val="auto"/>
          <w:sz w:val="32"/>
          <w:szCs w:val="32"/>
          <w:highlight w:val="none"/>
        </w:rPr>
        <w:t>。</w:t>
      </w:r>
    </w:p>
    <w:p>
      <w:pPr>
        <w:pageBreakBefore w:val="0"/>
        <w:kinsoku/>
        <w:wordWrap/>
        <w:overflowPunct/>
        <w:topLinePunct w:val="0"/>
        <w:autoSpaceDE/>
        <w:autoSpaceDN/>
        <w:bidi w:val="0"/>
        <w:spacing w:line="560" w:lineRule="exact"/>
        <w:ind w:firstLine="640" w:firstLineChars="200"/>
        <w:textAlignment w:val="auto"/>
        <w:rPr>
          <w:rStyle w:val="17"/>
          <w:rFonts w:hint="default" w:ascii="Times New Roman" w:hAnsi="Times New Roman" w:eastAsia="仿宋" w:cs="Times New Roman"/>
          <w:b w:val="0"/>
          <w:bCs w:val="0"/>
          <w:color w:val="auto"/>
          <w:sz w:val="32"/>
          <w:szCs w:val="32"/>
          <w:highlight w:val="none"/>
        </w:rPr>
      </w:pPr>
      <w:r>
        <w:rPr>
          <w:rStyle w:val="17"/>
          <w:rFonts w:hint="eastAsia" w:ascii="Times New Roman" w:hAnsi="Times New Roman" w:eastAsia="仿宋" w:cs="Times New Roman"/>
          <w:b w:val="0"/>
          <w:bCs w:val="0"/>
          <w:color w:val="auto"/>
          <w:sz w:val="32"/>
          <w:szCs w:val="32"/>
          <w:highlight w:val="none"/>
          <w:lang w:val="en-US" w:eastAsia="zh-CN"/>
        </w:rPr>
        <w:t>7</w:t>
      </w:r>
      <w:r>
        <w:rPr>
          <w:rStyle w:val="17"/>
          <w:rFonts w:hint="default" w:ascii="Times New Roman" w:hAnsi="Times New Roman" w:eastAsia="仿宋" w:cs="Times New Roman"/>
          <w:b w:val="0"/>
          <w:bCs w:val="0"/>
          <w:color w:val="auto"/>
          <w:sz w:val="32"/>
          <w:szCs w:val="32"/>
          <w:highlight w:val="none"/>
        </w:rPr>
        <w:t>.社会保障和就业（类）</w:t>
      </w:r>
      <w:r>
        <w:rPr>
          <w:rStyle w:val="17"/>
          <w:rFonts w:hint="default" w:ascii="Times New Roman" w:hAnsi="Times New Roman" w:eastAsia="仿宋" w:cs="Times New Roman"/>
          <w:b w:val="0"/>
          <w:bCs w:val="0"/>
          <w:color w:val="auto"/>
          <w:sz w:val="32"/>
          <w:szCs w:val="32"/>
          <w:highlight w:val="none"/>
          <w:lang w:val="en-US" w:eastAsia="zh-CN"/>
        </w:rPr>
        <w:t>208</w:t>
      </w:r>
      <w:r>
        <w:rPr>
          <w:rStyle w:val="17"/>
          <w:rFonts w:hint="default" w:ascii="Times New Roman" w:hAnsi="Times New Roman" w:eastAsia="仿宋" w:cs="Times New Roman"/>
          <w:b w:val="0"/>
          <w:bCs w:val="0"/>
          <w:color w:val="auto"/>
          <w:sz w:val="32"/>
          <w:szCs w:val="32"/>
          <w:highlight w:val="none"/>
        </w:rPr>
        <w:t>（款）</w:t>
      </w:r>
      <w:r>
        <w:rPr>
          <w:rStyle w:val="17"/>
          <w:rFonts w:hint="default" w:ascii="Times New Roman" w:hAnsi="Times New Roman" w:eastAsia="仿宋" w:cs="Times New Roman"/>
          <w:b w:val="0"/>
          <w:bCs w:val="0"/>
          <w:color w:val="auto"/>
          <w:sz w:val="32"/>
          <w:szCs w:val="32"/>
          <w:highlight w:val="none"/>
          <w:lang w:val="en-US" w:eastAsia="zh-CN"/>
        </w:rPr>
        <w:t>05</w:t>
      </w:r>
      <w:r>
        <w:rPr>
          <w:rStyle w:val="17"/>
          <w:rFonts w:hint="default" w:ascii="Times New Roman" w:hAnsi="Times New Roman" w:eastAsia="仿宋" w:cs="Times New Roman"/>
          <w:b w:val="0"/>
          <w:bCs w:val="0"/>
          <w:color w:val="auto"/>
          <w:sz w:val="32"/>
          <w:szCs w:val="32"/>
          <w:highlight w:val="none"/>
        </w:rPr>
        <w:t>（项）</w:t>
      </w:r>
      <w:r>
        <w:rPr>
          <w:rStyle w:val="17"/>
          <w:rFonts w:hint="default" w:ascii="Times New Roman" w:hAnsi="Times New Roman" w:eastAsia="仿宋" w:cs="Times New Roman"/>
          <w:b w:val="0"/>
          <w:bCs w:val="0"/>
          <w:color w:val="auto"/>
          <w:sz w:val="32"/>
          <w:szCs w:val="32"/>
          <w:highlight w:val="none"/>
          <w:lang w:val="en-US" w:eastAsia="zh-CN"/>
        </w:rPr>
        <w:t>05</w:t>
      </w:r>
      <w:r>
        <w:rPr>
          <w:rStyle w:val="17"/>
          <w:rFonts w:hint="default" w:ascii="Times New Roman" w:hAnsi="Times New Roman" w:eastAsia="仿宋" w:cs="Times New Roman"/>
          <w:b w:val="0"/>
          <w:bCs w:val="0"/>
          <w:color w:val="auto"/>
          <w:sz w:val="32"/>
          <w:szCs w:val="32"/>
          <w:highlight w:val="none"/>
        </w:rPr>
        <w:t>: 支出决算为</w:t>
      </w:r>
      <w:r>
        <w:rPr>
          <w:rStyle w:val="17"/>
          <w:rFonts w:hint="eastAsia" w:ascii="Times New Roman" w:hAnsi="Times New Roman" w:eastAsia="仿宋" w:cs="Times New Roman"/>
          <w:b w:val="0"/>
          <w:bCs w:val="0"/>
          <w:color w:val="auto"/>
          <w:sz w:val="32"/>
          <w:szCs w:val="32"/>
          <w:highlight w:val="none"/>
          <w:lang w:val="en-US" w:eastAsia="zh-CN"/>
        </w:rPr>
        <w:t>101.38</w:t>
      </w:r>
      <w:r>
        <w:rPr>
          <w:rStyle w:val="17"/>
          <w:rFonts w:hint="default" w:ascii="Times New Roman" w:hAnsi="Times New Roman" w:eastAsia="仿宋" w:cs="Times New Roman"/>
          <w:b w:val="0"/>
          <w:bCs w:val="0"/>
          <w:color w:val="auto"/>
          <w:sz w:val="32"/>
          <w:szCs w:val="32"/>
          <w:highlight w:val="none"/>
        </w:rPr>
        <w:t>万元，完成预算</w:t>
      </w:r>
      <w:r>
        <w:rPr>
          <w:rStyle w:val="17"/>
          <w:rFonts w:hint="default" w:ascii="Times New Roman" w:hAnsi="Times New Roman" w:eastAsia="仿宋" w:cs="Times New Roman"/>
          <w:b w:val="0"/>
          <w:bCs w:val="0"/>
          <w:color w:val="auto"/>
          <w:sz w:val="32"/>
          <w:szCs w:val="32"/>
          <w:highlight w:val="none"/>
          <w:lang w:val="en-US" w:eastAsia="zh-CN"/>
        </w:rPr>
        <w:t>100</w:t>
      </w:r>
      <w:r>
        <w:rPr>
          <w:rStyle w:val="17"/>
          <w:rFonts w:hint="default" w:ascii="Times New Roman" w:hAnsi="Times New Roman" w:eastAsia="仿宋" w:cs="Times New Roman"/>
          <w:b w:val="0"/>
          <w:bCs w:val="0"/>
          <w:color w:val="auto"/>
          <w:sz w:val="32"/>
          <w:szCs w:val="32"/>
          <w:highlight w:val="none"/>
        </w:rPr>
        <w:t>%，</w:t>
      </w:r>
      <w:r>
        <w:rPr>
          <w:rFonts w:hint="default" w:ascii="Times New Roman" w:hAnsi="Times New Roman" w:eastAsia="仿宋_GB2312" w:cs="Times New Roman"/>
          <w:b w:val="0"/>
          <w:bCs w:val="0"/>
          <w:kern w:val="0"/>
          <w:sz w:val="32"/>
          <w:szCs w:val="32"/>
          <w:shd w:val="clear" w:color="auto" w:fill="FFFFFF"/>
        </w:rPr>
        <w:t>决算数与预算数持平</w:t>
      </w:r>
      <w:r>
        <w:rPr>
          <w:rStyle w:val="17"/>
          <w:rFonts w:hint="default" w:ascii="Times New Roman" w:hAnsi="Times New Roman" w:eastAsia="仿宋" w:cs="Times New Roman"/>
          <w:b w:val="0"/>
          <w:bCs w:val="0"/>
          <w:color w:val="auto"/>
          <w:sz w:val="32"/>
          <w:szCs w:val="32"/>
          <w:highlight w:val="none"/>
        </w:rPr>
        <w:t>。</w:t>
      </w:r>
    </w:p>
    <w:p>
      <w:pPr>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b w:val="0"/>
          <w:bCs w:val="0"/>
          <w:kern w:val="0"/>
          <w:sz w:val="32"/>
          <w:szCs w:val="32"/>
          <w:shd w:val="clear" w:color="auto" w:fill="FFFFFF"/>
          <w:lang w:eastAsia="zh-CN"/>
        </w:rPr>
      </w:pPr>
      <w:r>
        <w:rPr>
          <w:rStyle w:val="17"/>
          <w:rFonts w:hint="eastAsia" w:ascii="Times New Roman" w:hAnsi="Times New Roman" w:eastAsia="仿宋" w:cs="Times New Roman"/>
          <w:b w:val="0"/>
          <w:bCs w:val="0"/>
          <w:color w:val="auto"/>
          <w:sz w:val="32"/>
          <w:szCs w:val="32"/>
          <w:highlight w:val="none"/>
          <w:lang w:val="en-US" w:eastAsia="zh-CN"/>
        </w:rPr>
        <w:t>8</w:t>
      </w:r>
      <w:r>
        <w:rPr>
          <w:rStyle w:val="17"/>
          <w:rFonts w:hint="default" w:ascii="Times New Roman" w:hAnsi="Times New Roman" w:eastAsia="仿宋" w:cs="Times New Roman"/>
          <w:b w:val="0"/>
          <w:bCs w:val="0"/>
          <w:color w:val="auto"/>
          <w:sz w:val="32"/>
          <w:szCs w:val="32"/>
          <w:highlight w:val="none"/>
        </w:rPr>
        <w:t>.社会保障和就业（类）</w:t>
      </w:r>
      <w:r>
        <w:rPr>
          <w:rStyle w:val="17"/>
          <w:rFonts w:hint="default" w:ascii="Times New Roman" w:hAnsi="Times New Roman" w:eastAsia="仿宋" w:cs="Times New Roman"/>
          <w:b w:val="0"/>
          <w:bCs w:val="0"/>
          <w:color w:val="auto"/>
          <w:sz w:val="32"/>
          <w:szCs w:val="32"/>
          <w:highlight w:val="none"/>
          <w:lang w:val="en-US" w:eastAsia="zh-CN"/>
        </w:rPr>
        <w:t>208</w:t>
      </w:r>
      <w:r>
        <w:rPr>
          <w:rStyle w:val="17"/>
          <w:rFonts w:hint="default" w:ascii="Times New Roman" w:hAnsi="Times New Roman" w:eastAsia="仿宋" w:cs="Times New Roman"/>
          <w:b w:val="0"/>
          <w:bCs w:val="0"/>
          <w:color w:val="auto"/>
          <w:sz w:val="32"/>
          <w:szCs w:val="32"/>
          <w:highlight w:val="none"/>
        </w:rPr>
        <w:t>（款）</w:t>
      </w:r>
      <w:r>
        <w:rPr>
          <w:rStyle w:val="17"/>
          <w:rFonts w:hint="default" w:ascii="Times New Roman" w:hAnsi="Times New Roman" w:eastAsia="仿宋" w:cs="Times New Roman"/>
          <w:b w:val="0"/>
          <w:bCs w:val="0"/>
          <w:color w:val="auto"/>
          <w:sz w:val="32"/>
          <w:szCs w:val="32"/>
          <w:highlight w:val="none"/>
          <w:lang w:val="en-US" w:eastAsia="zh-CN"/>
        </w:rPr>
        <w:t>05</w:t>
      </w:r>
      <w:r>
        <w:rPr>
          <w:rStyle w:val="17"/>
          <w:rFonts w:hint="default" w:ascii="Times New Roman" w:hAnsi="Times New Roman" w:eastAsia="仿宋" w:cs="Times New Roman"/>
          <w:b w:val="0"/>
          <w:bCs w:val="0"/>
          <w:color w:val="auto"/>
          <w:sz w:val="32"/>
          <w:szCs w:val="32"/>
          <w:highlight w:val="none"/>
        </w:rPr>
        <w:t>（项）</w:t>
      </w:r>
      <w:r>
        <w:rPr>
          <w:rStyle w:val="17"/>
          <w:rFonts w:hint="default" w:ascii="Times New Roman" w:hAnsi="Times New Roman" w:eastAsia="仿宋" w:cs="Times New Roman"/>
          <w:b w:val="0"/>
          <w:bCs w:val="0"/>
          <w:color w:val="auto"/>
          <w:sz w:val="32"/>
          <w:szCs w:val="32"/>
          <w:highlight w:val="none"/>
          <w:lang w:val="en-US" w:eastAsia="zh-CN"/>
        </w:rPr>
        <w:t>06</w:t>
      </w:r>
      <w:r>
        <w:rPr>
          <w:rStyle w:val="17"/>
          <w:rFonts w:hint="default" w:ascii="Times New Roman" w:hAnsi="Times New Roman" w:eastAsia="仿宋" w:cs="Times New Roman"/>
          <w:b w:val="0"/>
          <w:bCs w:val="0"/>
          <w:color w:val="auto"/>
          <w:sz w:val="32"/>
          <w:szCs w:val="32"/>
          <w:highlight w:val="none"/>
        </w:rPr>
        <w:t>: 支出决算为</w:t>
      </w:r>
      <w:r>
        <w:rPr>
          <w:rStyle w:val="17"/>
          <w:rFonts w:hint="eastAsia" w:ascii="Times New Roman" w:hAnsi="Times New Roman" w:eastAsia="仿宋" w:cs="Times New Roman"/>
          <w:b w:val="0"/>
          <w:bCs w:val="0"/>
          <w:color w:val="auto"/>
          <w:sz w:val="32"/>
          <w:szCs w:val="32"/>
          <w:highlight w:val="none"/>
          <w:lang w:val="en-US" w:eastAsia="zh-CN"/>
        </w:rPr>
        <w:t>50.86</w:t>
      </w:r>
      <w:r>
        <w:rPr>
          <w:rStyle w:val="17"/>
          <w:rFonts w:hint="default" w:ascii="Times New Roman" w:hAnsi="Times New Roman" w:eastAsia="仿宋" w:cs="Times New Roman"/>
          <w:b w:val="0"/>
          <w:bCs w:val="0"/>
          <w:color w:val="auto"/>
          <w:sz w:val="32"/>
          <w:szCs w:val="32"/>
          <w:highlight w:val="none"/>
        </w:rPr>
        <w:t>万元，完成预算</w:t>
      </w:r>
      <w:r>
        <w:rPr>
          <w:rStyle w:val="17"/>
          <w:rFonts w:hint="default" w:ascii="Times New Roman" w:hAnsi="Times New Roman" w:eastAsia="仿宋" w:cs="Times New Roman"/>
          <w:b w:val="0"/>
          <w:bCs w:val="0"/>
          <w:color w:val="auto"/>
          <w:sz w:val="32"/>
          <w:szCs w:val="32"/>
          <w:highlight w:val="none"/>
          <w:lang w:val="en-US" w:eastAsia="zh-CN"/>
        </w:rPr>
        <w:t>100</w:t>
      </w:r>
      <w:r>
        <w:rPr>
          <w:rStyle w:val="17"/>
          <w:rFonts w:hint="default" w:ascii="Times New Roman" w:hAnsi="Times New Roman" w:eastAsia="仿宋" w:cs="Times New Roman"/>
          <w:b w:val="0"/>
          <w:bCs w:val="0"/>
          <w:color w:val="auto"/>
          <w:sz w:val="32"/>
          <w:szCs w:val="32"/>
          <w:highlight w:val="none"/>
        </w:rPr>
        <w:t>%，</w:t>
      </w:r>
      <w:r>
        <w:rPr>
          <w:rFonts w:hint="default" w:ascii="Times New Roman" w:hAnsi="Times New Roman" w:eastAsia="仿宋_GB2312" w:cs="Times New Roman"/>
          <w:b w:val="0"/>
          <w:bCs w:val="0"/>
          <w:kern w:val="0"/>
          <w:sz w:val="32"/>
          <w:szCs w:val="32"/>
          <w:shd w:val="clear" w:color="auto" w:fill="FFFFFF"/>
        </w:rPr>
        <w:t>决算数与预算数持平</w:t>
      </w:r>
      <w:r>
        <w:rPr>
          <w:rFonts w:hint="eastAsia" w:ascii="Times New Roman" w:hAnsi="Times New Roman" w:eastAsia="仿宋_GB2312" w:cs="Times New Roman"/>
          <w:b w:val="0"/>
          <w:bCs w:val="0"/>
          <w:kern w:val="0"/>
          <w:sz w:val="32"/>
          <w:szCs w:val="32"/>
          <w:shd w:val="clear" w:color="auto" w:fill="FFFFFF"/>
          <w:lang w:eastAsia="zh-CN"/>
        </w:rPr>
        <w:t>。</w:t>
      </w:r>
    </w:p>
    <w:p>
      <w:pPr>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b w:val="0"/>
          <w:bCs w:val="0"/>
          <w:kern w:val="0"/>
          <w:sz w:val="32"/>
          <w:szCs w:val="32"/>
          <w:shd w:val="clear" w:color="auto" w:fill="FFFFFF"/>
          <w:lang w:eastAsia="zh-CN"/>
        </w:rPr>
      </w:pPr>
      <w:r>
        <w:rPr>
          <w:rFonts w:hint="eastAsia" w:ascii="Times New Roman" w:hAnsi="Times New Roman" w:eastAsia="仿宋_GB2312" w:cs="Times New Roman"/>
          <w:b w:val="0"/>
          <w:bCs w:val="0"/>
          <w:kern w:val="0"/>
          <w:sz w:val="32"/>
          <w:szCs w:val="32"/>
          <w:shd w:val="clear" w:color="auto" w:fill="FFFFFF"/>
          <w:lang w:val="en-US" w:eastAsia="zh-CN"/>
        </w:rPr>
        <w:t>9.</w:t>
      </w:r>
      <w:r>
        <w:rPr>
          <w:rStyle w:val="17"/>
          <w:rFonts w:hint="default" w:ascii="Times New Roman" w:hAnsi="Times New Roman" w:eastAsia="仿宋" w:cs="Times New Roman"/>
          <w:b w:val="0"/>
          <w:bCs w:val="0"/>
          <w:color w:val="auto"/>
          <w:sz w:val="32"/>
          <w:szCs w:val="32"/>
          <w:highlight w:val="none"/>
        </w:rPr>
        <w:t>社会保障和就业（类）</w:t>
      </w:r>
      <w:r>
        <w:rPr>
          <w:rStyle w:val="17"/>
          <w:rFonts w:hint="default" w:ascii="Times New Roman" w:hAnsi="Times New Roman" w:eastAsia="仿宋" w:cs="Times New Roman"/>
          <w:b w:val="0"/>
          <w:bCs w:val="0"/>
          <w:color w:val="auto"/>
          <w:sz w:val="32"/>
          <w:szCs w:val="32"/>
          <w:highlight w:val="none"/>
          <w:lang w:val="en-US" w:eastAsia="zh-CN"/>
        </w:rPr>
        <w:t>208</w:t>
      </w:r>
      <w:r>
        <w:rPr>
          <w:rStyle w:val="17"/>
          <w:rFonts w:hint="default" w:ascii="Times New Roman" w:hAnsi="Times New Roman" w:eastAsia="仿宋" w:cs="Times New Roman"/>
          <w:b w:val="0"/>
          <w:bCs w:val="0"/>
          <w:color w:val="auto"/>
          <w:sz w:val="32"/>
          <w:szCs w:val="32"/>
          <w:highlight w:val="none"/>
        </w:rPr>
        <w:t>（款）</w:t>
      </w:r>
      <w:r>
        <w:rPr>
          <w:rStyle w:val="17"/>
          <w:rFonts w:hint="default" w:ascii="Times New Roman" w:hAnsi="Times New Roman" w:eastAsia="仿宋" w:cs="Times New Roman"/>
          <w:b w:val="0"/>
          <w:bCs w:val="0"/>
          <w:color w:val="auto"/>
          <w:sz w:val="32"/>
          <w:szCs w:val="32"/>
          <w:highlight w:val="none"/>
          <w:lang w:val="en-US" w:eastAsia="zh-CN"/>
        </w:rPr>
        <w:t>0</w:t>
      </w:r>
      <w:r>
        <w:rPr>
          <w:rStyle w:val="17"/>
          <w:rFonts w:hint="eastAsia" w:eastAsia="仿宋" w:cs="Times New Roman"/>
          <w:b w:val="0"/>
          <w:bCs w:val="0"/>
          <w:color w:val="auto"/>
          <w:sz w:val="32"/>
          <w:szCs w:val="32"/>
          <w:highlight w:val="none"/>
          <w:lang w:val="en-US" w:eastAsia="zh-CN"/>
        </w:rPr>
        <w:t>8</w:t>
      </w:r>
      <w:r>
        <w:rPr>
          <w:rStyle w:val="17"/>
          <w:rFonts w:hint="default" w:ascii="Times New Roman" w:hAnsi="Times New Roman" w:eastAsia="仿宋" w:cs="Times New Roman"/>
          <w:b w:val="0"/>
          <w:bCs w:val="0"/>
          <w:color w:val="auto"/>
          <w:sz w:val="32"/>
          <w:szCs w:val="32"/>
          <w:highlight w:val="none"/>
        </w:rPr>
        <w:t>（项）</w:t>
      </w:r>
      <w:r>
        <w:rPr>
          <w:rStyle w:val="17"/>
          <w:rFonts w:hint="default" w:ascii="Times New Roman" w:hAnsi="Times New Roman" w:eastAsia="仿宋" w:cs="Times New Roman"/>
          <w:b w:val="0"/>
          <w:bCs w:val="0"/>
          <w:color w:val="auto"/>
          <w:sz w:val="32"/>
          <w:szCs w:val="32"/>
          <w:highlight w:val="none"/>
          <w:lang w:val="en-US" w:eastAsia="zh-CN"/>
        </w:rPr>
        <w:t>0</w:t>
      </w:r>
      <w:r>
        <w:rPr>
          <w:rStyle w:val="17"/>
          <w:rFonts w:hint="eastAsia" w:eastAsia="仿宋" w:cs="Times New Roman"/>
          <w:b w:val="0"/>
          <w:bCs w:val="0"/>
          <w:color w:val="auto"/>
          <w:sz w:val="32"/>
          <w:szCs w:val="32"/>
          <w:highlight w:val="none"/>
          <w:lang w:val="en-US" w:eastAsia="zh-CN"/>
        </w:rPr>
        <w:t>1</w:t>
      </w:r>
      <w:r>
        <w:rPr>
          <w:rStyle w:val="17"/>
          <w:rFonts w:hint="default" w:ascii="Times New Roman" w:hAnsi="Times New Roman" w:eastAsia="仿宋" w:cs="Times New Roman"/>
          <w:b w:val="0"/>
          <w:bCs w:val="0"/>
          <w:color w:val="auto"/>
          <w:sz w:val="32"/>
          <w:szCs w:val="32"/>
          <w:highlight w:val="none"/>
        </w:rPr>
        <w:t>: 支出决算为</w:t>
      </w:r>
      <w:r>
        <w:rPr>
          <w:rStyle w:val="17"/>
          <w:rFonts w:hint="eastAsia" w:ascii="Times New Roman" w:hAnsi="Times New Roman" w:eastAsia="仿宋" w:cs="Times New Roman"/>
          <w:b w:val="0"/>
          <w:bCs w:val="0"/>
          <w:color w:val="auto"/>
          <w:sz w:val="32"/>
          <w:szCs w:val="32"/>
          <w:highlight w:val="none"/>
          <w:lang w:val="en-US" w:eastAsia="zh-CN"/>
        </w:rPr>
        <w:t>24.28</w:t>
      </w:r>
      <w:r>
        <w:rPr>
          <w:rStyle w:val="17"/>
          <w:rFonts w:hint="default" w:ascii="Times New Roman" w:hAnsi="Times New Roman" w:eastAsia="仿宋" w:cs="Times New Roman"/>
          <w:b w:val="0"/>
          <w:bCs w:val="0"/>
          <w:color w:val="auto"/>
          <w:sz w:val="32"/>
          <w:szCs w:val="32"/>
          <w:highlight w:val="none"/>
        </w:rPr>
        <w:t>万元，完成预算</w:t>
      </w:r>
      <w:r>
        <w:rPr>
          <w:rStyle w:val="17"/>
          <w:rFonts w:hint="default" w:ascii="Times New Roman" w:hAnsi="Times New Roman" w:eastAsia="仿宋" w:cs="Times New Roman"/>
          <w:b w:val="0"/>
          <w:bCs w:val="0"/>
          <w:color w:val="auto"/>
          <w:sz w:val="32"/>
          <w:szCs w:val="32"/>
          <w:highlight w:val="none"/>
          <w:lang w:val="en-US" w:eastAsia="zh-CN"/>
        </w:rPr>
        <w:t>100</w:t>
      </w:r>
      <w:r>
        <w:rPr>
          <w:rStyle w:val="17"/>
          <w:rFonts w:hint="default" w:ascii="Times New Roman" w:hAnsi="Times New Roman" w:eastAsia="仿宋" w:cs="Times New Roman"/>
          <w:b w:val="0"/>
          <w:bCs w:val="0"/>
          <w:color w:val="auto"/>
          <w:sz w:val="32"/>
          <w:szCs w:val="32"/>
          <w:highlight w:val="none"/>
        </w:rPr>
        <w:t>%，</w:t>
      </w:r>
      <w:r>
        <w:rPr>
          <w:rFonts w:hint="default" w:ascii="Times New Roman" w:hAnsi="Times New Roman" w:eastAsia="仿宋_GB2312" w:cs="Times New Roman"/>
          <w:b w:val="0"/>
          <w:bCs w:val="0"/>
          <w:kern w:val="0"/>
          <w:sz w:val="32"/>
          <w:szCs w:val="32"/>
          <w:shd w:val="clear" w:color="auto" w:fill="FFFFFF"/>
        </w:rPr>
        <w:t>决算数与预算数持平</w:t>
      </w:r>
      <w:r>
        <w:rPr>
          <w:rFonts w:hint="eastAsia" w:ascii="Times New Roman" w:hAnsi="Times New Roman" w:eastAsia="仿宋_GB2312" w:cs="Times New Roman"/>
          <w:b w:val="0"/>
          <w:bCs w:val="0"/>
          <w:kern w:val="0"/>
          <w:sz w:val="32"/>
          <w:szCs w:val="32"/>
          <w:shd w:val="clear" w:color="auto" w:fill="FFFFFF"/>
          <w:lang w:eastAsia="zh-CN"/>
        </w:rPr>
        <w:t>。</w:t>
      </w:r>
    </w:p>
    <w:p>
      <w:pPr>
        <w:pageBreakBefore w:val="0"/>
        <w:kinsoku/>
        <w:wordWrap/>
        <w:overflowPunct/>
        <w:topLinePunct w:val="0"/>
        <w:autoSpaceDE/>
        <w:autoSpaceDN/>
        <w:bidi w:val="0"/>
        <w:spacing w:line="560" w:lineRule="exact"/>
        <w:ind w:firstLine="640" w:firstLineChars="200"/>
        <w:textAlignment w:val="auto"/>
        <w:rPr>
          <w:rStyle w:val="17"/>
          <w:rFonts w:hint="default" w:ascii="Times New Roman" w:hAnsi="Times New Roman" w:eastAsia="仿宋" w:cs="Times New Roman"/>
          <w:b w:val="0"/>
          <w:bCs w:val="0"/>
          <w:color w:val="auto"/>
          <w:sz w:val="32"/>
          <w:szCs w:val="32"/>
          <w:highlight w:val="none"/>
        </w:rPr>
      </w:pPr>
      <w:r>
        <w:rPr>
          <w:rFonts w:hint="eastAsia" w:eastAsia="仿宋_GB2312" w:cs="Times New Roman"/>
          <w:b w:val="0"/>
          <w:bCs w:val="0"/>
          <w:kern w:val="0"/>
          <w:sz w:val="32"/>
          <w:szCs w:val="32"/>
          <w:shd w:val="clear" w:color="auto" w:fill="FFFFFF"/>
          <w:lang w:val="en-US" w:eastAsia="zh-CN"/>
        </w:rPr>
        <w:t>10.</w:t>
      </w:r>
      <w:r>
        <w:rPr>
          <w:rFonts w:hint="default" w:ascii="Times New Roman" w:hAnsi="Times New Roman" w:eastAsia="仿宋" w:cs="Times New Roman"/>
          <w:b w:val="0"/>
          <w:bCs w:val="0"/>
          <w:color w:val="auto"/>
          <w:sz w:val="32"/>
          <w:szCs w:val="32"/>
          <w:highlight w:val="none"/>
        </w:rPr>
        <w:t>卫生健康</w:t>
      </w:r>
      <w:r>
        <w:rPr>
          <w:rStyle w:val="17"/>
          <w:rFonts w:hint="default" w:ascii="Times New Roman" w:hAnsi="Times New Roman" w:eastAsia="仿宋" w:cs="Times New Roman"/>
          <w:b w:val="0"/>
          <w:bCs w:val="0"/>
          <w:color w:val="auto"/>
          <w:sz w:val="32"/>
          <w:szCs w:val="32"/>
          <w:highlight w:val="none"/>
        </w:rPr>
        <w:t>（类）</w:t>
      </w:r>
      <w:r>
        <w:rPr>
          <w:rStyle w:val="17"/>
          <w:rFonts w:hint="default" w:ascii="Times New Roman" w:hAnsi="Times New Roman" w:eastAsia="仿宋" w:cs="Times New Roman"/>
          <w:b w:val="0"/>
          <w:bCs w:val="0"/>
          <w:color w:val="auto"/>
          <w:sz w:val="32"/>
          <w:szCs w:val="32"/>
          <w:highlight w:val="none"/>
          <w:lang w:val="en-US" w:eastAsia="zh-CN"/>
        </w:rPr>
        <w:t>210</w:t>
      </w:r>
      <w:r>
        <w:rPr>
          <w:rStyle w:val="17"/>
          <w:rFonts w:hint="default" w:ascii="Times New Roman" w:hAnsi="Times New Roman" w:eastAsia="仿宋" w:cs="Times New Roman"/>
          <w:b w:val="0"/>
          <w:bCs w:val="0"/>
          <w:color w:val="auto"/>
          <w:sz w:val="32"/>
          <w:szCs w:val="32"/>
          <w:highlight w:val="none"/>
        </w:rPr>
        <w:t>（款）</w:t>
      </w:r>
      <w:r>
        <w:rPr>
          <w:rStyle w:val="17"/>
          <w:rFonts w:hint="default" w:ascii="Times New Roman" w:hAnsi="Times New Roman" w:eastAsia="仿宋" w:cs="Times New Roman"/>
          <w:b w:val="0"/>
          <w:bCs w:val="0"/>
          <w:color w:val="auto"/>
          <w:sz w:val="32"/>
          <w:szCs w:val="32"/>
          <w:highlight w:val="none"/>
          <w:lang w:val="en-US" w:eastAsia="zh-CN"/>
        </w:rPr>
        <w:t>11</w:t>
      </w:r>
      <w:r>
        <w:rPr>
          <w:rStyle w:val="17"/>
          <w:rFonts w:hint="default" w:ascii="Times New Roman" w:hAnsi="Times New Roman" w:eastAsia="仿宋" w:cs="Times New Roman"/>
          <w:b w:val="0"/>
          <w:bCs w:val="0"/>
          <w:color w:val="auto"/>
          <w:sz w:val="32"/>
          <w:szCs w:val="32"/>
          <w:highlight w:val="none"/>
        </w:rPr>
        <w:t>（项）</w:t>
      </w:r>
      <w:r>
        <w:rPr>
          <w:rStyle w:val="17"/>
          <w:rFonts w:hint="default" w:ascii="Times New Roman" w:hAnsi="Times New Roman" w:eastAsia="仿宋" w:cs="Times New Roman"/>
          <w:b w:val="0"/>
          <w:bCs w:val="0"/>
          <w:color w:val="auto"/>
          <w:sz w:val="32"/>
          <w:szCs w:val="32"/>
          <w:highlight w:val="none"/>
          <w:lang w:val="en-US" w:eastAsia="zh-CN"/>
        </w:rPr>
        <w:t>01</w:t>
      </w:r>
      <w:r>
        <w:rPr>
          <w:rStyle w:val="17"/>
          <w:rFonts w:hint="default" w:ascii="Times New Roman" w:hAnsi="Times New Roman" w:eastAsia="仿宋" w:cs="Times New Roman"/>
          <w:b w:val="0"/>
          <w:bCs w:val="0"/>
          <w:color w:val="auto"/>
          <w:sz w:val="32"/>
          <w:szCs w:val="32"/>
          <w:highlight w:val="none"/>
        </w:rPr>
        <w:t>:支出决算为</w:t>
      </w:r>
      <w:r>
        <w:rPr>
          <w:rStyle w:val="17"/>
          <w:rFonts w:hint="eastAsia" w:ascii="Times New Roman" w:hAnsi="Times New Roman" w:eastAsia="仿宋" w:cs="Times New Roman"/>
          <w:b w:val="0"/>
          <w:bCs w:val="0"/>
          <w:color w:val="auto"/>
          <w:sz w:val="32"/>
          <w:szCs w:val="32"/>
          <w:highlight w:val="none"/>
          <w:lang w:val="en-US" w:eastAsia="zh-CN"/>
        </w:rPr>
        <w:t>31.62</w:t>
      </w:r>
      <w:r>
        <w:rPr>
          <w:rStyle w:val="17"/>
          <w:rFonts w:hint="default" w:ascii="Times New Roman" w:hAnsi="Times New Roman" w:eastAsia="仿宋" w:cs="Times New Roman"/>
          <w:b w:val="0"/>
          <w:bCs w:val="0"/>
          <w:color w:val="auto"/>
          <w:sz w:val="32"/>
          <w:szCs w:val="32"/>
          <w:highlight w:val="none"/>
        </w:rPr>
        <w:t>万元，完成预算</w:t>
      </w:r>
      <w:r>
        <w:rPr>
          <w:rStyle w:val="17"/>
          <w:rFonts w:hint="default" w:ascii="Times New Roman" w:hAnsi="Times New Roman" w:eastAsia="仿宋" w:cs="Times New Roman"/>
          <w:b w:val="0"/>
          <w:bCs w:val="0"/>
          <w:color w:val="auto"/>
          <w:sz w:val="32"/>
          <w:szCs w:val="32"/>
          <w:highlight w:val="none"/>
          <w:lang w:val="en-US" w:eastAsia="zh-CN"/>
        </w:rPr>
        <w:t>100</w:t>
      </w:r>
      <w:r>
        <w:rPr>
          <w:rStyle w:val="17"/>
          <w:rFonts w:hint="default" w:ascii="Times New Roman" w:hAnsi="Times New Roman" w:eastAsia="仿宋" w:cs="Times New Roman"/>
          <w:b w:val="0"/>
          <w:bCs w:val="0"/>
          <w:color w:val="auto"/>
          <w:sz w:val="32"/>
          <w:szCs w:val="32"/>
          <w:highlight w:val="none"/>
        </w:rPr>
        <w:t>%，</w:t>
      </w:r>
      <w:r>
        <w:rPr>
          <w:rFonts w:hint="default" w:ascii="Times New Roman" w:hAnsi="Times New Roman" w:eastAsia="仿宋_GB2312" w:cs="Times New Roman"/>
          <w:b w:val="0"/>
          <w:bCs w:val="0"/>
          <w:kern w:val="0"/>
          <w:sz w:val="32"/>
          <w:szCs w:val="32"/>
          <w:shd w:val="clear" w:color="auto" w:fill="FFFFFF"/>
        </w:rPr>
        <w:t>决算数与预算数持平</w:t>
      </w:r>
      <w:r>
        <w:rPr>
          <w:rStyle w:val="17"/>
          <w:rFonts w:hint="default" w:ascii="Times New Roman" w:hAnsi="Times New Roman" w:eastAsia="仿宋" w:cs="Times New Roman"/>
          <w:b w:val="0"/>
          <w:bCs w:val="0"/>
          <w:color w:val="auto"/>
          <w:sz w:val="32"/>
          <w:szCs w:val="32"/>
          <w:highlight w:val="none"/>
        </w:rPr>
        <w:t>。</w:t>
      </w:r>
    </w:p>
    <w:p>
      <w:pPr>
        <w:pageBreakBefore w:val="0"/>
        <w:kinsoku/>
        <w:wordWrap/>
        <w:overflowPunct/>
        <w:topLinePunct w:val="0"/>
        <w:autoSpaceDE/>
        <w:autoSpaceDN/>
        <w:bidi w:val="0"/>
        <w:spacing w:line="560" w:lineRule="exact"/>
        <w:ind w:firstLine="640" w:firstLineChars="200"/>
        <w:textAlignment w:val="auto"/>
        <w:rPr>
          <w:rStyle w:val="17"/>
          <w:rFonts w:hint="default" w:ascii="Times New Roman" w:hAnsi="Times New Roman" w:eastAsia="仿宋" w:cs="Times New Roman"/>
          <w:b w:val="0"/>
          <w:bCs w:val="0"/>
          <w:color w:val="auto"/>
          <w:sz w:val="32"/>
          <w:szCs w:val="32"/>
          <w:highlight w:val="none"/>
        </w:rPr>
      </w:pPr>
      <w:r>
        <w:rPr>
          <w:rFonts w:hint="eastAsia" w:ascii="Times New Roman" w:hAnsi="Times New Roman" w:eastAsia="仿宋" w:cs="Times New Roman"/>
          <w:b w:val="0"/>
          <w:bCs w:val="0"/>
          <w:color w:val="auto"/>
          <w:sz w:val="32"/>
          <w:szCs w:val="32"/>
          <w:highlight w:val="none"/>
          <w:lang w:val="en-US" w:eastAsia="zh-CN"/>
        </w:rPr>
        <w:t>11.</w:t>
      </w:r>
      <w:r>
        <w:rPr>
          <w:rFonts w:hint="default" w:ascii="Times New Roman" w:hAnsi="Times New Roman" w:eastAsia="仿宋" w:cs="Times New Roman"/>
          <w:b w:val="0"/>
          <w:bCs w:val="0"/>
          <w:color w:val="auto"/>
          <w:sz w:val="32"/>
          <w:szCs w:val="32"/>
          <w:highlight w:val="none"/>
        </w:rPr>
        <w:t>卫生健康</w:t>
      </w:r>
      <w:r>
        <w:rPr>
          <w:rStyle w:val="17"/>
          <w:rFonts w:hint="default" w:ascii="Times New Roman" w:hAnsi="Times New Roman" w:eastAsia="仿宋" w:cs="Times New Roman"/>
          <w:b w:val="0"/>
          <w:bCs w:val="0"/>
          <w:color w:val="auto"/>
          <w:sz w:val="32"/>
          <w:szCs w:val="32"/>
          <w:highlight w:val="none"/>
        </w:rPr>
        <w:t>（类）</w:t>
      </w:r>
      <w:r>
        <w:rPr>
          <w:rStyle w:val="17"/>
          <w:rFonts w:hint="default" w:ascii="Times New Roman" w:hAnsi="Times New Roman" w:eastAsia="仿宋" w:cs="Times New Roman"/>
          <w:b w:val="0"/>
          <w:bCs w:val="0"/>
          <w:color w:val="auto"/>
          <w:sz w:val="32"/>
          <w:szCs w:val="32"/>
          <w:highlight w:val="none"/>
          <w:lang w:val="en-US" w:eastAsia="zh-CN"/>
        </w:rPr>
        <w:t>210</w:t>
      </w:r>
      <w:r>
        <w:rPr>
          <w:rStyle w:val="17"/>
          <w:rFonts w:hint="default" w:ascii="Times New Roman" w:hAnsi="Times New Roman" w:eastAsia="仿宋" w:cs="Times New Roman"/>
          <w:b w:val="0"/>
          <w:bCs w:val="0"/>
          <w:color w:val="auto"/>
          <w:sz w:val="32"/>
          <w:szCs w:val="32"/>
          <w:highlight w:val="none"/>
        </w:rPr>
        <w:t>（款）</w:t>
      </w:r>
      <w:r>
        <w:rPr>
          <w:rStyle w:val="17"/>
          <w:rFonts w:hint="default" w:ascii="Times New Roman" w:hAnsi="Times New Roman" w:eastAsia="仿宋" w:cs="Times New Roman"/>
          <w:b w:val="0"/>
          <w:bCs w:val="0"/>
          <w:color w:val="auto"/>
          <w:sz w:val="32"/>
          <w:szCs w:val="32"/>
          <w:highlight w:val="none"/>
          <w:lang w:val="en-US" w:eastAsia="zh-CN"/>
        </w:rPr>
        <w:t>11</w:t>
      </w:r>
      <w:r>
        <w:rPr>
          <w:rStyle w:val="17"/>
          <w:rFonts w:hint="default" w:ascii="Times New Roman" w:hAnsi="Times New Roman" w:eastAsia="仿宋" w:cs="Times New Roman"/>
          <w:b w:val="0"/>
          <w:bCs w:val="0"/>
          <w:color w:val="auto"/>
          <w:sz w:val="32"/>
          <w:szCs w:val="32"/>
          <w:highlight w:val="none"/>
        </w:rPr>
        <w:t>（项）</w:t>
      </w:r>
      <w:r>
        <w:rPr>
          <w:rStyle w:val="17"/>
          <w:rFonts w:hint="default" w:ascii="Times New Roman" w:hAnsi="Times New Roman" w:eastAsia="仿宋" w:cs="Times New Roman"/>
          <w:b w:val="0"/>
          <w:bCs w:val="0"/>
          <w:color w:val="auto"/>
          <w:sz w:val="32"/>
          <w:szCs w:val="32"/>
          <w:highlight w:val="none"/>
          <w:lang w:val="en-US" w:eastAsia="zh-CN"/>
        </w:rPr>
        <w:t>0</w:t>
      </w:r>
      <w:r>
        <w:rPr>
          <w:rStyle w:val="17"/>
          <w:rFonts w:hint="eastAsia" w:ascii="Times New Roman" w:hAnsi="Times New Roman" w:eastAsia="仿宋" w:cs="Times New Roman"/>
          <w:b w:val="0"/>
          <w:bCs w:val="0"/>
          <w:color w:val="auto"/>
          <w:sz w:val="32"/>
          <w:szCs w:val="32"/>
          <w:highlight w:val="none"/>
          <w:lang w:val="en-US" w:eastAsia="zh-CN"/>
        </w:rPr>
        <w:t>2</w:t>
      </w:r>
      <w:r>
        <w:rPr>
          <w:rStyle w:val="17"/>
          <w:rFonts w:hint="default" w:ascii="Times New Roman" w:hAnsi="Times New Roman" w:eastAsia="仿宋" w:cs="Times New Roman"/>
          <w:b w:val="0"/>
          <w:bCs w:val="0"/>
          <w:color w:val="auto"/>
          <w:sz w:val="32"/>
          <w:szCs w:val="32"/>
          <w:highlight w:val="none"/>
        </w:rPr>
        <w:t>:支出决算为</w:t>
      </w:r>
      <w:r>
        <w:rPr>
          <w:rStyle w:val="17"/>
          <w:rFonts w:hint="eastAsia" w:ascii="Times New Roman" w:hAnsi="Times New Roman" w:eastAsia="仿宋" w:cs="Times New Roman"/>
          <w:b w:val="0"/>
          <w:bCs w:val="0"/>
          <w:color w:val="auto"/>
          <w:sz w:val="32"/>
          <w:szCs w:val="32"/>
          <w:highlight w:val="none"/>
          <w:lang w:val="en-US" w:eastAsia="zh-CN"/>
        </w:rPr>
        <w:t>10.42</w:t>
      </w:r>
      <w:r>
        <w:rPr>
          <w:rStyle w:val="17"/>
          <w:rFonts w:hint="default" w:ascii="Times New Roman" w:hAnsi="Times New Roman" w:eastAsia="仿宋" w:cs="Times New Roman"/>
          <w:b w:val="0"/>
          <w:bCs w:val="0"/>
          <w:color w:val="auto"/>
          <w:sz w:val="32"/>
          <w:szCs w:val="32"/>
          <w:highlight w:val="none"/>
        </w:rPr>
        <w:t>万元，完成预算</w:t>
      </w:r>
      <w:r>
        <w:rPr>
          <w:rStyle w:val="17"/>
          <w:rFonts w:hint="default" w:ascii="Times New Roman" w:hAnsi="Times New Roman" w:eastAsia="仿宋" w:cs="Times New Roman"/>
          <w:b w:val="0"/>
          <w:bCs w:val="0"/>
          <w:color w:val="auto"/>
          <w:sz w:val="32"/>
          <w:szCs w:val="32"/>
          <w:highlight w:val="none"/>
          <w:lang w:val="en-US" w:eastAsia="zh-CN"/>
        </w:rPr>
        <w:t>100</w:t>
      </w:r>
      <w:r>
        <w:rPr>
          <w:rStyle w:val="17"/>
          <w:rFonts w:hint="default" w:ascii="Times New Roman" w:hAnsi="Times New Roman" w:eastAsia="仿宋" w:cs="Times New Roman"/>
          <w:b w:val="0"/>
          <w:bCs w:val="0"/>
          <w:color w:val="auto"/>
          <w:sz w:val="32"/>
          <w:szCs w:val="32"/>
          <w:highlight w:val="none"/>
        </w:rPr>
        <w:t>%，</w:t>
      </w:r>
      <w:r>
        <w:rPr>
          <w:rFonts w:hint="default" w:ascii="Times New Roman" w:hAnsi="Times New Roman" w:eastAsia="仿宋_GB2312" w:cs="Times New Roman"/>
          <w:b w:val="0"/>
          <w:bCs w:val="0"/>
          <w:kern w:val="0"/>
          <w:sz w:val="32"/>
          <w:szCs w:val="32"/>
          <w:shd w:val="clear" w:color="auto" w:fill="FFFFFF"/>
        </w:rPr>
        <w:t>决算数与预算数持平</w:t>
      </w:r>
      <w:r>
        <w:rPr>
          <w:rStyle w:val="17"/>
          <w:rFonts w:hint="default" w:ascii="Times New Roman" w:hAnsi="Times New Roman" w:eastAsia="仿宋" w:cs="Times New Roman"/>
          <w:b w:val="0"/>
          <w:bCs w:val="0"/>
          <w:color w:val="auto"/>
          <w:sz w:val="32"/>
          <w:szCs w:val="32"/>
          <w:highlight w:val="none"/>
        </w:rPr>
        <w:t>。</w:t>
      </w:r>
    </w:p>
    <w:p>
      <w:pPr>
        <w:pageBreakBefore w:val="0"/>
        <w:kinsoku/>
        <w:wordWrap/>
        <w:overflowPunct/>
        <w:topLinePunct w:val="0"/>
        <w:autoSpaceDE/>
        <w:autoSpaceDN/>
        <w:bidi w:val="0"/>
        <w:spacing w:line="560" w:lineRule="exact"/>
        <w:ind w:firstLine="640" w:firstLineChars="200"/>
        <w:textAlignment w:val="auto"/>
        <w:rPr>
          <w:rStyle w:val="17"/>
          <w:rFonts w:hint="default" w:ascii="Times New Roman" w:hAnsi="Times New Roman" w:eastAsia="仿宋" w:cs="Times New Roman"/>
          <w:b w:val="0"/>
          <w:bCs w:val="0"/>
          <w:color w:val="auto"/>
          <w:sz w:val="32"/>
          <w:szCs w:val="32"/>
          <w:highlight w:val="none"/>
        </w:rPr>
      </w:pPr>
      <w:r>
        <w:rPr>
          <w:rStyle w:val="17"/>
          <w:rFonts w:hint="default" w:ascii="Times New Roman" w:hAnsi="Times New Roman" w:eastAsia="仿宋" w:cs="Times New Roman"/>
          <w:b w:val="0"/>
          <w:bCs w:val="0"/>
          <w:color w:val="auto"/>
          <w:sz w:val="32"/>
          <w:szCs w:val="32"/>
          <w:highlight w:val="none"/>
          <w:lang w:val="en-US" w:eastAsia="zh-CN"/>
        </w:rPr>
        <w:t>1</w:t>
      </w:r>
      <w:r>
        <w:rPr>
          <w:rStyle w:val="17"/>
          <w:rFonts w:hint="eastAsia" w:ascii="Times New Roman" w:hAnsi="Times New Roman" w:eastAsia="仿宋" w:cs="Times New Roman"/>
          <w:b w:val="0"/>
          <w:bCs w:val="0"/>
          <w:color w:val="auto"/>
          <w:sz w:val="32"/>
          <w:szCs w:val="32"/>
          <w:highlight w:val="none"/>
          <w:lang w:val="en-US" w:eastAsia="zh-CN"/>
        </w:rPr>
        <w:t>2</w:t>
      </w:r>
      <w:r>
        <w:rPr>
          <w:rStyle w:val="17"/>
          <w:rFonts w:hint="default" w:ascii="Times New Roman" w:hAnsi="Times New Roman" w:eastAsia="仿宋" w:cs="Times New Roman"/>
          <w:b w:val="0"/>
          <w:bCs w:val="0"/>
          <w:color w:val="auto"/>
          <w:sz w:val="32"/>
          <w:szCs w:val="32"/>
          <w:highlight w:val="none"/>
        </w:rPr>
        <w:t>.</w:t>
      </w:r>
      <w:r>
        <w:rPr>
          <w:rFonts w:hint="default" w:ascii="Times New Roman" w:hAnsi="Times New Roman" w:eastAsia="仿宋" w:cs="Times New Roman"/>
          <w:b w:val="0"/>
          <w:bCs w:val="0"/>
          <w:color w:val="auto"/>
          <w:sz w:val="32"/>
          <w:szCs w:val="32"/>
          <w:highlight w:val="none"/>
        </w:rPr>
        <w:t>卫生健康</w:t>
      </w:r>
      <w:r>
        <w:rPr>
          <w:rStyle w:val="17"/>
          <w:rFonts w:hint="default" w:ascii="Times New Roman" w:hAnsi="Times New Roman" w:eastAsia="仿宋" w:cs="Times New Roman"/>
          <w:b w:val="0"/>
          <w:bCs w:val="0"/>
          <w:color w:val="auto"/>
          <w:sz w:val="32"/>
          <w:szCs w:val="32"/>
          <w:highlight w:val="none"/>
        </w:rPr>
        <w:t>（类）</w:t>
      </w:r>
      <w:r>
        <w:rPr>
          <w:rStyle w:val="17"/>
          <w:rFonts w:hint="default" w:ascii="Times New Roman" w:hAnsi="Times New Roman" w:eastAsia="仿宋" w:cs="Times New Roman"/>
          <w:b w:val="0"/>
          <w:bCs w:val="0"/>
          <w:color w:val="auto"/>
          <w:sz w:val="32"/>
          <w:szCs w:val="32"/>
          <w:highlight w:val="none"/>
          <w:lang w:val="en-US" w:eastAsia="zh-CN"/>
        </w:rPr>
        <w:t>210</w:t>
      </w:r>
      <w:r>
        <w:rPr>
          <w:rStyle w:val="17"/>
          <w:rFonts w:hint="default" w:ascii="Times New Roman" w:hAnsi="Times New Roman" w:eastAsia="仿宋" w:cs="Times New Roman"/>
          <w:b w:val="0"/>
          <w:bCs w:val="0"/>
          <w:color w:val="auto"/>
          <w:sz w:val="32"/>
          <w:szCs w:val="32"/>
          <w:highlight w:val="none"/>
        </w:rPr>
        <w:t>（款）</w:t>
      </w:r>
      <w:r>
        <w:rPr>
          <w:rStyle w:val="17"/>
          <w:rFonts w:hint="default" w:ascii="Times New Roman" w:hAnsi="Times New Roman" w:eastAsia="仿宋" w:cs="Times New Roman"/>
          <w:b w:val="0"/>
          <w:bCs w:val="0"/>
          <w:color w:val="auto"/>
          <w:sz w:val="32"/>
          <w:szCs w:val="32"/>
          <w:highlight w:val="none"/>
          <w:lang w:val="en-US" w:eastAsia="zh-CN"/>
        </w:rPr>
        <w:t>11</w:t>
      </w:r>
      <w:r>
        <w:rPr>
          <w:rStyle w:val="17"/>
          <w:rFonts w:hint="default" w:ascii="Times New Roman" w:hAnsi="Times New Roman" w:eastAsia="仿宋" w:cs="Times New Roman"/>
          <w:b w:val="0"/>
          <w:bCs w:val="0"/>
          <w:color w:val="auto"/>
          <w:sz w:val="32"/>
          <w:szCs w:val="32"/>
          <w:highlight w:val="none"/>
        </w:rPr>
        <w:t>（项）</w:t>
      </w:r>
      <w:r>
        <w:rPr>
          <w:rStyle w:val="17"/>
          <w:rFonts w:hint="default" w:ascii="Times New Roman" w:hAnsi="Times New Roman" w:eastAsia="仿宋" w:cs="Times New Roman"/>
          <w:b w:val="0"/>
          <w:bCs w:val="0"/>
          <w:color w:val="auto"/>
          <w:sz w:val="32"/>
          <w:szCs w:val="32"/>
          <w:highlight w:val="none"/>
          <w:lang w:val="en-US" w:eastAsia="zh-CN"/>
        </w:rPr>
        <w:t>03</w:t>
      </w:r>
      <w:r>
        <w:rPr>
          <w:rStyle w:val="17"/>
          <w:rFonts w:hint="default" w:ascii="Times New Roman" w:hAnsi="Times New Roman" w:eastAsia="仿宋" w:cs="Times New Roman"/>
          <w:b w:val="0"/>
          <w:bCs w:val="0"/>
          <w:color w:val="auto"/>
          <w:sz w:val="32"/>
          <w:szCs w:val="32"/>
          <w:highlight w:val="none"/>
        </w:rPr>
        <w:t>:支出决算为</w:t>
      </w:r>
      <w:r>
        <w:rPr>
          <w:rStyle w:val="17"/>
          <w:rFonts w:hint="eastAsia" w:ascii="Times New Roman" w:hAnsi="Times New Roman" w:eastAsia="仿宋" w:cs="Times New Roman"/>
          <w:b w:val="0"/>
          <w:bCs w:val="0"/>
          <w:color w:val="auto"/>
          <w:sz w:val="32"/>
          <w:szCs w:val="32"/>
          <w:highlight w:val="none"/>
          <w:lang w:val="en-US" w:eastAsia="zh-CN"/>
        </w:rPr>
        <w:t>8.32</w:t>
      </w:r>
      <w:r>
        <w:rPr>
          <w:rStyle w:val="17"/>
          <w:rFonts w:hint="default" w:ascii="Times New Roman" w:hAnsi="Times New Roman" w:eastAsia="仿宋" w:cs="Times New Roman"/>
          <w:b w:val="0"/>
          <w:bCs w:val="0"/>
          <w:color w:val="auto"/>
          <w:sz w:val="32"/>
          <w:szCs w:val="32"/>
          <w:highlight w:val="none"/>
        </w:rPr>
        <w:t>万元，完成预算</w:t>
      </w:r>
      <w:r>
        <w:rPr>
          <w:rStyle w:val="17"/>
          <w:rFonts w:hint="default" w:ascii="Times New Roman" w:hAnsi="Times New Roman" w:eastAsia="仿宋" w:cs="Times New Roman"/>
          <w:b w:val="0"/>
          <w:bCs w:val="0"/>
          <w:color w:val="auto"/>
          <w:sz w:val="32"/>
          <w:szCs w:val="32"/>
          <w:highlight w:val="none"/>
          <w:lang w:val="en-US" w:eastAsia="zh-CN"/>
        </w:rPr>
        <w:t>100</w:t>
      </w:r>
      <w:r>
        <w:rPr>
          <w:rStyle w:val="17"/>
          <w:rFonts w:hint="default" w:ascii="Times New Roman" w:hAnsi="Times New Roman" w:eastAsia="仿宋" w:cs="Times New Roman"/>
          <w:b w:val="0"/>
          <w:bCs w:val="0"/>
          <w:color w:val="auto"/>
          <w:sz w:val="32"/>
          <w:szCs w:val="32"/>
          <w:highlight w:val="none"/>
        </w:rPr>
        <w:t>%，</w:t>
      </w:r>
      <w:r>
        <w:rPr>
          <w:rFonts w:hint="default" w:ascii="Times New Roman" w:hAnsi="Times New Roman" w:eastAsia="仿宋_GB2312" w:cs="Times New Roman"/>
          <w:b w:val="0"/>
          <w:bCs w:val="0"/>
          <w:kern w:val="0"/>
          <w:sz w:val="32"/>
          <w:szCs w:val="32"/>
          <w:shd w:val="clear" w:color="auto" w:fill="FFFFFF"/>
        </w:rPr>
        <w:t>决算数与预算数持平</w:t>
      </w:r>
      <w:r>
        <w:rPr>
          <w:rStyle w:val="17"/>
          <w:rFonts w:hint="default" w:ascii="Times New Roman" w:hAnsi="Times New Roman" w:eastAsia="仿宋" w:cs="Times New Roman"/>
          <w:b w:val="0"/>
          <w:bCs w:val="0"/>
          <w:color w:val="auto"/>
          <w:sz w:val="32"/>
          <w:szCs w:val="32"/>
          <w:highlight w:val="none"/>
        </w:rPr>
        <w:t>。</w:t>
      </w:r>
    </w:p>
    <w:p>
      <w:pPr>
        <w:pageBreakBefore w:val="0"/>
        <w:numPr>
          <w:ilvl w:val="0"/>
          <w:numId w:val="0"/>
        </w:numPr>
        <w:kinsoku/>
        <w:wordWrap/>
        <w:overflowPunct/>
        <w:topLinePunct w:val="0"/>
        <w:autoSpaceDE/>
        <w:autoSpaceDN/>
        <w:bidi w:val="0"/>
        <w:spacing w:line="560" w:lineRule="exact"/>
        <w:ind w:firstLine="640" w:firstLineChars="200"/>
        <w:textAlignment w:val="auto"/>
        <w:rPr>
          <w:rStyle w:val="17"/>
          <w:rFonts w:hint="default" w:ascii="Times New Roman" w:hAnsi="Times New Roman" w:eastAsia="仿宋" w:cs="Times New Roman"/>
          <w:b w:val="0"/>
          <w:bCs w:val="0"/>
          <w:color w:val="auto"/>
          <w:sz w:val="32"/>
          <w:szCs w:val="32"/>
          <w:highlight w:val="none"/>
        </w:rPr>
      </w:pPr>
      <w:r>
        <w:rPr>
          <w:rStyle w:val="17"/>
          <w:rFonts w:hint="eastAsia" w:ascii="Times New Roman" w:hAnsi="Times New Roman" w:eastAsia="仿宋" w:cs="Times New Roman"/>
          <w:b w:val="0"/>
          <w:bCs w:val="0"/>
          <w:color w:val="auto"/>
          <w:sz w:val="32"/>
          <w:szCs w:val="32"/>
          <w:highlight w:val="none"/>
          <w:lang w:val="en-US" w:eastAsia="zh-CN"/>
        </w:rPr>
        <w:t>13.</w:t>
      </w:r>
      <w:r>
        <w:rPr>
          <w:rFonts w:hint="default" w:ascii="Times New Roman" w:hAnsi="Times New Roman" w:eastAsia="仿宋" w:cs="Times New Roman"/>
          <w:b w:val="0"/>
          <w:bCs w:val="0"/>
          <w:color w:val="auto"/>
          <w:sz w:val="32"/>
          <w:szCs w:val="32"/>
          <w:highlight w:val="none"/>
        </w:rPr>
        <w:t>卫生健康</w:t>
      </w:r>
      <w:r>
        <w:rPr>
          <w:rStyle w:val="17"/>
          <w:rFonts w:hint="default" w:ascii="Times New Roman" w:hAnsi="Times New Roman" w:eastAsia="仿宋" w:cs="Times New Roman"/>
          <w:b w:val="0"/>
          <w:bCs w:val="0"/>
          <w:color w:val="auto"/>
          <w:sz w:val="32"/>
          <w:szCs w:val="32"/>
          <w:highlight w:val="none"/>
        </w:rPr>
        <w:t>（类）</w:t>
      </w:r>
      <w:r>
        <w:rPr>
          <w:rStyle w:val="17"/>
          <w:rFonts w:hint="default" w:ascii="Times New Roman" w:hAnsi="Times New Roman" w:eastAsia="仿宋" w:cs="Times New Roman"/>
          <w:b w:val="0"/>
          <w:bCs w:val="0"/>
          <w:color w:val="auto"/>
          <w:sz w:val="32"/>
          <w:szCs w:val="32"/>
          <w:highlight w:val="none"/>
          <w:lang w:val="en-US" w:eastAsia="zh-CN"/>
        </w:rPr>
        <w:t>210</w:t>
      </w:r>
      <w:r>
        <w:rPr>
          <w:rStyle w:val="17"/>
          <w:rFonts w:hint="default" w:ascii="Times New Roman" w:hAnsi="Times New Roman" w:eastAsia="仿宋" w:cs="Times New Roman"/>
          <w:b w:val="0"/>
          <w:bCs w:val="0"/>
          <w:color w:val="auto"/>
          <w:sz w:val="32"/>
          <w:szCs w:val="32"/>
          <w:highlight w:val="none"/>
        </w:rPr>
        <w:t>（款）</w:t>
      </w:r>
      <w:r>
        <w:rPr>
          <w:rStyle w:val="17"/>
          <w:rFonts w:hint="default" w:ascii="Times New Roman" w:hAnsi="Times New Roman" w:eastAsia="仿宋" w:cs="Times New Roman"/>
          <w:b w:val="0"/>
          <w:bCs w:val="0"/>
          <w:color w:val="auto"/>
          <w:sz w:val="32"/>
          <w:szCs w:val="32"/>
          <w:highlight w:val="none"/>
          <w:lang w:val="en-US" w:eastAsia="zh-CN"/>
        </w:rPr>
        <w:t>11</w:t>
      </w:r>
      <w:r>
        <w:rPr>
          <w:rStyle w:val="17"/>
          <w:rFonts w:hint="default" w:ascii="Times New Roman" w:hAnsi="Times New Roman" w:eastAsia="仿宋" w:cs="Times New Roman"/>
          <w:b w:val="0"/>
          <w:bCs w:val="0"/>
          <w:color w:val="auto"/>
          <w:sz w:val="32"/>
          <w:szCs w:val="32"/>
          <w:highlight w:val="none"/>
        </w:rPr>
        <w:t>（项）</w:t>
      </w:r>
      <w:r>
        <w:rPr>
          <w:rStyle w:val="17"/>
          <w:rFonts w:hint="eastAsia" w:ascii="Times New Roman" w:hAnsi="Times New Roman" w:eastAsia="仿宋" w:cs="Times New Roman"/>
          <w:b w:val="0"/>
          <w:bCs w:val="0"/>
          <w:color w:val="auto"/>
          <w:sz w:val="32"/>
          <w:szCs w:val="32"/>
          <w:highlight w:val="none"/>
          <w:lang w:val="en-US" w:eastAsia="zh-CN"/>
        </w:rPr>
        <w:t>99</w:t>
      </w:r>
      <w:r>
        <w:rPr>
          <w:rStyle w:val="17"/>
          <w:rFonts w:hint="default" w:ascii="Times New Roman" w:hAnsi="Times New Roman" w:eastAsia="仿宋" w:cs="Times New Roman"/>
          <w:b w:val="0"/>
          <w:bCs w:val="0"/>
          <w:color w:val="auto"/>
          <w:sz w:val="32"/>
          <w:szCs w:val="32"/>
          <w:highlight w:val="none"/>
        </w:rPr>
        <w:t>:支出决算为</w:t>
      </w:r>
      <w:r>
        <w:rPr>
          <w:rStyle w:val="17"/>
          <w:rFonts w:hint="eastAsia" w:ascii="Times New Roman" w:hAnsi="Times New Roman" w:eastAsia="仿宋" w:cs="Times New Roman"/>
          <w:b w:val="0"/>
          <w:bCs w:val="0"/>
          <w:color w:val="auto"/>
          <w:sz w:val="32"/>
          <w:szCs w:val="32"/>
          <w:highlight w:val="none"/>
          <w:lang w:val="en-US" w:eastAsia="zh-CN"/>
        </w:rPr>
        <w:t>2.00</w:t>
      </w:r>
      <w:r>
        <w:rPr>
          <w:rStyle w:val="17"/>
          <w:rFonts w:hint="default" w:ascii="Times New Roman" w:hAnsi="Times New Roman" w:eastAsia="仿宋" w:cs="Times New Roman"/>
          <w:b w:val="0"/>
          <w:bCs w:val="0"/>
          <w:color w:val="auto"/>
          <w:sz w:val="32"/>
          <w:szCs w:val="32"/>
          <w:highlight w:val="none"/>
        </w:rPr>
        <w:t>万元，完成预算</w:t>
      </w:r>
      <w:r>
        <w:rPr>
          <w:rStyle w:val="17"/>
          <w:rFonts w:hint="default" w:ascii="Times New Roman" w:hAnsi="Times New Roman" w:eastAsia="仿宋" w:cs="Times New Roman"/>
          <w:b w:val="0"/>
          <w:bCs w:val="0"/>
          <w:color w:val="auto"/>
          <w:sz w:val="32"/>
          <w:szCs w:val="32"/>
          <w:highlight w:val="none"/>
          <w:lang w:val="en-US" w:eastAsia="zh-CN"/>
        </w:rPr>
        <w:t>100</w:t>
      </w:r>
      <w:r>
        <w:rPr>
          <w:rStyle w:val="17"/>
          <w:rFonts w:hint="default" w:ascii="Times New Roman" w:hAnsi="Times New Roman" w:eastAsia="仿宋" w:cs="Times New Roman"/>
          <w:b w:val="0"/>
          <w:bCs w:val="0"/>
          <w:color w:val="auto"/>
          <w:sz w:val="32"/>
          <w:szCs w:val="32"/>
          <w:highlight w:val="none"/>
        </w:rPr>
        <w:t>%，</w:t>
      </w:r>
      <w:r>
        <w:rPr>
          <w:rFonts w:hint="default" w:ascii="Times New Roman" w:hAnsi="Times New Roman" w:eastAsia="仿宋_GB2312" w:cs="Times New Roman"/>
          <w:b w:val="0"/>
          <w:bCs w:val="0"/>
          <w:kern w:val="0"/>
          <w:sz w:val="32"/>
          <w:szCs w:val="32"/>
          <w:shd w:val="clear" w:color="auto" w:fill="FFFFFF"/>
        </w:rPr>
        <w:t>决算数与预算数持平</w:t>
      </w:r>
      <w:r>
        <w:rPr>
          <w:rStyle w:val="17"/>
          <w:rFonts w:hint="default" w:ascii="Times New Roman" w:hAnsi="Times New Roman" w:eastAsia="仿宋" w:cs="Times New Roman"/>
          <w:b w:val="0"/>
          <w:bCs w:val="0"/>
          <w:color w:val="auto"/>
          <w:sz w:val="32"/>
          <w:szCs w:val="32"/>
          <w:highlight w:val="none"/>
        </w:rPr>
        <w:t>。</w:t>
      </w:r>
    </w:p>
    <w:p>
      <w:pPr>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Style w:val="17"/>
          <w:rFonts w:hint="eastAsia" w:ascii="Times New Roman" w:hAnsi="Times New Roman" w:eastAsia="仿宋" w:cs="Times New Roman"/>
          <w:b w:val="0"/>
          <w:bCs w:val="0"/>
          <w:color w:val="auto"/>
          <w:sz w:val="32"/>
          <w:szCs w:val="32"/>
          <w:highlight w:val="none"/>
          <w:lang w:val="en-US" w:eastAsia="zh-CN"/>
        </w:rPr>
        <w:t>14.</w:t>
      </w:r>
      <w:r>
        <w:rPr>
          <w:rFonts w:hint="default" w:ascii="Times New Roman" w:hAnsi="Times New Roman" w:eastAsia="仿宋" w:cs="Times New Roman"/>
          <w:b w:val="0"/>
          <w:bCs w:val="0"/>
          <w:color w:val="auto"/>
          <w:sz w:val="32"/>
          <w:szCs w:val="32"/>
          <w:highlight w:val="none"/>
          <w:lang w:eastAsia="zh-CN"/>
        </w:rPr>
        <w:t>住房保障</w:t>
      </w:r>
      <w:r>
        <w:rPr>
          <w:rStyle w:val="17"/>
          <w:rFonts w:hint="default" w:ascii="Times New Roman" w:hAnsi="Times New Roman" w:eastAsia="仿宋" w:cs="Times New Roman"/>
          <w:b w:val="0"/>
          <w:bCs w:val="0"/>
          <w:color w:val="auto"/>
          <w:sz w:val="32"/>
          <w:szCs w:val="32"/>
          <w:highlight w:val="none"/>
        </w:rPr>
        <w:t>（类）</w:t>
      </w:r>
      <w:r>
        <w:rPr>
          <w:rStyle w:val="17"/>
          <w:rFonts w:hint="default" w:ascii="Times New Roman" w:hAnsi="Times New Roman" w:eastAsia="仿宋" w:cs="Times New Roman"/>
          <w:b w:val="0"/>
          <w:bCs w:val="0"/>
          <w:color w:val="auto"/>
          <w:sz w:val="32"/>
          <w:szCs w:val="32"/>
          <w:highlight w:val="none"/>
          <w:lang w:val="en-US" w:eastAsia="zh-CN"/>
        </w:rPr>
        <w:t>221</w:t>
      </w:r>
      <w:r>
        <w:rPr>
          <w:rStyle w:val="17"/>
          <w:rFonts w:hint="default" w:ascii="Times New Roman" w:hAnsi="Times New Roman" w:eastAsia="仿宋" w:cs="Times New Roman"/>
          <w:b w:val="0"/>
          <w:bCs w:val="0"/>
          <w:color w:val="auto"/>
          <w:sz w:val="32"/>
          <w:szCs w:val="32"/>
          <w:highlight w:val="none"/>
        </w:rPr>
        <w:t>（款）</w:t>
      </w:r>
      <w:r>
        <w:rPr>
          <w:rStyle w:val="17"/>
          <w:rFonts w:hint="default" w:ascii="Times New Roman" w:hAnsi="Times New Roman" w:eastAsia="仿宋" w:cs="Times New Roman"/>
          <w:b w:val="0"/>
          <w:bCs w:val="0"/>
          <w:color w:val="auto"/>
          <w:sz w:val="32"/>
          <w:szCs w:val="32"/>
          <w:highlight w:val="none"/>
          <w:lang w:val="en-US" w:eastAsia="zh-CN"/>
        </w:rPr>
        <w:t>02</w:t>
      </w:r>
      <w:r>
        <w:rPr>
          <w:rStyle w:val="17"/>
          <w:rFonts w:hint="default" w:ascii="Times New Roman" w:hAnsi="Times New Roman" w:eastAsia="仿宋" w:cs="Times New Roman"/>
          <w:b w:val="0"/>
          <w:bCs w:val="0"/>
          <w:color w:val="auto"/>
          <w:sz w:val="32"/>
          <w:szCs w:val="32"/>
          <w:highlight w:val="none"/>
        </w:rPr>
        <w:t>（项）</w:t>
      </w:r>
      <w:r>
        <w:rPr>
          <w:rStyle w:val="17"/>
          <w:rFonts w:hint="default" w:ascii="Times New Roman" w:hAnsi="Times New Roman" w:eastAsia="仿宋" w:cs="Times New Roman"/>
          <w:b w:val="0"/>
          <w:bCs w:val="0"/>
          <w:color w:val="auto"/>
          <w:sz w:val="32"/>
          <w:szCs w:val="32"/>
          <w:highlight w:val="none"/>
          <w:lang w:val="en-US" w:eastAsia="zh-CN"/>
        </w:rPr>
        <w:t>01</w:t>
      </w:r>
      <w:r>
        <w:rPr>
          <w:rStyle w:val="17"/>
          <w:rFonts w:hint="default" w:ascii="Times New Roman" w:hAnsi="Times New Roman" w:eastAsia="仿宋" w:cs="Times New Roman"/>
          <w:b w:val="0"/>
          <w:bCs w:val="0"/>
          <w:color w:val="auto"/>
          <w:sz w:val="32"/>
          <w:szCs w:val="32"/>
          <w:highlight w:val="none"/>
        </w:rPr>
        <w:t>:支出决算为</w:t>
      </w:r>
      <w:r>
        <w:rPr>
          <w:rStyle w:val="17"/>
          <w:rFonts w:hint="eastAsia" w:ascii="Times New Roman" w:hAnsi="Times New Roman" w:eastAsia="仿宋" w:cs="Times New Roman"/>
          <w:b w:val="0"/>
          <w:bCs w:val="0"/>
          <w:color w:val="auto"/>
          <w:sz w:val="32"/>
          <w:szCs w:val="32"/>
          <w:highlight w:val="none"/>
          <w:lang w:val="en-US" w:eastAsia="zh-CN"/>
        </w:rPr>
        <w:t>71.05</w:t>
      </w:r>
      <w:r>
        <w:rPr>
          <w:rStyle w:val="17"/>
          <w:rFonts w:hint="default" w:ascii="Times New Roman" w:hAnsi="Times New Roman" w:eastAsia="仿宋" w:cs="Times New Roman"/>
          <w:b w:val="0"/>
          <w:bCs w:val="0"/>
          <w:color w:val="auto"/>
          <w:sz w:val="32"/>
          <w:szCs w:val="32"/>
          <w:highlight w:val="none"/>
        </w:rPr>
        <w:t>万元，完成预算</w:t>
      </w:r>
      <w:r>
        <w:rPr>
          <w:rStyle w:val="17"/>
          <w:rFonts w:hint="default" w:ascii="Times New Roman" w:hAnsi="Times New Roman" w:eastAsia="仿宋" w:cs="Times New Roman"/>
          <w:b w:val="0"/>
          <w:bCs w:val="0"/>
          <w:color w:val="auto"/>
          <w:sz w:val="32"/>
          <w:szCs w:val="32"/>
          <w:highlight w:val="none"/>
          <w:lang w:val="en-US" w:eastAsia="zh-CN"/>
        </w:rPr>
        <w:t>100</w:t>
      </w:r>
      <w:r>
        <w:rPr>
          <w:rStyle w:val="17"/>
          <w:rFonts w:hint="default" w:ascii="Times New Roman" w:hAnsi="Times New Roman" w:eastAsia="仿宋" w:cs="Times New Roman"/>
          <w:b w:val="0"/>
          <w:bCs w:val="0"/>
          <w:color w:val="auto"/>
          <w:sz w:val="32"/>
          <w:szCs w:val="32"/>
          <w:highlight w:val="none"/>
        </w:rPr>
        <w:t>%，</w:t>
      </w:r>
      <w:r>
        <w:rPr>
          <w:rFonts w:hint="default" w:ascii="Times New Roman" w:hAnsi="Times New Roman" w:eastAsia="仿宋_GB2312" w:cs="Times New Roman"/>
          <w:b w:val="0"/>
          <w:bCs w:val="0"/>
          <w:kern w:val="0"/>
          <w:sz w:val="32"/>
          <w:szCs w:val="32"/>
          <w:shd w:val="clear" w:color="auto" w:fill="FFFFFF"/>
        </w:rPr>
        <w:t>决算数与预算数持平</w:t>
      </w:r>
      <w:r>
        <w:rPr>
          <w:rStyle w:val="17"/>
          <w:rFonts w:hint="default" w:ascii="Times New Roman" w:hAnsi="Times New Roman" w:eastAsia="仿宋" w:cs="Times New Roman"/>
          <w:b w:val="0"/>
          <w:bCs w:val="0"/>
          <w:color w:val="auto"/>
          <w:sz w:val="32"/>
          <w:szCs w:val="32"/>
          <w:highlight w:val="none"/>
        </w:rPr>
        <w:t>。</w:t>
      </w:r>
    </w:p>
    <w:p>
      <w:pPr>
        <w:pageBreakBefore w:val="0"/>
        <w:tabs>
          <w:tab w:val="right" w:pos="8306"/>
        </w:tabs>
        <w:kinsoku/>
        <w:wordWrap/>
        <w:overflowPunct/>
        <w:topLinePunct w:val="0"/>
        <w:autoSpaceDE/>
        <w:autoSpaceDN/>
        <w:bidi w:val="0"/>
        <w:spacing w:line="560" w:lineRule="exact"/>
        <w:ind w:firstLine="640"/>
        <w:textAlignment w:val="auto"/>
        <w:outlineLvl w:val="1"/>
        <w:rPr>
          <w:rStyle w:val="29"/>
          <w:rFonts w:ascii="Times New Roman" w:hAnsi="Times New Roman"/>
          <w:color w:val="auto"/>
          <w:highlight w:val="none"/>
        </w:rPr>
      </w:pPr>
      <w:bookmarkStart w:id="37" w:name="_Toc15377214"/>
      <w:bookmarkStart w:id="38" w:name="_Toc1219579338"/>
      <w:bookmarkStart w:id="3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7"/>
      <w:bookmarkEnd w:id="38"/>
      <w:bookmarkEnd w:id="39"/>
      <w:r>
        <w:rPr>
          <w:rStyle w:val="29"/>
          <w:rFonts w:ascii="Times New Roman" w:hAnsi="Times New Roman" w:eastAsia="黑体"/>
          <w:b w:val="0"/>
          <w:color w:val="auto"/>
          <w:highlight w:val="none"/>
        </w:rPr>
        <w:tab/>
      </w:r>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一般公共预算财政拨款基本支出1,052.44万元，其中：</w:t>
      </w:r>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1,009.15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43.30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pageBreakBefore w:val="0"/>
        <w:kinsoku/>
        <w:wordWrap/>
        <w:overflowPunct/>
        <w:topLinePunct w:val="0"/>
        <w:autoSpaceDE/>
        <w:autoSpaceDN/>
        <w:bidi w:val="0"/>
        <w:spacing w:line="560" w:lineRule="exact"/>
        <w:ind w:firstLine="640"/>
        <w:textAlignment w:val="auto"/>
        <w:outlineLvl w:val="1"/>
        <w:rPr>
          <w:rStyle w:val="29"/>
          <w:rFonts w:ascii="Times New Roman" w:hAnsi="Times New Roman" w:eastAsia="黑体"/>
          <w:b w:val="0"/>
          <w:color w:val="auto"/>
          <w:highlight w:val="none"/>
        </w:rPr>
      </w:pPr>
      <w:bookmarkStart w:id="40" w:name="_Toc15396609"/>
      <w:bookmarkStart w:id="41" w:name="_Toc1709740986"/>
      <w:bookmarkStart w:id="42"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40"/>
      <w:bookmarkEnd w:id="41"/>
      <w:bookmarkEnd w:id="42"/>
    </w:p>
    <w:p>
      <w:pPr>
        <w:pageBreakBefore w:val="0"/>
        <w:kinsoku/>
        <w:wordWrap/>
        <w:overflowPunct/>
        <w:topLinePunct w:val="0"/>
        <w:autoSpaceDE/>
        <w:autoSpaceDN/>
        <w:bidi w:val="0"/>
        <w:spacing w:line="560" w:lineRule="exact"/>
        <w:ind w:firstLine="642" w:firstLineChars="200"/>
        <w:textAlignment w:val="auto"/>
        <w:outlineLvl w:val="2"/>
        <w:rPr>
          <w:rFonts w:hint="eastAsia" w:ascii="Times New Roman" w:hAnsi="Times New Roman" w:eastAsia="楷体_GB2312" w:cs="楷体_GB2312"/>
          <w:b/>
          <w:color w:val="auto"/>
          <w:sz w:val="32"/>
          <w:szCs w:val="32"/>
          <w:highlight w:val="none"/>
        </w:rPr>
      </w:pPr>
      <w:bookmarkStart w:id="43"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3"/>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7.50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91.69</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40.19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84.27</w:t>
      </w:r>
      <w:r>
        <w:rPr>
          <w:rFonts w:hint="eastAsia" w:ascii="Times New Roman" w:hAnsi="Times New Roman" w:eastAsia="仿宋_GB2312" w:cs="仿宋_GB2312"/>
          <w:color w:val="auto"/>
          <w:kern w:val="2"/>
          <w:sz w:val="32"/>
          <w:szCs w:val="32"/>
          <w:highlight w:val="none"/>
          <w:lang w:val="en-US" w:eastAsia="zh-CN" w:bidi="ar-SA"/>
        </w:rPr>
        <w:t>%。</w:t>
      </w:r>
    </w:p>
    <w:p>
      <w:pPr>
        <w:pageBreakBefore w:val="0"/>
        <w:kinsoku/>
        <w:wordWrap/>
        <w:overflowPunct/>
        <w:topLinePunct w:val="0"/>
        <w:autoSpaceDE/>
        <w:autoSpaceDN/>
        <w:bidi w:val="0"/>
        <w:spacing w:line="560" w:lineRule="exact"/>
        <w:ind w:firstLine="642" w:firstLineChars="200"/>
        <w:textAlignment w:val="auto"/>
        <w:outlineLvl w:val="2"/>
        <w:rPr>
          <w:rFonts w:hint="eastAsia" w:ascii="Times New Roman" w:hAnsi="Times New Roman" w:eastAsia="楷体_GB2312" w:cs="楷体_GB2312"/>
          <w:b/>
          <w:color w:val="auto"/>
          <w:sz w:val="32"/>
          <w:szCs w:val="32"/>
          <w:highlight w:val="none"/>
        </w:rPr>
      </w:pPr>
      <w:bookmarkStart w:id="44"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4"/>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7.5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pPr>
        <w:pageBreakBefore w:val="0"/>
        <w:kinsoku/>
        <w:wordWrap/>
        <w:overflowPunct/>
        <w:topLinePunct w:val="0"/>
        <w:autoSpaceDE/>
        <w:autoSpaceDN/>
        <w:bidi w:val="0"/>
        <w:spacing w:line="560" w:lineRule="exact"/>
        <w:ind w:firstLine="640"/>
        <w:jc w:val="center"/>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5408" behindDoc="0" locked="0" layoutInCell="1" allowOverlap="1">
            <wp:simplePos x="0" y="0"/>
            <wp:positionH relativeFrom="column">
              <wp:posOffset>639445</wp:posOffset>
            </wp:positionH>
            <wp:positionV relativeFrom="page">
              <wp:posOffset>948690</wp:posOffset>
            </wp:positionV>
            <wp:extent cx="4222115" cy="2301875"/>
            <wp:effectExtent l="4445" t="4445" r="21590" b="17780"/>
            <wp:wrapTopAndBottom/>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Times New Roman" w:hAnsi="Times New Roman" w:eastAsia="仿宋_GB2312" w:cs="仿宋_GB2312"/>
          <w:color w:val="auto"/>
          <w:kern w:val="2"/>
          <w:sz w:val="32"/>
          <w:szCs w:val="32"/>
          <w:highlight w:val="none"/>
          <w:lang w:val="en-US" w:eastAsia="zh-CN" w:bidi="ar-SA"/>
        </w:rPr>
        <w:t>图7：财政拨款“三公”经费支出结构</w:t>
      </w:r>
      <w:r>
        <w:rPr>
          <w:rFonts w:hint="eastAsia" w:ascii="Times New Roman" w:hAnsi="Times New Roman" w:eastAsia="仿宋_GB2312" w:cs="仿宋_GB2312"/>
          <w:color w:val="auto"/>
          <w:sz w:val="32"/>
          <w:szCs w:val="32"/>
          <w:highlight w:val="none"/>
          <w:lang w:eastAsia="zh-CN"/>
        </w:rPr>
        <w:t>（单位：万元）</w:t>
      </w:r>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7.5</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40.19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84.27</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上年度购置了一辆公务车，本年度无。</w:t>
      </w:r>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7.5</w:t>
      </w:r>
      <w:r>
        <w:rPr>
          <w:rFonts w:hint="eastAsia" w:ascii="Times New Roman" w:hAnsi="Times New Roman" w:eastAsia="仿宋_GB2312" w:cs="仿宋_GB2312"/>
          <w:color w:val="auto"/>
          <w:kern w:val="2"/>
          <w:sz w:val="32"/>
          <w:szCs w:val="32"/>
          <w:highlight w:val="none"/>
          <w:lang w:val="en-US" w:eastAsia="zh-CN" w:bidi="ar-SA"/>
        </w:rPr>
        <w:t>万元。主要用于下乡、出差等所需的公务用车燃料费、维修费、过路过桥费、保险费等支出。</w:t>
      </w:r>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45" w:name="_Toc15396610"/>
      <w:bookmarkStart w:id="46" w:name="_Toc15377218"/>
    </w:p>
    <w:p>
      <w:pPr>
        <w:pageBreakBefore w:val="0"/>
        <w:kinsoku/>
        <w:wordWrap/>
        <w:overflowPunct/>
        <w:topLinePunct w:val="0"/>
        <w:autoSpaceDE/>
        <w:autoSpaceDN/>
        <w:bidi w:val="0"/>
        <w:spacing w:line="560" w:lineRule="exact"/>
        <w:ind w:firstLine="640"/>
        <w:textAlignment w:val="auto"/>
        <w:outlineLvl w:val="1"/>
        <w:rPr>
          <w:rStyle w:val="29"/>
          <w:rFonts w:ascii="Times New Roman" w:hAnsi="Times New Roman" w:eastAsia="黑体"/>
          <w:color w:val="auto"/>
          <w:highlight w:val="none"/>
        </w:rPr>
      </w:pPr>
      <w:bookmarkStart w:id="47" w:name="_Toc249651726"/>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5"/>
      <w:bookmarkEnd w:id="46"/>
      <w:bookmarkEnd w:id="47"/>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pPr>
        <w:pageBreakBefore w:val="0"/>
        <w:numPr>
          <w:ilvl w:val="0"/>
          <w:numId w:val="0"/>
        </w:numPr>
        <w:kinsoku/>
        <w:wordWrap/>
        <w:overflowPunct/>
        <w:topLinePunct w:val="0"/>
        <w:autoSpaceDE/>
        <w:autoSpaceDN/>
        <w:bidi w:val="0"/>
        <w:spacing w:line="560" w:lineRule="exact"/>
        <w:ind w:left="630" w:leftChars="0"/>
        <w:textAlignment w:val="auto"/>
        <w:outlineLvl w:val="1"/>
        <w:rPr>
          <w:rStyle w:val="29"/>
          <w:rFonts w:ascii="Times New Roman" w:hAnsi="Times New Roman" w:eastAsia="黑体"/>
          <w:b w:val="0"/>
          <w:color w:val="auto"/>
          <w:highlight w:val="none"/>
        </w:rPr>
      </w:pPr>
      <w:bookmarkStart w:id="48" w:name="_Toc780005936"/>
      <w:bookmarkStart w:id="49" w:name="_Toc15377219"/>
      <w:bookmarkStart w:id="50"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8"/>
      <w:bookmarkEnd w:id="49"/>
      <w:bookmarkEnd w:id="50"/>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pPr>
        <w:pageBreakBefore w:val="0"/>
        <w:numPr>
          <w:ilvl w:val="0"/>
          <w:numId w:val="0"/>
        </w:numPr>
        <w:kinsoku/>
        <w:wordWrap/>
        <w:overflowPunct/>
        <w:topLinePunct w:val="0"/>
        <w:autoSpaceDE/>
        <w:autoSpaceDN/>
        <w:bidi w:val="0"/>
        <w:spacing w:line="560" w:lineRule="exact"/>
        <w:ind w:left="630" w:leftChars="0"/>
        <w:textAlignment w:val="auto"/>
        <w:outlineLvl w:val="1"/>
        <w:rPr>
          <w:rStyle w:val="29"/>
          <w:rFonts w:hint="eastAsia" w:ascii="Times New Roman" w:hAnsi="Times New Roman" w:eastAsia="黑体"/>
          <w:b w:val="0"/>
          <w:color w:val="auto"/>
          <w:highlight w:val="none"/>
        </w:rPr>
      </w:pPr>
      <w:bookmarkStart w:id="51" w:name="_Toc623257238"/>
      <w:bookmarkStart w:id="52" w:name="_Toc15396612"/>
      <w:bookmarkStart w:id="53"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51"/>
      <w:bookmarkEnd w:id="52"/>
      <w:bookmarkEnd w:id="53"/>
    </w:p>
    <w:p>
      <w:pPr>
        <w:pageBreakBefore w:val="0"/>
        <w:kinsoku/>
        <w:wordWrap/>
        <w:overflowPunct/>
        <w:topLinePunct w:val="0"/>
        <w:autoSpaceDE/>
        <w:autoSpaceDN/>
        <w:bidi w:val="0"/>
        <w:spacing w:line="560" w:lineRule="exact"/>
        <w:ind w:firstLine="642" w:firstLineChars="200"/>
        <w:textAlignment w:val="auto"/>
        <w:outlineLvl w:val="2"/>
        <w:rPr>
          <w:rFonts w:hint="eastAsia" w:ascii="Times New Roman" w:hAnsi="Times New Roman" w:eastAsia="楷体_GB2312" w:cs="楷体_GB2312"/>
          <w:b/>
          <w:color w:val="auto"/>
          <w:sz w:val="32"/>
          <w:szCs w:val="32"/>
          <w:highlight w:val="none"/>
        </w:rPr>
      </w:pPr>
      <w:bookmarkStart w:id="54" w:name="_Toc15377222"/>
      <w:r>
        <w:rPr>
          <w:rFonts w:hint="eastAsia" w:ascii="Times New Roman" w:hAnsi="Times New Roman" w:eastAsia="楷体_GB2312" w:cs="楷体_GB2312"/>
          <w:b/>
          <w:color w:val="auto"/>
          <w:sz w:val="32"/>
          <w:szCs w:val="32"/>
          <w:highlight w:val="none"/>
        </w:rPr>
        <w:t>（一）机关运行经费支出情况</w:t>
      </w:r>
      <w:bookmarkEnd w:id="54"/>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壤塘县财政局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32.98</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4.81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12.73</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pageBreakBefore w:val="0"/>
        <w:kinsoku/>
        <w:wordWrap/>
        <w:overflowPunct/>
        <w:topLinePunct w:val="0"/>
        <w:autoSpaceDE/>
        <w:autoSpaceDN/>
        <w:bidi w:val="0"/>
        <w:spacing w:line="560" w:lineRule="exact"/>
        <w:ind w:firstLine="642" w:firstLineChars="200"/>
        <w:textAlignment w:val="auto"/>
        <w:outlineLvl w:val="2"/>
        <w:rPr>
          <w:rFonts w:hint="eastAsia" w:ascii="Times New Roman" w:hAnsi="Times New Roman" w:eastAsia="楷体_GB2312" w:cs="楷体_GB2312"/>
          <w:b/>
          <w:color w:val="auto"/>
          <w:sz w:val="32"/>
          <w:szCs w:val="32"/>
          <w:highlight w:val="none"/>
        </w:rPr>
      </w:pPr>
      <w:bookmarkStart w:id="55" w:name="_Toc15377223"/>
      <w:r>
        <w:rPr>
          <w:rFonts w:hint="eastAsia" w:ascii="Times New Roman" w:hAnsi="Times New Roman" w:eastAsia="楷体_GB2312" w:cs="楷体_GB2312"/>
          <w:b/>
          <w:color w:val="auto"/>
          <w:sz w:val="32"/>
          <w:szCs w:val="32"/>
          <w:highlight w:val="none"/>
        </w:rPr>
        <w:t>（二）政府采购支出情况</w:t>
      </w:r>
      <w:bookmarkEnd w:id="55"/>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壤塘县财政局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pageBreakBefore w:val="0"/>
        <w:kinsoku/>
        <w:wordWrap/>
        <w:overflowPunct/>
        <w:topLinePunct w:val="0"/>
        <w:autoSpaceDE/>
        <w:autoSpaceDN/>
        <w:bidi w:val="0"/>
        <w:spacing w:line="560" w:lineRule="exact"/>
        <w:ind w:firstLine="642" w:firstLineChars="200"/>
        <w:textAlignment w:val="auto"/>
        <w:outlineLvl w:val="2"/>
        <w:rPr>
          <w:rFonts w:hint="eastAsia" w:ascii="Times New Roman" w:hAnsi="Times New Roman" w:eastAsia="楷体_GB2312" w:cs="楷体_GB2312"/>
          <w:b/>
          <w:color w:val="auto"/>
          <w:sz w:val="32"/>
          <w:szCs w:val="32"/>
          <w:highlight w:val="none"/>
        </w:rPr>
      </w:pPr>
      <w:bookmarkStart w:id="56" w:name="_Toc15377224"/>
      <w:r>
        <w:rPr>
          <w:rFonts w:hint="eastAsia" w:ascii="Times New Roman" w:hAnsi="Times New Roman" w:eastAsia="楷体_GB2312" w:cs="楷体_GB2312"/>
          <w:b/>
          <w:color w:val="auto"/>
          <w:sz w:val="32"/>
          <w:szCs w:val="32"/>
          <w:highlight w:val="none"/>
        </w:rPr>
        <w:t>（三）国有资产占有使用情况</w:t>
      </w:r>
      <w:bookmarkEnd w:id="56"/>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eastAsia="仿宋_GB2312"/>
          <w:color w:val="auto"/>
          <w:sz w:val="32"/>
          <w:szCs w:val="32"/>
          <w:highlight w:val="none"/>
          <w:lang w:eastAsia="zh-CN"/>
        </w:rPr>
        <w:t>壤塘县财政局</w:t>
      </w:r>
      <w:r>
        <w:rPr>
          <w:rFonts w:hint="eastAsia" w:ascii="仿宋_GB2312" w:eastAsia="仿宋_GB2312"/>
          <w:color w:val="auto"/>
          <w:sz w:val="32"/>
          <w:szCs w:val="32"/>
          <w:highlight w:val="none"/>
        </w:rPr>
        <w:t>共有车辆</w:t>
      </w:r>
      <w:r>
        <w:rPr>
          <w:rFonts w:hint="eastAsia" w:ascii="仿宋_GB2312" w:eastAsia="仿宋_GB2312"/>
          <w:color w:val="auto"/>
          <w:sz w:val="32"/>
          <w:szCs w:val="32"/>
          <w:highlight w:val="none"/>
          <w:lang w:val="en-US" w:eastAsia="zh-CN"/>
        </w:rPr>
        <w:t>3</w:t>
      </w:r>
      <w:r>
        <w:rPr>
          <w:rFonts w:hint="eastAsia" w:ascii="仿宋_GB2312" w:eastAsia="仿宋_GB2312"/>
          <w:color w:val="auto"/>
          <w:sz w:val="32"/>
          <w:szCs w:val="32"/>
          <w:highlight w:val="none"/>
        </w:rPr>
        <w:t>辆，其中：主要领导干部用车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辆、其他用车</w:t>
      </w: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其他用车主要是用于</w:t>
      </w:r>
      <w:r>
        <w:rPr>
          <w:rFonts w:hint="eastAsia" w:ascii="仿宋_GB2312" w:eastAsia="仿宋_GB2312"/>
          <w:color w:val="auto"/>
          <w:sz w:val="32"/>
          <w:szCs w:val="32"/>
          <w:highlight w:val="none"/>
          <w:lang w:eastAsia="zh-CN"/>
        </w:rPr>
        <w:t>全单位干部出差、下乡使用</w:t>
      </w:r>
      <w:r>
        <w:rPr>
          <w:rFonts w:hint="eastAsia" w:ascii="Times New Roman" w:hAnsi="Times New Roman" w:eastAsia="仿宋_GB2312" w:cs="仿宋_GB2312"/>
          <w:color w:val="auto"/>
          <w:kern w:val="2"/>
          <w:sz w:val="32"/>
          <w:szCs w:val="32"/>
          <w:highlight w:val="none"/>
          <w:lang w:val="en-US" w:eastAsia="zh-CN" w:bidi="ar-SA"/>
        </w:rPr>
        <w:t>。</w:t>
      </w:r>
    </w:p>
    <w:p>
      <w:pPr>
        <w:pageBreakBefore w:val="0"/>
        <w:kinsoku/>
        <w:wordWrap/>
        <w:overflowPunct/>
        <w:topLinePunct w:val="0"/>
        <w:autoSpaceDE/>
        <w:autoSpaceDN/>
        <w:bidi w:val="0"/>
        <w:spacing w:line="560" w:lineRule="exact"/>
        <w:ind w:firstLine="642" w:firstLineChars="20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壤塘县财政局</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全县代理记账费用</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671.20</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个项目开展绩效监控。</w:t>
      </w:r>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壤塘县财政局2025年部门整体支出</w:t>
      </w:r>
      <w:r>
        <w:rPr>
          <w:rFonts w:hint="eastAsia" w:ascii="Times New Roman" w:hAnsi="Times New Roman" w:eastAsia="仿宋_GB2312" w:cs="仿宋_GB2312"/>
          <w:color w:val="auto"/>
          <w:kern w:val="2"/>
          <w:sz w:val="32"/>
          <w:szCs w:val="32"/>
          <w:highlight w:val="none"/>
          <w:lang w:val="en-US" w:eastAsia="zh-CN" w:bidi="ar-SA"/>
        </w:rPr>
        <w:t>绩效自评报告、</w:t>
      </w:r>
      <w:r>
        <w:rPr>
          <w:rFonts w:hint="eastAsia" w:eastAsia="仿宋_GB2312" w:cs="仿宋_GB2312"/>
          <w:color w:val="auto"/>
          <w:kern w:val="2"/>
          <w:sz w:val="32"/>
          <w:szCs w:val="32"/>
          <w:highlight w:val="none"/>
          <w:lang w:val="en-US" w:eastAsia="zh-CN" w:bidi="ar-SA"/>
        </w:rPr>
        <w:t>全县代理记账费用绩效评价报告</w:t>
      </w:r>
      <w:r>
        <w:rPr>
          <w:rFonts w:hint="eastAsia" w:ascii="Times New Roman" w:hAnsi="Times New Roman" w:eastAsia="仿宋_GB2312" w:cs="仿宋_GB2312"/>
          <w:color w:val="auto"/>
          <w:kern w:val="2"/>
          <w:sz w:val="32"/>
          <w:szCs w:val="32"/>
          <w:highlight w:val="none"/>
          <w:lang w:val="en-US" w:eastAsia="zh-CN" w:bidi="ar-SA"/>
        </w:rPr>
        <w:t>等专项预算项目绩效自评报告，其中，</w:t>
      </w:r>
      <w:r>
        <w:rPr>
          <w:rFonts w:hint="eastAsia" w:eastAsia="仿宋_GB2312" w:cs="仿宋_GB2312"/>
          <w:color w:val="auto"/>
          <w:kern w:val="2"/>
          <w:sz w:val="32"/>
          <w:szCs w:val="32"/>
          <w:highlight w:val="none"/>
          <w:lang w:val="en-US" w:eastAsia="zh-CN" w:bidi="ar-SA"/>
        </w:rPr>
        <w:t>壤塘县财政局2025年部门整体支出</w:t>
      </w:r>
      <w:r>
        <w:rPr>
          <w:rFonts w:hint="eastAsia" w:ascii="Times New Roman" w:hAnsi="Times New Roman" w:eastAsia="仿宋_GB2312" w:cs="仿宋_GB2312"/>
          <w:color w:val="auto"/>
          <w:kern w:val="2"/>
          <w:sz w:val="32"/>
          <w:szCs w:val="32"/>
          <w:highlight w:val="none"/>
          <w:lang w:val="en-US" w:eastAsia="zh-CN" w:bidi="ar-SA"/>
        </w:rPr>
        <w:t>绩效自评得分为</w:t>
      </w:r>
      <w:r>
        <w:rPr>
          <w:rFonts w:hint="eastAsia" w:eastAsia="仿宋_GB2312" w:cs="仿宋_GB2312"/>
          <w:color w:val="auto"/>
          <w:kern w:val="2"/>
          <w:sz w:val="32"/>
          <w:szCs w:val="32"/>
          <w:highlight w:val="none"/>
          <w:lang w:val="en-US" w:eastAsia="zh-CN" w:bidi="ar-SA"/>
        </w:rPr>
        <w:t>89</w:t>
      </w:r>
      <w:r>
        <w:rPr>
          <w:rFonts w:hint="eastAsia" w:ascii="Times New Roman" w:hAnsi="Times New Roman" w:eastAsia="仿宋_GB2312" w:cs="仿宋_GB2312"/>
          <w:color w:val="auto"/>
          <w:kern w:val="2"/>
          <w:sz w:val="32"/>
          <w:szCs w:val="32"/>
          <w:highlight w:val="none"/>
          <w:lang w:val="en-US" w:eastAsia="zh-CN" w:bidi="ar-SA"/>
        </w:rPr>
        <w:t>分；</w:t>
      </w:r>
      <w:r>
        <w:rPr>
          <w:rFonts w:hint="eastAsia" w:eastAsia="仿宋_GB2312" w:cs="仿宋_GB2312"/>
          <w:color w:val="auto"/>
          <w:kern w:val="2"/>
          <w:sz w:val="32"/>
          <w:szCs w:val="32"/>
          <w:highlight w:val="none"/>
          <w:lang w:val="en-US" w:eastAsia="zh-CN" w:bidi="ar-SA"/>
        </w:rPr>
        <w:t>组织对17个项目开展了绩效自评，如全县代理记账费用</w:t>
      </w:r>
      <w:r>
        <w:rPr>
          <w:rFonts w:hint="eastAsia" w:ascii="Times New Roman" w:hAnsi="Times New Roman" w:eastAsia="仿宋_GB2312" w:cs="仿宋_GB2312"/>
          <w:color w:val="auto"/>
          <w:kern w:val="2"/>
          <w:sz w:val="32"/>
          <w:szCs w:val="32"/>
          <w:highlight w:val="none"/>
          <w:lang w:val="en-US" w:eastAsia="zh-CN" w:bidi="ar-SA"/>
        </w:rPr>
        <w:t>自评得分为</w:t>
      </w:r>
      <w:r>
        <w:rPr>
          <w:rFonts w:hint="eastAsia" w:eastAsia="仿宋_GB2312" w:cs="仿宋_GB2312"/>
          <w:color w:val="auto"/>
          <w:kern w:val="2"/>
          <w:sz w:val="32"/>
          <w:szCs w:val="32"/>
          <w:highlight w:val="none"/>
          <w:lang w:val="en-US" w:eastAsia="zh-CN" w:bidi="ar-SA"/>
        </w:rPr>
        <w:t>87</w:t>
      </w:r>
      <w:r>
        <w:rPr>
          <w:rFonts w:hint="eastAsia" w:ascii="Times New Roman" w:hAnsi="Times New Roman" w:eastAsia="仿宋_GB2312" w:cs="仿宋_GB2312"/>
          <w:color w:val="auto"/>
          <w:kern w:val="2"/>
          <w:sz w:val="32"/>
          <w:szCs w:val="32"/>
          <w:highlight w:val="none"/>
          <w:lang w:val="en-US" w:eastAsia="zh-CN" w:bidi="ar-SA"/>
        </w:rPr>
        <w:t>分，绩效自评报告详见附件。</w:t>
      </w:r>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p>
    <w:p>
      <w:pPr>
        <w:pageBreakBefore w:val="0"/>
        <w:numPr>
          <w:ilvl w:val="0"/>
          <w:numId w:val="0"/>
        </w:numPr>
        <w:kinsoku/>
        <w:wordWrap/>
        <w:overflowPunct/>
        <w:topLinePunct w:val="0"/>
        <w:autoSpaceDE/>
        <w:autoSpaceDN/>
        <w:bidi w:val="0"/>
        <w:spacing w:line="560" w:lineRule="exact"/>
        <w:jc w:val="center"/>
        <w:textAlignment w:val="auto"/>
        <w:outlineLvl w:val="0"/>
        <w:rPr>
          <w:rFonts w:hint="eastAsia" w:ascii="Times New Roman" w:hAnsi="Times New Roman" w:eastAsia="黑体"/>
          <w:color w:val="auto"/>
          <w:sz w:val="44"/>
          <w:szCs w:val="44"/>
          <w:highlight w:val="none"/>
        </w:rPr>
      </w:pPr>
      <w:bookmarkStart w:id="57" w:name="_Toc15396613"/>
      <w:bookmarkStart w:id="58" w:name="_Toc41863451"/>
      <w:bookmarkStart w:id="59"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7"/>
      <w:bookmarkEnd w:id="58"/>
      <w:bookmarkEnd w:id="59"/>
    </w:p>
    <w:p>
      <w:pPr>
        <w:pageBreakBefore w:val="0"/>
        <w:kinsoku/>
        <w:wordWrap/>
        <w:overflowPunct/>
        <w:topLinePunct w:val="0"/>
        <w:autoSpaceDE/>
        <w:autoSpaceDN/>
        <w:bidi w:val="0"/>
        <w:spacing w:line="560" w:lineRule="exact"/>
        <w:jc w:val="left"/>
        <w:textAlignment w:val="auto"/>
        <w:rPr>
          <w:rFonts w:ascii="Times New Roman" w:hAnsi="Times New Roman"/>
          <w:b/>
          <w:color w:val="auto"/>
          <w:sz w:val="44"/>
          <w:szCs w:val="44"/>
          <w:highlight w:val="none"/>
        </w:rPr>
      </w:pPr>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.年末结转和结余：指单位按有关规定结转到下年或以后年度继续使用的资金。</w:t>
      </w:r>
    </w:p>
    <w:p>
      <w:pPr>
        <w:pageBreakBefore w:val="0"/>
        <w:kinsoku/>
        <w:wordWrap/>
        <w:overflowPunct/>
        <w:topLinePunct w:val="0"/>
        <w:autoSpaceDE/>
        <w:autoSpaceDN/>
        <w:bidi w:val="0"/>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5</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一般公共服务（类）</w:t>
      </w:r>
      <w:r>
        <w:rPr>
          <w:rFonts w:hint="eastAsia" w:ascii="仿宋_GB2312" w:eastAsia="仿宋_GB2312"/>
          <w:color w:val="auto"/>
          <w:sz w:val="32"/>
          <w:szCs w:val="32"/>
          <w:highlight w:val="none"/>
          <w:lang w:eastAsia="zh-CN"/>
        </w:rPr>
        <w:t>社会工作事务</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行政运行</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行政单位（包括实行公务员管理的事业单位）的基本支出</w:t>
      </w:r>
      <w:r>
        <w:rPr>
          <w:rFonts w:hint="eastAsia" w:ascii="仿宋_GB2312" w:eastAsia="仿宋_GB2312"/>
          <w:color w:val="auto"/>
          <w:sz w:val="32"/>
          <w:szCs w:val="32"/>
          <w:highlight w:val="none"/>
        </w:rPr>
        <w:t>。</w:t>
      </w:r>
    </w:p>
    <w:p>
      <w:pPr>
        <w:pageBreakBefore w:val="0"/>
        <w:kinsoku/>
        <w:wordWrap/>
        <w:overflowPunct/>
        <w:topLinePunct w:val="0"/>
        <w:autoSpaceDE/>
        <w:autoSpaceDN/>
        <w:bidi w:val="0"/>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6</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一般公共服务（类）</w:t>
      </w:r>
      <w:r>
        <w:rPr>
          <w:rFonts w:hint="eastAsia" w:ascii="仿宋_GB2312" w:eastAsia="仿宋_GB2312"/>
          <w:color w:val="auto"/>
          <w:sz w:val="32"/>
          <w:szCs w:val="32"/>
          <w:highlight w:val="none"/>
          <w:lang w:eastAsia="zh-CN"/>
        </w:rPr>
        <w:t>社会工作事务</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一般行政管理事务</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行政单位（包括实行公务员管理的事业单位）未单独设置项级科目的其他项目支出</w:t>
      </w:r>
      <w:r>
        <w:rPr>
          <w:rFonts w:hint="eastAsia" w:ascii="仿宋_GB2312" w:eastAsia="仿宋_GB2312"/>
          <w:color w:val="auto"/>
          <w:sz w:val="32"/>
          <w:szCs w:val="32"/>
          <w:highlight w:val="none"/>
        </w:rPr>
        <w:t>。</w:t>
      </w:r>
    </w:p>
    <w:p>
      <w:pPr>
        <w:pageBreakBefore w:val="0"/>
        <w:kinsoku/>
        <w:wordWrap/>
        <w:overflowPunct/>
        <w:topLinePunct w:val="0"/>
        <w:autoSpaceDE/>
        <w:autoSpaceDN/>
        <w:bidi w:val="0"/>
        <w:spacing w:line="560" w:lineRule="exact"/>
        <w:ind w:firstLine="640" w:firstLineChars="200"/>
        <w:rPr>
          <w:rFonts w:ascii="仿宋_GB2312" w:eastAsia="仿宋_GB2312"/>
          <w:color w:val="000000"/>
          <w:sz w:val="32"/>
          <w:szCs w:val="32"/>
        </w:rPr>
      </w:pPr>
      <w:r>
        <w:rPr>
          <w:rFonts w:hint="eastAsia" w:ascii="仿宋_GB2312" w:eastAsia="仿宋_GB2312"/>
          <w:color w:val="auto"/>
          <w:sz w:val="32"/>
          <w:szCs w:val="32"/>
          <w:highlight w:val="none"/>
          <w:lang w:val="en-US" w:eastAsia="zh-CN"/>
        </w:rPr>
        <w:t>7</w:t>
      </w:r>
      <w:r>
        <w:rPr>
          <w:rFonts w:ascii="仿宋_GB2312" w:eastAsia="仿宋_GB2312"/>
          <w:color w:val="auto"/>
          <w:sz w:val="32"/>
          <w:szCs w:val="32"/>
          <w:highlight w:val="none"/>
        </w:rPr>
        <w:t>.</w:t>
      </w:r>
      <w:r>
        <w:rPr>
          <w:rFonts w:hint="eastAsia" w:ascii="仿宋_GB2312" w:eastAsia="仿宋_GB2312"/>
          <w:color w:val="000000"/>
          <w:sz w:val="32"/>
          <w:szCs w:val="32"/>
        </w:rPr>
        <w:t>社会保障和就业（类）</w:t>
      </w:r>
      <w:r>
        <w:rPr>
          <w:rFonts w:hint="eastAsia" w:ascii="仿宋" w:eastAsia="仿宋" w:cs="仿宋"/>
          <w:color w:val="000000"/>
          <w:sz w:val="32"/>
          <w:szCs w:val="32"/>
        </w:rPr>
        <w:t>行政事业单位养老支出</w:t>
      </w:r>
      <w:r>
        <w:rPr>
          <w:rFonts w:hint="eastAsia" w:ascii="仿宋_GB2312" w:eastAsia="仿宋_GB2312"/>
          <w:color w:val="000000"/>
          <w:sz w:val="32"/>
          <w:szCs w:val="32"/>
        </w:rPr>
        <w:t>（款）机关事业单位基本养老保险缴费支出（项）：指由单位缴纳的基本养老保险费支出。</w:t>
      </w:r>
    </w:p>
    <w:p>
      <w:pPr>
        <w:pageBreakBefore w:val="0"/>
        <w:kinsoku/>
        <w:wordWrap/>
        <w:overflowPunct/>
        <w:topLinePunct w:val="0"/>
        <w:autoSpaceDE/>
        <w:autoSpaceDN/>
        <w:bidi w:val="0"/>
        <w:spacing w:line="560" w:lineRule="exact"/>
        <w:ind w:firstLine="640" w:firstLineChars="200"/>
        <w:rPr>
          <w:rFonts w:ascii="仿宋_GB2312" w:eastAsia="仿宋_GB2312"/>
          <w:color w:val="000000"/>
          <w:sz w:val="32"/>
          <w:szCs w:val="32"/>
        </w:rPr>
      </w:pPr>
      <w:r>
        <w:rPr>
          <w:rFonts w:hint="eastAsia" w:ascii="仿宋_GB2312" w:eastAsia="仿宋_GB2312"/>
          <w:color w:val="auto"/>
          <w:sz w:val="32"/>
          <w:szCs w:val="32"/>
          <w:highlight w:val="none"/>
          <w:lang w:val="en-US" w:eastAsia="zh-CN"/>
        </w:rPr>
        <w:t>8</w:t>
      </w:r>
      <w:r>
        <w:rPr>
          <w:rFonts w:ascii="仿宋_GB2312" w:eastAsia="仿宋_GB2312"/>
          <w:color w:val="auto"/>
          <w:sz w:val="32"/>
          <w:szCs w:val="32"/>
          <w:highlight w:val="none"/>
        </w:rPr>
        <w:t>.</w:t>
      </w:r>
      <w:r>
        <w:rPr>
          <w:rFonts w:hint="eastAsia" w:ascii="仿宋_GB2312" w:eastAsia="仿宋_GB2312"/>
          <w:color w:val="000000"/>
          <w:sz w:val="32"/>
          <w:szCs w:val="32"/>
        </w:rPr>
        <w:t>社会保障和就业（类）</w:t>
      </w:r>
      <w:r>
        <w:rPr>
          <w:rFonts w:hint="eastAsia" w:ascii="仿宋" w:eastAsia="仿宋" w:cs="仿宋"/>
          <w:color w:val="000000"/>
          <w:sz w:val="32"/>
          <w:szCs w:val="32"/>
        </w:rPr>
        <w:t>行政事业单位养老支出</w:t>
      </w:r>
      <w:r>
        <w:rPr>
          <w:rFonts w:hint="eastAsia" w:ascii="仿宋_GB2312" w:eastAsia="仿宋_GB2312"/>
          <w:color w:val="000000"/>
          <w:sz w:val="32"/>
          <w:szCs w:val="32"/>
        </w:rPr>
        <w:t>（款）机关事业单位职业年金缴费支出（项）：指机关事业单位实施养老保险制度由单位实际缴纳的职业年金。</w:t>
      </w:r>
    </w:p>
    <w:p>
      <w:pPr>
        <w:pageBreakBefore w:val="0"/>
        <w:kinsoku/>
        <w:wordWrap/>
        <w:overflowPunct/>
        <w:topLinePunct w:val="0"/>
        <w:autoSpaceDE/>
        <w:autoSpaceDN/>
        <w:bidi w:val="0"/>
        <w:spacing w:line="560" w:lineRule="exact"/>
        <w:ind w:firstLine="640" w:firstLineChars="200"/>
        <w:rPr>
          <w:rFonts w:ascii="仿宋_GB2312" w:eastAsia="仿宋_GB2312"/>
          <w:sz w:val="32"/>
          <w:szCs w:val="32"/>
        </w:rPr>
      </w:pPr>
      <w:r>
        <w:rPr>
          <w:rFonts w:hint="eastAsia" w:ascii="仿宋_GB2312" w:eastAsia="仿宋_GB2312"/>
          <w:color w:val="auto"/>
          <w:sz w:val="32"/>
          <w:szCs w:val="32"/>
          <w:highlight w:val="none"/>
          <w:lang w:val="en-US" w:eastAsia="zh-CN"/>
        </w:rPr>
        <w:t>9</w:t>
      </w:r>
      <w:r>
        <w:rPr>
          <w:rFonts w:ascii="仿宋_GB2312" w:eastAsia="仿宋_GB2312"/>
          <w:color w:val="auto"/>
          <w:sz w:val="32"/>
          <w:szCs w:val="32"/>
          <w:highlight w:val="none"/>
        </w:rPr>
        <w:t>.</w:t>
      </w:r>
      <w:r>
        <w:rPr>
          <w:rFonts w:hint="eastAsia" w:ascii="仿宋_GB2312" w:eastAsia="仿宋_GB2312"/>
          <w:sz w:val="32"/>
          <w:szCs w:val="32"/>
        </w:rPr>
        <w:t>卫生健康（类）行政事业单位医疗（款）行政单位医疗（项）：</w:t>
      </w:r>
      <w:r>
        <w:rPr>
          <w:rFonts w:hint="eastAsia" w:ascii="仿宋_GB2312" w:eastAsia="仿宋_GB2312"/>
          <w:sz w:val="32"/>
          <w:szCs w:val="32"/>
          <w:lang w:eastAsia="zh-CN"/>
        </w:rPr>
        <w:t>反映单位为职工缴纳的基本医疗保险（含生育保险）费</w:t>
      </w:r>
      <w:r>
        <w:rPr>
          <w:rFonts w:hint="eastAsia" w:ascii="仿宋_GB2312" w:eastAsia="仿宋_GB2312"/>
          <w:sz w:val="32"/>
          <w:szCs w:val="32"/>
        </w:rPr>
        <w:t>。</w:t>
      </w:r>
    </w:p>
    <w:p>
      <w:pPr>
        <w:pageBreakBefore w:val="0"/>
        <w:kinsoku/>
        <w:wordWrap/>
        <w:overflowPunct/>
        <w:topLinePunct w:val="0"/>
        <w:autoSpaceDE/>
        <w:autoSpaceDN/>
        <w:bidi w:val="0"/>
        <w:spacing w:line="560" w:lineRule="exact"/>
        <w:ind w:firstLine="640" w:firstLineChars="200"/>
        <w:rPr>
          <w:rFonts w:ascii="仿宋_GB2312" w:eastAsia="仿宋_GB2312"/>
          <w:sz w:val="32"/>
          <w:szCs w:val="32"/>
        </w:rPr>
      </w:pPr>
      <w:r>
        <w:rPr>
          <w:rFonts w:hint="eastAsia" w:ascii="仿宋_GB2312" w:eastAsia="仿宋_GB2312"/>
          <w:color w:val="auto"/>
          <w:sz w:val="32"/>
          <w:szCs w:val="32"/>
          <w:highlight w:val="none"/>
          <w:lang w:val="en-US" w:eastAsia="zh-CN"/>
        </w:rPr>
        <w:t>10</w:t>
      </w:r>
      <w:r>
        <w:rPr>
          <w:rFonts w:ascii="仿宋_GB2312" w:eastAsia="仿宋_GB2312"/>
          <w:color w:val="auto"/>
          <w:sz w:val="32"/>
          <w:szCs w:val="32"/>
          <w:highlight w:val="none"/>
        </w:rPr>
        <w:t>.</w:t>
      </w:r>
      <w:r>
        <w:rPr>
          <w:rFonts w:hint="eastAsia" w:ascii="仿宋_GB2312" w:eastAsia="仿宋_GB2312"/>
          <w:sz w:val="32"/>
          <w:szCs w:val="32"/>
        </w:rPr>
        <w:t>卫生健康（类）行政事业单位医疗（款）公务员医疗补助（项）：指反映财政部门安排的公务员医疗补助经费。</w:t>
      </w:r>
    </w:p>
    <w:p>
      <w:pPr>
        <w:pageBreakBefore w:val="0"/>
        <w:kinsoku/>
        <w:wordWrap/>
        <w:overflowPunct/>
        <w:topLinePunct w:val="0"/>
        <w:autoSpaceDE/>
        <w:autoSpaceDN/>
        <w:bidi w:val="0"/>
        <w:spacing w:line="560" w:lineRule="exact"/>
        <w:ind w:firstLine="640" w:firstLineChars="200"/>
        <w:rPr>
          <w:rFonts w:ascii="仿宋_GB2312" w:eastAsia="仿宋_GB2312"/>
          <w:color w:val="000000"/>
          <w:sz w:val="32"/>
          <w:szCs w:val="32"/>
        </w:rPr>
      </w:pPr>
      <w:r>
        <w:rPr>
          <w:rFonts w:hint="eastAsia" w:ascii="仿宋_GB2312" w:eastAsia="仿宋_GB2312"/>
          <w:color w:val="auto"/>
          <w:sz w:val="32"/>
          <w:szCs w:val="32"/>
          <w:highlight w:val="none"/>
          <w:lang w:val="en-US" w:eastAsia="zh-CN"/>
        </w:rPr>
        <w:t>11</w:t>
      </w:r>
      <w:r>
        <w:rPr>
          <w:rFonts w:ascii="仿宋_GB2312" w:eastAsia="仿宋_GB2312"/>
          <w:color w:val="auto"/>
          <w:sz w:val="32"/>
          <w:szCs w:val="32"/>
          <w:highlight w:val="none"/>
        </w:rPr>
        <w:t>.</w:t>
      </w:r>
      <w:r>
        <w:rPr>
          <w:rFonts w:hint="eastAsia" w:ascii="仿宋_GB2312" w:eastAsia="仿宋_GB2312"/>
          <w:color w:val="000000"/>
          <w:sz w:val="32"/>
          <w:szCs w:val="32"/>
        </w:rPr>
        <w:t>住房保障支出（类）住房改革支出（款）住房公积金（项）：指行政事业单位</w:t>
      </w:r>
      <w:r>
        <w:rPr>
          <w:rFonts w:hint="eastAsia" w:ascii="仿宋_GB2312" w:eastAsia="仿宋_GB2312"/>
          <w:color w:val="000000"/>
          <w:sz w:val="32"/>
          <w:szCs w:val="32"/>
          <w:lang w:eastAsia="zh-CN"/>
        </w:rPr>
        <w:t>按照</w:t>
      </w:r>
      <w:r>
        <w:rPr>
          <w:rFonts w:hint="eastAsia" w:ascii="仿宋_GB2312" w:eastAsia="仿宋_GB2312"/>
          <w:color w:val="000000"/>
          <w:sz w:val="32"/>
          <w:szCs w:val="32"/>
        </w:rPr>
        <w:t>工资比例为职工缴纳的住房公积金。</w:t>
      </w:r>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ageBreakBefore w:val="0"/>
        <w:kinsoku/>
        <w:wordWrap/>
        <w:overflowPunct/>
        <w:topLinePunct w:val="0"/>
        <w:autoSpaceDE/>
        <w:autoSpaceDN/>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ageBreakBefore w:val="0"/>
        <w:kinsoku/>
        <w:wordWrap/>
        <w:overflowPunct/>
        <w:topLinePunct w:val="0"/>
        <w:autoSpaceDE/>
        <w:autoSpaceDN/>
        <w:bidi w:val="0"/>
        <w:spacing w:line="560" w:lineRule="exact"/>
        <w:jc w:val="center"/>
        <w:textAlignment w:val="auto"/>
        <w:rPr>
          <w:rStyle w:val="28"/>
          <w:rFonts w:hint="eastAsia" w:ascii="Times New Roman" w:hAnsi="Times New Roman" w:eastAsia="黑体"/>
          <w:b w:val="0"/>
          <w:color w:val="auto"/>
          <w:highlight w:val="none"/>
          <w:lang w:eastAsia="zh-CN"/>
        </w:rPr>
      </w:pPr>
      <w:bookmarkStart w:id="60"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61"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1"/>
    </w:p>
    <w:p>
      <w:pPr>
        <w:keepNext w:val="0"/>
        <w:keepLines w:val="0"/>
        <w:pageBreakBefore w:val="0"/>
        <w:kinsoku/>
        <w:wordWrap/>
        <w:overflowPunct/>
        <w:topLinePunct w:val="0"/>
        <w:autoSpaceDE/>
        <w:autoSpaceDN/>
        <w:bidi w:val="0"/>
        <w:spacing w:line="560"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60"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bookmarkStart w:id="62" w:name="_Toc503785747"/>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62"/>
    </w:p>
    <w:p>
      <w:pPr>
        <w:keepNext w:val="0"/>
        <w:keepLines w:val="0"/>
        <w:pageBreakBefore w:val="0"/>
        <w:widowControl/>
        <w:kinsoku/>
        <w:wordWrap/>
        <w:overflowPunct/>
        <w:topLinePunct w:val="0"/>
        <w:autoSpaceDE/>
        <w:autoSpaceDN/>
        <w:bidi w:val="0"/>
        <w:spacing w:line="560"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60" w:lineRule="exact"/>
        <w:contextualSpacing/>
        <w:jc w:val="center"/>
        <w:textAlignment w:val="auto"/>
        <w:outlineLvl w:val="9"/>
        <w:rPr>
          <w:rFonts w:hint="eastAsia" w:eastAsia="方正小标宋简体" w:cs="Times New Roman"/>
          <w:b w:val="0"/>
          <w:bCs/>
          <w:sz w:val="44"/>
          <w:szCs w:val="44"/>
          <w:highlight w:val="none"/>
          <w:shd w:val="clear" w:color="auto" w:fill="FFFFFF"/>
          <w:lang w:val="en-US" w:eastAsia="zh-CN"/>
        </w:rPr>
      </w:pPr>
      <w:r>
        <w:rPr>
          <w:rFonts w:hint="eastAsia" w:eastAsia="方正小标宋简体" w:cs="Times New Roman"/>
          <w:b w:val="0"/>
          <w:bCs/>
          <w:sz w:val="44"/>
          <w:szCs w:val="44"/>
          <w:highlight w:val="none"/>
          <w:shd w:val="clear" w:color="auto" w:fill="FFFFFF"/>
          <w:lang w:eastAsia="zh-CN"/>
        </w:rPr>
        <w:t>壤塘县财政局</w:t>
      </w:r>
      <w:r>
        <w:rPr>
          <w:rFonts w:hint="eastAsia" w:eastAsia="方正小标宋简体" w:cs="Times New Roman"/>
          <w:b w:val="0"/>
          <w:bCs/>
          <w:sz w:val="44"/>
          <w:szCs w:val="44"/>
          <w:highlight w:val="none"/>
          <w:shd w:val="clear" w:color="auto" w:fill="FFFFFF"/>
          <w:lang w:val="en-US" w:eastAsia="zh-CN"/>
        </w:rPr>
        <w:t>2025年部门整体支出</w:t>
      </w:r>
    </w:p>
    <w:p>
      <w:pPr>
        <w:keepNext w:val="0"/>
        <w:keepLines w:val="0"/>
        <w:pageBreakBefore w:val="0"/>
        <w:widowControl/>
        <w:kinsoku/>
        <w:wordWrap/>
        <w:overflowPunct/>
        <w:topLinePunct w:val="0"/>
        <w:autoSpaceDE/>
        <w:autoSpaceDN/>
        <w:bidi w:val="0"/>
        <w:spacing w:line="560"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lang w:val="en-US" w:eastAsia="zh-CN"/>
        </w:rPr>
      </w:pPr>
      <w:r>
        <w:rPr>
          <w:rFonts w:hint="eastAsia" w:eastAsia="方正小标宋简体" w:cs="Times New Roman"/>
          <w:b w:val="0"/>
          <w:bCs/>
          <w:sz w:val="44"/>
          <w:szCs w:val="44"/>
          <w:highlight w:val="none"/>
          <w:shd w:val="clear" w:color="auto" w:fill="FFFFFF"/>
          <w:lang w:val="en-US" w:eastAsia="zh-CN"/>
        </w:rPr>
        <w:t>绩效自评报告</w:t>
      </w:r>
    </w:p>
    <w:p>
      <w:pPr>
        <w:keepNext w:val="0"/>
        <w:keepLines w:val="0"/>
        <w:pageBreakBefore w:val="0"/>
        <w:widowControl/>
        <w:kinsoku/>
        <w:wordWrap/>
        <w:overflowPunct/>
        <w:topLinePunct w:val="0"/>
        <w:autoSpaceDE/>
        <w:autoSpaceDN/>
        <w:bidi w:val="0"/>
        <w:adjustRightInd w:val="0"/>
        <w:snapToGrid w:val="0"/>
        <w:spacing w:line="560"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left"/>
        <w:textAlignment w:val="auto"/>
        <w:outlineLvl w:val="9"/>
        <w:rPr>
          <w:rFonts w:hint="default"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p>
    <w:p>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cs="Times New Roman"/>
          <w:szCs w:val="32"/>
        </w:rPr>
      </w:pPr>
      <w:r>
        <w:rPr>
          <w:rFonts w:hint="default" w:ascii="Times New Roman" w:hAnsi="Times New Roman" w:eastAsia="仿宋_GB2312" w:cs="Times New Roman"/>
          <w:color w:val="000000"/>
          <w:sz w:val="32"/>
          <w:szCs w:val="32"/>
          <w:highlight w:val="none"/>
        </w:rPr>
        <w:t>壤塘县财政局属行政机构一级预算单位。机构组成：办公室、预算股、国库股、企业和经济建设股、行政政法股、农业农村</w:t>
      </w:r>
      <w:r>
        <w:rPr>
          <w:rFonts w:hint="default" w:ascii="Times New Roman" w:hAnsi="Times New Roman" w:cs="Times New Roman"/>
          <w:color w:val="000000"/>
          <w:sz w:val="32"/>
          <w:szCs w:val="32"/>
          <w:highlight w:val="none"/>
          <w:lang w:eastAsia="zh-CN"/>
        </w:rPr>
        <w:t>和投资管理股</w:t>
      </w:r>
      <w:r>
        <w:rPr>
          <w:rFonts w:hint="default" w:ascii="Times New Roman" w:hAnsi="Times New Roman" w:eastAsia="仿宋_GB2312" w:cs="Times New Roman"/>
          <w:color w:val="000000"/>
          <w:sz w:val="32"/>
          <w:szCs w:val="32"/>
          <w:highlight w:val="none"/>
        </w:rPr>
        <w:t>、社会保障和科教文股、财政监督与绩效管理股</w:t>
      </w:r>
      <w:r>
        <w:rPr>
          <w:rFonts w:hint="default" w:ascii="Times New Roman" w:hAnsi="Times New Roman"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财政</w:t>
      </w:r>
      <w:r>
        <w:rPr>
          <w:rFonts w:hint="default" w:ascii="Times New Roman" w:hAnsi="Times New Roman" w:cs="Times New Roman"/>
          <w:color w:val="000000"/>
          <w:sz w:val="32"/>
          <w:szCs w:val="32"/>
          <w:highlight w:val="none"/>
          <w:lang w:eastAsia="zh-CN"/>
        </w:rPr>
        <w:t>投资</w:t>
      </w:r>
      <w:r>
        <w:rPr>
          <w:rFonts w:hint="default" w:ascii="Times New Roman" w:hAnsi="Times New Roman" w:eastAsia="仿宋_GB2312" w:cs="Times New Roman"/>
          <w:color w:val="000000"/>
          <w:sz w:val="32"/>
          <w:szCs w:val="32"/>
          <w:highlight w:val="none"/>
        </w:rPr>
        <w:t>评审中心、</w:t>
      </w:r>
      <w:r>
        <w:rPr>
          <w:rFonts w:hint="default" w:ascii="Times New Roman" w:hAnsi="Times New Roman" w:cs="Times New Roman"/>
          <w:color w:val="000000"/>
          <w:sz w:val="32"/>
          <w:szCs w:val="32"/>
          <w:highlight w:val="none"/>
          <w:lang w:eastAsia="zh-CN"/>
        </w:rPr>
        <w:t>县</w:t>
      </w:r>
      <w:r>
        <w:rPr>
          <w:rFonts w:hint="default" w:ascii="Times New Roman" w:hAnsi="Times New Roman" w:eastAsia="仿宋_GB2312" w:cs="Times New Roman"/>
          <w:color w:val="000000"/>
          <w:sz w:val="32"/>
          <w:szCs w:val="32"/>
          <w:highlight w:val="none"/>
        </w:rPr>
        <w:t>国有资产管理中心、政府采购监督管理</w:t>
      </w:r>
      <w:r>
        <w:rPr>
          <w:rFonts w:hint="default" w:ascii="Times New Roman" w:hAnsi="Times New Roman" w:cs="Times New Roman"/>
          <w:color w:val="000000"/>
          <w:sz w:val="32"/>
          <w:szCs w:val="32"/>
          <w:highlight w:val="none"/>
          <w:lang w:eastAsia="zh-CN"/>
        </w:rPr>
        <w:t>股</w:t>
      </w:r>
      <w:r>
        <w:rPr>
          <w:rFonts w:hint="default" w:ascii="Times New Roman" w:hAnsi="Times New Roman" w:eastAsia="仿宋_GB2312" w:cs="Times New Roman"/>
          <w:color w:val="000000"/>
          <w:sz w:val="32"/>
          <w:szCs w:val="32"/>
          <w:highlight w:val="none"/>
        </w:rPr>
        <w:t>、财政国库集中支付中心、</w:t>
      </w:r>
      <w:r>
        <w:rPr>
          <w:rFonts w:hint="default" w:ascii="Times New Roman" w:hAnsi="Times New Roman" w:cs="Times New Roman"/>
          <w:color w:val="000000"/>
          <w:sz w:val="32"/>
          <w:szCs w:val="32"/>
          <w:highlight w:val="none"/>
          <w:lang w:eastAsia="zh-CN"/>
        </w:rPr>
        <w:t>县</w:t>
      </w:r>
      <w:r>
        <w:rPr>
          <w:rFonts w:hint="default" w:ascii="Times New Roman" w:hAnsi="Times New Roman" w:eastAsia="仿宋_GB2312" w:cs="Times New Roman"/>
          <w:color w:val="000000"/>
          <w:sz w:val="32"/>
          <w:szCs w:val="32"/>
          <w:highlight w:val="none"/>
        </w:rPr>
        <w:t>金融中心。</w:t>
      </w:r>
    </w:p>
    <w:p>
      <w:pPr>
        <w:keepNext w:val="0"/>
        <w:keepLines w:val="0"/>
        <w:pageBreakBefore w:val="0"/>
        <w:widowControl/>
        <w:numPr>
          <w:ilvl w:val="0"/>
          <w:numId w:val="2"/>
        </w:numPr>
        <w:kinsoku/>
        <w:wordWrap/>
        <w:overflowPunct/>
        <w:topLinePunct w:val="0"/>
        <w:autoSpaceDE/>
        <w:autoSpaceDN/>
        <w:bidi w:val="0"/>
        <w:adjustRightInd w:val="0"/>
        <w:snapToGrid w:val="0"/>
        <w:spacing w:line="560" w:lineRule="exact"/>
        <w:ind w:firstLine="642"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default" w:ascii="Times New Roman" w:hAnsi="Times New Roman" w:eastAsia="楷体_GB2312" w:cs="楷体_GB2312"/>
          <w:b/>
          <w:color w:val="auto"/>
          <w:sz w:val="32"/>
          <w:szCs w:val="32"/>
          <w:highlight w:val="none"/>
          <w:lang w:val="zh-CN"/>
        </w:rPr>
        <w:t>机构职能</w:t>
      </w:r>
      <w:r>
        <w:rPr>
          <w:rFonts w:hint="eastAsia" w:ascii="Times New Roman" w:hAnsi="Times New Roman" w:eastAsia="楷体_GB2312" w:cs="楷体_GB2312"/>
          <w:b/>
          <w:color w:val="auto"/>
          <w:sz w:val="32"/>
          <w:szCs w:val="32"/>
          <w:highlight w:val="none"/>
          <w:lang w:val="zh-CN"/>
        </w:rPr>
        <w:t>。</w:t>
      </w:r>
    </w:p>
    <w:p>
      <w:pPr>
        <w:keepNext w:val="0"/>
        <w:keepLines w:val="0"/>
        <w:pageBreakBefore w:val="0"/>
        <w:kinsoku/>
        <w:wordWrap/>
        <w:overflowPunct/>
        <w:topLinePunct w:val="0"/>
        <w:autoSpaceDE/>
        <w:autoSpaceDN/>
        <w:bidi w:val="0"/>
        <w:snapToGrid w:val="0"/>
        <w:spacing w:beforeAutospacing="0" w:afterAutospacing="0"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（1）贯彻执行国家预算、税收、财务、会计等有关政策、法规、法令、规章制度，指导乡镇财政工作；</w:t>
      </w:r>
      <w:r>
        <w:rPr>
          <w:rFonts w:hint="eastAsia" w:eastAsia="仿宋_GB2312" w:cs="Times New Roman"/>
          <w:sz w:val="32"/>
          <w:szCs w:val="32"/>
          <w:lang w:eastAsia="zh-CN"/>
        </w:rPr>
        <w:t>拟订</w:t>
      </w:r>
      <w:r>
        <w:rPr>
          <w:rFonts w:hint="default" w:ascii="Times New Roman" w:hAnsi="Times New Roman" w:eastAsia="仿宋_GB2312" w:cs="Times New Roman"/>
          <w:sz w:val="32"/>
          <w:szCs w:val="32"/>
        </w:rPr>
        <w:t xml:space="preserve">全县财政预算、地方税收、财务会计管理等有关制度，并监督执行。 </w:t>
      </w:r>
    </w:p>
    <w:p>
      <w:pPr>
        <w:keepNext w:val="0"/>
        <w:keepLines w:val="0"/>
        <w:pageBreakBefore w:val="0"/>
        <w:kinsoku/>
        <w:wordWrap/>
        <w:overflowPunct/>
        <w:topLinePunct w:val="0"/>
        <w:autoSpaceDE/>
        <w:autoSpaceDN/>
        <w:bidi w:val="0"/>
        <w:snapToGrid w:val="0"/>
        <w:spacing w:beforeAutospacing="0" w:afterAutospacing="0"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（2）贯彻执行财政分配政策和财政改革；参与宏观经济分析预测和全县重大宏观经济政策的制定；提出运用财税政策实施宏观经济调控和综合平衡全县财力的建议；制定构建地方公共财政体系的政策、制度。 </w:t>
      </w:r>
    </w:p>
    <w:p>
      <w:pPr>
        <w:keepNext w:val="0"/>
        <w:keepLines w:val="0"/>
        <w:pageBreakBefore w:val="0"/>
        <w:kinsoku/>
        <w:wordWrap/>
        <w:overflowPunct/>
        <w:topLinePunct w:val="0"/>
        <w:autoSpaceDE/>
        <w:autoSpaceDN/>
        <w:bidi w:val="0"/>
        <w:snapToGrid w:val="0"/>
        <w:spacing w:beforeAutospacing="0" w:afterAutospacing="0"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3）拟订全县财政、税收发展战略和中长期财政计划；汇编全县年度财政预（决）算，受县人民政府委托向县人民代表大会报告全县预算草案和预算执行情况，批复部门年度预算；执行县人大批准的县级财政预算，组织、监督县级和乡镇预算的执行；管理和监督全县各项财政收支，负责财政资金的调度和拨付。 </w:t>
      </w:r>
    </w:p>
    <w:p>
      <w:pPr>
        <w:keepNext w:val="0"/>
        <w:keepLines w:val="0"/>
        <w:pageBreakBefore w:val="0"/>
        <w:kinsoku/>
        <w:wordWrap/>
        <w:overflowPunct/>
        <w:topLinePunct w:val="0"/>
        <w:autoSpaceDE/>
        <w:autoSpaceDN/>
        <w:bidi w:val="0"/>
        <w:snapToGrid w:val="0"/>
        <w:spacing w:beforeAutospacing="0" w:afterAutospacing="0"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（4）组织拟订全县国库管理制度、国库集中收付制度，指导和监督国库业务；管理全县财政资金和财政专户，管理有关政府性基金，审查汇编财务收支计划和决算。 </w:t>
      </w:r>
    </w:p>
    <w:p>
      <w:pPr>
        <w:keepNext w:val="0"/>
        <w:keepLines w:val="0"/>
        <w:pageBreakBefore w:val="0"/>
        <w:kinsoku/>
        <w:wordWrap/>
        <w:overflowPunct/>
        <w:topLinePunct w:val="0"/>
        <w:autoSpaceDE/>
        <w:autoSpaceDN/>
        <w:bidi w:val="0"/>
        <w:snapToGrid w:val="0"/>
        <w:spacing w:beforeAutospacing="0" w:afterAutospacing="0"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（5）负责管理国有资产，组织实施国有资产清产核资、产权界定和登记；负责国有资产管理的统计、分析、转让和处置等工作。 </w:t>
      </w:r>
    </w:p>
    <w:p>
      <w:pPr>
        <w:keepNext w:val="0"/>
        <w:keepLines w:val="0"/>
        <w:pageBreakBefore w:val="0"/>
        <w:kinsoku/>
        <w:wordWrap/>
        <w:overflowPunct/>
        <w:topLinePunct w:val="0"/>
        <w:autoSpaceDE/>
        <w:autoSpaceDN/>
        <w:bidi w:val="0"/>
        <w:snapToGrid w:val="0"/>
        <w:spacing w:beforeAutospacing="0" w:afterAutospacing="0"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（6）监督社会保障和就业及医疗卫生财务管理制度的落实，拟订相关财务管理制度，负责全县财政社会保障支出；负责拟订政府采购制度，监督管理全县政府采购工作。 </w:t>
      </w:r>
    </w:p>
    <w:p>
      <w:pPr>
        <w:keepNext w:val="0"/>
        <w:keepLines w:val="0"/>
        <w:pageBreakBefore w:val="0"/>
        <w:kinsoku/>
        <w:wordWrap/>
        <w:overflowPunct/>
        <w:topLinePunct w:val="0"/>
        <w:autoSpaceDE/>
        <w:autoSpaceDN/>
        <w:bidi w:val="0"/>
        <w:snapToGrid w:val="0"/>
        <w:spacing w:beforeAutospacing="0" w:afterAutospacing="0"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（7）贯彻实施国家、省、州对农业投入的法规，加强对农业投入的管理工作，</w:t>
      </w:r>
      <w:r>
        <w:rPr>
          <w:rFonts w:hint="eastAsia" w:eastAsia="仿宋_GB2312" w:cs="Times New Roman"/>
          <w:sz w:val="32"/>
          <w:szCs w:val="32"/>
          <w:lang w:eastAsia="zh-CN"/>
        </w:rPr>
        <w:t>管理</w:t>
      </w:r>
      <w:r>
        <w:rPr>
          <w:rFonts w:hint="default" w:ascii="Times New Roman" w:hAnsi="Times New Roman" w:eastAsia="仿宋_GB2312" w:cs="Times New Roman"/>
          <w:sz w:val="32"/>
          <w:szCs w:val="32"/>
        </w:rPr>
        <w:t>财政</w:t>
      </w:r>
      <w:r>
        <w:rPr>
          <w:rFonts w:hint="eastAsia" w:eastAsia="仿宋_GB2312" w:cs="Times New Roman"/>
          <w:sz w:val="32"/>
          <w:szCs w:val="32"/>
          <w:lang w:eastAsia="zh-CN"/>
        </w:rPr>
        <w:t>常态化帮扶资金</w:t>
      </w:r>
      <w:r>
        <w:rPr>
          <w:rFonts w:hint="default" w:ascii="Times New Roman" w:hAnsi="Times New Roman" w:eastAsia="仿宋_GB2312" w:cs="Times New Roman"/>
          <w:sz w:val="32"/>
          <w:szCs w:val="32"/>
        </w:rPr>
        <w:t xml:space="preserve">。 </w:t>
      </w:r>
    </w:p>
    <w:p>
      <w:pPr>
        <w:keepNext w:val="0"/>
        <w:keepLines w:val="0"/>
        <w:pageBreakBefore w:val="0"/>
        <w:kinsoku/>
        <w:wordWrap/>
        <w:overflowPunct/>
        <w:topLinePunct w:val="0"/>
        <w:autoSpaceDE/>
        <w:autoSpaceDN/>
        <w:bidi w:val="0"/>
        <w:snapToGrid w:val="0"/>
        <w:spacing w:beforeAutospacing="0" w:afterAutospacing="0"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（8）组织实施财政总预算会计制度和单位预算会计制度，监督会计规章制度的执行，指导全县会计工作，会同有关部门组织实施会计专业技术职务资格的考务工作，管理全县会计电算化工作。 </w:t>
      </w:r>
    </w:p>
    <w:p>
      <w:pPr>
        <w:keepNext w:val="0"/>
        <w:keepLines w:val="0"/>
        <w:pageBreakBefore w:val="0"/>
        <w:kinsoku/>
        <w:wordWrap/>
        <w:overflowPunct/>
        <w:topLinePunct w:val="0"/>
        <w:autoSpaceDE/>
        <w:autoSpaceDN/>
        <w:bidi w:val="0"/>
        <w:snapToGrid w:val="0"/>
        <w:spacing w:beforeAutospacing="0" w:afterAutospacing="0"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（9）负责管理全县财政收入，加强非税收入管理；对地方金融机构财务进行监管；负责</w:t>
      </w:r>
      <w:r>
        <w:rPr>
          <w:rFonts w:hint="eastAsia" w:eastAsia="仿宋_GB2312" w:cs="Times New Roman"/>
          <w:sz w:val="32"/>
          <w:szCs w:val="32"/>
          <w:lang w:eastAsia="zh-CN"/>
        </w:rPr>
        <w:t>债券</w:t>
      </w:r>
      <w:r>
        <w:rPr>
          <w:rFonts w:hint="default" w:ascii="Times New Roman" w:hAnsi="Times New Roman" w:eastAsia="仿宋_GB2312" w:cs="Times New Roman"/>
          <w:sz w:val="32"/>
          <w:szCs w:val="32"/>
        </w:rPr>
        <w:t xml:space="preserve">资金的监管工作。 </w:t>
      </w:r>
    </w:p>
    <w:p>
      <w:pPr>
        <w:keepNext w:val="0"/>
        <w:keepLines w:val="0"/>
        <w:pageBreakBefore w:val="0"/>
        <w:kinsoku/>
        <w:wordWrap/>
        <w:overflowPunct/>
        <w:topLinePunct w:val="0"/>
        <w:autoSpaceDE/>
        <w:autoSpaceDN/>
        <w:bidi w:val="0"/>
        <w:snapToGrid w:val="0"/>
        <w:spacing w:beforeAutospacing="0" w:afterAutospacing="0"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（10）负责办理和监督财政性资金支出、政府性投资项目的财政拨款；负责投资评审管理工作，参与拟订政府性建设投资的有关政策；负责有关政策性补贴和专项储备资金财务管理工作。 </w:t>
      </w:r>
    </w:p>
    <w:p>
      <w:pPr>
        <w:keepNext w:val="0"/>
        <w:keepLines w:val="0"/>
        <w:pageBreakBefore w:val="0"/>
        <w:kinsoku/>
        <w:wordWrap/>
        <w:overflowPunct/>
        <w:topLinePunct w:val="0"/>
        <w:autoSpaceDE/>
        <w:autoSpaceDN/>
        <w:bidi w:val="0"/>
        <w:snapToGrid w:val="0"/>
        <w:spacing w:beforeAutospacing="0" w:afterAutospacing="0"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（11）制定全县财政干部教育培训规划，组织财务人员培训；负责财政信息和财政宣传工作。 </w:t>
      </w:r>
    </w:p>
    <w:p>
      <w:pPr>
        <w:keepNext w:val="0"/>
        <w:keepLines w:val="0"/>
        <w:pageBreakBefore w:val="0"/>
        <w:kinsoku/>
        <w:wordWrap/>
        <w:overflowPunct/>
        <w:topLinePunct w:val="0"/>
        <w:autoSpaceDE/>
        <w:autoSpaceDN/>
        <w:bidi w:val="0"/>
        <w:snapToGrid w:val="0"/>
        <w:spacing w:beforeAutospacing="0" w:afterAutospacing="0"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（12）承担县政府公布的有关行政审批事项。 </w:t>
      </w:r>
    </w:p>
    <w:p>
      <w:pPr>
        <w:keepNext w:val="0"/>
        <w:keepLines w:val="0"/>
        <w:pageBreakBefore w:val="0"/>
        <w:kinsoku/>
        <w:wordWrap/>
        <w:overflowPunct/>
        <w:topLinePunct w:val="0"/>
        <w:autoSpaceDE/>
        <w:autoSpaceDN/>
        <w:bidi w:val="0"/>
        <w:snapToGrid w:val="0"/>
        <w:spacing w:beforeAutospacing="0" w:afterAutospacing="0" w:line="560" w:lineRule="exact"/>
        <w:ind w:firstLine="640" w:firstLineChars="200"/>
        <w:textAlignment w:val="auto"/>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仿宋_GB2312" w:cs="Times New Roman"/>
          <w:sz w:val="32"/>
          <w:szCs w:val="32"/>
        </w:rPr>
        <w:t>（13）承办</w:t>
      </w:r>
      <w:r>
        <w:rPr>
          <w:rFonts w:hint="eastAsia" w:eastAsia="仿宋_GB2312" w:cs="Times New Roman"/>
          <w:sz w:val="32"/>
          <w:szCs w:val="32"/>
          <w:lang w:eastAsia="zh-CN"/>
        </w:rPr>
        <w:t>县委县政府</w:t>
      </w:r>
      <w:r>
        <w:rPr>
          <w:rFonts w:hint="default" w:ascii="Times New Roman" w:hAnsi="Times New Roman" w:eastAsia="仿宋_GB2312" w:cs="Times New Roman"/>
          <w:sz w:val="32"/>
          <w:szCs w:val="32"/>
        </w:rPr>
        <w:t>和上级财政部门交办的其他事项。</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szCs w:val="32"/>
        </w:rPr>
      </w:pPr>
      <w:r>
        <w:rPr>
          <w:rFonts w:hint="default" w:ascii="Times New Roman" w:hAnsi="Times New Roman" w:eastAsia="仿宋_GB2312" w:cs="Times New Roman"/>
          <w:sz w:val="32"/>
          <w:szCs w:val="32"/>
          <w:lang w:val="en-US" w:eastAsia="zh-CN"/>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年末，在职人数</w:t>
      </w:r>
      <w:r>
        <w:rPr>
          <w:rFonts w:hint="eastAsia" w:ascii="Times New Roman" w:hAnsi="Times New Roman" w:eastAsia="仿宋_GB2312" w:cs="Times New Roman"/>
          <w:sz w:val="32"/>
          <w:szCs w:val="32"/>
          <w:lang w:val="en-US" w:eastAsia="zh-CN"/>
        </w:rPr>
        <w:t>41</w:t>
      </w:r>
      <w:r>
        <w:rPr>
          <w:rFonts w:hint="default" w:ascii="Times New Roman" w:hAnsi="Times New Roman" w:eastAsia="仿宋_GB2312" w:cs="Times New Roman"/>
          <w:sz w:val="32"/>
          <w:szCs w:val="32"/>
          <w:lang w:val="en-US" w:eastAsia="zh-CN"/>
        </w:rPr>
        <w:t>名</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其中：行政人员</w:t>
      </w: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lang w:val="en-US" w:eastAsia="zh-CN"/>
        </w:rPr>
        <w:t>名，参照公务员法管理事业人员</w:t>
      </w:r>
      <w:r>
        <w:rPr>
          <w:rFonts w:hint="eastAsia" w:ascii="Times New Roman" w:hAnsi="Times New Roman" w:eastAsia="仿宋_GB2312" w:cs="Times New Roman"/>
          <w:sz w:val="32"/>
          <w:szCs w:val="32"/>
          <w:lang w:val="en-US" w:eastAsia="zh-CN"/>
        </w:rPr>
        <w:t>19</w:t>
      </w:r>
      <w:r>
        <w:rPr>
          <w:rFonts w:hint="default" w:ascii="Times New Roman" w:hAnsi="Times New Roman" w:eastAsia="仿宋_GB2312" w:cs="Times New Roman"/>
          <w:sz w:val="32"/>
          <w:szCs w:val="32"/>
          <w:lang w:val="en-US" w:eastAsia="zh-CN"/>
        </w:rPr>
        <w:t>名，非参公事业人员</w:t>
      </w:r>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lang w:val="en-US" w:eastAsia="zh-CN"/>
        </w:rPr>
        <w:t>名</w:t>
      </w:r>
      <w:r>
        <w:rPr>
          <w:rFonts w:hint="eastAsia" w:ascii="Times New Roman" w:hAnsi="Times New Roman" w:eastAsia="仿宋_GB2312" w:cs="Times New Roman"/>
          <w:sz w:val="32"/>
          <w:szCs w:val="32"/>
          <w:lang w:val="en-US" w:eastAsia="zh-CN"/>
        </w:rPr>
        <w:t>，机关和事业工人5人。</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楷体_GB2312" w:cs="Times New Roman"/>
          <w:b/>
          <w:bCs/>
          <w:color w:val="auto"/>
          <w:kern w:val="0"/>
          <w:szCs w:val="32"/>
          <w:highlight w:val="none"/>
          <w:shd w:val="clear" w:color="auto" w:fill="FFFFFF"/>
          <w:lang w:val="en-US"/>
        </w:rPr>
      </w:pPr>
      <w:r>
        <w:rPr>
          <w:rFonts w:hint="default" w:ascii="Times New Roman" w:hAnsi="Times New Roman" w:eastAsia="仿宋_GB2312" w:cs="Times New Roman"/>
          <w:color w:val="auto"/>
          <w:sz w:val="32"/>
          <w:szCs w:val="32"/>
          <w:lang w:val="en-US" w:eastAsia="zh-CN"/>
        </w:rPr>
        <w:t>202</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lang w:val="en-US" w:eastAsia="zh-CN"/>
        </w:rPr>
        <w:t>年年初预算为</w:t>
      </w:r>
      <w:r>
        <w:rPr>
          <w:rFonts w:hint="eastAsia" w:ascii="Times New Roman" w:hAnsi="Times New Roman" w:eastAsia="仿宋_GB2312" w:cs="Times New Roman"/>
          <w:color w:val="auto"/>
          <w:sz w:val="32"/>
          <w:szCs w:val="32"/>
          <w:lang w:val="en-US" w:eastAsia="zh-CN"/>
        </w:rPr>
        <w:t>830.56</w:t>
      </w:r>
      <w:r>
        <w:rPr>
          <w:rFonts w:hint="default" w:ascii="Times New Roman" w:hAnsi="Times New Roman" w:eastAsia="仿宋_GB2312" w:cs="Times New Roman"/>
          <w:color w:val="auto"/>
          <w:sz w:val="32"/>
          <w:szCs w:val="32"/>
          <w:lang w:val="en-US" w:eastAsia="zh-CN"/>
        </w:rPr>
        <w:t>万元，调整预算数为</w:t>
      </w:r>
      <w:r>
        <w:rPr>
          <w:rFonts w:hint="eastAsia" w:ascii="Times New Roman" w:hAnsi="Times New Roman" w:eastAsia="仿宋_GB2312" w:cs="Times New Roman"/>
          <w:color w:val="auto"/>
          <w:sz w:val="32"/>
          <w:szCs w:val="32"/>
          <w:lang w:val="en-US" w:eastAsia="zh-CN"/>
        </w:rPr>
        <w:t>683.59</w:t>
      </w:r>
      <w:r>
        <w:rPr>
          <w:rFonts w:hint="default" w:ascii="Times New Roman" w:hAnsi="Times New Roman" w:eastAsia="仿宋_GB2312" w:cs="Times New Roman"/>
          <w:color w:val="auto"/>
          <w:sz w:val="32"/>
          <w:szCs w:val="32"/>
          <w:lang w:val="en-US" w:eastAsia="zh-CN"/>
        </w:rPr>
        <w:t>万元，增加预算数为</w:t>
      </w:r>
      <w:r>
        <w:rPr>
          <w:rFonts w:hint="eastAsia" w:ascii="Times New Roman" w:hAnsi="Times New Roman" w:eastAsia="仿宋_GB2312" w:cs="Times New Roman"/>
          <w:color w:val="auto"/>
          <w:sz w:val="32"/>
          <w:szCs w:val="32"/>
          <w:lang w:val="en-US" w:eastAsia="zh-CN"/>
        </w:rPr>
        <w:t>683.59</w:t>
      </w:r>
      <w:r>
        <w:rPr>
          <w:rFonts w:hint="default" w:ascii="Times New Roman" w:hAnsi="Times New Roman" w:eastAsia="仿宋_GB2312" w:cs="Times New Roman"/>
          <w:color w:val="auto"/>
          <w:sz w:val="32"/>
          <w:szCs w:val="32"/>
          <w:lang w:val="en-US" w:eastAsia="zh-CN"/>
        </w:rPr>
        <w:t>万元；年末支出决算数为</w:t>
      </w:r>
      <w:r>
        <w:rPr>
          <w:rFonts w:hint="eastAsia" w:ascii="Times New Roman" w:hAnsi="Times New Roman" w:eastAsia="仿宋_GB2312" w:cs="Times New Roman"/>
          <w:color w:val="auto"/>
          <w:sz w:val="32"/>
          <w:szCs w:val="32"/>
          <w:lang w:val="en-US" w:eastAsia="zh-CN"/>
        </w:rPr>
        <w:t>1514.15</w:t>
      </w:r>
      <w:r>
        <w:rPr>
          <w:rFonts w:hint="default" w:ascii="Times New Roman" w:hAnsi="Times New Roman" w:eastAsia="仿宋_GB2312" w:cs="Times New Roman"/>
          <w:color w:val="auto"/>
          <w:sz w:val="32"/>
          <w:szCs w:val="32"/>
          <w:lang w:val="en-US" w:eastAsia="zh-CN"/>
        </w:rPr>
        <w:t>万元</w:t>
      </w:r>
      <w:r>
        <w:rPr>
          <w:rFonts w:hint="eastAsia" w:ascii="Times New Roman" w:hAnsi="Times New Roman" w:eastAsia="仿宋_GB2312" w:cs="Times New Roman"/>
          <w:color w:val="auto"/>
          <w:sz w:val="32"/>
          <w:szCs w:val="32"/>
          <w:lang w:val="en-US" w:eastAsia="zh-CN"/>
        </w:rPr>
        <w:t>。</w:t>
      </w:r>
    </w:p>
    <w:p>
      <w:pPr>
        <w:keepNext w:val="0"/>
        <w:keepLines w:val="0"/>
        <w:pageBreakBefore w:val="0"/>
        <w:widowControl/>
        <w:numPr>
          <w:ilvl w:val="0"/>
          <w:numId w:val="2"/>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cs="Times New Roman"/>
          <w:szCs w:val="32"/>
          <w:lang w:val="zh-CN" w:eastAsia="zh-CN"/>
        </w:rPr>
      </w:pPr>
      <w:r>
        <w:rPr>
          <w:rFonts w:hint="default" w:ascii="Times New Roman" w:hAnsi="Times New Roman" w:eastAsia="仿宋_GB2312" w:cs="Times New Roman"/>
          <w:sz w:val="32"/>
          <w:szCs w:val="32"/>
          <w:lang w:val="en-US" w:eastAsia="zh-CN"/>
        </w:rPr>
        <w:t>年末决算支出</w:t>
      </w:r>
      <w:r>
        <w:rPr>
          <w:rFonts w:hint="eastAsia" w:ascii="Times New Roman" w:hAnsi="Times New Roman" w:eastAsia="仿宋_GB2312" w:cs="Times New Roman"/>
          <w:sz w:val="32"/>
          <w:szCs w:val="32"/>
          <w:lang w:val="en-US" w:eastAsia="zh-CN"/>
        </w:rPr>
        <w:t>1514.15</w:t>
      </w:r>
      <w:r>
        <w:rPr>
          <w:rFonts w:hint="default" w:ascii="Times New Roman" w:hAnsi="Times New Roman" w:eastAsia="仿宋_GB2312" w:cs="Times New Roman"/>
          <w:sz w:val="32"/>
          <w:szCs w:val="32"/>
          <w:lang w:val="en-US" w:eastAsia="zh-CN"/>
        </w:rPr>
        <w:t>万元，其中基本支出</w:t>
      </w:r>
      <w:r>
        <w:rPr>
          <w:rFonts w:hint="eastAsia" w:ascii="Times New Roman" w:hAnsi="Times New Roman" w:eastAsia="仿宋_GB2312" w:cs="Times New Roman"/>
          <w:sz w:val="32"/>
          <w:szCs w:val="32"/>
          <w:lang w:val="en-US" w:eastAsia="zh-CN"/>
        </w:rPr>
        <w:t>1052.44</w:t>
      </w:r>
      <w:r>
        <w:rPr>
          <w:rFonts w:hint="default" w:ascii="Times New Roman" w:hAnsi="Times New Roman" w:eastAsia="仿宋_GB2312" w:cs="Times New Roman"/>
          <w:sz w:val="32"/>
          <w:szCs w:val="32"/>
          <w:lang w:val="en-US" w:eastAsia="zh-CN"/>
        </w:rPr>
        <w:t>万元（人员经费支出</w:t>
      </w:r>
      <w:r>
        <w:rPr>
          <w:rFonts w:hint="eastAsia" w:ascii="Times New Roman" w:hAnsi="Times New Roman" w:eastAsia="仿宋_GB2312" w:cs="Times New Roman"/>
          <w:sz w:val="32"/>
          <w:szCs w:val="32"/>
          <w:lang w:val="en-US" w:eastAsia="zh-CN"/>
        </w:rPr>
        <w:t>1009.14</w:t>
      </w:r>
      <w:r>
        <w:rPr>
          <w:rFonts w:hint="default" w:ascii="Times New Roman" w:hAnsi="Times New Roman" w:eastAsia="仿宋_GB2312" w:cs="Times New Roman"/>
          <w:sz w:val="32"/>
          <w:szCs w:val="32"/>
          <w:lang w:val="en-US" w:eastAsia="zh-CN"/>
        </w:rPr>
        <w:t>万元、日常公用经费支出</w:t>
      </w:r>
      <w:r>
        <w:rPr>
          <w:rFonts w:hint="eastAsia" w:ascii="Times New Roman" w:hAnsi="Times New Roman" w:eastAsia="仿宋_GB2312" w:cs="Times New Roman"/>
          <w:sz w:val="32"/>
          <w:szCs w:val="32"/>
          <w:lang w:val="en-US" w:eastAsia="zh-CN"/>
        </w:rPr>
        <w:t>43.30</w:t>
      </w:r>
      <w:r>
        <w:rPr>
          <w:rFonts w:hint="default" w:ascii="Times New Roman" w:hAnsi="Times New Roman" w:eastAsia="仿宋_GB2312" w:cs="Times New Roman"/>
          <w:sz w:val="32"/>
          <w:szCs w:val="32"/>
          <w:lang w:val="en-US" w:eastAsia="zh-CN"/>
        </w:rPr>
        <w:t>万元），项目支出</w:t>
      </w:r>
      <w:r>
        <w:rPr>
          <w:rFonts w:hint="eastAsia" w:ascii="Times New Roman" w:hAnsi="Times New Roman" w:eastAsia="仿宋_GB2312" w:cs="Times New Roman"/>
          <w:sz w:val="32"/>
          <w:szCs w:val="32"/>
          <w:lang w:val="en-US" w:eastAsia="zh-CN"/>
        </w:rPr>
        <w:t>461.71</w:t>
      </w:r>
      <w:r>
        <w:rPr>
          <w:rFonts w:hint="default" w:ascii="Times New Roman" w:hAnsi="Times New Roman" w:eastAsia="仿宋_GB2312" w:cs="Times New Roman"/>
          <w:sz w:val="32"/>
          <w:szCs w:val="32"/>
          <w:lang w:val="en-US" w:eastAsia="zh-CN"/>
        </w:rPr>
        <w:t>万元</w:t>
      </w:r>
    </w:p>
    <w:p>
      <w:pPr>
        <w:keepNext w:val="0"/>
        <w:keepLines w:val="0"/>
        <w:pageBreakBefore w:val="0"/>
        <w:widowControl/>
        <w:numPr>
          <w:ilvl w:val="0"/>
          <w:numId w:val="3"/>
        </w:numPr>
        <w:kinsoku/>
        <w:wordWrap/>
        <w:overflowPunct/>
        <w:topLinePunct w:val="0"/>
        <w:autoSpaceDE/>
        <w:autoSpaceDN/>
        <w:bidi w:val="0"/>
        <w:adjustRightInd w:val="0"/>
        <w:snapToGrid w:val="0"/>
        <w:spacing w:line="560" w:lineRule="exact"/>
        <w:ind w:firstLine="642" w:firstLineChars="200"/>
        <w:contextualSpacing/>
        <w:jc w:val="left"/>
        <w:textAlignment w:val="auto"/>
        <w:outlineLvl w:val="9"/>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eastAsia" w:eastAsia="仿宋_GB2312" w:cs="Times New Roman"/>
          <w:sz w:val="32"/>
          <w:szCs w:val="32"/>
          <w:lang w:val="en-US" w:eastAsia="zh-CN"/>
        </w:rPr>
        <w:t>2025年年底结余分配和</w:t>
      </w:r>
      <w:r>
        <w:rPr>
          <w:rFonts w:hint="default" w:ascii="Times New Roman" w:hAnsi="Times New Roman" w:eastAsia="仿宋_GB2312" w:cs="Times New Roman"/>
          <w:sz w:val="32"/>
          <w:szCs w:val="32"/>
          <w:lang w:val="en-US" w:eastAsia="zh-CN"/>
        </w:rPr>
        <w:t>结转结余</w:t>
      </w:r>
      <w:r>
        <w:rPr>
          <w:rFonts w:hint="eastAsia" w:eastAsia="仿宋_GB2312" w:cs="Times New Roman"/>
          <w:sz w:val="32"/>
          <w:szCs w:val="32"/>
          <w:lang w:val="en-US" w:eastAsia="zh-CN"/>
        </w:rPr>
        <w:t>决算数为0</w:t>
      </w:r>
      <w:r>
        <w:rPr>
          <w:rFonts w:hint="default" w:ascii="Times New Roman" w:hAnsi="Times New Roman" w:eastAsia="仿宋_GB2312" w:cs="Times New Roman"/>
          <w:sz w:val="32"/>
          <w:szCs w:val="32"/>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黑体" w:cs="Times New Roman"/>
          <w:color w:val="auto"/>
          <w:kern w:val="0"/>
          <w:sz w:val="32"/>
          <w:szCs w:val="32"/>
          <w:highlight w:val="none"/>
          <w:shd w:val="clear" w:color="auto" w:fill="FFFFFF"/>
          <w:lang w:val="zh-CN" w:eastAsia="zh-CN"/>
        </w:rPr>
      </w:pPr>
      <w:r>
        <w:rPr>
          <w:rFonts w:hint="default" w:ascii="Times New Roman" w:hAnsi="Times New Roman" w:eastAsia="黑体" w:cs="Times New Roman"/>
          <w:color w:val="auto"/>
          <w:kern w:val="0"/>
          <w:sz w:val="32"/>
          <w:szCs w:val="32"/>
          <w:highlight w:val="none"/>
          <w:shd w:val="clear" w:color="auto" w:fill="FFFFFF"/>
          <w:lang w:val="zh-CN" w:eastAsia="zh-CN"/>
        </w:rPr>
        <w:t>三、部门预算绩效分析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履职效能。全年一般公共预算收入完成值≥13000万元</w:t>
      </w:r>
      <w:r>
        <w:rPr>
          <w:rFonts w:hint="eastAsia" w:eastAsia="仿宋_GB2312" w:cs="仿宋_GB2312"/>
          <w:color w:val="auto"/>
          <w:kern w:val="2"/>
          <w:sz w:val="32"/>
          <w:szCs w:val="32"/>
          <w:highlight w:val="none"/>
          <w:lang w:val="zh-CN" w:eastAsia="zh-CN" w:bidi="ar-SA"/>
        </w:rPr>
        <w:t>，实际完成值</w:t>
      </w:r>
      <w:r>
        <w:rPr>
          <w:rFonts w:hint="eastAsia" w:eastAsia="仿宋_GB2312" w:cs="仿宋_GB2312"/>
          <w:color w:val="auto"/>
          <w:kern w:val="2"/>
          <w:sz w:val="32"/>
          <w:szCs w:val="32"/>
          <w:highlight w:val="none"/>
          <w:lang w:val="en-US" w:eastAsia="zh-CN" w:bidi="ar-SA"/>
        </w:rPr>
        <w:t>13776万元；全年项目财评个数≥100个，实际完成值194个；“三保”项目资金保障率=100%。</w:t>
      </w:r>
    </w:p>
    <w:p>
      <w:pPr>
        <w:keepNext w:val="0"/>
        <w:keepLines w:val="0"/>
        <w:pageBreakBefore w:val="0"/>
        <w:kinsoku/>
        <w:wordWrap/>
        <w:overflowPunct/>
        <w:topLinePunct w:val="0"/>
        <w:autoSpaceDE/>
        <w:autoSpaceDN/>
        <w:bidi w:val="0"/>
        <w:snapToGrid w:val="0"/>
        <w:spacing w:beforeAutospacing="0" w:afterAutospacing="0"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预算管理</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Times New Roman"/>
          <w:sz w:val="32"/>
          <w:szCs w:val="32"/>
          <w:lang w:val="en-US" w:eastAsia="zh-CN"/>
        </w:rPr>
        <w:t>在预算制定阶段，我</w:t>
      </w:r>
      <w:r>
        <w:rPr>
          <w:rFonts w:hint="eastAsia" w:ascii="Times New Roman" w:hAnsi="Times New Roman" w:eastAsia="仿宋_GB2312" w:cs="Times New Roman"/>
          <w:sz w:val="32"/>
          <w:szCs w:val="32"/>
          <w:lang w:val="en-US" w:eastAsia="zh-CN"/>
        </w:rPr>
        <w:t>单位</w:t>
      </w:r>
      <w:r>
        <w:rPr>
          <w:rFonts w:hint="default" w:ascii="Times New Roman" w:hAnsi="Times New Roman" w:eastAsia="仿宋_GB2312" w:cs="Times New Roman"/>
          <w:sz w:val="32"/>
          <w:szCs w:val="32"/>
          <w:lang w:val="en-US" w:eastAsia="zh-CN"/>
        </w:rPr>
        <w:t>根据自身的职责和目标，结合实际情况，制定了详细的预算计划。这个计划不仅要明确各项支出的金额和用途，还要注重绩效目标的设定，确保预算的使用能够达到预期的效果。</w:t>
      </w:r>
    </w:p>
    <w:p>
      <w:pPr>
        <w:keepNext w:val="0"/>
        <w:keepLines w:val="0"/>
        <w:pageBreakBefore w:val="0"/>
        <w:kinsoku/>
        <w:wordWrap/>
        <w:overflowPunct/>
        <w:topLinePunct w:val="0"/>
        <w:autoSpaceDE/>
        <w:autoSpaceDN/>
        <w:bidi w:val="0"/>
        <w:snapToGrid w:val="0"/>
        <w:spacing w:beforeAutospacing="0" w:afterAutospacing="0"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在执行阶段，我</w:t>
      </w:r>
      <w:r>
        <w:rPr>
          <w:rFonts w:hint="eastAsia" w:ascii="Times New Roman" w:hAnsi="Times New Roman" w:eastAsia="仿宋_GB2312" w:cs="Times New Roman"/>
          <w:sz w:val="32"/>
          <w:szCs w:val="32"/>
          <w:lang w:val="en-US" w:eastAsia="zh-CN"/>
        </w:rPr>
        <w:t>单位</w:t>
      </w:r>
      <w:r>
        <w:rPr>
          <w:rFonts w:hint="default" w:ascii="Times New Roman" w:hAnsi="Times New Roman" w:eastAsia="仿宋_GB2312" w:cs="Times New Roman"/>
          <w:sz w:val="32"/>
          <w:szCs w:val="32"/>
          <w:lang w:val="en-US" w:eastAsia="zh-CN"/>
        </w:rPr>
        <w:t>严格按照预算计划进行支出，确保每一笔钱都花在刀刃上。同时，加强对预算执行情况的监督和管理，确保预算的使用符合规定，避免出现违规和浪费现象。</w:t>
      </w:r>
    </w:p>
    <w:p>
      <w:pPr>
        <w:keepNext w:val="0"/>
        <w:keepLines w:val="0"/>
        <w:pageBreakBefore w:val="0"/>
        <w:kinsoku/>
        <w:wordWrap/>
        <w:overflowPunct/>
        <w:topLinePunct w:val="0"/>
        <w:autoSpaceDE/>
        <w:autoSpaceDN/>
        <w:bidi w:val="0"/>
        <w:snapToGrid w:val="0"/>
        <w:spacing w:beforeAutospacing="0" w:afterAutospacing="0"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Times New Roman"/>
          <w:sz w:val="32"/>
          <w:szCs w:val="32"/>
          <w:lang w:val="en-US" w:eastAsia="zh-CN"/>
        </w:rPr>
        <w:t>在监督阶段，我</w:t>
      </w:r>
      <w:r>
        <w:rPr>
          <w:rFonts w:hint="eastAsia" w:ascii="Times New Roman" w:hAnsi="Times New Roman" w:eastAsia="仿宋_GB2312" w:cs="Times New Roman"/>
          <w:sz w:val="32"/>
          <w:szCs w:val="32"/>
          <w:lang w:val="en-US" w:eastAsia="zh-CN"/>
        </w:rPr>
        <w:t>单位</w:t>
      </w:r>
      <w:r>
        <w:rPr>
          <w:rFonts w:hint="default" w:ascii="Times New Roman" w:hAnsi="Times New Roman" w:eastAsia="仿宋_GB2312" w:cs="Times New Roman"/>
          <w:sz w:val="32"/>
          <w:szCs w:val="32"/>
          <w:lang w:val="en-US" w:eastAsia="zh-CN"/>
        </w:rPr>
        <w:t>定期对预算执行情况进行评估和总结，发现问题及时整改。</w:t>
      </w:r>
    </w:p>
    <w:p>
      <w:pPr>
        <w:pageBreakBefore w:val="0"/>
        <w:kinsoku/>
        <w:wordWrap/>
        <w:overflowPunct/>
        <w:topLinePunct w:val="0"/>
        <w:autoSpaceDE/>
        <w:autoSpaceDN/>
        <w:bidi w:val="0"/>
        <w:adjustRightInd w:val="0"/>
        <w:snapToGrid w:val="0"/>
        <w:spacing w:line="560" w:lineRule="exact"/>
        <w:ind w:firstLine="640" w:firstLineChars="200"/>
        <w:contextualSpacing/>
        <w:jc w:val="left"/>
        <w:rPr>
          <w:rFonts w:eastAsia="仿宋_GB2312"/>
          <w:kern w:val="2"/>
          <w:sz w:val="32"/>
          <w:szCs w:val="32"/>
          <w:lang w:val="zh-CN"/>
        </w:rPr>
      </w:pPr>
      <w:r>
        <w:rPr>
          <w:rFonts w:eastAsia="仿宋_GB2312"/>
          <w:kern w:val="2"/>
          <w:sz w:val="32"/>
          <w:szCs w:val="32"/>
          <w:lang w:val="en-US"/>
        </w:rPr>
        <w:t>3.</w:t>
      </w:r>
      <w:r>
        <w:rPr>
          <w:rFonts w:eastAsia="仿宋_GB2312"/>
          <w:kern w:val="2"/>
          <w:sz w:val="32"/>
          <w:szCs w:val="32"/>
          <w:lang w:val="zh-CN"/>
        </w:rPr>
        <w:t>财务管理。</w:t>
      </w:r>
      <w:r>
        <w:rPr>
          <w:rFonts w:eastAsia="仿宋_GB2312"/>
          <w:kern w:val="2"/>
          <w:sz w:val="32"/>
          <w:szCs w:val="32"/>
          <w:lang w:val="en-US"/>
        </w:rPr>
        <w:t>财务管理制度健全，财务岗位设置符合规定，资金使用合规，审批流程完善，无违规使用资金情况。</w:t>
      </w:r>
    </w:p>
    <w:p>
      <w:pPr>
        <w:pageBreakBefore w:val="0"/>
        <w:kinsoku/>
        <w:wordWrap/>
        <w:overflowPunct/>
        <w:topLinePunct w:val="0"/>
        <w:autoSpaceDE/>
        <w:autoSpaceDN/>
        <w:bidi w:val="0"/>
        <w:adjustRightInd w:val="0"/>
        <w:snapToGrid w:val="0"/>
        <w:spacing w:line="560" w:lineRule="exact"/>
        <w:ind w:firstLine="640" w:firstLineChars="200"/>
        <w:contextualSpacing/>
        <w:jc w:val="left"/>
        <w:rPr>
          <w:rFonts w:eastAsia="仿宋_GB2312"/>
          <w:kern w:val="2"/>
          <w:sz w:val="32"/>
          <w:szCs w:val="32"/>
          <w:lang w:val="zh-CN"/>
        </w:rPr>
      </w:pPr>
      <w:r>
        <w:rPr>
          <w:rFonts w:eastAsia="仿宋_GB2312"/>
          <w:kern w:val="2"/>
          <w:sz w:val="32"/>
          <w:szCs w:val="32"/>
          <w:lang w:val="en-US"/>
        </w:rPr>
        <w:t>4.</w:t>
      </w:r>
      <w:r>
        <w:rPr>
          <w:rFonts w:eastAsia="仿宋_GB2312"/>
          <w:kern w:val="2"/>
          <w:sz w:val="32"/>
          <w:szCs w:val="32"/>
          <w:lang w:val="zh-CN"/>
        </w:rPr>
        <w:t>资产管理。</w:t>
      </w:r>
      <w:r>
        <w:rPr>
          <w:rFonts w:eastAsia="仿宋_GB2312"/>
          <w:kern w:val="2"/>
          <w:sz w:val="32"/>
          <w:szCs w:val="32"/>
          <w:lang w:val="en-US"/>
        </w:rPr>
        <w:t>人均资产变化率合理，资产利用率较高，按规定开展资产盘活工作，闲置资产得到有效利用。</w:t>
      </w:r>
    </w:p>
    <w:p>
      <w:pPr>
        <w:pageBreakBefore w:val="0"/>
        <w:kinsoku/>
        <w:wordWrap/>
        <w:overflowPunct/>
        <w:topLinePunct w:val="0"/>
        <w:autoSpaceDE/>
        <w:autoSpaceDN/>
        <w:bidi w:val="0"/>
        <w:adjustRightInd w:val="0"/>
        <w:snapToGrid w:val="0"/>
        <w:spacing w:line="560" w:lineRule="exact"/>
        <w:ind w:firstLine="640" w:firstLineChars="200"/>
        <w:contextualSpacing/>
        <w:jc w:val="left"/>
        <w:rPr>
          <w:rFonts w:eastAsia="仿宋_GB2312"/>
          <w:kern w:val="2"/>
          <w:sz w:val="32"/>
          <w:szCs w:val="32"/>
          <w:lang w:val="zh-CN"/>
        </w:rPr>
      </w:pPr>
      <w:r>
        <w:rPr>
          <w:rFonts w:eastAsia="仿宋_GB2312"/>
          <w:kern w:val="2"/>
          <w:sz w:val="32"/>
          <w:szCs w:val="32"/>
          <w:lang w:val="en-US"/>
        </w:rPr>
        <w:t>5.</w:t>
      </w:r>
      <w:r>
        <w:rPr>
          <w:rFonts w:eastAsia="仿宋_GB2312"/>
          <w:kern w:val="2"/>
          <w:sz w:val="32"/>
          <w:szCs w:val="32"/>
          <w:lang w:val="zh-CN"/>
        </w:rPr>
        <w:t>采购管理。</w:t>
      </w:r>
      <w:r>
        <w:rPr>
          <w:rFonts w:eastAsia="仿宋_GB2312"/>
          <w:kern w:val="2"/>
          <w:sz w:val="32"/>
          <w:szCs w:val="32"/>
          <w:lang w:val="en-US"/>
        </w:rPr>
        <w:t>严格执行政府采购政策，积极支持中小企业发展，采购执行率达到规定要求，采购程序规范。</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13</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562.06</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68.79</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一次性</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109.13</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54.95</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pPr>
        <w:pageBreakBefore w:val="0"/>
        <w:kinsoku/>
        <w:wordWrap/>
        <w:overflowPunct/>
        <w:topLinePunct w:val="0"/>
        <w:autoSpaceDE/>
        <w:autoSpaceDN/>
        <w:bidi w:val="0"/>
        <w:snapToGrid w:val="0"/>
        <w:spacing w:line="560" w:lineRule="exact"/>
        <w:ind w:firstLine="608" w:firstLineChars="200"/>
        <w:jc w:val="left"/>
        <w:rPr>
          <w:rFonts w:ascii="Times New Roman" w:hAnsi="Times New Roman" w:eastAsia="仿宋_GB2312" w:cs="Times New Roman"/>
          <w:w w:val="95"/>
          <w:kern w:val="0"/>
          <w:sz w:val="32"/>
          <w:szCs w:val="32"/>
          <w:lang w:val="zh-CN"/>
        </w:rPr>
      </w:pPr>
      <w:r>
        <w:rPr>
          <w:rFonts w:ascii="Times New Roman" w:hAnsi="Times New Roman" w:eastAsia="仿宋_GB2312" w:cs="Times New Roman"/>
          <w:w w:val="95"/>
          <w:kern w:val="0"/>
          <w:sz w:val="32"/>
          <w:szCs w:val="32"/>
          <w:lang w:val="en-US"/>
        </w:rPr>
        <w:t>1.</w:t>
      </w:r>
      <w:r>
        <w:rPr>
          <w:rFonts w:ascii="Times New Roman" w:hAnsi="Times New Roman" w:eastAsia="仿宋_GB2312" w:cs="Times New Roman"/>
          <w:w w:val="95"/>
          <w:kern w:val="0"/>
          <w:sz w:val="32"/>
          <w:szCs w:val="32"/>
          <w:lang w:val="zh-CN"/>
        </w:rPr>
        <w:t>项目决策。</w:t>
      </w:r>
      <w:r>
        <w:rPr>
          <w:rFonts w:hint="eastAsia" w:ascii="Times New Roman" w:hAnsi="Times New Roman" w:eastAsia="仿宋_GB2312" w:cs="Times New Roman"/>
          <w:w w:val="95"/>
          <w:kern w:val="0"/>
          <w:sz w:val="32"/>
          <w:szCs w:val="32"/>
          <w:lang w:val="zh-CN"/>
        </w:rPr>
        <w:t>项目</w:t>
      </w:r>
      <w:r>
        <w:rPr>
          <w:rFonts w:ascii="Times New Roman" w:hAnsi="Times New Roman" w:eastAsia="仿宋_GB2312" w:cs="Times New Roman"/>
          <w:w w:val="95"/>
          <w:kern w:val="0"/>
          <w:sz w:val="32"/>
          <w:szCs w:val="32"/>
          <w:lang w:val="en-US"/>
        </w:rPr>
        <w:t>设立履行评估论证、申报程序，决策规范；绩效目标设置科学合理、匹配资金量；按规定时间完成项目入库。</w:t>
      </w:r>
    </w:p>
    <w:p>
      <w:pPr>
        <w:pageBreakBefore w:val="0"/>
        <w:kinsoku/>
        <w:wordWrap/>
        <w:overflowPunct/>
        <w:topLinePunct w:val="0"/>
        <w:autoSpaceDE/>
        <w:autoSpaceDN/>
        <w:bidi w:val="0"/>
        <w:snapToGrid w:val="0"/>
        <w:spacing w:line="560" w:lineRule="exact"/>
        <w:ind w:firstLine="608" w:firstLineChars="200"/>
        <w:jc w:val="left"/>
        <w:rPr>
          <w:rFonts w:ascii="Times New Roman" w:hAnsi="Times New Roman" w:eastAsia="仿宋_GB2312" w:cs="Times New Roman"/>
          <w:w w:val="95"/>
          <w:kern w:val="0"/>
          <w:sz w:val="32"/>
          <w:szCs w:val="32"/>
          <w:lang w:val="zh-CN"/>
        </w:rPr>
      </w:pPr>
      <w:r>
        <w:rPr>
          <w:rFonts w:ascii="Times New Roman" w:hAnsi="Times New Roman" w:eastAsia="仿宋_GB2312" w:cs="Times New Roman"/>
          <w:w w:val="95"/>
          <w:kern w:val="0"/>
          <w:sz w:val="32"/>
          <w:szCs w:val="32"/>
          <w:lang w:val="en-US"/>
        </w:rPr>
        <w:t>2.项目执行</w:t>
      </w:r>
      <w:r>
        <w:rPr>
          <w:rFonts w:ascii="Times New Roman" w:hAnsi="Times New Roman" w:eastAsia="仿宋_GB2312" w:cs="Times New Roman"/>
          <w:w w:val="95"/>
          <w:kern w:val="0"/>
          <w:sz w:val="32"/>
          <w:szCs w:val="32"/>
          <w:lang w:val="zh-CN"/>
        </w:rPr>
        <w:t>。资金</w:t>
      </w:r>
      <w:r>
        <w:rPr>
          <w:rFonts w:ascii="Times New Roman" w:hAnsi="Times New Roman" w:eastAsia="仿宋_GB2312" w:cs="Times New Roman"/>
          <w:w w:val="95"/>
          <w:kern w:val="0"/>
          <w:sz w:val="32"/>
          <w:szCs w:val="32"/>
          <w:lang w:val="en-US"/>
        </w:rPr>
        <w:t>列支方向与绩效目标一致，项目调整按规定履行程序，执行结果符合预期。</w:t>
      </w:r>
    </w:p>
    <w:p>
      <w:pPr>
        <w:pageBreakBefore w:val="0"/>
        <w:kinsoku/>
        <w:wordWrap/>
        <w:overflowPunct/>
        <w:topLinePunct w:val="0"/>
        <w:autoSpaceDE/>
        <w:autoSpaceDN/>
        <w:bidi w:val="0"/>
        <w:snapToGrid w:val="0"/>
        <w:spacing w:line="560" w:lineRule="exact"/>
        <w:ind w:firstLine="608" w:firstLineChars="200"/>
        <w:jc w:val="left"/>
        <w:rPr>
          <w:rFonts w:ascii="Times New Roman" w:hAnsi="Times New Roman" w:eastAsia="仿宋_GB2312" w:cs="Times New Roman"/>
          <w:w w:val="95"/>
          <w:kern w:val="0"/>
          <w:sz w:val="32"/>
          <w:szCs w:val="32"/>
          <w:lang w:val="en-US"/>
        </w:rPr>
      </w:pPr>
      <w:r>
        <w:rPr>
          <w:rFonts w:ascii="Times New Roman" w:hAnsi="Times New Roman" w:eastAsia="仿宋_GB2312" w:cs="Times New Roman"/>
          <w:w w:val="95"/>
          <w:kern w:val="0"/>
          <w:sz w:val="32"/>
          <w:szCs w:val="32"/>
          <w:lang w:val="en-US"/>
        </w:rPr>
        <w:t>3.</w:t>
      </w:r>
      <w:r>
        <w:rPr>
          <w:rFonts w:ascii="Times New Roman" w:hAnsi="Times New Roman" w:eastAsia="仿宋_GB2312" w:cs="Times New Roman"/>
          <w:w w:val="95"/>
          <w:kern w:val="0"/>
          <w:sz w:val="32"/>
          <w:szCs w:val="32"/>
          <w:lang w:val="zh-CN"/>
        </w:rPr>
        <w:t>目标实现。</w:t>
      </w:r>
      <w:r>
        <w:rPr>
          <w:rFonts w:ascii="Times New Roman" w:hAnsi="Times New Roman" w:eastAsia="仿宋_GB2312" w:cs="Times New Roman"/>
          <w:w w:val="95"/>
          <w:kern w:val="0"/>
          <w:sz w:val="32"/>
          <w:szCs w:val="32"/>
          <w:lang w:val="en-US"/>
        </w:rPr>
        <w:t>项目数量指标基本完成，与预期目标偏离度较小，项目实施取得良好经济效益、社会效益。</w:t>
      </w:r>
    </w:p>
    <w:p>
      <w:pPr>
        <w:pageBreakBefore w:val="0"/>
        <w:kinsoku/>
        <w:wordWrap/>
        <w:overflowPunct/>
        <w:topLinePunct w:val="0"/>
        <w:autoSpaceDE/>
        <w:autoSpaceDN/>
        <w:bidi w:val="0"/>
        <w:snapToGrid w:val="0"/>
        <w:spacing w:line="560" w:lineRule="exact"/>
        <w:ind w:firstLine="642" w:firstLineChars="200"/>
        <w:jc w:val="left"/>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ascii="Times New Roman" w:hAnsi="Times New Roman" w:eastAsia="仿宋_GB2312" w:cs="Times New Roman"/>
          <w:w w:val="95"/>
          <w:kern w:val="0"/>
          <w:sz w:val="32"/>
          <w:szCs w:val="32"/>
          <w:lang w:val="en-US"/>
        </w:rPr>
        <w:t>内部将绩效结果与预算安排、项目管理挂钩；按规定公开绩效信息，接受监督；针对自评发现问题及时整改并反馈，形成管理闭环。</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pPr>
        <w:pageBreakBefore w:val="0"/>
        <w:widowControl/>
        <w:kinsoku/>
        <w:wordWrap/>
        <w:overflowPunct/>
        <w:topLinePunct w:val="0"/>
        <w:autoSpaceDE/>
        <w:autoSpaceDN/>
        <w:bidi w:val="0"/>
        <w:adjustRightInd w:val="0"/>
        <w:snapToGrid w:val="0"/>
        <w:spacing w:line="560" w:lineRule="exact"/>
        <w:ind w:firstLine="642" w:firstLineChars="200"/>
        <w:contextualSpacing/>
        <w:jc w:val="left"/>
        <w:rPr>
          <w:rFonts w:ascii="Times New Roman" w:hAnsi="Times New Roman" w:eastAsia="仿宋_GB2312" w:cs="Times New Roman"/>
          <w:w w:val="95"/>
          <w:kern w:val="0"/>
          <w:sz w:val="32"/>
          <w:szCs w:val="32"/>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ascii="Times New Roman" w:hAnsi="Times New Roman" w:eastAsia="仿宋_GB2312" w:cs="Times New Roman"/>
          <w:w w:val="95"/>
          <w:kern w:val="0"/>
          <w:sz w:val="32"/>
          <w:szCs w:val="32"/>
          <w:lang w:val="en-US"/>
        </w:rPr>
        <w:t>2025年度，本部门预算执行规范，资金使用效益较好，履职成效明显，管理水平持续提升，自评得分</w:t>
      </w:r>
      <w:r>
        <w:rPr>
          <w:rFonts w:hint="eastAsia" w:ascii="Times New Roman" w:hAnsi="Times New Roman" w:eastAsia="仿宋_GB2312" w:cs="Times New Roman"/>
          <w:w w:val="95"/>
          <w:kern w:val="0"/>
          <w:sz w:val="32"/>
          <w:szCs w:val="32"/>
          <w:lang w:val="en-US" w:eastAsia="zh-CN"/>
        </w:rPr>
        <w:t>89</w:t>
      </w:r>
      <w:r>
        <w:rPr>
          <w:rFonts w:ascii="Times New Roman" w:hAnsi="Times New Roman" w:eastAsia="仿宋_GB2312" w:cs="Times New Roman"/>
          <w:w w:val="95"/>
          <w:kern w:val="0"/>
          <w:sz w:val="32"/>
          <w:szCs w:val="32"/>
          <w:lang w:val="en-US"/>
        </w:rPr>
        <w:t>分，自评结果</w:t>
      </w:r>
      <w:r>
        <w:rPr>
          <w:rFonts w:hint="eastAsia" w:ascii="Times New Roman" w:hAnsi="Times New Roman" w:eastAsia="仿宋_GB2312" w:cs="Times New Roman"/>
          <w:w w:val="95"/>
          <w:kern w:val="0"/>
          <w:sz w:val="32"/>
          <w:szCs w:val="32"/>
          <w:lang w:val="en-US" w:eastAsia="zh-CN"/>
        </w:rPr>
        <w:t>良好</w:t>
      </w:r>
      <w:r>
        <w:rPr>
          <w:rFonts w:ascii="Times New Roman" w:hAnsi="Times New Roman" w:eastAsia="仿宋_GB2312" w:cs="Times New Roman"/>
          <w:w w:val="95"/>
          <w:kern w:val="0"/>
          <w:sz w:val="32"/>
          <w:szCs w:val="32"/>
          <w:lang w:val="en-US"/>
        </w:rPr>
        <w:t>。</w:t>
      </w:r>
    </w:p>
    <w:p>
      <w:pPr>
        <w:pageBreakBefore w:val="0"/>
        <w:widowControl/>
        <w:kinsoku/>
        <w:wordWrap/>
        <w:overflowPunct/>
        <w:topLinePunct w:val="0"/>
        <w:autoSpaceDE/>
        <w:autoSpaceDN/>
        <w:bidi w:val="0"/>
        <w:adjustRightInd w:val="0"/>
        <w:snapToGrid w:val="0"/>
        <w:spacing w:line="560" w:lineRule="exact"/>
        <w:ind w:firstLine="642" w:firstLineChars="200"/>
        <w:contextualSpacing/>
        <w:jc w:val="left"/>
        <w:rPr>
          <w:rFonts w:ascii="Times New Roman" w:hAnsi="Times New Roman" w:eastAsia="仿宋_GB2312" w:cs="Times New Roman"/>
          <w:w w:val="95"/>
          <w:kern w:val="0"/>
          <w:sz w:val="32"/>
          <w:szCs w:val="32"/>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ascii="Times New Roman" w:hAnsi="Times New Roman" w:eastAsia="仿宋_GB2312" w:cs="Times New Roman"/>
          <w:w w:val="95"/>
          <w:kern w:val="0"/>
          <w:sz w:val="32"/>
          <w:szCs w:val="32"/>
          <w:lang w:val="en-US"/>
        </w:rPr>
        <w:t>一是部分项目预算执行进度不均衡；二是资产精细化管理仍需加强；三是绩效目标设置精准度有待进一步提升。</w:t>
      </w:r>
    </w:p>
    <w:p>
      <w:pPr>
        <w:pageBreakBefore w:val="0"/>
        <w:widowControl/>
        <w:kinsoku/>
        <w:wordWrap/>
        <w:overflowPunct/>
        <w:topLinePunct w:val="0"/>
        <w:autoSpaceDE/>
        <w:autoSpaceDN/>
        <w:bidi w:val="0"/>
        <w:adjustRightInd w:val="0"/>
        <w:snapToGrid w:val="0"/>
        <w:spacing w:line="560" w:lineRule="exact"/>
        <w:ind w:firstLine="642" w:firstLineChars="200"/>
        <w:contextualSpacing/>
        <w:jc w:val="left"/>
        <w:rPr>
          <w:rFonts w:hint="eastAsia" w:ascii="Times New Roman" w:hAnsi="Times New Roman" w:eastAsia="仿宋_GB2312" w:cs="Times New Roman"/>
          <w:kern w:val="2"/>
          <w:sz w:val="32"/>
          <w:szCs w:val="32"/>
          <w:u w:val="none"/>
          <w:lang w:val="zh-CN"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63" w:name="_Hlk110546638"/>
      <w:r>
        <w:rPr>
          <w:rFonts w:eastAsia="仿宋_GB2312"/>
          <w:w w:val="95"/>
          <w:kern w:val="0"/>
          <w:sz w:val="32"/>
          <w:szCs w:val="32"/>
          <w:lang w:val="en-US"/>
        </w:rPr>
        <w:t>一是强化项目执行管控，加快资金支付进度，优化预算执行节奏；二是完善资产动态管理机制，提高资产使用与盘活效率；三是细化绩效目标编制，提升预算与绩效匹配度。</w:t>
      </w:r>
      <w:bookmarkEnd w:id="63"/>
    </w:p>
    <w:p>
      <w:pPr>
        <w:pageBreakBefore w:val="0"/>
        <w:kinsoku/>
        <w:wordWrap/>
        <w:overflowPunct/>
        <w:topLinePunct w:val="0"/>
        <w:autoSpaceDE/>
        <w:autoSpaceDN/>
        <w:bidi w:val="0"/>
        <w:spacing w:line="560" w:lineRule="exact"/>
        <w:jc w:val="left"/>
        <w:rPr>
          <w:rFonts w:eastAsia="黑体"/>
        </w:rPr>
      </w:pPr>
    </w:p>
    <w:p>
      <w:pPr>
        <w:pageBreakBefore w:val="0"/>
        <w:widowControl/>
        <w:kinsoku/>
        <w:wordWrap/>
        <w:overflowPunct/>
        <w:topLinePunct w:val="0"/>
        <w:autoSpaceDE/>
        <w:autoSpaceDN/>
        <w:bidi w:val="0"/>
        <w:spacing w:line="560" w:lineRule="exact"/>
        <w:jc w:val="center"/>
        <w:textAlignment w:val="center"/>
        <w:rPr>
          <w:rFonts w:eastAsia="方正小标宋简体"/>
          <w:color w:val="000000"/>
          <w:kern w:val="0"/>
          <w:sz w:val="44"/>
          <w:szCs w:val="44"/>
        </w:rPr>
      </w:pPr>
    </w:p>
    <w:p>
      <w:pPr>
        <w:pageBreakBefore w:val="0"/>
        <w:widowControl/>
        <w:kinsoku/>
        <w:wordWrap/>
        <w:overflowPunct/>
        <w:topLinePunct w:val="0"/>
        <w:autoSpaceDE/>
        <w:autoSpaceDN/>
        <w:bidi w:val="0"/>
        <w:spacing w:line="560" w:lineRule="exact"/>
        <w:jc w:val="center"/>
        <w:textAlignment w:val="center"/>
        <w:rPr>
          <w:rFonts w:eastAsia="方正小标宋简体"/>
          <w:color w:val="000000"/>
          <w:kern w:val="0"/>
          <w:sz w:val="44"/>
          <w:szCs w:val="44"/>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tbl>
      <w:tblPr>
        <w:tblStyle w:val="15"/>
        <w:tblW w:w="9658" w:type="dxa"/>
        <w:jc w:val="center"/>
        <w:tblLayout w:type="fixed"/>
        <w:tblCellMar>
          <w:top w:w="0" w:type="dxa"/>
          <w:left w:w="108" w:type="dxa"/>
          <w:bottom w:w="0" w:type="dxa"/>
          <w:right w:w="108" w:type="dxa"/>
        </w:tblCellMar>
      </w:tblPr>
      <w:tblGrid>
        <w:gridCol w:w="331"/>
        <w:gridCol w:w="593"/>
        <w:gridCol w:w="803"/>
        <w:gridCol w:w="1246"/>
        <w:gridCol w:w="803"/>
        <w:gridCol w:w="777"/>
        <w:gridCol w:w="1018"/>
        <w:gridCol w:w="1045"/>
        <w:gridCol w:w="1111"/>
        <w:gridCol w:w="1931"/>
      </w:tblGrid>
      <w:tr>
        <w:tblPrEx>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pPr>
              <w:pageBreakBefore w:val="0"/>
              <w:kinsoku/>
              <w:wordWrap/>
              <w:overflowPunct/>
              <w:topLinePunct w:val="0"/>
              <w:autoSpaceDE/>
              <w:autoSpaceDN/>
              <w:bidi w:val="0"/>
              <w:spacing w:line="560" w:lineRule="exact"/>
              <w:rPr>
                <w:rFonts w:ascii="宋体" w:hAnsi="宋体" w:eastAsia="宋体" w:cs="宋体"/>
                <w:color w:val="000000"/>
                <w:kern w:val="0"/>
                <w:sz w:val="24"/>
              </w:rPr>
            </w:pPr>
            <w:r>
              <w:rPr>
                <w:rFonts w:eastAsia="黑体"/>
                <w:sz w:val="24"/>
              </w:rPr>
              <w:br w:type="page"/>
            </w:r>
            <w:r>
              <w:rPr>
                <w:rFonts w:hint="eastAsia" w:ascii="宋体" w:hAnsi="宋体" w:eastAsia="宋体" w:cs="宋体"/>
                <w:color w:val="000000"/>
                <w:kern w:val="0"/>
                <w:sz w:val="24"/>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阿坝州壤塘县财政局</w:t>
            </w:r>
          </w:p>
        </w:tc>
      </w:tr>
      <w:tr>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年度部门整体预算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资金总额</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其他资金</w:t>
            </w:r>
          </w:p>
        </w:tc>
      </w:tr>
      <w:tr>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收入预算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1514.15</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1514.15</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0</w:t>
            </w:r>
          </w:p>
        </w:tc>
      </w:tr>
      <w:tr>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支出预算</w:t>
            </w:r>
          </w:p>
        </w:tc>
        <w:tc>
          <w:tcPr>
            <w:tcW w:w="2049" w:type="dxa"/>
            <w:gridSpan w:val="2"/>
            <w:tcBorders>
              <w:top w:val="single" w:color="000000" w:sz="4" w:space="0"/>
              <w:left w:val="single" w:color="auto"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1514.15</w:t>
            </w:r>
          </w:p>
        </w:tc>
        <w:tc>
          <w:tcPr>
            <w:tcW w:w="1795" w:type="dxa"/>
            <w:gridSpan w:val="2"/>
            <w:tcBorders>
              <w:top w:val="single" w:color="auto"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1514.15</w:t>
            </w:r>
          </w:p>
        </w:tc>
        <w:tc>
          <w:tcPr>
            <w:tcW w:w="4087" w:type="dxa"/>
            <w:gridSpan w:val="3"/>
            <w:tcBorders>
              <w:top w:val="single" w:color="auto"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0</w:t>
            </w:r>
          </w:p>
        </w:tc>
      </w:tr>
      <w:tr>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p>
        </w:tc>
      </w:tr>
      <w:tr>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指标实际完成值</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1246"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777" w:type="dxa"/>
            <w:tcBorders>
              <w:top w:val="single" w:color="000000" w:sz="4" w:space="0"/>
              <w:left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三年</w:t>
            </w:r>
          </w:p>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均值</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2023</w:t>
            </w:r>
            <w:r>
              <w:rPr>
                <w:rFonts w:ascii="宋体" w:hAnsi="宋体" w:eastAsia="宋体" w:cs="宋体"/>
                <w:color w:val="000000"/>
                <w:kern w:val="0"/>
                <w:sz w:val="24"/>
              </w:rPr>
              <w:t>年</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2024</w:t>
            </w:r>
            <w:r>
              <w:rPr>
                <w:rFonts w:ascii="宋体" w:hAnsi="宋体" w:eastAsia="宋体" w:cs="宋体"/>
                <w:color w:val="000000"/>
                <w:kern w:val="0"/>
                <w:sz w:val="24"/>
              </w:rPr>
              <w:t>年</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2025</w:t>
            </w:r>
            <w:r>
              <w:rPr>
                <w:rFonts w:ascii="宋体" w:hAnsi="宋体" w:eastAsia="宋体" w:cs="宋体"/>
                <w:color w:val="000000"/>
                <w:kern w:val="0"/>
                <w:sz w:val="24"/>
              </w:rPr>
              <w:t>年</w:t>
            </w:r>
          </w:p>
        </w:tc>
        <w:tc>
          <w:tcPr>
            <w:tcW w:w="1931" w:type="dxa"/>
            <w:vMerge w:val="continue"/>
            <w:tcBorders>
              <w:left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r>
              <w:rPr>
                <w:rFonts w:ascii="宋体" w:hAnsi="宋体" w:eastAsia="宋体" w:cs="宋体"/>
                <w:color w:val="000000"/>
                <w:kern w:val="0"/>
                <w:sz w:val="24"/>
              </w:rPr>
              <w:t>预算编制偏离度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单位收入统筹度</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预算年终结余</w:t>
            </w:r>
            <w:r>
              <w:rPr>
                <w:rFonts w:ascii="宋体" w:hAnsi="宋体" w:eastAsia="宋体" w:cs="宋体"/>
                <w:color w:val="000000"/>
                <w:kern w:val="0"/>
                <w:sz w:val="24"/>
              </w:rPr>
              <w:t>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一般性支出</w:t>
            </w:r>
            <w:r>
              <w:rPr>
                <w:rFonts w:ascii="宋体" w:hAnsi="宋体" w:eastAsia="宋体" w:cs="宋体"/>
                <w:color w:val="000000"/>
                <w:kern w:val="0"/>
                <w:sz w:val="24"/>
              </w:rPr>
              <w:t>金额</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万元</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为上年一般性支出金额</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财务管理规范</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为“优”“良”“中”或“差”</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良</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资产配置预算偏离度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采购执行率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50</w:t>
            </w:r>
            <w:r>
              <w:rPr>
                <w:rFonts w:hint="eastAsia" w:ascii="宋体" w:hAnsi="宋体" w:eastAsia="宋体" w:cs="宋体"/>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tblPrEx>
          <w:tblCellMar>
            <w:top w:w="0" w:type="dxa"/>
            <w:left w:w="108" w:type="dxa"/>
            <w:bottom w:w="0" w:type="dxa"/>
            <w:right w:w="108" w:type="dxa"/>
          </w:tblCellMar>
        </w:tblPrEx>
        <w:trPr>
          <w:trHeight w:val="468"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both"/>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一般公共预算收入完成值</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eastAsia="zh-CN"/>
              </w:rPr>
              <w:t>全年一般公共预算收入完成值≥</w:t>
            </w:r>
            <w:r>
              <w:rPr>
                <w:rFonts w:hint="eastAsia" w:ascii="宋体" w:hAnsi="宋体" w:eastAsia="宋体" w:cs="宋体"/>
                <w:color w:val="000000"/>
                <w:kern w:val="0"/>
                <w:sz w:val="24"/>
                <w:lang w:val="en-US" w:eastAsia="zh-CN"/>
              </w:rPr>
              <w:t>13000万元</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13776万元</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完成项目财评个数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全年</w:t>
            </w:r>
            <w:r>
              <w:rPr>
                <w:rFonts w:hint="eastAsia" w:ascii="宋体" w:hAnsi="宋体" w:eastAsia="宋体" w:cs="宋体"/>
                <w:color w:val="000000"/>
                <w:kern w:val="0"/>
                <w:sz w:val="24"/>
                <w:lang w:eastAsia="zh-CN"/>
              </w:rPr>
              <w:t>项目财评个数</w:t>
            </w:r>
            <w:r>
              <w:rPr>
                <w:rFonts w:hint="eastAsia" w:ascii="宋体" w:hAnsi="宋体" w:eastAsia="宋体" w:cs="宋体"/>
                <w:color w:val="000000"/>
                <w:kern w:val="0"/>
                <w:sz w:val="24"/>
                <w:lang w:val="en-US" w:eastAsia="zh-CN"/>
              </w:rPr>
              <w:t>≥100个</w:t>
            </w:r>
          </w:p>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highlight w:val="none"/>
                <w:lang w:val="en-US" w:eastAsia="zh-CN"/>
              </w:rPr>
              <w:t>194个</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“三保”资金保障率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hint="default" w:ascii="宋体" w:hAnsi="宋体" w:eastAsia="宋体" w:cs="宋体"/>
                <w:color w:val="000000"/>
                <w:kern w:val="0"/>
                <w:sz w:val="24"/>
                <w:lang w:val="en-US"/>
              </w:rPr>
            </w:pPr>
            <w:r>
              <w:rPr>
                <w:rFonts w:hint="eastAsia" w:ascii="宋体" w:hAnsi="宋体" w:eastAsia="宋体" w:cs="宋体"/>
                <w:color w:val="000000"/>
                <w:kern w:val="0"/>
                <w:sz w:val="24"/>
                <w:lang w:eastAsia="zh-CN"/>
              </w:rPr>
              <w:t>“三保”项目资金保障率</w:t>
            </w: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经济效益指标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eastAsia="zh-CN"/>
              </w:rPr>
              <w:t>全县预算是否稳定执行</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是</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eastAsia="zh-CN"/>
              </w:rPr>
              <w:t>是</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是否保障财政资金安全</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是</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是</w:t>
            </w:r>
          </w:p>
        </w:tc>
      </w:tr>
      <w:tr>
        <w:tblPrEx>
          <w:tblCellMar>
            <w:top w:w="0" w:type="dxa"/>
            <w:left w:w="108" w:type="dxa"/>
            <w:bottom w:w="0" w:type="dxa"/>
            <w:right w:w="108" w:type="dxa"/>
          </w:tblCellMar>
        </w:tblPrEx>
        <w:trPr>
          <w:trHeight w:val="30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wordWrap/>
              <w:overflowPunct/>
              <w:topLinePunct w:val="0"/>
              <w:autoSpaceDE/>
              <w:autoSpaceDN/>
              <w:bidi w:val="0"/>
              <w:spacing w:line="560" w:lineRule="exact"/>
              <w:jc w:val="center"/>
              <w:textAlignment w:val="center"/>
              <w:rPr>
                <w:rFonts w:ascii="宋体" w:hAnsi="宋体" w:eastAsia="宋体" w:cs="宋体"/>
                <w:color w:val="000000"/>
                <w:kern w:val="0"/>
                <w:sz w:val="24"/>
              </w:rPr>
            </w:pPr>
          </w:p>
        </w:tc>
      </w:tr>
    </w:tbl>
    <w:p>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8"/>
        <w:rPr>
          <w:rFonts w:hint="eastAsia" w:ascii="Times New Roman" w:hAnsi="Times New Roman" w:eastAsia="黑体" w:cs="黑体"/>
          <w:color w:val="auto"/>
          <w:kern w:val="0"/>
          <w:sz w:val="32"/>
          <w:szCs w:val="32"/>
          <w:highlight w:val="none"/>
          <w:shd w:val="clear" w:color="auto" w:fill="FFFFFF"/>
          <w:lang w:val="zh-CN"/>
        </w:rPr>
      </w:pPr>
    </w:p>
    <w:p>
      <w:pPr>
        <w:pStyle w:val="8"/>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w:t>
      </w:r>
    </w:p>
    <w:p>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r>
        <w:rPr>
          <w:rFonts w:hint="eastAsia" w:ascii="方正小标宋_GBK" w:hAnsi="方正小标宋_GBK" w:eastAsia="方正小标宋_GBK" w:cs="方正小标宋_GBK"/>
          <w:color w:val="auto"/>
          <w:kern w:val="2"/>
          <w:sz w:val="44"/>
          <w:szCs w:val="44"/>
          <w:highlight w:val="none"/>
          <w:lang w:val="en-US" w:eastAsia="zh-CN"/>
        </w:rPr>
        <w:t>全县代理记账费用自评报告</w:t>
      </w:r>
    </w:p>
    <w:p>
      <w:pPr>
        <w:pStyle w:val="34"/>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eastAsia" w:ascii="方正仿宋_GBK" w:hAnsi="方正仿宋_GBK" w:eastAsia="方正仿宋_GBK" w:cs="方正仿宋_GBK"/>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eastAsia" w:ascii="方正黑体_GBK" w:hAnsi="方正黑体_GBK" w:eastAsia="方正黑体_GBK" w:cs="方正黑体_GBK"/>
          <w:sz w:val="32"/>
          <w:szCs w:val="32"/>
          <w:highlight w:val="none"/>
          <w:lang w:val="zh-CN"/>
        </w:rPr>
      </w:pPr>
      <w:r>
        <w:rPr>
          <w:rFonts w:hint="eastAsia" w:ascii="方正黑体_GBK" w:hAnsi="方正黑体_GBK" w:eastAsia="方正黑体_GBK" w:cs="方正黑体_GBK"/>
          <w:sz w:val="32"/>
          <w:szCs w:val="32"/>
          <w:highlight w:val="none"/>
        </w:rPr>
        <w:t>一、</w:t>
      </w:r>
      <w:r>
        <w:rPr>
          <w:rFonts w:hint="eastAsia" w:ascii="方正黑体_GBK" w:hAnsi="方正黑体_GBK" w:eastAsia="方正黑体_GBK" w:cs="方正黑体_GBK"/>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方正仿宋_GBK" w:hAnsi="方正仿宋_GBK" w:eastAsia="方正仿宋_GBK" w:cs="方正仿宋_GBK"/>
          <w:color w:val="auto"/>
          <w:kern w:val="0"/>
          <w:sz w:val="32"/>
          <w:szCs w:val="32"/>
          <w:highlight w:val="none"/>
          <w:u w:val="none"/>
          <w:shd w:val="clear" w:color="auto" w:fill="FFFFFF"/>
          <w:lang w:val="en-US" w:eastAsia="zh-CN"/>
        </w:rPr>
      </w:pPr>
      <w:r>
        <w:rPr>
          <w:rFonts w:hint="eastAsia" w:ascii="方正楷体_GBK" w:hAnsi="方正楷体_GBK" w:eastAsia="方正楷体_GBK" w:cs="方正楷体_GBK"/>
          <w:b/>
          <w:color w:val="auto"/>
          <w:sz w:val="32"/>
          <w:szCs w:val="32"/>
          <w:highlight w:val="none"/>
          <w:u w:val="none"/>
          <w:lang w:val="zh-CN"/>
        </w:rPr>
        <w:t>（一）设立背景及基本情况。</w:t>
      </w:r>
      <w:r>
        <w:rPr>
          <w:rFonts w:hint="eastAsia" w:ascii="方正仿宋_GBK" w:hAnsi="方正仿宋_GBK" w:eastAsia="方正仿宋_GBK" w:cs="方正仿宋_GBK"/>
          <w:color w:val="auto"/>
          <w:kern w:val="0"/>
          <w:sz w:val="32"/>
          <w:szCs w:val="32"/>
          <w:highlight w:val="none"/>
          <w:u w:val="none"/>
          <w:shd w:val="clear" w:color="auto" w:fill="FFFFFF"/>
          <w:lang w:val="en-US" w:eastAsia="zh-CN"/>
        </w:rPr>
        <w:t>县域内部分预算单位和乡镇卫生院存在财务人员短缺、专业能力薄弱、财务核算不规范、内控机制不健全等问题，难以严格落实政府会计制度、财经法律法规及财税申报相关要求。为有效解决基层财务工作短板，规范全县行政事业单位会计核算秩序，保障账务处理合法合规、财务数据真实完整，我县常态化实施政府委托代理记账服务项目，通过规范选聘合规代理记账机构，为相关单位提供专业化、标准化财务代理服务，夯实全县财政财务管理基础。</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方正仿宋_GBK" w:hAnsi="方正仿宋_GBK" w:eastAsia="方正仿宋_GBK" w:cs="方正仿宋_GBK"/>
          <w:b/>
          <w:color w:val="auto"/>
          <w:kern w:val="0"/>
          <w:sz w:val="32"/>
          <w:szCs w:val="32"/>
          <w:highlight w:val="none"/>
          <w:u w:val="none"/>
          <w:shd w:val="clear" w:color="auto" w:fill="FFFFFF"/>
          <w:lang w:val="en-US" w:eastAsia="zh-CN"/>
        </w:rPr>
      </w:pPr>
      <w:r>
        <w:rPr>
          <w:rFonts w:hint="eastAsia" w:ascii="方正楷体_GBK" w:hAnsi="方正楷体_GBK" w:eastAsia="方正楷体_GBK" w:cs="方正楷体_GBK"/>
          <w:b/>
          <w:color w:val="auto"/>
          <w:sz w:val="32"/>
          <w:szCs w:val="32"/>
          <w:highlight w:val="none"/>
          <w:u w:val="none"/>
          <w:lang w:val="zh-CN"/>
        </w:rPr>
        <w:t>（二）</w:t>
      </w:r>
      <w:r>
        <w:rPr>
          <w:rFonts w:hint="eastAsia" w:ascii="方正楷体_GBK" w:hAnsi="方正楷体_GBK" w:eastAsia="方正楷体_GBK" w:cs="方正楷体_GBK"/>
          <w:b/>
          <w:color w:val="auto"/>
          <w:sz w:val="32"/>
          <w:szCs w:val="32"/>
          <w:highlight w:val="none"/>
          <w:u w:val="none"/>
          <w:lang w:val="en-US" w:eastAsia="zh-CN"/>
        </w:rPr>
        <w:t>实施目的及支持方向。</w:t>
      </w:r>
      <w:r>
        <w:rPr>
          <w:rFonts w:hint="eastAsia" w:ascii="方正仿宋_GBK" w:hAnsi="方正仿宋_GBK" w:eastAsia="方正仿宋_GBK" w:cs="方正仿宋_GBK"/>
          <w:color w:val="auto"/>
          <w:kern w:val="0"/>
          <w:sz w:val="32"/>
          <w:szCs w:val="32"/>
          <w:highlight w:val="none"/>
          <w:u w:val="none"/>
          <w:shd w:val="clear" w:color="auto" w:fill="FFFFFF"/>
          <w:lang w:val="en-US" w:eastAsia="zh-CN"/>
        </w:rPr>
        <w:t>本年度全县代理记账服务，主要为全县39家实际仍在实施代理记账的预算单位，提供内容严格按照行业规范及财政管理要求执行。主要包括：依法依规开展日常账务处理、原始凭证审核、会计账簿登记、财务报表编制；按时完成纳税申报、财税数据上报、账务归档管理；配合财政、审计、税务等部门开展监督检查、专项核查、绩效评价等工作；协助服务单位完善内部财务管理制度、清理往来账务、规范资产核算等。</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方正仿宋_GBK" w:hAnsi="方正仿宋_GBK" w:eastAsia="方正仿宋_GBK" w:cs="方正仿宋_GBK"/>
          <w:color w:val="auto"/>
          <w:kern w:val="0"/>
          <w:sz w:val="32"/>
          <w:szCs w:val="32"/>
          <w:highlight w:val="none"/>
          <w:u w:val="none"/>
          <w:shd w:val="clear" w:color="auto" w:fill="FFFFFF"/>
          <w:lang w:val="en-US"/>
        </w:rPr>
      </w:pPr>
      <w:r>
        <w:rPr>
          <w:rFonts w:hint="eastAsia" w:ascii="方正楷体_GBK" w:hAnsi="方正楷体_GBK" w:eastAsia="方正楷体_GBK" w:cs="方正楷体_GBK"/>
          <w:b/>
          <w:color w:val="auto"/>
          <w:sz w:val="32"/>
          <w:szCs w:val="32"/>
          <w:highlight w:val="none"/>
          <w:u w:val="none"/>
          <w:lang w:val="zh-CN" w:eastAsia="zh-CN"/>
        </w:rPr>
        <w:t>（三）</w:t>
      </w:r>
      <w:r>
        <w:rPr>
          <w:rFonts w:hint="eastAsia" w:ascii="方正楷体_GBK" w:hAnsi="方正楷体_GBK" w:eastAsia="方正楷体_GBK" w:cs="方正楷体_GBK"/>
          <w:b/>
          <w:color w:val="auto"/>
          <w:sz w:val="32"/>
          <w:szCs w:val="32"/>
          <w:highlight w:val="none"/>
          <w:u w:val="none"/>
          <w:lang w:val="en-US" w:eastAsia="zh-CN"/>
        </w:rPr>
        <w:t>预算安排及分配管理</w:t>
      </w:r>
      <w:r>
        <w:rPr>
          <w:rFonts w:hint="eastAsia" w:ascii="方正楷体_GBK" w:hAnsi="方正楷体_GBK" w:eastAsia="方正楷体_GBK" w:cs="方正楷体_GBK"/>
          <w:b/>
          <w:color w:val="auto"/>
          <w:sz w:val="32"/>
          <w:szCs w:val="32"/>
          <w:highlight w:val="none"/>
          <w:u w:val="none"/>
          <w:lang w:val="zh-CN" w:eastAsia="zh-CN"/>
        </w:rPr>
        <w:t>。</w:t>
      </w:r>
      <w:r>
        <w:rPr>
          <w:rFonts w:hint="eastAsia" w:ascii="方正仿宋_GBK" w:hAnsi="方正仿宋_GBK" w:eastAsia="方正仿宋_GBK" w:cs="方正仿宋_GBK"/>
          <w:color w:val="auto"/>
          <w:kern w:val="0"/>
          <w:sz w:val="32"/>
          <w:szCs w:val="32"/>
          <w:highlight w:val="none"/>
          <w:u w:val="none"/>
          <w:shd w:val="clear" w:color="auto" w:fill="FFFFFF"/>
          <w:lang w:val="zh-CN" w:eastAsia="zh-CN"/>
        </w:rPr>
        <w:t>资金来源为县级一般公共预算资金，</w:t>
      </w:r>
      <w:r>
        <w:rPr>
          <w:rFonts w:hint="eastAsia" w:ascii="方正仿宋_GBK" w:hAnsi="方正仿宋_GBK" w:eastAsia="方正仿宋_GBK" w:cs="方正仿宋_GBK"/>
          <w:color w:val="auto"/>
          <w:kern w:val="0"/>
          <w:sz w:val="32"/>
          <w:szCs w:val="32"/>
          <w:highlight w:val="none"/>
          <w:u w:val="none"/>
          <w:shd w:val="clear" w:color="auto" w:fill="FFFFFF"/>
          <w:lang w:val="en-US" w:eastAsia="zh-CN"/>
        </w:rPr>
        <w:t>2025年下达预算86.50万元，支付86.50万元，预算执行率100%。其中2024年服务费尾款38.42万元，2025年预付款和进度款48.08万元。</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方正仿宋_GBK" w:hAnsi="方正仿宋_GBK" w:eastAsia="方正仿宋_GBK" w:cs="方正仿宋_GBK"/>
          <w:color w:val="auto"/>
          <w:kern w:val="0"/>
          <w:sz w:val="32"/>
          <w:szCs w:val="32"/>
          <w:highlight w:val="none"/>
          <w:u w:val="none"/>
          <w:shd w:val="clear" w:color="auto" w:fill="FFFFFF"/>
          <w:lang w:val="zh-CN" w:eastAsia="zh-CN"/>
        </w:rPr>
      </w:pPr>
      <w:r>
        <w:rPr>
          <w:rFonts w:hint="eastAsia" w:ascii="方正楷体_GBK" w:hAnsi="方正楷体_GBK" w:eastAsia="方正楷体_GBK" w:cs="方正楷体_GBK"/>
          <w:b/>
          <w:color w:val="auto"/>
          <w:sz w:val="32"/>
          <w:szCs w:val="32"/>
          <w:highlight w:val="none"/>
          <w:u w:val="none"/>
          <w:lang w:val="zh-CN" w:eastAsia="zh-CN"/>
        </w:rPr>
        <w:t>（四）项目绩效目标设置。</w:t>
      </w:r>
      <w:r>
        <w:rPr>
          <w:rFonts w:hint="eastAsia" w:ascii="方正仿宋_GBK" w:hAnsi="方正仿宋_GBK" w:eastAsia="方正仿宋_GBK" w:cs="方正仿宋_GBK"/>
          <w:color w:val="auto"/>
          <w:kern w:val="0"/>
          <w:sz w:val="32"/>
          <w:szCs w:val="32"/>
          <w:highlight w:val="none"/>
          <w:u w:val="none"/>
          <w:shd w:val="clear" w:color="auto" w:fill="FFFFFF"/>
          <w:lang w:val="zh-CN" w:eastAsia="zh-CN"/>
        </w:rPr>
        <w:t>项目整体目标为保障全县各代理记账单位、乡镇卫生院代理记账工作正常开展，提高单位财务管理水平。具体绩效目标设置情况如下：</w:t>
      </w:r>
    </w:p>
    <w:p>
      <w:pPr>
        <w:pStyle w:val="19"/>
        <w:spacing w:before="0" w:after="0" w:line="240" w:lineRule="auto"/>
        <w:ind w:firstLine="640" w:firstLineChars="200"/>
        <w:rPr>
          <w:rFonts w:hint="eastAsia" w:ascii="方正仿宋_GBK" w:hAnsi="方正仿宋_GBK" w:eastAsia="方正仿宋_GBK" w:cs="方正仿宋_GBK"/>
          <w:b w:val="0"/>
          <w:color w:val="auto"/>
          <w:kern w:val="0"/>
          <w:sz w:val="32"/>
          <w:szCs w:val="32"/>
          <w:highlight w:val="none"/>
          <w:u w:val="none"/>
          <w:shd w:val="clear" w:color="auto" w:fill="FFFFFF"/>
          <w:lang w:val="en-US" w:eastAsia="zh-CN" w:bidi="ar-SA"/>
        </w:rPr>
      </w:pPr>
      <w:r>
        <w:rPr>
          <w:rFonts w:hint="eastAsia" w:ascii="方正仿宋_GBK" w:hAnsi="方正仿宋_GBK" w:eastAsia="方正仿宋_GBK" w:cs="方正仿宋_GBK"/>
          <w:b w:val="0"/>
          <w:color w:val="auto"/>
          <w:kern w:val="0"/>
          <w:sz w:val="32"/>
          <w:szCs w:val="32"/>
          <w:highlight w:val="none"/>
          <w:u w:val="none"/>
          <w:shd w:val="clear" w:color="auto" w:fill="FFFFFF"/>
          <w:lang w:val="en-US" w:eastAsia="zh-CN" w:bidi="ar-SA"/>
        </w:rPr>
        <w:t>1、产出指标-数量指标-实施代理记账预算单位个数≥40个；</w:t>
      </w:r>
    </w:p>
    <w:p>
      <w:pPr>
        <w:pStyle w:val="19"/>
        <w:spacing w:before="0" w:after="0" w:line="240" w:lineRule="auto"/>
        <w:ind w:firstLine="640" w:firstLineChars="200"/>
        <w:rPr>
          <w:rFonts w:hint="eastAsia" w:ascii="方正仿宋_GBK" w:hAnsi="方正仿宋_GBK" w:eastAsia="方正仿宋_GBK" w:cs="方正仿宋_GBK"/>
          <w:b w:val="0"/>
          <w:color w:val="auto"/>
          <w:kern w:val="0"/>
          <w:sz w:val="32"/>
          <w:szCs w:val="32"/>
          <w:highlight w:val="none"/>
          <w:u w:val="none"/>
          <w:shd w:val="clear" w:color="auto" w:fill="FFFFFF"/>
          <w:lang w:val="en-US" w:eastAsia="zh-CN" w:bidi="ar-SA"/>
        </w:rPr>
      </w:pPr>
      <w:r>
        <w:rPr>
          <w:rFonts w:hint="eastAsia" w:ascii="方正仿宋_GBK" w:hAnsi="方正仿宋_GBK" w:eastAsia="方正仿宋_GBK" w:cs="方正仿宋_GBK"/>
          <w:b w:val="0"/>
          <w:color w:val="auto"/>
          <w:kern w:val="0"/>
          <w:sz w:val="32"/>
          <w:szCs w:val="32"/>
          <w:highlight w:val="none"/>
          <w:u w:val="none"/>
          <w:shd w:val="clear" w:color="auto" w:fill="FFFFFF"/>
          <w:lang w:val="en-US" w:eastAsia="zh-CN" w:bidi="ar-SA"/>
        </w:rPr>
        <w:t>2、产出指标-质量指标-代理记账单位财务工作完成质量≥90%；</w:t>
      </w:r>
    </w:p>
    <w:p>
      <w:pPr>
        <w:pStyle w:val="19"/>
        <w:spacing w:before="0" w:after="0" w:line="240" w:lineRule="auto"/>
        <w:ind w:firstLine="640" w:firstLineChars="200"/>
        <w:rPr>
          <w:rFonts w:hint="eastAsia" w:ascii="方正仿宋_GBK" w:hAnsi="方正仿宋_GBK" w:eastAsia="方正仿宋_GBK" w:cs="方正仿宋_GBK"/>
          <w:b w:val="0"/>
          <w:color w:val="auto"/>
          <w:kern w:val="0"/>
          <w:sz w:val="32"/>
          <w:szCs w:val="32"/>
          <w:highlight w:val="none"/>
          <w:u w:val="none"/>
          <w:shd w:val="clear" w:color="auto" w:fill="FFFFFF"/>
          <w:lang w:val="en-US" w:eastAsia="zh-CN" w:bidi="ar-SA"/>
        </w:rPr>
      </w:pPr>
      <w:r>
        <w:rPr>
          <w:rFonts w:hint="eastAsia" w:ascii="方正仿宋_GBK" w:hAnsi="方正仿宋_GBK" w:eastAsia="方正仿宋_GBK" w:cs="方正仿宋_GBK"/>
          <w:b w:val="0"/>
          <w:color w:val="auto"/>
          <w:kern w:val="0"/>
          <w:sz w:val="32"/>
          <w:szCs w:val="32"/>
          <w:highlight w:val="none"/>
          <w:u w:val="none"/>
          <w:shd w:val="clear" w:color="auto" w:fill="FFFFFF"/>
          <w:lang w:val="en-US" w:eastAsia="zh-CN" w:bidi="ar-SA"/>
        </w:rPr>
        <w:t>3、产出指标-质量指标-是否有效提升单位会计核算质量；</w:t>
      </w:r>
    </w:p>
    <w:p>
      <w:pPr>
        <w:pStyle w:val="19"/>
        <w:spacing w:before="0" w:after="0" w:line="240" w:lineRule="auto"/>
        <w:ind w:firstLine="640" w:firstLineChars="200"/>
        <w:rPr>
          <w:rFonts w:hint="eastAsia" w:ascii="方正仿宋_GBK" w:hAnsi="方正仿宋_GBK" w:eastAsia="方正仿宋_GBK" w:cs="方正仿宋_GBK"/>
          <w:b w:val="0"/>
          <w:color w:val="auto"/>
          <w:kern w:val="0"/>
          <w:sz w:val="32"/>
          <w:szCs w:val="32"/>
          <w:highlight w:val="none"/>
          <w:u w:val="none"/>
          <w:shd w:val="clear" w:color="auto" w:fill="FFFFFF"/>
          <w:lang w:val="en-US" w:eastAsia="zh-CN" w:bidi="ar-SA"/>
        </w:rPr>
      </w:pPr>
      <w:r>
        <w:rPr>
          <w:rFonts w:hint="eastAsia" w:ascii="方正仿宋_GBK" w:hAnsi="方正仿宋_GBK" w:eastAsia="方正仿宋_GBK" w:cs="方正仿宋_GBK"/>
          <w:b w:val="0"/>
          <w:color w:val="auto"/>
          <w:kern w:val="0"/>
          <w:sz w:val="32"/>
          <w:szCs w:val="32"/>
          <w:highlight w:val="none"/>
          <w:u w:val="none"/>
          <w:shd w:val="clear" w:color="auto" w:fill="FFFFFF"/>
          <w:lang w:val="en-US" w:eastAsia="zh-CN" w:bidi="ar-SA"/>
        </w:rPr>
        <w:t>4、产出指标-时效指标-代理记账工作服务时间=1年；</w:t>
      </w:r>
    </w:p>
    <w:p>
      <w:pPr>
        <w:pStyle w:val="19"/>
        <w:spacing w:before="0" w:after="0" w:line="240" w:lineRule="auto"/>
        <w:ind w:firstLine="640" w:firstLineChars="200"/>
        <w:rPr>
          <w:rFonts w:hint="eastAsia" w:ascii="方正仿宋_GBK" w:hAnsi="方正仿宋_GBK" w:eastAsia="方正仿宋_GBK" w:cs="方正仿宋_GBK"/>
          <w:b w:val="0"/>
          <w:color w:val="auto"/>
          <w:kern w:val="0"/>
          <w:sz w:val="32"/>
          <w:szCs w:val="32"/>
          <w:highlight w:val="none"/>
          <w:u w:val="none"/>
          <w:shd w:val="clear" w:color="auto" w:fill="FFFFFF"/>
          <w:lang w:val="en-US" w:eastAsia="zh-CN" w:bidi="ar-SA"/>
        </w:rPr>
      </w:pPr>
      <w:r>
        <w:rPr>
          <w:rFonts w:hint="eastAsia" w:ascii="方正仿宋_GBK" w:hAnsi="方正仿宋_GBK" w:eastAsia="方正仿宋_GBK" w:cs="方正仿宋_GBK"/>
          <w:b w:val="0"/>
          <w:color w:val="auto"/>
          <w:kern w:val="0"/>
          <w:sz w:val="32"/>
          <w:szCs w:val="32"/>
          <w:highlight w:val="none"/>
          <w:u w:val="none"/>
          <w:shd w:val="clear" w:color="auto" w:fill="FFFFFF"/>
          <w:lang w:val="en-US" w:eastAsia="zh-CN" w:bidi="ar-SA"/>
        </w:rPr>
        <w:t>5、成本指标-经济成本指标-代理记账总费用≤100万元；</w:t>
      </w:r>
    </w:p>
    <w:p>
      <w:pPr>
        <w:pStyle w:val="19"/>
        <w:spacing w:before="0" w:after="0" w:line="240" w:lineRule="auto"/>
        <w:ind w:firstLine="640" w:firstLineChars="200"/>
        <w:rPr>
          <w:rFonts w:hint="eastAsia" w:ascii="方正仿宋_GBK" w:hAnsi="方正仿宋_GBK" w:eastAsia="方正仿宋_GBK" w:cs="方正仿宋_GBK"/>
          <w:b w:val="0"/>
          <w:color w:val="auto"/>
          <w:kern w:val="0"/>
          <w:sz w:val="32"/>
          <w:szCs w:val="32"/>
          <w:highlight w:val="none"/>
          <w:u w:val="none"/>
          <w:shd w:val="clear" w:color="auto" w:fill="FFFFFF"/>
          <w:lang w:val="en-US" w:eastAsia="zh-CN" w:bidi="ar-SA"/>
        </w:rPr>
      </w:pPr>
      <w:r>
        <w:rPr>
          <w:rFonts w:hint="eastAsia" w:ascii="方正仿宋_GBK" w:hAnsi="方正仿宋_GBK" w:eastAsia="方正仿宋_GBK" w:cs="方正仿宋_GBK"/>
          <w:b w:val="0"/>
          <w:color w:val="auto"/>
          <w:kern w:val="0"/>
          <w:sz w:val="32"/>
          <w:szCs w:val="32"/>
          <w:highlight w:val="none"/>
          <w:u w:val="none"/>
          <w:shd w:val="clear" w:color="auto" w:fill="FFFFFF"/>
          <w:lang w:val="en-US" w:eastAsia="zh-CN" w:bidi="ar-SA"/>
        </w:rPr>
        <w:t>6、效益指标-社会效益指标-是否对我县行政事业单位会计工作有积极作用；</w:t>
      </w:r>
    </w:p>
    <w:p>
      <w:pPr>
        <w:pStyle w:val="19"/>
        <w:spacing w:before="0" w:after="0" w:line="240" w:lineRule="auto"/>
        <w:ind w:firstLine="640" w:firstLineChars="200"/>
        <w:rPr>
          <w:rFonts w:hint="eastAsia" w:ascii="方正仿宋_GBK" w:hAnsi="方正仿宋_GBK" w:eastAsia="方正仿宋_GBK" w:cs="方正仿宋_GBK"/>
          <w:sz w:val="32"/>
          <w:szCs w:val="32"/>
          <w:lang w:val="zh-CN" w:eastAsia="zh-CN"/>
        </w:rPr>
      </w:pPr>
      <w:r>
        <w:rPr>
          <w:rFonts w:hint="eastAsia" w:ascii="方正仿宋_GBK" w:hAnsi="方正仿宋_GBK" w:eastAsia="方正仿宋_GBK" w:cs="方正仿宋_GBK"/>
          <w:b w:val="0"/>
          <w:color w:val="auto"/>
          <w:kern w:val="0"/>
          <w:sz w:val="32"/>
          <w:szCs w:val="32"/>
          <w:highlight w:val="none"/>
          <w:u w:val="none"/>
          <w:shd w:val="clear" w:color="auto" w:fill="FFFFFF"/>
          <w:lang w:val="en-US" w:eastAsia="zh-CN" w:bidi="ar-SA"/>
        </w:rPr>
        <w:t>7、满意度指标-服务对象满意度指标-代理记账单位满意度≥95%。</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eastAsia" w:ascii="方正黑体_GBK" w:hAnsi="方正黑体_GBK" w:eastAsia="方正黑体_GBK" w:cs="方正黑体_GBK"/>
          <w:sz w:val="32"/>
          <w:szCs w:val="32"/>
          <w:highlight w:val="none"/>
          <w:lang w:eastAsia="zh-CN"/>
        </w:rPr>
      </w:pPr>
      <w:r>
        <w:rPr>
          <w:rFonts w:hint="eastAsia" w:ascii="方正黑体_GBK" w:hAnsi="方正黑体_GBK" w:eastAsia="方正黑体_GBK" w:cs="方正黑体_GBK"/>
          <w:sz w:val="32"/>
          <w:szCs w:val="32"/>
          <w:highlight w:val="none"/>
        </w:rPr>
        <w:t>二、</w:t>
      </w:r>
      <w:r>
        <w:rPr>
          <w:rFonts w:hint="eastAsia" w:ascii="方正黑体_GBK" w:hAnsi="方正黑体_GBK" w:eastAsia="方正黑体_GBK" w:cs="方正黑体_GBK"/>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方正仿宋_GBK" w:hAnsi="方正仿宋_GBK" w:eastAsia="方正仿宋_GBK" w:cs="方正仿宋_GBK"/>
          <w:sz w:val="32"/>
          <w:szCs w:val="32"/>
        </w:rPr>
      </w:pPr>
      <w:r>
        <w:rPr>
          <w:rFonts w:hint="eastAsia" w:ascii="方正楷体_GBK" w:hAnsi="方正楷体_GBK" w:eastAsia="方正楷体_GBK" w:cs="方正楷体_GBK"/>
          <w:b/>
          <w:color w:val="auto"/>
          <w:sz w:val="32"/>
          <w:szCs w:val="32"/>
          <w:highlight w:val="none"/>
          <w:u w:val="none"/>
          <w:lang w:val="zh-CN"/>
        </w:rPr>
        <w:t>（一）评价目的。</w:t>
      </w:r>
      <w:r>
        <w:rPr>
          <w:rFonts w:hint="eastAsia" w:ascii="方正仿宋_GBK" w:hAnsi="方正仿宋_GBK" w:eastAsia="方正仿宋_GBK" w:cs="方正仿宋_GBK"/>
          <w:sz w:val="32"/>
          <w:szCs w:val="32"/>
          <w:lang w:val="zh-CN"/>
        </w:rPr>
        <w:t>为进一步规范全县行政事业单位政府委托代理记账，强化财政资金绩效管理，提升财务核算规范化水平，根据《中华人民共和国会计法》《代理记账管理办法》及财政项目资金绩效管理相关规定，我单位对本年度全县代理记账费用项目实施及资金使用情况开展全面自评工作。</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方正仿宋_GBK" w:hAnsi="方正仿宋_GBK" w:eastAsia="方正仿宋_GBK" w:cs="方正仿宋_GBK"/>
          <w:sz w:val="32"/>
          <w:szCs w:val="32"/>
          <w:lang w:eastAsia="zh-CN"/>
        </w:rPr>
      </w:pPr>
      <w:r>
        <w:rPr>
          <w:rFonts w:hint="eastAsia" w:ascii="方正楷体_GBK" w:hAnsi="方正楷体_GBK" w:eastAsia="方正楷体_GBK" w:cs="方正楷体_GBK"/>
          <w:b/>
          <w:color w:val="auto"/>
          <w:sz w:val="32"/>
          <w:szCs w:val="32"/>
          <w:highlight w:val="none"/>
          <w:u w:val="none"/>
          <w:lang w:val="zh-CN"/>
        </w:rPr>
        <w:t>（二）预设问题及评价重点。</w:t>
      </w:r>
      <w:r>
        <w:rPr>
          <w:rFonts w:hint="eastAsia" w:ascii="方正仿宋_GBK" w:hAnsi="方正仿宋_GBK" w:eastAsia="方正仿宋_GBK" w:cs="方正仿宋_GBK"/>
          <w:sz w:val="32"/>
          <w:szCs w:val="32"/>
        </w:rPr>
        <w:t>按照绩效评价指标体系，对资金支出使用全过程及其实施效果进行综合评价和判断</w:t>
      </w:r>
      <w:r>
        <w:rPr>
          <w:rFonts w:hint="eastAsia" w:ascii="方正仿宋_GBK" w:hAnsi="方正仿宋_GBK" w:eastAsia="方正仿宋_GBK" w:cs="方正仿宋_GBK"/>
          <w:sz w:val="32"/>
          <w:szCs w:val="32"/>
          <w:lang w:eastAsia="zh-CN"/>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方正仿宋_GBK" w:hAnsi="方正仿宋_GBK" w:eastAsia="方正仿宋_GBK" w:cs="方正仿宋_GBK"/>
          <w:sz w:val="32"/>
          <w:szCs w:val="32"/>
          <w:lang w:eastAsia="zh-CN"/>
        </w:rPr>
      </w:pPr>
      <w:r>
        <w:rPr>
          <w:rFonts w:hint="eastAsia" w:ascii="方正楷体_GBK" w:hAnsi="方正楷体_GBK" w:eastAsia="方正楷体_GBK" w:cs="方正楷体_GBK"/>
          <w:b/>
          <w:color w:val="auto"/>
          <w:sz w:val="32"/>
          <w:szCs w:val="32"/>
          <w:highlight w:val="none"/>
          <w:u w:val="none"/>
          <w:lang w:val="zh-CN"/>
        </w:rPr>
        <w:t>（三）评价方法。</w:t>
      </w:r>
      <w:r>
        <w:rPr>
          <w:rFonts w:hint="eastAsia" w:ascii="方正仿宋_GBK" w:hAnsi="方正仿宋_GBK" w:eastAsia="方正仿宋_GBK" w:cs="方正仿宋_GBK"/>
          <w:sz w:val="32"/>
          <w:szCs w:val="32"/>
        </w:rPr>
        <w:t>根据项目情况和评价重点，</w:t>
      </w:r>
      <w:r>
        <w:rPr>
          <w:rFonts w:hint="eastAsia" w:ascii="方正仿宋_GBK" w:hAnsi="方正仿宋_GBK" w:eastAsia="方正仿宋_GBK" w:cs="方正仿宋_GBK"/>
          <w:sz w:val="32"/>
          <w:szCs w:val="32"/>
          <w:lang w:eastAsia="zh-CN"/>
        </w:rPr>
        <w:t>用来</w:t>
      </w:r>
      <w:r>
        <w:rPr>
          <w:rFonts w:hint="eastAsia" w:ascii="方正仿宋_GBK" w:hAnsi="方正仿宋_GBK" w:eastAsia="方正仿宋_GBK" w:cs="方正仿宋_GBK"/>
          <w:sz w:val="32"/>
          <w:szCs w:val="32"/>
        </w:rPr>
        <w:t>收集相关材料和开展具体评价</w:t>
      </w:r>
      <w:r>
        <w:rPr>
          <w:rFonts w:hint="eastAsia" w:ascii="方正仿宋_GBK" w:hAnsi="方正仿宋_GBK" w:eastAsia="方正仿宋_GBK" w:cs="方正仿宋_GBK"/>
          <w:sz w:val="32"/>
          <w:szCs w:val="32"/>
          <w:lang w:eastAsia="zh-CN"/>
        </w:rPr>
        <w:t>的方法</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包括：</w:t>
      </w:r>
      <w:r>
        <w:rPr>
          <w:rFonts w:hint="eastAsia" w:ascii="方正仿宋_GBK" w:hAnsi="方正仿宋_GBK" w:eastAsia="方正仿宋_GBK" w:cs="方正仿宋_GBK"/>
          <w:sz w:val="32"/>
          <w:szCs w:val="32"/>
        </w:rPr>
        <w:t>采用成本效益分析法、标杆管理法、案卷研究法、单位自评法、实地勘</w:t>
      </w:r>
      <w:r>
        <w:rPr>
          <w:rFonts w:hint="eastAsia" w:ascii="方正仿宋_GBK" w:hAnsi="方正仿宋_GBK" w:eastAsia="方正仿宋_GBK" w:cs="方正仿宋_GBK"/>
          <w:sz w:val="32"/>
          <w:szCs w:val="32"/>
          <w:lang w:eastAsia="zh-CN"/>
        </w:rPr>
        <w:t>查</w:t>
      </w:r>
      <w:r>
        <w:rPr>
          <w:rFonts w:hint="eastAsia" w:ascii="方正仿宋_GBK" w:hAnsi="方正仿宋_GBK" w:eastAsia="方正仿宋_GBK" w:cs="方正仿宋_GBK"/>
          <w:sz w:val="32"/>
          <w:szCs w:val="32"/>
        </w:rPr>
        <w:t>法、问卷调查法、座谈调研法等多种方法</w:t>
      </w:r>
      <w:r>
        <w:rPr>
          <w:rFonts w:hint="eastAsia" w:ascii="方正仿宋_GBK" w:hAnsi="方正仿宋_GBK" w:eastAsia="方正仿宋_GBK" w:cs="方正仿宋_GBK"/>
          <w:sz w:val="32"/>
          <w:szCs w:val="32"/>
          <w:lang w:eastAsia="zh-CN"/>
        </w:rPr>
        <w:t>。采用</w:t>
      </w:r>
      <w:r>
        <w:rPr>
          <w:rFonts w:hint="eastAsia" w:ascii="方正仿宋_GBK" w:hAnsi="方正仿宋_GBK" w:eastAsia="方正仿宋_GBK" w:cs="方正仿宋_GBK"/>
          <w:sz w:val="32"/>
          <w:szCs w:val="32"/>
        </w:rPr>
        <w:t>实地勘</w:t>
      </w:r>
      <w:r>
        <w:rPr>
          <w:rFonts w:hint="eastAsia" w:ascii="方正仿宋_GBK" w:hAnsi="方正仿宋_GBK" w:eastAsia="方正仿宋_GBK" w:cs="方正仿宋_GBK"/>
          <w:sz w:val="32"/>
          <w:szCs w:val="32"/>
          <w:lang w:eastAsia="zh-CN"/>
        </w:rPr>
        <w:t>查</w:t>
      </w:r>
      <w:r>
        <w:rPr>
          <w:rFonts w:hint="eastAsia" w:ascii="方正仿宋_GBK" w:hAnsi="方正仿宋_GBK" w:eastAsia="方正仿宋_GBK" w:cs="方正仿宋_GBK"/>
          <w:sz w:val="32"/>
          <w:szCs w:val="32"/>
        </w:rPr>
        <w:t>法、问卷调查法</w:t>
      </w:r>
      <w:r>
        <w:rPr>
          <w:rFonts w:hint="eastAsia" w:ascii="方正仿宋_GBK" w:hAnsi="方正仿宋_GBK" w:eastAsia="方正仿宋_GBK" w:cs="方正仿宋_GBK"/>
          <w:sz w:val="32"/>
          <w:szCs w:val="32"/>
          <w:lang w:eastAsia="zh-CN"/>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方正仿宋_GBK" w:hAnsi="方正仿宋_GBK" w:eastAsia="方正仿宋_GBK" w:cs="方正仿宋_GBK"/>
          <w:bCs/>
          <w:sz w:val="32"/>
          <w:szCs w:val="32"/>
          <w:lang w:eastAsia="zh-CN"/>
        </w:rPr>
      </w:pPr>
      <w:r>
        <w:rPr>
          <w:rFonts w:hint="eastAsia" w:ascii="方正仿宋_GBK" w:hAnsi="方正仿宋_GBK" w:eastAsia="方正仿宋_GBK" w:cs="方正仿宋_GBK"/>
          <w:b/>
          <w:color w:val="auto"/>
          <w:sz w:val="32"/>
          <w:szCs w:val="32"/>
          <w:highlight w:val="none"/>
          <w:u w:val="none"/>
          <w:lang w:val="zh-CN"/>
        </w:rPr>
        <w:t>（五）评价组织。</w:t>
      </w:r>
      <w:r>
        <w:rPr>
          <w:rFonts w:hint="eastAsia" w:ascii="方正仿宋_GBK" w:hAnsi="方正仿宋_GBK" w:eastAsia="方正仿宋_GBK" w:cs="方正仿宋_GBK"/>
          <w:sz w:val="32"/>
          <w:szCs w:val="32"/>
        </w:rPr>
        <w:t>评价组人员构成</w:t>
      </w:r>
      <w:r>
        <w:rPr>
          <w:rFonts w:hint="eastAsia" w:ascii="方正仿宋_GBK" w:hAnsi="方正仿宋_GBK" w:eastAsia="方正仿宋_GBK" w:cs="方正仿宋_GBK"/>
          <w:sz w:val="32"/>
          <w:szCs w:val="32"/>
          <w:lang w:eastAsia="zh-CN"/>
        </w:rPr>
        <w:t>和</w:t>
      </w:r>
      <w:r>
        <w:rPr>
          <w:rFonts w:hint="eastAsia" w:ascii="方正仿宋_GBK" w:hAnsi="方正仿宋_GBK" w:eastAsia="方正仿宋_GBK" w:cs="方正仿宋_GBK"/>
          <w:sz w:val="32"/>
          <w:szCs w:val="32"/>
        </w:rPr>
        <w:t>职责分工</w:t>
      </w:r>
      <w:r>
        <w:rPr>
          <w:rFonts w:hint="eastAsia" w:ascii="方正仿宋_GBK" w:hAnsi="方正仿宋_GBK" w:eastAsia="方正仿宋_GBK" w:cs="方正仿宋_GBK"/>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eastAsia" w:ascii="方正黑体_GBK" w:hAnsi="方正黑体_GBK" w:eastAsia="方正黑体_GBK" w:cs="方正黑体_GBK"/>
          <w:sz w:val="32"/>
          <w:szCs w:val="32"/>
          <w:highlight w:val="none"/>
          <w:lang w:val="zh-CN"/>
        </w:rPr>
      </w:pPr>
      <w:r>
        <w:rPr>
          <w:rFonts w:hint="eastAsia" w:ascii="方正黑体_GBK" w:hAnsi="方正黑体_GBK" w:eastAsia="方正黑体_GBK" w:cs="方正黑体_GBK"/>
          <w:sz w:val="32"/>
          <w:szCs w:val="32"/>
          <w:highlight w:val="none"/>
        </w:rPr>
        <w:t>三、</w:t>
      </w:r>
      <w:r>
        <w:rPr>
          <w:rFonts w:hint="eastAsia" w:ascii="方正黑体_GBK" w:hAnsi="方正黑体_GBK" w:eastAsia="方正黑体_GBK" w:cs="方正黑体_GBK"/>
          <w:sz w:val="32"/>
          <w:szCs w:val="32"/>
          <w:highlight w:val="none"/>
          <w:lang w:eastAsia="zh-CN"/>
        </w:rPr>
        <w:t>绩效分析</w:t>
      </w:r>
      <w:r>
        <w:rPr>
          <w:rFonts w:hint="eastAsia" w:ascii="方正黑体_GBK" w:hAnsi="方正黑体_GBK" w:eastAsia="方正黑体_GBK" w:cs="方正黑体_GBK"/>
          <w:sz w:val="32"/>
          <w:szCs w:val="32"/>
          <w:highlight w:val="none"/>
          <w:lang w:val="zh-CN"/>
        </w:rPr>
        <w:tab/>
      </w:r>
    </w:p>
    <w:p>
      <w:pPr>
        <w:keepNext w:val="0"/>
        <w:keepLines w:val="0"/>
        <w:pageBreakBefore w:val="0"/>
        <w:widowControl w:val="0"/>
        <w:kinsoku/>
        <w:wordWrap/>
        <w:overflowPunct/>
        <w:topLinePunct w:val="0"/>
        <w:autoSpaceDE/>
        <w:autoSpaceDN/>
        <w:bidi w:val="0"/>
        <w:spacing w:line="240" w:lineRule="auto"/>
        <w:ind w:firstLine="640" w:firstLineChars="20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zh-CN" w:eastAsia="zh-CN"/>
        </w:rPr>
        <w:t>根据项目预算绩效评价指标体系“通用指标”“专用指标”“个性指标”涉及二、三级指标进行逐项绩效分析并评分</w:t>
      </w:r>
      <w:r>
        <w:rPr>
          <w:rFonts w:hint="eastAsia" w:ascii="方正仿宋_GBK" w:hAnsi="方正仿宋_GBK" w:eastAsia="方正仿宋_GBK" w:cs="方正仿宋_GBK"/>
          <w:sz w:val="32"/>
          <w:szCs w:val="32"/>
          <w:lang w:val="en-US" w:eastAsia="zh-CN"/>
        </w:rPr>
        <w:t xml:space="preserve">。   </w:t>
      </w:r>
    </w:p>
    <w:p>
      <w:pPr>
        <w:keepNext w:val="0"/>
        <w:keepLines w:val="0"/>
        <w:pageBreakBefore w:val="0"/>
        <w:widowControl w:val="0"/>
        <w:numPr>
          <w:ilvl w:val="0"/>
          <w:numId w:val="4"/>
        </w:numPr>
        <w:kinsoku/>
        <w:wordWrap/>
        <w:overflowPunct/>
        <w:topLinePunct w:val="0"/>
        <w:autoSpaceDE/>
        <w:autoSpaceDN/>
        <w:bidi w:val="0"/>
        <w:spacing w:line="240" w:lineRule="auto"/>
        <w:ind w:firstLine="640" w:firstLineChars="200"/>
        <w:textAlignment w:val="auto"/>
        <w:outlineLvl w:val="9"/>
        <w:rPr>
          <w:rFonts w:hint="eastAsia" w:ascii="方正仿宋_GBK" w:hAnsi="方正仿宋_GBK" w:eastAsia="方正仿宋_GBK" w:cs="方正仿宋_GBK"/>
          <w:b w:val="0"/>
          <w:color w:val="auto"/>
          <w:kern w:val="0"/>
          <w:sz w:val="32"/>
          <w:szCs w:val="32"/>
          <w:highlight w:val="none"/>
          <w:u w:val="none"/>
          <w:shd w:val="clear" w:color="auto" w:fill="FFFFFF"/>
          <w:lang w:val="en-US" w:eastAsia="zh-CN" w:bidi="ar-SA"/>
        </w:rPr>
      </w:pPr>
      <w:r>
        <w:rPr>
          <w:rFonts w:hint="eastAsia" w:ascii="方正仿宋_GBK" w:hAnsi="方正仿宋_GBK" w:eastAsia="方正仿宋_GBK" w:cs="方正仿宋_GBK"/>
          <w:b w:val="0"/>
          <w:color w:val="auto"/>
          <w:kern w:val="0"/>
          <w:sz w:val="32"/>
          <w:szCs w:val="32"/>
          <w:highlight w:val="none"/>
          <w:u w:val="none"/>
          <w:shd w:val="clear" w:color="auto" w:fill="FFFFFF"/>
          <w:lang w:val="en-US" w:eastAsia="zh-CN" w:bidi="ar-SA"/>
        </w:rPr>
        <w:t>产出指标-数量指标-实施代理记账预算单位个数=39个；</w:t>
      </w:r>
    </w:p>
    <w:p>
      <w:pPr>
        <w:keepNext w:val="0"/>
        <w:keepLines w:val="0"/>
        <w:pageBreakBefore w:val="0"/>
        <w:widowControl w:val="0"/>
        <w:numPr>
          <w:ilvl w:val="0"/>
          <w:numId w:val="0"/>
        </w:numPr>
        <w:kinsoku/>
        <w:wordWrap/>
        <w:overflowPunct/>
        <w:topLinePunct w:val="0"/>
        <w:autoSpaceDE/>
        <w:autoSpaceDN/>
        <w:bidi w:val="0"/>
        <w:spacing w:line="240" w:lineRule="auto"/>
        <w:ind w:leftChars="0"/>
        <w:textAlignment w:val="auto"/>
        <w:outlineLvl w:val="9"/>
        <w:rPr>
          <w:rFonts w:hint="eastAsia" w:ascii="方正仿宋_GBK" w:hAnsi="方正仿宋_GBK" w:eastAsia="方正仿宋_GBK" w:cs="方正仿宋_GBK"/>
          <w:b w:val="0"/>
          <w:color w:val="auto"/>
          <w:kern w:val="0"/>
          <w:sz w:val="32"/>
          <w:szCs w:val="32"/>
          <w:highlight w:val="none"/>
          <w:u w:val="none"/>
          <w:shd w:val="clear" w:color="auto" w:fill="FFFFFF"/>
          <w:lang w:val="en-US" w:eastAsia="zh-CN" w:bidi="ar-SA"/>
        </w:rPr>
      </w:pPr>
      <w:r>
        <w:rPr>
          <w:rFonts w:hint="eastAsia" w:ascii="方正仿宋_GBK" w:hAnsi="方正仿宋_GBK" w:eastAsia="方正仿宋_GBK" w:cs="方正仿宋_GBK"/>
          <w:b w:val="0"/>
          <w:color w:val="auto"/>
          <w:kern w:val="0"/>
          <w:sz w:val="32"/>
          <w:szCs w:val="32"/>
          <w:highlight w:val="none"/>
          <w:u w:val="none"/>
          <w:shd w:val="clear" w:color="auto" w:fill="FFFFFF"/>
          <w:lang w:val="en-US" w:eastAsia="zh-CN" w:bidi="ar-SA"/>
        </w:rPr>
        <w:t xml:space="preserve">    2.产出指标-质量指标-代理记账单位财务工作完成质量≥80%；</w:t>
      </w:r>
    </w:p>
    <w:p>
      <w:pPr>
        <w:keepNext w:val="0"/>
        <w:keepLines w:val="0"/>
        <w:pageBreakBefore w:val="0"/>
        <w:widowControl w:val="0"/>
        <w:numPr>
          <w:ilvl w:val="0"/>
          <w:numId w:val="0"/>
        </w:numPr>
        <w:kinsoku/>
        <w:wordWrap/>
        <w:overflowPunct/>
        <w:topLinePunct w:val="0"/>
        <w:autoSpaceDE/>
        <w:autoSpaceDN/>
        <w:bidi w:val="0"/>
        <w:spacing w:line="240" w:lineRule="auto"/>
        <w:ind w:firstLine="640" w:firstLineChars="200"/>
        <w:textAlignment w:val="auto"/>
        <w:outlineLvl w:val="9"/>
        <w:rPr>
          <w:rFonts w:hint="eastAsia" w:ascii="方正仿宋_GBK" w:hAnsi="方正仿宋_GBK" w:eastAsia="方正仿宋_GBK" w:cs="方正仿宋_GBK"/>
          <w:b w:val="0"/>
          <w:color w:val="auto"/>
          <w:kern w:val="0"/>
          <w:sz w:val="32"/>
          <w:szCs w:val="32"/>
          <w:highlight w:val="none"/>
          <w:u w:val="none"/>
          <w:shd w:val="clear" w:color="auto" w:fill="FFFFFF"/>
          <w:lang w:val="en-US" w:eastAsia="zh-CN" w:bidi="ar-SA"/>
        </w:rPr>
      </w:pPr>
      <w:r>
        <w:rPr>
          <w:rFonts w:hint="eastAsia" w:ascii="方正仿宋_GBK" w:hAnsi="方正仿宋_GBK" w:eastAsia="方正仿宋_GBK" w:cs="方正仿宋_GBK"/>
          <w:b w:val="0"/>
          <w:color w:val="auto"/>
          <w:kern w:val="0"/>
          <w:sz w:val="32"/>
          <w:szCs w:val="32"/>
          <w:highlight w:val="none"/>
          <w:u w:val="none"/>
          <w:shd w:val="clear" w:color="auto" w:fill="FFFFFF"/>
          <w:lang w:val="en-US" w:eastAsia="zh-CN" w:bidi="ar-SA"/>
        </w:rPr>
        <w:t>3、产出指标-质量指标-有效提升单位会计核算质量；</w:t>
      </w:r>
    </w:p>
    <w:p>
      <w:pPr>
        <w:keepNext w:val="0"/>
        <w:keepLines w:val="0"/>
        <w:pageBreakBefore w:val="0"/>
        <w:widowControl w:val="0"/>
        <w:numPr>
          <w:ilvl w:val="0"/>
          <w:numId w:val="0"/>
        </w:numPr>
        <w:kinsoku/>
        <w:wordWrap/>
        <w:overflowPunct/>
        <w:topLinePunct w:val="0"/>
        <w:autoSpaceDE/>
        <w:autoSpaceDN/>
        <w:bidi w:val="0"/>
        <w:spacing w:line="240" w:lineRule="auto"/>
        <w:ind w:firstLine="640" w:firstLineChars="200"/>
        <w:textAlignment w:val="auto"/>
        <w:outlineLvl w:val="9"/>
        <w:rPr>
          <w:rFonts w:hint="eastAsia" w:ascii="方正仿宋_GBK" w:hAnsi="方正仿宋_GBK" w:eastAsia="方正仿宋_GBK" w:cs="方正仿宋_GBK"/>
          <w:b w:val="0"/>
          <w:color w:val="auto"/>
          <w:kern w:val="0"/>
          <w:sz w:val="32"/>
          <w:szCs w:val="32"/>
          <w:highlight w:val="none"/>
          <w:u w:val="none"/>
          <w:shd w:val="clear" w:color="auto" w:fill="FFFFFF"/>
          <w:lang w:val="en-US" w:eastAsia="zh-CN" w:bidi="ar-SA"/>
        </w:rPr>
      </w:pPr>
      <w:r>
        <w:rPr>
          <w:rFonts w:hint="eastAsia" w:ascii="方正仿宋_GBK" w:hAnsi="方正仿宋_GBK" w:eastAsia="方正仿宋_GBK" w:cs="方正仿宋_GBK"/>
          <w:b w:val="0"/>
          <w:color w:val="auto"/>
          <w:kern w:val="0"/>
          <w:sz w:val="32"/>
          <w:szCs w:val="32"/>
          <w:highlight w:val="none"/>
          <w:u w:val="none"/>
          <w:shd w:val="clear" w:color="auto" w:fill="FFFFFF"/>
          <w:lang w:val="en-US" w:eastAsia="zh-CN" w:bidi="ar-SA"/>
        </w:rPr>
        <w:t>4、产出指标-时效指标-代理记账工作服务时间=1年；</w:t>
      </w:r>
    </w:p>
    <w:p>
      <w:pPr>
        <w:keepNext w:val="0"/>
        <w:keepLines w:val="0"/>
        <w:pageBreakBefore w:val="0"/>
        <w:widowControl w:val="0"/>
        <w:numPr>
          <w:ilvl w:val="0"/>
          <w:numId w:val="0"/>
        </w:numPr>
        <w:kinsoku/>
        <w:wordWrap/>
        <w:overflowPunct/>
        <w:topLinePunct w:val="0"/>
        <w:autoSpaceDE/>
        <w:autoSpaceDN/>
        <w:bidi w:val="0"/>
        <w:spacing w:line="240" w:lineRule="auto"/>
        <w:ind w:firstLine="640" w:firstLineChars="200"/>
        <w:textAlignment w:val="auto"/>
        <w:outlineLvl w:val="9"/>
        <w:rPr>
          <w:rFonts w:hint="eastAsia" w:ascii="方正仿宋_GBK" w:hAnsi="方正仿宋_GBK" w:eastAsia="方正仿宋_GBK" w:cs="方正仿宋_GBK"/>
          <w:b w:val="0"/>
          <w:color w:val="auto"/>
          <w:kern w:val="0"/>
          <w:sz w:val="32"/>
          <w:szCs w:val="32"/>
          <w:highlight w:val="none"/>
          <w:u w:val="none"/>
          <w:shd w:val="clear" w:color="auto" w:fill="FFFFFF"/>
          <w:lang w:val="en-US" w:eastAsia="zh-CN" w:bidi="ar-SA"/>
        </w:rPr>
      </w:pPr>
      <w:r>
        <w:rPr>
          <w:rFonts w:hint="eastAsia" w:ascii="方正仿宋_GBK" w:hAnsi="方正仿宋_GBK" w:eastAsia="方正仿宋_GBK" w:cs="方正仿宋_GBK"/>
          <w:b w:val="0"/>
          <w:color w:val="auto"/>
          <w:kern w:val="0"/>
          <w:sz w:val="32"/>
          <w:szCs w:val="32"/>
          <w:highlight w:val="none"/>
          <w:u w:val="none"/>
          <w:shd w:val="clear" w:color="auto" w:fill="FFFFFF"/>
          <w:lang w:val="en-US" w:eastAsia="zh-CN" w:bidi="ar-SA"/>
        </w:rPr>
        <w:t>5、成本指标-经济成本指标-代理记账总费用=86.50万元；</w:t>
      </w:r>
    </w:p>
    <w:p>
      <w:pPr>
        <w:keepNext w:val="0"/>
        <w:keepLines w:val="0"/>
        <w:pageBreakBefore w:val="0"/>
        <w:widowControl w:val="0"/>
        <w:numPr>
          <w:ilvl w:val="0"/>
          <w:numId w:val="0"/>
        </w:numPr>
        <w:kinsoku/>
        <w:wordWrap/>
        <w:overflowPunct/>
        <w:topLinePunct w:val="0"/>
        <w:autoSpaceDE/>
        <w:autoSpaceDN/>
        <w:bidi w:val="0"/>
        <w:spacing w:line="240" w:lineRule="auto"/>
        <w:ind w:firstLine="640" w:firstLineChars="200"/>
        <w:textAlignment w:val="auto"/>
        <w:outlineLvl w:val="9"/>
        <w:rPr>
          <w:rFonts w:hint="eastAsia" w:ascii="方正仿宋_GBK" w:hAnsi="方正仿宋_GBK" w:eastAsia="方正仿宋_GBK" w:cs="方正仿宋_GBK"/>
          <w:b w:val="0"/>
          <w:color w:val="auto"/>
          <w:kern w:val="0"/>
          <w:sz w:val="32"/>
          <w:szCs w:val="32"/>
          <w:highlight w:val="none"/>
          <w:u w:val="none"/>
          <w:shd w:val="clear" w:color="auto" w:fill="FFFFFF"/>
          <w:lang w:val="en-US" w:eastAsia="zh-CN" w:bidi="ar-SA"/>
        </w:rPr>
      </w:pPr>
      <w:r>
        <w:rPr>
          <w:rFonts w:hint="eastAsia" w:ascii="方正仿宋_GBK" w:hAnsi="方正仿宋_GBK" w:eastAsia="方正仿宋_GBK" w:cs="方正仿宋_GBK"/>
          <w:b w:val="0"/>
          <w:color w:val="auto"/>
          <w:kern w:val="0"/>
          <w:sz w:val="32"/>
          <w:szCs w:val="32"/>
          <w:highlight w:val="none"/>
          <w:u w:val="none"/>
          <w:shd w:val="clear" w:color="auto" w:fill="FFFFFF"/>
          <w:lang w:val="en-US" w:eastAsia="zh-CN" w:bidi="ar-SA"/>
        </w:rPr>
        <w:t>6、效益指标-社会效益指标-对我县行政事业单位会计工作有积极作用；</w:t>
      </w:r>
    </w:p>
    <w:p>
      <w:pPr>
        <w:pStyle w:val="19"/>
        <w:spacing w:before="0" w:after="0" w:line="240" w:lineRule="auto"/>
        <w:ind w:firstLine="640" w:firstLineChars="200"/>
        <w:rPr>
          <w:rFonts w:hint="eastAsia" w:ascii="方正仿宋_GBK" w:hAnsi="方正仿宋_GBK" w:eastAsia="方正仿宋_GBK" w:cs="方正仿宋_GBK"/>
          <w:sz w:val="32"/>
          <w:szCs w:val="32"/>
          <w:lang w:val="zh-CN" w:eastAsia="zh-CN"/>
        </w:rPr>
      </w:pPr>
      <w:r>
        <w:rPr>
          <w:rFonts w:hint="eastAsia" w:ascii="方正仿宋_GBK" w:hAnsi="方正仿宋_GBK" w:eastAsia="方正仿宋_GBK" w:cs="方正仿宋_GBK"/>
          <w:b w:val="0"/>
          <w:color w:val="auto"/>
          <w:kern w:val="0"/>
          <w:sz w:val="32"/>
          <w:szCs w:val="32"/>
          <w:highlight w:val="none"/>
          <w:u w:val="none"/>
          <w:shd w:val="clear" w:color="auto" w:fill="FFFFFF"/>
          <w:lang w:val="en-US" w:eastAsia="zh-CN" w:bidi="ar-SA"/>
        </w:rPr>
        <w:t>7、满意度指标-服务对象满意度指标-代理记账单位满意度≥97%。</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eastAsia"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highlight w:val="none"/>
          <w:lang w:eastAsia="zh-CN"/>
        </w:rPr>
        <w:t>四</w:t>
      </w:r>
      <w:r>
        <w:rPr>
          <w:rFonts w:hint="eastAsia" w:ascii="方正黑体_GBK" w:hAnsi="方正黑体_GBK" w:eastAsia="方正黑体_GBK" w:cs="方正黑体_GBK"/>
          <w:sz w:val="32"/>
          <w:szCs w:val="32"/>
          <w:highlight w:val="none"/>
        </w:rPr>
        <w:t>、评价结论</w:t>
      </w:r>
    </w:p>
    <w:p>
      <w:pPr>
        <w:pStyle w:val="8"/>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eastAsia" w:ascii="方正仿宋_GBK" w:hAnsi="方正仿宋_GBK" w:eastAsia="方正仿宋_GBK" w:cs="方正仿宋_GBK"/>
          <w:b w:val="0"/>
          <w:bCs w:val="0"/>
          <w:kern w:val="0"/>
          <w:position w:val="0"/>
          <w:sz w:val="32"/>
          <w:szCs w:val="32"/>
          <w:highlight w:val="none"/>
          <w:lang w:val="en-US" w:eastAsia="zh-CN" w:bidi="ar-SA"/>
        </w:rPr>
      </w:pPr>
      <w:r>
        <w:rPr>
          <w:rFonts w:hint="eastAsia" w:ascii="方正仿宋_GBK" w:hAnsi="方正仿宋_GBK" w:eastAsia="方正仿宋_GBK" w:cs="方正仿宋_GBK"/>
          <w:b w:val="0"/>
          <w:bCs w:val="0"/>
          <w:kern w:val="0"/>
          <w:position w:val="0"/>
          <w:sz w:val="32"/>
          <w:szCs w:val="32"/>
          <w:highlight w:val="none"/>
          <w:lang w:val="en-US" w:eastAsia="zh-CN" w:bidi="ar-SA"/>
        </w:rPr>
        <w:t>本年度全县代理记账费用项目立项合规、实施规范、管理到位、成效显著，项目资金严格按照预算及财经制度使用，预算执行基本到位，有效规范了全县代理记账单位财务管理工作，切实发挥了财政资金保障、引导和赋能作用，圆满完成年度各项绩效目标任务。总得分87分。</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eastAsia" w:ascii="方正黑体_GBK" w:hAnsi="方正黑体_GBK" w:eastAsia="方正黑体_GBK" w:cs="方正黑体_GBK"/>
          <w:sz w:val="32"/>
          <w:szCs w:val="32"/>
          <w:highlight w:val="none"/>
          <w:lang w:eastAsia="zh-CN"/>
        </w:rPr>
      </w:pPr>
      <w:r>
        <w:rPr>
          <w:rFonts w:hint="eastAsia" w:ascii="方正黑体_GBK" w:hAnsi="方正黑体_GBK" w:eastAsia="方正黑体_GBK" w:cs="方正黑体_GBK"/>
          <w:sz w:val="32"/>
          <w:szCs w:val="32"/>
          <w:highlight w:val="none"/>
          <w:lang w:eastAsia="zh-CN"/>
        </w:rPr>
        <w:t>五、存在主要问题</w:t>
      </w:r>
    </w:p>
    <w:p>
      <w:pPr>
        <w:pStyle w:val="8"/>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eastAsia" w:ascii="方正仿宋_GBK" w:hAnsi="方正仿宋_GBK" w:eastAsia="方正仿宋_GBK" w:cs="方正仿宋_GBK"/>
          <w:b w:val="0"/>
          <w:bCs w:val="0"/>
          <w:kern w:val="0"/>
          <w:position w:val="0"/>
          <w:sz w:val="32"/>
          <w:szCs w:val="32"/>
          <w:highlight w:val="none"/>
          <w:lang w:val="en-US" w:eastAsia="zh-CN" w:bidi="ar-SA"/>
        </w:rPr>
      </w:pPr>
      <w:r>
        <w:rPr>
          <w:rFonts w:hint="eastAsia" w:ascii="方正仿宋_GBK" w:hAnsi="方正仿宋_GBK" w:eastAsia="方正仿宋_GBK" w:cs="方正仿宋_GBK"/>
          <w:b w:val="0"/>
          <w:bCs w:val="0"/>
          <w:kern w:val="0"/>
          <w:position w:val="0"/>
          <w:sz w:val="32"/>
          <w:szCs w:val="32"/>
          <w:highlight w:val="none"/>
          <w:lang w:val="en-US" w:eastAsia="zh-CN" w:bidi="ar-SA"/>
        </w:rPr>
        <w:t>在自评中发现部分代理记账单位存在会计核算错误、资料审核不严格等问题，下一步我局将加强监管。</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eastAsia" w:ascii="方正黑体_GBK" w:hAnsi="方正黑体_GBK" w:eastAsia="方正黑体_GBK" w:cs="方正黑体_GBK"/>
          <w:sz w:val="32"/>
          <w:szCs w:val="32"/>
          <w:highlight w:val="none"/>
          <w:lang w:val="zh-CN" w:eastAsia="zh-CN"/>
        </w:rPr>
      </w:pPr>
      <w:r>
        <w:rPr>
          <w:rFonts w:hint="eastAsia" w:ascii="方正黑体_GBK" w:hAnsi="方正黑体_GBK" w:eastAsia="方正黑体_GBK" w:cs="方正黑体_GBK"/>
          <w:sz w:val="32"/>
          <w:szCs w:val="32"/>
          <w:highlight w:val="none"/>
          <w:lang w:val="zh-CN" w:eastAsia="zh-CN"/>
        </w:rPr>
        <w:t>六、改进建议</w:t>
      </w:r>
    </w:p>
    <w:p>
      <w:pPr>
        <w:tabs>
          <w:tab w:val="left" w:pos="1911"/>
        </w:tabs>
        <w:ind w:firstLine="640"/>
        <w:jc w:val="left"/>
        <w:rPr>
          <w:rFonts w:hint="eastAsia" w:ascii="方正仿宋_GBK" w:hAnsi="方正仿宋_GBK" w:eastAsia="方正仿宋_GBK" w:cs="方正仿宋_GBK"/>
          <w:b w:val="0"/>
          <w:bCs w:val="0"/>
          <w:kern w:val="0"/>
          <w:position w:val="0"/>
          <w:sz w:val="32"/>
          <w:szCs w:val="32"/>
          <w:highlight w:val="none"/>
          <w:lang w:val="en-US" w:eastAsia="zh-CN" w:bidi="ar-SA"/>
        </w:rPr>
      </w:pPr>
      <w:r>
        <w:rPr>
          <w:rFonts w:hint="eastAsia" w:ascii="方正仿宋_GBK" w:hAnsi="方正仿宋_GBK" w:eastAsia="方正仿宋_GBK" w:cs="方正仿宋_GBK"/>
          <w:b w:val="0"/>
          <w:bCs w:val="0"/>
          <w:kern w:val="0"/>
          <w:position w:val="0"/>
          <w:sz w:val="32"/>
          <w:szCs w:val="32"/>
          <w:highlight w:val="none"/>
          <w:lang w:val="en-US" w:eastAsia="zh-CN" w:bidi="ar-SA"/>
        </w:rPr>
        <w:t>无。</w:t>
      </w:r>
    </w:p>
    <w:p>
      <w:pPr>
        <w:pStyle w:val="19"/>
        <w:ind w:firstLine="640"/>
        <w:rPr>
          <w:rFonts w:hint="default"/>
          <w:lang w:val="en" w:eastAsia="zh-CN"/>
        </w:rPr>
      </w:pPr>
    </w:p>
    <w:p>
      <w:pPr>
        <w:rPr>
          <w:rFonts w:hint="default"/>
          <w:lang w:val="en" w:eastAsia="zh-CN"/>
        </w:rPr>
      </w:pPr>
    </w:p>
    <w:p>
      <w:pPr>
        <w:pStyle w:val="19"/>
        <w:rPr>
          <w:rFonts w:hint="default"/>
          <w:lang w:val="en" w:eastAsia="zh-CN"/>
        </w:rPr>
      </w:pPr>
    </w:p>
    <w:p>
      <w:pPr>
        <w:rPr>
          <w:rFonts w:hint="default"/>
          <w:lang w:val="en" w:eastAsia="zh-CN"/>
        </w:rPr>
      </w:pPr>
    </w:p>
    <w:p>
      <w:pPr>
        <w:pStyle w:val="2"/>
        <w:rPr>
          <w:rFonts w:hint="default"/>
          <w:lang w:val="en" w:eastAsia="zh-CN"/>
        </w:rPr>
      </w:pPr>
    </w:p>
    <w:p>
      <w:pPr>
        <w:pStyle w:val="19"/>
        <w:rPr>
          <w:rFonts w:hint="default"/>
          <w:lang w:val="en" w:eastAsia="zh-CN"/>
        </w:rPr>
      </w:pPr>
    </w:p>
    <w:p>
      <w:pPr>
        <w:rPr>
          <w:rFonts w:hint="default"/>
          <w:lang w:val="en" w:eastAsia="zh-CN"/>
        </w:rPr>
      </w:pPr>
    </w:p>
    <w:tbl>
      <w:tblPr>
        <w:tblStyle w:val="15"/>
        <w:tblW w:w="8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46"/>
        <w:gridCol w:w="576"/>
        <w:gridCol w:w="775"/>
        <w:gridCol w:w="1758"/>
        <w:gridCol w:w="438"/>
        <w:gridCol w:w="538"/>
        <w:gridCol w:w="941"/>
        <w:gridCol w:w="713"/>
        <w:gridCol w:w="515"/>
        <w:gridCol w:w="845"/>
        <w:gridCol w:w="4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trPr>
        <w:tc>
          <w:tcPr>
            <w:tcW w:w="8140" w:type="dxa"/>
            <w:gridSpan w:val="11"/>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Style w:val="36"/>
                <w:lang w:val="en-US" w:eastAsia="zh-CN" w:bidi="ar"/>
              </w:rPr>
              <w:t>绩效目标自评表</w:t>
            </w:r>
            <w:r>
              <w:rPr>
                <w:rStyle w:val="37"/>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8140" w:type="dxa"/>
            <w:gridSpan w:val="11"/>
            <w:tcBorders>
              <w:top w:val="nil"/>
              <w:left w:val="nil"/>
              <w:bottom w:val="single" w:color="000000" w:sz="4" w:space="0"/>
              <w:right w:val="nil"/>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8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7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全县代理记账费用</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项目负责人及电话</w:t>
            </w:r>
          </w:p>
        </w:tc>
        <w:tc>
          <w:tcPr>
            <w:tcW w:w="256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7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壤塘县财政局</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256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lang w:eastAsia="zh-CN"/>
              </w:rPr>
              <w:t>壤塘县财政局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89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资金情况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（万元）</w:t>
            </w:r>
          </w:p>
        </w:tc>
        <w:tc>
          <w:tcPr>
            <w:tcW w:w="175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9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全年预算数（A）</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全年执行数（B）</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分值</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执行率（B/A)</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9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9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86.5</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86.5</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9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38"/>
                <w:lang w:val="en-US" w:eastAsia="zh-CN" w:bidi="ar"/>
              </w:rPr>
              <w:t xml:space="preserve"> </w:t>
            </w:r>
            <w:r>
              <w:rPr>
                <w:rStyle w:val="39"/>
                <w:lang w:val="en-US" w:eastAsia="zh-CN" w:bidi="ar"/>
              </w:rPr>
              <w:t>其中：本年财政拨款</w:t>
            </w:r>
          </w:p>
        </w:tc>
        <w:tc>
          <w:tcPr>
            <w:tcW w:w="9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86.5</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86.5</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9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38"/>
                <w:lang w:val="en-US" w:eastAsia="zh-CN" w:bidi="ar"/>
              </w:rPr>
              <w:t xml:space="preserve"> </w:t>
            </w:r>
            <w:r>
              <w:rPr>
                <w:rStyle w:val="39"/>
                <w:lang w:val="en-US" w:eastAsia="zh-CN" w:bidi="ar"/>
              </w:rPr>
              <w:t xml:space="preserve">      其他资金</w:t>
            </w:r>
          </w:p>
        </w:tc>
        <w:tc>
          <w:tcPr>
            <w:tcW w:w="9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40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年初设定目标</w:t>
            </w:r>
          </w:p>
        </w:tc>
        <w:tc>
          <w:tcPr>
            <w:tcW w:w="35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年度总体目标完成情况综述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4"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40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保障全县各代理记账单位、乡镇卫生院代理记账工作正常开展，提高多年未财务管理水平</w:t>
            </w:r>
          </w:p>
        </w:tc>
        <w:tc>
          <w:tcPr>
            <w:tcW w:w="35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已保障全县各代理记账单位、乡镇卫生院代理记账工作正常开展，提高多年未财务管理水平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2" w:hRule="atLeast"/>
        </w:trPr>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绩效指标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分值</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年度指标值</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全年实际值</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w:t>
            </w: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未完成原因及拟采取的改进措施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(50分)</w:t>
            </w:r>
          </w:p>
        </w:tc>
        <w:tc>
          <w:tcPr>
            <w:tcW w:w="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实施代理记账预算单位个数</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≥40个</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39个</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部分单位已退出代理记账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代理记账单位财务工作完成质量</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部分单位存在会计核算错误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是否有效提升单位会计核算质量</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代理记账工作服务时间</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=1年</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1年</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代理记账总费用</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≤100万元</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86.5万元</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(30分)</w:t>
            </w:r>
          </w:p>
        </w:tc>
        <w:tc>
          <w:tcPr>
            <w:tcW w:w="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是否对我县行政事业单位会计工作有积极作用</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部分单位存在会计核算错误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满意度指标</w:t>
            </w: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代理记账单位满意度</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409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总分</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100</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0"/>
                <w:szCs w:val="20"/>
                <w:u w:val="none"/>
              </w:rPr>
            </w:pP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87</w:t>
            </w: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2" w:hRule="atLeast"/>
        </w:trPr>
        <w:tc>
          <w:tcPr>
            <w:tcW w:w="8140" w:type="dxa"/>
            <w:gridSpan w:val="11"/>
            <w:tcBorders>
              <w:top w:val="single" w:color="000000" w:sz="4" w:space="0"/>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40"/>
                <w:lang w:val="en-US" w:eastAsia="zh-CN" w:bidi="ar"/>
              </w:rPr>
              <w:t>注：1</w:t>
            </w:r>
            <w:r>
              <w:rPr>
                <w:rStyle w:val="41"/>
                <w:lang w:val="en-US" w:eastAsia="zh-CN" w:bidi="ar"/>
              </w:rPr>
              <w:t>.一级指标分值统一设置为：产出指标50分、效益指标30分、满意度指标10分、预算资金执行率10分。如有特殊情况，上述权重可做适当调整，但加总后应等于100分。各部门根据各项指标重要程度确定三级指标的分值。得分最高不能超过该指标分值上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trPr>
        <w:tc>
          <w:tcPr>
            <w:tcW w:w="8140"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2.定性指标根据指标完成情况分为：达成预期指标、部分达成预期指标并具有一定效果、未达成预期指标且效果较差三档，分别按照该指标对应分值区间100-80%(含80%)、80-60%(含60%)、60-0%合理确定得分。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8" w:hRule="atLeast"/>
        </w:trPr>
        <w:tc>
          <w:tcPr>
            <w:tcW w:w="8140"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40"/>
                <w:lang w:val="en-US" w:eastAsia="zh-CN" w:bidi="ar"/>
              </w:rPr>
              <w:t xml:space="preserve">    3.定量指标若为正向指标（即指标值为</w:t>
            </w:r>
            <w:r>
              <w:rPr>
                <w:rStyle w:val="42"/>
                <w:lang w:val="en-US" w:eastAsia="zh-CN" w:bidi="ar"/>
              </w:rPr>
              <w:t>≥*），则得分计算方法应用全年实际值/年度指标值</w:t>
            </w:r>
            <w:r>
              <w:rPr>
                <w:rStyle w:val="43"/>
                <w:lang w:val="en-US" w:eastAsia="zh-CN" w:bidi="ar"/>
              </w:rPr>
              <w:t>╳</w:t>
            </w:r>
            <w:r>
              <w:rPr>
                <w:rStyle w:val="42"/>
                <w:lang w:val="en-US" w:eastAsia="zh-CN" w:bidi="ar"/>
              </w:rPr>
              <w:t>该指标分值；若定量指标为反向指标（即指标值为≤*），则得分计算方法应用年度指标值/全年实际值</w:t>
            </w:r>
            <w:r>
              <w:rPr>
                <w:rStyle w:val="43"/>
                <w:lang w:val="en-US" w:eastAsia="zh-CN" w:bidi="ar"/>
              </w:rPr>
              <w:t>╳</w:t>
            </w:r>
            <w:r>
              <w:rPr>
                <w:rStyle w:val="42"/>
                <w:lang w:val="en-US" w:eastAsia="zh-CN" w:bidi="ar"/>
              </w:rPr>
              <w:t>该指标分值；定量指标得分最高不得超过该指标分值上限。</w:t>
            </w:r>
          </w:p>
        </w:tc>
      </w:tr>
    </w:tbl>
    <w:p>
      <w:pPr>
        <w:keepNext w:val="0"/>
        <w:keepLines w:val="0"/>
        <w:pageBreakBefore w:val="0"/>
        <w:widowControl w:val="0"/>
        <w:kinsoku/>
        <w:wordWrap/>
        <w:overflowPunct/>
        <w:topLinePunct w:val="0"/>
        <w:autoSpaceDE/>
        <w:autoSpaceDN/>
        <w:bidi w:val="0"/>
        <w:spacing w:line="560"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60"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60"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60"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pStyle w:val="2"/>
        <w:rPr>
          <w:rFonts w:hint="eastAsia" w:ascii="Times New Roman" w:hAnsi="Times New Roman" w:eastAsia="仿宋_GB2312" w:cs="仿宋_GB2312"/>
          <w:b w:val="0"/>
          <w:bCs w:val="0"/>
          <w:kern w:val="0"/>
          <w:position w:val="0"/>
          <w:sz w:val="32"/>
          <w:szCs w:val="32"/>
          <w:highlight w:val="none"/>
          <w:lang w:val="en-US" w:eastAsia="zh-CN" w:bidi="ar-SA"/>
        </w:rPr>
      </w:pPr>
    </w:p>
    <w:p>
      <w:pPr>
        <w:pageBreakBefore w:val="0"/>
        <w:widowControl/>
        <w:kinsoku/>
        <w:wordWrap/>
        <w:overflowPunct/>
        <w:topLinePunct w:val="0"/>
        <w:autoSpaceDE/>
        <w:autoSpaceDN/>
        <w:bidi w:val="0"/>
        <w:spacing w:line="560" w:lineRule="exact"/>
        <w:jc w:val="center"/>
        <w:rPr>
          <w:rFonts w:hint="eastAsia" w:ascii="Times New Roman" w:hAnsi="Times New Roman" w:eastAsia="黑体"/>
          <w:color w:val="auto"/>
          <w:sz w:val="44"/>
          <w:szCs w:val="44"/>
          <w:highlight w:val="none"/>
        </w:rPr>
      </w:pPr>
      <w:bookmarkStart w:id="64" w:name="_Toc15396618"/>
    </w:p>
    <w:p>
      <w:pPr>
        <w:pageBreakBefore w:val="0"/>
        <w:widowControl/>
        <w:kinsoku/>
        <w:wordWrap/>
        <w:overflowPunct/>
        <w:topLinePunct w:val="0"/>
        <w:autoSpaceDE/>
        <w:autoSpaceDN/>
        <w:bidi w:val="0"/>
        <w:spacing w:line="560" w:lineRule="exact"/>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60"/>
      <w:bookmarkEnd w:id="64"/>
      <w:bookmarkStart w:id="65" w:name="_Toc1539661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65"/>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0"/>
      <w:r>
        <w:rPr>
          <w:rFonts w:hint="eastAsia" w:ascii="Times New Roman" w:hAnsi="Times New Roman" w:eastAsia="仿宋_GB2312" w:cs="仿宋_GB2312"/>
          <w:color w:val="auto"/>
          <w:sz w:val="32"/>
          <w:szCs w:val="32"/>
          <w:highlight w:val="none"/>
        </w:rPr>
        <w:t>二、收入决算表</w:t>
      </w:r>
      <w:bookmarkEnd w:id="66"/>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1"/>
      <w:r>
        <w:rPr>
          <w:rFonts w:hint="eastAsia" w:ascii="Times New Roman" w:hAnsi="Times New Roman" w:eastAsia="仿宋_GB2312" w:cs="仿宋_GB2312"/>
          <w:color w:val="auto"/>
          <w:sz w:val="32"/>
          <w:szCs w:val="32"/>
          <w:highlight w:val="none"/>
        </w:rPr>
        <w:t>三、支出决算表</w:t>
      </w:r>
      <w:bookmarkEnd w:id="67"/>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22"/>
      <w:r>
        <w:rPr>
          <w:rFonts w:hint="eastAsia" w:ascii="Times New Roman" w:hAnsi="Times New Roman" w:eastAsia="仿宋_GB2312" w:cs="仿宋_GB2312"/>
          <w:color w:val="auto"/>
          <w:sz w:val="32"/>
          <w:szCs w:val="32"/>
          <w:highlight w:val="none"/>
        </w:rPr>
        <w:t>四、财政拨款收入支出决算总表</w:t>
      </w:r>
      <w:bookmarkEnd w:id="68"/>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23"/>
      <w:r>
        <w:rPr>
          <w:rFonts w:hint="eastAsia" w:ascii="Times New Roman" w:hAnsi="Times New Roman" w:eastAsia="仿宋_GB2312" w:cs="仿宋_GB2312"/>
          <w:color w:val="auto"/>
          <w:sz w:val="32"/>
          <w:szCs w:val="32"/>
          <w:highlight w:val="none"/>
        </w:rPr>
        <w:t>五、财政拨款支出决算明细表</w:t>
      </w:r>
      <w:bookmarkEnd w:id="69"/>
      <w:bookmarkStart w:id="70" w:name="_Toc1539662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70"/>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1" w:name="_Toc15396625"/>
      <w:r>
        <w:rPr>
          <w:rFonts w:hint="eastAsia" w:ascii="Times New Roman" w:hAnsi="Times New Roman" w:eastAsia="仿宋_GB2312" w:cs="仿宋_GB2312"/>
          <w:color w:val="auto"/>
          <w:sz w:val="32"/>
          <w:szCs w:val="32"/>
          <w:highlight w:val="none"/>
        </w:rPr>
        <w:t>七、一般公共预算财政拨款支出决算明细表</w:t>
      </w:r>
      <w:bookmarkEnd w:id="71"/>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2" w:name="_Toc15396626"/>
      <w:r>
        <w:rPr>
          <w:rFonts w:hint="eastAsia" w:ascii="Times New Roman" w:hAnsi="Times New Roman" w:eastAsia="仿宋_GB2312" w:cs="仿宋_GB2312"/>
          <w:color w:val="auto"/>
          <w:sz w:val="32"/>
          <w:szCs w:val="32"/>
          <w:highlight w:val="none"/>
        </w:rPr>
        <w:t>八、一般公共预算财政拨款基本支出决算表</w:t>
      </w:r>
      <w:bookmarkEnd w:id="72"/>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3" w:name="_Toc15396627"/>
      <w:r>
        <w:rPr>
          <w:rFonts w:hint="eastAsia" w:ascii="Times New Roman" w:hAnsi="Times New Roman" w:eastAsia="仿宋_GB2312" w:cs="仿宋_GB2312"/>
          <w:color w:val="auto"/>
          <w:sz w:val="32"/>
          <w:szCs w:val="32"/>
          <w:highlight w:val="none"/>
        </w:rPr>
        <w:t>九、一般公共预算财政拨款项目支出决算表</w:t>
      </w:r>
      <w:bookmarkEnd w:id="73"/>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4" w:name="_Toc15396628"/>
      <w:r>
        <w:rPr>
          <w:rFonts w:hint="eastAsia" w:ascii="Times New Roman" w:hAnsi="Times New Roman" w:eastAsia="仿宋_GB2312" w:cs="仿宋_GB2312"/>
          <w:color w:val="auto"/>
          <w:sz w:val="32"/>
          <w:szCs w:val="32"/>
          <w:highlight w:val="none"/>
        </w:rPr>
        <w:t>十、</w:t>
      </w:r>
      <w:bookmarkEnd w:id="74"/>
      <w:r>
        <w:rPr>
          <w:rFonts w:hint="eastAsia" w:ascii="Times New Roman" w:hAnsi="Times New Roman" w:eastAsia="仿宋_GB2312" w:cs="仿宋_GB2312"/>
          <w:color w:val="auto"/>
          <w:sz w:val="32"/>
          <w:szCs w:val="32"/>
          <w:highlight w:val="none"/>
        </w:rPr>
        <w:t>政府性基金预算财政拨款收入支出决算表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5" w:name="_Toc15396629"/>
      <w:r>
        <w:rPr>
          <w:rFonts w:hint="eastAsia" w:ascii="Times New Roman" w:hAnsi="Times New Roman" w:eastAsia="仿宋_GB2312" w:cs="仿宋_GB2312"/>
          <w:color w:val="auto"/>
          <w:sz w:val="32"/>
          <w:szCs w:val="32"/>
          <w:highlight w:val="none"/>
        </w:rPr>
        <w:t>十一、</w:t>
      </w:r>
      <w:bookmarkEnd w:id="7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6" w:name="_Toc15396630"/>
      <w:r>
        <w:rPr>
          <w:rFonts w:hint="eastAsia" w:ascii="Times New Roman" w:hAnsi="Times New Roman" w:eastAsia="仿宋_GB2312" w:cs="仿宋_GB2312"/>
          <w:color w:val="auto"/>
          <w:sz w:val="32"/>
          <w:szCs w:val="32"/>
          <w:highlight w:val="none"/>
        </w:rPr>
        <w:t>十二、</w:t>
      </w:r>
      <w:bookmarkEnd w:id="76"/>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7" w:name="_Toc15396631"/>
      <w:r>
        <w:rPr>
          <w:rFonts w:hint="eastAsia" w:ascii="Times New Roman" w:hAnsi="Times New Roman" w:eastAsia="仿宋_GB2312" w:cs="仿宋_GB2312"/>
          <w:color w:val="auto"/>
          <w:sz w:val="32"/>
          <w:szCs w:val="32"/>
          <w:highlight w:val="none"/>
        </w:rPr>
        <w:t>十三、</w:t>
      </w:r>
      <w:bookmarkEnd w:id="77"/>
      <w:r>
        <w:rPr>
          <w:rFonts w:hint="eastAsia" w:ascii="Times New Roman" w:hAnsi="Times New Roman" w:eastAsia="仿宋_GB2312" w:cs="仿宋_GB2312"/>
          <w:color w:val="auto"/>
          <w:sz w:val="32"/>
          <w:szCs w:val="32"/>
          <w:highlight w:val="none"/>
          <w:lang w:eastAsia="zh-CN"/>
        </w:rPr>
        <w:t>财政拨款“三公”经费支出决算表</w:t>
      </w:r>
    </w:p>
    <w:p>
      <w:pPr>
        <w:pageBreakBefore w:val="0"/>
        <w:kinsoku/>
        <w:wordWrap/>
        <w:overflowPunct/>
        <w:topLinePunct w:val="0"/>
        <w:autoSpaceDE/>
        <w:autoSpaceDN/>
        <w:bidi w:val="0"/>
        <w:spacing w:line="560" w:lineRule="exact"/>
        <w:rPr>
          <w:rFonts w:hint="eastAsia" w:ascii="Times New Roman" w:hAnsi="Times New Roman"/>
          <w:lang w:eastAsia="zh-CN"/>
        </w:rPr>
      </w:pPr>
    </w:p>
    <w:sectPr>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_GBK">
    <w:panose1 w:val="03000502000000000000"/>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C5WZn4yAgAAYwQAAA4AAAAAAAAAAQAgAAAA&#10;NQEAAGRycy9lMm9Eb2MueG1sUEsFBgAAAAAGAAYAWQEAANkFAAAAAA==&#10;">
              <v:fill on="f" focussize="0,0"/>
              <v:stroke on="f" weight="0.5pt"/>
              <v:imagedata o:title=""/>
              <o:lock v:ext="edit" aspectratio="f"/>
              <v:textbox inset="0mm,0mm,0mm,0mm" style="mso-fit-shape-to-text:t;">
                <w:txbxContent>
                  <w:p>
                    <w:pPr>
                      <w:pStyle w:val="11"/>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FD9FBB"/>
    <w:multiLevelType w:val="singleLevel"/>
    <w:tmpl w:val="D7FD9FBB"/>
    <w:lvl w:ilvl="0" w:tentative="0">
      <w:start w:val="2"/>
      <w:numFmt w:val="chineseCounting"/>
      <w:suff w:val="nothing"/>
      <w:lvlText w:val="（%1）"/>
      <w:lvlJc w:val="left"/>
      <w:rPr>
        <w:rFonts w:hint="eastAsia"/>
      </w:rPr>
    </w:lvl>
  </w:abstractNum>
  <w:abstractNum w:abstractNumId="1">
    <w:nsid w:val="E5EF8992"/>
    <w:multiLevelType w:val="singleLevel"/>
    <w:tmpl w:val="E5EF8992"/>
    <w:lvl w:ilvl="0" w:tentative="0">
      <w:start w:val="1"/>
      <w:numFmt w:val="decimal"/>
      <w:suff w:val="nothing"/>
      <w:lvlText w:val="%1、"/>
      <w:lvlJc w:val="left"/>
    </w:lvl>
  </w:abstractNum>
  <w:abstractNum w:abstractNumId="2">
    <w:nsid w:val="F75CEE1F"/>
    <w:multiLevelType w:val="singleLevel"/>
    <w:tmpl w:val="F75CEE1F"/>
    <w:lvl w:ilvl="0" w:tentative="0">
      <w:start w:val="1"/>
      <w:numFmt w:val="chineseCounting"/>
      <w:suff w:val="nothing"/>
      <w:lvlText w:val="%1、"/>
      <w:lvlJc w:val="left"/>
      <w:rPr>
        <w:rFonts w:hint="eastAsia"/>
      </w:rPr>
    </w:lvl>
  </w:abstractNum>
  <w:abstractNum w:abstractNumId="3">
    <w:nsid w:val="5EFE717D"/>
    <w:multiLevelType w:val="singleLevel"/>
    <w:tmpl w:val="5EFE717D"/>
    <w:lvl w:ilvl="0" w:tentative="0">
      <w:start w:val="3"/>
      <w:numFmt w:val="chineseCounting"/>
      <w:suff w:val="nothing"/>
      <w:lvlText w:val="（%1）"/>
      <w:lvlJc w:val="left"/>
      <w:rPr>
        <w:rFonts w:hint="eastAsia"/>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9D950"/>
    <w:rsid w:val="066E0107"/>
    <w:rsid w:val="07996F6E"/>
    <w:rsid w:val="07DFD8BA"/>
    <w:rsid w:val="08DB07E4"/>
    <w:rsid w:val="09867E8F"/>
    <w:rsid w:val="0A2032A3"/>
    <w:rsid w:val="0C6C4794"/>
    <w:rsid w:val="0CA8290A"/>
    <w:rsid w:val="0D35B1ED"/>
    <w:rsid w:val="0DE07E2B"/>
    <w:rsid w:val="0F98263C"/>
    <w:rsid w:val="0FBBB9B8"/>
    <w:rsid w:val="101860EC"/>
    <w:rsid w:val="10C055FF"/>
    <w:rsid w:val="11772AA4"/>
    <w:rsid w:val="118107EC"/>
    <w:rsid w:val="12070D49"/>
    <w:rsid w:val="13D50BC4"/>
    <w:rsid w:val="14022904"/>
    <w:rsid w:val="152F2A07"/>
    <w:rsid w:val="165E0673"/>
    <w:rsid w:val="16BB723D"/>
    <w:rsid w:val="186504BB"/>
    <w:rsid w:val="1938089F"/>
    <w:rsid w:val="19A445FC"/>
    <w:rsid w:val="1B7D550C"/>
    <w:rsid w:val="1BE8440E"/>
    <w:rsid w:val="1C7BF1D8"/>
    <w:rsid w:val="1D155CEE"/>
    <w:rsid w:val="1E740ACF"/>
    <w:rsid w:val="1EBFF3F7"/>
    <w:rsid w:val="1F3F9AC9"/>
    <w:rsid w:val="1FF35744"/>
    <w:rsid w:val="1FF6BC77"/>
    <w:rsid w:val="1FFD4119"/>
    <w:rsid w:val="21962A9E"/>
    <w:rsid w:val="21AE7C77"/>
    <w:rsid w:val="22BC3C41"/>
    <w:rsid w:val="23860B96"/>
    <w:rsid w:val="240371BF"/>
    <w:rsid w:val="260F557C"/>
    <w:rsid w:val="2753BDD1"/>
    <w:rsid w:val="27EB0445"/>
    <w:rsid w:val="27FE55DF"/>
    <w:rsid w:val="281408E2"/>
    <w:rsid w:val="299F8C0A"/>
    <w:rsid w:val="29FD04D3"/>
    <w:rsid w:val="2BFF7BC6"/>
    <w:rsid w:val="2C8A61B5"/>
    <w:rsid w:val="2D2E01CF"/>
    <w:rsid w:val="2DF04E50"/>
    <w:rsid w:val="2E9545B0"/>
    <w:rsid w:val="2EF72715"/>
    <w:rsid w:val="2F040D46"/>
    <w:rsid w:val="2FAE5751"/>
    <w:rsid w:val="2FB1A395"/>
    <w:rsid w:val="2FD9A7D8"/>
    <w:rsid w:val="319F7F4E"/>
    <w:rsid w:val="31DF0746"/>
    <w:rsid w:val="321B2544"/>
    <w:rsid w:val="3304709D"/>
    <w:rsid w:val="34281836"/>
    <w:rsid w:val="349D6851"/>
    <w:rsid w:val="35BA6CAF"/>
    <w:rsid w:val="364D14C1"/>
    <w:rsid w:val="36AA5135"/>
    <w:rsid w:val="36BE0DA7"/>
    <w:rsid w:val="36DF9D1A"/>
    <w:rsid w:val="376B6AA6"/>
    <w:rsid w:val="376D39B2"/>
    <w:rsid w:val="37E16F03"/>
    <w:rsid w:val="37F53A3B"/>
    <w:rsid w:val="37FF78F4"/>
    <w:rsid w:val="389B6C89"/>
    <w:rsid w:val="38D469F0"/>
    <w:rsid w:val="39627CCD"/>
    <w:rsid w:val="397BAF1F"/>
    <w:rsid w:val="3AB79AF3"/>
    <w:rsid w:val="3B7EF35A"/>
    <w:rsid w:val="3B9FDB6C"/>
    <w:rsid w:val="3BF5BC2F"/>
    <w:rsid w:val="3BFFC28F"/>
    <w:rsid w:val="3CEBA265"/>
    <w:rsid w:val="3D98207C"/>
    <w:rsid w:val="3D9B0D99"/>
    <w:rsid w:val="3DEE7CF3"/>
    <w:rsid w:val="3DF02244"/>
    <w:rsid w:val="3E78745D"/>
    <w:rsid w:val="3FCFFCAA"/>
    <w:rsid w:val="3FF2EB0B"/>
    <w:rsid w:val="3FF4CAE0"/>
    <w:rsid w:val="3FF6136A"/>
    <w:rsid w:val="3FF7B227"/>
    <w:rsid w:val="3FFB823B"/>
    <w:rsid w:val="40E54C45"/>
    <w:rsid w:val="43A407DF"/>
    <w:rsid w:val="44515BEA"/>
    <w:rsid w:val="44E268DA"/>
    <w:rsid w:val="453F7E5B"/>
    <w:rsid w:val="47FC5E92"/>
    <w:rsid w:val="486A6C7A"/>
    <w:rsid w:val="49176D9B"/>
    <w:rsid w:val="4A627F82"/>
    <w:rsid w:val="4B0E749A"/>
    <w:rsid w:val="4B4F25DA"/>
    <w:rsid w:val="4B755E04"/>
    <w:rsid w:val="4BDA0CFB"/>
    <w:rsid w:val="4BDB854E"/>
    <w:rsid w:val="4BE068DB"/>
    <w:rsid w:val="4D3C0CCC"/>
    <w:rsid w:val="4D577224"/>
    <w:rsid w:val="4DBF1CEB"/>
    <w:rsid w:val="4E027201"/>
    <w:rsid w:val="4EAB630A"/>
    <w:rsid w:val="4ECE2238"/>
    <w:rsid w:val="4F6D15F7"/>
    <w:rsid w:val="4F7FD77B"/>
    <w:rsid w:val="4F833267"/>
    <w:rsid w:val="4FE9BD67"/>
    <w:rsid w:val="4FFB052F"/>
    <w:rsid w:val="53083A92"/>
    <w:rsid w:val="535E4C99"/>
    <w:rsid w:val="537E6D0A"/>
    <w:rsid w:val="53AF27A2"/>
    <w:rsid w:val="53F74C96"/>
    <w:rsid w:val="56DDE7F5"/>
    <w:rsid w:val="56E47B74"/>
    <w:rsid w:val="57BD3DD4"/>
    <w:rsid w:val="5AF92295"/>
    <w:rsid w:val="5B797BA9"/>
    <w:rsid w:val="5B7F4DDC"/>
    <w:rsid w:val="5BDD79E6"/>
    <w:rsid w:val="5BF1623F"/>
    <w:rsid w:val="5BF561CA"/>
    <w:rsid w:val="5BFF5DFC"/>
    <w:rsid w:val="5CD71FC4"/>
    <w:rsid w:val="5D1F11B5"/>
    <w:rsid w:val="5D7F70BA"/>
    <w:rsid w:val="5DAE1B18"/>
    <w:rsid w:val="5DE7D9E5"/>
    <w:rsid w:val="5DF58889"/>
    <w:rsid w:val="5DFFB356"/>
    <w:rsid w:val="5ECEC941"/>
    <w:rsid w:val="5F32FAD6"/>
    <w:rsid w:val="5F493CB7"/>
    <w:rsid w:val="5FBB4192"/>
    <w:rsid w:val="5FBF9FF3"/>
    <w:rsid w:val="5FCD4E2C"/>
    <w:rsid w:val="5FD15F49"/>
    <w:rsid w:val="5FD5B44B"/>
    <w:rsid w:val="5FEF394A"/>
    <w:rsid w:val="5FEF6232"/>
    <w:rsid w:val="5FF67715"/>
    <w:rsid w:val="62BF3928"/>
    <w:rsid w:val="647F5392"/>
    <w:rsid w:val="664B1D71"/>
    <w:rsid w:val="66BB335D"/>
    <w:rsid w:val="67AA3209"/>
    <w:rsid w:val="681C4F0D"/>
    <w:rsid w:val="69046D0F"/>
    <w:rsid w:val="698D0931"/>
    <w:rsid w:val="6A7FD0E0"/>
    <w:rsid w:val="6A993CED"/>
    <w:rsid w:val="6ABF89D8"/>
    <w:rsid w:val="6B053271"/>
    <w:rsid w:val="6B7EC8C7"/>
    <w:rsid w:val="6BCE6674"/>
    <w:rsid w:val="6C0FCD28"/>
    <w:rsid w:val="6C4A05C8"/>
    <w:rsid w:val="6C8742B8"/>
    <w:rsid w:val="6C8A170F"/>
    <w:rsid w:val="6CB54609"/>
    <w:rsid w:val="6D7F5E43"/>
    <w:rsid w:val="6DBF5E93"/>
    <w:rsid w:val="6DFB1B04"/>
    <w:rsid w:val="6DFB32C6"/>
    <w:rsid w:val="6DFF077E"/>
    <w:rsid w:val="6E7E3605"/>
    <w:rsid w:val="6E7FDCC7"/>
    <w:rsid w:val="6ED6A62E"/>
    <w:rsid w:val="6EE00B15"/>
    <w:rsid w:val="6F544B20"/>
    <w:rsid w:val="6F6FB3EB"/>
    <w:rsid w:val="6F784160"/>
    <w:rsid w:val="6F8731EA"/>
    <w:rsid w:val="6FAD1437"/>
    <w:rsid w:val="6FCE6052"/>
    <w:rsid w:val="6FD57C00"/>
    <w:rsid w:val="6FDFB324"/>
    <w:rsid w:val="6FEFFFD8"/>
    <w:rsid w:val="6FF5CC65"/>
    <w:rsid w:val="6FF7DB00"/>
    <w:rsid w:val="6FFB47EC"/>
    <w:rsid w:val="6FFF034A"/>
    <w:rsid w:val="70496804"/>
    <w:rsid w:val="712A28F1"/>
    <w:rsid w:val="715C0E4B"/>
    <w:rsid w:val="72233669"/>
    <w:rsid w:val="72734D90"/>
    <w:rsid w:val="7332FE48"/>
    <w:rsid w:val="73A5F31C"/>
    <w:rsid w:val="73AB61DA"/>
    <w:rsid w:val="73AD73D5"/>
    <w:rsid w:val="73B6EB34"/>
    <w:rsid w:val="73FA497D"/>
    <w:rsid w:val="744731E5"/>
    <w:rsid w:val="74527205"/>
    <w:rsid w:val="74BBD01D"/>
    <w:rsid w:val="74ED5379"/>
    <w:rsid w:val="74FC2395"/>
    <w:rsid w:val="75DEEEC2"/>
    <w:rsid w:val="76BE803C"/>
    <w:rsid w:val="76E3355F"/>
    <w:rsid w:val="76FF5125"/>
    <w:rsid w:val="776F6FFA"/>
    <w:rsid w:val="778769C8"/>
    <w:rsid w:val="77B7158C"/>
    <w:rsid w:val="77DC22F5"/>
    <w:rsid w:val="77FAA551"/>
    <w:rsid w:val="77FF408D"/>
    <w:rsid w:val="783BB4FC"/>
    <w:rsid w:val="79086DAD"/>
    <w:rsid w:val="79974F09"/>
    <w:rsid w:val="79D7FD79"/>
    <w:rsid w:val="79EE5BA4"/>
    <w:rsid w:val="79FB8581"/>
    <w:rsid w:val="7A3F79A9"/>
    <w:rsid w:val="7A5DDC30"/>
    <w:rsid w:val="7A894339"/>
    <w:rsid w:val="7AFF7572"/>
    <w:rsid w:val="7B5B3CA5"/>
    <w:rsid w:val="7B6C7DFB"/>
    <w:rsid w:val="7BBF6701"/>
    <w:rsid w:val="7BBFBED0"/>
    <w:rsid w:val="7BBFFCD3"/>
    <w:rsid w:val="7BC3E394"/>
    <w:rsid w:val="7C1F3737"/>
    <w:rsid w:val="7CBFC87B"/>
    <w:rsid w:val="7CD5B91F"/>
    <w:rsid w:val="7CFCCEA7"/>
    <w:rsid w:val="7CFE0F48"/>
    <w:rsid w:val="7D6B9E50"/>
    <w:rsid w:val="7D6F0A56"/>
    <w:rsid w:val="7D7748D4"/>
    <w:rsid w:val="7D7EC23E"/>
    <w:rsid w:val="7D916348"/>
    <w:rsid w:val="7DEF12CC"/>
    <w:rsid w:val="7E2F691C"/>
    <w:rsid w:val="7E8ADEBF"/>
    <w:rsid w:val="7EB70560"/>
    <w:rsid w:val="7EC3725F"/>
    <w:rsid w:val="7EE91C65"/>
    <w:rsid w:val="7EEB2A9F"/>
    <w:rsid w:val="7EEF11D3"/>
    <w:rsid w:val="7EFBFA6D"/>
    <w:rsid w:val="7EFDC29A"/>
    <w:rsid w:val="7EFF6DB0"/>
    <w:rsid w:val="7EFFA499"/>
    <w:rsid w:val="7F0971A6"/>
    <w:rsid w:val="7F375807"/>
    <w:rsid w:val="7F3F679B"/>
    <w:rsid w:val="7F4FC4EF"/>
    <w:rsid w:val="7F5E4D54"/>
    <w:rsid w:val="7F6E0135"/>
    <w:rsid w:val="7FA30C79"/>
    <w:rsid w:val="7FABFB5B"/>
    <w:rsid w:val="7FAF8ABF"/>
    <w:rsid w:val="7FB7269E"/>
    <w:rsid w:val="7FC96657"/>
    <w:rsid w:val="7FDA9588"/>
    <w:rsid w:val="7FDF220F"/>
    <w:rsid w:val="7FE75FB3"/>
    <w:rsid w:val="7FEBD46E"/>
    <w:rsid w:val="7FEDC5F7"/>
    <w:rsid w:val="7FEDD9DE"/>
    <w:rsid w:val="7FF5890D"/>
    <w:rsid w:val="7FF93490"/>
    <w:rsid w:val="7FFB00FF"/>
    <w:rsid w:val="7FFE7D28"/>
    <w:rsid w:val="7FFF90DC"/>
    <w:rsid w:val="94775FA0"/>
    <w:rsid w:val="99FF2014"/>
    <w:rsid w:val="9A3F3A5C"/>
    <w:rsid w:val="9BFE7DFA"/>
    <w:rsid w:val="9EF730E6"/>
    <w:rsid w:val="9F3F37CB"/>
    <w:rsid w:val="A26A0CB2"/>
    <w:rsid w:val="A6DD0D7F"/>
    <w:rsid w:val="A7DF8899"/>
    <w:rsid w:val="AAFFC9E8"/>
    <w:rsid w:val="ADC6F725"/>
    <w:rsid w:val="B7CF06AB"/>
    <w:rsid w:val="B7CFA926"/>
    <w:rsid w:val="B7F8786B"/>
    <w:rsid w:val="B9EFBB49"/>
    <w:rsid w:val="BABB6AA1"/>
    <w:rsid w:val="BB2F4199"/>
    <w:rsid w:val="BB3F6A01"/>
    <w:rsid w:val="BBBFDBD1"/>
    <w:rsid w:val="BBFEA6BE"/>
    <w:rsid w:val="BC771A4F"/>
    <w:rsid w:val="BD079C78"/>
    <w:rsid w:val="BD733540"/>
    <w:rsid w:val="BEF7A63C"/>
    <w:rsid w:val="BF3735D5"/>
    <w:rsid w:val="BF3B9E0C"/>
    <w:rsid w:val="BF7F09AC"/>
    <w:rsid w:val="BF98FE0F"/>
    <w:rsid w:val="BFD475C3"/>
    <w:rsid w:val="BFDE5EA6"/>
    <w:rsid w:val="BFFF75E8"/>
    <w:rsid w:val="CF6FC6F3"/>
    <w:rsid w:val="CFD3D3D7"/>
    <w:rsid w:val="CFDF1009"/>
    <w:rsid w:val="CFE47DC2"/>
    <w:rsid w:val="D6CBEE46"/>
    <w:rsid w:val="D7D7B16A"/>
    <w:rsid w:val="D8D6DB89"/>
    <w:rsid w:val="DAF951F8"/>
    <w:rsid w:val="DB6F4CAB"/>
    <w:rsid w:val="DB777682"/>
    <w:rsid w:val="DC3F2B8B"/>
    <w:rsid w:val="DD1FB521"/>
    <w:rsid w:val="DEFBFEAE"/>
    <w:rsid w:val="DF1F3B80"/>
    <w:rsid w:val="DF5F5F9D"/>
    <w:rsid w:val="DF6F9789"/>
    <w:rsid w:val="DF9C18BC"/>
    <w:rsid w:val="DFAF56F9"/>
    <w:rsid w:val="DFE33B9B"/>
    <w:rsid w:val="DFFFA9E8"/>
    <w:rsid w:val="E5F4E9DC"/>
    <w:rsid w:val="E64E841E"/>
    <w:rsid w:val="E66F8BF5"/>
    <w:rsid w:val="E70FE695"/>
    <w:rsid w:val="EAF9C53D"/>
    <w:rsid w:val="EB7675DB"/>
    <w:rsid w:val="EB911061"/>
    <w:rsid w:val="ECDABB89"/>
    <w:rsid w:val="ECFED1BC"/>
    <w:rsid w:val="ED1D69BB"/>
    <w:rsid w:val="ED7FD312"/>
    <w:rsid w:val="EDDF2AFD"/>
    <w:rsid w:val="EDF7C5FF"/>
    <w:rsid w:val="EDFF2B5A"/>
    <w:rsid w:val="EF2F5651"/>
    <w:rsid w:val="EF53993F"/>
    <w:rsid w:val="EF6FD633"/>
    <w:rsid w:val="EF7AC565"/>
    <w:rsid w:val="EFBFB2F4"/>
    <w:rsid w:val="EFBFFA21"/>
    <w:rsid w:val="F1DD3A0D"/>
    <w:rsid w:val="F1EE4BF4"/>
    <w:rsid w:val="F2BEBCB8"/>
    <w:rsid w:val="F36FB518"/>
    <w:rsid w:val="F3CD2370"/>
    <w:rsid w:val="F3CF7283"/>
    <w:rsid w:val="F3D90F13"/>
    <w:rsid w:val="F3DE1A04"/>
    <w:rsid w:val="F3F722E5"/>
    <w:rsid w:val="F3F7710B"/>
    <w:rsid w:val="F6FC90FA"/>
    <w:rsid w:val="F7371EF3"/>
    <w:rsid w:val="F7DF39E5"/>
    <w:rsid w:val="F7F5FD0A"/>
    <w:rsid w:val="F97F63F4"/>
    <w:rsid w:val="F9B99018"/>
    <w:rsid w:val="FA5F1E70"/>
    <w:rsid w:val="FA5FDB97"/>
    <w:rsid w:val="FB7F486A"/>
    <w:rsid w:val="FBE8B8C5"/>
    <w:rsid w:val="FBFB5C53"/>
    <w:rsid w:val="FBFF5B2E"/>
    <w:rsid w:val="FC4EEC35"/>
    <w:rsid w:val="FC6FB390"/>
    <w:rsid w:val="FD7FFE2B"/>
    <w:rsid w:val="FDEC712B"/>
    <w:rsid w:val="FDEE196B"/>
    <w:rsid w:val="FDFD1BBB"/>
    <w:rsid w:val="FDFE6575"/>
    <w:rsid w:val="FEDFDDC2"/>
    <w:rsid w:val="FEED32F6"/>
    <w:rsid w:val="FEF781DD"/>
    <w:rsid w:val="FF1B5AC6"/>
    <w:rsid w:val="FF3F7E3F"/>
    <w:rsid w:val="FFBA12D7"/>
    <w:rsid w:val="FFD7D2B2"/>
    <w:rsid w:val="FFDE02C3"/>
    <w:rsid w:val="FFDFFAEE"/>
    <w:rsid w:val="FFF78F7C"/>
    <w:rsid w:val="FFF95155"/>
    <w:rsid w:val="FFF9B57B"/>
    <w:rsid w:val="FFFB2C33"/>
    <w:rsid w:val="FFFCBC82"/>
    <w:rsid w:val="FFFD61D9"/>
    <w:rsid w:val="FFFD8F59"/>
    <w:rsid w:val="FFFE0887"/>
    <w:rsid w:val="FFFF0746"/>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正文文本1"/>
    <w:basedOn w:val="1"/>
    <w:qFormat/>
    <w:uiPriority w:val="0"/>
    <w:pPr>
      <w:spacing w:before="93"/>
    </w:pPr>
    <w:rPr>
      <w:rFonts w:ascii="仿宋_GB2312" w:eastAsia="仿宋_GB2312" w:cs="仿宋_GB2312"/>
      <w:kern w:val="0"/>
      <w:sz w:val="30"/>
      <w:szCs w:val="30"/>
      <w:lang w:bidi="ar-SA"/>
    </w:rPr>
  </w:style>
  <w:style w:type="character" w:customStyle="1" w:styleId="36">
    <w:name w:val="font121"/>
    <w:basedOn w:val="16"/>
    <w:qFormat/>
    <w:uiPriority w:val="0"/>
    <w:rPr>
      <w:rFonts w:hint="eastAsia" w:ascii="宋体" w:hAnsi="宋体" w:eastAsia="宋体" w:cs="宋体"/>
      <w:b/>
      <w:bCs/>
      <w:color w:val="000000"/>
      <w:sz w:val="32"/>
      <w:szCs w:val="32"/>
      <w:u w:val="none"/>
    </w:rPr>
  </w:style>
  <w:style w:type="character" w:customStyle="1" w:styleId="37">
    <w:name w:val="font21"/>
    <w:basedOn w:val="16"/>
    <w:qFormat/>
    <w:uiPriority w:val="0"/>
    <w:rPr>
      <w:rFonts w:hint="eastAsia" w:ascii="宋体" w:hAnsi="宋体" w:eastAsia="宋体" w:cs="宋体"/>
      <w:color w:val="000000"/>
      <w:sz w:val="32"/>
      <w:szCs w:val="32"/>
      <w:u w:val="none"/>
    </w:rPr>
  </w:style>
  <w:style w:type="character" w:customStyle="1" w:styleId="38">
    <w:name w:val="font11"/>
    <w:basedOn w:val="16"/>
    <w:qFormat/>
    <w:uiPriority w:val="0"/>
    <w:rPr>
      <w:rFonts w:hint="eastAsia" w:ascii="宋体" w:hAnsi="宋体" w:eastAsia="宋体" w:cs="宋体"/>
      <w:color w:val="000000"/>
      <w:sz w:val="20"/>
      <w:szCs w:val="20"/>
      <w:u w:val="none"/>
    </w:rPr>
  </w:style>
  <w:style w:type="character" w:customStyle="1" w:styleId="39">
    <w:name w:val="font131"/>
    <w:basedOn w:val="16"/>
    <w:qFormat/>
    <w:uiPriority w:val="0"/>
    <w:rPr>
      <w:rFonts w:hint="eastAsia" w:ascii="宋体" w:hAnsi="宋体" w:eastAsia="宋体" w:cs="宋体"/>
      <w:color w:val="000000"/>
      <w:sz w:val="20"/>
      <w:szCs w:val="20"/>
      <w:u w:val="none"/>
    </w:rPr>
  </w:style>
  <w:style w:type="character" w:customStyle="1" w:styleId="40">
    <w:name w:val="font71"/>
    <w:basedOn w:val="16"/>
    <w:qFormat/>
    <w:uiPriority w:val="0"/>
    <w:rPr>
      <w:rFonts w:hint="eastAsia" w:ascii="宋体" w:hAnsi="宋体" w:eastAsia="宋体" w:cs="宋体"/>
      <w:color w:val="000000"/>
      <w:sz w:val="18"/>
      <w:szCs w:val="18"/>
      <w:u w:val="none"/>
    </w:rPr>
  </w:style>
  <w:style w:type="character" w:customStyle="1" w:styleId="41">
    <w:name w:val="font141"/>
    <w:basedOn w:val="16"/>
    <w:qFormat/>
    <w:uiPriority w:val="0"/>
    <w:rPr>
      <w:rFonts w:hint="eastAsia" w:ascii="宋体" w:hAnsi="宋体" w:eastAsia="宋体" w:cs="宋体"/>
      <w:color w:val="000000"/>
      <w:sz w:val="18"/>
      <w:szCs w:val="18"/>
      <w:u w:val="none"/>
    </w:rPr>
  </w:style>
  <w:style w:type="character" w:customStyle="1" w:styleId="42">
    <w:name w:val="font151"/>
    <w:basedOn w:val="16"/>
    <w:qFormat/>
    <w:uiPriority w:val="0"/>
    <w:rPr>
      <w:rFonts w:hint="eastAsia" w:ascii="宋体" w:hAnsi="宋体" w:eastAsia="宋体" w:cs="宋体"/>
      <w:color w:val="000000"/>
      <w:sz w:val="18"/>
      <w:szCs w:val="18"/>
      <w:u w:val="none"/>
    </w:rPr>
  </w:style>
  <w:style w:type="character" w:customStyle="1" w:styleId="43">
    <w:name w:val="font161"/>
    <w:basedOn w:val="16"/>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收入、支出决算总计变化情况图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收入决算数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2024年</c:v>
                </c:pt>
                <c:pt idx="1">
                  <c:v>2025年</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1364.63</c:v>
                </c:pt>
                <c:pt idx="1">
                  <c:v>1514.15</c:v>
                </c:pt>
              </c:numCache>
            </c:numRef>
          </c:val>
        </c:ser>
        <c:ser>
          <c:idx val="1"/>
          <c:order val="1"/>
          <c:tx>
            <c:strRef>
              <c:f>Sheet1!$C$1</c:f>
              <c:strCache>
                <c:ptCount val="1"/>
                <c:pt idx="0">
                  <c:v>支出决算数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2024年</c:v>
                </c:pt>
                <c:pt idx="1">
                  <c:v>2025年</c:v>
                </c:pt>
              </c:strCache>
            </c:strRef>
          </c:cat>
          <c:val>
            <c:numRef>
              <c:extLst>
                <c:ext xmlns:c15="http://schemas.microsoft.com/office/drawing/2012/chart" uri="{02D57815-91ED-43cb-92C2-25804820EDAC}">
                  <c15:fullRef>
                    <c15:sqref>Sheet1!$C$2:$C$5</c15:sqref>
                  </c15:fullRef>
                </c:ext>
              </c:extLst>
              <c:f>Sheet1!$C$2:$C$3</c:f>
              <c:numCache>
                <c:formatCode>General</c:formatCode>
                <c:ptCount val="2"/>
                <c:pt idx="0">
                  <c:v>1364.63</c:v>
                </c:pt>
                <c:pt idx="1">
                  <c:v>1514.15</c:v>
                </c:pt>
              </c:numCache>
            </c:numRef>
          </c:val>
        </c:ser>
        <c:dLbls>
          <c:showLegendKey val="0"/>
          <c:showVal val="1"/>
          <c:showCatName val="0"/>
          <c:showSerName val="0"/>
          <c:showPercent val="0"/>
          <c:showBubbleSize val="0"/>
        </c:dLbls>
        <c:gapWidth val="246"/>
        <c:overlap val="-28"/>
        <c:axId val="711610274"/>
        <c:axId val="19343326"/>
        <c:extLst>
          <c:ext xmlns:c15="http://schemas.microsoft.com/office/drawing/2012/chart" uri="{02D57815-91ED-43cb-92C2-25804820EDAC}">
            <c15:filteredBarSeries>
              <c15:ser>
                <c:idx val="2"/>
                <c:order val="2"/>
                <c:tx>
                  <c:strRef>
                    <c:extLst>
                      <c:ext uri="{02D57815-91ED-43cb-92C2-25804820EDAC}">
                        <c15:formulaRef>
                          <c15:sqref>Sheet1!$D$1</c15:sqref>
                        </c15:formulaRef>
                      </c:ext>
                    </c:extLst>
                    <c:strCache>
                      <c:ptCount val="1"/>
                      <c:pt idx="0">
                        <c:v>系列 3</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Sheet1!$A$2:$A$5</c15:sqref>
                        </c15:fullRef>
                        <c15:formulaRef>
                          <c15:sqref>Sheet1!$A$2:$A$3</c15:sqref>
                        </c15:formulaRef>
                      </c:ext>
                    </c:extLst>
                    <c:strCache>
                      <c:ptCount val="2"/>
                      <c:pt idx="0">
                        <c:v>2024年</c:v>
                      </c:pt>
                      <c:pt idx="1">
                        <c:v>2025年</c:v>
                      </c:pt>
                    </c:strCache>
                  </c:strRef>
                </c:cat>
                <c:val>
                  <c:numRef>
                    <c:extLst>
                      <c:ext uri="{02D57815-91ED-43cb-92C2-25804820EDAC}">
                        <c15:fullRef>
                          <c15:sqref>Sheet1!$D$2:$D$5</c15:sqref>
                        </c15:fullRef>
                        <c15:formulaRef>
                          <c15:sqref>Sheet1!$D$2:$D$3</c15:sqref>
                        </c15:formulaRef>
                      </c:ext>
                    </c:extLst>
                    <c:numCache>
                      <c:formatCode>General</c:formatCode>
                      <c:ptCount val="2"/>
                      <c:pt idx="0">
                        <c:v>2</c:v>
                      </c:pt>
                      <c:pt idx="1">
                        <c:v>2</c:v>
                      </c:pt>
                    </c:numCache>
                  </c:numRef>
                </c:val>
              </c15:ser>
            </c15:filteredBarSeries>
          </c:ext>
        </c:extLst>
      </c:barChart>
      <c:catAx>
        <c:axId val="71161027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343326"/>
        <c:crosses val="autoZero"/>
        <c:auto val="1"/>
        <c:lblAlgn val="ctr"/>
        <c:lblOffset val="100"/>
        <c:noMultiLvlLbl val="0"/>
      </c:catAx>
      <c:valAx>
        <c:axId val="1934332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161027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Lbls>
            <c:delete val="1"/>
          </c:dLbls>
          <c:cat>
            <c:strRef>
              <c:extLst>
                <c:ext xmlns:c15="http://schemas.microsoft.com/office/drawing/2012/chart" uri="{02D57815-91ED-43cb-92C2-25804820EDAC}">
                  <c15:fullRef>
                    <c15:sqref>Sheet1!$A$2:$A$5</c15:sqref>
                  </c15:fullRef>
                </c:ext>
              </c:extLst>
              <c:f>Sheet1!$A$2</c:f>
              <c:strCache>
                <c:ptCount val="1"/>
                <c:pt idx="0">
                  <c:v>一般公共预算财政拨款收入</c:v>
                </c:pt>
              </c:strCache>
            </c:strRef>
          </c:cat>
          <c:val>
            <c:numRef>
              <c:extLst>
                <c:ext xmlns:c15="http://schemas.microsoft.com/office/drawing/2012/chart" uri="{02D57815-91ED-43cb-92C2-25804820EDAC}">
                  <c15:fullRef>
                    <c15:sqref>Sheet1!$B$2:$B$5</c15:sqref>
                  </c15:fullRef>
                </c:ext>
              </c:extLst>
              <c:f>Sheet1!$B$2</c:f>
              <c:numCache>
                <c:formatCode>General</c:formatCode>
                <c:ptCount val="1"/>
                <c:pt idx="0">
                  <c:v>1514.15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8514159617506"/>
          <c:y val="0.218716036228023"/>
          <c:w val="0.469452004413387"/>
          <c:h val="0.680042621204049"/>
        </c:manualLayout>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基本支出</c:v>
                </c:pt>
                <c:pt idx="1">
                  <c:v>项目支出</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1052.44</c:v>
                </c:pt>
                <c:pt idx="1">
                  <c:v>461.71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财政拨款收、支决算总计变化情况图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收入决算数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2024年</c:v>
                </c:pt>
                <c:pt idx="1">
                  <c:v>2025年</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1364.63</c:v>
                </c:pt>
                <c:pt idx="1">
                  <c:v>1514.15</c:v>
                </c:pt>
              </c:numCache>
            </c:numRef>
          </c:val>
        </c:ser>
        <c:ser>
          <c:idx val="1"/>
          <c:order val="1"/>
          <c:tx>
            <c:strRef>
              <c:f>Sheet1!$C$1</c:f>
              <c:strCache>
                <c:ptCount val="1"/>
                <c:pt idx="0">
                  <c:v>支出决算数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2024年</c:v>
                </c:pt>
                <c:pt idx="1">
                  <c:v>2025年</c:v>
                </c:pt>
              </c:strCache>
            </c:strRef>
          </c:cat>
          <c:val>
            <c:numRef>
              <c:extLst>
                <c:ext xmlns:c15="http://schemas.microsoft.com/office/drawing/2012/chart" uri="{02D57815-91ED-43cb-92C2-25804820EDAC}">
                  <c15:fullRef>
                    <c15:sqref>Sheet1!$C$2:$C$5</c15:sqref>
                  </c15:fullRef>
                </c:ext>
              </c:extLst>
              <c:f>Sheet1!$C$2:$C$3</c:f>
              <c:numCache>
                <c:formatCode>General</c:formatCode>
                <c:ptCount val="2"/>
                <c:pt idx="0">
                  <c:v>1364.63</c:v>
                </c:pt>
                <c:pt idx="1">
                  <c:v>1514.15</c:v>
                </c:pt>
              </c:numCache>
            </c:numRef>
          </c:val>
        </c:ser>
        <c:dLbls>
          <c:showLegendKey val="0"/>
          <c:showVal val="1"/>
          <c:showCatName val="0"/>
          <c:showSerName val="0"/>
          <c:showPercent val="0"/>
          <c:showBubbleSize val="0"/>
        </c:dLbls>
        <c:gapWidth val="246"/>
        <c:overlap val="-28"/>
        <c:axId val="711610274"/>
        <c:axId val="19343326"/>
        <c:extLst>
          <c:ext xmlns:c15="http://schemas.microsoft.com/office/drawing/2012/chart" uri="{02D57815-91ED-43cb-92C2-25804820EDAC}">
            <c15:filteredBarSeries>
              <c15:ser>
                <c:idx val="2"/>
                <c:order val="2"/>
                <c:tx>
                  <c:strRef>
                    <c:extLst>
                      <c:ext uri="{02D57815-91ED-43cb-92C2-25804820EDAC}">
                        <c15:formulaRef>
                          <c15:sqref>Sheet1!$D$1</c15:sqref>
                        </c15:formulaRef>
                      </c:ext>
                    </c:extLst>
                    <c:strCache>
                      <c:ptCount val="1"/>
                      <c:pt idx="0">
                        <c:v>系列 3</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Sheet1!$A$2:$A$5</c15:sqref>
                        </c15:fullRef>
                        <c15:formulaRef>
                          <c15:sqref>Sheet1!$A$2:$A$3</c15:sqref>
                        </c15:formulaRef>
                      </c:ext>
                    </c:extLst>
                    <c:strCache>
                      <c:ptCount val="2"/>
                      <c:pt idx="0">
                        <c:v>2024年</c:v>
                      </c:pt>
                      <c:pt idx="1">
                        <c:v>2025年</c:v>
                      </c:pt>
                    </c:strCache>
                  </c:strRef>
                </c:cat>
                <c:val>
                  <c:numRef>
                    <c:extLst>
                      <c:ext uri="{02D57815-91ED-43cb-92C2-25804820EDAC}">
                        <c15:fullRef>
                          <c15:sqref>Sheet1!$D$2:$D$5</c15:sqref>
                        </c15:fullRef>
                        <c15:formulaRef>
                          <c15:sqref>Sheet1!$D$2:$D$3</c15:sqref>
                        </c15:formulaRef>
                      </c:ext>
                    </c:extLst>
                    <c:numCache>
                      <c:formatCode>General</c:formatCode>
                      <c:ptCount val="2"/>
                      <c:pt idx="0">
                        <c:v>2</c:v>
                      </c:pt>
                      <c:pt idx="1">
                        <c:v>2</c:v>
                      </c:pt>
                    </c:numCache>
                  </c:numRef>
                </c:val>
              </c15:ser>
            </c15:filteredBarSeries>
          </c:ext>
        </c:extLst>
      </c:barChart>
      <c:catAx>
        <c:axId val="71161027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343326"/>
        <c:crosses val="autoZero"/>
        <c:auto val="1"/>
        <c:lblAlgn val="ctr"/>
        <c:lblOffset val="100"/>
        <c:noMultiLvlLbl val="0"/>
      </c:catAx>
      <c:valAx>
        <c:axId val="1934332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161027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支出决算变化情况图</a:t>
            </a:r>
          </a:p>
        </c:rich>
      </c:tx>
      <c:layout>
        <c:manualLayout>
          <c:xMode val="edge"/>
          <c:yMode val="edge"/>
          <c:x val="0.321956087824351"/>
          <c:y val="0.0290243902439024"/>
        </c:manualLayout>
      </c:layout>
      <c:overlay val="0"/>
      <c:spPr>
        <a:noFill/>
        <a:ln>
          <a:noFill/>
        </a:ln>
        <a:effectLst/>
      </c:spPr>
    </c:title>
    <c:autoTitleDeleted val="0"/>
    <c:plotArea>
      <c:layout/>
      <c:barChart>
        <c:barDir val="col"/>
        <c:grouping val="clustered"/>
        <c:varyColors val="0"/>
        <c:ser>
          <c:idx val="1"/>
          <c:order val="1"/>
          <c:tx>
            <c:strRef>
              <c:f>Sheet1!$C$1</c:f>
              <c:strCache>
                <c:ptCount val="1"/>
                <c:pt idx="0">
                  <c:v>支出决算数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2024年</c:v>
                </c:pt>
                <c:pt idx="1">
                  <c:v>2025年</c:v>
                </c:pt>
              </c:strCache>
            </c:strRef>
          </c:cat>
          <c:val>
            <c:numRef>
              <c:extLst>
                <c:ext xmlns:c15="http://schemas.microsoft.com/office/drawing/2012/chart" uri="{02D57815-91ED-43cb-92C2-25804820EDAC}">
                  <c15:fullRef>
                    <c15:sqref>Sheet1!$C$2:$C$5</c15:sqref>
                  </c15:fullRef>
                </c:ext>
              </c:extLst>
              <c:f>Sheet1!$C$2:$C$3</c:f>
              <c:numCache>
                <c:formatCode>General</c:formatCode>
                <c:ptCount val="2"/>
                <c:pt idx="0">
                  <c:v>1364.63</c:v>
                </c:pt>
                <c:pt idx="1">
                  <c:v>1514.15</c:v>
                </c:pt>
              </c:numCache>
            </c:numRef>
          </c:val>
        </c:ser>
        <c:dLbls>
          <c:showLegendKey val="0"/>
          <c:showVal val="1"/>
          <c:showCatName val="0"/>
          <c:showSerName val="0"/>
          <c:showPercent val="0"/>
          <c:showBubbleSize val="0"/>
        </c:dLbls>
        <c:gapWidth val="246"/>
        <c:overlap val="-28"/>
        <c:axId val="711610274"/>
        <c:axId val="19343326"/>
        <c:extLst>
          <c:ext xmlns:c15="http://schemas.microsoft.com/office/drawing/2012/chart" uri="{02D57815-91ED-43cb-92C2-25804820EDAC}">
            <c15:filteredBarSeries>
              <c15:ser>
                <c:idx val="0"/>
                <c:order val="0"/>
                <c:tx>
                  <c:strRef>
                    <c:extLst>
                      <c:ext uri="{02D57815-91ED-43cb-92C2-25804820EDAC}">
                        <c15:formulaRef>
                          <c15:sqref>Sheet1!$B$1</c15:sqref>
                        </c15:formulaRef>
                      </c:ext>
                    </c:extLst>
                    <c:strCache>
                      <c:ptCount val="1"/>
                      <c:pt idx="0">
                        <c:v>收入决算数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Sheet1!$A$2:$A$5</c15:sqref>
                        </c15:fullRef>
                        <c15:formulaRef>
                          <c15:sqref>Sheet1!$A$2:$A$3</c15:sqref>
                        </c15:formulaRef>
                      </c:ext>
                    </c:extLst>
                    <c:strCache>
                      <c:ptCount val="2"/>
                      <c:pt idx="0">
                        <c:v>2024年</c:v>
                      </c:pt>
                      <c:pt idx="1">
                        <c:v>2025年</c:v>
                      </c:pt>
                    </c:strCache>
                  </c:strRef>
                </c:cat>
                <c:val>
                  <c:numRef>
                    <c:extLst>
                      <c:ext uri="{02D57815-91ED-43cb-92C2-25804820EDAC}">
                        <c15:fullRef>
                          <c15:sqref>Sheet1!$B$2:$B$5</c15:sqref>
                        </c15:fullRef>
                        <c15:formulaRef>
                          <c15:sqref>Sheet1!$B$2:$B$3</c15:sqref>
                        </c15:formulaRef>
                      </c:ext>
                    </c:extLst>
                    <c:numCache>
                      <c:formatCode>General</c:formatCode>
                      <c:ptCount val="2"/>
                      <c:pt idx="0">
                        <c:v>1364.63</c:v>
                      </c:pt>
                      <c:pt idx="1">
                        <c:v>1514.15</c:v>
                      </c:pt>
                    </c:numCache>
                  </c:numRef>
                </c:val>
              </c15:ser>
            </c15:filteredBarSeries>
            <c15:filteredBarSeries>
              <c15:ser>
                <c:idx val="2"/>
                <c:order val="2"/>
                <c:tx>
                  <c:strRef>
                    <c:extLst>
                      <c:ext uri="{02D57815-91ED-43cb-92C2-25804820EDAC}">
                        <c15:formulaRef>
                          <c15:sqref>Sheet1!$D$1</c15:sqref>
                        </c15:formulaRef>
                      </c:ext>
                    </c:extLst>
                    <c:strCache>
                      <c:ptCount val="1"/>
                      <c:pt idx="0">
                        <c:v>系列 3</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Sheet1!$A$2:$A$5</c15:sqref>
                        </c15:fullRef>
                        <c15:formulaRef>
                          <c15:sqref>Sheet1!$A$2:$A$3</c15:sqref>
                        </c15:formulaRef>
                      </c:ext>
                    </c:extLst>
                    <c:strCache>
                      <c:ptCount val="2"/>
                      <c:pt idx="0">
                        <c:v>2024年</c:v>
                      </c:pt>
                      <c:pt idx="1">
                        <c:v>2025年</c:v>
                      </c:pt>
                    </c:strCache>
                  </c:strRef>
                </c:cat>
                <c:val>
                  <c:numRef>
                    <c:extLst>
                      <c:ext uri="{02D57815-91ED-43cb-92C2-25804820EDAC}">
                        <c15:fullRef>
                          <c15:sqref>Sheet1!$D$2:$D$5</c15:sqref>
                        </c15:fullRef>
                        <c15:formulaRef>
                          <c15:sqref>Sheet1!$D$2:$D$3</c15:sqref>
                        </c15:formulaRef>
                      </c:ext>
                    </c:extLst>
                    <c:numCache>
                      <c:formatCode>General</c:formatCode>
                      <c:ptCount val="2"/>
                      <c:pt idx="0">
                        <c:v>2</c:v>
                      </c:pt>
                      <c:pt idx="1">
                        <c:v>2</c:v>
                      </c:pt>
                    </c:numCache>
                  </c:numRef>
                </c:val>
              </c15:ser>
            </c15:filteredBarSeries>
          </c:ext>
        </c:extLst>
      </c:barChart>
      <c:catAx>
        <c:axId val="71161027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343326"/>
        <c:crosses val="autoZero"/>
        <c:auto val="1"/>
        <c:lblAlgn val="ctr"/>
        <c:lblOffset val="100"/>
        <c:noMultiLvlLbl val="0"/>
      </c:catAx>
      <c:valAx>
        <c:axId val="1934332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161027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1214.23</c:v>
                </c:pt>
                <c:pt idx="1">
                  <c:v>176.52</c:v>
                </c:pt>
                <c:pt idx="2">
                  <c:v>52.36</c:v>
                </c:pt>
                <c:pt idx="3">
                  <c:v>71.05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Sheet1!$A$2:$A$4</c:f>
              <c:strCache>
                <c:ptCount val="3"/>
                <c:pt idx="0">
                  <c:v>公务用车购置及运行维护费支出</c:v>
                </c:pt>
                <c:pt idx="1">
                  <c:v>因公出国（境）费支出</c:v>
                </c:pt>
                <c:pt idx="2">
                  <c:v>公务接待费支出</c:v>
                </c:pt>
              </c:strCache>
            </c:strRef>
          </c:cat>
          <c:val>
            <c:numRef>
              <c:extLst>
                <c:ext xmlns:c15="http://schemas.microsoft.com/office/drawing/2012/chart" uri="{02D57815-91ED-43cb-92C2-25804820EDAC}">
                  <c15:fullRef>
                    <c15:sqref>Sheet1!$B$2:$B$5</c15:sqref>
                  </c15:fullRef>
                </c:ext>
              </c:extLst>
              <c:f>Sheet1!$B$2:$B$4</c:f>
              <c:numCache>
                <c:formatCode>General</c:formatCode>
                <c:ptCount val="3"/>
                <c:pt idx="0">
                  <c:v>7.5</c:v>
                </c:pt>
                <c:pt idx="1">
                  <c:v>0</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29</Pages>
  <Words>1299</Words>
  <Characters>7410</Characters>
  <Lines>61</Lines>
  <Paragraphs>17</Paragraphs>
  <TotalTime>4</TotalTime>
  <ScaleCrop>false</ScaleCrop>
  <LinksUpToDate>false</LinksUpToDate>
  <CharactersWithSpaces>8692</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2020-08-13T17:49:00Z</dcterms:created>
  <dc:creator>曹颖</dc:creator>
  <cp:lastModifiedBy>user</cp:lastModifiedBy>
  <cp:lastPrinted>2026-08-08T09:27:00Z</cp:lastPrinted>
  <dcterms:modified xsi:type="dcterms:W3CDTF">2026-10-27T11:16:14Z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9C20405CF3C44461A8C3AE6B975882EC_13</vt:lpwstr>
  </property>
</Properties>
</file>