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eastAsia="zh-CN"/>
        </w:rPr>
        <w:t>壤塘县司法局</w:t>
      </w:r>
    </w:p>
    <w:p>
      <w:pPr>
        <w:jc w:val="center"/>
        <w:rPr>
          <w:rFonts w:ascii="黑体" w:eastAsia="黑体"/>
          <w:sz w:val="44"/>
          <w:szCs w:val="44"/>
        </w:rPr>
      </w:pPr>
      <w:r>
        <w:rPr>
          <w:rFonts w:hint="eastAsia" w:ascii="黑体" w:eastAsia="黑体"/>
          <w:sz w:val="44"/>
          <w:szCs w:val="44"/>
          <w:lang w:eastAsia="zh-CN"/>
        </w:rPr>
        <w:t>2026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hint="eastAsia" w:ascii="黑体" w:eastAsia="黑体"/>
          <w:sz w:val="52"/>
          <w:szCs w:val="52"/>
        </w:rPr>
      </w:pPr>
    </w:p>
    <w:p>
      <w:pPr>
        <w:ind w:firstLine="3640" w:firstLineChars="700"/>
        <w:rPr>
          <w:rFonts w:hint="eastAsia" w:ascii="黑体" w:eastAsia="黑体"/>
          <w:sz w:val="52"/>
          <w:szCs w:val="52"/>
        </w:rPr>
        <w:sectPr>
          <w:headerReference r:id="rId3" w:type="default"/>
          <w:pgSz w:w="11906" w:h="16838"/>
          <w:pgMar w:top="1417" w:right="1417" w:bottom="1417" w:left="1417" w:header="851" w:footer="992" w:gutter="0"/>
          <w:cols w:space="0" w:num="1"/>
          <w:rtlGutter w:val="0"/>
          <w:docGrid w:type="lines" w:linePitch="312" w:charSpace="0"/>
        </w:sectPr>
      </w:pPr>
    </w:p>
    <w:p>
      <w:pPr>
        <w:ind w:firstLine="3640" w:firstLineChars="700"/>
        <w:rPr>
          <w:rFonts w:ascii="黑体" w:eastAsia="黑体"/>
          <w:sz w:val="52"/>
          <w:szCs w:val="52"/>
        </w:rPr>
      </w:pPr>
      <w:r>
        <w:rPr>
          <w:rFonts w:hint="eastAsia" w:ascii="黑体" w:eastAsia="黑体"/>
          <w:sz w:val="52"/>
          <w:szCs w:val="52"/>
        </w:rPr>
        <w:t>目录</w:t>
      </w:r>
    </w:p>
    <w:p>
      <w:pPr>
        <w:ind w:firstLine="3080" w:firstLineChars="700"/>
        <w:jc w:val="distribute"/>
        <w:rPr>
          <w:rFonts w:ascii="黑体" w:eastAsia="黑体"/>
          <w:sz w:val="44"/>
          <w:szCs w:val="44"/>
        </w:rPr>
      </w:pPr>
    </w:p>
    <w:p>
      <w:pPr>
        <w:pStyle w:val="10"/>
        <w:ind w:firstLine="0" w:firstLineChars="0"/>
        <w:jc w:val="distribute"/>
        <w:rPr>
          <w:rFonts w:hint="default" w:ascii="黑体" w:eastAsia="黑体"/>
          <w:sz w:val="32"/>
          <w:szCs w:val="32"/>
          <w:lang w:val="en-US" w:eastAsia="zh-CN"/>
        </w:rPr>
      </w:pPr>
      <w:r>
        <w:rPr>
          <w:rFonts w:hint="eastAsia" w:ascii="黑体" w:eastAsia="黑体"/>
          <w:sz w:val="32"/>
          <w:szCs w:val="32"/>
        </w:rPr>
        <w:t>一、基本职能及主要工作</w:t>
      </w:r>
      <w:r>
        <w:rPr>
          <w:rFonts w:hint="eastAsia" w:ascii="黑体" w:eastAsia="黑体"/>
          <w:sz w:val="32"/>
          <w:szCs w:val="32"/>
          <w:lang w:eastAsia="zh-CN"/>
        </w:rPr>
        <w:t>…………………………………………</w:t>
      </w:r>
      <w:r>
        <w:rPr>
          <w:rFonts w:hint="eastAsia" w:ascii="黑体" w:eastAsia="黑体"/>
          <w:sz w:val="32"/>
          <w:szCs w:val="32"/>
          <w:lang w:val="en-US" w:eastAsia="zh-CN"/>
        </w:rPr>
        <w:t>1</w:t>
      </w:r>
    </w:p>
    <w:p>
      <w:pPr>
        <w:pStyle w:val="10"/>
        <w:ind w:firstLine="0" w:firstLineChars="0"/>
        <w:jc w:val="distribute"/>
        <w:rPr>
          <w:rFonts w:hint="default" w:ascii="楷体" w:eastAsia="楷体"/>
          <w:sz w:val="32"/>
          <w:szCs w:val="32"/>
          <w:lang w:val="en-US"/>
        </w:rPr>
      </w:pPr>
      <w:r>
        <w:rPr>
          <w:rFonts w:hint="eastAsia" w:ascii="楷体" w:eastAsia="楷体"/>
          <w:sz w:val="32"/>
          <w:szCs w:val="32"/>
        </w:rPr>
        <w:t>（一）部门职能简介</w:t>
      </w:r>
      <w:r>
        <w:rPr>
          <w:rFonts w:hint="eastAsia" w:ascii="黑体" w:eastAsia="黑体"/>
          <w:sz w:val="32"/>
          <w:szCs w:val="32"/>
          <w:lang w:eastAsia="zh-CN"/>
        </w:rPr>
        <w:t>…………………………………………</w:t>
      </w:r>
      <w:r>
        <w:rPr>
          <w:rFonts w:hint="eastAsia" w:ascii="黑体" w:eastAsia="黑体"/>
          <w:sz w:val="32"/>
          <w:szCs w:val="32"/>
          <w:lang w:val="en-US" w:eastAsia="zh-CN"/>
        </w:rPr>
        <w:t>1</w:t>
      </w:r>
    </w:p>
    <w:p>
      <w:pPr>
        <w:pStyle w:val="10"/>
        <w:ind w:firstLine="0" w:firstLineChars="0"/>
        <w:jc w:val="distribute"/>
        <w:rPr>
          <w:rFonts w:hint="default" w:ascii="楷体" w:eastAsia="楷体"/>
          <w:sz w:val="32"/>
          <w:szCs w:val="32"/>
          <w:lang w:val="en-US"/>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r>
        <w:rPr>
          <w:rFonts w:hint="eastAsia" w:ascii="黑体" w:eastAsia="黑体"/>
          <w:sz w:val="32"/>
          <w:szCs w:val="32"/>
          <w:lang w:eastAsia="zh-CN"/>
        </w:rPr>
        <w:t>………………………………………</w:t>
      </w:r>
      <w:r>
        <w:rPr>
          <w:rFonts w:hint="eastAsia" w:ascii="黑体" w:eastAsia="黑体"/>
          <w:sz w:val="32"/>
          <w:szCs w:val="32"/>
          <w:lang w:val="en-US" w:eastAsia="zh-CN"/>
        </w:rPr>
        <w:t>1</w:t>
      </w:r>
    </w:p>
    <w:p>
      <w:pPr>
        <w:pStyle w:val="10"/>
        <w:ind w:firstLine="0" w:firstLineChars="0"/>
        <w:jc w:val="distribute"/>
        <w:rPr>
          <w:rFonts w:hint="default" w:ascii="黑体" w:eastAsia="黑体"/>
          <w:sz w:val="32"/>
          <w:szCs w:val="32"/>
          <w:lang w:val="en-US"/>
        </w:rPr>
      </w:pPr>
      <w:r>
        <w:rPr>
          <w:rFonts w:hint="eastAsia" w:ascii="黑体" w:eastAsia="黑体"/>
          <w:sz w:val="32"/>
          <w:szCs w:val="32"/>
        </w:rPr>
        <w:t>二、部门预算单位构成</w:t>
      </w:r>
      <w:r>
        <w:rPr>
          <w:rFonts w:hint="eastAsia" w:ascii="黑体" w:eastAsia="黑体"/>
          <w:sz w:val="32"/>
          <w:szCs w:val="32"/>
          <w:lang w:eastAsia="zh-CN"/>
        </w:rPr>
        <w:t>………………………………………</w:t>
      </w:r>
      <w:r>
        <w:rPr>
          <w:rFonts w:hint="eastAsia" w:ascii="黑体" w:eastAsia="黑体"/>
          <w:sz w:val="32"/>
          <w:szCs w:val="32"/>
          <w:lang w:val="en-US" w:eastAsia="zh-CN"/>
        </w:rPr>
        <w:t>4</w:t>
      </w:r>
    </w:p>
    <w:p>
      <w:pPr>
        <w:pStyle w:val="10"/>
        <w:ind w:firstLine="0" w:firstLineChars="0"/>
        <w:jc w:val="distribute"/>
        <w:rPr>
          <w:rFonts w:hint="default" w:ascii="黑体" w:eastAsia="黑体"/>
          <w:sz w:val="32"/>
          <w:szCs w:val="32"/>
          <w:lang w:val="en-US"/>
        </w:rPr>
      </w:pPr>
      <w:r>
        <w:rPr>
          <w:rFonts w:hint="eastAsia" w:ascii="黑体" w:eastAsia="黑体"/>
          <w:sz w:val="32"/>
          <w:szCs w:val="32"/>
        </w:rPr>
        <w:t>三、收支预算情况说明</w:t>
      </w:r>
      <w:r>
        <w:rPr>
          <w:rFonts w:hint="eastAsia" w:ascii="黑体" w:eastAsia="黑体"/>
          <w:sz w:val="32"/>
          <w:szCs w:val="32"/>
          <w:lang w:eastAsia="zh-CN"/>
        </w:rPr>
        <w:t>…………………………………………</w:t>
      </w:r>
      <w:r>
        <w:rPr>
          <w:rFonts w:hint="eastAsia" w:ascii="黑体" w:eastAsia="黑体"/>
          <w:sz w:val="32"/>
          <w:szCs w:val="32"/>
          <w:lang w:val="en-US" w:eastAsia="zh-CN"/>
        </w:rPr>
        <w:t>4</w:t>
      </w:r>
    </w:p>
    <w:p>
      <w:pPr>
        <w:pStyle w:val="10"/>
        <w:ind w:firstLine="0" w:firstLineChars="0"/>
        <w:jc w:val="distribute"/>
        <w:rPr>
          <w:rFonts w:hint="default" w:ascii="楷体" w:eastAsia="楷体"/>
          <w:sz w:val="32"/>
          <w:szCs w:val="32"/>
          <w:lang w:val="en-US"/>
        </w:rPr>
      </w:pPr>
      <w:r>
        <w:rPr>
          <w:rFonts w:hint="eastAsia" w:ascii="楷体" w:eastAsia="楷体"/>
          <w:sz w:val="32"/>
          <w:szCs w:val="32"/>
        </w:rPr>
        <w:t>（一）收入预算情况</w:t>
      </w:r>
      <w:r>
        <w:rPr>
          <w:rFonts w:hint="eastAsia" w:ascii="黑体" w:eastAsia="黑体"/>
          <w:sz w:val="32"/>
          <w:szCs w:val="32"/>
          <w:lang w:eastAsia="zh-CN"/>
        </w:rPr>
        <w:t>…………………………………………</w:t>
      </w:r>
      <w:r>
        <w:rPr>
          <w:rFonts w:hint="eastAsia" w:ascii="黑体" w:eastAsia="黑体"/>
          <w:sz w:val="32"/>
          <w:szCs w:val="32"/>
          <w:lang w:val="en-US" w:eastAsia="zh-CN"/>
        </w:rPr>
        <w:t>4</w:t>
      </w:r>
    </w:p>
    <w:p>
      <w:pPr>
        <w:pStyle w:val="10"/>
        <w:ind w:firstLine="0" w:firstLineChars="0"/>
        <w:jc w:val="distribute"/>
        <w:rPr>
          <w:rFonts w:hint="default" w:ascii="楷体" w:eastAsia="楷体"/>
          <w:sz w:val="32"/>
          <w:szCs w:val="32"/>
          <w:lang w:val="en-US"/>
        </w:rPr>
      </w:pPr>
      <w:r>
        <w:rPr>
          <w:rFonts w:hint="eastAsia" w:ascii="楷体" w:eastAsia="楷体"/>
          <w:sz w:val="32"/>
          <w:szCs w:val="32"/>
        </w:rPr>
        <w:t>（二）支出预算情况</w:t>
      </w:r>
      <w:r>
        <w:rPr>
          <w:rFonts w:hint="eastAsia" w:ascii="黑体" w:eastAsia="黑体"/>
          <w:sz w:val="32"/>
          <w:szCs w:val="32"/>
          <w:lang w:eastAsia="zh-CN"/>
        </w:rPr>
        <w:t>…………………………………………</w:t>
      </w:r>
      <w:r>
        <w:rPr>
          <w:rFonts w:hint="eastAsia" w:ascii="黑体" w:eastAsia="黑体"/>
          <w:sz w:val="32"/>
          <w:szCs w:val="32"/>
          <w:lang w:val="en-US" w:eastAsia="zh-CN"/>
        </w:rPr>
        <w:t>4</w:t>
      </w:r>
    </w:p>
    <w:p>
      <w:pPr>
        <w:jc w:val="left"/>
        <w:rPr>
          <w:rFonts w:hint="default" w:ascii="黑体" w:eastAsia="黑体"/>
          <w:sz w:val="32"/>
          <w:szCs w:val="32"/>
          <w:lang w:val="en-US"/>
        </w:rPr>
      </w:pPr>
      <w:r>
        <w:rPr>
          <w:rFonts w:hint="eastAsia" w:ascii="黑体" w:eastAsia="黑体"/>
          <w:sz w:val="32"/>
          <w:szCs w:val="32"/>
        </w:rPr>
        <w:t>四、财政拨款收支预算情况说明</w:t>
      </w:r>
      <w:r>
        <w:rPr>
          <w:rFonts w:hint="eastAsia" w:ascii="黑体" w:eastAsia="黑体"/>
          <w:sz w:val="32"/>
          <w:szCs w:val="32"/>
          <w:lang w:eastAsia="zh-CN"/>
        </w:rPr>
        <w:t>……………………………………</w:t>
      </w:r>
      <w:r>
        <w:rPr>
          <w:rFonts w:hint="eastAsia" w:ascii="黑体" w:eastAsia="黑体"/>
          <w:sz w:val="32"/>
          <w:szCs w:val="32"/>
          <w:lang w:val="en-US" w:eastAsia="zh-CN"/>
        </w:rPr>
        <w:t>5</w:t>
      </w:r>
    </w:p>
    <w:p>
      <w:pPr>
        <w:jc w:val="left"/>
        <w:rPr>
          <w:rFonts w:hint="default" w:ascii="黑体" w:eastAsia="黑体"/>
          <w:sz w:val="32"/>
          <w:szCs w:val="32"/>
          <w:lang w:val="en-US"/>
        </w:rPr>
      </w:pPr>
      <w:r>
        <w:rPr>
          <w:rFonts w:hint="eastAsia" w:ascii="黑体" w:eastAsia="黑体"/>
          <w:sz w:val="32"/>
          <w:szCs w:val="32"/>
        </w:rPr>
        <w:t>五、一般公共预算当年拨款情况说明</w:t>
      </w:r>
      <w:r>
        <w:rPr>
          <w:rFonts w:hint="eastAsia" w:ascii="黑体" w:eastAsia="黑体"/>
          <w:sz w:val="32"/>
          <w:szCs w:val="32"/>
          <w:lang w:eastAsia="zh-CN"/>
        </w:rPr>
        <w:t>………………………………</w:t>
      </w:r>
      <w:r>
        <w:rPr>
          <w:rFonts w:hint="eastAsia" w:ascii="黑体" w:eastAsia="黑体"/>
          <w:sz w:val="32"/>
          <w:szCs w:val="32"/>
          <w:lang w:val="en-US" w:eastAsia="zh-CN"/>
        </w:rPr>
        <w:t>5</w:t>
      </w:r>
    </w:p>
    <w:p>
      <w:pPr>
        <w:pStyle w:val="10"/>
        <w:ind w:firstLine="0" w:firstLineChars="0"/>
        <w:jc w:val="distribute"/>
        <w:rPr>
          <w:rFonts w:hint="default" w:ascii="黑体" w:eastAsia="黑体"/>
          <w:sz w:val="32"/>
          <w:szCs w:val="32"/>
          <w:lang w:val="en-US" w:eastAsia="zh-CN"/>
        </w:rPr>
      </w:pPr>
      <w:r>
        <w:rPr>
          <w:rFonts w:hint="eastAsia" w:ascii="楷体" w:eastAsia="楷体"/>
          <w:sz w:val="32"/>
          <w:szCs w:val="32"/>
        </w:rPr>
        <w:t>（一）一般公共预算当年拨款规模变化情况</w:t>
      </w:r>
      <w:r>
        <w:rPr>
          <w:rFonts w:hint="eastAsia" w:ascii="黑体" w:eastAsia="黑体"/>
          <w:sz w:val="32"/>
          <w:szCs w:val="32"/>
          <w:lang w:eastAsia="zh-CN"/>
        </w:rPr>
        <w:t>……………………</w:t>
      </w:r>
      <w:r>
        <w:rPr>
          <w:rFonts w:hint="eastAsia" w:ascii="黑体" w:eastAsia="黑体"/>
          <w:sz w:val="32"/>
          <w:szCs w:val="32"/>
          <w:lang w:val="en-US" w:eastAsia="zh-CN"/>
        </w:rPr>
        <w:t>5</w:t>
      </w:r>
      <w:r>
        <w:rPr>
          <w:rFonts w:ascii="楷体" w:eastAsia="楷体"/>
          <w:sz w:val="32"/>
          <w:szCs w:val="32"/>
        </w:rPr>
        <w:br w:type="textWrapping"/>
      </w:r>
      <w:r>
        <w:rPr>
          <w:rFonts w:hint="eastAsia" w:ascii="楷体" w:eastAsia="楷体"/>
          <w:sz w:val="32"/>
          <w:szCs w:val="32"/>
        </w:rPr>
        <w:t>（二）一般公共预算当年拨款结构情况</w:t>
      </w:r>
      <w:r>
        <w:rPr>
          <w:rFonts w:hint="eastAsia" w:ascii="黑体" w:eastAsia="黑体"/>
          <w:sz w:val="32"/>
          <w:szCs w:val="32"/>
          <w:lang w:eastAsia="zh-CN"/>
        </w:rPr>
        <w:t>…………………………</w:t>
      </w:r>
      <w:r>
        <w:rPr>
          <w:rFonts w:hint="eastAsia" w:ascii="黑体" w:eastAsia="黑体"/>
          <w:sz w:val="32"/>
          <w:szCs w:val="32"/>
          <w:lang w:val="en-US" w:eastAsia="zh-CN"/>
        </w:rPr>
        <w:t>5</w:t>
      </w:r>
    </w:p>
    <w:p>
      <w:pPr>
        <w:jc w:val="distribute"/>
        <w:rPr>
          <w:rFonts w:hint="default" w:ascii="黑体" w:eastAsia="黑体"/>
          <w:sz w:val="32"/>
          <w:szCs w:val="32"/>
          <w:lang w:val="en-US"/>
        </w:rPr>
      </w:pPr>
      <w:r>
        <w:rPr>
          <w:rFonts w:hint="eastAsia" w:ascii="楷体" w:eastAsia="楷体"/>
          <w:sz w:val="32"/>
          <w:szCs w:val="32"/>
        </w:rPr>
        <w:t>（三）一般公共预算当年拨款具体使用情况</w:t>
      </w:r>
      <w:r>
        <w:rPr>
          <w:rFonts w:hint="eastAsia" w:ascii="黑体" w:eastAsia="黑体"/>
          <w:sz w:val="32"/>
          <w:szCs w:val="32"/>
          <w:lang w:eastAsia="zh-CN"/>
        </w:rPr>
        <w:t>……………</w:t>
      </w:r>
      <w:r>
        <w:rPr>
          <w:rFonts w:hint="eastAsia" w:ascii="黑体" w:eastAsia="黑体"/>
          <w:sz w:val="32"/>
          <w:szCs w:val="32"/>
          <w:lang w:val="en-US" w:eastAsia="zh-CN"/>
        </w:rPr>
        <w:t>5</w:t>
      </w:r>
      <w:r>
        <w:rPr>
          <w:rFonts w:ascii="??" w:hAnsi="??" w:cs="宋体"/>
          <w:kern w:val="0"/>
          <w:sz w:val="16"/>
          <w:szCs w:val="16"/>
        </w:rPr>
        <w:br w:type="textWrapping"/>
      </w:r>
      <w:r>
        <w:rPr>
          <w:rFonts w:hint="eastAsia" w:ascii="黑体" w:eastAsia="黑体"/>
          <w:sz w:val="32"/>
          <w:szCs w:val="32"/>
        </w:rPr>
        <w:t>六、一般公共预算基本支出情况说明</w:t>
      </w:r>
      <w:r>
        <w:rPr>
          <w:rFonts w:hint="eastAsia" w:ascii="黑体" w:eastAsia="黑体"/>
          <w:sz w:val="32"/>
          <w:szCs w:val="32"/>
          <w:lang w:eastAsia="zh-CN"/>
        </w:rPr>
        <w:t>…………………………</w:t>
      </w:r>
      <w:r>
        <w:rPr>
          <w:rFonts w:hint="eastAsia" w:ascii="黑体" w:eastAsia="黑体"/>
          <w:sz w:val="32"/>
          <w:szCs w:val="32"/>
          <w:lang w:val="en-US" w:eastAsia="zh-CN"/>
        </w:rPr>
        <w:t>6</w:t>
      </w:r>
      <w:r>
        <w:rPr>
          <w:rFonts w:ascii="黑体" w:eastAsia="黑体"/>
          <w:sz w:val="32"/>
          <w:szCs w:val="32"/>
        </w:rPr>
        <w:br w:type="textWrapping"/>
      </w:r>
      <w:r>
        <w:rPr>
          <w:rFonts w:hint="eastAsia" w:ascii="黑体" w:eastAsia="黑体"/>
          <w:sz w:val="32"/>
          <w:szCs w:val="32"/>
        </w:rPr>
        <w:t>七、“三公”经费财政拨款预算安排情况说明</w:t>
      </w:r>
      <w:r>
        <w:rPr>
          <w:rFonts w:hint="eastAsia" w:ascii="黑体" w:eastAsia="黑体"/>
          <w:sz w:val="32"/>
          <w:szCs w:val="32"/>
          <w:lang w:eastAsia="zh-CN"/>
        </w:rPr>
        <w:t>……………………</w:t>
      </w:r>
      <w:r>
        <w:rPr>
          <w:rFonts w:hint="eastAsia" w:ascii="黑体" w:eastAsia="黑体"/>
          <w:sz w:val="32"/>
          <w:szCs w:val="32"/>
          <w:lang w:val="en-US" w:eastAsia="zh-CN"/>
        </w:rPr>
        <w:t>6</w:t>
      </w:r>
      <w:r>
        <w:rPr>
          <w:rFonts w:ascii="黑体" w:eastAsia="黑体"/>
          <w:sz w:val="32"/>
          <w:szCs w:val="32"/>
        </w:rPr>
        <w:br w:type="textWrapping"/>
      </w:r>
      <w:r>
        <w:rPr>
          <w:rFonts w:hint="eastAsia" w:ascii="黑体" w:eastAsia="黑体"/>
          <w:sz w:val="32"/>
          <w:szCs w:val="32"/>
        </w:rPr>
        <w:t>八、政府性基金预算支出情况说明</w:t>
      </w:r>
      <w:r>
        <w:rPr>
          <w:rFonts w:hint="eastAsia" w:ascii="黑体" w:eastAsia="黑体"/>
          <w:sz w:val="32"/>
          <w:szCs w:val="32"/>
          <w:lang w:eastAsia="zh-CN"/>
        </w:rPr>
        <w:t>………………………</w:t>
      </w:r>
      <w:r>
        <w:rPr>
          <w:rFonts w:hint="eastAsia" w:ascii="黑体" w:eastAsia="黑体"/>
          <w:sz w:val="32"/>
          <w:szCs w:val="32"/>
          <w:lang w:val="en-US" w:eastAsia="zh-CN"/>
        </w:rPr>
        <w:t>7</w:t>
      </w:r>
      <w:r>
        <w:rPr>
          <w:rFonts w:ascii="黑体" w:eastAsia="黑体"/>
          <w:sz w:val="32"/>
          <w:szCs w:val="32"/>
        </w:rPr>
        <w:br w:type="textWrapping"/>
      </w:r>
      <w:r>
        <w:rPr>
          <w:rFonts w:hint="eastAsia" w:ascii="黑体" w:eastAsia="黑体"/>
          <w:sz w:val="32"/>
          <w:szCs w:val="32"/>
        </w:rPr>
        <w:t>九、其他重要事项的情况说明</w:t>
      </w:r>
      <w:r>
        <w:rPr>
          <w:rFonts w:hint="eastAsia" w:ascii="黑体" w:eastAsia="黑体"/>
          <w:sz w:val="32"/>
          <w:szCs w:val="32"/>
          <w:lang w:eastAsia="zh-CN"/>
        </w:rPr>
        <w:t>……………………………………</w:t>
      </w:r>
      <w:r>
        <w:rPr>
          <w:rFonts w:hint="eastAsia" w:ascii="黑体" w:eastAsia="黑体"/>
          <w:sz w:val="32"/>
          <w:szCs w:val="32"/>
          <w:lang w:val="en-US" w:eastAsia="zh-CN"/>
        </w:rPr>
        <w:t>7</w:t>
      </w:r>
      <w:r>
        <w:rPr>
          <w:rFonts w:ascii="黑体" w:eastAsia="黑体"/>
          <w:sz w:val="32"/>
          <w:szCs w:val="32"/>
        </w:rPr>
        <w:br w:type="textWrapping"/>
      </w:r>
      <w:r>
        <w:rPr>
          <w:rFonts w:hint="eastAsia" w:ascii="黑体" w:eastAsia="黑体"/>
          <w:sz w:val="32"/>
          <w:szCs w:val="32"/>
        </w:rPr>
        <w:t>十、名称解释</w:t>
      </w:r>
      <w:r>
        <w:rPr>
          <w:rFonts w:hint="eastAsia" w:ascii="黑体" w:eastAsia="黑体"/>
          <w:sz w:val="32"/>
          <w:szCs w:val="32"/>
          <w:lang w:eastAsia="zh-CN"/>
        </w:rPr>
        <w:t>…………………………………………………</w:t>
      </w:r>
      <w:r>
        <w:rPr>
          <w:rFonts w:hint="eastAsia" w:ascii="黑体" w:eastAsia="黑体"/>
          <w:sz w:val="32"/>
          <w:szCs w:val="32"/>
          <w:lang w:val="en-US" w:eastAsia="zh-CN"/>
        </w:rPr>
        <w:t>8</w:t>
      </w:r>
    </w:p>
    <w:p>
      <w:pPr>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hint="eastAsia" w:ascii="黑体" w:eastAsia="黑体"/>
          <w:sz w:val="32"/>
          <w:szCs w:val="32"/>
        </w:rPr>
        <w:sectPr>
          <w:footerReference r:id="rId4" w:type="default"/>
          <w:pgSz w:w="11906" w:h="16838"/>
          <w:pgMar w:top="1417" w:right="1417" w:bottom="1417" w:left="1417" w:header="851" w:footer="992" w:gutter="0"/>
          <w:pgNumType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1280" w:firstLineChars="400"/>
        <w:textAlignment w:val="auto"/>
        <w:rPr>
          <w:rFonts w:hint="eastAsia"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ind w:firstLine="1280" w:firstLineChars="400"/>
        <w:textAlignment w:val="auto"/>
        <w:rPr>
          <w:rFonts w:hint="eastAsia" w:ascii="楷体" w:eastAsia="楷体"/>
          <w:sz w:val="32"/>
          <w:szCs w:val="32"/>
        </w:rPr>
      </w:pPr>
      <w:r>
        <w:rPr>
          <w:rFonts w:hint="eastAsia" w:ascii="楷体" w:eastAsia="楷体"/>
          <w:sz w:val="32"/>
          <w:szCs w:val="32"/>
        </w:rPr>
        <w:t>（一）核心职能</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壤塘县司法局是全县司法行政工作主管部门，核心履行五大职能：一是统筹全面依法治县工作，开展重大法治问题研究、决策部署督察，做好规范性文件合法性审查与备案清理；二是监督指导全县依法行政，推进行政执法体制改革，规范执法行为，承办行政复议、行政应诉及行政赔偿案件；三是搭建公共法律服务体系，统筹指导律师、公证、法律援助及基层法律服务工作；四是筑牢基层治理防线，指导人民调解、社区矫正、刑满释放人员安置帮教工作，维护社会稳定；五是组织开展法治宣传教育，推进全民普法，提升群众法治素养。</w:t>
      </w:r>
    </w:p>
    <w:p>
      <w:pPr>
        <w:ind w:firstLine="1280" w:firstLineChars="400"/>
        <w:rPr>
          <w:rFonts w:hint="eastAsia"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紧扣县委、县政府中心工作，聚焦“法治壤塘”建设目标，补短板、强弱项、提质效，推动司法行政工作再上新台阶。</w:t>
      </w:r>
    </w:p>
    <w:p>
      <w:pPr>
        <w:ind w:firstLine="1280" w:firstLineChars="400"/>
        <w:rPr>
          <w:rFonts w:hint="default" w:ascii="楷体" w:eastAsia="楷体"/>
          <w:sz w:val="32"/>
          <w:szCs w:val="32"/>
          <w:lang w:val="en-US" w:eastAsia="zh-CN"/>
        </w:rPr>
      </w:pPr>
      <w:r>
        <w:rPr>
          <w:rFonts w:hint="default" w:ascii="楷体" w:eastAsia="楷体"/>
          <w:sz w:val="32"/>
          <w:szCs w:val="32"/>
          <w:lang w:val="en-US" w:eastAsia="zh-CN"/>
        </w:rPr>
        <w:t>（一）持续深化法治宣传教育，提升全民法治素养</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一是</w:t>
      </w:r>
      <w:r>
        <w:rPr>
          <w:rFonts w:hint="default" w:ascii="仿宋_GB2312" w:eastAsia="仿宋_GB2312" w:cs="仿宋_GB2312"/>
          <w:sz w:val="32"/>
          <w:szCs w:val="32"/>
          <w:lang w:val="en-US" w:eastAsia="zh-CN"/>
        </w:rPr>
        <w:t>制定年度普法工作要点，开展针对性普法宣传活动不少于30场次。二是创新普法方式方法，丰富藏汉双语普法内容，制作更多群众喜闻乐见的普法短视频、动漫等作品，扩大普法覆盖面和影响力；升级法治文化阵地，打造1-2个具有壤塘特色的法治文化阵地品牌。三是强化重点群体普法，加强领导干部、行政执法人员、青少年、牧民群众等群体的法治培训和教育，全年开展重点群体普法培训不少于15场次，提升全民法治意识和法治素养。</w:t>
      </w:r>
    </w:p>
    <w:p>
      <w:pPr>
        <w:ind w:firstLine="1280" w:firstLineChars="400"/>
        <w:rPr>
          <w:rFonts w:hint="default" w:ascii="楷体" w:eastAsia="楷体"/>
          <w:sz w:val="32"/>
          <w:szCs w:val="32"/>
          <w:lang w:val="en-US" w:eastAsia="zh-CN"/>
        </w:rPr>
      </w:pPr>
      <w:r>
        <w:rPr>
          <w:rFonts w:hint="default" w:ascii="楷体" w:eastAsia="楷体"/>
          <w:sz w:val="32"/>
          <w:szCs w:val="32"/>
          <w:lang w:val="en-US" w:eastAsia="zh-CN"/>
        </w:rPr>
        <w:t>（二）全面推进法治政府建设，提升依法行政效能</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一是健全行政决策机制，严格落实规范性文件合法性审查、备案审查制度，确保行政决策科学合法；开展行政执法案卷评查和执法监督检查不少于2次，规范行政执法行为。二是提升行政复议和行政应诉工作水平，畅通行政复议申请渠道，优化办案流程，提高案件办理质量和效率；加强行政机关负责人出庭应诉工作，推动行政争议实质性化解。</w:t>
      </w:r>
    </w:p>
    <w:p>
      <w:pPr>
        <w:ind w:firstLine="1280" w:firstLineChars="400"/>
        <w:rPr>
          <w:rFonts w:hint="default" w:ascii="楷体" w:eastAsia="楷体"/>
          <w:sz w:val="32"/>
          <w:szCs w:val="32"/>
          <w:lang w:val="en-US" w:eastAsia="zh-CN"/>
        </w:rPr>
      </w:pPr>
      <w:r>
        <w:rPr>
          <w:rFonts w:hint="default" w:ascii="楷体" w:eastAsia="楷体"/>
          <w:sz w:val="32"/>
          <w:szCs w:val="32"/>
          <w:lang w:val="en-US" w:eastAsia="zh-CN"/>
        </w:rPr>
        <w:t>（三）优化公共法律服务供给，满足群众多元需求</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一是完善公共法律服务体系，升级县、乡、村三级公共法律服务平台，提升服务标准化、规范化水平；加强法律服务资源整合，引导律师、基层法律服务工作者下沉基层，解决群众急难愁盼法律问题。二是提升法律服务质量，加强对律师、法律援助等法律服务行业的监管，开展专项整治行动，规范执业行为；扩大法律援助覆盖面，降低法律援助门槛，全年办理法律援助案件不少于24件。三是助力乡村振兴</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围绕县域重点产业等工作，提供精准法律服务，为乡村振兴重点村制定个性化法治帮扶方案，协助解决法律问题不少于15个。</w:t>
      </w:r>
    </w:p>
    <w:p>
      <w:pPr>
        <w:ind w:firstLine="1280" w:firstLineChars="400"/>
        <w:rPr>
          <w:rFonts w:hint="default" w:ascii="楷体" w:eastAsia="楷体"/>
          <w:sz w:val="32"/>
          <w:szCs w:val="32"/>
          <w:lang w:val="en-US" w:eastAsia="zh-CN"/>
        </w:rPr>
      </w:pPr>
      <w:r>
        <w:rPr>
          <w:rFonts w:hint="default" w:ascii="楷体" w:eastAsia="楷体"/>
          <w:sz w:val="32"/>
          <w:szCs w:val="32"/>
          <w:lang w:val="en-US" w:eastAsia="zh-CN"/>
        </w:rPr>
        <w:t>（四）筑牢基层治理法治防线，维护社会和谐稳定</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一是深化人民调解工作，健全矛盾纠纷多元化解机制，加强行业性、专业性人民调解委员会建设，开展矛盾纠纷排查化解专项行动不少于2次，全年排查化解矛盾纠纷不少于150件。</w:t>
      </w:r>
      <w:r>
        <w:rPr>
          <w:rFonts w:hint="eastAsia" w:ascii="仿宋_GB2312" w:eastAsia="仿宋_GB2312" w:cs="仿宋_GB2312"/>
          <w:sz w:val="32"/>
          <w:szCs w:val="32"/>
          <w:lang w:val="en-US" w:eastAsia="zh-CN"/>
        </w:rPr>
        <w:t>二</w:t>
      </w:r>
      <w:r>
        <w:rPr>
          <w:rFonts w:hint="default" w:ascii="仿宋_GB2312" w:eastAsia="仿宋_GB2312" w:cs="仿宋_GB2312"/>
          <w:sz w:val="32"/>
          <w:szCs w:val="32"/>
          <w:lang w:val="en-US" w:eastAsia="zh-CN"/>
        </w:rPr>
        <w:t>是推进基层治理法治化，指导乡镇、村（社区）完善自治、法治、德治相结合的治理体系，提升基层治理法治化水平。</w:t>
      </w:r>
    </w:p>
    <w:p>
      <w:pPr>
        <w:ind w:firstLine="1280" w:firstLineChars="400"/>
        <w:rPr>
          <w:rFonts w:hint="default" w:ascii="楷体" w:eastAsia="楷体"/>
          <w:sz w:val="32"/>
          <w:szCs w:val="32"/>
          <w:lang w:val="en-US" w:eastAsia="zh-CN"/>
        </w:rPr>
      </w:pPr>
      <w:r>
        <w:rPr>
          <w:rFonts w:hint="default" w:ascii="楷体" w:eastAsia="楷体"/>
          <w:sz w:val="32"/>
          <w:szCs w:val="32"/>
          <w:lang w:val="en-US" w:eastAsia="zh-CN"/>
        </w:rPr>
        <w:t>（五）加强队伍建设，锻造高素质司法行政铁军</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提升业务能力，组织开展业务培训、岗位练兵、案例研讨等活动不少于4次，选派干部参加上级培训不少于15人次，打造一支专业过硬的司法行政队伍。</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壤塘县司法局将以更加坚定的决心、更加务实的作风、更加有力的举措，扎实推进各项工作，为建设更高水平的“法治壤塘”“平安壤塘”，推动壤塘县经济社会高质量发展作出新的更大贡献！</w:t>
      </w:r>
    </w:p>
    <w:p>
      <w:pPr>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hint="eastAsia"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我局下设1个二级预算单位，为阿坝州壤塘县公证处；2025年末实有在职人员34人，队伍规模小幅精简，结构更趋紧凑高效。</w:t>
      </w:r>
    </w:p>
    <w:p>
      <w:pPr>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hint="eastAsia" w:ascii="黑体" w:eastAsia="黑体"/>
          <w:sz w:val="32"/>
          <w:szCs w:val="32"/>
          <w:lang w:eastAsia="zh-CN"/>
        </w:rPr>
      </w:pPr>
      <w:r>
        <w:rPr>
          <w:rFonts w:hint="eastAsia" w:ascii="黑体" w:eastAsia="黑体"/>
          <w:sz w:val="32"/>
          <w:szCs w:val="32"/>
          <w:lang w:eastAsia="zh-CN"/>
        </w:rPr>
        <w:t>三、收支预算情况说明</w:t>
      </w:r>
    </w:p>
    <w:p>
      <w:pPr>
        <w:ind w:firstLine="1280" w:firstLineChars="400"/>
        <w:rPr>
          <w:rFonts w:hint="eastAsia" w:ascii="楷体" w:eastAsia="楷体"/>
          <w:sz w:val="32"/>
          <w:szCs w:val="32"/>
          <w:lang w:val="en-US" w:eastAsia="zh-CN"/>
        </w:rPr>
      </w:pPr>
      <w:r>
        <w:rPr>
          <w:rFonts w:hint="eastAsia" w:ascii="楷体" w:eastAsia="楷体"/>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2026年总收入预算921.7万元，其中财政拨款收入921.7万元，占100%；其他收入0万元，占比0%。</w:t>
      </w:r>
    </w:p>
    <w:p>
      <w:pPr>
        <w:ind w:firstLine="1280" w:firstLineChars="400"/>
        <w:rPr>
          <w:rFonts w:hint="eastAsia" w:ascii="楷体" w:eastAsia="楷体"/>
          <w:sz w:val="32"/>
          <w:szCs w:val="32"/>
          <w:lang w:val="en-US" w:eastAsia="zh-CN"/>
        </w:rPr>
      </w:pPr>
      <w:r>
        <w:rPr>
          <w:rFonts w:hint="eastAsia" w:ascii="楷体" w:eastAsia="楷体"/>
          <w:sz w:val="32"/>
          <w:szCs w:val="32"/>
          <w:lang w:val="en-US" w:eastAsia="zh-CN"/>
        </w:rPr>
        <w:t xml:space="preserve"> （二）支出预算情况</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2026年总支出预算921.7万元，其中国家安全支出（司法行政事务）：647.48万元，占比70.25%；社会保障和就业支出：146.52万元，占比15.90%；卫生健康支出；52.04万元，占比5.65%；住房保障支出：75.66万元，占比8.21%</w:t>
      </w:r>
    </w:p>
    <w:p>
      <w:pPr>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hint="eastAsia" w:ascii="黑体" w:eastAsia="黑体"/>
          <w:sz w:val="32"/>
          <w:szCs w:val="32"/>
          <w:lang w:eastAsia="zh-CN"/>
        </w:rPr>
      </w:pPr>
      <w:r>
        <w:rPr>
          <w:rFonts w:hint="eastAsia" w:ascii="黑体" w:eastAsia="黑体"/>
          <w:sz w:val="32"/>
          <w:szCs w:val="32"/>
          <w:lang w:eastAsia="zh-CN"/>
        </w:rPr>
        <w:t>四、财政拨款收支预算情况说明</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2026年财政拨款收支总预算921.7万元,比2025年财政拨款收支总预算增加56.51万元，主要原因人员经费需求增加。</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收入包括：财政拨款收入921.7万元，为2026年部门预算的核心资金来源，涵盖一般公共预算拨款，主要用于保障司法行政核心职能履行、人员经费发放及日常业务运转。</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支出包括：国家安全支出647.48万元（用于法治宣传、社区矫正、法律援助、人民调解、行政执法监督、合法性审查等司法行政核心业务），社会保障和就业支出146.52万元（用于机关事业单位养老保险、职业年金缴费），卫生健康支出52.04万元（用于职工基本医疗保险缴费），住房保障支出75.66万元（用于职工住房公积金缴存）。</w:t>
      </w:r>
    </w:p>
    <w:p>
      <w:pPr>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hint="eastAsia" w:ascii="黑体" w:eastAsia="黑体"/>
          <w:sz w:val="32"/>
          <w:szCs w:val="32"/>
          <w:lang w:eastAsia="zh-CN"/>
        </w:rPr>
      </w:pPr>
      <w:r>
        <w:rPr>
          <w:rFonts w:hint="eastAsia" w:ascii="黑体" w:eastAsia="黑体"/>
          <w:sz w:val="32"/>
          <w:szCs w:val="32"/>
          <w:lang w:eastAsia="zh-CN"/>
        </w:rPr>
        <w:t>五、一般公共预算当年拨款情况说明</w:t>
      </w:r>
    </w:p>
    <w:p>
      <w:pPr>
        <w:ind w:firstLine="1280" w:firstLineChars="400"/>
        <w:rPr>
          <w:rFonts w:hint="eastAsia" w:ascii="楷体" w:eastAsia="楷体"/>
          <w:sz w:val="32"/>
          <w:szCs w:val="32"/>
          <w:lang w:val="en-US" w:eastAsia="zh-CN"/>
        </w:rPr>
      </w:pPr>
      <w:r>
        <w:rPr>
          <w:rFonts w:hint="eastAsia" w:ascii="楷体" w:eastAsia="楷体"/>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2026年一般公共预算当年拨款921.7万元，比2025年预算数增加56.51万元，70.25%；社会保障和就业支出146.52万元，占15.9%；卫生健康支出52.04万元，占5.65%；住房保障支出75.66万元，占8.21%。</w:t>
      </w:r>
    </w:p>
    <w:p>
      <w:pPr>
        <w:ind w:firstLine="1280" w:firstLineChars="400"/>
        <w:rPr>
          <w:rFonts w:hint="eastAsia" w:ascii="楷体" w:eastAsia="楷体"/>
          <w:sz w:val="32"/>
          <w:szCs w:val="32"/>
          <w:lang w:val="en-US" w:eastAsia="zh-CN"/>
        </w:rPr>
      </w:pPr>
      <w:r>
        <w:rPr>
          <w:rFonts w:hint="eastAsia" w:ascii="楷体" w:eastAsia="楷体"/>
          <w:sz w:val="32"/>
          <w:szCs w:val="32"/>
          <w:lang w:val="en-US" w:eastAsia="zh-CN"/>
        </w:rPr>
        <w:t>（二）一般公共预算当年拨款具体使用情况</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1司法行政事务支出647.48万元：用于法治宣传、人民调解、社区矫正、法律援助、合法性审查等业务工作。</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 社会保障和就业支出146.52万元：用于机关事业单位养老保险、职业年金等缴费。</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 卫生健康支出52.04万元：用于职工医疗保险缴费。</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 住房保障支出75.66万元：用于职工住房公积金缴存。</w:t>
      </w:r>
    </w:p>
    <w:p>
      <w:pPr>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hint="eastAsia" w:ascii="黑体" w:eastAsia="黑体"/>
          <w:sz w:val="32"/>
          <w:szCs w:val="32"/>
          <w:lang w:eastAsia="zh-CN"/>
        </w:rPr>
      </w:pPr>
      <w:r>
        <w:rPr>
          <w:rFonts w:hint="eastAsia" w:ascii="黑体" w:eastAsia="黑体"/>
          <w:sz w:val="32"/>
          <w:szCs w:val="32"/>
          <w:lang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2026年一般公共预算基本支出919.7万元，其中：人员经费874.9万元，主要包括：基本工资、津贴补贴、奖金、其他社会保障缴费、 失业保险、工伤保险、机关事业单位基本养老保险缴费元、职业年金缴费、职工基本医疗保险、 公务员医疗补助缴费，住房公积金。公用经费44.8万元，主要包括：办公费、印刷费、水费、电费、差旅费、维修（护）费、租赁费、劳务费、其他商品和服务等支出。</w:t>
      </w:r>
      <w:r>
        <w:rPr>
          <w:rFonts w:hint="eastAsia" w:ascii="仿宋_GB2312" w:eastAsia="仿宋_GB2312" w:cs="仿宋_GB2312"/>
          <w:sz w:val="32"/>
          <w:szCs w:val="32"/>
          <w:lang w:val="en-US" w:eastAsia="zh-CN"/>
        </w:rPr>
        <w:br w:type="textWrapping"/>
      </w:r>
      <w:r>
        <w:rPr>
          <w:rFonts w:hint="eastAsia" w:ascii="仿宋_GB2312" w:eastAsia="仿宋_GB2312" w:cs="仿宋_GB2312"/>
          <w:sz w:val="32"/>
          <w:szCs w:val="32"/>
        </w:rPr>
        <w:t xml:space="preserve"> </w:t>
      </w:r>
      <w:r>
        <w:rPr>
          <w:rFonts w:hint="eastAsia" w:ascii="黑体" w:eastAsia="黑体"/>
          <w:sz w:val="32"/>
          <w:szCs w:val="32"/>
          <w:lang w:eastAsia="zh-CN"/>
        </w:rPr>
        <w:t xml:space="preserve">   七、“三公”经费财政拨款预算安排情况说明</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2026年“三公”经费财政拨款预算数7.75万元，其中：因公出国（境）经费0万元，公务接待费0.45万元，公务用车购置及运行维护费7.3万元。</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（一）2026年因公出国（境）经费0万元。</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（二）2026年公务接待经0.45万元。较2025年预算经费减少0.05万元，下降10%，主要原因严格落实厉行节约要求，压缩非必要接待。</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（三）2026年公务用车购置及运行维护费7.3万元。较2025年预算经费减少0.7万元，下降8.75%，主要原因优化公务用车调度，降低运行成本。</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黑体" w:eastAsia="黑体"/>
          <w:sz w:val="32"/>
          <w:szCs w:val="32"/>
          <w:lang w:eastAsia="zh-CN"/>
        </w:rPr>
      </w:pPr>
      <w:r>
        <w:rPr>
          <w:rFonts w:hint="eastAsia" w:ascii="黑体" w:eastAsia="黑体"/>
          <w:sz w:val="32"/>
          <w:szCs w:val="32"/>
          <w:lang w:eastAsia="zh-CN"/>
        </w:rPr>
        <w:t>八、政府性基金预算支出情况说明</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2026年政府性基金预算拨款安排支出0万元，较2025年无变化</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黑体" w:eastAsia="黑体"/>
          <w:sz w:val="32"/>
          <w:szCs w:val="32"/>
          <w:lang w:eastAsia="zh-CN"/>
        </w:rPr>
      </w:pPr>
      <w:r>
        <w:rPr>
          <w:rFonts w:hint="eastAsia" w:ascii="黑体" w:eastAsia="黑体"/>
          <w:sz w:val="32"/>
          <w:szCs w:val="32"/>
          <w:lang w:eastAsia="zh-CN"/>
        </w:rPr>
        <w:t>九、其他重要事项的情况说明</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楷体" w:eastAsia="楷体"/>
          <w:sz w:val="32"/>
          <w:szCs w:val="32"/>
          <w:lang w:val="en-US" w:eastAsia="zh-CN"/>
        </w:rPr>
        <w:t>（一）机关运行经费</w:t>
      </w:r>
      <w:r>
        <w:rPr>
          <w:rFonts w:hint="eastAsia" w:ascii="仿宋_GB2312" w:eastAsia="仿宋_GB2312" w:cs="仿宋_GB2312"/>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val="en-US" w:eastAsia="zh-CN"/>
        </w:rPr>
        <w:t xml:space="preserve">  2026年机关运行经费财政拨款预算44.8万元，比2025年增加3.6万元，增长8.6%。主要原因：因业务量增加，办公耗材、电费等支出相应增长。 </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楷体" w:eastAsia="楷体"/>
          <w:sz w:val="32"/>
          <w:szCs w:val="32"/>
          <w:lang w:val="en-US" w:eastAsia="zh-CN"/>
        </w:rPr>
        <w:t>（二）政府采购情况</w:t>
      </w:r>
      <w:r>
        <w:rPr>
          <w:rFonts w:hint="eastAsia" w:ascii="仿宋_GB2312" w:eastAsia="仿宋_GB2312" w:cs="仿宋_GB2312"/>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val="en-US" w:eastAsia="zh-CN"/>
        </w:rPr>
        <w:t>2026年安排政府采购预算0万元，主要用于无大额采购需求</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楷体" w:eastAsia="楷体"/>
          <w:sz w:val="32"/>
          <w:szCs w:val="32"/>
          <w:lang w:val="en-US" w:eastAsia="zh-CN"/>
        </w:rPr>
      </w:pPr>
      <w:r>
        <w:rPr>
          <w:rFonts w:hint="eastAsia" w:ascii="楷体" w:eastAsia="楷体"/>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截至2025年12月31日，固定资产账面余额735.6万元，无形资产账面余额15万元。资产主要为单位履职所需的办公用房、公务车辆、办公设备及配套设施等，资产权属清晰、管理规范，全部用于日常政务运转及公共服务工作，无闲置私用、违规处置等情况。              </w:t>
      </w:r>
    </w:p>
    <w:p>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eastAsia="仿宋_GB2312" w:cs="仿宋_GB2312"/>
          <w:sz w:val="32"/>
          <w:szCs w:val="32"/>
          <w:lang w:val="en-US" w:eastAsia="zh-CN"/>
        </w:rPr>
      </w:pPr>
      <w:r>
        <w:rPr>
          <w:rFonts w:hint="eastAsia" w:ascii="楷体" w:eastAsia="楷体"/>
          <w:sz w:val="32"/>
          <w:szCs w:val="32"/>
          <w:lang w:val="en-US" w:eastAsia="zh-CN"/>
        </w:rPr>
        <w:t>（四）绩效目标设置情况</w:t>
      </w:r>
      <w:bookmarkStart w:id="0" w:name="_GoBack"/>
      <w:bookmarkEnd w:id="0"/>
      <w:r>
        <w:rPr>
          <w:rFonts w:hint="eastAsia" w:ascii="楷体" w:eastAsia="楷体"/>
          <w:sz w:val="32"/>
          <w:szCs w:val="32"/>
          <w:lang w:val="en-US" w:eastAsia="zh-CN"/>
        </w:rPr>
        <w:br w:type="textWrapping"/>
      </w:r>
      <w:r>
        <w:rPr>
          <w:rFonts w:hint="eastAsia" w:ascii="仿宋_GB2312" w:eastAsia="仿宋_GB2312" w:cs="仿宋_GB2312"/>
          <w:sz w:val="32"/>
          <w:szCs w:val="32"/>
          <w:lang w:val="en-US" w:eastAsia="zh-CN"/>
        </w:rPr>
        <w:t>　  2026年通用项目和专用项目均按要求实行绩效目标管理，涉及一般公共预算当年拨款2万元（法律援助），目标为全年办理法律援助案件不少于36件，群众满意度达95%以上。</w:t>
      </w:r>
    </w:p>
    <w:p>
      <w:pPr>
        <w:pStyle w:val="11"/>
        <w:keepNext w:val="0"/>
        <w:keepLines w:val="0"/>
        <w:pageBreakBefore w:val="0"/>
        <w:widowControl w:val="0"/>
        <w:kinsoku/>
        <w:wordWrap/>
        <w:overflowPunct/>
        <w:topLinePunct w:val="0"/>
        <w:autoSpaceDE/>
        <w:autoSpaceDN/>
        <w:bidi w:val="0"/>
        <w:adjustRightInd/>
        <w:snapToGrid/>
        <w:spacing w:before="0" w:line="240" w:lineRule="auto"/>
        <w:ind w:firstLine="640" w:firstLineChars="200"/>
        <w:jc w:val="left"/>
        <w:textAlignment w:val="auto"/>
        <w:rPr>
          <w:rFonts w:hint="eastAsia" w:ascii="Times New Roman" w:hAnsi="Times New Roman" w:eastAsia="方正仿宋_GBK" w:cs="Times New Roman"/>
          <w:i w:val="0"/>
          <w:iCs/>
          <w:color w:val="auto"/>
          <w:kern w:val="2"/>
          <w:sz w:val="32"/>
          <w:szCs w:val="32"/>
          <w:lang w:val="en-US" w:eastAsia="zh-CN" w:bidi="ar-SA"/>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Times New Roman" w:hAnsi="Times New Roman" w:eastAsia="方正仿宋_GBK" w:cs="Times New Roman"/>
          <w:i w:val="0"/>
          <w:iCs/>
          <w:color w:val="auto"/>
          <w:kern w:val="2"/>
          <w:sz w:val="32"/>
          <w:szCs w:val="32"/>
          <w:lang w:val="en-US" w:eastAsia="zh-CN" w:bidi="ar-SA"/>
        </w:rPr>
        <w:t>（一）</w:t>
      </w:r>
      <w:r>
        <w:rPr>
          <w:rFonts w:hint="eastAsia" w:ascii="Times New Roman" w:hAnsi="Times New Roman" w:eastAsia="方正仿宋_GBK" w:cs="Times New Roman"/>
          <w:b/>
          <w:bCs/>
          <w:i w:val="0"/>
          <w:iCs/>
          <w:color w:val="auto"/>
          <w:kern w:val="2"/>
          <w:sz w:val="32"/>
          <w:szCs w:val="32"/>
          <w:lang w:val="en-US" w:eastAsia="zh-CN" w:bidi="ar-SA"/>
        </w:rPr>
        <w:t>财政拨款收入</w:t>
      </w:r>
      <w:r>
        <w:rPr>
          <w:rFonts w:hint="eastAsia" w:ascii="Times New Roman" w:hAnsi="Times New Roman" w:eastAsia="方正仿宋_GBK" w:cs="Times New Roman"/>
          <w:i w:val="0"/>
          <w:iCs/>
          <w:color w:val="auto"/>
          <w:kern w:val="2"/>
          <w:sz w:val="32"/>
          <w:szCs w:val="32"/>
          <w:lang w:val="en-US" w:eastAsia="zh-CN" w:bidi="ar-SA"/>
        </w:rPr>
        <w:t>：指由财政拨款形成的部门收入。按现行管理制度，部门预算中反映的财政拨款仅包括一般公共预算拨款和政府性基</w:t>
      </w:r>
      <w:r>
        <w:rPr>
          <w:rFonts w:hint="eastAsia" w:cs="仿宋_GB2312"/>
          <w:kern w:val="2"/>
          <w:sz w:val="32"/>
          <w:szCs w:val="32"/>
        </w:rPr>
        <w:t>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w:t>
      </w:r>
      <w:r>
        <w:rPr>
          <w:rFonts w:hint="eastAsia" w:ascii="Times New Roman" w:hAnsi="Times New Roman" w:eastAsia="方正仿宋_GBK" w:cs="Times New Roman"/>
          <w:i w:val="0"/>
          <w:iCs/>
          <w:color w:val="auto"/>
          <w:kern w:val="2"/>
          <w:sz w:val="32"/>
          <w:szCs w:val="32"/>
          <w:lang w:val="en-US" w:eastAsia="zh-CN" w:bidi="ar-SA"/>
        </w:rPr>
        <w:t>所属事业单位开展专业业务活动及辅助活动所</w:t>
      </w:r>
      <w:r>
        <w:rPr>
          <w:rFonts w:hint="eastAsia" w:cs="仿宋_GB2312"/>
          <w:kern w:val="2"/>
          <w:sz w:val="32"/>
          <w:szCs w:val="32"/>
        </w:rPr>
        <w:t>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w:t>
      </w:r>
      <w:r>
        <w:rPr>
          <w:rFonts w:hint="eastAsia" w:ascii="Times New Roman" w:hAnsi="Times New Roman" w:eastAsia="方正仿宋_GBK" w:cs="Times New Roman"/>
          <w:i w:val="0"/>
          <w:iCs/>
          <w:color w:val="auto"/>
          <w:kern w:val="2"/>
          <w:sz w:val="32"/>
          <w:szCs w:val="32"/>
          <w:lang w:val="en-US" w:eastAsia="zh-CN" w:bidi="ar-SA"/>
        </w:rPr>
        <w:t>指所属事业单位在专业业务活动及其辅助活动之外开展非独立核算经营活动取得的收入。</w:t>
      </w:r>
      <w:r>
        <w:rPr>
          <w:rFonts w:hint="eastAsia" w:ascii="Times New Roman" w:hAnsi="Times New Roman" w:eastAsia="方正仿宋_GBK" w:cs="Times New Roman"/>
          <w:i w:val="0"/>
          <w:iCs/>
          <w:color w:val="auto"/>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w:t>
      </w:r>
      <w:r>
        <w:rPr>
          <w:rFonts w:hint="eastAsia" w:ascii="Times New Roman" w:hAnsi="Times New Roman" w:eastAsia="方正仿宋_GBK" w:cs="Times New Roman"/>
          <w:i w:val="0"/>
          <w:iCs/>
          <w:color w:val="auto"/>
          <w:kern w:val="2"/>
          <w:sz w:val="32"/>
          <w:szCs w:val="32"/>
          <w:lang w:val="en-US" w:eastAsia="zh-CN" w:bidi="ar-SA"/>
        </w:rPr>
        <w:t>除上述“财政拨款收入”、“事业收入”、“事业单位经营收入”等以外的收入，主要是所属行政事业单位按规定动用的售房收入、存款利息收入等。</w:t>
      </w:r>
      <w:r>
        <w:rPr>
          <w:rFonts w:hint="eastAsia" w:ascii="Times New Roman" w:hAnsi="Times New Roman" w:eastAsia="方正仿宋_GBK" w:cs="Times New Roman"/>
          <w:i w:val="0"/>
          <w:iCs/>
          <w:color w:val="auto"/>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w:t>
      </w:r>
      <w:r>
        <w:rPr>
          <w:rFonts w:hint="eastAsia" w:ascii="Times New Roman" w:hAnsi="Times New Roman" w:eastAsia="方正仿宋_GBK" w:cs="Times New Roman"/>
          <w:i w:val="0"/>
          <w:iCs/>
          <w:color w:val="auto"/>
          <w:kern w:val="2"/>
          <w:sz w:val="32"/>
          <w:szCs w:val="32"/>
          <w:lang w:val="en-US" w:eastAsia="zh-CN" w:bidi="ar-SA"/>
        </w:rPr>
        <w:t>所属事业单位在预计用当年的“财政拨款收入”、“事业收入”、“事业单位经营收入”、“其他收入”不足以安排当年支出的情况下，使用以前年度积累的事业基金弥补本年度收支缺口的资金。</w:t>
      </w:r>
      <w:r>
        <w:rPr>
          <w:rFonts w:hint="eastAsia" w:ascii="Times New Roman" w:hAnsi="Times New Roman" w:eastAsia="方正仿宋_GBK" w:cs="Times New Roman"/>
          <w:i w:val="0"/>
          <w:iCs/>
          <w:color w:val="auto"/>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w:t>
      </w:r>
      <w:r>
        <w:rPr>
          <w:rFonts w:hint="eastAsia" w:ascii="Times New Roman" w:hAnsi="Times New Roman" w:eastAsia="方正仿宋_GBK" w:cs="Times New Roman"/>
          <w:i w:val="0"/>
          <w:iCs/>
          <w:color w:val="auto"/>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_GB2312" w:eastAsia="仿宋_GB2312" w:cs="仿宋_GB2312"/>
          <w:sz w:val="32"/>
          <w:szCs w:val="32"/>
        </w:rPr>
      </w:pPr>
    </w:p>
    <w:sectPr>
      <w:footerReference r:id="rId5" w:type="default"/>
      <w:pgSz w:w="11906" w:h="16838"/>
      <w:pgMar w:top="1417" w:right="1417" w:bottom="1417" w:left="141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227B0A5E"/>
    <w:rsid w:val="3A757B48"/>
    <w:rsid w:val="3EECEB07"/>
    <w:rsid w:val="49EF958E"/>
    <w:rsid w:val="655C2C65"/>
    <w:rsid w:val="7BA4C3EF"/>
    <w:rsid w:val="7FF779AF"/>
    <w:rsid w:val="A3AF4464"/>
    <w:rsid w:val="BF958B22"/>
    <w:rsid w:val="CD1D5742"/>
    <w:rsid w:val="DEFF5A9B"/>
    <w:rsid w:val="EE314FAD"/>
    <w:rsid w:val="F1E53ED8"/>
    <w:rsid w:val="F6F74EE0"/>
    <w:rsid w:val="FD5CADB1"/>
    <w:rsid w:val="FEEA1A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rPr>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 w:type="paragraph" w:styleId="12">
    <w:name w:val="Intense Quote"/>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239</Words>
  <Characters>245</Characters>
  <Lines>124</Lines>
  <Paragraphs>51</Paragraphs>
  <TotalTime>69</TotalTime>
  <ScaleCrop>false</ScaleCrop>
  <LinksUpToDate>false</LinksUpToDate>
  <CharactersWithSpaces>245</CharactersWithSpaces>
  <Application>WPS Office_11.8.2.12128_F1E327BC-269C-435d-A152-05C5408002CA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2023-01-02T01:44:00Z</dcterms:created>
  <dc:creator>疯丫头。。</dc:creator>
  <cp:lastModifiedBy>user</cp:lastModifiedBy>
  <cp:lastPrinted>2026-01-30T07:29:00Z</cp:lastPrinted>
  <dcterms:modified xsi:type="dcterms:W3CDTF">2026-07-06T11:05:51Z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3D887C00BAE48FFAED757869AC862805</vt:lpwstr>
  </property>
  <property fmtid="{D5CDD505-2E9C-101B-9397-08002B2CF9AE}" pid="4" name="KSOTemplateDocerSaveRecord">
    <vt:lpwstr>eyJoZGlkIjoiZDQzNWYzMTQ3MzM1YTljN2U5YzI0ZmRkNTBhMmY0NWUiLCJ1c2VySWQiOiIyMjc4MTU0NTkifQ==</vt:lpwstr>
  </property>
</Properties>
</file>