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eastAsia" w:ascii="仿宋" w:hAnsi="仿宋" w:eastAsia="仿宋" w:cs="仿宋"/>
          <w:color w:val="000000"/>
          <w:sz w:val="72"/>
          <w:szCs w:val="72"/>
        </w:rPr>
      </w:pPr>
      <w:bookmarkStart w:id="0" w:name="_Toc15306267"/>
    </w:p>
    <w:p>
      <w:pPr>
        <w:adjustRightInd w:val="0"/>
        <w:snapToGrid w:val="0"/>
        <w:spacing w:line="360" w:lineRule="auto"/>
        <w:jc w:val="both"/>
        <w:outlineLvl w:val="0"/>
        <w:rPr>
          <w:rFonts w:hint="eastAsia"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color w:val="000000"/>
          <w:sz w:val="72"/>
          <w:szCs w:val="72"/>
        </w:rPr>
      </w:pPr>
      <w:bookmarkStart w:id="1" w:name="_Toc15377193"/>
      <w:bookmarkStart w:id="2" w:name="_Toc15377425"/>
      <w:bookmarkStart w:id="3" w:name="_Toc15396475"/>
      <w:bookmarkStart w:id="4" w:name="_Toc15396597"/>
      <w:bookmarkStart w:id="5" w:name="_Toc15378441"/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2019年度</w:t>
      </w:r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</w:pPr>
      <w:bookmarkStart w:id="6" w:name="_Toc15378442"/>
      <w:bookmarkStart w:id="7" w:name="_Toc15377426"/>
      <w:bookmarkStart w:id="8" w:name="_Toc15396598"/>
      <w:bookmarkStart w:id="9" w:name="_Toc15396476"/>
      <w:bookmarkStart w:id="10" w:name="_Toc15377194"/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四川省阿坝州</w:t>
      </w:r>
      <w:r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  <w:t>壤塘县</w:t>
      </w:r>
    </w:p>
    <w:bookmarkEnd w:id="0"/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/>
          <w:color w:val="000000"/>
          <w:sz w:val="72"/>
          <w:szCs w:val="72"/>
        </w:rPr>
      </w:pPr>
      <w:bookmarkStart w:id="11" w:name="_Toc15306268"/>
      <w:r>
        <w:rPr>
          <w:rFonts w:hint="eastAsia" w:ascii="方正小标宋简体" w:hAnsi="宋体" w:eastAsia="方正小标宋简体"/>
          <w:color w:val="000000"/>
          <w:sz w:val="72"/>
          <w:szCs w:val="72"/>
          <w:lang w:val="en-US" w:eastAsia="zh-CN"/>
        </w:rPr>
        <w:t>公证处</w:t>
      </w: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部门决算</w:t>
      </w:r>
      <w:bookmarkEnd w:id="6"/>
      <w:bookmarkEnd w:id="7"/>
      <w:bookmarkEnd w:id="8"/>
      <w:bookmarkEnd w:id="9"/>
      <w:bookmarkEnd w:id="10"/>
      <w:bookmarkEnd w:id="11"/>
    </w:p>
    <w:p>
      <w:pPr>
        <w:widowControl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widowControl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widowControl/>
        <w:jc w:val="center"/>
        <w:rPr>
          <w:rFonts w:hint="eastAsia" w:ascii="仿宋" w:hAnsi="仿宋" w:eastAsia="仿宋" w:cs="仿宋"/>
          <w:color w:val="000000"/>
          <w:sz w:val="48"/>
          <w:szCs w:val="48"/>
        </w:rPr>
      </w:pPr>
      <w:r>
        <w:rPr>
          <w:rFonts w:hint="eastAsia" w:ascii="仿宋" w:hAnsi="仿宋" w:eastAsia="仿宋" w:cs="仿宋"/>
          <w:sz w:val="36"/>
          <w:szCs w:val="36"/>
        </w:rPr>
        <w:br w:type="page"/>
      </w:r>
      <w:r>
        <w:rPr>
          <w:rFonts w:hint="eastAsia" w:ascii="黑体" w:hAnsi="黑体" w:eastAsia="黑体"/>
          <w:color w:val="000000"/>
          <w:sz w:val="48"/>
          <w:szCs w:val="48"/>
        </w:rPr>
        <w:t>目录</w:t>
      </w:r>
    </w:p>
    <w:p>
      <w:pPr>
        <w:widowControl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</w:rPr>
      </w:pPr>
      <w:bookmarkStart w:id="72" w:name="_GoBack"/>
      <w:bookmarkEnd w:id="72"/>
    </w:p>
    <w:p>
      <w:pPr>
        <w:pStyle w:val="10"/>
        <w:adjustRightInd w:val="0"/>
        <w:snapToGrid w:val="0"/>
        <w:spacing w:before="0" w:line="44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第一部分 部门概况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</w:t>
      </w:r>
      <w:r>
        <w:rPr>
          <w:rFonts w:hint="eastAsia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lang w:val="en-US" w:eastAsia="zh-CN"/>
        </w:rPr>
        <w:t>....</w:t>
      </w:r>
      <w:r>
        <w:rPr>
          <w:rFonts w:hint="eastAsia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lang w:val="en-US" w:eastAsia="zh-CN"/>
        </w:rPr>
        <w:t>.</w:t>
      </w:r>
      <w:r>
        <w:rPr>
          <w:rFonts w:hint="eastAsia" w:cs="仿宋"/>
          <w:sz w:val="24"/>
          <w:lang w:val="en-US" w:eastAsia="zh-CN"/>
        </w:rPr>
        <w:t>...</w:t>
      </w:r>
      <w:r>
        <w:rPr>
          <w:rFonts w:hint="eastAsia" w:ascii="仿宋" w:hAnsi="仿宋" w:eastAsia="仿宋" w:cs="仿宋"/>
          <w:sz w:val="24"/>
          <w:lang w:val="en-US" w:eastAsia="zh-CN"/>
        </w:rPr>
        <w:t>..4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一、基本职能及主要工作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..........................................4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二、机构设置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....................................................4</w:t>
      </w:r>
    </w:p>
    <w:p>
      <w:pPr>
        <w:pStyle w:val="10"/>
        <w:adjustRightInd w:val="0"/>
        <w:snapToGrid w:val="0"/>
        <w:spacing w:before="0" w:line="44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第二部分度部门决算情况说明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</w:t>
      </w:r>
      <w:r>
        <w:rPr>
          <w:rFonts w:hint="eastAsia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lang w:val="en-US" w:eastAsia="zh-CN"/>
        </w:rPr>
        <w:t>...</w:t>
      </w:r>
      <w:r>
        <w:rPr>
          <w:rFonts w:hint="eastAsia" w:cs="仿宋"/>
          <w:sz w:val="24"/>
          <w:lang w:val="en-US" w:eastAsia="zh-CN"/>
        </w:rPr>
        <w:t>...</w:t>
      </w:r>
      <w:r>
        <w:rPr>
          <w:rFonts w:hint="eastAsia" w:ascii="仿宋" w:hAnsi="仿宋" w:eastAsia="仿宋" w:cs="仿宋"/>
          <w:sz w:val="24"/>
          <w:lang w:val="en-US" w:eastAsia="zh-CN"/>
        </w:rPr>
        <w:t>.......4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一、收入支出决算总体情况说明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....................................4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二、收入决算情况说明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............................................5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三、支出决算情况说明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............................................6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四、财政拨款收入支出决算总体情况说明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............................6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五、一般公共预算财政拨款支出决算情况说明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........................7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六、一般公共预算财政拨款基本支出决算情况说明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....................8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七、“三公”经费财政拨款支出决算情况说明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.........................9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八、政府性基金预算支出决算情况说明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..............................10</w:t>
      </w:r>
    </w:p>
    <w:p>
      <w:pPr>
        <w:pStyle w:val="11"/>
        <w:adjustRightInd w:val="0"/>
        <w:snapToGrid w:val="0"/>
        <w:spacing w:line="440" w:lineRule="exact"/>
        <w:ind w:leftChars="0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九、 国有资本经营预算支出决算情况说明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...........................10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Style w:val="14"/>
          <w:rFonts w:hint="eastAsia" w:ascii="仿宋" w:hAnsi="仿宋" w:eastAsia="仿宋" w:cs="仿宋"/>
          <w:color w:val="000000" w:themeColor="text1"/>
          <w:sz w:val="24"/>
          <w:u w:val="none"/>
        </w:rPr>
        <w:t>十、</w:t>
      </w:r>
      <w:r>
        <w:rPr>
          <w:rFonts w:hint="eastAsia" w:ascii="仿宋" w:hAnsi="仿宋" w:eastAsia="仿宋" w:cs="仿宋"/>
          <w:sz w:val="24"/>
        </w:rPr>
        <w:t>其他重要事项的情况说明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.....................................10</w:t>
      </w:r>
    </w:p>
    <w:p>
      <w:pPr>
        <w:pStyle w:val="10"/>
        <w:adjustRightInd w:val="0"/>
        <w:snapToGrid w:val="0"/>
        <w:spacing w:before="0" w:line="440" w:lineRule="exact"/>
        <w:jc w:val="left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</w:rPr>
        <w:t>第三部分 名词解释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............................................</w:t>
      </w:r>
      <w:r>
        <w:rPr>
          <w:rFonts w:hint="eastAsia" w:cs="仿宋"/>
          <w:sz w:val="24"/>
          <w:szCs w:val="24"/>
          <w:lang w:val="en-US" w:eastAsia="zh-CN"/>
        </w:rPr>
        <w:t>....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..11</w:t>
      </w:r>
    </w:p>
    <w:p>
      <w:pPr>
        <w:pStyle w:val="10"/>
        <w:adjustRightInd w:val="0"/>
        <w:snapToGrid w:val="0"/>
        <w:spacing w:before="0" w:line="44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第</w:t>
      </w:r>
      <w:r>
        <w:rPr>
          <w:rFonts w:hint="eastAsia" w:cs="仿宋"/>
          <w:sz w:val="24"/>
          <w:lang w:eastAsia="zh-CN"/>
        </w:rPr>
        <w:t>四</w:t>
      </w:r>
      <w:r>
        <w:rPr>
          <w:rFonts w:hint="eastAsia" w:ascii="仿宋" w:hAnsi="仿宋" w:eastAsia="仿宋" w:cs="仿宋"/>
          <w:sz w:val="24"/>
        </w:rPr>
        <w:t>部分 附表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</w:t>
      </w:r>
      <w:r>
        <w:rPr>
          <w:rFonts w:hint="eastAsia" w:cs="仿宋"/>
          <w:sz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lang w:val="en-US" w:eastAsia="zh-CN"/>
        </w:rPr>
        <w:t>.. ..</w:t>
      </w:r>
      <w:r>
        <w:rPr>
          <w:rFonts w:hint="eastAsia" w:cs="仿宋"/>
          <w:sz w:val="24"/>
          <w:lang w:val="en-US" w:eastAsia="zh-CN"/>
        </w:rPr>
        <w:t>...</w:t>
      </w:r>
      <w:r>
        <w:rPr>
          <w:rFonts w:hint="eastAsia" w:ascii="仿宋" w:hAnsi="仿宋" w:eastAsia="仿宋" w:cs="仿宋"/>
          <w:sz w:val="24"/>
          <w:lang w:val="en-US" w:eastAsia="zh-CN"/>
        </w:rPr>
        <w:t>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一、收入支出决算总表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二、收入决算表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..................................................13</w:t>
      </w:r>
      <w:r>
        <w:rPr>
          <w:rFonts w:hint="eastAsia" w:ascii="仿宋" w:hAnsi="仿宋" w:eastAsia="仿宋" w:cs="仿宋"/>
          <w:sz w:val="24"/>
        </w:rPr>
        <w:t>三、支出决算表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四、财政拨款收入支出决算总表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五、财政拨款支出决算明细表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六、一般公共预算财政拨款支出决算表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七、一般公共预算财政拨款支出决算明细表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八、一般公共预算财政拨款基本支出决算表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..........................13</w:t>
      </w:r>
    </w:p>
    <w:p>
      <w:pPr>
        <w:pStyle w:val="11"/>
        <w:adjustRightInd w:val="0"/>
        <w:snapToGrid w:val="0"/>
        <w:spacing w:line="440" w:lineRule="exact"/>
        <w:ind w:left="660" w:hanging="240" w:hangingChars="100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九、一般公共预算财政拨款项目支出决算表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..........................13</w:t>
      </w:r>
    </w:p>
    <w:p>
      <w:pPr>
        <w:pStyle w:val="11"/>
        <w:adjustRightInd w:val="0"/>
        <w:snapToGrid w:val="0"/>
        <w:spacing w:line="440" w:lineRule="exact"/>
        <w:ind w:left="660" w:hanging="240" w:hangingChars="100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十、一般公共预算财政拨款“三公”经费支出决算表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 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十一、政府性基金预算财政拨款收入支出决算表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 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十二、政府性基金预算财政拨款“三公”经费支出决算表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..............13</w:t>
      </w:r>
    </w:p>
    <w:p>
      <w:pPr>
        <w:pStyle w:val="11"/>
        <w:adjustRightInd w:val="0"/>
        <w:snapToGrid w:val="0"/>
        <w:spacing w:line="44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十三、国有资本经营预算支出决算表</w:t>
      </w:r>
      <w:r>
        <w:rPr>
          <w:rFonts w:hint="eastAsia" w:ascii="仿宋" w:hAnsi="仿宋" w:eastAsia="仿宋" w:cs="仿宋"/>
          <w:sz w:val="24"/>
          <w:lang w:val="en-US" w:eastAsia="zh-CN"/>
        </w:rPr>
        <w:t>................................13</w:t>
      </w:r>
    </w:p>
    <w:p>
      <w:pPr>
        <w:widowControl/>
        <w:spacing w:line="440" w:lineRule="exact"/>
        <w:jc w:val="left"/>
        <w:rPr>
          <w:rFonts w:hint="eastAsia" w:ascii="仿宋" w:hAnsi="仿宋" w:eastAsia="仿宋" w:cs="仿宋"/>
          <w:bCs/>
          <w:kern w:val="44"/>
          <w:sz w:val="24"/>
        </w:rPr>
      </w:pPr>
      <w:bookmarkStart w:id="12" w:name="_Toc15396599"/>
      <w:bookmarkStart w:id="13" w:name="_Toc15377196"/>
      <w:r>
        <w:rPr>
          <w:rFonts w:hint="eastAsia" w:ascii="仿宋" w:hAnsi="仿宋" w:eastAsia="仿宋" w:cs="仿宋"/>
          <w:b/>
          <w:sz w:val="24"/>
        </w:rPr>
        <w:br w:type="page"/>
      </w:r>
    </w:p>
    <w:p>
      <w:pPr>
        <w:pStyle w:val="2"/>
        <w:jc w:val="center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第一部分 部门概况</w:t>
      </w:r>
      <w:bookmarkEnd w:id="12"/>
      <w:bookmarkEnd w:id="13"/>
    </w:p>
    <w:p>
      <w:pPr>
        <w:pStyle w:val="3"/>
        <w:rPr>
          <w:rStyle w:val="25"/>
          <w:rFonts w:hint="eastAsia" w:ascii="黑体" w:hAnsi="黑体" w:eastAsia="黑体"/>
          <w:b w:val="0"/>
          <w:bCs w:val="0"/>
        </w:rPr>
      </w:pPr>
      <w:bookmarkStart w:id="14" w:name="_Toc15396600"/>
      <w:bookmarkStart w:id="15" w:name="_Toc15377197"/>
      <w:r>
        <w:rPr>
          <w:rStyle w:val="25"/>
          <w:rFonts w:hint="eastAsia" w:ascii="黑体" w:hAnsi="黑体" w:eastAsia="黑体"/>
          <w:b w:val="0"/>
          <w:bCs w:val="0"/>
        </w:rPr>
        <w:t>一、基本职能及主要工作</w:t>
      </w:r>
      <w:bookmarkEnd w:id="14"/>
      <w:bookmarkEnd w:id="15"/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bookmarkStart w:id="16" w:name="_Toc15377198"/>
      <w:bookmarkStart w:id="17" w:name="_Toc15378445"/>
      <w:bookmarkStart w:id="18" w:name="_Toc15377200"/>
      <w:bookmarkStart w:id="19" w:name="_Toc15396601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（一）主要职能。</w:t>
      </w:r>
      <w:bookmarkEnd w:id="16"/>
      <w:bookmarkEnd w:id="17"/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1.负责我县公证机构及公证业务工作的职责；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2.承办州司法局交办的公证机构及公证业务工作；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3.承办县司法局交办的其他事项。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0" w:name="_Toc15378446"/>
      <w:bookmarkStart w:id="21" w:name="_Toc15377199"/>
      <w:r>
        <w:rPr>
          <w:rFonts w:hint="eastAsia" w:ascii="仿宋" w:hAnsi="仿宋" w:eastAsia="仿宋" w:cs="仿宋"/>
          <w:sz w:val="32"/>
          <w:szCs w:val="32"/>
        </w:rPr>
        <w:t>（二）201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年重点工作完成情况。</w:t>
      </w:r>
      <w:bookmarkEnd w:id="20"/>
      <w:bookmarkEnd w:id="21"/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完成县司法局和上级主管部门下达的信息上报任务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完成我县公证机构及公证业务工作；办理公证案件63件，其中办理公证法律援助案件4件，减免公证费用1000余元，避免群众损失40000余元。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完成公证机构改革准备工作。</w:t>
      </w:r>
    </w:p>
    <w:p>
      <w:pPr>
        <w:pStyle w:val="3"/>
        <w:rPr>
          <w:rStyle w:val="25"/>
          <w:rFonts w:hint="eastAsia" w:ascii="黑体" w:hAnsi="黑体" w:eastAsia="黑体"/>
          <w:b w:val="0"/>
          <w:bCs w:val="0"/>
        </w:rPr>
      </w:pPr>
      <w:r>
        <w:rPr>
          <w:rStyle w:val="25"/>
          <w:rFonts w:hint="eastAsia" w:ascii="黑体" w:hAnsi="黑体" w:eastAsia="黑体"/>
          <w:b w:val="0"/>
          <w:bCs w:val="0"/>
        </w:rPr>
        <w:t>二、机构设置</w:t>
      </w:r>
      <w:bookmarkEnd w:id="18"/>
      <w:bookmarkEnd w:id="19"/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县公证处属二级决算单位，是县司法局的下属事业单位，其中事业单位1个，事业人员8人。</w:t>
      </w:r>
    </w:p>
    <w:p>
      <w:pPr>
        <w:pStyle w:val="2"/>
        <w:jc w:val="center"/>
        <w:rPr>
          <w:rFonts w:hint="eastAsia" w:ascii="黑体" w:hAnsi="黑体" w:eastAsia="黑体"/>
          <w:b w:val="0"/>
        </w:rPr>
      </w:pPr>
      <w:bookmarkStart w:id="22" w:name="_Toc15377204"/>
      <w:bookmarkStart w:id="23" w:name="_Toc15396602"/>
      <w:r>
        <w:rPr>
          <w:rFonts w:hint="eastAsia" w:ascii="黑体" w:hAnsi="黑体" w:eastAsia="黑体"/>
          <w:b w:val="0"/>
        </w:rPr>
        <w:t>第二部分 2019年度部门决算情况说明</w:t>
      </w:r>
      <w:bookmarkEnd w:id="22"/>
      <w:bookmarkEnd w:id="23"/>
    </w:p>
    <w:p>
      <w:pPr>
        <w:rPr>
          <w:rFonts w:hint="eastAsia" w:ascii="仿宋" w:hAnsi="仿宋" w:eastAsia="仿宋" w:cs="仿宋"/>
        </w:rPr>
      </w:pPr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hint="eastAsia" w:ascii="黑体" w:hAnsi="黑体" w:eastAsia="黑体"/>
          <w:b w:val="0"/>
        </w:rPr>
      </w:pPr>
      <w:bookmarkStart w:id="24" w:name="_Toc15377205"/>
      <w:bookmarkStart w:id="25" w:name="_Toc15396603"/>
      <w:r>
        <w:rPr>
          <w:rStyle w:val="25"/>
          <w:rFonts w:hint="eastAsia" w:ascii="黑体" w:hAnsi="黑体" w:eastAsia="黑体"/>
          <w:b w:val="0"/>
        </w:rPr>
        <w:t>收入支出决算总体情况说明</w:t>
      </w:r>
      <w:bookmarkEnd w:id="24"/>
      <w:bookmarkEnd w:id="25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2019年度收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总计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。与2018年相比，收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入支出各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0.43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%。主要变动原因是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机构改革，人员变动。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4315460" cy="2567940"/>
            <wp:effectExtent l="0" t="0" r="8890" b="3810"/>
            <wp:docPr id="9" name="图片 9" descr="16034478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0344786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图1：收、支决算总计变动情况图）（柱状图）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hint="eastAsia" w:ascii="黑体" w:hAnsi="黑体" w:eastAsia="黑体"/>
          <w:b w:val="0"/>
        </w:rPr>
      </w:pPr>
      <w:bookmarkStart w:id="26" w:name="_Toc15377206"/>
      <w:bookmarkStart w:id="27" w:name="_Toc15396604"/>
      <w:r>
        <w:rPr>
          <w:rStyle w:val="25"/>
          <w:rFonts w:hint="eastAsia" w:ascii="黑体" w:hAnsi="黑体" w:eastAsia="黑体"/>
          <w:b w:val="0"/>
        </w:rPr>
        <w:t>收入决算情况说明</w:t>
      </w:r>
      <w:bookmarkEnd w:id="26"/>
      <w:bookmarkEnd w:id="27"/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1973580</wp:posOffset>
            </wp:positionV>
            <wp:extent cx="4176395" cy="1914525"/>
            <wp:effectExtent l="4445" t="5080" r="10160" b="4445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2019年本年收入合计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%；政府性基金预算财政拨款收入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上级补助收入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万元；事业收入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万元；经营收入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万元；附属单位上缴收入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万元%；其他收入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spacing w:line="600" w:lineRule="exact"/>
        <w:jc w:val="center"/>
        <w:outlineLvl w:val="1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（图2：收入决算结构图）（饼状图）</w:t>
      </w:r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hint="eastAsia" w:ascii="黑体" w:hAnsi="黑体" w:eastAsia="黑体"/>
          <w:b w:val="0"/>
        </w:rPr>
      </w:pPr>
      <w:bookmarkStart w:id="28" w:name="_Toc15396605"/>
      <w:bookmarkStart w:id="29" w:name="_Toc15377207"/>
      <w:r>
        <w:rPr>
          <w:rStyle w:val="25"/>
          <w:rFonts w:hint="eastAsia" w:ascii="黑体" w:hAnsi="黑体" w:eastAsia="黑体"/>
          <w:b w:val="0"/>
        </w:rPr>
        <w:t>支出决算情况说明</w:t>
      </w:r>
      <w:bookmarkEnd w:id="28"/>
      <w:bookmarkEnd w:id="29"/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2019年本年支出合计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万元%；上缴上级支出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万元；经营支出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万元；对附属单位补助支出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318770</wp:posOffset>
            </wp:positionV>
            <wp:extent cx="4166235" cy="2094865"/>
            <wp:effectExtent l="4445" t="5080" r="20320" b="14605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（图3：支出决算结构图）（饼状图）</w:t>
      </w:r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30" w:name="_Toc15377208"/>
      <w:bookmarkStart w:id="31" w:name="_Toc15396606"/>
    </w:p>
    <w:p>
      <w:pPr>
        <w:pStyle w:val="23"/>
        <w:numPr>
          <w:ilvl w:val="0"/>
          <w:numId w:val="0"/>
        </w:numPr>
        <w:spacing w:line="600" w:lineRule="exact"/>
        <w:ind w:left="640" w:leftChars="0"/>
        <w:outlineLvl w:val="1"/>
        <w:rPr>
          <w:rStyle w:val="25"/>
          <w:rFonts w:hint="eastAsia" w:ascii="黑体" w:hAnsi="黑体" w:eastAsia="黑体"/>
          <w:b w:val="0"/>
        </w:rPr>
      </w:pPr>
      <w:r>
        <w:rPr>
          <w:rStyle w:val="25"/>
          <w:rFonts w:hint="eastAsia" w:ascii="黑体" w:hAnsi="黑体" w:eastAsia="黑体"/>
          <w:b w:val="0"/>
        </w:rPr>
        <w:t>四、财政拨款收入支出决算总体情况说明</w:t>
      </w:r>
      <w:bookmarkEnd w:id="30"/>
      <w:bookmarkEnd w:id="31"/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1385570</wp:posOffset>
            </wp:positionV>
            <wp:extent cx="4624070" cy="1849120"/>
            <wp:effectExtent l="4445" t="4445" r="19685" b="13335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2019年财政拨款收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。与2018年相比，财政拨款收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入支各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%。主要变动原因是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机构改革，人员变动。</w:t>
      </w:r>
    </w:p>
    <w:p>
      <w:pPr>
        <w:spacing w:line="600" w:lineRule="exact"/>
        <w:ind w:firstLine="320" w:firstLineChars="100"/>
        <w:rPr>
          <w:rStyle w:val="25"/>
          <w:rFonts w:hint="eastAsia" w:ascii="黑体" w:hAnsi="黑体" w:eastAsia="黑体"/>
          <w:b w:val="0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（图4：财政拨款收、支决算总计变动情况）（柱状图）</w:t>
      </w:r>
    </w:p>
    <w:p>
      <w:pPr>
        <w:spacing w:line="600" w:lineRule="exact"/>
        <w:jc w:val="center"/>
        <w:outlineLvl w:val="1"/>
        <w:rPr>
          <w:rStyle w:val="25"/>
          <w:rFonts w:hint="eastAsia" w:ascii="黑体" w:hAnsi="黑体" w:eastAsia="黑体"/>
          <w:b w:val="0"/>
          <w:lang w:val="en-US" w:eastAsia="zh-CN" w:bidi="ar-SA"/>
        </w:rPr>
      </w:pPr>
      <w:bookmarkStart w:id="32" w:name="_Toc15377209"/>
      <w:bookmarkStart w:id="33" w:name="_Toc15396607"/>
      <w:r>
        <w:rPr>
          <w:rStyle w:val="25"/>
          <w:rFonts w:hint="eastAsia" w:ascii="黑体" w:hAnsi="黑体" w:eastAsia="黑体"/>
          <w:b w:val="0"/>
          <w:lang w:val="en-US" w:eastAsia="zh-CN" w:bidi="ar-SA"/>
        </w:rPr>
        <w:t>五、一般公共预算财政拨款支出决算情况说明</w:t>
      </w:r>
      <w:bookmarkEnd w:id="32"/>
      <w:bookmarkEnd w:id="33"/>
    </w:p>
    <w:p>
      <w:pPr>
        <w:spacing w:line="600" w:lineRule="exact"/>
        <w:ind w:firstLine="643" w:firstLineChars="200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34" w:name="_Toc1537721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（一）一般公共预算财政拨款支出决算总体情况</w:t>
      </w:r>
      <w:bookmarkEnd w:id="34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2019年一般公共预算财政拨款支出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万元，占本年支出合计的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%。与2018年相比，一般公共预算财政拨款减少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%。主要变动原因是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机构改革，人员变动。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118745</wp:posOffset>
            </wp:positionV>
            <wp:extent cx="4498975" cy="1676400"/>
            <wp:effectExtent l="4445" t="4445" r="11430" b="14605"/>
            <wp:wrapTopAndBottom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（图5：一般公共预算财政拨款支出决算变动情况）（柱状图）</w:t>
      </w:r>
    </w:p>
    <w:p>
      <w:pPr>
        <w:spacing w:line="600" w:lineRule="exact"/>
        <w:ind w:firstLine="643" w:firstLineChars="200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35" w:name="_Toc15377211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（二）一般公共预算财政拨款支出决算结构情况</w:t>
      </w:r>
      <w:bookmarkEnd w:id="35"/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1912620</wp:posOffset>
            </wp:positionV>
            <wp:extent cx="4347210" cy="1972310"/>
            <wp:effectExtent l="5080" t="4445" r="10160" b="23495"/>
            <wp:wrapTopAndBottom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2019年一般公共预算财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政拨款支出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万元，主要用于以下方面: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</w:rPr>
        <w:t>公共安全支出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（类）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93.31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%；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社会保障和就业（类）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14.25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%；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5.87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%；住房保障支出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2.39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%。</w:t>
      </w:r>
    </w:p>
    <w:p>
      <w:pPr>
        <w:spacing w:line="600" w:lineRule="exac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（图6：一般公共预算财政拨款支出决算结构）（饼状图）</w:t>
      </w:r>
    </w:p>
    <w:p>
      <w:pPr>
        <w:spacing w:line="600" w:lineRule="exact"/>
        <w:ind w:firstLine="643" w:firstLineChars="200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36" w:name="_Toc15377212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（三）一般公共预算财政拨款支出决算具体情况</w:t>
      </w:r>
      <w:bookmarkEnd w:id="36"/>
    </w:p>
    <w:p>
      <w:pPr>
        <w:spacing w:line="600" w:lineRule="exact"/>
        <w:ind w:firstLine="643" w:firstLineChars="200"/>
        <w:outlineLvl w:val="2"/>
        <w:rPr>
          <w:rFonts w:hint="eastAsia" w:ascii="仿宋" w:hAnsi="仿宋" w:eastAsia="仿宋" w:cs="仿宋"/>
          <w:color w:val="FF0000"/>
          <w:sz w:val="32"/>
          <w:szCs w:val="32"/>
        </w:rPr>
      </w:pPr>
      <w:bookmarkStart w:id="37" w:name="_Toc15377213"/>
      <w:bookmarkStart w:id="38" w:name="_Toc15377444"/>
      <w:bookmarkStart w:id="39" w:name="_Toc15378460"/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2019年般公共预算支出决算数为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</w:t>
      </w:r>
      <w:r>
        <w:rPr>
          <w:rStyle w:val="13"/>
          <w:rFonts w:hint="eastAsia" w:ascii="仿宋" w:hAnsi="仿宋" w:eastAsia="仿宋" w:cs="仿宋"/>
          <w:bCs/>
          <w:color w:val="000000" w:themeColor="text1"/>
          <w:sz w:val="32"/>
          <w:szCs w:val="32"/>
        </w:rPr>
        <w:t>完成</w:t>
      </w:r>
      <w:r>
        <w:rPr>
          <w:rStyle w:val="13"/>
          <w:rFonts w:hint="eastAsia" w:ascii="仿宋" w:hAnsi="仿宋" w:eastAsia="仿宋" w:cs="仿宋"/>
          <w:bCs/>
          <w:color w:val="000000"/>
          <w:sz w:val="32"/>
          <w:szCs w:val="32"/>
        </w:rPr>
        <w:t>预算</w:t>
      </w:r>
      <w:r>
        <w:rPr>
          <w:rStyle w:val="13"/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3"/>
          <w:rFonts w:hint="eastAsia" w:ascii="仿宋" w:hAnsi="仿宋" w:eastAsia="仿宋" w:cs="仿宋"/>
          <w:bCs/>
          <w:color w:val="000000"/>
          <w:sz w:val="32"/>
          <w:szCs w:val="32"/>
        </w:rPr>
        <w:t>%。其中：</w:t>
      </w:r>
      <w:bookmarkEnd w:id="37"/>
      <w:bookmarkEnd w:id="38"/>
      <w:bookmarkEnd w:id="39"/>
    </w:p>
    <w:p>
      <w:pPr>
        <w:numPr>
          <w:ilvl w:val="0"/>
          <w:numId w:val="0"/>
        </w:numPr>
        <w:spacing w:line="560" w:lineRule="exact"/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bCs/>
          <w:color w:val="000000"/>
          <w:sz w:val="32"/>
          <w:szCs w:val="32"/>
        </w:rPr>
        <w:t>1.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公共安全204（类）06（款）: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 xml:space="preserve"> 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93.31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spacing w:line="560" w:lineRule="exact"/>
        <w:ind w:firstLine="643" w:firstLineChars="200"/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（1）事业运行204（类）06（款）50项）: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 xml:space="preserve"> 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93.31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spacing w:line="560" w:lineRule="exact"/>
        <w:ind w:firstLine="643" w:firstLineChars="200"/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2.社会保障和就业208（类）: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 xml:space="preserve"> 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14.25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（1）机关事业单位基本养老保险208（类）05（款）05（项）: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 xml:space="preserve"> 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9.50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（2）机关事业单位职业年金208（类）05（款）06（项）: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 xml:space="preserve"> 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4.75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3.医疗卫生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  <w:lang w:eastAsia="zh-CN"/>
        </w:rPr>
        <w:t>健康支出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210（类）: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5.87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（1）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  <w:lang w:eastAsia="zh-CN"/>
        </w:rPr>
        <w:t>事业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单位医疗210（类）11（款）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</w:t>
      </w: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（项）: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5.87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spacing w:line="560" w:lineRule="exact"/>
        <w:ind w:firstLine="643" w:firstLineChars="200"/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4.住房保障支出221（类）: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2.39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Style w:val="13"/>
          <w:rFonts w:hint="eastAsia" w:ascii="仿宋" w:hAnsi="仿宋" w:eastAsia="仿宋" w:cs="仿宋"/>
          <w:color w:val="000000"/>
          <w:sz w:val="32"/>
          <w:szCs w:val="32"/>
        </w:rPr>
        <w:t>(1)住房公积金221（类）02（款）01（项）: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支出决算为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  <w:lang w:val="en-US" w:eastAsia="zh-CN"/>
        </w:rPr>
        <w:t>2.39</w:t>
      </w:r>
      <w:r>
        <w:rPr>
          <w:rStyle w:val="13"/>
          <w:rFonts w:hint="eastAsia" w:ascii="仿宋" w:hAnsi="仿宋" w:eastAsia="仿宋" w:cs="仿宋"/>
          <w:b w:val="0"/>
          <w:color w:val="000000"/>
          <w:sz w:val="32"/>
          <w:szCs w:val="32"/>
        </w:rPr>
        <w:t>万元，完成预算100%。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5"/>
          <w:rFonts w:hint="eastAsia" w:ascii="仿宋" w:hAnsi="仿宋" w:eastAsia="仿宋" w:cs="仿宋"/>
        </w:rPr>
      </w:pPr>
      <w:bookmarkStart w:id="40" w:name="_Toc15396608"/>
      <w:bookmarkStart w:id="41" w:name="_Toc15377214"/>
      <w:r>
        <w:rPr>
          <w:rStyle w:val="25"/>
          <w:rFonts w:hint="eastAsia" w:ascii="黑体" w:hAnsi="黑体" w:eastAsia="黑体"/>
          <w:b w:val="0"/>
          <w:lang w:val="en-US" w:eastAsia="zh-CN" w:bidi="ar-SA"/>
        </w:rPr>
        <w:t>六、一般公共预算财政拨款基本支出决算情况说明</w:t>
      </w:r>
      <w:bookmarkEnd w:id="40"/>
      <w:bookmarkEnd w:id="41"/>
      <w:r>
        <w:rPr>
          <w:rStyle w:val="25"/>
          <w:rFonts w:hint="eastAsia" w:ascii="仿宋" w:hAnsi="仿宋" w:eastAsia="仿宋" w:cs="仿宋"/>
          <w:b w:val="0"/>
        </w:rPr>
        <w:tab/>
      </w:r>
    </w:p>
    <w:p>
      <w:pPr>
        <w:spacing w:line="600" w:lineRule="exac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2019年一般公共预算财政拨款基本支出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115.82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人员经费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106.22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包括：基本工资、津贴补贴、奖金、伙食补助费、绩效工资、机关事业单位基本养老保险缴费、职业年金缴费、其他社会保障缴费、其他工资福利支出、离休费、退休费、抚恤金、生活补助、医疗费补助、奖励金、住房公积金、其他对个人和家庭的补助支出等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日常公用经费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9.6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包括：办公费、印刷费、咨询费、手续费、水费、电费、邮电费、取暖费、物业管理费、差旅费、因公出国（境）费用、维修（护）费、租赁费、会议费、培训费、公务接待费、劳务费、委托业务费、工会经费、福利费、公务用车运行维护费、其他交通费、税金及附加费用、其他商品和服务支出、办公设备购置、专用设备购置、信息网络及软件购置更新、其他资本性支出等。</w:t>
      </w:r>
    </w:p>
    <w:p>
      <w:pPr>
        <w:spacing w:line="600" w:lineRule="exact"/>
        <w:ind w:firstLine="640" w:firstLineChars="200"/>
        <w:outlineLvl w:val="1"/>
        <w:rPr>
          <w:rStyle w:val="25"/>
          <w:rFonts w:hint="eastAsia" w:ascii="黑体" w:hAnsi="黑体" w:eastAsia="黑体"/>
          <w:b w:val="0"/>
          <w:lang w:val="en-US" w:eastAsia="zh-CN" w:bidi="ar-SA"/>
        </w:rPr>
      </w:pPr>
      <w:bookmarkStart w:id="42" w:name="_Toc15377215"/>
      <w:bookmarkStart w:id="43" w:name="_Toc15396609"/>
      <w:r>
        <w:rPr>
          <w:rStyle w:val="25"/>
          <w:rFonts w:hint="eastAsia" w:ascii="黑体" w:hAnsi="黑体" w:eastAsia="黑体"/>
          <w:b w:val="0"/>
          <w:lang w:val="en-US" w:eastAsia="zh-CN" w:bidi="ar-SA"/>
        </w:rPr>
        <w:t>七、“三公”经费财政拨款支出决算情况说明</w:t>
      </w:r>
      <w:bookmarkEnd w:id="42"/>
      <w:bookmarkEnd w:id="43"/>
    </w:p>
    <w:p>
      <w:pPr>
        <w:spacing w:line="600" w:lineRule="exact"/>
        <w:ind w:firstLine="640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44" w:name="_Toc15377216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（一）“三公”经费财政拨款支出决算总体情况说明</w:t>
      </w:r>
      <w:bookmarkEnd w:id="44"/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年我处未产生“三公”经费支出，主要原因是壤塘县公证处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是壤塘县司法局的下属事业单位，未单独预算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45" w:name="_Toc15377217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（二）“三公”经费财政拨款支出决算具体情况说明</w:t>
      </w:r>
      <w:bookmarkEnd w:id="45"/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年我处未产生“三公”经费支出，主要原因是壤塘县公证处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是壤塘县司法局的下属事业单位，未单独预算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1.因公出国（境）经费支出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年我处未产生因公出国（境）经费支出，与201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年持平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2.公务用车购置及运行维护费支出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年我处未产生公务用车购置及运行维护费支出；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2018年持平。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3.公务接待费支出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年我处未产生公务接待费支出。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2018年持平。</w:t>
      </w:r>
    </w:p>
    <w:p>
      <w:pPr>
        <w:spacing w:line="600" w:lineRule="exact"/>
        <w:ind w:firstLine="640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46" w:name="_Toc15377218"/>
      <w:bookmarkStart w:id="47" w:name="_Toc15396610"/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5"/>
          <w:rFonts w:hint="eastAsia" w:ascii="黑体" w:hAnsi="黑体" w:eastAsia="黑体"/>
          <w:b w:val="0"/>
          <w:lang w:val="en-US" w:eastAsia="zh-CN" w:bidi="ar-SA"/>
        </w:rPr>
      </w:pPr>
      <w:r>
        <w:rPr>
          <w:rStyle w:val="25"/>
          <w:rFonts w:hint="eastAsia" w:ascii="黑体" w:hAnsi="黑体" w:eastAsia="黑体"/>
          <w:b w:val="0"/>
          <w:lang w:val="en-US" w:eastAsia="zh-CN" w:bidi="ar-SA"/>
        </w:rPr>
        <w:t>八、政府性基金预算支出决算情况说明</w:t>
      </w:r>
      <w:bookmarkEnd w:id="46"/>
      <w:bookmarkEnd w:id="47"/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2019年政府性基金预算拨款支出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5"/>
          <w:rFonts w:hint="eastAsia" w:ascii="黑体" w:hAnsi="黑体" w:eastAsia="黑体"/>
          <w:b w:val="0"/>
          <w:lang w:val="en-US" w:eastAsia="zh-CN" w:bidi="ar-SA"/>
        </w:rPr>
      </w:pPr>
      <w:bookmarkStart w:id="48" w:name="_Toc15396611"/>
      <w:bookmarkStart w:id="49" w:name="_Toc15377219"/>
      <w:r>
        <w:rPr>
          <w:rStyle w:val="25"/>
          <w:rFonts w:hint="eastAsia" w:ascii="黑体" w:hAnsi="黑体" w:eastAsia="黑体"/>
          <w:b w:val="0"/>
          <w:lang w:val="en-US" w:eastAsia="zh-CN" w:bidi="ar-SA"/>
        </w:rPr>
        <w:t>九、国有资本经营预算支出决算情况说明</w:t>
      </w:r>
      <w:bookmarkEnd w:id="48"/>
      <w:bookmarkEnd w:id="49"/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2019年国有资本经营预算拨款支出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5"/>
          <w:rFonts w:hint="eastAsia" w:ascii="黑体" w:hAnsi="黑体" w:eastAsia="黑体"/>
          <w:b w:val="0"/>
          <w:lang w:val="en-US" w:eastAsia="zh-CN" w:bidi="ar-SA"/>
        </w:rPr>
      </w:pPr>
      <w:bookmarkStart w:id="50" w:name="_Toc15396612"/>
      <w:bookmarkStart w:id="51" w:name="_Toc15377221"/>
      <w:r>
        <w:rPr>
          <w:rStyle w:val="25"/>
          <w:rFonts w:hint="eastAsia" w:ascii="黑体" w:hAnsi="黑体" w:eastAsia="黑体"/>
          <w:b w:val="0"/>
          <w:lang w:val="en-US" w:eastAsia="zh-CN" w:bidi="ar-SA"/>
        </w:rPr>
        <w:t>十、其他重要事项的情况说明</w:t>
      </w:r>
      <w:bookmarkEnd w:id="50"/>
      <w:bookmarkEnd w:id="51"/>
    </w:p>
    <w:p>
      <w:pPr>
        <w:spacing w:line="600" w:lineRule="exact"/>
        <w:ind w:firstLine="643" w:firstLineChars="200"/>
        <w:outlineLvl w:val="2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52" w:name="_Toc15377222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（一）机关运行经费支出情况</w:t>
      </w:r>
      <w:bookmarkEnd w:id="52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公证处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机关运行经费支出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未产生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主要原因是与年初在司法局做预算，公证处未单独预算。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53" w:name="_Toc15377223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（二）政府采购支出情况</w:t>
      </w:r>
      <w:bookmarkEnd w:id="53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2019年年度我处未产生政府采购支出。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54" w:name="_Toc15377224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（三）国有资产占有使用情况</w:t>
      </w:r>
      <w:bookmarkEnd w:id="54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我处是县司法局下属单位，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没有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单独公车。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预算绩效管理情况。</w:t>
      </w:r>
    </w:p>
    <w:p>
      <w:pPr>
        <w:spacing w:line="600" w:lineRule="exact"/>
        <w:ind w:firstLine="800" w:firstLineChars="250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由于壤塘县公证处年初是在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壤塘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县司法局做预算，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因此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未单独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也未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做预算绩效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部门整体支出绩效评价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在司法局做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outlineLvl w:val="2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600" w:lineRule="exact"/>
        <w:ind w:firstLine="660" w:firstLineChars="150"/>
        <w:jc w:val="center"/>
        <w:outlineLvl w:val="0"/>
        <w:rPr>
          <w:rStyle w:val="24"/>
          <w:rFonts w:hint="eastAsia" w:ascii="黑体" w:hAnsi="黑体" w:eastAsia="黑体"/>
          <w:b w:val="0"/>
        </w:rPr>
      </w:pPr>
      <w:bookmarkStart w:id="55" w:name="_Toc15396613"/>
      <w:bookmarkStart w:id="56" w:name="_Toc15377225"/>
      <w:r>
        <w:rPr>
          <w:rStyle w:val="24"/>
          <w:rFonts w:hint="eastAsia" w:ascii="黑体" w:hAnsi="黑体" w:eastAsia="黑体"/>
          <w:b w:val="0"/>
          <w:lang w:val="en-US" w:eastAsia="zh-CN"/>
        </w:rPr>
        <w:t xml:space="preserve"> </w:t>
      </w:r>
      <w:r>
        <w:rPr>
          <w:rStyle w:val="24"/>
          <w:rFonts w:hint="eastAsia" w:ascii="黑体" w:hAnsi="黑体" w:eastAsia="黑体"/>
          <w:b w:val="0"/>
        </w:rPr>
        <w:t>名词解释</w:t>
      </w:r>
      <w:bookmarkEnd w:id="55"/>
      <w:bookmarkEnd w:id="56"/>
    </w:p>
    <w:p>
      <w:pPr>
        <w:spacing w:line="600" w:lineRule="exact"/>
        <w:jc w:val="left"/>
        <w:rPr>
          <w:rFonts w:hint="eastAsia" w:ascii="仿宋" w:hAnsi="仿宋" w:eastAsia="仿宋" w:cs="仿宋"/>
          <w:b/>
          <w:color w:val="000000"/>
          <w:sz w:val="44"/>
          <w:szCs w:val="44"/>
        </w:rPr>
      </w:pPr>
    </w:p>
    <w:p>
      <w:pPr>
        <w:pStyle w:val="2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1.财政拨款收入：指单位从同级财政部门取得的财政预算资金。</w:t>
      </w:r>
    </w:p>
    <w:p>
      <w:pPr>
        <w:pStyle w:val="2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2.年初结转和结余：指以前年度尚未完成、结转到本年按有关规定继续使用的资金。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3.公共安全204（类）06（款）：指保障机构正常运转、完成日常工作任务的支出。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（1）事业运行204（类）06（款）50项）: 指用于机构日常工作运转的支出。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4.社会保障和就业208（类）：指用于社会保险和就业方面的支出。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（1）机关事业单位基本养老保险208（类）05（款）05（项）: 指用于机构职工基本养老保险支出。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（2）机关事业单位职业年金208（类）05（款）06（项）: 指用于机构职工职业年金支出。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5.医疗卫生与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健康支出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210（类）11（款）0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（项）：指用于医疗卫生与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方面的支出。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6.住房保障221（类）：指用于住房方面的支出。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(1)住房公积金221（类）02（款）01（项）:指用于机构职工住房公积金支出。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7.基本支出：指为保障机构正常运转、完成日常工作任务而发生的人员支出和公用支出。</w:t>
      </w:r>
    </w:p>
    <w:p>
      <w:pPr>
        <w:pStyle w:val="2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240" w:lineRule="auto"/>
        <w:ind w:firstLine="640"/>
        <w:rPr>
          <w:rStyle w:val="24"/>
          <w:rFonts w:hint="eastAsia" w:ascii="仿宋" w:hAnsi="仿宋" w:eastAsia="仿宋" w:cs="仿宋"/>
          <w:b w:val="0"/>
        </w:rPr>
      </w:pPr>
      <w:bookmarkStart w:id="57" w:name="_Toc15377226"/>
      <w:r>
        <w:rPr>
          <w:rFonts w:hint="eastAsia" w:ascii="仿宋" w:hAnsi="仿宋" w:eastAsia="仿宋" w:cs="仿宋"/>
          <w:b/>
          <w:color w:val="000000"/>
          <w:sz w:val="44"/>
          <w:szCs w:val="44"/>
        </w:rPr>
        <w:br w:type="page"/>
      </w:r>
    </w:p>
    <w:p>
      <w:pPr>
        <w:numPr>
          <w:ilvl w:val="0"/>
          <w:numId w:val="0"/>
        </w:numPr>
        <w:spacing w:line="600" w:lineRule="exact"/>
        <w:jc w:val="center"/>
        <w:outlineLvl w:val="0"/>
        <w:rPr>
          <w:rStyle w:val="24"/>
          <w:rFonts w:hint="eastAsia" w:ascii="黑体" w:hAnsi="黑体" w:eastAsia="黑体"/>
          <w:b w:val="0"/>
        </w:rPr>
      </w:pPr>
      <w:bookmarkStart w:id="58" w:name="_Toc15396618"/>
      <w:r>
        <w:rPr>
          <w:rStyle w:val="24"/>
          <w:rFonts w:hint="eastAsia" w:ascii="黑体" w:hAnsi="黑体" w:eastAsia="黑体"/>
          <w:b w:val="0"/>
        </w:rPr>
        <w:t>第五部分 附表</w:t>
      </w:r>
      <w:bookmarkEnd w:id="57"/>
      <w:bookmarkEnd w:id="58"/>
    </w:p>
    <w:p>
      <w:pPr>
        <w:spacing w:line="600" w:lineRule="exact"/>
        <w:jc w:val="center"/>
        <w:outlineLvl w:val="0"/>
        <w:rPr>
          <w:rFonts w:hint="eastAsia" w:ascii="仿宋" w:hAnsi="仿宋" w:eastAsia="仿宋" w:cs="仿宋"/>
          <w:b/>
          <w:color w:val="000000"/>
          <w:sz w:val="44"/>
          <w:szCs w:val="44"/>
        </w:rPr>
      </w:pPr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59" w:name="_Toc15396619"/>
      <w:r>
        <w:rPr>
          <w:rFonts w:hint="eastAsia" w:ascii="仿宋" w:hAnsi="仿宋" w:eastAsia="仿宋" w:cs="仿宋"/>
          <w:b w:val="0"/>
          <w:color w:val="000000"/>
        </w:rPr>
        <w:t>一、收</w:t>
      </w:r>
      <w:r>
        <w:rPr>
          <w:rStyle w:val="25"/>
          <w:rFonts w:hint="eastAsia" w:ascii="仿宋" w:hAnsi="仿宋" w:eastAsia="仿宋" w:cs="仿宋"/>
          <w:b w:val="0"/>
          <w:bCs w:val="0"/>
        </w:rPr>
        <w:t>入支出决算总表</w:t>
      </w:r>
      <w:bookmarkEnd w:id="59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0" w:name="_Toc15396620"/>
      <w:r>
        <w:rPr>
          <w:rFonts w:hint="eastAsia" w:ascii="仿宋" w:hAnsi="仿宋" w:eastAsia="仿宋" w:cs="仿宋"/>
          <w:b w:val="0"/>
          <w:color w:val="000000"/>
        </w:rPr>
        <w:t>二、收</w:t>
      </w:r>
      <w:r>
        <w:rPr>
          <w:rStyle w:val="25"/>
          <w:rFonts w:hint="eastAsia" w:ascii="仿宋" w:hAnsi="仿宋" w:eastAsia="仿宋" w:cs="仿宋"/>
          <w:b w:val="0"/>
          <w:bCs w:val="0"/>
        </w:rPr>
        <w:t>入决算表</w:t>
      </w:r>
      <w:bookmarkEnd w:id="60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1" w:name="_Toc15396621"/>
      <w:r>
        <w:rPr>
          <w:rStyle w:val="25"/>
          <w:rFonts w:hint="eastAsia" w:ascii="仿宋" w:hAnsi="仿宋" w:eastAsia="仿宋" w:cs="仿宋"/>
          <w:b w:val="0"/>
          <w:bCs w:val="0"/>
        </w:rPr>
        <w:t>三、</w:t>
      </w:r>
      <w:r>
        <w:rPr>
          <w:rFonts w:hint="eastAsia" w:ascii="仿宋" w:hAnsi="仿宋" w:eastAsia="仿宋" w:cs="仿宋"/>
          <w:b w:val="0"/>
          <w:color w:val="000000"/>
        </w:rPr>
        <w:t>支</w:t>
      </w:r>
      <w:r>
        <w:rPr>
          <w:rStyle w:val="25"/>
          <w:rFonts w:hint="eastAsia" w:ascii="仿宋" w:hAnsi="仿宋" w:eastAsia="仿宋" w:cs="仿宋"/>
          <w:b w:val="0"/>
          <w:bCs w:val="0"/>
        </w:rPr>
        <w:t>出决算表</w:t>
      </w:r>
      <w:bookmarkEnd w:id="61"/>
    </w:p>
    <w:p>
      <w:pPr>
        <w:pStyle w:val="3"/>
        <w:rPr>
          <w:rFonts w:hint="eastAsia" w:ascii="仿宋" w:hAnsi="仿宋" w:eastAsia="仿宋" w:cs="仿宋"/>
          <w:b w:val="0"/>
          <w:color w:val="000000"/>
        </w:rPr>
      </w:pPr>
      <w:bookmarkStart w:id="62" w:name="_Toc15396622"/>
      <w:r>
        <w:rPr>
          <w:rStyle w:val="25"/>
          <w:rFonts w:hint="eastAsia" w:ascii="仿宋" w:hAnsi="仿宋" w:eastAsia="仿宋" w:cs="仿宋"/>
          <w:b w:val="0"/>
          <w:bCs w:val="0"/>
        </w:rPr>
        <w:t>四、</w:t>
      </w:r>
      <w:r>
        <w:rPr>
          <w:rFonts w:hint="eastAsia" w:ascii="仿宋" w:hAnsi="仿宋" w:eastAsia="仿宋" w:cs="仿宋"/>
          <w:b w:val="0"/>
          <w:color w:val="000000"/>
        </w:rPr>
        <w:t>财</w:t>
      </w:r>
      <w:r>
        <w:rPr>
          <w:rStyle w:val="25"/>
          <w:rFonts w:hint="eastAsia" w:ascii="仿宋" w:hAnsi="仿宋" w:eastAsia="仿宋" w:cs="仿宋"/>
          <w:b w:val="0"/>
          <w:bCs w:val="0"/>
        </w:rPr>
        <w:t>政拨款收入支出决算总表</w:t>
      </w:r>
      <w:bookmarkEnd w:id="62"/>
    </w:p>
    <w:p>
      <w:pPr>
        <w:pStyle w:val="3"/>
        <w:rPr>
          <w:rStyle w:val="25"/>
          <w:rFonts w:hint="eastAsia" w:ascii="仿宋" w:hAnsi="仿宋" w:eastAsia="仿宋" w:cs="仿宋"/>
          <w:b w:val="0"/>
          <w:bCs w:val="0"/>
        </w:rPr>
      </w:pPr>
      <w:bookmarkStart w:id="63" w:name="_Toc15396623"/>
      <w:r>
        <w:rPr>
          <w:rStyle w:val="25"/>
          <w:rFonts w:hint="eastAsia" w:ascii="仿宋" w:hAnsi="仿宋" w:eastAsia="仿宋" w:cs="仿宋"/>
          <w:b w:val="0"/>
          <w:bCs w:val="0"/>
        </w:rPr>
        <w:t>五、</w:t>
      </w:r>
      <w:r>
        <w:rPr>
          <w:rFonts w:hint="eastAsia" w:ascii="仿宋" w:hAnsi="仿宋" w:eastAsia="仿宋" w:cs="仿宋"/>
          <w:b w:val="0"/>
          <w:color w:val="000000"/>
        </w:rPr>
        <w:t>财</w:t>
      </w:r>
      <w:r>
        <w:rPr>
          <w:rStyle w:val="25"/>
          <w:rFonts w:hint="eastAsia" w:ascii="仿宋" w:hAnsi="仿宋" w:eastAsia="仿宋" w:cs="仿宋"/>
          <w:b w:val="0"/>
          <w:bCs w:val="0"/>
        </w:rPr>
        <w:t>政拨款支出决算明细表</w:t>
      </w:r>
      <w:bookmarkEnd w:id="63"/>
      <w:bookmarkStart w:id="64" w:name="_Toc15396624"/>
    </w:p>
    <w:p>
      <w:pPr>
        <w:pStyle w:val="3"/>
        <w:rPr>
          <w:rFonts w:hint="eastAsia" w:ascii="仿宋" w:hAnsi="仿宋" w:eastAsia="仿宋" w:cs="仿宋"/>
          <w:color w:val="000000"/>
        </w:rPr>
      </w:pPr>
      <w:r>
        <w:rPr>
          <w:rStyle w:val="25"/>
          <w:rFonts w:hint="eastAsia" w:ascii="仿宋" w:hAnsi="仿宋" w:eastAsia="仿宋" w:cs="仿宋"/>
          <w:b w:val="0"/>
          <w:bCs w:val="0"/>
        </w:rPr>
        <w:t>六、</w:t>
      </w:r>
      <w:r>
        <w:rPr>
          <w:rFonts w:hint="eastAsia" w:ascii="仿宋" w:hAnsi="仿宋" w:eastAsia="仿宋" w:cs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 w:cs="仿宋"/>
          <w:b w:val="0"/>
          <w:bCs w:val="0"/>
        </w:rPr>
        <w:t>般公共预算财政拨款支出决算表</w:t>
      </w:r>
      <w:bookmarkEnd w:id="64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5" w:name="_Toc15396625"/>
      <w:r>
        <w:rPr>
          <w:rStyle w:val="25"/>
          <w:rFonts w:hint="eastAsia" w:ascii="仿宋" w:hAnsi="仿宋" w:eastAsia="仿宋" w:cs="仿宋"/>
          <w:b w:val="0"/>
          <w:bCs w:val="0"/>
        </w:rPr>
        <w:t>七、</w:t>
      </w:r>
      <w:r>
        <w:rPr>
          <w:rFonts w:hint="eastAsia" w:ascii="仿宋" w:hAnsi="仿宋" w:eastAsia="仿宋" w:cs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 w:cs="仿宋"/>
          <w:b w:val="0"/>
          <w:bCs w:val="0"/>
        </w:rPr>
        <w:t>般公共预算财政拨款支出决算明细表</w:t>
      </w:r>
      <w:bookmarkEnd w:id="65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6" w:name="_Toc15396626"/>
      <w:r>
        <w:rPr>
          <w:rStyle w:val="25"/>
          <w:rFonts w:hint="eastAsia" w:ascii="仿宋" w:hAnsi="仿宋" w:eastAsia="仿宋" w:cs="仿宋"/>
          <w:b w:val="0"/>
          <w:bCs w:val="0"/>
        </w:rPr>
        <w:t>八、</w:t>
      </w:r>
      <w:r>
        <w:rPr>
          <w:rFonts w:hint="eastAsia" w:ascii="仿宋" w:hAnsi="仿宋" w:eastAsia="仿宋" w:cs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 w:cs="仿宋"/>
          <w:b w:val="0"/>
          <w:bCs w:val="0"/>
        </w:rPr>
        <w:t>般公共预算财政拨款基本支出决算表</w:t>
      </w:r>
      <w:bookmarkEnd w:id="66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7" w:name="_Toc15396627"/>
      <w:r>
        <w:rPr>
          <w:rStyle w:val="25"/>
          <w:rFonts w:hint="eastAsia" w:ascii="仿宋" w:hAnsi="仿宋" w:eastAsia="仿宋" w:cs="仿宋"/>
          <w:b w:val="0"/>
          <w:bCs w:val="0"/>
        </w:rPr>
        <w:t>九、</w:t>
      </w:r>
      <w:r>
        <w:rPr>
          <w:rFonts w:hint="eastAsia" w:ascii="仿宋" w:hAnsi="仿宋" w:eastAsia="仿宋" w:cs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 w:cs="仿宋"/>
          <w:b w:val="0"/>
          <w:bCs w:val="0"/>
        </w:rPr>
        <w:t>般公共预算财政拨款项目支出决算表</w:t>
      </w:r>
      <w:bookmarkEnd w:id="67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8" w:name="_Toc15396628"/>
      <w:r>
        <w:rPr>
          <w:rStyle w:val="25"/>
          <w:rFonts w:hint="eastAsia" w:ascii="仿宋" w:hAnsi="仿宋" w:eastAsia="仿宋" w:cs="仿宋"/>
          <w:b w:val="0"/>
          <w:bCs w:val="0"/>
        </w:rPr>
        <w:t>十、</w:t>
      </w:r>
      <w:r>
        <w:rPr>
          <w:rFonts w:hint="eastAsia" w:ascii="仿宋" w:hAnsi="仿宋" w:eastAsia="仿宋" w:cs="仿宋"/>
          <w:b w:val="0"/>
          <w:color w:val="000000"/>
        </w:rPr>
        <w:t>一</w:t>
      </w:r>
      <w:r>
        <w:rPr>
          <w:rStyle w:val="25"/>
          <w:rFonts w:hint="eastAsia" w:ascii="仿宋" w:hAnsi="仿宋" w:eastAsia="仿宋" w:cs="仿宋"/>
          <w:b w:val="0"/>
          <w:bCs w:val="0"/>
        </w:rPr>
        <w:t>般公共预算财政拨款“三公”经费支出决算表</w:t>
      </w:r>
      <w:bookmarkEnd w:id="68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69" w:name="_Toc15396629"/>
      <w:r>
        <w:rPr>
          <w:rStyle w:val="25"/>
          <w:rFonts w:hint="eastAsia" w:ascii="仿宋" w:hAnsi="仿宋" w:eastAsia="仿宋" w:cs="仿宋"/>
          <w:b w:val="0"/>
          <w:bCs w:val="0"/>
        </w:rPr>
        <w:t>十一、</w:t>
      </w:r>
      <w:r>
        <w:rPr>
          <w:rFonts w:hint="eastAsia" w:ascii="仿宋" w:hAnsi="仿宋" w:eastAsia="仿宋" w:cs="仿宋"/>
          <w:b w:val="0"/>
          <w:color w:val="000000"/>
        </w:rPr>
        <w:t>政</w:t>
      </w:r>
      <w:r>
        <w:rPr>
          <w:rStyle w:val="25"/>
          <w:rFonts w:hint="eastAsia" w:ascii="仿宋" w:hAnsi="仿宋" w:eastAsia="仿宋" w:cs="仿宋"/>
          <w:b w:val="0"/>
          <w:bCs w:val="0"/>
        </w:rPr>
        <w:t>府性基金预算财政拨款收入支出决算表</w:t>
      </w:r>
      <w:bookmarkEnd w:id="69"/>
    </w:p>
    <w:p>
      <w:pPr>
        <w:pStyle w:val="3"/>
        <w:rPr>
          <w:rFonts w:hint="eastAsia" w:ascii="仿宋" w:hAnsi="仿宋" w:eastAsia="仿宋" w:cs="仿宋"/>
          <w:color w:val="000000"/>
        </w:rPr>
      </w:pPr>
      <w:bookmarkStart w:id="70" w:name="_Toc15396630"/>
      <w:r>
        <w:rPr>
          <w:rStyle w:val="25"/>
          <w:rFonts w:hint="eastAsia" w:ascii="仿宋" w:hAnsi="仿宋" w:eastAsia="仿宋" w:cs="仿宋"/>
          <w:b w:val="0"/>
          <w:bCs w:val="0"/>
        </w:rPr>
        <w:t>十二、</w:t>
      </w:r>
      <w:r>
        <w:rPr>
          <w:rFonts w:hint="eastAsia" w:ascii="仿宋" w:hAnsi="仿宋" w:eastAsia="仿宋" w:cs="仿宋"/>
          <w:b w:val="0"/>
          <w:color w:val="000000"/>
        </w:rPr>
        <w:t>政</w:t>
      </w:r>
      <w:r>
        <w:rPr>
          <w:rStyle w:val="25"/>
          <w:rFonts w:hint="eastAsia" w:ascii="仿宋" w:hAnsi="仿宋" w:eastAsia="仿宋" w:cs="仿宋"/>
          <w:b w:val="0"/>
          <w:bCs w:val="0"/>
        </w:rPr>
        <w:t>府性基金预算财政拨款“三公”经费支出决算表</w:t>
      </w:r>
      <w:bookmarkEnd w:id="70"/>
    </w:p>
    <w:p>
      <w:pPr>
        <w:pStyle w:val="3"/>
        <w:rPr>
          <w:rFonts w:hint="eastAsia" w:ascii="仿宋" w:hAnsi="仿宋" w:eastAsia="仿宋" w:cs="仿宋"/>
          <w:color w:val="000000" w:themeColor="text1"/>
        </w:rPr>
      </w:pPr>
      <w:bookmarkStart w:id="71" w:name="_Toc15396631"/>
      <w:r>
        <w:rPr>
          <w:rStyle w:val="25"/>
          <w:rFonts w:hint="eastAsia" w:ascii="仿宋" w:hAnsi="仿宋" w:eastAsia="仿宋" w:cs="仿宋"/>
          <w:b w:val="0"/>
          <w:bCs w:val="0"/>
        </w:rPr>
        <w:t>十三、</w:t>
      </w:r>
      <w:r>
        <w:rPr>
          <w:rFonts w:hint="eastAsia" w:ascii="仿宋" w:hAnsi="仿宋" w:eastAsia="仿宋" w:cs="仿宋"/>
          <w:b w:val="0"/>
          <w:color w:val="000000"/>
        </w:rPr>
        <w:t>国</w:t>
      </w:r>
      <w:r>
        <w:rPr>
          <w:rStyle w:val="25"/>
          <w:rFonts w:hint="eastAsia" w:ascii="仿宋" w:hAnsi="仿宋" w:eastAsia="仿宋" w:cs="仿宋"/>
          <w:b w:val="0"/>
          <w:bCs w:val="0"/>
        </w:rPr>
        <w:t>有资本经营预算支出决算表</w:t>
      </w:r>
      <w:bookmarkEnd w:id="7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E6703B"/>
    <w:multiLevelType w:val="singleLevel"/>
    <w:tmpl w:val="C0E6703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61C"/>
    <w:rsid w:val="000222C6"/>
    <w:rsid w:val="0002549F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D19B0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3F6619"/>
    <w:rsid w:val="00406254"/>
    <w:rsid w:val="00416CD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4F403E"/>
    <w:rsid w:val="00505A47"/>
    <w:rsid w:val="00512FDA"/>
    <w:rsid w:val="00520DA0"/>
    <w:rsid w:val="005664BB"/>
    <w:rsid w:val="00566FFA"/>
    <w:rsid w:val="0057481D"/>
    <w:rsid w:val="00575F0B"/>
    <w:rsid w:val="0058486E"/>
    <w:rsid w:val="00585B33"/>
    <w:rsid w:val="0059014D"/>
    <w:rsid w:val="005B5C64"/>
    <w:rsid w:val="005C6BD0"/>
    <w:rsid w:val="005C6C4C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27533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F1991"/>
    <w:rsid w:val="007F2C2F"/>
    <w:rsid w:val="007F55FC"/>
    <w:rsid w:val="007F5665"/>
    <w:rsid w:val="00800112"/>
    <w:rsid w:val="00813348"/>
    <w:rsid w:val="008253BB"/>
    <w:rsid w:val="00833962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E98"/>
    <w:rsid w:val="009C37FB"/>
    <w:rsid w:val="009D3447"/>
    <w:rsid w:val="009D4711"/>
    <w:rsid w:val="009F1185"/>
    <w:rsid w:val="009F18CD"/>
    <w:rsid w:val="009F2A13"/>
    <w:rsid w:val="009F7527"/>
    <w:rsid w:val="00A039ED"/>
    <w:rsid w:val="00A04EB0"/>
    <w:rsid w:val="00A13CC1"/>
    <w:rsid w:val="00A16847"/>
    <w:rsid w:val="00A237D8"/>
    <w:rsid w:val="00A268C4"/>
    <w:rsid w:val="00A307CD"/>
    <w:rsid w:val="00A331C8"/>
    <w:rsid w:val="00A35117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0F83"/>
    <w:rsid w:val="00AD5620"/>
    <w:rsid w:val="00AD656B"/>
    <w:rsid w:val="00AD7C1B"/>
    <w:rsid w:val="00AE16BA"/>
    <w:rsid w:val="00AE1EBE"/>
    <w:rsid w:val="00AF37A0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30E69"/>
    <w:rsid w:val="00C33E72"/>
    <w:rsid w:val="00C354B2"/>
    <w:rsid w:val="00C35554"/>
    <w:rsid w:val="00C42709"/>
    <w:rsid w:val="00C533CC"/>
    <w:rsid w:val="00C5751C"/>
    <w:rsid w:val="00C61BFC"/>
    <w:rsid w:val="00C62B85"/>
    <w:rsid w:val="00C65438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179F5"/>
    <w:rsid w:val="00D20620"/>
    <w:rsid w:val="00D2207C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DF7548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66797"/>
    <w:rsid w:val="00E82267"/>
    <w:rsid w:val="00E853CE"/>
    <w:rsid w:val="00E867B6"/>
    <w:rsid w:val="00E87F08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6005274"/>
    <w:rsid w:val="0612569A"/>
    <w:rsid w:val="08872F1F"/>
    <w:rsid w:val="09783895"/>
    <w:rsid w:val="0D404576"/>
    <w:rsid w:val="0E396E51"/>
    <w:rsid w:val="10C055FF"/>
    <w:rsid w:val="11552894"/>
    <w:rsid w:val="14ED62C2"/>
    <w:rsid w:val="169E1FD6"/>
    <w:rsid w:val="16BB723D"/>
    <w:rsid w:val="19EF1B54"/>
    <w:rsid w:val="1B3B0D5F"/>
    <w:rsid w:val="1F7819F6"/>
    <w:rsid w:val="1F9740AF"/>
    <w:rsid w:val="20F27F7C"/>
    <w:rsid w:val="216876E5"/>
    <w:rsid w:val="225E2295"/>
    <w:rsid w:val="240371BF"/>
    <w:rsid w:val="2510580D"/>
    <w:rsid w:val="292955A4"/>
    <w:rsid w:val="29410C41"/>
    <w:rsid w:val="29FD04D3"/>
    <w:rsid w:val="2B0322A2"/>
    <w:rsid w:val="2B4B297E"/>
    <w:rsid w:val="2B50696E"/>
    <w:rsid w:val="2C5B4B91"/>
    <w:rsid w:val="2D253E30"/>
    <w:rsid w:val="2E3920F2"/>
    <w:rsid w:val="2F76601A"/>
    <w:rsid w:val="317C1665"/>
    <w:rsid w:val="319F7F4E"/>
    <w:rsid w:val="32132229"/>
    <w:rsid w:val="33136C1D"/>
    <w:rsid w:val="33611BC0"/>
    <w:rsid w:val="33DB6F34"/>
    <w:rsid w:val="36557CCE"/>
    <w:rsid w:val="38317619"/>
    <w:rsid w:val="3EE31D7C"/>
    <w:rsid w:val="3F473A48"/>
    <w:rsid w:val="40794016"/>
    <w:rsid w:val="416F57F9"/>
    <w:rsid w:val="444F189F"/>
    <w:rsid w:val="4662784A"/>
    <w:rsid w:val="4D0B7EC7"/>
    <w:rsid w:val="4ECE2238"/>
    <w:rsid w:val="4EE1395E"/>
    <w:rsid w:val="531C607E"/>
    <w:rsid w:val="58C87628"/>
    <w:rsid w:val="59EE693C"/>
    <w:rsid w:val="5AA467F0"/>
    <w:rsid w:val="5C2738C3"/>
    <w:rsid w:val="5C8728D2"/>
    <w:rsid w:val="5D8B41F0"/>
    <w:rsid w:val="5F112DD2"/>
    <w:rsid w:val="5F663956"/>
    <w:rsid w:val="5F9B3D4F"/>
    <w:rsid w:val="60AB5F0E"/>
    <w:rsid w:val="6335673C"/>
    <w:rsid w:val="63A73F5B"/>
    <w:rsid w:val="64042866"/>
    <w:rsid w:val="67DC1ED7"/>
    <w:rsid w:val="6C982F1B"/>
    <w:rsid w:val="6CAD50DD"/>
    <w:rsid w:val="6D941B1B"/>
    <w:rsid w:val="6F4D4274"/>
    <w:rsid w:val="72734D90"/>
    <w:rsid w:val="74B62079"/>
    <w:rsid w:val="75B86E4A"/>
    <w:rsid w:val="775908E8"/>
    <w:rsid w:val="78CF0009"/>
    <w:rsid w:val="79434D70"/>
    <w:rsid w:val="79451C25"/>
    <w:rsid w:val="7B54390A"/>
    <w:rsid w:val="7C4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3">
    <w:name w:val="Strong"/>
    <w:basedOn w:val="12"/>
    <w:qFormat/>
    <w:uiPriority w:val="99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字符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字符"/>
    <w:link w:val="8"/>
    <w:qFormat/>
    <w:locked/>
    <w:uiPriority w:val="99"/>
    <w:rPr>
      <w:sz w:val="18"/>
    </w:rPr>
  </w:style>
  <w:style w:type="character" w:customStyle="1" w:styleId="20">
    <w:name w:val="Body Text Char"/>
    <w:basedOn w:val="12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字符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字符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字符"/>
    <w:basedOn w:val="12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字符"/>
    <w:basedOn w:val="12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zh-CN"/>
              <a:t>收入合计</a:t>
            </a:r>
            <a:endParaRPr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7044944834451"/>
          <c:y val="0.1804531085353"/>
          <c:w val="0.363119040295294"/>
          <c:h val="0.62197049525816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Sheet1!$A$2:$A$8</c:f>
              <c:strCache>
                <c:ptCount val="7"/>
                <c:pt idx="0">
                  <c:v>一般公共预算财政拨款收入</c:v>
                </c:pt>
                <c:pt idx="1">
                  <c:v>政府性基金预算财政拨款收入</c:v>
                </c:pt>
                <c:pt idx="2">
                  <c:v>上级补助收入</c:v>
                </c:pt>
                <c:pt idx="3">
                  <c:v>事业收入</c:v>
                </c:pt>
                <c:pt idx="4">
                  <c:v>经营收入</c:v>
                </c:pt>
                <c:pt idx="5">
                  <c:v>附属单位上缴收入</c:v>
                </c:pt>
                <c:pt idx="6">
                  <c:v>其他收入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115.82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2019</a:t>
            </a:r>
            <a:r>
              <a:rPr altLang="en-US"/>
              <a:t>年度</a:t>
            </a:r>
            <a:r>
              <a:t>支出合计</a:t>
            </a:r>
          </a:p>
        </c:rich>
      </c:tx>
      <c:layout>
        <c:manualLayout>
          <c:xMode val="edge"/>
          <c:yMode val="edge"/>
          <c:x val="0.427450083828685"/>
          <c:y val="0.031827826614125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Sheet1!$A$2:$A$6</c:f>
              <c:strCache>
                <c:ptCount val="5"/>
                <c:pt idx="0">
                  <c:v>基本支出</c:v>
                </c:pt>
                <c:pt idx="1">
                  <c:v>项目支出</c:v>
                </c:pt>
                <c:pt idx="2">
                  <c:v>上缴上级支出</c:v>
                </c:pt>
                <c:pt idx="3">
                  <c:v>经营支出</c:v>
                </c:pt>
                <c:pt idx="4">
                  <c:v>对附属单位补助支出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115.82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财政拨款收支总计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469101895083768"/>
          <c:y val="0.261675824175824"/>
          <c:w val="0.920818456468003"/>
          <c:h val="0.416002747252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2018年财政拨款收支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116.32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2019年财政拨款收支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115.82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3305133"/>
        <c:axId val="200538958"/>
      </c:barChart>
      <c:catAx>
        <c:axId val="57330513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0538958"/>
        <c:crosses val="autoZero"/>
        <c:auto val="1"/>
        <c:lblAlgn val="ctr"/>
        <c:lblOffset val="100"/>
        <c:noMultiLvlLbl val="0"/>
      </c:catAx>
      <c:valAx>
        <c:axId val="20053895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330513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一般公共预算财政拨款支出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383791107279222"/>
          <c:y val="0.147933884297521"/>
          <c:w val="0.92898140165045"/>
          <c:h val="0.531515151515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2018年一般公共预算财政拨款支出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116.32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2019年一般公共预算财政拨款支出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115.82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406537"/>
        <c:axId val="142436442"/>
      </c:barChart>
      <c:catAx>
        <c:axId val="16440653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436442"/>
        <c:crosses val="autoZero"/>
        <c:auto val="1"/>
        <c:lblAlgn val="ctr"/>
        <c:lblOffset val="100"/>
        <c:noMultiLvlLbl val="0"/>
      </c:catAx>
      <c:valAx>
        <c:axId val="14243644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440653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一般公共预算财政拨款支出</a:t>
            </a:r>
          </a:p>
        </c:rich>
      </c:tx>
      <c:layout>
        <c:manualLayout>
          <c:xMode val="edge"/>
          <c:yMode val="edge"/>
          <c:x val="0.246421267893661"/>
          <c:y val="0.0096587250482936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28125"/>
          <c:y val="0.127"/>
          <c:w val="0.570625"/>
          <c:h val="0.76083333333333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公共安全支出</c:v>
                </c:pt>
                <c:pt idx="1">
                  <c:v>社会保障和就业支出</c:v>
                </c:pt>
                <c:pt idx="2">
                  <c:v>卫生健康支出</c:v>
                </c:pt>
                <c:pt idx="3">
                  <c:v>住房保障支出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93.31</c:v>
                </c:pt>
                <c:pt idx="1">
                  <c:v>14.25</c:v>
                </c:pt>
                <c:pt idx="2">
                  <c:v>8.57</c:v>
                </c:pt>
                <c:pt idx="3">
                  <c:v>2.39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1FA5C-FBC4-4E0C-90C9-F7AB8D53F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24</Pages>
  <Words>1284</Words>
  <Characters>7320</Characters>
  <Lines>61</Lines>
  <Paragraphs>17</Paragraphs>
  <TotalTime>34</TotalTime>
  <ScaleCrop>false</ScaleCrop>
  <LinksUpToDate>false</LinksUpToDate>
  <CharactersWithSpaces>8587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2020-08-04T01:49:00Z</dcterms:created>
  <dc:creator>曹颖</dc:creator>
  <cp:lastModifiedBy>陶淑群 </cp:lastModifiedBy>
  <cp:lastPrinted>2020-10-21T02:48:00Z</cp:lastPrinted>
  <dcterms:modified xsi:type="dcterms:W3CDTF">2020-10-26T07:25:41Z</dcterms:modified>
  <dc:title>四川省***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