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  <w:bookmarkStart w:id="0" w:name="_Toc15306267"/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  <w:bookmarkStart w:id="1" w:name="_Toc15396597"/>
      <w:bookmarkStart w:id="2" w:name="_Toc15378441"/>
      <w:bookmarkStart w:id="3" w:name="_Toc15377193"/>
      <w:bookmarkStart w:id="4" w:name="_Toc15377425"/>
      <w:bookmarkStart w:id="5" w:name="_Toc15396475"/>
      <w:r>
        <w:rPr>
          <w:rFonts w:ascii="黑体" w:hAnsi="黑体" w:eastAsia="黑体"/>
          <w:color w:val="000000"/>
          <w:sz w:val="72"/>
          <w:szCs w:val="72"/>
        </w:rPr>
        <w:t>201</w:t>
      </w:r>
      <w:r>
        <w:rPr>
          <w:rFonts w:hint="eastAsia" w:ascii="黑体" w:hAnsi="黑体" w:eastAsia="黑体"/>
          <w:color w:val="000000"/>
          <w:sz w:val="72"/>
          <w:szCs w:val="72"/>
        </w:rPr>
        <w:t>8</w:t>
      </w:r>
      <w:r>
        <w:rPr>
          <w:rFonts w:hint="eastAsia" w:ascii="方正小标宋简体" w:hAnsi="宋体" w:eastAsia="方正小标宋简体"/>
          <w:color w:val="000000"/>
          <w:sz w:val="72"/>
          <w:szCs w:val="72"/>
        </w:rPr>
        <w:t>年度</w:t>
      </w:r>
      <w:bookmarkEnd w:id="1"/>
      <w:bookmarkEnd w:id="2"/>
      <w:bookmarkEnd w:id="3"/>
      <w:bookmarkEnd w:id="4"/>
      <w:bookmarkEnd w:id="5"/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  <w:bookmarkStart w:id="6" w:name="_Toc15396476"/>
      <w:bookmarkStart w:id="7" w:name="_Toc15377194"/>
      <w:bookmarkStart w:id="8" w:name="_Toc15396598"/>
      <w:bookmarkStart w:id="9" w:name="_Toc15378442"/>
      <w:bookmarkStart w:id="10" w:name="_Toc15377426"/>
      <w:r>
        <w:rPr>
          <w:rFonts w:hint="eastAsia" w:ascii="方正小标宋简体" w:hAnsi="宋体" w:eastAsia="方正小标宋简体"/>
          <w:color w:val="000000"/>
          <w:sz w:val="72"/>
          <w:szCs w:val="72"/>
        </w:rPr>
        <w:t>四川省</w:t>
      </w:r>
      <w:bookmarkEnd w:id="0"/>
      <w:bookmarkStart w:id="11" w:name="_Toc15306268"/>
      <w:r>
        <w:rPr>
          <w:rFonts w:hint="eastAsia" w:ascii="方正小标宋简体" w:hAnsi="宋体" w:eastAsia="方正小标宋简体"/>
          <w:color w:val="000000"/>
          <w:sz w:val="72"/>
          <w:szCs w:val="72"/>
        </w:rPr>
        <w:t>壤塘县公证处决算</w:t>
      </w:r>
      <w:bookmarkEnd w:id="6"/>
      <w:bookmarkEnd w:id="7"/>
      <w:bookmarkEnd w:id="8"/>
      <w:bookmarkEnd w:id="9"/>
      <w:bookmarkEnd w:id="10"/>
      <w:bookmarkEnd w:id="11"/>
    </w:p>
    <w:p>
      <w:pPr>
        <w:adjustRightInd w:val="0"/>
        <w:snapToGrid w:val="0"/>
        <w:spacing w:line="360" w:lineRule="auto"/>
        <w:outlineLvl w:val="0"/>
        <w:rPr>
          <w:rFonts w:ascii="方正小标宋简体" w:hAnsi="宋体" w:eastAsia="方正小标宋简体"/>
          <w:color w:val="000000"/>
          <w:sz w:val="52"/>
          <w:szCs w:val="52"/>
        </w:rPr>
      </w:pPr>
    </w:p>
    <w:p>
      <w:pPr>
        <w:widowControl/>
        <w:jc w:val="center"/>
        <w:rPr>
          <w:rFonts w:ascii="黑体" w:hAnsi="黑体" w:eastAsia="黑体"/>
          <w:color w:val="000000"/>
          <w:sz w:val="48"/>
          <w:szCs w:val="48"/>
        </w:rPr>
      </w:pPr>
      <w:r>
        <w:rPr>
          <w:rFonts w:ascii="方正小标宋简体" w:hAnsi="宋体" w:eastAsia="方正小标宋简体"/>
          <w:color w:val="000000"/>
          <w:sz w:val="36"/>
          <w:szCs w:val="36"/>
        </w:rPr>
        <w:br w:type="page"/>
      </w:r>
      <w:r>
        <w:rPr>
          <w:rFonts w:hint="eastAsia" w:ascii="黑体" w:hAnsi="黑体" w:eastAsia="黑体"/>
          <w:color w:val="000000"/>
          <w:sz w:val="48"/>
          <w:szCs w:val="48"/>
        </w:rPr>
        <w:t>目录</w:t>
      </w:r>
    </w:p>
    <w:p>
      <w:pPr>
        <w:widowControl/>
        <w:jc w:val="center"/>
        <w:rPr>
          <w:rFonts w:ascii="黑体" w:hAnsi="黑体" w:eastAsia="黑体" w:cstheme="minorBidi"/>
          <w:sz w:val="28"/>
          <w:szCs w:val="28"/>
        </w:rPr>
      </w:pPr>
      <w:r>
        <w:rPr>
          <w:rFonts w:ascii="黑体" w:hAnsi="黑体" w:eastAsia="黑体"/>
          <w:color w:val="000000"/>
          <w:sz w:val="48"/>
          <w:szCs w:val="48"/>
        </w:rPr>
        <w:fldChar w:fldCharType="begin"/>
      </w:r>
      <w:r>
        <w:rPr>
          <w:rFonts w:ascii="黑体" w:hAnsi="黑体" w:eastAsia="黑体"/>
          <w:color w:val="000000"/>
          <w:sz w:val="48"/>
          <w:szCs w:val="48"/>
        </w:rPr>
        <w:instrText xml:space="preserve"> TOC \o "1-2" \h \z \u </w:instrText>
      </w:r>
      <w:r>
        <w:rPr>
          <w:rFonts w:ascii="黑体" w:hAnsi="黑体" w:eastAsia="黑体"/>
          <w:color w:val="000000"/>
          <w:sz w:val="48"/>
          <w:szCs w:val="48"/>
        </w:rPr>
        <w:fldChar w:fldCharType="separate"/>
      </w:r>
    </w:p>
    <w:p>
      <w:pPr>
        <w:pStyle w:val="10"/>
      </w:pPr>
      <w:r>
        <w:rPr>
          <w:rFonts w:hint="eastAsia"/>
        </w:rPr>
        <w:t>公开时间：2019年10月18日</w:t>
      </w:r>
    </w:p>
    <w:p/>
    <w:p>
      <w:pPr>
        <w:pStyle w:val="10"/>
        <w:rPr>
          <w:rFonts w:cstheme="minorBidi"/>
        </w:rPr>
      </w:pPr>
      <w:r>
        <w:fldChar w:fldCharType="begin"/>
      </w:r>
      <w:r>
        <w:instrText xml:space="preserve"> HYPERLINK \l "_Toc15396599" </w:instrText>
      </w:r>
      <w:r>
        <w:fldChar w:fldCharType="separate"/>
      </w:r>
      <w:r>
        <w:rPr>
          <w:rStyle w:val="15"/>
          <w:rFonts w:hint="eastAsia"/>
        </w:rPr>
        <w:t>第一部分部门概况</w:t>
      </w:r>
      <w:r>
        <w:tab/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"_Toc15396600"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一、基本职能及主要工作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"_Toc15396601"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二、机构设置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0"/>
      </w:pPr>
      <w:r>
        <w:fldChar w:fldCharType="begin"/>
      </w:r>
      <w:r>
        <w:instrText xml:space="preserve"> HYPERLINK \l "_Toc15396602" </w:instrText>
      </w:r>
      <w:r>
        <w:fldChar w:fldCharType="separate"/>
      </w:r>
      <w:r>
        <w:rPr>
          <w:rStyle w:val="15"/>
          <w:rFonts w:hint="eastAsia"/>
        </w:rPr>
        <w:t>第二部分</w:t>
      </w:r>
      <w:r>
        <w:rPr>
          <w:rStyle w:val="15"/>
        </w:rPr>
        <w:t xml:space="preserve"> 2018</w:t>
      </w:r>
      <w:r>
        <w:rPr>
          <w:rStyle w:val="15"/>
          <w:rFonts w:hint="eastAsia"/>
        </w:rPr>
        <w:t>年度部门决算情况说明</w:t>
      </w:r>
      <w:bookmarkStart w:id="72" w:name="_GoBack"/>
      <w:bookmarkEnd w:id="72"/>
      <w:r>
        <w:tab/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"_Toc15396603" </w:instrText>
      </w:r>
      <w:r>
        <w:fldChar w:fldCharType="separate"/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一、</w:t>
      </w:r>
      <w:r>
        <w:rPr>
          <w:rStyle w:val="15"/>
          <w:rFonts w:hint="eastAsia" w:ascii="仿宋" w:hAnsi="仿宋" w:eastAsia="仿宋"/>
          <w:sz w:val="28"/>
          <w:szCs w:val="28"/>
        </w:rPr>
        <w:t>收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入支出决算总体情况说明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"_Toc15396604" </w:instrText>
      </w:r>
      <w:r>
        <w:fldChar w:fldCharType="separate"/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二、</w:t>
      </w:r>
      <w:r>
        <w:rPr>
          <w:rStyle w:val="15"/>
          <w:rFonts w:hint="eastAsia" w:ascii="仿宋" w:hAnsi="仿宋" w:eastAsia="仿宋"/>
          <w:sz w:val="28"/>
          <w:szCs w:val="28"/>
        </w:rPr>
        <w:t>收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入决算情况说明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_Toc15396604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"_Toc15396605" </w:instrText>
      </w:r>
      <w:r>
        <w:fldChar w:fldCharType="separate"/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三、</w:t>
      </w:r>
      <w:r>
        <w:rPr>
          <w:rStyle w:val="15"/>
          <w:rFonts w:hint="eastAsia" w:ascii="仿宋" w:hAnsi="仿宋" w:eastAsia="仿宋"/>
          <w:sz w:val="28"/>
          <w:szCs w:val="28"/>
        </w:rPr>
        <w:t>支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出决算情况说明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_Toc15396605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"_Toc15396606"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四、财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政拨款收入支出决算总体情况说明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_Toc15396606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"_Toc15396607"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五、一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般公共预算财政拨款支出决算情况说明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_Toc15396607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"_Toc15396608"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六、一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般公共预算财政拨款基本支出决算情况说明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"_Toc15396609"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七、</w:t>
      </w:r>
      <w:r>
        <w:rPr>
          <w:rStyle w:val="15"/>
          <w:rFonts w:ascii="仿宋" w:hAnsi="仿宋" w:eastAsia="仿宋"/>
          <w:sz w:val="28"/>
          <w:szCs w:val="28"/>
        </w:rPr>
        <w:t>“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三公”经费财政拨款支出决算情况说明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"_Toc15396610"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八、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政府性基金预算支出决算情况说明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_Toc15396610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1"/>
      </w:pPr>
      <w:r>
        <w:fldChar w:fldCharType="begin"/>
      </w:r>
      <w:r>
        <w:instrText xml:space="preserve"> HYPERLINK \l "_Toc15396611" </w:instrText>
      </w:r>
      <w:r>
        <w:fldChar w:fldCharType="separate"/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九、</w:t>
      </w:r>
      <w:r>
        <w:rPr>
          <w:rStyle w:val="15"/>
          <w:rFonts w:hint="eastAsia" w:ascii="仿宋" w:hAnsi="仿宋" w:eastAsia="仿宋"/>
          <w:sz w:val="28"/>
          <w:szCs w:val="28"/>
        </w:rPr>
        <w:t xml:space="preserve"> 国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有资本经营预算支出决算情况说明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_Toc15396611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rPr>
          <w:color w:val="000000" w:themeColor="text1"/>
        </w:rPr>
      </w:pPr>
      <w:r>
        <w:rPr>
          <w:rStyle w:val="15"/>
          <w:rFonts w:hint="eastAsia" w:ascii="仿宋" w:hAnsi="仿宋" w:eastAsia="仿宋" w:cstheme="majorBidi"/>
          <w:bCs/>
          <w:color w:val="000000" w:themeColor="text1"/>
          <w:sz w:val="28"/>
          <w:szCs w:val="28"/>
          <w:u w:val="none"/>
        </w:rPr>
        <w:t>十、预算绩效情况说明</w:t>
      </w:r>
      <w:r>
        <w:rPr>
          <w:rStyle w:val="15"/>
          <w:rFonts w:ascii="仿宋" w:hAnsi="仿宋" w:eastAsia="仿宋" w:cstheme="majorBidi"/>
          <w:bCs/>
          <w:color w:val="000000" w:themeColor="text1"/>
          <w:sz w:val="28"/>
          <w:szCs w:val="28"/>
          <w:u w:val="none"/>
        </w:rPr>
        <w:t>…………………………………………</w:t>
      </w:r>
      <w:r>
        <w:rPr>
          <w:rStyle w:val="15"/>
          <w:rFonts w:hint="eastAsia" w:ascii="仿宋" w:hAnsi="仿宋" w:eastAsia="仿宋" w:cstheme="majorBidi"/>
          <w:bCs/>
          <w:color w:val="000000" w:themeColor="text1"/>
          <w:sz w:val="28"/>
          <w:szCs w:val="28"/>
          <w:u w:val="none"/>
        </w:rPr>
        <w:t xml:space="preserve">  10</w:t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fldChar w:fldCharType="begin"/>
      </w:r>
      <w:r>
        <w:instrText xml:space="preserve"> HYPERLINK \l "_Toc15396612"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十</w:t>
      </w:r>
      <w:r>
        <w:rPr>
          <w:rStyle w:val="15"/>
          <w:rFonts w:hint="eastAsia" w:ascii="仿宋" w:hAnsi="仿宋" w:eastAsia="仿宋" w:cstheme="majorBidi"/>
          <w:bCs/>
          <w:sz w:val="28"/>
          <w:szCs w:val="28"/>
        </w:rPr>
        <w:t>一、其他重要事项的情况说明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_Toc15396612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10"/>
        <w:rPr>
          <w:rFonts w:cstheme="minorBidi"/>
        </w:rPr>
      </w:pPr>
      <w:r>
        <w:fldChar w:fldCharType="begin"/>
      </w:r>
      <w:r>
        <w:instrText xml:space="preserve"> HYPERLINK \l "_Toc15396613" </w:instrText>
      </w:r>
      <w:r>
        <w:fldChar w:fldCharType="separate"/>
      </w:r>
      <w:r>
        <w:rPr>
          <w:rStyle w:val="15"/>
          <w:rFonts w:hint="eastAsia"/>
          <w:bCs/>
          <w:kern w:val="44"/>
        </w:rPr>
        <w:t>第三部分</w:t>
      </w:r>
      <w:r>
        <w:rPr>
          <w:rStyle w:val="15"/>
          <w:rFonts w:hint="eastAsia"/>
        </w:rPr>
        <w:t xml:space="preserve"> 名</w:t>
      </w:r>
      <w:r>
        <w:rPr>
          <w:rStyle w:val="15"/>
          <w:rFonts w:hint="eastAsia"/>
          <w:bCs/>
          <w:kern w:val="44"/>
        </w:rPr>
        <w:t>词解释</w:t>
      </w:r>
      <w:r>
        <w:tab/>
      </w:r>
      <w:r>
        <w:fldChar w:fldCharType="begin"/>
      </w:r>
      <w:r>
        <w:instrText xml:space="preserve"> PAGEREF _Toc15396613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0"/>
        <w:rPr>
          <w:rFonts w:hint="eastAsia" w:eastAsia="仿宋" w:cstheme="minorBidi"/>
          <w:lang w:val="en-US" w:eastAsia="zh-CN"/>
        </w:rPr>
      </w:pPr>
      <w:r>
        <w:fldChar w:fldCharType="begin"/>
      </w:r>
      <w:r>
        <w:instrText xml:space="preserve"> HYPERLINK \l "_Toc15396614" </w:instrText>
      </w:r>
      <w:r>
        <w:fldChar w:fldCharType="separate"/>
      </w:r>
      <w:r>
        <w:rPr>
          <w:rStyle w:val="15"/>
          <w:rFonts w:hint="eastAsia"/>
        </w:rPr>
        <w:t>第</w:t>
      </w:r>
      <w:r>
        <w:rPr>
          <w:rStyle w:val="15"/>
          <w:rFonts w:hint="eastAsia"/>
          <w:bCs/>
          <w:kern w:val="44"/>
        </w:rPr>
        <w:t>四部分附表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fldChar w:fldCharType="begin"/>
      </w:r>
      <w:r>
        <w:instrText xml:space="preserve"> HYPERLINK \l "_Toc15396619"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收入支出决算总表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</w:t>
      </w:r>
      <w:r>
        <w:fldChar w:fldCharType="begin"/>
      </w:r>
      <w:r>
        <w:instrText xml:space="preserve"> HYPERLINK \l "_Toc15396620"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收入总表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fldChar w:fldCharType="begin"/>
      </w:r>
      <w:r>
        <w:instrText xml:space="preserve"> HYPERLINK \l "_Toc15396621"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支出总表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</w:t>
      </w:r>
      <w:r>
        <w:fldChar w:fldCharType="begin"/>
      </w:r>
      <w:r>
        <w:instrText xml:space="preserve"> HYPERLINK \l "_Toc15396622"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财政拨款收入支出决算总表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</w:t>
      </w:r>
      <w:r>
        <w:fldChar w:fldCharType="begin"/>
      </w:r>
      <w:r>
        <w:instrText xml:space="preserve"> HYPERLINK \l "_Toc15396623"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财政拨款支出决算明细表（政府经济分类科目）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</w:t>
      </w:r>
      <w:r>
        <w:fldChar w:fldCharType="begin"/>
      </w:r>
      <w:r>
        <w:instrText xml:space="preserve"> HYPERLINK \l "_Toc15396624"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一般公共预算财政拨款支出决算表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</w:t>
      </w:r>
      <w:r>
        <w:fldChar w:fldCharType="begin"/>
      </w:r>
      <w:r>
        <w:instrText xml:space="preserve"> HYPERLINK \l "_Toc15396625"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一般公共预算财政拨款支出决算明细表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八、</w:t>
      </w:r>
      <w:r>
        <w:fldChar w:fldCharType="begin"/>
      </w:r>
      <w:r>
        <w:instrText xml:space="preserve"> HYPERLINK \l "_Toc15396626"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一般公共预算财政拨款基本支出决算表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九、</w:t>
      </w:r>
      <w:r>
        <w:fldChar w:fldCharType="begin"/>
      </w:r>
      <w:r>
        <w:instrText xml:space="preserve"> HYPERLINK \l "_Toc15396627"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一般公共预算财政拨款项目支出决算表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十、</w:t>
      </w:r>
      <w:r>
        <w:fldChar w:fldCharType="begin"/>
      </w:r>
      <w:r>
        <w:instrText xml:space="preserve"> HYPERLINK \l "_Toc15396628"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一般公共预算财政拨款“三公”经费支出决算表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十一、</w:t>
      </w:r>
      <w:r>
        <w:fldChar w:fldCharType="begin"/>
      </w:r>
      <w:r>
        <w:instrText xml:space="preserve"> HYPERLINK \l "_Toc15396629"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政府性基金预算财政拨款收入支出决算表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十二、</w:t>
      </w:r>
      <w:r>
        <w:fldChar w:fldCharType="begin"/>
      </w:r>
      <w:r>
        <w:instrText xml:space="preserve"> HYPERLINK \l "_Toc15396630"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政府性基金预算财政拨款“三公”经费支出决算表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11"/>
        <w:rPr>
          <w:rFonts w:ascii="仿宋" w:hAnsi="仿宋" w:eastAsia="仿宋" w:cstheme="minorBidi"/>
          <w:sz w:val="24"/>
        </w:rPr>
      </w:pPr>
      <w:r>
        <w:rPr>
          <w:rFonts w:hint="eastAsia" w:ascii="仿宋" w:hAnsi="仿宋" w:eastAsia="仿宋"/>
          <w:sz w:val="28"/>
          <w:szCs w:val="28"/>
        </w:rPr>
        <w:t>十三、</w:t>
      </w:r>
      <w:r>
        <w:fldChar w:fldCharType="begin"/>
      </w:r>
      <w:r>
        <w:instrText xml:space="preserve"> HYPERLINK \l "_Toc15396631" </w:instrText>
      </w:r>
      <w:r>
        <w:fldChar w:fldCharType="separate"/>
      </w:r>
      <w:r>
        <w:rPr>
          <w:rStyle w:val="15"/>
          <w:rFonts w:hint="eastAsia" w:ascii="仿宋" w:hAnsi="仿宋" w:eastAsia="仿宋"/>
          <w:sz w:val="28"/>
          <w:szCs w:val="28"/>
        </w:rPr>
        <w:t>国有资本经营预算支出决算表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widowControl/>
        <w:jc w:val="left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fldChar w:fldCharType="end"/>
      </w:r>
    </w:p>
    <w:p>
      <w:pPr>
        <w:widowControl/>
        <w:jc w:val="left"/>
        <w:rPr>
          <w:rFonts w:ascii="黑体" w:hAnsi="黑体" w:eastAsia="黑体"/>
          <w:bCs/>
          <w:kern w:val="44"/>
          <w:sz w:val="44"/>
          <w:szCs w:val="44"/>
        </w:rPr>
      </w:pPr>
      <w:bookmarkStart w:id="12" w:name="_Toc15377196"/>
      <w:bookmarkStart w:id="13" w:name="_Toc15396599"/>
      <w:r>
        <w:rPr>
          <w:rFonts w:ascii="黑体" w:hAnsi="黑体" w:eastAsia="黑体"/>
          <w:b/>
        </w:rPr>
        <w:br w:type="page"/>
      </w:r>
    </w:p>
    <w:p>
      <w:pPr>
        <w:pStyle w:val="2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</w:rPr>
        <w:t xml:space="preserve">第一部分 </w:t>
      </w:r>
      <w:r>
        <w:rPr>
          <w:rStyle w:val="25"/>
          <w:rFonts w:hint="eastAsia" w:ascii="黑体" w:hAnsi="黑体" w:eastAsia="黑体"/>
          <w:b w:val="0"/>
          <w:bCs w:val="0"/>
        </w:rPr>
        <w:t>部门概况</w:t>
      </w:r>
      <w:bookmarkEnd w:id="12"/>
      <w:bookmarkEnd w:id="13"/>
    </w:p>
    <w:p>
      <w:pPr>
        <w:pStyle w:val="3"/>
        <w:rPr>
          <w:rStyle w:val="26"/>
          <w:rFonts w:ascii="仿宋" w:hAnsi="仿宋" w:eastAsia="黑体"/>
          <w:b w:val="0"/>
          <w:bCs w:val="0"/>
        </w:rPr>
      </w:pPr>
      <w:bookmarkStart w:id="14" w:name="_Toc15377197"/>
      <w:bookmarkStart w:id="15" w:name="_Toc15396600"/>
      <w:r>
        <w:rPr>
          <w:rFonts w:hint="eastAsia" w:ascii="黑体" w:hAnsi="黑体" w:eastAsia="黑体"/>
          <w:b w:val="0"/>
          <w:color w:val="000000"/>
        </w:rPr>
        <w:t>一、基</w:t>
      </w:r>
      <w:r>
        <w:rPr>
          <w:rStyle w:val="26"/>
          <w:rFonts w:hint="eastAsia" w:ascii="黑体" w:hAnsi="黑体" w:eastAsia="黑体"/>
          <w:b w:val="0"/>
          <w:bCs w:val="0"/>
        </w:rPr>
        <w:t>本职能及主要工作</w:t>
      </w:r>
      <w:bookmarkEnd w:id="14"/>
      <w:bookmarkEnd w:id="15"/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bCs/>
          <w:color w:val="000000"/>
          <w:kern w:val="0"/>
          <w:sz w:val="32"/>
          <w:szCs w:val="32"/>
        </w:rPr>
      </w:pPr>
      <w:bookmarkStart w:id="16" w:name="_Toc15377198"/>
      <w:bookmarkStart w:id="17" w:name="_Toc15378445"/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>（一）主要职能。</w:t>
      </w:r>
      <w:bookmarkEnd w:id="16"/>
      <w:bookmarkEnd w:id="17"/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1.负责我县公证机构及公证业务工作的职责；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2.承办州司法局交办的公证机构及公证业务工作；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3.承办县司法局交办的其他事项。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bookmarkStart w:id="18" w:name="_Toc15377199"/>
      <w:bookmarkStart w:id="19" w:name="_Toc15378446"/>
      <w:r>
        <w:rPr>
          <w:rFonts w:hint="eastAsia" w:ascii="仿宋" w:hAnsi="仿宋" w:eastAsia="仿宋"/>
          <w:sz w:val="32"/>
          <w:szCs w:val="32"/>
        </w:rPr>
        <w:t>（二）2018年重点工作完成情况。</w:t>
      </w:r>
      <w:bookmarkEnd w:id="18"/>
      <w:bookmarkEnd w:id="19"/>
    </w:p>
    <w:p>
      <w:pPr>
        <w:numPr>
          <w:ilvl w:val="0"/>
          <w:numId w:val="1"/>
        </w:num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完成县司法局和上级主管部门下达的信息上报任务；</w:t>
      </w:r>
    </w:p>
    <w:p>
      <w:pPr>
        <w:numPr>
          <w:ilvl w:val="0"/>
          <w:numId w:val="1"/>
        </w:num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完成我县公证机构及公证业务工作；</w:t>
      </w:r>
    </w:p>
    <w:p>
      <w:pPr>
        <w:numPr>
          <w:ilvl w:val="0"/>
          <w:numId w:val="1"/>
        </w:num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完成公证机构改革准备工作。</w:t>
      </w:r>
    </w:p>
    <w:p>
      <w:pPr>
        <w:pStyle w:val="3"/>
        <w:rPr>
          <w:rStyle w:val="26"/>
          <w:b w:val="0"/>
          <w:bCs w:val="0"/>
        </w:rPr>
      </w:pPr>
      <w:bookmarkStart w:id="20" w:name="_Toc15377200"/>
      <w:bookmarkStart w:id="21" w:name="_Toc15396601"/>
      <w:r>
        <w:rPr>
          <w:rFonts w:hint="eastAsia" w:ascii="黑体" w:eastAsia="黑体"/>
          <w:b w:val="0"/>
          <w:color w:val="000000"/>
        </w:rPr>
        <w:t>二、</w:t>
      </w:r>
      <w:r>
        <w:rPr>
          <w:rFonts w:hint="eastAsia" w:ascii="黑体" w:hAnsi="黑体" w:eastAsia="黑体"/>
          <w:b w:val="0"/>
          <w:color w:val="000000"/>
        </w:rPr>
        <w:t>机</w:t>
      </w:r>
      <w:r>
        <w:rPr>
          <w:rStyle w:val="26"/>
          <w:rFonts w:hint="eastAsia" w:ascii="黑体" w:hAnsi="黑体" w:eastAsia="黑体"/>
          <w:b w:val="0"/>
          <w:bCs w:val="0"/>
        </w:rPr>
        <w:t>构设置</w:t>
      </w:r>
      <w:bookmarkEnd w:id="20"/>
      <w:bookmarkEnd w:id="21"/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县公证处属二级决算单位，是县司法局的下属事业单位，其中事业单位1个，事业人员8人。</w:t>
      </w:r>
    </w:p>
    <w:p>
      <w:pPr>
        <w:pStyle w:val="2"/>
        <w:ind w:right="440"/>
        <w:jc w:val="right"/>
      </w:pPr>
      <w:bookmarkStart w:id="22" w:name="_Toc15377204"/>
      <w:bookmarkStart w:id="23" w:name="_Toc15396602"/>
      <w:r>
        <w:rPr>
          <w:rFonts w:hint="eastAsia" w:ascii="黑体" w:hAnsi="黑体" w:eastAsia="黑体"/>
          <w:b w:val="0"/>
          <w:color w:val="000000"/>
        </w:rPr>
        <w:t>第二部分</w:t>
      </w:r>
      <w:r>
        <w:rPr>
          <w:rStyle w:val="25"/>
          <w:rFonts w:hint="eastAsia" w:ascii="黑体" w:hAnsi="黑体" w:eastAsia="黑体"/>
          <w:b w:val="0"/>
          <w:bCs w:val="0"/>
        </w:rPr>
        <w:t>2018年度部门决算情况说明</w:t>
      </w:r>
      <w:bookmarkEnd w:id="22"/>
      <w:bookmarkEnd w:id="23"/>
    </w:p>
    <w:p>
      <w:pPr>
        <w:pStyle w:val="24"/>
        <w:numPr>
          <w:ilvl w:val="0"/>
          <w:numId w:val="2"/>
        </w:numPr>
        <w:spacing w:line="600" w:lineRule="exact"/>
        <w:ind w:firstLineChars="0"/>
        <w:outlineLvl w:val="1"/>
        <w:rPr>
          <w:rStyle w:val="26"/>
          <w:rFonts w:ascii="黑体" w:hAnsi="黑体" w:eastAsia="黑体"/>
          <w:b w:val="0"/>
        </w:rPr>
      </w:pPr>
      <w:bookmarkStart w:id="24" w:name="_Toc15396603"/>
      <w:bookmarkStart w:id="25" w:name="_Toc15377205"/>
      <w:r>
        <w:rPr>
          <w:rFonts w:hint="eastAsia" w:ascii="黑体" w:hAnsi="黑体" w:eastAsia="黑体"/>
          <w:color w:val="000000"/>
          <w:sz w:val="32"/>
          <w:szCs w:val="32"/>
        </w:rPr>
        <w:t>收</w:t>
      </w:r>
      <w:r>
        <w:rPr>
          <w:rStyle w:val="26"/>
          <w:rFonts w:hint="eastAsia" w:ascii="黑体" w:hAnsi="黑体" w:eastAsia="黑体"/>
          <w:b w:val="0"/>
        </w:rPr>
        <w:t>入支出决算总体情况说明</w:t>
      </w:r>
      <w:bookmarkEnd w:id="24"/>
      <w:bookmarkEnd w:id="25"/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2018年度收、支总计116.32万元。与2017年相比，收、支总计各增加116.32万元。主要变动原因是壤塘县公证处是2018年新增的决算单位。</w:t>
      </w:r>
    </w:p>
    <w:p>
      <w:pPr>
        <w:spacing w:line="60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242570</wp:posOffset>
            </wp:positionV>
            <wp:extent cx="5117465" cy="1952625"/>
            <wp:effectExtent l="4445" t="4445" r="21590" b="5080"/>
            <wp:wrapThrough wrapText="bothSides">
              <wp:wrapPolygon>
                <wp:start x="-19" y="-49"/>
                <wp:lineTo x="-19" y="21445"/>
                <wp:lineTo x="21530" y="21445"/>
                <wp:lineTo x="21530" y="-49"/>
                <wp:lineTo x="-19" y="-49"/>
              </wp:wrapPolygon>
            </wp:wrapThrough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pStyle w:val="24"/>
        <w:numPr>
          <w:ilvl w:val="0"/>
          <w:numId w:val="2"/>
        </w:numPr>
        <w:spacing w:line="600" w:lineRule="exact"/>
        <w:ind w:firstLineChars="0"/>
        <w:outlineLvl w:val="1"/>
        <w:rPr>
          <w:rStyle w:val="26"/>
          <w:rFonts w:ascii="黑体" w:hAnsi="黑体" w:eastAsia="黑体"/>
          <w:b w:val="0"/>
        </w:rPr>
      </w:pPr>
      <w:bookmarkStart w:id="26" w:name="_Toc15396604"/>
      <w:bookmarkStart w:id="27" w:name="_Toc15377206"/>
      <w:r>
        <w:rPr>
          <w:rFonts w:hint="eastAsia" w:ascii="黑体" w:hAnsi="黑体" w:eastAsia="黑体"/>
          <w:color w:val="000000"/>
          <w:sz w:val="32"/>
          <w:szCs w:val="32"/>
        </w:rPr>
        <w:t>收</w:t>
      </w:r>
      <w:r>
        <w:rPr>
          <w:rStyle w:val="26"/>
          <w:rFonts w:hint="eastAsia" w:ascii="黑体" w:hAnsi="黑体" w:eastAsia="黑体"/>
          <w:b w:val="0"/>
        </w:rPr>
        <w:t>入决算情况说明</w:t>
      </w:r>
      <w:bookmarkEnd w:id="26"/>
      <w:bookmarkEnd w:id="27"/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8年本年收入合计116.32万元，其中：一般公共预算财政拨款收入116.32万元，占100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52070</wp:posOffset>
            </wp:positionV>
            <wp:extent cx="4995545" cy="2373630"/>
            <wp:effectExtent l="4445" t="4445" r="67310" b="22225"/>
            <wp:wrapThrough wrapText="bothSides">
              <wp:wrapPolygon>
                <wp:start x="-19" y="-40"/>
                <wp:lineTo x="-19" y="21456"/>
                <wp:lineTo x="21562" y="21456"/>
                <wp:lineTo x="21562" y="-40"/>
                <wp:lineTo x="-19" y="-40"/>
              </wp:wrapPolygon>
            </wp:wrapThrough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24"/>
        <w:numPr>
          <w:ilvl w:val="0"/>
          <w:numId w:val="2"/>
        </w:numPr>
        <w:spacing w:line="600" w:lineRule="exact"/>
        <w:ind w:firstLineChars="0"/>
        <w:outlineLvl w:val="1"/>
        <w:rPr>
          <w:rStyle w:val="26"/>
          <w:rFonts w:ascii="黑体" w:hAnsi="黑体" w:eastAsia="黑体"/>
          <w:b w:val="0"/>
        </w:rPr>
      </w:pPr>
      <w:bookmarkStart w:id="28" w:name="_Toc15396605"/>
      <w:bookmarkStart w:id="29" w:name="_Toc15377207"/>
      <w:r>
        <w:rPr>
          <w:rFonts w:hint="eastAsia" w:ascii="黑体" w:hAnsi="黑体" w:eastAsia="黑体"/>
          <w:color w:val="000000"/>
          <w:sz w:val="32"/>
          <w:szCs w:val="32"/>
        </w:rPr>
        <w:t>支</w:t>
      </w:r>
      <w:r>
        <w:rPr>
          <w:rStyle w:val="26"/>
          <w:rFonts w:hint="eastAsia" w:ascii="黑体" w:hAnsi="黑体" w:eastAsia="黑体"/>
          <w:b w:val="0"/>
        </w:rPr>
        <w:t>出决算情况说明</w:t>
      </w:r>
      <w:bookmarkEnd w:id="28"/>
      <w:bookmarkEnd w:id="29"/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  <w:shd w:val="pct10" w:color="auto" w:fill="FFFFFF"/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8年本年支出合计116.32万元，其中：基本支出116.32万元，占100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；项目支出0万元。</w:t>
      </w:r>
    </w:p>
    <w:p>
      <w:pPr>
        <w:spacing w:line="600" w:lineRule="exact"/>
        <w:ind w:firstLine="640" w:firstLineChars="200"/>
        <w:rPr>
          <w:rStyle w:val="26"/>
          <w:rFonts w:ascii="黑体" w:hAnsi="黑体" w:eastAsia="黑体"/>
          <w:b w:val="0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165735</wp:posOffset>
            </wp:positionV>
            <wp:extent cx="5080000" cy="1877060"/>
            <wp:effectExtent l="4445" t="4445" r="20955" b="80645"/>
            <wp:wrapThrough wrapText="bothSides">
              <wp:wrapPolygon>
                <wp:start x="-19" y="-51"/>
                <wp:lineTo x="-19" y="21432"/>
                <wp:lineTo x="21527" y="21432"/>
                <wp:lineTo x="21527" y="-51"/>
                <wp:lineTo x="-19" y="-51"/>
              </wp:wrapPolygon>
            </wp:wrapThrough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bookmarkStart w:id="30" w:name="_Toc15377208"/>
      <w:bookmarkStart w:id="31" w:name="_Toc15396606"/>
      <w:r>
        <w:rPr>
          <w:rFonts w:hint="eastAsia" w:ascii="黑体" w:hAnsi="黑体" w:eastAsia="黑体"/>
          <w:color w:val="000000"/>
          <w:sz w:val="32"/>
          <w:szCs w:val="32"/>
        </w:rPr>
        <w:t>四、财</w:t>
      </w:r>
      <w:r>
        <w:rPr>
          <w:rStyle w:val="26"/>
          <w:rFonts w:hint="eastAsia" w:ascii="黑体" w:hAnsi="黑体" w:eastAsia="黑体"/>
          <w:b w:val="0"/>
        </w:rPr>
        <w:t>政拨款收入支出决算总体情况说明</w:t>
      </w:r>
      <w:bookmarkEnd w:id="30"/>
      <w:bookmarkEnd w:id="31"/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8年财政拨款收、支总计116.32万元。与</w:t>
      </w: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7年相比，财政拨款收、支总计各增加116.32万元。主要变动原因是壤塘县公证处是2018年新增的决算单位。</w:t>
      </w:r>
    </w:p>
    <w:p>
      <w:pPr>
        <w:spacing w:line="600" w:lineRule="exact"/>
        <w:outlineLvl w:val="1"/>
        <w:rPr>
          <w:rStyle w:val="26"/>
          <w:rFonts w:ascii="黑体" w:hAnsi="黑体" w:eastAsia="黑体"/>
          <w:b w:val="0"/>
        </w:rPr>
      </w:pPr>
      <w:bookmarkStart w:id="32" w:name="_Toc15396607"/>
      <w:bookmarkStart w:id="33" w:name="_Toc15377209"/>
      <w:r>
        <w:rPr>
          <w:rFonts w:hint="eastAsia" w:ascii="黑体" w:hAnsi="黑体" w:eastAsia="黑体"/>
          <w:color w:val="00000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99695</wp:posOffset>
            </wp:positionV>
            <wp:extent cx="5080000" cy="2256790"/>
            <wp:effectExtent l="4445" t="4445" r="20955" b="5715"/>
            <wp:wrapThrough wrapText="bothSides">
              <wp:wrapPolygon>
                <wp:start x="-19" y="-43"/>
                <wp:lineTo x="-19" y="21472"/>
                <wp:lineTo x="21527" y="21472"/>
                <wp:lineTo x="21527" y="-43"/>
                <wp:lineTo x="-19" y="-43"/>
              </wp:wrapPolygon>
            </wp:wrapThrough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sz w:val="32"/>
          <w:szCs w:val="32"/>
        </w:rPr>
        <w:t>五、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一</w:t>
      </w:r>
      <w:r>
        <w:rPr>
          <w:rStyle w:val="26"/>
          <w:rFonts w:hint="eastAsia" w:ascii="黑体" w:hAnsi="黑体" w:eastAsia="黑体"/>
          <w:b w:val="0"/>
        </w:rPr>
        <w:t>般公共预算财政拨款支出决算情况说明</w:t>
      </w:r>
      <w:bookmarkEnd w:id="32"/>
      <w:bookmarkEnd w:id="33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color w:val="000000"/>
          <w:sz w:val="32"/>
          <w:szCs w:val="32"/>
        </w:rPr>
      </w:pPr>
      <w:bookmarkStart w:id="34" w:name="_Toc15377210"/>
      <w:r>
        <w:rPr>
          <w:rFonts w:hint="eastAsia" w:ascii="仿宋" w:hAnsi="仿宋" w:eastAsia="仿宋"/>
          <w:b/>
          <w:color w:val="000000"/>
          <w:sz w:val="32"/>
          <w:szCs w:val="32"/>
        </w:rPr>
        <w:t>（一）一般公共预算财政拨款支出决算总体情况</w:t>
      </w:r>
      <w:bookmarkEnd w:id="34"/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8年一般公共预算财政拨款支出116.32万元，占本年支出合计的100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。与</w:t>
      </w: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7年相比，一般公共预算财政拨款增加116.32万元。主要变动原因是壤塘县公证处是2018年新增的决算单位。</w:t>
      </w:r>
    </w:p>
    <w:p>
      <w:pPr>
        <w:spacing w:line="600" w:lineRule="exact"/>
        <w:ind w:firstLine="640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252095</wp:posOffset>
            </wp:positionV>
            <wp:extent cx="5080000" cy="2458085"/>
            <wp:effectExtent l="4445" t="4445" r="20955" b="52070"/>
            <wp:wrapThrough wrapText="bothSides">
              <wp:wrapPolygon>
                <wp:start x="-19" y="-39"/>
                <wp:lineTo x="-19" y="21555"/>
                <wp:lineTo x="21527" y="21555"/>
                <wp:lineTo x="21527" y="-39"/>
                <wp:lineTo x="-19" y="-39"/>
              </wp:wrapPolygon>
            </wp:wrapThrough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bookmarkStart w:id="35" w:name="_Toc15377211"/>
      <w:r>
        <w:rPr>
          <w:rFonts w:hint="eastAsia" w:ascii="仿宋" w:hAnsi="仿宋" w:eastAsia="仿宋"/>
          <w:b/>
          <w:color w:val="000000"/>
          <w:sz w:val="32"/>
          <w:szCs w:val="32"/>
        </w:rPr>
        <w:t>（二）一般公共预算财政拨款支出决算结构情况</w:t>
      </w:r>
      <w:bookmarkEnd w:id="35"/>
    </w:p>
    <w:p>
      <w:pPr>
        <w:spacing w:line="600" w:lineRule="exact"/>
        <w:ind w:firstLine="64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8年一般公共预算财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政拨款支出116.32万元，主要用于以下方面</w:t>
      </w:r>
      <w:r>
        <w:rPr>
          <w:rFonts w:ascii="仿宋" w:hAnsi="仿宋" w:eastAsia="仿宋"/>
          <w:color w:val="000000" w:themeColor="text1"/>
          <w:sz w:val="32"/>
          <w:szCs w:val="32"/>
        </w:rPr>
        <w:t>: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公共安全支出（类）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87.07万元，占74.85</w:t>
      </w:r>
      <w:r>
        <w:rPr>
          <w:rFonts w:ascii="仿宋" w:hAnsi="仿宋" w:eastAsia="仿宋"/>
          <w:color w:val="000000" w:themeColor="text1"/>
          <w:sz w:val="32"/>
          <w:szCs w:val="32"/>
        </w:rPr>
        <w:t>%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；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社会保障和就业（类）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支出17.06万元，占14.67</w:t>
      </w:r>
      <w:r>
        <w:rPr>
          <w:rFonts w:ascii="仿宋" w:hAnsi="仿宋" w:eastAsia="仿宋"/>
          <w:color w:val="000000" w:themeColor="text1"/>
          <w:sz w:val="32"/>
          <w:szCs w:val="32"/>
        </w:rPr>
        <w:t>%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；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医疗卫生及计划生育支出（类）支出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4.11万元，占3.53</w:t>
      </w:r>
      <w:r>
        <w:rPr>
          <w:rFonts w:ascii="仿宋" w:hAnsi="仿宋" w:eastAsia="仿宋"/>
          <w:color w:val="000000" w:themeColor="text1"/>
          <w:sz w:val="32"/>
          <w:szCs w:val="32"/>
        </w:rPr>
        <w:t>%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；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住房保障支出（类）支出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8.08万元，占6.95</w:t>
      </w:r>
      <w:r>
        <w:rPr>
          <w:rFonts w:ascii="仿宋" w:hAnsi="仿宋" w:eastAsia="仿宋"/>
          <w:color w:val="000000" w:themeColor="text1"/>
          <w:sz w:val="32"/>
          <w:szCs w:val="32"/>
        </w:rPr>
        <w:t>%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。</w:t>
      </w: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color w:val="000000"/>
          <w:sz w:val="32"/>
          <w:szCs w:val="32"/>
        </w:rPr>
      </w:pPr>
      <w:bookmarkStart w:id="36" w:name="_Toc15377212"/>
      <w:r>
        <w:rPr>
          <w:rFonts w:hint="eastAsia" w:ascii="仿宋" w:hAnsi="仿宋" w:eastAsia="仿宋"/>
          <w:b/>
          <w:color w:val="000000"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42545</wp:posOffset>
            </wp:positionV>
            <wp:extent cx="5069840" cy="2409825"/>
            <wp:effectExtent l="4445" t="4445" r="12065" b="5080"/>
            <wp:wrapThrough wrapText="bothSides">
              <wp:wrapPolygon>
                <wp:start x="-19" y="-40"/>
                <wp:lineTo x="-19" y="21475"/>
                <wp:lineTo x="21570" y="21475"/>
                <wp:lineTo x="21570" y="-40"/>
                <wp:lineTo x="-19" y="-40"/>
              </wp:wrapPolygon>
            </wp:wrapThrough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（三）一般公共预算财政拨款支出决算具体情况</w:t>
      </w:r>
      <w:bookmarkEnd w:id="36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color w:val="FF0000"/>
          <w:sz w:val="32"/>
          <w:szCs w:val="32"/>
        </w:rPr>
      </w:pPr>
      <w:bookmarkStart w:id="37" w:name="_Toc15377444"/>
      <w:bookmarkStart w:id="38" w:name="_Toc15378460"/>
      <w:bookmarkStart w:id="39" w:name="_Toc15377213"/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2018年般公共预算支出决算数为116.32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，</w:t>
      </w:r>
      <w:r>
        <w:rPr>
          <w:rStyle w:val="14"/>
          <w:rFonts w:hint="eastAsia" w:ascii="仿宋" w:hAnsi="仿宋" w:eastAsia="仿宋"/>
          <w:bCs/>
          <w:color w:val="000000" w:themeColor="text1"/>
          <w:sz w:val="32"/>
          <w:szCs w:val="32"/>
        </w:rPr>
        <w:t>完成</w:t>
      </w:r>
      <w:r>
        <w:rPr>
          <w:rStyle w:val="14"/>
          <w:rFonts w:hint="eastAsia" w:ascii="仿宋" w:hAnsi="仿宋" w:eastAsia="仿宋"/>
          <w:bCs/>
          <w:color w:val="000000"/>
          <w:sz w:val="32"/>
          <w:szCs w:val="32"/>
        </w:rPr>
        <w:t>预算100</w:t>
      </w:r>
      <w:r>
        <w:rPr>
          <w:rStyle w:val="14"/>
          <w:rFonts w:ascii="仿宋" w:hAnsi="仿宋" w:eastAsia="仿宋"/>
          <w:bCs/>
          <w:color w:val="000000"/>
          <w:sz w:val="32"/>
          <w:szCs w:val="32"/>
        </w:rPr>
        <w:t>%</w:t>
      </w:r>
      <w:r>
        <w:rPr>
          <w:rStyle w:val="14"/>
          <w:rFonts w:hint="eastAsia" w:ascii="仿宋" w:hAnsi="仿宋" w:eastAsia="仿宋"/>
          <w:bCs/>
          <w:color w:val="000000"/>
          <w:sz w:val="32"/>
          <w:szCs w:val="32"/>
        </w:rPr>
        <w:t>。其中：</w:t>
      </w:r>
      <w:bookmarkEnd w:id="37"/>
      <w:bookmarkEnd w:id="38"/>
      <w:bookmarkEnd w:id="39"/>
    </w:p>
    <w:p>
      <w:pPr>
        <w:numPr>
          <w:ilvl w:val="0"/>
          <w:numId w:val="3"/>
        </w:numPr>
        <w:spacing w:line="560" w:lineRule="exact"/>
        <w:ind w:firstLine="643" w:firstLineChars="200"/>
        <w:rPr>
          <w:rStyle w:val="14"/>
          <w:rFonts w:ascii="仿宋_GB2312" w:eastAsia="仿宋_GB2312"/>
          <w:b w:val="0"/>
          <w:color w:val="000000"/>
          <w:sz w:val="32"/>
          <w:szCs w:val="32"/>
        </w:rPr>
      </w:pPr>
      <w:r>
        <w:rPr>
          <w:rStyle w:val="14"/>
          <w:rFonts w:hint="eastAsia" w:ascii="仿宋_GB2312" w:eastAsia="仿宋_GB2312"/>
          <w:color w:val="000000"/>
          <w:sz w:val="32"/>
          <w:szCs w:val="32"/>
        </w:rPr>
        <w:t>公共安全204（类）06（款）:</w:t>
      </w:r>
      <w:r>
        <w:rPr>
          <w:rStyle w:val="14"/>
          <w:rFonts w:hint="eastAsia" w:ascii="仿宋_GB2312" w:eastAsia="仿宋_GB2312"/>
          <w:b w:val="0"/>
          <w:color w:val="000000"/>
          <w:sz w:val="32"/>
          <w:szCs w:val="32"/>
        </w:rPr>
        <w:t xml:space="preserve"> 支出决算为87.07万元，完成预算100%，决算数等于预算数的主要原因是</w:t>
      </w:r>
      <w:r>
        <w:rPr>
          <w:rFonts w:hint="eastAsia" w:ascii="仿宋" w:hAnsi="仿宋" w:eastAsia="仿宋"/>
          <w:color w:val="000000"/>
          <w:sz w:val="32"/>
          <w:szCs w:val="32"/>
        </w:rPr>
        <w:t>壤塘县公证处是2018年新增的决算单位</w:t>
      </w:r>
      <w:r>
        <w:rPr>
          <w:rStyle w:val="14"/>
          <w:rFonts w:hint="eastAsia" w:ascii="仿宋_GB2312" w:eastAsia="仿宋_GB2312"/>
          <w:b w:val="0"/>
          <w:color w:val="00000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Style w:val="14"/>
          <w:rFonts w:ascii="仿宋_GB2312" w:eastAsia="仿宋_GB2312"/>
          <w:b w:val="0"/>
          <w:color w:val="000000"/>
          <w:sz w:val="32"/>
          <w:szCs w:val="32"/>
        </w:rPr>
      </w:pPr>
      <w:r>
        <w:rPr>
          <w:rStyle w:val="14"/>
          <w:rFonts w:hint="eastAsia" w:ascii="仿宋_GB2312" w:eastAsia="仿宋_GB2312"/>
          <w:color w:val="000000"/>
          <w:sz w:val="32"/>
          <w:szCs w:val="32"/>
        </w:rPr>
        <w:t>（1）事业运行204（类）06（款）50项）:</w:t>
      </w:r>
      <w:r>
        <w:rPr>
          <w:rStyle w:val="14"/>
          <w:rFonts w:hint="eastAsia" w:ascii="仿宋_GB2312" w:eastAsia="仿宋_GB2312"/>
          <w:b w:val="0"/>
          <w:color w:val="000000"/>
          <w:sz w:val="32"/>
          <w:szCs w:val="32"/>
        </w:rPr>
        <w:t xml:space="preserve"> 支出决算为87.07万元，完成预算100%；决算数等于预算数的主要原因是</w:t>
      </w:r>
      <w:r>
        <w:rPr>
          <w:rFonts w:hint="eastAsia" w:ascii="仿宋" w:hAnsi="仿宋" w:eastAsia="仿宋"/>
          <w:color w:val="000000"/>
          <w:sz w:val="32"/>
          <w:szCs w:val="32"/>
        </w:rPr>
        <w:t>壤塘县公证处是2018年新增的决算单位</w:t>
      </w:r>
      <w:r>
        <w:rPr>
          <w:rStyle w:val="14"/>
          <w:rFonts w:hint="eastAsia" w:ascii="仿宋_GB2312" w:eastAsia="仿宋_GB2312"/>
          <w:b w:val="0"/>
          <w:color w:val="00000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Style w:val="14"/>
          <w:rFonts w:ascii="仿宋_GB2312" w:eastAsia="仿宋_GB2312"/>
          <w:b w:val="0"/>
          <w:color w:val="000000"/>
          <w:sz w:val="32"/>
          <w:szCs w:val="32"/>
        </w:rPr>
      </w:pPr>
      <w:r>
        <w:rPr>
          <w:rStyle w:val="14"/>
          <w:rFonts w:hint="eastAsia" w:ascii="仿宋_GB2312" w:eastAsia="仿宋_GB2312"/>
          <w:color w:val="000000"/>
          <w:sz w:val="32"/>
          <w:szCs w:val="32"/>
        </w:rPr>
        <w:t>2.社会保障和就业208（类）:</w:t>
      </w:r>
      <w:r>
        <w:rPr>
          <w:rStyle w:val="14"/>
          <w:rFonts w:hint="eastAsia" w:ascii="仿宋_GB2312" w:eastAsia="仿宋_GB2312"/>
          <w:b w:val="0"/>
          <w:color w:val="000000"/>
          <w:sz w:val="32"/>
          <w:szCs w:val="32"/>
        </w:rPr>
        <w:t xml:space="preserve"> 支出决算为17.06万元，完成预算100%，决算数等于预算数的主要原因是</w:t>
      </w:r>
      <w:r>
        <w:rPr>
          <w:rFonts w:hint="eastAsia" w:ascii="仿宋" w:hAnsi="仿宋" w:eastAsia="仿宋"/>
          <w:color w:val="000000"/>
          <w:sz w:val="32"/>
          <w:szCs w:val="32"/>
        </w:rPr>
        <w:t>壤塘县公证处是2018年新增的决算单位</w:t>
      </w:r>
      <w:r>
        <w:rPr>
          <w:rStyle w:val="14"/>
          <w:rFonts w:hint="eastAsia" w:ascii="仿宋_GB2312" w:eastAsia="仿宋_GB2312"/>
          <w:b w:val="0"/>
          <w:color w:val="00000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Style w:val="14"/>
          <w:rFonts w:hint="eastAsia" w:ascii="仿宋_GB2312" w:eastAsia="仿宋_GB2312"/>
          <w:color w:val="000000"/>
          <w:sz w:val="32"/>
          <w:szCs w:val="32"/>
        </w:rPr>
        <w:t>（1）机关事业单位基本养老保险208（类）05（款）05（项）:</w:t>
      </w:r>
      <w:r>
        <w:rPr>
          <w:rStyle w:val="14"/>
          <w:rFonts w:hint="eastAsia" w:ascii="仿宋_GB2312" w:eastAsia="仿宋_GB2312"/>
          <w:b w:val="0"/>
          <w:color w:val="000000"/>
          <w:sz w:val="32"/>
          <w:szCs w:val="32"/>
        </w:rPr>
        <w:t xml:space="preserve"> 支出决算为12.18万元，完成预算100%，决算数等于预算数的主要原因是</w:t>
      </w:r>
      <w:r>
        <w:rPr>
          <w:rFonts w:hint="eastAsia" w:ascii="仿宋" w:hAnsi="仿宋" w:eastAsia="仿宋"/>
          <w:color w:val="000000"/>
          <w:sz w:val="32"/>
          <w:szCs w:val="32"/>
        </w:rPr>
        <w:t>壤塘县公证处是2018年新增的决算单位</w:t>
      </w:r>
      <w:r>
        <w:rPr>
          <w:rStyle w:val="14"/>
          <w:rFonts w:hint="eastAsia" w:ascii="仿宋_GB2312" w:eastAsia="仿宋_GB2312"/>
          <w:b w:val="0"/>
          <w:color w:val="000000"/>
          <w:sz w:val="32"/>
          <w:szCs w:val="32"/>
        </w:rPr>
        <w:t>；</w:t>
      </w:r>
    </w:p>
    <w:p>
      <w:pPr>
        <w:spacing w:line="560" w:lineRule="exact"/>
        <w:ind w:firstLine="643" w:firstLineChars="200"/>
        <w:rPr>
          <w:rStyle w:val="14"/>
          <w:rFonts w:ascii="仿宋_GB2312" w:eastAsia="仿宋_GB2312"/>
          <w:b w:val="0"/>
          <w:color w:val="000000"/>
          <w:sz w:val="32"/>
          <w:szCs w:val="32"/>
        </w:rPr>
      </w:pPr>
      <w:r>
        <w:rPr>
          <w:rStyle w:val="14"/>
          <w:rFonts w:hint="eastAsia" w:ascii="仿宋_GB2312" w:eastAsia="仿宋_GB2312"/>
          <w:color w:val="000000"/>
          <w:sz w:val="32"/>
          <w:szCs w:val="32"/>
        </w:rPr>
        <w:t>（2）机关事业单位职业年金208（类）05（款）06（项）:</w:t>
      </w:r>
      <w:r>
        <w:rPr>
          <w:rStyle w:val="14"/>
          <w:rFonts w:hint="eastAsia" w:ascii="仿宋_GB2312" w:eastAsia="仿宋_GB2312"/>
          <w:b w:val="0"/>
          <w:color w:val="000000"/>
          <w:sz w:val="32"/>
          <w:szCs w:val="32"/>
        </w:rPr>
        <w:t xml:space="preserve"> 支出决算为4.88万元，完成预算100%，决算数等于预算数的主要原因是</w:t>
      </w:r>
      <w:r>
        <w:rPr>
          <w:rFonts w:hint="eastAsia" w:ascii="仿宋" w:hAnsi="仿宋" w:eastAsia="仿宋"/>
          <w:color w:val="000000"/>
          <w:sz w:val="32"/>
          <w:szCs w:val="32"/>
        </w:rPr>
        <w:t>壤塘县公证处是2018年新增的决算单位</w:t>
      </w:r>
      <w:r>
        <w:rPr>
          <w:rStyle w:val="14"/>
          <w:rFonts w:hint="eastAsia" w:ascii="仿宋_GB2312" w:eastAsia="仿宋_GB2312"/>
          <w:b w:val="0"/>
          <w:color w:val="00000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Style w:val="14"/>
          <w:rFonts w:hint="eastAsia" w:ascii="仿宋_GB2312" w:eastAsia="仿宋_GB2312"/>
          <w:color w:val="000000"/>
          <w:sz w:val="32"/>
          <w:szCs w:val="32"/>
        </w:rPr>
        <w:t>3.医疗卫生与计划生育210（类）:</w:t>
      </w:r>
      <w:r>
        <w:rPr>
          <w:rStyle w:val="14"/>
          <w:rFonts w:hint="eastAsia" w:ascii="仿宋_GB2312" w:eastAsia="仿宋_GB2312"/>
          <w:b w:val="0"/>
          <w:color w:val="000000"/>
          <w:sz w:val="32"/>
          <w:szCs w:val="32"/>
        </w:rPr>
        <w:t>支出决算为4.11万元，完成预算100%，决算数等于预算数的主要原因是</w:t>
      </w:r>
      <w:r>
        <w:rPr>
          <w:rFonts w:hint="eastAsia" w:ascii="仿宋" w:hAnsi="仿宋" w:eastAsia="仿宋"/>
          <w:color w:val="000000"/>
          <w:sz w:val="32"/>
          <w:szCs w:val="32"/>
        </w:rPr>
        <w:t>壤塘县公证处是2018年新增的决算单位。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Style w:val="14"/>
          <w:rFonts w:hint="eastAsia" w:ascii="仿宋_GB2312" w:eastAsia="仿宋_GB2312"/>
          <w:color w:val="000000"/>
          <w:sz w:val="32"/>
          <w:szCs w:val="32"/>
        </w:rPr>
        <w:t>（1）行政单位医疗210（类）11（款）01（项）:</w:t>
      </w:r>
      <w:r>
        <w:rPr>
          <w:rStyle w:val="14"/>
          <w:rFonts w:hint="eastAsia" w:ascii="仿宋_GB2312" w:eastAsia="仿宋_GB2312"/>
          <w:b w:val="0"/>
          <w:color w:val="000000"/>
          <w:sz w:val="32"/>
          <w:szCs w:val="32"/>
        </w:rPr>
        <w:t>支出决算为4.11万元，完成预算100%，决算数等于预算数的主要原因是</w:t>
      </w:r>
      <w:r>
        <w:rPr>
          <w:rFonts w:hint="eastAsia" w:ascii="仿宋" w:hAnsi="仿宋" w:eastAsia="仿宋"/>
          <w:color w:val="000000"/>
          <w:sz w:val="32"/>
          <w:szCs w:val="32"/>
        </w:rPr>
        <w:t>壤塘县公证处是2018年新增的决算单位</w:t>
      </w:r>
      <w:r>
        <w:rPr>
          <w:rStyle w:val="14"/>
          <w:rFonts w:hint="eastAsia" w:ascii="仿宋_GB2312" w:eastAsia="仿宋_GB2312"/>
          <w:b w:val="0"/>
          <w:color w:val="00000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Style w:val="14"/>
          <w:rFonts w:ascii="仿宋_GB2312" w:eastAsia="仿宋_GB2312"/>
          <w:b w:val="0"/>
          <w:color w:val="000000"/>
          <w:sz w:val="32"/>
          <w:szCs w:val="32"/>
        </w:rPr>
      </w:pPr>
      <w:r>
        <w:rPr>
          <w:rStyle w:val="14"/>
          <w:rFonts w:hint="eastAsia" w:ascii="仿宋_GB2312" w:eastAsia="仿宋_GB2312"/>
          <w:color w:val="000000"/>
          <w:sz w:val="32"/>
          <w:szCs w:val="32"/>
        </w:rPr>
        <w:t>4.住房保障支出221（类）:</w:t>
      </w:r>
      <w:r>
        <w:rPr>
          <w:rStyle w:val="14"/>
          <w:rFonts w:hint="eastAsia" w:ascii="仿宋_GB2312" w:eastAsia="仿宋_GB2312"/>
          <w:b w:val="0"/>
          <w:color w:val="000000"/>
          <w:sz w:val="32"/>
          <w:szCs w:val="32"/>
        </w:rPr>
        <w:t>支出决算为8.08万元，完成预算100%，决算数等于预算数的主要原因是</w:t>
      </w:r>
      <w:r>
        <w:rPr>
          <w:rFonts w:hint="eastAsia" w:ascii="仿宋" w:hAnsi="仿宋" w:eastAsia="仿宋"/>
          <w:color w:val="000000"/>
          <w:sz w:val="32"/>
          <w:szCs w:val="32"/>
        </w:rPr>
        <w:t>壤塘县公证处是2018年新增的决算单位</w:t>
      </w:r>
      <w:r>
        <w:rPr>
          <w:rStyle w:val="14"/>
          <w:rFonts w:hint="eastAsia" w:ascii="仿宋_GB2312" w:eastAsia="仿宋_GB2312"/>
          <w:b w:val="0"/>
          <w:color w:val="00000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Style w:val="14"/>
          <w:rFonts w:hint="eastAsia" w:ascii="仿宋_GB2312" w:eastAsia="仿宋_GB2312"/>
          <w:color w:val="000000"/>
          <w:sz w:val="32"/>
          <w:szCs w:val="32"/>
        </w:rPr>
        <w:t>(1)住房公积金221（类）02（款）01（项）:</w:t>
      </w:r>
      <w:r>
        <w:rPr>
          <w:rStyle w:val="14"/>
          <w:rFonts w:hint="eastAsia" w:ascii="仿宋_GB2312" w:eastAsia="仿宋_GB2312"/>
          <w:b w:val="0"/>
          <w:color w:val="000000"/>
          <w:sz w:val="32"/>
          <w:szCs w:val="32"/>
        </w:rPr>
        <w:t>支出决算为8.08万元，完成预算100%，决算数等于预算数的主要原因是</w:t>
      </w:r>
      <w:r>
        <w:rPr>
          <w:rFonts w:hint="eastAsia" w:ascii="仿宋" w:hAnsi="仿宋" w:eastAsia="仿宋"/>
          <w:color w:val="000000"/>
          <w:sz w:val="32"/>
          <w:szCs w:val="32"/>
        </w:rPr>
        <w:t>壤塘县公证处是2018年新增的决算单位</w:t>
      </w:r>
      <w:r>
        <w:rPr>
          <w:rStyle w:val="14"/>
          <w:rFonts w:hint="eastAsia" w:ascii="仿宋_GB2312" w:eastAsia="仿宋_GB2312"/>
          <w:b w:val="0"/>
          <w:color w:val="000000"/>
          <w:sz w:val="32"/>
          <w:szCs w:val="32"/>
        </w:rPr>
        <w:t>。</w:t>
      </w:r>
    </w:p>
    <w:p>
      <w:pPr>
        <w:tabs>
          <w:tab w:val="right" w:pos="8306"/>
        </w:tabs>
        <w:spacing w:line="600" w:lineRule="exact"/>
        <w:ind w:firstLine="640"/>
        <w:outlineLvl w:val="1"/>
        <w:rPr>
          <w:rStyle w:val="26"/>
        </w:rPr>
      </w:pPr>
      <w:bookmarkStart w:id="40" w:name="_Toc15396608"/>
      <w:bookmarkStart w:id="41" w:name="_Toc15377214"/>
      <w:r>
        <w:rPr>
          <w:rFonts w:hint="eastAsia" w:ascii="黑体" w:eastAsia="黑体"/>
          <w:color w:val="000000"/>
          <w:sz w:val="32"/>
          <w:szCs w:val="32"/>
        </w:rPr>
        <w:t>六</w:t>
      </w:r>
      <w:r>
        <w:rPr>
          <w:rFonts w:hint="eastAsia" w:ascii="黑体" w:eastAsia="黑体"/>
          <w:b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一</w:t>
      </w:r>
      <w:r>
        <w:rPr>
          <w:rStyle w:val="26"/>
          <w:rFonts w:hint="eastAsia" w:ascii="黑体" w:hAnsi="黑体" w:eastAsia="黑体"/>
          <w:b w:val="0"/>
        </w:rPr>
        <w:t>般公共预算财政拨款基本支出决算情况说明</w:t>
      </w:r>
      <w:bookmarkEnd w:id="40"/>
      <w:bookmarkEnd w:id="41"/>
      <w:r>
        <w:rPr>
          <w:rStyle w:val="26"/>
          <w:rFonts w:ascii="黑体" w:hAnsi="黑体" w:eastAsia="黑体"/>
          <w:b w:val="0"/>
        </w:rPr>
        <w:tab/>
      </w:r>
    </w:p>
    <w:p>
      <w:pPr>
        <w:spacing w:line="600" w:lineRule="exact"/>
        <w:ind w:firstLine="645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8年一般公共预算财政拨款基本支出116.32万元，其中：</w:t>
      </w:r>
    </w:p>
    <w:p>
      <w:pPr>
        <w:spacing w:line="600" w:lineRule="exact"/>
        <w:ind w:firstLine="645"/>
        <w:rPr>
          <w:rFonts w:ascii="仿宋" w:hAnsi="仿宋" w:eastAsia="仿宋"/>
          <w:b/>
          <w:color w:val="FF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人员经费108.12万元，主要包括：基本工资、津贴补贴、奖金、伙食补助费、机关事业单位基本养老保险缴费、职业年金缴费、其他社会保障缴费、医疗费、住房公积金、其他对个人和家庭的补助支出。</w:t>
      </w:r>
      <w:r>
        <w:rPr>
          <w:rFonts w:ascii="仿宋" w:hAnsi="仿宋" w:eastAsia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/>
          <w:color w:val="000000"/>
          <w:sz w:val="32"/>
          <w:szCs w:val="32"/>
        </w:rPr>
        <w:t>　　公用经费8.2万元，主要包括：办公费、电费、差旅费、维修（护）费、劳务费。</w:t>
      </w:r>
    </w:p>
    <w:p>
      <w:pPr>
        <w:spacing w:line="600" w:lineRule="exact"/>
        <w:ind w:firstLine="640"/>
        <w:outlineLvl w:val="1"/>
        <w:rPr>
          <w:rStyle w:val="26"/>
          <w:rFonts w:ascii="黑体" w:hAnsi="黑体" w:eastAsia="黑体"/>
          <w:b w:val="0"/>
        </w:rPr>
      </w:pPr>
      <w:bookmarkStart w:id="42" w:name="_Toc15396609"/>
      <w:bookmarkStart w:id="43" w:name="_Toc15377215"/>
      <w:r>
        <w:rPr>
          <w:rFonts w:hint="eastAsia" w:ascii="黑体" w:eastAsia="黑体"/>
          <w:color w:val="000000"/>
          <w:sz w:val="32"/>
          <w:szCs w:val="32"/>
        </w:rPr>
        <w:t>七、</w:t>
      </w:r>
      <w:r>
        <w:rPr>
          <w:rStyle w:val="26"/>
          <w:rFonts w:hint="eastAsia" w:ascii="黑体" w:hAnsi="黑体" w:eastAsia="黑体"/>
        </w:rPr>
        <w:t>“</w:t>
      </w:r>
      <w:r>
        <w:rPr>
          <w:rStyle w:val="26"/>
          <w:rFonts w:hint="eastAsia" w:ascii="黑体" w:hAnsi="黑体" w:eastAsia="黑体"/>
          <w:b w:val="0"/>
        </w:rPr>
        <w:t>三公”经费财政拨款支出决算情况说明</w:t>
      </w:r>
      <w:bookmarkEnd w:id="42"/>
      <w:bookmarkEnd w:id="43"/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color w:val="000000"/>
          <w:sz w:val="32"/>
          <w:szCs w:val="32"/>
        </w:rPr>
      </w:pPr>
      <w:bookmarkStart w:id="44" w:name="_Toc15377216"/>
      <w:r>
        <w:rPr>
          <w:rFonts w:hint="eastAsia" w:ascii="仿宋" w:hAnsi="仿宋" w:eastAsia="仿宋"/>
          <w:b/>
          <w:color w:val="000000"/>
          <w:sz w:val="32"/>
          <w:szCs w:val="32"/>
        </w:rPr>
        <w:t>（一）“三公”经费财政拨款支出决算总体情况说明</w:t>
      </w:r>
      <w:bookmarkEnd w:id="44"/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8年我处未产生“三公”经费支出，主要原因是壤塘县公证处是2018年新增的决算单位。</w:t>
      </w:r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color w:val="000000"/>
          <w:sz w:val="32"/>
          <w:szCs w:val="32"/>
        </w:rPr>
      </w:pPr>
      <w:bookmarkStart w:id="45" w:name="_Toc15377217"/>
      <w:r>
        <w:rPr>
          <w:rFonts w:hint="eastAsia" w:ascii="仿宋" w:hAnsi="仿宋" w:eastAsia="仿宋"/>
          <w:b/>
          <w:color w:val="000000"/>
          <w:sz w:val="32"/>
          <w:szCs w:val="32"/>
        </w:rPr>
        <w:t>（二）“三公”经费财政拨款支出决算具体情况说明</w:t>
      </w:r>
      <w:bookmarkEnd w:id="45"/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/>
          <w:color w:val="000000"/>
          <w:sz w:val="32"/>
          <w:szCs w:val="32"/>
        </w:rPr>
        <w:t>8年我处未产生“三公”经费支出，主要原因是壤塘县公证处是2018年新增的决算单位。</w:t>
      </w:r>
    </w:p>
    <w:p>
      <w:pPr>
        <w:numPr>
          <w:ilvl w:val="0"/>
          <w:numId w:val="4"/>
        </w:numPr>
        <w:spacing w:line="600" w:lineRule="exact"/>
        <w:ind w:firstLine="64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因公出国（境）经费支出</w:t>
      </w:r>
      <w:r>
        <w:rPr>
          <w:rFonts w:hint="eastAsia" w:ascii="仿宋" w:hAnsi="仿宋" w:eastAsia="仿宋"/>
          <w:color w:val="000000"/>
          <w:sz w:val="32"/>
          <w:szCs w:val="32"/>
        </w:rPr>
        <w:t>2018年我处未产生因公出国（境）经费支出，与2017年持平；</w:t>
      </w:r>
    </w:p>
    <w:p>
      <w:pPr>
        <w:spacing w:line="600" w:lineRule="exact"/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公务用车购置及运行维护费支出</w:t>
      </w:r>
      <w:r>
        <w:rPr>
          <w:rFonts w:hint="eastAsia" w:ascii="仿宋_GB2312" w:eastAsia="仿宋_GB2312"/>
          <w:color w:val="000000"/>
          <w:sz w:val="32"/>
          <w:szCs w:val="32"/>
        </w:rPr>
        <w:t>2018年我处未产生公务用车购置及运行维护费支出；</w:t>
      </w:r>
    </w:p>
    <w:p>
      <w:pPr>
        <w:spacing w:line="60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3.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公务接待费支出</w:t>
      </w:r>
      <w:r>
        <w:rPr>
          <w:rFonts w:hint="eastAsia" w:ascii="仿宋_GB2312" w:eastAsia="仿宋_GB2312"/>
          <w:color w:val="000000"/>
          <w:sz w:val="32"/>
          <w:szCs w:val="32"/>
        </w:rPr>
        <w:t>2018年我处未产生公务接待费支出。</w:t>
      </w:r>
    </w:p>
    <w:p>
      <w:pPr>
        <w:spacing w:line="600" w:lineRule="exact"/>
        <w:ind w:firstLine="640"/>
        <w:outlineLvl w:val="1"/>
        <w:rPr>
          <w:rStyle w:val="26"/>
          <w:rFonts w:ascii="黑体" w:hAnsi="黑体" w:eastAsia="黑体"/>
        </w:rPr>
      </w:pPr>
      <w:bookmarkStart w:id="46" w:name="_Toc15377218"/>
      <w:bookmarkStart w:id="47" w:name="_Toc15396610"/>
      <w:r>
        <w:rPr>
          <w:rFonts w:hint="eastAsia" w:ascii="黑体" w:eastAsia="黑体"/>
          <w:color w:val="000000"/>
          <w:sz w:val="32"/>
          <w:szCs w:val="32"/>
        </w:rPr>
        <w:t>八、</w:t>
      </w:r>
      <w:r>
        <w:rPr>
          <w:rStyle w:val="26"/>
          <w:rFonts w:hint="eastAsia" w:ascii="黑体" w:hAnsi="黑体" w:eastAsia="黑体"/>
          <w:b w:val="0"/>
        </w:rPr>
        <w:t>政府性基金预算支出决算情况说明</w:t>
      </w:r>
      <w:bookmarkEnd w:id="46"/>
      <w:bookmarkEnd w:id="47"/>
    </w:p>
    <w:p>
      <w:pPr>
        <w:spacing w:line="60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</w:rPr>
        <w:t>8年政府性基金预算拨款支出0万元。</w:t>
      </w:r>
    </w:p>
    <w:p>
      <w:pPr>
        <w:numPr>
          <w:ilvl w:val="0"/>
          <w:numId w:val="5"/>
        </w:numPr>
        <w:spacing w:line="600" w:lineRule="exact"/>
        <w:ind w:firstLine="640"/>
        <w:outlineLvl w:val="1"/>
        <w:rPr>
          <w:rStyle w:val="26"/>
          <w:rFonts w:ascii="黑体" w:hAnsi="黑体" w:eastAsia="黑体"/>
          <w:b w:val="0"/>
        </w:rPr>
      </w:pPr>
      <w:bookmarkStart w:id="48" w:name="_Toc15377219"/>
      <w:bookmarkStart w:id="49" w:name="_Toc15396611"/>
      <w:r>
        <w:rPr>
          <w:rStyle w:val="26"/>
          <w:rFonts w:hint="eastAsia" w:ascii="黑体" w:hAnsi="黑体" w:eastAsia="黑体"/>
          <w:b w:val="0"/>
        </w:rPr>
        <w:t>国有资本经营预算支出决算情况说明</w:t>
      </w:r>
      <w:bookmarkEnd w:id="48"/>
      <w:bookmarkEnd w:id="49"/>
    </w:p>
    <w:p>
      <w:pPr>
        <w:spacing w:line="60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</w:rPr>
        <w:t>8年国有资本经营预算拨款支出0万元。</w:t>
      </w:r>
    </w:p>
    <w:p>
      <w:pPr>
        <w:pStyle w:val="24"/>
        <w:numPr>
          <w:ilvl w:val="0"/>
          <w:numId w:val="6"/>
        </w:numPr>
        <w:spacing w:line="580" w:lineRule="exact"/>
        <w:ind w:firstLineChars="0"/>
        <w:rPr>
          <w:rStyle w:val="26"/>
          <w:rFonts w:ascii="黑体" w:hAnsi="黑体" w:eastAsia="黑体"/>
          <w:b w:val="0"/>
        </w:rPr>
      </w:pPr>
      <w:r>
        <w:rPr>
          <w:rStyle w:val="26"/>
          <w:rFonts w:hint="eastAsia" w:ascii="黑体" w:hAnsi="黑体" w:eastAsia="黑体"/>
          <w:b w:val="0"/>
        </w:rPr>
        <w:t>预算绩效情况说明</w:t>
      </w:r>
    </w:p>
    <w:p>
      <w:pPr>
        <w:spacing w:line="600" w:lineRule="exact"/>
        <w:ind w:firstLine="800" w:firstLineChars="250"/>
        <w:outlineLvl w:val="1"/>
        <w:rPr>
          <w:rFonts w:ascii="仿宋_GB2312" w:eastAsia="仿宋_GB2312"/>
          <w:color w:val="000000"/>
          <w:sz w:val="32"/>
          <w:szCs w:val="32"/>
        </w:rPr>
      </w:pPr>
      <w:bookmarkStart w:id="50" w:name="_Toc15377221"/>
      <w:bookmarkStart w:id="51" w:name="_Toc15396612"/>
      <w:r>
        <w:rPr>
          <w:rFonts w:hint="eastAsia" w:ascii="仿宋_GB2312" w:eastAsia="仿宋_GB2312"/>
          <w:color w:val="000000"/>
          <w:sz w:val="32"/>
          <w:szCs w:val="32"/>
        </w:rPr>
        <w:t>由于壤塘县公证处是2018年年末决算时才新增的决算单位，年初是在县司法局做预算，未单独预算也未做预算绩效。</w:t>
      </w:r>
    </w:p>
    <w:p>
      <w:pPr>
        <w:spacing w:line="600" w:lineRule="exact"/>
        <w:ind w:firstLine="800" w:firstLineChars="250"/>
        <w:outlineLvl w:val="1"/>
        <w:rPr>
          <w:rStyle w:val="26"/>
          <w:rFonts w:ascii="黑体" w:hAnsi="黑体" w:eastAsia="黑体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十一</w:t>
      </w:r>
      <w:r>
        <w:rPr>
          <w:rStyle w:val="26"/>
          <w:rFonts w:hint="eastAsia" w:ascii="黑体" w:hAnsi="黑体" w:eastAsia="黑体"/>
        </w:rPr>
        <w:t>、</w:t>
      </w:r>
      <w:r>
        <w:rPr>
          <w:rStyle w:val="26"/>
          <w:rFonts w:hint="eastAsia" w:ascii="黑体" w:hAnsi="黑体" w:eastAsia="黑体"/>
          <w:b w:val="0"/>
        </w:rPr>
        <w:t>其他重要事项的情况说明</w:t>
      </w:r>
      <w:bookmarkEnd w:id="50"/>
      <w:bookmarkEnd w:id="51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color w:val="000000"/>
          <w:sz w:val="32"/>
          <w:szCs w:val="32"/>
        </w:rPr>
      </w:pPr>
      <w:bookmarkStart w:id="52" w:name="_Toc15377222"/>
      <w:r>
        <w:rPr>
          <w:rFonts w:hint="eastAsia" w:ascii="仿宋" w:hAnsi="仿宋" w:eastAsia="仿宋"/>
          <w:b/>
          <w:color w:val="000000"/>
          <w:sz w:val="32"/>
          <w:szCs w:val="32"/>
        </w:rPr>
        <w:t>（一）机关运行经费支出情况</w:t>
      </w:r>
      <w:bookmarkEnd w:id="52"/>
    </w:p>
    <w:p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</w:rPr>
        <w:t>8年，壤塘县司法局机关运行经费支出8.2万元，比</w:t>
      </w:r>
      <w:r>
        <w:rPr>
          <w:rFonts w:ascii="仿宋_GB2312" w:eastAsia="仿宋_GB2312"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</w:rPr>
        <w:t>7年增加8.2万元。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主要原因是</w:t>
      </w:r>
      <w:r>
        <w:rPr>
          <w:rFonts w:hint="eastAsia" w:ascii="仿宋" w:hAnsi="仿宋" w:eastAsia="仿宋"/>
          <w:color w:val="000000"/>
          <w:sz w:val="32"/>
          <w:szCs w:val="32"/>
        </w:rPr>
        <w:t>壤塘县公证处是2018年新增的决算单位</w:t>
      </w:r>
      <w:r>
        <w:rPr>
          <w:rStyle w:val="14"/>
          <w:rFonts w:hint="eastAsia" w:ascii="仿宋_GB2312" w:eastAsia="仿宋_GB2312"/>
          <w:b w:val="0"/>
          <w:color w:val="00000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321" w:firstLineChars="100"/>
        <w:jc w:val="left"/>
        <w:outlineLvl w:val="2"/>
        <w:rPr>
          <w:rFonts w:ascii="仿宋" w:hAnsi="仿宋" w:eastAsia="仿宋"/>
          <w:b/>
          <w:color w:val="000000"/>
          <w:sz w:val="32"/>
          <w:szCs w:val="32"/>
        </w:rPr>
      </w:pPr>
      <w:bookmarkStart w:id="53" w:name="_Toc15377223"/>
      <w:r>
        <w:rPr>
          <w:rFonts w:hint="eastAsia" w:ascii="仿宋" w:hAnsi="仿宋" w:eastAsia="仿宋"/>
          <w:b/>
          <w:color w:val="000000"/>
          <w:sz w:val="32"/>
          <w:szCs w:val="32"/>
        </w:rPr>
        <w:t>（二）政府采购支出情况</w:t>
      </w:r>
      <w:bookmarkEnd w:id="53"/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2018年度我处未产生政府采购支出。</w:t>
      </w:r>
    </w:p>
    <w:p>
      <w:pPr>
        <w:autoSpaceDE w:val="0"/>
        <w:autoSpaceDN w:val="0"/>
        <w:adjustRightInd w:val="0"/>
        <w:spacing w:line="600" w:lineRule="exact"/>
        <w:ind w:firstLine="321" w:firstLineChars="100"/>
        <w:jc w:val="left"/>
        <w:outlineLvl w:val="2"/>
        <w:rPr>
          <w:rFonts w:ascii="仿宋" w:hAnsi="仿宋" w:eastAsia="仿宋"/>
          <w:b/>
          <w:color w:val="000000"/>
          <w:sz w:val="32"/>
          <w:szCs w:val="32"/>
        </w:rPr>
      </w:pPr>
      <w:bookmarkStart w:id="54" w:name="_Toc15377224"/>
      <w:r>
        <w:rPr>
          <w:rFonts w:hint="eastAsia" w:ascii="仿宋" w:hAnsi="仿宋" w:eastAsia="仿宋"/>
          <w:b/>
          <w:color w:val="000000"/>
          <w:sz w:val="32"/>
          <w:szCs w:val="32"/>
        </w:rPr>
        <w:t>（三）国有资产占有使用情况</w:t>
      </w:r>
      <w:bookmarkEnd w:id="54"/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我处是县司法局下属单位，未单独公车。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numPr>
          <w:ilvl w:val="0"/>
          <w:numId w:val="7"/>
        </w:numPr>
        <w:spacing w:line="600" w:lineRule="exact"/>
        <w:ind w:firstLine="663" w:firstLineChars="150"/>
        <w:jc w:val="center"/>
        <w:outlineLvl w:val="0"/>
        <w:rPr>
          <w:rStyle w:val="25"/>
          <w:rFonts w:ascii="黑体" w:hAnsi="黑体" w:eastAsia="黑体"/>
          <w:b w:val="0"/>
        </w:rPr>
      </w:pPr>
      <w:bookmarkStart w:id="55" w:name="_Toc15377225"/>
      <w:bookmarkStart w:id="56" w:name="_Toc15396613"/>
      <w:r>
        <w:rPr>
          <w:rFonts w:hint="eastAsia" w:ascii="黑体" w:hAnsi="黑体" w:eastAsia="黑体"/>
          <w:b/>
          <w:color w:val="000000"/>
          <w:sz w:val="44"/>
          <w:szCs w:val="44"/>
        </w:rPr>
        <w:t>名</w:t>
      </w:r>
      <w:r>
        <w:rPr>
          <w:rStyle w:val="25"/>
          <w:rFonts w:hint="eastAsia" w:ascii="黑体" w:hAnsi="黑体" w:eastAsia="黑体"/>
          <w:b w:val="0"/>
        </w:rPr>
        <w:t>词解释</w:t>
      </w:r>
      <w:bookmarkEnd w:id="55"/>
      <w:bookmarkEnd w:id="56"/>
    </w:p>
    <w:p>
      <w:pPr>
        <w:spacing w:line="600" w:lineRule="exact"/>
        <w:jc w:val="left"/>
        <w:rPr>
          <w:rFonts w:ascii="宋体"/>
          <w:b/>
          <w:color w:val="000000"/>
          <w:sz w:val="44"/>
          <w:szCs w:val="44"/>
        </w:rPr>
      </w:pPr>
    </w:p>
    <w:p>
      <w:pPr>
        <w:pStyle w:val="23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财政拨款收入：指单位从同级财政部门取得的财政预算资金。</w:t>
      </w:r>
    </w:p>
    <w:p>
      <w:pPr>
        <w:pStyle w:val="23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年初结转和结余：指以前年度尚未完成、结转到本年按有关规定继续使用的资金。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公共安全204（类）06（款）：指保障机构正常运转、完成日常工作任务的支出。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（1）事业运行204（类）06（款）50项）: 指用于机构日常工作运转的支出。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4.社会保障和就业208（类）：指用于社会保险和就业方面的支出。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（1）机关事业单位基本养老保险208（类）05（款）05（项）: 指用于机构职工基本养老保险支出。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（2）机关事业单位职业年金208（类）05（款）06（项）: 指用于机构职工职业年金支出。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5.医疗卫生与计划生育210（类）11（款）01（项）：指用于医疗卫生与计划生育方面的支出。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6.住房保障221（类）：指用于住房方面的支出。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(1)住房公积金221（类）02（款）01（项）:指用于机构职工住房公积金支出。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基本支出：指为保障机构正常运转、完成日常工作任务而发生的人员支出和公用支出。</w:t>
      </w:r>
    </w:p>
    <w:p>
      <w:pPr>
        <w:pStyle w:val="23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>
      <w:pPr>
        <w:pStyle w:val="23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机关运行经费：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pStyle w:val="23"/>
        <w:spacing w:line="560" w:lineRule="exact"/>
        <w:ind w:firstLine="640" w:firstLineChars="200"/>
        <w:rPr>
          <w:rFonts w:ascii="仿宋_GB2312" w:eastAsia="仿宋_GB2312" w:cs="黑体"/>
          <w:sz w:val="32"/>
          <w:szCs w:val="32"/>
        </w:rPr>
      </w:pPr>
    </w:p>
    <w:p>
      <w:pPr>
        <w:spacing w:line="600" w:lineRule="exact"/>
        <w:jc w:val="center"/>
        <w:outlineLvl w:val="0"/>
        <w:rPr>
          <w:rFonts w:ascii="黑体" w:hAnsi="黑体" w:eastAsia="黑体"/>
          <w:color w:val="000000"/>
          <w:sz w:val="44"/>
          <w:szCs w:val="44"/>
        </w:rPr>
      </w:pPr>
      <w:bookmarkStart w:id="57" w:name="_Toc15396618"/>
      <w:bookmarkStart w:id="58" w:name="_Toc15377226"/>
    </w:p>
    <w:p>
      <w:pPr>
        <w:spacing w:line="600" w:lineRule="exact"/>
        <w:jc w:val="center"/>
        <w:outlineLvl w:val="0"/>
        <w:rPr>
          <w:rFonts w:ascii="黑体" w:hAnsi="黑体" w:eastAsia="黑体"/>
          <w:color w:val="000000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黑体" w:hAnsi="黑体" w:eastAsia="黑体"/>
          <w:color w:val="000000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黑体" w:hAnsi="黑体" w:eastAsia="黑体"/>
          <w:color w:val="000000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黑体" w:hAnsi="黑体" w:eastAsia="黑体"/>
          <w:color w:val="000000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黑体" w:hAnsi="黑体" w:eastAsia="黑体"/>
          <w:color w:val="000000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黑体" w:hAnsi="黑体" w:eastAsia="黑体"/>
          <w:color w:val="000000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黑体" w:hAnsi="黑体" w:eastAsia="黑体"/>
          <w:color w:val="000000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黑体" w:hAnsi="黑体" w:eastAsia="黑体"/>
          <w:color w:val="000000"/>
          <w:sz w:val="44"/>
          <w:szCs w:val="44"/>
        </w:rPr>
      </w:pPr>
    </w:p>
    <w:p>
      <w:pPr>
        <w:spacing w:line="600" w:lineRule="exact"/>
        <w:jc w:val="center"/>
        <w:outlineLvl w:val="0"/>
        <w:rPr>
          <w:rStyle w:val="25"/>
          <w:rFonts w:ascii="黑体" w:hAnsi="黑体" w:eastAsia="黑体"/>
          <w:b w:val="0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第四</w:t>
      </w:r>
      <w:r>
        <w:rPr>
          <w:rStyle w:val="25"/>
          <w:rFonts w:hint="eastAsia" w:ascii="黑体" w:hAnsi="黑体" w:eastAsia="黑体"/>
          <w:b w:val="0"/>
        </w:rPr>
        <w:t>部分 附表</w:t>
      </w:r>
      <w:bookmarkEnd w:id="57"/>
      <w:bookmarkEnd w:id="58"/>
    </w:p>
    <w:p>
      <w:pPr>
        <w:spacing w:line="600" w:lineRule="exact"/>
        <w:jc w:val="center"/>
        <w:outlineLvl w:val="0"/>
        <w:rPr>
          <w:rFonts w:ascii="仿宋" w:hAnsi="仿宋" w:eastAsia="仿宋"/>
          <w:b/>
          <w:color w:val="000000"/>
          <w:sz w:val="44"/>
          <w:szCs w:val="44"/>
        </w:rPr>
      </w:pPr>
    </w:p>
    <w:p>
      <w:pPr>
        <w:pStyle w:val="3"/>
        <w:rPr>
          <w:rFonts w:ascii="仿宋" w:hAnsi="仿宋" w:eastAsia="仿宋"/>
          <w:color w:val="000000"/>
        </w:rPr>
      </w:pPr>
      <w:bookmarkStart w:id="59" w:name="_Toc15396619"/>
      <w:r>
        <w:rPr>
          <w:rFonts w:hint="eastAsia" w:ascii="仿宋" w:hAnsi="仿宋" w:eastAsia="仿宋"/>
          <w:b w:val="0"/>
          <w:color w:val="000000"/>
        </w:rPr>
        <w:t>一、收</w:t>
      </w:r>
      <w:r>
        <w:rPr>
          <w:rStyle w:val="26"/>
          <w:rFonts w:hint="eastAsia" w:ascii="仿宋" w:hAnsi="仿宋" w:eastAsia="仿宋"/>
          <w:b w:val="0"/>
          <w:bCs w:val="0"/>
        </w:rPr>
        <w:t>入支出决算总表</w:t>
      </w:r>
      <w:bookmarkEnd w:id="59"/>
    </w:p>
    <w:p>
      <w:pPr>
        <w:pStyle w:val="3"/>
        <w:rPr>
          <w:rFonts w:ascii="仿宋" w:hAnsi="仿宋" w:eastAsia="仿宋"/>
          <w:color w:val="000000"/>
        </w:rPr>
      </w:pPr>
      <w:bookmarkStart w:id="60" w:name="_Toc15396620"/>
      <w:r>
        <w:rPr>
          <w:rFonts w:hint="eastAsia" w:ascii="仿宋" w:hAnsi="仿宋" w:eastAsia="仿宋"/>
          <w:b w:val="0"/>
          <w:color w:val="000000"/>
        </w:rPr>
        <w:t>二、收</w:t>
      </w:r>
      <w:r>
        <w:rPr>
          <w:rStyle w:val="26"/>
          <w:rFonts w:hint="eastAsia" w:ascii="仿宋" w:hAnsi="仿宋" w:eastAsia="仿宋"/>
          <w:b w:val="0"/>
          <w:bCs w:val="0"/>
        </w:rPr>
        <w:t>入总表</w:t>
      </w:r>
      <w:bookmarkEnd w:id="60"/>
    </w:p>
    <w:p>
      <w:pPr>
        <w:pStyle w:val="3"/>
        <w:rPr>
          <w:rFonts w:ascii="仿宋" w:hAnsi="仿宋" w:eastAsia="仿宋"/>
          <w:color w:val="000000"/>
        </w:rPr>
      </w:pPr>
      <w:bookmarkStart w:id="61" w:name="_Toc15396621"/>
      <w:r>
        <w:rPr>
          <w:rStyle w:val="26"/>
          <w:rFonts w:hint="eastAsia" w:ascii="仿宋" w:hAnsi="仿宋" w:eastAsia="仿宋"/>
          <w:b w:val="0"/>
          <w:bCs w:val="0"/>
        </w:rPr>
        <w:t>三、</w:t>
      </w:r>
      <w:r>
        <w:rPr>
          <w:rFonts w:hint="eastAsia" w:ascii="仿宋" w:hAnsi="仿宋" w:eastAsia="仿宋"/>
          <w:b w:val="0"/>
          <w:color w:val="000000"/>
        </w:rPr>
        <w:t>支</w:t>
      </w:r>
      <w:r>
        <w:rPr>
          <w:rStyle w:val="26"/>
          <w:rFonts w:hint="eastAsia" w:ascii="仿宋" w:hAnsi="仿宋" w:eastAsia="仿宋"/>
          <w:b w:val="0"/>
          <w:bCs w:val="0"/>
        </w:rPr>
        <w:t>出总表</w:t>
      </w:r>
      <w:bookmarkEnd w:id="61"/>
    </w:p>
    <w:p>
      <w:pPr>
        <w:pStyle w:val="3"/>
        <w:rPr>
          <w:rFonts w:ascii="仿宋" w:hAnsi="仿宋" w:eastAsia="仿宋"/>
          <w:b w:val="0"/>
          <w:color w:val="000000"/>
        </w:rPr>
      </w:pPr>
      <w:bookmarkStart w:id="62" w:name="_Toc15396622"/>
      <w:r>
        <w:rPr>
          <w:rStyle w:val="26"/>
          <w:rFonts w:hint="eastAsia" w:ascii="仿宋" w:hAnsi="仿宋" w:eastAsia="仿宋"/>
          <w:b w:val="0"/>
          <w:bCs w:val="0"/>
        </w:rPr>
        <w:t>四、</w:t>
      </w:r>
      <w:r>
        <w:rPr>
          <w:rFonts w:hint="eastAsia" w:ascii="仿宋" w:hAnsi="仿宋" w:eastAsia="仿宋"/>
          <w:b w:val="0"/>
          <w:color w:val="000000"/>
        </w:rPr>
        <w:t>财</w:t>
      </w:r>
      <w:r>
        <w:rPr>
          <w:rStyle w:val="26"/>
          <w:rFonts w:hint="eastAsia" w:ascii="仿宋" w:hAnsi="仿宋" w:eastAsia="仿宋"/>
          <w:b w:val="0"/>
          <w:bCs w:val="0"/>
        </w:rPr>
        <w:t>政拨款收入支出决算总表</w:t>
      </w:r>
      <w:bookmarkEnd w:id="62"/>
    </w:p>
    <w:p>
      <w:pPr>
        <w:pStyle w:val="3"/>
        <w:rPr>
          <w:rFonts w:ascii="仿宋" w:hAnsi="仿宋" w:eastAsia="仿宋"/>
          <w:color w:val="000000"/>
        </w:rPr>
      </w:pPr>
      <w:bookmarkStart w:id="63" w:name="_Toc15396623"/>
      <w:r>
        <w:rPr>
          <w:rStyle w:val="26"/>
          <w:rFonts w:hint="eastAsia" w:ascii="仿宋" w:hAnsi="仿宋" w:eastAsia="仿宋"/>
          <w:b w:val="0"/>
          <w:bCs w:val="0"/>
        </w:rPr>
        <w:t>五、</w:t>
      </w:r>
      <w:r>
        <w:rPr>
          <w:rFonts w:hint="eastAsia" w:ascii="仿宋" w:hAnsi="仿宋" w:eastAsia="仿宋"/>
          <w:b w:val="0"/>
          <w:color w:val="000000"/>
        </w:rPr>
        <w:t>财</w:t>
      </w:r>
      <w:r>
        <w:rPr>
          <w:rStyle w:val="26"/>
          <w:rFonts w:hint="eastAsia" w:ascii="仿宋" w:hAnsi="仿宋" w:eastAsia="仿宋"/>
          <w:b w:val="0"/>
          <w:bCs w:val="0"/>
        </w:rPr>
        <w:t>政拨款支出决算明细表（政府经济分类科目）</w:t>
      </w:r>
      <w:bookmarkEnd w:id="63"/>
    </w:p>
    <w:p>
      <w:pPr>
        <w:pStyle w:val="3"/>
        <w:rPr>
          <w:rFonts w:ascii="仿宋" w:hAnsi="仿宋" w:eastAsia="仿宋"/>
          <w:color w:val="000000"/>
        </w:rPr>
      </w:pPr>
      <w:bookmarkStart w:id="64" w:name="_Toc15396624"/>
      <w:r>
        <w:rPr>
          <w:rStyle w:val="26"/>
          <w:rFonts w:hint="eastAsia" w:ascii="仿宋" w:hAnsi="仿宋" w:eastAsia="仿宋"/>
          <w:b w:val="0"/>
          <w:bCs w:val="0"/>
        </w:rPr>
        <w:t>六、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26"/>
          <w:rFonts w:hint="eastAsia" w:ascii="仿宋" w:hAnsi="仿宋" w:eastAsia="仿宋"/>
          <w:b w:val="0"/>
          <w:bCs w:val="0"/>
        </w:rPr>
        <w:t>般公共预算财政拨款支出决算表</w:t>
      </w:r>
      <w:bookmarkEnd w:id="64"/>
    </w:p>
    <w:p>
      <w:pPr>
        <w:pStyle w:val="3"/>
        <w:rPr>
          <w:rFonts w:ascii="仿宋" w:hAnsi="仿宋" w:eastAsia="仿宋"/>
          <w:color w:val="000000"/>
        </w:rPr>
      </w:pPr>
      <w:bookmarkStart w:id="65" w:name="_Toc15396625"/>
      <w:r>
        <w:rPr>
          <w:rStyle w:val="26"/>
          <w:rFonts w:hint="eastAsia" w:ascii="仿宋" w:hAnsi="仿宋" w:eastAsia="仿宋"/>
          <w:b w:val="0"/>
          <w:bCs w:val="0"/>
        </w:rPr>
        <w:t>七、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26"/>
          <w:rFonts w:hint="eastAsia" w:ascii="仿宋" w:hAnsi="仿宋" w:eastAsia="仿宋"/>
          <w:b w:val="0"/>
          <w:bCs w:val="0"/>
        </w:rPr>
        <w:t>般公共预算财政拨款支出决算明细表</w:t>
      </w:r>
      <w:bookmarkEnd w:id="65"/>
    </w:p>
    <w:p>
      <w:pPr>
        <w:pStyle w:val="3"/>
        <w:rPr>
          <w:rFonts w:ascii="仿宋" w:hAnsi="仿宋" w:eastAsia="仿宋"/>
          <w:color w:val="000000"/>
        </w:rPr>
      </w:pPr>
      <w:bookmarkStart w:id="66" w:name="_Toc15396626"/>
      <w:r>
        <w:rPr>
          <w:rStyle w:val="26"/>
          <w:rFonts w:hint="eastAsia" w:ascii="仿宋" w:hAnsi="仿宋" w:eastAsia="仿宋"/>
          <w:b w:val="0"/>
          <w:bCs w:val="0"/>
        </w:rPr>
        <w:t>八、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26"/>
          <w:rFonts w:hint="eastAsia" w:ascii="仿宋" w:hAnsi="仿宋" w:eastAsia="仿宋"/>
          <w:b w:val="0"/>
          <w:bCs w:val="0"/>
        </w:rPr>
        <w:t>般公共预算财政拨款基本支出决算表</w:t>
      </w:r>
      <w:bookmarkEnd w:id="66"/>
    </w:p>
    <w:p>
      <w:pPr>
        <w:pStyle w:val="3"/>
        <w:rPr>
          <w:rFonts w:ascii="仿宋" w:hAnsi="仿宋" w:eastAsia="仿宋"/>
          <w:color w:val="000000"/>
        </w:rPr>
      </w:pPr>
      <w:bookmarkStart w:id="67" w:name="_Toc15396627"/>
      <w:r>
        <w:rPr>
          <w:rStyle w:val="26"/>
          <w:rFonts w:hint="eastAsia" w:ascii="仿宋" w:hAnsi="仿宋" w:eastAsia="仿宋"/>
          <w:b w:val="0"/>
          <w:bCs w:val="0"/>
        </w:rPr>
        <w:t>九、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26"/>
          <w:rFonts w:hint="eastAsia" w:ascii="仿宋" w:hAnsi="仿宋" w:eastAsia="仿宋"/>
          <w:b w:val="0"/>
          <w:bCs w:val="0"/>
        </w:rPr>
        <w:t>般公共预算财政拨款项目支出决算表</w:t>
      </w:r>
      <w:bookmarkEnd w:id="67"/>
    </w:p>
    <w:p>
      <w:pPr>
        <w:pStyle w:val="3"/>
        <w:rPr>
          <w:rFonts w:ascii="仿宋" w:hAnsi="仿宋" w:eastAsia="仿宋"/>
          <w:color w:val="000000"/>
        </w:rPr>
      </w:pPr>
      <w:bookmarkStart w:id="68" w:name="_Toc15396628"/>
      <w:r>
        <w:rPr>
          <w:rStyle w:val="26"/>
          <w:rFonts w:hint="eastAsia" w:ascii="仿宋" w:hAnsi="仿宋" w:eastAsia="仿宋"/>
          <w:b w:val="0"/>
          <w:bCs w:val="0"/>
        </w:rPr>
        <w:t>十、</w:t>
      </w:r>
      <w:r>
        <w:rPr>
          <w:rFonts w:hint="eastAsia" w:ascii="仿宋" w:hAnsi="仿宋" w:eastAsia="仿宋"/>
          <w:b w:val="0"/>
          <w:color w:val="000000"/>
        </w:rPr>
        <w:t>一</w:t>
      </w:r>
      <w:r>
        <w:rPr>
          <w:rStyle w:val="26"/>
          <w:rFonts w:hint="eastAsia" w:ascii="仿宋" w:hAnsi="仿宋" w:eastAsia="仿宋"/>
          <w:b w:val="0"/>
          <w:bCs w:val="0"/>
        </w:rPr>
        <w:t>般公共预算财政拨款“三公”经费支出决算表</w:t>
      </w:r>
      <w:bookmarkEnd w:id="68"/>
    </w:p>
    <w:p>
      <w:pPr>
        <w:pStyle w:val="3"/>
        <w:rPr>
          <w:rFonts w:ascii="仿宋" w:hAnsi="仿宋" w:eastAsia="仿宋"/>
          <w:color w:val="000000"/>
        </w:rPr>
      </w:pPr>
      <w:bookmarkStart w:id="69" w:name="_Toc15396629"/>
      <w:r>
        <w:rPr>
          <w:rStyle w:val="26"/>
          <w:rFonts w:hint="eastAsia" w:ascii="仿宋" w:hAnsi="仿宋" w:eastAsia="仿宋"/>
          <w:b w:val="0"/>
          <w:bCs w:val="0"/>
        </w:rPr>
        <w:t>十一、</w:t>
      </w:r>
      <w:r>
        <w:rPr>
          <w:rFonts w:hint="eastAsia" w:ascii="仿宋" w:hAnsi="仿宋" w:eastAsia="仿宋"/>
          <w:b w:val="0"/>
          <w:color w:val="000000"/>
        </w:rPr>
        <w:t>政</w:t>
      </w:r>
      <w:r>
        <w:rPr>
          <w:rStyle w:val="26"/>
          <w:rFonts w:hint="eastAsia" w:ascii="仿宋" w:hAnsi="仿宋" w:eastAsia="仿宋"/>
          <w:b w:val="0"/>
          <w:bCs w:val="0"/>
        </w:rPr>
        <w:t>府性基金预算财政拨款收入支出决算表</w:t>
      </w:r>
      <w:bookmarkEnd w:id="69"/>
    </w:p>
    <w:p>
      <w:pPr>
        <w:pStyle w:val="3"/>
        <w:rPr>
          <w:rFonts w:ascii="仿宋" w:hAnsi="仿宋" w:eastAsia="仿宋"/>
          <w:color w:val="000000"/>
        </w:rPr>
      </w:pPr>
      <w:bookmarkStart w:id="70" w:name="_Toc15396630"/>
      <w:r>
        <w:rPr>
          <w:rStyle w:val="26"/>
          <w:rFonts w:hint="eastAsia" w:ascii="仿宋" w:hAnsi="仿宋" w:eastAsia="仿宋"/>
          <w:b w:val="0"/>
          <w:bCs w:val="0"/>
        </w:rPr>
        <w:t>十二、</w:t>
      </w:r>
      <w:r>
        <w:rPr>
          <w:rFonts w:hint="eastAsia" w:ascii="仿宋" w:hAnsi="仿宋" w:eastAsia="仿宋"/>
          <w:b w:val="0"/>
          <w:color w:val="000000"/>
        </w:rPr>
        <w:t>政</w:t>
      </w:r>
      <w:r>
        <w:rPr>
          <w:rStyle w:val="26"/>
          <w:rFonts w:hint="eastAsia" w:ascii="仿宋" w:hAnsi="仿宋" w:eastAsia="仿宋"/>
          <w:b w:val="0"/>
          <w:bCs w:val="0"/>
        </w:rPr>
        <w:t>府性基金预算财政拨款“三公”经费支出决算表</w:t>
      </w:r>
      <w:bookmarkEnd w:id="70"/>
    </w:p>
    <w:p>
      <w:pPr>
        <w:pStyle w:val="3"/>
        <w:rPr>
          <w:rFonts w:ascii="仿宋" w:hAnsi="仿宋" w:eastAsia="仿宋"/>
          <w:color w:val="000000" w:themeColor="text1"/>
        </w:rPr>
      </w:pPr>
      <w:bookmarkStart w:id="71" w:name="_Toc15396631"/>
      <w:r>
        <w:rPr>
          <w:rStyle w:val="26"/>
          <w:rFonts w:hint="eastAsia" w:ascii="仿宋" w:hAnsi="仿宋" w:eastAsia="仿宋"/>
          <w:b w:val="0"/>
          <w:bCs w:val="0"/>
        </w:rPr>
        <w:t>十三、</w:t>
      </w:r>
      <w:r>
        <w:rPr>
          <w:rFonts w:hint="eastAsia" w:ascii="仿宋" w:hAnsi="仿宋" w:eastAsia="仿宋"/>
          <w:b w:val="0"/>
          <w:color w:val="000000"/>
        </w:rPr>
        <w:t>国</w:t>
      </w:r>
      <w:r>
        <w:rPr>
          <w:rStyle w:val="26"/>
          <w:rFonts w:hint="eastAsia" w:ascii="仿宋" w:hAnsi="仿宋" w:eastAsia="仿宋"/>
          <w:b w:val="0"/>
          <w:bCs w:val="0"/>
        </w:rPr>
        <w:t>有资本经营预算支出决算表</w:t>
      </w:r>
      <w:bookmarkEnd w:id="7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478195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421179"/>
    <w:multiLevelType w:val="singleLevel"/>
    <w:tmpl w:val="A54211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652CEC"/>
    <w:multiLevelType w:val="singleLevel"/>
    <w:tmpl w:val="CF652CE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2FA047D"/>
    <w:multiLevelType w:val="singleLevel"/>
    <w:tmpl w:val="E2FA047D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1272550B"/>
    <w:multiLevelType w:val="multilevel"/>
    <w:tmpl w:val="127255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7F426B7"/>
    <w:multiLevelType w:val="multilevel"/>
    <w:tmpl w:val="17F426B7"/>
    <w:lvl w:ilvl="0" w:tentative="0">
      <w:start w:val="10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9" w:hanging="420"/>
      </w:pPr>
    </w:lvl>
    <w:lvl w:ilvl="2" w:tentative="0">
      <w:start w:val="1"/>
      <w:numFmt w:val="lowerRoman"/>
      <w:lvlText w:val="%3."/>
      <w:lvlJc w:val="right"/>
      <w:pPr>
        <w:ind w:left="1969" w:hanging="420"/>
      </w:pPr>
    </w:lvl>
    <w:lvl w:ilvl="3" w:tentative="0">
      <w:start w:val="1"/>
      <w:numFmt w:val="decimal"/>
      <w:lvlText w:val="%4."/>
      <w:lvlJc w:val="left"/>
      <w:pPr>
        <w:ind w:left="2389" w:hanging="420"/>
      </w:pPr>
    </w:lvl>
    <w:lvl w:ilvl="4" w:tentative="0">
      <w:start w:val="1"/>
      <w:numFmt w:val="lowerLetter"/>
      <w:lvlText w:val="%5)"/>
      <w:lvlJc w:val="left"/>
      <w:pPr>
        <w:ind w:left="2809" w:hanging="420"/>
      </w:pPr>
    </w:lvl>
    <w:lvl w:ilvl="5" w:tentative="0">
      <w:start w:val="1"/>
      <w:numFmt w:val="lowerRoman"/>
      <w:lvlText w:val="%6."/>
      <w:lvlJc w:val="right"/>
      <w:pPr>
        <w:ind w:left="3229" w:hanging="420"/>
      </w:pPr>
    </w:lvl>
    <w:lvl w:ilvl="6" w:tentative="0">
      <w:start w:val="1"/>
      <w:numFmt w:val="decimal"/>
      <w:lvlText w:val="%7."/>
      <w:lvlJc w:val="left"/>
      <w:pPr>
        <w:ind w:left="3649" w:hanging="420"/>
      </w:pPr>
    </w:lvl>
    <w:lvl w:ilvl="7" w:tentative="0">
      <w:start w:val="1"/>
      <w:numFmt w:val="lowerLetter"/>
      <w:lvlText w:val="%8)"/>
      <w:lvlJc w:val="left"/>
      <w:pPr>
        <w:ind w:left="4069" w:hanging="420"/>
      </w:pPr>
    </w:lvl>
    <w:lvl w:ilvl="8" w:tentative="0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20BB2703"/>
    <w:multiLevelType w:val="singleLevel"/>
    <w:tmpl w:val="20BB27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AEBF421"/>
    <w:multiLevelType w:val="singleLevel"/>
    <w:tmpl w:val="5AEBF4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61C"/>
    <w:rsid w:val="000222C6"/>
    <w:rsid w:val="0002549F"/>
    <w:rsid w:val="000428A8"/>
    <w:rsid w:val="0006487A"/>
    <w:rsid w:val="00065F8F"/>
    <w:rsid w:val="000768F2"/>
    <w:rsid w:val="0009184B"/>
    <w:rsid w:val="0009593C"/>
    <w:rsid w:val="000B047F"/>
    <w:rsid w:val="000B5923"/>
    <w:rsid w:val="000B5A48"/>
    <w:rsid w:val="000B632E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729F"/>
    <w:rsid w:val="00157BAB"/>
    <w:rsid w:val="001654D1"/>
    <w:rsid w:val="0018106D"/>
    <w:rsid w:val="001877A7"/>
    <w:rsid w:val="00191536"/>
    <w:rsid w:val="00196687"/>
    <w:rsid w:val="001C0962"/>
    <w:rsid w:val="001D7531"/>
    <w:rsid w:val="001E737D"/>
    <w:rsid w:val="001F0592"/>
    <w:rsid w:val="001F7506"/>
    <w:rsid w:val="002006CD"/>
    <w:rsid w:val="00202B36"/>
    <w:rsid w:val="00204B7A"/>
    <w:rsid w:val="0021101A"/>
    <w:rsid w:val="00220536"/>
    <w:rsid w:val="00235629"/>
    <w:rsid w:val="00260C38"/>
    <w:rsid w:val="002616C0"/>
    <w:rsid w:val="002662AA"/>
    <w:rsid w:val="00280496"/>
    <w:rsid w:val="00295495"/>
    <w:rsid w:val="002B2613"/>
    <w:rsid w:val="002F1818"/>
    <w:rsid w:val="002F567B"/>
    <w:rsid w:val="003216A9"/>
    <w:rsid w:val="0037013F"/>
    <w:rsid w:val="00380C92"/>
    <w:rsid w:val="003A484F"/>
    <w:rsid w:val="003B0BE0"/>
    <w:rsid w:val="003B0C1B"/>
    <w:rsid w:val="003B688C"/>
    <w:rsid w:val="003C0291"/>
    <w:rsid w:val="003C39AE"/>
    <w:rsid w:val="003C7B60"/>
    <w:rsid w:val="003D1FB2"/>
    <w:rsid w:val="003D66DA"/>
    <w:rsid w:val="003E1310"/>
    <w:rsid w:val="003E6F55"/>
    <w:rsid w:val="00406254"/>
    <w:rsid w:val="004223DE"/>
    <w:rsid w:val="00430984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D2CEC"/>
    <w:rsid w:val="004E0A2D"/>
    <w:rsid w:val="004E206B"/>
    <w:rsid w:val="004E6DF7"/>
    <w:rsid w:val="004F0FBD"/>
    <w:rsid w:val="00505A47"/>
    <w:rsid w:val="00512FDA"/>
    <w:rsid w:val="00520DA0"/>
    <w:rsid w:val="005664BB"/>
    <w:rsid w:val="0057481D"/>
    <w:rsid w:val="0058486E"/>
    <w:rsid w:val="005D1C8B"/>
    <w:rsid w:val="005D4025"/>
    <w:rsid w:val="005D5CED"/>
    <w:rsid w:val="005F1A4C"/>
    <w:rsid w:val="00605688"/>
    <w:rsid w:val="006070AF"/>
    <w:rsid w:val="00607E6C"/>
    <w:rsid w:val="006101B1"/>
    <w:rsid w:val="00614E44"/>
    <w:rsid w:val="00622830"/>
    <w:rsid w:val="00630AEF"/>
    <w:rsid w:val="006325F8"/>
    <w:rsid w:val="00634C9A"/>
    <w:rsid w:val="00637F55"/>
    <w:rsid w:val="006440E4"/>
    <w:rsid w:val="0066343B"/>
    <w:rsid w:val="00664777"/>
    <w:rsid w:val="00672385"/>
    <w:rsid w:val="006748A4"/>
    <w:rsid w:val="00683E73"/>
    <w:rsid w:val="006A3141"/>
    <w:rsid w:val="006A5E34"/>
    <w:rsid w:val="006B2422"/>
    <w:rsid w:val="006B2B9A"/>
    <w:rsid w:val="006C1937"/>
    <w:rsid w:val="006F020C"/>
    <w:rsid w:val="007127B7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312A"/>
    <w:rsid w:val="007D3F19"/>
    <w:rsid w:val="007E23B0"/>
    <w:rsid w:val="007F1991"/>
    <w:rsid w:val="007F2C2F"/>
    <w:rsid w:val="007F55FC"/>
    <w:rsid w:val="007F5665"/>
    <w:rsid w:val="00800112"/>
    <w:rsid w:val="008253BB"/>
    <w:rsid w:val="0083706E"/>
    <w:rsid w:val="008423A5"/>
    <w:rsid w:val="00850625"/>
    <w:rsid w:val="00853718"/>
    <w:rsid w:val="00855221"/>
    <w:rsid w:val="00860645"/>
    <w:rsid w:val="00871F71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46945"/>
    <w:rsid w:val="00951248"/>
    <w:rsid w:val="0095152F"/>
    <w:rsid w:val="00954C49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E98"/>
    <w:rsid w:val="009D3447"/>
    <w:rsid w:val="009D4711"/>
    <w:rsid w:val="009F1185"/>
    <w:rsid w:val="009F18CD"/>
    <w:rsid w:val="009F2A13"/>
    <w:rsid w:val="00A04EB0"/>
    <w:rsid w:val="00A13CC1"/>
    <w:rsid w:val="00A16847"/>
    <w:rsid w:val="00A237D8"/>
    <w:rsid w:val="00A268C4"/>
    <w:rsid w:val="00A307CD"/>
    <w:rsid w:val="00A40A00"/>
    <w:rsid w:val="00A4142F"/>
    <w:rsid w:val="00A56DF2"/>
    <w:rsid w:val="00A67AB5"/>
    <w:rsid w:val="00A91760"/>
    <w:rsid w:val="00A93B00"/>
    <w:rsid w:val="00A93C21"/>
    <w:rsid w:val="00AC3C6A"/>
    <w:rsid w:val="00AD5620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77EA6"/>
    <w:rsid w:val="00B81598"/>
    <w:rsid w:val="00B82D13"/>
    <w:rsid w:val="00B841F1"/>
    <w:rsid w:val="00B944D6"/>
    <w:rsid w:val="00BB4DF0"/>
    <w:rsid w:val="00BC289F"/>
    <w:rsid w:val="00BC5361"/>
    <w:rsid w:val="00BC5460"/>
    <w:rsid w:val="00BC6B50"/>
    <w:rsid w:val="00BD0E25"/>
    <w:rsid w:val="00BF5BD6"/>
    <w:rsid w:val="00C03E31"/>
    <w:rsid w:val="00C33E72"/>
    <w:rsid w:val="00C354B2"/>
    <w:rsid w:val="00C35554"/>
    <w:rsid w:val="00C42709"/>
    <w:rsid w:val="00C533CC"/>
    <w:rsid w:val="00C5751C"/>
    <w:rsid w:val="00C61BFC"/>
    <w:rsid w:val="00C62B85"/>
    <w:rsid w:val="00C65438"/>
    <w:rsid w:val="00C91CBB"/>
    <w:rsid w:val="00CC09B6"/>
    <w:rsid w:val="00CC666F"/>
    <w:rsid w:val="00CD1E3F"/>
    <w:rsid w:val="00CE44F6"/>
    <w:rsid w:val="00CE49DA"/>
    <w:rsid w:val="00CE7B61"/>
    <w:rsid w:val="00D00095"/>
    <w:rsid w:val="00D20620"/>
    <w:rsid w:val="00D26091"/>
    <w:rsid w:val="00D34E7C"/>
    <w:rsid w:val="00D35489"/>
    <w:rsid w:val="00D51276"/>
    <w:rsid w:val="00D7035F"/>
    <w:rsid w:val="00DA65AC"/>
    <w:rsid w:val="00DB1913"/>
    <w:rsid w:val="00DC410D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50624"/>
    <w:rsid w:val="00E568DF"/>
    <w:rsid w:val="00E64269"/>
    <w:rsid w:val="00E82267"/>
    <w:rsid w:val="00EA010F"/>
    <w:rsid w:val="00EB7F1F"/>
    <w:rsid w:val="00ED1B63"/>
    <w:rsid w:val="00ED3C1F"/>
    <w:rsid w:val="00ED4085"/>
    <w:rsid w:val="00ED420E"/>
    <w:rsid w:val="00EE2F57"/>
    <w:rsid w:val="00EF4C34"/>
    <w:rsid w:val="00EF77C6"/>
    <w:rsid w:val="00F05438"/>
    <w:rsid w:val="00F1361C"/>
    <w:rsid w:val="00F160C7"/>
    <w:rsid w:val="00F36D8F"/>
    <w:rsid w:val="00F417B1"/>
    <w:rsid w:val="00F602DF"/>
    <w:rsid w:val="00F6190F"/>
    <w:rsid w:val="00F61B31"/>
    <w:rsid w:val="00F81FD9"/>
    <w:rsid w:val="00F841AA"/>
    <w:rsid w:val="00FA23E8"/>
    <w:rsid w:val="00FD3CC1"/>
    <w:rsid w:val="00FF1E02"/>
    <w:rsid w:val="00FF30B4"/>
    <w:rsid w:val="01BB56A0"/>
    <w:rsid w:val="02674ED0"/>
    <w:rsid w:val="0ADF17D1"/>
    <w:rsid w:val="0B3037F1"/>
    <w:rsid w:val="10C055FF"/>
    <w:rsid w:val="130C68DC"/>
    <w:rsid w:val="16BB723D"/>
    <w:rsid w:val="19DB7935"/>
    <w:rsid w:val="1C4E51C1"/>
    <w:rsid w:val="1D5B6AD4"/>
    <w:rsid w:val="1E2176FE"/>
    <w:rsid w:val="203C0ECE"/>
    <w:rsid w:val="240371BF"/>
    <w:rsid w:val="29FD04D3"/>
    <w:rsid w:val="31204E42"/>
    <w:rsid w:val="319F7F4E"/>
    <w:rsid w:val="54A3110E"/>
    <w:rsid w:val="5D7D2AB9"/>
    <w:rsid w:val="66952DDD"/>
    <w:rsid w:val="6B022430"/>
    <w:rsid w:val="6CD81A0B"/>
    <w:rsid w:val="6E7663CE"/>
    <w:rsid w:val="6F2F08AA"/>
    <w:rsid w:val="79AE644E"/>
    <w:rsid w:val="7A2B73B1"/>
    <w:rsid w:val="7A5E0F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2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6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7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9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1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ind w:firstLine="200" w:firstLineChars="200"/>
      <w:jc w:val="left"/>
    </w:pPr>
    <w:rPr>
      <w:rFonts w:ascii="宋体" w:hAnsi="宋体" w:cs="宋体"/>
      <w:kern w:val="0"/>
      <w:sz w:val="24"/>
    </w:rPr>
  </w:style>
  <w:style w:type="character" w:styleId="14">
    <w:name w:val="Strong"/>
    <w:basedOn w:val="13"/>
    <w:qFormat/>
    <w:uiPriority w:val="99"/>
    <w:rPr>
      <w:b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customStyle="1" w:styleId="17">
    <w:name w:val="Header Char"/>
    <w:basedOn w:val="1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8">
    <w:name w:val="页眉 Char"/>
    <w:link w:val="9"/>
    <w:semiHidden/>
    <w:qFormat/>
    <w:locked/>
    <w:uiPriority w:val="99"/>
    <w:rPr>
      <w:sz w:val="18"/>
    </w:rPr>
  </w:style>
  <w:style w:type="character" w:customStyle="1" w:styleId="19">
    <w:name w:val="Footer Char"/>
    <w:basedOn w:val="1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0">
    <w:name w:val="页脚 Char"/>
    <w:link w:val="8"/>
    <w:qFormat/>
    <w:locked/>
    <w:uiPriority w:val="99"/>
    <w:rPr>
      <w:sz w:val="18"/>
    </w:rPr>
  </w:style>
  <w:style w:type="character" w:customStyle="1" w:styleId="21">
    <w:name w:val="Body Text Char"/>
    <w:basedOn w:val="13"/>
    <w:semiHidden/>
    <w:qFormat/>
    <w:uiPriority w:val="99"/>
    <w:rPr>
      <w:rFonts w:ascii="Times New Roman" w:hAnsi="Times New Roman"/>
      <w:szCs w:val="24"/>
    </w:rPr>
  </w:style>
  <w:style w:type="character" w:customStyle="1" w:styleId="22">
    <w:name w:val="正文文本 Char"/>
    <w:link w:val="5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1 Char"/>
    <w:basedOn w:val="13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6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8">
    <w:name w:val="批注框文本 Char"/>
    <w:basedOn w:val="13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9">
    <w:name w:val="标题 3 Char"/>
    <w:basedOn w:val="13"/>
    <w:link w:val="4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styleId="30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chart" Target="charts/chart6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本年收入、支出总计</a:t>
            </a:r>
          </a:p>
        </c:rich>
      </c:tx>
      <c:layout>
        <c:manualLayout>
          <c:xMode val="edge"/>
          <c:yMode val="edge"/>
          <c:x val="0.332981759523514"/>
          <c:y val="0.043902439024390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54440755689485"/>
          <c:y val="0.245721009841677"/>
          <c:w val="0.89727826675694"/>
          <c:h val="0.5664912280701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2017年度收入、支出总计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2018年度收入、支出总计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116.32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2201728"/>
        <c:axId val="92203264"/>
      </c:barChart>
      <c:catAx>
        <c:axId val="9220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2203264"/>
        <c:crosses val="autoZero"/>
        <c:auto val="1"/>
        <c:lblAlgn val="ctr"/>
        <c:lblOffset val="100"/>
        <c:noMultiLvlLbl val="0"/>
      </c:catAx>
      <c:valAx>
        <c:axId val="92203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220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本年收入（万元）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</c:f>
              <c:strCache>
                <c:ptCount val="1"/>
                <c:pt idx="0">
                  <c:v>一般公共预算财政拨款收入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116.32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本年支出合计（万元）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Sheet1!$A$2:$A$3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116.32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财政拨款收入、支出总计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60825"/>
          <c:y val="0.155204426282191"/>
          <c:w val="0.927925"/>
          <c:h val="0.7165666666666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2017年财政拨款收入、支出总计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2018年财政拨款收入、支出总计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116.32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3045888"/>
        <c:axId val="93047424"/>
      </c:barChart>
      <c:catAx>
        <c:axId val="9304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047424"/>
        <c:crosses val="autoZero"/>
        <c:auto val="1"/>
        <c:lblAlgn val="ctr"/>
        <c:lblOffset val="100"/>
        <c:noMultiLvlLbl val="0"/>
      </c:catAx>
      <c:valAx>
        <c:axId val="9304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04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33125"/>
          <c:y val="0.89729881823297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一般公共预算财政拨款支出</a:t>
            </a:r>
          </a:p>
        </c:rich>
      </c:tx>
      <c:layout>
        <c:manualLayout>
          <c:xMode val="edge"/>
          <c:yMode val="edge"/>
          <c:x val="0.281125"/>
          <c:y val="0.0295130349237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2017年一般公共预算财政拨款支出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2018年一般公共预算财政拨款支出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116.32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828864"/>
        <c:axId val="94012544"/>
      </c:barChart>
      <c:catAx>
        <c:axId val="398288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4012544"/>
        <c:crosses val="autoZero"/>
        <c:auto val="1"/>
        <c:lblAlgn val="ctr"/>
        <c:lblOffset val="100"/>
        <c:noMultiLvlLbl val="0"/>
      </c:catAx>
      <c:valAx>
        <c:axId val="94012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9828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一般公共预算财政拨款支出（万元）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公共安全支出</c:v>
                </c:pt>
                <c:pt idx="1">
                  <c:v>社会保障和就业支出</c:v>
                </c:pt>
                <c:pt idx="2">
                  <c:v>医疗卫生与计划生育支出</c:v>
                </c:pt>
                <c:pt idx="3">
                  <c:v>住房保障支出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87.07</c:v>
                </c:pt>
                <c:pt idx="1">
                  <c:v>17.06</c:v>
                </c:pt>
                <c:pt idx="2">
                  <c:v>4.11</c:v>
                </c:pt>
                <c:pt idx="3">
                  <c:v>8.08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E0E660-E893-4320-9F59-2503770D08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四川省财政厅</Company>
  <Pages>13</Pages>
  <Words>3431</Words>
  <Characters>1823</Characters>
  <Lines>15</Lines>
  <Paragraphs>10</Paragraphs>
  <TotalTime>2</TotalTime>
  <ScaleCrop>false</ScaleCrop>
  <LinksUpToDate>false</LinksUpToDate>
  <CharactersWithSpaces>5244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2019-10-11T07:16:00Z</dcterms:created>
  <dc:creator>张彬茜</dc:creator>
  <cp:lastModifiedBy>小眼睛</cp:lastModifiedBy>
  <cp:lastPrinted>2019-10-21T02:52:19Z</cp:lastPrinted>
  <dcterms:modified xsi:type="dcterms:W3CDTF">2019-10-21T02:52:58Z</dcterms:modified>
  <dc:title>四川省***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