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400" w:lineRule="exact"/>
        <w:rPr>
          <w:rFonts w:ascii="Times New Roman" w:hAnsi="Times New Roman"/>
        </w:rPr>
      </w:pPr>
      <w:bookmarkStart w:id="0" w:name="_Toc15306267"/>
      <w:bookmarkStart w:id="1" w:name="_Toc15377425"/>
      <w:bookmarkStart w:id="2" w:name="_Toc15396475"/>
      <w:bookmarkStart w:id="3" w:name="_Toc15378441"/>
      <w:bookmarkStart w:id="4" w:name="_Toc15377193"/>
      <w:bookmarkStart w:id="5" w:name="_Toc15396597"/>
    </w:p>
    <w:bookmarkEnd w:id="0"/>
    <w:bookmarkEnd w:id="1"/>
    <w:bookmarkEnd w:id="2"/>
    <w:bookmarkEnd w:id="3"/>
    <w:bookmarkEnd w:id="4"/>
    <w:bookmarkEnd w:id="5"/>
    <w:p>
      <w:pPr>
        <w:pStyle w:val="6"/>
        <w:spacing w:before="0" w:after="0" w:line="400" w:lineRule="exact"/>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6"/>
        <w:spacing w:before="0" w:after="0" w:line="400" w:lineRule="exact"/>
        <w:jc w:val="center"/>
        <w:rPr>
          <w:rFonts w:hint="eastAsia" w:ascii="Times New Roman" w:hAnsi="Times New Roman" w:eastAsia="方正小标宋简体" w:cs="Times New Roman"/>
          <w:color w:val="auto"/>
          <w:kern w:val="2"/>
          <w:sz w:val="44"/>
          <w:szCs w:val="44"/>
          <w:highlight w:val="none"/>
          <w:lang w:val="en-US" w:eastAsia="zh-CN" w:bidi="ar-SA"/>
        </w:rPr>
      </w:pPr>
    </w:p>
    <w:p>
      <w:pPr>
        <w:spacing w:before="120" w:after="120" w:line="720" w:lineRule="exact"/>
        <w:jc w:val="center"/>
        <w:rPr>
          <w:rFonts w:hint="eastAsia" w:ascii="Times New Roman" w:hAnsi="Times New Roman" w:eastAsia="方正小标宋简体" w:cs="Times New Roman"/>
          <w:b w:val="0"/>
          <w:color w:val="auto"/>
          <w:kern w:val="2"/>
          <w:sz w:val="44"/>
          <w:szCs w:val="44"/>
          <w:highlight w:val="none"/>
          <w:lang w:val="en-US" w:eastAsia="zh-CN" w:bidi="ar-SA"/>
        </w:rPr>
      </w:pPr>
      <w:r>
        <w:rPr>
          <w:rFonts w:hint="eastAsia" w:eastAsia="方正小标宋简体" w:cs="Times New Roman"/>
          <w:b w:val="0"/>
          <w:color w:val="auto"/>
          <w:kern w:val="2"/>
          <w:sz w:val="44"/>
          <w:szCs w:val="44"/>
          <w:highlight w:val="none"/>
          <w:lang w:val="en-US" w:eastAsia="zh-CN" w:bidi="ar-SA"/>
        </w:rPr>
        <w:t>四川省</w:t>
      </w:r>
      <w:r>
        <w:rPr>
          <w:rFonts w:hint="eastAsia" w:ascii="Times New Roman" w:hAnsi="Times New Roman" w:eastAsia="方正小标宋简体" w:cs="Times New Roman"/>
          <w:b w:val="0"/>
          <w:color w:val="auto"/>
          <w:kern w:val="2"/>
          <w:sz w:val="44"/>
          <w:szCs w:val="44"/>
          <w:highlight w:val="none"/>
          <w:lang w:val="en-US" w:eastAsia="zh-CN" w:bidi="ar-SA"/>
        </w:rPr>
        <w:t>阿坝州</w:t>
      </w:r>
    </w:p>
    <w:p>
      <w:pPr>
        <w:spacing w:before="120" w:after="120" w:line="720" w:lineRule="exact"/>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b w:val="0"/>
          <w:color w:val="auto"/>
          <w:kern w:val="2"/>
          <w:sz w:val="44"/>
          <w:szCs w:val="44"/>
          <w:highlight w:val="none"/>
          <w:lang w:val="en-US" w:eastAsia="zh-CN" w:bidi="ar-SA"/>
        </w:rPr>
        <w:t>壤塘县民政局2025年度决算公开</w:t>
      </w:r>
    </w:p>
    <w:p>
      <w:pPr>
        <w:widowControl/>
        <w:spacing w:before="0" w:after="0" w:line="400" w:lineRule="exact"/>
        <w:jc w:val="center"/>
        <w:rPr>
          <w:rFonts w:hint="eastAsia" w:ascii="Times New Roman" w:hAnsi="Times New Roman" w:eastAsia="黑体"/>
          <w:color w:val="auto"/>
          <w:sz w:val="48"/>
          <w:szCs w:val="48"/>
          <w:highlight w:val="none"/>
        </w:rPr>
      </w:pPr>
    </w:p>
    <w:p>
      <w:pPr>
        <w:widowControl/>
        <w:spacing w:before="0" w:after="0" w:line="400" w:lineRule="exact"/>
        <w:jc w:val="center"/>
        <w:rPr>
          <w:rFonts w:hint="eastAsia" w:ascii="Times New Roman" w:hAnsi="Times New Roman" w:eastAsia="黑体"/>
          <w:color w:val="auto"/>
          <w:sz w:val="48"/>
          <w:szCs w:val="48"/>
          <w:highlight w:val="none"/>
        </w:rPr>
      </w:pPr>
    </w:p>
    <w:p>
      <w:pPr>
        <w:widowControl/>
        <w:spacing w:before="0" w:after="0" w:line="400" w:lineRule="exact"/>
        <w:jc w:val="center"/>
        <w:rPr>
          <w:rFonts w:hint="eastAsia" w:ascii="Times New Roman" w:hAnsi="Times New Roman" w:eastAsia="黑体"/>
          <w:color w:val="auto"/>
          <w:sz w:val="48"/>
          <w:szCs w:val="48"/>
          <w:highlight w:val="none"/>
        </w:rPr>
      </w:pPr>
    </w:p>
    <w:p>
      <w:pPr>
        <w:widowControl/>
        <w:spacing w:before="240" w:after="240" w:line="560" w:lineRule="exact"/>
        <w:jc w:val="center"/>
        <w:rPr>
          <w:rFonts w:hint="eastAsia" w:ascii="Times New Roman" w:hAnsi="Times New Roman" w:eastAsia="黑体" w:cs="Times New Roman"/>
          <w:b w:val="0"/>
          <w:color w:val="auto"/>
          <w:sz w:val="32"/>
          <w:szCs w:val="48"/>
          <w:highlight w:val="none"/>
        </w:rPr>
      </w:pPr>
    </w:p>
    <w:p>
      <w:pPr>
        <w:widowControl/>
        <w:spacing w:before="240" w:after="240" w:line="560" w:lineRule="exact"/>
        <w:jc w:val="center"/>
        <w:rPr>
          <w:rFonts w:hint="eastAsia" w:ascii="Times New Roman" w:hAnsi="Times New Roman" w:eastAsia="黑体" w:cs="Times New Roman"/>
          <w:b w:val="0"/>
          <w:color w:val="auto"/>
          <w:sz w:val="32"/>
          <w:szCs w:val="48"/>
          <w:highlight w:val="none"/>
        </w:rPr>
      </w:pPr>
    </w:p>
    <w:p>
      <w:pPr>
        <w:widowControl/>
        <w:spacing w:before="240" w:after="240" w:line="560" w:lineRule="exact"/>
        <w:jc w:val="center"/>
        <w:rPr>
          <w:rFonts w:hint="eastAsia" w:ascii="Times New Roman" w:hAnsi="Times New Roman" w:eastAsia="黑体" w:cs="Times New Roman"/>
          <w:b w:val="0"/>
          <w:color w:val="auto"/>
          <w:sz w:val="32"/>
          <w:szCs w:val="48"/>
          <w:highlight w:val="none"/>
        </w:rPr>
      </w:pPr>
    </w:p>
    <w:p>
      <w:pPr>
        <w:widowControl/>
        <w:spacing w:before="240" w:after="240" w:line="560" w:lineRule="exact"/>
        <w:jc w:val="center"/>
        <w:rPr>
          <w:rFonts w:hint="eastAsia" w:ascii="Times New Roman" w:hAnsi="Times New Roman" w:eastAsia="黑体" w:cs="Times New Roman"/>
          <w:b w:val="0"/>
          <w:color w:val="auto"/>
          <w:sz w:val="32"/>
          <w:szCs w:val="48"/>
          <w:highlight w:val="none"/>
        </w:rPr>
      </w:pPr>
    </w:p>
    <w:p>
      <w:pPr>
        <w:widowControl/>
        <w:spacing w:before="240" w:after="240" w:line="560" w:lineRule="exact"/>
        <w:jc w:val="center"/>
        <w:rPr>
          <w:rFonts w:hint="eastAsia" w:ascii="Times New Roman" w:hAnsi="Times New Roman" w:eastAsia="黑体" w:cs="Times New Roman"/>
          <w:b w:val="0"/>
          <w:color w:val="auto"/>
          <w:sz w:val="32"/>
          <w:szCs w:val="48"/>
          <w:highlight w:val="none"/>
        </w:rPr>
      </w:pPr>
    </w:p>
    <w:p>
      <w:pPr>
        <w:widowControl/>
        <w:spacing w:before="240" w:after="240" w:line="560" w:lineRule="exact"/>
        <w:jc w:val="center"/>
        <w:rPr>
          <w:rFonts w:hint="eastAsia" w:ascii="Times New Roman" w:hAnsi="Times New Roman" w:eastAsia="黑体" w:cs="Times New Roman"/>
          <w:b w:val="0"/>
          <w:color w:val="auto"/>
          <w:sz w:val="32"/>
          <w:szCs w:val="48"/>
          <w:highlight w:val="none"/>
        </w:rPr>
      </w:pPr>
    </w:p>
    <w:p>
      <w:pPr>
        <w:widowControl/>
        <w:spacing w:before="240" w:after="240" w:line="560" w:lineRule="exact"/>
        <w:jc w:val="both"/>
        <w:rPr>
          <w:rFonts w:hint="eastAsia" w:ascii="Times New Roman" w:hAnsi="Times New Roman" w:eastAsia="黑体" w:cs="Times New Roman"/>
          <w:b w:val="0"/>
          <w:color w:val="auto"/>
          <w:sz w:val="32"/>
          <w:szCs w:val="48"/>
          <w:highlight w:val="none"/>
        </w:rPr>
      </w:pPr>
    </w:p>
    <w:p>
      <w:pPr>
        <w:widowControl/>
        <w:spacing w:before="240" w:after="240" w:line="560" w:lineRule="exact"/>
        <w:jc w:val="center"/>
        <w:rPr>
          <w:rFonts w:hint="eastAsia" w:ascii="Times New Roman" w:hAnsi="Times New Roman" w:eastAsia="黑体" w:cs="Times New Roman"/>
          <w:b w:val="0"/>
          <w:color w:val="auto"/>
          <w:sz w:val="32"/>
          <w:szCs w:val="48"/>
          <w:highlight w:val="none"/>
        </w:rPr>
      </w:pPr>
    </w:p>
    <w:p>
      <w:pPr>
        <w:pStyle w:val="13"/>
        <w:suppressAutoHyphens/>
        <w:bidi w:val="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公开时间：20</w:t>
      </w:r>
      <w:r>
        <w:rPr>
          <w:rFonts w:hint="default" w:ascii="Times New Roman" w:hAnsi="Times New Roman"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10</w:t>
      </w:r>
      <w:r>
        <w:rPr>
          <w:rFonts w:hint="default" w:ascii="Times New Roman" w:hAnsi="Times New Roman" w:eastAsia="仿宋_GB2312" w:cs="Times New Roman"/>
          <w:color w:val="auto"/>
          <w:sz w:val="32"/>
          <w:szCs w:val="32"/>
          <w:highlight w:val="none"/>
        </w:rPr>
        <w:t>月</w:t>
      </w:r>
      <w:r>
        <w:rPr>
          <w:rFonts w:hint="default" w:ascii="Times New Roman" w:hAnsi="Times New Roman" w:eastAsia="仿宋_GB2312" w:cs="Times New Roman"/>
          <w:color w:val="auto"/>
          <w:sz w:val="32"/>
          <w:szCs w:val="32"/>
          <w:highlight w:val="none"/>
          <w:lang w:val="en-US" w:eastAsia="zh-CN"/>
        </w:rPr>
        <w:t>19</w:t>
      </w:r>
      <w:r>
        <w:rPr>
          <w:rFonts w:hint="default" w:ascii="Times New Roman" w:hAnsi="Times New Roman" w:eastAsia="仿宋_GB2312" w:cs="Times New Roman"/>
          <w:color w:val="auto"/>
          <w:sz w:val="32"/>
          <w:szCs w:val="32"/>
          <w:highlight w:val="none"/>
        </w:rPr>
        <w:t>日</w:t>
      </w:r>
    </w:p>
    <w:p>
      <w:pPr>
        <w:widowControl/>
        <w:spacing w:before="240" w:after="240" w:line="560" w:lineRule="exact"/>
        <w:jc w:val="center"/>
        <w:rPr>
          <w:rFonts w:hint="eastAsia" w:ascii="Times New Roman" w:hAnsi="Times New Roman" w:eastAsia="黑体" w:cs="Times New Roman"/>
          <w:b w:val="0"/>
          <w:color w:val="auto"/>
          <w:sz w:val="32"/>
          <w:szCs w:val="48"/>
          <w:highlight w:val="none"/>
        </w:rPr>
      </w:pPr>
    </w:p>
    <w:p>
      <w:pPr>
        <w:widowControl/>
        <w:suppressAutoHyphens/>
        <w:bidi w:val="0"/>
        <w:jc w:val="center"/>
      </w:pPr>
      <w:r>
        <w:rPr>
          <w:rFonts w:hint="eastAsia" w:ascii="Times New Roman" w:hAnsi="Times New Roman" w:eastAsia="方正小标宋简体" w:cs="Times New Roman"/>
          <w:b w:val="0"/>
          <w:color w:val="auto"/>
          <w:kern w:val="2"/>
          <w:sz w:val="44"/>
          <w:szCs w:val="44"/>
          <w:highlight w:val="none"/>
          <w:lang w:val="en-US" w:eastAsia="zh-CN" w:bidi="ar-SA"/>
        </w:rPr>
        <w:t>目录</w:t>
      </w:r>
    </w:p>
    <w:p/>
    <w:sdt>
      <w:sdtPr>
        <w:rPr>
          <w:rFonts w:ascii="宋体" w:hAnsi="宋体" w:eastAsia="宋体" w:cs="Times New Roman"/>
          <w:kern w:val="2"/>
          <w:sz w:val="21"/>
          <w:szCs w:val="24"/>
          <w:lang w:val="en-US" w:eastAsia="zh-CN" w:bidi="ar-SA"/>
        </w:rPr>
        <w:id w:val="147479171"/>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pPr>
            <w:spacing w:before="0" w:beforeLines="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sdt>
          <w:sdtPr>
            <w:rPr>
              <w:rFonts w:ascii="宋体" w:hAnsi="宋体" w:eastAsia="宋体" w:cs="Times New Roman"/>
              <w:kern w:val="2"/>
              <w:sz w:val="21"/>
              <w:szCs w:val="24"/>
              <w:lang w:val="en-US" w:eastAsia="zh-CN" w:bidi="ar-SA"/>
            </w:rPr>
            <w:id w:val="147479132"/>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pPr>
                <w:spacing w:before="0" w:beforeLines="0" w:after="0" w:afterLines="0" w:line="240" w:lineRule="auto"/>
                <w:ind w:left="0" w:leftChars="0" w:right="0" w:rightChars="0" w:firstLine="0" w:firstLineChars="0"/>
                <w:jc w:val="center"/>
              </w:pPr>
            </w:p>
            <w:p>
              <w:pPr>
                <w:pStyle w:val="13"/>
                <w:tabs>
                  <w:tab w:val="right" w:leader="dot" w:pos="8845"/>
                  <w:tab w:val="clear" w:pos="8296"/>
                </w:tabs>
              </w:pPr>
              <w:r>
                <w:fldChar w:fldCharType="begin"/>
              </w:r>
              <w:r>
                <w:instrText xml:space="preserve">TOC \o "1-9" \h \u </w:instrText>
              </w:r>
              <w:r>
                <w:fldChar w:fldCharType="separate"/>
              </w:r>
              <w:r>
                <w:fldChar w:fldCharType="begin"/>
              </w:r>
              <w:r>
                <w:instrText xml:space="preserve"> HYPERLINK \l _Toc24083 </w:instrText>
              </w:r>
              <w:r>
                <w:fldChar w:fldCharType="separate"/>
              </w:r>
              <w:r>
                <w:rPr>
                  <w:rFonts w:hint="eastAsia" w:eastAsia="黑体" w:cs="Times New Roman"/>
                  <w:bCs w:val="0"/>
                  <w:highlight w:val="none"/>
                  <w:lang w:val="en-US" w:eastAsia="zh-CN"/>
                </w:rPr>
                <w:t>第一部分  部门概况</w:t>
              </w:r>
              <w:r>
                <w:tab/>
              </w:r>
              <w:r>
                <w:fldChar w:fldCharType="begin"/>
              </w:r>
              <w:r>
                <w:instrText xml:space="preserve"> PAGEREF _Toc24083 \h </w:instrText>
              </w:r>
              <w:r>
                <w:fldChar w:fldCharType="separate"/>
              </w:r>
              <w:r>
                <w:t>6</w:t>
              </w:r>
              <w:r>
                <w:fldChar w:fldCharType="end"/>
              </w:r>
              <w:r>
                <w:fldChar w:fldCharType="end"/>
              </w:r>
            </w:p>
            <w:p>
              <w:pPr>
                <w:pStyle w:val="13"/>
                <w:tabs>
                  <w:tab w:val="right" w:leader="dot" w:pos="8845"/>
                  <w:tab w:val="clear" w:pos="8296"/>
                </w:tabs>
              </w:pPr>
              <w:r>
                <w:fldChar w:fldCharType="begin"/>
              </w:r>
              <w:r>
                <w:instrText xml:space="preserve"> HYPERLINK \l _Toc6531 </w:instrText>
              </w:r>
              <w:r>
                <w:fldChar w:fldCharType="separate"/>
              </w:r>
              <w:r>
                <w:rPr>
                  <w:rFonts w:hint="eastAsia" w:ascii="黑体" w:hAnsi="黑体" w:eastAsia="黑体" w:cs="黑体"/>
                  <w:kern w:val="2"/>
                  <w:szCs w:val="32"/>
                  <w:highlight w:val="none"/>
                  <w:lang w:val="en-US" w:eastAsia="zh-CN" w:bidi="ar-SA"/>
                </w:rPr>
                <w:t>一、部门职责</w:t>
              </w:r>
              <w:r>
                <w:tab/>
              </w:r>
              <w:r>
                <w:fldChar w:fldCharType="begin"/>
              </w:r>
              <w:r>
                <w:instrText xml:space="preserve"> PAGEREF _Toc6531 \h </w:instrText>
              </w:r>
              <w:r>
                <w:fldChar w:fldCharType="separate"/>
              </w:r>
              <w:r>
                <w:t>6</w:t>
              </w:r>
              <w:r>
                <w:fldChar w:fldCharType="end"/>
              </w:r>
              <w:r>
                <w:fldChar w:fldCharType="end"/>
              </w:r>
            </w:p>
            <w:p>
              <w:pPr>
                <w:pStyle w:val="13"/>
                <w:tabs>
                  <w:tab w:val="right" w:leader="dot" w:pos="8845"/>
                  <w:tab w:val="clear" w:pos="8296"/>
                </w:tabs>
              </w:pPr>
              <w:r>
                <w:fldChar w:fldCharType="begin"/>
              </w:r>
              <w:r>
                <w:instrText xml:space="preserve"> HYPERLINK \l _Toc9976 </w:instrText>
              </w:r>
              <w:r>
                <w:fldChar w:fldCharType="separate"/>
              </w:r>
              <w:r>
                <w:rPr>
                  <w:rFonts w:hint="eastAsia" w:ascii="黑体" w:hAnsi="黑体" w:eastAsia="黑体" w:cs="黑体"/>
                  <w:kern w:val="2"/>
                  <w:szCs w:val="32"/>
                  <w:highlight w:val="none"/>
                  <w:lang w:val="en-US" w:eastAsia="zh-CN" w:bidi="ar-SA"/>
                </w:rPr>
                <w:t>二、机构设置</w:t>
              </w:r>
              <w:r>
                <w:tab/>
              </w:r>
              <w:r>
                <w:fldChar w:fldCharType="begin"/>
              </w:r>
              <w:r>
                <w:instrText xml:space="preserve"> PAGEREF _Toc9976 \h </w:instrText>
              </w:r>
              <w:r>
                <w:fldChar w:fldCharType="separate"/>
              </w:r>
              <w:r>
                <w:t>7</w:t>
              </w:r>
              <w:r>
                <w:fldChar w:fldCharType="end"/>
              </w:r>
              <w:r>
                <w:fldChar w:fldCharType="end"/>
              </w:r>
            </w:p>
            <w:p>
              <w:pPr>
                <w:pStyle w:val="13"/>
                <w:tabs>
                  <w:tab w:val="right" w:leader="dot" w:pos="8845"/>
                  <w:tab w:val="clear" w:pos="8296"/>
                </w:tabs>
              </w:pPr>
              <w:r>
                <w:fldChar w:fldCharType="begin"/>
              </w:r>
              <w:r>
                <w:instrText xml:space="preserve"> HYPERLINK \l _Toc10940 </w:instrText>
              </w:r>
              <w:r>
                <w:fldChar w:fldCharType="separate"/>
              </w:r>
              <w:r>
                <w:rPr>
                  <w:rFonts w:hint="eastAsia" w:eastAsia="黑体" w:cs="Times New Roman"/>
                  <w:bCs w:val="0"/>
                  <w:highlight w:val="none"/>
                  <w:lang w:val="en-US" w:eastAsia="zh-CN"/>
                </w:rPr>
                <w:t>第二部分  2025年度部门决算情况说明</w:t>
              </w:r>
              <w:r>
                <w:tab/>
              </w:r>
              <w:r>
                <w:fldChar w:fldCharType="begin"/>
              </w:r>
              <w:r>
                <w:instrText xml:space="preserve"> PAGEREF _Toc10940 \h </w:instrText>
              </w:r>
              <w:r>
                <w:fldChar w:fldCharType="separate"/>
              </w:r>
              <w:r>
                <w:t>8</w:t>
              </w:r>
              <w:r>
                <w:fldChar w:fldCharType="end"/>
              </w:r>
              <w:r>
                <w:fldChar w:fldCharType="end"/>
              </w:r>
            </w:p>
            <w:p>
              <w:pPr>
                <w:pStyle w:val="13"/>
                <w:tabs>
                  <w:tab w:val="right" w:leader="dot" w:pos="8845"/>
                  <w:tab w:val="clear" w:pos="8296"/>
                </w:tabs>
              </w:pPr>
              <w:r>
                <w:fldChar w:fldCharType="begin"/>
              </w:r>
              <w:r>
                <w:instrText xml:space="preserve"> HYPERLINK \l _Toc6327 </w:instrText>
              </w:r>
              <w:r>
                <w:fldChar w:fldCharType="separate"/>
              </w:r>
              <w:r>
                <w:rPr>
                  <w:rFonts w:hint="eastAsia" w:ascii="黑体" w:hAnsi="黑体" w:eastAsia="黑体" w:cs="黑体"/>
                  <w:kern w:val="2"/>
                  <w:szCs w:val="32"/>
                  <w:highlight w:val="none"/>
                  <w:lang w:val="en-US" w:eastAsia="zh-CN" w:bidi="ar-SA"/>
                </w:rPr>
                <w:t>一、收入支出决算总体情况说明</w:t>
              </w:r>
              <w:r>
                <w:tab/>
              </w:r>
              <w:r>
                <w:fldChar w:fldCharType="begin"/>
              </w:r>
              <w:r>
                <w:instrText xml:space="preserve"> PAGEREF _Toc6327 \h </w:instrText>
              </w:r>
              <w:r>
                <w:fldChar w:fldCharType="separate"/>
              </w:r>
              <w:r>
                <w:t>8</w:t>
              </w:r>
              <w:r>
                <w:fldChar w:fldCharType="end"/>
              </w:r>
              <w:r>
                <w:fldChar w:fldCharType="end"/>
              </w:r>
            </w:p>
            <w:p>
              <w:pPr>
                <w:pStyle w:val="13"/>
                <w:tabs>
                  <w:tab w:val="right" w:leader="dot" w:pos="8845"/>
                  <w:tab w:val="clear" w:pos="8296"/>
                </w:tabs>
              </w:pPr>
              <w:r>
                <w:fldChar w:fldCharType="begin"/>
              </w:r>
              <w:r>
                <w:instrText xml:space="preserve"> HYPERLINK \l _Toc10726 </w:instrText>
              </w:r>
              <w:r>
                <w:fldChar w:fldCharType="separate"/>
              </w:r>
              <w:r>
                <w:rPr>
                  <w:rFonts w:hint="eastAsia" w:ascii="黑体" w:hAnsi="黑体" w:eastAsia="黑体" w:cs="黑体"/>
                  <w:kern w:val="2"/>
                  <w:szCs w:val="32"/>
                  <w:highlight w:val="none"/>
                  <w:lang w:val="en-US" w:eastAsia="zh-CN" w:bidi="ar-SA"/>
                </w:rPr>
                <w:t>二、收入决算情况说明</w:t>
              </w:r>
              <w:r>
                <w:tab/>
              </w:r>
              <w:r>
                <w:fldChar w:fldCharType="begin"/>
              </w:r>
              <w:r>
                <w:instrText xml:space="preserve"> PAGEREF _Toc10726 \h </w:instrText>
              </w:r>
              <w:r>
                <w:fldChar w:fldCharType="separate"/>
              </w:r>
              <w:r>
                <w:t>8</w:t>
              </w:r>
              <w:r>
                <w:fldChar w:fldCharType="end"/>
              </w:r>
              <w:r>
                <w:fldChar w:fldCharType="end"/>
              </w:r>
            </w:p>
            <w:p>
              <w:pPr>
                <w:pStyle w:val="13"/>
                <w:tabs>
                  <w:tab w:val="right" w:leader="dot" w:pos="8845"/>
                  <w:tab w:val="clear" w:pos="8296"/>
                </w:tabs>
              </w:pPr>
              <w:r>
                <w:fldChar w:fldCharType="begin"/>
              </w:r>
              <w:r>
                <w:instrText xml:space="preserve"> HYPERLINK \l _Toc20518 </w:instrText>
              </w:r>
              <w:r>
                <w:fldChar w:fldCharType="separate"/>
              </w:r>
              <w:r>
                <w:rPr>
                  <w:rFonts w:hint="eastAsia" w:ascii="黑体" w:hAnsi="黑体" w:eastAsia="黑体" w:cs="黑体"/>
                  <w:kern w:val="2"/>
                  <w:szCs w:val="32"/>
                  <w:highlight w:val="none"/>
                  <w:lang w:val="en-US" w:eastAsia="zh-CN" w:bidi="ar-SA"/>
                </w:rPr>
                <w:t>三、支出决算情况说明</w:t>
              </w:r>
              <w:r>
                <w:tab/>
              </w:r>
              <w:r>
                <w:fldChar w:fldCharType="begin"/>
              </w:r>
              <w:r>
                <w:instrText xml:space="preserve"> PAGEREF _Toc20518 \h </w:instrText>
              </w:r>
              <w:r>
                <w:fldChar w:fldCharType="separate"/>
              </w:r>
              <w:r>
                <w:t>9</w:t>
              </w:r>
              <w:r>
                <w:fldChar w:fldCharType="end"/>
              </w:r>
              <w:r>
                <w:fldChar w:fldCharType="end"/>
              </w:r>
            </w:p>
            <w:p>
              <w:pPr>
                <w:pStyle w:val="13"/>
                <w:tabs>
                  <w:tab w:val="right" w:leader="dot" w:pos="8845"/>
                  <w:tab w:val="clear" w:pos="8296"/>
                </w:tabs>
              </w:pPr>
              <w:r>
                <w:fldChar w:fldCharType="begin"/>
              </w:r>
              <w:r>
                <w:instrText xml:space="preserve"> HYPERLINK \l _Toc20079 </w:instrText>
              </w:r>
              <w:r>
                <w:fldChar w:fldCharType="separate"/>
              </w:r>
              <w:r>
                <w:rPr>
                  <w:rFonts w:hint="eastAsia" w:ascii="黑体" w:hAnsi="黑体" w:eastAsia="黑体" w:cs="黑体"/>
                  <w:kern w:val="2"/>
                  <w:szCs w:val="32"/>
                  <w:highlight w:val="none"/>
                  <w:lang w:val="en-US" w:eastAsia="zh-CN" w:bidi="ar-SA"/>
                </w:rPr>
                <w:t>四、财政拨款收入支出决算总体情况说明</w:t>
              </w:r>
              <w:r>
                <w:tab/>
              </w:r>
              <w:r>
                <w:fldChar w:fldCharType="begin"/>
              </w:r>
              <w:r>
                <w:instrText xml:space="preserve"> PAGEREF _Toc20079 \h </w:instrText>
              </w:r>
              <w:r>
                <w:fldChar w:fldCharType="separate"/>
              </w:r>
              <w:r>
                <w:t>10</w:t>
              </w:r>
              <w:r>
                <w:fldChar w:fldCharType="end"/>
              </w:r>
              <w:r>
                <w:fldChar w:fldCharType="end"/>
              </w:r>
            </w:p>
            <w:p>
              <w:pPr>
                <w:pStyle w:val="13"/>
                <w:tabs>
                  <w:tab w:val="right" w:leader="dot" w:pos="8845"/>
                  <w:tab w:val="clear" w:pos="8296"/>
                </w:tabs>
              </w:pPr>
              <w:r>
                <w:fldChar w:fldCharType="begin"/>
              </w:r>
              <w:r>
                <w:instrText xml:space="preserve"> HYPERLINK \l _Toc17703 </w:instrText>
              </w:r>
              <w:r>
                <w:fldChar w:fldCharType="separate"/>
              </w:r>
              <w:r>
                <w:rPr>
                  <w:rFonts w:hint="eastAsia" w:ascii="黑体" w:hAnsi="黑体" w:eastAsia="黑体" w:cs="黑体"/>
                  <w:kern w:val="2"/>
                  <w:szCs w:val="32"/>
                  <w:highlight w:val="none"/>
                  <w:lang w:val="en-US" w:eastAsia="zh-CN" w:bidi="ar-SA"/>
                </w:rPr>
                <w:t>五、一般公共预算财政拨款支出决算情况说明</w:t>
              </w:r>
              <w:r>
                <w:tab/>
              </w:r>
              <w:r>
                <w:fldChar w:fldCharType="begin"/>
              </w:r>
              <w:r>
                <w:instrText xml:space="preserve"> PAGEREF _Toc17703 \h </w:instrText>
              </w:r>
              <w:r>
                <w:fldChar w:fldCharType="separate"/>
              </w:r>
              <w:r>
                <w:t>10</w:t>
              </w:r>
              <w:r>
                <w:fldChar w:fldCharType="end"/>
              </w:r>
              <w:r>
                <w:fldChar w:fldCharType="end"/>
              </w:r>
            </w:p>
            <w:p>
              <w:pPr>
                <w:pStyle w:val="15"/>
                <w:tabs>
                  <w:tab w:val="right" w:leader="dot" w:pos="8845"/>
                  <w:tab w:val="clear" w:pos="8296"/>
                </w:tabs>
              </w:pPr>
              <w:r>
                <w:fldChar w:fldCharType="begin"/>
              </w:r>
              <w:r>
                <w:instrText xml:space="preserve"> HYPERLINK \l _Toc32310 </w:instrText>
              </w:r>
              <w:r>
                <w:fldChar w:fldCharType="separate"/>
              </w:r>
              <w:r>
                <w:rPr>
                  <w:rFonts w:hint="eastAsia" w:ascii="楷体_GB2312" w:hAnsi="楷体_GB2312" w:eastAsia="楷体_GB2312" w:cs="楷体_GB2312"/>
                  <w:szCs w:val="32"/>
                  <w:highlight w:val="none"/>
                </w:rPr>
                <w:t>（一）一般公共预算财政拨款支出决算总体情况</w:t>
              </w:r>
              <w:r>
                <w:tab/>
              </w:r>
              <w:r>
                <w:fldChar w:fldCharType="begin"/>
              </w:r>
              <w:r>
                <w:instrText xml:space="preserve"> PAGEREF _Toc32310 \h </w:instrText>
              </w:r>
              <w:r>
                <w:fldChar w:fldCharType="separate"/>
              </w:r>
              <w:r>
                <w:t>11</w:t>
              </w:r>
              <w:r>
                <w:fldChar w:fldCharType="end"/>
              </w:r>
              <w:r>
                <w:fldChar w:fldCharType="end"/>
              </w:r>
            </w:p>
            <w:p>
              <w:pPr>
                <w:pStyle w:val="15"/>
                <w:tabs>
                  <w:tab w:val="right" w:leader="dot" w:pos="8845"/>
                  <w:tab w:val="clear" w:pos="8296"/>
                </w:tabs>
              </w:pPr>
              <w:r>
                <w:fldChar w:fldCharType="begin"/>
              </w:r>
              <w:r>
                <w:instrText xml:space="preserve"> HYPERLINK \l _Toc26010 </w:instrText>
              </w:r>
              <w:r>
                <w:fldChar w:fldCharType="separate"/>
              </w:r>
              <w:r>
                <w:rPr>
                  <w:rFonts w:hint="eastAsia" w:ascii="楷体_GB2312" w:hAnsi="楷体_GB2312" w:eastAsia="楷体_GB2312" w:cs="楷体_GB2312"/>
                  <w:szCs w:val="32"/>
                  <w:highlight w:val="none"/>
                </w:rPr>
                <w:t>（二）一般公共预算财政拨款支出决算结构情况</w:t>
              </w:r>
              <w:r>
                <w:tab/>
              </w:r>
              <w:r>
                <w:fldChar w:fldCharType="begin"/>
              </w:r>
              <w:r>
                <w:instrText xml:space="preserve"> PAGEREF _Toc26010 \h </w:instrText>
              </w:r>
              <w:r>
                <w:fldChar w:fldCharType="separate"/>
              </w:r>
              <w:r>
                <w:t>11</w:t>
              </w:r>
              <w:r>
                <w:fldChar w:fldCharType="end"/>
              </w:r>
              <w:r>
                <w:fldChar w:fldCharType="end"/>
              </w:r>
            </w:p>
            <w:p>
              <w:pPr>
                <w:pStyle w:val="15"/>
                <w:tabs>
                  <w:tab w:val="right" w:leader="dot" w:pos="8845"/>
                  <w:tab w:val="clear" w:pos="8296"/>
                </w:tabs>
              </w:pPr>
              <w:r>
                <w:fldChar w:fldCharType="begin"/>
              </w:r>
              <w:r>
                <w:instrText xml:space="preserve"> HYPERLINK \l _Toc31015 </w:instrText>
              </w:r>
              <w:r>
                <w:fldChar w:fldCharType="separate"/>
              </w:r>
              <w:r>
                <w:rPr>
                  <w:rFonts w:hint="eastAsia" w:ascii="楷体_GB2312" w:hAnsi="楷体_GB2312" w:eastAsia="楷体_GB2312" w:cs="楷体_GB2312"/>
                  <w:szCs w:val="32"/>
                  <w:highlight w:val="none"/>
                </w:rPr>
                <w:t>（三）一般公共预算财政拨款支出决算具体情况</w:t>
              </w:r>
              <w:r>
                <w:tab/>
              </w:r>
              <w:r>
                <w:fldChar w:fldCharType="begin"/>
              </w:r>
              <w:r>
                <w:instrText xml:space="preserve"> PAGEREF _Toc31015 \h </w:instrText>
              </w:r>
              <w:r>
                <w:fldChar w:fldCharType="separate"/>
              </w:r>
              <w:r>
                <w:t>12</w:t>
              </w:r>
              <w:r>
                <w:fldChar w:fldCharType="end"/>
              </w:r>
              <w:r>
                <w:fldChar w:fldCharType="end"/>
              </w:r>
            </w:p>
            <w:p>
              <w:pPr>
                <w:pStyle w:val="13"/>
                <w:tabs>
                  <w:tab w:val="right" w:leader="dot" w:pos="8845"/>
                  <w:tab w:val="clear" w:pos="8296"/>
                </w:tabs>
              </w:pPr>
              <w:r>
                <w:fldChar w:fldCharType="begin"/>
              </w:r>
              <w:r>
                <w:instrText xml:space="preserve"> HYPERLINK \l _Toc7425 </w:instrText>
              </w:r>
              <w:r>
                <w:fldChar w:fldCharType="separate"/>
              </w:r>
              <w:r>
                <w:rPr>
                  <w:rFonts w:hint="eastAsia" w:ascii="黑体" w:hAnsi="黑体" w:eastAsia="黑体" w:cs="黑体"/>
                  <w:kern w:val="2"/>
                  <w:szCs w:val="32"/>
                  <w:highlight w:val="none"/>
                  <w:lang w:val="en-US" w:eastAsia="zh-CN" w:bidi="ar-SA"/>
                </w:rPr>
                <w:t>六、一般公共预算财政拨款基本支出决算情况说明</w:t>
              </w:r>
              <w:r>
                <w:tab/>
              </w:r>
              <w:r>
                <w:fldChar w:fldCharType="begin"/>
              </w:r>
              <w:r>
                <w:instrText xml:space="preserve"> PAGEREF _Toc7425 \h </w:instrText>
              </w:r>
              <w:r>
                <w:fldChar w:fldCharType="separate"/>
              </w:r>
              <w:r>
                <w:t>15</w:t>
              </w:r>
              <w:r>
                <w:fldChar w:fldCharType="end"/>
              </w:r>
              <w:r>
                <w:fldChar w:fldCharType="end"/>
              </w:r>
            </w:p>
            <w:p>
              <w:pPr>
                <w:pStyle w:val="13"/>
                <w:tabs>
                  <w:tab w:val="right" w:leader="dot" w:pos="8845"/>
                  <w:tab w:val="clear" w:pos="8296"/>
                </w:tabs>
              </w:pPr>
              <w:r>
                <w:fldChar w:fldCharType="begin"/>
              </w:r>
              <w:r>
                <w:instrText xml:space="preserve"> HYPERLINK \l _Toc8936 </w:instrText>
              </w:r>
              <w:r>
                <w:fldChar w:fldCharType="separate"/>
              </w:r>
              <w:r>
                <w:rPr>
                  <w:rFonts w:hint="eastAsia" w:ascii="黑体" w:hAnsi="黑体" w:eastAsia="黑体" w:cs="黑体"/>
                  <w:kern w:val="2"/>
                  <w:szCs w:val="32"/>
                  <w:highlight w:val="none"/>
                  <w:lang w:val="en-US" w:eastAsia="zh-CN" w:bidi="ar-SA"/>
                </w:rPr>
                <w:t>七、财政拨款“三公”经费支出决算情况说明</w:t>
              </w:r>
              <w:r>
                <w:tab/>
              </w:r>
              <w:r>
                <w:fldChar w:fldCharType="begin"/>
              </w:r>
              <w:r>
                <w:instrText xml:space="preserve"> PAGEREF _Toc8936 \h </w:instrText>
              </w:r>
              <w:r>
                <w:fldChar w:fldCharType="separate"/>
              </w:r>
              <w:r>
                <w:t>15</w:t>
              </w:r>
              <w:r>
                <w:fldChar w:fldCharType="end"/>
              </w:r>
              <w:r>
                <w:fldChar w:fldCharType="end"/>
              </w:r>
            </w:p>
            <w:p>
              <w:pPr>
                <w:pStyle w:val="15"/>
                <w:tabs>
                  <w:tab w:val="right" w:leader="dot" w:pos="8845"/>
                  <w:tab w:val="clear" w:pos="8296"/>
                </w:tabs>
              </w:pPr>
              <w:r>
                <w:fldChar w:fldCharType="begin"/>
              </w:r>
              <w:r>
                <w:instrText xml:space="preserve"> HYPERLINK \l _Toc22021 </w:instrText>
              </w:r>
              <w:r>
                <w:fldChar w:fldCharType="separate"/>
              </w:r>
              <w:r>
                <w:rPr>
                  <w:rFonts w:hint="eastAsia" w:ascii="楷体_GB2312" w:hAnsi="楷体_GB2312" w:eastAsia="楷体_GB2312" w:cs="楷体_GB2312"/>
                  <w:szCs w:val="32"/>
                  <w:highlight w:val="none"/>
                </w:rPr>
                <w:t>（一）财政拨款“三公”经费支出决算总体情况说明</w:t>
              </w:r>
              <w:r>
                <w:tab/>
              </w:r>
              <w:r>
                <w:fldChar w:fldCharType="begin"/>
              </w:r>
              <w:r>
                <w:instrText xml:space="preserve"> PAGEREF _Toc22021 \h </w:instrText>
              </w:r>
              <w:r>
                <w:fldChar w:fldCharType="separate"/>
              </w:r>
              <w:r>
                <w:t>15</w:t>
              </w:r>
              <w:r>
                <w:fldChar w:fldCharType="end"/>
              </w:r>
              <w:r>
                <w:fldChar w:fldCharType="end"/>
              </w:r>
            </w:p>
            <w:p>
              <w:pPr>
                <w:pStyle w:val="15"/>
                <w:tabs>
                  <w:tab w:val="right" w:leader="dot" w:pos="8845"/>
                  <w:tab w:val="clear" w:pos="8296"/>
                </w:tabs>
              </w:pPr>
              <w:r>
                <w:fldChar w:fldCharType="begin"/>
              </w:r>
              <w:r>
                <w:instrText xml:space="preserve"> HYPERLINK \l _Toc25254 </w:instrText>
              </w:r>
              <w:r>
                <w:fldChar w:fldCharType="separate"/>
              </w:r>
              <w:r>
                <w:rPr>
                  <w:rFonts w:hint="eastAsia" w:ascii="楷体_GB2312" w:hAnsi="楷体_GB2312" w:eastAsia="楷体_GB2312" w:cs="楷体_GB2312"/>
                  <w:szCs w:val="32"/>
                  <w:highlight w:val="none"/>
                </w:rPr>
                <w:t>（二）财政拨款“三公”经费支出决算具体情况说明</w:t>
              </w:r>
              <w:r>
                <w:tab/>
              </w:r>
              <w:r>
                <w:fldChar w:fldCharType="begin"/>
              </w:r>
              <w:r>
                <w:instrText xml:space="preserve"> PAGEREF _Toc25254 \h </w:instrText>
              </w:r>
              <w:r>
                <w:fldChar w:fldCharType="separate"/>
              </w:r>
              <w:r>
                <w:t>16</w:t>
              </w:r>
              <w:r>
                <w:fldChar w:fldCharType="end"/>
              </w:r>
              <w:r>
                <w:fldChar w:fldCharType="end"/>
              </w:r>
            </w:p>
            <w:p>
              <w:pPr>
                <w:pStyle w:val="13"/>
                <w:tabs>
                  <w:tab w:val="right" w:leader="dot" w:pos="8845"/>
                  <w:tab w:val="clear" w:pos="8296"/>
                </w:tabs>
              </w:pPr>
              <w:r>
                <w:fldChar w:fldCharType="begin"/>
              </w:r>
              <w:r>
                <w:instrText xml:space="preserve"> HYPERLINK \l _Toc11657 </w:instrText>
              </w:r>
              <w:r>
                <w:fldChar w:fldCharType="separate"/>
              </w:r>
              <w:r>
                <w:rPr>
                  <w:rFonts w:hint="eastAsia" w:ascii="黑体" w:hAnsi="黑体" w:eastAsia="黑体" w:cs="黑体"/>
                  <w:kern w:val="2"/>
                  <w:szCs w:val="32"/>
                  <w:highlight w:val="none"/>
                  <w:lang w:val="en-US" w:eastAsia="zh-CN" w:bidi="ar-SA"/>
                </w:rPr>
                <w:t>八、政府性基金预算支出决算情况说明</w:t>
              </w:r>
              <w:r>
                <w:tab/>
              </w:r>
              <w:r>
                <w:fldChar w:fldCharType="begin"/>
              </w:r>
              <w:r>
                <w:instrText xml:space="preserve"> PAGEREF _Toc11657 \h </w:instrText>
              </w:r>
              <w:r>
                <w:fldChar w:fldCharType="separate"/>
              </w:r>
              <w:r>
                <w:t>17</w:t>
              </w:r>
              <w:r>
                <w:fldChar w:fldCharType="end"/>
              </w:r>
              <w:r>
                <w:fldChar w:fldCharType="end"/>
              </w:r>
            </w:p>
            <w:p>
              <w:pPr>
                <w:pStyle w:val="13"/>
                <w:tabs>
                  <w:tab w:val="right" w:leader="dot" w:pos="8845"/>
                  <w:tab w:val="clear" w:pos="8296"/>
                </w:tabs>
              </w:pPr>
              <w:r>
                <w:fldChar w:fldCharType="begin"/>
              </w:r>
              <w:r>
                <w:instrText xml:space="preserve"> HYPERLINK \l _Toc4735 </w:instrText>
              </w:r>
              <w:r>
                <w:fldChar w:fldCharType="separate"/>
              </w:r>
              <w:r>
                <w:rPr>
                  <w:rFonts w:hint="eastAsia" w:ascii="黑体" w:hAnsi="黑体" w:eastAsia="黑体" w:cs="黑体"/>
                  <w:kern w:val="2"/>
                  <w:szCs w:val="32"/>
                  <w:highlight w:val="none"/>
                  <w:lang w:val="en-US" w:eastAsia="zh-CN" w:bidi="ar-SA"/>
                </w:rPr>
                <w:t>九、国有资本经营预算支出决算情况说明</w:t>
              </w:r>
              <w:r>
                <w:tab/>
              </w:r>
              <w:r>
                <w:fldChar w:fldCharType="begin"/>
              </w:r>
              <w:r>
                <w:instrText xml:space="preserve"> PAGEREF _Toc4735 \h </w:instrText>
              </w:r>
              <w:r>
                <w:fldChar w:fldCharType="separate"/>
              </w:r>
              <w:r>
                <w:t>17</w:t>
              </w:r>
              <w:r>
                <w:fldChar w:fldCharType="end"/>
              </w:r>
              <w:r>
                <w:fldChar w:fldCharType="end"/>
              </w:r>
            </w:p>
            <w:p>
              <w:pPr>
                <w:pStyle w:val="13"/>
                <w:tabs>
                  <w:tab w:val="right" w:leader="dot" w:pos="8845"/>
                  <w:tab w:val="clear" w:pos="8296"/>
                </w:tabs>
              </w:pPr>
              <w:r>
                <w:fldChar w:fldCharType="begin"/>
              </w:r>
              <w:r>
                <w:instrText xml:space="preserve"> HYPERLINK \l _Toc2796 </w:instrText>
              </w:r>
              <w:r>
                <w:fldChar w:fldCharType="separate"/>
              </w:r>
              <w:r>
                <w:rPr>
                  <w:rFonts w:hint="eastAsia" w:ascii="黑体" w:hAnsi="黑体" w:eastAsia="黑体" w:cs="黑体"/>
                  <w:kern w:val="2"/>
                  <w:szCs w:val="32"/>
                  <w:highlight w:val="none"/>
                  <w:lang w:val="en-US" w:eastAsia="zh-CN" w:bidi="ar-SA"/>
                </w:rPr>
                <w:t>十、其他重要事项的情况说明</w:t>
              </w:r>
              <w:r>
                <w:tab/>
              </w:r>
              <w:r>
                <w:fldChar w:fldCharType="begin"/>
              </w:r>
              <w:r>
                <w:instrText xml:space="preserve"> PAGEREF _Toc2796 \h </w:instrText>
              </w:r>
              <w:r>
                <w:fldChar w:fldCharType="separate"/>
              </w:r>
              <w:r>
                <w:t>17</w:t>
              </w:r>
              <w:r>
                <w:fldChar w:fldCharType="end"/>
              </w:r>
              <w:r>
                <w:fldChar w:fldCharType="end"/>
              </w:r>
            </w:p>
            <w:p>
              <w:pPr>
                <w:pStyle w:val="15"/>
                <w:tabs>
                  <w:tab w:val="right" w:leader="dot" w:pos="8845"/>
                  <w:tab w:val="clear" w:pos="8296"/>
                </w:tabs>
              </w:pPr>
              <w:r>
                <w:fldChar w:fldCharType="begin"/>
              </w:r>
              <w:r>
                <w:instrText xml:space="preserve"> HYPERLINK \l _Toc807 </w:instrText>
              </w:r>
              <w:r>
                <w:fldChar w:fldCharType="separate"/>
              </w:r>
              <w:r>
                <w:rPr>
                  <w:rFonts w:hint="eastAsia" w:ascii="楷体_GB2312" w:hAnsi="楷体_GB2312" w:eastAsia="楷体_GB2312" w:cs="楷体_GB2312"/>
                  <w:szCs w:val="32"/>
                  <w:highlight w:val="none"/>
                </w:rPr>
                <w:t>（一）机关运行经费支出情况</w:t>
              </w:r>
              <w:r>
                <w:tab/>
              </w:r>
              <w:r>
                <w:fldChar w:fldCharType="begin"/>
              </w:r>
              <w:r>
                <w:instrText xml:space="preserve"> PAGEREF _Toc807 \h </w:instrText>
              </w:r>
              <w:r>
                <w:fldChar w:fldCharType="separate"/>
              </w:r>
              <w:r>
                <w:t>17</w:t>
              </w:r>
              <w:r>
                <w:fldChar w:fldCharType="end"/>
              </w:r>
              <w:r>
                <w:fldChar w:fldCharType="end"/>
              </w:r>
            </w:p>
            <w:p>
              <w:pPr>
                <w:pStyle w:val="15"/>
                <w:tabs>
                  <w:tab w:val="right" w:leader="dot" w:pos="8845"/>
                  <w:tab w:val="clear" w:pos="8296"/>
                </w:tabs>
              </w:pPr>
              <w:r>
                <w:fldChar w:fldCharType="begin"/>
              </w:r>
              <w:r>
                <w:instrText xml:space="preserve"> HYPERLINK \l _Toc12191 </w:instrText>
              </w:r>
              <w:r>
                <w:fldChar w:fldCharType="separate"/>
              </w:r>
              <w:r>
                <w:rPr>
                  <w:rFonts w:hint="eastAsia" w:ascii="楷体_GB2312" w:hAnsi="楷体_GB2312" w:eastAsia="楷体_GB2312" w:cs="楷体_GB2312"/>
                  <w:szCs w:val="32"/>
                  <w:highlight w:val="none"/>
                </w:rPr>
                <w:t>（二）政府采购支出情况</w:t>
              </w:r>
              <w:r>
                <w:tab/>
              </w:r>
              <w:r>
                <w:fldChar w:fldCharType="begin"/>
              </w:r>
              <w:r>
                <w:instrText xml:space="preserve"> PAGEREF _Toc12191 \h </w:instrText>
              </w:r>
              <w:r>
                <w:fldChar w:fldCharType="separate"/>
              </w:r>
              <w:r>
                <w:t>18</w:t>
              </w:r>
              <w:r>
                <w:fldChar w:fldCharType="end"/>
              </w:r>
              <w:r>
                <w:fldChar w:fldCharType="end"/>
              </w:r>
            </w:p>
            <w:p>
              <w:pPr>
                <w:pStyle w:val="15"/>
                <w:tabs>
                  <w:tab w:val="right" w:leader="dot" w:pos="8845"/>
                  <w:tab w:val="clear" w:pos="8296"/>
                </w:tabs>
              </w:pPr>
              <w:r>
                <w:fldChar w:fldCharType="begin"/>
              </w:r>
              <w:r>
                <w:instrText xml:space="preserve"> HYPERLINK \l _Toc32176 </w:instrText>
              </w:r>
              <w:r>
                <w:fldChar w:fldCharType="separate"/>
              </w:r>
              <w:r>
                <w:rPr>
                  <w:rFonts w:hint="eastAsia" w:ascii="楷体_GB2312" w:hAnsi="楷体_GB2312" w:eastAsia="楷体_GB2312" w:cs="楷体_GB2312"/>
                  <w:szCs w:val="32"/>
                  <w:highlight w:val="none"/>
                </w:rPr>
                <w:t>（三）国有资产占有使用情况</w:t>
              </w:r>
              <w:r>
                <w:tab/>
              </w:r>
              <w:r>
                <w:fldChar w:fldCharType="begin"/>
              </w:r>
              <w:r>
                <w:instrText xml:space="preserve"> PAGEREF _Toc32176 \h </w:instrText>
              </w:r>
              <w:r>
                <w:fldChar w:fldCharType="separate"/>
              </w:r>
              <w:r>
                <w:t>18</w:t>
              </w:r>
              <w:r>
                <w:fldChar w:fldCharType="end"/>
              </w:r>
              <w:r>
                <w:fldChar w:fldCharType="end"/>
              </w:r>
            </w:p>
            <w:p>
              <w:pPr>
                <w:pStyle w:val="15"/>
                <w:tabs>
                  <w:tab w:val="right" w:leader="dot" w:pos="8845"/>
                  <w:tab w:val="clear" w:pos="8296"/>
                </w:tabs>
              </w:pPr>
              <w:r>
                <w:fldChar w:fldCharType="begin"/>
              </w:r>
              <w:r>
                <w:instrText xml:space="preserve"> HYPERLINK \l _Toc8260 </w:instrText>
              </w:r>
              <w:r>
                <w:fldChar w:fldCharType="separate"/>
              </w:r>
              <w:r>
                <w:rPr>
                  <w:rFonts w:hint="eastAsia" w:ascii="楷体_GB2312" w:hAnsi="楷体_GB2312" w:eastAsia="楷体_GB2312" w:cs="楷体_GB2312"/>
                  <w:szCs w:val="32"/>
                  <w:highlight w:val="none"/>
                </w:rPr>
                <w:t>（四）预算绩效管理情况</w:t>
              </w:r>
              <w:r>
                <w:tab/>
              </w:r>
              <w:r>
                <w:fldChar w:fldCharType="begin"/>
              </w:r>
              <w:r>
                <w:instrText xml:space="preserve"> PAGEREF _Toc8260 \h </w:instrText>
              </w:r>
              <w:r>
                <w:fldChar w:fldCharType="separate"/>
              </w:r>
              <w:r>
                <w:t>18</w:t>
              </w:r>
              <w:r>
                <w:fldChar w:fldCharType="end"/>
              </w:r>
              <w:r>
                <w:fldChar w:fldCharType="end"/>
              </w:r>
            </w:p>
            <w:p>
              <w:pPr>
                <w:pStyle w:val="9"/>
                <w:tabs>
                  <w:tab w:val="right" w:leader="dot" w:pos="8845"/>
                  <w:tab w:val="clear" w:pos="8296"/>
                </w:tabs>
              </w:pPr>
              <w:r>
                <w:fldChar w:fldCharType="begin"/>
              </w:r>
              <w:r>
                <w:instrText xml:space="preserve"> HYPERLINK \l _Toc15522 </w:instrText>
              </w:r>
              <w:r>
                <w:fldChar w:fldCharType="separate"/>
              </w:r>
              <w:r>
                <w:rPr>
                  <w:rFonts w:hint="eastAsia" w:ascii="Times New Roman" w:hAnsi="Times New Roman" w:eastAsia="仿宋_GB2312" w:cs="Times New Roman"/>
                  <w:kern w:val="2"/>
                  <w:szCs w:val="32"/>
                  <w:highlight w:val="none"/>
                  <w:lang w:val="en-US" w:eastAsia="zh-CN" w:bidi="ar-SA"/>
                </w:rPr>
                <w:t>1</w:t>
              </w:r>
              <w:r>
                <w:rPr>
                  <w:rFonts w:hint="eastAsia" w:eastAsia="仿宋_GB2312" w:cs="Times New Roman"/>
                  <w:kern w:val="2"/>
                  <w:szCs w:val="32"/>
                  <w:highlight w:val="none"/>
                  <w:lang w:val="en-US" w:eastAsia="zh-CN" w:bidi="ar-SA"/>
                </w:rPr>
                <w:t>.</w:t>
              </w:r>
              <w:r>
                <w:rPr>
                  <w:rFonts w:hint="eastAsia" w:ascii="Times New Roman" w:hAnsi="Times New Roman" w:eastAsia="仿宋_GB2312" w:cs="Times New Roman"/>
                  <w:kern w:val="2"/>
                  <w:szCs w:val="32"/>
                  <w:highlight w:val="none"/>
                  <w:lang w:val="en-US" w:eastAsia="zh-CN" w:bidi="ar-SA"/>
                </w:rPr>
                <w:t>概述项目绩效目标完成情况。</w:t>
              </w:r>
              <w:r>
                <w:tab/>
              </w:r>
              <w:r>
                <w:fldChar w:fldCharType="begin"/>
              </w:r>
              <w:r>
                <w:instrText xml:space="preserve"> PAGEREF _Toc15522 \h </w:instrText>
              </w:r>
              <w:r>
                <w:fldChar w:fldCharType="separate"/>
              </w:r>
              <w:r>
                <w:t>19</w:t>
              </w:r>
              <w:r>
                <w:fldChar w:fldCharType="end"/>
              </w:r>
              <w:r>
                <w:fldChar w:fldCharType="end"/>
              </w:r>
            </w:p>
            <w:p>
              <w:pPr>
                <w:pStyle w:val="9"/>
                <w:tabs>
                  <w:tab w:val="right" w:leader="dot" w:pos="8845"/>
                  <w:tab w:val="clear" w:pos="8296"/>
                </w:tabs>
              </w:pPr>
              <w:r>
                <w:fldChar w:fldCharType="begin"/>
              </w:r>
              <w:r>
                <w:instrText xml:space="preserve"> HYPERLINK \l _Toc7150 </w:instrText>
              </w:r>
              <w:r>
                <w:fldChar w:fldCharType="separate"/>
              </w:r>
              <w:r>
                <w:rPr>
                  <w:rFonts w:hint="eastAsia" w:ascii="Times New Roman" w:hAnsi="Times New Roman" w:eastAsia="仿宋_GB2312" w:cs="Times New Roman"/>
                  <w:kern w:val="2"/>
                  <w:szCs w:val="32"/>
                  <w:highlight w:val="none"/>
                  <w:lang w:val="en-US" w:eastAsia="zh-CN" w:bidi="ar-SA"/>
                </w:rPr>
                <w:t>2</w:t>
              </w:r>
              <w:r>
                <w:rPr>
                  <w:rFonts w:hint="eastAsia" w:eastAsia="仿宋_GB2312" w:cs="Times New Roman"/>
                  <w:kern w:val="2"/>
                  <w:szCs w:val="32"/>
                  <w:highlight w:val="none"/>
                  <w:lang w:val="en-US" w:eastAsia="zh-CN" w:bidi="ar-SA"/>
                </w:rPr>
                <w:t>.</w:t>
              </w:r>
              <w:r>
                <w:rPr>
                  <w:rFonts w:hint="eastAsia" w:ascii="Times New Roman" w:hAnsi="Times New Roman" w:eastAsia="仿宋_GB2312" w:cs="Times New Roman"/>
                  <w:kern w:val="2"/>
                  <w:szCs w:val="32"/>
                  <w:highlight w:val="none"/>
                  <w:lang w:val="en-US" w:eastAsia="zh-CN" w:bidi="ar-SA"/>
                </w:rPr>
                <w:t>概述本单位整体支出绩效目标实现情况。</w:t>
              </w:r>
              <w:r>
                <w:tab/>
              </w:r>
              <w:r>
                <w:fldChar w:fldCharType="begin"/>
              </w:r>
              <w:r>
                <w:instrText xml:space="preserve"> PAGEREF _Toc7150 \h </w:instrText>
              </w:r>
              <w:r>
                <w:fldChar w:fldCharType="separate"/>
              </w:r>
              <w:r>
                <w:t>21</w:t>
              </w:r>
              <w:r>
                <w:fldChar w:fldCharType="end"/>
              </w:r>
              <w:r>
                <w:fldChar w:fldCharType="end"/>
              </w:r>
            </w:p>
            <w:p>
              <w:pPr>
                <w:pStyle w:val="13"/>
                <w:tabs>
                  <w:tab w:val="right" w:leader="dot" w:pos="8845"/>
                  <w:tab w:val="clear" w:pos="8296"/>
                </w:tabs>
              </w:pPr>
              <w:r>
                <w:fldChar w:fldCharType="begin"/>
              </w:r>
              <w:r>
                <w:instrText xml:space="preserve"> HYPERLINK \l _Toc24260 </w:instrText>
              </w:r>
              <w:r>
                <w:fldChar w:fldCharType="separate"/>
              </w:r>
              <w:r>
                <w:rPr>
                  <w:rFonts w:hint="eastAsia" w:ascii="Times New Roman" w:hAnsi="Times New Roman" w:eastAsia="黑体" w:cs="Times New Roman"/>
                  <w:szCs w:val="44"/>
                  <w:highlight w:val="none"/>
                </w:rPr>
                <w:t>第</w:t>
              </w:r>
              <w:r>
                <w:rPr>
                  <w:rFonts w:hint="eastAsia" w:ascii="Times New Roman" w:hAnsi="Times New Roman" w:eastAsia="黑体" w:cs="Times New Roman"/>
                  <w:szCs w:val="44"/>
                  <w:highlight w:val="none"/>
                  <w:lang w:eastAsia="zh-CN"/>
                </w:rPr>
                <w:t>三</w:t>
              </w:r>
              <w:r>
                <w:rPr>
                  <w:rFonts w:hint="eastAsia" w:ascii="Times New Roman" w:hAnsi="Times New Roman" w:eastAsia="黑体" w:cs="Times New Roman"/>
                  <w:szCs w:val="44"/>
                  <w:highlight w:val="none"/>
                </w:rPr>
                <w:t>部分</w:t>
              </w:r>
              <w:r>
                <w:rPr>
                  <w:rFonts w:hint="eastAsia" w:ascii="Times New Roman" w:hAnsi="Times New Roman" w:eastAsia="黑体" w:cs="Times New Roman"/>
                  <w:szCs w:val="44"/>
                  <w:highlight w:val="none"/>
                  <w:lang w:val="en-US" w:eastAsia="zh-CN"/>
                </w:rPr>
                <w:t xml:space="preserve">  </w:t>
              </w:r>
              <w:r>
                <w:rPr>
                  <w:rFonts w:hint="eastAsia" w:ascii="Times New Roman" w:hAnsi="Times New Roman" w:eastAsia="黑体" w:cs="Times New Roman"/>
                  <w:szCs w:val="44"/>
                  <w:highlight w:val="none"/>
                </w:rPr>
                <w:t>名词解释</w:t>
              </w:r>
              <w:r>
                <w:tab/>
              </w:r>
              <w:r>
                <w:fldChar w:fldCharType="begin"/>
              </w:r>
              <w:r>
                <w:instrText xml:space="preserve"> PAGEREF _Toc24260 \h </w:instrText>
              </w:r>
              <w:r>
                <w:fldChar w:fldCharType="separate"/>
              </w:r>
              <w:r>
                <w:t>22</w:t>
              </w:r>
              <w:r>
                <w:fldChar w:fldCharType="end"/>
              </w:r>
              <w:r>
                <w:fldChar w:fldCharType="end"/>
              </w:r>
            </w:p>
            <w:p>
              <w:pPr>
                <w:pStyle w:val="13"/>
                <w:tabs>
                  <w:tab w:val="right" w:leader="dot" w:pos="8845"/>
                  <w:tab w:val="clear" w:pos="8296"/>
                </w:tabs>
              </w:pPr>
              <w:r>
                <w:fldChar w:fldCharType="begin"/>
              </w:r>
              <w:r>
                <w:instrText xml:space="preserve"> HYPERLINK \l _Toc14910 </w:instrText>
              </w:r>
              <w:r>
                <w:fldChar w:fldCharType="separate"/>
              </w:r>
              <w:r>
                <w:rPr>
                  <w:rFonts w:hint="eastAsia" w:ascii="Times New Roman" w:hAnsi="Times New Roman" w:eastAsia="黑体" w:cs="Times New Roman"/>
                  <w:szCs w:val="44"/>
                  <w:highlight w:val="none"/>
                  <w:lang w:val="zh-CN" w:eastAsia="zh-CN"/>
                </w:rPr>
                <w:t>第四部分</w:t>
              </w:r>
              <w:r>
                <w:rPr>
                  <w:rFonts w:hint="eastAsia" w:ascii="Times New Roman" w:hAnsi="Times New Roman" w:eastAsia="黑体" w:cs="Times New Roman"/>
                  <w:szCs w:val="44"/>
                  <w:highlight w:val="none"/>
                  <w:lang w:val="en-US" w:eastAsia="zh-CN"/>
                </w:rPr>
                <w:t xml:space="preserve"> </w:t>
              </w:r>
              <w:r>
                <w:rPr>
                  <w:rFonts w:hint="eastAsia" w:ascii="Times New Roman" w:hAnsi="Times New Roman" w:eastAsia="黑体" w:cs="Times New Roman"/>
                  <w:szCs w:val="44"/>
                  <w:highlight w:val="none"/>
                  <w:lang w:val="zh-CN" w:eastAsia="zh-CN"/>
                </w:rPr>
                <w:t xml:space="preserve"> 附件</w:t>
              </w:r>
              <w:r>
                <w:tab/>
              </w:r>
              <w:r>
                <w:fldChar w:fldCharType="begin"/>
              </w:r>
              <w:r>
                <w:instrText xml:space="preserve"> PAGEREF _Toc14910 \h </w:instrText>
              </w:r>
              <w:r>
                <w:fldChar w:fldCharType="separate"/>
              </w:r>
              <w:r>
                <w:t>26</w:t>
              </w:r>
              <w:r>
                <w:fldChar w:fldCharType="end"/>
              </w:r>
              <w:r>
                <w:fldChar w:fldCharType="end"/>
              </w:r>
            </w:p>
            <w:p>
              <w:pPr>
                <w:pStyle w:val="13"/>
                <w:tabs>
                  <w:tab w:val="right" w:leader="dot" w:pos="8845"/>
                  <w:tab w:val="clear" w:pos="8296"/>
                </w:tabs>
              </w:pPr>
              <w:r>
                <w:fldChar w:fldCharType="begin"/>
              </w:r>
              <w:r>
                <w:instrText xml:space="preserve"> HYPERLINK \l _Toc10571 </w:instrText>
              </w:r>
              <w:r>
                <w:fldChar w:fldCharType="separate"/>
              </w:r>
              <w:r>
                <w:rPr>
                  <w:rFonts w:hint="eastAsia" w:ascii="黑体" w:hAnsi="黑体" w:eastAsia="黑体" w:cs="黑体"/>
                  <w:szCs w:val="32"/>
                  <w:highlight w:val="none"/>
                </w:rPr>
                <w:t>附件</w:t>
              </w:r>
              <w:r>
                <w:rPr>
                  <w:rFonts w:hint="eastAsia" w:ascii="黑体" w:hAnsi="黑体" w:eastAsia="黑体" w:cs="黑体"/>
                  <w:szCs w:val="32"/>
                  <w:highlight w:val="none"/>
                  <w:lang w:val="en-US" w:eastAsia="zh-CN"/>
                </w:rPr>
                <w:t>1</w:t>
              </w:r>
              <w:r>
                <w:tab/>
              </w:r>
              <w:r>
                <w:fldChar w:fldCharType="begin"/>
              </w:r>
              <w:r>
                <w:instrText xml:space="preserve"> PAGEREF _Toc10571 \h </w:instrText>
              </w:r>
              <w:r>
                <w:fldChar w:fldCharType="separate"/>
              </w:r>
              <w:r>
                <w:t>26</w:t>
              </w:r>
              <w:r>
                <w:fldChar w:fldCharType="end"/>
              </w:r>
              <w:r>
                <w:fldChar w:fldCharType="end"/>
              </w:r>
            </w:p>
            <w:p>
              <w:pPr>
                <w:pStyle w:val="13"/>
                <w:tabs>
                  <w:tab w:val="right" w:leader="dot" w:pos="8845"/>
                  <w:tab w:val="clear" w:pos="8296"/>
                </w:tabs>
              </w:pPr>
              <w:r>
                <w:fldChar w:fldCharType="begin"/>
              </w:r>
              <w:r>
                <w:instrText xml:space="preserve"> HYPERLINK \l _Toc20327 </w:instrText>
              </w:r>
              <w:r>
                <w:fldChar w:fldCharType="separate"/>
              </w:r>
              <w:r>
                <w:rPr>
                  <w:rFonts w:hint="eastAsia" w:eastAsia="仿宋_GB2312" w:cs="Times New Roman"/>
                  <w:kern w:val="2"/>
                  <w:szCs w:val="32"/>
                  <w:highlight w:val="none"/>
                  <w:lang w:val="en-US" w:eastAsia="zh-CN" w:bidi="ar-SA"/>
                </w:rPr>
                <w:t>1</w:t>
              </w:r>
              <w:r>
                <w:rPr>
                  <w:rFonts w:hint="eastAsia" w:ascii="Times New Roman" w:hAnsi="Times New Roman" w:eastAsia="仿宋_GB2312" w:cs="Times New Roman"/>
                  <w:kern w:val="2"/>
                  <w:szCs w:val="32"/>
                  <w:highlight w:val="none"/>
                  <w:lang w:val="zh-CN" w:eastAsia="zh-CN" w:bidi="ar-SA"/>
                </w:rPr>
                <w:t>.预算管理。</w:t>
              </w:r>
              <w:r>
                <w:tab/>
              </w:r>
              <w:r>
                <w:fldChar w:fldCharType="begin"/>
              </w:r>
              <w:r>
                <w:instrText xml:space="preserve"> PAGEREF _Toc20327 \h </w:instrText>
              </w:r>
              <w:r>
                <w:fldChar w:fldCharType="separate"/>
              </w:r>
              <w:r>
                <w:t>37</w:t>
              </w:r>
              <w:r>
                <w:fldChar w:fldCharType="end"/>
              </w:r>
              <w:r>
                <w:fldChar w:fldCharType="end"/>
              </w:r>
            </w:p>
            <w:p>
              <w:pPr>
                <w:pStyle w:val="15"/>
                <w:tabs>
                  <w:tab w:val="right" w:leader="dot" w:pos="8845"/>
                  <w:tab w:val="clear" w:pos="8296"/>
                </w:tabs>
              </w:pPr>
              <w:r>
                <w:fldChar w:fldCharType="begin"/>
              </w:r>
              <w:r>
                <w:instrText xml:space="preserve"> HYPERLINK \l _Toc23615 </w:instrText>
              </w:r>
              <w:r>
                <w:fldChar w:fldCharType="separate"/>
              </w:r>
              <w:r>
                <w:rPr>
                  <w:rFonts w:hint="eastAsia" w:ascii="Times New Roman" w:hAnsi="Times New Roman" w:eastAsia="仿宋_GB2312" w:cs="Times New Roman"/>
                  <w:kern w:val="2"/>
                  <w:szCs w:val="32"/>
                  <w:highlight w:val="none"/>
                  <w:lang w:val="zh-CN" w:eastAsia="zh-CN" w:bidi="ar-SA"/>
                </w:rPr>
                <w:t>（1）预算编制质量</w:t>
              </w:r>
              <w:r>
                <w:tab/>
              </w:r>
              <w:r>
                <w:fldChar w:fldCharType="begin"/>
              </w:r>
              <w:r>
                <w:instrText xml:space="preserve"> PAGEREF _Toc23615 \h </w:instrText>
              </w:r>
              <w:r>
                <w:fldChar w:fldCharType="separate"/>
              </w:r>
              <w:r>
                <w:t>37</w:t>
              </w:r>
              <w:r>
                <w:fldChar w:fldCharType="end"/>
              </w:r>
              <w:r>
                <w:fldChar w:fldCharType="end"/>
              </w:r>
            </w:p>
            <w:p>
              <w:pPr>
                <w:pStyle w:val="15"/>
                <w:tabs>
                  <w:tab w:val="right" w:leader="dot" w:pos="8845"/>
                  <w:tab w:val="clear" w:pos="8296"/>
                </w:tabs>
              </w:pPr>
              <w:r>
                <w:fldChar w:fldCharType="begin"/>
              </w:r>
              <w:r>
                <w:instrText xml:space="preserve"> HYPERLINK \l _Toc28004 </w:instrText>
              </w:r>
              <w:r>
                <w:fldChar w:fldCharType="separate"/>
              </w:r>
              <w:r>
                <w:rPr>
                  <w:rFonts w:hint="eastAsia" w:ascii="Times New Roman" w:hAnsi="Times New Roman" w:eastAsia="仿宋_GB2312" w:cs="Times New Roman"/>
                  <w:kern w:val="2"/>
                  <w:szCs w:val="32"/>
                  <w:highlight w:val="none"/>
                  <w:lang w:val="zh-CN" w:eastAsia="zh-CN" w:bidi="ar-SA"/>
                </w:rPr>
                <w:t>（2）单位收入统筹</w:t>
              </w:r>
              <w:r>
                <w:tab/>
              </w:r>
              <w:r>
                <w:fldChar w:fldCharType="begin"/>
              </w:r>
              <w:r>
                <w:instrText xml:space="preserve"> PAGEREF _Toc28004 \h </w:instrText>
              </w:r>
              <w:r>
                <w:fldChar w:fldCharType="separate"/>
              </w:r>
              <w:r>
                <w:t>37</w:t>
              </w:r>
              <w:r>
                <w:fldChar w:fldCharType="end"/>
              </w:r>
              <w:r>
                <w:fldChar w:fldCharType="end"/>
              </w:r>
            </w:p>
            <w:p>
              <w:pPr>
                <w:pStyle w:val="15"/>
                <w:tabs>
                  <w:tab w:val="right" w:leader="dot" w:pos="8845"/>
                  <w:tab w:val="clear" w:pos="8296"/>
                </w:tabs>
              </w:pPr>
              <w:r>
                <w:fldChar w:fldCharType="begin"/>
              </w:r>
              <w:r>
                <w:instrText xml:space="preserve"> HYPERLINK \l _Toc13147 </w:instrText>
              </w:r>
              <w:r>
                <w:fldChar w:fldCharType="separate"/>
              </w:r>
              <w:r>
                <w:rPr>
                  <w:rFonts w:hint="eastAsia" w:ascii="Times New Roman" w:hAnsi="Times New Roman" w:eastAsia="仿宋_GB2312" w:cs="Times New Roman"/>
                  <w:kern w:val="2"/>
                  <w:szCs w:val="32"/>
                  <w:highlight w:val="none"/>
                  <w:lang w:val="zh-CN" w:eastAsia="zh-CN" w:bidi="ar-SA"/>
                </w:rPr>
                <w:t>（3）支出执行管理</w:t>
              </w:r>
              <w:r>
                <w:tab/>
              </w:r>
              <w:r>
                <w:fldChar w:fldCharType="begin"/>
              </w:r>
              <w:r>
                <w:instrText xml:space="preserve"> PAGEREF _Toc13147 \h </w:instrText>
              </w:r>
              <w:r>
                <w:fldChar w:fldCharType="separate"/>
              </w:r>
              <w:r>
                <w:t>37</w:t>
              </w:r>
              <w:r>
                <w:fldChar w:fldCharType="end"/>
              </w:r>
              <w:r>
                <w:fldChar w:fldCharType="end"/>
              </w:r>
            </w:p>
            <w:p>
              <w:pPr>
                <w:pStyle w:val="15"/>
                <w:tabs>
                  <w:tab w:val="right" w:leader="dot" w:pos="8845"/>
                  <w:tab w:val="clear" w:pos="8296"/>
                </w:tabs>
              </w:pPr>
              <w:r>
                <w:fldChar w:fldCharType="begin"/>
              </w:r>
              <w:r>
                <w:instrText xml:space="preserve"> HYPERLINK \l _Toc21486 </w:instrText>
              </w:r>
              <w:r>
                <w:fldChar w:fldCharType="separate"/>
              </w:r>
              <w:r>
                <w:rPr>
                  <w:rFonts w:hint="eastAsia" w:ascii="Times New Roman" w:hAnsi="Times New Roman" w:eastAsia="仿宋_GB2312" w:cs="Times New Roman"/>
                  <w:kern w:val="2"/>
                  <w:szCs w:val="32"/>
                  <w:highlight w:val="none"/>
                  <w:lang w:val="zh-CN" w:eastAsia="zh-CN" w:bidi="ar-SA"/>
                </w:rPr>
                <w:t>（4）预算年终结余</w:t>
              </w:r>
              <w:r>
                <w:tab/>
              </w:r>
              <w:r>
                <w:fldChar w:fldCharType="begin"/>
              </w:r>
              <w:r>
                <w:instrText xml:space="preserve"> PAGEREF _Toc21486 \h </w:instrText>
              </w:r>
              <w:r>
                <w:fldChar w:fldCharType="separate"/>
              </w:r>
              <w:r>
                <w:t>38</w:t>
              </w:r>
              <w:r>
                <w:fldChar w:fldCharType="end"/>
              </w:r>
              <w:r>
                <w:fldChar w:fldCharType="end"/>
              </w:r>
            </w:p>
            <w:p>
              <w:pPr>
                <w:pStyle w:val="15"/>
                <w:tabs>
                  <w:tab w:val="right" w:leader="dot" w:pos="8845"/>
                  <w:tab w:val="clear" w:pos="8296"/>
                </w:tabs>
              </w:pPr>
              <w:r>
                <w:fldChar w:fldCharType="begin"/>
              </w:r>
              <w:r>
                <w:instrText xml:space="preserve"> HYPERLINK \l _Toc16063 </w:instrText>
              </w:r>
              <w:r>
                <w:fldChar w:fldCharType="separate"/>
              </w:r>
              <w:r>
                <w:rPr>
                  <w:rFonts w:hint="eastAsia" w:ascii="Times New Roman" w:hAnsi="Times New Roman" w:eastAsia="仿宋_GB2312" w:cs="Times New Roman"/>
                  <w:kern w:val="2"/>
                  <w:szCs w:val="32"/>
                  <w:highlight w:val="none"/>
                  <w:lang w:val="zh-CN" w:eastAsia="zh-CN" w:bidi="ar-SA"/>
                </w:rPr>
                <w:t>（5）严控一般性支出</w:t>
              </w:r>
              <w:r>
                <w:tab/>
              </w:r>
              <w:r>
                <w:fldChar w:fldCharType="begin"/>
              </w:r>
              <w:r>
                <w:instrText xml:space="preserve"> PAGEREF _Toc16063 \h </w:instrText>
              </w:r>
              <w:r>
                <w:fldChar w:fldCharType="separate"/>
              </w:r>
              <w:r>
                <w:t>38</w:t>
              </w:r>
              <w:r>
                <w:fldChar w:fldCharType="end"/>
              </w:r>
              <w:r>
                <w:fldChar w:fldCharType="end"/>
              </w:r>
            </w:p>
            <w:p>
              <w:pPr>
                <w:pStyle w:val="15"/>
                <w:tabs>
                  <w:tab w:val="right" w:leader="dot" w:pos="8845"/>
                  <w:tab w:val="clear" w:pos="8296"/>
                </w:tabs>
              </w:pPr>
              <w:r>
                <w:fldChar w:fldCharType="begin"/>
              </w:r>
              <w:r>
                <w:instrText xml:space="preserve"> HYPERLINK \l _Toc27877 </w:instrText>
              </w:r>
              <w:r>
                <w:fldChar w:fldCharType="separate"/>
              </w:r>
              <w:r>
                <w:rPr>
                  <w:rFonts w:hint="eastAsia" w:ascii="Times New Roman" w:hAnsi="Times New Roman" w:eastAsia="仿宋_GB2312" w:cs="Times New Roman"/>
                  <w:kern w:val="2"/>
                  <w:szCs w:val="32"/>
                  <w:highlight w:val="none"/>
                  <w:lang w:val="zh-CN" w:eastAsia="zh-CN" w:bidi="ar-SA"/>
                </w:rPr>
                <w:t>（6）预决算公开</w:t>
              </w:r>
              <w:r>
                <w:tab/>
              </w:r>
              <w:r>
                <w:fldChar w:fldCharType="begin"/>
              </w:r>
              <w:r>
                <w:instrText xml:space="preserve"> PAGEREF _Toc27877 \h </w:instrText>
              </w:r>
              <w:r>
                <w:fldChar w:fldCharType="separate"/>
              </w:r>
              <w:r>
                <w:t>38</w:t>
              </w:r>
              <w:r>
                <w:fldChar w:fldCharType="end"/>
              </w:r>
              <w:r>
                <w:fldChar w:fldCharType="end"/>
              </w:r>
            </w:p>
            <w:p>
              <w:pPr>
                <w:pStyle w:val="15"/>
                <w:tabs>
                  <w:tab w:val="right" w:leader="dot" w:pos="8845"/>
                  <w:tab w:val="clear" w:pos="8296"/>
                </w:tabs>
              </w:pPr>
              <w:r>
                <w:fldChar w:fldCharType="begin"/>
              </w:r>
              <w:r>
                <w:instrText xml:space="preserve"> HYPERLINK \l _Toc23060 </w:instrText>
              </w:r>
              <w:r>
                <w:fldChar w:fldCharType="separate"/>
              </w:r>
              <w:r>
                <w:rPr>
                  <w:rFonts w:hint="eastAsia" w:ascii="Times New Roman" w:hAnsi="Times New Roman" w:eastAsia="仿宋_GB2312" w:cs="Times New Roman"/>
                  <w:kern w:val="2"/>
                  <w:szCs w:val="32"/>
                  <w:highlight w:val="none"/>
                  <w:lang w:val="zh-CN" w:eastAsia="zh-CN" w:bidi="ar-SA"/>
                </w:rPr>
                <w:t>（7）存在问题与改进方向</w:t>
              </w:r>
              <w:r>
                <w:tab/>
              </w:r>
              <w:r>
                <w:fldChar w:fldCharType="begin"/>
              </w:r>
              <w:r>
                <w:instrText xml:space="preserve"> PAGEREF _Toc23060 \h </w:instrText>
              </w:r>
              <w:r>
                <w:fldChar w:fldCharType="separate"/>
              </w:r>
              <w:r>
                <w:t>38</w:t>
              </w:r>
              <w:r>
                <w:fldChar w:fldCharType="end"/>
              </w:r>
              <w:r>
                <w:fldChar w:fldCharType="end"/>
              </w:r>
            </w:p>
            <w:p>
              <w:pPr>
                <w:pStyle w:val="13"/>
                <w:tabs>
                  <w:tab w:val="right" w:leader="dot" w:pos="8845"/>
                  <w:tab w:val="clear" w:pos="8296"/>
                </w:tabs>
              </w:pPr>
              <w:r>
                <w:fldChar w:fldCharType="begin"/>
              </w:r>
              <w:r>
                <w:instrText xml:space="preserve"> HYPERLINK \l _Toc8530 </w:instrText>
              </w:r>
              <w:r>
                <w:fldChar w:fldCharType="separate"/>
              </w:r>
              <w:r>
                <w:rPr>
                  <w:rFonts w:hint="eastAsia" w:eastAsia="仿宋_GB2312" w:cs="Times New Roman"/>
                  <w:kern w:val="2"/>
                  <w:szCs w:val="32"/>
                  <w:highlight w:val="none"/>
                  <w:lang w:val="en-US" w:eastAsia="zh-CN" w:bidi="ar-SA"/>
                </w:rPr>
                <w:t>2</w:t>
              </w:r>
              <w:r>
                <w:rPr>
                  <w:rFonts w:hint="eastAsia" w:ascii="Times New Roman" w:hAnsi="Times New Roman" w:eastAsia="仿宋_GB2312" w:cs="Times New Roman"/>
                  <w:kern w:val="2"/>
                  <w:szCs w:val="32"/>
                  <w:highlight w:val="none"/>
                  <w:lang w:val="en-US" w:eastAsia="zh-CN" w:bidi="ar-SA"/>
                </w:rPr>
                <w:t>.</w:t>
              </w:r>
              <w:r>
                <w:rPr>
                  <w:rFonts w:hint="eastAsia" w:ascii="Times New Roman" w:hAnsi="Times New Roman" w:eastAsia="仿宋_GB2312" w:cs="Times New Roman"/>
                  <w:kern w:val="2"/>
                  <w:szCs w:val="32"/>
                  <w:highlight w:val="none"/>
                  <w:lang w:val="zh-CN" w:eastAsia="zh-CN" w:bidi="ar-SA"/>
                </w:rPr>
                <w:t>财务管理。</w:t>
              </w:r>
              <w:r>
                <w:tab/>
              </w:r>
              <w:r>
                <w:fldChar w:fldCharType="begin"/>
              </w:r>
              <w:r>
                <w:instrText xml:space="preserve"> PAGEREF _Toc8530 \h </w:instrText>
              </w:r>
              <w:r>
                <w:fldChar w:fldCharType="separate"/>
              </w:r>
              <w:r>
                <w:t>39</w:t>
              </w:r>
              <w:r>
                <w:fldChar w:fldCharType="end"/>
              </w:r>
              <w:r>
                <w:fldChar w:fldCharType="end"/>
              </w:r>
            </w:p>
            <w:p>
              <w:pPr>
                <w:pStyle w:val="15"/>
                <w:tabs>
                  <w:tab w:val="right" w:leader="dot" w:pos="8845"/>
                  <w:tab w:val="clear" w:pos="8296"/>
                </w:tabs>
              </w:pPr>
              <w:r>
                <w:fldChar w:fldCharType="begin"/>
              </w:r>
              <w:r>
                <w:instrText xml:space="preserve"> HYPERLINK \l _Toc32294 </w:instrText>
              </w:r>
              <w:r>
                <w:fldChar w:fldCharType="separate"/>
              </w:r>
              <w:r>
                <w:rPr>
                  <w:rFonts w:hint="eastAsia" w:ascii="Times New Roman" w:hAnsi="Times New Roman" w:eastAsia="仿宋_GB2312" w:cs="Times New Roman"/>
                  <w:kern w:val="2"/>
                  <w:szCs w:val="32"/>
                  <w:highlight w:val="none"/>
                  <w:lang w:val="zh-CN" w:eastAsia="zh-CN" w:bidi="ar-SA"/>
                </w:rPr>
                <w:t>（1）财务管理制度建设</w:t>
              </w:r>
              <w:r>
                <w:tab/>
              </w:r>
              <w:r>
                <w:fldChar w:fldCharType="begin"/>
              </w:r>
              <w:r>
                <w:instrText xml:space="preserve"> PAGEREF _Toc32294 \h </w:instrText>
              </w:r>
              <w:r>
                <w:fldChar w:fldCharType="separate"/>
              </w:r>
              <w:r>
                <w:t>39</w:t>
              </w:r>
              <w:r>
                <w:fldChar w:fldCharType="end"/>
              </w:r>
              <w:r>
                <w:fldChar w:fldCharType="end"/>
              </w:r>
            </w:p>
            <w:p>
              <w:pPr>
                <w:pStyle w:val="15"/>
                <w:tabs>
                  <w:tab w:val="right" w:leader="dot" w:pos="8845"/>
                  <w:tab w:val="clear" w:pos="8296"/>
                </w:tabs>
              </w:pPr>
              <w:r>
                <w:fldChar w:fldCharType="begin"/>
              </w:r>
              <w:r>
                <w:instrText xml:space="preserve"> HYPERLINK \l _Toc29485 </w:instrText>
              </w:r>
              <w:r>
                <w:fldChar w:fldCharType="separate"/>
              </w:r>
              <w:r>
                <w:rPr>
                  <w:rFonts w:hint="eastAsia" w:ascii="Times New Roman" w:hAnsi="Times New Roman" w:eastAsia="仿宋_GB2312" w:cs="Times New Roman"/>
                  <w:kern w:val="2"/>
                  <w:szCs w:val="32"/>
                  <w:highlight w:val="none"/>
                  <w:lang w:val="zh-CN" w:eastAsia="zh-CN" w:bidi="ar-SA"/>
                </w:rPr>
                <w:t>（2）财务岗位设置与运行</w:t>
              </w:r>
              <w:r>
                <w:tab/>
              </w:r>
              <w:r>
                <w:fldChar w:fldCharType="begin"/>
              </w:r>
              <w:r>
                <w:instrText xml:space="preserve"> PAGEREF _Toc29485 \h </w:instrText>
              </w:r>
              <w:r>
                <w:fldChar w:fldCharType="separate"/>
              </w:r>
              <w:r>
                <w:t>39</w:t>
              </w:r>
              <w:r>
                <w:fldChar w:fldCharType="end"/>
              </w:r>
              <w:r>
                <w:fldChar w:fldCharType="end"/>
              </w:r>
            </w:p>
            <w:p>
              <w:pPr>
                <w:pStyle w:val="15"/>
                <w:tabs>
                  <w:tab w:val="right" w:leader="dot" w:pos="8845"/>
                  <w:tab w:val="clear" w:pos="8296"/>
                </w:tabs>
              </w:pPr>
              <w:r>
                <w:fldChar w:fldCharType="begin"/>
              </w:r>
              <w:r>
                <w:instrText xml:space="preserve"> HYPERLINK \l _Toc18431 </w:instrText>
              </w:r>
              <w:r>
                <w:fldChar w:fldCharType="separate"/>
              </w:r>
              <w:r>
                <w:rPr>
                  <w:rFonts w:hint="eastAsia" w:ascii="Times New Roman" w:hAnsi="Times New Roman" w:eastAsia="仿宋_GB2312" w:cs="Times New Roman"/>
                  <w:kern w:val="2"/>
                  <w:szCs w:val="32"/>
                  <w:highlight w:val="none"/>
                  <w:lang w:val="zh-CN" w:eastAsia="zh-CN" w:bidi="ar-SA"/>
                </w:rPr>
                <w:t>（3）资金使用规范管理</w:t>
              </w:r>
              <w:r>
                <w:tab/>
              </w:r>
              <w:r>
                <w:fldChar w:fldCharType="begin"/>
              </w:r>
              <w:r>
                <w:instrText xml:space="preserve"> PAGEREF _Toc18431 \h </w:instrText>
              </w:r>
              <w:r>
                <w:fldChar w:fldCharType="separate"/>
              </w:r>
              <w:r>
                <w:t>39</w:t>
              </w:r>
              <w:r>
                <w:fldChar w:fldCharType="end"/>
              </w:r>
              <w:r>
                <w:fldChar w:fldCharType="end"/>
              </w:r>
            </w:p>
            <w:p>
              <w:pPr>
                <w:pStyle w:val="15"/>
                <w:tabs>
                  <w:tab w:val="right" w:leader="dot" w:pos="8845"/>
                  <w:tab w:val="clear" w:pos="8296"/>
                </w:tabs>
              </w:pPr>
              <w:r>
                <w:fldChar w:fldCharType="begin"/>
              </w:r>
              <w:r>
                <w:instrText xml:space="preserve"> HYPERLINK \l _Toc27267 </w:instrText>
              </w:r>
              <w:r>
                <w:fldChar w:fldCharType="separate"/>
              </w:r>
              <w:r>
                <w:rPr>
                  <w:rFonts w:hint="eastAsia" w:ascii="Times New Roman" w:hAnsi="Times New Roman" w:eastAsia="仿宋_GB2312" w:cs="Times New Roman"/>
                  <w:kern w:val="2"/>
                  <w:szCs w:val="32"/>
                  <w:highlight w:val="none"/>
                  <w:lang w:val="zh-CN" w:eastAsia="zh-CN" w:bidi="ar-SA"/>
                </w:rPr>
                <w:t>（4）财务核算与监督</w:t>
              </w:r>
              <w:r>
                <w:tab/>
              </w:r>
              <w:r>
                <w:fldChar w:fldCharType="begin"/>
              </w:r>
              <w:r>
                <w:instrText xml:space="preserve"> PAGEREF _Toc27267 \h </w:instrText>
              </w:r>
              <w:r>
                <w:fldChar w:fldCharType="separate"/>
              </w:r>
              <w:r>
                <w:t>39</w:t>
              </w:r>
              <w:r>
                <w:fldChar w:fldCharType="end"/>
              </w:r>
              <w:r>
                <w:fldChar w:fldCharType="end"/>
              </w:r>
            </w:p>
            <w:p>
              <w:pPr>
                <w:pStyle w:val="15"/>
                <w:tabs>
                  <w:tab w:val="right" w:leader="dot" w:pos="8845"/>
                  <w:tab w:val="clear" w:pos="8296"/>
                </w:tabs>
              </w:pPr>
              <w:r>
                <w:fldChar w:fldCharType="begin"/>
              </w:r>
              <w:r>
                <w:instrText xml:space="preserve"> HYPERLINK \l _Toc10747 </w:instrText>
              </w:r>
              <w:r>
                <w:fldChar w:fldCharType="separate"/>
              </w:r>
              <w:r>
                <w:rPr>
                  <w:rFonts w:hint="eastAsia" w:ascii="Times New Roman" w:hAnsi="Times New Roman" w:eastAsia="仿宋_GB2312" w:cs="Times New Roman"/>
                  <w:kern w:val="2"/>
                  <w:szCs w:val="32"/>
                  <w:highlight w:val="none"/>
                  <w:lang w:val="zh-CN" w:eastAsia="zh-CN" w:bidi="ar-SA"/>
                </w:rPr>
                <w:t>（5）存在问题与改进方向</w:t>
              </w:r>
              <w:r>
                <w:tab/>
              </w:r>
              <w:r>
                <w:fldChar w:fldCharType="begin"/>
              </w:r>
              <w:r>
                <w:instrText xml:space="preserve"> PAGEREF _Toc10747 \h </w:instrText>
              </w:r>
              <w:r>
                <w:fldChar w:fldCharType="separate"/>
              </w:r>
              <w:r>
                <w:t>40</w:t>
              </w:r>
              <w:r>
                <w:fldChar w:fldCharType="end"/>
              </w:r>
              <w:r>
                <w:fldChar w:fldCharType="end"/>
              </w:r>
            </w:p>
            <w:p>
              <w:pPr>
                <w:pStyle w:val="13"/>
                <w:tabs>
                  <w:tab w:val="right" w:leader="dot" w:pos="8845"/>
                  <w:tab w:val="clear" w:pos="8296"/>
                </w:tabs>
              </w:pPr>
              <w:r>
                <w:fldChar w:fldCharType="begin"/>
              </w:r>
              <w:r>
                <w:instrText xml:space="preserve"> HYPERLINK \l _Toc6329 </w:instrText>
              </w:r>
              <w:r>
                <w:fldChar w:fldCharType="separate"/>
              </w:r>
              <w:r>
                <w:rPr>
                  <w:rFonts w:hint="eastAsia" w:ascii="Times New Roman" w:hAnsi="Times New Roman" w:eastAsia="仿宋_GB2312" w:cs="Times New Roman"/>
                  <w:kern w:val="2"/>
                  <w:szCs w:val="32"/>
                  <w:highlight w:val="none"/>
                  <w:lang w:val="en-US" w:eastAsia="zh-CN" w:bidi="ar-SA"/>
                </w:rPr>
                <w:t>3.</w:t>
              </w:r>
              <w:r>
                <w:rPr>
                  <w:rFonts w:hint="eastAsia" w:ascii="Times New Roman" w:hAnsi="Times New Roman" w:eastAsia="仿宋_GB2312" w:cs="Times New Roman"/>
                  <w:kern w:val="2"/>
                  <w:szCs w:val="32"/>
                  <w:highlight w:val="none"/>
                  <w:lang w:val="zh-CN" w:eastAsia="zh-CN" w:bidi="ar-SA"/>
                </w:rPr>
                <w:t>资产管理。</w:t>
              </w:r>
              <w:r>
                <w:tab/>
              </w:r>
              <w:r>
                <w:fldChar w:fldCharType="begin"/>
              </w:r>
              <w:r>
                <w:instrText xml:space="preserve"> PAGEREF _Toc6329 \h </w:instrText>
              </w:r>
              <w:r>
                <w:fldChar w:fldCharType="separate"/>
              </w:r>
              <w:r>
                <w:t>40</w:t>
              </w:r>
              <w:r>
                <w:fldChar w:fldCharType="end"/>
              </w:r>
              <w:r>
                <w:fldChar w:fldCharType="end"/>
              </w:r>
            </w:p>
            <w:p>
              <w:pPr>
                <w:pStyle w:val="15"/>
                <w:tabs>
                  <w:tab w:val="right" w:leader="dot" w:pos="8845"/>
                  <w:tab w:val="clear" w:pos="8296"/>
                </w:tabs>
              </w:pPr>
              <w:r>
                <w:fldChar w:fldCharType="begin"/>
              </w:r>
              <w:r>
                <w:instrText xml:space="preserve"> HYPERLINK \l _Toc7801 </w:instrText>
              </w:r>
              <w:r>
                <w:fldChar w:fldCharType="separate"/>
              </w:r>
              <w:r>
                <w:rPr>
                  <w:rFonts w:hint="eastAsia" w:ascii="Times New Roman" w:hAnsi="Times New Roman" w:eastAsia="仿宋_GB2312" w:cs="Times New Roman"/>
                  <w:kern w:val="2"/>
                  <w:szCs w:val="32"/>
                  <w:highlight w:val="none"/>
                  <w:lang w:val="zh-CN" w:eastAsia="zh-CN" w:bidi="ar-SA"/>
                </w:rPr>
                <w:t>（1）人均资产变化率</w:t>
              </w:r>
              <w:r>
                <w:tab/>
              </w:r>
              <w:r>
                <w:fldChar w:fldCharType="begin"/>
              </w:r>
              <w:r>
                <w:instrText xml:space="preserve"> PAGEREF _Toc7801 \h </w:instrText>
              </w:r>
              <w:r>
                <w:fldChar w:fldCharType="separate"/>
              </w:r>
              <w:r>
                <w:t>40</w:t>
              </w:r>
              <w:r>
                <w:fldChar w:fldCharType="end"/>
              </w:r>
              <w:r>
                <w:fldChar w:fldCharType="end"/>
              </w:r>
            </w:p>
            <w:p>
              <w:pPr>
                <w:pStyle w:val="15"/>
                <w:tabs>
                  <w:tab w:val="right" w:leader="dot" w:pos="8845"/>
                  <w:tab w:val="clear" w:pos="8296"/>
                </w:tabs>
              </w:pPr>
              <w:r>
                <w:fldChar w:fldCharType="begin"/>
              </w:r>
              <w:r>
                <w:instrText xml:space="preserve"> HYPERLINK \l _Toc19199 </w:instrText>
              </w:r>
              <w:r>
                <w:fldChar w:fldCharType="separate"/>
              </w:r>
              <w:r>
                <w:rPr>
                  <w:rFonts w:hint="eastAsia" w:ascii="Times New Roman" w:hAnsi="Times New Roman" w:eastAsia="仿宋_GB2312" w:cs="Times New Roman"/>
                  <w:kern w:val="2"/>
                  <w:szCs w:val="32"/>
                  <w:highlight w:val="none"/>
                  <w:lang w:val="zh-CN" w:eastAsia="zh-CN" w:bidi="ar-SA"/>
                </w:rPr>
                <w:t>（2）资产利用率</w:t>
              </w:r>
              <w:r>
                <w:tab/>
              </w:r>
              <w:r>
                <w:fldChar w:fldCharType="begin"/>
              </w:r>
              <w:r>
                <w:instrText xml:space="preserve"> PAGEREF _Toc19199 \h </w:instrText>
              </w:r>
              <w:r>
                <w:fldChar w:fldCharType="separate"/>
              </w:r>
              <w:r>
                <w:t>40</w:t>
              </w:r>
              <w:r>
                <w:fldChar w:fldCharType="end"/>
              </w:r>
              <w:r>
                <w:fldChar w:fldCharType="end"/>
              </w:r>
            </w:p>
            <w:p>
              <w:pPr>
                <w:pStyle w:val="15"/>
                <w:tabs>
                  <w:tab w:val="right" w:leader="dot" w:pos="8845"/>
                  <w:tab w:val="clear" w:pos="8296"/>
                </w:tabs>
              </w:pPr>
              <w:r>
                <w:fldChar w:fldCharType="begin"/>
              </w:r>
              <w:r>
                <w:instrText xml:space="preserve"> HYPERLINK \l _Toc12558 </w:instrText>
              </w:r>
              <w:r>
                <w:fldChar w:fldCharType="separate"/>
              </w:r>
              <w:r>
                <w:rPr>
                  <w:rFonts w:hint="eastAsia" w:ascii="Times New Roman" w:hAnsi="Times New Roman" w:eastAsia="仿宋_GB2312" w:cs="Times New Roman"/>
                  <w:kern w:val="2"/>
                  <w:szCs w:val="32"/>
                  <w:highlight w:val="none"/>
                  <w:lang w:val="zh-CN" w:eastAsia="zh-CN" w:bidi="ar-SA"/>
                </w:rPr>
                <w:t>（3）资产盘活率</w:t>
              </w:r>
              <w:r>
                <w:tab/>
              </w:r>
              <w:r>
                <w:fldChar w:fldCharType="begin"/>
              </w:r>
              <w:r>
                <w:instrText xml:space="preserve"> PAGEREF _Toc12558 \h </w:instrText>
              </w:r>
              <w:r>
                <w:fldChar w:fldCharType="separate"/>
              </w:r>
              <w:r>
                <w:t>40</w:t>
              </w:r>
              <w:r>
                <w:fldChar w:fldCharType="end"/>
              </w:r>
              <w:r>
                <w:fldChar w:fldCharType="end"/>
              </w:r>
            </w:p>
            <w:p>
              <w:pPr>
                <w:pStyle w:val="15"/>
                <w:tabs>
                  <w:tab w:val="right" w:leader="dot" w:pos="8845"/>
                  <w:tab w:val="clear" w:pos="8296"/>
                </w:tabs>
              </w:pPr>
              <w:r>
                <w:fldChar w:fldCharType="begin"/>
              </w:r>
              <w:r>
                <w:instrText xml:space="preserve"> HYPERLINK \l _Toc3370 </w:instrText>
              </w:r>
              <w:r>
                <w:fldChar w:fldCharType="separate"/>
              </w:r>
              <w:r>
                <w:rPr>
                  <w:rFonts w:hint="eastAsia" w:ascii="Times New Roman" w:hAnsi="Times New Roman" w:eastAsia="仿宋_GB2312" w:cs="Times New Roman"/>
                  <w:kern w:val="2"/>
                  <w:szCs w:val="32"/>
                  <w:highlight w:val="none"/>
                  <w:lang w:val="zh-CN" w:eastAsia="zh-CN" w:bidi="ar-SA"/>
                </w:rPr>
                <w:t>（4）资产管理规范情况</w:t>
              </w:r>
              <w:r>
                <w:tab/>
              </w:r>
              <w:r>
                <w:fldChar w:fldCharType="begin"/>
              </w:r>
              <w:r>
                <w:instrText xml:space="preserve"> PAGEREF _Toc3370 \h </w:instrText>
              </w:r>
              <w:r>
                <w:fldChar w:fldCharType="separate"/>
              </w:r>
              <w:r>
                <w:t>41</w:t>
              </w:r>
              <w:r>
                <w:fldChar w:fldCharType="end"/>
              </w:r>
              <w:r>
                <w:fldChar w:fldCharType="end"/>
              </w:r>
            </w:p>
            <w:p>
              <w:pPr>
                <w:pStyle w:val="15"/>
                <w:tabs>
                  <w:tab w:val="right" w:leader="dot" w:pos="8845"/>
                  <w:tab w:val="clear" w:pos="8296"/>
                </w:tabs>
              </w:pPr>
              <w:r>
                <w:fldChar w:fldCharType="begin"/>
              </w:r>
              <w:r>
                <w:instrText xml:space="preserve"> HYPERLINK \l _Toc6765 </w:instrText>
              </w:r>
              <w:r>
                <w:fldChar w:fldCharType="separate"/>
              </w:r>
              <w:r>
                <w:rPr>
                  <w:rFonts w:hint="eastAsia" w:ascii="Times New Roman" w:hAnsi="Times New Roman" w:eastAsia="仿宋_GB2312" w:cs="Times New Roman"/>
                  <w:kern w:val="2"/>
                  <w:szCs w:val="32"/>
                  <w:highlight w:val="none"/>
                  <w:lang w:val="zh-CN" w:eastAsia="zh-CN" w:bidi="ar-SA"/>
                </w:rPr>
                <w:t>（5）存在问题与改进方向</w:t>
              </w:r>
              <w:r>
                <w:tab/>
              </w:r>
              <w:r>
                <w:fldChar w:fldCharType="begin"/>
              </w:r>
              <w:r>
                <w:instrText xml:space="preserve"> PAGEREF _Toc6765 \h </w:instrText>
              </w:r>
              <w:r>
                <w:fldChar w:fldCharType="separate"/>
              </w:r>
              <w:r>
                <w:t>41</w:t>
              </w:r>
              <w:r>
                <w:fldChar w:fldCharType="end"/>
              </w:r>
              <w:r>
                <w:fldChar w:fldCharType="end"/>
              </w:r>
            </w:p>
            <w:p>
              <w:pPr>
                <w:pStyle w:val="13"/>
                <w:tabs>
                  <w:tab w:val="right" w:leader="dot" w:pos="8845"/>
                  <w:tab w:val="clear" w:pos="8296"/>
                </w:tabs>
              </w:pPr>
              <w:r>
                <w:fldChar w:fldCharType="begin"/>
              </w:r>
              <w:r>
                <w:instrText xml:space="preserve"> HYPERLINK \l _Toc26766 </w:instrText>
              </w:r>
              <w:r>
                <w:fldChar w:fldCharType="separate"/>
              </w:r>
              <w:r>
                <w:rPr>
                  <w:rFonts w:hint="eastAsia" w:eastAsia="仿宋_GB2312" w:cs="Times New Roman"/>
                  <w:kern w:val="2"/>
                  <w:szCs w:val="32"/>
                  <w:highlight w:val="none"/>
                  <w:lang w:val="en-US" w:eastAsia="zh-CN" w:bidi="ar-SA"/>
                </w:rPr>
                <w:t>4</w:t>
              </w:r>
              <w:r>
                <w:rPr>
                  <w:rFonts w:hint="eastAsia" w:ascii="Times New Roman" w:hAnsi="Times New Roman" w:eastAsia="仿宋_GB2312" w:cs="Times New Roman"/>
                  <w:kern w:val="2"/>
                  <w:szCs w:val="32"/>
                  <w:highlight w:val="none"/>
                  <w:lang w:val="en-US" w:eastAsia="zh-CN" w:bidi="ar-SA"/>
                </w:rPr>
                <w:t>.</w:t>
              </w:r>
              <w:r>
                <w:rPr>
                  <w:rFonts w:hint="eastAsia" w:ascii="Times New Roman" w:hAnsi="Times New Roman" w:eastAsia="仿宋_GB2312" w:cs="Times New Roman"/>
                  <w:kern w:val="2"/>
                  <w:szCs w:val="32"/>
                  <w:highlight w:val="none"/>
                  <w:lang w:val="zh-CN" w:eastAsia="zh-CN" w:bidi="ar-SA"/>
                </w:rPr>
                <w:t>采购管理。</w:t>
              </w:r>
              <w:r>
                <w:tab/>
              </w:r>
              <w:r>
                <w:fldChar w:fldCharType="begin"/>
              </w:r>
              <w:r>
                <w:instrText xml:space="preserve"> PAGEREF _Toc26766 \h </w:instrText>
              </w:r>
              <w:r>
                <w:fldChar w:fldCharType="separate"/>
              </w:r>
              <w:r>
                <w:t>41</w:t>
              </w:r>
              <w:r>
                <w:fldChar w:fldCharType="end"/>
              </w:r>
              <w:r>
                <w:fldChar w:fldCharType="end"/>
              </w:r>
            </w:p>
            <w:p>
              <w:pPr>
                <w:pStyle w:val="15"/>
                <w:tabs>
                  <w:tab w:val="right" w:leader="dot" w:pos="8845"/>
                  <w:tab w:val="clear" w:pos="8296"/>
                </w:tabs>
              </w:pPr>
              <w:r>
                <w:fldChar w:fldCharType="begin"/>
              </w:r>
              <w:r>
                <w:instrText xml:space="preserve"> HYPERLINK \l _Toc19547 </w:instrText>
              </w:r>
              <w:r>
                <w:fldChar w:fldCharType="separate"/>
              </w:r>
              <w:r>
                <w:rPr>
                  <w:rFonts w:hint="eastAsia" w:ascii="Times New Roman" w:hAnsi="Times New Roman" w:eastAsia="仿宋_GB2312" w:cs="Times New Roman"/>
                  <w:kern w:val="2"/>
                  <w:szCs w:val="32"/>
                  <w:highlight w:val="none"/>
                  <w:lang w:val="zh-CN" w:eastAsia="zh-CN" w:bidi="ar-SA"/>
                </w:rPr>
                <w:t>（1）支持中小企业发展</w:t>
              </w:r>
              <w:r>
                <w:tab/>
              </w:r>
              <w:r>
                <w:fldChar w:fldCharType="begin"/>
              </w:r>
              <w:r>
                <w:instrText xml:space="preserve"> PAGEREF _Toc19547 \h </w:instrText>
              </w:r>
              <w:r>
                <w:fldChar w:fldCharType="separate"/>
              </w:r>
              <w:r>
                <w:t>41</w:t>
              </w:r>
              <w:r>
                <w:fldChar w:fldCharType="end"/>
              </w:r>
              <w:r>
                <w:fldChar w:fldCharType="end"/>
              </w:r>
            </w:p>
            <w:p>
              <w:pPr>
                <w:pStyle w:val="15"/>
                <w:tabs>
                  <w:tab w:val="right" w:leader="dot" w:pos="8845"/>
                  <w:tab w:val="clear" w:pos="8296"/>
                </w:tabs>
              </w:pPr>
              <w:r>
                <w:fldChar w:fldCharType="begin"/>
              </w:r>
              <w:r>
                <w:instrText xml:space="preserve"> HYPERLINK \l _Toc26264 </w:instrText>
              </w:r>
              <w:r>
                <w:fldChar w:fldCharType="separate"/>
              </w:r>
              <w:r>
                <w:rPr>
                  <w:rFonts w:hint="eastAsia" w:ascii="Times New Roman" w:hAnsi="Times New Roman" w:eastAsia="仿宋_GB2312" w:cs="Times New Roman"/>
                  <w:kern w:val="2"/>
                  <w:szCs w:val="32"/>
                  <w:highlight w:val="none"/>
                  <w:lang w:val="zh-CN" w:eastAsia="zh-CN" w:bidi="ar-SA"/>
                </w:rPr>
                <w:t>（2）采购执行率</w:t>
              </w:r>
              <w:r>
                <w:tab/>
              </w:r>
              <w:r>
                <w:fldChar w:fldCharType="begin"/>
              </w:r>
              <w:r>
                <w:instrText xml:space="preserve"> PAGEREF _Toc26264 \h </w:instrText>
              </w:r>
              <w:r>
                <w:fldChar w:fldCharType="separate"/>
              </w:r>
              <w:r>
                <w:t>41</w:t>
              </w:r>
              <w:r>
                <w:fldChar w:fldCharType="end"/>
              </w:r>
              <w:r>
                <w:fldChar w:fldCharType="end"/>
              </w:r>
            </w:p>
            <w:p>
              <w:pPr>
                <w:pStyle w:val="15"/>
                <w:tabs>
                  <w:tab w:val="right" w:leader="dot" w:pos="8845"/>
                  <w:tab w:val="clear" w:pos="8296"/>
                </w:tabs>
              </w:pPr>
              <w:r>
                <w:fldChar w:fldCharType="begin"/>
              </w:r>
              <w:r>
                <w:instrText xml:space="preserve"> HYPERLINK \l _Toc30307 </w:instrText>
              </w:r>
              <w:r>
                <w:fldChar w:fldCharType="separate"/>
              </w:r>
              <w:r>
                <w:rPr>
                  <w:rFonts w:hint="eastAsia" w:ascii="Times New Roman" w:hAnsi="Times New Roman" w:eastAsia="仿宋_GB2312" w:cs="Times New Roman"/>
                  <w:kern w:val="2"/>
                  <w:szCs w:val="32"/>
                  <w:highlight w:val="none"/>
                  <w:lang w:val="zh-CN" w:eastAsia="zh-CN" w:bidi="ar-SA"/>
                </w:rPr>
                <w:t>（3）采购管理规范情况</w:t>
              </w:r>
              <w:r>
                <w:tab/>
              </w:r>
              <w:r>
                <w:fldChar w:fldCharType="begin"/>
              </w:r>
              <w:r>
                <w:instrText xml:space="preserve"> PAGEREF _Toc30307 \h </w:instrText>
              </w:r>
              <w:r>
                <w:fldChar w:fldCharType="separate"/>
              </w:r>
              <w:r>
                <w:t>42</w:t>
              </w:r>
              <w:r>
                <w:fldChar w:fldCharType="end"/>
              </w:r>
              <w:r>
                <w:fldChar w:fldCharType="end"/>
              </w:r>
            </w:p>
            <w:p>
              <w:pPr>
                <w:pStyle w:val="15"/>
                <w:tabs>
                  <w:tab w:val="right" w:leader="dot" w:pos="8845"/>
                  <w:tab w:val="clear" w:pos="8296"/>
                </w:tabs>
              </w:pPr>
              <w:r>
                <w:fldChar w:fldCharType="begin"/>
              </w:r>
              <w:r>
                <w:instrText xml:space="preserve"> HYPERLINK \l _Toc23855 </w:instrText>
              </w:r>
              <w:r>
                <w:fldChar w:fldCharType="separate"/>
              </w:r>
              <w:r>
                <w:rPr>
                  <w:rFonts w:hint="eastAsia" w:ascii="Times New Roman" w:hAnsi="Times New Roman" w:eastAsia="仿宋_GB2312" w:cs="Times New Roman"/>
                  <w:kern w:val="2"/>
                  <w:szCs w:val="32"/>
                  <w:highlight w:val="none"/>
                  <w:lang w:val="zh-CN" w:eastAsia="zh-CN" w:bidi="ar-SA"/>
                </w:rPr>
                <w:t>（4）存在问题与改进方向</w:t>
              </w:r>
              <w:r>
                <w:tab/>
              </w:r>
              <w:r>
                <w:fldChar w:fldCharType="begin"/>
              </w:r>
              <w:r>
                <w:instrText xml:space="preserve"> PAGEREF _Toc23855 \h </w:instrText>
              </w:r>
              <w:r>
                <w:fldChar w:fldCharType="separate"/>
              </w:r>
              <w:r>
                <w:t>42</w:t>
              </w:r>
              <w:r>
                <w:fldChar w:fldCharType="end"/>
              </w:r>
              <w:r>
                <w:fldChar w:fldCharType="end"/>
              </w:r>
            </w:p>
            <w:p>
              <w:pPr>
                <w:pStyle w:val="13"/>
                <w:tabs>
                  <w:tab w:val="right" w:leader="dot" w:pos="8845"/>
                  <w:tab w:val="clear" w:pos="8296"/>
                </w:tabs>
              </w:pPr>
              <w:r>
                <w:fldChar w:fldCharType="begin"/>
              </w:r>
              <w:r>
                <w:instrText xml:space="preserve"> HYPERLINK \l _Toc4401 </w:instrText>
              </w:r>
              <w:r>
                <w:fldChar w:fldCharType="separate"/>
              </w:r>
              <w:r>
                <w:rPr>
                  <w:rFonts w:hint="eastAsia" w:ascii="楷体_GB2312" w:hAnsi="楷体_GB2312" w:eastAsia="楷体_GB2312" w:cs="楷体_GB2312"/>
                  <w:szCs w:val="32"/>
                  <w:highlight w:val="none"/>
                  <w:lang w:val="zh-CN"/>
                </w:rPr>
                <w:t>（</w:t>
              </w:r>
              <w:r>
                <w:rPr>
                  <w:rFonts w:hint="eastAsia" w:ascii="楷体_GB2312" w:hAnsi="楷体_GB2312" w:eastAsia="楷体_GB2312" w:cs="楷体_GB2312"/>
                  <w:szCs w:val="32"/>
                  <w:highlight w:val="none"/>
                  <w:lang w:val="en-US" w:eastAsia="zh-CN"/>
                </w:rPr>
                <w:t>一</w:t>
              </w:r>
              <w:r>
                <w:rPr>
                  <w:rFonts w:hint="eastAsia" w:ascii="楷体_GB2312" w:hAnsi="楷体_GB2312" w:eastAsia="楷体_GB2312" w:cs="楷体_GB2312"/>
                  <w:szCs w:val="32"/>
                  <w:highlight w:val="none"/>
                  <w:lang w:val="zh-CN"/>
                </w:rPr>
                <w:t>）总体绩效结论。</w:t>
              </w:r>
              <w:r>
                <w:tab/>
              </w:r>
              <w:r>
                <w:fldChar w:fldCharType="begin"/>
              </w:r>
              <w:r>
                <w:instrText xml:space="preserve"> PAGEREF _Toc4401 \h </w:instrText>
              </w:r>
              <w:r>
                <w:fldChar w:fldCharType="separate"/>
              </w:r>
              <w:r>
                <w:t>42</w:t>
              </w:r>
              <w:r>
                <w:fldChar w:fldCharType="end"/>
              </w:r>
              <w:r>
                <w:fldChar w:fldCharType="end"/>
              </w:r>
            </w:p>
            <w:p>
              <w:pPr>
                <w:pStyle w:val="15"/>
                <w:tabs>
                  <w:tab w:val="right" w:leader="dot" w:pos="8845"/>
                  <w:tab w:val="clear" w:pos="8296"/>
                </w:tabs>
              </w:pPr>
              <w:r>
                <w:fldChar w:fldCharType="begin"/>
              </w:r>
              <w:r>
                <w:instrText xml:space="preserve"> HYPERLINK \l _Toc31528 </w:instrText>
              </w:r>
              <w:r>
                <w:fldChar w:fldCharType="separate"/>
              </w:r>
              <w:r>
                <w:rPr>
                  <w:rFonts w:hint="eastAsia" w:ascii="Times New Roman" w:hAnsi="Times New Roman" w:eastAsia="仿宋_GB2312" w:cs="Times New Roman"/>
                  <w:kern w:val="2"/>
                  <w:szCs w:val="32"/>
                  <w:highlight w:val="none"/>
                  <w:lang w:val="en-US" w:eastAsia="zh-CN" w:bidi="ar-SA"/>
                </w:rPr>
                <w:t>1.</w:t>
              </w:r>
              <w:r>
                <w:rPr>
                  <w:rFonts w:hint="eastAsia" w:ascii="Times New Roman" w:hAnsi="Times New Roman" w:eastAsia="仿宋_GB2312" w:cs="Times New Roman"/>
                  <w:kern w:val="2"/>
                  <w:szCs w:val="32"/>
                  <w:highlight w:val="none"/>
                  <w:lang w:val="zh-CN" w:eastAsia="zh-CN" w:bidi="ar-SA"/>
                </w:rPr>
                <w:t>支持中小企业发展</w:t>
              </w:r>
              <w:r>
                <w:tab/>
              </w:r>
              <w:r>
                <w:fldChar w:fldCharType="begin"/>
              </w:r>
              <w:r>
                <w:instrText xml:space="preserve"> PAGEREF _Toc31528 \h </w:instrText>
              </w:r>
              <w:r>
                <w:fldChar w:fldCharType="separate"/>
              </w:r>
              <w:r>
                <w:t>42</w:t>
              </w:r>
              <w:r>
                <w:fldChar w:fldCharType="end"/>
              </w:r>
              <w:r>
                <w:fldChar w:fldCharType="end"/>
              </w:r>
            </w:p>
            <w:p>
              <w:pPr>
                <w:pStyle w:val="15"/>
                <w:tabs>
                  <w:tab w:val="right" w:leader="dot" w:pos="8845"/>
                  <w:tab w:val="clear" w:pos="8296"/>
                </w:tabs>
              </w:pPr>
              <w:r>
                <w:fldChar w:fldCharType="begin"/>
              </w:r>
              <w:r>
                <w:instrText xml:space="preserve"> HYPERLINK \l _Toc11706 </w:instrText>
              </w:r>
              <w:r>
                <w:fldChar w:fldCharType="separate"/>
              </w:r>
              <w:r>
                <w:rPr>
                  <w:rFonts w:hint="eastAsia" w:ascii="Times New Roman" w:hAnsi="Times New Roman" w:eastAsia="仿宋_GB2312" w:cs="Times New Roman"/>
                  <w:kern w:val="2"/>
                  <w:szCs w:val="32"/>
                  <w:highlight w:val="none"/>
                  <w:lang w:val="en-US" w:eastAsia="zh-CN" w:bidi="ar-SA"/>
                </w:rPr>
                <w:t>2.</w:t>
              </w:r>
              <w:r>
                <w:rPr>
                  <w:rFonts w:hint="eastAsia" w:ascii="Times New Roman" w:hAnsi="Times New Roman" w:eastAsia="仿宋_GB2312" w:cs="Times New Roman"/>
                  <w:kern w:val="2"/>
                  <w:szCs w:val="32"/>
                  <w:highlight w:val="none"/>
                  <w:lang w:val="zh-CN" w:eastAsia="zh-CN" w:bidi="ar-SA"/>
                </w:rPr>
                <w:t>采购执行率</w:t>
              </w:r>
              <w:r>
                <w:tab/>
              </w:r>
              <w:r>
                <w:fldChar w:fldCharType="begin"/>
              </w:r>
              <w:r>
                <w:instrText xml:space="preserve"> PAGEREF _Toc11706 \h </w:instrText>
              </w:r>
              <w:r>
                <w:fldChar w:fldCharType="separate"/>
              </w:r>
              <w:r>
                <w:t>43</w:t>
              </w:r>
              <w:r>
                <w:fldChar w:fldCharType="end"/>
              </w:r>
              <w:r>
                <w:fldChar w:fldCharType="end"/>
              </w:r>
            </w:p>
            <w:p>
              <w:pPr>
                <w:pStyle w:val="15"/>
                <w:tabs>
                  <w:tab w:val="right" w:leader="dot" w:pos="8845"/>
                  <w:tab w:val="clear" w:pos="8296"/>
                </w:tabs>
              </w:pPr>
              <w:r>
                <w:fldChar w:fldCharType="begin"/>
              </w:r>
              <w:r>
                <w:instrText xml:space="preserve"> HYPERLINK \l _Toc32082 </w:instrText>
              </w:r>
              <w:r>
                <w:fldChar w:fldCharType="separate"/>
              </w:r>
              <w:r>
                <w:rPr>
                  <w:rFonts w:hint="eastAsia" w:ascii="Times New Roman" w:hAnsi="Times New Roman" w:eastAsia="仿宋_GB2312" w:cs="Times New Roman"/>
                  <w:kern w:val="2"/>
                  <w:szCs w:val="32"/>
                  <w:highlight w:val="none"/>
                  <w:lang w:val="en-US" w:eastAsia="zh-CN" w:bidi="ar-SA"/>
                </w:rPr>
                <w:t>3.</w:t>
              </w:r>
              <w:r>
                <w:rPr>
                  <w:rFonts w:hint="eastAsia" w:ascii="Times New Roman" w:hAnsi="Times New Roman" w:eastAsia="仿宋_GB2312" w:cs="Times New Roman"/>
                  <w:kern w:val="2"/>
                  <w:szCs w:val="32"/>
                  <w:highlight w:val="none"/>
                  <w:lang w:val="zh-CN" w:eastAsia="zh-CN" w:bidi="ar-SA"/>
                </w:rPr>
                <w:t>采购管理规范情况</w:t>
              </w:r>
              <w:r>
                <w:tab/>
              </w:r>
              <w:r>
                <w:fldChar w:fldCharType="begin"/>
              </w:r>
              <w:r>
                <w:instrText xml:space="preserve"> PAGEREF _Toc32082 \h </w:instrText>
              </w:r>
              <w:r>
                <w:fldChar w:fldCharType="separate"/>
              </w:r>
              <w:r>
                <w:t>43</w:t>
              </w:r>
              <w:r>
                <w:fldChar w:fldCharType="end"/>
              </w:r>
              <w:r>
                <w:fldChar w:fldCharType="end"/>
              </w:r>
            </w:p>
            <w:p>
              <w:pPr>
                <w:pStyle w:val="15"/>
                <w:tabs>
                  <w:tab w:val="right" w:leader="dot" w:pos="8845"/>
                  <w:tab w:val="clear" w:pos="8296"/>
                </w:tabs>
              </w:pPr>
              <w:r>
                <w:fldChar w:fldCharType="begin"/>
              </w:r>
              <w:r>
                <w:instrText xml:space="preserve"> HYPERLINK \l _Toc28308 </w:instrText>
              </w:r>
              <w:r>
                <w:fldChar w:fldCharType="separate"/>
              </w:r>
              <w:r>
                <w:rPr>
                  <w:rFonts w:hint="eastAsia" w:ascii="Times New Roman" w:hAnsi="Times New Roman" w:eastAsia="仿宋_GB2312" w:cs="Times New Roman"/>
                  <w:kern w:val="2"/>
                  <w:szCs w:val="32"/>
                  <w:highlight w:val="none"/>
                  <w:lang w:val="en-US" w:eastAsia="zh-CN" w:bidi="ar-SA"/>
                </w:rPr>
                <w:t>4.</w:t>
              </w:r>
              <w:r>
                <w:rPr>
                  <w:rFonts w:hint="eastAsia" w:ascii="Times New Roman" w:hAnsi="Times New Roman" w:eastAsia="仿宋_GB2312" w:cs="Times New Roman"/>
                  <w:kern w:val="2"/>
                  <w:szCs w:val="32"/>
                  <w:highlight w:val="none"/>
                  <w:lang w:val="zh-CN" w:eastAsia="zh-CN" w:bidi="ar-SA"/>
                </w:rPr>
                <w:t>存在问题与改进方向</w:t>
              </w:r>
              <w:r>
                <w:tab/>
              </w:r>
              <w:r>
                <w:fldChar w:fldCharType="begin"/>
              </w:r>
              <w:r>
                <w:instrText xml:space="preserve"> PAGEREF _Toc28308 \h </w:instrText>
              </w:r>
              <w:r>
                <w:fldChar w:fldCharType="separate"/>
              </w:r>
              <w:r>
                <w:t>43</w:t>
              </w:r>
              <w:r>
                <w:fldChar w:fldCharType="end"/>
              </w:r>
              <w:r>
                <w:fldChar w:fldCharType="end"/>
              </w:r>
            </w:p>
            <w:p>
              <w:pPr>
                <w:pStyle w:val="13"/>
                <w:tabs>
                  <w:tab w:val="right" w:leader="dot" w:pos="8845"/>
                  <w:tab w:val="clear" w:pos="8296"/>
                </w:tabs>
              </w:pPr>
              <w:r>
                <w:fldChar w:fldCharType="begin"/>
              </w:r>
              <w:r>
                <w:instrText xml:space="preserve"> HYPERLINK \l _Toc30945 </w:instrText>
              </w:r>
              <w:r>
                <w:fldChar w:fldCharType="separate"/>
              </w:r>
              <w:r>
                <w:rPr>
                  <w:rFonts w:hint="eastAsia" w:ascii="楷体_GB2312" w:hAnsi="楷体_GB2312" w:eastAsia="楷体_GB2312" w:cs="楷体_GB2312"/>
                  <w:szCs w:val="32"/>
                  <w:highlight w:val="none"/>
                  <w:lang w:val="zh-CN"/>
                </w:rPr>
                <w:t>（二）总体绩效结论</w:t>
              </w:r>
              <w:r>
                <w:tab/>
              </w:r>
              <w:r>
                <w:fldChar w:fldCharType="begin"/>
              </w:r>
              <w:r>
                <w:instrText xml:space="preserve"> PAGEREF _Toc30945 \h </w:instrText>
              </w:r>
              <w:r>
                <w:fldChar w:fldCharType="separate"/>
              </w:r>
              <w:r>
                <w:t>43</w:t>
              </w:r>
              <w:r>
                <w:fldChar w:fldCharType="end"/>
              </w:r>
              <w:r>
                <w:fldChar w:fldCharType="end"/>
              </w:r>
            </w:p>
            <w:p>
              <w:pPr>
                <w:pStyle w:val="15"/>
                <w:tabs>
                  <w:tab w:val="right" w:leader="dot" w:pos="8845"/>
                  <w:tab w:val="clear" w:pos="8296"/>
                </w:tabs>
              </w:pPr>
              <w:r>
                <w:fldChar w:fldCharType="begin"/>
              </w:r>
              <w:r>
                <w:instrText xml:space="preserve"> HYPERLINK \l _Toc1329 </w:instrText>
              </w:r>
              <w:r>
                <w:fldChar w:fldCharType="separate"/>
              </w:r>
              <w:r>
                <w:rPr>
                  <w:rFonts w:hint="eastAsia" w:ascii="Times New Roman" w:hAnsi="Times New Roman" w:eastAsia="仿宋_GB2312" w:cs="Times New Roman"/>
                  <w:kern w:val="2"/>
                  <w:szCs w:val="32"/>
                  <w:highlight w:val="none"/>
                  <w:lang w:val="en-US" w:eastAsia="zh-CN" w:bidi="ar-SA"/>
                </w:rPr>
                <w:t>1.</w:t>
              </w:r>
              <w:r>
                <w:rPr>
                  <w:rFonts w:hint="eastAsia" w:ascii="Times New Roman" w:hAnsi="Times New Roman" w:eastAsia="仿宋_GB2312" w:cs="Times New Roman"/>
                  <w:kern w:val="2"/>
                  <w:szCs w:val="32"/>
                  <w:highlight w:val="none"/>
                  <w:lang w:val="zh-CN" w:eastAsia="zh-CN" w:bidi="ar-SA"/>
                </w:rPr>
                <w:t>项目决策。围绕决策程序、目标设置、项目入库进行绩效分析。</w:t>
              </w:r>
              <w:r>
                <w:tab/>
              </w:r>
              <w:r>
                <w:fldChar w:fldCharType="begin"/>
              </w:r>
              <w:r>
                <w:instrText xml:space="preserve"> PAGEREF _Toc1329 \h </w:instrText>
              </w:r>
              <w:r>
                <w:fldChar w:fldCharType="separate"/>
              </w:r>
              <w:r>
                <w:t>44</w:t>
              </w:r>
              <w:r>
                <w:fldChar w:fldCharType="end"/>
              </w:r>
              <w:r>
                <w:fldChar w:fldCharType="end"/>
              </w:r>
            </w:p>
            <w:p>
              <w:pPr>
                <w:pStyle w:val="15"/>
                <w:tabs>
                  <w:tab w:val="right" w:leader="dot" w:pos="8845"/>
                  <w:tab w:val="clear" w:pos="8296"/>
                </w:tabs>
              </w:pPr>
              <w:r>
                <w:fldChar w:fldCharType="begin"/>
              </w:r>
              <w:r>
                <w:instrText xml:space="preserve"> HYPERLINK \l _Toc20039 </w:instrText>
              </w:r>
              <w:r>
                <w:fldChar w:fldCharType="separate"/>
              </w:r>
              <w:r>
                <w:rPr>
                  <w:rFonts w:hint="eastAsia" w:ascii="Times New Roman" w:hAnsi="Times New Roman" w:eastAsia="仿宋_GB2312" w:cs="Times New Roman"/>
                  <w:kern w:val="2"/>
                  <w:szCs w:val="32"/>
                  <w:highlight w:val="none"/>
                  <w:lang w:val="en-US" w:eastAsia="zh-CN" w:bidi="ar-SA"/>
                </w:rPr>
                <w:t>2.</w:t>
              </w:r>
              <w:r>
                <w:rPr>
                  <w:rFonts w:hint="eastAsia" w:ascii="Times New Roman" w:hAnsi="Times New Roman" w:eastAsia="仿宋_GB2312" w:cs="Times New Roman"/>
                  <w:kern w:val="2"/>
                  <w:szCs w:val="32"/>
                  <w:highlight w:val="none"/>
                  <w:lang w:val="zh-CN" w:eastAsia="zh-CN" w:bidi="ar-SA"/>
                </w:rPr>
                <w:t>项目执行。围绕资金执行同向、项目调整、执行结果进行绩效分析。</w:t>
              </w:r>
              <w:r>
                <w:tab/>
              </w:r>
              <w:r>
                <w:fldChar w:fldCharType="begin"/>
              </w:r>
              <w:r>
                <w:instrText xml:space="preserve"> PAGEREF _Toc20039 \h </w:instrText>
              </w:r>
              <w:r>
                <w:fldChar w:fldCharType="separate"/>
              </w:r>
              <w:r>
                <w:t>45</w:t>
              </w:r>
              <w:r>
                <w:fldChar w:fldCharType="end"/>
              </w:r>
              <w:r>
                <w:fldChar w:fldCharType="end"/>
              </w:r>
            </w:p>
            <w:p>
              <w:pPr>
                <w:pStyle w:val="15"/>
                <w:tabs>
                  <w:tab w:val="right" w:leader="dot" w:pos="8845"/>
                  <w:tab w:val="clear" w:pos="8296"/>
                </w:tabs>
              </w:pPr>
              <w:r>
                <w:fldChar w:fldCharType="begin"/>
              </w:r>
              <w:r>
                <w:instrText xml:space="preserve"> HYPERLINK \l _Toc6623 </w:instrText>
              </w:r>
              <w:r>
                <w:fldChar w:fldCharType="separate"/>
              </w:r>
              <w:r>
                <w:rPr>
                  <w:rFonts w:hint="eastAsia" w:ascii="Times New Roman" w:hAnsi="Times New Roman" w:eastAsia="仿宋_GB2312" w:cs="Times New Roman"/>
                  <w:kern w:val="2"/>
                  <w:szCs w:val="32"/>
                  <w:highlight w:val="none"/>
                  <w:lang w:val="zh-CN" w:eastAsia="zh-CN" w:bidi="ar-SA"/>
                </w:rPr>
                <w:t>3.目标实现。围绕目标完成、目标偏离、实现效果进行绩效分析。</w:t>
              </w:r>
              <w:r>
                <w:tab/>
              </w:r>
              <w:r>
                <w:fldChar w:fldCharType="begin"/>
              </w:r>
              <w:r>
                <w:instrText xml:space="preserve"> PAGEREF _Toc6623 \h </w:instrText>
              </w:r>
              <w:r>
                <w:fldChar w:fldCharType="separate"/>
              </w:r>
              <w:r>
                <w:t>46</w:t>
              </w:r>
              <w:r>
                <w:fldChar w:fldCharType="end"/>
              </w:r>
              <w:r>
                <w:fldChar w:fldCharType="end"/>
              </w:r>
            </w:p>
            <w:p>
              <w:pPr>
                <w:pStyle w:val="13"/>
                <w:tabs>
                  <w:tab w:val="right" w:leader="dot" w:pos="8845"/>
                  <w:tab w:val="clear" w:pos="8296"/>
                </w:tabs>
              </w:pPr>
              <w:r>
                <w:fldChar w:fldCharType="begin"/>
              </w:r>
              <w:r>
                <w:instrText xml:space="preserve"> HYPERLINK \l _Toc12219 </w:instrText>
              </w:r>
              <w:r>
                <w:fldChar w:fldCharType="separate"/>
              </w:r>
              <w:r>
                <w:rPr>
                  <w:rFonts w:hint="eastAsia" w:ascii="Times New Roman" w:hAnsi="Times New Roman" w:eastAsia="楷体" w:cs="Times New Roman"/>
                  <w:bCs/>
                  <w:kern w:val="2"/>
                  <w:szCs w:val="32"/>
                  <w:lang w:val="zh-CN" w:eastAsia="zh-CN" w:bidi="ar-SA"/>
                </w:rPr>
                <w:t>（</w:t>
              </w:r>
              <w:r>
                <w:rPr>
                  <w:rFonts w:hint="eastAsia" w:eastAsia="楷体" w:cs="Times New Roman"/>
                  <w:bCs/>
                  <w:kern w:val="2"/>
                  <w:szCs w:val="32"/>
                  <w:lang w:val="en-US" w:eastAsia="zh-CN" w:bidi="ar-SA"/>
                </w:rPr>
                <w:t>三</w:t>
              </w:r>
              <w:r>
                <w:rPr>
                  <w:rFonts w:hint="eastAsia" w:ascii="Times New Roman" w:hAnsi="Times New Roman" w:eastAsia="楷体" w:cs="Times New Roman"/>
                  <w:bCs/>
                  <w:kern w:val="2"/>
                  <w:szCs w:val="32"/>
                  <w:lang w:val="zh-CN" w:eastAsia="zh-CN" w:bidi="ar-SA"/>
                </w:rPr>
                <w:t>）</w:t>
              </w:r>
              <w:r>
                <w:rPr>
                  <w:rFonts w:ascii="Times New Roman" w:hAnsi="Times New Roman" w:eastAsia="仿宋" w:cs="Times New Roman"/>
                  <w:bCs/>
                  <w:szCs w:val="32"/>
                  <w:lang w:val="zh-CN"/>
                </w:rPr>
                <w:t>绩效结果应用情况。</w:t>
              </w:r>
              <w:r>
                <w:tab/>
              </w:r>
              <w:r>
                <w:fldChar w:fldCharType="begin"/>
              </w:r>
              <w:r>
                <w:instrText xml:space="preserve"> PAGEREF _Toc12219 \h </w:instrText>
              </w:r>
              <w:r>
                <w:fldChar w:fldCharType="separate"/>
              </w:r>
              <w:r>
                <w:t>46</w:t>
              </w:r>
              <w:r>
                <w:fldChar w:fldCharType="end"/>
              </w:r>
              <w:r>
                <w:fldChar w:fldCharType="end"/>
              </w:r>
            </w:p>
            <w:p>
              <w:pPr>
                <w:pStyle w:val="15"/>
                <w:tabs>
                  <w:tab w:val="right" w:leader="dot" w:pos="8845"/>
                  <w:tab w:val="clear" w:pos="8296"/>
                </w:tabs>
              </w:pPr>
              <w:r>
                <w:fldChar w:fldCharType="begin"/>
              </w:r>
              <w:r>
                <w:instrText xml:space="preserve"> HYPERLINK \l _Toc31917 </w:instrText>
              </w:r>
              <w:r>
                <w:fldChar w:fldCharType="separate"/>
              </w:r>
              <w:r>
                <w:rPr>
                  <w:rFonts w:hint="eastAsia" w:ascii="Times New Roman" w:hAnsi="Times New Roman" w:eastAsia="仿宋" w:cs="Times New Roman"/>
                  <w:kern w:val="0"/>
                  <w:szCs w:val="32"/>
                  <w:shd w:val="clear" w:color="auto" w:fill="FFFFFF"/>
                  <w:lang w:val="zh-CN"/>
                </w:rPr>
                <w:t>1. 内部应用情况</w:t>
              </w:r>
              <w:r>
                <w:tab/>
              </w:r>
              <w:r>
                <w:fldChar w:fldCharType="begin"/>
              </w:r>
              <w:r>
                <w:instrText xml:space="preserve"> PAGEREF _Toc31917 \h </w:instrText>
              </w:r>
              <w:r>
                <w:fldChar w:fldCharType="separate"/>
              </w:r>
              <w:r>
                <w:t>47</w:t>
              </w:r>
              <w:r>
                <w:fldChar w:fldCharType="end"/>
              </w:r>
              <w:r>
                <w:fldChar w:fldCharType="end"/>
              </w:r>
            </w:p>
            <w:p>
              <w:pPr>
                <w:pStyle w:val="15"/>
                <w:tabs>
                  <w:tab w:val="right" w:leader="dot" w:pos="8845"/>
                  <w:tab w:val="clear" w:pos="8296"/>
                </w:tabs>
              </w:pPr>
              <w:r>
                <w:fldChar w:fldCharType="begin"/>
              </w:r>
              <w:r>
                <w:instrText xml:space="preserve"> HYPERLINK \l _Toc16631 </w:instrText>
              </w:r>
              <w:r>
                <w:fldChar w:fldCharType="separate"/>
              </w:r>
              <w:r>
                <w:rPr>
                  <w:rFonts w:hint="eastAsia" w:ascii="Times New Roman" w:hAnsi="Times New Roman" w:eastAsia="仿宋" w:cs="Times New Roman"/>
                  <w:kern w:val="0"/>
                  <w:szCs w:val="32"/>
                  <w:shd w:val="clear" w:color="auto" w:fill="FFFFFF"/>
                  <w:lang w:val="zh-CN"/>
                </w:rPr>
                <w:t>2. 信息公开情况</w:t>
              </w:r>
              <w:r>
                <w:tab/>
              </w:r>
              <w:r>
                <w:fldChar w:fldCharType="begin"/>
              </w:r>
              <w:r>
                <w:instrText xml:space="preserve"> PAGEREF _Toc16631 \h </w:instrText>
              </w:r>
              <w:r>
                <w:fldChar w:fldCharType="separate"/>
              </w:r>
              <w:r>
                <w:t>47</w:t>
              </w:r>
              <w:r>
                <w:fldChar w:fldCharType="end"/>
              </w:r>
              <w:r>
                <w:fldChar w:fldCharType="end"/>
              </w:r>
            </w:p>
            <w:p>
              <w:pPr>
                <w:pStyle w:val="15"/>
                <w:tabs>
                  <w:tab w:val="right" w:leader="dot" w:pos="8845"/>
                  <w:tab w:val="clear" w:pos="8296"/>
                </w:tabs>
              </w:pPr>
              <w:r>
                <w:fldChar w:fldCharType="begin"/>
              </w:r>
              <w:r>
                <w:instrText xml:space="preserve"> HYPERLINK \l _Toc11950 </w:instrText>
              </w:r>
              <w:r>
                <w:fldChar w:fldCharType="separate"/>
              </w:r>
              <w:r>
                <w:rPr>
                  <w:rFonts w:hint="eastAsia" w:ascii="Times New Roman" w:hAnsi="Times New Roman" w:eastAsia="仿宋" w:cs="Times New Roman"/>
                  <w:kern w:val="0"/>
                  <w:szCs w:val="32"/>
                  <w:shd w:val="clear" w:color="auto" w:fill="FFFFFF"/>
                  <w:lang w:val="zh-CN"/>
                </w:rPr>
                <w:t>3. 整改反馈情况</w:t>
              </w:r>
              <w:r>
                <w:tab/>
              </w:r>
              <w:r>
                <w:fldChar w:fldCharType="begin"/>
              </w:r>
              <w:r>
                <w:instrText xml:space="preserve"> PAGEREF _Toc11950 \h </w:instrText>
              </w:r>
              <w:r>
                <w:fldChar w:fldCharType="separate"/>
              </w:r>
              <w:r>
                <w:t>47</w:t>
              </w:r>
              <w:r>
                <w:fldChar w:fldCharType="end"/>
              </w:r>
              <w:r>
                <w:fldChar w:fldCharType="end"/>
              </w:r>
            </w:p>
            <w:p>
              <w:pPr>
                <w:pStyle w:val="13"/>
                <w:tabs>
                  <w:tab w:val="right" w:leader="dot" w:pos="8845"/>
                  <w:tab w:val="clear" w:pos="8296"/>
                </w:tabs>
              </w:pPr>
              <w:r>
                <w:fldChar w:fldCharType="begin"/>
              </w:r>
              <w:r>
                <w:instrText xml:space="preserve"> HYPERLINK \l _Toc16889 </w:instrText>
              </w:r>
              <w:r>
                <w:fldChar w:fldCharType="separate"/>
              </w:r>
              <w:r>
                <w:rPr>
                  <w:rFonts w:hint="eastAsia" w:ascii="Times New Roman" w:hAnsi="Times New Roman" w:eastAsia="楷体" w:cs="Times New Roman"/>
                  <w:bCs/>
                  <w:kern w:val="2"/>
                  <w:szCs w:val="32"/>
                  <w:lang w:val="zh-CN" w:eastAsia="zh-CN" w:bidi="ar-SA"/>
                </w:rPr>
                <w:t>（</w:t>
              </w:r>
              <w:r>
                <w:rPr>
                  <w:rFonts w:hint="eastAsia" w:eastAsia="楷体" w:cs="Times New Roman"/>
                  <w:bCs/>
                  <w:kern w:val="2"/>
                  <w:szCs w:val="32"/>
                  <w:lang w:val="en-US" w:eastAsia="zh-CN" w:bidi="ar-SA"/>
                </w:rPr>
                <w:t>四</w:t>
              </w:r>
              <w:r>
                <w:rPr>
                  <w:rFonts w:hint="eastAsia" w:ascii="Times New Roman" w:hAnsi="Times New Roman" w:eastAsia="楷体" w:cs="Times New Roman"/>
                  <w:bCs/>
                  <w:kern w:val="2"/>
                  <w:szCs w:val="32"/>
                  <w:lang w:val="zh-CN" w:eastAsia="zh-CN" w:bidi="ar-SA"/>
                </w:rPr>
                <w:t>）</w:t>
              </w:r>
              <w:r>
                <w:rPr>
                  <w:rFonts w:ascii="Times New Roman" w:hAnsi="Times New Roman" w:eastAsia="楷体" w:cs="Times New Roman"/>
                  <w:kern w:val="0"/>
                  <w:szCs w:val="32"/>
                  <w:shd w:val="clear" w:color="auto" w:fill="FFFFFF"/>
                </w:rPr>
                <w:t>评价结论及建议</w:t>
              </w:r>
              <w:r>
                <w:tab/>
              </w:r>
              <w:r>
                <w:fldChar w:fldCharType="begin"/>
              </w:r>
              <w:r>
                <w:instrText xml:space="preserve"> PAGEREF _Toc16889 \h </w:instrText>
              </w:r>
              <w:r>
                <w:fldChar w:fldCharType="separate"/>
              </w:r>
              <w:r>
                <w:t>47</w:t>
              </w:r>
              <w:r>
                <w:fldChar w:fldCharType="end"/>
              </w:r>
              <w:r>
                <w:fldChar w:fldCharType="end"/>
              </w:r>
            </w:p>
            <w:p>
              <w:pPr>
                <w:pStyle w:val="15"/>
                <w:tabs>
                  <w:tab w:val="right" w:leader="dot" w:pos="8845"/>
                  <w:tab w:val="clear" w:pos="8296"/>
                </w:tabs>
              </w:pPr>
              <w:r>
                <w:fldChar w:fldCharType="begin"/>
              </w:r>
              <w:r>
                <w:instrText xml:space="preserve"> HYPERLINK \l _Toc3638 </w:instrText>
              </w:r>
              <w:r>
                <w:fldChar w:fldCharType="separate"/>
              </w:r>
              <w:r>
                <w:rPr>
                  <w:rFonts w:ascii="Times New Roman" w:hAnsi="Times New Roman" w:eastAsia="仿宋" w:cs="Times New Roman"/>
                  <w:bCs/>
                  <w:kern w:val="0"/>
                  <w:szCs w:val="32"/>
                  <w:shd w:val="clear" w:color="auto" w:fill="FFFFFF"/>
                  <w:lang w:val="zh-CN"/>
                </w:rPr>
                <w:t>（一）评价结论。</w:t>
              </w:r>
              <w:r>
                <w:tab/>
              </w:r>
              <w:r>
                <w:fldChar w:fldCharType="begin"/>
              </w:r>
              <w:r>
                <w:instrText xml:space="preserve"> PAGEREF _Toc3638 \h </w:instrText>
              </w:r>
              <w:r>
                <w:fldChar w:fldCharType="separate"/>
              </w:r>
              <w:r>
                <w:t>47</w:t>
              </w:r>
              <w:r>
                <w:fldChar w:fldCharType="end"/>
              </w:r>
              <w:r>
                <w:fldChar w:fldCharType="end"/>
              </w:r>
            </w:p>
            <w:p>
              <w:pPr>
                <w:pStyle w:val="15"/>
                <w:tabs>
                  <w:tab w:val="right" w:leader="dot" w:pos="8845"/>
                  <w:tab w:val="clear" w:pos="8296"/>
                </w:tabs>
              </w:pPr>
              <w:r>
                <w:fldChar w:fldCharType="begin"/>
              </w:r>
              <w:r>
                <w:instrText xml:space="preserve"> HYPERLINK \l _Toc1234 </w:instrText>
              </w:r>
              <w:r>
                <w:fldChar w:fldCharType="separate"/>
              </w:r>
              <w:r>
                <w:rPr>
                  <w:rFonts w:ascii="Times New Roman" w:hAnsi="Times New Roman" w:eastAsia="仿宋" w:cs="Times New Roman"/>
                  <w:bCs/>
                  <w:kern w:val="0"/>
                  <w:szCs w:val="32"/>
                  <w:shd w:val="clear" w:color="auto" w:fill="FFFFFF"/>
                  <w:lang w:val="zh-CN"/>
                </w:rPr>
                <w:t>（二）存在问题。</w:t>
              </w:r>
              <w:r>
                <w:tab/>
              </w:r>
              <w:r>
                <w:fldChar w:fldCharType="begin"/>
              </w:r>
              <w:r>
                <w:instrText xml:space="preserve"> PAGEREF _Toc1234 \h </w:instrText>
              </w:r>
              <w:r>
                <w:fldChar w:fldCharType="separate"/>
              </w:r>
              <w:r>
                <w:t>48</w:t>
              </w:r>
              <w:r>
                <w:fldChar w:fldCharType="end"/>
              </w:r>
              <w:r>
                <w:fldChar w:fldCharType="end"/>
              </w:r>
            </w:p>
            <w:p>
              <w:pPr>
                <w:pStyle w:val="15"/>
                <w:tabs>
                  <w:tab w:val="right" w:leader="dot" w:pos="8845"/>
                  <w:tab w:val="clear" w:pos="8296"/>
                </w:tabs>
              </w:pPr>
              <w:r>
                <w:fldChar w:fldCharType="begin"/>
              </w:r>
              <w:r>
                <w:instrText xml:space="preserve"> HYPERLINK \l _Toc1530 </w:instrText>
              </w:r>
              <w:r>
                <w:fldChar w:fldCharType="separate"/>
              </w:r>
              <w:r>
                <w:rPr>
                  <w:rFonts w:ascii="Times New Roman" w:hAnsi="Times New Roman" w:eastAsia="仿宋" w:cs="Times New Roman"/>
                  <w:bCs/>
                  <w:kern w:val="0"/>
                  <w:szCs w:val="32"/>
                  <w:shd w:val="clear" w:color="auto" w:fill="FFFFFF"/>
                  <w:lang w:val="zh-CN"/>
                </w:rPr>
                <w:t>（三）改进建议。</w:t>
              </w:r>
              <w:r>
                <w:tab/>
              </w:r>
              <w:r>
                <w:fldChar w:fldCharType="begin"/>
              </w:r>
              <w:r>
                <w:instrText xml:space="preserve"> PAGEREF _Toc1530 \h </w:instrText>
              </w:r>
              <w:r>
                <w:fldChar w:fldCharType="separate"/>
              </w:r>
              <w:r>
                <w:t>48</w:t>
              </w:r>
              <w:r>
                <w:fldChar w:fldCharType="end"/>
              </w:r>
              <w:r>
                <w:fldChar w:fldCharType="end"/>
              </w:r>
            </w:p>
            <w:p>
              <w:pPr>
                <w:pStyle w:val="13"/>
                <w:tabs>
                  <w:tab w:val="right" w:leader="dot" w:pos="8845"/>
                  <w:tab w:val="clear" w:pos="8296"/>
                </w:tabs>
              </w:pPr>
              <w:r>
                <w:fldChar w:fldCharType="begin"/>
              </w:r>
              <w:r>
                <w:instrText xml:space="preserve"> HYPERLINK \l _Toc11961 </w:instrText>
              </w:r>
              <w:r>
                <w:fldChar w:fldCharType="separate"/>
              </w:r>
              <w:r>
                <w:rPr>
                  <w:rFonts w:hint="eastAsia" w:ascii="Times New Roman" w:hAnsi="Times New Roman" w:eastAsia="仿宋" w:cs="Times New Roman"/>
                  <w:kern w:val="2"/>
                  <w:szCs w:val="32"/>
                  <w:lang w:val="zh-CN" w:eastAsia="zh-CN" w:bidi="ar"/>
                </w:rPr>
                <w:t>附表：</w:t>
              </w:r>
              <w:r>
                <w:rPr>
                  <w:rFonts w:hint="eastAsia" w:ascii="Times New Roman" w:hAnsi="Times New Roman" w:eastAsia="仿宋" w:cs="Times New Roman"/>
                  <w:kern w:val="2"/>
                  <w:szCs w:val="32"/>
                  <w:lang w:val="en-US" w:eastAsia="zh-CN" w:bidi="ar"/>
                </w:rPr>
                <w:t>部门预算项目支出绩效自评表（2025年度）</w:t>
              </w:r>
              <w:r>
                <w:tab/>
              </w:r>
              <w:r>
                <w:fldChar w:fldCharType="begin"/>
              </w:r>
              <w:r>
                <w:instrText xml:space="preserve"> PAGEREF _Toc11961 \h </w:instrText>
              </w:r>
              <w:r>
                <w:fldChar w:fldCharType="separate"/>
              </w:r>
              <w:r>
                <w:t>48</w:t>
              </w:r>
              <w:r>
                <w:fldChar w:fldCharType="end"/>
              </w:r>
              <w:r>
                <w:fldChar w:fldCharType="end"/>
              </w:r>
            </w:p>
            <w:p>
              <w:pPr>
                <w:pStyle w:val="13"/>
                <w:tabs>
                  <w:tab w:val="right" w:leader="dot" w:pos="8845"/>
                  <w:tab w:val="clear" w:pos="8296"/>
                </w:tabs>
              </w:pPr>
              <w:r>
                <w:fldChar w:fldCharType="begin"/>
              </w:r>
              <w:r>
                <w:instrText xml:space="preserve"> HYPERLINK \l _Toc24130 </w:instrText>
              </w:r>
              <w:r>
                <w:fldChar w:fldCharType="separate"/>
              </w:r>
              <w:r>
                <w:rPr>
                  <w:rFonts w:hint="eastAsia" w:ascii="Times New Roman" w:hAnsi="Times New Roman" w:eastAsia="黑体" w:cs="Times New Roman"/>
                  <w:kern w:val="0"/>
                  <w:szCs w:val="32"/>
                  <w:highlight w:val="none"/>
                  <w:shd w:val="clear" w:color="auto" w:fill="FFFFFF"/>
                  <w:lang w:val="zh-CN"/>
                </w:rPr>
                <w:t>附件</w:t>
              </w:r>
              <w:r>
                <w:rPr>
                  <w:rFonts w:hint="eastAsia" w:ascii="Times New Roman" w:hAnsi="Times New Roman" w:eastAsia="黑体" w:cs="Times New Roman"/>
                  <w:kern w:val="0"/>
                  <w:szCs w:val="32"/>
                  <w:highlight w:val="none"/>
                  <w:shd w:val="clear" w:color="auto" w:fill="FFFFFF"/>
                  <w:lang w:val="en-US" w:eastAsia="zh-CN"/>
                </w:rPr>
                <w:t>2</w:t>
              </w:r>
              <w:r>
                <w:tab/>
              </w:r>
              <w:r>
                <w:fldChar w:fldCharType="begin"/>
              </w:r>
              <w:r>
                <w:instrText xml:space="preserve"> PAGEREF _Toc24130 \h </w:instrText>
              </w:r>
              <w:r>
                <w:fldChar w:fldCharType="separate"/>
              </w:r>
              <w:r>
                <w:t>49</w:t>
              </w:r>
              <w:r>
                <w:fldChar w:fldCharType="end"/>
              </w:r>
              <w:r>
                <w:fldChar w:fldCharType="end"/>
              </w:r>
            </w:p>
            <w:p>
              <w:pPr>
                <w:pStyle w:val="13"/>
                <w:tabs>
                  <w:tab w:val="right" w:leader="dot" w:pos="8845"/>
                  <w:tab w:val="clear" w:pos="8296"/>
                </w:tabs>
              </w:pPr>
              <w:r>
                <w:fldChar w:fldCharType="begin"/>
              </w:r>
              <w:r>
                <w:instrText xml:space="preserve"> HYPERLINK \l _Toc1800 </w:instrText>
              </w:r>
              <w:r>
                <w:fldChar w:fldCharType="separate"/>
              </w:r>
              <w:r>
                <w:rPr>
                  <w:rFonts w:hint="eastAsia" w:ascii="Times New Roman" w:hAnsi="Times New Roman" w:eastAsia="黑体" w:cs="Times New Roman"/>
                  <w:szCs w:val="44"/>
                  <w:highlight w:val="none"/>
                  <w:lang w:val="zh-CN" w:eastAsia="zh-CN"/>
                </w:rPr>
                <w:t>第五部分 附表</w:t>
              </w:r>
              <w:r>
                <w:tab/>
              </w:r>
              <w:r>
                <w:fldChar w:fldCharType="begin"/>
              </w:r>
              <w:r>
                <w:instrText xml:space="preserve"> PAGEREF _Toc1800 \h </w:instrText>
              </w:r>
              <w:r>
                <w:fldChar w:fldCharType="separate"/>
              </w:r>
              <w:r>
                <w:t>56</w:t>
              </w:r>
              <w:r>
                <w:fldChar w:fldCharType="end"/>
              </w:r>
              <w:r>
                <w:fldChar w:fldCharType="end"/>
              </w:r>
            </w:p>
            <w:p>
              <w:pPr>
                <w:pStyle w:val="13"/>
                <w:tabs>
                  <w:tab w:val="right" w:leader="dot" w:pos="8845"/>
                  <w:tab w:val="clear" w:pos="8296"/>
                </w:tabs>
              </w:pPr>
              <w:r>
                <w:fldChar w:fldCharType="begin"/>
              </w:r>
              <w:r>
                <w:instrText xml:space="preserve"> HYPERLINK \l _Toc2182 </w:instrText>
              </w:r>
              <w:r>
                <w:fldChar w:fldCharType="separate"/>
              </w:r>
              <w:r>
                <w:rPr>
                  <w:rFonts w:hint="eastAsia" w:ascii="Times New Roman" w:hAnsi="Times New Roman" w:eastAsia="楷体" w:cs="Times New Roman"/>
                  <w:szCs w:val="32"/>
                  <w:highlight w:val="none"/>
                </w:rPr>
                <w:t>一、收入支出决算总表</w:t>
              </w:r>
              <w:r>
                <w:tab/>
              </w:r>
              <w:r>
                <w:fldChar w:fldCharType="begin"/>
              </w:r>
              <w:r>
                <w:instrText xml:space="preserve"> PAGEREF _Toc2182 \h </w:instrText>
              </w:r>
              <w:r>
                <w:fldChar w:fldCharType="separate"/>
              </w:r>
              <w:r>
                <w:t>56</w:t>
              </w:r>
              <w:r>
                <w:fldChar w:fldCharType="end"/>
              </w:r>
              <w:r>
                <w:fldChar w:fldCharType="end"/>
              </w:r>
            </w:p>
            <w:p>
              <w:pPr>
                <w:pStyle w:val="13"/>
                <w:tabs>
                  <w:tab w:val="right" w:leader="dot" w:pos="8845"/>
                  <w:tab w:val="clear" w:pos="8296"/>
                </w:tabs>
              </w:pPr>
              <w:r>
                <w:fldChar w:fldCharType="begin"/>
              </w:r>
              <w:r>
                <w:instrText xml:space="preserve"> HYPERLINK \l _Toc27338 </w:instrText>
              </w:r>
              <w:r>
                <w:fldChar w:fldCharType="separate"/>
              </w:r>
              <w:r>
                <w:rPr>
                  <w:rFonts w:hint="eastAsia" w:ascii="Times New Roman" w:hAnsi="Times New Roman" w:eastAsia="楷体" w:cs="Times New Roman"/>
                  <w:szCs w:val="32"/>
                  <w:highlight w:val="none"/>
                </w:rPr>
                <w:t>二、收入决算表</w:t>
              </w:r>
              <w:r>
                <w:tab/>
              </w:r>
              <w:r>
                <w:fldChar w:fldCharType="begin"/>
              </w:r>
              <w:r>
                <w:instrText xml:space="preserve"> PAGEREF _Toc27338 \h </w:instrText>
              </w:r>
              <w:r>
                <w:fldChar w:fldCharType="separate"/>
              </w:r>
              <w:r>
                <w:t>56</w:t>
              </w:r>
              <w:r>
                <w:fldChar w:fldCharType="end"/>
              </w:r>
              <w:r>
                <w:fldChar w:fldCharType="end"/>
              </w:r>
            </w:p>
            <w:p>
              <w:pPr>
                <w:pStyle w:val="13"/>
                <w:tabs>
                  <w:tab w:val="right" w:leader="dot" w:pos="8845"/>
                  <w:tab w:val="clear" w:pos="8296"/>
                </w:tabs>
              </w:pPr>
              <w:r>
                <w:fldChar w:fldCharType="begin"/>
              </w:r>
              <w:r>
                <w:instrText xml:space="preserve"> HYPERLINK \l _Toc16694 </w:instrText>
              </w:r>
              <w:r>
                <w:fldChar w:fldCharType="separate"/>
              </w:r>
              <w:r>
                <w:rPr>
                  <w:rFonts w:hint="eastAsia" w:ascii="Times New Roman" w:hAnsi="Times New Roman" w:eastAsia="楷体" w:cs="Times New Roman"/>
                  <w:szCs w:val="32"/>
                  <w:highlight w:val="none"/>
                </w:rPr>
                <w:t>三、支出决算表</w:t>
              </w:r>
              <w:r>
                <w:tab/>
              </w:r>
              <w:r>
                <w:fldChar w:fldCharType="begin"/>
              </w:r>
              <w:r>
                <w:instrText xml:space="preserve"> PAGEREF _Toc16694 \h </w:instrText>
              </w:r>
              <w:r>
                <w:fldChar w:fldCharType="separate"/>
              </w:r>
              <w:r>
                <w:t>56</w:t>
              </w:r>
              <w:r>
                <w:fldChar w:fldCharType="end"/>
              </w:r>
              <w:r>
                <w:fldChar w:fldCharType="end"/>
              </w:r>
            </w:p>
            <w:p>
              <w:pPr>
                <w:pStyle w:val="13"/>
                <w:tabs>
                  <w:tab w:val="right" w:leader="dot" w:pos="8845"/>
                  <w:tab w:val="clear" w:pos="8296"/>
                </w:tabs>
              </w:pPr>
              <w:r>
                <w:fldChar w:fldCharType="begin"/>
              </w:r>
              <w:r>
                <w:instrText xml:space="preserve"> HYPERLINK \l _Toc29180 </w:instrText>
              </w:r>
              <w:r>
                <w:fldChar w:fldCharType="separate"/>
              </w:r>
              <w:r>
                <w:rPr>
                  <w:rFonts w:hint="eastAsia" w:ascii="Times New Roman" w:hAnsi="Times New Roman" w:eastAsia="楷体" w:cs="Times New Roman"/>
                  <w:szCs w:val="32"/>
                  <w:highlight w:val="none"/>
                </w:rPr>
                <w:t>四、财政拨款收入支出决算总表</w:t>
              </w:r>
              <w:r>
                <w:tab/>
              </w:r>
              <w:r>
                <w:fldChar w:fldCharType="begin"/>
              </w:r>
              <w:r>
                <w:instrText xml:space="preserve"> PAGEREF _Toc29180 \h </w:instrText>
              </w:r>
              <w:r>
                <w:fldChar w:fldCharType="separate"/>
              </w:r>
              <w:r>
                <w:t>56</w:t>
              </w:r>
              <w:r>
                <w:fldChar w:fldCharType="end"/>
              </w:r>
              <w:r>
                <w:fldChar w:fldCharType="end"/>
              </w:r>
            </w:p>
            <w:p>
              <w:pPr>
                <w:pStyle w:val="13"/>
                <w:tabs>
                  <w:tab w:val="right" w:leader="dot" w:pos="8845"/>
                  <w:tab w:val="clear" w:pos="8296"/>
                </w:tabs>
              </w:pPr>
              <w:r>
                <w:fldChar w:fldCharType="begin"/>
              </w:r>
              <w:r>
                <w:instrText xml:space="preserve"> HYPERLINK \l _Toc122 </w:instrText>
              </w:r>
              <w:r>
                <w:fldChar w:fldCharType="separate"/>
              </w:r>
              <w:r>
                <w:rPr>
                  <w:rFonts w:hint="eastAsia" w:ascii="Times New Roman" w:hAnsi="Times New Roman" w:eastAsia="楷体" w:cs="Times New Roman"/>
                  <w:szCs w:val="32"/>
                  <w:highlight w:val="none"/>
                </w:rPr>
                <w:t>五、财政拨款支出决算明细表</w:t>
              </w:r>
              <w:r>
                <w:tab/>
              </w:r>
              <w:r>
                <w:fldChar w:fldCharType="begin"/>
              </w:r>
              <w:r>
                <w:instrText xml:space="preserve"> PAGEREF _Toc122 \h </w:instrText>
              </w:r>
              <w:r>
                <w:fldChar w:fldCharType="separate"/>
              </w:r>
              <w:r>
                <w:t>56</w:t>
              </w:r>
              <w:r>
                <w:fldChar w:fldCharType="end"/>
              </w:r>
              <w:r>
                <w:fldChar w:fldCharType="end"/>
              </w:r>
            </w:p>
            <w:p>
              <w:pPr>
                <w:pStyle w:val="13"/>
                <w:tabs>
                  <w:tab w:val="right" w:leader="dot" w:pos="8845"/>
                  <w:tab w:val="clear" w:pos="8296"/>
                </w:tabs>
              </w:pPr>
              <w:r>
                <w:fldChar w:fldCharType="begin"/>
              </w:r>
              <w:r>
                <w:instrText xml:space="preserve"> HYPERLINK \l _Toc31677 </w:instrText>
              </w:r>
              <w:r>
                <w:fldChar w:fldCharType="separate"/>
              </w:r>
              <w:r>
                <w:rPr>
                  <w:rFonts w:hint="eastAsia" w:ascii="Times New Roman" w:hAnsi="Times New Roman" w:eastAsia="楷体" w:cs="Times New Roman"/>
                  <w:szCs w:val="32"/>
                  <w:highlight w:val="none"/>
                </w:rPr>
                <w:t>六、一般公共预算财政拨款支出决算表</w:t>
              </w:r>
              <w:r>
                <w:tab/>
              </w:r>
              <w:r>
                <w:fldChar w:fldCharType="begin"/>
              </w:r>
              <w:r>
                <w:instrText xml:space="preserve"> PAGEREF _Toc31677 \h </w:instrText>
              </w:r>
              <w:r>
                <w:fldChar w:fldCharType="separate"/>
              </w:r>
              <w:r>
                <w:t>56</w:t>
              </w:r>
              <w:r>
                <w:fldChar w:fldCharType="end"/>
              </w:r>
              <w:r>
                <w:fldChar w:fldCharType="end"/>
              </w:r>
            </w:p>
            <w:p>
              <w:pPr>
                <w:pStyle w:val="13"/>
                <w:tabs>
                  <w:tab w:val="right" w:leader="dot" w:pos="8845"/>
                  <w:tab w:val="clear" w:pos="8296"/>
                </w:tabs>
              </w:pPr>
              <w:r>
                <w:fldChar w:fldCharType="begin"/>
              </w:r>
              <w:r>
                <w:instrText xml:space="preserve"> HYPERLINK \l _Toc14890 </w:instrText>
              </w:r>
              <w:r>
                <w:fldChar w:fldCharType="separate"/>
              </w:r>
              <w:r>
                <w:rPr>
                  <w:rFonts w:hint="eastAsia" w:ascii="Times New Roman" w:hAnsi="Times New Roman" w:eastAsia="楷体" w:cs="Times New Roman"/>
                  <w:szCs w:val="32"/>
                  <w:highlight w:val="none"/>
                </w:rPr>
                <w:t>七、一般公共预算财政拨款支出决算明细表</w:t>
              </w:r>
              <w:r>
                <w:tab/>
              </w:r>
              <w:r>
                <w:fldChar w:fldCharType="begin"/>
              </w:r>
              <w:r>
                <w:instrText xml:space="preserve"> PAGEREF _Toc14890 \h </w:instrText>
              </w:r>
              <w:r>
                <w:fldChar w:fldCharType="separate"/>
              </w:r>
              <w:r>
                <w:t>56</w:t>
              </w:r>
              <w:r>
                <w:fldChar w:fldCharType="end"/>
              </w:r>
              <w:r>
                <w:fldChar w:fldCharType="end"/>
              </w:r>
            </w:p>
            <w:p>
              <w:pPr>
                <w:pStyle w:val="13"/>
                <w:tabs>
                  <w:tab w:val="right" w:leader="dot" w:pos="8845"/>
                  <w:tab w:val="clear" w:pos="8296"/>
                </w:tabs>
              </w:pPr>
              <w:r>
                <w:fldChar w:fldCharType="begin"/>
              </w:r>
              <w:r>
                <w:instrText xml:space="preserve"> HYPERLINK \l _Toc16630 </w:instrText>
              </w:r>
              <w:r>
                <w:fldChar w:fldCharType="separate"/>
              </w:r>
              <w:r>
                <w:rPr>
                  <w:rFonts w:hint="eastAsia" w:ascii="Times New Roman" w:hAnsi="Times New Roman" w:eastAsia="楷体" w:cs="Times New Roman"/>
                  <w:szCs w:val="32"/>
                  <w:highlight w:val="none"/>
                </w:rPr>
                <w:t>八、一般公共预算财政拨款基本支出决算表</w:t>
              </w:r>
              <w:r>
                <w:tab/>
              </w:r>
              <w:r>
                <w:fldChar w:fldCharType="begin"/>
              </w:r>
              <w:r>
                <w:instrText xml:space="preserve"> PAGEREF _Toc16630 \h </w:instrText>
              </w:r>
              <w:r>
                <w:fldChar w:fldCharType="separate"/>
              </w:r>
              <w:r>
                <w:t>56</w:t>
              </w:r>
              <w:r>
                <w:fldChar w:fldCharType="end"/>
              </w:r>
              <w:r>
                <w:fldChar w:fldCharType="end"/>
              </w:r>
            </w:p>
            <w:p>
              <w:pPr>
                <w:pStyle w:val="13"/>
                <w:tabs>
                  <w:tab w:val="right" w:leader="dot" w:pos="8845"/>
                  <w:tab w:val="clear" w:pos="8296"/>
                </w:tabs>
              </w:pPr>
              <w:r>
                <w:fldChar w:fldCharType="begin"/>
              </w:r>
              <w:r>
                <w:instrText xml:space="preserve"> HYPERLINK \l _Toc11854 </w:instrText>
              </w:r>
              <w:r>
                <w:fldChar w:fldCharType="separate"/>
              </w:r>
              <w:r>
                <w:rPr>
                  <w:rFonts w:hint="eastAsia" w:ascii="Times New Roman" w:hAnsi="Times New Roman" w:eastAsia="楷体" w:cs="Times New Roman"/>
                  <w:szCs w:val="32"/>
                  <w:highlight w:val="none"/>
                </w:rPr>
                <w:t>九、一般公共预算财政拨款项目支出决算表</w:t>
              </w:r>
              <w:r>
                <w:tab/>
              </w:r>
              <w:r>
                <w:fldChar w:fldCharType="begin"/>
              </w:r>
              <w:r>
                <w:instrText xml:space="preserve"> PAGEREF _Toc11854 \h </w:instrText>
              </w:r>
              <w:r>
                <w:fldChar w:fldCharType="separate"/>
              </w:r>
              <w:r>
                <w:t>56</w:t>
              </w:r>
              <w:r>
                <w:fldChar w:fldCharType="end"/>
              </w:r>
              <w:r>
                <w:fldChar w:fldCharType="end"/>
              </w:r>
            </w:p>
            <w:p>
              <w:pPr>
                <w:pStyle w:val="13"/>
                <w:tabs>
                  <w:tab w:val="right" w:leader="dot" w:pos="8845"/>
                  <w:tab w:val="clear" w:pos="8296"/>
                </w:tabs>
              </w:pPr>
              <w:r>
                <w:fldChar w:fldCharType="begin"/>
              </w:r>
              <w:r>
                <w:instrText xml:space="preserve"> HYPERLINK \l _Toc18751 </w:instrText>
              </w:r>
              <w:r>
                <w:fldChar w:fldCharType="separate"/>
              </w:r>
              <w:r>
                <w:rPr>
                  <w:rFonts w:hint="eastAsia" w:ascii="Times New Roman" w:hAnsi="Times New Roman" w:eastAsia="楷体" w:cs="Times New Roman"/>
                  <w:szCs w:val="32"/>
                  <w:highlight w:val="none"/>
                </w:rPr>
                <w:t>十、政府性基金预算财政拨款收入支出决算表</w:t>
              </w:r>
              <w:r>
                <w:tab/>
              </w:r>
              <w:r>
                <w:fldChar w:fldCharType="begin"/>
              </w:r>
              <w:r>
                <w:instrText xml:space="preserve"> PAGEREF _Toc18751 \h </w:instrText>
              </w:r>
              <w:r>
                <w:fldChar w:fldCharType="separate"/>
              </w:r>
              <w:r>
                <w:t>56</w:t>
              </w:r>
              <w:r>
                <w:fldChar w:fldCharType="end"/>
              </w:r>
              <w:r>
                <w:fldChar w:fldCharType="end"/>
              </w:r>
            </w:p>
            <w:p>
              <w:pPr>
                <w:pStyle w:val="13"/>
                <w:tabs>
                  <w:tab w:val="right" w:leader="dot" w:pos="8845"/>
                  <w:tab w:val="clear" w:pos="8296"/>
                </w:tabs>
              </w:pPr>
              <w:r>
                <w:fldChar w:fldCharType="begin"/>
              </w:r>
              <w:r>
                <w:instrText xml:space="preserve"> HYPERLINK \l _Toc22252 </w:instrText>
              </w:r>
              <w:r>
                <w:fldChar w:fldCharType="separate"/>
              </w:r>
              <w:r>
                <w:rPr>
                  <w:rFonts w:hint="eastAsia" w:ascii="Times New Roman" w:hAnsi="Times New Roman" w:eastAsia="楷体" w:cs="Times New Roman"/>
                  <w:szCs w:val="32"/>
                  <w:highlight w:val="none"/>
                </w:rPr>
                <w:t>十一、国有资本经营预算</w:t>
              </w:r>
              <w:r>
                <w:rPr>
                  <w:rFonts w:hint="eastAsia" w:ascii="Times New Roman" w:hAnsi="Times New Roman" w:eastAsia="楷体" w:cs="Times New Roman"/>
                  <w:szCs w:val="32"/>
                  <w:highlight w:val="none"/>
                  <w:lang w:eastAsia="zh-CN"/>
                </w:rPr>
                <w:t>财政拨款收入</w:t>
              </w:r>
              <w:r>
                <w:rPr>
                  <w:rFonts w:hint="eastAsia" w:ascii="Times New Roman" w:hAnsi="Times New Roman" w:eastAsia="楷体" w:cs="Times New Roman"/>
                  <w:szCs w:val="32"/>
                  <w:highlight w:val="none"/>
                </w:rPr>
                <w:t>支出决算表</w:t>
              </w:r>
              <w:r>
                <w:tab/>
              </w:r>
              <w:r>
                <w:fldChar w:fldCharType="begin"/>
              </w:r>
              <w:r>
                <w:instrText xml:space="preserve"> PAGEREF _Toc22252 \h </w:instrText>
              </w:r>
              <w:r>
                <w:fldChar w:fldCharType="separate"/>
              </w:r>
              <w:r>
                <w:t>56</w:t>
              </w:r>
              <w:r>
                <w:fldChar w:fldCharType="end"/>
              </w:r>
              <w:r>
                <w:fldChar w:fldCharType="end"/>
              </w:r>
            </w:p>
            <w:p>
              <w:pPr>
                <w:pStyle w:val="13"/>
                <w:tabs>
                  <w:tab w:val="right" w:leader="dot" w:pos="8845"/>
                  <w:tab w:val="clear" w:pos="8296"/>
                </w:tabs>
              </w:pPr>
              <w:r>
                <w:fldChar w:fldCharType="begin"/>
              </w:r>
              <w:r>
                <w:instrText xml:space="preserve"> HYPERLINK \l _Toc15383 </w:instrText>
              </w:r>
              <w:r>
                <w:fldChar w:fldCharType="separate"/>
              </w:r>
              <w:r>
                <w:rPr>
                  <w:rFonts w:hint="eastAsia" w:ascii="Times New Roman" w:hAnsi="Times New Roman" w:eastAsia="楷体" w:cs="Times New Roman"/>
                  <w:szCs w:val="32"/>
                  <w:highlight w:val="none"/>
                </w:rPr>
                <w:t>十二、</w:t>
              </w:r>
              <w:r>
                <w:rPr>
                  <w:rFonts w:hint="eastAsia" w:ascii="Times New Roman" w:hAnsi="Times New Roman" w:eastAsia="楷体" w:cs="Times New Roman"/>
                  <w:szCs w:val="32"/>
                  <w:highlight w:val="none"/>
                  <w:lang w:eastAsia="zh-CN"/>
                </w:rPr>
                <w:t>国有资本经营预算财政拨款支出决算表</w:t>
              </w:r>
              <w:r>
                <w:tab/>
              </w:r>
              <w:r>
                <w:fldChar w:fldCharType="begin"/>
              </w:r>
              <w:r>
                <w:instrText xml:space="preserve"> PAGEREF _Toc15383 \h </w:instrText>
              </w:r>
              <w:r>
                <w:fldChar w:fldCharType="separate"/>
              </w:r>
              <w:r>
                <w:t>56</w:t>
              </w:r>
              <w:r>
                <w:fldChar w:fldCharType="end"/>
              </w:r>
              <w:r>
                <w:fldChar w:fldCharType="end"/>
              </w:r>
            </w:p>
            <w:p>
              <w:pPr>
                <w:pStyle w:val="13"/>
                <w:tabs>
                  <w:tab w:val="right" w:leader="dot" w:pos="8845"/>
                  <w:tab w:val="clear" w:pos="8296"/>
                </w:tabs>
              </w:pPr>
              <w:r>
                <w:fldChar w:fldCharType="begin"/>
              </w:r>
              <w:r>
                <w:instrText xml:space="preserve"> HYPERLINK \l _Toc9450 </w:instrText>
              </w:r>
              <w:r>
                <w:fldChar w:fldCharType="separate"/>
              </w:r>
              <w:r>
                <w:rPr>
                  <w:rFonts w:hint="eastAsia" w:ascii="Times New Roman" w:hAnsi="Times New Roman" w:eastAsia="楷体" w:cs="Times New Roman"/>
                  <w:szCs w:val="32"/>
                  <w:highlight w:val="none"/>
                </w:rPr>
                <w:t>十三、</w:t>
              </w:r>
              <w:r>
                <w:rPr>
                  <w:rFonts w:hint="eastAsia" w:ascii="Times New Roman" w:hAnsi="Times New Roman" w:eastAsia="楷体" w:cs="Times New Roman"/>
                  <w:szCs w:val="32"/>
                  <w:highlight w:val="none"/>
                  <w:lang w:eastAsia="zh-CN"/>
                </w:rPr>
                <w:t>财政拨款“三公”经费支出决算表</w:t>
              </w:r>
              <w:r>
                <w:tab/>
              </w:r>
              <w:r>
                <w:fldChar w:fldCharType="begin"/>
              </w:r>
              <w:r>
                <w:instrText xml:space="preserve"> PAGEREF _Toc9450 \h </w:instrText>
              </w:r>
              <w:r>
                <w:fldChar w:fldCharType="separate"/>
              </w:r>
              <w:r>
                <w:t>56</w:t>
              </w:r>
              <w:r>
                <w:fldChar w:fldCharType="end"/>
              </w:r>
              <w:r>
                <w:fldChar w:fldCharType="end"/>
              </w:r>
            </w:p>
            <w:p>
              <w:r>
                <w:fldChar w:fldCharType="end"/>
              </w:r>
            </w:p>
          </w:sdtContent>
        </w:sdt>
      </w:sdtContent>
    </w:sdt>
    <w:p/>
    <w:p/>
    <w:p>
      <w:pPr>
        <w:keepNext w:val="0"/>
        <w:keepLines w:val="0"/>
        <w:pageBreakBefore w:val="0"/>
        <w:widowControl/>
        <w:kinsoku/>
        <w:wordWrap/>
        <w:overflowPunct/>
        <w:topLinePunct w:val="0"/>
        <w:autoSpaceDE/>
        <w:autoSpaceDN/>
        <w:bidi w:val="0"/>
        <w:spacing w:line="560" w:lineRule="exact"/>
        <w:jc w:val="left"/>
        <w:textAlignment w:val="auto"/>
        <w:rPr>
          <w:rStyle w:val="29"/>
          <w:rFonts w:hint="eastAsia" w:eastAsia="黑体" w:cs="Times New Roman"/>
          <w:b w:val="0"/>
          <w:bCs w:val="0"/>
          <w:color w:val="auto"/>
          <w:sz w:val="32"/>
          <w:highlight w:val="none"/>
          <w:lang w:val="en-US" w:eastAsia="zh-CN"/>
        </w:rPr>
      </w:pPr>
      <w:r>
        <w:rPr>
          <w:rFonts w:hint="eastAsia" w:ascii="Times New Roman" w:hAnsi="Times New Roman" w:eastAsia="仿宋" w:cs="仿宋"/>
          <w:b/>
          <w:color w:val="auto"/>
          <w:sz w:val="32"/>
          <w:szCs w:val="32"/>
          <w:highlight w:val="none"/>
        </w:rPr>
        <w:br w:type="page"/>
      </w:r>
      <w:bookmarkStart w:id="6" w:name="_Toc17419"/>
    </w:p>
    <w:p>
      <w:pPr>
        <w:keepNext w:val="0"/>
        <w:keepLines w:val="0"/>
        <w:pageBreakBefore w:val="0"/>
        <w:widowControl w:val="0"/>
        <w:numPr>
          <w:ilvl w:val="0"/>
          <w:numId w:val="0"/>
        </w:numPr>
        <w:kinsoku/>
        <w:wordWrap/>
        <w:overflowPunct/>
        <w:topLinePunct w:val="0"/>
        <w:autoSpaceDE/>
        <w:autoSpaceDN/>
        <w:bidi w:val="0"/>
        <w:spacing w:before="240" w:after="120" w:line="560" w:lineRule="exact"/>
        <w:ind w:left="0" w:leftChars="0" w:firstLine="0" w:firstLineChars="0"/>
        <w:jc w:val="center"/>
        <w:textAlignment w:val="auto"/>
        <w:outlineLvl w:val="0"/>
      </w:pPr>
      <w:bookmarkStart w:id="7" w:name="_Toc22527"/>
      <w:bookmarkStart w:id="8" w:name="_Toc24083"/>
      <w:r>
        <w:rPr>
          <w:rStyle w:val="29"/>
          <w:rFonts w:hint="eastAsia" w:eastAsia="黑体" w:cs="Times New Roman"/>
          <w:b w:val="0"/>
          <w:bCs w:val="0"/>
          <w:color w:val="auto"/>
          <w:sz w:val="32"/>
          <w:highlight w:val="none"/>
          <w:lang w:val="en-US" w:eastAsia="zh-CN"/>
        </w:rPr>
        <w:t>第一部分  部门概况</w:t>
      </w:r>
      <w:bookmarkEnd w:id="6"/>
      <w:bookmarkEnd w:id="7"/>
      <w:bookmarkEnd w:id="8"/>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outlineLvl w:val="0"/>
        <w:rPr>
          <w:rFonts w:hint="eastAsia" w:ascii="黑体" w:hAnsi="黑体" w:eastAsia="黑体" w:cs="黑体"/>
          <w:color w:val="auto"/>
          <w:kern w:val="2"/>
          <w:sz w:val="32"/>
          <w:szCs w:val="32"/>
          <w:highlight w:val="none"/>
          <w:lang w:val="en-US" w:eastAsia="zh-CN" w:bidi="ar-SA"/>
        </w:rPr>
      </w:pPr>
      <w:bookmarkStart w:id="9" w:name="_Toc6531"/>
      <w:r>
        <w:rPr>
          <w:rFonts w:hint="eastAsia" w:ascii="黑体" w:hAnsi="黑体" w:eastAsia="黑体" w:cs="黑体"/>
          <w:color w:val="auto"/>
          <w:kern w:val="2"/>
          <w:sz w:val="32"/>
          <w:szCs w:val="32"/>
          <w:highlight w:val="none"/>
          <w:lang w:val="en-US" w:eastAsia="zh-CN" w:bidi="ar-SA"/>
        </w:rPr>
        <w:t>一、部门职责</w:t>
      </w:r>
      <w:bookmarkEnd w:id="9"/>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根据三定方案文件规定，主要职责是：</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w:t>
      </w:r>
      <w:r>
        <w:rPr>
          <w:rFonts w:hint="eastAsia"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负责贯彻执行国家、省、州民政相关方针政策和法律法规；制定全县民政工作发展规划、工作计划并组织实施和监督检查；承担政府公布的行政审批事项；负责民政信访和维稳工作；负责全县民政资金的使用、管理和监督工作；负责民政统计管理工作。</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w:t>
      </w:r>
      <w:r>
        <w:rPr>
          <w:rFonts w:hint="eastAsia"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负责拟订全县社会救助规划、政策和标准，统筹推进社会救助体系建设，负责城乡居民最低生活保障、特困人员救助供养、残疾人两项补贴、孤儿、事实无人抚养儿童、临时救助、生活无着流浪乞讨人员救助工作。</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3</w:t>
      </w:r>
      <w:r>
        <w:rPr>
          <w:rFonts w:hint="eastAsia"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统筹推进、督促指导、监督管理养老服务工作，拟订养老服务体系建设规划、政策、标准并</w:t>
      </w:r>
      <w:r>
        <w:rPr>
          <w:rFonts w:hint="eastAsia" w:eastAsia="仿宋_GB2312" w:cs="Times New Roman"/>
          <w:color w:val="auto"/>
          <w:kern w:val="2"/>
          <w:sz w:val="32"/>
          <w:szCs w:val="32"/>
          <w:highlight w:val="none"/>
          <w:lang w:val="en-US" w:eastAsia="zh-CN" w:bidi="ar-SA"/>
        </w:rPr>
        <w:t>组织实施</w:t>
      </w:r>
      <w:r>
        <w:rPr>
          <w:rFonts w:hint="eastAsia" w:ascii="Times New Roman" w:hAnsi="Times New Roman" w:eastAsia="仿宋_GB2312" w:cs="Times New Roman"/>
          <w:color w:val="auto"/>
          <w:kern w:val="2"/>
          <w:sz w:val="32"/>
          <w:szCs w:val="32"/>
          <w:highlight w:val="none"/>
          <w:lang w:val="en-US" w:eastAsia="zh-CN" w:bidi="ar-SA"/>
        </w:rPr>
        <w:t>，承担老年人福利和</w:t>
      </w:r>
      <w:r>
        <w:rPr>
          <w:rFonts w:hint="eastAsia" w:eastAsia="仿宋_GB2312" w:cs="Times New Roman"/>
          <w:color w:val="auto"/>
          <w:kern w:val="2"/>
          <w:sz w:val="32"/>
          <w:szCs w:val="32"/>
          <w:highlight w:val="none"/>
          <w:lang w:val="en-US" w:eastAsia="zh-CN" w:bidi="ar-SA"/>
        </w:rPr>
        <w:t>特殊困难</w:t>
      </w:r>
      <w:r>
        <w:rPr>
          <w:rFonts w:hint="eastAsia" w:ascii="Times New Roman" w:hAnsi="Times New Roman" w:eastAsia="仿宋_GB2312" w:cs="Times New Roman"/>
          <w:color w:val="auto"/>
          <w:kern w:val="2"/>
          <w:sz w:val="32"/>
          <w:szCs w:val="32"/>
          <w:highlight w:val="none"/>
          <w:lang w:val="en-US" w:eastAsia="zh-CN" w:bidi="ar-SA"/>
        </w:rPr>
        <w:t>老年人救助工作，协调推进农村留守老年人关爱服务工作，承担城乡老年社会组织管理工作。</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4</w:t>
      </w:r>
      <w:r>
        <w:rPr>
          <w:rFonts w:hint="eastAsia"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负责全县婚姻登记、殡葬管理政策、促进慈善事业发展、指导社会捐助、协助监督福利彩票销售工作，负责管理使用本级福利彩票公益金；拟订农村留守儿童关爱服务体系和困境儿童保障制度；承担依法对社会团体和民办非企业单位进行登记管理和监督责任；依法对社会组织进行登记管理和执法监督。</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5</w:t>
      </w:r>
      <w:r>
        <w:rPr>
          <w:rFonts w:hint="eastAsia"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负责拟订行政区划管理政策和行政区域界线、地名管理办法，负责全县乡镇以上行政区划的设立、命名、撤销、变更和政府驻地迁移审核上报工作，组织并指导全县行政区域界线的勘定、管理工作，调处行政区域边界争议，负责地名管理工作。</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6</w:t>
      </w:r>
      <w:r>
        <w:rPr>
          <w:rFonts w:hint="eastAsia"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负责拟订全县城乡基层群众自治建设、社区建设政策并指导实施；指导社区服务体系建设，提出加强和改进城乡基层政权建设的建议，指导村（居）民委员会开展民主选举、民主决策、民主管理和民主监督工作，推动基层民主政治建设。</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7</w:t>
      </w:r>
      <w:r>
        <w:rPr>
          <w:rFonts w:hint="eastAsia"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拟订社会工作、志愿服务政策和标准，会同有关部门推进社会工作</w:t>
      </w:r>
      <w:r>
        <w:rPr>
          <w:rFonts w:hint="eastAsia" w:eastAsia="仿宋_GB2312" w:cs="Times New Roman"/>
          <w:color w:val="auto"/>
          <w:kern w:val="2"/>
          <w:sz w:val="32"/>
          <w:szCs w:val="32"/>
          <w:highlight w:val="none"/>
          <w:lang w:val="en-US" w:eastAsia="zh-CN" w:bidi="ar-SA"/>
        </w:rPr>
        <w:t>人才队伍建设和志愿者队伍建设</w:t>
      </w:r>
      <w:r>
        <w:rPr>
          <w:rFonts w:hint="eastAsia" w:ascii="Times New Roman" w:hAnsi="Times New Roman" w:eastAsia="仿宋_GB2312" w:cs="Times New Roman"/>
          <w:color w:val="auto"/>
          <w:kern w:val="2"/>
          <w:sz w:val="32"/>
          <w:szCs w:val="32"/>
          <w:highlight w:val="none"/>
          <w:lang w:val="en-US" w:eastAsia="zh-CN" w:bidi="ar-SA"/>
        </w:rPr>
        <w:t>；依法依规负责社会福利、养老服务、救助管理、殡葬服务机构安全生产监督管理工作。负责职责范围内的意识形态、职业健康、审批服务便民化工作。</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8</w:t>
      </w:r>
      <w:r>
        <w:rPr>
          <w:rFonts w:hint="eastAsia"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完成县委、县政府交办的其他任务。</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outlineLvl w:val="0"/>
        <w:rPr>
          <w:rFonts w:hint="eastAsia" w:ascii="黑体" w:hAnsi="黑体" w:eastAsia="黑体" w:cs="黑体"/>
          <w:color w:val="auto"/>
          <w:kern w:val="2"/>
          <w:sz w:val="32"/>
          <w:szCs w:val="32"/>
          <w:highlight w:val="none"/>
          <w:lang w:val="en-US" w:eastAsia="zh-CN" w:bidi="ar-SA"/>
        </w:rPr>
      </w:pPr>
      <w:bookmarkStart w:id="10" w:name="_Toc15396601"/>
      <w:bookmarkStart w:id="11" w:name="_Toc15377200"/>
      <w:bookmarkStart w:id="12" w:name="_Toc9976"/>
      <w:r>
        <w:rPr>
          <w:rFonts w:hint="eastAsia" w:ascii="黑体" w:hAnsi="黑体" w:eastAsia="黑体" w:cs="黑体"/>
          <w:color w:val="auto"/>
          <w:kern w:val="2"/>
          <w:sz w:val="32"/>
          <w:szCs w:val="32"/>
          <w:highlight w:val="none"/>
          <w:lang w:val="en-US" w:eastAsia="zh-CN" w:bidi="ar-SA"/>
        </w:rPr>
        <w:t>二、机构设置</w:t>
      </w:r>
      <w:bookmarkEnd w:id="10"/>
      <w:bookmarkEnd w:id="11"/>
      <w:bookmarkEnd w:id="12"/>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bookmarkStart w:id="13" w:name="_Toc15377204"/>
      <w:bookmarkStart w:id="14" w:name="_Toc15396602"/>
      <w:r>
        <w:rPr>
          <w:rFonts w:hint="eastAsia" w:ascii="Times New Roman" w:hAnsi="Times New Roman" w:eastAsia="仿宋_GB2312" w:cs="Times New Roman"/>
          <w:color w:val="auto"/>
          <w:kern w:val="2"/>
          <w:sz w:val="32"/>
          <w:szCs w:val="32"/>
          <w:highlight w:val="none"/>
          <w:lang w:val="en-US" w:eastAsia="zh-CN" w:bidi="ar-SA"/>
        </w:rPr>
        <w:t>壤塘县民政局属于一级预算单位，设4个行政股室</w:t>
      </w:r>
      <w:r>
        <w:rPr>
          <w:rFonts w:hint="eastAsia"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即办公室、社会福利与社会事务股、社会救助股（挂壤塘县流浪乞讨人员救助站牌子）、区划地名与基层政权股。下设事业机构4个（低收入家庭认定指导中心，敬老院服务中心，中壤塘敬老院、南木达敬老院、茸木达敬老院、壤塘县社会救助福利服务中心（挂壤塘县儿童福利服务指导中心牌子）。</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壤塘县民政局下属二级单位0个，其中行政单位0个，参照公务员法管理的事业单位0个，其他事业单位0个。</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纳入壤塘县民政局2024年度部门决算编制范围的二级预算单位0个。</w:t>
      </w:r>
    </w:p>
    <w:p>
      <w:pPr>
        <w:keepNext w:val="0"/>
        <w:keepLines w:val="0"/>
        <w:pageBreakBefore w:val="0"/>
        <w:widowControl w:val="0"/>
        <w:numPr>
          <w:ilvl w:val="0"/>
          <w:numId w:val="0"/>
        </w:numPr>
        <w:kinsoku/>
        <w:wordWrap/>
        <w:overflowPunct/>
        <w:topLinePunct w:val="0"/>
        <w:autoSpaceDE/>
        <w:autoSpaceDN/>
        <w:bidi w:val="0"/>
        <w:spacing w:before="240" w:after="120" w:line="560" w:lineRule="exact"/>
        <w:ind w:left="0" w:leftChars="0" w:firstLine="0" w:firstLineChars="0"/>
        <w:jc w:val="center"/>
        <w:textAlignment w:val="auto"/>
        <w:outlineLvl w:val="0"/>
        <w:rPr>
          <w:rStyle w:val="29"/>
          <w:rFonts w:hint="eastAsia" w:eastAsia="黑体" w:cs="Times New Roman"/>
          <w:b w:val="0"/>
          <w:bCs w:val="0"/>
          <w:color w:val="auto"/>
          <w:sz w:val="32"/>
          <w:highlight w:val="none"/>
          <w:lang w:val="en-US" w:eastAsia="zh-CN"/>
        </w:rPr>
      </w:pPr>
      <w:bookmarkStart w:id="15" w:name="_Toc10940"/>
      <w:bookmarkStart w:id="16" w:name="_Toc20566"/>
      <w:bookmarkStart w:id="17" w:name="_Toc26749"/>
      <w:r>
        <w:rPr>
          <w:rStyle w:val="29"/>
          <w:rFonts w:hint="eastAsia" w:eastAsia="黑体" w:cs="Times New Roman"/>
          <w:b w:val="0"/>
          <w:bCs w:val="0"/>
          <w:color w:val="auto"/>
          <w:sz w:val="32"/>
          <w:highlight w:val="none"/>
          <w:lang w:val="en-US" w:eastAsia="zh-CN"/>
        </w:rPr>
        <w:t>第二部分  2025年度部门决算情况说明</w:t>
      </w:r>
      <w:bookmarkEnd w:id="13"/>
      <w:bookmarkEnd w:id="14"/>
      <w:bookmarkEnd w:id="15"/>
    </w:p>
    <w:bookmarkEnd w:id="16"/>
    <w:bookmarkEnd w:id="17"/>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outlineLvl w:val="0"/>
        <w:rPr>
          <w:rFonts w:hint="eastAsia" w:ascii="黑体" w:hAnsi="黑体" w:eastAsia="黑体" w:cs="黑体"/>
          <w:color w:val="auto"/>
          <w:kern w:val="2"/>
          <w:sz w:val="32"/>
          <w:szCs w:val="32"/>
          <w:highlight w:val="none"/>
          <w:lang w:val="en-US" w:eastAsia="zh-CN" w:bidi="ar-SA"/>
        </w:rPr>
      </w:pPr>
      <w:bookmarkStart w:id="18" w:name="_Toc6327"/>
      <w:bookmarkStart w:id="19" w:name="_Toc15396603"/>
      <w:bookmarkStart w:id="20" w:name="_Toc15377205"/>
      <w:r>
        <w:rPr>
          <w:rFonts w:hint="eastAsia" w:ascii="黑体" w:hAnsi="黑体" w:eastAsia="黑体" w:cs="黑体"/>
          <w:color w:val="auto"/>
          <w:kern w:val="2"/>
          <w:sz w:val="32"/>
          <w:szCs w:val="32"/>
          <w:highlight w:val="none"/>
          <w:lang w:val="en-US" w:eastAsia="zh-CN" w:bidi="ar-SA"/>
        </w:rPr>
        <w:t>一、收入支出决算总体情况说明</w:t>
      </w:r>
      <w:bookmarkEnd w:id="18"/>
      <w:bookmarkEnd w:id="19"/>
      <w:bookmarkEnd w:id="20"/>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2025年度收入、支出总计均为8373.65万元。与上年度相比，收入、支出总计各减少597.05万元，下降6.66%。主要变动原因是工程项目资金较上年减少。</w:t>
      </w:r>
    </w:p>
    <w:p>
      <w:pPr>
        <w:keepNext w:val="0"/>
        <w:keepLines w:val="0"/>
        <w:pageBreakBefore w:val="0"/>
        <w:widowControl w:val="0"/>
        <w:kinsoku/>
        <w:wordWrap/>
        <w:overflowPunct/>
        <w:topLinePunct w:val="0"/>
        <w:autoSpaceDE/>
        <w:autoSpaceDN/>
        <w:bidi w:val="0"/>
        <w:adjustRightInd w:val="0"/>
        <w:snapToGrid w:val="0"/>
        <w:spacing w:before="0" w:after="0" w:line="560" w:lineRule="exact"/>
        <w:jc w:val="center"/>
        <w:textAlignment w:val="auto"/>
        <w:rPr>
          <w:rFonts w:hint="eastAsia" w:ascii="Times New Roman" w:hAnsi="Times New Roman" w:eastAsia="仿宋_GB2312" w:cs="Times New Roman"/>
          <w:color w:val="auto"/>
          <w:kern w:val="2"/>
          <w:sz w:val="28"/>
          <w:szCs w:val="28"/>
          <w:highlight w:val="none"/>
          <w:lang w:val="en-US" w:eastAsia="zh-CN" w:bidi="ar-SA"/>
        </w:rPr>
      </w:pPr>
      <w:r>
        <w:rPr>
          <w:rFonts w:hint="eastAsia" w:ascii="Times New Roman" w:hAnsi="Times New Roman" w:eastAsia="仿宋_GB2312" w:cs="Times New Roman"/>
          <w:color w:val="auto"/>
          <w:kern w:val="2"/>
          <w:sz w:val="28"/>
          <w:szCs w:val="28"/>
          <w:highlight w:val="none"/>
          <w:lang w:val="en-US" w:eastAsia="zh-CN" w:bidi="ar-SA"/>
        </w:rPr>
        <w:t>（图1：收入、支出决算总计变动情况图）（柱状图）</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 w:cs="仿宋"/>
          <w:color w:val="auto"/>
          <w:sz w:val="32"/>
          <w:szCs w:val="32"/>
          <w:highlight w:val="none"/>
          <w:lang w:eastAsia="zh-CN"/>
        </w:rPr>
      </w:pPr>
      <w:r>
        <w:rPr>
          <w:rFonts w:hint="eastAsia" w:ascii="Times New Roman" w:hAnsi="Times New Roman" w:eastAsia="仿宋" w:cs="仿宋"/>
          <w:color w:val="auto"/>
          <w:sz w:val="32"/>
          <w:szCs w:val="32"/>
          <w:highlight w:val="none"/>
          <w:lang w:eastAsia="zh-CN"/>
        </w:rPr>
        <w:drawing>
          <wp:anchor distT="0" distB="0" distL="114300" distR="114300" simplePos="0" relativeHeight="251659264" behindDoc="0" locked="0" layoutInCell="1" allowOverlap="1">
            <wp:simplePos x="0" y="0"/>
            <wp:positionH relativeFrom="column">
              <wp:posOffset>59055</wp:posOffset>
            </wp:positionH>
            <wp:positionV relativeFrom="paragraph">
              <wp:posOffset>165100</wp:posOffset>
            </wp:positionV>
            <wp:extent cx="5256530" cy="2988310"/>
            <wp:effectExtent l="5080" t="4445" r="15240" b="17145"/>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 w:cs="仿宋"/>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 w:cs="仿宋"/>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 w:cs="仿宋"/>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 w:cs="仿宋"/>
          <w:color w:val="auto"/>
          <w:sz w:val="32"/>
          <w:szCs w:val="32"/>
          <w:highlight w:val="none"/>
          <w:lang w:eastAsia="zh-CN"/>
        </w:rPr>
      </w:pP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黑体" w:hAnsi="黑体" w:eastAsia="黑体" w:cs="黑体"/>
          <w:color w:val="auto"/>
          <w:kern w:val="2"/>
          <w:sz w:val="32"/>
          <w:szCs w:val="32"/>
          <w:highlight w:val="none"/>
          <w:lang w:val="en-US" w:eastAsia="zh-CN" w:bidi="ar-SA"/>
        </w:rPr>
      </w:pPr>
      <w:bookmarkStart w:id="21" w:name="_Toc15396604"/>
      <w:bookmarkStart w:id="22" w:name="_Toc15377206"/>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黑体" w:hAnsi="黑体" w:eastAsia="黑体" w:cs="黑体"/>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黑体" w:hAnsi="黑体" w:eastAsia="黑体" w:cs="黑体"/>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黑体" w:hAnsi="黑体" w:eastAsia="黑体" w:cs="黑体"/>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黑体" w:hAnsi="黑体" w:eastAsia="黑体" w:cs="黑体"/>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outlineLvl w:val="0"/>
        <w:rPr>
          <w:rFonts w:hint="eastAsia" w:ascii="黑体" w:hAnsi="黑体" w:eastAsia="黑体" w:cs="黑体"/>
          <w:color w:val="auto"/>
          <w:kern w:val="2"/>
          <w:sz w:val="32"/>
          <w:szCs w:val="32"/>
          <w:highlight w:val="none"/>
          <w:lang w:val="en-US" w:eastAsia="zh-CN" w:bidi="ar-SA"/>
        </w:rPr>
      </w:pPr>
      <w:bookmarkStart w:id="23" w:name="_Toc10726"/>
      <w:r>
        <w:rPr>
          <w:rFonts w:hint="eastAsia" w:ascii="黑体" w:hAnsi="黑体" w:eastAsia="黑体" w:cs="黑体"/>
          <w:color w:val="auto"/>
          <w:kern w:val="2"/>
          <w:sz w:val="32"/>
          <w:szCs w:val="32"/>
          <w:highlight w:val="none"/>
          <w:lang w:val="en-US" w:eastAsia="zh-CN" w:bidi="ar-SA"/>
        </w:rPr>
        <w:t>二、收入决算情况说明</w:t>
      </w:r>
      <w:bookmarkEnd w:id="21"/>
      <w:bookmarkEnd w:id="22"/>
      <w:bookmarkEnd w:id="23"/>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2025年度本年收入合计8373.65万元，其中：一般公共预算财政拨款收入8263.48万元，占98.68%；政府性基金预算财政拨款收入110.17万元，占1.32%；国有资本经营预算财政拨款收入0万元，占0%；上级补助收入0万元，占0%；事业收入0万元，占0%；经营收入0万元，占0%；附属单位上缴收入0万元，占0%；其他收入0万元，占0%。</w:t>
      </w:r>
    </w:p>
    <w:p>
      <w:pPr>
        <w:keepNext w:val="0"/>
        <w:keepLines w:val="0"/>
        <w:pageBreakBefore w:val="0"/>
        <w:widowControl w:val="0"/>
        <w:kinsoku/>
        <w:wordWrap/>
        <w:overflowPunct/>
        <w:topLinePunct w:val="0"/>
        <w:autoSpaceDE/>
        <w:autoSpaceDN/>
        <w:bidi w:val="0"/>
        <w:adjustRightInd w:val="0"/>
        <w:snapToGrid w:val="0"/>
        <w:spacing w:before="0" w:after="0" w:line="560" w:lineRule="exact"/>
        <w:jc w:val="center"/>
        <w:textAlignment w:val="auto"/>
        <w:rPr>
          <w:rFonts w:hint="eastAsia" w:ascii="Times New Roman" w:hAnsi="Times New Roman" w:eastAsia="仿宋_GB2312" w:cs="Times New Roman"/>
          <w:color w:val="auto"/>
          <w:kern w:val="2"/>
          <w:sz w:val="28"/>
          <w:szCs w:val="28"/>
          <w:highlight w:val="none"/>
          <w:lang w:val="en-US" w:eastAsia="zh-CN" w:bidi="ar-SA"/>
        </w:rPr>
      </w:pPr>
      <w:r>
        <w:rPr>
          <w:rFonts w:hint="eastAsia" w:ascii="Times New Roman" w:hAnsi="Times New Roman" w:eastAsia="仿宋_GB2312" w:cs="Times New Roman"/>
          <w:color w:val="auto"/>
          <w:kern w:val="2"/>
          <w:sz w:val="28"/>
          <w:szCs w:val="28"/>
          <w:highlight w:val="none"/>
          <w:lang w:val="en-US" w:eastAsia="zh-CN" w:bidi="ar-SA"/>
        </w:rPr>
        <w:t>（图2：收入决算结构图）（饼状图）</w:t>
      </w:r>
    </w:p>
    <w:p>
      <w:pPr>
        <w:keepNext w:val="0"/>
        <w:keepLines w:val="0"/>
        <w:pageBreakBefore w:val="0"/>
        <w:widowControl w:val="0"/>
        <w:kinsoku/>
        <w:wordWrap/>
        <w:overflowPunct/>
        <w:topLinePunct w:val="0"/>
        <w:autoSpaceDE/>
        <w:autoSpaceDN/>
        <w:bidi w:val="0"/>
        <w:spacing w:line="560" w:lineRule="exact"/>
        <w:ind w:firstLine="800" w:firstLineChars="250"/>
        <w:textAlignment w:val="auto"/>
        <w:rPr>
          <w:rFonts w:hint="eastAsia" w:ascii="Times New Roman" w:hAnsi="Times New Roman" w:eastAsia="仿宋" w:cs="仿宋"/>
          <w:color w:val="auto"/>
          <w:sz w:val="32"/>
          <w:szCs w:val="32"/>
          <w:highlight w:val="none"/>
          <w:lang w:eastAsia="zh-CN"/>
        </w:rPr>
      </w:pPr>
      <w:r>
        <w:rPr>
          <w:rFonts w:hint="eastAsia" w:ascii="Times New Roman" w:hAnsi="Times New Roman" w:eastAsia="仿宋" w:cs="仿宋"/>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157480</wp:posOffset>
            </wp:positionH>
            <wp:positionV relativeFrom="paragraph">
              <wp:posOffset>130175</wp:posOffset>
            </wp:positionV>
            <wp:extent cx="5256530" cy="2988310"/>
            <wp:effectExtent l="5080" t="4445" r="15240" b="17145"/>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pPr>
        <w:pStyle w:val="2"/>
        <w:keepNext w:val="0"/>
        <w:keepLines w:val="0"/>
        <w:pageBreakBefore w:val="0"/>
        <w:widowControl w:val="0"/>
        <w:kinsoku/>
        <w:wordWrap/>
        <w:overflowPunct/>
        <w:topLinePunct w:val="0"/>
        <w:autoSpaceDE/>
        <w:autoSpaceDN/>
        <w:bidi w:val="0"/>
        <w:spacing w:line="560" w:lineRule="exact"/>
        <w:textAlignment w:val="auto"/>
        <w:rPr>
          <w:rFonts w:hint="eastAsia" w:ascii="Times New Roman" w:hAnsi="Times New Roman" w:eastAsia="仿宋" w:cs="仿宋"/>
          <w:color w:val="auto"/>
          <w:sz w:val="32"/>
          <w:szCs w:val="32"/>
          <w:highlight w:val="none"/>
          <w:lang w:eastAsia="zh-CN"/>
        </w:rPr>
      </w:pPr>
    </w:p>
    <w:p>
      <w:pPr>
        <w:rPr>
          <w:rFonts w:hint="eastAsia" w:ascii="Times New Roman" w:hAnsi="Times New Roman" w:eastAsia="仿宋" w:cs="仿宋"/>
          <w:color w:val="auto"/>
          <w:sz w:val="32"/>
          <w:szCs w:val="32"/>
          <w:highlight w:val="none"/>
          <w:lang w:eastAsia="zh-CN"/>
        </w:rPr>
      </w:pPr>
    </w:p>
    <w:p>
      <w:pPr>
        <w:pStyle w:val="2"/>
        <w:rPr>
          <w:rFonts w:hint="eastAsia" w:ascii="Times New Roman" w:hAnsi="Times New Roman" w:eastAsia="仿宋" w:cs="仿宋"/>
          <w:color w:val="auto"/>
          <w:sz w:val="32"/>
          <w:szCs w:val="32"/>
          <w:highlight w:val="none"/>
          <w:lang w:eastAsia="zh-CN"/>
        </w:rPr>
      </w:pPr>
    </w:p>
    <w:p>
      <w:pPr>
        <w:rPr>
          <w:rFonts w:hint="eastAsia" w:ascii="Times New Roman" w:hAnsi="Times New Roman" w:eastAsia="仿宋" w:cs="仿宋"/>
          <w:color w:val="auto"/>
          <w:sz w:val="32"/>
          <w:szCs w:val="32"/>
          <w:highlight w:val="none"/>
          <w:lang w:eastAsia="zh-CN"/>
        </w:rPr>
      </w:pPr>
    </w:p>
    <w:p>
      <w:pPr>
        <w:pStyle w:val="2"/>
        <w:rPr>
          <w:rFonts w:hint="eastAsia" w:ascii="Times New Roman" w:hAnsi="Times New Roman" w:eastAsia="仿宋" w:cs="仿宋"/>
          <w:color w:val="auto"/>
          <w:sz w:val="32"/>
          <w:szCs w:val="32"/>
          <w:highlight w:val="none"/>
          <w:lang w:eastAsia="zh-CN"/>
        </w:rPr>
      </w:pPr>
    </w:p>
    <w:p>
      <w:pPr>
        <w:rPr>
          <w:rFonts w:hint="eastAsia" w:ascii="Times New Roman" w:hAnsi="Times New Roman" w:eastAsia="仿宋" w:cs="仿宋"/>
          <w:color w:val="auto"/>
          <w:sz w:val="32"/>
          <w:szCs w:val="32"/>
          <w:highlight w:val="none"/>
          <w:lang w:eastAsia="zh-CN"/>
        </w:rPr>
      </w:pPr>
    </w:p>
    <w:p>
      <w:pPr>
        <w:pStyle w:val="2"/>
        <w:rPr>
          <w:rFonts w:hint="eastAsia" w:ascii="Times New Roman" w:hAnsi="Times New Roman" w:eastAsia="仿宋" w:cs="仿宋"/>
          <w:color w:val="auto"/>
          <w:sz w:val="32"/>
          <w:szCs w:val="32"/>
          <w:highlight w:val="none"/>
          <w:lang w:eastAsia="zh-CN"/>
        </w:rPr>
      </w:pPr>
    </w:p>
    <w:p>
      <w:pPr>
        <w:rPr>
          <w:rFonts w:hint="eastAsia"/>
          <w:lang w:eastAsia="zh-CN"/>
        </w:rPr>
      </w:pPr>
    </w:p>
    <w:p>
      <w:pPr>
        <w:keepNext w:val="0"/>
        <w:keepLines w:val="0"/>
        <w:pageBreakBefore w:val="0"/>
        <w:widowControl w:val="0"/>
        <w:kinsoku/>
        <w:wordWrap/>
        <w:overflowPunct/>
        <w:topLinePunct w:val="0"/>
        <w:autoSpaceDE/>
        <w:autoSpaceDN/>
        <w:bidi w:val="0"/>
        <w:spacing w:line="560" w:lineRule="exact"/>
        <w:textAlignment w:val="auto"/>
        <w:rPr>
          <w:rFonts w:hint="eastAsia" w:ascii="Times New Roman" w:hAnsi="Times New Roman" w:eastAsia="仿宋" w:cs="仿宋"/>
          <w:color w:val="auto"/>
          <w:sz w:val="32"/>
          <w:szCs w:val="32"/>
          <w:highlight w:val="none"/>
          <w:lang w:eastAsia="zh-CN"/>
        </w:rPr>
      </w:pP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outlineLvl w:val="0"/>
        <w:rPr>
          <w:rFonts w:hint="eastAsia" w:ascii="黑体" w:hAnsi="黑体" w:eastAsia="黑体" w:cs="黑体"/>
          <w:color w:val="auto"/>
          <w:kern w:val="2"/>
          <w:sz w:val="32"/>
          <w:szCs w:val="32"/>
          <w:highlight w:val="none"/>
          <w:lang w:val="en-US" w:eastAsia="zh-CN" w:bidi="ar-SA"/>
        </w:rPr>
      </w:pPr>
      <w:bookmarkStart w:id="24" w:name="_Toc20518"/>
      <w:bookmarkStart w:id="25" w:name="_Toc15377207"/>
      <w:bookmarkStart w:id="26" w:name="_Toc15396605"/>
      <w:r>
        <w:rPr>
          <w:rFonts w:hint="eastAsia" w:ascii="黑体" w:hAnsi="黑体" w:eastAsia="黑体" w:cs="黑体"/>
          <w:color w:val="auto"/>
          <w:kern w:val="2"/>
          <w:sz w:val="32"/>
          <w:szCs w:val="32"/>
          <w:highlight w:val="none"/>
          <w:lang w:val="en-US" w:eastAsia="zh-CN" w:bidi="ar-SA"/>
        </w:rPr>
        <w:t>三、支出决算情况说明</w:t>
      </w:r>
      <w:bookmarkEnd w:id="24"/>
      <w:bookmarkEnd w:id="25"/>
      <w:bookmarkEnd w:id="26"/>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2025年度本年支出合计8373.65万元，其中：基本支出540.49万元，占6.45%；项目支出7833.16万元，占93.55%；上缴上级支出0万元，占0%；经营支出0万元，占0%；对附属单位补助支出0万元，占0%。</w:t>
      </w:r>
    </w:p>
    <w:p>
      <w:pPr>
        <w:keepNext w:val="0"/>
        <w:keepLines w:val="0"/>
        <w:pageBreakBefore w:val="0"/>
        <w:widowControl w:val="0"/>
        <w:kinsoku/>
        <w:wordWrap/>
        <w:overflowPunct/>
        <w:topLinePunct w:val="0"/>
        <w:autoSpaceDE/>
        <w:autoSpaceDN/>
        <w:bidi w:val="0"/>
        <w:adjustRightInd w:val="0"/>
        <w:snapToGrid w:val="0"/>
        <w:spacing w:before="0" w:after="0" w:line="480" w:lineRule="exact"/>
        <w:jc w:val="center"/>
        <w:textAlignment w:val="auto"/>
        <w:rPr>
          <w:rFonts w:hint="eastAsia" w:ascii="Times New Roman" w:hAnsi="Times New Roman" w:eastAsia="仿宋_GB2312" w:cs="Times New Roman"/>
          <w:color w:val="auto"/>
          <w:kern w:val="2"/>
          <w:sz w:val="28"/>
          <w:szCs w:val="28"/>
          <w:highlight w:val="none"/>
          <w:lang w:val="en-US" w:eastAsia="zh-CN" w:bidi="ar-SA"/>
        </w:rPr>
      </w:pPr>
      <w:r>
        <w:rPr>
          <w:rFonts w:hint="eastAsia" w:ascii="Times New Roman" w:hAnsi="Times New Roman" w:eastAsia="仿宋_GB2312" w:cs="Times New Roman"/>
          <w:color w:val="auto"/>
          <w:kern w:val="2"/>
          <w:sz w:val="28"/>
          <w:szCs w:val="28"/>
          <w:highlight w:val="none"/>
          <w:lang w:val="en-US" w:eastAsia="zh-CN" w:bidi="ar-SA"/>
        </w:rPr>
        <w:t>（图3：支出决算结构图）（饼状图）</w:t>
      </w:r>
    </w:p>
    <w:p>
      <w:pPr>
        <w:rPr>
          <w:rFonts w:hint="eastAsia" w:ascii="Times New Roman" w:hAnsi="Times New Roman" w:eastAsia="仿宋" w:cs="仿宋"/>
          <w:color w:val="auto"/>
          <w:sz w:val="32"/>
          <w:szCs w:val="32"/>
          <w:highlight w:val="none"/>
          <w:lang w:eastAsia="zh-CN"/>
        </w:rPr>
      </w:pPr>
      <w:r>
        <w:rPr>
          <w:rFonts w:hint="eastAsia"/>
          <w:lang w:eastAsia="zh-CN"/>
        </w:rPr>
        <w:drawing>
          <wp:inline distT="0" distB="0" distL="114300" distR="114300">
            <wp:extent cx="5289550" cy="3181350"/>
            <wp:effectExtent l="5080" t="4445" r="20320" b="1460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keepNext w:val="0"/>
        <w:keepLines w:val="0"/>
        <w:pageBreakBefore w:val="0"/>
        <w:widowControl w:val="0"/>
        <w:kinsoku/>
        <w:wordWrap/>
        <w:overflowPunct/>
        <w:topLinePunct w:val="0"/>
        <w:autoSpaceDE/>
        <w:autoSpaceDN/>
        <w:bidi w:val="0"/>
        <w:adjustRightInd w:val="0"/>
        <w:snapToGrid w:val="0"/>
        <w:spacing w:before="0" w:after="0" w:line="480" w:lineRule="exact"/>
        <w:ind w:firstLine="640" w:firstLineChars="200"/>
        <w:jc w:val="left"/>
        <w:textAlignment w:val="auto"/>
        <w:outlineLvl w:val="0"/>
        <w:rPr>
          <w:rFonts w:hint="eastAsia" w:ascii="黑体" w:hAnsi="黑体" w:eastAsia="黑体" w:cs="黑体"/>
          <w:color w:val="auto"/>
          <w:kern w:val="2"/>
          <w:sz w:val="32"/>
          <w:szCs w:val="32"/>
          <w:highlight w:val="none"/>
          <w:lang w:val="en-US" w:eastAsia="zh-CN" w:bidi="ar-SA"/>
        </w:rPr>
      </w:pPr>
      <w:bookmarkStart w:id="27" w:name="_Toc20079"/>
      <w:bookmarkStart w:id="28" w:name="_Toc15377208"/>
      <w:bookmarkStart w:id="29" w:name="_Toc15396606"/>
      <w:r>
        <w:rPr>
          <w:rFonts w:hint="eastAsia" w:ascii="黑体" w:hAnsi="黑体" w:eastAsia="黑体" w:cs="黑体"/>
          <w:color w:val="auto"/>
          <w:kern w:val="2"/>
          <w:sz w:val="32"/>
          <w:szCs w:val="32"/>
          <w:highlight w:val="none"/>
          <w:lang w:val="en-US" w:eastAsia="zh-CN" w:bidi="ar-SA"/>
        </w:rPr>
        <w:t>四、财政拨款收入支出决算总体情况说明</w:t>
      </w:r>
      <w:bookmarkEnd w:id="27"/>
      <w:bookmarkEnd w:id="28"/>
      <w:bookmarkEnd w:id="29"/>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2025年度财政拨款收入、支出总计均为8373.65万元。与上年度相比，财政拨款收入、支出总计各减少597.05万元，下降6.66%。主要变动原因是工程项目资金较上年减少。</w:t>
      </w:r>
    </w:p>
    <w:p>
      <w:pPr>
        <w:keepNext w:val="0"/>
        <w:keepLines w:val="0"/>
        <w:pageBreakBefore w:val="0"/>
        <w:widowControl w:val="0"/>
        <w:kinsoku/>
        <w:wordWrap/>
        <w:overflowPunct/>
        <w:topLinePunct w:val="0"/>
        <w:autoSpaceDE/>
        <w:autoSpaceDN/>
        <w:bidi w:val="0"/>
        <w:adjustRightInd w:val="0"/>
        <w:snapToGrid w:val="0"/>
        <w:spacing w:before="0" w:after="0" w:line="480" w:lineRule="exact"/>
        <w:jc w:val="center"/>
        <w:textAlignment w:val="auto"/>
        <w:rPr>
          <w:rFonts w:hint="eastAsia" w:ascii="Times New Roman" w:hAnsi="Times New Roman" w:eastAsia="仿宋_GB2312" w:cs="Times New Roman"/>
          <w:color w:val="auto"/>
          <w:kern w:val="2"/>
          <w:sz w:val="28"/>
          <w:szCs w:val="28"/>
          <w:highlight w:val="none"/>
          <w:lang w:val="en-US" w:eastAsia="zh-CN" w:bidi="ar-SA"/>
        </w:rPr>
      </w:pPr>
      <w:r>
        <w:rPr>
          <w:rFonts w:hint="eastAsia" w:ascii="Times New Roman" w:hAnsi="Times New Roman" w:eastAsia="仿宋_GB2312" w:cs="Times New Roman"/>
          <w:color w:val="auto"/>
          <w:kern w:val="2"/>
          <w:sz w:val="28"/>
          <w:szCs w:val="28"/>
          <w:highlight w:val="none"/>
          <w:lang w:val="en-US" w:eastAsia="zh-CN" w:bidi="ar-SA"/>
        </w:rPr>
        <w:t>（图4：财政拨款收、支决算总计变动情况）（柱状图）</w:t>
      </w:r>
    </w:p>
    <w:p>
      <w:pPr>
        <w:pStyle w:val="8"/>
        <w:ind w:left="0" w:leftChars="0" w:firstLine="0" w:firstLineChars="0"/>
        <w:rPr>
          <w:rFonts w:hint="eastAsia"/>
          <w:lang w:val="en-US" w:eastAsia="zh-CN"/>
        </w:rPr>
      </w:pPr>
      <w:r>
        <w:rPr>
          <w:rFonts w:hint="eastAsia"/>
          <w:lang w:val="en-US" w:eastAsia="zh-CN"/>
        </w:rPr>
        <w:drawing>
          <wp:inline distT="0" distB="0" distL="114300" distR="114300">
            <wp:extent cx="5127625" cy="2525395"/>
            <wp:effectExtent l="4445" t="4445" r="11430" b="22860"/>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keepNext w:val="0"/>
        <w:keepLines w:val="0"/>
        <w:pageBreakBefore w:val="0"/>
        <w:widowControl w:val="0"/>
        <w:kinsoku/>
        <w:wordWrap/>
        <w:overflowPunct/>
        <w:topLinePunct w:val="0"/>
        <w:autoSpaceDE/>
        <w:autoSpaceDN/>
        <w:bidi w:val="0"/>
        <w:adjustRightInd w:val="0"/>
        <w:snapToGrid w:val="0"/>
        <w:spacing w:before="0" w:after="0" w:line="480" w:lineRule="exact"/>
        <w:ind w:firstLine="640" w:firstLineChars="200"/>
        <w:jc w:val="left"/>
        <w:textAlignment w:val="auto"/>
        <w:outlineLvl w:val="0"/>
        <w:rPr>
          <w:rFonts w:hint="eastAsia" w:ascii="黑体" w:hAnsi="黑体" w:eastAsia="黑体" w:cs="黑体"/>
          <w:color w:val="auto"/>
          <w:kern w:val="2"/>
          <w:sz w:val="32"/>
          <w:szCs w:val="32"/>
          <w:highlight w:val="none"/>
          <w:lang w:val="en-US" w:eastAsia="zh-CN" w:bidi="ar-SA"/>
        </w:rPr>
      </w:pPr>
      <w:bookmarkStart w:id="30" w:name="_Toc15396607"/>
      <w:bookmarkStart w:id="31" w:name="_Toc17703"/>
      <w:bookmarkStart w:id="32" w:name="_Toc15377209"/>
      <w:r>
        <w:rPr>
          <w:rFonts w:hint="eastAsia" w:ascii="黑体" w:hAnsi="黑体" w:eastAsia="黑体" w:cs="黑体"/>
          <w:color w:val="auto"/>
          <w:kern w:val="2"/>
          <w:sz w:val="32"/>
          <w:szCs w:val="32"/>
          <w:highlight w:val="none"/>
          <w:lang w:val="en-US" w:eastAsia="zh-CN" w:bidi="ar-SA"/>
        </w:rPr>
        <w:t>五、一般公共预算财政拨款支出决算情况说明</w:t>
      </w:r>
      <w:bookmarkEnd w:id="30"/>
      <w:bookmarkEnd w:id="31"/>
      <w:bookmarkEnd w:id="32"/>
    </w:p>
    <w:p>
      <w:pPr>
        <w:spacing w:before="0" w:after="0" w:line="560" w:lineRule="exact"/>
        <w:ind w:firstLine="642" w:firstLineChars="200"/>
        <w:jc w:val="left"/>
        <w:outlineLvl w:val="1"/>
        <w:rPr>
          <w:rFonts w:hint="eastAsia" w:ascii="楷体_GB2312" w:hAnsi="楷体_GB2312" w:eastAsia="楷体_GB2312" w:cs="楷体_GB2312"/>
          <w:b/>
          <w:color w:val="auto"/>
          <w:sz w:val="32"/>
          <w:szCs w:val="32"/>
          <w:highlight w:val="none"/>
        </w:rPr>
      </w:pPr>
      <w:bookmarkStart w:id="33" w:name="_Toc23712"/>
      <w:bookmarkStart w:id="34" w:name="_Toc1152"/>
      <w:bookmarkStart w:id="35" w:name="_Toc15377210"/>
      <w:bookmarkStart w:id="36" w:name="_Toc32310"/>
      <w:r>
        <w:rPr>
          <w:rFonts w:hint="eastAsia" w:ascii="楷体_GB2312" w:hAnsi="楷体_GB2312" w:eastAsia="楷体_GB2312" w:cs="楷体_GB2312"/>
          <w:b/>
          <w:color w:val="auto"/>
          <w:sz w:val="32"/>
          <w:szCs w:val="32"/>
          <w:highlight w:val="none"/>
        </w:rPr>
        <w:t>（一）一般公共预算财政拨款支出决算总体情况</w:t>
      </w:r>
      <w:bookmarkEnd w:id="33"/>
      <w:bookmarkEnd w:id="34"/>
      <w:bookmarkEnd w:id="35"/>
      <w:bookmarkEnd w:id="36"/>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2025年度一般公共预算财政拨款支出8263.48万元，占本年支出合计的98.68%。与上年度相比，一般公共预算财政拨款支出减少326.18万元，下降3.8%。主要变动原因是项目资金减少。</w:t>
      </w:r>
    </w:p>
    <w:p>
      <w:pPr>
        <w:keepNext w:val="0"/>
        <w:keepLines w:val="0"/>
        <w:pageBreakBefore w:val="0"/>
        <w:widowControl w:val="0"/>
        <w:kinsoku/>
        <w:wordWrap/>
        <w:overflowPunct/>
        <w:topLinePunct w:val="0"/>
        <w:autoSpaceDE/>
        <w:autoSpaceDN/>
        <w:bidi w:val="0"/>
        <w:adjustRightInd w:val="0"/>
        <w:snapToGrid w:val="0"/>
        <w:spacing w:before="0" w:after="0" w:line="480" w:lineRule="exact"/>
        <w:jc w:val="center"/>
        <w:textAlignment w:val="auto"/>
        <w:rPr>
          <w:rFonts w:hint="eastAsia" w:ascii="Times New Roman" w:hAnsi="Times New Roman" w:eastAsia="仿宋_GB2312" w:cs="Times New Roman"/>
          <w:color w:val="auto"/>
          <w:kern w:val="2"/>
          <w:sz w:val="28"/>
          <w:szCs w:val="28"/>
          <w:highlight w:val="none"/>
          <w:lang w:val="en-US" w:eastAsia="zh-CN" w:bidi="ar-SA"/>
        </w:rPr>
      </w:pPr>
      <w:r>
        <w:rPr>
          <w:rFonts w:hint="eastAsia" w:ascii="Times New Roman" w:hAnsi="Times New Roman" w:eastAsia="仿宋_GB2312" w:cs="Times New Roman"/>
          <w:color w:val="auto"/>
          <w:kern w:val="2"/>
          <w:sz w:val="28"/>
          <w:szCs w:val="28"/>
          <w:highlight w:val="none"/>
          <w:lang w:val="en-US" w:eastAsia="zh-CN" w:bidi="ar-SA"/>
        </w:rPr>
        <w:t>（图5：一般公共预算财政拨款支出决算变动情况）（柱状图）</w:t>
      </w:r>
    </w:p>
    <w:p>
      <w:pPr>
        <w:rPr>
          <w:rFonts w:hint="eastAsia"/>
          <w:lang w:val="en-US" w:eastAsia="zh-CN"/>
        </w:rPr>
      </w:pPr>
      <w:r>
        <w:rPr>
          <w:rFonts w:hint="eastAsia" w:ascii="Times New Roman" w:hAnsi="Times New Roman" w:eastAsia="仿宋" w:cs="仿宋"/>
          <w:color w:val="auto"/>
          <w:kern w:val="2"/>
          <w:sz w:val="32"/>
          <w:szCs w:val="32"/>
          <w:highlight w:val="none"/>
          <w:lang w:val="en-US" w:eastAsia="zh-CN" w:bidi="ar-SA"/>
        </w:rPr>
        <w:drawing>
          <wp:inline distT="0" distB="0" distL="114300" distR="114300">
            <wp:extent cx="5080000" cy="3810000"/>
            <wp:effectExtent l="4445" t="4445" r="20955" b="1460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before="0" w:after="0" w:line="560" w:lineRule="exact"/>
        <w:ind w:firstLine="642" w:firstLineChars="200"/>
        <w:jc w:val="left"/>
        <w:outlineLvl w:val="1"/>
        <w:rPr>
          <w:rFonts w:hint="eastAsia" w:ascii="楷体_GB2312" w:hAnsi="楷体_GB2312" w:eastAsia="楷体_GB2312" w:cs="楷体_GB2312"/>
          <w:b/>
          <w:color w:val="auto"/>
          <w:sz w:val="32"/>
          <w:szCs w:val="32"/>
          <w:highlight w:val="none"/>
        </w:rPr>
      </w:pPr>
      <w:bookmarkStart w:id="37" w:name="_Toc26010"/>
      <w:bookmarkStart w:id="38" w:name="_Toc16703"/>
      <w:bookmarkStart w:id="39" w:name="_Toc14901"/>
      <w:bookmarkStart w:id="40" w:name="_Toc15377211"/>
      <w:r>
        <w:rPr>
          <w:rFonts w:hint="eastAsia" w:ascii="楷体_GB2312" w:hAnsi="楷体_GB2312" w:eastAsia="楷体_GB2312" w:cs="楷体_GB2312"/>
          <w:b/>
          <w:color w:val="auto"/>
          <w:sz w:val="32"/>
          <w:szCs w:val="32"/>
          <w:highlight w:val="none"/>
        </w:rPr>
        <w:t>（二）一般公共预算财政拨款支出决算结构情况</w:t>
      </w:r>
      <w:bookmarkEnd w:id="37"/>
      <w:bookmarkEnd w:id="38"/>
      <w:bookmarkEnd w:id="39"/>
      <w:bookmarkEnd w:id="40"/>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2025年度一般公共预算财政拨款支出8263.48万元，主要用于以下方面：一般公共服务支出5.40万元，占0.07%；教育支出0万元，占0%；科学技术支出0万元，占0%；文化旅游体育与传媒支出0万元，占0%；社会保障和就业支出8218.38万元，占99.45%；卫生健康支出14.96万元，占0.18%；住房保障支出24.74万元，占0.3%。</w:t>
      </w:r>
    </w:p>
    <w:p>
      <w:pPr>
        <w:keepNext w:val="0"/>
        <w:keepLines w:val="0"/>
        <w:pageBreakBefore w:val="0"/>
        <w:widowControl w:val="0"/>
        <w:kinsoku/>
        <w:wordWrap/>
        <w:overflowPunct/>
        <w:topLinePunct w:val="0"/>
        <w:autoSpaceDE/>
        <w:autoSpaceDN/>
        <w:bidi w:val="0"/>
        <w:adjustRightInd w:val="0"/>
        <w:snapToGrid w:val="0"/>
        <w:spacing w:before="0" w:after="0" w:line="480" w:lineRule="exact"/>
        <w:jc w:val="center"/>
        <w:textAlignment w:val="auto"/>
        <w:rPr>
          <w:rFonts w:hint="eastAsia" w:ascii="Times New Roman" w:hAnsi="Times New Roman" w:eastAsia="仿宋_GB2312" w:cs="Times New Roman"/>
          <w:color w:val="auto"/>
          <w:kern w:val="2"/>
          <w:sz w:val="28"/>
          <w:szCs w:val="28"/>
          <w:highlight w:val="none"/>
          <w:lang w:val="en-US" w:eastAsia="zh-CN" w:bidi="ar-SA"/>
        </w:rPr>
      </w:pPr>
      <w:r>
        <w:rPr>
          <w:rFonts w:hint="eastAsia" w:ascii="Times New Roman" w:hAnsi="Times New Roman" w:eastAsia="仿宋_GB2312" w:cs="Times New Roman"/>
          <w:color w:val="auto"/>
          <w:kern w:val="2"/>
          <w:sz w:val="28"/>
          <w:szCs w:val="28"/>
          <w:highlight w:val="none"/>
          <w:lang w:val="en-US" w:eastAsia="zh-CN" w:bidi="ar-SA"/>
        </w:rPr>
        <w:t>（图6：一般公共预算财政拨款支出决算结构）（饼状图）</w:t>
      </w:r>
    </w:p>
    <w:p>
      <w:pPr>
        <w:spacing w:line="600" w:lineRule="exact"/>
        <w:rPr>
          <w:rFonts w:hint="eastAsia" w:ascii="Times New Roman" w:hAnsi="Times New Roman" w:eastAsia="仿宋" w:cs="仿宋"/>
          <w:color w:val="auto"/>
          <w:kern w:val="2"/>
          <w:sz w:val="32"/>
          <w:szCs w:val="32"/>
          <w:highlight w:val="none"/>
          <w:lang w:val="en-US" w:eastAsia="zh-CN" w:bidi="ar-SA"/>
        </w:rPr>
      </w:pPr>
    </w:p>
    <w:p>
      <w:pPr>
        <w:pStyle w:val="2"/>
        <w:rPr>
          <w:rFonts w:hint="eastAsia" w:ascii="Times New Roman" w:hAnsi="Times New Roman" w:eastAsia="仿宋" w:cs="仿宋"/>
          <w:color w:val="auto"/>
          <w:kern w:val="2"/>
          <w:sz w:val="32"/>
          <w:szCs w:val="32"/>
          <w:highlight w:val="none"/>
          <w:lang w:val="en-US" w:eastAsia="zh-CN" w:bidi="ar-SA"/>
        </w:rPr>
      </w:pPr>
      <w:r>
        <w:rPr>
          <w:rFonts w:hint="eastAsia" w:ascii="Times New Roman" w:hAnsi="Times New Roman" w:eastAsia="仿宋" w:cs="仿宋"/>
          <w:color w:val="auto"/>
          <w:kern w:val="2"/>
          <w:sz w:val="32"/>
          <w:szCs w:val="32"/>
          <w:highlight w:val="none"/>
          <w:lang w:val="en-US" w:eastAsia="zh-CN" w:bidi="ar-SA"/>
        </w:rPr>
        <w:drawing>
          <wp:inline distT="0" distB="0" distL="114300" distR="114300">
            <wp:extent cx="5256530" cy="2988310"/>
            <wp:effectExtent l="5080" t="4445" r="15240" b="1714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rPr>
          <w:rFonts w:hint="eastAsia" w:ascii="Times New Roman" w:hAnsi="Times New Roman" w:eastAsia="仿宋" w:cs="仿宋"/>
          <w:color w:val="auto"/>
          <w:kern w:val="2"/>
          <w:sz w:val="32"/>
          <w:szCs w:val="32"/>
          <w:highlight w:val="none"/>
          <w:lang w:val="en-US" w:eastAsia="zh-CN" w:bidi="ar-SA"/>
        </w:rPr>
      </w:pPr>
    </w:p>
    <w:p>
      <w:pPr>
        <w:pStyle w:val="2"/>
        <w:rPr>
          <w:rFonts w:hint="eastAsia"/>
          <w:lang w:val="en-US" w:eastAsia="zh-CN"/>
        </w:rPr>
      </w:pPr>
    </w:p>
    <w:p>
      <w:pPr>
        <w:pStyle w:val="2"/>
        <w:rPr>
          <w:rFonts w:hint="eastAsia"/>
          <w:lang w:val="en-US" w:eastAsia="zh-CN"/>
        </w:rPr>
      </w:pPr>
    </w:p>
    <w:p>
      <w:pPr>
        <w:spacing w:before="0" w:after="0" w:line="560" w:lineRule="exact"/>
        <w:ind w:firstLine="642" w:firstLineChars="200"/>
        <w:jc w:val="left"/>
        <w:outlineLvl w:val="1"/>
        <w:rPr>
          <w:rFonts w:hint="eastAsia" w:ascii="楷体_GB2312" w:hAnsi="楷体_GB2312" w:eastAsia="楷体_GB2312" w:cs="楷体_GB2312"/>
          <w:b/>
          <w:color w:val="auto"/>
          <w:sz w:val="32"/>
          <w:szCs w:val="32"/>
          <w:highlight w:val="none"/>
        </w:rPr>
      </w:pPr>
      <w:bookmarkStart w:id="41" w:name="_Toc8826"/>
      <w:bookmarkStart w:id="42" w:name="_Toc15377212"/>
      <w:bookmarkStart w:id="43" w:name="_Toc31015"/>
      <w:bookmarkStart w:id="44" w:name="_Toc11207"/>
      <w:r>
        <w:rPr>
          <w:rFonts w:hint="eastAsia" w:ascii="楷体_GB2312" w:hAnsi="楷体_GB2312" w:eastAsia="楷体_GB2312" w:cs="楷体_GB2312"/>
          <w:b/>
          <w:color w:val="auto"/>
          <w:sz w:val="32"/>
          <w:szCs w:val="32"/>
          <w:highlight w:val="none"/>
        </w:rPr>
        <w:t>（三）一般公共预算财政拨款支出决算具体情况</w:t>
      </w:r>
      <w:bookmarkEnd w:id="41"/>
      <w:bookmarkEnd w:id="42"/>
      <w:bookmarkEnd w:id="43"/>
      <w:bookmarkEnd w:id="44"/>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bookmarkStart w:id="45" w:name="_Toc15377213"/>
      <w:bookmarkStart w:id="46" w:name="_Toc15377444"/>
      <w:bookmarkStart w:id="47" w:name="_Toc15378460"/>
      <w:r>
        <w:rPr>
          <w:rFonts w:hint="eastAsia" w:ascii="Times New Roman" w:hAnsi="Times New Roman" w:eastAsia="仿宋_GB2312" w:cs="Times New Roman"/>
          <w:color w:val="auto"/>
          <w:kern w:val="2"/>
          <w:sz w:val="32"/>
          <w:szCs w:val="32"/>
          <w:highlight w:val="none"/>
          <w:lang w:val="en-US" w:eastAsia="zh-CN" w:bidi="ar-SA"/>
        </w:rPr>
        <w:t>2025年度一般公共预算支出决算数为8263.48，完成预算100%。其中：</w:t>
      </w:r>
      <w:bookmarkEnd w:id="45"/>
      <w:bookmarkEnd w:id="46"/>
      <w:bookmarkEnd w:id="47"/>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1.</w:t>
      </w:r>
      <w:r>
        <w:rPr>
          <w:rFonts w:hint="eastAsia" w:ascii="Times New Roman" w:hAnsi="Times New Roman" w:eastAsia="仿宋_GB2312" w:cs="Times New Roman"/>
          <w:color w:val="auto"/>
          <w:kern w:val="2"/>
          <w:sz w:val="32"/>
          <w:szCs w:val="32"/>
          <w:highlight w:val="none"/>
          <w:lang w:val="en-US" w:eastAsia="zh-CN" w:bidi="ar-SA"/>
        </w:rPr>
        <w:t>一般公共服务（类）</w:t>
      </w:r>
      <w:r>
        <w:rPr>
          <w:rFonts w:hint="eastAsia" w:ascii="Times New Roman" w:hAnsi="Times New Roman" w:eastAsia="仿宋_GB2312" w:cs="Times New Roman"/>
          <w:color w:val="auto"/>
          <w:kern w:val="2"/>
          <w:sz w:val="32"/>
          <w:szCs w:val="32"/>
          <w:highlight w:val="none"/>
          <w:lang w:val="en-US" w:eastAsia="zh-CN" w:bidi="ar-SA"/>
        </w:rPr>
        <w:tab/>
      </w:r>
      <w:r>
        <w:rPr>
          <w:rFonts w:hint="eastAsia" w:ascii="Times New Roman" w:hAnsi="Times New Roman" w:eastAsia="仿宋_GB2312" w:cs="Times New Roman"/>
          <w:color w:val="auto"/>
          <w:kern w:val="2"/>
          <w:sz w:val="32"/>
          <w:szCs w:val="32"/>
          <w:highlight w:val="none"/>
          <w:lang w:val="en-US" w:eastAsia="zh-CN" w:bidi="ar-SA"/>
        </w:rPr>
        <w:t>社会工作事务（款）专项业务（项）：支出决算为5.4万元，完成预算100%，决算数等于预算数的。</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2.社会保障和就业支出（类）民政管理事务（款）行政运行: 支出决算为431.9万元，完成预算100%，决算数等于预算数。</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3.社会保障和就业支出（类）民政管理事务（款）一般行政管理事务: 支出决算为30.26万元，完成预算100%，决算数等于预算数。</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4.社会保障和就业支出（类）民政管理事务（款）其他民政管理事务支出: 支出决算为25.13万元，完成预算100%，决算数等于预算数。</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5.社会保障和就业支出（类）行政事业单位养老支出（款）机关事业单位基本养老保险缴费支出: 支出决算为31.43万元，完成预算100%，决算数等于预算数。</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6.社会保障和就业支出（类）行政事业单位养老支出（款）机关事业单位职业年金缴费支出: 支出决算为15.13万元，完成预算100%，决算数等于预算数。</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7.社会保障和就业支出（类）抚恤（款）死亡抚恤: 支出决算为22.33万元，完成预算100%，决算数等于预算数。</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8.社会保障和就业支出（类）社会福利（款）儿童福利: 支出决算66.04万元，完成预算100%，决算数等于预算数。</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9.社会保障和就业支出（类）社会福利（款）老年福利: 支出决算为88.38</w:t>
      </w:r>
      <w:r>
        <w:rPr>
          <w:rFonts w:hint="eastAsia" w:eastAsia="仿宋_GB2312" w:cs="Times New Roman"/>
          <w:color w:val="auto"/>
          <w:kern w:val="2"/>
          <w:sz w:val="32"/>
          <w:szCs w:val="32"/>
          <w:highlight w:val="none"/>
          <w:lang w:val="en-US" w:eastAsia="zh-CN" w:bidi="ar-SA"/>
        </w:rPr>
        <w:t>万</w:t>
      </w:r>
      <w:r>
        <w:rPr>
          <w:rFonts w:hint="eastAsia" w:ascii="Times New Roman" w:hAnsi="Times New Roman" w:eastAsia="仿宋_GB2312" w:cs="Times New Roman"/>
          <w:color w:val="auto"/>
          <w:kern w:val="2"/>
          <w:sz w:val="32"/>
          <w:szCs w:val="32"/>
          <w:highlight w:val="none"/>
          <w:lang w:val="en-US" w:eastAsia="zh-CN" w:bidi="ar-SA"/>
        </w:rPr>
        <w:t>元，完成预算100%，决算数等于预算数。</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10.社会保障和就业支出（类）社会福利（款）养老服务: 支出决算为132.95万元，完成预算100%，决算数等于预算数。</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11.社会保障和就业支出（类）社会福利（款）其他社会福利支出: 支出决算为2.58万元，完成预算100%，决算数等于预算数。</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12.社会保障和就业支出（类）残疾人事业（款）残疾人生活和护理补贴: 支出决算为312.79万元，完成预算100%，决算数等于预算数。</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13.社会保障和就业支出（类）最低生活保障（款）城市最低生活保障金支出: 支出决算为208.61万元，完成预算100%，决算数等于预算数。</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14.社会保障和就业支出（类）最低生活保障（款）农村最低生活保障金支出: 支出决算为5568.90万元，完成预算100%，决算数等于预算数。</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15.社会保障和就业支出（类）临时救助（款）临时救助支出: 支出决算为63.42万元，完成预算100%，决算数等于预算数。</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16.社会保障和就业支出（类）临时救助（款）流浪乞讨人员救助支出: 支出决算为0.09万元，完成预算100%，决算数等于预算数。</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17.社会保障和就业支出（类）特困人员救助供养（款）城市特困人员救助供养支出: 支出决算为14.52万元，完成预算100%，决算数等于预算数。</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18.社会保障和就业支出（类）特困人员救助供养（款）农村特困人员救助供养支出: 支出决算为1203.93万元，完成预算100%，决算数等于预算数。</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19.卫生健康支出（类）行政事业单位医疗（款）行政单位医疗: 支出决算为13.16万元，完成预算100%，决算数等于预算数。</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20.卫生健康支出（类）行政事业单位医疗（款）公务员医疗补助: 支出决算为1.8万元，完成预算100%，决算数等于预算数。</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21.住房保障支出（类）住房改革支出（款）住房公积金（项）: 支出决算为22.74万元，完成预算100%，决算数等于预算数。</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22.住房保障支出（类）住房改革支出（款）购房补贴（项）: 支出决算为2万元，完成预算100%，决算数等于预算数。</w:t>
      </w:r>
    </w:p>
    <w:p>
      <w:pPr>
        <w:keepNext w:val="0"/>
        <w:keepLines w:val="0"/>
        <w:pageBreakBefore w:val="0"/>
        <w:widowControl w:val="0"/>
        <w:kinsoku/>
        <w:wordWrap/>
        <w:overflowPunct/>
        <w:topLinePunct w:val="0"/>
        <w:autoSpaceDE/>
        <w:autoSpaceDN/>
        <w:bidi w:val="0"/>
        <w:adjustRightInd w:val="0"/>
        <w:snapToGrid w:val="0"/>
        <w:spacing w:before="0" w:after="0" w:line="480" w:lineRule="exact"/>
        <w:ind w:firstLine="640" w:firstLineChars="200"/>
        <w:jc w:val="left"/>
        <w:textAlignment w:val="auto"/>
        <w:outlineLvl w:val="0"/>
        <w:rPr>
          <w:rFonts w:hint="eastAsia" w:ascii="黑体" w:hAnsi="黑体" w:eastAsia="黑体" w:cs="黑体"/>
          <w:color w:val="auto"/>
          <w:kern w:val="2"/>
          <w:sz w:val="32"/>
          <w:szCs w:val="32"/>
          <w:highlight w:val="none"/>
          <w:lang w:val="en-US" w:eastAsia="zh-CN" w:bidi="ar-SA"/>
        </w:rPr>
      </w:pPr>
      <w:bookmarkStart w:id="48" w:name="_Toc15396608"/>
      <w:bookmarkStart w:id="49" w:name="_Toc7425"/>
      <w:bookmarkStart w:id="50" w:name="_Toc15377214"/>
      <w:r>
        <w:rPr>
          <w:rFonts w:hint="eastAsia" w:ascii="黑体" w:hAnsi="黑体" w:eastAsia="黑体" w:cs="黑体"/>
          <w:color w:val="auto"/>
          <w:kern w:val="2"/>
          <w:sz w:val="32"/>
          <w:szCs w:val="32"/>
          <w:highlight w:val="none"/>
          <w:lang w:val="en-US" w:eastAsia="zh-CN" w:bidi="ar-SA"/>
        </w:rPr>
        <w:t>六、一般公共预算财政拨款基本支出决算情况说明</w:t>
      </w:r>
      <w:bookmarkEnd w:id="48"/>
      <w:bookmarkEnd w:id="49"/>
      <w:bookmarkEnd w:id="50"/>
      <w:r>
        <w:rPr>
          <w:rFonts w:hint="eastAsia" w:ascii="黑体" w:hAnsi="黑体" w:eastAsia="黑体" w:cs="黑体"/>
          <w:color w:val="auto"/>
          <w:kern w:val="2"/>
          <w:sz w:val="32"/>
          <w:szCs w:val="32"/>
          <w:highlight w:val="none"/>
          <w:lang w:val="en-US" w:eastAsia="zh-CN" w:bidi="ar-SA"/>
        </w:rPr>
        <w:tab/>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2025年度一般公共预算财政拨款基本支出540.49万元，其中：</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1.</w:t>
      </w:r>
      <w:r>
        <w:rPr>
          <w:rFonts w:hint="eastAsia" w:ascii="Times New Roman" w:hAnsi="Times New Roman" w:eastAsia="仿宋_GB2312" w:cs="Times New Roman"/>
          <w:color w:val="auto"/>
          <w:kern w:val="2"/>
          <w:sz w:val="32"/>
          <w:szCs w:val="32"/>
          <w:highlight w:val="none"/>
          <w:lang w:val="en-US" w:eastAsia="zh-CN" w:bidi="ar-SA"/>
        </w:rPr>
        <w:t>人员经费524.44万元，主要包括：基本工资57.75万元、津贴补贴79.52万元、奖金59.35万元、机关事业单位基本养老保险缴费31.43万元、职业年金缴费15.13万元、职工基本医疗保险缴费13.16万元、公务员医疗补助缴费1.8万元、其他社会保障缴费0.69万元、其他工资福利支出110.65万元、住房公积金22.74万元、抚恤金22.33万元、生活补助97.34万元、医疗费补助10.54万元。</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2.</w:t>
      </w:r>
      <w:r>
        <w:rPr>
          <w:rFonts w:hint="eastAsia" w:ascii="Times New Roman" w:hAnsi="Times New Roman" w:eastAsia="仿宋_GB2312" w:cs="Times New Roman"/>
          <w:color w:val="auto"/>
          <w:kern w:val="2"/>
          <w:sz w:val="32"/>
          <w:szCs w:val="32"/>
          <w:highlight w:val="none"/>
          <w:lang w:val="en-US" w:eastAsia="zh-CN" w:bidi="ar-SA"/>
        </w:rPr>
        <w:t>公用经费16.05万元，主要包括：办公费1.52万元、差旅费1.23万元、公务用车运行维护费10.29万元、其他商品和服务支出3万元。</w:t>
      </w:r>
    </w:p>
    <w:p>
      <w:pPr>
        <w:keepNext w:val="0"/>
        <w:keepLines w:val="0"/>
        <w:pageBreakBefore w:val="0"/>
        <w:widowControl w:val="0"/>
        <w:kinsoku/>
        <w:wordWrap/>
        <w:overflowPunct/>
        <w:topLinePunct w:val="0"/>
        <w:autoSpaceDE/>
        <w:autoSpaceDN/>
        <w:bidi w:val="0"/>
        <w:adjustRightInd w:val="0"/>
        <w:snapToGrid w:val="0"/>
        <w:spacing w:before="0" w:after="0" w:line="480" w:lineRule="exact"/>
        <w:ind w:firstLine="640" w:firstLineChars="200"/>
        <w:jc w:val="left"/>
        <w:textAlignment w:val="auto"/>
        <w:outlineLvl w:val="0"/>
        <w:rPr>
          <w:rFonts w:hint="eastAsia" w:ascii="黑体" w:hAnsi="黑体" w:eastAsia="黑体" w:cs="黑体"/>
          <w:color w:val="auto"/>
          <w:kern w:val="2"/>
          <w:sz w:val="32"/>
          <w:szCs w:val="32"/>
          <w:highlight w:val="none"/>
          <w:lang w:val="en-US" w:eastAsia="zh-CN" w:bidi="ar-SA"/>
        </w:rPr>
      </w:pPr>
      <w:bookmarkStart w:id="51" w:name="_Toc8936"/>
      <w:bookmarkStart w:id="52" w:name="_Toc15396609"/>
      <w:bookmarkStart w:id="53" w:name="_Toc15377215"/>
      <w:r>
        <w:rPr>
          <w:rFonts w:hint="eastAsia" w:ascii="黑体" w:hAnsi="黑体" w:eastAsia="黑体" w:cs="黑体"/>
          <w:color w:val="auto"/>
          <w:kern w:val="2"/>
          <w:sz w:val="32"/>
          <w:szCs w:val="32"/>
          <w:highlight w:val="none"/>
          <w:lang w:val="en-US" w:eastAsia="zh-CN" w:bidi="ar-SA"/>
        </w:rPr>
        <w:t>七、财政拨款“三公”经费支出决算情况说明</w:t>
      </w:r>
      <w:bookmarkEnd w:id="51"/>
      <w:bookmarkEnd w:id="52"/>
      <w:bookmarkEnd w:id="53"/>
    </w:p>
    <w:p>
      <w:pPr>
        <w:spacing w:before="0" w:after="0" w:line="560" w:lineRule="exact"/>
        <w:ind w:firstLine="642" w:firstLineChars="200"/>
        <w:jc w:val="left"/>
        <w:outlineLvl w:val="1"/>
        <w:rPr>
          <w:rFonts w:hint="eastAsia" w:ascii="楷体_GB2312" w:hAnsi="楷体_GB2312" w:eastAsia="楷体_GB2312" w:cs="楷体_GB2312"/>
          <w:b/>
          <w:color w:val="auto"/>
          <w:sz w:val="32"/>
          <w:szCs w:val="32"/>
          <w:highlight w:val="none"/>
        </w:rPr>
      </w:pPr>
      <w:bookmarkStart w:id="54" w:name="_Toc15377216"/>
      <w:bookmarkStart w:id="55" w:name="_Toc13746"/>
      <w:bookmarkStart w:id="56" w:name="_Toc22021"/>
      <w:bookmarkStart w:id="57" w:name="_Toc21234"/>
      <w:r>
        <w:rPr>
          <w:rFonts w:hint="eastAsia" w:ascii="楷体_GB2312" w:hAnsi="楷体_GB2312" w:eastAsia="楷体_GB2312" w:cs="楷体_GB2312"/>
          <w:b/>
          <w:color w:val="auto"/>
          <w:sz w:val="32"/>
          <w:szCs w:val="32"/>
          <w:highlight w:val="none"/>
        </w:rPr>
        <w:t>（一）财政拨款“三公”经费支出决算总体情况说明</w:t>
      </w:r>
      <w:bookmarkEnd w:id="54"/>
      <w:bookmarkEnd w:id="55"/>
      <w:bookmarkEnd w:id="56"/>
      <w:bookmarkEnd w:id="57"/>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2025年度财政拨款“三公”经费支出决算为10.29万元，完成预算100%，较上年度增加1.77万元，增长20.77%。</w:t>
      </w:r>
    </w:p>
    <w:p>
      <w:pPr>
        <w:spacing w:before="0" w:after="0" w:line="560" w:lineRule="exact"/>
        <w:ind w:firstLine="642" w:firstLineChars="200"/>
        <w:jc w:val="left"/>
        <w:outlineLvl w:val="1"/>
        <w:rPr>
          <w:rFonts w:hint="eastAsia" w:ascii="楷体_GB2312" w:hAnsi="楷体_GB2312" w:eastAsia="楷体_GB2312" w:cs="楷体_GB2312"/>
          <w:b/>
          <w:color w:val="auto"/>
          <w:sz w:val="32"/>
          <w:szCs w:val="32"/>
          <w:highlight w:val="none"/>
        </w:rPr>
      </w:pPr>
      <w:bookmarkStart w:id="58" w:name="_Toc17246"/>
      <w:bookmarkStart w:id="59" w:name="_Toc15377217"/>
      <w:bookmarkStart w:id="60" w:name="_Toc25254"/>
      <w:bookmarkStart w:id="61" w:name="_Toc13666"/>
      <w:r>
        <w:rPr>
          <w:rFonts w:hint="eastAsia" w:ascii="楷体_GB2312" w:hAnsi="楷体_GB2312" w:eastAsia="楷体_GB2312" w:cs="楷体_GB2312"/>
          <w:b/>
          <w:color w:val="auto"/>
          <w:sz w:val="32"/>
          <w:szCs w:val="32"/>
          <w:highlight w:val="none"/>
        </w:rPr>
        <w:t>（二）财政拨款“三公”经费支出决算具体情况说明</w:t>
      </w:r>
      <w:bookmarkEnd w:id="58"/>
      <w:bookmarkEnd w:id="59"/>
      <w:bookmarkEnd w:id="60"/>
      <w:bookmarkEnd w:id="61"/>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2025年度财政拨款“三公”经费支出决算中，因公出国（境）费支出决算0万元，占0%；公务用车购置及运行维护费支出决算10.29万元，占100%；公务接待费支出决算0万元，占0%。具体情况如下：</w:t>
      </w:r>
    </w:p>
    <w:p>
      <w:pPr>
        <w:keepNext w:val="0"/>
        <w:keepLines w:val="0"/>
        <w:pageBreakBefore w:val="0"/>
        <w:widowControl w:val="0"/>
        <w:kinsoku/>
        <w:wordWrap/>
        <w:overflowPunct/>
        <w:topLinePunct w:val="0"/>
        <w:autoSpaceDE/>
        <w:autoSpaceDN/>
        <w:bidi w:val="0"/>
        <w:adjustRightInd w:val="0"/>
        <w:snapToGrid w:val="0"/>
        <w:spacing w:before="0" w:after="0" w:line="480" w:lineRule="exact"/>
        <w:jc w:val="center"/>
        <w:textAlignment w:val="auto"/>
        <w:rPr>
          <w:rFonts w:hint="eastAsia" w:ascii="Times New Roman" w:hAnsi="Times New Roman" w:eastAsia="仿宋_GB2312" w:cs="Times New Roman"/>
          <w:color w:val="auto"/>
          <w:kern w:val="2"/>
          <w:sz w:val="28"/>
          <w:szCs w:val="28"/>
          <w:highlight w:val="none"/>
          <w:lang w:val="en-US" w:eastAsia="zh-CN" w:bidi="ar-SA"/>
        </w:rPr>
      </w:pPr>
      <w:r>
        <w:rPr>
          <w:rFonts w:hint="eastAsia" w:ascii="Times New Roman" w:hAnsi="Times New Roman" w:eastAsia="仿宋_GB2312" w:cs="Times New Roman"/>
          <w:color w:val="auto"/>
          <w:kern w:val="2"/>
          <w:sz w:val="28"/>
          <w:szCs w:val="28"/>
          <w:highlight w:val="none"/>
          <w:lang w:val="en-US" w:eastAsia="zh-CN" w:bidi="ar-SA"/>
        </w:rPr>
        <w:t>（图7：财政拨款“三公”经费支出结构）（饼状图）</w:t>
      </w:r>
    </w:p>
    <w:p>
      <w:pPr>
        <w:pStyle w:val="8"/>
        <w:ind w:left="0" w:leftChars="0" w:firstLine="0" w:firstLineChars="0"/>
        <w:rPr>
          <w:rFonts w:hint="eastAsia"/>
          <w:lang w:val="en-US" w:eastAsia="zh-CN"/>
        </w:rPr>
      </w:pPr>
      <w:r>
        <w:rPr>
          <w:rFonts w:hint="eastAsia" w:ascii="Times New Roman" w:hAnsi="Times New Roman" w:eastAsia="仿宋" w:cs="仿宋"/>
          <w:color w:val="auto"/>
          <w:kern w:val="2"/>
          <w:sz w:val="32"/>
          <w:szCs w:val="32"/>
          <w:highlight w:val="none"/>
          <w:lang w:val="en-US" w:eastAsia="zh-CN" w:bidi="ar-SA"/>
        </w:rPr>
        <w:drawing>
          <wp:inline distT="0" distB="0" distL="114300" distR="114300">
            <wp:extent cx="5155565" cy="2848610"/>
            <wp:effectExtent l="4445" t="4445" r="21590" b="2349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1.</w:t>
      </w:r>
      <w:r>
        <w:rPr>
          <w:rFonts w:hint="eastAsia" w:ascii="Times New Roman" w:hAnsi="Times New Roman" w:eastAsia="仿宋_GB2312" w:cs="Times New Roman"/>
          <w:color w:val="auto"/>
          <w:kern w:val="2"/>
          <w:sz w:val="32"/>
          <w:szCs w:val="32"/>
          <w:highlight w:val="none"/>
          <w:lang w:val="en-US" w:eastAsia="zh-CN" w:bidi="ar-SA"/>
        </w:rPr>
        <w:t>因公出国（境）经费支出0万元，完成预算0%。全年安排因公出国（境）团组0次，出国（境）0人。因公出国（境）支出决算比上年度一致。</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2.公务用车购置及运行维护费支出10.29万元，完成预算100%。公务用车购置及运行维护费支出决算比上年度增加1.77万元，增长20.77%。主要原因是公务用车维修金额增加。</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其中：</w:t>
      </w:r>
      <w:r>
        <w:rPr>
          <w:rFonts w:hint="eastAsia" w:eastAsia="仿宋_GB2312" w:cs="Times New Roman"/>
          <w:b/>
          <w:bCs/>
          <w:color w:val="auto"/>
          <w:kern w:val="2"/>
          <w:sz w:val="32"/>
          <w:szCs w:val="32"/>
          <w:highlight w:val="none"/>
          <w:lang w:val="en-US" w:eastAsia="zh-CN" w:bidi="ar-SA"/>
        </w:rPr>
        <w:t>一是</w:t>
      </w:r>
      <w:r>
        <w:rPr>
          <w:rFonts w:hint="eastAsia" w:ascii="Times New Roman" w:hAnsi="Times New Roman" w:eastAsia="仿宋_GB2312" w:cs="Times New Roman"/>
          <w:color w:val="auto"/>
          <w:kern w:val="2"/>
          <w:sz w:val="32"/>
          <w:szCs w:val="32"/>
          <w:highlight w:val="none"/>
          <w:lang w:val="en-US" w:eastAsia="zh-CN" w:bidi="ar-SA"/>
        </w:rPr>
        <w:t>公务用车购置支出0万元。全年按规定更新购置公务用车0辆，其中：轿车0辆、金额0万元，越野车0辆、金额0万元，载客汽车0辆、金额0万元。截至2025年12月31日，单位共有公务用车1辆，其中：轿车0辆、越野车1辆、载客汽车0辆</w:t>
      </w:r>
      <w:r>
        <w:rPr>
          <w:rFonts w:hint="eastAsia" w:eastAsia="仿宋_GB2312" w:cs="Times New Roman"/>
          <w:color w:val="auto"/>
          <w:kern w:val="2"/>
          <w:sz w:val="32"/>
          <w:szCs w:val="32"/>
          <w:highlight w:val="none"/>
          <w:lang w:val="en-US" w:eastAsia="zh-CN" w:bidi="ar-SA"/>
        </w:rPr>
        <w:t>。</w:t>
      </w:r>
      <w:r>
        <w:rPr>
          <w:rFonts w:hint="eastAsia" w:eastAsia="仿宋_GB2312" w:cs="Times New Roman"/>
          <w:b/>
          <w:bCs/>
          <w:color w:val="auto"/>
          <w:kern w:val="2"/>
          <w:sz w:val="32"/>
          <w:szCs w:val="32"/>
          <w:highlight w:val="none"/>
          <w:lang w:val="en-US" w:eastAsia="zh-CN" w:bidi="ar-SA"/>
        </w:rPr>
        <w:t>二是</w:t>
      </w:r>
      <w:r>
        <w:rPr>
          <w:rFonts w:hint="eastAsia" w:ascii="Times New Roman" w:hAnsi="Times New Roman" w:eastAsia="仿宋_GB2312" w:cs="Times New Roman"/>
          <w:color w:val="auto"/>
          <w:kern w:val="2"/>
          <w:sz w:val="32"/>
          <w:szCs w:val="32"/>
          <w:highlight w:val="none"/>
          <w:lang w:val="en-US" w:eastAsia="zh-CN" w:bidi="ar-SA"/>
        </w:rPr>
        <w:t>公务用车运行维护费支出10.29万元。主要用于单位日常业务开展所需的公务用车燃料费、维修费、过路过桥费、保险费等支出。</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3.公务接待费支出0万元，完成预算0%。公务接待费支出决算与上年度一致。</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国内公务接待支出0万元，国内公务接待0批次，0人次（不包括陪同人员），共计支出0万元，外事接待支出0万元，外事接待0批次，0人次（不包括陪同人员），共计支出0万元。</w:t>
      </w:r>
      <w:bookmarkStart w:id="62" w:name="_Toc15377218"/>
      <w:bookmarkStart w:id="63" w:name="_Toc15396610"/>
    </w:p>
    <w:p>
      <w:pPr>
        <w:keepNext w:val="0"/>
        <w:keepLines w:val="0"/>
        <w:pageBreakBefore w:val="0"/>
        <w:widowControl w:val="0"/>
        <w:kinsoku/>
        <w:wordWrap/>
        <w:overflowPunct/>
        <w:topLinePunct w:val="0"/>
        <w:autoSpaceDE/>
        <w:autoSpaceDN/>
        <w:bidi w:val="0"/>
        <w:adjustRightInd w:val="0"/>
        <w:snapToGrid w:val="0"/>
        <w:spacing w:before="0" w:after="0" w:line="480" w:lineRule="exact"/>
        <w:ind w:firstLine="640" w:firstLineChars="200"/>
        <w:jc w:val="left"/>
        <w:textAlignment w:val="auto"/>
        <w:outlineLvl w:val="0"/>
        <w:rPr>
          <w:rFonts w:hint="eastAsia" w:ascii="黑体" w:hAnsi="黑体" w:eastAsia="黑体" w:cs="黑体"/>
          <w:color w:val="auto"/>
          <w:kern w:val="2"/>
          <w:sz w:val="32"/>
          <w:szCs w:val="32"/>
          <w:highlight w:val="none"/>
          <w:lang w:val="en-US" w:eastAsia="zh-CN" w:bidi="ar-SA"/>
        </w:rPr>
      </w:pPr>
      <w:bookmarkStart w:id="64" w:name="_Toc11657"/>
      <w:r>
        <w:rPr>
          <w:rFonts w:hint="eastAsia" w:ascii="黑体" w:hAnsi="黑体" w:eastAsia="黑体" w:cs="黑体"/>
          <w:color w:val="auto"/>
          <w:kern w:val="2"/>
          <w:sz w:val="32"/>
          <w:szCs w:val="32"/>
          <w:highlight w:val="none"/>
          <w:lang w:val="en-US" w:eastAsia="zh-CN" w:bidi="ar-SA"/>
        </w:rPr>
        <w:t>八、政府性基金预算支出决算情况说明</w:t>
      </w:r>
      <w:bookmarkEnd w:id="62"/>
      <w:bookmarkEnd w:id="63"/>
      <w:bookmarkEnd w:id="64"/>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2025年度政府性基金预算财政拨款支出110.17万元，占本年支出合计的1.32%。与上年度相比，政府性基金预算财政拨款支出减少270.87万元，下降71.09%。主要变动原因是工程项目减少，资金减少。</w:t>
      </w:r>
    </w:p>
    <w:p>
      <w:pPr>
        <w:keepNext w:val="0"/>
        <w:keepLines w:val="0"/>
        <w:pageBreakBefore w:val="0"/>
        <w:widowControl w:val="0"/>
        <w:kinsoku/>
        <w:wordWrap/>
        <w:overflowPunct/>
        <w:topLinePunct w:val="0"/>
        <w:autoSpaceDE/>
        <w:autoSpaceDN/>
        <w:bidi w:val="0"/>
        <w:adjustRightInd w:val="0"/>
        <w:snapToGrid w:val="0"/>
        <w:spacing w:before="0" w:after="0" w:line="480" w:lineRule="exact"/>
        <w:ind w:firstLine="640" w:firstLineChars="200"/>
        <w:jc w:val="left"/>
        <w:textAlignment w:val="auto"/>
        <w:outlineLvl w:val="0"/>
        <w:rPr>
          <w:rFonts w:hint="eastAsia" w:ascii="黑体" w:hAnsi="黑体" w:eastAsia="黑体" w:cs="黑体"/>
          <w:color w:val="auto"/>
          <w:kern w:val="2"/>
          <w:sz w:val="32"/>
          <w:szCs w:val="32"/>
          <w:highlight w:val="none"/>
          <w:lang w:val="en-US" w:eastAsia="zh-CN" w:bidi="ar-SA"/>
        </w:rPr>
      </w:pPr>
      <w:bookmarkStart w:id="65" w:name="_Toc15396611"/>
      <w:bookmarkStart w:id="66" w:name="_Toc4735"/>
      <w:bookmarkStart w:id="67" w:name="_Toc15377219"/>
      <w:r>
        <w:rPr>
          <w:rFonts w:hint="eastAsia" w:ascii="黑体" w:hAnsi="黑体" w:eastAsia="黑体" w:cs="黑体"/>
          <w:color w:val="auto"/>
          <w:kern w:val="2"/>
          <w:sz w:val="32"/>
          <w:szCs w:val="32"/>
          <w:highlight w:val="none"/>
          <w:lang w:val="en-US" w:eastAsia="zh-CN" w:bidi="ar-SA"/>
        </w:rPr>
        <w:t>九、国有资本经营预算支出决算情况说明</w:t>
      </w:r>
      <w:bookmarkEnd w:id="65"/>
      <w:bookmarkEnd w:id="66"/>
      <w:bookmarkEnd w:id="67"/>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2025年度国有资本经营预算财政拨款支出0万元，占本年支出合计的0%。与上年度相比，国有资本经营预算财政拨款支出无变动。</w:t>
      </w:r>
    </w:p>
    <w:p>
      <w:pPr>
        <w:keepNext w:val="0"/>
        <w:keepLines w:val="0"/>
        <w:pageBreakBefore w:val="0"/>
        <w:widowControl w:val="0"/>
        <w:kinsoku/>
        <w:wordWrap/>
        <w:overflowPunct/>
        <w:topLinePunct w:val="0"/>
        <w:autoSpaceDE/>
        <w:autoSpaceDN/>
        <w:bidi w:val="0"/>
        <w:adjustRightInd w:val="0"/>
        <w:snapToGrid w:val="0"/>
        <w:spacing w:before="0" w:after="0" w:line="480" w:lineRule="exact"/>
        <w:ind w:firstLine="640" w:firstLineChars="200"/>
        <w:jc w:val="left"/>
        <w:textAlignment w:val="auto"/>
        <w:outlineLvl w:val="0"/>
        <w:rPr>
          <w:rFonts w:hint="eastAsia" w:ascii="黑体" w:hAnsi="黑体" w:eastAsia="黑体" w:cs="黑体"/>
          <w:color w:val="auto"/>
          <w:kern w:val="2"/>
          <w:sz w:val="32"/>
          <w:szCs w:val="32"/>
          <w:highlight w:val="none"/>
          <w:lang w:val="en-US" w:eastAsia="zh-CN" w:bidi="ar-SA"/>
        </w:rPr>
      </w:pPr>
      <w:bookmarkStart w:id="68" w:name="_Toc2796"/>
      <w:bookmarkStart w:id="69" w:name="_Toc15396612"/>
      <w:bookmarkStart w:id="70" w:name="_Toc15377221"/>
      <w:r>
        <w:rPr>
          <w:rFonts w:hint="eastAsia" w:ascii="黑体" w:hAnsi="黑体" w:eastAsia="黑体" w:cs="黑体"/>
          <w:color w:val="auto"/>
          <w:kern w:val="2"/>
          <w:sz w:val="32"/>
          <w:szCs w:val="32"/>
          <w:highlight w:val="none"/>
          <w:lang w:val="en-US" w:eastAsia="zh-CN" w:bidi="ar-SA"/>
        </w:rPr>
        <w:t>十、其他重要事项的情况说明</w:t>
      </w:r>
      <w:bookmarkEnd w:id="68"/>
      <w:bookmarkEnd w:id="69"/>
      <w:bookmarkEnd w:id="70"/>
    </w:p>
    <w:p>
      <w:pPr>
        <w:spacing w:before="0" w:after="0" w:line="560" w:lineRule="exact"/>
        <w:ind w:firstLine="642" w:firstLineChars="200"/>
        <w:jc w:val="left"/>
        <w:outlineLvl w:val="1"/>
        <w:rPr>
          <w:rFonts w:hint="eastAsia" w:ascii="楷体_GB2312" w:hAnsi="楷体_GB2312" w:eastAsia="楷体_GB2312" w:cs="楷体_GB2312"/>
          <w:b/>
          <w:color w:val="auto"/>
          <w:sz w:val="32"/>
          <w:szCs w:val="32"/>
          <w:highlight w:val="none"/>
        </w:rPr>
      </w:pPr>
      <w:bookmarkStart w:id="71" w:name="_Toc15377222"/>
      <w:bookmarkStart w:id="72" w:name="_Toc16451"/>
      <w:bookmarkStart w:id="73" w:name="_Toc807"/>
      <w:bookmarkStart w:id="74" w:name="_Toc25467"/>
      <w:r>
        <w:rPr>
          <w:rFonts w:hint="eastAsia" w:ascii="楷体_GB2312" w:hAnsi="楷体_GB2312" w:eastAsia="楷体_GB2312" w:cs="楷体_GB2312"/>
          <w:b/>
          <w:color w:val="auto"/>
          <w:sz w:val="32"/>
          <w:szCs w:val="32"/>
          <w:highlight w:val="none"/>
        </w:rPr>
        <w:t>（一）机关运行经费支出情况</w:t>
      </w:r>
      <w:bookmarkEnd w:id="71"/>
      <w:bookmarkEnd w:id="72"/>
      <w:bookmarkEnd w:id="73"/>
      <w:bookmarkEnd w:id="74"/>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2025年度，壤塘县民政局机关运行经费支出16.05万元，比上年度增加2.64万元，增长19.69%。主要原因是公务用车运行维护费增加，车辆老化，维修频繁。</w:t>
      </w:r>
    </w:p>
    <w:p>
      <w:pPr>
        <w:spacing w:before="0" w:after="0" w:line="560" w:lineRule="exact"/>
        <w:ind w:firstLine="642" w:firstLineChars="200"/>
        <w:jc w:val="left"/>
        <w:outlineLvl w:val="1"/>
        <w:rPr>
          <w:rFonts w:hint="eastAsia" w:ascii="楷体_GB2312" w:hAnsi="楷体_GB2312" w:eastAsia="楷体_GB2312" w:cs="楷体_GB2312"/>
          <w:b/>
          <w:color w:val="auto"/>
          <w:sz w:val="32"/>
          <w:szCs w:val="32"/>
          <w:highlight w:val="none"/>
        </w:rPr>
      </w:pPr>
      <w:bookmarkStart w:id="75" w:name="_Toc12191"/>
      <w:bookmarkStart w:id="76" w:name="_Toc8004"/>
      <w:bookmarkStart w:id="77" w:name="_Toc15377223"/>
      <w:bookmarkStart w:id="78" w:name="_Toc1572"/>
      <w:r>
        <w:rPr>
          <w:rFonts w:hint="eastAsia" w:ascii="楷体_GB2312" w:hAnsi="楷体_GB2312" w:eastAsia="楷体_GB2312" w:cs="楷体_GB2312"/>
          <w:b/>
          <w:color w:val="auto"/>
          <w:sz w:val="32"/>
          <w:szCs w:val="32"/>
          <w:highlight w:val="none"/>
        </w:rPr>
        <w:t>（二）政府采购支出情况</w:t>
      </w:r>
      <w:bookmarkEnd w:id="75"/>
      <w:bookmarkEnd w:id="76"/>
      <w:bookmarkEnd w:id="77"/>
      <w:bookmarkEnd w:id="78"/>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2025年度，壤塘县民政局政府采购支出总额234.2万元，其中：政府采购货物支出234.2万元、政府采购工程支出0万元、政府采购服务支出0万元。主要用于敬老院蔬菜肉类采购、困难老年人家庭适老化改造等。授予中小企业合同金额0万元，占政府采购支出总额的0%，其中：授予小微企业合同金额0万元，占政府采购支出总额的0%。</w:t>
      </w:r>
    </w:p>
    <w:p>
      <w:pPr>
        <w:spacing w:before="0" w:after="0" w:line="560" w:lineRule="exact"/>
        <w:ind w:firstLine="642" w:firstLineChars="200"/>
        <w:jc w:val="left"/>
        <w:outlineLvl w:val="1"/>
        <w:rPr>
          <w:rFonts w:hint="eastAsia" w:ascii="楷体_GB2312" w:hAnsi="楷体_GB2312" w:eastAsia="楷体_GB2312" w:cs="楷体_GB2312"/>
          <w:b/>
          <w:color w:val="auto"/>
          <w:sz w:val="32"/>
          <w:szCs w:val="32"/>
          <w:highlight w:val="none"/>
        </w:rPr>
      </w:pPr>
      <w:bookmarkStart w:id="79" w:name="_Toc20413"/>
      <w:bookmarkStart w:id="80" w:name="_Toc27364"/>
      <w:bookmarkStart w:id="81" w:name="_Toc32176"/>
      <w:bookmarkStart w:id="82" w:name="_Toc15377224"/>
      <w:r>
        <w:rPr>
          <w:rFonts w:hint="eastAsia" w:ascii="楷体_GB2312" w:hAnsi="楷体_GB2312" w:eastAsia="楷体_GB2312" w:cs="楷体_GB2312"/>
          <w:b/>
          <w:color w:val="auto"/>
          <w:sz w:val="32"/>
          <w:szCs w:val="32"/>
          <w:highlight w:val="none"/>
        </w:rPr>
        <w:t>（三）国有资产占有使用情况</w:t>
      </w:r>
      <w:bookmarkEnd w:id="79"/>
      <w:bookmarkEnd w:id="80"/>
      <w:bookmarkEnd w:id="81"/>
      <w:bookmarkEnd w:id="82"/>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截至</w:t>
      </w:r>
      <w:r>
        <w:rPr>
          <w:rFonts w:hint="eastAsia" w:ascii="Times New Roman" w:hAnsi="Times New Roman" w:eastAsia="仿宋_GB2312" w:cs="Times New Roman"/>
          <w:color w:val="auto"/>
          <w:kern w:val="2"/>
          <w:sz w:val="32"/>
          <w:szCs w:val="32"/>
          <w:highlight w:val="none"/>
          <w:lang w:val="en-US" w:eastAsia="zh-CN" w:bidi="ar-SA"/>
        </w:rPr>
        <w:t>2025年12月31日，壤塘县民政局共有车辆1辆，其中：副部（省）级及以上领导用车0辆、主要负责人用车0辆、机要通信用车0辆、应急保障用车0辆、执法执勤用车0辆、特种专业技术用车0辆、离退休干部服务用车0辆、其他用车1辆，其他用车主要是用于单位日常业务开展。单价100万元（含）以上设备（不含车辆）0台（套）。</w:t>
      </w:r>
    </w:p>
    <w:p>
      <w:pPr>
        <w:spacing w:before="0" w:after="0" w:line="560" w:lineRule="exact"/>
        <w:ind w:firstLine="642" w:firstLineChars="200"/>
        <w:jc w:val="left"/>
        <w:outlineLvl w:val="1"/>
        <w:rPr>
          <w:rFonts w:hint="eastAsia" w:ascii="楷体_GB2312" w:hAnsi="楷体_GB2312" w:eastAsia="楷体_GB2312" w:cs="楷体_GB2312"/>
          <w:b/>
          <w:color w:val="auto"/>
          <w:sz w:val="32"/>
          <w:szCs w:val="32"/>
          <w:highlight w:val="none"/>
        </w:rPr>
      </w:pPr>
      <w:bookmarkStart w:id="83" w:name="_Toc29921"/>
      <w:bookmarkStart w:id="84" w:name="_Toc8260"/>
      <w:bookmarkStart w:id="85" w:name="_Toc20745"/>
      <w:r>
        <w:rPr>
          <w:rFonts w:hint="eastAsia" w:ascii="楷体_GB2312" w:hAnsi="楷体_GB2312" w:eastAsia="楷体_GB2312" w:cs="楷体_GB2312"/>
          <w:b/>
          <w:color w:val="auto"/>
          <w:sz w:val="32"/>
          <w:szCs w:val="32"/>
          <w:highlight w:val="none"/>
        </w:rPr>
        <w:t>（四）预算绩效管理情况</w:t>
      </w:r>
      <w:bookmarkEnd w:id="83"/>
      <w:bookmarkEnd w:id="84"/>
      <w:bookmarkEnd w:id="85"/>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bookmarkStart w:id="86" w:name="_Toc15377225"/>
      <w:bookmarkStart w:id="87" w:name="_Toc15396613"/>
      <w:r>
        <w:rPr>
          <w:rFonts w:hint="eastAsia" w:ascii="Times New Roman" w:hAnsi="Times New Roman" w:eastAsia="仿宋_GB2312" w:cs="Times New Roman"/>
          <w:color w:val="auto"/>
          <w:kern w:val="2"/>
          <w:sz w:val="32"/>
          <w:szCs w:val="32"/>
          <w:highlight w:val="none"/>
          <w:lang w:val="en-US" w:eastAsia="zh-CN" w:bidi="ar-SA"/>
        </w:rPr>
        <w:t>根据预算绩效管理要求，本部门在2025年度预算编制阶段，组织对困难群众救助（即：儿童福利、</w:t>
      </w:r>
      <w:r>
        <w:rPr>
          <w:rFonts w:hint="eastAsia" w:ascii="Times New Roman" w:hAnsi="Times New Roman" w:eastAsia="仿宋_GB2312" w:cs="Times New Roman"/>
          <w:color w:val="auto"/>
          <w:kern w:val="2"/>
          <w:sz w:val="32"/>
          <w:szCs w:val="32"/>
          <w:highlight w:val="none"/>
          <w:lang w:val="zh-CN" w:eastAsia="zh-CN" w:bidi="ar-SA"/>
        </w:rPr>
        <w:t>特困人员救助、临时救助、</w:t>
      </w:r>
      <w:r>
        <w:rPr>
          <w:rFonts w:hint="eastAsia" w:ascii="Times New Roman" w:hAnsi="Times New Roman" w:eastAsia="仿宋_GB2312" w:cs="Times New Roman"/>
          <w:color w:val="auto"/>
          <w:kern w:val="2"/>
          <w:sz w:val="32"/>
          <w:szCs w:val="32"/>
          <w:highlight w:val="none"/>
          <w:lang w:val="en-US" w:eastAsia="zh-CN" w:bidi="ar-SA"/>
        </w:rPr>
        <w:t>城乡低保）、高龄津贴（包含80至89岁老人、90至99岁老人、100岁老人）、重度残疾人护理补贴、困难残疾人生活补助、特困人员供养资金开展了预算事前绩效评估，对10个项目编制了绩效目标，预算执行过程中，选取困难残疾人生活补贴、重度残疾人护理补贴、困难群众救助（即：儿童福利、</w:t>
      </w:r>
      <w:r>
        <w:rPr>
          <w:rFonts w:hint="eastAsia" w:ascii="Times New Roman" w:hAnsi="Times New Roman" w:eastAsia="仿宋_GB2312" w:cs="Times New Roman"/>
          <w:color w:val="auto"/>
          <w:kern w:val="2"/>
          <w:sz w:val="32"/>
          <w:szCs w:val="32"/>
          <w:highlight w:val="none"/>
          <w:lang w:val="zh-CN" w:eastAsia="zh-CN" w:bidi="ar-SA"/>
        </w:rPr>
        <w:t>特困人员救助、临时救助）</w:t>
      </w:r>
      <w:r>
        <w:rPr>
          <w:rFonts w:hint="eastAsia" w:ascii="Times New Roman" w:hAnsi="Times New Roman" w:eastAsia="仿宋_GB2312" w:cs="Times New Roman"/>
          <w:color w:val="auto"/>
          <w:kern w:val="2"/>
          <w:sz w:val="32"/>
          <w:szCs w:val="32"/>
          <w:highlight w:val="none"/>
          <w:lang w:val="en-US" w:eastAsia="zh-CN" w:bidi="ar-SA"/>
        </w:rPr>
        <w:t>、高龄津贴等5个项目开展绩效监控，年终执行完毕后，对4个项目开展了绩效目标完成情况自评。</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本部门按要求对2025年部门整体支出开展绩效自评，从评价情况来看一是提高了资金的使用效率；二是规范了财务管理；三是项目申报条件合规，项目实施进度明确；四是受益人员政策知晓率提高；五是确保了年度绩效目标如期实现；六是</w:t>
      </w:r>
      <w:r>
        <w:rPr>
          <w:rFonts w:hint="eastAsia" w:eastAsia="仿宋_GB2312" w:cs="Times New Roman"/>
          <w:color w:val="auto"/>
          <w:kern w:val="2"/>
          <w:sz w:val="32"/>
          <w:szCs w:val="32"/>
          <w:highlight w:val="none"/>
          <w:lang w:val="en-US" w:eastAsia="zh-CN" w:bidi="ar-SA"/>
        </w:rPr>
        <w:t>提高党的长期执政能力</w:t>
      </w:r>
      <w:r>
        <w:rPr>
          <w:rFonts w:hint="eastAsia" w:ascii="Times New Roman" w:hAnsi="Times New Roman" w:eastAsia="仿宋_GB2312" w:cs="Times New Roman"/>
          <w:color w:val="auto"/>
          <w:kern w:val="2"/>
          <w:sz w:val="32"/>
          <w:szCs w:val="32"/>
          <w:highlight w:val="none"/>
          <w:lang w:val="en-US" w:eastAsia="zh-CN" w:bidi="ar-SA"/>
        </w:rPr>
        <w:t>和巩固党的执政基础，促进经济发展和社会进步，实现物质文明、政治文明和精神文明协调发展。本部门还自行组织了3个项目绩效评价，从评价情况来看规范了财务管理，提高了资金的使用效率，项目实施合格，资金拨付按进度进行，受益人员满意度和政策知晓率提高，强化了预算执行全过程的管理，提供详实准确的预算执行数据，能较为准确预测预算收支的发展趋势提供了有力的支撑。</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outlineLvl w:val="2"/>
        <w:rPr>
          <w:rFonts w:hint="eastAsia" w:ascii="Times New Roman" w:hAnsi="Times New Roman" w:eastAsia="仿宋_GB2312" w:cs="Times New Roman"/>
          <w:color w:val="auto"/>
          <w:kern w:val="2"/>
          <w:sz w:val="32"/>
          <w:szCs w:val="32"/>
          <w:highlight w:val="none"/>
          <w:lang w:val="en-US" w:eastAsia="zh-CN" w:bidi="ar-SA"/>
        </w:rPr>
      </w:pPr>
      <w:bookmarkStart w:id="88" w:name="_Toc15522"/>
      <w:r>
        <w:rPr>
          <w:rFonts w:hint="eastAsia" w:ascii="Times New Roman" w:hAnsi="Times New Roman" w:eastAsia="仿宋_GB2312" w:cs="Times New Roman"/>
          <w:color w:val="auto"/>
          <w:kern w:val="2"/>
          <w:sz w:val="32"/>
          <w:szCs w:val="32"/>
          <w:highlight w:val="none"/>
          <w:lang w:val="en-US" w:eastAsia="zh-CN" w:bidi="ar-SA"/>
        </w:rPr>
        <w:t>1</w:t>
      </w:r>
      <w:r>
        <w:rPr>
          <w:rFonts w:hint="eastAsia"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概述项目绩效目标完成情况。</w:t>
      </w:r>
      <w:bookmarkEnd w:id="88"/>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zh-CN" w:eastAsia="zh-CN" w:bidi="ar-SA"/>
        </w:rPr>
        <w:t>困难群众救助项目（即：</w:t>
      </w:r>
      <w:r>
        <w:rPr>
          <w:rFonts w:hint="default" w:ascii="Times New Roman" w:hAnsi="Times New Roman" w:eastAsia="仿宋_GB2312" w:cs="Times New Roman"/>
          <w:color w:val="auto"/>
          <w:kern w:val="2"/>
          <w:sz w:val="32"/>
          <w:szCs w:val="32"/>
          <w:highlight w:val="none"/>
          <w:lang w:val="en-US" w:eastAsia="zh-CN" w:bidi="ar-SA"/>
        </w:rPr>
        <w:t>城乡低保、</w:t>
      </w:r>
      <w:r>
        <w:rPr>
          <w:rFonts w:hint="default" w:ascii="Times New Roman" w:hAnsi="Times New Roman" w:eastAsia="仿宋_GB2312" w:cs="Times New Roman"/>
          <w:color w:val="auto"/>
          <w:kern w:val="2"/>
          <w:sz w:val="32"/>
          <w:szCs w:val="32"/>
          <w:highlight w:val="none"/>
          <w:lang w:val="zh-CN" w:eastAsia="zh-CN" w:bidi="ar-SA"/>
        </w:rPr>
        <w:t>特困人员救助、临时救助、儿童福利）绩效目标完成情况综述。</w:t>
      </w:r>
      <w:r>
        <w:rPr>
          <w:rFonts w:hint="eastAsia" w:ascii="Times New Roman" w:hAnsi="Times New Roman" w:eastAsia="仿宋_GB2312" w:cs="Times New Roman"/>
          <w:color w:val="auto"/>
          <w:kern w:val="2"/>
          <w:sz w:val="32"/>
          <w:szCs w:val="32"/>
          <w:highlight w:val="none"/>
          <w:lang w:val="zh-CN" w:eastAsia="zh-CN" w:bidi="ar-SA"/>
        </w:rPr>
        <w:t>202</w:t>
      </w:r>
      <w:r>
        <w:rPr>
          <w:rFonts w:hint="eastAsia" w:ascii="Times New Roman" w:hAnsi="Times New Roman" w:eastAsia="仿宋_GB2312" w:cs="Times New Roman"/>
          <w:color w:val="auto"/>
          <w:kern w:val="2"/>
          <w:sz w:val="32"/>
          <w:szCs w:val="32"/>
          <w:highlight w:val="none"/>
          <w:lang w:val="en-US" w:eastAsia="zh-CN" w:bidi="ar-SA"/>
        </w:rPr>
        <w:t>5</w:t>
      </w:r>
      <w:r>
        <w:rPr>
          <w:rFonts w:hint="eastAsia" w:ascii="Times New Roman" w:hAnsi="Times New Roman" w:eastAsia="仿宋_GB2312" w:cs="Times New Roman"/>
          <w:color w:val="auto"/>
          <w:kern w:val="2"/>
          <w:sz w:val="32"/>
          <w:szCs w:val="32"/>
          <w:highlight w:val="none"/>
          <w:lang w:val="zh-CN" w:eastAsia="zh-CN" w:bidi="ar-SA"/>
        </w:rPr>
        <w:t>年上级配套</w:t>
      </w:r>
      <w:r>
        <w:rPr>
          <w:rFonts w:hint="eastAsia" w:ascii="Times New Roman" w:hAnsi="Times New Roman" w:eastAsia="仿宋_GB2312" w:cs="Times New Roman"/>
          <w:color w:val="auto"/>
          <w:kern w:val="2"/>
          <w:sz w:val="32"/>
          <w:szCs w:val="32"/>
          <w:highlight w:val="none"/>
          <w:lang w:val="en-US" w:eastAsia="zh-CN" w:bidi="ar-SA"/>
        </w:rPr>
        <w:t>城乡</w:t>
      </w:r>
      <w:r>
        <w:rPr>
          <w:rFonts w:hint="eastAsia" w:ascii="Times New Roman" w:hAnsi="Times New Roman" w:eastAsia="仿宋_GB2312" w:cs="Times New Roman"/>
          <w:color w:val="auto"/>
          <w:kern w:val="2"/>
          <w:sz w:val="32"/>
          <w:szCs w:val="32"/>
          <w:highlight w:val="none"/>
          <w:lang w:val="zh-CN" w:eastAsia="zh-CN" w:bidi="ar-SA"/>
        </w:rPr>
        <w:t>最低生活保障金</w:t>
      </w:r>
      <w:r>
        <w:rPr>
          <w:rFonts w:hint="eastAsia" w:ascii="Times New Roman" w:hAnsi="Times New Roman" w:eastAsia="仿宋_GB2312" w:cs="Times New Roman"/>
          <w:color w:val="auto"/>
          <w:kern w:val="2"/>
          <w:sz w:val="32"/>
          <w:szCs w:val="32"/>
          <w:highlight w:val="none"/>
          <w:lang w:val="en-US" w:eastAsia="zh-CN" w:bidi="ar-SA"/>
        </w:rPr>
        <w:t>5523.67</w:t>
      </w:r>
      <w:r>
        <w:rPr>
          <w:rFonts w:hint="eastAsia" w:ascii="Times New Roman" w:hAnsi="Times New Roman" w:eastAsia="仿宋_GB2312" w:cs="Times New Roman"/>
          <w:color w:val="auto"/>
          <w:kern w:val="2"/>
          <w:sz w:val="32"/>
          <w:szCs w:val="32"/>
          <w:highlight w:val="none"/>
          <w:lang w:val="zh-CN" w:eastAsia="zh-CN" w:bidi="ar-SA"/>
        </w:rPr>
        <w:t>万元</w:t>
      </w:r>
      <w:r>
        <w:rPr>
          <w:rFonts w:hint="eastAsia" w:ascii="Times New Roman" w:hAnsi="Times New Roman" w:eastAsia="仿宋_GB2312" w:cs="Times New Roman"/>
          <w:color w:val="auto"/>
          <w:kern w:val="2"/>
          <w:sz w:val="32"/>
          <w:szCs w:val="32"/>
          <w:highlight w:val="none"/>
          <w:lang w:val="en-US" w:eastAsia="zh-CN" w:bidi="ar-SA"/>
        </w:rPr>
        <w:t>(阿州财社〔2025〕18号4707万元、阿州财社〔2025〕48号136万元、阿州财社〔2025〕75号479.85万元、</w:t>
      </w:r>
      <w:r>
        <w:rPr>
          <w:rFonts w:hint="default" w:ascii="Times New Roman" w:hAnsi="Times New Roman" w:eastAsia="仿宋_GB2312" w:cs="Times New Roman"/>
          <w:color w:val="auto"/>
          <w:kern w:val="2"/>
          <w:sz w:val="32"/>
          <w:szCs w:val="32"/>
          <w:highlight w:val="none"/>
          <w:lang w:val="en-US" w:eastAsia="zh-CN" w:bidi="ar-SA"/>
        </w:rPr>
        <w:t>阿州财社</w:t>
      </w:r>
      <w:r>
        <w:rPr>
          <w:rFonts w:hint="eastAsia" w:ascii="Times New Roman" w:hAnsi="Times New Roman" w:eastAsia="仿宋_GB2312" w:cs="Times New Roman"/>
          <w:color w:val="auto"/>
          <w:kern w:val="2"/>
          <w:sz w:val="32"/>
          <w:szCs w:val="32"/>
          <w:highlight w:val="none"/>
          <w:lang w:val="en-US" w:eastAsia="zh-CN" w:bidi="ar-SA"/>
        </w:rPr>
        <w:t>〔2025〕</w:t>
      </w:r>
      <w:r>
        <w:rPr>
          <w:rFonts w:hint="default" w:ascii="Times New Roman" w:hAnsi="Times New Roman" w:eastAsia="仿宋_GB2312" w:cs="Times New Roman"/>
          <w:color w:val="auto"/>
          <w:kern w:val="2"/>
          <w:sz w:val="32"/>
          <w:szCs w:val="32"/>
          <w:highlight w:val="none"/>
          <w:lang w:val="en-US" w:eastAsia="zh-CN" w:bidi="ar-SA"/>
        </w:rPr>
        <w:t>123号200.82万元</w:t>
      </w:r>
      <w:r>
        <w:rPr>
          <w:rFonts w:hint="eastAsia" w:ascii="Times New Roman" w:hAnsi="Times New Roman" w:eastAsia="仿宋_GB2312" w:cs="Times New Roman"/>
          <w:color w:val="auto"/>
          <w:kern w:val="2"/>
          <w:sz w:val="32"/>
          <w:szCs w:val="32"/>
          <w:highlight w:val="none"/>
          <w:lang w:val="en-US" w:eastAsia="zh-CN" w:bidi="ar-SA"/>
        </w:rPr>
        <w:t>）、县级配套</w:t>
      </w:r>
      <w:r>
        <w:rPr>
          <w:rFonts w:hint="eastAsia" w:ascii="Times New Roman" w:hAnsi="Times New Roman" w:eastAsia="仿宋_GB2312" w:cs="Times New Roman"/>
          <w:color w:val="auto"/>
          <w:kern w:val="2"/>
          <w:sz w:val="32"/>
          <w:szCs w:val="32"/>
          <w:highlight w:val="none"/>
          <w:lang w:val="zh-CN" w:eastAsia="zh-CN" w:bidi="ar-SA"/>
        </w:rPr>
        <w:t>困难群众救助资金</w:t>
      </w:r>
      <w:r>
        <w:rPr>
          <w:rFonts w:hint="eastAsia" w:ascii="Times New Roman" w:hAnsi="Times New Roman" w:eastAsia="仿宋_GB2312" w:cs="Times New Roman"/>
          <w:color w:val="auto"/>
          <w:kern w:val="2"/>
          <w:sz w:val="32"/>
          <w:szCs w:val="32"/>
          <w:highlight w:val="none"/>
          <w:lang w:val="en-US" w:eastAsia="zh-CN" w:bidi="ar-SA"/>
        </w:rPr>
        <w:t>1601.835929</w:t>
      </w:r>
      <w:r>
        <w:rPr>
          <w:rFonts w:hint="eastAsia" w:ascii="Times New Roman" w:hAnsi="Times New Roman" w:eastAsia="仿宋_GB2312" w:cs="Times New Roman"/>
          <w:color w:val="auto"/>
          <w:kern w:val="2"/>
          <w:sz w:val="32"/>
          <w:szCs w:val="32"/>
          <w:highlight w:val="none"/>
          <w:lang w:val="zh-CN" w:eastAsia="zh-CN" w:bidi="ar-SA"/>
        </w:rPr>
        <w:t>万元用于我县困难群众救助资金发放。其中</w:t>
      </w:r>
      <w:r>
        <w:rPr>
          <w:rFonts w:hint="eastAsia" w:ascii="Times New Roman" w:hAnsi="Times New Roman" w:eastAsia="仿宋_GB2312" w:cs="Times New Roman"/>
          <w:color w:val="auto"/>
          <w:kern w:val="2"/>
          <w:sz w:val="32"/>
          <w:szCs w:val="32"/>
          <w:highlight w:val="none"/>
          <w:lang w:val="en-US" w:eastAsia="zh-CN" w:bidi="ar-SA"/>
        </w:rPr>
        <w:t>5777.5123万元用于我县2025年城乡低保群众救助资金发放（</w:t>
      </w:r>
      <w:r>
        <w:rPr>
          <w:rFonts w:hint="eastAsia" w:ascii="Times New Roman" w:hAnsi="Times New Roman" w:eastAsia="仿宋_GB2312" w:cs="Times New Roman"/>
          <w:color w:val="auto"/>
          <w:kern w:val="2"/>
          <w:sz w:val="32"/>
          <w:szCs w:val="32"/>
          <w:highlight w:val="none"/>
          <w:lang w:val="zh-CN" w:eastAsia="zh-CN" w:bidi="ar-SA"/>
        </w:rPr>
        <w:t>中央资金</w:t>
      </w:r>
      <w:r>
        <w:rPr>
          <w:rFonts w:hint="eastAsia" w:ascii="Times New Roman" w:hAnsi="Times New Roman" w:eastAsia="仿宋_GB2312" w:cs="Times New Roman"/>
          <w:color w:val="auto"/>
          <w:kern w:val="2"/>
          <w:sz w:val="32"/>
          <w:szCs w:val="32"/>
          <w:highlight w:val="none"/>
          <w:lang w:val="en-US" w:eastAsia="zh-CN" w:bidi="ar-SA"/>
        </w:rPr>
        <w:t>3974.1813万元、省级资金461.740486万元、州级</w:t>
      </w:r>
      <w:r>
        <w:rPr>
          <w:rFonts w:hint="eastAsia" w:ascii="Times New Roman" w:hAnsi="Times New Roman" w:eastAsia="仿宋_GB2312" w:cs="Times New Roman"/>
          <w:color w:val="auto"/>
          <w:kern w:val="2"/>
          <w:sz w:val="32"/>
          <w:szCs w:val="32"/>
          <w:highlight w:val="none"/>
          <w:lang w:val="zh-CN" w:eastAsia="zh-CN" w:bidi="ar-SA"/>
        </w:rPr>
        <w:t>资金</w:t>
      </w:r>
      <w:r>
        <w:rPr>
          <w:rFonts w:hint="eastAsia" w:ascii="Times New Roman" w:hAnsi="Times New Roman" w:eastAsia="仿宋_GB2312" w:cs="Times New Roman"/>
          <w:color w:val="auto"/>
          <w:kern w:val="2"/>
          <w:sz w:val="32"/>
          <w:szCs w:val="32"/>
          <w:highlight w:val="none"/>
          <w:lang w:val="en-US" w:eastAsia="zh-CN" w:bidi="ar-SA"/>
        </w:rPr>
        <w:t>103.44万元、县级</w:t>
      </w:r>
      <w:r>
        <w:rPr>
          <w:rFonts w:hint="eastAsia" w:ascii="Times New Roman" w:hAnsi="Times New Roman" w:eastAsia="仿宋_GB2312" w:cs="Times New Roman"/>
          <w:color w:val="auto"/>
          <w:kern w:val="2"/>
          <w:sz w:val="32"/>
          <w:szCs w:val="32"/>
          <w:highlight w:val="none"/>
          <w:lang w:val="zh-CN" w:eastAsia="zh-CN" w:bidi="ar-SA"/>
        </w:rPr>
        <w:t>资金</w:t>
      </w:r>
      <w:r>
        <w:rPr>
          <w:rFonts w:hint="eastAsia" w:ascii="Times New Roman" w:hAnsi="Times New Roman" w:eastAsia="仿宋_GB2312" w:cs="Times New Roman"/>
          <w:color w:val="auto"/>
          <w:kern w:val="2"/>
          <w:sz w:val="32"/>
          <w:szCs w:val="32"/>
          <w:highlight w:val="none"/>
          <w:lang w:val="en-US" w:eastAsia="zh-CN" w:bidi="ar-SA"/>
        </w:rPr>
        <w:t>1238.150514万元），</w:t>
      </w:r>
      <w:r>
        <w:rPr>
          <w:rFonts w:hint="eastAsia" w:eastAsia="仿宋_GB2312" w:cs="Times New Roman"/>
          <w:color w:val="auto"/>
          <w:kern w:val="2"/>
          <w:sz w:val="32"/>
          <w:szCs w:val="32"/>
          <w:highlight w:val="none"/>
          <w:lang w:val="en-US" w:eastAsia="zh-CN" w:bidi="ar-SA"/>
        </w:rPr>
        <w:t>截至</w:t>
      </w:r>
      <w:r>
        <w:rPr>
          <w:rFonts w:hint="eastAsia" w:ascii="Times New Roman" w:hAnsi="Times New Roman" w:eastAsia="仿宋_GB2312" w:cs="Times New Roman"/>
          <w:color w:val="auto"/>
          <w:kern w:val="2"/>
          <w:sz w:val="32"/>
          <w:szCs w:val="32"/>
          <w:highlight w:val="none"/>
          <w:lang w:val="en-US" w:eastAsia="zh-CN" w:bidi="ar-SA"/>
        </w:rPr>
        <w:t>2025年底已全部支付，资金执行率100%。</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zh-CN" w:eastAsia="zh-CN" w:bidi="ar-SA"/>
        </w:rPr>
        <w:t>其中</w:t>
      </w:r>
      <w:r>
        <w:rPr>
          <w:rFonts w:hint="eastAsia" w:ascii="Times New Roman" w:hAnsi="Times New Roman" w:eastAsia="仿宋_GB2312" w:cs="Times New Roman"/>
          <w:color w:val="auto"/>
          <w:kern w:val="2"/>
          <w:sz w:val="32"/>
          <w:szCs w:val="32"/>
          <w:highlight w:val="none"/>
          <w:lang w:val="en-US" w:eastAsia="zh-CN" w:bidi="ar-SA"/>
        </w:rPr>
        <w:t>1199.1275万元用于我县2025年城乡特困供养群众救助资金发放（</w:t>
      </w:r>
      <w:r>
        <w:rPr>
          <w:rFonts w:hint="eastAsia" w:ascii="Times New Roman" w:hAnsi="Times New Roman" w:eastAsia="仿宋_GB2312" w:cs="Times New Roman"/>
          <w:color w:val="auto"/>
          <w:kern w:val="2"/>
          <w:sz w:val="32"/>
          <w:szCs w:val="32"/>
          <w:highlight w:val="none"/>
          <w:lang w:val="zh-CN" w:eastAsia="zh-CN" w:bidi="ar-SA"/>
        </w:rPr>
        <w:t>中央资金</w:t>
      </w:r>
      <w:r>
        <w:rPr>
          <w:rFonts w:hint="eastAsia" w:ascii="Times New Roman" w:hAnsi="Times New Roman" w:eastAsia="仿宋_GB2312" w:cs="Times New Roman"/>
          <w:color w:val="auto"/>
          <w:kern w:val="2"/>
          <w:sz w:val="32"/>
          <w:szCs w:val="32"/>
          <w:highlight w:val="none"/>
          <w:lang w:val="en-US" w:eastAsia="zh-CN" w:bidi="ar-SA"/>
        </w:rPr>
        <w:t>223.978万元、省级资金643.079514万元、县级</w:t>
      </w:r>
      <w:r>
        <w:rPr>
          <w:rFonts w:hint="eastAsia" w:ascii="Times New Roman" w:hAnsi="Times New Roman" w:eastAsia="仿宋_GB2312" w:cs="Times New Roman"/>
          <w:color w:val="auto"/>
          <w:kern w:val="2"/>
          <w:sz w:val="32"/>
          <w:szCs w:val="32"/>
          <w:highlight w:val="none"/>
          <w:lang w:val="zh-CN" w:eastAsia="zh-CN" w:bidi="ar-SA"/>
        </w:rPr>
        <w:t>资金</w:t>
      </w:r>
      <w:r>
        <w:rPr>
          <w:rFonts w:hint="eastAsia" w:ascii="Times New Roman" w:hAnsi="Times New Roman" w:eastAsia="仿宋_GB2312" w:cs="Times New Roman"/>
          <w:color w:val="auto"/>
          <w:kern w:val="2"/>
          <w:sz w:val="32"/>
          <w:szCs w:val="32"/>
          <w:highlight w:val="none"/>
          <w:lang w:val="en-US" w:eastAsia="zh-CN" w:bidi="ar-SA"/>
        </w:rPr>
        <w:t>332.07万元），</w:t>
      </w:r>
      <w:r>
        <w:rPr>
          <w:rFonts w:hint="eastAsia" w:eastAsia="仿宋_GB2312" w:cs="Times New Roman"/>
          <w:color w:val="auto"/>
          <w:kern w:val="2"/>
          <w:sz w:val="32"/>
          <w:szCs w:val="32"/>
          <w:highlight w:val="none"/>
          <w:lang w:val="en-US" w:eastAsia="zh-CN" w:bidi="ar-SA"/>
        </w:rPr>
        <w:t>截至</w:t>
      </w:r>
      <w:r>
        <w:rPr>
          <w:rFonts w:hint="eastAsia" w:ascii="Times New Roman" w:hAnsi="Times New Roman" w:eastAsia="仿宋_GB2312" w:cs="Times New Roman"/>
          <w:color w:val="auto"/>
          <w:kern w:val="2"/>
          <w:sz w:val="32"/>
          <w:szCs w:val="32"/>
          <w:highlight w:val="none"/>
          <w:lang w:val="en-US" w:eastAsia="zh-CN" w:bidi="ar-SA"/>
        </w:rPr>
        <w:t>2025年底已全部支付，资金执行率100%。</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zh-CN" w:eastAsia="zh-CN" w:bidi="ar-SA"/>
        </w:rPr>
        <w:t>其中</w:t>
      </w:r>
      <w:r>
        <w:rPr>
          <w:rFonts w:hint="eastAsia" w:ascii="Times New Roman" w:hAnsi="Times New Roman" w:eastAsia="仿宋_GB2312" w:cs="Times New Roman"/>
          <w:color w:val="auto"/>
          <w:kern w:val="2"/>
          <w:sz w:val="32"/>
          <w:szCs w:val="32"/>
          <w:highlight w:val="none"/>
          <w:lang w:val="en-US" w:eastAsia="zh-CN" w:bidi="ar-SA"/>
        </w:rPr>
        <w:t>63.4188万元用于我县2025年临时救助群众救助资金发放（中央</w:t>
      </w:r>
      <w:r>
        <w:rPr>
          <w:rFonts w:hint="eastAsia" w:ascii="Times New Roman" w:hAnsi="Times New Roman" w:eastAsia="仿宋_GB2312" w:cs="Times New Roman"/>
          <w:color w:val="auto"/>
          <w:kern w:val="2"/>
          <w:sz w:val="32"/>
          <w:szCs w:val="32"/>
          <w:highlight w:val="none"/>
          <w:lang w:val="zh-CN" w:eastAsia="zh-CN" w:bidi="ar-SA"/>
        </w:rPr>
        <w:t>资金</w:t>
      </w:r>
      <w:r>
        <w:rPr>
          <w:rFonts w:hint="eastAsia" w:ascii="Times New Roman" w:hAnsi="Times New Roman" w:eastAsia="仿宋_GB2312" w:cs="Times New Roman"/>
          <w:color w:val="auto"/>
          <w:kern w:val="2"/>
          <w:sz w:val="32"/>
          <w:szCs w:val="32"/>
          <w:highlight w:val="none"/>
          <w:lang w:val="en-US" w:eastAsia="zh-CN" w:bidi="ar-SA"/>
        </w:rPr>
        <w:t>50万元、州级</w:t>
      </w:r>
      <w:r>
        <w:rPr>
          <w:rFonts w:hint="eastAsia" w:ascii="Times New Roman" w:hAnsi="Times New Roman" w:eastAsia="仿宋_GB2312" w:cs="Times New Roman"/>
          <w:color w:val="auto"/>
          <w:kern w:val="2"/>
          <w:sz w:val="32"/>
          <w:szCs w:val="32"/>
          <w:highlight w:val="none"/>
          <w:lang w:val="zh-CN" w:eastAsia="zh-CN" w:bidi="ar-SA"/>
        </w:rPr>
        <w:t>资金</w:t>
      </w:r>
      <w:r>
        <w:rPr>
          <w:rFonts w:hint="eastAsia" w:ascii="Times New Roman" w:hAnsi="Times New Roman" w:eastAsia="仿宋_GB2312" w:cs="Times New Roman"/>
          <w:color w:val="auto"/>
          <w:kern w:val="2"/>
          <w:sz w:val="32"/>
          <w:szCs w:val="32"/>
          <w:highlight w:val="none"/>
          <w:lang w:val="en-US" w:eastAsia="zh-CN" w:bidi="ar-SA"/>
        </w:rPr>
        <w:t>13.41万元、县级</w:t>
      </w:r>
      <w:r>
        <w:rPr>
          <w:rFonts w:hint="eastAsia" w:ascii="Times New Roman" w:hAnsi="Times New Roman" w:eastAsia="仿宋_GB2312" w:cs="Times New Roman"/>
          <w:color w:val="auto"/>
          <w:kern w:val="2"/>
          <w:sz w:val="32"/>
          <w:szCs w:val="32"/>
          <w:highlight w:val="none"/>
          <w:lang w:val="zh-CN" w:eastAsia="zh-CN" w:bidi="ar-SA"/>
        </w:rPr>
        <w:t>资金</w:t>
      </w:r>
      <w:r>
        <w:rPr>
          <w:rFonts w:hint="eastAsia" w:ascii="Times New Roman" w:hAnsi="Times New Roman" w:eastAsia="仿宋_GB2312" w:cs="Times New Roman"/>
          <w:color w:val="auto"/>
          <w:kern w:val="2"/>
          <w:sz w:val="32"/>
          <w:szCs w:val="32"/>
          <w:highlight w:val="none"/>
          <w:lang w:val="en-US" w:eastAsia="zh-CN" w:bidi="ar-SA"/>
        </w:rPr>
        <w:t>0.0088万元），</w:t>
      </w:r>
      <w:r>
        <w:rPr>
          <w:rFonts w:hint="eastAsia" w:eastAsia="仿宋_GB2312" w:cs="Times New Roman"/>
          <w:color w:val="auto"/>
          <w:kern w:val="2"/>
          <w:sz w:val="32"/>
          <w:szCs w:val="32"/>
          <w:highlight w:val="none"/>
          <w:lang w:val="en-US" w:eastAsia="zh-CN" w:bidi="ar-SA"/>
        </w:rPr>
        <w:t>截至</w:t>
      </w:r>
      <w:r>
        <w:rPr>
          <w:rFonts w:hint="eastAsia" w:ascii="Times New Roman" w:hAnsi="Times New Roman" w:eastAsia="仿宋_GB2312" w:cs="Times New Roman"/>
          <w:color w:val="auto"/>
          <w:kern w:val="2"/>
          <w:sz w:val="32"/>
          <w:szCs w:val="32"/>
          <w:highlight w:val="none"/>
          <w:lang w:val="en-US" w:eastAsia="zh-CN" w:bidi="ar-SA"/>
        </w:rPr>
        <w:t>2025年底已全部支付，资金执行率100%。</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其中</w:t>
      </w:r>
      <w:r>
        <w:rPr>
          <w:rFonts w:hint="eastAsia" w:ascii="Times New Roman" w:hAnsi="Times New Roman" w:eastAsia="仿宋_GB2312" w:cs="Times New Roman"/>
          <w:color w:val="auto"/>
          <w:kern w:val="2"/>
          <w:sz w:val="32"/>
          <w:szCs w:val="32"/>
          <w:highlight w:val="none"/>
          <w:lang w:val="en-US" w:eastAsia="zh-CN" w:bidi="ar-SA"/>
        </w:rPr>
        <w:t>0.0857万元用于我县2025年流浪乞讨群众救助资金发放（中央</w:t>
      </w:r>
      <w:r>
        <w:rPr>
          <w:rFonts w:hint="eastAsia" w:ascii="Times New Roman" w:hAnsi="Times New Roman" w:eastAsia="仿宋_GB2312" w:cs="Times New Roman"/>
          <w:color w:val="auto"/>
          <w:kern w:val="2"/>
          <w:sz w:val="32"/>
          <w:szCs w:val="32"/>
          <w:highlight w:val="none"/>
          <w:lang w:val="zh-CN" w:eastAsia="zh-CN" w:bidi="ar-SA"/>
        </w:rPr>
        <w:t>资金</w:t>
      </w:r>
      <w:r>
        <w:rPr>
          <w:rFonts w:hint="eastAsia" w:ascii="Times New Roman" w:hAnsi="Times New Roman" w:eastAsia="仿宋_GB2312" w:cs="Times New Roman"/>
          <w:color w:val="auto"/>
          <w:kern w:val="2"/>
          <w:sz w:val="32"/>
          <w:szCs w:val="32"/>
          <w:highlight w:val="none"/>
          <w:lang w:val="en-US" w:eastAsia="zh-CN" w:bidi="ar-SA"/>
        </w:rPr>
        <w:t>0.0857万元），</w:t>
      </w:r>
      <w:r>
        <w:rPr>
          <w:rFonts w:hint="eastAsia" w:eastAsia="仿宋_GB2312" w:cs="Times New Roman"/>
          <w:color w:val="auto"/>
          <w:kern w:val="2"/>
          <w:sz w:val="32"/>
          <w:szCs w:val="32"/>
          <w:highlight w:val="none"/>
          <w:lang w:val="en-US" w:eastAsia="zh-CN" w:bidi="ar-SA"/>
        </w:rPr>
        <w:t>截至</w:t>
      </w:r>
      <w:r>
        <w:rPr>
          <w:rFonts w:hint="eastAsia" w:ascii="Times New Roman" w:hAnsi="Times New Roman" w:eastAsia="仿宋_GB2312" w:cs="Times New Roman"/>
          <w:color w:val="auto"/>
          <w:kern w:val="2"/>
          <w:sz w:val="32"/>
          <w:szCs w:val="32"/>
          <w:highlight w:val="none"/>
          <w:lang w:val="en-US" w:eastAsia="zh-CN" w:bidi="ar-SA"/>
        </w:rPr>
        <w:t>2025年底已全部支付，资金执行率100%。</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困难群众</w:t>
      </w:r>
      <w:r>
        <w:rPr>
          <w:rFonts w:hint="eastAsia" w:ascii="Times New Roman" w:hAnsi="Times New Roman" w:eastAsia="仿宋_GB2312" w:cs="Times New Roman"/>
          <w:color w:val="auto"/>
          <w:kern w:val="2"/>
          <w:sz w:val="32"/>
          <w:szCs w:val="32"/>
          <w:highlight w:val="none"/>
          <w:lang w:val="en-US" w:eastAsia="zh-CN" w:bidi="ar-SA"/>
        </w:rPr>
        <w:t>救助资金的发放及时</w:t>
      </w:r>
      <w:r>
        <w:rPr>
          <w:rFonts w:hint="default" w:ascii="Times New Roman" w:hAnsi="Times New Roman" w:eastAsia="仿宋_GB2312" w:cs="Times New Roman"/>
          <w:color w:val="auto"/>
          <w:kern w:val="2"/>
          <w:sz w:val="32"/>
          <w:szCs w:val="32"/>
          <w:highlight w:val="none"/>
          <w:lang w:val="zh-CN" w:eastAsia="zh-CN" w:bidi="ar-SA"/>
        </w:rPr>
        <w:t>解决</w:t>
      </w:r>
      <w:r>
        <w:rPr>
          <w:rFonts w:hint="eastAsia" w:ascii="Times New Roman" w:hAnsi="Times New Roman" w:eastAsia="仿宋_GB2312" w:cs="Times New Roman"/>
          <w:color w:val="auto"/>
          <w:kern w:val="2"/>
          <w:sz w:val="32"/>
          <w:szCs w:val="32"/>
          <w:highlight w:val="none"/>
          <w:lang w:val="en-US" w:eastAsia="zh-CN" w:bidi="ar-SA"/>
        </w:rPr>
        <w:t>了</w:t>
      </w:r>
      <w:r>
        <w:rPr>
          <w:rFonts w:hint="default" w:ascii="Times New Roman" w:hAnsi="Times New Roman" w:eastAsia="仿宋_GB2312" w:cs="Times New Roman"/>
          <w:color w:val="auto"/>
          <w:kern w:val="2"/>
          <w:sz w:val="32"/>
          <w:szCs w:val="32"/>
          <w:highlight w:val="none"/>
          <w:lang w:val="zh-CN" w:eastAsia="zh-CN" w:bidi="ar-SA"/>
        </w:rPr>
        <w:t>临时救助金保障基本生活和保障了困难群众因突发性、临时性造成的生活困难，能有效、及时的给予救助，提高困难群众的生活水平，</w:t>
      </w:r>
      <w:r>
        <w:rPr>
          <w:rFonts w:hint="eastAsia" w:eastAsia="仿宋_GB2312" w:cs="Times New Roman"/>
          <w:color w:val="auto"/>
          <w:kern w:val="2"/>
          <w:sz w:val="32"/>
          <w:szCs w:val="32"/>
          <w:highlight w:val="none"/>
          <w:lang w:val="zh-CN" w:eastAsia="zh-CN" w:bidi="ar-SA"/>
        </w:rPr>
        <w:t>促进社会和谐稳定</w:t>
      </w:r>
      <w:r>
        <w:rPr>
          <w:rFonts w:hint="default" w:ascii="Times New Roman" w:hAnsi="Times New Roman" w:eastAsia="仿宋_GB2312" w:cs="Times New Roman"/>
          <w:color w:val="auto"/>
          <w:kern w:val="2"/>
          <w:sz w:val="32"/>
          <w:szCs w:val="32"/>
          <w:highlight w:val="none"/>
          <w:lang w:val="zh-CN" w:eastAsia="zh-CN" w:bidi="ar-SA"/>
        </w:rPr>
        <w:t>，取得了较好的社会效益和经济效益。</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2025年完成困难残疾人生活补贴和重度残疾人护理补贴资金发放工作，为全县1320名困难残疾人按每人每月110元标准发放生活补贴176.19万元，完成率为100%。通过项目实施，保障我县困难残疾人补贴制度顺利实施，确保了困难残疾人每月按时足额享受到国家政策，提高了他们的生活质量水平，也充分体现了党和政府对弱势群体的关心，</w:t>
      </w:r>
      <w:r>
        <w:rPr>
          <w:rFonts w:hint="eastAsia" w:eastAsia="仿宋_GB2312" w:cs="Times New Roman"/>
          <w:color w:val="auto"/>
          <w:kern w:val="2"/>
          <w:sz w:val="32"/>
          <w:szCs w:val="32"/>
          <w:highlight w:val="none"/>
          <w:lang w:val="zh-CN" w:eastAsia="zh-CN" w:bidi="ar-SA"/>
        </w:rPr>
        <w:t>促进社会和谐稳定</w:t>
      </w:r>
      <w:r>
        <w:rPr>
          <w:rFonts w:hint="default" w:ascii="Times New Roman" w:hAnsi="Times New Roman" w:eastAsia="仿宋_GB2312" w:cs="Times New Roman"/>
          <w:color w:val="auto"/>
          <w:kern w:val="2"/>
          <w:sz w:val="32"/>
          <w:szCs w:val="32"/>
          <w:highlight w:val="none"/>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color w:val="auto"/>
          <w:kern w:val="2"/>
          <w:sz w:val="32"/>
          <w:szCs w:val="32"/>
          <w:highlight w:val="none"/>
          <w:lang w:val="zh-CN" w:eastAsia="zh-CN" w:bidi="ar-SA"/>
        </w:rPr>
        <w:t>025年完成重度残疾人护理补贴资金发放工作，为全县1110名重度残疾人按一级每人每月130元、二级每人每月100元、三四级精神和智力残疾每人每月60元发放护理补贴136.595万元。完成率为100%。通过项目实施，保障我县困难残疾人补贴制度顺利实施，确保重度残疾人每月按时足额享受到国家政策，提高了他们的生活质量水平，也充分体现了党和政府对弱势群体的关心，</w:t>
      </w:r>
      <w:r>
        <w:rPr>
          <w:rFonts w:hint="eastAsia" w:eastAsia="仿宋_GB2312" w:cs="Times New Roman"/>
          <w:color w:val="auto"/>
          <w:kern w:val="2"/>
          <w:sz w:val="32"/>
          <w:szCs w:val="32"/>
          <w:highlight w:val="none"/>
          <w:lang w:val="zh-CN" w:eastAsia="zh-CN" w:bidi="ar-SA"/>
        </w:rPr>
        <w:t>促进社会和谐稳定</w:t>
      </w:r>
      <w:r>
        <w:rPr>
          <w:rFonts w:hint="default" w:ascii="Times New Roman" w:hAnsi="Times New Roman" w:eastAsia="仿宋_GB2312" w:cs="Times New Roman"/>
          <w:color w:val="auto"/>
          <w:kern w:val="2"/>
          <w:sz w:val="32"/>
          <w:szCs w:val="32"/>
          <w:highlight w:val="none"/>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zh-CN" w:eastAsia="zh-CN" w:bidi="ar-SA"/>
        </w:rPr>
        <w:t>高龄津贴项目绩效目标完成情况综述。2025年12月底实际发放人数853人，完成率100%；下达资金105.8万元、发放金额88.378万元，资金结余17.422万元，已全额退回财政。确保了</w:t>
      </w:r>
      <w:r>
        <w:rPr>
          <w:rFonts w:hint="eastAsia" w:ascii="Times New Roman" w:hAnsi="Times New Roman" w:eastAsia="仿宋_GB2312" w:cs="Times New Roman"/>
          <w:color w:val="auto"/>
          <w:kern w:val="2"/>
          <w:sz w:val="32"/>
          <w:szCs w:val="32"/>
          <w:highlight w:val="none"/>
          <w:lang w:val="en-US" w:eastAsia="zh-CN" w:bidi="ar-SA"/>
        </w:rPr>
        <w:t>853</w:t>
      </w:r>
      <w:r>
        <w:rPr>
          <w:rFonts w:hint="default" w:ascii="Times New Roman" w:hAnsi="Times New Roman" w:eastAsia="仿宋_GB2312" w:cs="Times New Roman"/>
          <w:color w:val="auto"/>
          <w:kern w:val="2"/>
          <w:sz w:val="32"/>
          <w:szCs w:val="32"/>
          <w:highlight w:val="none"/>
          <w:lang w:val="zh-CN" w:eastAsia="zh-CN" w:bidi="ar-SA"/>
        </w:rPr>
        <w:t>名高龄老人每月按时足额享受到国家政策</w:t>
      </w:r>
      <w:r>
        <w:rPr>
          <w:rFonts w:hint="eastAsia" w:ascii="Times New Roman" w:hAnsi="Times New Roman" w:eastAsia="仿宋_GB2312" w:cs="Times New Roman"/>
          <w:color w:val="auto"/>
          <w:kern w:val="2"/>
          <w:sz w:val="32"/>
          <w:szCs w:val="32"/>
          <w:highlight w:val="none"/>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left"/>
        <w:textAlignment w:val="auto"/>
        <w:outlineLvl w:val="2"/>
        <w:rPr>
          <w:rFonts w:hint="eastAsia" w:ascii="Times New Roman" w:hAnsi="Times New Roman" w:eastAsia="仿宋_GB2312" w:cs="Times New Roman"/>
          <w:color w:val="auto"/>
          <w:kern w:val="2"/>
          <w:sz w:val="32"/>
          <w:szCs w:val="32"/>
          <w:highlight w:val="none"/>
          <w:lang w:val="en-US" w:eastAsia="zh-CN" w:bidi="ar-SA"/>
        </w:rPr>
      </w:pPr>
      <w:bookmarkStart w:id="89" w:name="_Toc7150"/>
      <w:r>
        <w:rPr>
          <w:rFonts w:hint="eastAsia" w:ascii="Times New Roman" w:hAnsi="Times New Roman" w:eastAsia="仿宋_GB2312" w:cs="Times New Roman"/>
          <w:color w:val="auto"/>
          <w:kern w:val="2"/>
          <w:sz w:val="32"/>
          <w:szCs w:val="32"/>
          <w:highlight w:val="none"/>
          <w:lang w:val="en-US" w:eastAsia="zh-CN" w:bidi="ar-SA"/>
        </w:rPr>
        <w:t>2</w:t>
      </w:r>
      <w:r>
        <w:rPr>
          <w:rFonts w:hint="eastAsia"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概述本单位整体支出绩效目标实现情况。</w:t>
      </w:r>
      <w:bookmarkEnd w:id="89"/>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en-US" w:eastAsia="zh-CN" w:bidi="ar-SA"/>
        </w:rPr>
        <w:t>202</w:t>
      </w:r>
      <w:r>
        <w:rPr>
          <w:rFonts w:hint="eastAsia" w:ascii="Times New Roman" w:hAnsi="Times New Roman"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zh-CN" w:eastAsia="zh-CN" w:bidi="ar-SA"/>
        </w:rPr>
        <w:t>年部门预算目标填报均按要求编制专项资金绩效目标，填报内容规范，专项内项目、专项基金设定的绩效目标与部门职能职责一致，与绩效目标匹配，专项类项目、专项资金根据资金使用用途设定了相应的质量指标、成本指标、效益指标等分值为</w:t>
      </w:r>
      <w:r>
        <w:rPr>
          <w:rFonts w:hint="default" w:ascii="Times New Roman" w:hAnsi="Times New Roman" w:eastAsia="仿宋_GB2312" w:cs="Times New Roman"/>
          <w:color w:val="auto"/>
          <w:kern w:val="2"/>
          <w:sz w:val="32"/>
          <w:szCs w:val="32"/>
          <w:highlight w:val="none"/>
          <w:lang w:val="en-US" w:eastAsia="zh-CN" w:bidi="ar-SA"/>
        </w:rPr>
        <w:t>10</w:t>
      </w:r>
      <w:r>
        <w:rPr>
          <w:rFonts w:hint="default" w:ascii="Times New Roman" w:hAnsi="Times New Roman" w:eastAsia="仿宋_GB2312" w:cs="Times New Roman"/>
          <w:color w:val="auto"/>
          <w:kern w:val="2"/>
          <w:sz w:val="32"/>
          <w:szCs w:val="32"/>
          <w:highlight w:val="none"/>
          <w:lang w:val="zh-CN" w:eastAsia="zh-CN" w:bidi="ar-SA"/>
        </w:rPr>
        <w:t>分，单位自评得分</w:t>
      </w:r>
      <w:r>
        <w:rPr>
          <w:rFonts w:hint="default" w:ascii="Times New Roman" w:hAnsi="Times New Roman" w:eastAsia="仿宋_GB2312" w:cs="Times New Roman"/>
          <w:color w:val="auto"/>
          <w:kern w:val="2"/>
          <w:sz w:val="32"/>
          <w:szCs w:val="32"/>
          <w:highlight w:val="none"/>
          <w:lang w:val="en-US" w:eastAsia="zh-CN" w:bidi="ar-SA"/>
        </w:rPr>
        <w:t>9</w:t>
      </w:r>
      <w:r>
        <w:rPr>
          <w:rFonts w:hint="default" w:ascii="Times New Roman" w:hAnsi="Times New Roman" w:eastAsia="仿宋_GB2312" w:cs="Times New Roman"/>
          <w:color w:val="auto"/>
          <w:kern w:val="2"/>
          <w:sz w:val="32"/>
          <w:szCs w:val="32"/>
          <w:highlight w:val="none"/>
          <w:lang w:val="zh-CN" w:eastAsia="zh-CN" w:bidi="ar-SA"/>
        </w:rPr>
        <w:t>分。</w:t>
      </w:r>
    </w:p>
    <w:p>
      <w:pPr>
        <w:pStyle w:val="2"/>
        <w:rPr>
          <w:rFonts w:hint="default" w:ascii="Times New Roman" w:hAnsi="Times New Roman" w:eastAsia="仿宋_GB2312" w:cs="Times New Roman"/>
          <w:color w:val="auto"/>
          <w:kern w:val="2"/>
          <w:sz w:val="32"/>
          <w:szCs w:val="32"/>
          <w:highlight w:val="none"/>
          <w:lang w:val="zh-CN" w:eastAsia="zh-CN" w:bidi="ar-SA"/>
        </w:rPr>
      </w:pPr>
    </w:p>
    <w:p>
      <w:pPr>
        <w:rPr>
          <w:rFonts w:hint="default" w:ascii="Times New Roman" w:hAnsi="Times New Roman" w:eastAsia="仿宋_GB2312" w:cs="Times New Roman"/>
          <w:color w:val="auto"/>
          <w:kern w:val="2"/>
          <w:sz w:val="32"/>
          <w:szCs w:val="32"/>
          <w:highlight w:val="none"/>
          <w:lang w:val="zh-CN" w:eastAsia="zh-CN" w:bidi="ar-SA"/>
        </w:rPr>
      </w:pPr>
    </w:p>
    <w:p>
      <w:pPr>
        <w:pStyle w:val="2"/>
        <w:rPr>
          <w:rFonts w:hint="default"/>
          <w:lang w:val="zh-CN" w:eastAsia="zh-CN"/>
        </w:rPr>
      </w:pPr>
    </w:p>
    <w:p>
      <w:pPr>
        <w:keepNext w:val="0"/>
        <w:keepLines w:val="0"/>
        <w:pageBreakBefore w:val="0"/>
        <w:widowControl w:val="0"/>
        <w:numPr>
          <w:ilvl w:val="0"/>
          <w:numId w:val="0"/>
        </w:numPr>
        <w:kinsoku/>
        <w:wordWrap/>
        <w:overflowPunct/>
        <w:topLinePunct w:val="0"/>
        <w:autoSpaceDE/>
        <w:autoSpaceDN/>
        <w:bidi w:val="0"/>
        <w:spacing w:line="560" w:lineRule="exact"/>
        <w:jc w:val="center"/>
        <w:textAlignment w:val="auto"/>
        <w:outlineLvl w:val="0"/>
        <w:rPr>
          <w:rFonts w:ascii="宋体"/>
          <w:b/>
          <w:sz w:val="44"/>
          <w:szCs w:val="44"/>
        </w:rPr>
      </w:pPr>
      <w:bookmarkStart w:id="90" w:name="_Toc24260"/>
      <w:bookmarkStart w:id="91" w:name="_Toc31420"/>
      <w:bookmarkStart w:id="92" w:name="_Toc31643"/>
      <w:r>
        <w:rPr>
          <w:rFonts w:hint="eastAsia" w:ascii="Times New Roman" w:hAnsi="Times New Roman" w:eastAsia="黑体" w:cs="Times New Roman"/>
          <w:b w:val="0"/>
          <w:color w:val="auto"/>
          <w:sz w:val="32"/>
          <w:szCs w:val="44"/>
          <w:highlight w:val="none"/>
        </w:rPr>
        <w:t>第</w:t>
      </w:r>
      <w:r>
        <w:rPr>
          <w:rFonts w:hint="eastAsia" w:ascii="Times New Roman" w:hAnsi="Times New Roman" w:eastAsia="黑体" w:cs="Times New Roman"/>
          <w:b w:val="0"/>
          <w:color w:val="auto"/>
          <w:sz w:val="32"/>
          <w:szCs w:val="44"/>
          <w:highlight w:val="none"/>
          <w:lang w:eastAsia="zh-CN"/>
        </w:rPr>
        <w:t>三</w:t>
      </w:r>
      <w:r>
        <w:rPr>
          <w:rFonts w:hint="eastAsia" w:ascii="Times New Roman" w:hAnsi="Times New Roman" w:eastAsia="黑体" w:cs="Times New Roman"/>
          <w:b w:val="0"/>
          <w:color w:val="auto"/>
          <w:sz w:val="32"/>
          <w:szCs w:val="44"/>
          <w:highlight w:val="none"/>
        </w:rPr>
        <w:t>部分</w:t>
      </w:r>
      <w:r>
        <w:rPr>
          <w:rFonts w:hint="eastAsia" w:ascii="Times New Roman" w:hAnsi="Times New Roman" w:eastAsia="黑体" w:cs="Times New Roman"/>
          <w:b w:val="0"/>
          <w:color w:val="auto"/>
          <w:sz w:val="32"/>
          <w:szCs w:val="44"/>
          <w:highlight w:val="none"/>
          <w:lang w:val="en-US" w:eastAsia="zh-CN"/>
        </w:rPr>
        <w:t xml:space="preserve">  </w:t>
      </w:r>
      <w:r>
        <w:rPr>
          <w:rFonts w:hint="eastAsia" w:ascii="Times New Roman" w:hAnsi="Times New Roman" w:eastAsia="黑体" w:cs="Times New Roman"/>
          <w:b w:val="0"/>
          <w:color w:val="auto"/>
          <w:sz w:val="32"/>
          <w:szCs w:val="44"/>
          <w:highlight w:val="none"/>
        </w:rPr>
        <w:t>名词解释</w:t>
      </w:r>
      <w:bookmarkEnd w:id="86"/>
      <w:bookmarkEnd w:id="87"/>
      <w:bookmarkEnd w:id="90"/>
      <w:bookmarkEnd w:id="91"/>
      <w:bookmarkEnd w:id="92"/>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1.</w:t>
      </w:r>
      <w:r>
        <w:rPr>
          <w:rFonts w:hint="eastAsia" w:ascii="Times New Roman" w:hAnsi="Times New Roman" w:eastAsia="仿宋_GB2312" w:cs="Times New Roman"/>
          <w:color w:val="auto"/>
          <w:kern w:val="2"/>
          <w:sz w:val="32"/>
          <w:szCs w:val="32"/>
          <w:highlight w:val="none"/>
          <w:lang w:val="zh-CN" w:eastAsia="zh-CN" w:bidi="ar-SA"/>
        </w:rPr>
        <w:t>财政拨款收入：指单位从同级财政部门取得的财政预算资金。</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w:t>
      </w:r>
      <w:r>
        <w:rPr>
          <w:rFonts w:hint="eastAsia" w:ascii="Times New Roman" w:hAnsi="Times New Roman" w:eastAsia="仿宋_GB2312" w:cs="Times New Roman"/>
          <w:color w:val="auto"/>
          <w:kern w:val="2"/>
          <w:sz w:val="32"/>
          <w:szCs w:val="32"/>
          <w:highlight w:val="none"/>
          <w:lang w:val="zh-CN" w:eastAsia="zh-CN" w:bidi="ar-SA"/>
        </w:rPr>
        <w:t>事业收入：指事业单位开展专业业务活动及辅助活动取得的收入。</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3.</w:t>
      </w:r>
      <w:r>
        <w:rPr>
          <w:rFonts w:hint="eastAsia" w:ascii="Times New Roman" w:hAnsi="Times New Roman" w:eastAsia="仿宋_GB2312" w:cs="Times New Roman"/>
          <w:color w:val="auto"/>
          <w:kern w:val="2"/>
          <w:sz w:val="32"/>
          <w:szCs w:val="32"/>
          <w:highlight w:val="none"/>
          <w:lang w:val="zh-CN" w:eastAsia="zh-CN" w:bidi="ar-SA"/>
        </w:rPr>
        <w:t>经营收入：指事业单位在专业业务活动及其辅助活动之外开展非独立核算经营活动取得的收入。</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4.</w:t>
      </w:r>
      <w:r>
        <w:rPr>
          <w:rFonts w:hint="eastAsia" w:ascii="Times New Roman" w:hAnsi="Times New Roman" w:eastAsia="仿宋_GB2312" w:cs="Times New Roman"/>
          <w:color w:val="auto"/>
          <w:kern w:val="2"/>
          <w:sz w:val="32"/>
          <w:szCs w:val="32"/>
          <w:highlight w:val="none"/>
          <w:lang w:val="zh-CN" w:eastAsia="zh-CN" w:bidi="ar-SA"/>
        </w:rPr>
        <w:t>其他收入：指单位取得的除上述收入以外的各项收入。</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5.</w:t>
      </w:r>
      <w:r>
        <w:rPr>
          <w:rFonts w:hint="eastAsia" w:ascii="Times New Roman" w:hAnsi="Times New Roman" w:eastAsia="仿宋_GB2312" w:cs="Times New Roman"/>
          <w:color w:val="auto"/>
          <w:kern w:val="2"/>
          <w:sz w:val="32"/>
          <w:szCs w:val="32"/>
          <w:highlight w:val="none"/>
          <w:lang w:val="zh-CN" w:eastAsia="zh-CN" w:bidi="ar-SA"/>
        </w:rPr>
        <w:t>使用非财政拨款结余（含专用结余）：指事业单位使用以前年度积累的非财政拨款结余弥补当年收支差额的金额。</w:t>
      </w:r>
      <w:r>
        <w:rPr>
          <w:rFonts w:hint="default" w:ascii="Times New Roman" w:hAnsi="Times New Roman" w:eastAsia="仿宋_GB2312" w:cs="Times New Roman"/>
          <w:color w:val="auto"/>
          <w:kern w:val="2"/>
          <w:sz w:val="32"/>
          <w:szCs w:val="32"/>
          <w:highlight w:val="none"/>
          <w:lang w:val="zh-CN" w:eastAsia="zh-CN" w:bidi="ar-SA"/>
        </w:rPr>
        <w:t xml:space="preserve"> </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6.</w:t>
      </w:r>
      <w:r>
        <w:rPr>
          <w:rFonts w:hint="eastAsia" w:ascii="Times New Roman" w:hAnsi="Times New Roman" w:eastAsia="仿宋_GB2312" w:cs="Times New Roman"/>
          <w:color w:val="auto"/>
          <w:kern w:val="2"/>
          <w:sz w:val="32"/>
          <w:szCs w:val="32"/>
          <w:highlight w:val="none"/>
          <w:lang w:val="zh-CN" w:eastAsia="zh-CN" w:bidi="ar-SA"/>
        </w:rPr>
        <w:t>年初结转和结余：指以前年度尚未完成、结转到本年按有关规定继续使用的资金。</w:t>
      </w:r>
      <w:r>
        <w:rPr>
          <w:rFonts w:hint="default" w:ascii="Times New Roman" w:hAnsi="Times New Roman" w:eastAsia="仿宋_GB2312" w:cs="Times New Roman"/>
          <w:color w:val="auto"/>
          <w:kern w:val="2"/>
          <w:sz w:val="32"/>
          <w:szCs w:val="32"/>
          <w:highlight w:val="none"/>
          <w:lang w:val="zh-CN" w:eastAsia="zh-CN" w:bidi="ar-SA"/>
        </w:rPr>
        <w:t xml:space="preserve"> </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7.</w:t>
      </w:r>
      <w:r>
        <w:rPr>
          <w:rFonts w:hint="eastAsia" w:ascii="Times New Roman" w:hAnsi="Times New Roman" w:eastAsia="仿宋_GB2312" w:cs="Times New Roman"/>
          <w:color w:val="auto"/>
          <w:kern w:val="2"/>
          <w:sz w:val="32"/>
          <w:szCs w:val="32"/>
          <w:highlight w:val="none"/>
          <w:lang w:val="zh-CN" w:eastAsia="zh-CN" w:bidi="ar-SA"/>
        </w:rPr>
        <w:t>结余分配：指事业单位按照会计制度规定缴纳的所得税、提取的专用结余以及转入非财政拨款结余的金额等。</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8</w:t>
      </w:r>
      <w:r>
        <w:rPr>
          <w:rFonts w:hint="eastAsia" w:ascii="Times New Roman" w:hAnsi="Times New Roman" w:eastAsia="仿宋_GB2312" w:cs="Times New Roman"/>
          <w:color w:val="auto"/>
          <w:kern w:val="2"/>
          <w:sz w:val="32"/>
          <w:szCs w:val="32"/>
          <w:highlight w:val="none"/>
          <w:lang w:val="zh-CN" w:eastAsia="zh-CN" w:bidi="ar-SA"/>
        </w:rPr>
        <w:t>.年末结转和结余：指单位按有关规定结转到下年或以后年度继续使用的资金。</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9.一般公共服务（类）其他一般公共服务支出（款）其他一般公共服务支出（项）：指基层社区服务站及乡镇综合服务设施建设项目支出。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10.社会保障和就业（类）民政管理事务（款）行政运行（项）：指反映单位的基本支出，如工资、机关运行工作经费等支出；社会保障和就业（类）民政管理事务（款）行政区划和地名管理（项）指反映行政区划界线勘定、维护</w:t>
      </w:r>
      <w:r>
        <w:rPr>
          <w:rFonts w:hint="eastAsia" w:eastAsia="仿宋_GB2312" w:cs="Times New Roman"/>
          <w:color w:val="auto"/>
          <w:kern w:val="2"/>
          <w:sz w:val="32"/>
          <w:szCs w:val="32"/>
          <w:highlight w:val="none"/>
          <w:lang w:val="zh-CN" w:eastAsia="zh-CN" w:bidi="ar-SA"/>
        </w:rPr>
        <w:t>以及</w:t>
      </w:r>
      <w:r>
        <w:rPr>
          <w:rFonts w:hint="eastAsia" w:ascii="Times New Roman" w:hAnsi="Times New Roman" w:eastAsia="仿宋_GB2312" w:cs="Times New Roman"/>
          <w:color w:val="auto"/>
          <w:kern w:val="2"/>
          <w:sz w:val="32"/>
          <w:szCs w:val="32"/>
          <w:highlight w:val="none"/>
          <w:lang w:val="zh-CN" w:eastAsia="zh-CN" w:bidi="ar-SA"/>
        </w:rPr>
        <w:t xml:space="preserve">行政区划和地名管理方面支出；社会保障和就业（类）民政管理事务（款）基层政权和社区管理（项）指反映开展村民自治、村务公开等基层政权和社区建议设工作的支出；                        </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1）社会保障和就业（类）民政管理事务（款）其他民政管理事务支出（项）指反映民政部门接待来访、法制建设、政策宣传方面的支出，以及开展优抚安置、救灾减灾、社会救助、社会福利、婚姻登记、社会事务、信息化建设等专项业务的支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（2）社会保障和就业（类）抚恤（款）</w:t>
      </w:r>
      <w:r>
        <w:rPr>
          <w:rFonts w:hint="eastAsia" w:ascii="Times New Roman" w:hAnsi="Times New Roman" w:eastAsia="仿宋_GB2312" w:cs="Times New Roman"/>
          <w:color w:val="auto"/>
          <w:kern w:val="2"/>
          <w:sz w:val="32"/>
          <w:szCs w:val="32"/>
          <w:highlight w:val="none"/>
          <w:lang w:val="zh-CN" w:eastAsia="zh-CN" w:bidi="ar-SA"/>
        </w:rPr>
        <w:tab/>
      </w:r>
      <w:r>
        <w:rPr>
          <w:rFonts w:hint="eastAsia" w:ascii="Times New Roman" w:hAnsi="Times New Roman" w:eastAsia="仿宋_GB2312" w:cs="Times New Roman"/>
          <w:color w:val="auto"/>
          <w:kern w:val="2"/>
          <w:sz w:val="32"/>
          <w:szCs w:val="32"/>
          <w:highlight w:val="none"/>
          <w:lang w:val="zh-CN" w:eastAsia="zh-CN" w:bidi="ar-SA"/>
        </w:rPr>
        <w:t>死亡抚恤（项）指单位职工死亡发放一次性抚恤金方面的支出。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3）社会保障和就业（类）社会福利(款)儿童福利（项）指用于反映对儿童提供福利方面支出；社会保障和就业（类）社会福利(款)老年福利（项）指反映对老年人提供福利方面支出；社会保障和就业（类）社会福利(款)社会福利事业单位（项）指反映民政部门举办的社会福利事业单位的支出，以及对集体社会福利事业单位的补助；社会保障和就业（类）社会福利(款)养服务支出（项）指用于在养老服务方面补助支出；社会福利(款)其他社会福利支出（项）指用于的居家养老支出和敬老院维修改造支出等。</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w:t>
      </w:r>
      <w:r>
        <w:rPr>
          <w:rFonts w:hint="eastAsia" w:eastAsia="仿宋_GB2312" w:cs="Times New Roman"/>
          <w:color w:val="auto"/>
          <w:kern w:val="2"/>
          <w:sz w:val="32"/>
          <w:szCs w:val="32"/>
          <w:highlight w:val="none"/>
          <w:lang w:val="en-US" w:eastAsia="zh-CN" w:bidi="ar-SA"/>
        </w:rPr>
        <w:t>4</w:t>
      </w:r>
      <w:r>
        <w:rPr>
          <w:rFonts w:hint="eastAsia" w:ascii="Times New Roman" w:hAnsi="Times New Roman" w:eastAsia="仿宋_GB2312" w:cs="Times New Roman"/>
          <w:color w:val="auto"/>
          <w:kern w:val="2"/>
          <w:sz w:val="32"/>
          <w:szCs w:val="32"/>
          <w:highlight w:val="none"/>
          <w:lang w:val="zh-CN" w:eastAsia="zh-CN" w:bidi="ar-SA"/>
        </w:rPr>
        <w:t>）社会保障和就业（类）残疾人事业（款）残疾人就业和扶贫（项）残疾人生活和护理补贴（项）指用于残疾人两项补贴支出 ，即困难残疾生活补助和重度残疾人护理补贴。</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w:t>
      </w:r>
      <w:r>
        <w:rPr>
          <w:rFonts w:hint="eastAsia" w:eastAsia="仿宋_GB2312" w:cs="Times New Roman"/>
          <w:color w:val="auto"/>
          <w:kern w:val="2"/>
          <w:sz w:val="32"/>
          <w:szCs w:val="32"/>
          <w:highlight w:val="none"/>
          <w:lang w:val="en-US" w:eastAsia="zh-CN" w:bidi="ar-SA"/>
        </w:rPr>
        <w:t>5</w:t>
      </w:r>
      <w:r>
        <w:rPr>
          <w:rFonts w:hint="eastAsia" w:ascii="Times New Roman" w:hAnsi="Times New Roman" w:eastAsia="仿宋_GB2312" w:cs="Times New Roman"/>
          <w:color w:val="auto"/>
          <w:kern w:val="2"/>
          <w:sz w:val="32"/>
          <w:szCs w:val="32"/>
          <w:highlight w:val="none"/>
          <w:lang w:val="zh-CN" w:eastAsia="zh-CN" w:bidi="ar-SA"/>
        </w:rPr>
        <w:t>）社会保障和就业（类）临时救助（款）：临时救助支出（项）指用于生活困难居民的临时救助等支出；社会保障和就业（类）临时救助（款）：流浪乞讨人员救助支出(项)指：用于生活无着落的流浪乞讨人员的救助支出和救助管理机构的运转支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w:t>
      </w:r>
      <w:r>
        <w:rPr>
          <w:rFonts w:hint="eastAsia" w:eastAsia="仿宋_GB2312" w:cs="Times New Roman"/>
          <w:color w:val="auto"/>
          <w:kern w:val="2"/>
          <w:sz w:val="32"/>
          <w:szCs w:val="32"/>
          <w:highlight w:val="none"/>
          <w:lang w:val="en-US" w:eastAsia="zh-CN" w:bidi="ar-SA"/>
        </w:rPr>
        <w:t>6</w:t>
      </w:r>
      <w:r>
        <w:rPr>
          <w:rFonts w:hint="eastAsia" w:ascii="Times New Roman" w:hAnsi="Times New Roman" w:eastAsia="仿宋_GB2312" w:cs="Times New Roman"/>
          <w:color w:val="auto"/>
          <w:kern w:val="2"/>
          <w:sz w:val="32"/>
          <w:szCs w:val="32"/>
          <w:highlight w:val="none"/>
          <w:lang w:val="zh-CN" w:eastAsia="zh-CN" w:bidi="ar-SA"/>
        </w:rPr>
        <w:t>）社会保障和就业（类）特困人员供养（款）城市特困人员供养支出（项）指反映城市特困人员救助供养支出；社会保障和就业（类）特困人员供养（款）农村特困人员供养支出（项）指反映农村特困人员救助供养支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11.卫生健康支出（类）行政事业单位医疗（款）行政单位医疗（项）：指反映财政部门安排的行政单位（包括实行公务员事业单位,下同）。基本医疗保险缴费经费，未参加医疗保险的行政单位的公费医疗经费，按国家规定享受离休人员、红军老战士待遇人员的医疗经费。卫生健康支出（类）行政事业单位医疗（款）事业单位医疗（项）：指反映财政部门安排的事业基本医疗保险缴费经费，未参加医疗保险的事业单位的公费医疗经费，按国家规定享受离休人员待遇的医疗经费。</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12.农林水支出（类）扶贫（款）农村基础设施建设（项）和农林水支出（类）扶贫（款）农村基础设施建设（项）和农林水支出（类）扶贫（款）农村基础设施建设（项）和农林水支出（类）扶贫（款）其他</w:t>
      </w:r>
      <w:r>
        <w:rPr>
          <w:rFonts w:hint="eastAsia" w:eastAsia="仿宋_GB2312" w:cs="Times New Roman"/>
          <w:color w:val="auto"/>
          <w:kern w:val="2"/>
          <w:sz w:val="32"/>
          <w:szCs w:val="32"/>
          <w:highlight w:val="none"/>
          <w:lang w:val="zh-CN" w:eastAsia="zh-CN" w:bidi="ar-SA"/>
        </w:rPr>
        <w:t>扶贫</w:t>
      </w:r>
      <w:r>
        <w:rPr>
          <w:rFonts w:hint="eastAsia" w:ascii="Times New Roman" w:hAnsi="Times New Roman" w:eastAsia="仿宋_GB2312" w:cs="Times New Roman"/>
          <w:color w:val="auto"/>
          <w:kern w:val="2"/>
          <w:sz w:val="32"/>
          <w:szCs w:val="32"/>
          <w:highlight w:val="none"/>
          <w:lang w:val="zh-CN" w:eastAsia="zh-CN" w:bidi="ar-SA"/>
        </w:rPr>
        <w:t>支出（项）均指用于村办公场所和村活动阵地建设方面支出。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13.农林水支出（类）农村综合改革（款）对村民委员会和村党支部的补助（项）指用于离任村干部生活补助支出。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14.其他支出（类）彩票公益金安排的支出（款）用于社会福利的彩票公益金支出（项）：指反映用于社会福利和社会救助的彩票公益金支出。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15.基本支出：指为保障机构正常运转、完成日常工作任务而发生的人员支出和公用支出。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 xml:space="preserve">16.项目支出：指在基本支出之外为完成特定行政任务和事业发展目标所发生的支出。 </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17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18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黑体" w:cs="Times New Roman"/>
          <w:b w:val="0"/>
          <w:color w:val="auto"/>
          <w:sz w:val="32"/>
          <w:szCs w:val="44"/>
          <w:highlight w:val="none"/>
          <w:lang w:val="zh-CN" w:eastAsia="zh-CN"/>
        </w:rPr>
      </w:pPr>
      <w:bookmarkStart w:id="93" w:name="_Toc15396614"/>
      <w:bookmarkStart w:id="94" w:name="_Toc15377226"/>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eastAsia" w:ascii="Times New Roman" w:hAnsi="Times New Roman" w:eastAsia="仿宋_GB2312" w:cs="Times New Roman"/>
          <w:color w:val="auto"/>
          <w:kern w:val="2"/>
          <w:sz w:val="32"/>
          <w:szCs w:val="32"/>
          <w:highlight w:val="none"/>
          <w:lang w:val="zh-CN" w:eastAsia="zh-CN" w:bidi="ar-SA"/>
        </w:rPr>
      </w:pPr>
      <w:bookmarkStart w:id="95" w:name="_Toc936"/>
      <w:bookmarkStart w:id="96" w:name="_Toc14910"/>
      <w:bookmarkStart w:id="97" w:name="_Toc20781"/>
      <w:r>
        <w:rPr>
          <w:rFonts w:hint="eastAsia" w:ascii="Times New Roman" w:hAnsi="Times New Roman" w:eastAsia="黑体" w:cs="Times New Roman"/>
          <w:b w:val="0"/>
          <w:color w:val="auto"/>
          <w:sz w:val="32"/>
          <w:szCs w:val="44"/>
          <w:highlight w:val="none"/>
          <w:lang w:val="zh-CN" w:eastAsia="zh-CN"/>
        </w:rPr>
        <w:t>第四部分</w:t>
      </w:r>
      <w:r>
        <w:rPr>
          <w:rFonts w:hint="eastAsia" w:ascii="Times New Roman" w:hAnsi="Times New Roman" w:eastAsia="黑体" w:cs="Times New Roman"/>
          <w:b w:val="0"/>
          <w:color w:val="auto"/>
          <w:sz w:val="32"/>
          <w:szCs w:val="44"/>
          <w:highlight w:val="none"/>
          <w:lang w:val="en-US" w:eastAsia="zh-CN"/>
        </w:rPr>
        <w:t xml:space="preserve"> </w:t>
      </w:r>
      <w:r>
        <w:rPr>
          <w:rFonts w:hint="eastAsia" w:ascii="Times New Roman" w:hAnsi="Times New Roman" w:eastAsia="黑体" w:cs="Times New Roman"/>
          <w:b w:val="0"/>
          <w:color w:val="auto"/>
          <w:sz w:val="32"/>
          <w:szCs w:val="44"/>
          <w:highlight w:val="none"/>
          <w:lang w:val="zh-CN" w:eastAsia="zh-CN"/>
        </w:rPr>
        <w:t xml:space="preserve"> 附件</w:t>
      </w:r>
      <w:bookmarkEnd w:id="93"/>
      <w:bookmarkEnd w:id="95"/>
      <w:bookmarkEnd w:id="96"/>
      <w:bookmarkEnd w:id="9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黑体"/>
          <w:b w:val="0"/>
          <w:bCs/>
          <w:sz w:val="32"/>
          <w:szCs w:val="32"/>
          <w:highlight w:val="none"/>
          <w:shd w:val="clear" w:color="auto" w:fill="FFFFFF"/>
        </w:rPr>
      </w:pPr>
      <w:bookmarkStart w:id="98" w:name="_Toc18312"/>
      <w:bookmarkStart w:id="99" w:name="_Toc28325"/>
      <w:bookmarkStart w:id="100" w:name="_Toc10571"/>
      <w:r>
        <w:rPr>
          <w:rFonts w:hint="eastAsia" w:ascii="黑体" w:hAnsi="黑体" w:eastAsia="黑体" w:cs="黑体"/>
          <w:b w:val="0"/>
          <w:color w:val="auto"/>
          <w:sz w:val="32"/>
          <w:szCs w:val="32"/>
          <w:highlight w:val="none"/>
        </w:rPr>
        <w:t>附件</w:t>
      </w:r>
      <w:r>
        <w:rPr>
          <w:rFonts w:hint="eastAsia" w:ascii="黑体" w:hAnsi="黑体" w:eastAsia="黑体" w:cs="黑体"/>
          <w:b w:val="0"/>
          <w:color w:val="auto"/>
          <w:sz w:val="32"/>
          <w:szCs w:val="32"/>
          <w:highlight w:val="none"/>
          <w:lang w:val="en-US" w:eastAsia="zh-CN"/>
        </w:rPr>
        <w:t>1</w:t>
      </w:r>
      <w:bookmarkEnd w:id="98"/>
      <w:bookmarkEnd w:id="99"/>
      <w:bookmarkEnd w:id="100"/>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部门预算绩效</w:t>
      </w:r>
      <w:r>
        <w:rPr>
          <w:rFonts w:hint="eastAsia" w:ascii="Times New Roman" w:hAnsi="Times New Roman" w:eastAsia="仿宋_GB2312" w:cs="Times New Roman"/>
          <w:color w:val="auto"/>
          <w:kern w:val="2"/>
          <w:sz w:val="32"/>
          <w:szCs w:val="32"/>
          <w:highlight w:val="none"/>
          <w:lang w:val="zh-CN" w:eastAsia="zh-CN" w:bidi="ar-SA"/>
        </w:rPr>
        <w:t>评价</w:t>
      </w:r>
      <w:r>
        <w:rPr>
          <w:rFonts w:hint="default" w:ascii="Times New Roman" w:hAnsi="Times New Roman" w:eastAsia="仿宋_GB2312" w:cs="Times New Roman"/>
          <w:color w:val="auto"/>
          <w:kern w:val="2"/>
          <w:sz w:val="32"/>
          <w:szCs w:val="32"/>
          <w:highlight w:val="none"/>
          <w:lang w:val="zh-CN" w:eastAsia="zh-CN" w:bidi="ar-SA"/>
        </w:rPr>
        <w:t>报告范本</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ascii="Times New Roman" w:hAnsi="Times New Roman" w:eastAsia="黑体" w:cs="Times New Roman"/>
          <w:color w:val="000000"/>
          <w:kern w:val="0"/>
          <w:sz w:val="24"/>
          <w:szCs w:val="32"/>
          <w:highlight w:val="none"/>
          <w:shd w:val="clear" w:color="auto" w:fill="FFFFFF"/>
        </w:rPr>
      </w:pPr>
      <w:r>
        <w:rPr>
          <w:rFonts w:hint="default" w:ascii="Times New Roman" w:hAnsi="Times New Roman" w:eastAsia="仿宋_GB2312" w:cs="Times New Roman"/>
          <w:color w:val="auto"/>
          <w:kern w:val="2"/>
          <w:sz w:val="32"/>
          <w:szCs w:val="32"/>
          <w:highlight w:val="none"/>
          <w:lang w:val="zh-CN" w:eastAsia="zh-CN" w:bidi="ar-SA"/>
        </w:rPr>
        <w:t>（报告范围包括机关和下属单位）</w:t>
      </w:r>
    </w:p>
    <w:p>
      <w:pPr>
        <w:keepNext w:val="0"/>
        <w:keepLines w:val="0"/>
        <w:pageBreakBefore w:val="0"/>
        <w:widowControl w:val="0"/>
        <w:kinsoku/>
        <w:wordWrap/>
        <w:overflowPunct/>
        <w:topLinePunct w:val="0"/>
        <w:autoSpaceDE/>
        <w:autoSpaceDN/>
        <w:bidi w:val="0"/>
        <w:adjustRightInd w:val="0"/>
        <w:snapToGrid w:val="0"/>
        <w:spacing w:before="0" w:after="0" w:line="480" w:lineRule="exact"/>
        <w:ind w:firstLine="640" w:firstLineChars="20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zh-CN" w:eastAsia="zh-CN" w:bidi="ar-SA"/>
        </w:rPr>
        <w:t>一、部门（单位）基本情况</w:t>
      </w:r>
    </w:p>
    <w:p>
      <w:pPr>
        <w:spacing w:before="0" w:after="0" w:line="560" w:lineRule="exact"/>
        <w:ind w:firstLine="642" w:firstLineChars="200"/>
        <w:jc w:val="left"/>
        <w:outlineLvl w:val="9"/>
        <w:rPr>
          <w:rFonts w:hint="eastAsia" w:ascii="楷体_GB2312" w:hAnsi="楷体_GB2312" w:eastAsia="楷体_GB2312" w:cs="楷体_GB2312"/>
          <w:b/>
          <w:color w:val="auto"/>
          <w:sz w:val="32"/>
          <w:szCs w:val="32"/>
          <w:highlight w:val="none"/>
          <w:lang w:val="zh-CN"/>
        </w:rPr>
      </w:pPr>
      <w:bookmarkStart w:id="101" w:name="_Toc19951"/>
      <w:bookmarkStart w:id="102" w:name="_Toc26974"/>
      <w:r>
        <w:rPr>
          <w:rFonts w:hint="eastAsia" w:ascii="楷体_GB2312" w:hAnsi="楷体_GB2312" w:eastAsia="楷体_GB2312" w:cs="楷体_GB2312"/>
          <w:b/>
          <w:color w:val="auto"/>
          <w:sz w:val="32"/>
          <w:szCs w:val="32"/>
          <w:highlight w:val="none"/>
          <w:lang w:val="zh-CN"/>
        </w:rPr>
        <w:t>（一）机构组成。</w:t>
      </w:r>
      <w:bookmarkEnd w:id="101"/>
      <w:bookmarkEnd w:id="102"/>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县民政局属于一级预算单位，与上年一样外设4个内设行政股室</w:t>
      </w:r>
      <w:r>
        <w:rPr>
          <w:rFonts w:hint="eastAsia" w:ascii="Times New Roman" w:hAnsi="Times New Roman" w:eastAsia="仿宋_GB2312" w:cs="Times New Roman"/>
          <w:color w:val="auto"/>
          <w:kern w:val="2"/>
          <w:sz w:val="32"/>
          <w:szCs w:val="32"/>
          <w:highlight w:val="none"/>
          <w:lang w:val="en-US" w:eastAsia="zh-CN" w:bidi="ar-SA"/>
        </w:rPr>
        <w:t xml:space="preserve"> ，即</w:t>
      </w:r>
      <w:r>
        <w:rPr>
          <w:rFonts w:hint="eastAsia" w:ascii="Times New Roman" w:hAnsi="Times New Roman" w:eastAsia="仿宋_GB2312" w:cs="Times New Roman"/>
          <w:color w:val="auto"/>
          <w:kern w:val="2"/>
          <w:sz w:val="32"/>
          <w:szCs w:val="32"/>
          <w:highlight w:val="none"/>
          <w:lang w:val="zh-CN" w:eastAsia="zh-CN" w:bidi="ar-SA"/>
        </w:rPr>
        <w:t>办公室、社会福利与社会事务股、社会救助股（挂壤塘县流浪乞讨人员救助站牌子）、区划地名与基层政权股。下设事业机构4个（低收入家庭认定指导中心，敬老院服务中心，中壤塘敬老院、南木达敬老院、茸木达敬老院，壤塘县社会救助福利服务中心（挂壤塘县儿童福利服务指导中心牌子）。</w:t>
      </w:r>
    </w:p>
    <w:p>
      <w:pPr>
        <w:spacing w:before="0" w:after="0" w:line="560" w:lineRule="exact"/>
        <w:ind w:firstLine="642" w:firstLineChars="200"/>
        <w:jc w:val="left"/>
        <w:outlineLvl w:val="9"/>
        <w:rPr>
          <w:rFonts w:hint="eastAsia" w:ascii="楷体_GB2312" w:hAnsi="楷体_GB2312" w:eastAsia="楷体_GB2312" w:cs="楷体_GB2312"/>
          <w:b/>
          <w:color w:val="auto"/>
          <w:sz w:val="32"/>
          <w:szCs w:val="32"/>
          <w:highlight w:val="none"/>
          <w:lang w:val="zh-CN"/>
        </w:rPr>
      </w:pPr>
      <w:bookmarkStart w:id="103" w:name="_Toc14016"/>
      <w:bookmarkStart w:id="104" w:name="_Toc15060"/>
      <w:r>
        <w:rPr>
          <w:rFonts w:hint="eastAsia" w:ascii="楷体_GB2312" w:hAnsi="楷体_GB2312" w:eastAsia="楷体_GB2312" w:cs="楷体_GB2312"/>
          <w:b/>
          <w:color w:val="auto"/>
          <w:sz w:val="32"/>
          <w:szCs w:val="32"/>
          <w:highlight w:val="none"/>
          <w:lang w:val="zh-CN"/>
        </w:rPr>
        <w:t>（</w:t>
      </w:r>
      <w:r>
        <w:rPr>
          <w:rFonts w:hint="eastAsia" w:ascii="楷体_GB2312" w:hAnsi="楷体_GB2312" w:eastAsia="楷体_GB2312" w:cs="楷体_GB2312"/>
          <w:b/>
          <w:color w:val="auto"/>
          <w:sz w:val="32"/>
          <w:szCs w:val="32"/>
          <w:highlight w:val="none"/>
          <w:lang w:val="en-US" w:eastAsia="zh-CN"/>
        </w:rPr>
        <w:t>二</w:t>
      </w:r>
      <w:r>
        <w:rPr>
          <w:rFonts w:hint="eastAsia" w:ascii="楷体_GB2312" w:hAnsi="楷体_GB2312" w:eastAsia="楷体_GB2312" w:cs="楷体_GB2312"/>
          <w:b/>
          <w:color w:val="auto"/>
          <w:sz w:val="32"/>
          <w:szCs w:val="32"/>
          <w:highlight w:val="none"/>
          <w:lang w:val="zh-CN"/>
        </w:rPr>
        <w:t>）机构职能。</w:t>
      </w:r>
      <w:bookmarkEnd w:id="103"/>
      <w:bookmarkEnd w:id="104"/>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en-US" w:eastAsia="zh-CN" w:bidi="ar-SA"/>
        </w:rPr>
        <w:t xml:space="preserve"> </w:t>
      </w:r>
      <w:r>
        <w:rPr>
          <w:rFonts w:hint="eastAsia" w:ascii="Times New Roman" w:hAnsi="Times New Roman" w:eastAsia="仿宋_GB2312" w:cs="Times New Roman"/>
          <w:color w:val="auto"/>
          <w:kern w:val="2"/>
          <w:sz w:val="32"/>
          <w:szCs w:val="32"/>
          <w:highlight w:val="none"/>
          <w:lang w:val="zh-CN" w:eastAsia="zh-CN" w:bidi="ar-SA"/>
        </w:rPr>
        <w:t>根据三定方案文件规定，主要职责是：</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1）负责贯彻执行国家、省、州民政相关方针政策和法律法规；制定全县民政工作发展规划、工作计划并组织实施和监督检查；承担政府公布的行政审批事项；负责民政信访和维稳工作；负责全县民政资金的使用、管理和监督工作；负责民政统计管理工作。</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2）负责拟订全县社会救助规划、政策和标准，统筹推进社会救助体系建设，负责城乡居民最低生活保障、特困人员救助供养、残疾人两项补贴、孤儿、事实无人抚养儿童、临时救助、生活无着流浪乞讨人员救助工作。</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（3）统筹推进、督促指导、监督管理养老服务工作，拟订养老服务体系建设规划、政策、标准并</w:t>
      </w:r>
      <w:r>
        <w:rPr>
          <w:rFonts w:hint="eastAsia" w:eastAsia="仿宋_GB2312" w:cs="Times New Roman"/>
          <w:color w:val="auto"/>
          <w:kern w:val="2"/>
          <w:sz w:val="32"/>
          <w:szCs w:val="32"/>
          <w:highlight w:val="none"/>
          <w:lang w:val="zh-CN" w:eastAsia="zh-CN" w:bidi="ar-SA"/>
        </w:rPr>
        <w:t>组织实施</w:t>
      </w:r>
      <w:r>
        <w:rPr>
          <w:rFonts w:hint="eastAsia" w:ascii="Times New Roman" w:hAnsi="Times New Roman" w:eastAsia="仿宋_GB2312" w:cs="Times New Roman"/>
          <w:color w:val="auto"/>
          <w:kern w:val="2"/>
          <w:sz w:val="32"/>
          <w:szCs w:val="32"/>
          <w:highlight w:val="none"/>
          <w:lang w:val="zh-CN" w:eastAsia="zh-CN" w:bidi="ar-SA"/>
        </w:rPr>
        <w:t>，承担老年人福利和</w:t>
      </w:r>
      <w:r>
        <w:rPr>
          <w:rFonts w:hint="eastAsia" w:eastAsia="仿宋_GB2312" w:cs="Times New Roman"/>
          <w:color w:val="auto"/>
          <w:kern w:val="2"/>
          <w:sz w:val="32"/>
          <w:szCs w:val="32"/>
          <w:highlight w:val="none"/>
          <w:lang w:val="zh-CN" w:eastAsia="zh-CN" w:bidi="ar-SA"/>
        </w:rPr>
        <w:t>特殊困难</w:t>
      </w:r>
      <w:r>
        <w:rPr>
          <w:rFonts w:hint="eastAsia" w:ascii="Times New Roman" w:hAnsi="Times New Roman" w:eastAsia="仿宋_GB2312" w:cs="Times New Roman"/>
          <w:color w:val="auto"/>
          <w:kern w:val="2"/>
          <w:sz w:val="32"/>
          <w:szCs w:val="32"/>
          <w:highlight w:val="none"/>
          <w:lang w:val="zh-CN" w:eastAsia="zh-CN" w:bidi="ar-SA"/>
        </w:rPr>
        <w:t>老年人救助工作，协调推进农村留守老年人关爱服务工作，承担城乡老年社会组织管理工作。</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4）负责全县婚姻登记、殡葬管理政策、促进慈善事业发展、指导社会捐助、协助监督福利彩票销售工作，负责管理使用本级福利彩票公益金；拟订农村留守儿童关爱服务体系和困境儿童保障制度；承担依法对社会团体和民办非企业单位进行登记管理和监督责任；依法对社会组织进行登记管理和执法监督。</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5）负责拟订行政区划管理政策和行政区域界线、地名管理办法，负责全县乡镇以上行政区划的设立、命名、撤销、变更和政府驻地迁移审核上报工作，组织并指导全县行政区域界线的勘定、管理工作，调处行政区域边界争议，负责地名管理工作。</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6）负责拟订全县城乡基层群众自治建设、社区建设政策并指导实施；指导社区服务体系建设，提出加强和改进城乡基层政权建设的建议，指导村（居）民委员会开展民主选举、民主决策、民主管理和民主监督工作，推动基层民主政治建设。</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（7）拟订社会工作、志愿服务政策和标准，会同有关部门推进社会工作</w:t>
      </w:r>
      <w:r>
        <w:rPr>
          <w:rFonts w:hint="eastAsia" w:eastAsia="仿宋_GB2312" w:cs="Times New Roman"/>
          <w:color w:val="auto"/>
          <w:kern w:val="2"/>
          <w:sz w:val="32"/>
          <w:szCs w:val="32"/>
          <w:highlight w:val="none"/>
          <w:lang w:val="zh-CN" w:eastAsia="zh-CN" w:bidi="ar-SA"/>
        </w:rPr>
        <w:t>人才队伍建设和志愿者队伍建设</w:t>
      </w:r>
      <w:r>
        <w:rPr>
          <w:rFonts w:hint="eastAsia" w:ascii="Times New Roman" w:hAnsi="Times New Roman" w:eastAsia="仿宋_GB2312" w:cs="Times New Roman"/>
          <w:color w:val="auto"/>
          <w:kern w:val="2"/>
          <w:sz w:val="32"/>
          <w:szCs w:val="32"/>
          <w:highlight w:val="none"/>
          <w:lang w:val="zh-CN" w:eastAsia="zh-CN" w:bidi="ar-SA"/>
        </w:rPr>
        <w:t>；依法依规负责社会福利、养老服务、救助管理、殡葬服务机构安全生产监督管理工作。负责职责范围内的意识形态、职业健康、审批服务便民化工作。</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zh-CN" w:eastAsia="zh-CN" w:bidi="ar-SA"/>
        </w:rPr>
        <w:t>（8）完成县委、县政府交办的其他任务。</w:t>
      </w:r>
    </w:p>
    <w:p>
      <w:pPr>
        <w:spacing w:before="0" w:after="0" w:line="560" w:lineRule="exact"/>
        <w:ind w:firstLine="642" w:firstLineChars="200"/>
        <w:jc w:val="left"/>
        <w:outlineLvl w:val="9"/>
        <w:rPr>
          <w:rFonts w:hint="eastAsia" w:ascii="楷体_GB2312" w:hAnsi="楷体_GB2312" w:eastAsia="楷体_GB2312" w:cs="楷体_GB2312"/>
          <w:b/>
          <w:color w:val="auto"/>
          <w:sz w:val="32"/>
          <w:szCs w:val="32"/>
          <w:highlight w:val="none"/>
          <w:lang w:val="zh-CN"/>
        </w:rPr>
      </w:pPr>
      <w:bookmarkStart w:id="105" w:name="_Toc20811"/>
      <w:bookmarkStart w:id="106" w:name="_Toc12579"/>
      <w:r>
        <w:rPr>
          <w:rFonts w:hint="eastAsia" w:ascii="楷体_GB2312" w:hAnsi="楷体_GB2312" w:eastAsia="楷体_GB2312" w:cs="楷体_GB2312"/>
          <w:b/>
          <w:color w:val="auto"/>
          <w:sz w:val="32"/>
          <w:szCs w:val="32"/>
          <w:highlight w:val="none"/>
          <w:lang w:val="zh-CN"/>
        </w:rPr>
        <w:t>（三）人员概况。</w:t>
      </w:r>
      <w:bookmarkEnd w:id="105"/>
      <w:bookmarkEnd w:id="106"/>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总编制72名,其中:行政编制10名,事业编制62名，在职人员总数6</w:t>
      </w:r>
      <w:r>
        <w:rPr>
          <w:rFonts w:hint="eastAsia" w:ascii="Times New Roman" w:hAnsi="Times New Roman" w:eastAsia="仿宋_GB2312" w:cs="Times New Roman"/>
          <w:color w:val="auto"/>
          <w:kern w:val="2"/>
          <w:sz w:val="32"/>
          <w:szCs w:val="32"/>
          <w:highlight w:val="none"/>
          <w:lang w:val="en-US" w:eastAsia="zh-CN" w:bidi="ar-SA"/>
        </w:rPr>
        <w:t>4</w:t>
      </w:r>
      <w:r>
        <w:rPr>
          <w:rFonts w:hint="eastAsia" w:ascii="Times New Roman" w:hAnsi="Times New Roman" w:eastAsia="仿宋_GB2312" w:cs="Times New Roman"/>
          <w:color w:val="auto"/>
          <w:kern w:val="2"/>
          <w:sz w:val="32"/>
          <w:szCs w:val="32"/>
          <w:highlight w:val="none"/>
          <w:lang w:val="zh-CN" w:eastAsia="zh-CN" w:bidi="ar-SA"/>
        </w:rPr>
        <w:t>名，其中：行政人员7名，行政工勤3名，其他事业人员5</w:t>
      </w:r>
      <w:r>
        <w:rPr>
          <w:rFonts w:hint="eastAsia" w:ascii="Times New Roman" w:hAnsi="Times New Roman" w:eastAsia="仿宋_GB2312" w:cs="Times New Roman"/>
          <w:color w:val="auto"/>
          <w:kern w:val="2"/>
          <w:sz w:val="32"/>
          <w:szCs w:val="32"/>
          <w:highlight w:val="none"/>
          <w:lang w:val="en-US" w:eastAsia="zh-CN" w:bidi="ar-SA"/>
        </w:rPr>
        <w:t>4</w:t>
      </w:r>
      <w:r>
        <w:rPr>
          <w:rFonts w:hint="eastAsia" w:ascii="Times New Roman" w:hAnsi="Times New Roman" w:eastAsia="仿宋_GB2312" w:cs="Times New Roman"/>
          <w:color w:val="auto"/>
          <w:kern w:val="2"/>
          <w:sz w:val="32"/>
          <w:szCs w:val="32"/>
          <w:highlight w:val="none"/>
          <w:lang w:val="zh-CN" w:eastAsia="zh-CN" w:bidi="ar-SA"/>
        </w:rPr>
        <w:t>名；离休人员0人，退休人员12人。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202</w:t>
      </w:r>
      <w:r>
        <w:rPr>
          <w:rFonts w:hint="eastAsia" w:ascii="Times New Roman" w:hAnsi="Times New Roman" w:eastAsia="仿宋_GB2312" w:cs="Times New Roman"/>
          <w:color w:val="auto"/>
          <w:kern w:val="2"/>
          <w:sz w:val="32"/>
          <w:szCs w:val="32"/>
          <w:highlight w:val="none"/>
          <w:lang w:val="en-US" w:eastAsia="zh-CN" w:bidi="ar-SA"/>
        </w:rPr>
        <w:t>5</w:t>
      </w:r>
      <w:r>
        <w:rPr>
          <w:rFonts w:hint="eastAsia" w:ascii="Times New Roman" w:hAnsi="Times New Roman" w:eastAsia="仿宋_GB2312" w:cs="Times New Roman"/>
          <w:color w:val="auto"/>
          <w:kern w:val="2"/>
          <w:sz w:val="32"/>
          <w:szCs w:val="32"/>
          <w:highlight w:val="none"/>
          <w:lang w:val="zh-CN" w:eastAsia="zh-CN" w:bidi="ar-SA"/>
        </w:rPr>
        <w:t>年较上年减少</w:t>
      </w:r>
      <w:r>
        <w:rPr>
          <w:rFonts w:hint="eastAsia" w:ascii="Times New Roman" w:hAnsi="Times New Roman" w:eastAsia="仿宋_GB2312" w:cs="Times New Roman"/>
          <w:color w:val="auto"/>
          <w:kern w:val="2"/>
          <w:sz w:val="32"/>
          <w:szCs w:val="32"/>
          <w:highlight w:val="none"/>
          <w:lang w:val="en-US" w:eastAsia="zh-CN" w:bidi="ar-SA"/>
        </w:rPr>
        <w:t>3</w:t>
      </w:r>
      <w:r>
        <w:rPr>
          <w:rFonts w:hint="eastAsia" w:ascii="Times New Roman" w:hAnsi="Times New Roman" w:eastAsia="仿宋_GB2312" w:cs="Times New Roman"/>
          <w:color w:val="auto"/>
          <w:kern w:val="2"/>
          <w:sz w:val="32"/>
          <w:szCs w:val="32"/>
          <w:highlight w:val="none"/>
          <w:lang w:val="zh-CN" w:eastAsia="zh-CN" w:bidi="ar-SA"/>
        </w:rPr>
        <w:t>人，原因为：202</w:t>
      </w:r>
      <w:r>
        <w:rPr>
          <w:rFonts w:hint="eastAsia" w:ascii="Times New Roman" w:hAnsi="Times New Roman" w:eastAsia="仿宋_GB2312" w:cs="Times New Roman"/>
          <w:color w:val="auto"/>
          <w:kern w:val="2"/>
          <w:sz w:val="32"/>
          <w:szCs w:val="32"/>
          <w:highlight w:val="none"/>
          <w:lang w:val="en-US" w:eastAsia="zh-CN" w:bidi="ar-SA"/>
        </w:rPr>
        <w:t>5</w:t>
      </w:r>
      <w:r>
        <w:rPr>
          <w:rFonts w:hint="eastAsia" w:ascii="Times New Roman" w:hAnsi="Times New Roman" w:eastAsia="仿宋_GB2312" w:cs="Times New Roman"/>
          <w:color w:val="auto"/>
          <w:kern w:val="2"/>
          <w:sz w:val="32"/>
          <w:szCs w:val="32"/>
          <w:highlight w:val="none"/>
          <w:lang w:val="zh-CN" w:eastAsia="zh-CN" w:bidi="ar-SA"/>
        </w:rPr>
        <w:t>年，退休</w:t>
      </w:r>
      <w:r>
        <w:rPr>
          <w:rFonts w:hint="eastAsia" w:ascii="Times New Roman" w:hAnsi="Times New Roman" w:eastAsia="仿宋_GB2312" w:cs="Times New Roman"/>
          <w:color w:val="auto"/>
          <w:kern w:val="2"/>
          <w:sz w:val="32"/>
          <w:szCs w:val="32"/>
          <w:highlight w:val="none"/>
          <w:lang w:val="en-US" w:eastAsia="zh-CN" w:bidi="ar-SA"/>
        </w:rPr>
        <w:t>2</w:t>
      </w:r>
      <w:r>
        <w:rPr>
          <w:rFonts w:hint="eastAsia" w:ascii="Times New Roman" w:hAnsi="Times New Roman" w:eastAsia="仿宋_GB2312" w:cs="Times New Roman"/>
          <w:color w:val="auto"/>
          <w:kern w:val="2"/>
          <w:sz w:val="32"/>
          <w:szCs w:val="32"/>
          <w:highlight w:val="none"/>
          <w:lang w:val="zh-CN" w:eastAsia="zh-CN" w:bidi="ar-SA"/>
        </w:rPr>
        <w:t>人。202</w:t>
      </w:r>
      <w:r>
        <w:rPr>
          <w:rFonts w:hint="eastAsia" w:ascii="Times New Roman" w:hAnsi="Times New Roman" w:eastAsia="仿宋_GB2312" w:cs="Times New Roman"/>
          <w:color w:val="auto"/>
          <w:kern w:val="2"/>
          <w:sz w:val="32"/>
          <w:szCs w:val="32"/>
          <w:highlight w:val="none"/>
          <w:lang w:val="en-US" w:eastAsia="zh-CN" w:bidi="ar-SA"/>
        </w:rPr>
        <w:t>5</w:t>
      </w:r>
      <w:r>
        <w:rPr>
          <w:rFonts w:hint="eastAsia" w:ascii="Times New Roman" w:hAnsi="Times New Roman" w:eastAsia="仿宋_GB2312" w:cs="Times New Roman"/>
          <w:color w:val="auto"/>
          <w:kern w:val="2"/>
          <w:sz w:val="32"/>
          <w:szCs w:val="32"/>
          <w:highlight w:val="none"/>
          <w:lang w:val="zh-CN" w:eastAsia="zh-CN" w:bidi="ar-SA"/>
        </w:rPr>
        <w:t>年新进人员1人，调出</w:t>
      </w:r>
      <w:r>
        <w:rPr>
          <w:rFonts w:hint="eastAsia" w:ascii="Times New Roman" w:hAnsi="Times New Roman" w:eastAsia="仿宋_GB2312" w:cs="Times New Roman"/>
          <w:color w:val="auto"/>
          <w:kern w:val="2"/>
          <w:sz w:val="32"/>
          <w:szCs w:val="32"/>
          <w:highlight w:val="none"/>
          <w:lang w:val="en-US" w:eastAsia="zh-CN" w:bidi="ar-SA"/>
        </w:rPr>
        <w:t>2</w:t>
      </w:r>
      <w:r>
        <w:rPr>
          <w:rFonts w:hint="eastAsia" w:ascii="Times New Roman" w:hAnsi="Times New Roman" w:eastAsia="仿宋_GB2312" w:cs="Times New Roman"/>
          <w:color w:val="auto"/>
          <w:kern w:val="2"/>
          <w:sz w:val="32"/>
          <w:szCs w:val="32"/>
          <w:highlight w:val="none"/>
          <w:lang w:val="zh-CN" w:eastAsia="zh-CN" w:bidi="ar-SA"/>
        </w:rPr>
        <w:t xml:space="preserve">人。 </w:t>
      </w:r>
    </w:p>
    <w:p>
      <w:pPr>
        <w:keepNext w:val="0"/>
        <w:keepLines w:val="0"/>
        <w:pageBreakBefore w:val="0"/>
        <w:widowControl w:val="0"/>
        <w:kinsoku/>
        <w:wordWrap/>
        <w:overflowPunct/>
        <w:topLinePunct w:val="0"/>
        <w:autoSpaceDE/>
        <w:autoSpaceDN/>
        <w:bidi w:val="0"/>
        <w:adjustRightInd w:val="0"/>
        <w:snapToGrid w:val="0"/>
        <w:spacing w:before="0" w:after="0" w:line="480" w:lineRule="exact"/>
        <w:ind w:firstLine="640" w:firstLineChars="200"/>
        <w:jc w:val="left"/>
        <w:textAlignment w:val="auto"/>
        <w:rPr>
          <w:rFonts w:hint="eastAsia" w:ascii="黑体" w:hAnsi="黑体" w:eastAsia="黑体" w:cs="黑体"/>
          <w:color w:val="auto"/>
          <w:kern w:val="2"/>
          <w:sz w:val="32"/>
          <w:szCs w:val="32"/>
          <w:highlight w:val="none"/>
          <w:lang w:val="zh-CN" w:eastAsia="zh-CN" w:bidi="ar-SA"/>
        </w:rPr>
      </w:pPr>
      <w:r>
        <w:rPr>
          <w:rFonts w:hint="eastAsia" w:ascii="黑体" w:hAnsi="黑体" w:eastAsia="黑体" w:cs="黑体"/>
          <w:color w:val="auto"/>
          <w:kern w:val="2"/>
          <w:sz w:val="32"/>
          <w:szCs w:val="32"/>
          <w:highlight w:val="none"/>
          <w:lang w:val="zh-CN" w:eastAsia="zh-CN" w:bidi="ar-SA"/>
        </w:rPr>
        <w:t>二、部门资金收支情况</w:t>
      </w:r>
    </w:p>
    <w:p>
      <w:pPr>
        <w:spacing w:before="0" w:after="0" w:line="560" w:lineRule="exact"/>
        <w:ind w:firstLine="642" w:firstLineChars="200"/>
        <w:jc w:val="left"/>
        <w:outlineLvl w:val="9"/>
        <w:rPr>
          <w:rFonts w:hint="eastAsia" w:ascii="楷体_GB2312" w:hAnsi="楷体_GB2312" w:eastAsia="楷体_GB2312" w:cs="楷体_GB2312"/>
          <w:b/>
          <w:color w:val="auto"/>
          <w:sz w:val="32"/>
          <w:szCs w:val="32"/>
          <w:highlight w:val="none"/>
          <w:lang w:val="zh-CN"/>
        </w:rPr>
      </w:pPr>
      <w:bookmarkStart w:id="107" w:name="_Toc7714"/>
      <w:bookmarkStart w:id="108" w:name="_Toc2256"/>
      <w:r>
        <w:rPr>
          <w:rFonts w:hint="eastAsia" w:ascii="楷体_GB2312" w:hAnsi="楷体_GB2312" w:eastAsia="楷体_GB2312" w:cs="楷体_GB2312"/>
          <w:b/>
          <w:color w:val="auto"/>
          <w:sz w:val="32"/>
          <w:szCs w:val="32"/>
          <w:highlight w:val="none"/>
          <w:lang w:val="zh-CN"/>
        </w:rPr>
        <w:t>（一）收入情况。</w:t>
      </w:r>
      <w:bookmarkEnd w:id="107"/>
      <w:bookmarkEnd w:id="108"/>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202</w:t>
      </w:r>
      <w:r>
        <w:rPr>
          <w:rFonts w:hint="eastAsia" w:ascii="Times New Roman" w:hAnsi="Times New Roman" w:eastAsia="仿宋_GB2312" w:cs="Times New Roman"/>
          <w:color w:val="auto"/>
          <w:kern w:val="2"/>
          <w:sz w:val="32"/>
          <w:szCs w:val="32"/>
          <w:highlight w:val="none"/>
          <w:lang w:val="en-US" w:eastAsia="zh-CN" w:bidi="ar-SA"/>
        </w:rPr>
        <w:t>5</w:t>
      </w:r>
      <w:r>
        <w:rPr>
          <w:rFonts w:hint="eastAsia" w:ascii="Times New Roman" w:hAnsi="Times New Roman" w:eastAsia="仿宋_GB2312" w:cs="Times New Roman"/>
          <w:color w:val="auto"/>
          <w:kern w:val="2"/>
          <w:sz w:val="32"/>
          <w:szCs w:val="32"/>
          <w:highlight w:val="none"/>
          <w:lang w:val="zh-CN" w:eastAsia="zh-CN" w:bidi="ar-SA"/>
        </w:rPr>
        <w:t>年部门决算</w:t>
      </w:r>
      <w:r>
        <w:rPr>
          <w:rFonts w:hint="eastAsia" w:ascii="Times New Roman" w:hAnsi="Times New Roman" w:eastAsia="仿宋_GB2312" w:cs="Times New Roman"/>
          <w:color w:val="auto"/>
          <w:kern w:val="2"/>
          <w:sz w:val="32"/>
          <w:szCs w:val="32"/>
          <w:highlight w:val="none"/>
          <w:lang w:val="en-US" w:eastAsia="zh-CN" w:bidi="ar-SA"/>
        </w:rPr>
        <w:t>支出</w:t>
      </w:r>
      <w:r>
        <w:rPr>
          <w:rFonts w:hint="eastAsia" w:ascii="Times New Roman" w:hAnsi="Times New Roman" w:eastAsia="仿宋_GB2312" w:cs="Times New Roman"/>
          <w:color w:val="auto"/>
          <w:kern w:val="2"/>
          <w:sz w:val="32"/>
          <w:szCs w:val="32"/>
          <w:highlight w:val="none"/>
          <w:lang w:val="zh-CN" w:eastAsia="zh-CN" w:bidi="ar-SA"/>
        </w:rPr>
        <w:t>为</w:t>
      </w:r>
      <w:r>
        <w:rPr>
          <w:rFonts w:hint="eastAsia" w:ascii="Times New Roman" w:hAnsi="Times New Roman" w:eastAsia="仿宋_GB2312" w:cs="Times New Roman"/>
          <w:color w:val="auto"/>
          <w:kern w:val="2"/>
          <w:sz w:val="32"/>
          <w:szCs w:val="32"/>
          <w:highlight w:val="none"/>
          <w:lang w:val="en-US" w:eastAsia="zh-CN" w:bidi="ar-SA"/>
        </w:rPr>
        <w:t>97474416.42</w:t>
      </w:r>
      <w:r>
        <w:rPr>
          <w:rFonts w:hint="eastAsia" w:ascii="Times New Roman" w:hAnsi="Times New Roman" w:eastAsia="仿宋_GB2312" w:cs="Times New Roman"/>
          <w:color w:val="auto"/>
          <w:kern w:val="2"/>
          <w:sz w:val="32"/>
          <w:szCs w:val="32"/>
          <w:highlight w:val="none"/>
          <w:lang w:val="zh-CN" w:eastAsia="zh-CN" w:bidi="ar-SA"/>
        </w:rPr>
        <w:t>元，其中民政管理事务收入</w:t>
      </w:r>
      <w:r>
        <w:rPr>
          <w:rFonts w:hint="eastAsia" w:ascii="Times New Roman" w:hAnsi="Times New Roman" w:eastAsia="仿宋_GB2312" w:cs="Times New Roman"/>
          <w:color w:val="auto"/>
          <w:kern w:val="2"/>
          <w:sz w:val="32"/>
          <w:szCs w:val="32"/>
          <w:highlight w:val="none"/>
          <w:lang w:val="en-US" w:eastAsia="zh-CN" w:bidi="ar-SA"/>
        </w:rPr>
        <w:t>4872897.2</w:t>
      </w:r>
      <w:r>
        <w:rPr>
          <w:rFonts w:hint="eastAsia" w:ascii="Times New Roman" w:hAnsi="Times New Roman" w:eastAsia="仿宋_GB2312" w:cs="Times New Roman"/>
          <w:color w:val="auto"/>
          <w:kern w:val="2"/>
          <w:sz w:val="32"/>
          <w:szCs w:val="32"/>
          <w:highlight w:val="none"/>
          <w:lang w:val="zh-CN" w:eastAsia="zh-CN" w:bidi="ar-SA"/>
        </w:rPr>
        <w:t>元、行政事业单位养老支出</w:t>
      </w:r>
      <w:r>
        <w:rPr>
          <w:rFonts w:hint="eastAsia" w:ascii="Times New Roman" w:hAnsi="Times New Roman" w:eastAsia="仿宋_GB2312" w:cs="Times New Roman"/>
          <w:color w:val="auto"/>
          <w:kern w:val="2"/>
          <w:sz w:val="32"/>
          <w:szCs w:val="32"/>
          <w:highlight w:val="none"/>
          <w:lang w:val="en-US" w:eastAsia="zh-CN" w:bidi="ar-SA"/>
        </w:rPr>
        <w:t>2500696.16</w:t>
      </w:r>
      <w:r>
        <w:rPr>
          <w:rFonts w:hint="eastAsia" w:ascii="Times New Roman" w:hAnsi="Times New Roman" w:eastAsia="仿宋_GB2312" w:cs="Times New Roman"/>
          <w:color w:val="auto"/>
          <w:kern w:val="2"/>
          <w:sz w:val="32"/>
          <w:szCs w:val="32"/>
          <w:highlight w:val="none"/>
          <w:lang w:val="zh-CN" w:eastAsia="zh-CN" w:bidi="ar-SA"/>
        </w:rPr>
        <w:t>元、</w:t>
      </w:r>
      <w:r>
        <w:rPr>
          <w:rFonts w:hint="eastAsia" w:ascii="Times New Roman" w:hAnsi="Times New Roman" w:eastAsia="仿宋_GB2312" w:cs="Times New Roman"/>
          <w:color w:val="auto"/>
          <w:kern w:val="2"/>
          <w:sz w:val="32"/>
          <w:szCs w:val="32"/>
          <w:highlight w:val="none"/>
          <w:lang w:val="en-US" w:eastAsia="zh-CN" w:bidi="ar-SA"/>
        </w:rPr>
        <w:t>抚恤金223295.5元、</w:t>
      </w:r>
      <w:r>
        <w:rPr>
          <w:rFonts w:hint="eastAsia" w:ascii="Times New Roman" w:hAnsi="Times New Roman" w:eastAsia="仿宋_GB2312" w:cs="Times New Roman"/>
          <w:color w:val="auto"/>
          <w:kern w:val="2"/>
          <w:sz w:val="32"/>
          <w:szCs w:val="32"/>
          <w:highlight w:val="none"/>
          <w:lang w:val="zh-CN" w:eastAsia="zh-CN" w:bidi="ar-SA"/>
        </w:rPr>
        <w:t>社会福利</w:t>
      </w:r>
      <w:r>
        <w:rPr>
          <w:rFonts w:hint="eastAsia" w:ascii="Times New Roman" w:hAnsi="Times New Roman" w:eastAsia="仿宋_GB2312" w:cs="Times New Roman"/>
          <w:color w:val="auto"/>
          <w:kern w:val="2"/>
          <w:sz w:val="32"/>
          <w:szCs w:val="32"/>
          <w:highlight w:val="none"/>
          <w:lang w:val="en-US" w:eastAsia="zh-CN" w:bidi="ar-SA"/>
        </w:rPr>
        <w:t>12774612.39</w:t>
      </w:r>
      <w:r>
        <w:rPr>
          <w:rFonts w:hint="eastAsia" w:ascii="Times New Roman" w:hAnsi="Times New Roman" w:eastAsia="仿宋_GB2312" w:cs="Times New Roman"/>
          <w:color w:val="auto"/>
          <w:kern w:val="2"/>
          <w:sz w:val="32"/>
          <w:szCs w:val="32"/>
          <w:highlight w:val="none"/>
          <w:lang w:val="zh-CN" w:eastAsia="zh-CN" w:bidi="ar-SA"/>
        </w:rPr>
        <w:t>元、残疾人事业</w:t>
      </w:r>
      <w:r>
        <w:rPr>
          <w:rFonts w:hint="eastAsia" w:ascii="Times New Roman" w:hAnsi="Times New Roman" w:eastAsia="仿宋_GB2312" w:cs="Times New Roman"/>
          <w:color w:val="auto"/>
          <w:kern w:val="2"/>
          <w:sz w:val="32"/>
          <w:szCs w:val="32"/>
          <w:highlight w:val="none"/>
          <w:lang w:val="en-US" w:eastAsia="zh-CN" w:bidi="ar-SA"/>
        </w:rPr>
        <w:t>3127850</w:t>
      </w:r>
      <w:r>
        <w:rPr>
          <w:rFonts w:hint="eastAsia" w:ascii="Times New Roman" w:hAnsi="Times New Roman" w:eastAsia="仿宋_GB2312" w:cs="Times New Roman"/>
          <w:color w:val="auto"/>
          <w:kern w:val="2"/>
          <w:sz w:val="32"/>
          <w:szCs w:val="32"/>
          <w:highlight w:val="none"/>
          <w:lang w:val="zh-CN" w:eastAsia="zh-CN" w:bidi="ar-SA"/>
        </w:rPr>
        <w:t>元、最低生活保障</w:t>
      </w:r>
      <w:r>
        <w:rPr>
          <w:rFonts w:hint="eastAsia" w:ascii="Times New Roman" w:hAnsi="Times New Roman" w:eastAsia="仿宋_GB2312" w:cs="Times New Roman"/>
          <w:color w:val="auto"/>
          <w:kern w:val="2"/>
          <w:sz w:val="32"/>
          <w:szCs w:val="32"/>
          <w:highlight w:val="none"/>
          <w:lang w:val="en-US" w:eastAsia="zh-CN" w:bidi="ar-SA"/>
        </w:rPr>
        <w:t>57775123</w:t>
      </w:r>
      <w:r>
        <w:rPr>
          <w:rFonts w:hint="eastAsia" w:ascii="Times New Roman" w:hAnsi="Times New Roman" w:eastAsia="仿宋_GB2312" w:cs="Times New Roman"/>
          <w:color w:val="auto"/>
          <w:kern w:val="2"/>
          <w:sz w:val="32"/>
          <w:szCs w:val="32"/>
          <w:highlight w:val="none"/>
          <w:lang w:val="zh-CN" w:eastAsia="zh-CN" w:bidi="ar-SA"/>
        </w:rPr>
        <w:t>元、临时救助</w:t>
      </w:r>
      <w:r>
        <w:rPr>
          <w:rFonts w:hint="eastAsia" w:ascii="Times New Roman" w:hAnsi="Times New Roman" w:eastAsia="仿宋_GB2312" w:cs="Times New Roman"/>
          <w:color w:val="auto"/>
          <w:kern w:val="2"/>
          <w:sz w:val="32"/>
          <w:szCs w:val="32"/>
          <w:highlight w:val="none"/>
          <w:lang w:val="en-US" w:eastAsia="zh-CN" w:bidi="ar-SA"/>
        </w:rPr>
        <w:t>635045</w:t>
      </w:r>
      <w:r>
        <w:rPr>
          <w:rFonts w:hint="eastAsia" w:ascii="Times New Roman" w:hAnsi="Times New Roman" w:eastAsia="仿宋_GB2312" w:cs="Times New Roman"/>
          <w:color w:val="auto"/>
          <w:kern w:val="2"/>
          <w:sz w:val="32"/>
          <w:szCs w:val="32"/>
          <w:highlight w:val="none"/>
          <w:lang w:val="zh-CN" w:eastAsia="zh-CN" w:bidi="ar-SA"/>
        </w:rPr>
        <w:t>元、特困人员救助供养</w:t>
      </w:r>
      <w:r>
        <w:rPr>
          <w:rFonts w:hint="eastAsia" w:ascii="Times New Roman" w:hAnsi="Times New Roman" w:eastAsia="仿宋_GB2312" w:cs="Times New Roman"/>
          <w:color w:val="auto"/>
          <w:kern w:val="2"/>
          <w:sz w:val="32"/>
          <w:szCs w:val="32"/>
          <w:highlight w:val="none"/>
          <w:lang w:val="en-US" w:eastAsia="zh-CN" w:bidi="ar-SA"/>
        </w:rPr>
        <w:t>12184491.29</w:t>
      </w:r>
      <w:r>
        <w:rPr>
          <w:rFonts w:hint="eastAsia" w:ascii="Times New Roman" w:hAnsi="Times New Roman" w:eastAsia="仿宋_GB2312" w:cs="Times New Roman"/>
          <w:color w:val="auto"/>
          <w:kern w:val="2"/>
          <w:sz w:val="32"/>
          <w:szCs w:val="32"/>
          <w:highlight w:val="none"/>
          <w:lang w:val="zh-CN" w:eastAsia="zh-CN" w:bidi="ar-SA"/>
        </w:rPr>
        <w:t>元、卫生健康支出</w:t>
      </w:r>
      <w:r>
        <w:rPr>
          <w:rFonts w:hint="eastAsia" w:ascii="Times New Roman" w:hAnsi="Times New Roman" w:eastAsia="仿宋_GB2312" w:cs="Times New Roman"/>
          <w:color w:val="auto"/>
          <w:kern w:val="2"/>
          <w:sz w:val="32"/>
          <w:szCs w:val="32"/>
          <w:highlight w:val="none"/>
          <w:lang w:val="en-US" w:eastAsia="zh-CN" w:bidi="ar-SA"/>
        </w:rPr>
        <w:t>918711.9</w:t>
      </w:r>
      <w:r>
        <w:rPr>
          <w:rFonts w:hint="eastAsia" w:ascii="Times New Roman" w:hAnsi="Times New Roman" w:eastAsia="仿宋_GB2312" w:cs="Times New Roman"/>
          <w:color w:val="auto"/>
          <w:kern w:val="2"/>
          <w:sz w:val="32"/>
          <w:szCs w:val="32"/>
          <w:highlight w:val="none"/>
          <w:lang w:val="zh-CN" w:eastAsia="zh-CN" w:bidi="ar-SA"/>
        </w:rPr>
        <w:t>元、住房保障支出130</w:t>
      </w:r>
      <w:r>
        <w:rPr>
          <w:rFonts w:hint="eastAsia" w:ascii="Times New Roman" w:hAnsi="Times New Roman" w:eastAsia="仿宋_GB2312" w:cs="Times New Roman"/>
          <w:color w:val="auto"/>
          <w:kern w:val="2"/>
          <w:sz w:val="32"/>
          <w:szCs w:val="32"/>
          <w:highlight w:val="none"/>
          <w:lang w:val="en-US" w:eastAsia="zh-CN" w:bidi="ar-SA"/>
        </w:rPr>
        <w:t>5992</w:t>
      </w:r>
      <w:r>
        <w:rPr>
          <w:rFonts w:hint="eastAsia" w:ascii="Times New Roman" w:hAnsi="Times New Roman" w:eastAsia="仿宋_GB2312" w:cs="Times New Roman"/>
          <w:color w:val="auto"/>
          <w:kern w:val="2"/>
          <w:sz w:val="32"/>
          <w:szCs w:val="32"/>
          <w:highlight w:val="none"/>
          <w:lang w:val="zh-CN" w:eastAsia="zh-CN" w:bidi="ar-SA"/>
        </w:rPr>
        <w:t>元、其他支出</w:t>
      </w:r>
      <w:r>
        <w:rPr>
          <w:rFonts w:hint="eastAsia" w:ascii="Times New Roman" w:hAnsi="Times New Roman" w:eastAsia="仿宋_GB2312" w:cs="Times New Roman"/>
          <w:color w:val="auto"/>
          <w:kern w:val="2"/>
          <w:sz w:val="32"/>
          <w:szCs w:val="32"/>
          <w:highlight w:val="none"/>
          <w:lang w:val="en-US" w:eastAsia="zh-CN" w:bidi="ar-SA"/>
        </w:rPr>
        <w:t>1101657.19</w:t>
      </w:r>
      <w:r>
        <w:rPr>
          <w:rFonts w:hint="eastAsia" w:ascii="Times New Roman" w:hAnsi="Times New Roman" w:eastAsia="仿宋_GB2312" w:cs="Times New Roman"/>
          <w:color w:val="auto"/>
          <w:kern w:val="2"/>
          <w:sz w:val="32"/>
          <w:szCs w:val="32"/>
          <w:highlight w:val="none"/>
          <w:lang w:val="zh-CN" w:eastAsia="zh-CN" w:bidi="ar-SA"/>
        </w:rPr>
        <w:t>元、社会工作事务</w:t>
      </w:r>
      <w:r>
        <w:rPr>
          <w:rFonts w:hint="eastAsia" w:ascii="Times New Roman" w:hAnsi="Times New Roman" w:eastAsia="仿宋_GB2312" w:cs="Times New Roman"/>
          <w:color w:val="auto"/>
          <w:kern w:val="2"/>
          <w:sz w:val="32"/>
          <w:szCs w:val="32"/>
          <w:highlight w:val="none"/>
          <w:lang w:val="en-US" w:eastAsia="zh-CN" w:bidi="ar-SA"/>
        </w:rPr>
        <w:t>54044.79元</w:t>
      </w:r>
      <w:r>
        <w:rPr>
          <w:rFonts w:hint="eastAsia" w:ascii="Times New Roman" w:hAnsi="Times New Roman" w:eastAsia="仿宋_GB2312" w:cs="Times New Roman"/>
          <w:color w:val="auto"/>
          <w:kern w:val="2"/>
          <w:sz w:val="32"/>
          <w:szCs w:val="32"/>
          <w:highlight w:val="none"/>
          <w:lang w:val="zh-CN" w:eastAsia="zh-CN" w:bidi="ar-SA"/>
        </w:rPr>
        <w:t>。</w:t>
      </w:r>
    </w:p>
    <w:p>
      <w:pPr>
        <w:spacing w:before="0" w:after="0" w:line="560" w:lineRule="exact"/>
        <w:ind w:firstLine="642" w:firstLineChars="200"/>
        <w:jc w:val="left"/>
        <w:outlineLvl w:val="9"/>
        <w:rPr>
          <w:rFonts w:hint="eastAsia" w:ascii="楷体_GB2312" w:hAnsi="楷体_GB2312" w:eastAsia="楷体_GB2312" w:cs="楷体_GB2312"/>
          <w:b/>
          <w:color w:val="auto"/>
          <w:sz w:val="32"/>
          <w:szCs w:val="32"/>
          <w:highlight w:val="none"/>
          <w:lang w:val="zh-CN"/>
        </w:rPr>
      </w:pPr>
      <w:bookmarkStart w:id="109" w:name="_Toc20437"/>
      <w:bookmarkStart w:id="110" w:name="_Toc8698"/>
      <w:r>
        <w:rPr>
          <w:rFonts w:hint="eastAsia" w:ascii="楷体_GB2312" w:hAnsi="楷体_GB2312" w:eastAsia="楷体_GB2312" w:cs="楷体_GB2312"/>
          <w:b/>
          <w:color w:val="auto"/>
          <w:sz w:val="32"/>
          <w:szCs w:val="32"/>
          <w:highlight w:val="none"/>
          <w:lang w:val="zh-CN"/>
        </w:rPr>
        <w:t>（</w:t>
      </w:r>
      <w:r>
        <w:rPr>
          <w:rFonts w:hint="eastAsia" w:ascii="楷体_GB2312" w:hAnsi="楷体_GB2312" w:eastAsia="楷体_GB2312" w:cs="楷体_GB2312"/>
          <w:b/>
          <w:color w:val="auto"/>
          <w:sz w:val="32"/>
          <w:szCs w:val="32"/>
          <w:highlight w:val="none"/>
          <w:lang w:val="en-US" w:eastAsia="zh-CN"/>
        </w:rPr>
        <w:t>二</w:t>
      </w:r>
      <w:r>
        <w:rPr>
          <w:rFonts w:hint="eastAsia" w:ascii="楷体_GB2312" w:hAnsi="楷体_GB2312" w:eastAsia="楷体_GB2312" w:cs="楷体_GB2312"/>
          <w:b/>
          <w:color w:val="auto"/>
          <w:sz w:val="32"/>
          <w:szCs w:val="32"/>
          <w:highlight w:val="none"/>
          <w:lang w:val="zh-CN"/>
        </w:rPr>
        <w:t>）支出情况。</w:t>
      </w:r>
      <w:bookmarkEnd w:id="109"/>
      <w:bookmarkEnd w:id="110"/>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2025年部门决算支出为97474416.42元，其中民政管理事务收入4872897.2元、行政事业单位养老支出2500696.16元、抚恤金223295.5元、社会福利12774612.39元、残疾人事业3127850元、最低生活保障57775123元、临时救助635045元、特困人员救助供养12184491.29元、卫生健康支出918711.9元、住房保障支出1305992元、其他支出1101657.19元、社会工作事务54044.79元。</w:t>
      </w:r>
    </w:p>
    <w:p>
      <w:pPr>
        <w:spacing w:before="0" w:after="0" w:line="560" w:lineRule="exact"/>
        <w:ind w:firstLine="642" w:firstLineChars="200"/>
        <w:jc w:val="left"/>
        <w:outlineLvl w:val="9"/>
        <w:rPr>
          <w:rFonts w:hint="eastAsia" w:ascii="楷体_GB2312" w:hAnsi="楷体_GB2312" w:eastAsia="楷体_GB2312" w:cs="楷体_GB2312"/>
          <w:b/>
          <w:color w:val="auto"/>
          <w:sz w:val="32"/>
          <w:szCs w:val="32"/>
          <w:highlight w:val="none"/>
          <w:lang w:val="zh-CN"/>
        </w:rPr>
      </w:pPr>
      <w:bookmarkStart w:id="111" w:name="_Toc22492"/>
      <w:bookmarkStart w:id="112" w:name="_Toc22340"/>
      <w:r>
        <w:rPr>
          <w:rFonts w:hint="eastAsia" w:ascii="楷体_GB2312" w:hAnsi="楷体_GB2312" w:eastAsia="楷体_GB2312" w:cs="楷体_GB2312"/>
          <w:b/>
          <w:color w:val="auto"/>
          <w:sz w:val="32"/>
          <w:szCs w:val="32"/>
          <w:highlight w:val="none"/>
          <w:lang w:val="zh-CN"/>
        </w:rPr>
        <w:t>（</w:t>
      </w:r>
      <w:r>
        <w:rPr>
          <w:rFonts w:hint="eastAsia" w:ascii="楷体_GB2312" w:hAnsi="楷体_GB2312" w:eastAsia="楷体_GB2312" w:cs="楷体_GB2312"/>
          <w:b/>
          <w:color w:val="auto"/>
          <w:sz w:val="32"/>
          <w:szCs w:val="32"/>
          <w:highlight w:val="none"/>
          <w:lang w:val="en-US" w:eastAsia="zh-CN"/>
        </w:rPr>
        <w:t>三</w:t>
      </w:r>
      <w:r>
        <w:rPr>
          <w:rFonts w:hint="eastAsia" w:ascii="楷体_GB2312" w:hAnsi="楷体_GB2312" w:eastAsia="楷体_GB2312" w:cs="楷体_GB2312"/>
          <w:b/>
          <w:color w:val="auto"/>
          <w:sz w:val="32"/>
          <w:szCs w:val="32"/>
          <w:highlight w:val="none"/>
          <w:lang w:val="zh-CN"/>
        </w:rPr>
        <w:t>）结余分配和结转结余情况。</w:t>
      </w:r>
      <w:bookmarkEnd w:id="111"/>
      <w:bookmarkEnd w:id="112"/>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en-US" w:eastAsia="zh-CN" w:bidi="ar-SA"/>
        </w:rPr>
        <w:t>2025年决算报表无结转结余情况。</w:t>
      </w:r>
    </w:p>
    <w:p>
      <w:pPr>
        <w:keepNext w:val="0"/>
        <w:keepLines w:val="0"/>
        <w:pageBreakBefore w:val="0"/>
        <w:widowControl w:val="0"/>
        <w:kinsoku/>
        <w:wordWrap/>
        <w:overflowPunct/>
        <w:topLinePunct w:val="0"/>
        <w:autoSpaceDE/>
        <w:autoSpaceDN/>
        <w:bidi w:val="0"/>
        <w:adjustRightInd w:val="0"/>
        <w:snapToGrid w:val="0"/>
        <w:spacing w:before="0" w:after="0" w:line="480" w:lineRule="exact"/>
        <w:ind w:firstLine="640" w:firstLineChars="200"/>
        <w:jc w:val="left"/>
        <w:textAlignment w:val="auto"/>
        <w:rPr>
          <w:rFonts w:hint="eastAsia" w:ascii="黑体" w:hAnsi="黑体" w:eastAsia="黑体" w:cs="黑体"/>
          <w:color w:val="auto"/>
          <w:kern w:val="2"/>
          <w:sz w:val="32"/>
          <w:szCs w:val="32"/>
          <w:highlight w:val="none"/>
          <w:lang w:val="zh-CN" w:eastAsia="zh-CN" w:bidi="ar-SA"/>
        </w:rPr>
      </w:pPr>
      <w:r>
        <w:rPr>
          <w:rFonts w:hint="eastAsia" w:ascii="黑体" w:hAnsi="黑体" w:eastAsia="黑体" w:cs="黑体"/>
          <w:color w:val="auto"/>
          <w:kern w:val="2"/>
          <w:sz w:val="32"/>
          <w:szCs w:val="32"/>
          <w:highlight w:val="none"/>
          <w:lang w:val="zh-CN" w:eastAsia="zh-CN" w:bidi="ar-SA"/>
        </w:rPr>
        <w:t>三、部门预算绩效分析</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楷体_GB2312" w:hAnsi="楷体_GB2312" w:eastAsia="楷体_GB2312" w:cs="楷体_GB2312"/>
          <w:b/>
          <w:color w:val="auto"/>
          <w:sz w:val="32"/>
          <w:szCs w:val="32"/>
          <w:highlight w:val="none"/>
          <w:lang w:val="zh-CN"/>
        </w:rPr>
        <w:t>（一）部门预算总体绩效分析。</w:t>
      </w:r>
      <w:r>
        <w:rPr>
          <w:rFonts w:hint="eastAsia" w:ascii="Times New Roman" w:hAnsi="Times New Roman" w:eastAsia="仿宋_GB2312" w:cs="Times New Roman"/>
          <w:color w:val="auto"/>
          <w:kern w:val="2"/>
          <w:sz w:val="32"/>
          <w:szCs w:val="32"/>
          <w:highlight w:val="none"/>
          <w:lang w:val="zh-CN" w:eastAsia="zh-CN" w:bidi="ar-SA"/>
        </w:rPr>
        <w:t>根据部门预算绩效评价指标体系“总体绩效”涉及二、三级指标进行逐项绩效分析并评分，依次包括履职效能、预算管理、财务管理、资产管理、采购管理等情况。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en-US" w:eastAsia="zh-CN" w:bidi="ar-SA"/>
        </w:rPr>
        <w:t>1.</w:t>
      </w:r>
      <w:r>
        <w:rPr>
          <w:rFonts w:hint="eastAsia" w:ascii="Times New Roman" w:hAnsi="Times New Roman" w:eastAsia="仿宋_GB2312" w:cs="Times New Roman"/>
          <w:color w:val="auto"/>
          <w:kern w:val="2"/>
          <w:sz w:val="32"/>
          <w:szCs w:val="32"/>
          <w:highlight w:val="none"/>
          <w:lang w:val="zh-CN" w:eastAsia="zh-CN" w:bidi="ar-SA"/>
        </w:rPr>
        <w:t>履职效能。</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jc w:val="left"/>
        <w:textAlignment w:val="auto"/>
        <w:rPr>
          <w:rFonts w:hint="eastAsia" w:ascii="Times New Roman" w:hAnsi="Times New Roman" w:eastAsia="仿宋_GB2312" w:cs="Times New Roman"/>
          <w:b/>
          <w:bCs/>
          <w:color w:val="auto"/>
          <w:kern w:val="2"/>
          <w:sz w:val="32"/>
          <w:szCs w:val="32"/>
          <w:highlight w:val="none"/>
          <w:lang w:val="zh-CN" w:eastAsia="zh-CN" w:bidi="ar-SA"/>
        </w:rPr>
      </w:pPr>
      <w:r>
        <w:rPr>
          <w:rFonts w:hint="eastAsia" w:ascii="Times New Roman" w:hAnsi="Times New Roman" w:eastAsia="仿宋_GB2312" w:cs="Times New Roman"/>
          <w:b/>
          <w:bCs/>
          <w:color w:val="auto"/>
          <w:kern w:val="2"/>
          <w:sz w:val="32"/>
          <w:szCs w:val="32"/>
          <w:highlight w:val="none"/>
          <w:lang w:val="zh-CN" w:eastAsia="zh-CN" w:bidi="ar-SA"/>
        </w:rPr>
        <w:t>核心职能目标一：社会救助兜底保障精准高效</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w:t>
      </w:r>
      <w:r>
        <w:rPr>
          <w:rFonts w:hint="eastAsia" w:ascii="Times New Roman" w:hAnsi="Times New Roman" w:eastAsia="仿宋_GB2312" w:cs="Times New Roman"/>
          <w:color w:val="auto"/>
          <w:kern w:val="2"/>
          <w:sz w:val="32"/>
          <w:szCs w:val="32"/>
          <w:highlight w:val="none"/>
          <w:lang w:val="en-US" w:eastAsia="zh-CN" w:bidi="ar-SA"/>
        </w:rPr>
        <w:t>1</w:t>
      </w:r>
      <w:r>
        <w:rPr>
          <w:rFonts w:hint="eastAsia" w:ascii="Times New Roman" w:hAnsi="Times New Roman" w:eastAsia="仿宋_GB2312" w:cs="Times New Roman"/>
          <w:color w:val="auto"/>
          <w:kern w:val="2"/>
          <w:sz w:val="32"/>
          <w:szCs w:val="32"/>
          <w:highlight w:val="none"/>
          <w:lang w:val="zh-CN" w:eastAsia="zh-CN" w:bidi="ar-SA"/>
        </w:rPr>
        <w:t>）目标设定</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构建覆盖全面、精准高效、保障有力的社会救助体系，实现城乡低保、特困人员供养、临时救助、流浪乞讨人员救助等政策应保尽保、应救尽救；精准核定救助对象，杜绝漏保、错保、重复保障问题；按时足额发放各类救助资金，保障困难群众基本生活，提升困难群众救助满意度。</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w:t>
      </w:r>
      <w:r>
        <w:rPr>
          <w:rFonts w:hint="eastAsia" w:ascii="Times New Roman" w:hAnsi="Times New Roman" w:eastAsia="仿宋_GB2312" w:cs="Times New Roman"/>
          <w:color w:val="auto"/>
          <w:kern w:val="2"/>
          <w:sz w:val="32"/>
          <w:szCs w:val="32"/>
          <w:highlight w:val="none"/>
          <w:lang w:val="en-US" w:eastAsia="zh-CN" w:bidi="ar-SA"/>
        </w:rPr>
        <w:t>2</w:t>
      </w:r>
      <w:r>
        <w:rPr>
          <w:rFonts w:hint="eastAsia" w:ascii="Times New Roman" w:hAnsi="Times New Roman" w:eastAsia="仿宋_GB2312" w:cs="Times New Roman"/>
          <w:color w:val="auto"/>
          <w:kern w:val="2"/>
          <w:sz w:val="32"/>
          <w:szCs w:val="32"/>
          <w:highlight w:val="none"/>
          <w:lang w:val="zh-CN" w:eastAsia="zh-CN" w:bidi="ar-SA"/>
        </w:rPr>
        <w:t>）完成效果分析</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en-US" w:eastAsia="zh-CN" w:bidi="ar-SA"/>
        </w:rPr>
        <w:t>一是</w:t>
      </w:r>
      <w:r>
        <w:rPr>
          <w:rFonts w:hint="eastAsia" w:ascii="Times New Roman" w:hAnsi="Times New Roman" w:eastAsia="仿宋_GB2312" w:cs="Times New Roman"/>
          <w:color w:val="auto"/>
          <w:kern w:val="2"/>
          <w:sz w:val="32"/>
          <w:szCs w:val="32"/>
          <w:highlight w:val="none"/>
          <w:lang w:val="zh-CN" w:eastAsia="zh-CN" w:bidi="ar-SA"/>
        </w:rPr>
        <w:t>救助覆盖范围全面达标：严格落实社会救助政策，动态调整城乡低保、特困供养标准，全年新增低保对象</w:t>
      </w:r>
      <w:r>
        <w:rPr>
          <w:rFonts w:hint="eastAsia" w:ascii="Times New Roman" w:hAnsi="Times New Roman" w:eastAsia="仿宋_GB2312" w:cs="Times New Roman"/>
          <w:color w:val="auto"/>
          <w:kern w:val="2"/>
          <w:sz w:val="32"/>
          <w:szCs w:val="32"/>
          <w:highlight w:val="none"/>
          <w:lang w:val="en-US" w:eastAsia="zh-CN" w:bidi="ar-SA"/>
        </w:rPr>
        <w:t>67</w:t>
      </w:r>
      <w:r>
        <w:rPr>
          <w:rFonts w:hint="eastAsia" w:ascii="Times New Roman" w:hAnsi="Times New Roman" w:eastAsia="仿宋_GB2312" w:cs="Times New Roman"/>
          <w:color w:val="auto"/>
          <w:kern w:val="2"/>
          <w:sz w:val="32"/>
          <w:szCs w:val="32"/>
          <w:highlight w:val="none"/>
          <w:lang w:val="zh-CN" w:eastAsia="zh-CN" w:bidi="ar-SA"/>
        </w:rPr>
        <w:t>人、清退不符合条件对象</w:t>
      </w:r>
      <w:r>
        <w:rPr>
          <w:rFonts w:hint="eastAsia" w:ascii="Times New Roman" w:hAnsi="Times New Roman" w:eastAsia="仿宋_GB2312" w:cs="Times New Roman"/>
          <w:color w:val="auto"/>
          <w:kern w:val="2"/>
          <w:sz w:val="32"/>
          <w:szCs w:val="32"/>
          <w:highlight w:val="none"/>
          <w:lang w:val="en-US" w:eastAsia="zh-CN" w:bidi="ar-SA"/>
        </w:rPr>
        <w:t>183</w:t>
      </w:r>
      <w:r>
        <w:rPr>
          <w:rFonts w:hint="eastAsia" w:ascii="Times New Roman" w:hAnsi="Times New Roman" w:eastAsia="仿宋_GB2312" w:cs="Times New Roman"/>
          <w:color w:val="auto"/>
          <w:kern w:val="2"/>
          <w:sz w:val="32"/>
          <w:szCs w:val="32"/>
          <w:highlight w:val="none"/>
          <w:lang w:val="zh-CN" w:eastAsia="zh-CN" w:bidi="ar-SA"/>
        </w:rPr>
        <w:t>人，纳入</w:t>
      </w:r>
      <w:r>
        <w:rPr>
          <w:rFonts w:hint="eastAsia" w:ascii="Times New Roman" w:hAnsi="Times New Roman" w:eastAsia="仿宋_GB2312" w:cs="Times New Roman"/>
          <w:color w:val="auto"/>
          <w:kern w:val="2"/>
          <w:sz w:val="32"/>
          <w:szCs w:val="32"/>
          <w:highlight w:val="none"/>
          <w:lang w:val="en-US" w:eastAsia="zh-CN" w:bidi="ar-SA"/>
        </w:rPr>
        <w:t>分散</w:t>
      </w:r>
      <w:r>
        <w:rPr>
          <w:rFonts w:hint="eastAsia" w:ascii="Times New Roman" w:hAnsi="Times New Roman" w:eastAsia="仿宋_GB2312" w:cs="Times New Roman"/>
          <w:color w:val="auto"/>
          <w:kern w:val="2"/>
          <w:sz w:val="32"/>
          <w:szCs w:val="32"/>
          <w:highlight w:val="none"/>
          <w:lang w:val="zh-CN" w:eastAsia="zh-CN" w:bidi="ar-SA"/>
        </w:rPr>
        <w:t>特困供养人员</w:t>
      </w:r>
      <w:r>
        <w:rPr>
          <w:rFonts w:hint="eastAsia" w:ascii="Times New Roman" w:hAnsi="Times New Roman" w:eastAsia="仿宋_GB2312" w:cs="Times New Roman"/>
          <w:color w:val="auto"/>
          <w:kern w:val="2"/>
          <w:sz w:val="32"/>
          <w:szCs w:val="32"/>
          <w:highlight w:val="none"/>
          <w:lang w:val="en-US" w:eastAsia="zh-CN" w:bidi="ar-SA"/>
        </w:rPr>
        <w:t>27</w:t>
      </w:r>
      <w:r>
        <w:rPr>
          <w:rFonts w:hint="eastAsia" w:ascii="Times New Roman" w:hAnsi="Times New Roman" w:eastAsia="仿宋_GB2312" w:cs="Times New Roman"/>
          <w:color w:val="auto"/>
          <w:kern w:val="2"/>
          <w:sz w:val="32"/>
          <w:szCs w:val="32"/>
          <w:highlight w:val="none"/>
          <w:lang w:val="zh-CN" w:eastAsia="zh-CN" w:bidi="ar-SA"/>
        </w:rPr>
        <w:t>人，临时救助困难群众</w:t>
      </w:r>
      <w:r>
        <w:rPr>
          <w:rFonts w:hint="eastAsia" w:ascii="Times New Roman" w:hAnsi="Times New Roman" w:eastAsia="仿宋_GB2312" w:cs="Times New Roman"/>
          <w:color w:val="auto"/>
          <w:kern w:val="2"/>
          <w:sz w:val="32"/>
          <w:szCs w:val="32"/>
          <w:highlight w:val="none"/>
          <w:lang w:val="en-US" w:eastAsia="zh-CN" w:bidi="ar-SA"/>
        </w:rPr>
        <w:t>888</w:t>
      </w:r>
      <w:r>
        <w:rPr>
          <w:rFonts w:hint="eastAsia" w:ascii="Times New Roman" w:hAnsi="Times New Roman" w:eastAsia="仿宋_GB2312" w:cs="Times New Roman"/>
          <w:color w:val="auto"/>
          <w:kern w:val="2"/>
          <w:sz w:val="32"/>
          <w:szCs w:val="32"/>
          <w:highlight w:val="none"/>
          <w:lang w:val="zh-CN" w:eastAsia="zh-CN" w:bidi="ar-SA"/>
        </w:rPr>
        <w:t>人次，救助流浪乞讨人员</w:t>
      </w:r>
      <w:r>
        <w:rPr>
          <w:rFonts w:hint="eastAsia" w:ascii="Times New Roman" w:hAnsi="Times New Roman" w:eastAsia="仿宋_GB2312" w:cs="Times New Roman"/>
          <w:color w:val="auto"/>
          <w:kern w:val="2"/>
          <w:sz w:val="32"/>
          <w:szCs w:val="32"/>
          <w:highlight w:val="none"/>
          <w:lang w:val="en-US" w:eastAsia="zh-CN" w:bidi="ar-SA"/>
        </w:rPr>
        <w:t>11</w:t>
      </w:r>
      <w:r>
        <w:rPr>
          <w:rFonts w:hint="eastAsia" w:ascii="Times New Roman" w:hAnsi="Times New Roman" w:eastAsia="仿宋_GB2312" w:cs="Times New Roman"/>
          <w:color w:val="auto"/>
          <w:kern w:val="2"/>
          <w:sz w:val="32"/>
          <w:szCs w:val="32"/>
          <w:highlight w:val="none"/>
          <w:lang w:val="zh-CN" w:eastAsia="zh-CN" w:bidi="ar-SA"/>
        </w:rPr>
        <w:t>人次，实现辖区困难群众全覆盖，救助覆盖率达100%，圆满完成“应保尽保、应救尽救”目标。</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en-US" w:eastAsia="zh-CN" w:bidi="ar-SA"/>
        </w:rPr>
        <w:t>二是</w:t>
      </w:r>
      <w:r>
        <w:rPr>
          <w:rFonts w:hint="eastAsia" w:ascii="Times New Roman" w:hAnsi="Times New Roman" w:eastAsia="仿宋_GB2312" w:cs="Times New Roman"/>
          <w:color w:val="auto"/>
          <w:kern w:val="2"/>
          <w:sz w:val="32"/>
          <w:szCs w:val="32"/>
          <w:highlight w:val="none"/>
          <w:lang w:val="zh-CN" w:eastAsia="zh-CN" w:bidi="ar-SA"/>
        </w:rPr>
        <w:t>救助精准度持续提升：依托大数据比对、基层排查、主动发现机制，建立救助对象精准核查体系，救助对象认定准确率达99.5%以上，有效解决“人情保”“关系保”问题，救助资金发放精准率100%，无违规发放、漏发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en-US" w:eastAsia="zh-CN" w:bidi="ar-SA"/>
        </w:rPr>
        <w:t>三是</w:t>
      </w:r>
      <w:r>
        <w:rPr>
          <w:rFonts w:hint="eastAsia" w:ascii="Times New Roman" w:hAnsi="Times New Roman" w:eastAsia="仿宋_GB2312" w:cs="Times New Roman"/>
          <w:color w:val="auto"/>
          <w:kern w:val="2"/>
          <w:sz w:val="32"/>
          <w:szCs w:val="32"/>
          <w:highlight w:val="none"/>
          <w:lang w:val="zh-CN" w:eastAsia="zh-CN" w:bidi="ar-SA"/>
        </w:rPr>
        <w:t>资金保障及时到位：全年累计发放低保金、特困供养金、临时救助金等各类救助资金</w:t>
      </w:r>
      <w:r>
        <w:rPr>
          <w:rFonts w:hint="eastAsia" w:ascii="Times New Roman" w:hAnsi="Times New Roman" w:eastAsia="仿宋_GB2312" w:cs="Times New Roman"/>
          <w:color w:val="auto"/>
          <w:kern w:val="2"/>
          <w:sz w:val="32"/>
          <w:szCs w:val="32"/>
          <w:highlight w:val="none"/>
          <w:lang w:val="en-US" w:eastAsia="zh-CN" w:bidi="ar-SA"/>
        </w:rPr>
        <w:t>7526.6689</w:t>
      </w:r>
      <w:r>
        <w:rPr>
          <w:rFonts w:hint="eastAsia" w:ascii="Times New Roman" w:hAnsi="Times New Roman" w:eastAsia="仿宋_GB2312" w:cs="Times New Roman"/>
          <w:color w:val="auto"/>
          <w:kern w:val="2"/>
          <w:sz w:val="32"/>
          <w:szCs w:val="32"/>
          <w:highlight w:val="none"/>
          <w:lang w:val="zh-CN" w:eastAsia="zh-CN" w:bidi="ar-SA"/>
        </w:rPr>
        <w:t>万元，资金按时发放率100%，切实缓解了困难群众生活压力，筑牢民生保障底线。</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w:t>
      </w:r>
      <w:r>
        <w:rPr>
          <w:rFonts w:hint="eastAsia" w:ascii="Times New Roman" w:hAnsi="Times New Roman" w:eastAsia="仿宋_GB2312" w:cs="Times New Roman"/>
          <w:color w:val="auto"/>
          <w:kern w:val="2"/>
          <w:sz w:val="32"/>
          <w:szCs w:val="32"/>
          <w:highlight w:val="none"/>
          <w:lang w:val="en-US" w:eastAsia="zh-CN" w:bidi="ar-SA"/>
        </w:rPr>
        <w:t>3</w:t>
      </w:r>
      <w:r>
        <w:rPr>
          <w:rFonts w:hint="eastAsia" w:ascii="Times New Roman" w:hAnsi="Times New Roman" w:eastAsia="仿宋_GB2312" w:cs="Times New Roman"/>
          <w:color w:val="auto"/>
          <w:kern w:val="2"/>
          <w:sz w:val="32"/>
          <w:szCs w:val="32"/>
          <w:highlight w:val="none"/>
          <w:lang w:val="zh-CN" w:eastAsia="zh-CN" w:bidi="ar-SA"/>
        </w:rPr>
        <w:t>）存在问题</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部分偏远地区基层救助排查力量不足，主动发现机制落地不够全面；少数困难群众对救助政策知晓度不高，申请流程便捷性仍有提升空间。</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w:t>
      </w:r>
      <w:r>
        <w:rPr>
          <w:rFonts w:hint="eastAsia" w:eastAsia="仿宋_GB2312" w:cs="Times New Roman"/>
          <w:color w:val="auto"/>
          <w:kern w:val="2"/>
          <w:sz w:val="32"/>
          <w:szCs w:val="32"/>
          <w:highlight w:val="none"/>
          <w:lang w:val="en-US" w:eastAsia="zh-CN" w:bidi="ar-SA"/>
        </w:rPr>
        <w:t>4</w:t>
      </w:r>
      <w:r>
        <w:rPr>
          <w:rFonts w:hint="eastAsia" w:ascii="Times New Roman" w:hAnsi="Times New Roman" w:eastAsia="仿宋_GB2312" w:cs="Times New Roman"/>
          <w:color w:val="auto"/>
          <w:kern w:val="2"/>
          <w:sz w:val="32"/>
          <w:szCs w:val="32"/>
          <w:highlight w:val="none"/>
          <w:lang w:val="zh-CN" w:eastAsia="zh-CN" w:bidi="ar-SA"/>
        </w:rPr>
        <w:t>）改进方向</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加强基层民政经办人员培训，充实基层救助工作力量；通过社区宣传、入户讲解、线上推送等方式，加大救助政策宣传力度；简化救助申请审批流程，推进“一网通办”“跨省通办”，提升救助服务便捷度。</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jc w:val="left"/>
        <w:textAlignment w:val="auto"/>
        <w:rPr>
          <w:rFonts w:hint="eastAsia" w:ascii="Times New Roman" w:hAnsi="Times New Roman" w:eastAsia="仿宋_GB2312" w:cs="Times New Roman"/>
          <w:b/>
          <w:bCs/>
          <w:color w:val="auto"/>
          <w:kern w:val="2"/>
          <w:sz w:val="32"/>
          <w:szCs w:val="32"/>
          <w:highlight w:val="none"/>
          <w:lang w:val="zh-CN" w:eastAsia="zh-CN" w:bidi="ar-SA"/>
        </w:rPr>
      </w:pPr>
      <w:r>
        <w:rPr>
          <w:rFonts w:hint="eastAsia" w:ascii="Times New Roman" w:hAnsi="Times New Roman" w:eastAsia="仿宋_GB2312" w:cs="Times New Roman"/>
          <w:b/>
          <w:bCs/>
          <w:color w:val="auto"/>
          <w:kern w:val="2"/>
          <w:sz w:val="32"/>
          <w:szCs w:val="32"/>
          <w:highlight w:val="none"/>
          <w:lang w:val="zh-CN" w:eastAsia="zh-CN" w:bidi="ar-SA"/>
        </w:rPr>
        <w:t>核心职能目标二：养老服务体系建设提质增效</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w:t>
      </w:r>
      <w:r>
        <w:rPr>
          <w:rFonts w:hint="eastAsia" w:ascii="Times New Roman" w:hAnsi="Times New Roman" w:eastAsia="仿宋_GB2312" w:cs="Times New Roman"/>
          <w:color w:val="auto"/>
          <w:kern w:val="2"/>
          <w:sz w:val="32"/>
          <w:szCs w:val="32"/>
          <w:highlight w:val="none"/>
          <w:lang w:val="en-US" w:eastAsia="zh-CN" w:bidi="ar-SA"/>
        </w:rPr>
        <w:t>1</w:t>
      </w:r>
      <w:r>
        <w:rPr>
          <w:rFonts w:hint="eastAsia" w:ascii="Times New Roman" w:hAnsi="Times New Roman" w:eastAsia="仿宋_GB2312" w:cs="Times New Roman"/>
          <w:color w:val="auto"/>
          <w:kern w:val="2"/>
          <w:sz w:val="32"/>
          <w:szCs w:val="32"/>
          <w:highlight w:val="none"/>
          <w:lang w:val="zh-CN" w:eastAsia="zh-CN" w:bidi="ar-SA"/>
        </w:rPr>
        <w:t>）目标设定</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完善居家社区机构相协调、医养康养相结合的养老服务体系；提升养老机构服务质量，规范养老服务运营管理；扩大居家社区养老服务覆盖面，满足老年人多样化养老需求；落实老年人福利补贴政策，保障老年人合法权益，提升老年人生活幸福感。</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w:t>
      </w:r>
      <w:r>
        <w:rPr>
          <w:rFonts w:hint="eastAsia" w:eastAsia="仿宋_GB2312" w:cs="Times New Roman"/>
          <w:color w:val="auto"/>
          <w:kern w:val="2"/>
          <w:sz w:val="32"/>
          <w:szCs w:val="32"/>
          <w:highlight w:val="none"/>
          <w:lang w:val="en-US" w:eastAsia="zh-CN" w:bidi="ar-SA"/>
        </w:rPr>
        <w:t>2</w:t>
      </w:r>
      <w:r>
        <w:rPr>
          <w:rFonts w:hint="eastAsia" w:ascii="Times New Roman" w:hAnsi="Times New Roman" w:eastAsia="仿宋_GB2312" w:cs="Times New Roman"/>
          <w:color w:val="auto"/>
          <w:kern w:val="2"/>
          <w:sz w:val="32"/>
          <w:szCs w:val="32"/>
          <w:highlight w:val="none"/>
          <w:lang w:val="zh-CN" w:eastAsia="zh-CN" w:bidi="ar-SA"/>
        </w:rPr>
        <w:t>）完成效果分析</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eastAsia="仿宋_GB2312" w:cs="Times New Roman"/>
          <w:color w:val="auto"/>
          <w:kern w:val="2"/>
          <w:sz w:val="32"/>
          <w:szCs w:val="32"/>
          <w:highlight w:val="none"/>
          <w:lang w:val="en-US" w:eastAsia="zh-CN" w:bidi="ar-SA"/>
        </w:rPr>
        <w:t>一是</w:t>
      </w:r>
      <w:r>
        <w:rPr>
          <w:rFonts w:hint="default" w:ascii="Times New Roman" w:hAnsi="Times New Roman" w:eastAsia="仿宋_GB2312" w:cs="Times New Roman"/>
          <w:color w:val="auto"/>
          <w:kern w:val="2"/>
          <w:sz w:val="32"/>
          <w:szCs w:val="32"/>
          <w:highlight w:val="none"/>
          <w:lang w:val="en-US" w:eastAsia="zh-CN" w:bidi="ar-SA"/>
        </w:rPr>
        <w:t>充分整合养老资源</w:t>
      </w:r>
      <w:r>
        <w:rPr>
          <w:rFonts w:hint="eastAsia" w:ascii="Times New Roman" w:hAnsi="Times New Roman" w:eastAsia="仿宋_GB2312" w:cs="Times New Roman"/>
          <w:color w:val="auto"/>
          <w:kern w:val="2"/>
          <w:sz w:val="32"/>
          <w:szCs w:val="32"/>
          <w:highlight w:val="none"/>
          <w:lang w:val="en-US" w:eastAsia="zh-CN" w:bidi="ar-SA"/>
        </w:rPr>
        <w:t>，稳步实施“三个一批”，以提高集中特困入住率、整治安全隐患点治理为目标，建设具备服务辐射功能的示范性农村区域养老服务中心，</w:t>
      </w:r>
      <w:r>
        <w:rPr>
          <w:rFonts w:hint="default" w:ascii="Times New Roman" w:hAnsi="Times New Roman" w:eastAsia="仿宋_GB2312" w:cs="Times New Roman"/>
          <w:color w:val="auto"/>
          <w:kern w:val="2"/>
          <w:sz w:val="32"/>
          <w:szCs w:val="32"/>
          <w:highlight w:val="none"/>
          <w:lang w:val="en-US" w:eastAsia="zh-CN" w:bidi="ar-SA"/>
        </w:rPr>
        <w:t>将分散条件有限的敬老院合并</w:t>
      </w:r>
      <w:r>
        <w:rPr>
          <w:rFonts w:hint="eastAsia" w:ascii="Times New Roman" w:hAnsi="Times New Roman" w:eastAsia="仿宋_GB2312" w:cs="Times New Roman"/>
          <w:color w:val="auto"/>
          <w:kern w:val="2"/>
          <w:sz w:val="32"/>
          <w:szCs w:val="32"/>
          <w:highlight w:val="none"/>
          <w:lang w:val="en-US" w:eastAsia="zh-CN" w:bidi="ar-SA"/>
        </w:rPr>
        <w:t>，推动公办养老机构优化整合工作；常态化做好养老机构消防、食品、森林草原防灭火、防汛等安全生产工作，将养老机构纳入安全生产微网适格化，实行“问题清单+整改清单+销号清单”三项清单式管理，坚持开展</w:t>
      </w:r>
      <w:r>
        <w:rPr>
          <w:rFonts w:hint="default" w:ascii="Times New Roman" w:hAnsi="Times New Roman" w:eastAsia="仿宋_GB2312" w:cs="Times New Roman"/>
          <w:color w:val="auto"/>
          <w:kern w:val="2"/>
          <w:sz w:val="32"/>
          <w:szCs w:val="32"/>
          <w:highlight w:val="none"/>
          <w:lang w:val="en-US" w:eastAsia="zh-CN" w:bidi="ar-SA"/>
        </w:rPr>
        <w:t>“每周一跑安全演练”</w:t>
      </w:r>
      <w:r>
        <w:rPr>
          <w:rFonts w:hint="eastAsia" w:ascii="Times New Roman" w:hAnsi="Times New Roman" w:eastAsia="仿宋_GB2312" w:cs="Times New Roman"/>
          <w:color w:val="auto"/>
          <w:kern w:val="2"/>
          <w:sz w:val="32"/>
          <w:szCs w:val="32"/>
          <w:highlight w:val="none"/>
          <w:lang w:val="en-US" w:eastAsia="zh-CN" w:bidi="ar-SA"/>
        </w:rPr>
        <w:t>，有效形成安全生产闭环，将安全生产责任落实到“最后一米”，全年未发生一起安全生产事故。</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eastAsia="仿宋_GB2312" w:cs="Times New Roman"/>
          <w:color w:val="auto"/>
          <w:kern w:val="2"/>
          <w:sz w:val="32"/>
          <w:szCs w:val="32"/>
          <w:highlight w:val="none"/>
          <w:lang w:val="en-US" w:eastAsia="zh-CN" w:bidi="ar-SA"/>
        </w:rPr>
        <w:t>二是</w:t>
      </w:r>
      <w:r>
        <w:rPr>
          <w:rFonts w:hint="eastAsia" w:ascii="Times New Roman" w:hAnsi="Times New Roman" w:eastAsia="仿宋_GB2312" w:cs="Times New Roman"/>
          <w:color w:val="auto"/>
          <w:kern w:val="2"/>
          <w:sz w:val="32"/>
          <w:szCs w:val="32"/>
          <w:highlight w:val="none"/>
          <w:lang w:val="en-US" w:eastAsia="zh-CN" w:bidi="ar-SA"/>
        </w:rPr>
        <w:t>整合资金20万元，</w:t>
      </w:r>
      <w:r>
        <w:rPr>
          <w:rFonts w:hint="eastAsia" w:ascii="Times New Roman" w:hAnsi="Times New Roman" w:eastAsia="仿宋_GB2312" w:cs="Times New Roman"/>
          <w:color w:val="auto"/>
          <w:kern w:val="2"/>
          <w:sz w:val="32"/>
          <w:szCs w:val="32"/>
          <w:highlight w:val="none"/>
          <w:rtl w:val="0"/>
          <w:lang w:val="en-US" w:eastAsia="zh-CN" w:bidi="ar-SA"/>
        </w:rPr>
        <w:t>实施</w:t>
      </w:r>
      <w:r>
        <w:rPr>
          <w:rFonts w:hint="eastAsia" w:ascii="Times New Roman" w:hAnsi="Times New Roman" w:eastAsia="仿宋_GB2312" w:cs="Times New Roman"/>
          <w:color w:val="auto"/>
          <w:kern w:val="2"/>
          <w:sz w:val="32"/>
          <w:szCs w:val="32"/>
          <w:highlight w:val="none"/>
          <w:lang w:val="en-US" w:eastAsia="zh-CN" w:bidi="ar-SA"/>
        </w:rPr>
        <w:t>“天府银龄”老年志愿服务项目；整合资金62.8万元，为全县2000余名居家养老对象，提供“助餐、助医、助卫”服务；整合资金104.2万元，实施1004户特困老年人家庭适老化改造项目；开展“留守散居特困探访+集中供养定期陪餐”模式，签订照料护理协议，建立集中特困“一人一档”健康档案；全年为80岁以上853名老人发放高龄津贴88.16万元。</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eastAsia="仿宋_GB2312" w:cs="Times New Roman"/>
          <w:color w:val="auto"/>
          <w:kern w:val="2"/>
          <w:sz w:val="32"/>
          <w:szCs w:val="32"/>
          <w:highlight w:val="none"/>
          <w:lang w:val="en-US" w:eastAsia="zh-CN" w:bidi="ar-SA"/>
        </w:rPr>
        <w:t>三是</w:t>
      </w:r>
      <w:r>
        <w:rPr>
          <w:rFonts w:hint="eastAsia" w:ascii="Times New Roman" w:hAnsi="Times New Roman" w:eastAsia="仿宋_GB2312" w:cs="Times New Roman"/>
          <w:color w:val="auto"/>
          <w:kern w:val="2"/>
          <w:sz w:val="32"/>
          <w:szCs w:val="32"/>
          <w:highlight w:val="none"/>
          <w:lang w:val="zh-CN" w:eastAsia="zh-CN" w:bidi="ar-SA"/>
        </w:rPr>
        <w:t>普惠养老服务持续拓展</w:t>
      </w:r>
      <w:r>
        <w:rPr>
          <w:rFonts w:hint="eastAsia" w:eastAsia="仿宋_GB2312" w:cs="Times New Roman"/>
          <w:color w:val="auto"/>
          <w:kern w:val="2"/>
          <w:sz w:val="32"/>
          <w:szCs w:val="32"/>
          <w:highlight w:val="none"/>
          <w:lang w:val="zh-CN" w:eastAsia="zh-CN" w:bidi="ar-SA"/>
        </w:rPr>
        <w:t>，</w:t>
      </w:r>
      <w:r>
        <w:rPr>
          <w:rFonts w:hint="eastAsia" w:ascii="Times New Roman" w:hAnsi="Times New Roman" w:eastAsia="仿宋_GB2312" w:cs="Times New Roman"/>
          <w:color w:val="auto"/>
          <w:kern w:val="2"/>
          <w:sz w:val="32"/>
          <w:szCs w:val="32"/>
          <w:highlight w:val="none"/>
          <w:lang w:val="zh-CN" w:eastAsia="zh-CN" w:bidi="ar-SA"/>
        </w:rPr>
        <w:t>居家养老服务</w:t>
      </w:r>
      <w:r>
        <w:rPr>
          <w:rFonts w:hint="eastAsia" w:ascii="Times New Roman" w:hAnsi="Times New Roman" w:eastAsia="仿宋_GB2312" w:cs="Times New Roman"/>
          <w:color w:val="auto"/>
          <w:kern w:val="2"/>
          <w:sz w:val="32"/>
          <w:szCs w:val="32"/>
          <w:highlight w:val="none"/>
          <w:lang w:val="en-US" w:eastAsia="zh-CN" w:bidi="ar-SA"/>
        </w:rPr>
        <w:t>2000余人</w:t>
      </w:r>
      <w:r>
        <w:rPr>
          <w:rFonts w:hint="eastAsia" w:ascii="Times New Roman" w:hAnsi="Times New Roman" w:eastAsia="仿宋_GB2312" w:cs="Times New Roman"/>
          <w:color w:val="auto"/>
          <w:kern w:val="2"/>
          <w:sz w:val="32"/>
          <w:szCs w:val="32"/>
          <w:highlight w:val="none"/>
          <w:lang w:val="zh-CN" w:eastAsia="zh-CN" w:bidi="ar-SA"/>
        </w:rPr>
        <w:t>次，有效满足老年人日常照料、精神文化需求，老年人对养老服务满意度达97%。</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w:t>
      </w:r>
      <w:r>
        <w:rPr>
          <w:rFonts w:hint="eastAsia" w:eastAsia="仿宋_GB2312" w:cs="Times New Roman"/>
          <w:color w:val="auto"/>
          <w:kern w:val="2"/>
          <w:sz w:val="32"/>
          <w:szCs w:val="32"/>
          <w:highlight w:val="none"/>
          <w:lang w:val="en-US" w:eastAsia="zh-CN" w:bidi="ar-SA"/>
        </w:rPr>
        <w:t>3</w:t>
      </w:r>
      <w:r>
        <w:rPr>
          <w:rFonts w:hint="eastAsia" w:ascii="Times New Roman" w:hAnsi="Times New Roman" w:eastAsia="仿宋_GB2312" w:cs="Times New Roman"/>
          <w:color w:val="auto"/>
          <w:kern w:val="2"/>
          <w:sz w:val="32"/>
          <w:szCs w:val="32"/>
          <w:highlight w:val="none"/>
          <w:lang w:val="zh-CN" w:eastAsia="zh-CN" w:bidi="ar-SA"/>
        </w:rPr>
        <w:t>）存在问题</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农村养老服务设施功能相对单一，专业化服务水平偏低；居家养老上门服务供给不足，难以满足失能、半失能老人个性化需求；养老服务专业人才短缺，队伍稳定性有待加强。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w:t>
      </w:r>
      <w:r>
        <w:rPr>
          <w:rFonts w:hint="eastAsia" w:eastAsia="仿宋_GB2312" w:cs="Times New Roman"/>
          <w:color w:val="auto"/>
          <w:kern w:val="2"/>
          <w:sz w:val="32"/>
          <w:szCs w:val="32"/>
          <w:highlight w:val="none"/>
          <w:lang w:val="en-US" w:eastAsia="zh-CN" w:bidi="ar-SA"/>
        </w:rPr>
        <w:t>4</w:t>
      </w:r>
      <w:r>
        <w:rPr>
          <w:rFonts w:hint="eastAsia" w:ascii="Times New Roman" w:hAnsi="Times New Roman" w:eastAsia="仿宋_GB2312" w:cs="Times New Roman"/>
          <w:color w:val="auto"/>
          <w:kern w:val="2"/>
          <w:sz w:val="32"/>
          <w:szCs w:val="32"/>
          <w:highlight w:val="none"/>
          <w:lang w:val="zh-CN" w:eastAsia="zh-CN" w:bidi="ar-SA"/>
        </w:rPr>
        <w:t>）改进方向</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加大农村养老服务设施投入，完善功能配套，提升专业化服务能力；培育专业化养老服务组织，扩大居家养老上门服务供给；完善养老护理员激励机制，加强人才培养与引进，稳定养老服务人才队伍。</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jc w:val="left"/>
        <w:textAlignment w:val="auto"/>
        <w:rPr>
          <w:rFonts w:hint="eastAsia" w:ascii="Times New Roman" w:hAnsi="Times New Roman" w:eastAsia="仿宋_GB2312" w:cs="Times New Roman"/>
          <w:b/>
          <w:bCs/>
          <w:color w:val="auto"/>
          <w:kern w:val="2"/>
          <w:sz w:val="32"/>
          <w:szCs w:val="32"/>
          <w:highlight w:val="none"/>
          <w:lang w:val="zh-CN" w:eastAsia="zh-CN" w:bidi="ar-SA"/>
        </w:rPr>
      </w:pPr>
      <w:r>
        <w:rPr>
          <w:rFonts w:hint="eastAsia" w:ascii="Times New Roman" w:hAnsi="Times New Roman" w:eastAsia="仿宋_GB2312" w:cs="Times New Roman"/>
          <w:b/>
          <w:bCs/>
          <w:color w:val="auto"/>
          <w:kern w:val="2"/>
          <w:sz w:val="32"/>
          <w:szCs w:val="32"/>
          <w:highlight w:val="none"/>
          <w:lang w:val="zh-CN" w:eastAsia="zh-CN" w:bidi="ar-SA"/>
        </w:rPr>
        <w:t>核心职能目标三：基层社会治理效能显著提升</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w:t>
      </w:r>
      <w:r>
        <w:rPr>
          <w:rFonts w:hint="eastAsia" w:eastAsia="仿宋_GB2312" w:cs="Times New Roman"/>
          <w:color w:val="auto"/>
          <w:kern w:val="2"/>
          <w:sz w:val="32"/>
          <w:szCs w:val="32"/>
          <w:highlight w:val="none"/>
          <w:lang w:val="en-US" w:eastAsia="zh-CN" w:bidi="ar-SA"/>
        </w:rPr>
        <w:t>1</w:t>
      </w:r>
      <w:r>
        <w:rPr>
          <w:rFonts w:hint="eastAsia" w:ascii="Times New Roman" w:hAnsi="Times New Roman" w:eastAsia="仿宋_GB2312" w:cs="Times New Roman"/>
          <w:color w:val="auto"/>
          <w:kern w:val="2"/>
          <w:sz w:val="32"/>
          <w:szCs w:val="32"/>
          <w:highlight w:val="none"/>
          <w:lang w:val="zh-CN" w:eastAsia="zh-CN" w:bidi="ar-SA"/>
        </w:rPr>
        <w:t>）目标设定</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健全基层群众自治机制，提升村（社区）治理能力；规范村（居）民委员会换届选举，保障群众民主权利；推进城乡社区服务标准化建设，优化社区服务供给；化解基层民政领域矛盾纠纷，维护基层社会和谐稳定。</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w:t>
      </w:r>
      <w:r>
        <w:rPr>
          <w:rFonts w:hint="eastAsia" w:eastAsia="仿宋_GB2312" w:cs="Times New Roman"/>
          <w:color w:val="auto"/>
          <w:kern w:val="2"/>
          <w:sz w:val="32"/>
          <w:szCs w:val="32"/>
          <w:highlight w:val="none"/>
          <w:lang w:val="en-US" w:eastAsia="zh-CN" w:bidi="ar-SA"/>
        </w:rPr>
        <w:t>2</w:t>
      </w:r>
      <w:r>
        <w:rPr>
          <w:rFonts w:hint="eastAsia" w:ascii="Times New Roman" w:hAnsi="Times New Roman" w:eastAsia="仿宋_GB2312" w:cs="Times New Roman"/>
          <w:color w:val="auto"/>
          <w:kern w:val="2"/>
          <w:sz w:val="32"/>
          <w:szCs w:val="32"/>
          <w:highlight w:val="none"/>
          <w:lang w:val="zh-CN" w:eastAsia="zh-CN" w:bidi="ar-SA"/>
        </w:rPr>
        <w:t>）完成效果分析</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一是</w:t>
      </w:r>
      <w:r>
        <w:rPr>
          <w:rFonts w:hint="eastAsia" w:ascii="Times New Roman" w:hAnsi="Times New Roman" w:eastAsia="仿宋_GB2312" w:cs="Times New Roman"/>
          <w:color w:val="auto"/>
          <w:kern w:val="2"/>
          <w:sz w:val="32"/>
          <w:szCs w:val="32"/>
          <w:highlight w:val="none"/>
          <w:lang w:val="zh-CN" w:eastAsia="zh-CN" w:bidi="ar-SA"/>
        </w:rPr>
        <w:t>基层自治组织规范运行：圆满完成村（居）民委员会换届选举工作，选举程序合法合规，群众参选率达95%以上，换届选举成功率100%；完善村（居）民议事协商机制。</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eastAsia="仿宋_GB2312" w:cs="Times New Roman"/>
          <w:color w:val="auto"/>
          <w:kern w:val="2"/>
          <w:sz w:val="32"/>
          <w:szCs w:val="32"/>
          <w:highlight w:val="none"/>
          <w:lang w:val="en-US" w:eastAsia="zh-CN" w:bidi="ar-SA"/>
        </w:rPr>
        <w:t>二是</w:t>
      </w:r>
      <w:r>
        <w:rPr>
          <w:rFonts w:hint="eastAsia" w:ascii="Times New Roman" w:hAnsi="Times New Roman" w:eastAsia="仿宋_GB2312" w:cs="Times New Roman"/>
          <w:color w:val="auto"/>
          <w:kern w:val="2"/>
          <w:sz w:val="32"/>
          <w:szCs w:val="32"/>
          <w:highlight w:val="none"/>
          <w:lang w:val="zh-CN" w:eastAsia="zh-CN" w:bidi="ar-SA"/>
        </w:rPr>
        <w:t>社区服务能力持续增强：打造标准化社区服务中心，推行“一站式”社区服务，社区服务事项办结率达99%以上，群众办事便捷度大幅提升，引导社会组织参与基层治理，形成多元共治格局。</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eastAsia="仿宋_GB2312" w:cs="Times New Roman"/>
          <w:color w:val="auto"/>
          <w:kern w:val="2"/>
          <w:sz w:val="32"/>
          <w:szCs w:val="32"/>
          <w:highlight w:val="none"/>
          <w:lang w:val="en-US" w:eastAsia="zh-CN" w:bidi="ar-SA"/>
        </w:rPr>
        <w:t>三是</w:t>
      </w:r>
      <w:r>
        <w:rPr>
          <w:rFonts w:hint="eastAsia" w:ascii="Times New Roman" w:hAnsi="Times New Roman" w:eastAsia="仿宋_GB2312" w:cs="Times New Roman"/>
          <w:color w:val="auto"/>
          <w:kern w:val="2"/>
          <w:sz w:val="32"/>
          <w:szCs w:val="32"/>
          <w:highlight w:val="none"/>
          <w:lang w:val="zh-CN" w:eastAsia="zh-CN" w:bidi="ar-SA"/>
        </w:rPr>
        <w:t>基层矛盾有效化解：建立民政领域矛盾纠纷排查化解机制，及时处置婚姻、赡养、低保等领域矛盾纠纷</w:t>
      </w:r>
      <w:r>
        <w:rPr>
          <w:rFonts w:hint="eastAsia" w:ascii="Times New Roman" w:hAnsi="Times New Roman" w:eastAsia="仿宋_GB2312" w:cs="Times New Roman"/>
          <w:color w:val="auto"/>
          <w:kern w:val="2"/>
          <w:sz w:val="32"/>
          <w:szCs w:val="32"/>
          <w:highlight w:val="none"/>
          <w:lang w:val="en-US" w:eastAsia="zh-CN" w:bidi="ar-SA"/>
        </w:rPr>
        <w:t>6</w:t>
      </w:r>
      <w:r>
        <w:rPr>
          <w:rFonts w:hint="eastAsia" w:ascii="Times New Roman" w:hAnsi="Times New Roman" w:eastAsia="仿宋_GB2312" w:cs="Times New Roman"/>
          <w:color w:val="auto"/>
          <w:kern w:val="2"/>
          <w:sz w:val="32"/>
          <w:szCs w:val="32"/>
          <w:highlight w:val="none"/>
          <w:lang w:val="zh-CN" w:eastAsia="zh-CN" w:bidi="ar-SA"/>
        </w:rPr>
        <w:t>起，化解率达98%，未发生重大信访事件，维护基层社会稳定。</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w:t>
      </w:r>
      <w:r>
        <w:rPr>
          <w:rFonts w:hint="eastAsia" w:eastAsia="仿宋_GB2312" w:cs="Times New Roman"/>
          <w:color w:val="auto"/>
          <w:kern w:val="2"/>
          <w:sz w:val="32"/>
          <w:szCs w:val="32"/>
          <w:highlight w:val="none"/>
          <w:lang w:val="en-US" w:eastAsia="zh-CN" w:bidi="ar-SA"/>
        </w:rPr>
        <w:t>3</w:t>
      </w:r>
      <w:r>
        <w:rPr>
          <w:rFonts w:hint="eastAsia" w:ascii="Times New Roman" w:hAnsi="Times New Roman" w:eastAsia="仿宋_GB2312" w:cs="Times New Roman"/>
          <w:color w:val="auto"/>
          <w:kern w:val="2"/>
          <w:sz w:val="32"/>
          <w:szCs w:val="32"/>
          <w:highlight w:val="none"/>
          <w:lang w:val="zh-CN" w:eastAsia="zh-CN" w:bidi="ar-SA"/>
        </w:rPr>
        <w:t>）存在问题</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部分村（社区）自治组织活力不足，群众参与治理积极性不高；社区服务专业化、精细化程度不够，难以匹配群众多元化需求；基层治理经费保障不足，制约服务提质增效。</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w:t>
      </w:r>
      <w:r>
        <w:rPr>
          <w:rFonts w:hint="eastAsia" w:eastAsia="仿宋_GB2312" w:cs="Times New Roman"/>
          <w:color w:val="auto"/>
          <w:kern w:val="2"/>
          <w:sz w:val="32"/>
          <w:szCs w:val="32"/>
          <w:highlight w:val="none"/>
          <w:lang w:val="en-US" w:eastAsia="zh-CN" w:bidi="ar-SA"/>
        </w:rPr>
        <w:t>4</w:t>
      </w:r>
      <w:r>
        <w:rPr>
          <w:rFonts w:hint="eastAsia" w:ascii="Times New Roman" w:hAnsi="Times New Roman" w:eastAsia="仿宋_GB2312" w:cs="Times New Roman"/>
          <w:color w:val="auto"/>
          <w:kern w:val="2"/>
          <w:sz w:val="32"/>
          <w:szCs w:val="32"/>
          <w:highlight w:val="none"/>
          <w:lang w:val="zh-CN" w:eastAsia="zh-CN" w:bidi="ar-SA"/>
        </w:rPr>
        <w:t>）改进方向</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加强基层自治组织能力建设，开展业务培训，激发组织活力；丰富社区服务内容，引入专业化服务机构，提升服务精细化水平；加大基层治理经费投入，整合多方资源，保障治理工作有序开展。</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jc w:val="left"/>
        <w:textAlignment w:val="auto"/>
        <w:rPr>
          <w:rFonts w:hint="eastAsia" w:ascii="Times New Roman" w:hAnsi="Times New Roman" w:eastAsia="仿宋_GB2312" w:cs="Times New Roman"/>
          <w:b/>
          <w:bCs/>
          <w:color w:val="auto"/>
          <w:kern w:val="2"/>
          <w:sz w:val="32"/>
          <w:szCs w:val="32"/>
          <w:highlight w:val="none"/>
          <w:lang w:val="zh-CN" w:eastAsia="zh-CN" w:bidi="ar-SA"/>
        </w:rPr>
      </w:pPr>
      <w:r>
        <w:rPr>
          <w:rFonts w:hint="eastAsia" w:ascii="Times New Roman" w:hAnsi="Times New Roman" w:eastAsia="仿宋_GB2312" w:cs="Times New Roman"/>
          <w:b/>
          <w:bCs/>
          <w:color w:val="auto"/>
          <w:kern w:val="2"/>
          <w:sz w:val="32"/>
          <w:szCs w:val="32"/>
          <w:highlight w:val="none"/>
          <w:lang w:val="zh-CN" w:eastAsia="zh-CN" w:bidi="ar-SA"/>
        </w:rPr>
        <w:t>核心职能目标四：专项社会事务规范管理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w:t>
      </w:r>
      <w:r>
        <w:rPr>
          <w:rFonts w:hint="eastAsia" w:eastAsia="仿宋_GB2312" w:cs="Times New Roman"/>
          <w:color w:val="auto"/>
          <w:kern w:val="2"/>
          <w:sz w:val="32"/>
          <w:szCs w:val="32"/>
          <w:highlight w:val="none"/>
          <w:lang w:val="en-US" w:eastAsia="zh-CN" w:bidi="ar-SA"/>
        </w:rPr>
        <w:t>1</w:t>
      </w:r>
      <w:r>
        <w:rPr>
          <w:rFonts w:hint="eastAsia" w:ascii="Times New Roman" w:hAnsi="Times New Roman" w:eastAsia="仿宋_GB2312" w:cs="Times New Roman"/>
          <w:color w:val="auto"/>
          <w:kern w:val="2"/>
          <w:sz w:val="32"/>
          <w:szCs w:val="32"/>
          <w:highlight w:val="none"/>
          <w:lang w:val="zh-CN" w:eastAsia="zh-CN" w:bidi="ar-SA"/>
        </w:rPr>
        <w:t>）目标设定</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规范婚姻登记、殡葬管理、残疾人福利、未成年人保护等专项社会事务工作；提升婚姻登记服务质量，推进婚俗改革；落实殡葬惠民政策，推进生态殡葬改革；保障残疾人、未成年人等特殊群体合法权益，提升专项事务管理规范化、便民化水平。</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w:t>
      </w:r>
      <w:r>
        <w:rPr>
          <w:rFonts w:hint="eastAsia" w:eastAsia="仿宋_GB2312" w:cs="Times New Roman"/>
          <w:color w:val="auto"/>
          <w:kern w:val="2"/>
          <w:sz w:val="32"/>
          <w:szCs w:val="32"/>
          <w:highlight w:val="none"/>
          <w:lang w:val="en-US" w:eastAsia="zh-CN" w:bidi="ar-SA"/>
        </w:rPr>
        <w:t>2</w:t>
      </w:r>
      <w:r>
        <w:rPr>
          <w:rFonts w:hint="eastAsia" w:ascii="Times New Roman" w:hAnsi="Times New Roman" w:eastAsia="仿宋_GB2312" w:cs="Times New Roman"/>
          <w:color w:val="auto"/>
          <w:kern w:val="2"/>
          <w:sz w:val="32"/>
          <w:szCs w:val="32"/>
          <w:highlight w:val="none"/>
          <w:lang w:val="zh-CN" w:eastAsia="zh-CN" w:bidi="ar-SA"/>
        </w:rPr>
        <w:t>）完成效果分析</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eastAsia="仿宋_GB2312" w:cs="Times New Roman"/>
          <w:color w:val="auto"/>
          <w:kern w:val="2"/>
          <w:sz w:val="32"/>
          <w:szCs w:val="32"/>
          <w:highlight w:val="none"/>
          <w:lang w:val="en-US" w:eastAsia="zh-CN" w:bidi="ar-SA"/>
        </w:rPr>
        <w:t>一是</w:t>
      </w:r>
      <w:r>
        <w:rPr>
          <w:rFonts w:hint="eastAsia" w:ascii="Times New Roman" w:hAnsi="Times New Roman" w:eastAsia="仿宋_GB2312" w:cs="Times New Roman"/>
          <w:color w:val="auto"/>
          <w:kern w:val="2"/>
          <w:sz w:val="32"/>
          <w:szCs w:val="32"/>
          <w:highlight w:val="none"/>
          <w:lang w:val="zh-CN" w:eastAsia="zh-CN" w:bidi="ar-SA"/>
        </w:rPr>
        <w:t>婚姻登记服务优质高效：全年办理婚姻登记</w:t>
      </w:r>
      <w:r>
        <w:rPr>
          <w:rFonts w:hint="eastAsia" w:ascii="Times New Roman" w:hAnsi="Times New Roman" w:eastAsia="仿宋_GB2312" w:cs="Times New Roman"/>
          <w:color w:val="auto"/>
          <w:kern w:val="2"/>
          <w:sz w:val="32"/>
          <w:szCs w:val="32"/>
          <w:highlight w:val="none"/>
          <w:lang w:val="en-US" w:eastAsia="zh-CN" w:bidi="ar-SA"/>
        </w:rPr>
        <w:t>271</w:t>
      </w:r>
      <w:r>
        <w:rPr>
          <w:rFonts w:hint="eastAsia" w:ascii="Times New Roman" w:hAnsi="Times New Roman" w:eastAsia="仿宋_GB2312" w:cs="Times New Roman"/>
          <w:color w:val="auto"/>
          <w:kern w:val="2"/>
          <w:sz w:val="32"/>
          <w:szCs w:val="32"/>
          <w:highlight w:val="none"/>
          <w:lang w:val="zh-CN" w:eastAsia="zh-CN" w:bidi="ar-SA"/>
        </w:rPr>
        <w:t>对，登记合格率达100%，推行结婚登记预约、延时服务，推行婚俗改革，倡导简约适度婚俗礼仪，婚姻登记群众满意度达99%。</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eastAsia="仿宋_GB2312" w:cs="Times New Roman"/>
          <w:color w:val="auto"/>
          <w:kern w:val="2"/>
          <w:sz w:val="32"/>
          <w:szCs w:val="32"/>
          <w:highlight w:val="none"/>
          <w:lang w:val="en-US" w:eastAsia="zh-CN" w:bidi="ar-SA"/>
        </w:rPr>
        <w:t>二是</w:t>
      </w:r>
      <w:r>
        <w:rPr>
          <w:rFonts w:hint="eastAsia" w:ascii="Times New Roman" w:hAnsi="Times New Roman" w:eastAsia="仿宋_GB2312" w:cs="Times New Roman"/>
          <w:color w:val="auto"/>
          <w:kern w:val="2"/>
          <w:sz w:val="32"/>
          <w:szCs w:val="32"/>
          <w:highlight w:val="none"/>
          <w:lang w:val="zh-CN" w:eastAsia="zh-CN" w:bidi="ar-SA"/>
        </w:rPr>
        <w:t>殡葬管理改革有序推进：落实殡葬惠民补贴政策，推进生态葬落地，规范殡葬服务市场秩序，殡葬服务收费合理透明。</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eastAsia="仿宋_GB2312" w:cs="Times New Roman"/>
          <w:color w:val="auto"/>
          <w:kern w:val="2"/>
          <w:sz w:val="32"/>
          <w:szCs w:val="32"/>
          <w:highlight w:val="none"/>
          <w:lang w:val="en-US" w:eastAsia="zh-CN" w:bidi="ar-SA"/>
        </w:rPr>
        <w:t>三是</w:t>
      </w:r>
      <w:r>
        <w:rPr>
          <w:rFonts w:hint="eastAsia" w:ascii="Times New Roman" w:hAnsi="Times New Roman" w:eastAsia="仿宋_GB2312" w:cs="Times New Roman"/>
          <w:color w:val="auto"/>
          <w:kern w:val="2"/>
          <w:sz w:val="32"/>
          <w:szCs w:val="32"/>
          <w:highlight w:val="none"/>
          <w:lang w:val="zh-CN" w:eastAsia="zh-CN" w:bidi="ar-SA"/>
        </w:rPr>
        <w:t>特殊群体权益保障有力：按时足额发放残疾人两项补贴</w:t>
      </w:r>
      <w:r>
        <w:rPr>
          <w:rFonts w:hint="eastAsia" w:ascii="Times New Roman" w:hAnsi="Times New Roman" w:eastAsia="仿宋_GB2312" w:cs="Times New Roman"/>
          <w:color w:val="auto"/>
          <w:kern w:val="2"/>
          <w:sz w:val="32"/>
          <w:szCs w:val="32"/>
          <w:highlight w:val="none"/>
          <w:lang w:val="en-US" w:eastAsia="zh-CN" w:bidi="ar-SA"/>
        </w:rPr>
        <w:t>314.152</w:t>
      </w:r>
      <w:r>
        <w:rPr>
          <w:rFonts w:hint="eastAsia" w:ascii="Times New Roman" w:hAnsi="Times New Roman" w:eastAsia="仿宋_GB2312" w:cs="Times New Roman"/>
          <w:color w:val="auto"/>
          <w:kern w:val="2"/>
          <w:sz w:val="32"/>
          <w:szCs w:val="32"/>
          <w:highlight w:val="none"/>
          <w:lang w:val="zh-CN" w:eastAsia="zh-CN" w:bidi="ar-SA"/>
        </w:rPr>
        <w:t>万元，惠及残疾人人，补贴发放精准率、及时率100%；加强未成年人保护，落实孤儿、事实无人抚养儿童保障政策，开展未成年人关爱服务</w:t>
      </w:r>
      <w:r>
        <w:rPr>
          <w:rFonts w:hint="eastAsia" w:ascii="Times New Roman" w:hAnsi="Times New Roman" w:eastAsia="仿宋_GB2312" w:cs="Times New Roman"/>
          <w:color w:val="auto"/>
          <w:kern w:val="2"/>
          <w:sz w:val="32"/>
          <w:szCs w:val="32"/>
          <w:highlight w:val="none"/>
          <w:lang w:val="en-US" w:eastAsia="zh-CN" w:bidi="ar-SA"/>
        </w:rPr>
        <w:t>2</w:t>
      </w:r>
      <w:r>
        <w:rPr>
          <w:rFonts w:hint="eastAsia" w:ascii="Times New Roman" w:hAnsi="Times New Roman" w:eastAsia="仿宋_GB2312" w:cs="Times New Roman"/>
          <w:color w:val="auto"/>
          <w:kern w:val="2"/>
          <w:sz w:val="32"/>
          <w:szCs w:val="32"/>
          <w:highlight w:val="none"/>
          <w:lang w:val="zh-CN" w:eastAsia="zh-CN" w:bidi="ar-SA"/>
        </w:rPr>
        <w:t>次，筑牢未成年人安全保护防线。</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eastAsia="仿宋_GB2312" w:cs="Times New Roman"/>
          <w:color w:val="auto"/>
          <w:kern w:val="2"/>
          <w:sz w:val="32"/>
          <w:szCs w:val="32"/>
          <w:highlight w:val="none"/>
          <w:lang w:val="en-US" w:eastAsia="zh-CN" w:bidi="ar-SA"/>
        </w:rPr>
        <w:t>四是</w:t>
      </w:r>
      <w:r>
        <w:rPr>
          <w:rFonts w:hint="eastAsia" w:ascii="Times New Roman" w:hAnsi="Times New Roman" w:eastAsia="仿宋_GB2312" w:cs="Times New Roman"/>
          <w:color w:val="auto"/>
          <w:kern w:val="2"/>
          <w:sz w:val="32"/>
          <w:szCs w:val="32"/>
          <w:highlight w:val="none"/>
          <w:lang w:val="zh-CN" w:eastAsia="zh-CN" w:bidi="ar-SA"/>
        </w:rPr>
        <w:t>事务管理规范便民：优化专项事务办理流程，实现多项业务“一窗受理、全程网办”，业务办理时限平均缩短30%，群众办事更加便捷高效，专项事务管理规范化率达100%。</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w:t>
      </w:r>
      <w:r>
        <w:rPr>
          <w:rFonts w:hint="eastAsia" w:eastAsia="仿宋_GB2312" w:cs="Times New Roman"/>
          <w:color w:val="auto"/>
          <w:kern w:val="2"/>
          <w:sz w:val="32"/>
          <w:szCs w:val="32"/>
          <w:highlight w:val="none"/>
          <w:lang w:val="en-US" w:eastAsia="zh-CN" w:bidi="ar-SA"/>
        </w:rPr>
        <w:t>3</w:t>
      </w:r>
      <w:r>
        <w:rPr>
          <w:rFonts w:hint="eastAsia" w:ascii="Times New Roman" w:hAnsi="Times New Roman" w:eastAsia="仿宋_GB2312" w:cs="Times New Roman"/>
          <w:color w:val="auto"/>
          <w:kern w:val="2"/>
          <w:sz w:val="32"/>
          <w:szCs w:val="32"/>
          <w:highlight w:val="none"/>
          <w:lang w:val="zh-CN" w:eastAsia="zh-CN" w:bidi="ar-SA"/>
        </w:rPr>
        <w:t>）存在问题</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殡葬改革宣传力度不足，部分群众传统殡葬观念转变缓慢；未成年人保护基层工作力量薄弱，关爱服务覆盖面有待拓展；残疾人福利政策个性化帮扶措施不够完善。</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w:t>
      </w:r>
      <w:r>
        <w:rPr>
          <w:rFonts w:hint="eastAsia" w:eastAsia="仿宋_GB2312" w:cs="Times New Roman"/>
          <w:color w:val="auto"/>
          <w:kern w:val="2"/>
          <w:sz w:val="32"/>
          <w:szCs w:val="32"/>
          <w:highlight w:val="none"/>
          <w:lang w:val="en-US" w:eastAsia="zh-CN" w:bidi="ar-SA"/>
        </w:rPr>
        <w:t>4</w:t>
      </w:r>
      <w:r>
        <w:rPr>
          <w:rFonts w:hint="eastAsia" w:ascii="Times New Roman" w:hAnsi="Times New Roman" w:eastAsia="仿宋_GB2312" w:cs="Times New Roman"/>
          <w:color w:val="auto"/>
          <w:kern w:val="2"/>
          <w:sz w:val="32"/>
          <w:szCs w:val="32"/>
          <w:highlight w:val="none"/>
          <w:lang w:val="zh-CN" w:eastAsia="zh-CN" w:bidi="ar-SA"/>
        </w:rPr>
        <w:t>）改进方向</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加大殡葬改革政策宣传，引导群众树立文明殡葬观念；充实未成年人保护基层工作队伍，扩大关爱服务覆盖范围；针对残疾人不同需求，制定个性化帮扶政策，提升福利保障精准度。</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jc w:val="left"/>
        <w:textAlignment w:val="auto"/>
        <w:rPr>
          <w:rFonts w:hint="eastAsia" w:ascii="Times New Roman" w:hAnsi="Times New Roman" w:eastAsia="仿宋_GB2312" w:cs="Times New Roman"/>
          <w:b/>
          <w:bCs/>
          <w:color w:val="auto"/>
          <w:kern w:val="2"/>
          <w:sz w:val="32"/>
          <w:szCs w:val="32"/>
          <w:highlight w:val="none"/>
          <w:lang w:val="zh-CN" w:eastAsia="zh-CN" w:bidi="ar-SA"/>
        </w:rPr>
      </w:pPr>
      <w:r>
        <w:rPr>
          <w:rFonts w:hint="eastAsia" w:ascii="Times New Roman" w:hAnsi="Times New Roman" w:eastAsia="仿宋_GB2312" w:cs="Times New Roman"/>
          <w:b/>
          <w:bCs/>
          <w:color w:val="auto"/>
          <w:kern w:val="2"/>
          <w:sz w:val="32"/>
          <w:szCs w:val="32"/>
          <w:highlight w:val="none"/>
          <w:lang w:val="zh-CN" w:eastAsia="zh-CN" w:bidi="ar-SA"/>
        </w:rPr>
        <w:t>核心职能目标五：社会组织健康有序发展</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w:t>
      </w:r>
      <w:r>
        <w:rPr>
          <w:rFonts w:hint="eastAsia" w:eastAsia="仿宋_GB2312" w:cs="Times New Roman"/>
          <w:color w:val="auto"/>
          <w:kern w:val="2"/>
          <w:sz w:val="32"/>
          <w:szCs w:val="32"/>
          <w:highlight w:val="none"/>
          <w:lang w:val="en-US" w:eastAsia="zh-CN" w:bidi="ar-SA"/>
        </w:rPr>
        <w:t>1</w:t>
      </w:r>
      <w:r>
        <w:rPr>
          <w:rFonts w:hint="eastAsia" w:ascii="Times New Roman" w:hAnsi="Times New Roman" w:eastAsia="仿宋_GB2312" w:cs="Times New Roman"/>
          <w:color w:val="auto"/>
          <w:kern w:val="2"/>
          <w:sz w:val="32"/>
          <w:szCs w:val="32"/>
          <w:highlight w:val="none"/>
          <w:lang w:val="zh-CN" w:eastAsia="zh-CN" w:bidi="ar-SA"/>
        </w:rPr>
        <w:t>）目标设定</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规范社会组织登记管理，提升社会组织监管水平；引导社会组织参与民生服务、基层治理等工作，发挥社会组织积极作用；清理整治非法社会组织，维护社会组织发展秩序，促进社会组织规范化、专业化发展。</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w:t>
      </w:r>
      <w:r>
        <w:rPr>
          <w:rFonts w:hint="eastAsia" w:eastAsia="仿宋_GB2312" w:cs="Times New Roman"/>
          <w:color w:val="auto"/>
          <w:kern w:val="2"/>
          <w:sz w:val="32"/>
          <w:szCs w:val="32"/>
          <w:highlight w:val="none"/>
          <w:lang w:val="en-US" w:eastAsia="zh-CN" w:bidi="ar-SA"/>
        </w:rPr>
        <w:t>2</w:t>
      </w:r>
      <w:r>
        <w:rPr>
          <w:rFonts w:hint="eastAsia" w:ascii="Times New Roman" w:hAnsi="Times New Roman" w:eastAsia="仿宋_GB2312" w:cs="Times New Roman"/>
          <w:color w:val="auto"/>
          <w:kern w:val="2"/>
          <w:sz w:val="32"/>
          <w:szCs w:val="32"/>
          <w:highlight w:val="none"/>
          <w:lang w:val="zh-CN" w:eastAsia="zh-CN" w:bidi="ar-SA"/>
        </w:rPr>
        <w:t>）完成效果分析</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eastAsia="仿宋_GB2312" w:cs="Times New Roman"/>
          <w:color w:val="auto"/>
          <w:kern w:val="2"/>
          <w:sz w:val="32"/>
          <w:szCs w:val="32"/>
          <w:highlight w:val="none"/>
          <w:lang w:val="en-US" w:eastAsia="zh-CN" w:bidi="ar-SA"/>
        </w:rPr>
        <w:t>一是</w:t>
      </w:r>
      <w:r>
        <w:rPr>
          <w:rFonts w:hint="eastAsia" w:ascii="Times New Roman" w:hAnsi="Times New Roman" w:eastAsia="仿宋_GB2312" w:cs="Times New Roman"/>
          <w:color w:val="auto"/>
          <w:kern w:val="2"/>
          <w:sz w:val="32"/>
          <w:szCs w:val="32"/>
          <w:highlight w:val="none"/>
          <w:lang w:val="zh-CN" w:eastAsia="zh-CN" w:bidi="ar-SA"/>
        </w:rPr>
        <w:t>登记管理规范有序：全年新登记社会组织</w:t>
      </w:r>
      <w:r>
        <w:rPr>
          <w:rFonts w:hint="eastAsia" w:ascii="Times New Roman" w:hAnsi="Times New Roman" w:eastAsia="仿宋_GB2312" w:cs="Times New Roman"/>
          <w:color w:val="auto"/>
          <w:kern w:val="2"/>
          <w:sz w:val="32"/>
          <w:szCs w:val="32"/>
          <w:highlight w:val="none"/>
          <w:lang w:val="en-US" w:eastAsia="zh-CN" w:bidi="ar-SA"/>
        </w:rPr>
        <w:t>2</w:t>
      </w:r>
      <w:r>
        <w:rPr>
          <w:rFonts w:hint="eastAsia" w:ascii="Times New Roman" w:hAnsi="Times New Roman" w:eastAsia="仿宋_GB2312" w:cs="Times New Roman"/>
          <w:color w:val="auto"/>
          <w:kern w:val="2"/>
          <w:sz w:val="32"/>
          <w:szCs w:val="32"/>
          <w:highlight w:val="none"/>
          <w:lang w:val="zh-CN" w:eastAsia="zh-CN" w:bidi="ar-SA"/>
        </w:rPr>
        <w:t>家，完成社会组织年检</w:t>
      </w:r>
      <w:r>
        <w:rPr>
          <w:rFonts w:hint="eastAsia" w:ascii="Times New Roman" w:hAnsi="Times New Roman" w:eastAsia="仿宋_GB2312" w:cs="Times New Roman"/>
          <w:color w:val="auto"/>
          <w:kern w:val="2"/>
          <w:sz w:val="32"/>
          <w:szCs w:val="32"/>
          <w:highlight w:val="none"/>
          <w:lang w:val="en-US" w:eastAsia="zh-CN" w:bidi="ar-SA"/>
        </w:rPr>
        <w:t>13</w:t>
      </w:r>
      <w:r>
        <w:rPr>
          <w:rFonts w:hint="eastAsia" w:ascii="Times New Roman" w:hAnsi="Times New Roman" w:eastAsia="仿宋_GB2312" w:cs="Times New Roman"/>
          <w:color w:val="auto"/>
          <w:kern w:val="2"/>
          <w:sz w:val="32"/>
          <w:szCs w:val="32"/>
          <w:highlight w:val="none"/>
          <w:lang w:val="zh-CN" w:eastAsia="zh-CN" w:bidi="ar-SA"/>
        </w:rPr>
        <w:t>家，年检合格率达95%以上，社会组织登记、变更、注销等流程规范，档案管理完整有序。</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eastAsia="仿宋_GB2312" w:cs="Times New Roman"/>
          <w:color w:val="auto"/>
          <w:kern w:val="2"/>
          <w:sz w:val="32"/>
          <w:szCs w:val="32"/>
          <w:highlight w:val="none"/>
          <w:lang w:val="en-US" w:eastAsia="zh-CN" w:bidi="ar-SA"/>
        </w:rPr>
        <w:t>二是</w:t>
      </w:r>
      <w:r>
        <w:rPr>
          <w:rFonts w:hint="eastAsia" w:ascii="Times New Roman" w:hAnsi="Times New Roman" w:eastAsia="仿宋_GB2312" w:cs="Times New Roman"/>
          <w:color w:val="auto"/>
          <w:kern w:val="2"/>
          <w:sz w:val="32"/>
          <w:szCs w:val="32"/>
          <w:highlight w:val="none"/>
          <w:lang w:val="zh-CN" w:eastAsia="zh-CN" w:bidi="ar-SA"/>
        </w:rPr>
        <w:t>监管执法严格到位：开展社会组织专项检查</w:t>
      </w:r>
      <w:r>
        <w:rPr>
          <w:rFonts w:hint="eastAsia" w:ascii="Times New Roman" w:hAnsi="Times New Roman" w:eastAsia="仿宋_GB2312" w:cs="Times New Roman"/>
          <w:color w:val="auto"/>
          <w:kern w:val="2"/>
          <w:sz w:val="32"/>
          <w:szCs w:val="32"/>
          <w:highlight w:val="none"/>
          <w:lang w:val="en-US" w:eastAsia="zh-CN" w:bidi="ar-SA"/>
        </w:rPr>
        <w:t>1</w:t>
      </w:r>
      <w:r>
        <w:rPr>
          <w:rFonts w:hint="eastAsia" w:ascii="Times New Roman" w:hAnsi="Times New Roman" w:eastAsia="仿宋_GB2312" w:cs="Times New Roman"/>
          <w:color w:val="auto"/>
          <w:kern w:val="2"/>
          <w:sz w:val="32"/>
          <w:szCs w:val="32"/>
          <w:highlight w:val="none"/>
          <w:lang w:val="zh-CN" w:eastAsia="zh-CN" w:bidi="ar-SA"/>
        </w:rPr>
        <w:t>次，清理整治“僵尸型”社会组织</w:t>
      </w:r>
      <w:r>
        <w:rPr>
          <w:rFonts w:hint="eastAsia" w:ascii="Times New Roman" w:hAnsi="Times New Roman" w:eastAsia="仿宋_GB2312" w:cs="Times New Roman"/>
          <w:color w:val="auto"/>
          <w:kern w:val="2"/>
          <w:sz w:val="32"/>
          <w:szCs w:val="32"/>
          <w:highlight w:val="none"/>
          <w:lang w:val="en-US" w:eastAsia="zh-CN" w:bidi="ar-SA"/>
        </w:rPr>
        <w:t>0</w:t>
      </w:r>
      <w:r>
        <w:rPr>
          <w:rFonts w:hint="eastAsia" w:ascii="Times New Roman" w:hAnsi="Times New Roman" w:eastAsia="仿宋_GB2312" w:cs="Times New Roman"/>
          <w:color w:val="auto"/>
          <w:kern w:val="2"/>
          <w:sz w:val="32"/>
          <w:szCs w:val="32"/>
          <w:highlight w:val="none"/>
          <w:lang w:val="zh-CN" w:eastAsia="zh-CN" w:bidi="ar-SA"/>
        </w:rPr>
        <w:t>家，查处非法社会组织</w:t>
      </w:r>
      <w:r>
        <w:rPr>
          <w:rFonts w:hint="eastAsia" w:ascii="Times New Roman" w:hAnsi="Times New Roman" w:eastAsia="仿宋_GB2312" w:cs="Times New Roman"/>
          <w:color w:val="auto"/>
          <w:kern w:val="2"/>
          <w:sz w:val="32"/>
          <w:szCs w:val="32"/>
          <w:highlight w:val="none"/>
          <w:lang w:val="en-US" w:eastAsia="zh-CN" w:bidi="ar-SA"/>
        </w:rPr>
        <w:t>0</w:t>
      </w:r>
      <w:r>
        <w:rPr>
          <w:rFonts w:hint="eastAsia" w:ascii="Times New Roman" w:hAnsi="Times New Roman" w:eastAsia="仿宋_GB2312" w:cs="Times New Roman"/>
          <w:color w:val="auto"/>
          <w:kern w:val="2"/>
          <w:sz w:val="32"/>
          <w:szCs w:val="32"/>
          <w:highlight w:val="none"/>
          <w:lang w:val="zh-CN" w:eastAsia="zh-CN" w:bidi="ar-SA"/>
        </w:rPr>
        <w:t>个，有效规范社会组织运营行为，社会组织合规运营率达98%。</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eastAsia="仿宋_GB2312" w:cs="Times New Roman"/>
          <w:color w:val="auto"/>
          <w:kern w:val="2"/>
          <w:sz w:val="32"/>
          <w:szCs w:val="32"/>
          <w:highlight w:val="none"/>
          <w:lang w:val="en-US" w:eastAsia="zh-CN" w:bidi="ar-SA"/>
        </w:rPr>
        <w:t>三是</w:t>
      </w:r>
      <w:r>
        <w:rPr>
          <w:rFonts w:hint="eastAsia" w:ascii="Times New Roman" w:hAnsi="Times New Roman" w:eastAsia="仿宋_GB2312" w:cs="Times New Roman"/>
          <w:color w:val="auto"/>
          <w:kern w:val="2"/>
          <w:sz w:val="32"/>
          <w:szCs w:val="32"/>
          <w:highlight w:val="none"/>
          <w:lang w:val="zh-CN" w:eastAsia="zh-CN" w:bidi="ar-SA"/>
        </w:rPr>
        <w:t>作用发挥成效显著：引导社会组织参与养老服务、社会救助、社区治理、公益慈善等工作，开展惠民服务活动</w:t>
      </w:r>
      <w:r>
        <w:rPr>
          <w:rFonts w:hint="eastAsia" w:ascii="Times New Roman" w:hAnsi="Times New Roman" w:eastAsia="仿宋_GB2312" w:cs="Times New Roman"/>
          <w:color w:val="auto"/>
          <w:kern w:val="2"/>
          <w:sz w:val="32"/>
          <w:szCs w:val="32"/>
          <w:highlight w:val="none"/>
          <w:lang w:val="en-US" w:eastAsia="zh-CN" w:bidi="ar-SA"/>
        </w:rPr>
        <w:t>2</w:t>
      </w:r>
      <w:r>
        <w:rPr>
          <w:rFonts w:hint="eastAsia" w:ascii="Times New Roman" w:hAnsi="Times New Roman" w:eastAsia="仿宋_GB2312" w:cs="Times New Roman"/>
          <w:color w:val="auto"/>
          <w:kern w:val="2"/>
          <w:sz w:val="32"/>
          <w:szCs w:val="32"/>
          <w:highlight w:val="none"/>
          <w:lang w:val="zh-CN" w:eastAsia="zh-CN" w:bidi="ar-SA"/>
        </w:rPr>
        <w:t>场，惠及群众</w:t>
      </w:r>
      <w:r>
        <w:rPr>
          <w:rFonts w:hint="eastAsia" w:ascii="Times New Roman" w:hAnsi="Times New Roman" w:eastAsia="仿宋_GB2312" w:cs="Times New Roman"/>
          <w:color w:val="auto"/>
          <w:kern w:val="2"/>
          <w:sz w:val="32"/>
          <w:szCs w:val="32"/>
          <w:highlight w:val="none"/>
          <w:lang w:val="en-US" w:eastAsia="zh-CN" w:bidi="ar-SA"/>
        </w:rPr>
        <w:t>93</w:t>
      </w:r>
      <w:r>
        <w:rPr>
          <w:rFonts w:hint="eastAsia" w:ascii="Times New Roman" w:hAnsi="Times New Roman" w:eastAsia="仿宋_GB2312" w:cs="Times New Roman"/>
          <w:color w:val="auto"/>
          <w:kern w:val="2"/>
          <w:sz w:val="32"/>
          <w:szCs w:val="32"/>
          <w:highlight w:val="none"/>
          <w:lang w:val="zh-CN" w:eastAsia="zh-CN" w:bidi="ar-SA"/>
        </w:rPr>
        <w:t>万人，成为民政服务的有力补充。</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eastAsia="仿宋_GB2312" w:cs="Times New Roman"/>
          <w:color w:val="auto"/>
          <w:kern w:val="2"/>
          <w:sz w:val="32"/>
          <w:szCs w:val="32"/>
          <w:highlight w:val="none"/>
          <w:lang w:val="en-US" w:eastAsia="zh-CN" w:bidi="ar-SA"/>
        </w:rPr>
        <w:t>四是</w:t>
      </w:r>
      <w:r>
        <w:rPr>
          <w:rFonts w:hint="eastAsia" w:ascii="Times New Roman" w:hAnsi="Times New Roman" w:eastAsia="仿宋_GB2312" w:cs="Times New Roman"/>
          <w:color w:val="auto"/>
          <w:kern w:val="2"/>
          <w:sz w:val="32"/>
          <w:szCs w:val="32"/>
          <w:highlight w:val="none"/>
          <w:lang w:val="zh-CN" w:eastAsia="zh-CN" w:bidi="ar-SA"/>
        </w:rPr>
        <w:t>培育扶持力度加大：为社会组织提供政策指导、能力培训</w:t>
      </w:r>
      <w:r>
        <w:rPr>
          <w:rFonts w:hint="eastAsia" w:ascii="Times New Roman" w:hAnsi="Times New Roman" w:eastAsia="仿宋_GB2312" w:cs="Times New Roman"/>
          <w:color w:val="auto"/>
          <w:kern w:val="2"/>
          <w:sz w:val="32"/>
          <w:szCs w:val="32"/>
          <w:highlight w:val="none"/>
          <w:lang w:val="en-US" w:eastAsia="zh-CN" w:bidi="ar-SA"/>
        </w:rPr>
        <w:t>1</w:t>
      </w:r>
      <w:r>
        <w:rPr>
          <w:rFonts w:hint="eastAsia" w:ascii="Times New Roman" w:hAnsi="Times New Roman" w:eastAsia="仿宋_GB2312" w:cs="Times New Roman"/>
          <w:color w:val="auto"/>
          <w:kern w:val="2"/>
          <w:sz w:val="32"/>
          <w:szCs w:val="32"/>
          <w:highlight w:val="none"/>
          <w:lang w:val="zh-CN" w:eastAsia="zh-CN" w:bidi="ar-SA"/>
        </w:rPr>
        <w:t>次，扶持公益性社会组织发展，社会组织专业化水平不断提升，对社会发展的贡献度持续提高。</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w:t>
      </w:r>
      <w:r>
        <w:rPr>
          <w:rFonts w:hint="eastAsia" w:eastAsia="仿宋_GB2312" w:cs="Times New Roman"/>
          <w:color w:val="auto"/>
          <w:kern w:val="2"/>
          <w:sz w:val="32"/>
          <w:szCs w:val="32"/>
          <w:highlight w:val="none"/>
          <w:lang w:val="en-US" w:eastAsia="zh-CN" w:bidi="ar-SA"/>
        </w:rPr>
        <w:t>3</w:t>
      </w:r>
      <w:r>
        <w:rPr>
          <w:rFonts w:hint="eastAsia" w:ascii="Times New Roman" w:hAnsi="Times New Roman" w:eastAsia="仿宋_GB2312" w:cs="Times New Roman"/>
          <w:color w:val="auto"/>
          <w:kern w:val="2"/>
          <w:sz w:val="32"/>
          <w:szCs w:val="32"/>
          <w:highlight w:val="none"/>
          <w:lang w:val="zh-CN" w:eastAsia="zh-CN" w:bidi="ar-SA"/>
        </w:rPr>
        <w:t>）存在问题</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部分社会组织专业化能力不足，服务质量参差不齐；社会组织监管信息化水平不高，动态监管力度有待加强；公益性社会组织培育力度不够，数量和质量难以满足需求。</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w:t>
      </w:r>
      <w:r>
        <w:rPr>
          <w:rFonts w:hint="eastAsia" w:eastAsia="仿宋_GB2312" w:cs="Times New Roman"/>
          <w:color w:val="auto"/>
          <w:kern w:val="2"/>
          <w:sz w:val="32"/>
          <w:szCs w:val="32"/>
          <w:highlight w:val="none"/>
          <w:lang w:val="en-US" w:eastAsia="zh-CN" w:bidi="ar-SA"/>
        </w:rPr>
        <w:t>4</w:t>
      </w:r>
      <w:r>
        <w:rPr>
          <w:rFonts w:hint="eastAsia" w:ascii="Times New Roman" w:hAnsi="Times New Roman" w:eastAsia="仿宋_GB2312" w:cs="Times New Roman"/>
          <w:color w:val="auto"/>
          <w:kern w:val="2"/>
          <w:sz w:val="32"/>
          <w:szCs w:val="32"/>
          <w:highlight w:val="none"/>
          <w:lang w:val="zh-CN" w:eastAsia="zh-CN" w:bidi="ar-SA"/>
        </w:rPr>
        <w:t>）改进方向</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加强社会组织能力培训，提升专业化服务水平；搭建社会组织监管信息化平台，实现动态化、精准化监管；加大公益性社会组织培育扶持力度，引导其聚焦民生领域，提升服务效能。</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jc w:val="left"/>
        <w:textAlignment w:val="auto"/>
        <w:rPr>
          <w:rFonts w:hint="eastAsia" w:ascii="Times New Roman" w:hAnsi="Times New Roman" w:eastAsia="仿宋_GB2312" w:cs="Times New Roman"/>
          <w:b/>
          <w:bCs/>
          <w:color w:val="auto"/>
          <w:kern w:val="2"/>
          <w:sz w:val="32"/>
          <w:szCs w:val="32"/>
          <w:highlight w:val="none"/>
          <w:lang w:val="zh-CN" w:eastAsia="zh-CN" w:bidi="ar-SA"/>
        </w:rPr>
      </w:pPr>
      <w:r>
        <w:rPr>
          <w:rFonts w:hint="eastAsia" w:ascii="Times New Roman" w:hAnsi="Times New Roman" w:eastAsia="仿宋_GB2312" w:cs="Times New Roman"/>
          <w:b/>
          <w:bCs/>
          <w:color w:val="auto"/>
          <w:kern w:val="2"/>
          <w:sz w:val="32"/>
          <w:szCs w:val="32"/>
          <w:highlight w:val="none"/>
          <w:lang w:val="zh-CN" w:eastAsia="zh-CN" w:bidi="ar-SA"/>
        </w:rPr>
        <w:t>整体绩效总结与提升建议</w:t>
      </w:r>
    </w:p>
    <w:p>
      <w:pPr>
        <w:keepNext w:val="0"/>
        <w:keepLines w:val="0"/>
        <w:pageBreakBefore w:val="0"/>
        <w:kinsoku/>
        <w:wordWrap/>
        <w:overflowPunct/>
        <w:topLinePunct w:val="0"/>
        <w:autoSpaceDE/>
        <w:autoSpaceDN/>
        <w:bidi w:val="0"/>
        <w:adjustRightInd w:val="0"/>
        <w:snapToGrid w:val="0"/>
        <w:spacing w:before="0" w:after="0" w:line="560" w:lineRule="exact"/>
        <w:ind w:firstLine="640" w:firstLineChars="200"/>
        <w:contextualSpacing/>
        <w:jc w:val="left"/>
        <w:textAlignment w:val="auto"/>
        <w:rPr>
          <w:rFonts w:hint="eastAsia" w:ascii="Times New Roman" w:hAnsi="Times New Roman" w:eastAsia="仿宋" w:cs="Times New Roman"/>
          <w:b w:val="0"/>
          <w:bCs/>
          <w:color w:val="000000"/>
          <w:kern w:val="0"/>
          <w:sz w:val="32"/>
          <w:szCs w:val="32"/>
          <w:shd w:val="clear" w:color="auto" w:fill="FFFFFF"/>
          <w:lang w:val="zh-CN"/>
        </w:rPr>
      </w:pPr>
      <w:r>
        <w:rPr>
          <w:rFonts w:hint="eastAsia" w:ascii="Times New Roman" w:hAnsi="Times New Roman" w:eastAsia="仿宋" w:cs="Times New Roman"/>
          <w:b w:val="0"/>
          <w:bCs/>
          <w:color w:val="000000"/>
          <w:kern w:val="0"/>
          <w:sz w:val="32"/>
          <w:szCs w:val="32"/>
          <w:shd w:val="clear" w:color="auto" w:fill="FFFFFF"/>
          <w:lang w:val="zh-CN"/>
        </w:rPr>
        <w:t>（</w:t>
      </w:r>
      <w:r>
        <w:rPr>
          <w:rFonts w:hint="eastAsia" w:eastAsia="仿宋" w:cs="Times New Roman"/>
          <w:b w:val="0"/>
          <w:bCs/>
          <w:color w:val="000000"/>
          <w:kern w:val="0"/>
          <w:sz w:val="32"/>
          <w:szCs w:val="32"/>
          <w:shd w:val="clear" w:color="auto" w:fill="FFFFFF"/>
          <w:lang w:val="en-US" w:eastAsia="zh-CN"/>
        </w:rPr>
        <w:t>1</w:t>
      </w:r>
      <w:r>
        <w:rPr>
          <w:rFonts w:hint="eastAsia" w:ascii="Times New Roman" w:hAnsi="Times New Roman" w:eastAsia="仿宋" w:cs="Times New Roman"/>
          <w:b w:val="0"/>
          <w:bCs/>
          <w:color w:val="000000"/>
          <w:kern w:val="0"/>
          <w:sz w:val="32"/>
          <w:szCs w:val="32"/>
          <w:shd w:val="clear" w:color="auto" w:fill="FFFFFF"/>
          <w:lang w:val="zh-CN"/>
        </w:rPr>
        <w:t>）整体绩效总结</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本年度民政局5项核心职能目标均圆满完成，履职效能显著提升。社会救助兜底保障坚实有力，困难群众基本生活得到有效保障；养老服务体系不断完善，老年人养老需求得到更好满足；基层社会治理水平持续提升，基层和谐稳定局面持续巩固；专项社会事务管理规范便民，特殊群体合法权益得到全面保障；社会组织规范发展，多元共治格局逐步形成。各项工作成效明显，群众满意度持续提高，充分发挥了民政部门在保障民生、服务社会、促进和谐中的核心作用。</w:t>
      </w:r>
    </w:p>
    <w:p>
      <w:pPr>
        <w:keepNext w:val="0"/>
        <w:keepLines w:val="0"/>
        <w:pageBreakBefore w:val="0"/>
        <w:kinsoku/>
        <w:wordWrap/>
        <w:overflowPunct/>
        <w:topLinePunct w:val="0"/>
        <w:autoSpaceDE/>
        <w:autoSpaceDN/>
        <w:bidi w:val="0"/>
        <w:adjustRightInd w:val="0"/>
        <w:snapToGrid w:val="0"/>
        <w:spacing w:before="0" w:after="0" w:line="560" w:lineRule="exact"/>
        <w:ind w:firstLine="640" w:firstLineChars="200"/>
        <w:contextualSpacing/>
        <w:jc w:val="left"/>
        <w:textAlignment w:val="auto"/>
        <w:rPr>
          <w:rFonts w:hint="eastAsia" w:ascii="Times New Roman" w:hAnsi="Times New Roman" w:eastAsia="仿宋" w:cs="Times New Roman"/>
          <w:b w:val="0"/>
          <w:bCs/>
          <w:color w:val="000000"/>
          <w:kern w:val="0"/>
          <w:sz w:val="32"/>
          <w:szCs w:val="32"/>
          <w:shd w:val="clear" w:color="auto" w:fill="FFFFFF"/>
          <w:lang w:val="zh-CN"/>
        </w:rPr>
      </w:pPr>
      <w:r>
        <w:rPr>
          <w:rFonts w:hint="eastAsia" w:ascii="Times New Roman" w:hAnsi="Times New Roman" w:eastAsia="仿宋" w:cs="Times New Roman"/>
          <w:b w:val="0"/>
          <w:bCs/>
          <w:color w:val="000000"/>
          <w:kern w:val="0"/>
          <w:sz w:val="32"/>
          <w:szCs w:val="32"/>
          <w:shd w:val="clear" w:color="auto" w:fill="FFFFFF"/>
          <w:lang w:val="zh-CN"/>
        </w:rPr>
        <w:t>（</w:t>
      </w:r>
      <w:r>
        <w:rPr>
          <w:rFonts w:hint="eastAsia" w:eastAsia="仿宋" w:cs="Times New Roman"/>
          <w:b w:val="0"/>
          <w:bCs/>
          <w:color w:val="000000"/>
          <w:kern w:val="0"/>
          <w:sz w:val="32"/>
          <w:szCs w:val="32"/>
          <w:shd w:val="clear" w:color="auto" w:fill="FFFFFF"/>
          <w:lang w:val="en-US" w:eastAsia="zh-CN"/>
        </w:rPr>
        <w:t>2</w:t>
      </w:r>
      <w:r>
        <w:rPr>
          <w:rFonts w:hint="eastAsia" w:ascii="Times New Roman" w:hAnsi="Times New Roman" w:eastAsia="仿宋" w:cs="Times New Roman"/>
          <w:b w:val="0"/>
          <w:bCs/>
          <w:color w:val="000000"/>
          <w:kern w:val="0"/>
          <w:sz w:val="32"/>
          <w:szCs w:val="32"/>
          <w:shd w:val="clear" w:color="auto" w:fill="FFFFFF"/>
          <w:lang w:val="zh-CN"/>
        </w:rPr>
        <w:t>）整体提升建议</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en-US" w:eastAsia="zh-CN" w:bidi="ar-SA"/>
        </w:rPr>
        <w:t>一是</w:t>
      </w:r>
      <w:r>
        <w:rPr>
          <w:rFonts w:hint="eastAsia" w:ascii="Times New Roman" w:hAnsi="Times New Roman" w:eastAsia="仿宋_GB2312" w:cs="Times New Roman"/>
          <w:color w:val="auto"/>
          <w:kern w:val="2"/>
          <w:sz w:val="32"/>
          <w:szCs w:val="32"/>
          <w:highlight w:val="none"/>
          <w:lang w:val="zh-CN" w:eastAsia="zh-CN" w:bidi="ar-SA"/>
        </w:rPr>
        <w:t>强化民生保障精准度：持续优化大数据救助核查体系，完善主动发现机制，聚焦特殊困难群体，实施精准帮扶，进一步筑牢民生兜底保障网。</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en-US" w:eastAsia="zh-CN" w:bidi="ar-SA"/>
        </w:rPr>
        <w:t>二是</w:t>
      </w:r>
      <w:r>
        <w:rPr>
          <w:rFonts w:hint="eastAsia" w:ascii="Times New Roman" w:hAnsi="Times New Roman" w:eastAsia="仿宋_GB2312" w:cs="Times New Roman"/>
          <w:color w:val="auto"/>
          <w:kern w:val="2"/>
          <w:sz w:val="32"/>
          <w:szCs w:val="32"/>
          <w:highlight w:val="none"/>
          <w:lang w:val="zh-CN" w:eastAsia="zh-CN" w:bidi="ar-SA"/>
        </w:rPr>
        <w:t>补齐服务短板：重点加强农村养老、基层治理、未成年人保护等领域薄弱环节建设，加大资源投入，完善设施配套，提升城乡民政服务均衡化水平。</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en-US" w:eastAsia="zh-CN" w:bidi="ar-SA"/>
        </w:rPr>
        <w:t>三是</w:t>
      </w:r>
      <w:r>
        <w:rPr>
          <w:rFonts w:hint="eastAsia" w:ascii="Times New Roman" w:hAnsi="Times New Roman" w:eastAsia="仿宋_GB2312" w:cs="Times New Roman"/>
          <w:color w:val="auto"/>
          <w:kern w:val="2"/>
          <w:sz w:val="32"/>
          <w:szCs w:val="32"/>
          <w:highlight w:val="none"/>
          <w:lang w:val="zh-CN" w:eastAsia="zh-CN" w:bidi="ar-SA"/>
        </w:rPr>
        <w:t>推进数字化转型：加快民政业务数字化、信息化建设，整合各类服务平台，实现“一网通办、一码通行”，提升民政服务便捷化、智能化水平。</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en-US" w:eastAsia="zh-CN" w:bidi="ar-SA"/>
        </w:rPr>
        <w:t>四是</w:t>
      </w:r>
      <w:r>
        <w:rPr>
          <w:rFonts w:hint="eastAsia" w:ascii="Times New Roman" w:hAnsi="Times New Roman" w:eastAsia="仿宋_GB2312" w:cs="Times New Roman"/>
          <w:color w:val="auto"/>
          <w:kern w:val="2"/>
          <w:sz w:val="32"/>
          <w:szCs w:val="32"/>
          <w:highlight w:val="none"/>
          <w:lang w:val="zh-CN" w:eastAsia="zh-CN" w:bidi="ar-SA"/>
        </w:rPr>
        <w:t>加强队伍建设：加强民政系统干部职工、基层经办人员、养老护理员等队伍培训，提升专业素养和业务能力，打造高素质民政工作队伍。</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en-US" w:eastAsia="zh-CN" w:bidi="ar-SA"/>
        </w:rPr>
        <w:t>五是</w:t>
      </w:r>
      <w:r>
        <w:rPr>
          <w:rFonts w:hint="eastAsia" w:ascii="Times New Roman" w:hAnsi="Times New Roman" w:eastAsia="仿宋_GB2312" w:cs="Times New Roman"/>
          <w:color w:val="auto"/>
          <w:kern w:val="2"/>
          <w:sz w:val="32"/>
          <w:szCs w:val="32"/>
          <w:highlight w:val="none"/>
          <w:lang w:val="zh-CN" w:eastAsia="zh-CN" w:bidi="ar-SA"/>
        </w:rPr>
        <w:t>深化政策宣传：通过多渠道、多形式加大民政政策宣传力度，提升群众政策知晓度，畅通群众诉求反馈渠道，切实增强群众获得感、幸福感、安全感。</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0"/>
        <w:rPr>
          <w:rFonts w:hint="eastAsia" w:ascii="Times New Roman" w:hAnsi="Times New Roman" w:eastAsia="仿宋_GB2312" w:cs="Times New Roman"/>
          <w:color w:val="auto"/>
          <w:kern w:val="2"/>
          <w:sz w:val="32"/>
          <w:szCs w:val="32"/>
          <w:highlight w:val="none"/>
          <w:lang w:val="zh-CN" w:eastAsia="zh-CN" w:bidi="ar-SA"/>
        </w:rPr>
      </w:pPr>
      <w:bookmarkStart w:id="113" w:name="_Toc20327"/>
      <w:r>
        <w:rPr>
          <w:rFonts w:hint="eastAsia" w:eastAsia="仿宋_GB2312" w:cs="Times New Roman"/>
          <w:color w:val="auto"/>
          <w:kern w:val="2"/>
          <w:sz w:val="32"/>
          <w:szCs w:val="32"/>
          <w:highlight w:val="none"/>
          <w:lang w:val="en-US" w:eastAsia="zh-CN" w:bidi="ar-SA"/>
        </w:rPr>
        <w:t>1</w:t>
      </w:r>
      <w:r>
        <w:rPr>
          <w:rFonts w:hint="eastAsia" w:ascii="Times New Roman" w:hAnsi="Times New Roman" w:eastAsia="仿宋_GB2312" w:cs="Times New Roman"/>
          <w:color w:val="auto"/>
          <w:kern w:val="2"/>
          <w:sz w:val="32"/>
          <w:szCs w:val="32"/>
          <w:highlight w:val="none"/>
          <w:lang w:val="zh-CN" w:eastAsia="zh-CN" w:bidi="ar-SA"/>
        </w:rPr>
        <w:t>.预算管理。</w:t>
      </w:r>
      <w:bookmarkEnd w:id="113"/>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Times New Roman" w:hAnsi="Times New Roman" w:eastAsia="仿宋_GB2312" w:cs="Times New Roman"/>
          <w:color w:val="auto"/>
          <w:kern w:val="2"/>
          <w:sz w:val="32"/>
          <w:szCs w:val="32"/>
          <w:highlight w:val="none"/>
          <w:lang w:val="zh-CN" w:eastAsia="zh-CN" w:bidi="ar-SA"/>
        </w:rPr>
      </w:pPr>
      <w:bookmarkStart w:id="114" w:name="_Toc23615"/>
      <w:r>
        <w:rPr>
          <w:rFonts w:hint="eastAsia" w:ascii="Times New Roman" w:hAnsi="Times New Roman" w:eastAsia="仿宋_GB2312" w:cs="Times New Roman"/>
          <w:color w:val="auto"/>
          <w:kern w:val="2"/>
          <w:sz w:val="32"/>
          <w:szCs w:val="32"/>
          <w:highlight w:val="none"/>
          <w:lang w:val="zh-CN" w:eastAsia="zh-CN" w:bidi="ar-SA"/>
        </w:rPr>
        <w:t>（1）预算编制质量</w:t>
      </w:r>
      <w:bookmarkEnd w:id="114"/>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严格按照财政预算编制要求，结合民政事业发展规划、年度重点工作和上年预算执行情况，科学编制部门预算，细化预算项目，明确绩效目标，做到预算编制与履职需求、项目实施进度相匹配。全年预算编制准确率达 99% 以上，无重大编制失误，项目预算编制与实际执行偏差率控制在合理范围内，预算编制的科学性、规范性显著提升。</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Times New Roman" w:hAnsi="Times New Roman" w:eastAsia="仿宋_GB2312" w:cs="Times New Roman"/>
          <w:color w:val="auto"/>
          <w:kern w:val="2"/>
          <w:sz w:val="32"/>
          <w:szCs w:val="32"/>
          <w:highlight w:val="none"/>
          <w:lang w:val="zh-CN" w:eastAsia="zh-CN" w:bidi="ar-SA"/>
        </w:rPr>
      </w:pPr>
      <w:bookmarkStart w:id="115" w:name="_Toc28004"/>
      <w:r>
        <w:rPr>
          <w:rFonts w:hint="eastAsia" w:ascii="Times New Roman" w:hAnsi="Times New Roman" w:eastAsia="仿宋_GB2312" w:cs="Times New Roman"/>
          <w:color w:val="auto"/>
          <w:kern w:val="2"/>
          <w:sz w:val="32"/>
          <w:szCs w:val="32"/>
          <w:highlight w:val="none"/>
          <w:lang w:val="zh-CN" w:eastAsia="zh-CN" w:bidi="ar-SA"/>
        </w:rPr>
        <w:t>（2）单位收入统筹</w:t>
      </w:r>
      <w:bookmarkEnd w:id="115"/>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全面统筹民政事业发展资金、上级转移支付资金、社会捐赠资金等各类收入，建立收入统筹管理机制，确保资金应收尽收、规范管理。全年实现</w:t>
      </w:r>
      <w:r>
        <w:rPr>
          <w:rFonts w:hint="eastAsia" w:ascii="Times New Roman" w:hAnsi="Times New Roman" w:eastAsia="仿宋_GB2312" w:cs="Times New Roman"/>
          <w:color w:val="auto"/>
          <w:kern w:val="2"/>
          <w:sz w:val="32"/>
          <w:szCs w:val="32"/>
          <w:highlight w:val="none"/>
          <w:lang w:val="en-US" w:eastAsia="zh-CN" w:bidi="ar-SA"/>
        </w:rPr>
        <w:t>财政拨款</w:t>
      </w:r>
      <w:r>
        <w:rPr>
          <w:rFonts w:hint="eastAsia" w:ascii="Times New Roman" w:hAnsi="Times New Roman" w:eastAsia="仿宋_GB2312" w:cs="Times New Roman"/>
          <w:color w:val="auto"/>
          <w:kern w:val="2"/>
          <w:sz w:val="32"/>
          <w:szCs w:val="32"/>
          <w:highlight w:val="none"/>
          <w:lang w:val="zh-CN" w:eastAsia="zh-CN" w:bidi="ar-SA"/>
        </w:rPr>
        <w:t xml:space="preserve">收入 </w:t>
      </w:r>
      <w:r>
        <w:rPr>
          <w:rFonts w:hint="eastAsia" w:ascii="Times New Roman" w:hAnsi="Times New Roman" w:eastAsia="仿宋_GB2312" w:cs="Times New Roman"/>
          <w:color w:val="auto"/>
          <w:kern w:val="2"/>
          <w:sz w:val="32"/>
          <w:szCs w:val="32"/>
          <w:highlight w:val="none"/>
          <w:lang w:val="en-US" w:eastAsia="zh-CN" w:bidi="ar-SA"/>
        </w:rPr>
        <w:t>9747.4416</w:t>
      </w:r>
      <w:r>
        <w:rPr>
          <w:rFonts w:hint="eastAsia" w:ascii="Times New Roman" w:hAnsi="Times New Roman" w:eastAsia="仿宋_GB2312" w:cs="Times New Roman"/>
          <w:color w:val="auto"/>
          <w:kern w:val="2"/>
          <w:sz w:val="32"/>
          <w:szCs w:val="32"/>
          <w:highlight w:val="none"/>
          <w:lang w:val="zh-CN" w:eastAsia="zh-CN" w:bidi="ar-SA"/>
        </w:rPr>
        <w:t xml:space="preserve"> 万元，收入预算完成率达 100%，无坐收坐支、私设 “小金库” 等违规行为，收入统筹调度能力有效增强。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Times New Roman" w:hAnsi="Times New Roman" w:eastAsia="仿宋_GB2312" w:cs="Times New Roman"/>
          <w:color w:val="auto"/>
          <w:kern w:val="2"/>
          <w:sz w:val="32"/>
          <w:szCs w:val="32"/>
          <w:highlight w:val="none"/>
          <w:lang w:val="zh-CN" w:eastAsia="zh-CN" w:bidi="ar-SA"/>
        </w:rPr>
      </w:pPr>
      <w:bookmarkStart w:id="116" w:name="_Toc13147"/>
      <w:r>
        <w:rPr>
          <w:rFonts w:hint="eastAsia" w:ascii="Times New Roman" w:hAnsi="Times New Roman" w:eastAsia="仿宋_GB2312" w:cs="Times New Roman"/>
          <w:color w:val="auto"/>
          <w:kern w:val="2"/>
          <w:sz w:val="32"/>
          <w:szCs w:val="32"/>
          <w:highlight w:val="none"/>
          <w:lang w:val="zh-CN" w:eastAsia="zh-CN" w:bidi="ar-SA"/>
        </w:rPr>
        <w:t>（3）支出执行管理</w:t>
      </w:r>
      <w:bookmarkEnd w:id="116"/>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 xml:space="preserve">严格执行批复的部门预算，按照 “先有预算、后有支出” 的原则，规范资金拨付流程，加快支出执行进度。全年预算支出执行率达 </w:t>
      </w:r>
      <w:r>
        <w:rPr>
          <w:rFonts w:hint="eastAsia" w:ascii="Times New Roman" w:hAnsi="Times New Roman" w:eastAsia="仿宋_GB2312" w:cs="Times New Roman"/>
          <w:color w:val="auto"/>
          <w:kern w:val="2"/>
          <w:sz w:val="32"/>
          <w:szCs w:val="32"/>
          <w:highlight w:val="none"/>
          <w:lang w:val="en-US" w:eastAsia="zh-CN" w:bidi="ar-SA"/>
        </w:rPr>
        <w:t>100</w:t>
      </w:r>
      <w:r>
        <w:rPr>
          <w:rFonts w:hint="eastAsia" w:ascii="Times New Roman" w:hAnsi="Times New Roman" w:eastAsia="仿宋_GB2312" w:cs="Times New Roman"/>
          <w:color w:val="auto"/>
          <w:kern w:val="2"/>
          <w:sz w:val="32"/>
          <w:szCs w:val="32"/>
          <w:highlight w:val="none"/>
          <w:lang w:val="zh-CN" w:eastAsia="zh-CN" w:bidi="ar-SA"/>
        </w:rPr>
        <w:t>%，其中重点民生项目支出执行率达 100%，无超预算、无预算支出行为，资金使用与预算安排高度契合，保障了各项民政工作的顺利推进。</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Times New Roman" w:hAnsi="Times New Roman" w:eastAsia="仿宋_GB2312" w:cs="Times New Roman"/>
          <w:color w:val="auto"/>
          <w:kern w:val="2"/>
          <w:sz w:val="32"/>
          <w:szCs w:val="32"/>
          <w:highlight w:val="none"/>
          <w:lang w:val="zh-CN" w:eastAsia="zh-CN" w:bidi="ar-SA"/>
        </w:rPr>
      </w:pPr>
      <w:bookmarkStart w:id="117" w:name="_Toc21486"/>
      <w:r>
        <w:rPr>
          <w:rFonts w:hint="eastAsia" w:ascii="Times New Roman" w:hAnsi="Times New Roman" w:eastAsia="仿宋_GB2312" w:cs="Times New Roman"/>
          <w:color w:val="auto"/>
          <w:kern w:val="2"/>
          <w:sz w:val="32"/>
          <w:szCs w:val="32"/>
          <w:highlight w:val="none"/>
          <w:lang w:val="zh-CN" w:eastAsia="zh-CN" w:bidi="ar-SA"/>
        </w:rPr>
        <w:t>（4）预算年终结余</w:t>
      </w:r>
      <w:bookmarkEnd w:id="117"/>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 xml:space="preserve">加强预算执行动态监控，建立结余资金定期清理机制，对结转结余资金分类处置，盘活存量资金用于急需的民生项目。年末结转结余资金 </w:t>
      </w:r>
      <w:r>
        <w:rPr>
          <w:rFonts w:hint="eastAsia" w:ascii="Times New Roman" w:hAnsi="Times New Roman" w:eastAsia="仿宋_GB2312" w:cs="Times New Roman"/>
          <w:color w:val="auto"/>
          <w:kern w:val="2"/>
          <w:sz w:val="32"/>
          <w:szCs w:val="32"/>
          <w:highlight w:val="none"/>
          <w:lang w:val="en-US" w:eastAsia="zh-CN" w:bidi="ar-SA"/>
        </w:rPr>
        <w:t>0</w:t>
      </w:r>
      <w:r>
        <w:rPr>
          <w:rFonts w:hint="eastAsia" w:ascii="Times New Roman" w:hAnsi="Times New Roman" w:eastAsia="仿宋_GB2312" w:cs="Times New Roman"/>
          <w:color w:val="auto"/>
          <w:kern w:val="2"/>
          <w:sz w:val="32"/>
          <w:szCs w:val="32"/>
          <w:highlight w:val="none"/>
          <w:lang w:val="zh-CN" w:eastAsia="zh-CN" w:bidi="ar-SA"/>
        </w:rPr>
        <w:t>万元，较上年</w:t>
      </w:r>
      <w:r>
        <w:rPr>
          <w:rFonts w:hint="eastAsia" w:ascii="Times New Roman" w:hAnsi="Times New Roman" w:eastAsia="仿宋_GB2312" w:cs="Times New Roman"/>
          <w:color w:val="auto"/>
          <w:kern w:val="2"/>
          <w:sz w:val="32"/>
          <w:szCs w:val="32"/>
          <w:highlight w:val="none"/>
          <w:lang w:val="en-US" w:eastAsia="zh-CN" w:bidi="ar-SA"/>
        </w:rPr>
        <w:t>无变动</w:t>
      </w:r>
      <w:r>
        <w:rPr>
          <w:rFonts w:hint="eastAsia" w:ascii="Times New Roman" w:hAnsi="Times New Roman" w:eastAsia="仿宋_GB2312" w:cs="Times New Roman"/>
          <w:color w:val="auto"/>
          <w:kern w:val="2"/>
          <w:sz w:val="32"/>
          <w:szCs w:val="32"/>
          <w:highlight w:val="none"/>
          <w:lang w:val="zh-CN" w:eastAsia="zh-CN" w:bidi="ar-SA"/>
        </w:rPr>
        <w:t>，无长期闲置沉淀资金，资金使用效益得到有效提升。</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Times New Roman" w:hAnsi="Times New Roman" w:eastAsia="仿宋_GB2312" w:cs="Times New Roman"/>
          <w:color w:val="auto"/>
          <w:kern w:val="2"/>
          <w:sz w:val="32"/>
          <w:szCs w:val="32"/>
          <w:highlight w:val="none"/>
          <w:lang w:val="zh-CN" w:eastAsia="zh-CN" w:bidi="ar-SA"/>
        </w:rPr>
      </w:pPr>
      <w:bookmarkStart w:id="118" w:name="_Toc16063"/>
      <w:r>
        <w:rPr>
          <w:rFonts w:hint="eastAsia" w:ascii="Times New Roman" w:hAnsi="Times New Roman" w:eastAsia="仿宋_GB2312" w:cs="Times New Roman"/>
          <w:color w:val="auto"/>
          <w:kern w:val="2"/>
          <w:sz w:val="32"/>
          <w:szCs w:val="32"/>
          <w:highlight w:val="none"/>
          <w:lang w:val="zh-CN" w:eastAsia="zh-CN" w:bidi="ar-SA"/>
        </w:rPr>
        <w:t>（5）严控一般性支出</w:t>
      </w:r>
      <w:bookmarkEnd w:id="118"/>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严格落实过 “紧日子” 要求，压减非急需、非刚性一般性支出，严格控制</w:t>
      </w:r>
      <w:r>
        <w:rPr>
          <w:rFonts w:hint="eastAsia" w:eastAsia="仿宋_GB2312" w:cs="Times New Roman"/>
          <w:color w:val="auto"/>
          <w:kern w:val="2"/>
          <w:sz w:val="32"/>
          <w:szCs w:val="32"/>
          <w:highlight w:val="none"/>
          <w:lang w:val="zh-CN" w:eastAsia="zh-CN" w:bidi="ar-SA"/>
        </w:rPr>
        <w:t>“三公”经费</w:t>
      </w:r>
      <w:r>
        <w:rPr>
          <w:rFonts w:hint="eastAsia" w:ascii="Times New Roman" w:hAnsi="Times New Roman" w:eastAsia="仿宋_GB2312" w:cs="Times New Roman"/>
          <w:color w:val="auto"/>
          <w:kern w:val="2"/>
          <w:sz w:val="32"/>
          <w:szCs w:val="32"/>
          <w:highlight w:val="none"/>
          <w:lang w:val="zh-CN" w:eastAsia="zh-CN" w:bidi="ar-SA"/>
        </w:rPr>
        <w:t>规模，</w:t>
      </w:r>
      <w:r>
        <w:rPr>
          <w:rFonts w:hint="eastAsia" w:eastAsia="仿宋_GB2312" w:cs="Times New Roman"/>
          <w:color w:val="auto"/>
          <w:kern w:val="2"/>
          <w:sz w:val="32"/>
          <w:szCs w:val="32"/>
          <w:highlight w:val="none"/>
          <w:lang w:val="zh-CN" w:eastAsia="zh-CN" w:bidi="ar-SA"/>
        </w:rPr>
        <w:t>“三公”经费</w:t>
      </w:r>
      <w:r>
        <w:rPr>
          <w:rFonts w:hint="eastAsia" w:ascii="Times New Roman" w:hAnsi="Times New Roman" w:eastAsia="仿宋_GB2312" w:cs="Times New Roman"/>
          <w:color w:val="auto"/>
          <w:kern w:val="2"/>
          <w:sz w:val="32"/>
          <w:szCs w:val="32"/>
          <w:highlight w:val="none"/>
          <w:lang w:val="zh-CN" w:eastAsia="zh-CN" w:bidi="ar-SA"/>
        </w:rPr>
        <w:t>支出均控制在预算范围内，未发生违规支出行为，财政资金更多向民生保障领域倾斜。</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Times New Roman" w:hAnsi="Times New Roman" w:eastAsia="仿宋_GB2312" w:cs="Times New Roman"/>
          <w:color w:val="auto"/>
          <w:kern w:val="2"/>
          <w:sz w:val="32"/>
          <w:szCs w:val="32"/>
          <w:highlight w:val="none"/>
          <w:lang w:val="zh-CN" w:eastAsia="zh-CN" w:bidi="ar-SA"/>
        </w:rPr>
      </w:pPr>
      <w:bookmarkStart w:id="119" w:name="_Toc27877"/>
      <w:r>
        <w:rPr>
          <w:rFonts w:hint="eastAsia" w:ascii="Times New Roman" w:hAnsi="Times New Roman" w:eastAsia="仿宋_GB2312" w:cs="Times New Roman"/>
          <w:color w:val="auto"/>
          <w:kern w:val="2"/>
          <w:sz w:val="32"/>
          <w:szCs w:val="32"/>
          <w:highlight w:val="none"/>
          <w:lang w:val="zh-CN" w:eastAsia="zh-CN" w:bidi="ar-SA"/>
        </w:rPr>
        <w:t>（6）预决算公开</w:t>
      </w:r>
      <w:bookmarkEnd w:id="119"/>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按照财政预决算公开要求，及时、完整公开部门预决算信息，包括收支总体情况、重点项目预算、</w:t>
      </w:r>
      <w:r>
        <w:rPr>
          <w:rFonts w:hint="eastAsia" w:eastAsia="仿宋_GB2312" w:cs="Times New Roman"/>
          <w:color w:val="auto"/>
          <w:kern w:val="2"/>
          <w:sz w:val="32"/>
          <w:szCs w:val="32"/>
          <w:highlight w:val="none"/>
          <w:lang w:val="zh-CN" w:eastAsia="zh-CN" w:bidi="ar-SA"/>
        </w:rPr>
        <w:t>“三公”经费</w:t>
      </w:r>
      <w:r>
        <w:rPr>
          <w:rFonts w:hint="eastAsia" w:ascii="Times New Roman" w:hAnsi="Times New Roman" w:eastAsia="仿宋_GB2312" w:cs="Times New Roman"/>
          <w:color w:val="auto"/>
          <w:kern w:val="2"/>
          <w:sz w:val="32"/>
          <w:szCs w:val="32"/>
          <w:highlight w:val="none"/>
          <w:lang w:val="zh-CN" w:eastAsia="zh-CN" w:bidi="ar-SA"/>
        </w:rPr>
        <w:t>等内容，公开内容规范、格式统一，公开率达 100%，主动接受社会监督，预决算透明度持续提升。</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Times New Roman" w:hAnsi="Times New Roman" w:eastAsia="仿宋_GB2312" w:cs="Times New Roman"/>
          <w:color w:val="auto"/>
          <w:kern w:val="2"/>
          <w:sz w:val="32"/>
          <w:szCs w:val="32"/>
          <w:highlight w:val="none"/>
          <w:lang w:val="zh-CN" w:eastAsia="zh-CN" w:bidi="ar-SA"/>
        </w:rPr>
      </w:pPr>
      <w:bookmarkStart w:id="120" w:name="_Toc23060"/>
      <w:r>
        <w:rPr>
          <w:rFonts w:hint="eastAsia" w:ascii="Times New Roman" w:hAnsi="Times New Roman" w:eastAsia="仿宋_GB2312" w:cs="Times New Roman"/>
          <w:color w:val="auto"/>
          <w:kern w:val="2"/>
          <w:sz w:val="32"/>
          <w:szCs w:val="32"/>
          <w:highlight w:val="none"/>
          <w:lang w:val="zh-CN" w:eastAsia="zh-CN" w:bidi="ar-SA"/>
        </w:rPr>
        <w:t>（7）存在问题与改进方向</w:t>
      </w:r>
      <w:bookmarkEnd w:id="120"/>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问题：部分项目预算编制前瞻性不足，与实际执行存在小幅偏差；个别专项支出执行进度不均衡。</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改进方向：强化项目预算前期论证，提升预算编制精准度；建立支出执行预警机制，定期跟踪分析执行进度，推动预算资金均衡、高效使用。</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0"/>
        <w:rPr>
          <w:rFonts w:hint="eastAsia" w:ascii="Times New Roman" w:hAnsi="Times New Roman" w:eastAsia="仿宋_GB2312" w:cs="Times New Roman"/>
          <w:color w:val="auto"/>
          <w:kern w:val="2"/>
          <w:sz w:val="32"/>
          <w:szCs w:val="32"/>
          <w:highlight w:val="none"/>
          <w:lang w:val="zh-CN" w:eastAsia="zh-CN" w:bidi="ar-SA"/>
        </w:rPr>
      </w:pPr>
      <w:bookmarkStart w:id="121" w:name="_Toc8530"/>
      <w:r>
        <w:rPr>
          <w:rFonts w:hint="eastAsia" w:eastAsia="仿宋_GB2312" w:cs="Times New Roman"/>
          <w:color w:val="auto"/>
          <w:kern w:val="2"/>
          <w:sz w:val="32"/>
          <w:szCs w:val="32"/>
          <w:highlight w:val="none"/>
          <w:lang w:val="en-US" w:eastAsia="zh-CN" w:bidi="ar-SA"/>
        </w:rPr>
        <w:t>2</w:t>
      </w:r>
      <w:r>
        <w:rPr>
          <w:rFonts w:hint="eastAsia"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zh-CN" w:eastAsia="zh-CN" w:bidi="ar-SA"/>
        </w:rPr>
        <w:t>财务管理。</w:t>
      </w:r>
      <w:bookmarkEnd w:id="121"/>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Times New Roman" w:hAnsi="Times New Roman" w:eastAsia="仿宋_GB2312" w:cs="Times New Roman"/>
          <w:color w:val="auto"/>
          <w:kern w:val="2"/>
          <w:sz w:val="32"/>
          <w:szCs w:val="32"/>
          <w:highlight w:val="none"/>
          <w:lang w:val="zh-CN" w:eastAsia="zh-CN" w:bidi="ar-SA"/>
        </w:rPr>
      </w:pPr>
      <w:bookmarkStart w:id="122" w:name="_Toc32294"/>
      <w:r>
        <w:rPr>
          <w:rFonts w:hint="eastAsia" w:ascii="Times New Roman" w:hAnsi="Times New Roman" w:eastAsia="仿宋_GB2312" w:cs="Times New Roman"/>
          <w:color w:val="auto"/>
          <w:kern w:val="2"/>
          <w:sz w:val="32"/>
          <w:szCs w:val="32"/>
          <w:highlight w:val="none"/>
          <w:lang w:val="zh-CN" w:eastAsia="zh-CN" w:bidi="ar-SA"/>
        </w:rPr>
        <w:t>（1）财务管理制度建设</w:t>
      </w:r>
      <w:bookmarkEnd w:id="122"/>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建立健全《财务管理制度》《专项资金管理办法》《内控管理制度》等系列财务管理制度，形成覆盖预算编制、资金拨付、财务核算、资产管理、财务监督全流程的制度体系，确保财务管理工作有章可循、规范有序。</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Times New Roman" w:hAnsi="Times New Roman" w:eastAsia="仿宋_GB2312" w:cs="Times New Roman"/>
          <w:color w:val="auto"/>
          <w:kern w:val="2"/>
          <w:sz w:val="32"/>
          <w:szCs w:val="32"/>
          <w:highlight w:val="none"/>
          <w:lang w:val="zh-CN" w:eastAsia="zh-CN" w:bidi="ar-SA"/>
        </w:rPr>
      </w:pPr>
      <w:bookmarkStart w:id="123" w:name="_Toc29485"/>
      <w:r>
        <w:rPr>
          <w:rFonts w:hint="eastAsia" w:ascii="Times New Roman" w:hAnsi="Times New Roman" w:eastAsia="仿宋_GB2312" w:cs="Times New Roman"/>
          <w:color w:val="auto"/>
          <w:kern w:val="2"/>
          <w:sz w:val="32"/>
          <w:szCs w:val="32"/>
          <w:highlight w:val="none"/>
          <w:lang w:val="zh-CN" w:eastAsia="zh-CN" w:bidi="ar-SA"/>
        </w:rPr>
        <w:t>（2）财务岗位设置与运行</w:t>
      </w:r>
      <w:bookmarkEnd w:id="123"/>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按照不相容岗位分离原则，设置会计、出纳、审核等关键财务岗位，明确岗位职责权限，实行岗位轮岗制度，全年无岗位混岗、越权操作行为。财务人员定期参加业务培训，持证上岗率达 100%，专业素养和业务能力持续提升。</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Times New Roman" w:hAnsi="Times New Roman" w:eastAsia="仿宋_GB2312" w:cs="Times New Roman"/>
          <w:color w:val="auto"/>
          <w:kern w:val="2"/>
          <w:sz w:val="32"/>
          <w:szCs w:val="32"/>
          <w:highlight w:val="none"/>
          <w:lang w:val="zh-CN" w:eastAsia="zh-CN" w:bidi="ar-SA"/>
        </w:rPr>
      </w:pPr>
      <w:bookmarkStart w:id="124" w:name="_Toc18431"/>
      <w:r>
        <w:rPr>
          <w:rFonts w:hint="eastAsia" w:ascii="Times New Roman" w:hAnsi="Times New Roman" w:eastAsia="仿宋_GB2312" w:cs="Times New Roman"/>
          <w:color w:val="auto"/>
          <w:kern w:val="2"/>
          <w:sz w:val="32"/>
          <w:szCs w:val="32"/>
          <w:highlight w:val="none"/>
          <w:lang w:val="zh-CN" w:eastAsia="zh-CN" w:bidi="ar-SA"/>
        </w:rPr>
        <w:t>（3）资金使用规范管理</w:t>
      </w:r>
      <w:bookmarkEnd w:id="124"/>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严格执行资金支付审批流程，落实</w:t>
      </w:r>
      <w:r>
        <w:rPr>
          <w:rFonts w:hint="eastAsia" w:eastAsia="仿宋_GB2312" w:cs="Times New Roman"/>
          <w:color w:val="auto"/>
          <w:kern w:val="2"/>
          <w:sz w:val="32"/>
          <w:szCs w:val="32"/>
          <w:highlight w:val="none"/>
          <w:lang w:val="zh-CN" w:eastAsia="zh-CN" w:bidi="ar-SA"/>
        </w:rPr>
        <w:t>“三重一大”决策</w:t>
      </w:r>
      <w:r>
        <w:rPr>
          <w:rFonts w:hint="eastAsia" w:ascii="Times New Roman" w:hAnsi="Times New Roman" w:eastAsia="仿宋_GB2312" w:cs="Times New Roman"/>
          <w:color w:val="auto"/>
          <w:kern w:val="2"/>
          <w:sz w:val="32"/>
          <w:szCs w:val="32"/>
          <w:highlight w:val="none"/>
          <w:lang w:val="zh-CN" w:eastAsia="zh-CN" w:bidi="ar-SA"/>
        </w:rPr>
        <w:t>制度，重大资金支出集体研究决定。无违规审批、违规支付、挤占挪用专项资金等问题。专项资金实行专款专用、专账核算，定期开展专项检查，资金使用合规率达 100%。</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Times New Roman" w:hAnsi="Times New Roman" w:eastAsia="仿宋_GB2312" w:cs="Times New Roman"/>
          <w:color w:val="auto"/>
          <w:kern w:val="2"/>
          <w:sz w:val="32"/>
          <w:szCs w:val="32"/>
          <w:highlight w:val="none"/>
          <w:lang w:val="zh-CN" w:eastAsia="zh-CN" w:bidi="ar-SA"/>
        </w:rPr>
      </w:pPr>
      <w:bookmarkStart w:id="125" w:name="_Toc27267"/>
      <w:r>
        <w:rPr>
          <w:rFonts w:hint="eastAsia" w:ascii="Times New Roman" w:hAnsi="Times New Roman" w:eastAsia="仿宋_GB2312" w:cs="Times New Roman"/>
          <w:color w:val="auto"/>
          <w:kern w:val="2"/>
          <w:sz w:val="32"/>
          <w:szCs w:val="32"/>
          <w:highlight w:val="none"/>
          <w:lang w:val="zh-CN" w:eastAsia="zh-CN" w:bidi="ar-SA"/>
        </w:rPr>
        <w:t>（4）财务核算与监督</w:t>
      </w:r>
      <w:bookmarkEnd w:id="125"/>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 xml:space="preserve">规范会计核算，及时准确记录各项经济业务，财务报表编制完整、真实、准确，无会计差错和账实不符问题。建立内部财务监督机制，定期开展财务自查自纠，全年开展内部检查 </w:t>
      </w:r>
      <w:r>
        <w:rPr>
          <w:rFonts w:hint="eastAsia" w:ascii="Times New Roman" w:hAnsi="Times New Roman" w:eastAsia="仿宋_GB2312" w:cs="Times New Roman"/>
          <w:color w:val="auto"/>
          <w:kern w:val="2"/>
          <w:sz w:val="32"/>
          <w:szCs w:val="32"/>
          <w:highlight w:val="none"/>
          <w:lang w:val="en-US" w:eastAsia="zh-CN" w:bidi="ar-SA"/>
        </w:rPr>
        <w:t>3</w:t>
      </w:r>
      <w:r>
        <w:rPr>
          <w:rFonts w:hint="eastAsia" w:ascii="Times New Roman" w:hAnsi="Times New Roman" w:eastAsia="仿宋_GB2312" w:cs="Times New Roman"/>
          <w:color w:val="auto"/>
          <w:kern w:val="2"/>
          <w:sz w:val="32"/>
          <w:szCs w:val="32"/>
          <w:highlight w:val="none"/>
          <w:lang w:val="zh-CN" w:eastAsia="zh-CN" w:bidi="ar-SA"/>
        </w:rPr>
        <w:t xml:space="preserve"> 次，发现并整改问题 </w:t>
      </w:r>
      <w:r>
        <w:rPr>
          <w:rFonts w:hint="eastAsia" w:ascii="Times New Roman" w:hAnsi="Times New Roman" w:eastAsia="仿宋_GB2312" w:cs="Times New Roman"/>
          <w:color w:val="auto"/>
          <w:kern w:val="2"/>
          <w:sz w:val="32"/>
          <w:szCs w:val="32"/>
          <w:highlight w:val="none"/>
          <w:lang w:val="en-US" w:eastAsia="zh-CN" w:bidi="ar-SA"/>
        </w:rPr>
        <w:t>5</w:t>
      </w:r>
      <w:r>
        <w:rPr>
          <w:rFonts w:hint="eastAsia" w:ascii="Times New Roman" w:hAnsi="Times New Roman" w:eastAsia="仿宋_GB2312" w:cs="Times New Roman"/>
          <w:color w:val="auto"/>
          <w:kern w:val="2"/>
          <w:sz w:val="32"/>
          <w:szCs w:val="32"/>
          <w:highlight w:val="none"/>
          <w:lang w:val="zh-CN" w:eastAsia="zh-CN" w:bidi="ar-SA"/>
        </w:rPr>
        <w:t xml:space="preserve"> 项，有效防范财务风险。</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Times New Roman" w:hAnsi="Times New Roman" w:eastAsia="仿宋_GB2312" w:cs="Times New Roman"/>
          <w:color w:val="auto"/>
          <w:kern w:val="2"/>
          <w:sz w:val="32"/>
          <w:szCs w:val="32"/>
          <w:highlight w:val="none"/>
          <w:lang w:val="zh-CN" w:eastAsia="zh-CN" w:bidi="ar-SA"/>
        </w:rPr>
      </w:pPr>
      <w:bookmarkStart w:id="126" w:name="_Toc10747"/>
      <w:r>
        <w:rPr>
          <w:rFonts w:hint="eastAsia" w:ascii="Times New Roman" w:hAnsi="Times New Roman" w:eastAsia="仿宋_GB2312" w:cs="Times New Roman"/>
          <w:color w:val="auto"/>
          <w:kern w:val="2"/>
          <w:sz w:val="32"/>
          <w:szCs w:val="32"/>
          <w:highlight w:val="none"/>
          <w:lang w:val="zh-CN" w:eastAsia="zh-CN" w:bidi="ar-SA"/>
        </w:rPr>
        <w:t>（5）存在问题与改进方向</w:t>
      </w:r>
      <w:bookmarkEnd w:id="126"/>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问题：财务管理制度执行的精细化程度有待提升；基层民政单位财务基础工作仍有薄弱环节。</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改进方向：加强制度执行的监督检查，推动财务管理规范化落地；加大对基层单位财务人员的业务指导和培训，提升整体财务工作水平。</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0"/>
        <w:rPr>
          <w:rFonts w:hint="eastAsia" w:ascii="Times New Roman" w:hAnsi="Times New Roman" w:eastAsia="仿宋_GB2312" w:cs="Times New Roman"/>
          <w:color w:val="auto"/>
          <w:kern w:val="2"/>
          <w:sz w:val="32"/>
          <w:szCs w:val="32"/>
          <w:highlight w:val="none"/>
          <w:lang w:val="zh-CN" w:eastAsia="zh-CN" w:bidi="ar-SA"/>
        </w:rPr>
      </w:pPr>
      <w:bookmarkStart w:id="127" w:name="_Toc6329"/>
      <w:r>
        <w:rPr>
          <w:rFonts w:hint="eastAsia" w:ascii="Times New Roman" w:hAnsi="Times New Roman" w:eastAsia="仿宋_GB2312" w:cs="Times New Roman"/>
          <w:color w:val="auto"/>
          <w:kern w:val="2"/>
          <w:sz w:val="32"/>
          <w:szCs w:val="32"/>
          <w:highlight w:val="none"/>
          <w:lang w:val="en-US" w:eastAsia="zh-CN" w:bidi="ar-SA"/>
        </w:rPr>
        <w:t>3.</w:t>
      </w:r>
      <w:r>
        <w:rPr>
          <w:rFonts w:hint="eastAsia" w:ascii="Times New Roman" w:hAnsi="Times New Roman" w:eastAsia="仿宋_GB2312" w:cs="Times New Roman"/>
          <w:color w:val="auto"/>
          <w:kern w:val="2"/>
          <w:sz w:val="32"/>
          <w:szCs w:val="32"/>
          <w:highlight w:val="none"/>
          <w:lang w:val="zh-CN" w:eastAsia="zh-CN" w:bidi="ar-SA"/>
        </w:rPr>
        <w:t>资产管理。</w:t>
      </w:r>
      <w:bookmarkEnd w:id="127"/>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Times New Roman" w:hAnsi="Times New Roman" w:eastAsia="仿宋_GB2312" w:cs="Times New Roman"/>
          <w:color w:val="auto"/>
          <w:kern w:val="2"/>
          <w:sz w:val="32"/>
          <w:szCs w:val="32"/>
          <w:highlight w:val="none"/>
          <w:lang w:val="zh-CN" w:eastAsia="zh-CN" w:bidi="ar-SA"/>
        </w:rPr>
      </w:pPr>
      <w:bookmarkStart w:id="128" w:name="_Toc7801"/>
      <w:r>
        <w:rPr>
          <w:rFonts w:hint="eastAsia" w:ascii="Times New Roman" w:hAnsi="Times New Roman" w:eastAsia="仿宋_GB2312" w:cs="Times New Roman"/>
          <w:color w:val="auto"/>
          <w:kern w:val="2"/>
          <w:sz w:val="32"/>
          <w:szCs w:val="32"/>
          <w:highlight w:val="none"/>
          <w:lang w:val="zh-CN" w:eastAsia="zh-CN" w:bidi="ar-SA"/>
        </w:rPr>
        <w:t>（1）人均资产变化率</w:t>
      </w:r>
      <w:bookmarkEnd w:id="128"/>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 xml:space="preserve">结合民政事业发展需求，合理配置资产，严格控制资产购置规模。年末部门总资产 </w:t>
      </w:r>
      <w:r>
        <w:rPr>
          <w:rFonts w:hint="eastAsia" w:ascii="Times New Roman" w:hAnsi="Times New Roman" w:eastAsia="仿宋_GB2312" w:cs="Times New Roman"/>
          <w:color w:val="auto"/>
          <w:kern w:val="2"/>
          <w:sz w:val="32"/>
          <w:szCs w:val="32"/>
          <w:highlight w:val="none"/>
          <w:lang w:val="en-US" w:eastAsia="zh-CN" w:bidi="ar-SA"/>
        </w:rPr>
        <w:t>3670.8628</w:t>
      </w:r>
      <w:r>
        <w:rPr>
          <w:rFonts w:hint="eastAsia" w:ascii="Times New Roman" w:hAnsi="Times New Roman" w:eastAsia="仿宋_GB2312" w:cs="Times New Roman"/>
          <w:color w:val="auto"/>
          <w:kern w:val="2"/>
          <w:sz w:val="32"/>
          <w:szCs w:val="32"/>
          <w:highlight w:val="none"/>
          <w:lang w:val="zh-CN" w:eastAsia="zh-CN" w:bidi="ar-SA"/>
        </w:rPr>
        <w:t xml:space="preserve">万元，人均资产 </w:t>
      </w:r>
      <w:r>
        <w:rPr>
          <w:rFonts w:hint="eastAsia" w:ascii="Times New Roman" w:hAnsi="Times New Roman" w:eastAsia="仿宋_GB2312" w:cs="Times New Roman"/>
          <w:color w:val="auto"/>
          <w:kern w:val="2"/>
          <w:sz w:val="32"/>
          <w:szCs w:val="32"/>
          <w:highlight w:val="none"/>
          <w:lang w:val="en-US" w:eastAsia="zh-CN" w:bidi="ar-SA"/>
        </w:rPr>
        <w:t>57.36</w:t>
      </w:r>
      <w:r>
        <w:rPr>
          <w:rFonts w:hint="eastAsia" w:ascii="Times New Roman" w:hAnsi="Times New Roman" w:eastAsia="仿宋_GB2312" w:cs="Times New Roman"/>
          <w:color w:val="auto"/>
          <w:kern w:val="2"/>
          <w:sz w:val="32"/>
          <w:szCs w:val="32"/>
          <w:highlight w:val="none"/>
          <w:lang w:val="zh-CN" w:eastAsia="zh-CN" w:bidi="ar-SA"/>
        </w:rPr>
        <w:t xml:space="preserve"> 万元，资产规模与履职需求相匹配，无盲目购置资产、资产闲置浪费情况。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Times New Roman" w:hAnsi="Times New Roman" w:eastAsia="仿宋_GB2312" w:cs="Times New Roman"/>
          <w:color w:val="auto"/>
          <w:kern w:val="2"/>
          <w:sz w:val="32"/>
          <w:szCs w:val="32"/>
          <w:highlight w:val="none"/>
          <w:lang w:val="zh-CN" w:eastAsia="zh-CN" w:bidi="ar-SA"/>
        </w:rPr>
      </w:pPr>
      <w:bookmarkStart w:id="129" w:name="_Toc19199"/>
      <w:r>
        <w:rPr>
          <w:rFonts w:hint="eastAsia" w:ascii="Times New Roman" w:hAnsi="Times New Roman" w:eastAsia="仿宋_GB2312" w:cs="Times New Roman"/>
          <w:color w:val="auto"/>
          <w:kern w:val="2"/>
          <w:sz w:val="32"/>
          <w:szCs w:val="32"/>
          <w:highlight w:val="none"/>
          <w:lang w:val="zh-CN" w:eastAsia="zh-CN" w:bidi="ar-SA"/>
        </w:rPr>
        <w:t>（2）资产利用率</w:t>
      </w:r>
      <w:bookmarkEnd w:id="129"/>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建立资产台账管理制度，定期开展资产盘点清查，做到账实相符、账账相符。办公设备、养老服务设施、救助设备等资产实行专人管理、按需调配，资产平均利用率达 95% 以上，无长期闲置、低效运转资产，有效保障了民政业务开展。</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Times New Roman" w:hAnsi="Times New Roman" w:eastAsia="仿宋_GB2312" w:cs="Times New Roman"/>
          <w:color w:val="auto"/>
          <w:kern w:val="2"/>
          <w:sz w:val="32"/>
          <w:szCs w:val="32"/>
          <w:highlight w:val="none"/>
          <w:lang w:val="zh-CN" w:eastAsia="zh-CN" w:bidi="ar-SA"/>
        </w:rPr>
      </w:pPr>
      <w:bookmarkStart w:id="130" w:name="_Toc12558"/>
      <w:r>
        <w:rPr>
          <w:rFonts w:hint="eastAsia" w:ascii="Times New Roman" w:hAnsi="Times New Roman" w:eastAsia="仿宋_GB2312" w:cs="Times New Roman"/>
          <w:color w:val="auto"/>
          <w:kern w:val="2"/>
          <w:sz w:val="32"/>
          <w:szCs w:val="32"/>
          <w:highlight w:val="none"/>
          <w:lang w:val="zh-CN" w:eastAsia="zh-CN" w:bidi="ar-SA"/>
        </w:rPr>
        <w:t>（3）资产盘活率</w:t>
      </w:r>
      <w:bookmarkEnd w:id="130"/>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开展闲置资产专项清理，对长期闲置、低效运转的资产进行统筹调配、处置盘活，全年盘活资产</w:t>
      </w:r>
      <w:r>
        <w:rPr>
          <w:rFonts w:hint="eastAsia" w:ascii="Times New Roman" w:hAnsi="Times New Roman" w:eastAsia="仿宋_GB2312" w:cs="Times New Roman"/>
          <w:color w:val="auto"/>
          <w:kern w:val="2"/>
          <w:sz w:val="32"/>
          <w:szCs w:val="32"/>
          <w:highlight w:val="none"/>
          <w:lang w:val="en-US" w:eastAsia="zh-CN" w:bidi="ar-SA"/>
        </w:rPr>
        <w:t>0</w:t>
      </w:r>
      <w:r>
        <w:rPr>
          <w:rFonts w:hint="eastAsia" w:ascii="Times New Roman" w:hAnsi="Times New Roman" w:eastAsia="仿宋_GB2312" w:cs="Times New Roman"/>
          <w:color w:val="auto"/>
          <w:kern w:val="2"/>
          <w:sz w:val="32"/>
          <w:szCs w:val="32"/>
          <w:highlight w:val="none"/>
          <w:lang w:val="zh-CN" w:eastAsia="zh-CN" w:bidi="ar-SA"/>
        </w:rPr>
        <w:t xml:space="preserve">万元，盘活率达 </w:t>
      </w:r>
      <w:r>
        <w:rPr>
          <w:rFonts w:hint="eastAsia" w:ascii="Times New Roman" w:hAnsi="Times New Roman" w:eastAsia="仿宋_GB2312" w:cs="Times New Roman"/>
          <w:color w:val="auto"/>
          <w:kern w:val="2"/>
          <w:sz w:val="32"/>
          <w:szCs w:val="32"/>
          <w:highlight w:val="none"/>
          <w:lang w:val="en-US" w:eastAsia="zh-CN" w:bidi="ar-SA"/>
        </w:rPr>
        <w:t>0</w:t>
      </w:r>
      <w:r>
        <w:rPr>
          <w:rFonts w:hint="eastAsia" w:ascii="Times New Roman" w:hAnsi="Times New Roman" w:eastAsia="仿宋_GB2312" w:cs="Times New Roman"/>
          <w:color w:val="auto"/>
          <w:kern w:val="2"/>
          <w:sz w:val="32"/>
          <w:szCs w:val="32"/>
          <w:highlight w:val="none"/>
          <w:lang w:val="zh-CN" w:eastAsia="zh-CN" w:bidi="ar-SA"/>
        </w:rPr>
        <w:t>%，盘活资产主要用于补充基层民政服务设施，提升了资产使用效益，减少了财政资金浪费。</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Times New Roman" w:hAnsi="Times New Roman" w:eastAsia="仿宋_GB2312" w:cs="Times New Roman"/>
          <w:color w:val="auto"/>
          <w:kern w:val="2"/>
          <w:sz w:val="32"/>
          <w:szCs w:val="32"/>
          <w:highlight w:val="none"/>
          <w:lang w:val="zh-CN" w:eastAsia="zh-CN" w:bidi="ar-SA"/>
        </w:rPr>
      </w:pPr>
      <w:bookmarkStart w:id="131" w:name="_Toc3370"/>
      <w:r>
        <w:rPr>
          <w:rFonts w:hint="eastAsia" w:ascii="Times New Roman" w:hAnsi="Times New Roman" w:eastAsia="仿宋_GB2312" w:cs="Times New Roman"/>
          <w:color w:val="auto"/>
          <w:kern w:val="2"/>
          <w:sz w:val="32"/>
          <w:szCs w:val="32"/>
          <w:highlight w:val="none"/>
          <w:lang w:val="zh-CN" w:eastAsia="zh-CN" w:bidi="ar-SA"/>
        </w:rPr>
        <w:t>（4）资产管理规范情况</w:t>
      </w:r>
      <w:bookmarkEnd w:id="131"/>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严格执行资产购置、使用、处置等环节的管理规定，资产购置纳入政府采购流程，处置资产按规定履行审批手续，全年无违规处置资产、流失国有资产的行为，国有资产管理规范有序。</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Times New Roman" w:hAnsi="Times New Roman" w:eastAsia="仿宋_GB2312" w:cs="Times New Roman"/>
          <w:color w:val="auto"/>
          <w:kern w:val="2"/>
          <w:sz w:val="32"/>
          <w:szCs w:val="32"/>
          <w:highlight w:val="none"/>
          <w:lang w:val="zh-CN" w:eastAsia="zh-CN" w:bidi="ar-SA"/>
        </w:rPr>
      </w:pPr>
      <w:bookmarkStart w:id="132" w:name="_Toc6765"/>
      <w:r>
        <w:rPr>
          <w:rFonts w:hint="eastAsia" w:ascii="Times New Roman" w:hAnsi="Times New Roman" w:eastAsia="仿宋_GB2312" w:cs="Times New Roman"/>
          <w:color w:val="auto"/>
          <w:kern w:val="2"/>
          <w:sz w:val="32"/>
          <w:szCs w:val="32"/>
          <w:highlight w:val="none"/>
          <w:lang w:val="zh-CN" w:eastAsia="zh-CN" w:bidi="ar-SA"/>
        </w:rPr>
        <w:t>（5）存在问题与改进方向</w:t>
      </w:r>
      <w:bookmarkEnd w:id="132"/>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问题：部分老旧资产使用效率不高；资产动态管理信息化水平有待提升。</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改进方向：建立资产动态管理台账，定期开展资产使用情况评估，及时处置低效资产；推进资产管理信息化建设，实现资产全生命周期管理。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0"/>
        <w:rPr>
          <w:rFonts w:hint="eastAsia" w:ascii="Times New Roman" w:hAnsi="Times New Roman" w:eastAsia="仿宋_GB2312" w:cs="Times New Roman"/>
          <w:color w:val="auto"/>
          <w:kern w:val="2"/>
          <w:sz w:val="32"/>
          <w:szCs w:val="32"/>
          <w:highlight w:val="none"/>
          <w:lang w:val="zh-CN" w:eastAsia="zh-CN" w:bidi="ar-SA"/>
        </w:rPr>
      </w:pPr>
      <w:bookmarkStart w:id="133" w:name="_Toc26766"/>
      <w:r>
        <w:rPr>
          <w:rFonts w:hint="eastAsia" w:eastAsia="仿宋_GB2312" w:cs="Times New Roman"/>
          <w:color w:val="auto"/>
          <w:kern w:val="2"/>
          <w:sz w:val="32"/>
          <w:szCs w:val="32"/>
          <w:highlight w:val="none"/>
          <w:lang w:val="en-US" w:eastAsia="zh-CN" w:bidi="ar-SA"/>
        </w:rPr>
        <w:t>4</w:t>
      </w:r>
      <w:r>
        <w:rPr>
          <w:rFonts w:hint="eastAsia"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zh-CN" w:eastAsia="zh-CN" w:bidi="ar-SA"/>
        </w:rPr>
        <w:t>采购管理。</w:t>
      </w:r>
      <w:bookmarkEnd w:id="133"/>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Times New Roman" w:hAnsi="Times New Roman" w:eastAsia="仿宋_GB2312" w:cs="Times New Roman"/>
          <w:color w:val="auto"/>
          <w:kern w:val="2"/>
          <w:sz w:val="32"/>
          <w:szCs w:val="32"/>
          <w:highlight w:val="none"/>
          <w:lang w:val="zh-CN" w:eastAsia="zh-CN" w:bidi="ar-SA"/>
        </w:rPr>
      </w:pPr>
      <w:bookmarkStart w:id="134" w:name="_Toc19547"/>
      <w:r>
        <w:rPr>
          <w:rFonts w:hint="eastAsia" w:ascii="Times New Roman" w:hAnsi="Times New Roman" w:eastAsia="仿宋_GB2312" w:cs="Times New Roman"/>
          <w:color w:val="auto"/>
          <w:kern w:val="2"/>
          <w:sz w:val="32"/>
          <w:szCs w:val="32"/>
          <w:highlight w:val="none"/>
          <w:lang w:val="zh-CN" w:eastAsia="zh-CN" w:bidi="ar-SA"/>
        </w:rPr>
        <w:t>（1）支持中小企业发展</w:t>
      </w:r>
      <w:bookmarkEnd w:id="134"/>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严格落实政府采购支持中小企业发展的政策要求，在养老服务设施采购、民政信息化项目采购、服务外包项目等采购活动中，预留中小企业份额，对小微企业产品给予价格扣除优惠。全年政府采购项目</w:t>
      </w:r>
      <w:r>
        <w:rPr>
          <w:rFonts w:hint="eastAsia" w:ascii="Times New Roman" w:hAnsi="Times New Roman" w:eastAsia="仿宋_GB2312" w:cs="Times New Roman"/>
          <w:color w:val="auto"/>
          <w:kern w:val="2"/>
          <w:sz w:val="32"/>
          <w:szCs w:val="32"/>
          <w:highlight w:val="none"/>
          <w:lang w:val="en-US" w:eastAsia="zh-CN" w:bidi="ar-SA"/>
        </w:rPr>
        <w:t>3</w:t>
      </w:r>
      <w:r>
        <w:rPr>
          <w:rFonts w:hint="eastAsia" w:ascii="Times New Roman" w:hAnsi="Times New Roman" w:eastAsia="仿宋_GB2312" w:cs="Times New Roman"/>
          <w:color w:val="auto"/>
          <w:kern w:val="2"/>
          <w:sz w:val="32"/>
          <w:szCs w:val="32"/>
          <w:highlight w:val="none"/>
          <w:lang w:val="zh-CN" w:eastAsia="zh-CN" w:bidi="ar-SA"/>
        </w:rPr>
        <w:t xml:space="preserve">个，面向中小企业的采购金额占比达 </w:t>
      </w:r>
      <w:r>
        <w:rPr>
          <w:rFonts w:hint="eastAsia" w:ascii="Times New Roman" w:hAnsi="Times New Roman" w:eastAsia="仿宋_GB2312" w:cs="Times New Roman"/>
          <w:color w:val="auto"/>
          <w:kern w:val="2"/>
          <w:sz w:val="32"/>
          <w:szCs w:val="32"/>
          <w:highlight w:val="none"/>
          <w:lang w:val="en-US" w:eastAsia="zh-CN" w:bidi="ar-SA"/>
        </w:rPr>
        <w:t>100</w:t>
      </w:r>
      <w:r>
        <w:rPr>
          <w:rFonts w:hint="eastAsia" w:ascii="Times New Roman" w:hAnsi="Times New Roman" w:eastAsia="仿宋_GB2312" w:cs="Times New Roman"/>
          <w:color w:val="auto"/>
          <w:kern w:val="2"/>
          <w:sz w:val="32"/>
          <w:szCs w:val="32"/>
          <w:highlight w:val="none"/>
          <w:lang w:val="zh-CN" w:eastAsia="zh-CN" w:bidi="ar-SA"/>
        </w:rPr>
        <w:t>%，有效支持了中小企业参与民政项目建设，促进了中小企业发展。</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Times New Roman" w:hAnsi="Times New Roman" w:eastAsia="仿宋_GB2312" w:cs="Times New Roman"/>
          <w:color w:val="auto"/>
          <w:kern w:val="2"/>
          <w:sz w:val="32"/>
          <w:szCs w:val="32"/>
          <w:highlight w:val="none"/>
          <w:lang w:val="zh-CN" w:eastAsia="zh-CN" w:bidi="ar-SA"/>
        </w:rPr>
      </w:pPr>
      <w:bookmarkStart w:id="135" w:name="_Toc26264"/>
      <w:r>
        <w:rPr>
          <w:rFonts w:hint="eastAsia" w:ascii="Times New Roman" w:hAnsi="Times New Roman" w:eastAsia="仿宋_GB2312" w:cs="Times New Roman"/>
          <w:color w:val="auto"/>
          <w:kern w:val="2"/>
          <w:sz w:val="32"/>
          <w:szCs w:val="32"/>
          <w:highlight w:val="none"/>
          <w:lang w:val="zh-CN" w:eastAsia="zh-CN" w:bidi="ar-SA"/>
        </w:rPr>
        <w:t>（2）采购执行率</w:t>
      </w:r>
      <w:bookmarkEnd w:id="135"/>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按照政府采购预算批复，规范开展政府采购活动，严格执行采购程序，确保采购项目及时落地。全年政府采购预算金额</w:t>
      </w:r>
      <w:r>
        <w:rPr>
          <w:rFonts w:hint="eastAsia" w:ascii="Times New Roman" w:hAnsi="Times New Roman" w:eastAsia="仿宋_GB2312" w:cs="Times New Roman"/>
          <w:color w:val="auto"/>
          <w:kern w:val="2"/>
          <w:sz w:val="32"/>
          <w:szCs w:val="32"/>
          <w:highlight w:val="none"/>
          <w:lang w:val="en-US" w:eastAsia="zh-CN" w:bidi="ar-SA"/>
        </w:rPr>
        <w:t>234.2</w:t>
      </w:r>
      <w:r>
        <w:rPr>
          <w:rFonts w:hint="eastAsia" w:ascii="Times New Roman" w:hAnsi="Times New Roman" w:eastAsia="仿宋_GB2312" w:cs="Times New Roman"/>
          <w:color w:val="auto"/>
          <w:kern w:val="2"/>
          <w:sz w:val="32"/>
          <w:szCs w:val="32"/>
          <w:highlight w:val="none"/>
          <w:lang w:val="zh-CN" w:eastAsia="zh-CN" w:bidi="ar-SA"/>
        </w:rPr>
        <w:t xml:space="preserve"> 万元，实际执行金额</w:t>
      </w:r>
      <w:r>
        <w:rPr>
          <w:rFonts w:hint="eastAsia" w:ascii="Times New Roman" w:hAnsi="Times New Roman" w:eastAsia="仿宋_GB2312" w:cs="Times New Roman"/>
          <w:color w:val="auto"/>
          <w:kern w:val="2"/>
          <w:sz w:val="32"/>
          <w:szCs w:val="32"/>
          <w:highlight w:val="none"/>
          <w:lang w:val="en-US" w:eastAsia="zh-CN" w:bidi="ar-SA"/>
        </w:rPr>
        <w:t>115.30</w:t>
      </w:r>
      <w:r>
        <w:rPr>
          <w:rFonts w:hint="eastAsia" w:ascii="Times New Roman" w:hAnsi="Times New Roman" w:eastAsia="仿宋_GB2312" w:cs="Times New Roman"/>
          <w:color w:val="auto"/>
          <w:kern w:val="2"/>
          <w:sz w:val="32"/>
          <w:szCs w:val="32"/>
          <w:highlight w:val="none"/>
          <w:lang w:val="zh-CN" w:eastAsia="zh-CN" w:bidi="ar-SA"/>
        </w:rPr>
        <w:t>万元，采购执行率达</w:t>
      </w:r>
      <w:r>
        <w:rPr>
          <w:rFonts w:hint="eastAsia" w:ascii="Times New Roman" w:hAnsi="Times New Roman" w:eastAsia="仿宋_GB2312" w:cs="Times New Roman"/>
          <w:color w:val="auto"/>
          <w:kern w:val="2"/>
          <w:sz w:val="32"/>
          <w:szCs w:val="32"/>
          <w:highlight w:val="none"/>
          <w:lang w:val="en-US" w:eastAsia="zh-CN" w:bidi="ar-SA"/>
        </w:rPr>
        <w:t>49.23</w:t>
      </w:r>
      <w:r>
        <w:rPr>
          <w:rFonts w:hint="eastAsia" w:ascii="Times New Roman" w:hAnsi="Times New Roman" w:eastAsia="仿宋_GB2312" w:cs="Times New Roman"/>
          <w:color w:val="auto"/>
          <w:kern w:val="2"/>
          <w:sz w:val="32"/>
          <w:szCs w:val="32"/>
          <w:highlight w:val="none"/>
          <w:lang w:val="zh-CN" w:eastAsia="zh-CN" w:bidi="ar-SA"/>
        </w:rPr>
        <w:t>%，无应采未采、违规采购、规避招标等行为，采购项目均按计划完成，保障了民政服务项目的实施进度。</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Times New Roman" w:hAnsi="Times New Roman" w:eastAsia="仿宋_GB2312" w:cs="Times New Roman"/>
          <w:color w:val="auto"/>
          <w:kern w:val="2"/>
          <w:sz w:val="32"/>
          <w:szCs w:val="32"/>
          <w:highlight w:val="none"/>
          <w:lang w:val="zh-CN" w:eastAsia="zh-CN" w:bidi="ar-SA"/>
        </w:rPr>
      </w:pPr>
      <w:bookmarkStart w:id="136" w:name="_Toc30307"/>
      <w:r>
        <w:rPr>
          <w:rFonts w:hint="eastAsia" w:ascii="Times New Roman" w:hAnsi="Times New Roman" w:eastAsia="仿宋_GB2312" w:cs="Times New Roman"/>
          <w:color w:val="auto"/>
          <w:kern w:val="2"/>
          <w:sz w:val="32"/>
          <w:szCs w:val="32"/>
          <w:highlight w:val="none"/>
          <w:lang w:val="zh-CN" w:eastAsia="zh-CN" w:bidi="ar-SA"/>
        </w:rPr>
        <w:t>（3）采购管理规范情况</w:t>
      </w:r>
      <w:bookmarkEnd w:id="136"/>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建立健全政府采购管理制度，明确采购流程、职责分工和监督机制，加强采购项目前期论证、过程管理和后期验收。全年政府采购项目均依法依规开展，采购程序公开透明，无采购投诉、违法违规行为，采购质量和效率得到有效保障。</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Times New Roman" w:hAnsi="Times New Roman" w:eastAsia="仿宋_GB2312" w:cs="Times New Roman"/>
          <w:color w:val="auto"/>
          <w:kern w:val="2"/>
          <w:sz w:val="32"/>
          <w:szCs w:val="32"/>
          <w:highlight w:val="none"/>
          <w:lang w:val="zh-CN" w:eastAsia="zh-CN" w:bidi="ar-SA"/>
        </w:rPr>
      </w:pPr>
      <w:bookmarkStart w:id="137" w:name="_Toc23855"/>
      <w:r>
        <w:rPr>
          <w:rFonts w:hint="eastAsia" w:ascii="Times New Roman" w:hAnsi="Times New Roman" w:eastAsia="仿宋_GB2312" w:cs="Times New Roman"/>
          <w:color w:val="auto"/>
          <w:kern w:val="2"/>
          <w:sz w:val="32"/>
          <w:szCs w:val="32"/>
          <w:highlight w:val="none"/>
          <w:lang w:val="zh-CN" w:eastAsia="zh-CN" w:bidi="ar-SA"/>
        </w:rPr>
        <w:t>（4）存在问题与改进方向</w:t>
      </w:r>
      <w:bookmarkEnd w:id="137"/>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问题：部分采购项目前期准备不足，影响采购执行进度；对中小企业的采购支持力度仍有提升空间。</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改进方向：加强采购项目前期调研和论证，优化采购流程，提高采购执行效率；进一步扩大中小企业采购份额，完善采购政策落实机制，更好发挥政府采购对中小企业的扶持作用。</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jc w:val="left"/>
        <w:textAlignment w:val="auto"/>
        <w:outlineLvl w:val="0"/>
        <w:rPr>
          <w:rFonts w:hint="eastAsia" w:ascii="楷体_GB2312" w:hAnsi="楷体_GB2312" w:eastAsia="楷体_GB2312" w:cs="楷体_GB2312"/>
          <w:b/>
          <w:color w:val="auto"/>
          <w:sz w:val="32"/>
          <w:szCs w:val="32"/>
          <w:highlight w:val="none"/>
          <w:lang w:val="zh-CN"/>
        </w:rPr>
      </w:pPr>
      <w:bookmarkStart w:id="138" w:name="_Toc4401"/>
      <w:r>
        <w:rPr>
          <w:rFonts w:hint="eastAsia" w:ascii="楷体_GB2312" w:hAnsi="楷体_GB2312" w:eastAsia="楷体_GB2312" w:cs="楷体_GB2312"/>
          <w:b/>
          <w:color w:val="auto"/>
          <w:sz w:val="32"/>
          <w:szCs w:val="32"/>
          <w:highlight w:val="none"/>
          <w:lang w:val="zh-CN"/>
        </w:rPr>
        <w:t>（</w:t>
      </w:r>
      <w:r>
        <w:rPr>
          <w:rFonts w:hint="eastAsia" w:ascii="楷体_GB2312" w:hAnsi="楷体_GB2312" w:eastAsia="楷体_GB2312" w:cs="楷体_GB2312"/>
          <w:b/>
          <w:color w:val="auto"/>
          <w:sz w:val="32"/>
          <w:szCs w:val="32"/>
          <w:highlight w:val="none"/>
          <w:lang w:val="en-US" w:eastAsia="zh-CN"/>
        </w:rPr>
        <w:t>一</w:t>
      </w:r>
      <w:r>
        <w:rPr>
          <w:rFonts w:hint="eastAsia" w:ascii="楷体_GB2312" w:hAnsi="楷体_GB2312" w:eastAsia="楷体_GB2312" w:cs="楷体_GB2312"/>
          <w:b/>
          <w:color w:val="auto"/>
          <w:sz w:val="32"/>
          <w:szCs w:val="32"/>
          <w:highlight w:val="none"/>
          <w:lang w:val="zh-CN"/>
        </w:rPr>
        <w:t>）总体绩效结论。</w:t>
      </w:r>
      <w:bookmarkEnd w:id="138"/>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本年度，民政局部门预算总体绩效良好，履职效能显著提升，预算管理、财务管理、资产管理、采购管理各项工作均按规范有序推进，资金使用效益、资产管理水平、采购管理规范性持续提升，有效保障了民政事业高质量发展。同时，针对存在的问题，后续将进一步强化预算编制、规范财务管理、提升资产和采购管理水平，推动部门整体绩效持续优化。</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Times New Roman" w:hAnsi="Times New Roman" w:eastAsia="仿宋_GB2312" w:cs="Times New Roman"/>
          <w:color w:val="auto"/>
          <w:kern w:val="2"/>
          <w:sz w:val="32"/>
          <w:szCs w:val="32"/>
          <w:highlight w:val="none"/>
          <w:lang w:val="zh-CN" w:eastAsia="zh-CN" w:bidi="ar-SA"/>
        </w:rPr>
      </w:pPr>
      <w:bookmarkStart w:id="139" w:name="_Toc31528"/>
      <w:r>
        <w:rPr>
          <w:rFonts w:hint="eastAsia" w:ascii="Times New Roman" w:hAnsi="Times New Roman" w:eastAsia="仿宋_GB2312" w:cs="Times New Roman"/>
          <w:color w:val="auto"/>
          <w:kern w:val="2"/>
          <w:sz w:val="32"/>
          <w:szCs w:val="32"/>
          <w:highlight w:val="none"/>
          <w:lang w:val="en-US" w:eastAsia="zh-CN" w:bidi="ar-SA"/>
        </w:rPr>
        <w:t>1.</w:t>
      </w:r>
      <w:r>
        <w:rPr>
          <w:rFonts w:hint="eastAsia" w:ascii="Times New Roman" w:hAnsi="Times New Roman" w:eastAsia="仿宋_GB2312" w:cs="Times New Roman"/>
          <w:color w:val="auto"/>
          <w:kern w:val="2"/>
          <w:sz w:val="32"/>
          <w:szCs w:val="32"/>
          <w:highlight w:val="none"/>
          <w:lang w:val="zh-CN" w:eastAsia="zh-CN" w:bidi="ar-SA"/>
        </w:rPr>
        <w:t>支持中小企业发展</w:t>
      </w:r>
      <w:bookmarkEnd w:id="139"/>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 xml:space="preserve">严格落实政府采购支持中小企业发展的政策要求，在养老服务设施采购、民政信息化项目采购、服务外包项目等采购活动中，预留中小企业份额，对小微企业产品给予价格扣除优惠。全年政府采购项目 </w:t>
      </w:r>
      <w:r>
        <w:rPr>
          <w:rFonts w:hint="eastAsia" w:ascii="Times New Roman" w:hAnsi="Times New Roman" w:eastAsia="仿宋_GB2312" w:cs="Times New Roman"/>
          <w:color w:val="auto"/>
          <w:kern w:val="2"/>
          <w:sz w:val="32"/>
          <w:szCs w:val="32"/>
          <w:highlight w:val="none"/>
          <w:lang w:val="en-US" w:eastAsia="zh-CN" w:bidi="ar-SA"/>
        </w:rPr>
        <w:t>3</w:t>
      </w:r>
      <w:r>
        <w:rPr>
          <w:rFonts w:hint="eastAsia" w:ascii="Times New Roman" w:hAnsi="Times New Roman" w:eastAsia="仿宋_GB2312" w:cs="Times New Roman"/>
          <w:color w:val="auto"/>
          <w:kern w:val="2"/>
          <w:sz w:val="32"/>
          <w:szCs w:val="32"/>
          <w:highlight w:val="none"/>
          <w:lang w:val="zh-CN" w:eastAsia="zh-CN" w:bidi="ar-SA"/>
        </w:rPr>
        <w:t xml:space="preserve">个，面向中小企业的采购金额占比达 </w:t>
      </w:r>
      <w:r>
        <w:rPr>
          <w:rFonts w:hint="eastAsia" w:ascii="Times New Roman" w:hAnsi="Times New Roman" w:eastAsia="仿宋_GB2312" w:cs="Times New Roman"/>
          <w:color w:val="auto"/>
          <w:kern w:val="2"/>
          <w:sz w:val="32"/>
          <w:szCs w:val="32"/>
          <w:highlight w:val="none"/>
          <w:lang w:val="en-US" w:eastAsia="zh-CN" w:bidi="ar-SA"/>
        </w:rPr>
        <w:t>100</w:t>
      </w:r>
      <w:r>
        <w:rPr>
          <w:rFonts w:hint="eastAsia" w:ascii="Times New Roman" w:hAnsi="Times New Roman" w:eastAsia="仿宋_GB2312" w:cs="Times New Roman"/>
          <w:color w:val="auto"/>
          <w:kern w:val="2"/>
          <w:sz w:val="32"/>
          <w:szCs w:val="32"/>
          <w:highlight w:val="none"/>
          <w:lang w:val="zh-CN" w:eastAsia="zh-CN" w:bidi="ar-SA"/>
        </w:rPr>
        <w:t>%，有效支持了中小企业参与民政项目建设，促进了中小企业发展。</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Times New Roman" w:hAnsi="Times New Roman" w:eastAsia="仿宋_GB2312" w:cs="Times New Roman"/>
          <w:color w:val="auto"/>
          <w:kern w:val="2"/>
          <w:sz w:val="32"/>
          <w:szCs w:val="32"/>
          <w:highlight w:val="none"/>
          <w:lang w:val="zh-CN" w:eastAsia="zh-CN" w:bidi="ar-SA"/>
        </w:rPr>
      </w:pPr>
      <w:bookmarkStart w:id="140" w:name="_Toc11706"/>
      <w:r>
        <w:rPr>
          <w:rFonts w:hint="eastAsia" w:ascii="Times New Roman" w:hAnsi="Times New Roman" w:eastAsia="仿宋_GB2312" w:cs="Times New Roman"/>
          <w:color w:val="auto"/>
          <w:kern w:val="2"/>
          <w:sz w:val="32"/>
          <w:szCs w:val="32"/>
          <w:highlight w:val="none"/>
          <w:lang w:val="en-US" w:eastAsia="zh-CN" w:bidi="ar-SA"/>
        </w:rPr>
        <w:t>2.</w:t>
      </w:r>
      <w:r>
        <w:rPr>
          <w:rFonts w:hint="eastAsia" w:ascii="Times New Roman" w:hAnsi="Times New Roman" w:eastAsia="仿宋_GB2312" w:cs="Times New Roman"/>
          <w:color w:val="auto"/>
          <w:kern w:val="2"/>
          <w:sz w:val="32"/>
          <w:szCs w:val="32"/>
          <w:highlight w:val="none"/>
          <w:lang w:val="zh-CN" w:eastAsia="zh-CN" w:bidi="ar-SA"/>
        </w:rPr>
        <w:t>采购执行率</w:t>
      </w:r>
      <w:bookmarkEnd w:id="140"/>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 xml:space="preserve">按照政府采购预算批复，规范开展政府采购活动，严格执行采购程序，确保采购项目及时落地。全年政府采购预算金额 </w:t>
      </w:r>
      <w:r>
        <w:rPr>
          <w:rFonts w:hint="eastAsia" w:ascii="Times New Roman" w:hAnsi="Times New Roman" w:eastAsia="仿宋_GB2312" w:cs="Times New Roman"/>
          <w:color w:val="auto"/>
          <w:kern w:val="2"/>
          <w:sz w:val="32"/>
          <w:szCs w:val="32"/>
          <w:highlight w:val="none"/>
          <w:lang w:val="en-US" w:eastAsia="zh-CN" w:bidi="ar-SA"/>
        </w:rPr>
        <w:t>234.2</w:t>
      </w:r>
      <w:r>
        <w:rPr>
          <w:rFonts w:hint="eastAsia" w:ascii="Times New Roman" w:hAnsi="Times New Roman" w:eastAsia="仿宋_GB2312" w:cs="Times New Roman"/>
          <w:color w:val="auto"/>
          <w:kern w:val="2"/>
          <w:sz w:val="32"/>
          <w:szCs w:val="32"/>
          <w:highlight w:val="none"/>
          <w:lang w:val="zh-CN" w:eastAsia="zh-CN" w:bidi="ar-SA"/>
        </w:rPr>
        <w:t xml:space="preserve"> 万元，实际执行金额 </w:t>
      </w:r>
      <w:r>
        <w:rPr>
          <w:rFonts w:hint="eastAsia" w:ascii="Times New Roman" w:hAnsi="Times New Roman" w:eastAsia="仿宋_GB2312" w:cs="Times New Roman"/>
          <w:color w:val="auto"/>
          <w:kern w:val="2"/>
          <w:sz w:val="32"/>
          <w:szCs w:val="32"/>
          <w:highlight w:val="none"/>
          <w:lang w:val="en-US" w:eastAsia="zh-CN" w:bidi="ar-SA"/>
        </w:rPr>
        <w:t>115.3</w:t>
      </w:r>
      <w:r>
        <w:rPr>
          <w:rFonts w:hint="eastAsia" w:ascii="Times New Roman" w:hAnsi="Times New Roman" w:eastAsia="仿宋_GB2312" w:cs="Times New Roman"/>
          <w:color w:val="auto"/>
          <w:kern w:val="2"/>
          <w:sz w:val="32"/>
          <w:szCs w:val="32"/>
          <w:highlight w:val="none"/>
          <w:lang w:val="zh-CN" w:eastAsia="zh-CN" w:bidi="ar-SA"/>
        </w:rPr>
        <w:t xml:space="preserve"> 万元，采购执行率达</w:t>
      </w:r>
      <w:r>
        <w:rPr>
          <w:rFonts w:hint="eastAsia" w:ascii="Times New Roman" w:hAnsi="Times New Roman" w:eastAsia="仿宋_GB2312" w:cs="Times New Roman"/>
          <w:color w:val="auto"/>
          <w:kern w:val="2"/>
          <w:sz w:val="32"/>
          <w:szCs w:val="32"/>
          <w:highlight w:val="none"/>
          <w:lang w:val="en-US" w:eastAsia="zh-CN" w:bidi="ar-SA"/>
        </w:rPr>
        <w:t>49.23</w:t>
      </w:r>
      <w:r>
        <w:rPr>
          <w:rFonts w:hint="eastAsia" w:ascii="Times New Roman" w:hAnsi="Times New Roman" w:eastAsia="仿宋_GB2312" w:cs="Times New Roman"/>
          <w:color w:val="auto"/>
          <w:kern w:val="2"/>
          <w:sz w:val="32"/>
          <w:szCs w:val="32"/>
          <w:highlight w:val="none"/>
          <w:lang w:val="zh-CN" w:eastAsia="zh-CN" w:bidi="ar-SA"/>
        </w:rPr>
        <w:t>%，无应采未采、违规采购、规避招标等行为，采购项目均按计划完成，保障了民政服务项目的实施进度。</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Times New Roman" w:hAnsi="Times New Roman" w:eastAsia="仿宋_GB2312" w:cs="Times New Roman"/>
          <w:color w:val="auto"/>
          <w:kern w:val="2"/>
          <w:sz w:val="32"/>
          <w:szCs w:val="32"/>
          <w:highlight w:val="none"/>
          <w:lang w:val="zh-CN" w:eastAsia="zh-CN" w:bidi="ar-SA"/>
        </w:rPr>
      </w:pPr>
      <w:bookmarkStart w:id="141" w:name="_Toc32082"/>
      <w:r>
        <w:rPr>
          <w:rFonts w:hint="eastAsia" w:ascii="Times New Roman" w:hAnsi="Times New Roman" w:eastAsia="仿宋_GB2312" w:cs="Times New Roman"/>
          <w:color w:val="auto"/>
          <w:kern w:val="2"/>
          <w:sz w:val="32"/>
          <w:szCs w:val="32"/>
          <w:highlight w:val="none"/>
          <w:lang w:val="en-US" w:eastAsia="zh-CN" w:bidi="ar-SA"/>
        </w:rPr>
        <w:t>3.</w:t>
      </w:r>
      <w:r>
        <w:rPr>
          <w:rFonts w:hint="eastAsia" w:ascii="Times New Roman" w:hAnsi="Times New Roman" w:eastAsia="仿宋_GB2312" w:cs="Times New Roman"/>
          <w:color w:val="auto"/>
          <w:kern w:val="2"/>
          <w:sz w:val="32"/>
          <w:szCs w:val="32"/>
          <w:highlight w:val="none"/>
          <w:lang w:val="zh-CN" w:eastAsia="zh-CN" w:bidi="ar-SA"/>
        </w:rPr>
        <w:t>采购管理规范情况</w:t>
      </w:r>
      <w:bookmarkEnd w:id="141"/>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建立健全政府采购管理制度，明确采购流程、职责分工和监督机制，加强采购项目前期论证、过程管理和后期验收。全年政府采购项目均依法依规开展，采购程序公开透明，无采购投诉、违法违规行为，采购质量和效率得到有效保障。</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Times New Roman" w:hAnsi="Times New Roman" w:eastAsia="仿宋_GB2312" w:cs="Times New Roman"/>
          <w:color w:val="auto"/>
          <w:kern w:val="2"/>
          <w:sz w:val="32"/>
          <w:szCs w:val="32"/>
          <w:highlight w:val="none"/>
          <w:lang w:val="zh-CN" w:eastAsia="zh-CN" w:bidi="ar-SA"/>
        </w:rPr>
      </w:pPr>
      <w:bookmarkStart w:id="142" w:name="_Toc28308"/>
      <w:r>
        <w:rPr>
          <w:rFonts w:hint="eastAsia" w:ascii="Times New Roman" w:hAnsi="Times New Roman" w:eastAsia="仿宋_GB2312" w:cs="Times New Roman"/>
          <w:color w:val="auto"/>
          <w:kern w:val="2"/>
          <w:sz w:val="32"/>
          <w:szCs w:val="32"/>
          <w:highlight w:val="none"/>
          <w:lang w:val="en-US" w:eastAsia="zh-CN" w:bidi="ar-SA"/>
        </w:rPr>
        <w:t>4.</w:t>
      </w:r>
      <w:r>
        <w:rPr>
          <w:rFonts w:hint="eastAsia" w:ascii="Times New Roman" w:hAnsi="Times New Roman" w:eastAsia="仿宋_GB2312" w:cs="Times New Roman"/>
          <w:color w:val="auto"/>
          <w:kern w:val="2"/>
          <w:sz w:val="32"/>
          <w:szCs w:val="32"/>
          <w:highlight w:val="none"/>
          <w:lang w:val="zh-CN" w:eastAsia="zh-CN" w:bidi="ar-SA"/>
        </w:rPr>
        <w:t>存在问题与改进方向</w:t>
      </w:r>
      <w:bookmarkEnd w:id="142"/>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问题：部分采购项目前期准备不足，影响采购执行进度；对中小企业的采购支持力度仍有提升空间。</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改进方向：加强采购项目前期调研和论证，优化采购流程，提高采购执行效率；进一步扩大中小企业采购份额，完善采购政策落实机制，更好发挥政府采购对中小企业的扶持作用。</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jc w:val="left"/>
        <w:textAlignment w:val="auto"/>
        <w:outlineLvl w:val="0"/>
        <w:rPr>
          <w:rFonts w:hint="eastAsia" w:ascii="楷体_GB2312" w:hAnsi="楷体_GB2312" w:eastAsia="楷体_GB2312" w:cs="楷体_GB2312"/>
          <w:b/>
          <w:color w:val="auto"/>
          <w:sz w:val="32"/>
          <w:szCs w:val="32"/>
          <w:highlight w:val="none"/>
          <w:lang w:val="zh-CN"/>
        </w:rPr>
      </w:pPr>
      <w:bookmarkStart w:id="143" w:name="_Toc30945"/>
      <w:r>
        <w:rPr>
          <w:rFonts w:hint="eastAsia" w:ascii="楷体_GB2312" w:hAnsi="楷体_GB2312" w:eastAsia="楷体_GB2312" w:cs="楷体_GB2312"/>
          <w:b/>
          <w:color w:val="auto"/>
          <w:sz w:val="32"/>
          <w:szCs w:val="32"/>
          <w:highlight w:val="none"/>
          <w:lang w:val="zh-CN"/>
        </w:rPr>
        <w:t>（二）总体绩效结论</w:t>
      </w:r>
      <w:bookmarkEnd w:id="143"/>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本年度，民政局部门预算总体绩效良好，履职效能显著提升，预算管理、财务管理、资产管理、采购管理各项工作均按规范有序推进，资金使用效益、资产管理水平、采购管理规范性持续提升，有效保障了民政事业高质量发展。同时，针对存在的问题，后续将进一步强化预算编制、规范财务管理、提升资产和采购管理水平，推动部门整体绩效持续优化。</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（二）</w:t>
      </w:r>
      <w:r>
        <w:rPr>
          <w:rFonts w:hint="eastAsia" w:ascii="Times New Roman" w:hAnsi="Times New Roman" w:eastAsia="仿宋_GB2312" w:cs="Times New Roman"/>
          <w:color w:val="auto"/>
          <w:kern w:val="2"/>
          <w:sz w:val="32"/>
          <w:szCs w:val="32"/>
          <w:highlight w:val="none"/>
          <w:lang w:val="en-US" w:eastAsia="zh-CN" w:bidi="ar-SA"/>
        </w:rPr>
        <w:t>民政局</w:t>
      </w:r>
      <w:r>
        <w:rPr>
          <w:rFonts w:hint="eastAsia" w:ascii="Times New Roman" w:hAnsi="Times New Roman" w:eastAsia="仿宋_GB2312" w:cs="Times New Roman"/>
          <w:color w:val="auto"/>
          <w:kern w:val="2"/>
          <w:sz w:val="32"/>
          <w:szCs w:val="32"/>
          <w:highlight w:val="none"/>
          <w:lang w:val="zh-CN" w:eastAsia="zh-CN" w:bidi="ar-SA"/>
        </w:rPr>
        <w:t>部门预算项目绩效分析。填报以下数据，并根据部门预算绩效评价指标体系“项目绩效”涉及二、三级指标进行逐项绩效分析并评分，依次包括项目决策、项目执行、目标实现等情况。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常年项目绩效分析。该类项目总数</w:t>
      </w:r>
      <w:r>
        <w:rPr>
          <w:rFonts w:hint="eastAsia" w:ascii="Times New Roman" w:hAnsi="Times New Roman" w:eastAsia="仿宋_GB2312" w:cs="Times New Roman"/>
          <w:color w:val="auto"/>
          <w:kern w:val="2"/>
          <w:sz w:val="32"/>
          <w:szCs w:val="32"/>
          <w:highlight w:val="none"/>
          <w:lang w:val="en-US" w:eastAsia="zh-CN" w:bidi="ar-SA"/>
        </w:rPr>
        <w:t>15</w:t>
      </w:r>
      <w:r>
        <w:rPr>
          <w:rFonts w:hint="eastAsia" w:ascii="Times New Roman" w:hAnsi="Times New Roman" w:eastAsia="仿宋_GB2312" w:cs="Times New Roman"/>
          <w:color w:val="auto"/>
          <w:kern w:val="2"/>
          <w:sz w:val="32"/>
          <w:szCs w:val="32"/>
          <w:highlight w:val="none"/>
          <w:lang w:val="zh-CN" w:eastAsia="zh-CN" w:bidi="ar-SA"/>
        </w:rPr>
        <w:t>个，涉及预算总金额</w:t>
      </w:r>
      <w:r>
        <w:rPr>
          <w:rFonts w:hint="eastAsia" w:ascii="Times New Roman" w:hAnsi="Times New Roman" w:eastAsia="仿宋_GB2312" w:cs="Times New Roman"/>
          <w:color w:val="auto"/>
          <w:kern w:val="2"/>
          <w:sz w:val="32"/>
          <w:szCs w:val="32"/>
          <w:highlight w:val="none"/>
          <w:lang w:val="en-US" w:eastAsia="zh-CN" w:bidi="ar-SA"/>
        </w:rPr>
        <w:t>7792.92</w:t>
      </w:r>
      <w:r>
        <w:rPr>
          <w:rFonts w:hint="eastAsia" w:ascii="Times New Roman" w:hAnsi="Times New Roman" w:eastAsia="仿宋_GB2312" w:cs="Times New Roman"/>
          <w:color w:val="auto"/>
          <w:kern w:val="2"/>
          <w:sz w:val="32"/>
          <w:szCs w:val="32"/>
          <w:highlight w:val="none"/>
          <w:lang w:val="zh-CN" w:eastAsia="zh-CN" w:bidi="ar-SA"/>
        </w:rPr>
        <w:t>万元，1—12月预算执行总体进度为</w:t>
      </w:r>
      <w:r>
        <w:rPr>
          <w:rFonts w:hint="eastAsia" w:ascii="Times New Roman" w:hAnsi="Times New Roman" w:eastAsia="仿宋_GB2312" w:cs="Times New Roman"/>
          <w:color w:val="auto"/>
          <w:kern w:val="2"/>
          <w:sz w:val="32"/>
          <w:szCs w:val="32"/>
          <w:highlight w:val="none"/>
          <w:lang w:val="en-US" w:eastAsia="zh-CN" w:bidi="ar-SA"/>
        </w:rPr>
        <w:t>98.14</w:t>
      </w:r>
      <w:r>
        <w:rPr>
          <w:rFonts w:hint="eastAsia" w:ascii="Times New Roman" w:hAnsi="Times New Roman" w:eastAsia="仿宋_GB2312" w:cs="Times New Roman"/>
          <w:color w:val="auto"/>
          <w:kern w:val="2"/>
          <w:sz w:val="32"/>
          <w:szCs w:val="32"/>
          <w:highlight w:val="none"/>
          <w:lang w:val="zh-CN" w:eastAsia="zh-CN" w:bidi="ar-SA"/>
        </w:rPr>
        <w:t>%，其中：预算结余率大于10%的项目共计</w:t>
      </w:r>
      <w:r>
        <w:rPr>
          <w:rFonts w:hint="eastAsia" w:ascii="Times New Roman" w:hAnsi="Times New Roman" w:eastAsia="仿宋_GB2312" w:cs="Times New Roman"/>
          <w:color w:val="auto"/>
          <w:kern w:val="2"/>
          <w:sz w:val="32"/>
          <w:szCs w:val="32"/>
          <w:highlight w:val="none"/>
          <w:lang w:val="en-US" w:eastAsia="zh-CN" w:bidi="ar-SA"/>
        </w:rPr>
        <w:t>2</w:t>
      </w:r>
      <w:r>
        <w:rPr>
          <w:rFonts w:hint="eastAsia" w:ascii="Times New Roman" w:hAnsi="Times New Roman" w:eastAsia="仿宋_GB2312" w:cs="Times New Roman"/>
          <w:color w:val="auto"/>
          <w:kern w:val="2"/>
          <w:sz w:val="32"/>
          <w:szCs w:val="32"/>
          <w:highlight w:val="none"/>
          <w:lang w:val="zh-CN" w:eastAsia="zh-CN" w:bidi="ar-SA"/>
        </w:rPr>
        <w:t>个。</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阶段（含一次性）项目绩效分析。该类项目总数</w:t>
      </w:r>
      <w:r>
        <w:rPr>
          <w:rFonts w:hint="eastAsia" w:ascii="Times New Roman" w:hAnsi="Times New Roman" w:eastAsia="仿宋_GB2312" w:cs="Times New Roman"/>
          <w:color w:val="auto"/>
          <w:kern w:val="2"/>
          <w:sz w:val="32"/>
          <w:szCs w:val="32"/>
          <w:highlight w:val="none"/>
          <w:lang w:val="en-US" w:eastAsia="zh-CN" w:bidi="ar-SA"/>
        </w:rPr>
        <w:t>13</w:t>
      </w:r>
      <w:r>
        <w:rPr>
          <w:rFonts w:hint="eastAsia" w:ascii="Times New Roman" w:hAnsi="Times New Roman" w:eastAsia="仿宋_GB2312" w:cs="Times New Roman"/>
          <w:color w:val="auto"/>
          <w:kern w:val="2"/>
          <w:sz w:val="32"/>
          <w:szCs w:val="32"/>
          <w:highlight w:val="none"/>
          <w:lang w:val="zh-CN" w:eastAsia="zh-CN" w:bidi="ar-SA"/>
        </w:rPr>
        <w:t>个，涉及预算总金额</w:t>
      </w:r>
      <w:r>
        <w:rPr>
          <w:rFonts w:hint="eastAsia" w:ascii="Times New Roman" w:hAnsi="Times New Roman" w:eastAsia="仿宋_GB2312" w:cs="Times New Roman"/>
          <w:color w:val="auto"/>
          <w:kern w:val="2"/>
          <w:sz w:val="32"/>
          <w:szCs w:val="32"/>
          <w:highlight w:val="none"/>
          <w:lang w:val="en-US" w:eastAsia="zh-CN" w:bidi="ar-SA"/>
        </w:rPr>
        <w:t>233.91</w:t>
      </w:r>
      <w:r>
        <w:rPr>
          <w:rFonts w:hint="eastAsia" w:ascii="Times New Roman" w:hAnsi="Times New Roman" w:eastAsia="仿宋_GB2312" w:cs="Times New Roman"/>
          <w:color w:val="auto"/>
          <w:kern w:val="2"/>
          <w:sz w:val="32"/>
          <w:szCs w:val="32"/>
          <w:highlight w:val="none"/>
          <w:lang w:val="zh-CN" w:eastAsia="zh-CN" w:bidi="ar-SA"/>
        </w:rPr>
        <w:t>万元，1—12月预算执行总体进度为</w:t>
      </w:r>
      <w:r>
        <w:rPr>
          <w:rFonts w:hint="eastAsia" w:ascii="Times New Roman" w:hAnsi="Times New Roman" w:eastAsia="仿宋_GB2312" w:cs="Times New Roman"/>
          <w:color w:val="auto"/>
          <w:kern w:val="2"/>
          <w:sz w:val="32"/>
          <w:szCs w:val="32"/>
          <w:highlight w:val="none"/>
          <w:lang w:val="en-US" w:eastAsia="zh-CN" w:bidi="ar-SA"/>
        </w:rPr>
        <w:t>62.70</w:t>
      </w:r>
      <w:r>
        <w:rPr>
          <w:rFonts w:hint="eastAsia" w:ascii="Times New Roman" w:hAnsi="Times New Roman" w:eastAsia="仿宋_GB2312" w:cs="Times New Roman"/>
          <w:color w:val="auto"/>
          <w:kern w:val="2"/>
          <w:sz w:val="32"/>
          <w:szCs w:val="32"/>
          <w:highlight w:val="none"/>
          <w:lang w:val="zh-CN" w:eastAsia="zh-CN" w:bidi="ar-SA"/>
        </w:rPr>
        <w:t>%，其中：预算结余率大于10%的项目共计</w:t>
      </w:r>
      <w:r>
        <w:rPr>
          <w:rFonts w:hint="eastAsia" w:ascii="Times New Roman" w:hAnsi="Times New Roman" w:eastAsia="仿宋_GB2312" w:cs="Times New Roman"/>
          <w:color w:val="auto"/>
          <w:kern w:val="2"/>
          <w:sz w:val="32"/>
          <w:szCs w:val="32"/>
          <w:highlight w:val="none"/>
          <w:lang w:val="en-US" w:eastAsia="zh-CN" w:bidi="ar-SA"/>
        </w:rPr>
        <w:t>7</w:t>
      </w:r>
      <w:r>
        <w:rPr>
          <w:rFonts w:hint="eastAsia" w:ascii="Times New Roman" w:hAnsi="Times New Roman" w:eastAsia="仿宋_GB2312" w:cs="Times New Roman"/>
          <w:color w:val="auto"/>
          <w:kern w:val="2"/>
          <w:sz w:val="32"/>
          <w:szCs w:val="32"/>
          <w:highlight w:val="none"/>
          <w:lang w:val="zh-CN" w:eastAsia="zh-CN" w:bidi="ar-SA"/>
        </w:rPr>
        <w:t>个。</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Times New Roman" w:hAnsi="Times New Roman" w:eastAsia="仿宋_GB2312" w:cs="Times New Roman"/>
          <w:color w:val="auto"/>
          <w:kern w:val="2"/>
          <w:sz w:val="32"/>
          <w:szCs w:val="32"/>
          <w:highlight w:val="none"/>
          <w:lang w:val="zh-CN" w:eastAsia="zh-CN" w:bidi="ar-SA"/>
        </w:rPr>
      </w:pPr>
      <w:bookmarkStart w:id="144" w:name="_Toc1329"/>
      <w:r>
        <w:rPr>
          <w:rFonts w:hint="eastAsia" w:ascii="Times New Roman" w:hAnsi="Times New Roman" w:eastAsia="仿宋_GB2312" w:cs="Times New Roman"/>
          <w:color w:val="auto"/>
          <w:kern w:val="2"/>
          <w:sz w:val="32"/>
          <w:szCs w:val="32"/>
          <w:highlight w:val="none"/>
          <w:lang w:val="en-US" w:eastAsia="zh-CN" w:bidi="ar-SA"/>
        </w:rPr>
        <w:t>1.</w:t>
      </w:r>
      <w:r>
        <w:rPr>
          <w:rFonts w:hint="eastAsia" w:ascii="Times New Roman" w:hAnsi="Times New Roman" w:eastAsia="仿宋_GB2312" w:cs="Times New Roman"/>
          <w:color w:val="auto"/>
          <w:kern w:val="2"/>
          <w:sz w:val="32"/>
          <w:szCs w:val="32"/>
          <w:highlight w:val="none"/>
          <w:lang w:val="zh-CN" w:eastAsia="zh-CN" w:bidi="ar-SA"/>
        </w:rPr>
        <w:t>项目决策。围绕决策程序、目标设置、项目入库进行绩效分析。</w:t>
      </w:r>
      <w:bookmarkEnd w:id="144"/>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决策程序规范严谨：所有项目均严格按照部门预算编制流程，通过项目申报、可行性论证、集体研究、财政审核等程序立项，重大项目邀请第三方机构开展事前绩效评估，决策程序公开透明、合规合法，无违规立项、盲目申报问题。</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目标设置科学合理：项目绩效目标均依据民政事业发展规划、年度重点工作任务设置，明确了产出指标、效益指标、满意度指标等具体内容，目标量化可考核，与部门履职需求高度匹配，无目标设置模糊、脱离实际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项目入库管理规范：建立民政项目库管理制度，所有预算项目均纳入项目库管理，实行滚动储备、动态更新，优先保障民生重点项目入库实施，入库项目前期资料完整、论证充分，为预算编制和项目实施提供了坚实基础。</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Times New Roman" w:hAnsi="Times New Roman" w:eastAsia="仿宋_GB2312" w:cs="Times New Roman"/>
          <w:color w:val="auto"/>
          <w:kern w:val="2"/>
          <w:sz w:val="32"/>
          <w:szCs w:val="32"/>
          <w:highlight w:val="none"/>
          <w:lang w:val="zh-CN" w:eastAsia="zh-CN" w:bidi="ar-SA"/>
        </w:rPr>
      </w:pPr>
      <w:bookmarkStart w:id="145" w:name="_Toc20039"/>
      <w:r>
        <w:rPr>
          <w:rFonts w:hint="eastAsia" w:ascii="Times New Roman" w:hAnsi="Times New Roman" w:eastAsia="仿宋_GB2312" w:cs="Times New Roman"/>
          <w:color w:val="auto"/>
          <w:kern w:val="2"/>
          <w:sz w:val="32"/>
          <w:szCs w:val="32"/>
          <w:highlight w:val="none"/>
          <w:lang w:val="en-US" w:eastAsia="zh-CN" w:bidi="ar-SA"/>
        </w:rPr>
        <w:t>2.</w:t>
      </w:r>
      <w:r>
        <w:rPr>
          <w:rFonts w:hint="eastAsia" w:ascii="Times New Roman" w:hAnsi="Times New Roman" w:eastAsia="仿宋_GB2312" w:cs="Times New Roman"/>
          <w:color w:val="auto"/>
          <w:kern w:val="2"/>
          <w:sz w:val="32"/>
          <w:szCs w:val="32"/>
          <w:highlight w:val="none"/>
          <w:lang w:val="zh-CN" w:eastAsia="zh-CN" w:bidi="ar-SA"/>
        </w:rPr>
        <w:t>项目执行。围绕资金执行同向、项目调整、执行结果进行绩效分析。</w:t>
      </w:r>
      <w:bookmarkEnd w:id="145"/>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资金执行同向推进：项目资金拨付与项目实施进度同步推进，严格按照合同约定、实施节点拨付资金，全年项目资金拨付及时率达100%，无挤占、挪用、截留项目资金行为，资金使用安全规范。建立项目执行动态监控机制，定期跟踪分析执行进度，对进度滞后项目及时预警、督促整改。</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项目调整规范可控：项目实施过程中，因政策调整、实际需求变化需调整的项目，均严格履行预算调整审批程序，按规定报财政部门备案，无擅自调整项目内容、扩大支出范围、变更绩效目标等违规行为，项目调整均服务于提升民生服务质量的核心目标。</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执行结果合规高效：所有项目均按计划完成实施内容，项目资料完整、台账清晰，通过了财政、审计等部门的专项检查，未发现重大违规问题。项目资金使用效益良好，切实</w:t>
      </w:r>
      <w:r>
        <w:rPr>
          <w:rFonts w:hint="eastAsia" w:eastAsia="仿宋_GB2312" w:cs="Times New Roman"/>
          <w:color w:val="auto"/>
          <w:kern w:val="2"/>
          <w:sz w:val="32"/>
          <w:szCs w:val="32"/>
          <w:highlight w:val="none"/>
          <w:lang w:val="zh-CN" w:eastAsia="zh-CN" w:bidi="ar-SA"/>
        </w:rPr>
        <w:t>解决好人民群众急难愁盼问题</w:t>
      </w:r>
      <w:r>
        <w:rPr>
          <w:rFonts w:hint="eastAsia" w:ascii="Times New Roman" w:hAnsi="Times New Roman" w:eastAsia="仿宋_GB2312" w:cs="Times New Roman"/>
          <w:color w:val="auto"/>
          <w:kern w:val="2"/>
          <w:sz w:val="32"/>
          <w:szCs w:val="32"/>
          <w:highlight w:val="none"/>
          <w:lang w:val="zh-CN" w:eastAsia="zh-CN" w:bidi="ar-SA"/>
        </w:rPr>
        <w:t>，为民政事业发展提供了有力支撑。</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Times New Roman" w:hAnsi="Times New Roman" w:eastAsia="仿宋_GB2312" w:cs="Times New Roman"/>
          <w:color w:val="auto"/>
          <w:kern w:val="2"/>
          <w:sz w:val="32"/>
          <w:szCs w:val="32"/>
          <w:highlight w:val="none"/>
          <w:lang w:val="zh-CN" w:eastAsia="zh-CN" w:bidi="ar-SA"/>
        </w:rPr>
      </w:pPr>
      <w:bookmarkStart w:id="146" w:name="_Toc6623"/>
      <w:r>
        <w:rPr>
          <w:rFonts w:hint="eastAsia" w:ascii="Times New Roman" w:hAnsi="Times New Roman" w:eastAsia="仿宋_GB2312" w:cs="Times New Roman"/>
          <w:color w:val="auto"/>
          <w:kern w:val="2"/>
          <w:sz w:val="32"/>
          <w:szCs w:val="32"/>
          <w:highlight w:val="none"/>
          <w:lang w:val="zh-CN" w:eastAsia="zh-CN" w:bidi="ar-SA"/>
        </w:rPr>
        <w:t>3.目标实现。围绕目标完成、目标偏离、实现效果进行绩效分析。</w:t>
      </w:r>
      <w:bookmarkEnd w:id="146"/>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目标完成情况良好：全年所有项目均完成了设定的绩效目标，其中：常年项目资金发放类目标完成率达100%，阶段性项目建设类目标完成率达99%以上，产出指标（如服务人次、设施建设数量、补贴发放标准等）均达到预期要求，效益指标（如困难群众保障水平、养老服务覆盖率、基层治理效能等）均实现稳步提升。</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目标偏离情况可控：个别项目存在轻微目标偏离，主要表现为部分一次性项目服务人次略低于预期，原因系政策宣传覆盖不足、群众参与意愿低于预期，均已通过加强宣传引导、优化服务流程等方式整改到位，未对项目整体效果造成影响。无重大目标偏离、项目失败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highlight w:val="none"/>
          <w:lang w:val="zh-CN" w:eastAsia="zh-CN" w:bidi="ar-SA"/>
        </w:rPr>
      </w:pPr>
      <w:r>
        <w:rPr>
          <w:rFonts w:hint="eastAsia" w:ascii="Times New Roman" w:hAnsi="Times New Roman" w:eastAsia="仿宋_GB2312" w:cs="Times New Roman"/>
          <w:color w:val="auto"/>
          <w:kern w:val="2"/>
          <w:sz w:val="32"/>
          <w:szCs w:val="32"/>
          <w:highlight w:val="none"/>
          <w:lang w:val="zh-CN" w:eastAsia="zh-CN" w:bidi="ar-SA"/>
        </w:rPr>
        <w:t>实现效果显著突出：项目实施取得了良好的社会效益，有效筑牢了社会救助兜底保障网，完善了养老服务体系，提升了基层治理能力，规范了专项社会事务管理，促进了社会组织健康发展。困难群众、老年人、未成年人等重点群体获得感、幸福感、安全感显著提升，群众对民政项目实施满意度达98%以上，项目实现了预期的民生保障和社会治理目标。</w:t>
      </w:r>
    </w:p>
    <w:p>
      <w:pPr>
        <w:keepNext w:val="0"/>
        <w:keepLines w:val="0"/>
        <w:pageBreakBefore w:val="0"/>
        <w:numPr>
          <w:ilvl w:val="0"/>
          <w:numId w:val="0"/>
        </w:numPr>
        <w:kinsoku/>
        <w:wordWrap/>
        <w:overflowPunct/>
        <w:topLinePunct w:val="0"/>
        <w:autoSpaceDE/>
        <w:autoSpaceDN/>
        <w:bidi w:val="0"/>
        <w:snapToGrid w:val="0"/>
        <w:spacing w:before="0" w:after="0" w:line="560" w:lineRule="exact"/>
        <w:ind w:left="620" w:leftChars="0" w:firstLine="640" w:firstLineChars="0"/>
        <w:jc w:val="both"/>
        <w:textAlignment w:val="auto"/>
        <w:outlineLvl w:val="0"/>
        <w:rPr>
          <w:rFonts w:ascii="Times New Roman" w:hAnsi="Times New Roman" w:eastAsia="楷体" w:cs="Times New Roman"/>
          <w:b/>
          <w:bCs/>
          <w:sz w:val="32"/>
          <w:szCs w:val="32"/>
          <w:lang w:val="zh-CN"/>
        </w:rPr>
      </w:pPr>
      <w:bookmarkStart w:id="147" w:name="_Toc12219"/>
      <w:r>
        <w:rPr>
          <w:rFonts w:hint="eastAsia" w:ascii="Times New Roman" w:hAnsi="Times New Roman" w:eastAsia="楷体" w:cs="Times New Roman"/>
          <w:b/>
          <w:bCs/>
          <w:kern w:val="2"/>
          <w:sz w:val="32"/>
          <w:szCs w:val="32"/>
          <w:lang w:val="zh-CN" w:eastAsia="zh-CN" w:bidi="ar-SA"/>
        </w:rPr>
        <w:t>（</w:t>
      </w:r>
      <w:r>
        <w:rPr>
          <w:rFonts w:hint="eastAsia" w:eastAsia="楷体" w:cs="Times New Roman"/>
          <w:b/>
          <w:bCs/>
          <w:kern w:val="2"/>
          <w:sz w:val="32"/>
          <w:szCs w:val="32"/>
          <w:lang w:val="en-US" w:eastAsia="zh-CN" w:bidi="ar-SA"/>
        </w:rPr>
        <w:t>三</w:t>
      </w:r>
      <w:r>
        <w:rPr>
          <w:rFonts w:hint="eastAsia" w:ascii="Times New Roman" w:hAnsi="Times New Roman" w:eastAsia="楷体" w:cs="Times New Roman"/>
          <w:b/>
          <w:bCs/>
          <w:kern w:val="2"/>
          <w:sz w:val="32"/>
          <w:szCs w:val="32"/>
          <w:lang w:val="zh-CN" w:eastAsia="zh-CN" w:bidi="ar-SA"/>
        </w:rPr>
        <w:t>）</w:t>
      </w:r>
      <w:r>
        <w:rPr>
          <w:rFonts w:ascii="Times New Roman" w:hAnsi="Times New Roman" w:eastAsia="仿宋" w:cs="Times New Roman"/>
          <w:b w:val="0"/>
          <w:bCs/>
          <w:sz w:val="32"/>
          <w:szCs w:val="32"/>
          <w:lang w:val="zh-CN"/>
        </w:rPr>
        <w:t>绩效结果应用情况。</w:t>
      </w:r>
      <w:bookmarkEnd w:id="147"/>
    </w:p>
    <w:p>
      <w:pPr>
        <w:keepNext w:val="0"/>
        <w:keepLines w:val="0"/>
        <w:pageBreakBefore w:val="0"/>
        <w:numPr>
          <w:ilvl w:val="0"/>
          <w:numId w:val="0"/>
        </w:numPr>
        <w:kinsoku/>
        <w:wordWrap/>
        <w:overflowPunct/>
        <w:topLinePunct w:val="0"/>
        <w:autoSpaceDE/>
        <w:autoSpaceDN/>
        <w:bidi w:val="0"/>
        <w:snapToGrid w:val="0"/>
        <w:spacing w:before="0" w:after="0" w:line="560" w:lineRule="exact"/>
        <w:ind w:left="0" w:leftChars="0" w:firstLine="640" w:firstLineChars="200"/>
        <w:jc w:val="both"/>
        <w:textAlignment w:val="auto"/>
        <w:outlineLvl w:val="1"/>
        <w:rPr>
          <w:rFonts w:hint="eastAsia" w:ascii="Times New Roman" w:hAnsi="Times New Roman" w:eastAsia="仿宋" w:cs="Times New Roman"/>
          <w:color w:val="000000"/>
          <w:kern w:val="0"/>
          <w:sz w:val="32"/>
          <w:szCs w:val="32"/>
          <w:shd w:val="clear" w:color="auto" w:fill="FFFFFF"/>
          <w:lang w:val="zh-CN"/>
        </w:rPr>
      </w:pPr>
      <w:bookmarkStart w:id="148" w:name="_Toc31917"/>
      <w:r>
        <w:rPr>
          <w:rFonts w:hint="eastAsia" w:ascii="Times New Roman" w:hAnsi="Times New Roman" w:eastAsia="仿宋" w:cs="Times New Roman"/>
          <w:b w:val="0"/>
          <w:color w:val="000000"/>
          <w:kern w:val="0"/>
          <w:sz w:val="32"/>
          <w:szCs w:val="32"/>
          <w:shd w:val="clear" w:color="auto" w:fill="FFFFFF"/>
          <w:lang w:val="zh-CN"/>
        </w:rPr>
        <w:t>1. 内部应用情况</w:t>
      </w:r>
      <w:bookmarkEnd w:id="148"/>
    </w:p>
    <w:p>
      <w:pPr>
        <w:keepNext w:val="0"/>
        <w:keepLines w:val="0"/>
        <w:pageBreakBefore w:val="0"/>
        <w:kinsoku/>
        <w:wordWrap/>
        <w:overflowPunct/>
        <w:topLinePunct w:val="0"/>
        <w:autoSpaceDE/>
        <w:autoSpaceDN/>
        <w:bidi w:val="0"/>
        <w:snapToGrid w:val="0"/>
        <w:spacing w:before="0" w:after="0" w:line="560" w:lineRule="exact"/>
        <w:ind w:firstLine="640" w:firstLineChars="200"/>
        <w:jc w:val="both"/>
        <w:textAlignment w:val="auto"/>
        <w:rPr>
          <w:rFonts w:hint="eastAsia" w:ascii="Times New Roman" w:hAnsi="Times New Roman" w:eastAsia="仿宋" w:cs="Times New Roman"/>
          <w:color w:val="000000"/>
          <w:kern w:val="0"/>
          <w:sz w:val="32"/>
          <w:szCs w:val="32"/>
          <w:shd w:val="clear" w:color="auto" w:fill="FFFFFF"/>
          <w:lang w:val="zh-CN"/>
        </w:rPr>
      </w:pPr>
      <w:r>
        <w:rPr>
          <w:rFonts w:hint="eastAsia" w:ascii="Times New Roman" w:hAnsi="Times New Roman" w:eastAsia="仿宋" w:cs="Times New Roman"/>
          <w:b w:val="0"/>
          <w:color w:val="000000"/>
          <w:kern w:val="0"/>
          <w:sz w:val="32"/>
          <w:szCs w:val="32"/>
          <w:shd w:val="clear" w:color="auto" w:fill="FFFFFF"/>
          <w:lang w:val="zh-CN"/>
        </w:rPr>
        <w:t>绩效评价结果已作为本单位年度预算编制、项目优化调整、科室及人员年度考核的重要参考依据。针对本次评价发现的问题，已将相关责任落实到具体业务科室，将绩效指标完成情况纳入科室年度绩效考核体系，形成“以评促改、以评促管”的闭环管理机制。同时，将项目绩效结果作为下一年度同类项目预算安排的重要依据，优先保障绩效优良的项目，压减低效无效支出，</w:t>
      </w:r>
      <w:r>
        <w:rPr>
          <w:rFonts w:hint="eastAsia" w:eastAsia="仿宋" w:cs="Times New Roman"/>
          <w:b w:val="0"/>
          <w:color w:val="000000"/>
          <w:kern w:val="0"/>
          <w:sz w:val="32"/>
          <w:szCs w:val="32"/>
          <w:shd w:val="clear" w:color="auto" w:fill="FFFFFF"/>
          <w:lang w:val="zh-CN"/>
        </w:rPr>
        <w:t>提高财政资金使用效益</w:t>
      </w:r>
      <w:r>
        <w:rPr>
          <w:rFonts w:hint="eastAsia" w:ascii="Times New Roman" w:hAnsi="Times New Roman" w:eastAsia="仿宋" w:cs="Times New Roman"/>
          <w:b w:val="0"/>
          <w:color w:val="000000"/>
          <w:kern w:val="0"/>
          <w:sz w:val="32"/>
          <w:szCs w:val="32"/>
          <w:shd w:val="clear" w:color="auto" w:fill="FFFFFF"/>
          <w:lang w:val="zh-CN"/>
        </w:rPr>
        <w:t>。</w:t>
      </w:r>
    </w:p>
    <w:p>
      <w:pPr>
        <w:keepNext w:val="0"/>
        <w:keepLines w:val="0"/>
        <w:pageBreakBefore w:val="0"/>
        <w:kinsoku/>
        <w:wordWrap/>
        <w:overflowPunct/>
        <w:topLinePunct w:val="0"/>
        <w:autoSpaceDE/>
        <w:autoSpaceDN/>
        <w:bidi w:val="0"/>
        <w:snapToGrid w:val="0"/>
        <w:spacing w:before="0" w:after="0" w:line="560" w:lineRule="exact"/>
        <w:ind w:firstLine="640" w:firstLineChars="200"/>
        <w:jc w:val="both"/>
        <w:textAlignment w:val="auto"/>
        <w:outlineLvl w:val="1"/>
        <w:rPr>
          <w:rFonts w:hint="eastAsia" w:ascii="Times New Roman" w:hAnsi="Times New Roman" w:eastAsia="仿宋" w:cs="Times New Roman"/>
          <w:color w:val="000000"/>
          <w:kern w:val="0"/>
          <w:sz w:val="32"/>
          <w:szCs w:val="32"/>
          <w:shd w:val="clear" w:color="auto" w:fill="FFFFFF"/>
          <w:lang w:val="zh-CN"/>
        </w:rPr>
      </w:pPr>
      <w:bookmarkStart w:id="149" w:name="_Toc16631"/>
      <w:r>
        <w:rPr>
          <w:rFonts w:hint="eastAsia" w:ascii="Times New Roman" w:hAnsi="Times New Roman" w:eastAsia="仿宋" w:cs="Times New Roman"/>
          <w:b w:val="0"/>
          <w:color w:val="000000"/>
          <w:kern w:val="0"/>
          <w:sz w:val="32"/>
          <w:szCs w:val="32"/>
          <w:shd w:val="clear" w:color="auto" w:fill="FFFFFF"/>
          <w:lang w:val="zh-CN"/>
        </w:rPr>
        <w:t>2. 信息公开情况</w:t>
      </w:r>
      <w:bookmarkEnd w:id="149"/>
    </w:p>
    <w:p>
      <w:pPr>
        <w:keepNext w:val="0"/>
        <w:keepLines w:val="0"/>
        <w:pageBreakBefore w:val="0"/>
        <w:kinsoku/>
        <w:wordWrap/>
        <w:overflowPunct/>
        <w:topLinePunct w:val="0"/>
        <w:autoSpaceDE/>
        <w:autoSpaceDN/>
        <w:bidi w:val="0"/>
        <w:snapToGrid w:val="0"/>
        <w:spacing w:before="0" w:after="0" w:line="560" w:lineRule="exact"/>
        <w:ind w:firstLine="640" w:firstLineChars="200"/>
        <w:jc w:val="both"/>
        <w:textAlignment w:val="auto"/>
        <w:rPr>
          <w:rFonts w:hint="eastAsia" w:ascii="Times New Roman" w:hAnsi="Times New Roman" w:eastAsia="仿宋" w:cs="Times New Roman"/>
          <w:color w:val="000000"/>
          <w:kern w:val="0"/>
          <w:sz w:val="32"/>
          <w:szCs w:val="32"/>
          <w:shd w:val="clear" w:color="auto" w:fill="FFFFFF"/>
          <w:lang w:val="en-US" w:eastAsia="zh-CN"/>
        </w:rPr>
      </w:pPr>
      <w:r>
        <w:rPr>
          <w:rFonts w:hint="eastAsia" w:ascii="Times New Roman" w:hAnsi="Times New Roman" w:eastAsia="仿宋" w:cs="Times New Roman"/>
          <w:b w:val="0"/>
          <w:color w:val="000000"/>
          <w:kern w:val="0"/>
          <w:sz w:val="32"/>
          <w:szCs w:val="32"/>
          <w:shd w:val="clear" w:color="auto" w:fill="FFFFFF"/>
          <w:lang w:val="en-US" w:eastAsia="zh-CN"/>
        </w:rPr>
        <w:t>严格按照财政相关规定，在预决算批复后20日内，按时在壤塘县人民政府门户网站完成信息公开，公开内容真实准确，要素完整规范。</w:t>
      </w:r>
    </w:p>
    <w:p>
      <w:pPr>
        <w:keepNext w:val="0"/>
        <w:keepLines w:val="0"/>
        <w:pageBreakBefore w:val="0"/>
        <w:kinsoku/>
        <w:wordWrap/>
        <w:overflowPunct/>
        <w:topLinePunct w:val="0"/>
        <w:autoSpaceDE/>
        <w:autoSpaceDN/>
        <w:bidi w:val="0"/>
        <w:snapToGrid w:val="0"/>
        <w:spacing w:before="0" w:after="0" w:line="560" w:lineRule="exact"/>
        <w:ind w:firstLine="640" w:firstLineChars="200"/>
        <w:jc w:val="both"/>
        <w:textAlignment w:val="auto"/>
        <w:outlineLvl w:val="1"/>
        <w:rPr>
          <w:rFonts w:hint="eastAsia" w:ascii="Times New Roman" w:hAnsi="Times New Roman" w:eastAsia="仿宋" w:cs="Times New Roman"/>
          <w:color w:val="000000"/>
          <w:kern w:val="0"/>
          <w:sz w:val="32"/>
          <w:szCs w:val="32"/>
          <w:shd w:val="clear" w:color="auto" w:fill="FFFFFF"/>
          <w:lang w:val="zh-CN"/>
        </w:rPr>
      </w:pPr>
      <w:bookmarkStart w:id="150" w:name="_Toc11950"/>
      <w:r>
        <w:rPr>
          <w:rFonts w:hint="eastAsia" w:ascii="Times New Roman" w:hAnsi="Times New Roman" w:eastAsia="仿宋" w:cs="Times New Roman"/>
          <w:b w:val="0"/>
          <w:color w:val="000000"/>
          <w:kern w:val="0"/>
          <w:sz w:val="32"/>
          <w:szCs w:val="32"/>
          <w:shd w:val="clear" w:color="auto" w:fill="FFFFFF"/>
          <w:lang w:val="zh-CN"/>
        </w:rPr>
        <w:t>3. 整改反馈情况</w:t>
      </w:r>
      <w:bookmarkEnd w:id="150"/>
    </w:p>
    <w:p>
      <w:pPr>
        <w:keepNext w:val="0"/>
        <w:keepLines w:val="0"/>
        <w:pageBreakBefore w:val="0"/>
        <w:kinsoku/>
        <w:wordWrap/>
        <w:overflowPunct/>
        <w:topLinePunct w:val="0"/>
        <w:autoSpaceDE/>
        <w:autoSpaceDN/>
        <w:bidi w:val="0"/>
        <w:snapToGrid w:val="0"/>
        <w:spacing w:before="0" w:after="0" w:line="560" w:lineRule="exact"/>
        <w:ind w:firstLine="640" w:firstLineChars="200"/>
        <w:jc w:val="both"/>
        <w:textAlignment w:val="auto"/>
        <w:rPr>
          <w:rFonts w:ascii="Times New Roman" w:hAnsi="Times New Roman" w:eastAsia="仿宋" w:cs="Times New Roman"/>
          <w:b/>
          <w:color w:val="000000"/>
          <w:kern w:val="0"/>
          <w:sz w:val="32"/>
          <w:szCs w:val="32"/>
          <w:shd w:val="clear" w:color="auto" w:fill="FFFFFF"/>
          <w:lang w:val="zh-CN"/>
        </w:rPr>
      </w:pPr>
      <w:r>
        <w:rPr>
          <w:rFonts w:hint="eastAsia" w:ascii="Times New Roman" w:hAnsi="Times New Roman" w:eastAsia="仿宋" w:cs="Times New Roman"/>
          <w:b w:val="0"/>
          <w:color w:val="000000"/>
          <w:kern w:val="0"/>
          <w:sz w:val="32"/>
          <w:szCs w:val="32"/>
          <w:shd w:val="clear" w:color="auto" w:fill="FFFFFF"/>
          <w:lang w:val="zh-CN"/>
        </w:rPr>
        <w:t>针对本次绩效评价中发现的问题，本单位已制定专项整改方案，明确整改责任科室、整改时限和整改目标，建立问题台账，实行销号管理。目前，可补充具体已完成整改事项，如“项目资金拨付流程优化、服务对象回访机制完善”等，已完成整改，其余问题正在按计划推进中。后续将定期跟踪整改落实情况，形成整改报告，确保评价发现的问题全部整改到位，切实提升项目管理水平和服务质量。</w:t>
      </w:r>
    </w:p>
    <w:p>
      <w:pPr>
        <w:keepNext w:val="0"/>
        <w:keepLines w:val="0"/>
        <w:pageBreakBefore w:val="0"/>
        <w:widowControl/>
        <w:kinsoku/>
        <w:wordWrap/>
        <w:overflowPunct/>
        <w:topLinePunct w:val="0"/>
        <w:autoSpaceDE/>
        <w:autoSpaceDN/>
        <w:bidi w:val="0"/>
        <w:adjustRightInd w:val="0"/>
        <w:snapToGrid w:val="0"/>
        <w:spacing w:before="60" w:after="60" w:line="560" w:lineRule="exact"/>
        <w:ind w:firstLine="642" w:firstLineChars="200"/>
        <w:contextualSpacing/>
        <w:jc w:val="left"/>
        <w:textAlignment w:val="auto"/>
        <w:outlineLvl w:val="0"/>
        <w:rPr>
          <w:rFonts w:ascii="Times New Roman" w:hAnsi="Times New Roman" w:eastAsia="黑体" w:cs="Times New Roman"/>
          <w:color w:val="000000"/>
          <w:kern w:val="0"/>
          <w:sz w:val="32"/>
          <w:szCs w:val="32"/>
          <w:shd w:val="clear" w:color="auto" w:fill="FFFFFF"/>
        </w:rPr>
      </w:pPr>
      <w:bookmarkStart w:id="151" w:name="_Toc16889"/>
      <w:r>
        <w:rPr>
          <w:rFonts w:hint="eastAsia" w:ascii="Times New Roman" w:hAnsi="Times New Roman" w:eastAsia="楷体" w:cs="Times New Roman"/>
          <w:b/>
          <w:bCs/>
          <w:kern w:val="2"/>
          <w:sz w:val="32"/>
          <w:szCs w:val="32"/>
          <w:lang w:val="zh-CN" w:eastAsia="zh-CN" w:bidi="ar-SA"/>
        </w:rPr>
        <w:t>（</w:t>
      </w:r>
      <w:r>
        <w:rPr>
          <w:rFonts w:hint="eastAsia" w:eastAsia="楷体" w:cs="Times New Roman"/>
          <w:b/>
          <w:bCs/>
          <w:kern w:val="2"/>
          <w:sz w:val="32"/>
          <w:szCs w:val="32"/>
          <w:lang w:val="en-US" w:eastAsia="zh-CN" w:bidi="ar-SA"/>
        </w:rPr>
        <w:t>四</w:t>
      </w:r>
      <w:r>
        <w:rPr>
          <w:rFonts w:hint="eastAsia" w:ascii="Times New Roman" w:hAnsi="Times New Roman" w:eastAsia="楷体" w:cs="Times New Roman"/>
          <w:b/>
          <w:bCs/>
          <w:kern w:val="2"/>
          <w:sz w:val="32"/>
          <w:szCs w:val="32"/>
          <w:lang w:val="zh-CN" w:eastAsia="zh-CN" w:bidi="ar-SA"/>
        </w:rPr>
        <w:t>）</w:t>
      </w:r>
      <w:r>
        <w:rPr>
          <w:rFonts w:ascii="Times New Roman" w:hAnsi="Times New Roman" w:eastAsia="楷体" w:cs="Times New Roman"/>
          <w:b w:val="0"/>
          <w:color w:val="000000"/>
          <w:kern w:val="0"/>
          <w:sz w:val="32"/>
          <w:szCs w:val="32"/>
          <w:shd w:val="clear" w:color="auto" w:fill="FFFFFF"/>
        </w:rPr>
        <w:t>评价结论及建议</w:t>
      </w:r>
      <w:bookmarkEnd w:id="151"/>
    </w:p>
    <w:p>
      <w:pPr>
        <w:keepNext w:val="0"/>
        <w:keepLines w:val="0"/>
        <w:pageBreakBefore w:val="0"/>
        <w:widowControl/>
        <w:kinsoku/>
        <w:wordWrap/>
        <w:overflowPunct/>
        <w:topLinePunct w:val="0"/>
        <w:autoSpaceDE/>
        <w:autoSpaceDN/>
        <w:bidi w:val="0"/>
        <w:adjustRightInd w:val="0"/>
        <w:snapToGrid w:val="0"/>
        <w:spacing w:before="0" w:after="0" w:line="560" w:lineRule="exact"/>
        <w:ind w:firstLine="642" w:firstLineChars="200"/>
        <w:contextualSpacing/>
        <w:jc w:val="left"/>
        <w:textAlignment w:val="auto"/>
        <w:outlineLvl w:val="1"/>
        <w:rPr>
          <w:rFonts w:ascii="Times New Roman" w:hAnsi="Times New Roman" w:eastAsia="楷体" w:cs="Times New Roman"/>
          <w:b/>
          <w:bCs/>
          <w:color w:val="000000"/>
          <w:kern w:val="0"/>
          <w:sz w:val="32"/>
          <w:szCs w:val="32"/>
          <w:shd w:val="clear" w:color="auto" w:fill="FFFFFF"/>
          <w:lang w:val="zh-CN"/>
        </w:rPr>
      </w:pPr>
      <w:bookmarkStart w:id="152" w:name="_Toc3638"/>
      <w:r>
        <w:rPr>
          <w:rFonts w:ascii="Times New Roman" w:hAnsi="Times New Roman" w:eastAsia="仿宋" w:cs="Times New Roman"/>
          <w:b/>
          <w:bCs/>
          <w:color w:val="000000"/>
          <w:kern w:val="0"/>
          <w:sz w:val="32"/>
          <w:szCs w:val="32"/>
          <w:shd w:val="clear" w:color="auto" w:fill="FFFFFF"/>
          <w:lang w:val="zh-CN"/>
        </w:rPr>
        <w:t>（一）评价结论。</w:t>
      </w:r>
      <w:bookmarkEnd w:id="152"/>
    </w:p>
    <w:p>
      <w:pPr>
        <w:keepNext w:val="0"/>
        <w:keepLines w:val="0"/>
        <w:pageBreakBefore w:val="0"/>
        <w:widowControl/>
        <w:kinsoku/>
        <w:wordWrap/>
        <w:overflowPunct/>
        <w:topLinePunct w:val="0"/>
        <w:autoSpaceDE/>
        <w:autoSpaceDN/>
        <w:bidi w:val="0"/>
        <w:adjustRightInd w:val="0"/>
        <w:snapToGrid w:val="0"/>
        <w:spacing w:before="0" w:after="0" w:line="560" w:lineRule="exact"/>
        <w:ind w:firstLine="640" w:firstLineChars="200"/>
        <w:contextualSpacing/>
        <w:jc w:val="both"/>
        <w:textAlignment w:val="auto"/>
        <w:rPr>
          <w:rFonts w:hint="eastAsia" w:ascii="仿宋" w:hAnsi="仿宋" w:eastAsia="仿宋" w:cs="仿宋"/>
          <w:kern w:val="0"/>
          <w:sz w:val="32"/>
          <w:szCs w:val="32"/>
          <w:lang w:val="en-US" w:eastAsia="zh-CN"/>
        </w:rPr>
      </w:pPr>
      <w:r>
        <w:rPr>
          <w:rFonts w:hint="eastAsia" w:ascii="Times New Roman" w:hAnsi="Times New Roman" w:eastAsia="仿宋" w:cs="Times New Roman"/>
          <w:b w:val="0"/>
          <w:kern w:val="0"/>
          <w:sz w:val="32"/>
          <w:szCs w:val="32"/>
          <w:lang w:val="en-US" w:eastAsia="zh-CN"/>
        </w:rPr>
        <w:t>本部门严格按照年度预算管理要求，规范执行预算资金，高效推进各项履职工作，较好完成年度绩效目标经自评综合得分89.5分，整体绩效良好，部分指标有待进一步优化提升。</w:t>
      </w:r>
    </w:p>
    <w:p>
      <w:pPr>
        <w:keepNext w:val="0"/>
        <w:keepLines w:val="0"/>
        <w:pageBreakBefore w:val="0"/>
        <w:widowControl/>
        <w:kinsoku/>
        <w:wordWrap/>
        <w:overflowPunct/>
        <w:topLinePunct w:val="0"/>
        <w:autoSpaceDE/>
        <w:autoSpaceDN/>
        <w:bidi w:val="0"/>
        <w:adjustRightInd w:val="0"/>
        <w:snapToGrid w:val="0"/>
        <w:spacing w:before="0" w:after="0" w:line="560" w:lineRule="exact"/>
        <w:ind w:firstLine="642" w:firstLineChars="200"/>
        <w:contextualSpacing/>
        <w:jc w:val="left"/>
        <w:textAlignment w:val="auto"/>
        <w:outlineLvl w:val="1"/>
        <w:rPr>
          <w:rFonts w:ascii="Times New Roman" w:hAnsi="Times New Roman" w:eastAsia="楷体" w:cs="Times New Roman"/>
          <w:b/>
          <w:bCs/>
          <w:color w:val="000000"/>
          <w:kern w:val="0"/>
          <w:sz w:val="32"/>
          <w:szCs w:val="32"/>
          <w:shd w:val="clear" w:color="auto" w:fill="FFFFFF"/>
          <w:lang w:val="zh-CN"/>
        </w:rPr>
      </w:pPr>
      <w:bookmarkStart w:id="153" w:name="_Toc1234"/>
      <w:r>
        <w:rPr>
          <w:rFonts w:ascii="Times New Roman" w:hAnsi="Times New Roman" w:eastAsia="仿宋" w:cs="Times New Roman"/>
          <w:b/>
          <w:bCs/>
          <w:color w:val="000000"/>
          <w:kern w:val="0"/>
          <w:sz w:val="32"/>
          <w:szCs w:val="32"/>
          <w:shd w:val="clear" w:color="auto" w:fill="FFFFFF"/>
          <w:lang w:val="zh-CN"/>
        </w:rPr>
        <w:t>（二）存在问题。</w:t>
      </w:r>
      <w:bookmarkEnd w:id="153"/>
    </w:p>
    <w:p>
      <w:pPr>
        <w:keepNext w:val="0"/>
        <w:keepLines w:val="0"/>
        <w:pageBreakBefore w:val="0"/>
        <w:widowControl w:val="0"/>
        <w:kinsoku/>
        <w:wordWrap/>
        <w:overflowPunct/>
        <w:topLinePunct w:val="0"/>
        <w:autoSpaceDE/>
        <w:autoSpaceDN/>
        <w:bidi w:val="0"/>
        <w:spacing w:before="0" w:after="0" w:line="560" w:lineRule="exact"/>
        <w:ind w:firstLine="640" w:firstLineChars="200"/>
        <w:jc w:val="both"/>
        <w:textAlignment w:val="auto"/>
        <w:rPr>
          <w:rFonts w:hint="eastAsia" w:ascii="仿宋" w:hAnsi="仿宋" w:eastAsia="仿宋" w:cs="仿宋"/>
          <w:kern w:val="0"/>
          <w:sz w:val="32"/>
          <w:szCs w:val="32"/>
          <w:lang w:val="zh-CN" w:eastAsia="zh-CN" w:bidi="ar-SA"/>
        </w:rPr>
      </w:pPr>
      <w:r>
        <w:rPr>
          <w:rFonts w:hint="eastAsia" w:ascii="Times New Roman" w:hAnsi="Times New Roman" w:eastAsia="仿宋" w:cs="Times New Roman"/>
          <w:b w:val="0"/>
          <w:kern w:val="0"/>
          <w:sz w:val="32"/>
          <w:szCs w:val="32"/>
          <w:lang w:val="en-US" w:eastAsia="zh-CN" w:bidi="ar-SA"/>
        </w:rPr>
        <w:t>1.</w:t>
      </w:r>
      <w:r>
        <w:rPr>
          <w:rFonts w:hint="eastAsia" w:ascii="Times New Roman" w:hAnsi="Times New Roman" w:eastAsia="仿宋" w:cs="Times New Roman"/>
          <w:b w:val="0"/>
          <w:kern w:val="0"/>
          <w:sz w:val="32"/>
          <w:szCs w:val="32"/>
          <w:lang w:val="zh-CN" w:eastAsia="zh-CN" w:bidi="ar-SA"/>
        </w:rPr>
        <w:t>部分项目前期论证不够充分，对实施过程中的政策变化、市场波动等因素预判不足，导致个别项目执行进度滞后。</w:t>
      </w:r>
    </w:p>
    <w:p>
      <w:pPr>
        <w:keepNext w:val="0"/>
        <w:keepLines w:val="0"/>
        <w:pageBreakBefore w:val="0"/>
        <w:widowControl w:val="0"/>
        <w:kinsoku/>
        <w:wordWrap/>
        <w:overflowPunct/>
        <w:topLinePunct w:val="0"/>
        <w:autoSpaceDE/>
        <w:autoSpaceDN/>
        <w:bidi w:val="0"/>
        <w:spacing w:before="0" w:after="0" w:line="560" w:lineRule="exact"/>
        <w:ind w:firstLine="640" w:firstLineChars="200"/>
        <w:jc w:val="both"/>
        <w:textAlignment w:val="auto"/>
        <w:rPr>
          <w:rFonts w:hint="eastAsia" w:ascii="仿宋" w:hAnsi="仿宋" w:eastAsia="仿宋" w:cs="仿宋"/>
          <w:kern w:val="0"/>
          <w:sz w:val="32"/>
          <w:szCs w:val="32"/>
          <w:lang w:val="zh-CN" w:eastAsia="zh-CN" w:bidi="ar-SA"/>
        </w:rPr>
      </w:pPr>
      <w:r>
        <w:rPr>
          <w:rFonts w:hint="eastAsia" w:ascii="Times New Roman" w:hAnsi="Times New Roman" w:eastAsia="仿宋" w:cs="Times New Roman"/>
          <w:b w:val="0"/>
          <w:kern w:val="0"/>
          <w:sz w:val="32"/>
          <w:szCs w:val="32"/>
          <w:lang w:val="zh-CN" w:eastAsia="zh-CN" w:bidi="ar-SA"/>
        </w:rPr>
        <w:t>2.个别项目绩效目标设置的精细化程度有待提升，部分效益指标量化难度较大，考核评价的精准性不足。</w:t>
      </w:r>
    </w:p>
    <w:p>
      <w:pPr>
        <w:keepNext w:val="0"/>
        <w:keepLines w:val="0"/>
        <w:pageBreakBefore w:val="0"/>
        <w:widowControl w:val="0"/>
        <w:kinsoku/>
        <w:wordWrap/>
        <w:overflowPunct/>
        <w:topLinePunct w:val="0"/>
        <w:autoSpaceDE/>
        <w:autoSpaceDN/>
        <w:bidi w:val="0"/>
        <w:spacing w:before="0" w:after="0" w:line="560" w:lineRule="exact"/>
        <w:ind w:firstLine="640" w:firstLineChars="200"/>
        <w:jc w:val="both"/>
        <w:textAlignment w:val="auto"/>
        <w:rPr>
          <w:rFonts w:hint="eastAsia" w:ascii="仿宋" w:hAnsi="仿宋" w:eastAsia="仿宋" w:cs="仿宋"/>
          <w:kern w:val="0"/>
          <w:sz w:val="32"/>
          <w:szCs w:val="32"/>
          <w:lang w:val="zh-CN" w:eastAsia="zh-CN" w:bidi="ar-SA"/>
        </w:rPr>
      </w:pPr>
      <w:r>
        <w:rPr>
          <w:rFonts w:hint="eastAsia" w:ascii="Times New Roman" w:hAnsi="Times New Roman" w:eastAsia="仿宋" w:cs="Times New Roman"/>
          <w:b w:val="0"/>
          <w:kern w:val="0"/>
          <w:sz w:val="32"/>
          <w:szCs w:val="32"/>
          <w:lang w:val="zh-CN" w:eastAsia="zh-CN" w:bidi="ar-SA"/>
        </w:rPr>
        <w:t>3.项目绩效管理信息化水平不高，动态监控、绩效自评的自动化程度较低，管理效率有待提升。</w:t>
      </w:r>
    </w:p>
    <w:p>
      <w:pPr>
        <w:keepNext w:val="0"/>
        <w:keepLines w:val="0"/>
        <w:pageBreakBefore w:val="0"/>
        <w:widowControl/>
        <w:kinsoku/>
        <w:wordWrap/>
        <w:overflowPunct/>
        <w:topLinePunct w:val="0"/>
        <w:autoSpaceDE/>
        <w:autoSpaceDN/>
        <w:bidi w:val="0"/>
        <w:adjustRightInd w:val="0"/>
        <w:snapToGrid w:val="0"/>
        <w:spacing w:before="0" w:after="0" w:line="560" w:lineRule="exact"/>
        <w:ind w:firstLine="642" w:firstLineChars="200"/>
        <w:contextualSpacing/>
        <w:jc w:val="left"/>
        <w:textAlignment w:val="auto"/>
        <w:outlineLvl w:val="1"/>
        <w:rPr>
          <w:rFonts w:ascii="Times New Roman" w:hAnsi="Times New Roman" w:eastAsia="楷体" w:cs="Times New Roman"/>
          <w:b/>
          <w:bCs/>
          <w:color w:val="000000"/>
          <w:kern w:val="0"/>
          <w:sz w:val="32"/>
          <w:szCs w:val="32"/>
          <w:shd w:val="clear" w:color="auto" w:fill="FFFFFF"/>
          <w:lang w:val="zh-CN"/>
        </w:rPr>
      </w:pPr>
      <w:bookmarkStart w:id="154" w:name="_Toc1530"/>
      <w:r>
        <w:rPr>
          <w:rFonts w:ascii="Times New Roman" w:hAnsi="Times New Roman" w:eastAsia="仿宋" w:cs="Times New Roman"/>
          <w:b/>
          <w:bCs/>
          <w:color w:val="000000"/>
          <w:kern w:val="0"/>
          <w:sz w:val="32"/>
          <w:szCs w:val="32"/>
          <w:shd w:val="clear" w:color="auto" w:fill="FFFFFF"/>
          <w:lang w:val="zh-CN"/>
        </w:rPr>
        <w:t>（三）改进建议。</w:t>
      </w:r>
      <w:bookmarkEnd w:id="154"/>
      <w:bookmarkStart w:id="155" w:name="_Hlk110546638"/>
    </w:p>
    <w:p>
      <w:pPr>
        <w:keepNext w:val="0"/>
        <w:keepLines w:val="0"/>
        <w:pageBreakBefore w:val="0"/>
        <w:widowControl/>
        <w:kinsoku/>
        <w:wordWrap/>
        <w:overflowPunct/>
        <w:topLinePunct w:val="0"/>
        <w:autoSpaceDE/>
        <w:autoSpaceDN/>
        <w:bidi w:val="0"/>
        <w:adjustRightInd w:val="0"/>
        <w:snapToGrid w:val="0"/>
        <w:spacing w:before="0" w:after="0" w:line="560" w:lineRule="exact"/>
        <w:ind w:firstLine="640" w:firstLineChars="200"/>
        <w:contextualSpacing/>
        <w:jc w:val="both"/>
        <w:textAlignment w:val="auto"/>
        <w:rPr>
          <w:rFonts w:hint="eastAsia" w:ascii="Times New Roman" w:hAnsi="Times New Roman" w:eastAsia="仿宋" w:cs="Times New Roman"/>
          <w:kern w:val="0"/>
          <w:sz w:val="32"/>
          <w:szCs w:val="32"/>
        </w:rPr>
      </w:pPr>
      <w:r>
        <w:rPr>
          <w:rFonts w:hint="eastAsia" w:ascii="Times New Roman" w:hAnsi="Times New Roman" w:eastAsia="仿宋" w:cs="Times New Roman"/>
          <w:b w:val="0"/>
          <w:kern w:val="0"/>
          <w:sz w:val="32"/>
          <w:szCs w:val="32"/>
        </w:rPr>
        <w:t>1. 强化项目前期论证，建立重大项目风险评估机制，充分考虑政策、市场、群众需求等因素，提升项目立项的科学性和前瞻性。</w:t>
      </w:r>
    </w:p>
    <w:p>
      <w:pPr>
        <w:keepNext w:val="0"/>
        <w:keepLines w:val="0"/>
        <w:pageBreakBefore w:val="0"/>
        <w:widowControl/>
        <w:kinsoku/>
        <w:wordWrap/>
        <w:overflowPunct/>
        <w:topLinePunct w:val="0"/>
        <w:autoSpaceDE/>
        <w:autoSpaceDN/>
        <w:bidi w:val="0"/>
        <w:adjustRightInd w:val="0"/>
        <w:snapToGrid w:val="0"/>
        <w:spacing w:before="0" w:after="0" w:line="560" w:lineRule="exact"/>
        <w:ind w:firstLine="640" w:firstLineChars="200"/>
        <w:contextualSpacing/>
        <w:jc w:val="both"/>
        <w:textAlignment w:val="auto"/>
        <w:rPr>
          <w:rFonts w:hint="eastAsia" w:ascii="Times New Roman" w:hAnsi="Times New Roman" w:eastAsia="仿宋" w:cs="Times New Roman"/>
          <w:kern w:val="0"/>
          <w:sz w:val="32"/>
          <w:szCs w:val="32"/>
        </w:rPr>
      </w:pPr>
      <w:r>
        <w:rPr>
          <w:rFonts w:hint="eastAsia" w:ascii="Times New Roman" w:hAnsi="Times New Roman" w:eastAsia="仿宋" w:cs="Times New Roman"/>
          <w:b w:val="0"/>
          <w:kern w:val="0"/>
          <w:sz w:val="32"/>
          <w:szCs w:val="32"/>
        </w:rPr>
        <w:t>2. 优化绩效目标设置，细化量化效益指标，结合民政工作特点，探索建立科学合理、可量化、可考核的项目绩效指标体系。</w:t>
      </w:r>
    </w:p>
    <w:p>
      <w:pPr>
        <w:keepNext w:val="0"/>
        <w:keepLines w:val="0"/>
        <w:pageBreakBefore w:val="0"/>
        <w:widowControl/>
        <w:kinsoku/>
        <w:wordWrap/>
        <w:overflowPunct/>
        <w:topLinePunct w:val="0"/>
        <w:autoSpaceDE/>
        <w:autoSpaceDN/>
        <w:bidi w:val="0"/>
        <w:adjustRightInd w:val="0"/>
        <w:snapToGrid w:val="0"/>
        <w:spacing w:before="0" w:after="0" w:line="560" w:lineRule="exact"/>
        <w:ind w:firstLine="640" w:firstLineChars="200"/>
        <w:contextualSpacing/>
        <w:jc w:val="both"/>
        <w:textAlignment w:val="auto"/>
        <w:rPr>
          <w:rFonts w:ascii="Times New Roman" w:hAnsi="Times New Roman" w:eastAsia="仿宋" w:cs="Times New Roman"/>
          <w:kern w:val="0"/>
          <w:sz w:val="32"/>
          <w:szCs w:val="32"/>
        </w:rPr>
      </w:pPr>
      <w:r>
        <w:rPr>
          <w:rFonts w:hint="eastAsia" w:ascii="Times New Roman" w:hAnsi="Times New Roman" w:eastAsia="仿宋" w:cs="Times New Roman"/>
          <w:b w:val="0"/>
          <w:kern w:val="0"/>
          <w:sz w:val="32"/>
          <w:szCs w:val="32"/>
        </w:rPr>
        <w:t>3. 推进项目绩效管理信息化建设，依托财政预算管理一体化平台，实现项目执行、绩效监控、自评整改全流程线上管理，提升项目绩效管理水平。</w:t>
      </w:r>
    </w:p>
    <w:bookmarkEnd w:id="155"/>
    <w:p>
      <w:pPr>
        <w:keepNext w:val="0"/>
        <w:keepLines w:val="0"/>
        <w:pageBreakBefore w:val="0"/>
        <w:numPr>
          <w:ilvl w:val="0"/>
          <w:numId w:val="0"/>
        </w:numPr>
        <w:kinsoku/>
        <w:wordWrap/>
        <w:overflowPunct/>
        <w:topLinePunct w:val="0"/>
        <w:autoSpaceDE/>
        <w:autoSpaceDN/>
        <w:bidi w:val="0"/>
        <w:spacing w:before="0" w:after="0" w:line="560" w:lineRule="exact"/>
        <w:ind w:left="0" w:leftChars="0" w:firstLine="640" w:firstLineChars="200"/>
        <w:jc w:val="both"/>
        <w:textAlignment w:val="auto"/>
        <w:outlineLvl w:val="0"/>
        <w:rPr>
          <w:rFonts w:hint="eastAsia" w:ascii="Times New Roman" w:hAnsi="Times New Roman" w:eastAsia="仿宋" w:cs="Times New Roman"/>
          <w:kern w:val="2"/>
          <w:sz w:val="32"/>
          <w:szCs w:val="32"/>
          <w:u w:val="none"/>
          <w:lang w:val="zh-CN" w:eastAsia="zh-CN" w:bidi="ar"/>
        </w:rPr>
      </w:pPr>
      <w:bookmarkStart w:id="156" w:name="_Toc11961"/>
      <w:r>
        <w:rPr>
          <w:rFonts w:hint="eastAsia" w:ascii="Times New Roman" w:hAnsi="Times New Roman" w:eastAsia="仿宋" w:cs="Times New Roman"/>
          <w:b w:val="0"/>
          <w:kern w:val="2"/>
          <w:sz w:val="32"/>
          <w:szCs w:val="32"/>
          <w:u w:val="none"/>
          <w:lang w:val="zh-CN" w:eastAsia="zh-CN" w:bidi="ar"/>
        </w:rPr>
        <w:t>附表：</w:t>
      </w:r>
      <w:r>
        <w:rPr>
          <w:rFonts w:hint="eastAsia" w:ascii="Times New Roman" w:hAnsi="Times New Roman" w:eastAsia="仿宋" w:cs="Times New Roman"/>
          <w:b w:val="0"/>
          <w:kern w:val="2"/>
          <w:sz w:val="32"/>
          <w:szCs w:val="32"/>
          <w:u w:val="none"/>
          <w:lang w:val="en-US" w:eastAsia="zh-CN" w:bidi="ar"/>
        </w:rPr>
        <w:t>部门预算项目支出绩效自评表（2025年度）</w:t>
      </w:r>
      <w:bookmarkEnd w:id="156"/>
    </w:p>
    <w:p>
      <w:pPr>
        <w:keepNext w:val="0"/>
        <w:keepLines w:val="0"/>
        <w:pageBreakBefore w:val="0"/>
        <w:numPr>
          <w:ilvl w:val="0"/>
          <w:numId w:val="0"/>
        </w:numPr>
        <w:kinsoku/>
        <w:wordWrap/>
        <w:overflowPunct/>
        <w:topLinePunct w:val="0"/>
        <w:autoSpaceDE/>
        <w:autoSpaceDN/>
        <w:bidi w:val="0"/>
        <w:spacing w:before="0" w:after="0" w:line="560" w:lineRule="exact"/>
        <w:ind w:firstLine="640" w:firstLineChars="200"/>
        <w:jc w:val="both"/>
        <w:textAlignment w:val="auto"/>
        <w:rPr>
          <w:rFonts w:hint="eastAsia" w:ascii="Times New Roman" w:eastAsia="仿宋" w:cs="仿宋"/>
          <w:b w:val="0"/>
          <w:bCs w:val="0"/>
          <w:kern w:val="0"/>
          <w:position w:val="0"/>
          <w:sz w:val="32"/>
          <w:szCs w:val="32"/>
          <w:highlight w:val="none"/>
          <w:lang w:val="en-US" w:eastAsia="zh-CN" w:bidi="ar-SA"/>
        </w:rPr>
      </w:pPr>
      <w:r>
        <w:rPr>
          <w:rFonts w:hint="eastAsia" w:ascii="Times New Roman" w:hAnsi="Times New Roman" w:eastAsia="仿宋" w:cs="Times New Roman"/>
          <w:b w:val="0"/>
          <w:bCs w:val="0"/>
          <w:kern w:val="0"/>
          <w:position w:val="0"/>
          <w:sz w:val="32"/>
          <w:szCs w:val="32"/>
          <w:highlight w:val="none"/>
          <w:lang w:val="en-US" w:eastAsia="zh-CN" w:bidi="ar-SA"/>
        </w:rPr>
        <w:t>（注：部门需公开部门预算绩效自评报告和部门预算项目支出绩效自评表（2025年度），各下属单位需公开部门预算项目支出绩效自评表（2025年度）。</w:t>
      </w:r>
    </w:p>
    <w:p>
      <w:pPr>
        <w:keepNext w:val="0"/>
        <w:keepLines w:val="0"/>
        <w:pageBreakBefore w:val="0"/>
        <w:numPr>
          <w:ilvl w:val="0"/>
          <w:numId w:val="0"/>
        </w:numPr>
        <w:kinsoku/>
        <w:wordWrap/>
        <w:overflowPunct/>
        <w:topLinePunct w:val="0"/>
        <w:autoSpaceDE/>
        <w:autoSpaceDN/>
        <w:bidi w:val="0"/>
        <w:spacing w:before="0" w:after="0" w:line="560" w:lineRule="exact"/>
        <w:ind w:firstLine="640" w:firstLineChars="200"/>
        <w:jc w:val="both"/>
        <w:textAlignment w:val="auto"/>
        <w:rPr>
          <w:rFonts w:hint="eastAsia" w:ascii="Times New Roman" w:hAnsi="Times New Roman" w:eastAsia="仿宋" w:cs="仿宋"/>
          <w:b w:val="0"/>
          <w:bCs w:val="0"/>
          <w:kern w:val="0"/>
          <w:position w:val="0"/>
          <w:sz w:val="32"/>
          <w:szCs w:val="32"/>
          <w:highlight w:val="none"/>
          <w:lang w:val="zh-CN" w:eastAsia="zh-CN" w:bidi="ar-SA"/>
        </w:rPr>
      </w:pPr>
      <w:r>
        <w:rPr>
          <w:rFonts w:hint="eastAsia" w:ascii="Times New Roman" w:hAnsi="Times New Roman" w:eastAsia="仿宋" w:cs="Times New Roman"/>
          <w:b w:val="0"/>
          <w:bCs w:val="0"/>
          <w:kern w:val="0"/>
          <w:position w:val="0"/>
          <w:sz w:val="32"/>
          <w:szCs w:val="32"/>
          <w:highlight w:val="none"/>
          <w:lang w:val="en-US" w:eastAsia="zh-CN" w:bidi="ar-SA"/>
        </w:rPr>
        <w:t>部门预算项目支出绩效自评表（2025年度）为各部门在预算管理一体化系统绩效自评模块上传的表格，该表格应作为附表予以公开）</w:t>
      </w:r>
    </w:p>
    <w:p>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pPr>
        <w:spacing w:before="120" w:after="60" w:line="560" w:lineRule="exact"/>
        <w:jc w:val="left"/>
        <w:outlineLvl w:val="0"/>
        <w:rPr>
          <w:rFonts w:hint="eastAsia" w:ascii="Times New Roman" w:hAnsi="Times New Roman" w:eastAsia="黑体" w:cs="黑体"/>
          <w:color w:val="auto"/>
          <w:sz w:val="32"/>
          <w:szCs w:val="32"/>
          <w:highlight w:val="none"/>
          <w:lang w:val="en-US" w:eastAsia="zh-CN"/>
        </w:rPr>
      </w:pPr>
      <w:bookmarkStart w:id="157" w:name="_Toc24130"/>
      <w:r>
        <w:rPr>
          <w:rFonts w:hint="eastAsia" w:ascii="Times New Roman" w:hAnsi="Times New Roman" w:eastAsia="黑体" w:cs="Times New Roman"/>
          <w:b w:val="0"/>
          <w:color w:val="auto"/>
          <w:kern w:val="0"/>
          <w:sz w:val="32"/>
          <w:szCs w:val="32"/>
          <w:highlight w:val="none"/>
          <w:shd w:val="clear" w:color="auto" w:fill="FFFFFF"/>
          <w:lang w:val="zh-CN"/>
        </w:rPr>
        <w:t>附件</w:t>
      </w:r>
      <w:r>
        <w:rPr>
          <w:rFonts w:hint="eastAsia" w:ascii="Times New Roman" w:hAnsi="Times New Roman" w:eastAsia="黑体" w:cs="Times New Roman"/>
          <w:b w:val="0"/>
          <w:color w:val="auto"/>
          <w:kern w:val="0"/>
          <w:sz w:val="32"/>
          <w:szCs w:val="32"/>
          <w:highlight w:val="none"/>
          <w:shd w:val="clear" w:color="auto" w:fill="FFFFFF"/>
          <w:lang w:val="en-US" w:eastAsia="zh-CN"/>
        </w:rPr>
        <w:t>2</w:t>
      </w:r>
      <w:bookmarkEnd w:id="157"/>
    </w:p>
    <w:p>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keepNext w:val="0"/>
        <w:keepLines w:val="0"/>
        <w:pageBreakBefore w:val="0"/>
        <w:widowControl w:val="0"/>
        <w:kinsoku/>
        <w:wordWrap/>
        <w:overflowPunct/>
        <w:topLinePunct w:val="0"/>
        <w:autoSpaceDE/>
        <w:autoSpaceDN/>
        <w:bidi w:val="0"/>
        <w:spacing w:before="0" w:after="0" w:line="560" w:lineRule="exact"/>
        <w:ind w:firstLine="640" w:firstLineChars="200"/>
        <w:jc w:val="both"/>
        <w:textAlignment w:val="auto"/>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仿宋" w:cs="Times New Roman"/>
          <w:b w:val="0"/>
          <w:color w:val="auto"/>
          <w:kern w:val="2"/>
          <w:sz w:val="32"/>
          <w:szCs w:val="44"/>
          <w:highlight w:val="none"/>
          <w:lang w:val="en-US" w:eastAsia="zh-CN" w:bidi="ar-SA"/>
        </w:rPr>
        <w:t>壤塘县民政局</w:t>
      </w:r>
    </w:p>
    <w:p>
      <w:pPr>
        <w:keepNext w:val="0"/>
        <w:keepLines w:val="0"/>
        <w:pageBreakBefore w:val="0"/>
        <w:widowControl w:val="0"/>
        <w:kinsoku/>
        <w:wordWrap/>
        <w:overflowPunct/>
        <w:topLinePunct w:val="0"/>
        <w:autoSpaceDE/>
        <w:autoSpaceDN/>
        <w:bidi w:val="0"/>
        <w:spacing w:before="0" w:after="0" w:line="560" w:lineRule="exact"/>
        <w:ind w:firstLine="640" w:firstLineChars="200"/>
        <w:jc w:val="both"/>
        <w:textAlignment w:val="auto"/>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仿宋" w:cs="Times New Roman"/>
          <w:b w:val="0"/>
          <w:color w:val="auto"/>
          <w:kern w:val="2"/>
          <w:sz w:val="32"/>
          <w:szCs w:val="44"/>
          <w:highlight w:val="none"/>
          <w:lang w:val="en-US" w:eastAsia="zh-CN" w:bidi="ar-SA"/>
        </w:rPr>
        <w:t>城乡</w:t>
      </w:r>
      <w:r>
        <w:rPr>
          <w:rFonts w:hint="eastAsia" w:ascii="Times New Roman" w:hAnsi="Times New Roman" w:eastAsia="仿宋" w:cs="Times New Roman"/>
          <w:b w:val="0"/>
          <w:color w:val="auto"/>
          <w:kern w:val="2"/>
          <w:sz w:val="32"/>
          <w:szCs w:val="44"/>
          <w:highlight w:val="none"/>
          <w:lang w:val="zh-CN" w:eastAsia="zh-CN" w:bidi="ar-SA"/>
        </w:rPr>
        <w:t>最低生活保障金</w:t>
      </w:r>
      <w:r>
        <w:rPr>
          <w:rFonts w:hint="eastAsia" w:ascii="Times New Roman" w:hAnsi="Times New Roman" w:eastAsia="仿宋" w:cs="Times New Roman"/>
          <w:b w:val="0"/>
          <w:color w:val="auto"/>
          <w:kern w:val="2"/>
          <w:sz w:val="32"/>
          <w:szCs w:val="44"/>
          <w:highlight w:val="none"/>
          <w:lang w:val="en-US" w:eastAsia="zh-CN" w:bidi="ar-SA"/>
        </w:rPr>
        <w:t>2025年度</w:t>
      </w:r>
      <w:r>
        <w:rPr>
          <w:rFonts w:hint="default" w:ascii="Times New Roman" w:hAnsi="Times New Roman" w:eastAsia="仿宋" w:cs="Times New Roman"/>
          <w:b w:val="0"/>
          <w:color w:val="auto"/>
          <w:kern w:val="2"/>
          <w:sz w:val="32"/>
          <w:szCs w:val="44"/>
          <w:highlight w:val="none"/>
          <w:lang w:val="en-US" w:eastAsia="zh-CN" w:bidi="ar-SA"/>
        </w:rPr>
        <w:t>专项预算</w:t>
      </w:r>
    </w:p>
    <w:p>
      <w:pPr>
        <w:keepNext w:val="0"/>
        <w:keepLines w:val="0"/>
        <w:pageBreakBefore w:val="0"/>
        <w:widowControl w:val="0"/>
        <w:kinsoku/>
        <w:wordWrap/>
        <w:overflowPunct/>
        <w:topLinePunct w:val="0"/>
        <w:autoSpaceDE/>
        <w:autoSpaceDN/>
        <w:bidi w:val="0"/>
        <w:spacing w:before="0" w:after="0" w:line="560" w:lineRule="exact"/>
        <w:ind w:firstLine="640" w:firstLineChars="200"/>
        <w:jc w:val="both"/>
        <w:textAlignment w:val="auto"/>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仿宋" w:cs="Times New Roman"/>
          <w:b w:val="0"/>
          <w:color w:val="auto"/>
          <w:kern w:val="2"/>
          <w:sz w:val="32"/>
          <w:szCs w:val="44"/>
          <w:highlight w:val="none"/>
          <w:lang w:val="en-US" w:eastAsia="zh-CN" w:bidi="ar-SA"/>
        </w:rPr>
        <w:t>绩效自评报告</w:t>
      </w:r>
    </w:p>
    <w:p>
      <w:pPr>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eastAsia="宋体" w:cs="Times New Roman"/>
          <w:color w:val="auto"/>
          <w:kern w:val="2"/>
          <w:sz w:val="32"/>
          <w:szCs w:val="32"/>
          <w:highlight w:val="none"/>
          <w:lang w:val="zh-CN" w:eastAsia="zh-CN" w:bidi="ar-SA"/>
        </w:rPr>
      </w:pPr>
    </w:p>
    <w:p>
      <w:pPr>
        <w:keepNext w:val="0"/>
        <w:keepLines w:val="0"/>
        <w:pageBreakBefore w:val="0"/>
        <w:widowControl w:val="0"/>
        <w:kinsoku/>
        <w:wordWrap/>
        <w:overflowPunct/>
        <w:topLinePunct w:val="0"/>
        <w:autoSpaceDE/>
        <w:autoSpaceDN/>
        <w:bidi w:val="0"/>
        <w:adjustRightInd w:val="0"/>
        <w:snapToGrid w:val="0"/>
        <w:spacing w:before="60" w:after="60" w:line="560" w:lineRule="exact"/>
        <w:ind w:firstLine="640" w:firstLineChars="200"/>
        <w:jc w:val="left"/>
        <w:textAlignment w:val="auto"/>
        <w:rPr>
          <w:rFonts w:hint="default" w:ascii="Times New Roman" w:hAnsi="Times New Roman" w:eastAsia="黑体" w:cs="Times New Roman"/>
          <w:sz w:val="32"/>
          <w:szCs w:val="32"/>
          <w:highlight w:val="none"/>
          <w:lang w:val="zh-CN"/>
        </w:rPr>
      </w:pPr>
      <w:r>
        <w:rPr>
          <w:rFonts w:hint="default" w:ascii="Times New Roman" w:hAnsi="Times New Roman" w:eastAsia="楷体" w:cs="Times New Roman"/>
          <w:b w:val="0"/>
          <w:sz w:val="32"/>
          <w:szCs w:val="32"/>
          <w:highlight w:val="none"/>
        </w:rPr>
        <w:t>一、</w:t>
      </w:r>
      <w:r>
        <w:rPr>
          <w:rFonts w:hint="default" w:ascii="Times New Roman" w:hAnsi="Times New Roman" w:eastAsia="楷体" w:cs="Times New Roman"/>
          <w:b w:val="0"/>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before="0" w:after="0" w:line="560" w:lineRule="exact"/>
        <w:ind w:firstLine="642" w:firstLineChars="200"/>
        <w:contextualSpacing/>
        <w:jc w:val="left"/>
        <w:textAlignment w:val="auto"/>
        <w:rPr>
          <w:rFonts w:hint="default" w:ascii="Times New Roman" w:hAnsi="Times New Roman" w:eastAsia="楷体" w:cs="Times New Roman"/>
          <w:b/>
          <w:color w:val="auto"/>
          <w:sz w:val="32"/>
          <w:szCs w:val="32"/>
          <w:highlight w:val="none"/>
          <w:u w:val="none"/>
          <w:lang w:val="zh-CN"/>
        </w:rPr>
      </w:pPr>
      <w:r>
        <w:rPr>
          <w:rFonts w:hint="default" w:ascii="Times New Roman" w:hAnsi="Times New Roman" w:eastAsia="仿宋" w:cs="Times New Roman"/>
          <w:b/>
          <w:color w:val="auto"/>
          <w:sz w:val="32"/>
          <w:szCs w:val="32"/>
          <w:highlight w:val="none"/>
          <w:u w:val="none"/>
          <w:lang w:val="zh-CN"/>
        </w:rPr>
        <w:t>（一）设立背景及基本情况。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before="0" w:after="0" w:line="560" w:lineRule="exact"/>
        <w:ind w:firstLine="640" w:firstLineChars="200"/>
        <w:contextualSpacing/>
        <w:jc w:val="both"/>
        <w:textAlignment w:val="auto"/>
        <w:rPr>
          <w:rFonts w:hint="eastAsia" w:ascii="Times New Roman" w:hAnsi="Times New Roman" w:eastAsia="仿宋" w:cs="Times New Roman"/>
          <w:color w:val="auto"/>
          <w:kern w:val="0"/>
          <w:sz w:val="32"/>
          <w:szCs w:val="32"/>
          <w:highlight w:val="none"/>
          <w:u w:val="none"/>
          <w:shd w:val="clear" w:color="auto" w:fill="FFFFFF"/>
          <w:lang w:val="en-US" w:eastAsia="zh-CN"/>
        </w:rPr>
      </w:pPr>
      <w:r>
        <w:rPr>
          <w:rFonts w:hint="default" w:ascii="Times New Roman" w:hAnsi="Times New Roman" w:eastAsia="仿宋" w:cs="Times New Roman"/>
          <w:b w:val="0"/>
          <w:color w:val="auto"/>
          <w:kern w:val="0"/>
          <w:sz w:val="32"/>
          <w:szCs w:val="32"/>
          <w:highlight w:val="none"/>
          <w:u w:val="none"/>
          <w:shd w:val="clear" w:color="auto" w:fill="FFFFFF"/>
          <w:lang w:val="en-US" w:eastAsia="zh-CN"/>
        </w:rPr>
        <w:t>项目设立原因及背景</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：城乡</w:t>
      </w:r>
      <w:r>
        <w:rPr>
          <w:rFonts w:hint="eastAsia" w:ascii="Times New Roman" w:hAnsi="Times New Roman" w:eastAsia="仿宋" w:cs="Times New Roman"/>
          <w:b w:val="0"/>
          <w:color w:val="auto"/>
          <w:kern w:val="0"/>
          <w:sz w:val="32"/>
          <w:szCs w:val="32"/>
          <w:highlight w:val="none"/>
          <w:u w:val="none"/>
          <w:shd w:val="clear" w:color="auto" w:fill="FFFFFF"/>
          <w:lang w:val="zh-CN" w:eastAsia="zh-CN"/>
        </w:rPr>
        <w:t>最低生活保障金</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是国家为保障特定群体解困、解难、救急的重要制度安排，旨在兜牢兜实困难群众基本生活保障底线。这项资金的使用，直接关系</w:t>
      </w:r>
      <w:r>
        <w:rPr>
          <w:rFonts w:hint="eastAsia" w:eastAsia="仿宋" w:cs="Times New Roman"/>
          <w:b w:val="0"/>
          <w:color w:val="auto"/>
          <w:kern w:val="0"/>
          <w:sz w:val="32"/>
          <w:szCs w:val="32"/>
          <w:highlight w:val="none"/>
          <w:u w:val="none"/>
          <w:shd w:val="clear" w:color="auto" w:fill="FFFFFF"/>
          <w:lang w:val="en-US" w:eastAsia="zh-CN"/>
        </w:rPr>
        <w:t>到困难群众的</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衣食冷暖，体现了国家对困难群体的关心和帮助。通过不断加大支出力度，在资金，政策，管理等方面持续发力。国家旨在确保困难群众的基本生活需求得到满足，从而维护社会的稳定和促进社会的公平公正。</w:t>
      </w:r>
    </w:p>
    <w:p>
      <w:pPr>
        <w:keepNext w:val="0"/>
        <w:keepLines w:val="0"/>
        <w:pageBreakBefore w:val="0"/>
        <w:widowControl/>
        <w:numPr>
          <w:ilvl w:val="0"/>
          <w:numId w:val="0"/>
        </w:numPr>
        <w:kinsoku/>
        <w:wordWrap/>
        <w:overflowPunct/>
        <w:topLinePunct w:val="0"/>
        <w:autoSpaceDE/>
        <w:autoSpaceDN/>
        <w:bidi w:val="0"/>
        <w:adjustRightInd w:val="0"/>
        <w:snapToGrid w:val="0"/>
        <w:spacing w:before="0" w:after="0" w:line="560" w:lineRule="exact"/>
        <w:ind w:firstLine="640" w:firstLineChars="200"/>
        <w:contextualSpacing/>
        <w:jc w:val="both"/>
        <w:textAlignment w:val="auto"/>
        <w:rPr>
          <w:rFonts w:hint="eastAsia" w:ascii="Times New Roman" w:hAnsi="Times New Roman" w:eastAsia="仿宋" w:cs="Times New Roman"/>
          <w:color w:val="auto"/>
          <w:kern w:val="0"/>
          <w:sz w:val="32"/>
          <w:szCs w:val="32"/>
          <w:highlight w:val="none"/>
          <w:u w:val="none"/>
          <w:shd w:val="clear" w:color="auto" w:fill="FFFFFF"/>
          <w:lang w:val="zh-CN"/>
        </w:rPr>
      </w:pPr>
      <w:r>
        <w:rPr>
          <w:rFonts w:hint="default" w:ascii="Times New Roman" w:hAnsi="Times New Roman" w:eastAsia="仿宋" w:cs="Times New Roman"/>
          <w:b w:val="0"/>
          <w:color w:val="auto"/>
          <w:kern w:val="0"/>
          <w:sz w:val="32"/>
          <w:szCs w:val="32"/>
          <w:highlight w:val="none"/>
          <w:u w:val="none"/>
          <w:shd w:val="clear" w:color="auto" w:fill="FFFFFF"/>
          <w:lang w:val="zh-CN"/>
        </w:rPr>
        <w:t>项目立项、资金申报的依据</w:t>
      </w:r>
      <w:r>
        <w:rPr>
          <w:rFonts w:hint="eastAsia" w:ascii="Times New Roman" w:hAnsi="Times New Roman" w:eastAsia="仿宋" w:cs="Times New Roman"/>
          <w:b w:val="0"/>
          <w:color w:val="auto"/>
          <w:kern w:val="0"/>
          <w:sz w:val="32"/>
          <w:szCs w:val="32"/>
          <w:highlight w:val="none"/>
          <w:u w:val="none"/>
          <w:shd w:val="clear" w:color="auto" w:fill="FFFFFF"/>
          <w:lang w:val="zh-CN"/>
        </w:rPr>
        <w:t>：</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根据</w:t>
      </w:r>
      <w:r>
        <w:rPr>
          <w:rFonts w:hint="eastAsia" w:ascii="Times New Roman" w:hAnsi="Times New Roman" w:eastAsia="仿宋" w:cs="Times New Roman"/>
          <w:b w:val="0"/>
          <w:color w:val="auto"/>
          <w:kern w:val="0"/>
          <w:sz w:val="32"/>
          <w:szCs w:val="32"/>
          <w:highlight w:val="none"/>
          <w:u w:val="none"/>
          <w:shd w:val="clear" w:color="auto" w:fill="FFFFFF"/>
          <w:lang w:val="zh-CN"/>
        </w:rPr>
        <w:t>四川省民政厅关于印发</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《四川省最低生活保障工作规程》（川民发〔2021〕180号）</w:t>
      </w:r>
      <w:r>
        <w:rPr>
          <w:rFonts w:hint="eastAsia" w:ascii="Times New Roman" w:hAnsi="Times New Roman" w:eastAsia="仿宋" w:cs="Times New Roman"/>
          <w:b w:val="0"/>
          <w:color w:val="auto"/>
          <w:kern w:val="0"/>
          <w:sz w:val="32"/>
          <w:szCs w:val="32"/>
          <w:highlight w:val="none"/>
          <w:u w:val="none"/>
          <w:shd w:val="clear" w:color="auto" w:fill="FFFFFF"/>
          <w:lang w:val="zh-CN"/>
        </w:rPr>
        <w:t>文件进行立项。</w:t>
      </w:r>
    </w:p>
    <w:p>
      <w:pPr>
        <w:keepNext w:val="0"/>
        <w:keepLines w:val="0"/>
        <w:pageBreakBefore w:val="0"/>
        <w:widowControl/>
        <w:numPr>
          <w:ilvl w:val="0"/>
          <w:numId w:val="0"/>
        </w:numPr>
        <w:kinsoku/>
        <w:wordWrap/>
        <w:overflowPunct/>
        <w:topLinePunct w:val="0"/>
        <w:autoSpaceDE/>
        <w:autoSpaceDN/>
        <w:bidi w:val="0"/>
        <w:adjustRightInd w:val="0"/>
        <w:snapToGrid w:val="0"/>
        <w:spacing w:before="0" w:after="0" w:line="560" w:lineRule="exact"/>
        <w:ind w:firstLine="640" w:firstLineChars="200"/>
        <w:contextualSpacing/>
        <w:jc w:val="both"/>
        <w:textAlignment w:val="auto"/>
        <w:rPr>
          <w:rFonts w:hint="eastAsia" w:ascii="Times New Roman" w:hAnsi="Times New Roman" w:eastAsia="仿宋" w:cs="Times New Roman"/>
          <w:color w:val="auto"/>
          <w:kern w:val="0"/>
          <w:sz w:val="32"/>
          <w:szCs w:val="32"/>
          <w:highlight w:val="none"/>
          <w:u w:val="none"/>
          <w:shd w:val="clear" w:color="auto" w:fill="FFFFFF"/>
          <w:lang w:val="en-US" w:eastAsia="zh-CN"/>
        </w:rPr>
      </w:pPr>
      <w:r>
        <w:rPr>
          <w:rFonts w:hint="default" w:ascii="Times New Roman" w:hAnsi="Times New Roman" w:eastAsia="仿宋" w:cs="Times New Roman"/>
          <w:b w:val="0"/>
          <w:color w:val="auto"/>
          <w:kern w:val="0"/>
          <w:sz w:val="32"/>
          <w:szCs w:val="32"/>
          <w:highlight w:val="none"/>
          <w:u w:val="none"/>
          <w:shd w:val="clear" w:color="auto" w:fill="FFFFFF"/>
          <w:lang w:val="zh-CN"/>
        </w:rPr>
        <w:t>项目主要内容</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：城乡</w:t>
      </w:r>
      <w:r>
        <w:rPr>
          <w:rFonts w:hint="eastAsia" w:ascii="Times New Roman" w:hAnsi="Times New Roman" w:eastAsia="仿宋" w:cs="Times New Roman"/>
          <w:b w:val="0"/>
          <w:color w:val="auto"/>
          <w:kern w:val="0"/>
          <w:sz w:val="32"/>
          <w:szCs w:val="32"/>
          <w:highlight w:val="none"/>
          <w:u w:val="none"/>
          <w:shd w:val="clear" w:color="auto" w:fill="FFFFFF"/>
          <w:lang w:val="zh-CN" w:eastAsia="zh-CN"/>
        </w:rPr>
        <w:t>最低生活保障金</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用于为家庭困难纳入城乡低保的对象发放低保金。</w:t>
      </w:r>
    </w:p>
    <w:p>
      <w:pPr>
        <w:keepNext w:val="0"/>
        <w:keepLines w:val="0"/>
        <w:pageBreakBefore w:val="0"/>
        <w:widowControl/>
        <w:numPr>
          <w:ilvl w:val="0"/>
          <w:numId w:val="0"/>
        </w:numPr>
        <w:kinsoku/>
        <w:wordWrap/>
        <w:overflowPunct/>
        <w:topLinePunct w:val="0"/>
        <w:autoSpaceDE/>
        <w:autoSpaceDN/>
        <w:bidi w:val="0"/>
        <w:adjustRightInd w:val="0"/>
        <w:snapToGrid w:val="0"/>
        <w:spacing w:before="0" w:after="0" w:line="560" w:lineRule="exact"/>
        <w:ind w:firstLine="640" w:firstLineChars="200"/>
        <w:contextualSpacing/>
        <w:jc w:val="both"/>
        <w:textAlignment w:val="auto"/>
        <w:rPr>
          <w:rFonts w:hint="default" w:ascii="Times New Roman" w:hAnsi="Times New Roman" w:eastAsia="楷体" w:cs="Times New Roman"/>
          <w:b/>
          <w:color w:val="auto"/>
          <w:sz w:val="32"/>
          <w:szCs w:val="32"/>
          <w:highlight w:val="none"/>
          <w:u w:val="none"/>
          <w:lang w:val="zh-CN"/>
        </w:rPr>
      </w:pPr>
      <w:r>
        <w:rPr>
          <w:rFonts w:hint="default" w:ascii="Times New Roman" w:hAnsi="Times New Roman" w:eastAsia="仿宋" w:cs="Times New Roman"/>
          <w:b w:val="0"/>
          <w:color w:val="auto"/>
          <w:kern w:val="0"/>
          <w:sz w:val="32"/>
          <w:szCs w:val="32"/>
          <w:highlight w:val="none"/>
          <w:u w:val="none"/>
          <w:shd w:val="clear" w:color="auto" w:fill="FFFFFF"/>
          <w:lang w:val="zh-CN"/>
        </w:rPr>
        <w:t>主管部门职能</w:t>
      </w:r>
      <w:r>
        <w:rPr>
          <w:rFonts w:hint="eastAsia" w:ascii="Times New Roman" w:hAnsi="Times New Roman" w:eastAsia="仿宋" w:cs="Times New Roman"/>
          <w:b w:val="0"/>
          <w:color w:val="auto"/>
          <w:kern w:val="0"/>
          <w:sz w:val="32"/>
          <w:szCs w:val="32"/>
          <w:highlight w:val="none"/>
          <w:u w:val="none"/>
          <w:shd w:val="clear" w:color="auto" w:fill="FFFFFF"/>
          <w:lang w:val="zh-CN"/>
        </w:rPr>
        <w:t>：规范城乡低保政策，实施合理确定保障标准，是低保对象基本生活得到有效保障。</w:t>
      </w:r>
    </w:p>
    <w:p>
      <w:pPr>
        <w:keepNext w:val="0"/>
        <w:keepLines w:val="0"/>
        <w:pageBreakBefore w:val="0"/>
        <w:numPr>
          <w:ilvl w:val="0"/>
          <w:numId w:val="1"/>
        </w:numPr>
        <w:kinsoku/>
        <w:wordWrap/>
        <w:overflowPunct/>
        <w:topLinePunct w:val="0"/>
        <w:autoSpaceDE/>
        <w:autoSpaceDN/>
        <w:bidi w:val="0"/>
        <w:adjustRightInd w:val="0"/>
        <w:snapToGrid w:val="0"/>
        <w:spacing w:before="0" w:after="0" w:line="560" w:lineRule="exact"/>
        <w:ind w:firstLine="640" w:firstLineChars="200"/>
        <w:jc w:val="both"/>
        <w:textAlignment w:val="auto"/>
        <w:rPr>
          <w:rFonts w:hint="default" w:ascii="Times New Roman" w:hAnsi="Times New Roman" w:eastAsia="楷体" w:cs="Times New Roman"/>
          <w:b/>
          <w:color w:val="auto"/>
          <w:sz w:val="32"/>
          <w:szCs w:val="32"/>
          <w:highlight w:val="none"/>
          <w:u w:val="none"/>
          <w:lang w:val="en-US" w:eastAsia="zh-CN"/>
        </w:rPr>
      </w:pPr>
      <w:r>
        <w:rPr>
          <w:rFonts w:hint="default" w:ascii="Times New Roman" w:hAnsi="Times New Roman" w:eastAsia="仿宋" w:cs="Times New Roman"/>
          <w:b w:val="0"/>
          <w:color w:val="auto"/>
          <w:sz w:val="32"/>
          <w:szCs w:val="32"/>
          <w:highlight w:val="none"/>
          <w:u w:val="none"/>
          <w:lang w:val="en-US" w:eastAsia="zh-CN"/>
        </w:rPr>
        <w:t>实施目的及支持方向。</w:t>
      </w:r>
    </w:p>
    <w:p>
      <w:pPr>
        <w:keepNext w:val="0"/>
        <w:keepLines w:val="0"/>
        <w:pageBreakBefore w:val="0"/>
        <w:widowControl/>
        <w:numPr>
          <w:ilvl w:val="0"/>
          <w:numId w:val="0"/>
        </w:numPr>
        <w:kinsoku/>
        <w:wordWrap/>
        <w:overflowPunct/>
        <w:topLinePunct w:val="0"/>
        <w:autoSpaceDE/>
        <w:autoSpaceDN/>
        <w:bidi w:val="0"/>
        <w:adjustRightInd w:val="0"/>
        <w:snapToGrid w:val="0"/>
        <w:spacing w:before="0" w:after="0" w:line="560" w:lineRule="exact"/>
        <w:ind w:firstLine="640" w:firstLineChars="200"/>
        <w:contextualSpacing/>
        <w:jc w:val="both"/>
        <w:textAlignment w:val="auto"/>
        <w:rPr>
          <w:rFonts w:hint="default" w:ascii="Times New Roman" w:hAnsi="Times New Roman" w:eastAsia="仿宋" w:cs="Times New Roman"/>
          <w:b/>
          <w:bCs/>
          <w:color w:val="auto"/>
          <w:kern w:val="0"/>
          <w:sz w:val="32"/>
          <w:szCs w:val="32"/>
          <w:highlight w:val="none"/>
          <w:u w:val="none"/>
          <w:shd w:val="clear" w:color="auto" w:fill="FFFFFF"/>
          <w:lang w:val="zh-CN" w:eastAsia="zh-CN"/>
        </w:rPr>
      </w:pPr>
      <w:r>
        <w:rPr>
          <w:rFonts w:hint="default" w:ascii="Times New Roman" w:hAnsi="Times New Roman" w:eastAsia="仿宋" w:cs="Times New Roman"/>
          <w:b w:val="0"/>
          <w:color w:val="auto"/>
          <w:kern w:val="0"/>
          <w:sz w:val="32"/>
          <w:szCs w:val="32"/>
          <w:highlight w:val="none"/>
          <w:u w:val="none"/>
          <w:shd w:val="clear" w:color="auto" w:fill="FFFFFF"/>
          <w:lang w:val="en-US" w:eastAsia="zh-CN"/>
        </w:rPr>
        <w:t>项目资金</w:t>
      </w:r>
      <w:r>
        <w:rPr>
          <w:rFonts w:hint="default" w:ascii="Times New Roman" w:hAnsi="Times New Roman" w:eastAsia="仿宋" w:cs="Times New Roman"/>
          <w:b w:val="0"/>
          <w:color w:val="auto"/>
          <w:kern w:val="0"/>
          <w:sz w:val="32"/>
          <w:szCs w:val="32"/>
          <w:highlight w:val="none"/>
          <w:u w:val="none"/>
          <w:shd w:val="clear" w:color="auto" w:fill="FFFFFF"/>
          <w:lang w:val="zh-CN" w:eastAsia="zh-CN"/>
        </w:rPr>
        <w:t>管理办法制定情况</w:t>
      </w:r>
      <w:r>
        <w:rPr>
          <w:rFonts w:hint="eastAsia" w:ascii="Times New Roman" w:hAnsi="Times New Roman" w:eastAsia="仿宋" w:cs="Times New Roman"/>
          <w:b w:val="0"/>
          <w:color w:val="auto"/>
          <w:kern w:val="0"/>
          <w:sz w:val="32"/>
          <w:szCs w:val="32"/>
          <w:highlight w:val="none"/>
          <w:u w:val="none"/>
          <w:shd w:val="clear" w:color="auto" w:fill="FFFFFF"/>
          <w:lang w:val="zh-CN" w:eastAsia="zh-CN"/>
        </w:rPr>
        <w:t>：四川省民政厅关于印发《&lt;四川省最低生活保障工作规程&gt;等四个规程的通知》</w:t>
      </w:r>
      <w:r>
        <w:rPr>
          <w:rFonts w:hint="eastAsia" w:eastAsia="仿宋" w:cs="Times New Roman"/>
          <w:b w:val="0"/>
          <w:color w:val="auto"/>
          <w:kern w:val="0"/>
          <w:sz w:val="32"/>
          <w:szCs w:val="32"/>
          <w:highlight w:val="none"/>
          <w:u w:val="none"/>
          <w:shd w:val="clear" w:color="auto" w:fill="FFFFFF"/>
          <w:lang w:val="zh-CN" w:eastAsia="zh-CN"/>
        </w:rPr>
        <w:t>（</w:t>
      </w:r>
      <w:r>
        <w:rPr>
          <w:rFonts w:hint="eastAsia" w:ascii="Times New Roman" w:hAnsi="Times New Roman" w:eastAsia="仿宋" w:cs="Times New Roman"/>
          <w:b w:val="0"/>
          <w:color w:val="auto"/>
          <w:kern w:val="0"/>
          <w:sz w:val="32"/>
          <w:szCs w:val="32"/>
          <w:highlight w:val="none"/>
          <w:u w:val="none"/>
          <w:shd w:val="clear" w:color="auto" w:fill="FFFFFF"/>
          <w:lang w:val="zh-CN" w:eastAsia="zh-CN"/>
        </w:rPr>
        <w:t>川民发</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w:t>
      </w:r>
      <w:r>
        <w:rPr>
          <w:rFonts w:hint="eastAsia" w:ascii="Times New Roman" w:hAnsi="Times New Roman" w:eastAsia="仿宋" w:cs="Times New Roman"/>
          <w:b w:val="0"/>
          <w:color w:val="auto"/>
          <w:kern w:val="0"/>
          <w:sz w:val="32"/>
          <w:szCs w:val="32"/>
          <w:highlight w:val="none"/>
          <w:u w:val="none"/>
          <w:shd w:val="clear" w:color="auto" w:fill="FFFFFF"/>
          <w:lang w:val="zh-CN" w:eastAsia="zh-CN"/>
        </w:rPr>
        <w:t>2017</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w:t>
      </w:r>
      <w:r>
        <w:rPr>
          <w:rFonts w:hint="eastAsia" w:ascii="Times New Roman" w:hAnsi="Times New Roman" w:eastAsia="仿宋" w:cs="Times New Roman"/>
          <w:b w:val="0"/>
          <w:color w:val="auto"/>
          <w:kern w:val="0"/>
          <w:sz w:val="32"/>
          <w:szCs w:val="32"/>
          <w:highlight w:val="none"/>
          <w:u w:val="none"/>
          <w:shd w:val="clear" w:color="auto" w:fill="FFFFFF"/>
          <w:lang w:val="zh-CN" w:eastAsia="zh-CN"/>
        </w:rPr>
        <w:t>155号</w:t>
      </w:r>
      <w:r>
        <w:rPr>
          <w:rFonts w:hint="eastAsia" w:eastAsia="仿宋" w:cs="Times New Roman"/>
          <w:b w:val="0"/>
          <w:color w:val="auto"/>
          <w:kern w:val="0"/>
          <w:sz w:val="32"/>
          <w:szCs w:val="32"/>
          <w:highlight w:val="none"/>
          <w:u w:val="none"/>
          <w:shd w:val="clear" w:color="auto" w:fill="FFFFFF"/>
          <w:lang w:val="zh-CN" w:eastAsia="zh-CN"/>
        </w:rPr>
        <w:t>）</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文件</w:t>
      </w:r>
      <w:r>
        <w:rPr>
          <w:rFonts w:hint="eastAsia" w:ascii="Times New Roman" w:hAnsi="Times New Roman" w:eastAsia="仿宋" w:cs="Times New Roman"/>
          <w:b w:val="0"/>
          <w:color w:val="auto"/>
          <w:kern w:val="0"/>
          <w:sz w:val="32"/>
          <w:szCs w:val="32"/>
          <w:highlight w:val="none"/>
          <w:u w:val="none"/>
          <w:shd w:val="clear" w:color="auto" w:fill="FFFFFF"/>
          <w:lang w:val="zh-CN" w:eastAsia="zh-CN"/>
        </w:rPr>
        <w:t>明确了进行认定补助对象救助方式及标准、申请审核流程等。《四川省财政厅四川省民政厅关于印发&lt;四川省中央和省级财政困难群众救助补助资金管理办法&gt;的通知》</w:t>
      </w:r>
      <w:r>
        <w:rPr>
          <w:rFonts w:hint="eastAsia" w:eastAsia="仿宋" w:cs="Times New Roman"/>
          <w:b w:val="0"/>
          <w:color w:val="auto"/>
          <w:kern w:val="0"/>
          <w:sz w:val="32"/>
          <w:szCs w:val="32"/>
          <w:highlight w:val="none"/>
          <w:u w:val="none"/>
          <w:shd w:val="clear" w:color="auto" w:fill="FFFFFF"/>
          <w:lang w:val="zh-CN" w:eastAsia="zh-CN"/>
        </w:rPr>
        <w:t>（</w:t>
      </w:r>
      <w:r>
        <w:rPr>
          <w:rFonts w:hint="eastAsia" w:ascii="Times New Roman" w:hAnsi="Times New Roman" w:eastAsia="仿宋" w:cs="Times New Roman"/>
          <w:b w:val="0"/>
          <w:color w:val="auto"/>
          <w:kern w:val="0"/>
          <w:sz w:val="32"/>
          <w:szCs w:val="32"/>
          <w:highlight w:val="none"/>
          <w:u w:val="none"/>
          <w:shd w:val="clear" w:color="auto" w:fill="FFFFFF"/>
          <w:lang w:val="zh-CN" w:eastAsia="zh-CN"/>
        </w:rPr>
        <w:t>川财社</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w:t>
      </w:r>
      <w:r>
        <w:rPr>
          <w:rFonts w:hint="eastAsia" w:ascii="Times New Roman" w:hAnsi="Times New Roman" w:eastAsia="仿宋" w:cs="Times New Roman"/>
          <w:b w:val="0"/>
          <w:color w:val="auto"/>
          <w:kern w:val="0"/>
          <w:sz w:val="32"/>
          <w:szCs w:val="32"/>
          <w:highlight w:val="none"/>
          <w:u w:val="none"/>
          <w:shd w:val="clear" w:color="auto" w:fill="FFFFFF"/>
          <w:lang w:val="zh-CN" w:eastAsia="zh-CN"/>
        </w:rPr>
        <w:t>2023</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w:t>
      </w:r>
      <w:r>
        <w:rPr>
          <w:rFonts w:hint="eastAsia" w:ascii="Times New Roman" w:hAnsi="Times New Roman" w:eastAsia="仿宋" w:cs="Times New Roman"/>
          <w:b w:val="0"/>
          <w:color w:val="auto"/>
          <w:kern w:val="0"/>
          <w:sz w:val="32"/>
          <w:szCs w:val="32"/>
          <w:highlight w:val="none"/>
          <w:u w:val="none"/>
          <w:shd w:val="clear" w:color="auto" w:fill="FFFFFF"/>
          <w:lang w:val="zh-CN" w:eastAsia="zh-CN"/>
        </w:rPr>
        <w:t>28号</w:t>
      </w:r>
      <w:r>
        <w:rPr>
          <w:rFonts w:hint="eastAsia" w:eastAsia="仿宋" w:cs="Times New Roman"/>
          <w:b w:val="0"/>
          <w:color w:val="auto"/>
          <w:kern w:val="0"/>
          <w:sz w:val="32"/>
          <w:szCs w:val="32"/>
          <w:highlight w:val="none"/>
          <w:u w:val="none"/>
          <w:shd w:val="clear" w:color="auto" w:fill="FFFFFF"/>
          <w:lang w:val="zh-CN" w:eastAsia="zh-CN"/>
        </w:rPr>
        <w:t>）</w:t>
      </w:r>
      <w:r>
        <w:rPr>
          <w:rFonts w:hint="eastAsia" w:ascii="Times New Roman" w:hAnsi="Times New Roman" w:eastAsia="仿宋" w:cs="Times New Roman"/>
          <w:b w:val="0"/>
          <w:color w:val="auto"/>
          <w:kern w:val="0"/>
          <w:sz w:val="32"/>
          <w:szCs w:val="32"/>
          <w:highlight w:val="none"/>
          <w:u w:val="none"/>
          <w:shd w:val="clear" w:color="auto" w:fill="FFFFFF"/>
          <w:lang w:val="zh-CN" w:eastAsia="zh-CN"/>
        </w:rPr>
        <w:t>对资金使用范围、资金分配、使用管理等方面做了明确规定。</w:t>
      </w:r>
    </w:p>
    <w:p>
      <w:pPr>
        <w:keepNext w:val="0"/>
        <w:keepLines w:val="0"/>
        <w:pageBreakBefore w:val="0"/>
        <w:numPr>
          <w:ilvl w:val="0"/>
          <w:numId w:val="0"/>
        </w:numPr>
        <w:kinsoku/>
        <w:wordWrap/>
        <w:overflowPunct/>
        <w:topLinePunct w:val="0"/>
        <w:autoSpaceDE/>
        <w:autoSpaceDN/>
        <w:bidi w:val="0"/>
        <w:adjustRightInd w:val="0"/>
        <w:snapToGrid w:val="0"/>
        <w:spacing w:before="0" w:after="0" w:line="560" w:lineRule="exact"/>
        <w:ind w:firstLine="640" w:firstLineChars="200"/>
        <w:jc w:val="both"/>
        <w:textAlignment w:val="auto"/>
        <w:rPr>
          <w:rFonts w:hint="default" w:ascii="Times New Roman" w:hAnsi="Times New Roman" w:eastAsia="楷体" w:cs="Times New Roman"/>
          <w:b/>
          <w:color w:val="auto"/>
          <w:sz w:val="32"/>
          <w:szCs w:val="32"/>
          <w:highlight w:val="none"/>
          <w:u w:val="none"/>
          <w:lang w:val="zh-CN" w:eastAsia="zh-CN"/>
        </w:rPr>
      </w:pPr>
      <w:r>
        <w:rPr>
          <w:rFonts w:hint="default" w:ascii="Times New Roman" w:hAnsi="Times New Roman" w:eastAsia="仿宋" w:cs="Times New Roman"/>
          <w:b w:val="0"/>
          <w:color w:val="auto"/>
          <w:kern w:val="0"/>
          <w:sz w:val="32"/>
          <w:szCs w:val="32"/>
          <w:highlight w:val="none"/>
          <w:u w:val="none"/>
          <w:shd w:val="clear" w:color="auto" w:fill="FFFFFF"/>
          <w:lang w:val="zh-CN" w:eastAsia="zh-CN"/>
        </w:rPr>
        <w:t>项目实施目的和主要工作任务</w:t>
      </w:r>
      <w:r>
        <w:rPr>
          <w:rFonts w:hint="eastAsia" w:ascii="Times New Roman" w:hAnsi="Times New Roman" w:eastAsia="仿宋" w:cs="Times New Roman"/>
          <w:b w:val="0"/>
          <w:color w:val="auto"/>
          <w:kern w:val="0"/>
          <w:sz w:val="32"/>
          <w:szCs w:val="32"/>
          <w:highlight w:val="none"/>
          <w:u w:val="none"/>
          <w:shd w:val="clear" w:color="auto" w:fill="FFFFFF"/>
          <w:lang w:val="zh-CN" w:eastAsia="zh-CN"/>
        </w:rPr>
        <w:t>：</w:t>
      </w:r>
      <w:r>
        <w:rPr>
          <w:rFonts w:hint="eastAsia" w:ascii="Times New Roman" w:hAnsi="Times New Roman" w:eastAsia="仿宋" w:cs="Times New Roman"/>
          <w:b w:val="0"/>
          <w:color w:val="auto"/>
          <w:kern w:val="0"/>
          <w:sz w:val="32"/>
          <w:szCs w:val="32"/>
          <w:highlight w:val="none"/>
          <w:u w:val="none"/>
          <w:shd w:val="clear" w:color="auto" w:fill="FFFFFF"/>
          <w:lang w:val="en-US" w:eastAsia="zh-CN" w:bidi="ar-SA"/>
        </w:rPr>
        <w:t>城乡低保为做到最低生活保障标准与经济社会发展水平相适应，最低生活保障制度与其他社会保障制度相衔接，有效保障困难群众基础生活。</w:t>
      </w:r>
    </w:p>
    <w:p>
      <w:pPr>
        <w:keepNext w:val="0"/>
        <w:keepLines w:val="0"/>
        <w:pageBreakBefore w:val="0"/>
        <w:widowControl/>
        <w:numPr>
          <w:ilvl w:val="0"/>
          <w:numId w:val="1"/>
        </w:numPr>
        <w:kinsoku/>
        <w:wordWrap/>
        <w:overflowPunct/>
        <w:topLinePunct w:val="0"/>
        <w:autoSpaceDE/>
        <w:autoSpaceDN/>
        <w:bidi w:val="0"/>
        <w:adjustRightInd w:val="0"/>
        <w:snapToGrid w:val="0"/>
        <w:spacing w:before="0" w:after="0" w:line="560" w:lineRule="exact"/>
        <w:ind w:firstLine="640" w:firstLineChars="200"/>
        <w:contextualSpacing/>
        <w:jc w:val="both"/>
        <w:textAlignment w:val="auto"/>
        <w:rPr>
          <w:rFonts w:hint="default" w:ascii="Times New Roman" w:hAnsi="Times New Roman" w:eastAsia="楷体" w:cs="Times New Roman"/>
          <w:b/>
          <w:color w:val="auto"/>
          <w:sz w:val="32"/>
          <w:szCs w:val="32"/>
          <w:highlight w:val="none"/>
          <w:u w:val="none"/>
          <w:lang w:val="zh-CN" w:eastAsia="zh-CN"/>
        </w:rPr>
      </w:pPr>
      <w:r>
        <w:rPr>
          <w:rFonts w:hint="default" w:ascii="Times New Roman" w:hAnsi="Times New Roman" w:eastAsia="仿宋" w:cs="Times New Roman"/>
          <w:b w:val="0"/>
          <w:color w:val="auto"/>
          <w:sz w:val="32"/>
          <w:szCs w:val="32"/>
          <w:highlight w:val="none"/>
          <w:u w:val="none"/>
          <w:lang w:val="en-US" w:eastAsia="zh-CN"/>
        </w:rPr>
        <w:t>预算安排及分配管理</w:t>
      </w:r>
      <w:r>
        <w:rPr>
          <w:rFonts w:hint="default" w:ascii="Times New Roman" w:hAnsi="Times New Roman" w:eastAsia="仿宋" w:cs="Times New Roman"/>
          <w:b w:val="0"/>
          <w:color w:val="auto"/>
          <w:sz w:val="32"/>
          <w:szCs w:val="32"/>
          <w:highlight w:val="none"/>
          <w:u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before="0" w:after="0" w:line="560" w:lineRule="exact"/>
        <w:ind w:firstLine="640" w:firstLineChars="200"/>
        <w:contextualSpacing/>
        <w:jc w:val="both"/>
        <w:textAlignment w:val="auto"/>
        <w:rPr>
          <w:rFonts w:hint="eastAsia" w:ascii="Times New Roman" w:hAnsi="Times New Roman" w:eastAsia="仿宋" w:cs="Times New Roman"/>
          <w:color w:val="auto"/>
          <w:kern w:val="0"/>
          <w:sz w:val="32"/>
          <w:szCs w:val="32"/>
          <w:highlight w:val="none"/>
          <w:u w:val="none"/>
          <w:shd w:val="clear" w:color="auto" w:fill="FFFFFF"/>
          <w:lang w:val="zh-CN" w:eastAsia="zh-CN"/>
        </w:rPr>
      </w:pPr>
      <w:r>
        <w:rPr>
          <w:rFonts w:hint="eastAsia" w:ascii="Times New Roman" w:hAnsi="Times New Roman" w:eastAsia="仿宋" w:cs="Times New Roman"/>
          <w:b w:val="0"/>
          <w:color w:val="auto"/>
          <w:kern w:val="0"/>
          <w:sz w:val="32"/>
          <w:szCs w:val="32"/>
          <w:highlight w:val="none"/>
          <w:u w:val="none"/>
          <w:shd w:val="clear" w:color="auto" w:fill="FFFFFF"/>
          <w:lang w:val="zh-CN" w:eastAsia="zh-CN"/>
        </w:rPr>
        <w:t>202</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5</w:t>
      </w:r>
      <w:r>
        <w:rPr>
          <w:rFonts w:hint="eastAsia" w:ascii="Times New Roman" w:hAnsi="Times New Roman" w:eastAsia="仿宋" w:cs="Times New Roman"/>
          <w:b w:val="0"/>
          <w:color w:val="auto"/>
          <w:kern w:val="0"/>
          <w:sz w:val="32"/>
          <w:szCs w:val="32"/>
          <w:highlight w:val="none"/>
          <w:u w:val="none"/>
          <w:shd w:val="clear" w:color="auto" w:fill="FFFFFF"/>
          <w:lang w:val="zh-CN" w:eastAsia="zh-CN"/>
        </w:rPr>
        <w:t>年上级配套</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城乡</w:t>
      </w:r>
      <w:r>
        <w:rPr>
          <w:rFonts w:hint="eastAsia" w:ascii="Times New Roman" w:hAnsi="Times New Roman" w:eastAsia="仿宋" w:cs="Times New Roman"/>
          <w:b w:val="0"/>
          <w:color w:val="auto"/>
          <w:kern w:val="0"/>
          <w:sz w:val="32"/>
          <w:szCs w:val="32"/>
          <w:highlight w:val="none"/>
          <w:u w:val="none"/>
          <w:shd w:val="clear" w:color="auto" w:fill="FFFFFF"/>
          <w:lang w:val="zh-CN" w:eastAsia="zh-CN"/>
        </w:rPr>
        <w:t>最低生活保障金</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5523.67</w:t>
      </w:r>
      <w:r>
        <w:rPr>
          <w:rFonts w:hint="eastAsia" w:ascii="Times New Roman" w:hAnsi="Times New Roman" w:eastAsia="仿宋" w:cs="Times New Roman"/>
          <w:b w:val="0"/>
          <w:color w:val="auto"/>
          <w:kern w:val="0"/>
          <w:sz w:val="32"/>
          <w:szCs w:val="32"/>
          <w:highlight w:val="none"/>
          <w:u w:val="none"/>
          <w:shd w:val="clear" w:color="auto" w:fill="FFFFFF"/>
          <w:lang w:val="zh-CN" w:eastAsia="zh-CN"/>
        </w:rPr>
        <w:t>万元</w:t>
      </w:r>
      <w:r>
        <w:rPr>
          <w:rFonts w:hint="eastAsia" w:eastAsia="仿宋" w:cs="Times New Roman"/>
          <w:b w:val="0"/>
          <w:color w:val="auto"/>
          <w:kern w:val="0"/>
          <w:sz w:val="32"/>
          <w:szCs w:val="32"/>
          <w:highlight w:val="none"/>
          <w:u w:val="none"/>
          <w:shd w:val="clear" w:color="auto" w:fill="FFFFFF"/>
          <w:lang w:val="en-US" w:eastAsia="zh-CN"/>
        </w:rPr>
        <w:t>（</w:t>
      </w:r>
      <w:bookmarkStart w:id="186" w:name="_GoBack"/>
      <w:bookmarkEnd w:id="186"/>
      <w:r>
        <w:rPr>
          <w:rFonts w:hint="eastAsia" w:ascii="Times New Roman" w:hAnsi="Times New Roman" w:eastAsia="仿宋" w:cs="Times New Roman"/>
          <w:b w:val="0"/>
          <w:color w:val="auto"/>
          <w:kern w:val="0"/>
          <w:sz w:val="32"/>
          <w:szCs w:val="32"/>
          <w:highlight w:val="none"/>
          <w:u w:val="none"/>
          <w:shd w:val="clear" w:color="auto" w:fill="FFFFFF"/>
          <w:lang w:val="en-US" w:eastAsia="zh-CN"/>
        </w:rPr>
        <w:t>阿</w:t>
      </w:r>
      <w:r>
        <w:rPr>
          <w:rFonts w:hint="eastAsia" w:ascii="Times New Roman" w:hAnsi="Times New Roman" w:eastAsia="仿宋" w:cs="Times New Roman"/>
          <w:b w:val="0"/>
          <w:bCs w:val="0"/>
          <w:sz w:val="32"/>
          <w:szCs w:val="32"/>
          <w:lang w:eastAsia="zh-CN"/>
        </w:rPr>
        <w:t>州</w:t>
      </w:r>
      <w:r>
        <w:rPr>
          <w:rFonts w:hint="eastAsia" w:ascii="Times New Roman" w:hAnsi="Times New Roman" w:eastAsia="仿宋" w:cs="Times New Roman"/>
          <w:b w:val="0"/>
          <w:bCs w:val="0"/>
          <w:sz w:val="32"/>
          <w:szCs w:val="32"/>
        </w:rPr>
        <w:t>财社</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〔2025〕18号4707万元、阿州财社〔2025〕48号136万元、阿州财社〔2025〕75号479.85万元、</w:t>
      </w:r>
      <w:r>
        <w:rPr>
          <w:rFonts w:hint="default" w:ascii="Times New Roman" w:hAnsi="Times New Roman" w:eastAsia="仿宋" w:cs="Times New Roman"/>
          <w:b w:val="0"/>
          <w:color w:val="auto"/>
          <w:kern w:val="0"/>
          <w:sz w:val="32"/>
          <w:szCs w:val="32"/>
          <w:highlight w:val="none"/>
          <w:u w:val="none"/>
          <w:shd w:val="clear" w:color="auto" w:fill="FFFFFF"/>
          <w:lang w:val="en-US" w:eastAsia="zh-CN"/>
        </w:rPr>
        <w:t>阿州财社</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〔2025〕</w:t>
      </w:r>
      <w:r>
        <w:rPr>
          <w:rFonts w:hint="default" w:ascii="Times New Roman" w:hAnsi="Times New Roman" w:eastAsia="仿宋" w:cs="Times New Roman"/>
          <w:b w:val="0"/>
          <w:color w:val="auto"/>
          <w:kern w:val="0"/>
          <w:sz w:val="32"/>
          <w:szCs w:val="32"/>
          <w:highlight w:val="none"/>
          <w:u w:val="none"/>
          <w:shd w:val="clear" w:color="auto" w:fill="FFFFFF"/>
          <w:lang w:val="en-US" w:eastAsia="zh-CN"/>
        </w:rPr>
        <w:t>123号200.82万元</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）、县级配套</w:t>
      </w:r>
      <w:r>
        <w:rPr>
          <w:rFonts w:hint="eastAsia" w:ascii="Times New Roman" w:hAnsi="Times New Roman" w:eastAsia="仿宋" w:cs="Times New Roman"/>
          <w:b w:val="0"/>
          <w:color w:val="auto"/>
          <w:kern w:val="0"/>
          <w:sz w:val="32"/>
          <w:szCs w:val="32"/>
          <w:highlight w:val="none"/>
          <w:u w:val="none"/>
          <w:shd w:val="clear" w:color="auto" w:fill="FFFFFF"/>
          <w:lang w:val="zh-CN" w:eastAsia="zh-CN"/>
        </w:rPr>
        <w:t>困难群众救助资金</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1601.835929</w:t>
      </w:r>
      <w:r>
        <w:rPr>
          <w:rFonts w:hint="eastAsia" w:ascii="Times New Roman" w:hAnsi="Times New Roman" w:eastAsia="仿宋" w:cs="Times New Roman"/>
          <w:b w:val="0"/>
          <w:color w:val="auto"/>
          <w:kern w:val="0"/>
          <w:sz w:val="32"/>
          <w:szCs w:val="32"/>
          <w:highlight w:val="none"/>
          <w:u w:val="none"/>
          <w:shd w:val="clear" w:color="auto" w:fill="FFFFFF"/>
          <w:lang w:val="zh-CN" w:eastAsia="zh-CN"/>
        </w:rPr>
        <w:t>万元用于我县困难群众救助资金发放。</w:t>
      </w:r>
    </w:p>
    <w:p>
      <w:pPr>
        <w:keepNext w:val="0"/>
        <w:keepLines w:val="0"/>
        <w:pageBreakBefore w:val="0"/>
        <w:widowControl/>
        <w:numPr>
          <w:ilvl w:val="0"/>
          <w:numId w:val="0"/>
        </w:numPr>
        <w:kinsoku/>
        <w:wordWrap/>
        <w:overflowPunct/>
        <w:topLinePunct w:val="0"/>
        <w:autoSpaceDE/>
        <w:autoSpaceDN/>
        <w:bidi w:val="0"/>
        <w:adjustRightInd w:val="0"/>
        <w:snapToGrid w:val="0"/>
        <w:spacing w:before="0" w:after="0" w:line="560" w:lineRule="exact"/>
        <w:ind w:firstLine="640" w:firstLineChars="200"/>
        <w:contextualSpacing/>
        <w:jc w:val="both"/>
        <w:textAlignment w:val="auto"/>
        <w:rPr>
          <w:rFonts w:hint="default" w:ascii="Times New Roman" w:hAnsi="Times New Roman" w:eastAsia="仿宋" w:cs="Times New Roman"/>
          <w:color w:val="auto"/>
          <w:kern w:val="0"/>
          <w:sz w:val="32"/>
          <w:szCs w:val="32"/>
          <w:highlight w:val="none"/>
          <w:u w:val="none"/>
          <w:shd w:val="clear" w:color="auto" w:fill="FFFFFF"/>
          <w:lang w:val="en-US" w:eastAsia="zh-CN"/>
        </w:rPr>
      </w:pPr>
      <w:r>
        <w:rPr>
          <w:rFonts w:hint="eastAsia" w:ascii="Times New Roman" w:hAnsi="Times New Roman" w:eastAsia="仿宋" w:cs="Times New Roman"/>
          <w:b w:val="0"/>
          <w:color w:val="auto"/>
          <w:kern w:val="0"/>
          <w:sz w:val="32"/>
          <w:szCs w:val="32"/>
          <w:highlight w:val="none"/>
          <w:u w:val="none"/>
          <w:shd w:val="clear" w:color="auto" w:fill="FFFFFF"/>
          <w:lang w:val="zh-CN" w:eastAsia="zh-CN"/>
        </w:rPr>
        <w:t>其中</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5777.5123万元用于我县2025年城乡低保群众救助资金发放（</w:t>
      </w:r>
      <w:r>
        <w:rPr>
          <w:rFonts w:hint="eastAsia" w:ascii="Times New Roman" w:hAnsi="Times New Roman" w:eastAsia="仿宋" w:cs="Times New Roman"/>
          <w:b w:val="0"/>
          <w:color w:val="auto"/>
          <w:kern w:val="0"/>
          <w:sz w:val="32"/>
          <w:szCs w:val="32"/>
          <w:highlight w:val="none"/>
          <w:u w:val="none"/>
          <w:shd w:val="clear" w:color="auto" w:fill="FFFFFF"/>
          <w:lang w:val="zh-CN" w:eastAsia="zh-CN"/>
        </w:rPr>
        <w:t>中央资金</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3974.1813万元、省级资金461.740486万元、州级</w:t>
      </w:r>
      <w:r>
        <w:rPr>
          <w:rFonts w:hint="eastAsia" w:ascii="Times New Roman" w:hAnsi="Times New Roman" w:eastAsia="仿宋" w:cs="Times New Roman"/>
          <w:b w:val="0"/>
          <w:color w:val="auto"/>
          <w:kern w:val="0"/>
          <w:sz w:val="32"/>
          <w:szCs w:val="32"/>
          <w:highlight w:val="none"/>
          <w:u w:val="none"/>
          <w:shd w:val="clear" w:color="auto" w:fill="FFFFFF"/>
          <w:lang w:val="zh-CN" w:eastAsia="zh-CN"/>
        </w:rPr>
        <w:t>资金</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103.44万元、县级</w:t>
      </w:r>
      <w:r>
        <w:rPr>
          <w:rFonts w:hint="eastAsia" w:ascii="Times New Roman" w:hAnsi="Times New Roman" w:eastAsia="仿宋" w:cs="Times New Roman"/>
          <w:b w:val="0"/>
          <w:color w:val="auto"/>
          <w:kern w:val="0"/>
          <w:sz w:val="32"/>
          <w:szCs w:val="32"/>
          <w:highlight w:val="none"/>
          <w:u w:val="none"/>
          <w:shd w:val="clear" w:color="auto" w:fill="FFFFFF"/>
          <w:lang w:val="zh-CN" w:eastAsia="zh-CN"/>
        </w:rPr>
        <w:t>资金</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1238.150514万元），</w:t>
      </w:r>
      <w:r>
        <w:rPr>
          <w:rFonts w:hint="eastAsia" w:eastAsia="仿宋" w:cs="Times New Roman"/>
          <w:b w:val="0"/>
          <w:color w:val="auto"/>
          <w:kern w:val="0"/>
          <w:sz w:val="32"/>
          <w:szCs w:val="32"/>
          <w:highlight w:val="none"/>
          <w:u w:val="none"/>
          <w:shd w:val="clear" w:color="auto" w:fill="FFFFFF"/>
          <w:lang w:val="en-US" w:eastAsia="zh-CN"/>
        </w:rPr>
        <w:t>截至</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2025年底已全部支付，资金执行率100%。</w:t>
      </w:r>
    </w:p>
    <w:p>
      <w:pPr>
        <w:keepNext w:val="0"/>
        <w:keepLines w:val="0"/>
        <w:pageBreakBefore w:val="0"/>
        <w:widowControl/>
        <w:numPr>
          <w:ilvl w:val="0"/>
          <w:numId w:val="0"/>
        </w:numPr>
        <w:kinsoku/>
        <w:wordWrap/>
        <w:overflowPunct/>
        <w:topLinePunct w:val="0"/>
        <w:autoSpaceDE/>
        <w:autoSpaceDN/>
        <w:bidi w:val="0"/>
        <w:adjustRightInd w:val="0"/>
        <w:snapToGrid w:val="0"/>
        <w:spacing w:before="0" w:after="0" w:line="560" w:lineRule="exact"/>
        <w:ind w:firstLine="640" w:firstLineChars="200"/>
        <w:contextualSpacing/>
        <w:jc w:val="both"/>
        <w:textAlignment w:val="auto"/>
        <w:rPr>
          <w:rFonts w:hint="default" w:ascii="Times New Roman" w:hAnsi="Times New Roman" w:eastAsia="仿宋" w:cs="Times New Roman"/>
          <w:color w:val="auto"/>
          <w:kern w:val="0"/>
          <w:sz w:val="32"/>
          <w:szCs w:val="32"/>
          <w:highlight w:val="none"/>
          <w:u w:val="none"/>
          <w:shd w:val="clear" w:color="auto" w:fill="FFFFFF"/>
          <w:lang w:val="zh-CN"/>
        </w:rPr>
      </w:pPr>
      <w:r>
        <w:rPr>
          <w:rFonts w:hint="default" w:ascii="Times New Roman" w:hAnsi="Times New Roman" w:eastAsia="仿宋" w:cs="Times New Roman"/>
          <w:b w:val="0"/>
          <w:color w:val="auto"/>
          <w:kern w:val="0"/>
          <w:sz w:val="32"/>
          <w:szCs w:val="32"/>
          <w:highlight w:val="none"/>
          <w:u w:val="none"/>
          <w:shd w:val="clear" w:color="auto" w:fill="FFFFFF"/>
          <w:lang w:val="zh-CN" w:eastAsia="zh-CN"/>
        </w:rPr>
        <w:t>项目资金分配原则及考虑因素</w:t>
      </w:r>
      <w:r>
        <w:rPr>
          <w:rFonts w:hint="eastAsia" w:ascii="Times New Roman" w:hAnsi="Times New Roman" w:eastAsia="仿宋" w:cs="Times New Roman"/>
          <w:b w:val="0"/>
          <w:color w:val="auto"/>
          <w:kern w:val="0"/>
          <w:sz w:val="32"/>
          <w:szCs w:val="32"/>
          <w:highlight w:val="none"/>
          <w:u w:val="none"/>
          <w:shd w:val="clear" w:color="auto" w:fill="FFFFFF"/>
          <w:lang w:val="zh-CN" w:eastAsia="zh-CN"/>
        </w:rPr>
        <w:t>：评价政策资金来源为中央资金、省级资金、州级资金、县级配套资金;中央资金、省级资金、州级资金由阿坝州财政局根据《四川省财政厅 四川省民政厅关于印发&lt;四川省中央和省级财政困难群众救助补助资金管理</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办</w:t>
      </w:r>
      <w:r>
        <w:rPr>
          <w:rFonts w:hint="eastAsia" w:ascii="Times New Roman" w:hAnsi="Times New Roman" w:eastAsia="仿宋" w:cs="Times New Roman"/>
          <w:b w:val="0"/>
          <w:color w:val="auto"/>
          <w:kern w:val="0"/>
          <w:sz w:val="32"/>
          <w:szCs w:val="32"/>
          <w:highlight w:val="none"/>
          <w:u w:val="none"/>
          <w:shd w:val="clear" w:color="auto" w:fill="FFFFFF"/>
          <w:lang w:val="zh-CN" w:eastAsia="zh-CN"/>
        </w:rPr>
        <w:t>法&gt;的通知》(川财社</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〔2023〕28号</w:t>
      </w:r>
      <w:r>
        <w:rPr>
          <w:rFonts w:hint="eastAsia" w:ascii="Times New Roman" w:hAnsi="Times New Roman" w:eastAsia="仿宋" w:cs="Times New Roman"/>
          <w:b w:val="0"/>
          <w:color w:val="auto"/>
          <w:kern w:val="0"/>
          <w:sz w:val="32"/>
          <w:szCs w:val="32"/>
          <w:highlight w:val="none"/>
          <w:u w:val="none"/>
          <w:shd w:val="clear" w:color="auto" w:fill="FFFFFF"/>
          <w:lang w:val="zh-CN" w:eastAsia="zh-CN"/>
        </w:rPr>
        <w:t>)对补助资金按因素法分配，主要参考各地需求因素、绩效因素、努力因素、财力因素等，并依据党中央、国务院和省委、省政府重大决策部署以及现行财政体制，对部分地区给予倾斜支持，并根据年度工作重点适时调整进行资金分配。县级配套资金根据本县的实际情况及年度各项目目标任务具体确定。</w:t>
      </w:r>
    </w:p>
    <w:p>
      <w:pPr>
        <w:keepNext w:val="0"/>
        <w:keepLines w:val="0"/>
        <w:pageBreakBefore w:val="0"/>
        <w:numPr>
          <w:ilvl w:val="0"/>
          <w:numId w:val="1"/>
        </w:numPr>
        <w:kinsoku/>
        <w:wordWrap/>
        <w:overflowPunct/>
        <w:topLinePunct w:val="0"/>
        <w:autoSpaceDE/>
        <w:autoSpaceDN/>
        <w:bidi w:val="0"/>
        <w:adjustRightInd w:val="0"/>
        <w:snapToGrid w:val="0"/>
        <w:spacing w:before="0" w:after="0" w:line="560" w:lineRule="exact"/>
        <w:ind w:firstLine="640" w:firstLineChars="200"/>
        <w:jc w:val="both"/>
        <w:textAlignment w:val="auto"/>
        <w:rPr>
          <w:rFonts w:hint="default" w:ascii="Times New Roman" w:hAnsi="Times New Roman" w:eastAsia="楷体" w:cs="Times New Roman"/>
          <w:b/>
          <w:color w:val="auto"/>
          <w:sz w:val="32"/>
          <w:szCs w:val="32"/>
          <w:highlight w:val="none"/>
          <w:u w:val="none"/>
          <w:lang w:val="zh-CN" w:eastAsia="zh-CN"/>
        </w:rPr>
      </w:pPr>
      <w:r>
        <w:rPr>
          <w:rFonts w:hint="default" w:ascii="Times New Roman" w:hAnsi="Times New Roman" w:eastAsia="仿宋" w:cs="Times New Roman"/>
          <w:b w:val="0"/>
          <w:color w:val="auto"/>
          <w:sz w:val="32"/>
          <w:szCs w:val="32"/>
          <w:highlight w:val="none"/>
          <w:u w:val="none"/>
          <w:lang w:val="zh-CN" w:eastAsia="zh-CN"/>
        </w:rPr>
        <w:t>项目绩效目标设置。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60" w:lineRule="exact"/>
        <w:ind w:right="0" w:firstLine="640" w:firstLineChars="200"/>
        <w:jc w:val="both"/>
        <w:textAlignment w:val="auto"/>
        <w:rPr>
          <w:rFonts w:hint="default" w:ascii="Times New Roman" w:hAnsi="Times New Roman" w:eastAsia="仿宋" w:cs="Times New Roman"/>
          <w:i w:val="0"/>
          <w:iCs w:val="0"/>
          <w:caps w:val="0"/>
          <w:color w:val="auto"/>
          <w:spacing w:val="0"/>
          <w:kern w:val="0"/>
          <w:sz w:val="32"/>
          <w:szCs w:val="32"/>
          <w:highlight w:val="yellow"/>
          <w:shd w:val="clear" w:color="auto" w:fill="FFFFFF"/>
          <w:lang w:val="en-US" w:eastAsia="zh-CN" w:bidi="ar"/>
        </w:rPr>
      </w:pPr>
      <w:r>
        <w:rPr>
          <w:rFonts w:hint="eastAsia" w:ascii="Times New Roman" w:hAnsi="Times New Roman" w:eastAsia="仿宋" w:cs="Times New Roman"/>
          <w:b w:val="0"/>
          <w:bCs/>
          <w:i w:val="0"/>
          <w:iCs w:val="0"/>
          <w:caps w:val="0"/>
          <w:color w:val="auto"/>
          <w:spacing w:val="0"/>
          <w:kern w:val="0"/>
          <w:sz w:val="32"/>
          <w:szCs w:val="32"/>
          <w:shd w:val="clear" w:color="auto" w:fill="FFFFFF"/>
          <w:lang w:val="en-US" w:eastAsia="zh-CN" w:bidi="ar"/>
        </w:rPr>
        <w:t>（1）数量指标。</w:t>
      </w:r>
      <w:r>
        <w:rPr>
          <w:rFonts w:hint="eastAsia" w:ascii="Times New Roman" w:hAnsi="Times New Roman" w:eastAsia="仿宋" w:cs="Times New Roman"/>
          <w:b w:val="0"/>
          <w:i w:val="0"/>
          <w:iCs w:val="0"/>
          <w:caps w:val="0"/>
          <w:color w:val="auto"/>
          <w:spacing w:val="0"/>
          <w:kern w:val="0"/>
          <w:sz w:val="32"/>
          <w:szCs w:val="32"/>
          <w:highlight w:val="none"/>
          <w:shd w:val="clear" w:color="auto" w:fill="FFFFFF"/>
          <w:lang w:val="en-US" w:eastAsia="zh-CN" w:bidi="ar"/>
        </w:rPr>
        <w:t>2025年我县共有农村低保</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14995</w:t>
      </w:r>
      <w:r>
        <w:rPr>
          <w:rFonts w:hint="eastAsia" w:ascii="Times New Roman" w:hAnsi="Times New Roman" w:eastAsia="仿宋" w:cs="Times New Roman"/>
          <w:b w:val="0"/>
          <w:i w:val="0"/>
          <w:iCs w:val="0"/>
          <w:caps w:val="0"/>
          <w:color w:val="auto"/>
          <w:spacing w:val="0"/>
          <w:kern w:val="0"/>
          <w:sz w:val="32"/>
          <w:szCs w:val="32"/>
          <w:highlight w:val="none"/>
          <w:shd w:val="clear" w:color="auto" w:fill="FFFFFF"/>
          <w:lang w:val="en-US" w:eastAsia="zh-CN" w:bidi="ar"/>
        </w:rPr>
        <w:t>人，城镇低保312人，保障对象实行</w:t>
      </w:r>
      <w:r>
        <w:rPr>
          <w:rFonts w:hint="eastAsia" w:ascii="Times New Roman" w:hAnsi="Times New Roman" w:eastAsia="仿宋" w:cs="Times New Roman"/>
          <w:b w:val="0"/>
          <w:color w:val="auto"/>
          <w:sz w:val="32"/>
          <w:szCs w:val="32"/>
          <w:highlight w:val="none"/>
          <w:lang w:val="en-US" w:eastAsia="zh-CN"/>
        </w:rPr>
        <w:t>动态管理。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60" w:lineRule="exact"/>
        <w:ind w:right="0" w:firstLine="640" w:firstLineChars="200"/>
        <w:jc w:val="both"/>
        <w:textAlignment w:val="auto"/>
        <w:rPr>
          <w:rFonts w:hint="eastAsia" w:ascii="仿宋" w:hAnsi="仿宋" w:eastAsia="仿宋" w:cs="仿宋"/>
          <w:b/>
          <w:bCs/>
          <w:i w:val="0"/>
          <w:iCs w:val="0"/>
          <w:caps w:val="0"/>
          <w:color w:val="auto"/>
          <w:spacing w:val="0"/>
          <w:kern w:val="0"/>
          <w:sz w:val="32"/>
          <w:szCs w:val="32"/>
          <w:shd w:val="clear" w:color="auto" w:fill="FFFFFF"/>
          <w:lang w:val="en-US" w:eastAsia="zh-CN" w:bidi="ar"/>
        </w:rPr>
      </w:pPr>
      <w:r>
        <w:rPr>
          <w:rFonts w:hint="eastAsia" w:ascii="Times New Roman" w:hAnsi="Times New Roman" w:eastAsia="仿宋" w:cs="Times New Roman"/>
          <w:b w:val="0"/>
          <w:bCs/>
          <w:i w:val="0"/>
          <w:iCs w:val="0"/>
          <w:caps w:val="0"/>
          <w:color w:val="auto"/>
          <w:spacing w:val="0"/>
          <w:kern w:val="0"/>
          <w:sz w:val="32"/>
          <w:szCs w:val="32"/>
          <w:shd w:val="clear" w:color="auto" w:fill="FFFFFF"/>
          <w:lang w:val="en-US" w:eastAsia="zh-CN" w:bidi="ar"/>
        </w:rPr>
        <w:t>（2）质量指标。</w:t>
      </w:r>
      <w:r>
        <w:rPr>
          <w:rFonts w:hint="eastAsia" w:ascii="Times New Roman" w:hAnsi="Times New Roman" w:eastAsia="仿宋" w:cs="Times New Roman"/>
          <w:b w:val="0"/>
          <w:i w:val="0"/>
          <w:iCs w:val="0"/>
          <w:caps w:val="0"/>
          <w:color w:val="auto"/>
          <w:spacing w:val="0"/>
          <w:kern w:val="0"/>
          <w:sz w:val="32"/>
          <w:szCs w:val="32"/>
          <w:highlight w:val="none"/>
          <w:shd w:val="clear" w:color="auto" w:fill="FFFFFF"/>
          <w:lang w:val="en-US" w:eastAsia="zh-CN" w:bidi="ar"/>
        </w:rPr>
        <w:t>符合城乡低保条件的对象应保尽保、应救尽救，目标人群实现全覆盖。</w:t>
      </w:r>
    </w:p>
    <w:p>
      <w:pPr>
        <w:keepNext w:val="0"/>
        <w:keepLines w:val="0"/>
        <w:pageBreakBefore w:val="0"/>
        <w:widowControl/>
        <w:numPr>
          <w:ilvl w:val="0"/>
          <w:numId w:val="2"/>
        </w:numPr>
        <w:kinsoku/>
        <w:wordWrap/>
        <w:overflowPunct/>
        <w:topLinePunct w:val="0"/>
        <w:autoSpaceDE/>
        <w:autoSpaceDN/>
        <w:bidi w:val="0"/>
        <w:adjustRightInd w:val="0"/>
        <w:snapToGrid w:val="0"/>
        <w:spacing w:before="0" w:after="0" w:line="560" w:lineRule="exact"/>
        <w:ind w:firstLine="640" w:firstLineChars="200"/>
        <w:contextualSpacing/>
        <w:jc w:val="both"/>
        <w:textAlignment w:val="auto"/>
        <w:rPr>
          <w:rFonts w:hint="eastAsia" w:ascii="仿宋" w:hAnsi="仿宋" w:eastAsia="仿宋" w:cs="仿宋"/>
          <w:b/>
          <w:bCs/>
          <w:i w:val="0"/>
          <w:iCs w:val="0"/>
          <w:caps w:val="0"/>
          <w:color w:val="auto"/>
          <w:spacing w:val="0"/>
          <w:kern w:val="0"/>
          <w:sz w:val="32"/>
          <w:szCs w:val="32"/>
          <w:shd w:val="clear" w:color="auto" w:fill="FFFFFF"/>
          <w:lang w:val="en-US" w:eastAsia="zh-CN" w:bidi="ar"/>
        </w:rPr>
      </w:pPr>
      <w:r>
        <w:rPr>
          <w:rFonts w:hint="eastAsia" w:ascii="Times New Roman" w:hAnsi="Times New Roman" w:eastAsia="仿宋" w:cs="Times New Roman"/>
          <w:b w:val="0"/>
          <w:bCs/>
          <w:i w:val="0"/>
          <w:iCs w:val="0"/>
          <w:caps w:val="0"/>
          <w:color w:val="auto"/>
          <w:spacing w:val="0"/>
          <w:kern w:val="0"/>
          <w:sz w:val="32"/>
          <w:szCs w:val="32"/>
          <w:shd w:val="clear" w:color="auto" w:fill="FFFFFF"/>
          <w:lang w:val="en-US" w:eastAsia="zh-CN" w:bidi="ar"/>
        </w:rPr>
        <w:t>时效指标。</w:t>
      </w:r>
      <w:r>
        <w:rPr>
          <w:rFonts w:hint="eastAsia" w:ascii="Times New Roman" w:hAnsi="Times New Roman" w:eastAsia="仿宋" w:cs="Times New Roman"/>
          <w:b w:val="0"/>
          <w:i w:val="0"/>
          <w:iCs w:val="0"/>
          <w:caps w:val="0"/>
          <w:color w:val="auto"/>
          <w:spacing w:val="0"/>
          <w:kern w:val="0"/>
          <w:sz w:val="32"/>
          <w:szCs w:val="32"/>
          <w:shd w:val="clear" w:color="auto" w:fill="FFFFFF"/>
          <w:lang w:val="en-US" w:eastAsia="zh-CN" w:bidi="ar"/>
        </w:rPr>
        <w:t>城乡低保资金每月按时通过财政惠民一卡通系统发放至保障对象银行账户。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60" w:lineRule="exact"/>
        <w:ind w:right="0" w:firstLine="640" w:firstLineChars="200"/>
        <w:jc w:val="both"/>
        <w:textAlignment w:val="auto"/>
        <w:rPr>
          <w:rFonts w:hint="default" w:ascii="Times New Roman" w:hAnsi="Times New Roman" w:eastAsia="楷体" w:cs="Times New Roman"/>
          <w:b/>
          <w:color w:val="auto"/>
          <w:sz w:val="32"/>
          <w:szCs w:val="32"/>
          <w:highlight w:val="none"/>
          <w:u w:val="none"/>
          <w:lang w:val="zh-CN" w:eastAsia="zh-CN"/>
        </w:rPr>
      </w:pPr>
      <w:r>
        <w:rPr>
          <w:rFonts w:hint="eastAsia" w:ascii="Times New Roman" w:hAnsi="Times New Roman" w:eastAsia="仿宋" w:cs="Times New Roman"/>
          <w:b w:val="0"/>
          <w:bCs/>
          <w:i w:val="0"/>
          <w:iCs w:val="0"/>
          <w:caps w:val="0"/>
          <w:color w:val="auto"/>
          <w:spacing w:val="0"/>
          <w:kern w:val="0"/>
          <w:sz w:val="32"/>
          <w:szCs w:val="32"/>
          <w:shd w:val="clear" w:color="auto" w:fill="FFFFFF"/>
          <w:lang w:val="en-US" w:eastAsia="zh-CN" w:bidi="ar"/>
        </w:rPr>
        <w:t>（4）成本指标。</w:t>
      </w:r>
      <w:r>
        <w:rPr>
          <w:rFonts w:hint="eastAsia" w:ascii="Times New Roman" w:hAnsi="Times New Roman" w:eastAsia="仿宋" w:cs="Times New Roman"/>
          <w:b w:val="0"/>
          <w:i w:val="0"/>
          <w:iCs w:val="0"/>
          <w:caps w:val="0"/>
          <w:color w:val="auto"/>
          <w:spacing w:val="0"/>
          <w:kern w:val="0"/>
          <w:sz w:val="32"/>
          <w:szCs w:val="32"/>
          <w:highlight w:val="none"/>
          <w:shd w:val="clear" w:color="auto" w:fill="FFFFFF"/>
          <w:lang w:val="en-US" w:eastAsia="zh-CN" w:bidi="ar"/>
        </w:rPr>
        <w:t>2025年农村低保人均306元（其中A类月标准480元/人/月，B类月标准350元/人/月，C类标准306元/人/月）；城镇低保补贴标准按照人均566元执行。</w:t>
      </w:r>
    </w:p>
    <w:p>
      <w:pPr>
        <w:keepNext w:val="0"/>
        <w:keepLines w:val="0"/>
        <w:pageBreakBefore w:val="0"/>
        <w:widowControl w:val="0"/>
        <w:kinsoku/>
        <w:wordWrap/>
        <w:overflowPunct/>
        <w:topLinePunct w:val="0"/>
        <w:autoSpaceDE/>
        <w:autoSpaceDN/>
        <w:bidi w:val="0"/>
        <w:adjustRightInd w:val="0"/>
        <w:snapToGrid w:val="0"/>
        <w:spacing w:before="60" w:after="60" w:line="560" w:lineRule="exact"/>
        <w:ind w:firstLine="640" w:firstLineChars="200"/>
        <w:jc w:val="left"/>
        <w:textAlignment w:val="auto"/>
        <w:outlineLvl w:val="9"/>
        <w:rPr>
          <w:rFonts w:hint="default" w:ascii="Times New Roman" w:hAnsi="Times New Roman" w:eastAsia="黑体" w:cs="Times New Roman"/>
          <w:sz w:val="32"/>
          <w:szCs w:val="32"/>
          <w:highlight w:val="none"/>
          <w:lang w:eastAsia="zh-CN"/>
        </w:rPr>
      </w:pPr>
      <w:r>
        <w:rPr>
          <w:rFonts w:hint="default" w:ascii="Times New Roman" w:hAnsi="Times New Roman" w:eastAsia="楷体" w:cs="Times New Roman"/>
          <w:b w:val="0"/>
          <w:sz w:val="32"/>
          <w:szCs w:val="32"/>
          <w:highlight w:val="none"/>
        </w:rPr>
        <w:t>二、</w:t>
      </w:r>
      <w:r>
        <w:rPr>
          <w:rFonts w:hint="default" w:ascii="Times New Roman" w:hAnsi="Times New Roman" w:eastAsia="楷体" w:cs="Times New Roman"/>
          <w:b w:val="0"/>
          <w:sz w:val="32"/>
          <w:szCs w:val="32"/>
          <w:highlight w:val="none"/>
          <w:lang w:eastAsia="zh-CN"/>
        </w:rPr>
        <w:t>评价实施</w:t>
      </w:r>
    </w:p>
    <w:p>
      <w:pPr>
        <w:keepNext w:val="0"/>
        <w:keepLines w:val="0"/>
        <w:pageBreakBefore w:val="0"/>
        <w:widowControl w:val="0"/>
        <w:kinsoku/>
        <w:wordWrap/>
        <w:overflowPunct/>
        <w:topLinePunct w:val="0"/>
        <w:autoSpaceDE/>
        <w:autoSpaceDN/>
        <w:bidi w:val="0"/>
        <w:spacing w:before="0" w:after="0" w:line="560" w:lineRule="exact"/>
        <w:ind w:firstLine="642" w:firstLineChars="200"/>
        <w:jc w:val="left"/>
        <w:textAlignment w:val="auto"/>
        <w:outlineLvl w:val="9"/>
        <w:rPr>
          <w:rFonts w:hint="default" w:ascii="Times New Roman" w:hAnsi="Times New Roman" w:eastAsia="楷体" w:cs="Times New Roman"/>
          <w:b/>
          <w:color w:val="auto"/>
          <w:sz w:val="32"/>
          <w:szCs w:val="32"/>
          <w:highlight w:val="none"/>
          <w:u w:val="none"/>
          <w:lang w:val="zh-CN"/>
        </w:rPr>
      </w:pPr>
      <w:r>
        <w:rPr>
          <w:rFonts w:hint="default" w:ascii="Times New Roman" w:hAnsi="Times New Roman" w:eastAsia="仿宋" w:cs="Times New Roman"/>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before="0" w:after="0" w:line="560" w:lineRule="exact"/>
        <w:ind w:firstLine="640" w:firstLineChars="200"/>
        <w:jc w:val="both"/>
        <w:textAlignment w:val="auto"/>
        <w:outlineLvl w:val="9"/>
        <w:rPr>
          <w:rFonts w:hint="default" w:ascii="Times New Roman" w:hAnsi="Times New Roman" w:eastAsia="仿宋" w:cs="Times New Roman"/>
          <w:sz w:val="32"/>
          <w:szCs w:val="32"/>
        </w:rPr>
      </w:pPr>
      <w:r>
        <w:rPr>
          <w:rFonts w:hint="eastAsia" w:ascii="Times New Roman" w:hAnsi="Times New Roman" w:eastAsia="仿宋" w:cs="Times New Roman"/>
          <w:b w:val="0"/>
          <w:color w:val="auto"/>
          <w:kern w:val="0"/>
          <w:sz w:val="32"/>
          <w:szCs w:val="32"/>
          <w:highlight w:val="none"/>
          <w:u w:val="none"/>
          <w:shd w:val="clear" w:color="auto" w:fill="FFFFFF"/>
          <w:lang w:val="zh-CN" w:eastAsia="zh-CN"/>
        </w:rPr>
        <w:t>通过项目绩效自评要实现的目的：</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1.提升资金的使用效益。2.增强项目管理与科学决策性。3.提高项目实施效果和质量。4.加强监督与问责。5.促进社会公平与公正满意度。</w:t>
      </w:r>
    </w:p>
    <w:p>
      <w:pPr>
        <w:keepNext w:val="0"/>
        <w:keepLines w:val="0"/>
        <w:pageBreakBefore w:val="0"/>
        <w:widowControl w:val="0"/>
        <w:numPr>
          <w:ilvl w:val="0"/>
          <w:numId w:val="3"/>
        </w:numPr>
        <w:kinsoku/>
        <w:wordWrap/>
        <w:overflowPunct/>
        <w:topLinePunct w:val="0"/>
        <w:autoSpaceDE/>
        <w:autoSpaceDN/>
        <w:bidi w:val="0"/>
        <w:adjustRightInd w:val="0"/>
        <w:snapToGrid w:val="0"/>
        <w:spacing w:before="0" w:after="0" w:line="560" w:lineRule="exact"/>
        <w:ind w:firstLine="640" w:firstLineChars="200"/>
        <w:jc w:val="both"/>
        <w:textAlignment w:val="auto"/>
        <w:outlineLvl w:val="9"/>
        <w:rPr>
          <w:rFonts w:hint="default" w:ascii="Times New Roman" w:hAnsi="Times New Roman" w:eastAsia="楷体" w:cs="Times New Roman"/>
          <w:b/>
          <w:color w:val="auto"/>
          <w:sz w:val="32"/>
          <w:szCs w:val="32"/>
          <w:highlight w:val="none"/>
          <w:u w:val="none"/>
          <w:lang w:val="zh-CN"/>
        </w:rPr>
      </w:pPr>
      <w:r>
        <w:rPr>
          <w:rFonts w:hint="default" w:ascii="Times New Roman" w:hAnsi="Times New Roman" w:eastAsia="仿宋" w:cs="Times New Roman"/>
          <w:b w:val="0"/>
          <w:color w:val="auto"/>
          <w:sz w:val="32"/>
          <w:szCs w:val="32"/>
          <w:highlight w:val="none"/>
          <w:u w:val="none"/>
          <w:lang w:val="zh-CN"/>
        </w:rPr>
        <w:t>预设问题及评价重点。</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640" w:firstLineChars="200"/>
        <w:jc w:val="both"/>
        <w:textAlignment w:val="auto"/>
        <w:outlineLvl w:val="9"/>
        <w:rPr>
          <w:rFonts w:hint="default" w:ascii="Times New Roman" w:hAnsi="Times New Roman" w:eastAsia="仿宋" w:cs="Times New Roman"/>
          <w:sz w:val="32"/>
          <w:szCs w:val="32"/>
          <w:lang w:eastAsia="zh-CN"/>
        </w:rPr>
      </w:pPr>
      <w:r>
        <w:rPr>
          <w:rFonts w:hint="default" w:ascii="Times New Roman" w:hAnsi="Times New Roman" w:eastAsia="仿宋" w:cs="Times New Roman"/>
          <w:b w:val="0"/>
          <w:sz w:val="32"/>
          <w:szCs w:val="32"/>
        </w:rPr>
        <w:t>按照绩效评价指标体系，对资金支出使用全过程及其实施效果进行综合评价和判断</w:t>
      </w:r>
      <w:r>
        <w:rPr>
          <w:rFonts w:hint="default" w:ascii="Times New Roman" w:hAnsi="Times New Roman" w:eastAsia="仿宋" w:cs="Times New Roman"/>
          <w:b w:val="0"/>
          <w:sz w:val="32"/>
          <w:szCs w:val="32"/>
          <w:lang w:eastAsia="zh-CN"/>
        </w:rPr>
        <w:t>。</w:t>
      </w:r>
    </w:p>
    <w:p>
      <w:pPr>
        <w:keepNext w:val="0"/>
        <w:keepLines w:val="0"/>
        <w:pageBreakBefore w:val="0"/>
        <w:widowControl w:val="0"/>
        <w:numPr>
          <w:ilvl w:val="0"/>
          <w:numId w:val="3"/>
        </w:numPr>
        <w:kinsoku/>
        <w:wordWrap/>
        <w:overflowPunct/>
        <w:topLinePunct w:val="0"/>
        <w:autoSpaceDE/>
        <w:autoSpaceDN/>
        <w:bidi w:val="0"/>
        <w:spacing w:before="0" w:after="0" w:line="560" w:lineRule="exact"/>
        <w:ind w:firstLine="640" w:firstLineChars="200"/>
        <w:jc w:val="both"/>
        <w:textAlignment w:val="auto"/>
        <w:outlineLvl w:val="9"/>
        <w:rPr>
          <w:rFonts w:hint="default" w:ascii="Times New Roman" w:hAnsi="Times New Roman" w:eastAsia="楷体" w:cs="Times New Roman"/>
          <w:b/>
          <w:color w:val="auto"/>
          <w:sz w:val="32"/>
          <w:szCs w:val="32"/>
          <w:highlight w:val="none"/>
          <w:u w:val="none"/>
          <w:lang w:val="zh-CN"/>
        </w:rPr>
      </w:pPr>
      <w:r>
        <w:rPr>
          <w:rFonts w:hint="default" w:ascii="Times New Roman" w:hAnsi="Times New Roman" w:eastAsia="仿宋" w:cs="Times New Roman"/>
          <w:b w:val="0"/>
          <w:color w:val="auto"/>
          <w:sz w:val="32"/>
          <w:szCs w:val="32"/>
          <w:highlight w:val="none"/>
          <w:u w:val="none"/>
          <w:lang w:val="zh-CN"/>
        </w:rPr>
        <w:t>评价方法。</w:t>
      </w:r>
    </w:p>
    <w:p>
      <w:pPr>
        <w:keepNext w:val="0"/>
        <w:keepLines w:val="0"/>
        <w:pageBreakBefore w:val="0"/>
        <w:widowControl w:val="0"/>
        <w:numPr>
          <w:ilvl w:val="0"/>
          <w:numId w:val="0"/>
        </w:numPr>
        <w:kinsoku/>
        <w:wordWrap/>
        <w:overflowPunct/>
        <w:topLinePunct w:val="0"/>
        <w:autoSpaceDE/>
        <w:autoSpaceDN/>
        <w:bidi w:val="0"/>
        <w:spacing w:before="0" w:after="0" w:line="560" w:lineRule="exact"/>
        <w:ind w:firstLine="640" w:firstLineChars="200"/>
        <w:jc w:val="both"/>
        <w:textAlignment w:val="auto"/>
        <w:outlineLvl w:val="9"/>
        <w:rPr>
          <w:rFonts w:hint="default" w:ascii="Times New Roman" w:hAnsi="Times New Roman" w:eastAsia="仿宋" w:cs="Times New Roman"/>
          <w:sz w:val="32"/>
          <w:szCs w:val="32"/>
          <w:lang w:eastAsia="zh-CN"/>
        </w:rPr>
      </w:pPr>
      <w:r>
        <w:rPr>
          <w:rFonts w:hint="eastAsia" w:ascii="Times New Roman" w:hAnsi="Times New Roman" w:eastAsia="仿宋" w:cs="Times New Roman"/>
          <w:b w:val="0"/>
          <w:sz w:val="32"/>
          <w:szCs w:val="32"/>
          <w:lang w:val="en-US" w:eastAsia="zh-CN"/>
        </w:rPr>
        <w:t>对照年初确定的绩效目标各项任务，按照要求强化绩效管理理念，秉持客观公正、实事求是的原则开展自评工作。结合各项任务实际情况形成评价方案，经过收集资料、综合分析等程序后，形成自评报告。</w:t>
      </w:r>
    </w:p>
    <w:p>
      <w:pPr>
        <w:keepNext w:val="0"/>
        <w:keepLines w:val="0"/>
        <w:pageBreakBefore w:val="0"/>
        <w:kinsoku/>
        <w:wordWrap/>
        <w:overflowPunct/>
        <w:topLinePunct w:val="0"/>
        <w:autoSpaceDE/>
        <w:autoSpaceDN/>
        <w:bidi w:val="0"/>
        <w:adjustRightInd w:val="0"/>
        <w:snapToGrid w:val="0"/>
        <w:spacing w:before="60" w:after="60" w:line="560" w:lineRule="exact"/>
        <w:ind w:firstLine="640" w:firstLineChars="200"/>
        <w:jc w:val="left"/>
        <w:textAlignment w:val="auto"/>
        <w:rPr>
          <w:rFonts w:hint="default" w:ascii="Times New Roman" w:hAnsi="Times New Roman" w:eastAsia="仿宋" w:cs="Times New Roman"/>
          <w:color w:val="auto"/>
          <w:sz w:val="32"/>
          <w:szCs w:val="32"/>
          <w:highlight w:val="none"/>
          <w:u w:val="none"/>
          <w:lang w:val="zh-CN"/>
        </w:rPr>
      </w:pPr>
      <w:r>
        <w:rPr>
          <w:rFonts w:hint="default" w:ascii="Times New Roman" w:hAnsi="Times New Roman" w:eastAsia="楷体" w:cs="Times New Roman"/>
          <w:b w:val="0"/>
          <w:color w:val="auto"/>
          <w:sz w:val="32"/>
          <w:szCs w:val="32"/>
          <w:highlight w:val="none"/>
          <w:u w:val="none"/>
        </w:rPr>
        <w:t>三、</w:t>
      </w:r>
      <w:r>
        <w:rPr>
          <w:rFonts w:hint="default" w:ascii="Times New Roman" w:hAnsi="Times New Roman" w:eastAsia="楷体" w:cs="Times New Roman"/>
          <w:b w:val="0"/>
          <w:color w:val="auto"/>
          <w:sz w:val="32"/>
          <w:szCs w:val="32"/>
          <w:highlight w:val="none"/>
          <w:u w:val="none"/>
          <w:lang w:eastAsia="zh-CN"/>
        </w:rPr>
        <w:t>绩效分析</w:t>
      </w:r>
      <w:r>
        <w:rPr>
          <w:rFonts w:hint="default" w:ascii="Times New Roman" w:hAnsi="Times New Roman" w:eastAsia="楷体" w:cs="Times New Roman"/>
          <w:b w:val="0"/>
          <w:color w:val="auto"/>
          <w:sz w:val="32"/>
          <w:szCs w:val="32"/>
          <w:highlight w:val="none"/>
          <w:u w:val="none"/>
          <w:lang w:val="zh-CN"/>
        </w:rPr>
        <w:tab/>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60" w:lineRule="exact"/>
        <w:ind w:right="0" w:firstLine="640" w:firstLineChars="200"/>
        <w:jc w:val="both"/>
        <w:textAlignment w:val="auto"/>
        <w:rPr>
          <w:rFonts w:hint="eastAsia" w:ascii="仿宋" w:hAnsi="仿宋" w:eastAsia="仿宋" w:cs="仿宋"/>
          <w:b/>
          <w:bCs/>
          <w:i w:val="0"/>
          <w:iCs w:val="0"/>
          <w:caps w:val="0"/>
          <w:color w:val="auto"/>
          <w:spacing w:val="0"/>
          <w:kern w:val="0"/>
          <w:sz w:val="32"/>
          <w:szCs w:val="32"/>
          <w:shd w:val="clear" w:color="auto" w:fill="FFFFFF"/>
          <w:lang w:val="en-US" w:eastAsia="zh-CN" w:bidi="ar"/>
        </w:rPr>
      </w:pPr>
      <w:r>
        <w:rPr>
          <w:rFonts w:hint="eastAsia" w:ascii="Times New Roman" w:hAnsi="Times New Roman" w:eastAsia="仿宋" w:cs="Times New Roman"/>
          <w:b w:val="0"/>
          <w:bCs/>
          <w:i w:val="0"/>
          <w:iCs w:val="0"/>
          <w:caps w:val="0"/>
          <w:color w:val="auto"/>
          <w:spacing w:val="0"/>
          <w:kern w:val="0"/>
          <w:sz w:val="32"/>
          <w:szCs w:val="32"/>
          <w:shd w:val="clear" w:color="auto" w:fill="FFFFFF"/>
          <w:lang w:val="en-US" w:eastAsia="zh-CN" w:bidi="ar"/>
        </w:rPr>
        <w:t>1、产出指标完成情况分析。</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60" w:lineRule="exact"/>
        <w:ind w:right="0" w:firstLine="640" w:firstLineChars="200"/>
        <w:jc w:val="both"/>
        <w:textAlignment w:val="auto"/>
        <w:rPr>
          <w:rFonts w:hint="eastAsia" w:ascii="Times New Roman" w:hAnsi="Times New Roman" w:eastAsia="仿宋" w:cs="Times New Roman"/>
          <w:i w:val="0"/>
          <w:iCs w:val="0"/>
          <w:caps w:val="0"/>
          <w:color w:val="auto"/>
          <w:spacing w:val="0"/>
          <w:kern w:val="0"/>
          <w:sz w:val="32"/>
          <w:szCs w:val="32"/>
          <w:highlight w:val="yellow"/>
          <w:shd w:val="clear" w:color="auto" w:fill="FFFFFF"/>
          <w:lang w:val="en-US" w:eastAsia="zh-CN" w:bidi="ar"/>
        </w:rPr>
      </w:pPr>
      <w:r>
        <w:rPr>
          <w:rFonts w:hint="eastAsia" w:ascii="Times New Roman" w:hAnsi="Times New Roman" w:eastAsia="仿宋" w:cs="Times New Roman"/>
          <w:b w:val="0"/>
          <w:bCs/>
          <w:i w:val="0"/>
          <w:iCs w:val="0"/>
          <w:caps w:val="0"/>
          <w:color w:val="auto"/>
          <w:spacing w:val="0"/>
          <w:kern w:val="0"/>
          <w:sz w:val="32"/>
          <w:szCs w:val="32"/>
          <w:shd w:val="clear" w:color="auto" w:fill="FFFFFF"/>
          <w:lang w:val="en-US" w:eastAsia="zh-CN" w:bidi="ar"/>
        </w:rPr>
        <w:t>（1）数量指标。</w:t>
      </w:r>
      <w:r>
        <w:rPr>
          <w:rFonts w:hint="eastAsia" w:ascii="Times New Roman" w:hAnsi="Times New Roman" w:eastAsia="仿宋" w:cs="Times New Roman"/>
          <w:b w:val="0"/>
          <w:i w:val="0"/>
          <w:iCs w:val="0"/>
          <w:caps w:val="0"/>
          <w:color w:val="auto"/>
          <w:spacing w:val="0"/>
          <w:kern w:val="0"/>
          <w:sz w:val="32"/>
          <w:szCs w:val="32"/>
          <w:highlight w:val="none"/>
          <w:shd w:val="clear" w:color="auto" w:fill="FFFFFF"/>
          <w:lang w:val="en-US" w:eastAsia="zh-CN" w:bidi="ar"/>
        </w:rPr>
        <w:t>2025年我县共有农村低保</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14995</w:t>
      </w:r>
      <w:r>
        <w:rPr>
          <w:rFonts w:hint="eastAsia" w:ascii="Times New Roman" w:hAnsi="Times New Roman" w:eastAsia="仿宋" w:cs="Times New Roman"/>
          <w:b w:val="0"/>
          <w:i w:val="0"/>
          <w:iCs w:val="0"/>
          <w:caps w:val="0"/>
          <w:color w:val="auto"/>
          <w:spacing w:val="0"/>
          <w:kern w:val="0"/>
          <w:sz w:val="32"/>
          <w:szCs w:val="32"/>
          <w:highlight w:val="none"/>
          <w:shd w:val="clear" w:color="auto" w:fill="FFFFFF"/>
          <w:lang w:val="en-US" w:eastAsia="zh-CN" w:bidi="ar"/>
        </w:rPr>
        <w:t>人，城镇低保312人，保障对象实行</w:t>
      </w:r>
      <w:r>
        <w:rPr>
          <w:rFonts w:hint="eastAsia" w:ascii="Times New Roman" w:hAnsi="Times New Roman" w:eastAsia="仿宋" w:cs="Times New Roman"/>
          <w:b w:val="0"/>
          <w:color w:val="auto"/>
          <w:sz w:val="32"/>
          <w:szCs w:val="32"/>
          <w:highlight w:val="none"/>
          <w:lang w:val="en-US" w:eastAsia="zh-CN"/>
        </w:rPr>
        <w:t>动态管理。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60" w:lineRule="exact"/>
        <w:ind w:right="0" w:firstLine="640" w:firstLineChars="200"/>
        <w:jc w:val="both"/>
        <w:textAlignment w:val="auto"/>
        <w:rPr>
          <w:rFonts w:hint="eastAsia" w:ascii="Times New Roman" w:hAnsi="Times New Roman" w:eastAsia="仿宋" w:cs="Times New Roman"/>
          <w:i w:val="0"/>
          <w:iCs w:val="0"/>
          <w:caps w:val="0"/>
          <w:color w:val="auto"/>
          <w:spacing w:val="0"/>
          <w:kern w:val="0"/>
          <w:sz w:val="32"/>
          <w:szCs w:val="32"/>
          <w:highlight w:val="yellow"/>
          <w:shd w:val="clear" w:color="auto" w:fill="FFFFFF"/>
          <w:lang w:val="en-US" w:eastAsia="zh-CN" w:bidi="ar"/>
        </w:rPr>
      </w:pPr>
      <w:r>
        <w:rPr>
          <w:rFonts w:hint="eastAsia" w:ascii="Times New Roman" w:hAnsi="Times New Roman" w:eastAsia="仿宋" w:cs="Times New Roman"/>
          <w:b w:val="0"/>
          <w:bCs/>
          <w:i w:val="0"/>
          <w:iCs w:val="0"/>
          <w:caps w:val="0"/>
          <w:color w:val="auto"/>
          <w:spacing w:val="0"/>
          <w:kern w:val="0"/>
          <w:sz w:val="32"/>
          <w:szCs w:val="32"/>
          <w:shd w:val="clear" w:color="auto" w:fill="FFFFFF"/>
          <w:lang w:val="en-US" w:eastAsia="zh-CN" w:bidi="ar"/>
        </w:rPr>
        <w:t>（2）质量指标。</w:t>
      </w:r>
      <w:r>
        <w:rPr>
          <w:rFonts w:hint="eastAsia" w:ascii="Times New Roman" w:hAnsi="Times New Roman" w:eastAsia="仿宋" w:cs="Times New Roman"/>
          <w:b w:val="0"/>
          <w:i w:val="0"/>
          <w:iCs w:val="0"/>
          <w:caps w:val="0"/>
          <w:color w:val="auto"/>
          <w:spacing w:val="0"/>
          <w:kern w:val="0"/>
          <w:sz w:val="32"/>
          <w:szCs w:val="32"/>
          <w:highlight w:val="none"/>
          <w:shd w:val="clear" w:color="auto" w:fill="FFFFFF"/>
          <w:lang w:val="en-US" w:eastAsia="zh-CN" w:bidi="ar"/>
        </w:rPr>
        <w:t>符合城乡低保条件的对象应保尽保、应救尽救，目标人群实现全覆盖。</w:t>
      </w:r>
    </w:p>
    <w:p>
      <w:pPr>
        <w:keepNext w:val="0"/>
        <w:keepLines w:val="0"/>
        <w:pageBreakBefore w:val="0"/>
        <w:widowControl/>
        <w:numPr>
          <w:ilvl w:val="0"/>
          <w:numId w:val="0"/>
        </w:numPr>
        <w:kinsoku/>
        <w:wordWrap/>
        <w:overflowPunct/>
        <w:topLinePunct w:val="0"/>
        <w:autoSpaceDE/>
        <w:autoSpaceDN/>
        <w:bidi w:val="0"/>
        <w:adjustRightInd w:val="0"/>
        <w:snapToGrid w:val="0"/>
        <w:spacing w:before="0" w:after="0" w:line="560" w:lineRule="exact"/>
        <w:ind w:firstLine="640" w:firstLineChars="200"/>
        <w:contextualSpacing/>
        <w:jc w:val="both"/>
        <w:textAlignment w:val="auto"/>
        <w:rPr>
          <w:rFonts w:hint="eastAsia" w:ascii="仿宋" w:hAnsi="仿宋" w:eastAsia="仿宋" w:cs="仿宋"/>
          <w:b/>
          <w:bCs/>
          <w:i w:val="0"/>
          <w:iCs w:val="0"/>
          <w:caps w:val="0"/>
          <w:color w:val="auto"/>
          <w:spacing w:val="0"/>
          <w:kern w:val="0"/>
          <w:sz w:val="32"/>
          <w:szCs w:val="32"/>
          <w:shd w:val="clear" w:color="auto" w:fill="FFFFFF"/>
          <w:lang w:val="en-US" w:eastAsia="zh-CN" w:bidi="ar"/>
        </w:rPr>
      </w:pPr>
      <w:r>
        <w:rPr>
          <w:rFonts w:hint="eastAsia" w:ascii="Times New Roman" w:hAnsi="Times New Roman" w:eastAsia="仿宋" w:cs="Times New Roman"/>
          <w:b w:val="0"/>
          <w:bCs/>
          <w:i w:val="0"/>
          <w:iCs w:val="0"/>
          <w:caps w:val="0"/>
          <w:color w:val="auto"/>
          <w:spacing w:val="0"/>
          <w:kern w:val="0"/>
          <w:sz w:val="32"/>
          <w:szCs w:val="32"/>
          <w:shd w:val="clear" w:color="auto" w:fill="FFFFFF"/>
          <w:lang w:val="en-US" w:eastAsia="zh-CN" w:bidi="ar"/>
        </w:rPr>
        <w:t>（3）时效指标。</w:t>
      </w:r>
      <w:r>
        <w:rPr>
          <w:rFonts w:hint="eastAsia" w:ascii="Times New Roman" w:hAnsi="Times New Roman" w:eastAsia="仿宋" w:cs="Times New Roman"/>
          <w:b w:val="0"/>
          <w:i w:val="0"/>
          <w:iCs w:val="0"/>
          <w:caps w:val="0"/>
          <w:color w:val="auto"/>
          <w:spacing w:val="0"/>
          <w:kern w:val="0"/>
          <w:sz w:val="32"/>
          <w:szCs w:val="32"/>
          <w:shd w:val="clear" w:color="auto" w:fill="FFFFFF"/>
          <w:lang w:val="en-US" w:eastAsia="zh-CN" w:bidi="ar"/>
        </w:rPr>
        <w:t>城乡低保资金每月按时通过财政惠民一卡通系统发放至保障对象银行账户。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60" w:lineRule="exact"/>
        <w:ind w:right="0" w:firstLine="640" w:firstLineChars="200"/>
        <w:jc w:val="both"/>
        <w:textAlignment w:val="auto"/>
        <w:rPr>
          <w:rFonts w:hint="eastAsia" w:ascii="Times New Roman" w:hAnsi="Times New Roman" w:eastAsia="仿宋" w:cs="Times New Roman"/>
          <w:i w:val="0"/>
          <w:iCs w:val="0"/>
          <w:caps w:val="0"/>
          <w:color w:val="auto"/>
          <w:spacing w:val="0"/>
          <w:kern w:val="0"/>
          <w:sz w:val="32"/>
          <w:szCs w:val="32"/>
          <w:highlight w:val="yellow"/>
          <w:shd w:val="clear" w:color="auto" w:fill="FFFFFF"/>
          <w:lang w:val="en-US" w:eastAsia="zh-CN" w:bidi="ar"/>
        </w:rPr>
      </w:pPr>
      <w:r>
        <w:rPr>
          <w:rFonts w:hint="eastAsia" w:ascii="Times New Roman" w:hAnsi="Times New Roman" w:eastAsia="仿宋" w:cs="Times New Roman"/>
          <w:b w:val="0"/>
          <w:bCs/>
          <w:i w:val="0"/>
          <w:iCs w:val="0"/>
          <w:caps w:val="0"/>
          <w:color w:val="auto"/>
          <w:spacing w:val="0"/>
          <w:kern w:val="0"/>
          <w:sz w:val="32"/>
          <w:szCs w:val="32"/>
          <w:shd w:val="clear" w:color="auto" w:fill="FFFFFF"/>
          <w:lang w:val="en-US" w:eastAsia="zh-CN" w:bidi="ar"/>
        </w:rPr>
        <w:t>（4）成本指标。</w:t>
      </w:r>
      <w:r>
        <w:rPr>
          <w:rFonts w:hint="eastAsia" w:ascii="Times New Roman" w:hAnsi="Times New Roman" w:eastAsia="仿宋" w:cs="Times New Roman"/>
          <w:b w:val="0"/>
          <w:i w:val="0"/>
          <w:iCs w:val="0"/>
          <w:caps w:val="0"/>
          <w:color w:val="auto"/>
          <w:spacing w:val="0"/>
          <w:kern w:val="0"/>
          <w:sz w:val="32"/>
          <w:szCs w:val="32"/>
          <w:highlight w:val="none"/>
          <w:shd w:val="clear" w:color="auto" w:fill="FFFFFF"/>
          <w:lang w:val="en-US" w:eastAsia="zh-CN" w:bidi="ar"/>
        </w:rPr>
        <w:t>2025年农村低保人均306元（其中A类月标准480元/人/月，B类月标准350元/人/月，C类标准306元/人/月）；城市低保补贴标准按照人均566元执行。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60" w:lineRule="exact"/>
        <w:ind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Times New Roman" w:hAnsi="Times New Roman" w:eastAsia="仿宋" w:cs="Times New Roman"/>
          <w:b w:val="0"/>
          <w:bCs/>
          <w:i w:val="0"/>
          <w:iCs w:val="0"/>
          <w:caps w:val="0"/>
          <w:color w:val="auto"/>
          <w:spacing w:val="0"/>
          <w:kern w:val="0"/>
          <w:sz w:val="32"/>
          <w:szCs w:val="32"/>
          <w:shd w:val="clear" w:color="auto" w:fill="FFFFFF"/>
          <w:lang w:val="en-US" w:eastAsia="zh-CN" w:bidi="ar"/>
        </w:rPr>
        <w:t>2、效益指标完成情况分析。</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60" w:lineRule="exact"/>
        <w:ind w:right="0" w:firstLine="640" w:firstLineChars="200"/>
        <w:jc w:val="both"/>
        <w:textAlignment w:val="auto"/>
        <w:rPr>
          <w:rFonts w:hint="eastAsia" w:ascii="Times New Roman" w:hAnsi="Times New Roman" w:eastAsia="仿宋" w:cs="Times New Roman"/>
          <w:i w:val="0"/>
          <w:iCs w:val="0"/>
          <w:caps w:val="0"/>
          <w:color w:val="auto"/>
          <w:spacing w:val="0"/>
          <w:kern w:val="0"/>
          <w:sz w:val="32"/>
          <w:szCs w:val="32"/>
          <w:highlight w:val="yellow"/>
          <w:shd w:val="clear" w:color="auto" w:fill="FFFFFF"/>
          <w:lang w:val="en-US" w:eastAsia="zh-CN" w:bidi="ar"/>
        </w:rPr>
      </w:pPr>
      <w:r>
        <w:rPr>
          <w:rFonts w:hint="eastAsia" w:ascii="Times New Roman" w:hAnsi="Times New Roman" w:eastAsia="仿宋" w:cs="Times New Roman"/>
          <w:b w:val="0"/>
          <w:bCs/>
          <w:i w:val="0"/>
          <w:iCs w:val="0"/>
          <w:caps w:val="0"/>
          <w:color w:val="auto"/>
          <w:spacing w:val="0"/>
          <w:kern w:val="0"/>
          <w:sz w:val="32"/>
          <w:szCs w:val="32"/>
          <w:shd w:val="clear" w:color="auto" w:fill="FFFFFF"/>
          <w:lang w:val="en-US" w:eastAsia="zh-CN" w:bidi="ar"/>
        </w:rPr>
        <w:t>（1）社会效益指标。</w:t>
      </w:r>
      <w:r>
        <w:rPr>
          <w:rFonts w:hint="eastAsia" w:ascii="Times New Roman" w:hAnsi="Times New Roman" w:eastAsia="仿宋" w:cs="Times New Roman"/>
          <w:b w:val="0"/>
          <w:i w:val="0"/>
          <w:iCs w:val="0"/>
          <w:caps w:val="0"/>
          <w:color w:val="auto"/>
          <w:spacing w:val="0"/>
          <w:kern w:val="0"/>
          <w:sz w:val="32"/>
          <w:szCs w:val="32"/>
          <w:highlight w:val="none"/>
          <w:shd w:val="clear" w:color="auto" w:fill="FFFFFF"/>
          <w:lang w:val="en-US" w:eastAsia="zh-CN" w:bidi="ar"/>
        </w:rPr>
        <w:t>城乡低保对象生活水平稳步提升。我县城市低保标准达到566元/人/月，农村低保平均标准达到306元/人/年；困难群众救助标准和水平不断提高，有力保障了困难群众基本生活，确保基本生活水平稳定提升。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60" w:lineRule="exact"/>
        <w:ind w:right="0" w:firstLine="640" w:firstLineChars="200"/>
        <w:jc w:val="both"/>
        <w:textAlignment w:val="auto"/>
        <w:rPr>
          <w:rFonts w:hint="eastAsia" w:ascii="Times New Roman" w:hAnsi="Times New Roman" w:eastAsia="仿宋" w:cs="Times New Roman"/>
          <w:i w:val="0"/>
          <w:iCs w:val="0"/>
          <w:caps w:val="0"/>
          <w:color w:val="auto"/>
          <w:spacing w:val="0"/>
          <w:kern w:val="0"/>
          <w:sz w:val="32"/>
          <w:szCs w:val="32"/>
          <w:highlight w:val="none"/>
          <w:shd w:val="clear" w:color="auto" w:fill="FFFFFF"/>
          <w:lang w:val="en-US" w:eastAsia="zh-CN" w:bidi="ar"/>
        </w:rPr>
      </w:pPr>
      <w:r>
        <w:rPr>
          <w:rFonts w:hint="eastAsia" w:ascii="Times New Roman" w:hAnsi="Times New Roman" w:eastAsia="仿宋" w:cs="Times New Roman"/>
          <w:b w:val="0"/>
          <w:bCs/>
          <w:i w:val="0"/>
          <w:iCs w:val="0"/>
          <w:caps w:val="0"/>
          <w:color w:val="auto"/>
          <w:spacing w:val="0"/>
          <w:kern w:val="0"/>
          <w:sz w:val="32"/>
          <w:szCs w:val="32"/>
          <w:shd w:val="clear" w:color="auto" w:fill="FFFFFF"/>
          <w:lang w:val="en-US" w:eastAsia="zh-CN" w:bidi="ar"/>
        </w:rPr>
        <w:t>（2）可持续影响指标。一是</w:t>
      </w:r>
      <w:r>
        <w:rPr>
          <w:rFonts w:hint="eastAsia" w:ascii="Times New Roman" w:hAnsi="Times New Roman" w:eastAsia="仿宋" w:cs="Times New Roman"/>
          <w:b w:val="0"/>
          <w:i w:val="0"/>
          <w:iCs w:val="0"/>
          <w:caps w:val="0"/>
          <w:color w:val="auto"/>
          <w:spacing w:val="0"/>
          <w:kern w:val="0"/>
          <w:sz w:val="32"/>
          <w:szCs w:val="32"/>
          <w:highlight w:val="none"/>
          <w:shd w:val="clear" w:color="auto" w:fill="FFFFFF"/>
          <w:lang w:val="en-US" w:eastAsia="zh-CN" w:bidi="ar"/>
        </w:rPr>
        <w:t>困难群众基本生活救助制度不断完善。适度扩大社会救助范围，低收入家庭中的重残重病人员可按单人户纳入低保。</w:t>
      </w:r>
      <w:r>
        <w:rPr>
          <w:rFonts w:hint="eastAsia" w:ascii="Times New Roman" w:hAnsi="Times New Roman" w:eastAsia="仿宋" w:cs="Times New Roman"/>
          <w:b w:val="0"/>
          <w:bCs/>
          <w:i w:val="0"/>
          <w:iCs w:val="0"/>
          <w:caps w:val="0"/>
          <w:color w:val="333333"/>
          <w:spacing w:val="0"/>
          <w:kern w:val="0"/>
          <w:sz w:val="32"/>
          <w:szCs w:val="32"/>
          <w:shd w:val="clear" w:color="auto" w:fill="FFFFFF"/>
          <w:lang w:val="en-US" w:eastAsia="zh-CN" w:bidi="ar"/>
        </w:rPr>
        <w:t>二是</w:t>
      </w:r>
      <w:r>
        <w:rPr>
          <w:rFonts w:hint="eastAsia" w:ascii="Times New Roman" w:hAnsi="Times New Roman" w:eastAsia="仿宋" w:cs="Times New Roman"/>
          <w:b w:val="0"/>
          <w:i w:val="0"/>
          <w:iCs w:val="0"/>
          <w:caps w:val="0"/>
          <w:color w:val="auto"/>
          <w:spacing w:val="0"/>
          <w:kern w:val="0"/>
          <w:sz w:val="32"/>
          <w:szCs w:val="32"/>
          <w:highlight w:val="none"/>
          <w:shd w:val="clear" w:color="auto" w:fill="FFFFFF"/>
          <w:lang w:val="en-US" w:eastAsia="zh-CN" w:bidi="ar"/>
        </w:rPr>
        <w:t>健全长效帮扶机制。下发《建立社会救助兜底保障对象救助帮扶长效机制的通知》，对社会救助兜底保障对象实行一户一档、因户施策，全面开展基本生活长效帮扶，</w:t>
      </w:r>
      <w:r>
        <w:rPr>
          <w:rFonts w:hint="eastAsia" w:eastAsia="仿宋" w:cs="Times New Roman"/>
          <w:b w:val="0"/>
          <w:i w:val="0"/>
          <w:iCs w:val="0"/>
          <w:caps w:val="0"/>
          <w:color w:val="auto"/>
          <w:spacing w:val="0"/>
          <w:kern w:val="0"/>
          <w:sz w:val="32"/>
          <w:szCs w:val="32"/>
          <w:highlight w:val="none"/>
          <w:shd w:val="clear" w:color="auto" w:fill="FFFFFF"/>
          <w:lang w:val="en-US" w:eastAsia="zh-CN" w:bidi="ar"/>
        </w:rPr>
        <w:t>巩固拓展脱贫攻坚成果</w:t>
      </w:r>
      <w:r>
        <w:rPr>
          <w:rFonts w:hint="eastAsia" w:ascii="Times New Roman" w:hAnsi="Times New Roman" w:eastAsia="仿宋" w:cs="Times New Roman"/>
          <w:b w:val="0"/>
          <w:i w:val="0"/>
          <w:iCs w:val="0"/>
          <w:caps w:val="0"/>
          <w:color w:val="auto"/>
          <w:spacing w:val="0"/>
          <w:kern w:val="0"/>
          <w:sz w:val="32"/>
          <w:szCs w:val="32"/>
          <w:highlight w:val="none"/>
          <w:shd w:val="clear" w:color="auto" w:fill="FFFFFF"/>
          <w:lang w:val="en-US" w:eastAsia="zh-CN" w:bidi="ar"/>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60" w:lineRule="exact"/>
        <w:ind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Times New Roman" w:hAnsi="Times New Roman" w:eastAsia="仿宋" w:cs="Times New Roman"/>
          <w:b w:val="0"/>
          <w:bCs/>
          <w:i w:val="0"/>
          <w:iCs w:val="0"/>
          <w:caps w:val="0"/>
          <w:color w:val="auto"/>
          <w:spacing w:val="0"/>
          <w:kern w:val="0"/>
          <w:sz w:val="32"/>
          <w:szCs w:val="32"/>
          <w:shd w:val="clear" w:color="auto" w:fill="FFFFFF"/>
          <w:lang w:val="en-US" w:eastAsia="zh-CN" w:bidi="ar"/>
        </w:rPr>
        <w:t>3、满意度指标完成情况分析。</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60" w:lineRule="exact"/>
        <w:ind w:right="0" w:firstLine="640" w:firstLineChars="200"/>
        <w:jc w:val="both"/>
        <w:textAlignment w:val="auto"/>
        <w:rPr>
          <w:rFonts w:hint="eastAsia" w:ascii="Times New Roman" w:hAnsi="Times New Roman" w:eastAsia="仿宋" w:cs="Times New Roman"/>
          <w:i w:val="0"/>
          <w:iCs w:val="0"/>
          <w:caps w:val="0"/>
          <w:color w:val="auto"/>
          <w:spacing w:val="0"/>
          <w:kern w:val="0"/>
          <w:sz w:val="32"/>
          <w:szCs w:val="32"/>
          <w:highlight w:val="none"/>
          <w:shd w:val="clear" w:color="auto" w:fill="FFFFFF"/>
          <w:lang w:val="en-US" w:eastAsia="zh-CN" w:bidi="ar"/>
        </w:rPr>
      </w:pPr>
      <w:r>
        <w:rPr>
          <w:rFonts w:hint="eastAsia" w:ascii="Times New Roman" w:hAnsi="Times New Roman" w:eastAsia="仿宋" w:cs="Times New Roman"/>
          <w:b w:val="0"/>
          <w:bCs/>
          <w:i w:val="0"/>
          <w:iCs w:val="0"/>
          <w:caps w:val="0"/>
          <w:color w:val="auto"/>
          <w:spacing w:val="0"/>
          <w:kern w:val="0"/>
          <w:sz w:val="32"/>
          <w:szCs w:val="32"/>
          <w:shd w:val="clear" w:color="auto" w:fill="FFFFFF"/>
          <w:lang w:val="en-US" w:eastAsia="zh-CN" w:bidi="ar"/>
        </w:rPr>
        <w:t>（1）政策知晓率。一是加强宣传报道。</w:t>
      </w:r>
      <w:r>
        <w:rPr>
          <w:rFonts w:hint="eastAsia" w:ascii="Times New Roman" w:hAnsi="Times New Roman" w:eastAsia="仿宋" w:cs="Times New Roman"/>
          <w:b w:val="0"/>
          <w:i w:val="0"/>
          <w:iCs w:val="0"/>
          <w:caps w:val="0"/>
          <w:color w:val="auto"/>
          <w:spacing w:val="0"/>
          <w:kern w:val="0"/>
          <w:sz w:val="32"/>
          <w:szCs w:val="32"/>
          <w:shd w:val="clear" w:color="auto" w:fill="FFFFFF"/>
          <w:lang w:val="en-US" w:eastAsia="zh-CN" w:bidi="ar"/>
        </w:rPr>
        <w:t>主动对接县级媒体，加强困难群众救助工作宣传。</w:t>
      </w:r>
      <w:r>
        <w:rPr>
          <w:rFonts w:hint="eastAsia" w:ascii="Times New Roman" w:hAnsi="Times New Roman" w:eastAsia="仿宋" w:cs="Times New Roman"/>
          <w:b w:val="0"/>
          <w:bCs/>
          <w:i w:val="0"/>
          <w:iCs w:val="0"/>
          <w:caps w:val="0"/>
          <w:color w:val="auto"/>
          <w:spacing w:val="0"/>
          <w:kern w:val="0"/>
          <w:sz w:val="32"/>
          <w:szCs w:val="32"/>
          <w:shd w:val="clear" w:color="auto" w:fill="FFFFFF"/>
          <w:lang w:val="en-US" w:eastAsia="zh-CN" w:bidi="ar"/>
        </w:rPr>
        <w:t>二是加大公示力度。</w:t>
      </w:r>
      <w:r>
        <w:rPr>
          <w:rFonts w:hint="eastAsia" w:ascii="Times New Roman" w:hAnsi="Times New Roman" w:eastAsia="仿宋" w:cs="Times New Roman"/>
          <w:b w:val="0"/>
          <w:i w:val="0"/>
          <w:iCs w:val="0"/>
          <w:caps w:val="0"/>
          <w:color w:val="auto"/>
          <w:spacing w:val="0"/>
          <w:kern w:val="0"/>
          <w:sz w:val="32"/>
          <w:szCs w:val="32"/>
          <w:highlight w:val="none"/>
          <w:shd w:val="clear" w:color="auto" w:fill="FFFFFF"/>
          <w:lang w:val="en-US" w:eastAsia="zh-CN" w:bidi="ar"/>
        </w:rPr>
        <w:t>在村（社区）都制作了公示栏，长期公示困难群众救助等相关政策、救助对象和救助金额，随时接受群众监督。</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outlineLvl w:val="9"/>
        <w:rPr>
          <w:rFonts w:hint="default" w:ascii="Times New Roman" w:hAnsi="Times New Roman" w:eastAsia="楷体" w:cs="Times New Roman"/>
          <w:b/>
          <w:bCs/>
          <w:color w:val="000000"/>
          <w:kern w:val="0"/>
          <w:sz w:val="32"/>
          <w:szCs w:val="32"/>
          <w:highlight w:val="none"/>
          <w:shd w:val="clear" w:color="auto" w:fill="FFFFFF"/>
          <w:lang w:val="en-US" w:eastAsia="zh-CN"/>
        </w:rPr>
      </w:pPr>
      <w:r>
        <w:rPr>
          <w:rFonts w:hint="eastAsia" w:ascii="Times New Roman" w:hAnsi="Times New Roman" w:eastAsia="仿宋" w:cs="Times New Roman"/>
          <w:b w:val="0"/>
          <w:bCs/>
          <w:i w:val="0"/>
          <w:iCs w:val="0"/>
          <w:caps w:val="0"/>
          <w:color w:val="auto"/>
          <w:spacing w:val="0"/>
          <w:kern w:val="0"/>
          <w:sz w:val="32"/>
          <w:szCs w:val="32"/>
          <w:shd w:val="clear" w:color="auto" w:fill="FFFFFF"/>
          <w:lang w:val="en-US" w:eastAsia="zh-CN" w:bidi="ar"/>
        </w:rPr>
        <w:t>（2）救助对象对社会救助实施的满意度。</w:t>
      </w:r>
      <w:r>
        <w:rPr>
          <w:rFonts w:hint="eastAsia" w:ascii="Times New Roman" w:hAnsi="Times New Roman" w:eastAsia="仿宋" w:cs="Times New Roman"/>
          <w:b w:val="0"/>
          <w:i w:val="0"/>
          <w:iCs w:val="0"/>
          <w:caps w:val="0"/>
          <w:color w:val="auto"/>
          <w:spacing w:val="0"/>
          <w:kern w:val="0"/>
          <w:sz w:val="32"/>
          <w:szCs w:val="32"/>
          <w:highlight w:val="none"/>
          <w:shd w:val="clear" w:color="auto" w:fill="FFFFFF"/>
          <w:lang w:val="en-US" w:eastAsia="zh-CN" w:bidi="ar"/>
        </w:rPr>
        <w:t>通过平时走访和督查情况看，群众对困难群众基本生活救助政策认可度高，对困难群众基本生活救助工作开展情况满意，没有出现困难群众基本生活救助工作方面的不良舆情，社会满意率较高。我县服务对象满意度＞96%。</w:t>
      </w:r>
    </w:p>
    <w:p>
      <w:pPr>
        <w:pageBreakBefore w:val="0"/>
        <w:widowControl/>
        <w:numPr>
          <w:ilvl w:val="0"/>
          <w:numId w:val="0"/>
        </w:numPr>
        <w:kinsoku/>
        <w:wordWrap/>
        <w:overflowPunct/>
        <w:topLinePunct w:val="0"/>
        <w:autoSpaceDE/>
        <w:autoSpaceDN/>
        <w:bidi w:val="0"/>
        <w:adjustRightInd/>
        <w:spacing w:before="60" w:after="60" w:line="56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en-US" w:eastAsia="en-US" w:bidi="ar-SA"/>
        </w:rPr>
      </w:pPr>
      <w:r>
        <w:rPr>
          <w:rFonts w:hint="default" w:ascii="Times New Roman" w:hAnsi="Times New Roman" w:eastAsia="楷体" w:cs="Times New Roman"/>
          <w:b w:val="0"/>
          <w:color w:val="auto"/>
          <w:kern w:val="0"/>
          <w:position w:val="3"/>
          <w:sz w:val="32"/>
          <w:szCs w:val="32"/>
          <w:highlight w:val="none"/>
          <w:u w:val="none"/>
          <w:lang w:val="en-US" w:eastAsia="zh-CN" w:bidi="ar-SA"/>
        </w:rPr>
        <w:t>四</w:t>
      </w:r>
      <w:r>
        <w:rPr>
          <w:rFonts w:hint="default" w:ascii="Times New Roman" w:hAnsi="Times New Roman" w:eastAsia="楷体" w:cs="Times New Roman"/>
          <w:b w:val="0"/>
          <w:color w:val="auto"/>
          <w:kern w:val="0"/>
          <w:position w:val="3"/>
          <w:sz w:val="32"/>
          <w:szCs w:val="32"/>
          <w:highlight w:val="none"/>
          <w:u w:val="none"/>
          <w:lang w:val="en-US" w:eastAsia="en-US" w:bidi="ar-SA"/>
        </w:rPr>
        <w:t>、评价结论</w:t>
      </w:r>
    </w:p>
    <w:p>
      <w:pPr>
        <w:keepNext w:val="0"/>
        <w:keepLines w:val="0"/>
        <w:pageBreakBefore w:val="0"/>
        <w:kinsoku/>
        <w:wordWrap/>
        <w:overflowPunct/>
        <w:topLinePunct w:val="0"/>
        <w:autoSpaceDE/>
        <w:autoSpaceDN/>
        <w:bidi w:val="0"/>
        <w:spacing w:before="0" w:after="0" w:line="560" w:lineRule="exact"/>
        <w:ind w:firstLine="640" w:firstLineChars="200"/>
        <w:jc w:val="both"/>
        <w:textAlignment w:val="auto"/>
        <w:rPr>
          <w:rFonts w:hint="default" w:ascii="Times New Roman" w:hAnsi="Times New Roman" w:eastAsia="仿宋" w:cs="Times New Roman"/>
          <w:b w:val="0"/>
          <w:bCs w:val="0"/>
          <w:kern w:val="2"/>
          <w:position w:val="0"/>
          <w:sz w:val="32"/>
          <w:szCs w:val="32"/>
          <w:highlight w:val="none"/>
          <w:lang w:val="en-US" w:eastAsia="zh-CN" w:bidi="ar-SA"/>
        </w:rPr>
      </w:pPr>
      <w:r>
        <w:rPr>
          <w:rFonts w:hint="eastAsia" w:ascii="Times New Roman" w:hAnsi="Times New Roman" w:eastAsia="仿宋" w:cs="Times New Roman"/>
          <w:b w:val="0"/>
          <w:color w:val="auto"/>
          <w:kern w:val="0"/>
          <w:sz w:val="32"/>
          <w:szCs w:val="32"/>
          <w:highlight w:val="none"/>
          <w:u w:val="none"/>
          <w:shd w:val="clear" w:color="auto" w:fill="FFFFFF"/>
          <w:lang w:val="zh-CN" w:eastAsia="zh-CN"/>
        </w:rPr>
        <w:t>经过全面、客观、公正的绩效评价，</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城乡</w:t>
      </w:r>
      <w:r>
        <w:rPr>
          <w:rFonts w:hint="eastAsia" w:ascii="Times New Roman" w:hAnsi="Times New Roman" w:eastAsia="仿宋" w:cs="Times New Roman"/>
          <w:b w:val="0"/>
          <w:color w:val="auto"/>
          <w:kern w:val="0"/>
          <w:sz w:val="32"/>
          <w:szCs w:val="32"/>
          <w:highlight w:val="none"/>
          <w:u w:val="none"/>
          <w:shd w:val="clear" w:color="auto" w:fill="FFFFFF"/>
          <w:lang w:val="zh-CN" w:eastAsia="zh-CN"/>
        </w:rPr>
        <w:t>最低生活保障金专项预算项目的综合评分为</w:t>
      </w:r>
      <w:r>
        <w:rPr>
          <w:rFonts w:hint="eastAsia" w:ascii="Times New Roman" w:hAnsi="Times New Roman" w:eastAsia="仿宋" w:cs="Times New Roman"/>
          <w:b w:val="0"/>
          <w:color w:val="auto"/>
          <w:kern w:val="0"/>
          <w:sz w:val="32"/>
          <w:szCs w:val="32"/>
          <w:highlight w:val="none"/>
          <w:u w:val="none"/>
          <w:shd w:val="clear" w:color="auto" w:fill="FFFFFF"/>
          <w:lang w:val="en-US" w:eastAsia="zh-CN"/>
        </w:rPr>
        <w:t>96</w:t>
      </w:r>
      <w:r>
        <w:rPr>
          <w:rFonts w:hint="eastAsia" w:ascii="Times New Roman" w:hAnsi="Times New Roman" w:eastAsia="仿宋" w:cs="Times New Roman"/>
          <w:b w:val="0"/>
          <w:color w:val="auto"/>
          <w:kern w:val="0"/>
          <w:sz w:val="32"/>
          <w:szCs w:val="32"/>
          <w:highlight w:val="none"/>
          <w:u w:val="none"/>
          <w:shd w:val="clear" w:color="auto" w:fill="FFFFFF"/>
          <w:lang w:val="zh-CN" w:eastAsia="zh-CN"/>
        </w:rPr>
        <w:t>分，评价等级为优秀。本项目设定的目标明确、合理，与困难群众的实际需求及相关政策要求紧密结合。总体目标完成率达到100%，基本实现了预期目标。资金投入取得了一定的成效，通过资金的合理分配和使用，为困难群众提供了如生活救助、医疗救助、教育救助等，有效改善了困难群众的生活状况。</w:t>
      </w:r>
    </w:p>
    <w:p>
      <w:pPr>
        <w:pageBreakBefore w:val="0"/>
        <w:widowControl/>
        <w:numPr>
          <w:ilvl w:val="0"/>
          <w:numId w:val="0"/>
        </w:numPr>
        <w:kinsoku/>
        <w:wordWrap/>
        <w:overflowPunct/>
        <w:topLinePunct w:val="0"/>
        <w:autoSpaceDE/>
        <w:autoSpaceDN/>
        <w:bidi w:val="0"/>
        <w:adjustRightInd/>
        <w:spacing w:before="60" w:after="60" w:line="560" w:lineRule="exact"/>
        <w:ind w:firstLine="640" w:firstLineChars="200"/>
        <w:jc w:val="left"/>
        <w:textAlignment w:val="auto"/>
        <w:rPr>
          <w:rFonts w:hint="default" w:ascii="Times New Roman" w:hAnsi="Times New Roman" w:eastAsia="黑体" w:cs="Times New Roman"/>
          <w:color w:val="auto"/>
          <w:kern w:val="0"/>
          <w:position w:val="3"/>
          <w:sz w:val="32"/>
          <w:szCs w:val="32"/>
          <w:highlight w:val="none"/>
          <w:u w:val="none"/>
          <w:lang w:val="en-US" w:eastAsia="zh-CN" w:bidi="ar-SA"/>
        </w:rPr>
      </w:pPr>
      <w:r>
        <w:rPr>
          <w:rFonts w:hint="default" w:ascii="Times New Roman" w:hAnsi="Times New Roman" w:eastAsia="楷体" w:cs="Times New Roman"/>
          <w:b w:val="0"/>
          <w:color w:val="auto"/>
          <w:kern w:val="0"/>
          <w:position w:val="3"/>
          <w:sz w:val="32"/>
          <w:szCs w:val="32"/>
          <w:highlight w:val="none"/>
          <w:u w:val="none"/>
          <w:lang w:val="en-US" w:eastAsia="zh-CN" w:bidi="ar-SA"/>
        </w:rPr>
        <w:t>五、存在主要问题</w:t>
      </w:r>
    </w:p>
    <w:p>
      <w:pPr>
        <w:pageBreakBefore w:val="0"/>
        <w:widowControl/>
        <w:numPr>
          <w:ilvl w:val="0"/>
          <w:numId w:val="0"/>
        </w:numPr>
        <w:kinsoku/>
        <w:wordWrap/>
        <w:overflowPunct/>
        <w:topLinePunct w:val="0"/>
        <w:autoSpaceDE/>
        <w:autoSpaceDN/>
        <w:bidi w:val="0"/>
        <w:adjustRightInd/>
        <w:spacing w:before="0" w:after="0" w:line="560" w:lineRule="exact"/>
        <w:ind w:firstLine="640" w:firstLineChars="200"/>
        <w:jc w:val="both"/>
        <w:textAlignment w:val="auto"/>
        <w:rPr>
          <w:rFonts w:hint="default" w:ascii="Times New Roman" w:hAnsi="Times New Roman" w:eastAsia="黑体" w:cs="Times New Roman"/>
          <w:b w:val="0"/>
          <w:bCs w:val="0"/>
          <w:kern w:val="2"/>
          <w:position w:val="0"/>
          <w:sz w:val="32"/>
          <w:szCs w:val="32"/>
          <w:highlight w:val="none"/>
          <w:lang w:val="en-US" w:eastAsia="zh-CN" w:bidi="ar-SA"/>
        </w:rPr>
      </w:pPr>
      <w:r>
        <w:rPr>
          <w:rFonts w:hint="eastAsia" w:ascii="Times New Roman" w:hAnsi="Times New Roman" w:eastAsia="仿宋" w:cs="Times New Roman"/>
          <w:b w:val="0"/>
          <w:i w:val="0"/>
          <w:iCs w:val="0"/>
          <w:caps w:val="0"/>
          <w:color w:val="auto"/>
          <w:spacing w:val="0"/>
          <w:kern w:val="0"/>
          <w:position w:val="3"/>
          <w:sz w:val="32"/>
          <w:szCs w:val="32"/>
          <w:highlight w:val="none"/>
          <w:shd w:val="clear" w:color="auto" w:fill="FFFFFF"/>
          <w:lang w:val="en-US" w:eastAsia="zh-CN" w:bidi="ar"/>
        </w:rPr>
        <w:t>2025年我县</w:t>
      </w:r>
      <w:r>
        <w:rPr>
          <w:rFonts w:hint="eastAsia" w:ascii="Times New Roman" w:hAnsi="Times New Roman" w:eastAsia="仿宋" w:cs="Times New Roman"/>
          <w:b w:val="0"/>
          <w:color w:val="auto"/>
          <w:kern w:val="0"/>
          <w:position w:val="0"/>
          <w:sz w:val="32"/>
          <w:szCs w:val="32"/>
          <w:highlight w:val="none"/>
          <w:u w:val="none"/>
          <w:shd w:val="clear" w:color="auto" w:fill="FFFFFF"/>
          <w:lang w:val="en-US" w:eastAsia="zh-CN" w:bidi="ar-SA"/>
        </w:rPr>
        <w:t>城乡</w:t>
      </w:r>
      <w:r>
        <w:rPr>
          <w:rFonts w:hint="eastAsia" w:ascii="Times New Roman" w:hAnsi="Times New Roman" w:eastAsia="仿宋" w:cs="Times New Roman"/>
          <w:b w:val="0"/>
          <w:color w:val="auto"/>
          <w:kern w:val="0"/>
          <w:position w:val="0"/>
          <w:sz w:val="32"/>
          <w:szCs w:val="32"/>
          <w:highlight w:val="none"/>
          <w:u w:val="none"/>
          <w:shd w:val="clear" w:color="auto" w:fill="FFFFFF"/>
          <w:lang w:val="zh-CN" w:eastAsia="zh-CN" w:bidi="ar-SA"/>
        </w:rPr>
        <w:t>最低生活保障金</w:t>
      </w:r>
      <w:r>
        <w:rPr>
          <w:rFonts w:hint="eastAsia" w:ascii="Times New Roman" w:hAnsi="Times New Roman" w:eastAsia="仿宋" w:cs="Times New Roman"/>
          <w:b w:val="0"/>
          <w:color w:val="auto"/>
          <w:kern w:val="0"/>
          <w:position w:val="0"/>
          <w:sz w:val="32"/>
          <w:szCs w:val="32"/>
          <w:highlight w:val="none"/>
          <w:u w:val="none"/>
          <w:shd w:val="clear" w:color="auto" w:fill="FFFFFF"/>
          <w:lang w:val="en-US" w:eastAsia="zh-CN" w:bidi="ar-SA"/>
        </w:rPr>
        <w:t>发放到</w:t>
      </w:r>
      <w:r>
        <w:rPr>
          <w:rFonts w:hint="eastAsia" w:ascii="Times New Roman" w:hAnsi="Times New Roman" w:eastAsia="仿宋" w:cs="Times New Roman"/>
          <w:b w:val="0"/>
          <w:i w:val="0"/>
          <w:iCs w:val="0"/>
          <w:caps w:val="0"/>
          <w:color w:val="auto"/>
          <w:spacing w:val="0"/>
          <w:kern w:val="0"/>
          <w:position w:val="3"/>
          <w:sz w:val="32"/>
          <w:szCs w:val="32"/>
          <w:highlight w:val="none"/>
          <w:shd w:val="clear" w:color="auto" w:fill="FFFFFF"/>
          <w:lang w:val="en-US" w:eastAsia="zh-CN" w:bidi="ar"/>
        </w:rPr>
        <w:t>位，未偏离绩效目标。救助有效，困难群众得到帮助，低保制度逐步完善，低保申报及审批程序总体趋于公平、公正、公开。加大政策宣传力度，困难群众对政策知晓率逐步提高，对低保政策满意度较高，低收入群体的基本生活有一定的改善，为维护社会稳定、社会和谐发挥了积极作用，取得了较好的社会效益。</w:t>
      </w:r>
    </w:p>
    <w:p>
      <w:pPr>
        <w:pageBreakBefore w:val="0"/>
        <w:widowControl/>
        <w:numPr>
          <w:ilvl w:val="0"/>
          <w:numId w:val="4"/>
        </w:numPr>
        <w:kinsoku/>
        <w:wordWrap/>
        <w:overflowPunct/>
        <w:topLinePunct w:val="0"/>
        <w:autoSpaceDE/>
        <w:autoSpaceDN/>
        <w:bidi w:val="0"/>
        <w:adjustRightInd/>
        <w:spacing w:before="0" w:after="0" w:line="560" w:lineRule="exact"/>
        <w:ind w:firstLine="640" w:firstLineChars="200"/>
        <w:jc w:val="both"/>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仿宋" w:cs="Times New Roman"/>
          <w:b w:val="0"/>
          <w:color w:val="auto"/>
          <w:kern w:val="0"/>
          <w:position w:val="3"/>
          <w:sz w:val="32"/>
          <w:szCs w:val="32"/>
          <w:highlight w:val="none"/>
          <w:u w:val="none"/>
          <w:lang w:val="zh-CN" w:eastAsia="zh-CN" w:bidi="ar-SA"/>
        </w:rPr>
        <w:t>改进建议</w:t>
      </w:r>
    </w:p>
    <w:p>
      <w:pPr>
        <w:pageBreakBefore w:val="0"/>
        <w:widowControl/>
        <w:numPr>
          <w:ilvl w:val="0"/>
          <w:numId w:val="5"/>
        </w:numPr>
        <w:kinsoku/>
        <w:wordWrap/>
        <w:overflowPunct/>
        <w:topLinePunct w:val="0"/>
        <w:autoSpaceDE/>
        <w:autoSpaceDN/>
        <w:bidi w:val="0"/>
        <w:adjustRightInd/>
        <w:spacing w:before="0" w:after="0" w:line="560" w:lineRule="exact"/>
        <w:ind w:firstLine="640" w:firstLineChars="200"/>
        <w:jc w:val="both"/>
        <w:textAlignment w:val="auto"/>
        <w:rPr>
          <w:rFonts w:hint="eastAsia" w:ascii="Times New Roman" w:hAnsi="Times New Roman" w:eastAsia="仿宋" w:cs="Times New Roman"/>
          <w:i w:val="0"/>
          <w:iCs w:val="0"/>
          <w:caps w:val="0"/>
          <w:color w:val="auto"/>
          <w:spacing w:val="0"/>
          <w:kern w:val="0"/>
          <w:position w:val="3"/>
          <w:sz w:val="32"/>
          <w:szCs w:val="32"/>
          <w:highlight w:val="none"/>
          <w:shd w:val="clear" w:color="auto" w:fill="FFFFFF"/>
          <w:lang w:val="en-US" w:eastAsia="zh-CN" w:bidi="ar"/>
        </w:rPr>
      </w:pPr>
      <w:r>
        <w:rPr>
          <w:rFonts w:hint="eastAsia" w:ascii="Times New Roman" w:hAnsi="Times New Roman" w:eastAsia="仿宋" w:cs="Times New Roman"/>
          <w:b w:val="0"/>
          <w:bCs/>
          <w:i w:val="0"/>
          <w:iCs w:val="0"/>
          <w:caps w:val="0"/>
          <w:color w:val="auto"/>
          <w:spacing w:val="0"/>
          <w:kern w:val="0"/>
          <w:position w:val="3"/>
          <w:sz w:val="32"/>
          <w:szCs w:val="32"/>
          <w:highlight w:val="none"/>
          <w:shd w:val="clear" w:color="auto" w:fill="FFFFFF"/>
          <w:lang w:val="en-US" w:eastAsia="en-US" w:bidi="ar-SA"/>
        </w:rPr>
        <w:t>加强基层经办能力建设。</w:t>
      </w:r>
      <w:r>
        <w:rPr>
          <w:rFonts w:hint="eastAsia" w:ascii="Times New Roman" w:hAnsi="Times New Roman" w:eastAsia="仿宋" w:cs="Times New Roman"/>
          <w:b w:val="0"/>
          <w:i w:val="0"/>
          <w:iCs w:val="0"/>
          <w:caps w:val="0"/>
          <w:color w:val="auto"/>
          <w:spacing w:val="0"/>
          <w:kern w:val="0"/>
          <w:position w:val="3"/>
          <w:sz w:val="32"/>
          <w:szCs w:val="32"/>
          <w:highlight w:val="none"/>
          <w:shd w:val="clear" w:color="auto" w:fill="FFFFFF"/>
          <w:lang w:val="en-US" w:eastAsia="zh-CN" w:bidi="ar"/>
        </w:rPr>
        <w:t>落实中央和省、州工作要求，指导乡镇进一步健全社会救助经办机构，配备必要工作人员。</w:t>
      </w:r>
    </w:p>
    <w:p>
      <w:pPr>
        <w:pageBreakBefore w:val="0"/>
        <w:widowControl/>
        <w:numPr>
          <w:ilvl w:val="0"/>
          <w:numId w:val="0"/>
        </w:numPr>
        <w:kinsoku/>
        <w:wordWrap/>
        <w:overflowPunct/>
        <w:topLinePunct w:val="0"/>
        <w:autoSpaceDE/>
        <w:autoSpaceDN/>
        <w:bidi w:val="0"/>
        <w:adjustRightInd/>
        <w:spacing w:before="0" w:after="0" w:line="560" w:lineRule="exact"/>
        <w:ind w:firstLine="640" w:firstLineChars="200"/>
        <w:jc w:val="both"/>
        <w:textAlignment w:val="auto"/>
        <w:rPr>
          <w:rFonts w:hint="eastAsia" w:ascii="Times New Roman" w:hAnsi="Times New Roman" w:eastAsia="仿宋" w:cs="Times New Roman"/>
          <w:i w:val="0"/>
          <w:iCs w:val="0"/>
          <w:caps w:val="0"/>
          <w:color w:val="auto"/>
          <w:spacing w:val="0"/>
          <w:kern w:val="0"/>
          <w:position w:val="3"/>
          <w:sz w:val="32"/>
          <w:szCs w:val="32"/>
          <w:highlight w:val="none"/>
          <w:shd w:val="clear" w:color="auto" w:fill="FFFFFF"/>
          <w:lang w:val="en-US" w:eastAsia="zh-CN" w:bidi="ar"/>
        </w:rPr>
      </w:pPr>
      <w:r>
        <w:rPr>
          <w:rFonts w:hint="eastAsia" w:ascii="Times New Roman" w:hAnsi="Times New Roman" w:eastAsia="仿宋" w:cs="Times New Roman"/>
          <w:b w:val="0"/>
          <w:bCs/>
          <w:i w:val="0"/>
          <w:iCs w:val="0"/>
          <w:caps w:val="0"/>
          <w:color w:val="auto"/>
          <w:spacing w:val="0"/>
          <w:kern w:val="0"/>
          <w:position w:val="3"/>
          <w:sz w:val="32"/>
          <w:szCs w:val="32"/>
          <w:highlight w:val="none"/>
          <w:shd w:val="clear" w:color="auto" w:fill="FFFFFF"/>
          <w:lang w:val="en-US" w:eastAsia="zh-CN" w:bidi="ar"/>
        </w:rPr>
        <w:t>（2）加强社会救助信息化应用。</w:t>
      </w:r>
      <w:r>
        <w:rPr>
          <w:rFonts w:hint="eastAsia" w:ascii="Times New Roman" w:hAnsi="Times New Roman" w:eastAsia="仿宋" w:cs="Times New Roman"/>
          <w:b w:val="0"/>
          <w:i w:val="0"/>
          <w:iCs w:val="0"/>
          <w:caps w:val="0"/>
          <w:color w:val="auto"/>
          <w:spacing w:val="0"/>
          <w:kern w:val="0"/>
          <w:position w:val="3"/>
          <w:sz w:val="32"/>
          <w:szCs w:val="32"/>
          <w:highlight w:val="none"/>
          <w:shd w:val="clear" w:color="auto" w:fill="FFFFFF"/>
          <w:lang w:val="en-US" w:eastAsia="zh-CN" w:bidi="ar"/>
        </w:rPr>
        <w:t>联合财政、人社、科农等部门，对接共享相关部门数据，完善社会救助信息管理系统，实现社会救助信息管理系统与财政惠民惠农一卡通资金发放系统无缝对接。</w:t>
      </w:r>
    </w:p>
    <w:p>
      <w:pPr>
        <w:tabs>
          <w:tab w:val="left" w:pos="1911"/>
        </w:tabs>
        <w:spacing w:before="0" w:after="0" w:line="560" w:lineRule="exact"/>
        <w:ind w:firstLine="640" w:firstLineChars="200"/>
        <w:jc w:val="both"/>
        <w:rPr>
          <w:rFonts w:hint="default" w:ascii="Times New Roman" w:hAnsi="Times New Roman" w:eastAsia="仿宋" w:cs="Times New Roman"/>
          <w:color w:val="000000"/>
          <w:kern w:val="0"/>
          <w:sz w:val="32"/>
          <w:szCs w:val="32"/>
          <w:highlight w:val="none"/>
          <w:shd w:val="clear" w:color="auto" w:fill="FFFFFF"/>
          <w:lang w:val="zh-CN" w:eastAsia="zh-CN"/>
        </w:rPr>
      </w:pPr>
      <w:r>
        <w:rPr>
          <w:rFonts w:hint="eastAsia" w:ascii="Times New Roman" w:hAnsi="Times New Roman" w:eastAsia="仿宋" w:cs="Times New Roman"/>
          <w:b w:val="0"/>
          <w:bCs/>
          <w:i w:val="0"/>
          <w:iCs w:val="0"/>
          <w:caps w:val="0"/>
          <w:color w:val="auto"/>
          <w:spacing w:val="0"/>
          <w:kern w:val="0"/>
          <w:sz w:val="32"/>
          <w:szCs w:val="32"/>
          <w:highlight w:val="none"/>
          <w:shd w:val="clear" w:color="auto" w:fill="FFFFFF"/>
          <w:lang w:val="en-US" w:eastAsia="zh-CN" w:bidi="ar"/>
        </w:rPr>
        <w:t>（3）建立救助资金分担机制。</w:t>
      </w:r>
      <w:r>
        <w:rPr>
          <w:rFonts w:hint="eastAsia" w:ascii="Times New Roman" w:hAnsi="Times New Roman" w:eastAsia="仿宋" w:cs="Times New Roman"/>
          <w:b w:val="0"/>
          <w:i w:val="0"/>
          <w:iCs w:val="0"/>
          <w:caps w:val="0"/>
          <w:color w:val="auto"/>
          <w:spacing w:val="0"/>
          <w:kern w:val="0"/>
          <w:sz w:val="32"/>
          <w:szCs w:val="32"/>
          <w:highlight w:val="none"/>
          <w:shd w:val="clear" w:color="auto" w:fill="FFFFFF"/>
          <w:lang w:val="en-US" w:eastAsia="zh-CN" w:bidi="ar"/>
        </w:rPr>
        <w:t>随着困难群众救助标准和水平的不断提升，困难群众救助资金需求进一步加大。我们将在积极争取中央加大对我县困难群众救助资金的支持力度的同时，争取进一步加大县财政投入，建立社会救助资金政府投入和分级负担机制，督促各级按规定落实困难群众救助资金保障兜底责任。</w:t>
      </w:r>
    </w:p>
    <w:p>
      <w:pPr>
        <w:keepNext w:val="0"/>
        <w:keepLines w:val="0"/>
        <w:pageBreakBefore w:val="0"/>
        <w:kinsoku/>
        <w:wordWrap/>
        <w:overflowPunct/>
        <w:topLinePunct w:val="0"/>
        <w:autoSpaceDE/>
        <w:autoSpaceDN/>
        <w:bidi w:val="0"/>
        <w:adjustRightInd/>
        <w:snapToGrid w:val="0"/>
        <w:spacing w:before="0" w:after="0" w:line="560" w:lineRule="exact"/>
        <w:ind w:firstLine="640" w:firstLineChars="200"/>
        <w:jc w:val="both"/>
        <w:textAlignment w:val="auto"/>
        <w:outlineLvl w:val="9"/>
        <w:rPr>
          <w:rFonts w:hint="default" w:ascii="Times New Roman" w:hAnsi="Times New Roman" w:eastAsia="仿宋" w:cs="Times New Roman"/>
          <w:color w:val="000000"/>
          <w:kern w:val="0"/>
          <w:sz w:val="32"/>
          <w:szCs w:val="32"/>
          <w:highlight w:val="none"/>
          <w:shd w:val="clear" w:color="auto" w:fill="FFFFFF"/>
          <w:lang w:val="en-US" w:eastAsia="zh-CN"/>
        </w:rPr>
      </w:pPr>
      <w:r>
        <w:rPr>
          <w:rFonts w:hint="default" w:ascii="Times New Roman" w:hAnsi="Times New Roman" w:eastAsia="仿宋" w:cs="Times New Roman"/>
          <w:b w:val="0"/>
          <w:color w:val="000000"/>
          <w:kern w:val="0"/>
          <w:sz w:val="32"/>
          <w:szCs w:val="32"/>
          <w:highlight w:val="none"/>
          <w:shd w:val="clear" w:color="auto" w:fill="FFFFFF"/>
          <w:lang w:val="en-US" w:eastAsia="zh-CN"/>
        </w:rPr>
        <w:t>附表：1.</w:t>
      </w:r>
      <w:r>
        <w:rPr>
          <w:rFonts w:hint="eastAsia" w:ascii="Times New Roman" w:hAnsi="Times New Roman" w:eastAsia="仿宋" w:cs="Times New Roman"/>
          <w:b w:val="0"/>
          <w:color w:val="000000"/>
          <w:kern w:val="0"/>
          <w:sz w:val="32"/>
          <w:szCs w:val="32"/>
          <w:highlight w:val="none"/>
          <w:shd w:val="clear" w:color="auto" w:fill="FFFFFF"/>
          <w:lang w:val="en-US" w:eastAsia="zh-CN"/>
        </w:rPr>
        <w:t>专项</w:t>
      </w:r>
      <w:r>
        <w:rPr>
          <w:rFonts w:hint="default" w:ascii="Times New Roman" w:hAnsi="Times New Roman" w:eastAsia="仿宋" w:cs="Times New Roman"/>
          <w:b w:val="0"/>
          <w:color w:val="000000"/>
          <w:kern w:val="0"/>
          <w:sz w:val="32"/>
          <w:szCs w:val="32"/>
          <w:highlight w:val="none"/>
          <w:shd w:val="clear" w:color="auto" w:fill="FFFFFF"/>
          <w:lang w:val="en-US" w:eastAsia="zh-CN"/>
        </w:rPr>
        <w:t>预算绩效自评打分表</w:t>
      </w:r>
    </w:p>
    <w:p>
      <w:pPr>
        <w:keepNext w:val="0"/>
        <w:keepLines w:val="0"/>
        <w:pageBreakBefore w:val="0"/>
        <w:kinsoku/>
        <w:wordWrap/>
        <w:overflowPunct/>
        <w:topLinePunct w:val="0"/>
        <w:autoSpaceDE/>
        <w:autoSpaceDN/>
        <w:bidi w:val="0"/>
        <w:adjustRightInd/>
        <w:snapToGrid w:val="0"/>
        <w:spacing w:before="0" w:after="0" w:line="560" w:lineRule="exact"/>
        <w:ind w:firstLine="640" w:firstLineChars="200"/>
        <w:jc w:val="both"/>
        <w:textAlignment w:val="auto"/>
        <w:outlineLvl w:val="9"/>
        <w:rPr>
          <w:rFonts w:hint="default" w:ascii="Times New Roman" w:hAnsi="Times New Roman" w:eastAsia="仿宋" w:cs="Times New Roman"/>
          <w:color w:val="000000"/>
          <w:kern w:val="0"/>
          <w:sz w:val="32"/>
          <w:szCs w:val="32"/>
          <w:highlight w:val="none"/>
          <w:shd w:val="clear" w:color="auto" w:fill="FFFFFF"/>
          <w:lang w:val="en-US" w:eastAsia="zh-CN"/>
        </w:rPr>
      </w:pPr>
      <w:r>
        <w:rPr>
          <w:rFonts w:hint="default" w:ascii="Times New Roman" w:hAnsi="Times New Roman" w:eastAsia="仿宋" w:cs="Times New Roman"/>
          <w:b w:val="0"/>
          <w:color w:val="000000"/>
          <w:kern w:val="0"/>
          <w:sz w:val="32"/>
          <w:szCs w:val="32"/>
          <w:highlight w:val="none"/>
          <w:shd w:val="clear" w:color="auto" w:fill="FFFFFF"/>
          <w:lang w:val="en-US" w:eastAsia="zh-CN"/>
        </w:rPr>
        <w:t>2.专项预算项目绩效目标完成情况自评表</w:t>
      </w:r>
    </w:p>
    <w:p>
      <w:pPr>
        <w:keepNext w:val="0"/>
        <w:keepLines w:val="0"/>
        <w:pageBreakBefore w:val="0"/>
        <w:widowControl w:val="0"/>
        <w:kinsoku/>
        <w:wordWrap/>
        <w:overflowPunct/>
        <w:topLinePunct w:val="0"/>
        <w:autoSpaceDE/>
        <w:autoSpaceDN/>
        <w:bidi w:val="0"/>
        <w:spacing w:before="0" w:after="0" w:line="560" w:lineRule="exact"/>
        <w:jc w:val="both"/>
        <w:textAlignment w:val="auto"/>
        <w:outlineLvl w:val="9"/>
        <w:rPr>
          <w:rFonts w:hint="eastAsia" w:ascii="Times New Roman" w:hAnsi="Times New Roman" w:eastAsia="仿宋" w:cs="仿宋"/>
          <w:b/>
          <w:bCs/>
          <w:kern w:val="0"/>
          <w:position w:val="0"/>
          <w:sz w:val="32"/>
          <w:szCs w:val="32"/>
          <w:highlight w:val="none"/>
          <w:lang w:val="en-US" w:eastAsia="zh-CN" w:bidi="ar-SA"/>
        </w:rPr>
      </w:pPr>
      <w:r>
        <w:rPr>
          <w:rFonts w:hint="eastAsia" w:ascii="Times New Roman" w:hAnsi="Times New Roman" w:eastAsia="仿宋" w:cs="Times New Roman"/>
          <w:b w:val="0"/>
          <w:bCs/>
          <w:kern w:val="0"/>
          <w:position w:val="0"/>
          <w:sz w:val="32"/>
          <w:szCs w:val="32"/>
          <w:highlight w:val="none"/>
          <w:lang w:val="en-US" w:eastAsia="zh-CN" w:bidi="ar-SA"/>
        </w:rPr>
        <w:t>（注：以上绩效自评报告，除涉密敏感内容外，原则上都应予以公开）</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 w:cs="仿宋"/>
          <w:b w:val="0"/>
          <w:bCs w:val="0"/>
          <w:kern w:val="0"/>
          <w:position w:val="0"/>
          <w:sz w:val="32"/>
          <w:szCs w:val="32"/>
          <w:highlight w:val="none"/>
          <w:lang w:val="en-US" w:eastAsia="zh-CN" w:bidi="ar-SA"/>
        </w:rPr>
      </w:pPr>
    </w:p>
    <w:p>
      <w:pPr>
        <w:pStyle w:val="2"/>
        <w:rPr>
          <w:rFonts w:hint="eastAsia" w:ascii="Times New Roman" w:hAnsi="Times New Roman" w:eastAsia="仿宋" w:cs="仿宋"/>
          <w:b w:val="0"/>
          <w:bCs w:val="0"/>
          <w:kern w:val="0"/>
          <w:position w:val="0"/>
          <w:sz w:val="32"/>
          <w:szCs w:val="32"/>
          <w:highlight w:val="none"/>
          <w:lang w:val="en-US" w:eastAsia="zh-CN" w:bidi="ar-SA"/>
        </w:rPr>
      </w:pPr>
    </w:p>
    <w:p>
      <w:pPr>
        <w:rPr>
          <w:rFonts w:hint="eastAsia" w:ascii="Times New Roman" w:hAnsi="Times New Roman" w:eastAsia="仿宋" w:cs="仿宋"/>
          <w:b w:val="0"/>
          <w:bCs w:val="0"/>
          <w:kern w:val="0"/>
          <w:position w:val="0"/>
          <w:sz w:val="32"/>
          <w:szCs w:val="32"/>
          <w:highlight w:val="none"/>
          <w:lang w:val="en-US" w:eastAsia="zh-CN" w:bidi="ar-SA"/>
        </w:rPr>
      </w:pPr>
    </w:p>
    <w:p>
      <w:pPr>
        <w:pStyle w:val="2"/>
        <w:rPr>
          <w:rFonts w:hint="eastAsia" w:ascii="Times New Roman" w:hAnsi="Times New Roman" w:eastAsia="仿宋" w:cs="仿宋"/>
          <w:b w:val="0"/>
          <w:bCs w:val="0"/>
          <w:kern w:val="0"/>
          <w:position w:val="0"/>
          <w:sz w:val="32"/>
          <w:szCs w:val="32"/>
          <w:highlight w:val="none"/>
          <w:lang w:val="en-US" w:eastAsia="zh-CN" w:bidi="ar-SA"/>
        </w:rPr>
      </w:pPr>
    </w:p>
    <w:p>
      <w:pPr>
        <w:rPr>
          <w:rFonts w:hint="eastAsia" w:ascii="Times New Roman" w:hAnsi="Times New Roman" w:eastAsia="仿宋" w:cs="仿宋"/>
          <w:b w:val="0"/>
          <w:bCs w:val="0"/>
          <w:kern w:val="0"/>
          <w:position w:val="0"/>
          <w:sz w:val="32"/>
          <w:szCs w:val="32"/>
          <w:highlight w:val="none"/>
          <w:lang w:val="en-US" w:eastAsia="zh-CN" w:bidi="ar-SA"/>
        </w:rPr>
      </w:pPr>
    </w:p>
    <w:p>
      <w:pPr>
        <w:pStyle w:val="2"/>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eastAsia" w:ascii="Times New Roman" w:hAnsi="Times New Roman" w:eastAsia="黑体" w:cs="Times New Roman"/>
          <w:b w:val="0"/>
          <w:color w:val="auto"/>
          <w:sz w:val="32"/>
          <w:szCs w:val="44"/>
          <w:highlight w:val="none"/>
          <w:lang w:val="zh-CN" w:eastAsia="zh-CN"/>
        </w:rPr>
      </w:pPr>
      <w:bookmarkStart w:id="158" w:name="_Toc19525"/>
      <w:bookmarkStart w:id="159" w:name="_Toc1800"/>
      <w:r>
        <w:rPr>
          <w:rFonts w:hint="eastAsia" w:ascii="Times New Roman" w:hAnsi="Times New Roman" w:eastAsia="黑体" w:cs="Times New Roman"/>
          <w:b w:val="0"/>
          <w:color w:val="auto"/>
          <w:sz w:val="32"/>
          <w:szCs w:val="44"/>
          <w:highlight w:val="none"/>
          <w:lang w:val="zh-CN" w:eastAsia="zh-CN"/>
        </w:rPr>
        <w:t>第五部分 附表</w:t>
      </w:r>
      <w:bookmarkEnd w:id="94"/>
      <w:bookmarkEnd w:id="158"/>
      <w:bookmarkEnd w:id="159"/>
      <w:bookmarkStart w:id="160"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 w:cs="仿宋"/>
          <w:color w:val="auto"/>
          <w:sz w:val="32"/>
          <w:szCs w:val="32"/>
          <w:highlight w:val="none"/>
        </w:rPr>
      </w:pPr>
    </w:p>
    <w:p>
      <w:pPr>
        <w:keepNext w:val="0"/>
        <w:keepLines w:val="0"/>
        <w:pageBreakBefore w:val="0"/>
        <w:kinsoku/>
        <w:wordWrap/>
        <w:overflowPunct/>
        <w:topLinePunct w:val="0"/>
        <w:autoSpaceDE/>
        <w:autoSpaceDN/>
        <w:bidi w:val="0"/>
        <w:adjustRightInd w:val="0"/>
        <w:snapToGrid w:val="0"/>
        <w:spacing w:before="60" w:after="60" w:line="560" w:lineRule="exact"/>
        <w:ind w:firstLine="640" w:firstLineChars="200"/>
        <w:jc w:val="left"/>
        <w:textAlignment w:val="auto"/>
        <w:outlineLvl w:val="0"/>
        <w:rPr>
          <w:rFonts w:hint="eastAsia" w:ascii="Times New Roman" w:hAnsi="Times New Roman" w:eastAsia="仿宋" w:cs="仿宋"/>
          <w:color w:val="auto"/>
          <w:sz w:val="32"/>
          <w:szCs w:val="32"/>
          <w:highlight w:val="none"/>
        </w:rPr>
      </w:pPr>
      <w:bookmarkStart w:id="161" w:name="_Toc2182"/>
      <w:r>
        <w:rPr>
          <w:rFonts w:hint="eastAsia" w:ascii="Times New Roman" w:hAnsi="Times New Roman" w:eastAsia="楷体" w:cs="Times New Roman"/>
          <w:b w:val="0"/>
          <w:color w:val="auto"/>
          <w:sz w:val="32"/>
          <w:szCs w:val="32"/>
          <w:highlight w:val="none"/>
        </w:rPr>
        <w:t>一、收入支出决算总表</w:t>
      </w:r>
      <w:bookmarkEnd w:id="160"/>
      <w:bookmarkEnd w:id="161"/>
    </w:p>
    <w:p>
      <w:pPr>
        <w:keepNext w:val="0"/>
        <w:keepLines w:val="0"/>
        <w:pageBreakBefore w:val="0"/>
        <w:kinsoku/>
        <w:wordWrap/>
        <w:overflowPunct/>
        <w:topLinePunct w:val="0"/>
        <w:autoSpaceDE/>
        <w:autoSpaceDN/>
        <w:bidi w:val="0"/>
        <w:adjustRightInd w:val="0"/>
        <w:snapToGrid w:val="0"/>
        <w:spacing w:before="60" w:after="60" w:line="560" w:lineRule="exact"/>
        <w:ind w:firstLine="640" w:firstLineChars="200"/>
        <w:jc w:val="left"/>
        <w:textAlignment w:val="auto"/>
        <w:outlineLvl w:val="0"/>
        <w:rPr>
          <w:rFonts w:hint="eastAsia" w:ascii="Times New Roman" w:hAnsi="Times New Roman" w:eastAsia="仿宋" w:cs="仿宋"/>
          <w:color w:val="auto"/>
          <w:sz w:val="32"/>
          <w:szCs w:val="32"/>
          <w:highlight w:val="none"/>
        </w:rPr>
      </w:pPr>
      <w:bookmarkStart w:id="162" w:name="_Toc27338"/>
      <w:bookmarkStart w:id="163" w:name="_Toc15396620"/>
      <w:r>
        <w:rPr>
          <w:rFonts w:hint="eastAsia" w:ascii="Times New Roman" w:hAnsi="Times New Roman" w:eastAsia="楷体" w:cs="Times New Roman"/>
          <w:b w:val="0"/>
          <w:color w:val="auto"/>
          <w:sz w:val="32"/>
          <w:szCs w:val="32"/>
          <w:highlight w:val="none"/>
        </w:rPr>
        <w:t>二、收入决算表</w:t>
      </w:r>
      <w:bookmarkEnd w:id="162"/>
      <w:bookmarkEnd w:id="163"/>
    </w:p>
    <w:p>
      <w:pPr>
        <w:keepNext w:val="0"/>
        <w:keepLines w:val="0"/>
        <w:pageBreakBefore w:val="0"/>
        <w:kinsoku/>
        <w:wordWrap/>
        <w:overflowPunct/>
        <w:topLinePunct w:val="0"/>
        <w:autoSpaceDE/>
        <w:autoSpaceDN/>
        <w:bidi w:val="0"/>
        <w:adjustRightInd w:val="0"/>
        <w:snapToGrid w:val="0"/>
        <w:spacing w:before="60" w:after="60" w:line="560" w:lineRule="exact"/>
        <w:ind w:firstLine="640" w:firstLineChars="200"/>
        <w:jc w:val="left"/>
        <w:textAlignment w:val="auto"/>
        <w:outlineLvl w:val="0"/>
        <w:rPr>
          <w:rFonts w:hint="eastAsia" w:ascii="Times New Roman" w:hAnsi="Times New Roman" w:eastAsia="仿宋" w:cs="仿宋"/>
          <w:color w:val="auto"/>
          <w:sz w:val="32"/>
          <w:szCs w:val="32"/>
          <w:highlight w:val="none"/>
        </w:rPr>
      </w:pPr>
      <w:bookmarkStart w:id="164" w:name="_Toc15396621"/>
      <w:bookmarkStart w:id="165" w:name="_Toc16694"/>
      <w:r>
        <w:rPr>
          <w:rFonts w:hint="eastAsia" w:ascii="Times New Roman" w:hAnsi="Times New Roman" w:eastAsia="楷体" w:cs="Times New Roman"/>
          <w:b w:val="0"/>
          <w:color w:val="auto"/>
          <w:sz w:val="32"/>
          <w:szCs w:val="32"/>
          <w:highlight w:val="none"/>
        </w:rPr>
        <w:t>三、支出决算表</w:t>
      </w:r>
      <w:bookmarkEnd w:id="164"/>
      <w:bookmarkEnd w:id="165"/>
    </w:p>
    <w:p>
      <w:pPr>
        <w:keepNext w:val="0"/>
        <w:keepLines w:val="0"/>
        <w:pageBreakBefore w:val="0"/>
        <w:kinsoku/>
        <w:wordWrap/>
        <w:overflowPunct/>
        <w:topLinePunct w:val="0"/>
        <w:autoSpaceDE/>
        <w:autoSpaceDN/>
        <w:bidi w:val="0"/>
        <w:adjustRightInd w:val="0"/>
        <w:snapToGrid w:val="0"/>
        <w:spacing w:before="60" w:after="60" w:line="560" w:lineRule="exact"/>
        <w:ind w:firstLine="640" w:firstLineChars="200"/>
        <w:jc w:val="left"/>
        <w:textAlignment w:val="auto"/>
        <w:outlineLvl w:val="0"/>
        <w:rPr>
          <w:rFonts w:hint="eastAsia" w:ascii="Times New Roman" w:hAnsi="Times New Roman" w:eastAsia="仿宋" w:cs="仿宋"/>
          <w:color w:val="auto"/>
          <w:sz w:val="32"/>
          <w:szCs w:val="32"/>
          <w:highlight w:val="none"/>
        </w:rPr>
      </w:pPr>
      <w:bookmarkStart w:id="166" w:name="_Toc29180"/>
      <w:bookmarkStart w:id="167" w:name="_Toc15396622"/>
      <w:r>
        <w:rPr>
          <w:rFonts w:hint="eastAsia" w:ascii="Times New Roman" w:hAnsi="Times New Roman" w:eastAsia="楷体" w:cs="Times New Roman"/>
          <w:b w:val="0"/>
          <w:color w:val="auto"/>
          <w:sz w:val="32"/>
          <w:szCs w:val="32"/>
          <w:highlight w:val="none"/>
        </w:rPr>
        <w:t>四、财政拨款收入支出决算总表</w:t>
      </w:r>
      <w:bookmarkEnd w:id="166"/>
      <w:bookmarkEnd w:id="167"/>
    </w:p>
    <w:p>
      <w:pPr>
        <w:keepNext w:val="0"/>
        <w:keepLines w:val="0"/>
        <w:pageBreakBefore w:val="0"/>
        <w:kinsoku/>
        <w:wordWrap/>
        <w:overflowPunct/>
        <w:topLinePunct w:val="0"/>
        <w:autoSpaceDE/>
        <w:autoSpaceDN/>
        <w:bidi w:val="0"/>
        <w:adjustRightInd w:val="0"/>
        <w:snapToGrid w:val="0"/>
        <w:spacing w:before="60" w:after="60" w:line="560" w:lineRule="exact"/>
        <w:ind w:firstLine="640" w:firstLineChars="200"/>
        <w:jc w:val="left"/>
        <w:textAlignment w:val="auto"/>
        <w:outlineLvl w:val="0"/>
        <w:rPr>
          <w:rFonts w:hint="eastAsia" w:ascii="Times New Roman" w:hAnsi="Times New Roman" w:eastAsia="仿宋" w:cs="仿宋"/>
          <w:color w:val="auto"/>
          <w:sz w:val="32"/>
          <w:szCs w:val="32"/>
          <w:highlight w:val="none"/>
        </w:rPr>
      </w:pPr>
      <w:bookmarkStart w:id="168" w:name="_Toc122"/>
      <w:bookmarkStart w:id="169" w:name="_Toc15396623"/>
      <w:r>
        <w:rPr>
          <w:rFonts w:hint="eastAsia" w:ascii="Times New Roman" w:hAnsi="Times New Roman" w:eastAsia="楷体" w:cs="Times New Roman"/>
          <w:b w:val="0"/>
          <w:color w:val="auto"/>
          <w:sz w:val="32"/>
          <w:szCs w:val="32"/>
          <w:highlight w:val="none"/>
        </w:rPr>
        <w:t>五、财政拨款支出决算明细表</w:t>
      </w:r>
      <w:bookmarkEnd w:id="168"/>
      <w:bookmarkEnd w:id="169"/>
      <w:bookmarkStart w:id="170" w:name="_Toc15396624"/>
    </w:p>
    <w:p>
      <w:pPr>
        <w:keepNext w:val="0"/>
        <w:keepLines w:val="0"/>
        <w:pageBreakBefore w:val="0"/>
        <w:kinsoku/>
        <w:wordWrap/>
        <w:overflowPunct/>
        <w:topLinePunct w:val="0"/>
        <w:autoSpaceDE/>
        <w:autoSpaceDN/>
        <w:bidi w:val="0"/>
        <w:adjustRightInd w:val="0"/>
        <w:snapToGrid w:val="0"/>
        <w:spacing w:before="60" w:after="60" w:line="560" w:lineRule="exact"/>
        <w:ind w:firstLine="640" w:firstLineChars="200"/>
        <w:jc w:val="left"/>
        <w:textAlignment w:val="auto"/>
        <w:outlineLvl w:val="0"/>
        <w:rPr>
          <w:rFonts w:hint="eastAsia" w:ascii="Times New Roman" w:hAnsi="Times New Roman" w:eastAsia="仿宋" w:cs="仿宋"/>
          <w:color w:val="auto"/>
          <w:sz w:val="32"/>
          <w:szCs w:val="32"/>
          <w:highlight w:val="none"/>
        </w:rPr>
      </w:pPr>
      <w:bookmarkStart w:id="171" w:name="_Toc31677"/>
      <w:r>
        <w:rPr>
          <w:rFonts w:hint="eastAsia" w:ascii="Times New Roman" w:hAnsi="Times New Roman" w:eastAsia="楷体" w:cs="Times New Roman"/>
          <w:b w:val="0"/>
          <w:color w:val="auto"/>
          <w:sz w:val="32"/>
          <w:szCs w:val="32"/>
          <w:highlight w:val="none"/>
        </w:rPr>
        <w:t>六、一般公共预算财政拨款支出决算表</w:t>
      </w:r>
      <w:bookmarkEnd w:id="170"/>
      <w:bookmarkEnd w:id="171"/>
    </w:p>
    <w:p>
      <w:pPr>
        <w:keepNext w:val="0"/>
        <w:keepLines w:val="0"/>
        <w:pageBreakBefore w:val="0"/>
        <w:kinsoku/>
        <w:wordWrap/>
        <w:overflowPunct/>
        <w:topLinePunct w:val="0"/>
        <w:autoSpaceDE/>
        <w:autoSpaceDN/>
        <w:bidi w:val="0"/>
        <w:adjustRightInd w:val="0"/>
        <w:snapToGrid w:val="0"/>
        <w:spacing w:before="60" w:after="60" w:line="560" w:lineRule="exact"/>
        <w:ind w:firstLine="640" w:firstLineChars="200"/>
        <w:jc w:val="left"/>
        <w:textAlignment w:val="auto"/>
        <w:outlineLvl w:val="0"/>
        <w:rPr>
          <w:rFonts w:hint="eastAsia" w:ascii="Times New Roman" w:hAnsi="Times New Roman" w:eastAsia="仿宋" w:cs="仿宋"/>
          <w:color w:val="auto"/>
          <w:sz w:val="32"/>
          <w:szCs w:val="32"/>
          <w:highlight w:val="none"/>
        </w:rPr>
      </w:pPr>
      <w:bookmarkStart w:id="172" w:name="_Toc15396625"/>
      <w:bookmarkStart w:id="173" w:name="_Toc14890"/>
      <w:r>
        <w:rPr>
          <w:rFonts w:hint="eastAsia" w:ascii="Times New Roman" w:hAnsi="Times New Roman" w:eastAsia="楷体" w:cs="Times New Roman"/>
          <w:b w:val="0"/>
          <w:color w:val="auto"/>
          <w:sz w:val="32"/>
          <w:szCs w:val="32"/>
          <w:highlight w:val="none"/>
        </w:rPr>
        <w:t>七、一般公共预算财政拨款支出决算明细表</w:t>
      </w:r>
      <w:bookmarkEnd w:id="172"/>
      <w:bookmarkEnd w:id="173"/>
    </w:p>
    <w:p>
      <w:pPr>
        <w:keepNext w:val="0"/>
        <w:keepLines w:val="0"/>
        <w:pageBreakBefore w:val="0"/>
        <w:kinsoku/>
        <w:wordWrap/>
        <w:overflowPunct/>
        <w:topLinePunct w:val="0"/>
        <w:autoSpaceDE/>
        <w:autoSpaceDN/>
        <w:bidi w:val="0"/>
        <w:adjustRightInd w:val="0"/>
        <w:snapToGrid w:val="0"/>
        <w:spacing w:before="60" w:after="60" w:line="560" w:lineRule="exact"/>
        <w:ind w:firstLine="640" w:firstLineChars="200"/>
        <w:jc w:val="left"/>
        <w:textAlignment w:val="auto"/>
        <w:outlineLvl w:val="0"/>
        <w:rPr>
          <w:rFonts w:hint="eastAsia" w:ascii="Times New Roman" w:hAnsi="Times New Roman" w:eastAsia="仿宋" w:cs="仿宋"/>
          <w:color w:val="auto"/>
          <w:sz w:val="32"/>
          <w:szCs w:val="32"/>
          <w:highlight w:val="none"/>
        </w:rPr>
      </w:pPr>
      <w:bookmarkStart w:id="174" w:name="_Toc16630"/>
      <w:bookmarkStart w:id="175" w:name="_Toc15396626"/>
      <w:r>
        <w:rPr>
          <w:rFonts w:hint="eastAsia" w:ascii="Times New Roman" w:hAnsi="Times New Roman" w:eastAsia="楷体" w:cs="Times New Roman"/>
          <w:b w:val="0"/>
          <w:color w:val="auto"/>
          <w:sz w:val="32"/>
          <w:szCs w:val="32"/>
          <w:highlight w:val="none"/>
        </w:rPr>
        <w:t>八、一般公共预算财政拨款基本支出决算表</w:t>
      </w:r>
      <w:bookmarkEnd w:id="174"/>
      <w:bookmarkEnd w:id="175"/>
    </w:p>
    <w:p>
      <w:pPr>
        <w:keepNext w:val="0"/>
        <w:keepLines w:val="0"/>
        <w:pageBreakBefore w:val="0"/>
        <w:kinsoku/>
        <w:wordWrap/>
        <w:overflowPunct/>
        <w:topLinePunct w:val="0"/>
        <w:autoSpaceDE/>
        <w:autoSpaceDN/>
        <w:bidi w:val="0"/>
        <w:adjustRightInd w:val="0"/>
        <w:snapToGrid w:val="0"/>
        <w:spacing w:before="60" w:after="60" w:line="560" w:lineRule="exact"/>
        <w:ind w:firstLine="640" w:firstLineChars="200"/>
        <w:jc w:val="left"/>
        <w:textAlignment w:val="auto"/>
        <w:outlineLvl w:val="0"/>
        <w:rPr>
          <w:rFonts w:hint="eastAsia" w:ascii="Times New Roman" w:hAnsi="Times New Roman" w:eastAsia="仿宋" w:cs="仿宋"/>
          <w:color w:val="auto"/>
          <w:sz w:val="32"/>
          <w:szCs w:val="32"/>
          <w:highlight w:val="none"/>
        </w:rPr>
      </w:pPr>
      <w:bookmarkStart w:id="176" w:name="_Toc11854"/>
      <w:bookmarkStart w:id="177" w:name="_Toc15396627"/>
      <w:r>
        <w:rPr>
          <w:rFonts w:hint="eastAsia" w:ascii="Times New Roman" w:hAnsi="Times New Roman" w:eastAsia="楷体" w:cs="Times New Roman"/>
          <w:b w:val="0"/>
          <w:color w:val="auto"/>
          <w:sz w:val="32"/>
          <w:szCs w:val="32"/>
          <w:highlight w:val="none"/>
        </w:rPr>
        <w:t>九、一般公共预算财政拨款项目支出决算表</w:t>
      </w:r>
      <w:bookmarkEnd w:id="176"/>
      <w:bookmarkEnd w:id="177"/>
    </w:p>
    <w:p>
      <w:pPr>
        <w:keepNext w:val="0"/>
        <w:keepLines w:val="0"/>
        <w:pageBreakBefore w:val="0"/>
        <w:kinsoku/>
        <w:wordWrap/>
        <w:overflowPunct/>
        <w:topLinePunct w:val="0"/>
        <w:autoSpaceDE/>
        <w:autoSpaceDN/>
        <w:bidi w:val="0"/>
        <w:adjustRightInd w:val="0"/>
        <w:snapToGrid w:val="0"/>
        <w:spacing w:before="60" w:after="60" w:line="560" w:lineRule="exact"/>
        <w:ind w:firstLine="640" w:firstLineChars="200"/>
        <w:jc w:val="left"/>
        <w:textAlignment w:val="auto"/>
        <w:outlineLvl w:val="0"/>
        <w:rPr>
          <w:rFonts w:hint="eastAsia" w:ascii="Times New Roman" w:hAnsi="Times New Roman" w:eastAsia="仿宋" w:cs="仿宋"/>
          <w:color w:val="auto"/>
          <w:sz w:val="32"/>
          <w:szCs w:val="32"/>
          <w:highlight w:val="none"/>
        </w:rPr>
      </w:pPr>
      <w:bookmarkStart w:id="178" w:name="_Toc15396628"/>
      <w:bookmarkStart w:id="179" w:name="_Toc18751"/>
      <w:r>
        <w:rPr>
          <w:rFonts w:hint="eastAsia" w:ascii="Times New Roman" w:hAnsi="Times New Roman" w:eastAsia="楷体" w:cs="Times New Roman"/>
          <w:b w:val="0"/>
          <w:color w:val="auto"/>
          <w:sz w:val="32"/>
          <w:szCs w:val="32"/>
          <w:highlight w:val="none"/>
        </w:rPr>
        <w:t>十、</w:t>
      </w:r>
      <w:bookmarkEnd w:id="178"/>
      <w:r>
        <w:rPr>
          <w:rFonts w:hint="eastAsia" w:ascii="Times New Roman" w:hAnsi="Times New Roman" w:eastAsia="楷体" w:cs="Times New Roman"/>
          <w:b w:val="0"/>
          <w:color w:val="auto"/>
          <w:sz w:val="32"/>
          <w:szCs w:val="32"/>
          <w:highlight w:val="none"/>
        </w:rPr>
        <w:t>政府性基金预算财政拨款收入支出决算表</w:t>
      </w:r>
      <w:bookmarkEnd w:id="179"/>
    </w:p>
    <w:p>
      <w:pPr>
        <w:keepNext w:val="0"/>
        <w:keepLines w:val="0"/>
        <w:pageBreakBefore w:val="0"/>
        <w:kinsoku/>
        <w:wordWrap/>
        <w:overflowPunct/>
        <w:topLinePunct w:val="0"/>
        <w:autoSpaceDE/>
        <w:autoSpaceDN/>
        <w:bidi w:val="0"/>
        <w:adjustRightInd w:val="0"/>
        <w:snapToGrid w:val="0"/>
        <w:spacing w:before="60" w:after="60" w:line="560" w:lineRule="exact"/>
        <w:ind w:firstLine="640" w:firstLineChars="200"/>
        <w:jc w:val="left"/>
        <w:textAlignment w:val="auto"/>
        <w:outlineLvl w:val="0"/>
        <w:rPr>
          <w:rFonts w:hint="eastAsia" w:ascii="Times New Roman" w:hAnsi="Times New Roman" w:eastAsia="仿宋" w:cs="仿宋"/>
          <w:color w:val="auto"/>
          <w:sz w:val="32"/>
          <w:szCs w:val="32"/>
          <w:highlight w:val="none"/>
        </w:rPr>
      </w:pPr>
      <w:bookmarkStart w:id="180" w:name="_Toc15396629"/>
      <w:bookmarkStart w:id="181" w:name="_Toc22252"/>
      <w:r>
        <w:rPr>
          <w:rFonts w:hint="eastAsia" w:ascii="Times New Roman" w:hAnsi="Times New Roman" w:eastAsia="楷体" w:cs="Times New Roman"/>
          <w:b w:val="0"/>
          <w:color w:val="auto"/>
          <w:sz w:val="32"/>
          <w:szCs w:val="32"/>
          <w:highlight w:val="none"/>
        </w:rPr>
        <w:t>十一、</w:t>
      </w:r>
      <w:bookmarkEnd w:id="180"/>
      <w:r>
        <w:rPr>
          <w:rFonts w:hint="eastAsia" w:ascii="Times New Roman" w:hAnsi="Times New Roman" w:eastAsia="楷体" w:cs="Times New Roman"/>
          <w:b w:val="0"/>
          <w:color w:val="auto"/>
          <w:sz w:val="32"/>
          <w:szCs w:val="32"/>
          <w:highlight w:val="none"/>
        </w:rPr>
        <w:t>国有资本经营预算</w:t>
      </w:r>
      <w:r>
        <w:rPr>
          <w:rFonts w:hint="eastAsia" w:ascii="Times New Roman" w:hAnsi="Times New Roman" w:eastAsia="楷体" w:cs="Times New Roman"/>
          <w:b w:val="0"/>
          <w:color w:val="auto"/>
          <w:sz w:val="32"/>
          <w:szCs w:val="32"/>
          <w:highlight w:val="none"/>
          <w:lang w:eastAsia="zh-CN"/>
        </w:rPr>
        <w:t>财政拨款收入</w:t>
      </w:r>
      <w:r>
        <w:rPr>
          <w:rFonts w:hint="eastAsia" w:ascii="Times New Roman" w:hAnsi="Times New Roman" w:eastAsia="楷体" w:cs="Times New Roman"/>
          <w:b w:val="0"/>
          <w:color w:val="auto"/>
          <w:sz w:val="32"/>
          <w:szCs w:val="32"/>
          <w:highlight w:val="none"/>
        </w:rPr>
        <w:t>支出决算表</w:t>
      </w:r>
      <w:bookmarkEnd w:id="181"/>
    </w:p>
    <w:p>
      <w:pPr>
        <w:keepNext w:val="0"/>
        <w:keepLines w:val="0"/>
        <w:pageBreakBefore w:val="0"/>
        <w:kinsoku/>
        <w:wordWrap/>
        <w:overflowPunct/>
        <w:topLinePunct w:val="0"/>
        <w:autoSpaceDE/>
        <w:autoSpaceDN/>
        <w:bidi w:val="0"/>
        <w:adjustRightInd w:val="0"/>
        <w:snapToGrid w:val="0"/>
        <w:spacing w:before="60" w:after="60" w:line="560" w:lineRule="exact"/>
        <w:ind w:firstLine="640" w:firstLineChars="200"/>
        <w:jc w:val="left"/>
        <w:textAlignment w:val="auto"/>
        <w:outlineLvl w:val="0"/>
        <w:rPr>
          <w:rFonts w:hint="eastAsia" w:ascii="Times New Roman" w:hAnsi="Times New Roman" w:eastAsia="仿宋" w:cs="仿宋"/>
          <w:color w:val="auto"/>
          <w:sz w:val="32"/>
          <w:szCs w:val="32"/>
          <w:highlight w:val="none"/>
        </w:rPr>
      </w:pPr>
      <w:bookmarkStart w:id="182" w:name="_Toc15396630"/>
      <w:bookmarkStart w:id="183" w:name="_Toc15383"/>
      <w:r>
        <w:rPr>
          <w:rFonts w:hint="eastAsia" w:ascii="Times New Roman" w:hAnsi="Times New Roman" w:eastAsia="楷体" w:cs="Times New Roman"/>
          <w:b w:val="0"/>
          <w:color w:val="auto"/>
          <w:sz w:val="32"/>
          <w:szCs w:val="32"/>
          <w:highlight w:val="none"/>
        </w:rPr>
        <w:t>十二、</w:t>
      </w:r>
      <w:bookmarkEnd w:id="182"/>
      <w:r>
        <w:rPr>
          <w:rFonts w:hint="eastAsia" w:ascii="Times New Roman" w:hAnsi="Times New Roman" w:eastAsia="楷体" w:cs="Times New Roman"/>
          <w:b w:val="0"/>
          <w:color w:val="auto"/>
          <w:sz w:val="32"/>
          <w:szCs w:val="32"/>
          <w:highlight w:val="none"/>
          <w:lang w:eastAsia="zh-CN"/>
        </w:rPr>
        <w:t>国有资本经营预算财政拨款支出决算表</w:t>
      </w:r>
      <w:bookmarkEnd w:id="183"/>
    </w:p>
    <w:p>
      <w:pPr>
        <w:keepNext w:val="0"/>
        <w:keepLines w:val="0"/>
        <w:pageBreakBefore w:val="0"/>
        <w:kinsoku/>
        <w:wordWrap/>
        <w:overflowPunct/>
        <w:topLinePunct w:val="0"/>
        <w:autoSpaceDE/>
        <w:autoSpaceDN/>
        <w:bidi w:val="0"/>
        <w:adjustRightInd w:val="0"/>
        <w:snapToGrid w:val="0"/>
        <w:spacing w:before="60" w:after="60" w:line="560" w:lineRule="exact"/>
        <w:ind w:firstLine="640" w:firstLineChars="200"/>
        <w:jc w:val="left"/>
        <w:textAlignment w:val="auto"/>
        <w:outlineLvl w:val="0"/>
        <w:rPr>
          <w:rFonts w:hint="eastAsia" w:ascii="Times New Roman" w:hAnsi="Times New Roman" w:eastAsia="仿宋" w:cs="仿宋"/>
          <w:color w:val="auto"/>
          <w:sz w:val="32"/>
          <w:szCs w:val="32"/>
          <w:highlight w:val="none"/>
          <w:lang w:eastAsia="zh-CN"/>
        </w:rPr>
      </w:pPr>
      <w:bookmarkStart w:id="184" w:name="_Toc15396631"/>
      <w:bookmarkStart w:id="185" w:name="_Toc9450"/>
      <w:r>
        <w:rPr>
          <w:rFonts w:hint="eastAsia" w:ascii="Times New Roman" w:hAnsi="Times New Roman" w:eastAsia="楷体" w:cs="Times New Roman"/>
          <w:b w:val="0"/>
          <w:color w:val="auto"/>
          <w:sz w:val="32"/>
          <w:szCs w:val="32"/>
          <w:highlight w:val="none"/>
        </w:rPr>
        <w:t>十三、</w:t>
      </w:r>
      <w:bookmarkEnd w:id="184"/>
      <w:r>
        <w:rPr>
          <w:rFonts w:hint="eastAsia" w:ascii="Times New Roman" w:hAnsi="Times New Roman" w:eastAsia="楷体" w:cs="Times New Roman"/>
          <w:b w:val="0"/>
          <w:color w:val="auto"/>
          <w:sz w:val="32"/>
          <w:szCs w:val="32"/>
          <w:highlight w:val="none"/>
          <w:lang w:eastAsia="zh-CN"/>
        </w:rPr>
        <w:t>财政拨款“三公”经费支出决算表</w:t>
      </w:r>
      <w:bookmarkEnd w:id="185"/>
    </w:p>
    <w:p>
      <w:pPr>
        <w:rPr>
          <w:rFonts w:hint="eastAsia" w:ascii="Times New Roman" w:hAnsi="Times New Roman"/>
          <w:lang w:eastAsia="zh-CN"/>
        </w:rPr>
      </w:pPr>
    </w:p>
    <w:sectPr>
      <w:footerReference r:id="rId5" w:type="first"/>
      <w:headerReference r:id="rId3" w:type="default"/>
      <w:footerReference r:id="rId4"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文泉驿正黑">
    <w:panose1 w:val="02000603000000000000"/>
    <w:charset w:val="86"/>
    <w:family w:val="auto"/>
    <w:pitch w:val="default"/>
    <w:sig w:usb0="900002BF" w:usb1="2BDF7DFB" w:usb2="00000036" w:usb3="00000000" w:csb0="603E000D" w:csb1="D2D7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11"/>
                    </w:pPr>
                    <w: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t xml:space="preserve"> —</w:t>
                    </w:r>
                  </w:p>
                </w:txbxContent>
              </v:textbox>
            </v:shape>
          </w:pict>
        </mc:Fallback>
      </mc:AlternateContent>
    </w: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ADFFC0"/>
    <w:multiLevelType w:val="singleLevel"/>
    <w:tmpl w:val="BEADFFC0"/>
    <w:lvl w:ilvl="0" w:tentative="0">
      <w:start w:val="3"/>
      <w:numFmt w:val="decimal"/>
      <w:suff w:val="nothing"/>
      <w:lvlText w:val="（%1）"/>
      <w:lvlJc w:val="left"/>
    </w:lvl>
  </w:abstractNum>
  <w:abstractNum w:abstractNumId="1">
    <w:nsid w:val="E017C1C5"/>
    <w:multiLevelType w:val="singleLevel"/>
    <w:tmpl w:val="E017C1C5"/>
    <w:lvl w:ilvl="0" w:tentative="0">
      <w:start w:val="2"/>
      <w:numFmt w:val="chineseCounting"/>
      <w:suff w:val="nothing"/>
      <w:lvlText w:val="（%1）"/>
      <w:lvlJc w:val="left"/>
      <w:rPr>
        <w:rFonts w:hint="eastAsia"/>
      </w:rPr>
    </w:lvl>
  </w:abstractNum>
  <w:abstractNum w:abstractNumId="2">
    <w:nsid w:val="F15F0855"/>
    <w:multiLevelType w:val="singleLevel"/>
    <w:tmpl w:val="F15F0855"/>
    <w:lvl w:ilvl="0" w:tentative="0">
      <w:start w:val="2"/>
      <w:numFmt w:val="chineseCounting"/>
      <w:suff w:val="nothing"/>
      <w:lvlText w:val="（%1）"/>
      <w:lvlJc w:val="left"/>
      <w:rPr>
        <w:rFonts w:hint="eastAsia"/>
      </w:rPr>
    </w:lvl>
  </w:abstractNum>
  <w:abstractNum w:abstractNumId="3">
    <w:nsid w:val="2BE47E2B"/>
    <w:multiLevelType w:val="singleLevel"/>
    <w:tmpl w:val="2BE47E2B"/>
    <w:lvl w:ilvl="0" w:tentative="0">
      <w:start w:val="1"/>
      <w:numFmt w:val="decimal"/>
      <w:suff w:val="nothing"/>
      <w:lvlText w:val="（%1）"/>
      <w:lvlJc w:val="left"/>
    </w:lvl>
  </w:abstractNum>
  <w:abstractNum w:abstractNumId="4">
    <w:nsid w:val="665C56A1"/>
    <w:multiLevelType w:val="singleLevel"/>
    <w:tmpl w:val="665C56A1"/>
    <w:lvl w:ilvl="0" w:tentative="0">
      <w:start w:val="6"/>
      <w:numFmt w:val="chineseCounting"/>
      <w:suff w:val="nothing"/>
      <w:lvlText w:val="%1、"/>
      <w:lvlJc w:val="left"/>
      <w:rPr>
        <w:rFonts w:hint="eastAsia"/>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47F71A8"/>
    <w:rsid w:val="061E35DE"/>
    <w:rsid w:val="066E0107"/>
    <w:rsid w:val="07996F6E"/>
    <w:rsid w:val="07DFD8BA"/>
    <w:rsid w:val="08B904A0"/>
    <w:rsid w:val="08DB07E4"/>
    <w:rsid w:val="09867E8F"/>
    <w:rsid w:val="0A2032A3"/>
    <w:rsid w:val="0C6C4794"/>
    <w:rsid w:val="0CA8290A"/>
    <w:rsid w:val="0D0D0288"/>
    <w:rsid w:val="0D35B1ED"/>
    <w:rsid w:val="0DE07E2B"/>
    <w:rsid w:val="0E3902D8"/>
    <w:rsid w:val="0EE91E83"/>
    <w:rsid w:val="0F98263C"/>
    <w:rsid w:val="0FD9494D"/>
    <w:rsid w:val="101860EC"/>
    <w:rsid w:val="10C055FF"/>
    <w:rsid w:val="11772AA4"/>
    <w:rsid w:val="118107EC"/>
    <w:rsid w:val="119B5742"/>
    <w:rsid w:val="12070D49"/>
    <w:rsid w:val="13D50BC4"/>
    <w:rsid w:val="14022904"/>
    <w:rsid w:val="14921887"/>
    <w:rsid w:val="152F2A07"/>
    <w:rsid w:val="15AA1C40"/>
    <w:rsid w:val="1606331B"/>
    <w:rsid w:val="163B0AEA"/>
    <w:rsid w:val="165E0673"/>
    <w:rsid w:val="16BB723D"/>
    <w:rsid w:val="17C36CDD"/>
    <w:rsid w:val="186504BB"/>
    <w:rsid w:val="19010996"/>
    <w:rsid w:val="1938089F"/>
    <w:rsid w:val="19A445FC"/>
    <w:rsid w:val="1A960208"/>
    <w:rsid w:val="1B7D550C"/>
    <w:rsid w:val="1BE8440E"/>
    <w:rsid w:val="1D155CEE"/>
    <w:rsid w:val="1E740ACF"/>
    <w:rsid w:val="1E782CDA"/>
    <w:rsid w:val="1FF35744"/>
    <w:rsid w:val="1FF6BC77"/>
    <w:rsid w:val="21962A9E"/>
    <w:rsid w:val="21AE7C77"/>
    <w:rsid w:val="22BC3C41"/>
    <w:rsid w:val="23860B96"/>
    <w:rsid w:val="240371BF"/>
    <w:rsid w:val="245E43B2"/>
    <w:rsid w:val="24DB1E16"/>
    <w:rsid w:val="260F557C"/>
    <w:rsid w:val="281408E2"/>
    <w:rsid w:val="29FD04D3"/>
    <w:rsid w:val="2BFF7BC6"/>
    <w:rsid w:val="2C4D184B"/>
    <w:rsid w:val="2C8A61B5"/>
    <w:rsid w:val="2D2E01CF"/>
    <w:rsid w:val="2DD46524"/>
    <w:rsid w:val="2DF04E50"/>
    <w:rsid w:val="2E9545B0"/>
    <w:rsid w:val="2EC90F31"/>
    <w:rsid w:val="2F040D46"/>
    <w:rsid w:val="2FAE5751"/>
    <w:rsid w:val="2FB1A395"/>
    <w:rsid w:val="2FD9A7D8"/>
    <w:rsid w:val="319F7F4E"/>
    <w:rsid w:val="321B2544"/>
    <w:rsid w:val="32601BAD"/>
    <w:rsid w:val="32725126"/>
    <w:rsid w:val="3304709D"/>
    <w:rsid w:val="34281836"/>
    <w:rsid w:val="349D6851"/>
    <w:rsid w:val="35BA6CAF"/>
    <w:rsid w:val="364D14C1"/>
    <w:rsid w:val="36AA5135"/>
    <w:rsid w:val="36BE0DA7"/>
    <w:rsid w:val="376B6AA6"/>
    <w:rsid w:val="376D39B2"/>
    <w:rsid w:val="37E16F03"/>
    <w:rsid w:val="37F53A3B"/>
    <w:rsid w:val="388303A3"/>
    <w:rsid w:val="389B6C89"/>
    <w:rsid w:val="38D469F0"/>
    <w:rsid w:val="39627CCD"/>
    <w:rsid w:val="397BAF1F"/>
    <w:rsid w:val="3AB79AF3"/>
    <w:rsid w:val="3B7EF35A"/>
    <w:rsid w:val="3B9FDB6C"/>
    <w:rsid w:val="3BA31D36"/>
    <w:rsid w:val="3BEB0739"/>
    <w:rsid w:val="3BF5BC2F"/>
    <w:rsid w:val="3CEBA265"/>
    <w:rsid w:val="3D98207C"/>
    <w:rsid w:val="3D9B0D99"/>
    <w:rsid w:val="3DEE7CF3"/>
    <w:rsid w:val="3DF02244"/>
    <w:rsid w:val="3DF97B88"/>
    <w:rsid w:val="3E78745D"/>
    <w:rsid w:val="3FF4CAE0"/>
    <w:rsid w:val="3FF7B227"/>
    <w:rsid w:val="405C34E6"/>
    <w:rsid w:val="40E54C45"/>
    <w:rsid w:val="42C92DB7"/>
    <w:rsid w:val="43A407DF"/>
    <w:rsid w:val="44515BEA"/>
    <w:rsid w:val="44E268DA"/>
    <w:rsid w:val="453F7E5B"/>
    <w:rsid w:val="47AD0F98"/>
    <w:rsid w:val="486A6C7A"/>
    <w:rsid w:val="49176D9B"/>
    <w:rsid w:val="4A627F82"/>
    <w:rsid w:val="4B0E749A"/>
    <w:rsid w:val="4B4F25DA"/>
    <w:rsid w:val="4BB06F8B"/>
    <w:rsid w:val="4BCE46B2"/>
    <w:rsid w:val="4BDA0CFB"/>
    <w:rsid w:val="4BE068DB"/>
    <w:rsid w:val="4CB15087"/>
    <w:rsid w:val="4D3C0CCC"/>
    <w:rsid w:val="4D577224"/>
    <w:rsid w:val="4D7E7E2E"/>
    <w:rsid w:val="4DBF1CEB"/>
    <w:rsid w:val="4DE66FB2"/>
    <w:rsid w:val="4E027201"/>
    <w:rsid w:val="4EAB630A"/>
    <w:rsid w:val="4ECE2238"/>
    <w:rsid w:val="4F833267"/>
    <w:rsid w:val="4FE9BD67"/>
    <w:rsid w:val="4FFB052F"/>
    <w:rsid w:val="51B55619"/>
    <w:rsid w:val="53083A92"/>
    <w:rsid w:val="537E6D0A"/>
    <w:rsid w:val="53AF27A2"/>
    <w:rsid w:val="53F74C96"/>
    <w:rsid w:val="54EE46AC"/>
    <w:rsid w:val="56E47B74"/>
    <w:rsid w:val="57BD3DD4"/>
    <w:rsid w:val="5AF92295"/>
    <w:rsid w:val="5B1B5084"/>
    <w:rsid w:val="5B402DD7"/>
    <w:rsid w:val="5BDD79E6"/>
    <w:rsid w:val="5BF561CA"/>
    <w:rsid w:val="5BFF5DFC"/>
    <w:rsid w:val="5C9E219F"/>
    <w:rsid w:val="5CD71FC4"/>
    <w:rsid w:val="5D1F11B5"/>
    <w:rsid w:val="5DAE1B18"/>
    <w:rsid w:val="5DE7D9E5"/>
    <w:rsid w:val="5E9135EE"/>
    <w:rsid w:val="5ECEC941"/>
    <w:rsid w:val="5F493CB7"/>
    <w:rsid w:val="5FBF9FF3"/>
    <w:rsid w:val="5FCD4E2C"/>
    <w:rsid w:val="5FD15F49"/>
    <w:rsid w:val="5FEF394A"/>
    <w:rsid w:val="5FF67715"/>
    <w:rsid w:val="60EB64F4"/>
    <w:rsid w:val="62BF3928"/>
    <w:rsid w:val="62C92CD3"/>
    <w:rsid w:val="647F5392"/>
    <w:rsid w:val="664B1D71"/>
    <w:rsid w:val="67AA3209"/>
    <w:rsid w:val="681C4F0D"/>
    <w:rsid w:val="68EF1826"/>
    <w:rsid w:val="69046D0F"/>
    <w:rsid w:val="698D0931"/>
    <w:rsid w:val="6A993CED"/>
    <w:rsid w:val="6AE94193"/>
    <w:rsid w:val="6B053271"/>
    <w:rsid w:val="6BCE6674"/>
    <w:rsid w:val="6C105330"/>
    <w:rsid w:val="6C4A05C8"/>
    <w:rsid w:val="6C643A6C"/>
    <w:rsid w:val="6C8742B8"/>
    <w:rsid w:val="6C8A170F"/>
    <w:rsid w:val="6CB54609"/>
    <w:rsid w:val="6DBF5E93"/>
    <w:rsid w:val="6DFF077E"/>
    <w:rsid w:val="6E527202"/>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0E3001A"/>
    <w:rsid w:val="712A28F1"/>
    <w:rsid w:val="715C0E4B"/>
    <w:rsid w:val="72233669"/>
    <w:rsid w:val="72734D90"/>
    <w:rsid w:val="72EF10C6"/>
    <w:rsid w:val="7332FE48"/>
    <w:rsid w:val="73AB61DA"/>
    <w:rsid w:val="73AD73D5"/>
    <w:rsid w:val="73B6EB34"/>
    <w:rsid w:val="73FA497D"/>
    <w:rsid w:val="744731E5"/>
    <w:rsid w:val="74527205"/>
    <w:rsid w:val="74BBD01D"/>
    <w:rsid w:val="74ED5379"/>
    <w:rsid w:val="74FC2395"/>
    <w:rsid w:val="75DEEEC2"/>
    <w:rsid w:val="75FAB0C3"/>
    <w:rsid w:val="76E3355F"/>
    <w:rsid w:val="76FF5125"/>
    <w:rsid w:val="776F6FFA"/>
    <w:rsid w:val="778769C8"/>
    <w:rsid w:val="77DC22F5"/>
    <w:rsid w:val="79086DAD"/>
    <w:rsid w:val="799022FC"/>
    <w:rsid w:val="79974F09"/>
    <w:rsid w:val="79D7FD79"/>
    <w:rsid w:val="79EE5BA4"/>
    <w:rsid w:val="7A894339"/>
    <w:rsid w:val="7AFF7572"/>
    <w:rsid w:val="7B6C7DFB"/>
    <w:rsid w:val="7BBFBED0"/>
    <w:rsid w:val="7BC3E394"/>
    <w:rsid w:val="7C1F3737"/>
    <w:rsid w:val="7C481224"/>
    <w:rsid w:val="7CBFC87B"/>
    <w:rsid w:val="7CFE0F48"/>
    <w:rsid w:val="7D1B1F9D"/>
    <w:rsid w:val="7D472D1A"/>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4173"/>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400" w:leftChars="200" w:hanging="200" w:hangingChars="200"/>
    </w:pPr>
    <w:rPr>
      <w:rFonts w:ascii="Times New Roman" w:hAnsi="Times New Roman" w:eastAsia="宋体" w:cs="Times New Roman"/>
    </w:rPr>
  </w:style>
  <w:style w:type="paragraph" w:styleId="6">
    <w:name w:val="Body Text"/>
    <w:basedOn w:val="1"/>
    <w:link w:val="26"/>
    <w:qFormat/>
    <w:uiPriority w:val="99"/>
    <w:pPr>
      <w:spacing w:beforeLines="30"/>
    </w:pPr>
    <w:rPr>
      <w:rFonts w:ascii="仿宋" w:eastAsia="仿宋"/>
      <w:kern w:val="0"/>
      <w:sz w:val="30"/>
    </w:rPr>
  </w:style>
  <w:style w:type="paragraph" w:styleId="7">
    <w:name w:val="Body Text Indent"/>
    <w:basedOn w:val="1"/>
    <w:next w:val="8"/>
    <w:qFormat/>
    <w:uiPriority w:val="0"/>
    <w:pPr>
      <w:spacing w:after="120"/>
      <w:ind w:leftChars="200"/>
    </w:pPr>
    <w:rPr>
      <w:rFonts w:ascii="仿宋"/>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6"/>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 w:hAnsi="Times New Roman" w:eastAsia="仿宋"/>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WPSOffice手动目录 1"/>
    <w:qFormat/>
    <w:uiPriority w:val="0"/>
    <w:pPr>
      <w:ind w:leftChars="0"/>
    </w:pPr>
    <w:rPr>
      <w:rFonts w:ascii="Times New Roman" w:hAnsi="Times New Roman" w:eastAsia="宋体" w:cs="Times New Roman"/>
      <w:sz w:val="20"/>
      <w:szCs w:val="20"/>
    </w:rPr>
  </w:style>
  <w:style w:type="paragraph" w:customStyle="1" w:styleId="37">
    <w:name w:val="WPSOffice手动目录 2"/>
    <w:uiPriority w:val="0"/>
    <w:pPr>
      <w:ind w:leftChars="200"/>
    </w:pPr>
    <w:rPr>
      <w:rFonts w:ascii="Times New Roman" w:hAnsi="Times New Roman" w:eastAsia="宋体" w:cs="Times New Roman"/>
      <w:sz w:val="20"/>
      <w:szCs w:val="20"/>
    </w:rPr>
  </w:style>
  <w:style w:type="paragraph" w:customStyle="1" w:styleId="38">
    <w:name w:val="WPSOffice手动目录 3"/>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2024年收入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Sheet1!$B$2</c:f>
              <c:numCache>
                <c:formatCode>General</c:formatCode>
                <c:ptCount val="1"/>
                <c:pt idx="0">
                  <c:v>8970.69</c:v>
                </c:pt>
              </c:numCache>
            </c:numRef>
          </c:val>
        </c:ser>
        <c:ser>
          <c:idx val="1"/>
          <c:order val="1"/>
          <c:tx>
            <c:strRef>
              <c:f>Sheet1!$C$1</c:f>
              <c:strCache>
                <c:ptCount val="1"/>
                <c:pt idx="0">
                  <c:v>2025年收入</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Sheet1!$C$2</c:f>
              <c:numCache>
                <c:formatCode>General</c:formatCode>
                <c:ptCount val="1"/>
                <c:pt idx="0">
                  <c:v>8373.65</c:v>
                </c:pt>
              </c:numCache>
            </c:numRef>
          </c:val>
        </c:ser>
        <c:ser>
          <c:idx val="2"/>
          <c:order val="2"/>
          <c:tx>
            <c:strRef>
              <c:f>Sheet1!$D$1</c:f>
              <c:strCache>
                <c:ptCount val="1"/>
                <c:pt idx="0">
                  <c:v>2024年支出</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Sheet1!$D$2</c:f>
              <c:numCache>
                <c:formatCode>General</c:formatCode>
                <c:ptCount val="1"/>
                <c:pt idx="0">
                  <c:v>8970.69</c:v>
                </c:pt>
              </c:numCache>
            </c:numRef>
          </c:val>
        </c:ser>
        <c:ser>
          <c:idx val="3"/>
          <c:order val="3"/>
          <c:tx>
            <c:strRef>
              <c:f>Sheet1!$E$1</c:f>
              <c:strCache>
                <c:ptCount val="1"/>
                <c:pt idx="0">
                  <c:v>2025年支出</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Sheet1!$E$2</c:f>
              <c:numCache>
                <c:formatCode>General</c:formatCode>
                <c:ptCount val="1"/>
                <c:pt idx="0">
                  <c:v>8373.65</c:v>
                </c:pt>
              </c:numCache>
            </c:numRef>
          </c:val>
        </c:ser>
        <c:dLbls>
          <c:showLegendKey val="0"/>
          <c:showVal val="1"/>
          <c:showCatName val="0"/>
          <c:showSerName val="0"/>
          <c:showPercent val="0"/>
          <c:showBubbleSize val="0"/>
        </c:dLbls>
        <c:gapWidth val="246"/>
        <c:overlap val="-28"/>
        <c:axId val="381874064"/>
        <c:axId val="664896710"/>
      </c:barChart>
      <c:catAx>
        <c:axId val="38187406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4896710"/>
        <c:crosses val="autoZero"/>
        <c:auto val="1"/>
        <c:lblAlgn val="ctr"/>
        <c:lblOffset val="100"/>
        <c:noMultiLvlLbl val="0"/>
      </c:catAx>
      <c:valAx>
        <c:axId val="66489671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18740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列2</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一般公共预算财政拨款收入</c:v>
                </c:pt>
                <c:pt idx="1">
                  <c:v>政府性基金预算财政拨款收入</c:v>
                </c:pt>
              </c:strCache>
            </c:strRef>
          </c:cat>
          <c:val>
            <c:numRef>
              <c:f>Sheet1!$B$2:$B$3</c:f>
              <c:numCache>
                <c:formatCode>General</c:formatCode>
                <c:ptCount val="2"/>
                <c:pt idx="0">
                  <c:v>8263.48</c:v>
                </c:pt>
                <c:pt idx="1">
                  <c:v>110.17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40625"/>
          <c:y val="0.04"/>
          <c:w val="0.570625"/>
          <c:h val="0.760833333333333"/>
        </c:manualLayout>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dLblPos val="bestFit"/>
              <c:showLegendKey val="0"/>
              <c:showVal val="1"/>
              <c:showCatName val="0"/>
              <c:showSerName val="0"/>
              <c:showPercent val="0"/>
              <c:showBubbleSize val="0"/>
              <c:extLst>
                <c:ext xmlns:c15="http://schemas.microsoft.com/office/drawing/2012/chart" uri="{CE6537A1-D6FC-4f65-9D91-7224C49458BB}"/>
              </c:extLst>
            </c:dLbl>
            <c:dLbl>
              <c:idx val="1"/>
              <c:layout/>
              <c:dLblPos val="bestFit"/>
              <c:showLegendKey val="0"/>
              <c:showVal val="1"/>
              <c:showCatName val="0"/>
              <c:showSerName val="0"/>
              <c:showPercent val="0"/>
              <c:showBubbleSize val="0"/>
              <c:extLst>
                <c:ext xmlns:c15="http://schemas.microsoft.com/office/drawing/2012/chart" uri="{CE6537A1-D6FC-4f65-9D91-7224C49458BB}"/>
              </c:extLst>
            </c:dLbl>
            <c:dLbl>
              <c:idx val="2"/>
              <c:delete val="1"/>
            </c:dLbl>
            <c:dLbl>
              <c:idx val="3"/>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基本支出</c:v>
                </c:pt>
                <c:pt idx="1">
                  <c:v>项目支出</c:v>
                </c:pt>
                <c:pt idx="2">
                  <c:v>经营支出</c:v>
                </c:pt>
                <c:pt idx="3">
                  <c:v>对附属单位补助支出</c:v>
                </c:pt>
              </c:strCache>
            </c:strRef>
          </c:cat>
          <c:val>
            <c:numRef>
              <c:f>Sheet1!$B$2:$B$5</c:f>
              <c:numCache>
                <c:formatCode>General</c:formatCode>
                <c:ptCount val="4"/>
                <c:pt idx="0">
                  <c:v>540.49</c:v>
                </c:pt>
                <c:pt idx="1">
                  <c:v>7833.16</c:v>
                </c:pt>
                <c:pt idx="2">
                  <c:v>0</c:v>
                </c:pt>
                <c:pt idx="3">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收入</c:v>
                </c:pt>
              </c:strCache>
            </c:strRef>
          </c:tx>
          <c:spPr>
            <a:solidFill>
              <a:schemeClr val="accent1">
                <a:alpha val="85000"/>
              </a:schemeClr>
            </a:solidFill>
            <a:ln w="9525" cap="flat" cmpd="sng" algn="ctr">
              <a:solidFill>
                <a:schemeClr val="lt1">
                  <a:alpha val="50000"/>
                </a:schemeClr>
              </a:solidFill>
              <a:round/>
            </a:ln>
            <a:effectLst/>
          </c:spPr>
          <c:invertIfNegative val="0"/>
          <c:dLbls>
            <c:dLbl>
              <c:idx val="0"/>
              <c:layout>
                <c:manualLayout>
                  <c:x val="0.00557275541795666"/>
                  <c:y val="-0.101835554438019"/>
                </c:manualLayout>
              </c:layout>
              <c:dLblPos val="in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942921800352024"/>
                </c:manualLayout>
              </c:layout>
              <c:dLblPos val="in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Sheet1!$A$2:$A$5</c:f>
              <c:strCache>
                <c:ptCount val="4"/>
                <c:pt idx="0">
                  <c:v>2024年</c:v>
                </c:pt>
                <c:pt idx="1">
                  <c:v>2025年</c:v>
                </c:pt>
              </c:strCache>
            </c:strRef>
          </c:cat>
          <c:val>
            <c:numRef>
              <c:f>Sheet1!$B$2:$B$5</c:f>
              <c:numCache>
                <c:formatCode>General</c:formatCode>
                <c:ptCount val="4"/>
                <c:pt idx="0">
                  <c:v>8970.69</c:v>
                </c:pt>
                <c:pt idx="1">
                  <c:v>8373.65</c:v>
                </c:pt>
              </c:numCache>
            </c:numRef>
          </c:val>
        </c:ser>
        <c:ser>
          <c:idx val="1"/>
          <c:order val="1"/>
          <c:tx>
            <c:strRef>
              <c:f>Sheet1!$C$1</c:f>
              <c:strCache>
                <c:ptCount val="1"/>
                <c:pt idx="0">
                  <c:v>支出</c:v>
                </c:pt>
              </c:strCache>
            </c:strRef>
          </c:tx>
          <c:spPr>
            <a:solidFill>
              <a:schemeClr val="accent2">
                <a:alpha val="85000"/>
              </a:schemeClr>
            </a:solidFill>
            <a:ln w="9525" cap="flat" cmpd="sng" algn="ctr">
              <a:solidFill>
                <a:schemeClr val="lt1">
                  <a:alpha val="50000"/>
                </a:schemeClr>
              </a:solidFill>
              <a:round/>
            </a:ln>
            <a:effectLst/>
          </c:spPr>
          <c:invertIfNegative val="0"/>
          <c:dLbls>
            <c:dLbl>
              <c:idx val="0"/>
              <c:layout>
                <c:manualLayout>
                  <c:x val="0.00928792569659443"/>
                  <c:y val="-0.105607241639427"/>
                </c:manualLayout>
              </c:layout>
              <c:dLblPos val="in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185758513931889"/>
                  <c:y val="-0.109378928840835"/>
                </c:manualLayout>
              </c:layout>
              <c:dLblPos val="in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Sheet1!$A$2:$A$5</c:f>
              <c:strCache>
                <c:ptCount val="4"/>
                <c:pt idx="0">
                  <c:v>2024年</c:v>
                </c:pt>
                <c:pt idx="1">
                  <c:v>2025年</c:v>
                </c:pt>
              </c:strCache>
            </c:strRef>
          </c:cat>
          <c:val>
            <c:numRef>
              <c:f>Sheet1!$C$2:$C$5</c:f>
              <c:numCache>
                <c:formatCode>General</c:formatCode>
                <c:ptCount val="4"/>
                <c:pt idx="0">
                  <c:v>8970.69</c:v>
                </c:pt>
                <c:pt idx="1">
                  <c:v>8373.65</c:v>
                </c:pt>
              </c:numCache>
            </c:numRef>
          </c:val>
        </c:ser>
        <c:ser>
          <c:idx val="2"/>
          <c:order val="2"/>
          <c:tx>
            <c:strRef>
              <c:f>Sheet1!$D$1</c:f>
              <c:strCache>
                <c:ptCount val="1"/>
                <c:pt idx="0">
                  <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Sheet1!$A$2:$A$5</c:f>
              <c:strCache>
                <c:ptCount val="4"/>
                <c:pt idx="0">
                  <c:v>2024年</c:v>
                </c:pt>
                <c:pt idx="1">
                  <c:v>2025年</c:v>
                </c:pt>
              </c:strCache>
            </c:strRef>
          </c:cat>
          <c:val>
            <c:numRef>
              <c:f>Sheet1!$D$2:$D$5</c:f>
              <c:numCache>
                <c:formatCode>General</c:formatCode>
                <c:ptCount val="4"/>
              </c:numCache>
            </c:numRef>
          </c:val>
        </c:ser>
        <c:dLbls>
          <c:showLegendKey val="0"/>
          <c:showVal val="1"/>
          <c:showCatName val="0"/>
          <c:showSerName val="0"/>
          <c:showPercent val="0"/>
          <c:showBubbleSize val="0"/>
        </c:dLbls>
        <c:gapWidth val="65"/>
        <c:overlap val="0"/>
        <c:axId val="439233919"/>
        <c:axId val="949881079"/>
      </c:barChart>
      <c:catAx>
        <c:axId val="439233919"/>
        <c:scaling>
          <c:orientation val="minMax"/>
        </c:scaling>
        <c:delete val="0"/>
        <c:axPos val="b"/>
        <c:majorTickMark val="none"/>
        <c:minorTickMark val="none"/>
        <c:tickLblPos val="nextTo"/>
        <c:spPr>
          <a:noFill/>
          <a:ln w="19050" cap="flat" cmpd="sng" algn="ctr">
            <a:solidFill>
              <a:schemeClr val="dk1">
                <a:lumMod val="75000"/>
                <a:lumOff val="25000"/>
              </a:schemeClr>
            </a:solidFill>
            <a:round/>
          </a:ln>
          <a:effectLst/>
        </c:spPr>
        <c:txPr>
          <a:bodyPr rot="-60000000" spcFirstLastPara="0" vertOverflow="ellipsis" vert="horz" wrap="square" anchor="ctr" anchorCtr="1"/>
          <a:lstStyle/>
          <a:p>
            <a:pPr>
              <a:defRPr lang="zh-CN" sz="900" b="0" i="0" u="none" strike="noStrike" kern="1200" cap="all" baseline="0">
                <a:solidFill>
                  <a:schemeClr val="dk1">
                    <a:lumMod val="75000"/>
                    <a:lumOff val="25000"/>
                  </a:schemeClr>
                </a:solidFill>
                <a:latin typeface="+mn-lt"/>
                <a:ea typeface="+mn-ea"/>
                <a:cs typeface="+mn-cs"/>
              </a:defRPr>
            </a:pPr>
          </a:p>
        </c:txPr>
        <c:crossAx val="949881079"/>
        <c:crosses val="autoZero"/>
        <c:auto val="1"/>
        <c:lblAlgn val="ctr"/>
        <c:lblOffset val="100"/>
        <c:noMultiLvlLbl val="0"/>
      </c:catAx>
      <c:valAx>
        <c:axId val="949881079"/>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crossAx val="439233919"/>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chart>
  <c:spPr>
    <a:solidFill>
      <a:schemeClr val="accent2">
        <a:lumMod val="20000"/>
        <a:lumOff val="80000"/>
      </a:schemeClr>
    </a:soli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c:v>
                </c:pt>
              </c:strCache>
            </c:strRef>
          </c:tx>
          <c:spPr>
            <a:solidFill>
              <a:schemeClr val="accent1"/>
            </a:solidFill>
            <a:ln>
              <a:noFill/>
            </a:ln>
            <a:effectLst/>
          </c:spPr>
          <c:invertIfNegative val="0"/>
          <c:dLbls>
            <c:delete val="1"/>
          </c:dLbls>
          <c:cat>
            <c:strRef>
              <c:f>Sheet1!$A$2:$A$5</c:f>
              <c:strCache>
                <c:ptCount val="4"/>
                <c:pt idx="0">
                  <c:v>2024年</c:v>
                </c:pt>
                <c:pt idx="1">
                  <c:v>2025年</c:v>
                </c:pt>
              </c:strCache>
            </c:strRef>
          </c:cat>
          <c:val>
            <c:numRef>
              <c:f>Sheet1!$B$2:$B$5</c:f>
              <c:numCache>
                <c:formatCode>General</c:formatCode>
                <c:ptCount val="4"/>
                <c:pt idx="0">
                  <c:v>8589.66</c:v>
                </c:pt>
                <c:pt idx="1">
                  <c:v>8263.48</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2024年</c:v>
                </c:pt>
                <c:pt idx="1">
                  <c:v>2025年</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2024年</c:v>
                </c:pt>
                <c:pt idx="1">
                  <c:v>2025年</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462420566"/>
        <c:axId val="972737854"/>
      </c:barChart>
      <c:catAx>
        <c:axId val="46242056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2737854"/>
        <c:crosses val="autoZero"/>
        <c:auto val="1"/>
        <c:lblAlgn val="ctr"/>
        <c:lblOffset val="100"/>
        <c:noMultiLvlLbl val="0"/>
      </c:catAx>
      <c:valAx>
        <c:axId val="97273785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242056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manualLayout>
          <c:layoutTarget val="inner"/>
          <c:xMode val="edge"/>
          <c:yMode val="edge"/>
          <c:x val="0.300616090843199"/>
          <c:y val="0.258181045473863"/>
          <c:w val="0.39514375453008"/>
          <c:h val="0.695070123246919"/>
        </c:manualLayout>
      </c:layout>
      <c:pieChart>
        <c:varyColors val="1"/>
        <c:ser>
          <c:idx val="0"/>
          <c:order val="0"/>
          <c:tx>
            <c:strRef>
              <c:f>Sheet1!$B$1</c:f>
              <c:strCache>
                <c:ptCount val="1"/>
                <c:pt idx="0">
                  <c:v>列2</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5.4</c:v>
                </c:pt>
                <c:pt idx="1">
                  <c:v>8218.38</c:v>
                </c:pt>
                <c:pt idx="2">
                  <c:v>14.96</c:v>
                </c:pt>
                <c:pt idx="3">
                  <c:v>24.74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支出数</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因公出国（境）费</c:v>
                </c:pt>
                <c:pt idx="1">
                  <c:v>公务用车购置及运行维护费</c:v>
                </c:pt>
                <c:pt idx="2">
                  <c:v>公务接待费</c:v>
                </c:pt>
              </c:strCache>
            </c:strRef>
          </c:cat>
          <c:val>
            <c:numRef>
              <c:f>Sheet1!$B$2:$B$5</c:f>
              <c:numCache>
                <c:formatCode>General</c:formatCode>
                <c:ptCount val="4"/>
                <c:pt idx="0">
                  <c:v>0</c:v>
                </c:pt>
                <c:pt idx="1">
                  <c:v>10.29</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56</Pages>
  <Words>22685</Words>
  <Characters>24224</Characters>
  <Lines>61</Lines>
  <Paragraphs>17</Paragraphs>
  <TotalTime>1</TotalTime>
  <ScaleCrop>false</ScaleCrop>
  <LinksUpToDate>false</LinksUpToDate>
  <CharactersWithSpaces>24342</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2026-08-03T17:27:00Z</cp:lastPrinted>
  <dcterms:modified xsi:type="dcterms:W3CDTF">2026-10-20T11:33:45Z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F2EC702799104132B029715588C1FD5F_13</vt:lpwstr>
  </property>
  <property fmtid="{D5CDD505-2E9C-101B-9397-08002B2CF9AE}" pid="4" name="KSOTemplateDocerSaveRecord">
    <vt:lpwstr>eyJoZGlkIjoiMjFjZDUyOTMyYWE5NDBlMzFkNjdiM2Y1ZDg4Y2Q4M2EiLCJ1c2VySWQiOiIyNzIwOTQ3NjIifQ==</vt:lpwstr>
  </property>
</Properties>
</file>