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77193"/>
      <w:bookmarkStart w:id="2" w:name="_Toc15377425"/>
      <w:bookmarkStart w:id="3" w:name="_Toc15378441"/>
      <w:bookmarkStart w:id="4" w:name="_Toc15396475"/>
      <w:bookmarkStart w:id="5" w:name="_Toc15396597"/>
      <w:r>
        <w:rPr>
          <w:rFonts w:ascii="黑体" w:hAnsi="黑体" w:eastAsia="黑体"/>
          <w:color w:val="000000"/>
          <w:sz w:val="72"/>
          <w:szCs w:val="72"/>
        </w:rPr>
        <w:t>201</w:t>
      </w:r>
      <w:r>
        <w:rPr>
          <w:rFonts w:hint="eastAsia" w:ascii="黑体" w:hAnsi="黑体" w:eastAsia="黑体"/>
          <w:color w:val="000000"/>
          <w:sz w:val="72"/>
          <w:szCs w:val="72"/>
        </w:rPr>
        <w:t>8</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ascii="方正小标宋简体" w:hAnsi="宋体" w:eastAsia="方正小标宋简体"/>
          <w:color w:val="000000"/>
          <w:sz w:val="72"/>
          <w:szCs w:val="72"/>
        </w:rPr>
      </w:pPr>
      <w:bookmarkStart w:id="6" w:name="_Toc15377426"/>
      <w:bookmarkStart w:id="7" w:name="_Toc15377194"/>
      <w:bookmarkStart w:id="8" w:name="_Toc15378442"/>
      <w:bookmarkStart w:id="9" w:name="_Toc15396476"/>
      <w:bookmarkStart w:id="10" w:name="_Toc15396598"/>
      <w:r>
        <w:rPr>
          <w:rFonts w:hint="eastAsia" w:ascii="方正小标宋简体" w:hAnsi="宋体" w:eastAsia="方正小标宋简体"/>
          <w:color w:val="000000"/>
          <w:sz w:val="72"/>
          <w:szCs w:val="72"/>
        </w:rPr>
        <w:t>四川省</w:t>
      </w:r>
      <w:bookmarkEnd w:id="0"/>
      <w:bookmarkStart w:id="11" w:name="_Toc15306268"/>
      <w:r>
        <w:rPr>
          <w:rFonts w:hint="eastAsia" w:ascii="方正小标宋简体" w:hAnsi="宋体" w:eastAsia="方正小标宋简体"/>
          <w:color w:val="000000"/>
          <w:sz w:val="72"/>
          <w:szCs w:val="72"/>
        </w:rPr>
        <w:t>壤塘县公安局</w:t>
      </w:r>
    </w:p>
    <w:p>
      <w:pPr>
        <w:adjustRightInd w:val="0"/>
        <w:snapToGrid w:val="0"/>
        <w:spacing w:line="360" w:lineRule="auto"/>
        <w:jc w:val="center"/>
        <w:outlineLvl w:val="0"/>
        <w:rPr>
          <w:rFonts w:ascii="方正小标宋简体" w:hAnsi="宋体" w:eastAsia="方正小标宋简体"/>
          <w:color w:val="000000"/>
          <w:sz w:val="72"/>
          <w:szCs w:val="72"/>
        </w:rPr>
      </w:pPr>
      <w:r>
        <w:rPr>
          <w:rFonts w:hint="eastAsia" w:ascii="方正小标宋简体" w:hAnsi="宋体" w:eastAsia="方正小标宋简体"/>
          <w:color w:val="000000"/>
          <w:sz w:val="72"/>
          <w:szCs w:val="72"/>
        </w:rPr>
        <w:t>部门决算</w:t>
      </w:r>
      <w:bookmarkEnd w:id="6"/>
      <w:bookmarkEnd w:id="7"/>
      <w:bookmarkEnd w:id="8"/>
      <w:bookmarkEnd w:id="9"/>
      <w:bookmarkEnd w:id="10"/>
      <w:bookmarkEnd w:id="11"/>
      <w:bookmarkStart w:id="76" w:name="_GoBack"/>
      <w:bookmarkEnd w:id="76"/>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p>
    <w:p/>
    <w:p>
      <w:pPr>
        <w:pStyle w:val="11"/>
        <w:rPr>
          <w:rFonts w:cstheme="minorBidi"/>
        </w:rPr>
      </w:pPr>
      <w:r>
        <w:fldChar w:fldCharType="begin"/>
      </w:r>
      <w:r>
        <w:instrText xml:space="preserve"> HYPERLINK \l "_Toc15396599" </w:instrText>
      </w:r>
      <w:r>
        <w:fldChar w:fldCharType="separate"/>
      </w:r>
      <w:r>
        <w:rPr>
          <w:rStyle w:val="16"/>
          <w:rFonts w:hint="eastAsia"/>
        </w:rPr>
        <w:t>第一部分部门概况</w:t>
      </w:r>
      <w:r>
        <w:tab/>
      </w:r>
      <w:r>
        <w:rPr>
          <w:rFonts w:hint="eastAsia"/>
        </w:rPr>
        <w:t>4</w:t>
      </w:r>
      <w:r>
        <w:rPr>
          <w:rFonts w:hint="eastAsia"/>
        </w:rPr>
        <w:fldChar w:fldCharType="end"/>
      </w:r>
    </w:p>
    <w:p>
      <w:pPr>
        <w:pStyle w:val="12"/>
        <w:rPr>
          <w:rFonts w:ascii="仿宋" w:hAnsi="仿宋" w:eastAsia="仿宋" w:cstheme="minorBidi"/>
          <w:sz w:val="28"/>
          <w:szCs w:val="28"/>
        </w:rPr>
      </w:pPr>
      <w:r>
        <w:fldChar w:fldCharType="begin"/>
      </w:r>
      <w:r>
        <w:instrText xml:space="preserve"> HYPERLINK \l "_Toc15396600" </w:instrText>
      </w:r>
      <w:r>
        <w:fldChar w:fldCharType="separate"/>
      </w:r>
      <w:r>
        <w:rPr>
          <w:rStyle w:val="16"/>
          <w:rFonts w:hint="eastAsia" w:ascii="仿宋" w:hAnsi="仿宋" w:eastAsia="仿宋"/>
          <w:sz w:val="28"/>
          <w:szCs w:val="28"/>
        </w:rPr>
        <w:t>一、基本职能及主要工作</w:t>
      </w:r>
      <w:r>
        <w:rPr>
          <w:rFonts w:ascii="仿宋" w:hAnsi="仿宋" w:eastAsia="仿宋"/>
          <w:sz w:val="28"/>
          <w:szCs w:val="28"/>
        </w:rPr>
        <w:tab/>
      </w:r>
      <w:r>
        <w:rPr>
          <w:rFonts w:hint="eastAsia" w:ascii="仿宋" w:hAnsi="仿宋" w:eastAsia="仿宋"/>
          <w:sz w:val="28"/>
          <w:szCs w:val="28"/>
        </w:rPr>
        <w:t>4</w:t>
      </w:r>
      <w:r>
        <w:rPr>
          <w:rFonts w:hint="eastAsia" w:ascii="仿宋" w:hAnsi="仿宋" w:eastAsia="仿宋"/>
          <w:sz w:val="28"/>
          <w:szCs w:val="28"/>
        </w:rPr>
        <w:fldChar w:fldCharType="end"/>
      </w:r>
    </w:p>
    <w:p>
      <w:pPr>
        <w:pStyle w:val="12"/>
        <w:rPr>
          <w:rFonts w:ascii="仿宋" w:hAnsi="仿宋" w:eastAsia="仿宋" w:cstheme="minorBidi"/>
          <w:sz w:val="28"/>
          <w:szCs w:val="28"/>
        </w:rPr>
      </w:pPr>
      <w:r>
        <w:fldChar w:fldCharType="begin"/>
      </w:r>
      <w:r>
        <w:instrText xml:space="preserve"> HYPERLINK \l "_Toc15396601" </w:instrText>
      </w:r>
      <w:r>
        <w:fldChar w:fldCharType="separate"/>
      </w:r>
      <w:r>
        <w:rPr>
          <w:rStyle w:val="16"/>
          <w:rFonts w:hint="eastAsia" w:ascii="仿宋" w:hAnsi="仿宋" w:eastAsia="仿宋"/>
          <w:sz w:val="28"/>
          <w:szCs w:val="28"/>
        </w:rPr>
        <w:t>二、机构设置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_Toc15396601 \h </w:instrText>
      </w:r>
      <w:r>
        <w:rPr>
          <w:rFonts w:ascii="仿宋" w:hAnsi="仿宋" w:eastAsia="仿宋"/>
          <w:sz w:val="28"/>
          <w:szCs w:val="28"/>
        </w:rPr>
        <w:fldChar w:fldCharType="separate"/>
      </w:r>
      <w:r>
        <w:rPr>
          <w:rFonts w:ascii="仿宋" w:hAnsi="仿宋" w:eastAsia="仿宋"/>
          <w:sz w:val="28"/>
          <w:szCs w:val="28"/>
        </w:rPr>
        <w:t>4</w:t>
      </w:r>
      <w:r>
        <w:rPr>
          <w:rFonts w:ascii="仿宋" w:hAnsi="仿宋" w:eastAsia="仿宋"/>
          <w:sz w:val="28"/>
          <w:szCs w:val="28"/>
        </w:rPr>
        <w:fldChar w:fldCharType="end"/>
      </w:r>
      <w:r>
        <w:rPr>
          <w:rFonts w:ascii="仿宋" w:hAnsi="仿宋" w:eastAsia="仿宋"/>
          <w:sz w:val="28"/>
          <w:szCs w:val="28"/>
        </w:rPr>
        <w:fldChar w:fldCharType="end"/>
      </w:r>
    </w:p>
    <w:p>
      <w:pPr>
        <w:pStyle w:val="11"/>
      </w:pPr>
      <w:r>
        <w:fldChar w:fldCharType="begin"/>
      </w:r>
      <w:r>
        <w:instrText xml:space="preserve"> HYPERLINK \l "_Toc15396602" </w:instrText>
      </w:r>
      <w:r>
        <w:fldChar w:fldCharType="separate"/>
      </w:r>
      <w:r>
        <w:rPr>
          <w:rStyle w:val="16"/>
          <w:rFonts w:hint="eastAsia"/>
        </w:rPr>
        <w:t>第二部分</w:t>
      </w:r>
      <w:r>
        <w:rPr>
          <w:rStyle w:val="16"/>
        </w:rPr>
        <w:t xml:space="preserve"> 2018</w:t>
      </w:r>
      <w:r>
        <w:rPr>
          <w:rStyle w:val="16"/>
          <w:rFonts w:hint="eastAsia"/>
        </w:rPr>
        <w:t>年度部门决算情况说明</w:t>
      </w:r>
      <w:r>
        <w:tab/>
      </w:r>
      <w:r>
        <w:fldChar w:fldCharType="begin"/>
      </w:r>
      <w:r>
        <w:instrText xml:space="preserve"> PAGEREF _Toc15396602 \h </w:instrText>
      </w:r>
      <w:r>
        <w:fldChar w:fldCharType="separate"/>
      </w:r>
      <w:r>
        <w:t>5</w:t>
      </w:r>
      <w:r>
        <w:fldChar w:fldCharType="end"/>
      </w:r>
      <w:r>
        <w:fldChar w:fldCharType="end"/>
      </w:r>
    </w:p>
    <w:p>
      <w:pPr>
        <w:pStyle w:val="12"/>
        <w:rPr>
          <w:rFonts w:ascii="仿宋" w:hAnsi="仿宋" w:eastAsia="仿宋" w:cstheme="minorBidi"/>
          <w:sz w:val="28"/>
          <w:szCs w:val="28"/>
        </w:rPr>
      </w:pPr>
      <w:r>
        <w:fldChar w:fldCharType="begin"/>
      </w:r>
      <w:r>
        <w:instrText xml:space="preserve"> HYPERLINK \l "_Toc15396603" </w:instrText>
      </w:r>
      <w:r>
        <w:fldChar w:fldCharType="separate"/>
      </w:r>
      <w:r>
        <w:rPr>
          <w:rStyle w:val="16"/>
          <w:rFonts w:hint="eastAsia" w:ascii="仿宋" w:hAnsi="仿宋" w:eastAsia="仿宋" w:cstheme="majorBidi"/>
          <w:bCs/>
          <w:sz w:val="28"/>
          <w:szCs w:val="28"/>
        </w:rPr>
        <w:t>一、</w:t>
      </w:r>
      <w:r>
        <w:rPr>
          <w:rStyle w:val="16"/>
          <w:rFonts w:hint="eastAsia" w:ascii="仿宋" w:hAnsi="仿宋" w:eastAsia="仿宋"/>
          <w:sz w:val="28"/>
          <w:szCs w:val="28"/>
        </w:rPr>
        <w:t>收</w:t>
      </w:r>
      <w:r>
        <w:rPr>
          <w:rStyle w:val="16"/>
          <w:rFonts w:hint="eastAsia" w:ascii="仿宋" w:hAnsi="仿宋" w:eastAsia="仿宋" w:cstheme="majorBidi"/>
          <w:bCs/>
          <w:sz w:val="28"/>
          <w:szCs w:val="28"/>
        </w:rPr>
        <w:t>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_Toc15396603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fldChar w:fldCharType="begin"/>
      </w:r>
      <w:r>
        <w:instrText xml:space="preserve"> HYPERLINK \l "_Toc15396604" </w:instrText>
      </w:r>
      <w:r>
        <w:fldChar w:fldCharType="separate"/>
      </w:r>
      <w:r>
        <w:rPr>
          <w:rStyle w:val="16"/>
          <w:rFonts w:hint="eastAsia" w:ascii="仿宋" w:hAnsi="仿宋" w:eastAsia="仿宋" w:cstheme="majorBidi"/>
          <w:bCs/>
          <w:sz w:val="28"/>
          <w:szCs w:val="28"/>
        </w:rPr>
        <w:t>二、</w:t>
      </w:r>
      <w:r>
        <w:rPr>
          <w:rStyle w:val="16"/>
          <w:rFonts w:hint="eastAsia" w:ascii="仿宋" w:hAnsi="仿宋" w:eastAsia="仿宋"/>
          <w:sz w:val="28"/>
          <w:szCs w:val="28"/>
        </w:rPr>
        <w:t>收</w:t>
      </w:r>
      <w:r>
        <w:rPr>
          <w:rStyle w:val="16"/>
          <w:rFonts w:hint="eastAsia" w:ascii="仿宋" w:hAnsi="仿宋" w:eastAsia="仿宋" w:cstheme="majorBidi"/>
          <w:bCs/>
          <w:sz w:val="28"/>
          <w:szCs w:val="28"/>
        </w:rPr>
        <w:t>入决算情况说明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_Toc15396604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fldChar w:fldCharType="begin"/>
      </w:r>
      <w:r>
        <w:instrText xml:space="preserve"> HYPERLINK \l "_Toc15396605" </w:instrText>
      </w:r>
      <w:r>
        <w:fldChar w:fldCharType="separate"/>
      </w:r>
      <w:r>
        <w:rPr>
          <w:rStyle w:val="16"/>
          <w:rFonts w:hint="eastAsia" w:ascii="仿宋" w:hAnsi="仿宋" w:eastAsia="仿宋" w:cstheme="majorBidi"/>
          <w:bCs/>
          <w:sz w:val="28"/>
          <w:szCs w:val="28"/>
        </w:rPr>
        <w:t>三、</w:t>
      </w:r>
      <w:r>
        <w:rPr>
          <w:rStyle w:val="16"/>
          <w:rFonts w:hint="eastAsia" w:ascii="仿宋" w:hAnsi="仿宋" w:eastAsia="仿宋"/>
          <w:sz w:val="28"/>
          <w:szCs w:val="28"/>
        </w:rPr>
        <w:t>支</w:t>
      </w:r>
      <w:r>
        <w:rPr>
          <w:rStyle w:val="16"/>
          <w:rFonts w:hint="eastAsia" w:ascii="仿宋" w:hAnsi="仿宋" w:eastAsia="仿宋" w:cstheme="majorBidi"/>
          <w:bCs/>
          <w:sz w:val="28"/>
          <w:szCs w:val="28"/>
        </w:rPr>
        <w:t>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_Toc15396605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fldChar w:fldCharType="begin"/>
      </w:r>
      <w:r>
        <w:instrText xml:space="preserve"> HYPERLINK \l "_Toc15396606" </w:instrText>
      </w:r>
      <w:r>
        <w:fldChar w:fldCharType="separate"/>
      </w:r>
      <w:r>
        <w:rPr>
          <w:rStyle w:val="16"/>
          <w:rFonts w:hint="eastAsia" w:ascii="仿宋" w:hAnsi="仿宋" w:eastAsia="仿宋"/>
          <w:sz w:val="28"/>
          <w:szCs w:val="28"/>
        </w:rPr>
        <w:t>四、财</w:t>
      </w:r>
      <w:r>
        <w:rPr>
          <w:rStyle w:val="16"/>
          <w:rFonts w:hint="eastAsia" w:ascii="仿宋" w:hAnsi="仿宋" w:eastAsia="仿宋" w:cstheme="majorBidi"/>
          <w:bCs/>
          <w:sz w:val="28"/>
          <w:szCs w:val="28"/>
        </w:rPr>
        <w:t>政拨款收入支出决算总体情况说明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_Toc15396606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fldChar w:fldCharType="begin"/>
      </w:r>
      <w:r>
        <w:instrText xml:space="preserve"> HYPERLINK \l "_Toc15396607" </w:instrText>
      </w:r>
      <w:r>
        <w:fldChar w:fldCharType="separate"/>
      </w:r>
      <w:r>
        <w:rPr>
          <w:rStyle w:val="16"/>
          <w:rFonts w:hint="eastAsia" w:ascii="仿宋" w:hAnsi="仿宋" w:eastAsia="仿宋"/>
          <w:sz w:val="28"/>
          <w:szCs w:val="28"/>
        </w:rPr>
        <w:t>五、一</w:t>
      </w:r>
      <w:r>
        <w:rPr>
          <w:rStyle w:val="16"/>
          <w:rFonts w:hint="eastAsia" w:ascii="仿宋" w:hAnsi="仿宋" w:eastAsia="仿宋" w:cstheme="majorBidi"/>
          <w:bCs/>
          <w:sz w:val="28"/>
          <w:szCs w:val="28"/>
        </w:rPr>
        <w:t>般公共预算财政拨款支出决算情况说明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_Toc15396607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fldChar w:fldCharType="begin"/>
      </w:r>
      <w:r>
        <w:instrText xml:space="preserve"> HYPERLINK \l "_Toc15396608" </w:instrText>
      </w:r>
      <w:r>
        <w:fldChar w:fldCharType="separate"/>
      </w:r>
      <w:r>
        <w:rPr>
          <w:rStyle w:val="16"/>
          <w:rFonts w:hint="eastAsia" w:ascii="仿宋" w:hAnsi="仿宋" w:eastAsia="仿宋"/>
          <w:sz w:val="28"/>
          <w:szCs w:val="28"/>
        </w:rPr>
        <w:t>六、一</w:t>
      </w:r>
      <w:r>
        <w:rPr>
          <w:rStyle w:val="16"/>
          <w:rFonts w:hint="eastAsia" w:ascii="仿宋" w:hAnsi="仿宋" w:eastAsia="仿宋" w:cstheme="majorBidi"/>
          <w:bCs/>
          <w:sz w:val="28"/>
          <w:szCs w:val="28"/>
        </w:rPr>
        <w:t>般公共预算财政拨款基本支出决算情况说明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_Toc15396608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fldChar w:fldCharType="begin"/>
      </w:r>
      <w:r>
        <w:instrText xml:space="preserve"> HYPERLINK \l "_Toc15396609" </w:instrText>
      </w:r>
      <w:r>
        <w:fldChar w:fldCharType="separate"/>
      </w:r>
      <w:r>
        <w:rPr>
          <w:rStyle w:val="16"/>
          <w:rFonts w:hint="eastAsia" w:ascii="仿宋" w:hAnsi="仿宋" w:eastAsia="仿宋"/>
          <w:sz w:val="28"/>
          <w:szCs w:val="28"/>
        </w:rPr>
        <w:t>七、</w:t>
      </w:r>
      <w:r>
        <w:rPr>
          <w:rStyle w:val="16"/>
          <w:rFonts w:ascii="仿宋" w:hAnsi="仿宋" w:eastAsia="仿宋"/>
          <w:sz w:val="28"/>
          <w:szCs w:val="28"/>
        </w:rPr>
        <w:t>“</w:t>
      </w:r>
      <w:r>
        <w:rPr>
          <w:rStyle w:val="16"/>
          <w:rFonts w:hint="eastAsia" w:ascii="仿宋" w:hAnsi="仿宋" w:eastAsia="仿宋" w:cstheme="majorBidi"/>
          <w:bCs/>
          <w:sz w:val="28"/>
          <w:szCs w:val="28"/>
        </w:rPr>
        <w:t>三公”经费财政拨款支出决算情况说明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_Toc15396609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fldChar w:fldCharType="begin"/>
      </w:r>
      <w:r>
        <w:instrText xml:space="preserve"> HYPERLINK \l "_Toc15396610" </w:instrText>
      </w:r>
      <w:r>
        <w:fldChar w:fldCharType="separate"/>
      </w:r>
      <w:r>
        <w:rPr>
          <w:rStyle w:val="16"/>
          <w:rFonts w:hint="eastAsia" w:ascii="仿宋" w:hAnsi="仿宋" w:eastAsia="仿宋"/>
          <w:sz w:val="28"/>
          <w:szCs w:val="28"/>
        </w:rPr>
        <w:t>八、</w:t>
      </w:r>
      <w:r>
        <w:rPr>
          <w:rStyle w:val="16"/>
          <w:rFonts w:hint="eastAsia" w:ascii="仿宋" w:hAnsi="仿宋" w:eastAsia="仿宋" w:cstheme="majorBidi"/>
          <w:bCs/>
          <w:sz w:val="28"/>
          <w:szCs w:val="28"/>
        </w:rPr>
        <w:t>政府性基金预算支出决算情况说明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_Toc15396610 \h </w:instrText>
      </w:r>
      <w:r>
        <w:rPr>
          <w:rFonts w:ascii="仿宋" w:hAnsi="仿宋" w:eastAsia="仿宋"/>
          <w:sz w:val="28"/>
          <w:szCs w:val="28"/>
        </w:rPr>
        <w:fldChar w:fldCharType="separate"/>
      </w:r>
      <w:r>
        <w:rPr>
          <w:rFonts w:ascii="仿宋" w:hAnsi="仿宋" w:eastAsia="仿宋"/>
          <w:sz w:val="28"/>
          <w:szCs w:val="28"/>
        </w:rPr>
        <w:t>10</w:t>
      </w:r>
      <w:r>
        <w:rPr>
          <w:rFonts w:ascii="仿宋" w:hAnsi="仿宋" w:eastAsia="仿宋"/>
          <w:sz w:val="28"/>
          <w:szCs w:val="28"/>
        </w:rPr>
        <w:fldChar w:fldCharType="end"/>
      </w:r>
      <w:r>
        <w:rPr>
          <w:rFonts w:ascii="仿宋" w:hAnsi="仿宋" w:eastAsia="仿宋"/>
          <w:sz w:val="28"/>
          <w:szCs w:val="28"/>
        </w:rPr>
        <w:fldChar w:fldCharType="end"/>
      </w:r>
    </w:p>
    <w:p>
      <w:pPr>
        <w:pStyle w:val="12"/>
      </w:pPr>
      <w:r>
        <w:fldChar w:fldCharType="begin"/>
      </w:r>
      <w:r>
        <w:instrText xml:space="preserve"> HYPERLINK \l "_Toc15396611" </w:instrText>
      </w:r>
      <w:r>
        <w:fldChar w:fldCharType="separate"/>
      </w:r>
      <w:r>
        <w:rPr>
          <w:rStyle w:val="16"/>
          <w:rFonts w:hint="eastAsia" w:ascii="仿宋" w:hAnsi="仿宋" w:eastAsia="仿宋" w:cstheme="majorBidi"/>
          <w:bCs/>
          <w:sz w:val="28"/>
          <w:szCs w:val="28"/>
        </w:rPr>
        <w:t>九、</w:t>
      </w:r>
      <w:r>
        <w:rPr>
          <w:rStyle w:val="16"/>
          <w:rFonts w:hint="eastAsia" w:ascii="仿宋" w:hAnsi="仿宋" w:eastAsia="仿宋"/>
          <w:sz w:val="28"/>
          <w:szCs w:val="28"/>
        </w:rPr>
        <w:t xml:space="preserve"> 国</w:t>
      </w:r>
      <w:r>
        <w:rPr>
          <w:rStyle w:val="16"/>
          <w:rFonts w:hint="eastAsia" w:ascii="仿宋" w:hAnsi="仿宋" w:eastAsia="仿宋" w:cstheme="majorBidi"/>
          <w:bCs/>
          <w:sz w:val="28"/>
          <w:szCs w:val="28"/>
        </w:rPr>
        <w:t>有资本经营预算支出决算情况说明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_Toc15396611 \h </w:instrText>
      </w:r>
      <w:r>
        <w:rPr>
          <w:rFonts w:ascii="仿宋" w:hAnsi="仿宋" w:eastAsia="仿宋"/>
          <w:sz w:val="28"/>
          <w:szCs w:val="28"/>
        </w:rPr>
        <w:fldChar w:fldCharType="separate"/>
      </w:r>
      <w:r>
        <w:rPr>
          <w:rFonts w:ascii="仿宋" w:hAnsi="仿宋" w:eastAsia="仿宋"/>
          <w:sz w:val="28"/>
          <w:szCs w:val="28"/>
        </w:rPr>
        <w:t>10</w:t>
      </w:r>
      <w:r>
        <w:rPr>
          <w:rFonts w:ascii="仿宋" w:hAnsi="仿宋" w:eastAsia="仿宋"/>
          <w:sz w:val="28"/>
          <w:szCs w:val="28"/>
        </w:rPr>
        <w:fldChar w:fldCharType="end"/>
      </w:r>
      <w:r>
        <w:rPr>
          <w:rFonts w:ascii="仿宋" w:hAnsi="仿宋" w:eastAsia="仿宋"/>
          <w:sz w:val="28"/>
          <w:szCs w:val="28"/>
        </w:rPr>
        <w:fldChar w:fldCharType="end"/>
      </w:r>
    </w:p>
    <w:p>
      <w:pPr>
        <w:rPr>
          <w:color w:val="000000" w:themeColor="text1"/>
        </w:rPr>
      </w:pPr>
      <w:r>
        <w:rPr>
          <w:rFonts w:hint="eastAsia"/>
        </w:rPr>
        <w:t xml:space="preserve">    </w:t>
      </w:r>
      <w:r>
        <w:rPr>
          <w:rStyle w:val="16"/>
          <w:rFonts w:hint="eastAsia" w:ascii="仿宋" w:hAnsi="仿宋" w:eastAsia="仿宋" w:cstheme="majorBidi"/>
          <w:bCs/>
          <w:color w:val="000000" w:themeColor="text1"/>
          <w:sz w:val="28"/>
          <w:szCs w:val="28"/>
          <w:u w:val="none"/>
        </w:rPr>
        <w:t>十、预算绩效情况说明</w:t>
      </w:r>
      <w:r>
        <w:rPr>
          <w:rStyle w:val="16"/>
          <w:rFonts w:ascii="仿宋" w:hAnsi="仿宋" w:eastAsia="仿宋" w:cstheme="majorBidi"/>
          <w:bCs/>
          <w:color w:val="000000" w:themeColor="text1"/>
          <w:sz w:val="28"/>
          <w:szCs w:val="28"/>
          <w:u w:val="none"/>
        </w:rPr>
        <w:t>…………………………………………</w:t>
      </w:r>
      <w:r>
        <w:rPr>
          <w:rStyle w:val="16"/>
          <w:rFonts w:hint="eastAsia" w:ascii="仿宋" w:hAnsi="仿宋" w:eastAsia="仿宋" w:cstheme="majorBidi"/>
          <w:bCs/>
          <w:color w:val="000000" w:themeColor="text1"/>
          <w:sz w:val="28"/>
          <w:szCs w:val="28"/>
          <w:u w:val="none"/>
        </w:rPr>
        <w:t xml:space="preserve">  13</w:t>
      </w:r>
    </w:p>
    <w:p>
      <w:pPr>
        <w:pStyle w:val="12"/>
        <w:rPr>
          <w:rFonts w:ascii="仿宋" w:hAnsi="仿宋" w:eastAsia="仿宋" w:cstheme="minorBidi"/>
          <w:sz w:val="28"/>
          <w:szCs w:val="28"/>
        </w:rPr>
      </w:pPr>
      <w:r>
        <w:fldChar w:fldCharType="begin"/>
      </w:r>
      <w:r>
        <w:instrText xml:space="preserve"> HYPERLINK \l "_Toc15396612" </w:instrText>
      </w:r>
      <w:r>
        <w:fldChar w:fldCharType="separate"/>
      </w:r>
      <w:r>
        <w:rPr>
          <w:rStyle w:val="16"/>
          <w:rFonts w:hint="eastAsia" w:ascii="仿宋" w:hAnsi="仿宋" w:eastAsia="仿宋"/>
          <w:sz w:val="28"/>
          <w:szCs w:val="28"/>
        </w:rPr>
        <w:t>十</w:t>
      </w:r>
      <w:r>
        <w:rPr>
          <w:rStyle w:val="16"/>
          <w:rFonts w:hint="eastAsia" w:ascii="仿宋" w:hAnsi="仿宋" w:eastAsia="仿宋" w:cstheme="majorBidi"/>
          <w:bCs/>
          <w:sz w:val="28"/>
          <w:szCs w:val="28"/>
        </w:rPr>
        <w:t>一、其他重要事项的情况说明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_Toc15396612 \h </w:instrText>
      </w:r>
      <w:r>
        <w:rPr>
          <w:rFonts w:ascii="仿宋" w:hAnsi="仿宋" w:eastAsia="仿宋"/>
          <w:sz w:val="28"/>
          <w:szCs w:val="28"/>
        </w:rPr>
        <w:fldChar w:fldCharType="separate"/>
      </w:r>
      <w:r>
        <w:rPr>
          <w:rFonts w:ascii="仿宋" w:hAnsi="仿宋" w:eastAsia="仿宋"/>
          <w:sz w:val="28"/>
          <w:szCs w:val="28"/>
        </w:rPr>
        <w:t>14</w:t>
      </w:r>
      <w:r>
        <w:rPr>
          <w:rFonts w:ascii="仿宋" w:hAnsi="仿宋" w:eastAsia="仿宋"/>
          <w:sz w:val="28"/>
          <w:szCs w:val="28"/>
        </w:rPr>
        <w:fldChar w:fldCharType="end"/>
      </w:r>
      <w:r>
        <w:rPr>
          <w:rFonts w:ascii="仿宋" w:hAnsi="仿宋" w:eastAsia="仿宋"/>
          <w:sz w:val="28"/>
          <w:szCs w:val="28"/>
        </w:rPr>
        <w:fldChar w:fldCharType="end"/>
      </w:r>
    </w:p>
    <w:p>
      <w:pPr>
        <w:pStyle w:val="11"/>
        <w:rPr>
          <w:rFonts w:cstheme="minorBidi"/>
        </w:rPr>
      </w:pPr>
      <w:r>
        <w:fldChar w:fldCharType="begin"/>
      </w:r>
      <w:r>
        <w:instrText xml:space="preserve"> HYPERLINK \l "_Toc15396613" </w:instrText>
      </w:r>
      <w:r>
        <w:fldChar w:fldCharType="separate"/>
      </w:r>
      <w:r>
        <w:rPr>
          <w:rStyle w:val="16"/>
          <w:rFonts w:hint="eastAsia"/>
          <w:bCs/>
          <w:kern w:val="44"/>
        </w:rPr>
        <w:t>第三部分</w:t>
      </w:r>
      <w:r>
        <w:rPr>
          <w:rStyle w:val="16"/>
          <w:rFonts w:hint="eastAsia"/>
        </w:rPr>
        <w:t xml:space="preserve"> 名</w:t>
      </w:r>
      <w:r>
        <w:rPr>
          <w:rStyle w:val="16"/>
          <w:rFonts w:hint="eastAsia"/>
          <w:bCs/>
          <w:kern w:val="44"/>
        </w:rPr>
        <w:t>词解释</w:t>
      </w:r>
      <w:r>
        <w:tab/>
      </w:r>
      <w:r>
        <w:fldChar w:fldCharType="begin"/>
      </w:r>
      <w:r>
        <w:instrText xml:space="preserve"> PAGEREF _Toc15396613 \h </w:instrText>
      </w:r>
      <w:r>
        <w:fldChar w:fldCharType="separate"/>
      </w:r>
      <w:r>
        <w:t>16</w:t>
      </w:r>
      <w:r>
        <w:fldChar w:fldCharType="end"/>
      </w:r>
      <w:r>
        <w:fldChar w:fldCharType="end"/>
      </w:r>
    </w:p>
    <w:p>
      <w:pPr>
        <w:pStyle w:val="11"/>
        <w:rPr>
          <w:rFonts w:cstheme="minorBidi"/>
        </w:rPr>
      </w:pPr>
      <w:r>
        <w:fldChar w:fldCharType="begin"/>
      </w:r>
      <w:r>
        <w:instrText xml:space="preserve"> HYPERLINK \l "_Toc15396614" </w:instrText>
      </w:r>
      <w:r>
        <w:fldChar w:fldCharType="separate"/>
      </w:r>
      <w:r>
        <w:rPr>
          <w:rStyle w:val="16"/>
          <w:rFonts w:hint="eastAsia"/>
        </w:rPr>
        <w:t>第</w:t>
      </w:r>
      <w:r>
        <w:rPr>
          <w:rStyle w:val="16"/>
          <w:rFonts w:hint="eastAsia"/>
          <w:bCs/>
          <w:kern w:val="44"/>
        </w:rPr>
        <w:t>四部分附件</w:t>
      </w:r>
      <w:r>
        <w:tab/>
      </w:r>
      <w:r>
        <w:fldChar w:fldCharType="begin"/>
      </w:r>
      <w:r>
        <w:instrText xml:space="preserve"> PAGEREF _Toc15396614 \h </w:instrText>
      </w:r>
      <w:r>
        <w:fldChar w:fldCharType="separate"/>
      </w:r>
      <w:r>
        <w:t>19</w:t>
      </w:r>
      <w:r>
        <w:fldChar w:fldCharType="end"/>
      </w:r>
      <w:r>
        <w:fldChar w:fldCharType="end"/>
      </w:r>
    </w:p>
    <w:p>
      <w:pPr>
        <w:pStyle w:val="12"/>
        <w:rPr>
          <w:rFonts w:ascii="仿宋" w:hAnsi="仿宋" w:eastAsia="仿宋" w:cstheme="minorBidi"/>
          <w:sz w:val="28"/>
          <w:szCs w:val="28"/>
        </w:rPr>
      </w:pPr>
      <w:r>
        <w:fldChar w:fldCharType="begin"/>
      </w:r>
      <w:r>
        <w:instrText xml:space="preserve"> HYPERLINK \l "_Toc15396615" </w:instrText>
      </w:r>
      <w:r>
        <w:fldChar w:fldCharType="separate"/>
      </w:r>
      <w:r>
        <w:rPr>
          <w:rStyle w:val="16"/>
          <w:rFonts w:hint="eastAsia" w:ascii="仿宋" w:hAnsi="仿宋" w:eastAsia="仿宋"/>
          <w:kern w:val="44"/>
          <w:sz w:val="28"/>
          <w:szCs w:val="28"/>
        </w:rPr>
        <w:t>附件</w:t>
      </w:r>
      <w:r>
        <w:rPr>
          <w:rStyle w:val="16"/>
          <w:rFonts w:ascii="仿宋" w:hAnsi="仿宋" w:eastAsia="仿宋"/>
          <w:kern w:val="44"/>
          <w:sz w:val="28"/>
          <w:szCs w:val="28"/>
        </w:rPr>
        <w:t>1</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_Toc15396615 \h </w:instrText>
      </w:r>
      <w:r>
        <w:rPr>
          <w:rFonts w:ascii="仿宋" w:hAnsi="仿宋" w:eastAsia="仿宋"/>
          <w:sz w:val="28"/>
          <w:szCs w:val="28"/>
        </w:rPr>
        <w:fldChar w:fldCharType="separate"/>
      </w:r>
      <w:r>
        <w:rPr>
          <w:rFonts w:ascii="仿宋" w:hAnsi="仿宋" w:eastAsia="仿宋"/>
          <w:sz w:val="28"/>
          <w:szCs w:val="28"/>
        </w:rPr>
        <w:t>19</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fldChar w:fldCharType="begin"/>
      </w:r>
      <w:r>
        <w:instrText xml:space="preserve"> HYPERLINK \l "_Toc15396617" </w:instrText>
      </w:r>
      <w:r>
        <w:fldChar w:fldCharType="separate"/>
      </w:r>
      <w:r>
        <w:rPr>
          <w:rStyle w:val="16"/>
          <w:rFonts w:hint="eastAsia" w:ascii="仿宋" w:hAnsi="仿宋" w:eastAsia="仿宋"/>
          <w:kern w:val="44"/>
          <w:sz w:val="28"/>
          <w:szCs w:val="28"/>
        </w:rPr>
        <w:t>附件</w:t>
      </w:r>
      <w:r>
        <w:rPr>
          <w:rStyle w:val="16"/>
          <w:rFonts w:ascii="仿宋" w:hAnsi="仿宋" w:eastAsia="仿宋"/>
          <w:kern w:val="44"/>
          <w:sz w:val="28"/>
          <w:szCs w:val="28"/>
        </w:rPr>
        <w:t>2</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_Toc15396617 \h </w:instrText>
      </w:r>
      <w:r>
        <w:rPr>
          <w:rFonts w:ascii="仿宋" w:hAnsi="仿宋" w:eastAsia="仿宋"/>
          <w:sz w:val="28"/>
          <w:szCs w:val="28"/>
        </w:rPr>
        <w:fldChar w:fldCharType="separate"/>
      </w:r>
      <w:r>
        <w:rPr>
          <w:rFonts w:ascii="仿宋" w:hAnsi="仿宋" w:eastAsia="仿宋"/>
          <w:sz w:val="28"/>
          <w:szCs w:val="28"/>
        </w:rPr>
        <w:t>21</w:t>
      </w:r>
      <w:r>
        <w:rPr>
          <w:rFonts w:ascii="仿宋" w:hAnsi="仿宋" w:eastAsia="仿宋"/>
          <w:sz w:val="28"/>
          <w:szCs w:val="28"/>
        </w:rPr>
        <w:fldChar w:fldCharType="end"/>
      </w:r>
      <w:r>
        <w:rPr>
          <w:rFonts w:ascii="仿宋" w:hAnsi="仿宋" w:eastAsia="仿宋"/>
          <w:sz w:val="28"/>
          <w:szCs w:val="28"/>
        </w:rPr>
        <w:fldChar w:fldCharType="end"/>
      </w:r>
    </w:p>
    <w:p>
      <w:pPr>
        <w:pStyle w:val="11"/>
        <w:rPr>
          <w:rFonts w:cstheme="minorBidi"/>
        </w:rPr>
      </w:pPr>
      <w:r>
        <w:fldChar w:fldCharType="begin"/>
      </w:r>
      <w:r>
        <w:instrText xml:space="preserve"> HYPERLINK \l "_Toc15396618" </w:instrText>
      </w:r>
      <w:r>
        <w:fldChar w:fldCharType="separate"/>
      </w:r>
      <w:r>
        <w:rPr>
          <w:rStyle w:val="16"/>
          <w:rFonts w:hint="eastAsia"/>
        </w:rPr>
        <w:t>第</w:t>
      </w:r>
      <w:r>
        <w:rPr>
          <w:rStyle w:val="16"/>
          <w:rFonts w:hint="eastAsia"/>
          <w:bCs/>
          <w:kern w:val="44"/>
        </w:rPr>
        <w:t>五部分附表</w:t>
      </w:r>
      <w:r>
        <w:tab/>
      </w:r>
      <w:r>
        <w:fldChar w:fldCharType="begin"/>
      </w:r>
      <w:r>
        <w:instrText xml:space="preserve"> PAGEREF _Toc15396618 \h </w:instrText>
      </w:r>
      <w:r>
        <w:fldChar w:fldCharType="separate"/>
      </w:r>
      <w:r>
        <w:t>22</w:t>
      </w:r>
      <w:r>
        <w:fldChar w:fldCharType="end"/>
      </w:r>
      <w:r>
        <w:fldChar w:fldCharType="end"/>
      </w:r>
    </w:p>
    <w:p>
      <w:pPr>
        <w:pStyle w:val="12"/>
        <w:rPr>
          <w:rFonts w:ascii="仿宋" w:hAnsi="仿宋" w:eastAsia="仿宋" w:cstheme="minorBidi"/>
          <w:sz w:val="28"/>
          <w:szCs w:val="28"/>
        </w:rPr>
      </w:pPr>
      <w:r>
        <w:rPr>
          <w:rFonts w:hint="eastAsia" w:ascii="仿宋" w:hAnsi="仿宋" w:eastAsia="仿宋"/>
          <w:sz w:val="28"/>
          <w:szCs w:val="28"/>
        </w:rPr>
        <w:t>一、</w:t>
      </w:r>
      <w:r>
        <w:fldChar w:fldCharType="begin"/>
      </w:r>
      <w:r>
        <w:instrText xml:space="preserve"> HYPERLINK \l "_Toc15396619" </w:instrText>
      </w:r>
      <w:r>
        <w:fldChar w:fldCharType="separate"/>
      </w:r>
      <w:r>
        <w:rPr>
          <w:rStyle w:val="16"/>
          <w:rFonts w:hint="eastAsia" w:ascii="仿宋" w:hAnsi="仿宋" w:eastAsia="仿宋"/>
          <w:sz w:val="28"/>
          <w:szCs w:val="28"/>
        </w:rPr>
        <w:t>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_Toc15396619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rPr>
          <w:rFonts w:hint="eastAsia" w:ascii="仿宋" w:hAnsi="仿宋" w:eastAsia="仿宋"/>
          <w:sz w:val="28"/>
          <w:szCs w:val="28"/>
        </w:rPr>
        <w:t>二、</w:t>
      </w:r>
      <w:r>
        <w:fldChar w:fldCharType="begin"/>
      </w:r>
      <w:r>
        <w:instrText xml:space="preserve"> HYPERLINK \l "_Toc15396620" </w:instrText>
      </w:r>
      <w:r>
        <w:fldChar w:fldCharType="separate"/>
      </w:r>
      <w:r>
        <w:rPr>
          <w:rStyle w:val="16"/>
          <w:rFonts w:hint="eastAsia" w:ascii="仿宋" w:hAnsi="仿宋" w:eastAsia="仿宋"/>
          <w:sz w:val="28"/>
          <w:szCs w:val="28"/>
        </w:rPr>
        <w:t>收入总表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_Toc15396620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rPr>
          <w:rFonts w:hint="eastAsia" w:ascii="仿宋" w:hAnsi="仿宋" w:eastAsia="仿宋"/>
          <w:sz w:val="28"/>
          <w:szCs w:val="28"/>
        </w:rPr>
        <w:t>三、</w:t>
      </w:r>
      <w:r>
        <w:fldChar w:fldCharType="begin"/>
      </w:r>
      <w:r>
        <w:instrText xml:space="preserve"> HYPERLINK \l "_Toc15396621" </w:instrText>
      </w:r>
      <w:r>
        <w:fldChar w:fldCharType="separate"/>
      </w:r>
      <w:r>
        <w:rPr>
          <w:rStyle w:val="16"/>
          <w:rFonts w:hint="eastAsia" w:ascii="仿宋" w:hAnsi="仿宋" w:eastAsia="仿宋"/>
          <w:sz w:val="28"/>
          <w:szCs w:val="28"/>
        </w:rPr>
        <w:t>支出总表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_Toc15396621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rPr>
          <w:rFonts w:hint="eastAsia" w:ascii="仿宋" w:hAnsi="仿宋" w:eastAsia="仿宋"/>
          <w:sz w:val="28"/>
          <w:szCs w:val="28"/>
        </w:rPr>
        <w:t>四、</w:t>
      </w:r>
      <w:r>
        <w:fldChar w:fldCharType="begin"/>
      </w:r>
      <w:r>
        <w:instrText xml:space="preserve"> HYPERLINK \l "_Toc15396622" </w:instrText>
      </w:r>
      <w:r>
        <w:fldChar w:fldCharType="separate"/>
      </w:r>
      <w:r>
        <w:rPr>
          <w:rStyle w:val="16"/>
          <w:rFonts w:hint="eastAsia" w:ascii="仿宋" w:hAnsi="仿宋" w:eastAsia="仿宋"/>
          <w:sz w:val="28"/>
          <w:szCs w:val="28"/>
        </w:rPr>
        <w:t>财政拨款收入支出决算总表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_Toc15396622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sz w:val="28"/>
          <w:szCs w:val="28"/>
        </w:rPr>
      </w:pPr>
      <w:r>
        <w:rPr>
          <w:rFonts w:hint="eastAsia" w:ascii="仿宋" w:hAnsi="仿宋" w:eastAsia="仿宋"/>
          <w:sz w:val="28"/>
          <w:szCs w:val="28"/>
        </w:rPr>
        <w:t>五、</w:t>
      </w:r>
      <w:r>
        <w:fldChar w:fldCharType="begin"/>
      </w:r>
      <w:r>
        <w:instrText xml:space="preserve"> HYPERLINK \l "_Toc15396623" </w:instrText>
      </w:r>
      <w:r>
        <w:fldChar w:fldCharType="separate"/>
      </w:r>
      <w:r>
        <w:rPr>
          <w:rFonts w:hint="eastAsia" w:ascii="仿宋" w:hAnsi="仿宋" w:eastAsia="仿宋"/>
          <w:sz w:val="28"/>
          <w:szCs w:val="28"/>
        </w:rPr>
        <w:t>财政拨款支出决算明细表（政府经济分类科目）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_Toc15396623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rPr>
          <w:rFonts w:hint="eastAsia" w:ascii="仿宋" w:hAnsi="仿宋" w:eastAsia="仿宋"/>
          <w:sz w:val="28"/>
          <w:szCs w:val="28"/>
        </w:rPr>
        <w:t>六、</w:t>
      </w:r>
      <w:r>
        <w:fldChar w:fldCharType="begin"/>
      </w:r>
      <w:r>
        <w:instrText xml:space="preserve"> HYPERLINK \l "_Toc15396624" </w:instrText>
      </w:r>
      <w:r>
        <w:fldChar w:fldCharType="separate"/>
      </w:r>
      <w:r>
        <w:rPr>
          <w:rStyle w:val="16"/>
          <w:rFonts w:hint="eastAsia" w:ascii="仿宋" w:hAnsi="仿宋" w:eastAsia="仿宋"/>
          <w:sz w:val="28"/>
          <w:szCs w:val="28"/>
        </w:rPr>
        <w:t>一般公共预算财政拨款支出决算表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_Toc15396624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rPr>
          <w:rFonts w:hint="eastAsia" w:ascii="仿宋" w:hAnsi="仿宋" w:eastAsia="仿宋"/>
          <w:sz w:val="28"/>
          <w:szCs w:val="28"/>
        </w:rPr>
        <w:t>七、</w:t>
      </w:r>
      <w:r>
        <w:fldChar w:fldCharType="begin"/>
      </w:r>
      <w:r>
        <w:instrText xml:space="preserve"> HYPERLINK \l "_Toc15396625" </w:instrText>
      </w:r>
      <w:r>
        <w:fldChar w:fldCharType="separate"/>
      </w:r>
      <w:r>
        <w:rPr>
          <w:rStyle w:val="16"/>
          <w:rFonts w:hint="eastAsia" w:ascii="仿宋" w:hAnsi="仿宋" w:eastAsia="仿宋"/>
          <w:sz w:val="28"/>
          <w:szCs w:val="28"/>
        </w:rPr>
        <w:t>一般公共预算财政拨款支出决算明细表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_Toc15396625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rPr>
          <w:rFonts w:hint="eastAsia" w:ascii="仿宋" w:hAnsi="仿宋" w:eastAsia="仿宋"/>
          <w:sz w:val="28"/>
          <w:szCs w:val="28"/>
        </w:rPr>
        <w:t>八、</w:t>
      </w:r>
      <w:r>
        <w:fldChar w:fldCharType="begin"/>
      </w:r>
      <w:r>
        <w:instrText xml:space="preserve"> HYPERLINK \l "_Toc15396626" </w:instrText>
      </w:r>
      <w:r>
        <w:fldChar w:fldCharType="separate"/>
      </w:r>
      <w:r>
        <w:rPr>
          <w:rStyle w:val="16"/>
          <w:rFonts w:hint="eastAsia" w:ascii="仿宋" w:hAnsi="仿宋" w:eastAsia="仿宋"/>
          <w:sz w:val="28"/>
          <w:szCs w:val="28"/>
        </w:rPr>
        <w:t>一般公共预算财政拨款基本支出决算表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_Toc15396626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rPr>
          <w:rFonts w:hint="eastAsia" w:ascii="仿宋" w:hAnsi="仿宋" w:eastAsia="仿宋"/>
          <w:sz w:val="28"/>
          <w:szCs w:val="28"/>
        </w:rPr>
        <w:t>九、</w:t>
      </w:r>
      <w:r>
        <w:fldChar w:fldCharType="begin"/>
      </w:r>
      <w:r>
        <w:instrText xml:space="preserve"> HYPERLINK \l "_Toc15396627" </w:instrText>
      </w:r>
      <w:r>
        <w:fldChar w:fldCharType="separate"/>
      </w:r>
      <w:r>
        <w:rPr>
          <w:rStyle w:val="16"/>
          <w:rFonts w:hint="eastAsia" w:ascii="仿宋" w:hAnsi="仿宋" w:eastAsia="仿宋"/>
          <w:sz w:val="28"/>
          <w:szCs w:val="28"/>
        </w:rPr>
        <w:t>一般公共预算财政拨款项目支出决算表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_Toc15396627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rPr>
          <w:rFonts w:hint="eastAsia" w:ascii="仿宋" w:hAnsi="仿宋" w:eastAsia="仿宋"/>
          <w:sz w:val="28"/>
          <w:szCs w:val="28"/>
        </w:rPr>
        <w:t>十、</w:t>
      </w:r>
      <w:r>
        <w:fldChar w:fldCharType="begin"/>
      </w:r>
      <w:r>
        <w:instrText xml:space="preserve"> HYPERLINK \l "_Toc15396628" </w:instrText>
      </w:r>
      <w:r>
        <w:fldChar w:fldCharType="separate"/>
      </w:r>
      <w:r>
        <w:rPr>
          <w:rStyle w:val="16"/>
          <w:rFonts w:hint="eastAsia" w:ascii="仿宋" w:hAnsi="仿宋" w:eastAsia="仿宋"/>
          <w:sz w:val="28"/>
          <w:szCs w:val="28"/>
        </w:rPr>
        <w:t>一般公共预算财政拨款“三公”经费支出决算表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_Toc15396628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rPr>
          <w:rFonts w:hint="eastAsia" w:ascii="仿宋" w:hAnsi="仿宋" w:eastAsia="仿宋"/>
          <w:sz w:val="28"/>
          <w:szCs w:val="28"/>
        </w:rPr>
        <w:t>十一、</w:t>
      </w:r>
      <w:r>
        <w:fldChar w:fldCharType="begin"/>
      </w:r>
      <w:r>
        <w:instrText xml:space="preserve"> HYPERLINK \l "_Toc15396629" </w:instrText>
      </w:r>
      <w:r>
        <w:fldChar w:fldCharType="separate"/>
      </w:r>
      <w:r>
        <w:rPr>
          <w:rStyle w:val="16"/>
          <w:rFonts w:hint="eastAsia" w:ascii="仿宋" w:hAnsi="仿宋" w:eastAsia="仿宋"/>
          <w:sz w:val="28"/>
          <w:szCs w:val="28"/>
        </w:rPr>
        <w:t>政府性基金预算财政拨款收入支出决算表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_Toc15396629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rPr>
          <w:rFonts w:hint="eastAsia" w:ascii="仿宋" w:hAnsi="仿宋" w:eastAsia="仿宋"/>
          <w:sz w:val="28"/>
          <w:szCs w:val="28"/>
        </w:rPr>
        <w:t>十二、</w:t>
      </w:r>
      <w:r>
        <w:fldChar w:fldCharType="begin"/>
      </w:r>
      <w:r>
        <w:instrText xml:space="preserve"> HYPERLINK \l "_Toc15396630" </w:instrText>
      </w:r>
      <w:r>
        <w:fldChar w:fldCharType="separate"/>
      </w:r>
      <w:r>
        <w:rPr>
          <w:rStyle w:val="16"/>
          <w:rFonts w:hint="eastAsia" w:ascii="仿宋" w:hAnsi="仿宋" w:eastAsia="仿宋"/>
          <w:sz w:val="28"/>
          <w:szCs w:val="28"/>
        </w:rPr>
        <w:t>政府性基金预算财政拨款“三公”经费支出决算表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_Toc15396630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4"/>
        </w:rPr>
      </w:pPr>
      <w:r>
        <w:rPr>
          <w:rFonts w:hint="eastAsia" w:ascii="仿宋" w:hAnsi="仿宋" w:eastAsia="仿宋"/>
          <w:sz w:val="28"/>
          <w:szCs w:val="28"/>
        </w:rPr>
        <w:t>十三、</w:t>
      </w:r>
      <w:r>
        <w:fldChar w:fldCharType="begin"/>
      </w:r>
      <w:r>
        <w:instrText xml:space="preserve"> HYPERLINK \l "_Toc15396631" </w:instrText>
      </w:r>
      <w:r>
        <w:fldChar w:fldCharType="separate"/>
      </w:r>
      <w:r>
        <w:rPr>
          <w:rStyle w:val="16"/>
          <w:rFonts w:hint="eastAsia" w:ascii="仿宋" w:hAnsi="仿宋" w:eastAsia="仿宋"/>
          <w:sz w:val="28"/>
          <w:szCs w:val="28"/>
        </w:rPr>
        <w:t>国有资本经营预算支出决算表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_Toc15396631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widowControl/>
        <w:jc w:val="left"/>
        <w:rPr>
          <w:rFonts w:ascii="仿宋" w:hAnsi="仿宋" w:eastAsia="仿宋"/>
          <w:color w:val="000000"/>
          <w:sz w:val="24"/>
        </w:rPr>
      </w:pPr>
      <w:r>
        <w:rPr>
          <w:rFonts w:ascii="仿宋" w:hAnsi="仿宋" w:eastAsia="仿宋"/>
          <w:color w:val="000000"/>
          <w:sz w:val="24"/>
        </w:rPr>
        <w:fldChar w:fldCharType="end"/>
      </w:r>
    </w:p>
    <w:p>
      <w:pPr>
        <w:widowControl/>
        <w:jc w:val="left"/>
        <w:rPr>
          <w:rFonts w:ascii="黑体" w:hAnsi="黑体" w:eastAsia="黑体"/>
          <w:bCs/>
          <w:kern w:val="44"/>
          <w:sz w:val="44"/>
          <w:szCs w:val="44"/>
        </w:rPr>
      </w:pPr>
      <w:bookmarkStart w:id="12" w:name="_Toc15377196"/>
      <w:bookmarkStart w:id="13" w:name="_Toc15396599"/>
      <w:r>
        <w:rPr>
          <w:rFonts w:ascii="黑体" w:hAnsi="黑体" w:eastAsia="黑体"/>
          <w:b/>
        </w:rPr>
        <w:br w:type="page"/>
      </w:r>
    </w:p>
    <w:p>
      <w:pPr>
        <w:pStyle w:val="2"/>
        <w:jc w:val="center"/>
        <w:rPr>
          <w:rStyle w:val="26"/>
          <w:rFonts w:ascii="黑体" w:hAnsi="黑体" w:eastAsia="黑体"/>
          <w:b/>
          <w:bCs w:val="0"/>
        </w:rPr>
      </w:pPr>
      <w:r>
        <w:rPr>
          <w:rFonts w:hint="eastAsia" w:ascii="黑体" w:hAnsi="黑体" w:eastAsia="黑体"/>
          <w:b w:val="0"/>
        </w:rPr>
        <w:t xml:space="preserve">第一部分 </w:t>
      </w:r>
      <w:r>
        <w:rPr>
          <w:rStyle w:val="26"/>
          <w:rFonts w:hint="eastAsia" w:ascii="黑体" w:hAnsi="黑体" w:eastAsia="黑体"/>
          <w:b w:val="0"/>
          <w:bCs w:val="0"/>
        </w:rPr>
        <w:t>部门概况</w:t>
      </w:r>
      <w:bookmarkEnd w:id="12"/>
      <w:bookmarkEnd w:id="13"/>
    </w:p>
    <w:p>
      <w:pPr>
        <w:widowControl/>
        <w:jc w:val="left"/>
        <w:rPr>
          <w:rFonts w:ascii="黑体" w:eastAsia="黑体"/>
          <w:color w:val="000000"/>
          <w:sz w:val="32"/>
          <w:szCs w:val="32"/>
        </w:rPr>
      </w:pPr>
    </w:p>
    <w:p>
      <w:pPr>
        <w:pStyle w:val="3"/>
        <w:rPr>
          <w:rStyle w:val="27"/>
          <w:rFonts w:ascii="仿宋" w:hAnsi="仿宋" w:eastAsia="仿宋"/>
          <w:b w:val="0"/>
          <w:bCs w:val="0"/>
        </w:rPr>
      </w:pPr>
      <w:bookmarkStart w:id="14" w:name="_Toc15377197"/>
      <w:bookmarkStart w:id="15" w:name="_Toc15396600"/>
      <w:r>
        <w:rPr>
          <w:rFonts w:hint="eastAsia" w:ascii="黑体" w:hAnsi="黑体" w:eastAsia="黑体"/>
          <w:b w:val="0"/>
          <w:color w:val="000000"/>
        </w:rPr>
        <w:t>一、基</w:t>
      </w:r>
      <w:r>
        <w:rPr>
          <w:rStyle w:val="27"/>
          <w:rFonts w:hint="eastAsia" w:ascii="黑体" w:hAnsi="黑体" w:eastAsia="黑体"/>
          <w:b w:val="0"/>
          <w:bCs w:val="0"/>
        </w:rPr>
        <w:t>本职能及主要工作</w:t>
      </w:r>
      <w:bookmarkEnd w:id="14"/>
      <w:bookmarkEnd w:id="15"/>
    </w:p>
    <w:p>
      <w:pPr>
        <w:pStyle w:val="6"/>
        <w:adjustRightInd w:val="0"/>
        <w:snapToGrid w:val="0"/>
        <w:spacing w:before="93" w:line="600" w:lineRule="exact"/>
        <w:ind w:firstLine="672" w:firstLineChars="210"/>
        <w:outlineLvl w:val="2"/>
        <w:rPr>
          <w:rFonts w:ascii="仿宋" w:hAnsi="仿宋" w:eastAsia="仿宋"/>
          <w:bCs/>
          <w:color w:val="000000"/>
          <w:sz w:val="32"/>
          <w:szCs w:val="32"/>
        </w:rPr>
      </w:pPr>
      <w:bookmarkStart w:id="16" w:name="_Toc15377198"/>
      <w:bookmarkStart w:id="17" w:name="_Toc15378445"/>
      <w:r>
        <w:rPr>
          <w:rFonts w:hint="eastAsia" w:ascii="仿宋" w:hAnsi="仿宋" w:eastAsia="仿宋"/>
          <w:bCs/>
          <w:color w:val="000000"/>
          <w:sz w:val="32"/>
          <w:szCs w:val="32"/>
        </w:rPr>
        <w:t>（一）主要职能</w:t>
      </w:r>
      <w:bookmarkEnd w:id="16"/>
      <w:bookmarkEnd w:id="17"/>
    </w:p>
    <w:p>
      <w:pPr>
        <w:pStyle w:val="6"/>
        <w:adjustRightInd w:val="0"/>
        <w:snapToGrid w:val="0"/>
        <w:spacing w:before="93" w:line="580" w:lineRule="exact"/>
        <w:ind w:firstLine="480" w:firstLineChars="150"/>
        <w:rPr>
          <w:bCs/>
          <w:sz w:val="32"/>
          <w:szCs w:val="32"/>
        </w:rPr>
      </w:pPr>
      <w:r>
        <w:rPr>
          <w:rFonts w:hint="eastAsia"/>
          <w:bCs/>
          <w:color w:val="000000"/>
          <w:sz w:val="32"/>
          <w:szCs w:val="32"/>
        </w:rPr>
        <w:t>主要职能有:</w:t>
      </w:r>
      <w:r>
        <w:rPr>
          <w:rFonts w:hint="eastAsia"/>
          <w:bCs/>
          <w:sz w:val="32"/>
          <w:szCs w:val="32"/>
        </w:rPr>
        <w:t>加强公安机关防范，打击恐怖活动的职责；加强公安机关应急抢险救援能力建设的职责；加强公共信息网络安全保卫的职责；加强打击拐卖妇女儿童犯罪的职责；加强推进以便民和公安服务为重点的治安行政管理改革的职责。</w:t>
      </w:r>
    </w:p>
    <w:p>
      <w:pPr>
        <w:pStyle w:val="6"/>
        <w:adjustRightInd w:val="0"/>
        <w:snapToGrid w:val="0"/>
        <w:spacing w:before="93" w:line="600" w:lineRule="exact"/>
        <w:ind w:firstLine="672" w:firstLineChars="210"/>
        <w:outlineLvl w:val="2"/>
        <w:rPr>
          <w:rFonts w:ascii="仿宋" w:hAnsi="仿宋" w:eastAsia="仿宋"/>
          <w:bCs/>
          <w:color w:val="000000"/>
          <w:sz w:val="32"/>
          <w:szCs w:val="32"/>
        </w:rPr>
      </w:pPr>
      <w:r>
        <w:rPr>
          <w:rFonts w:hint="eastAsia"/>
          <w:bCs/>
          <w:sz w:val="32"/>
          <w:szCs w:val="32"/>
        </w:rPr>
        <w:t>主要工作有：贯彻执行国家公安工作的方针；负责、协调全县公安机关应急管理；收集掌握影响社会稳定，危害国家安全和社会治安的情况；组织、实施、指导全县公安法制建设；组织全县公安侦查工作；组织、监督全县公安机关查处危害社会治安次序；负责全县道路交通安全管理工作并承担相应责任；负责全县消防工作并承担相应责任；指导全县公安警卫业务工作；承办县政府和上级公安机关交办的其他事项</w:t>
      </w:r>
    </w:p>
    <w:p>
      <w:pPr>
        <w:pStyle w:val="6"/>
        <w:adjustRightInd w:val="0"/>
        <w:snapToGrid w:val="0"/>
        <w:spacing w:before="93" w:line="600" w:lineRule="exact"/>
        <w:ind w:firstLine="672" w:firstLineChars="210"/>
        <w:outlineLvl w:val="2"/>
        <w:rPr>
          <w:rFonts w:ascii="仿宋" w:hAnsi="仿宋" w:eastAsia="仿宋"/>
          <w:bCs/>
          <w:color w:val="000000"/>
          <w:sz w:val="32"/>
          <w:szCs w:val="32"/>
        </w:rPr>
      </w:pPr>
      <w:bookmarkStart w:id="18" w:name="_Toc15377199"/>
      <w:bookmarkStart w:id="19" w:name="_Toc15378446"/>
      <w:r>
        <w:rPr>
          <w:rFonts w:hint="eastAsia" w:ascii="仿宋" w:hAnsi="仿宋" w:eastAsia="仿宋"/>
          <w:bCs/>
          <w:color w:val="000000"/>
          <w:sz w:val="32"/>
          <w:szCs w:val="32"/>
        </w:rPr>
        <w:t>（二）</w:t>
      </w:r>
      <w:r>
        <w:rPr>
          <w:rFonts w:ascii="仿宋" w:hAnsi="仿宋" w:eastAsia="仿宋"/>
          <w:bCs/>
          <w:color w:val="000000"/>
          <w:sz w:val="32"/>
          <w:szCs w:val="32"/>
        </w:rPr>
        <w:t>201</w:t>
      </w:r>
      <w:r>
        <w:rPr>
          <w:rFonts w:hint="eastAsia" w:ascii="仿宋" w:hAnsi="仿宋" w:eastAsia="仿宋"/>
          <w:bCs/>
          <w:color w:val="000000"/>
          <w:sz w:val="32"/>
          <w:szCs w:val="32"/>
        </w:rPr>
        <w:t>8年重点工作完成情况</w:t>
      </w:r>
      <w:bookmarkEnd w:id="18"/>
      <w:bookmarkEnd w:id="19"/>
    </w:p>
    <w:p>
      <w:pPr>
        <w:spacing w:line="560" w:lineRule="exact"/>
        <w:ind w:firstLine="640" w:firstLineChars="200"/>
        <w:rPr>
          <w:rFonts w:ascii="仿宋_GB2312" w:eastAsia="仿宋_GB2312"/>
          <w:sz w:val="32"/>
          <w:szCs w:val="32"/>
        </w:rPr>
      </w:pPr>
      <w:r>
        <w:rPr>
          <w:rFonts w:hint="eastAsia" w:ascii="仿宋_GB2312" w:eastAsia="仿宋_GB2312"/>
          <w:sz w:val="32"/>
        </w:rPr>
        <w:t>2018年严打整治等专项重点工作</w:t>
      </w:r>
      <w:r>
        <w:rPr>
          <w:rFonts w:hint="eastAsia" w:ascii="仿宋_GB2312" w:eastAsia="仿宋_GB2312"/>
          <w:sz w:val="32"/>
          <w:szCs w:val="32"/>
        </w:rPr>
        <w:t>，努力提升管理服务能力，着力加强队伍教育管理，为服务经济建设、构建平安和谐壤塘做出了积极贡献。</w:t>
      </w:r>
    </w:p>
    <w:p>
      <w:pPr>
        <w:pStyle w:val="3"/>
        <w:rPr>
          <w:rStyle w:val="27"/>
          <w:rFonts w:ascii="黑体" w:hAnsi="黑体" w:eastAsia="黑体"/>
          <w:b w:val="0"/>
          <w:bCs w:val="0"/>
        </w:rPr>
      </w:pPr>
      <w:bookmarkStart w:id="20" w:name="_Toc15377200"/>
      <w:bookmarkStart w:id="21" w:name="_Toc15396601"/>
      <w:r>
        <w:rPr>
          <w:rFonts w:hint="eastAsia" w:ascii="黑体" w:eastAsia="黑体"/>
          <w:b w:val="0"/>
          <w:color w:val="000000"/>
        </w:rPr>
        <w:t>二、</w:t>
      </w:r>
      <w:r>
        <w:rPr>
          <w:rFonts w:hint="eastAsia" w:ascii="黑体" w:hAnsi="黑体" w:eastAsia="黑体"/>
          <w:b w:val="0"/>
          <w:color w:val="000000"/>
        </w:rPr>
        <w:t>机</w:t>
      </w:r>
      <w:r>
        <w:rPr>
          <w:rStyle w:val="27"/>
          <w:rFonts w:hint="eastAsia" w:ascii="黑体" w:hAnsi="黑体" w:eastAsia="黑体"/>
          <w:b w:val="0"/>
          <w:bCs w:val="0"/>
        </w:rPr>
        <w:t>构设置</w:t>
      </w:r>
      <w:bookmarkEnd w:id="20"/>
      <w:bookmarkEnd w:id="21"/>
    </w:p>
    <w:p>
      <w:pPr>
        <w:widowControl/>
        <w:spacing w:line="600" w:lineRule="exact"/>
        <w:ind w:firstLine="640" w:firstLineChars="200"/>
        <w:jc w:val="left"/>
        <w:rPr>
          <w:rFonts w:ascii="仿宋_GB2312" w:eastAsia="仿宋_GB2312"/>
          <w:bCs/>
          <w:sz w:val="32"/>
          <w:szCs w:val="32"/>
        </w:rPr>
      </w:pPr>
      <w:r>
        <w:rPr>
          <w:rFonts w:hint="eastAsia" w:ascii="仿宋_GB2312" w:eastAsia="仿宋_GB2312"/>
          <w:bCs/>
          <w:sz w:val="32"/>
          <w:szCs w:val="32"/>
        </w:rPr>
        <w:t>壤塘县公安局核定政法专项编制155名。其中：局长1名（兼督察长），政委1名，副局长3名。纪委书记按县委规定配备。</w:t>
      </w:r>
    </w:p>
    <w:p>
      <w:pPr>
        <w:widowControl/>
        <w:spacing w:line="600" w:lineRule="exact"/>
        <w:ind w:firstLine="640" w:firstLineChars="200"/>
        <w:jc w:val="left"/>
        <w:rPr>
          <w:rFonts w:ascii="仿宋_GB2312" w:eastAsia="仿宋_GB2312"/>
          <w:bCs/>
          <w:sz w:val="32"/>
          <w:szCs w:val="32"/>
        </w:rPr>
      </w:pPr>
      <w:r>
        <w:rPr>
          <w:rFonts w:hint="eastAsia" w:ascii="仿宋_GB2312" w:eastAsia="仿宋_GB2312"/>
          <w:bCs/>
          <w:sz w:val="32"/>
          <w:szCs w:val="32"/>
        </w:rPr>
        <w:t>内设机构中，分别核定国内安全保卫大队、刑事侦察大队、交通警察大队、草原骑警大队、经济犯罪侦查大队大队长和教导员各1名（副科级）；核定政工室主任1名（副科级）；其余内设机构为股所级。</w:t>
      </w:r>
    </w:p>
    <w:p>
      <w:pPr>
        <w:widowControl/>
        <w:spacing w:line="600" w:lineRule="exact"/>
        <w:ind w:firstLine="640" w:firstLineChars="200"/>
        <w:jc w:val="left"/>
        <w:rPr>
          <w:rFonts w:ascii="仿宋_GB2312" w:eastAsia="仿宋_GB2312"/>
          <w:bCs/>
          <w:sz w:val="32"/>
          <w:szCs w:val="32"/>
        </w:rPr>
      </w:pPr>
      <w:r>
        <w:rPr>
          <w:rFonts w:hint="eastAsia" w:ascii="仿宋_GB2312" w:eastAsia="仿宋_GB2312"/>
          <w:bCs/>
          <w:sz w:val="32"/>
          <w:szCs w:val="32"/>
        </w:rPr>
        <w:t>机关工勤人员编制8名。</w:t>
      </w:r>
    </w:p>
    <w:p>
      <w:r>
        <w:rPr>
          <w:rFonts w:hint="eastAsia" w:ascii="仿宋_GB2312" w:eastAsia="仿宋_GB2312"/>
          <w:bCs/>
          <w:sz w:val="32"/>
          <w:szCs w:val="32"/>
        </w:rPr>
        <w:t>壤塘县公安局设立13个派出所机构</w:t>
      </w:r>
    </w:p>
    <w:p>
      <w:pPr>
        <w:pStyle w:val="2"/>
        <w:ind w:right="440"/>
        <w:jc w:val="right"/>
        <w:rPr>
          <w:rFonts w:ascii="黑体" w:hAnsi="黑体" w:eastAsia="黑体"/>
          <w:b w:val="0"/>
          <w:bCs w:val="0"/>
        </w:rPr>
      </w:pPr>
      <w:bookmarkStart w:id="22" w:name="_Toc15377204"/>
      <w:bookmarkStart w:id="23" w:name="_Toc15396602"/>
      <w:r>
        <w:rPr>
          <w:rFonts w:hint="eastAsia" w:ascii="黑体" w:hAnsi="黑体" w:eastAsia="黑体"/>
          <w:b w:val="0"/>
          <w:color w:val="000000"/>
        </w:rPr>
        <w:t>第二部分</w:t>
      </w:r>
      <w:r>
        <w:rPr>
          <w:rStyle w:val="26"/>
          <w:rFonts w:hint="eastAsia" w:ascii="黑体" w:hAnsi="黑体" w:eastAsia="黑体"/>
          <w:b w:val="0"/>
          <w:bCs w:val="0"/>
        </w:rPr>
        <w:t>2018年度部门决算情况说明</w:t>
      </w:r>
      <w:bookmarkEnd w:id="22"/>
      <w:bookmarkEnd w:id="23"/>
    </w:p>
    <w:p>
      <w:pPr>
        <w:pStyle w:val="25"/>
        <w:numPr>
          <w:ilvl w:val="0"/>
          <w:numId w:val="1"/>
        </w:numPr>
        <w:spacing w:line="600" w:lineRule="exact"/>
        <w:ind w:firstLineChars="0"/>
        <w:outlineLvl w:val="1"/>
        <w:rPr>
          <w:rStyle w:val="27"/>
          <w:rFonts w:ascii="黑体" w:hAnsi="黑体" w:eastAsia="黑体"/>
          <w:b w:val="0"/>
        </w:rPr>
      </w:pPr>
      <w:bookmarkStart w:id="24" w:name="_Toc15377205"/>
      <w:bookmarkStart w:id="25" w:name="_Toc15396603"/>
      <w:r>
        <w:rPr>
          <w:rFonts w:hint="eastAsia" w:ascii="黑体" w:hAnsi="黑体" w:eastAsia="黑体"/>
          <w:color w:val="000000"/>
          <w:sz w:val="32"/>
          <w:szCs w:val="32"/>
        </w:rPr>
        <w:t>收</w:t>
      </w:r>
      <w:r>
        <w:rPr>
          <w:rStyle w:val="27"/>
          <w:rFonts w:hint="eastAsia" w:ascii="黑体" w:hAnsi="黑体" w:eastAsia="黑体"/>
          <w:b w:val="0"/>
        </w:rPr>
        <w:t>入支出决算总体情况说明</w:t>
      </w:r>
      <w:bookmarkEnd w:id="24"/>
      <w:bookmarkEnd w:id="25"/>
    </w:p>
    <w:p>
      <w:pPr>
        <w:spacing w:line="600" w:lineRule="exact"/>
        <w:ind w:left="640" w:leftChars="305" w:firstLine="320" w:firstLineChars="100"/>
        <w:rPr>
          <w:rFonts w:ascii="仿宋" w:hAnsi="仿宋" w:eastAsia="仿宋"/>
          <w:color w:val="000000"/>
          <w:sz w:val="32"/>
          <w:szCs w:val="32"/>
        </w:rPr>
      </w:pPr>
      <w:r>
        <w:rPr>
          <w:rFonts w:hint="eastAsia" w:ascii="仿宋" w:hAnsi="仿宋" w:eastAsia="仿宋"/>
          <w:color w:val="000000"/>
          <w:sz w:val="32"/>
          <w:szCs w:val="32"/>
        </w:rPr>
        <w:t>2018年度收入总计3564.14万元。与2017年相比，收入减少125.69万元，减少0.35</w:t>
      </w:r>
      <w:r>
        <w:rPr>
          <w:rFonts w:ascii="仿宋" w:hAnsi="仿宋" w:eastAsia="仿宋"/>
          <w:color w:val="000000"/>
          <w:sz w:val="32"/>
          <w:szCs w:val="32"/>
        </w:rPr>
        <w:t xml:space="preserve"> %</w:t>
      </w:r>
      <w:r>
        <w:rPr>
          <w:rFonts w:hint="eastAsia" w:ascii="仿宋" w:hAnsi="仿宋" w:eastAsia="仿宋"/>
          <w:color w:val="000000"/>
          <w:sz w:val="32"/>
          <w:szCs w:val="32"/>
        </w:rPr>
        <w:t>。主要变动原因是2018年经费压减。</w:t>
      </w:r>
    </w:p>
    <w:p>
      <w:pPr>
        <w:spacing w:line="600" w:lineRule="exact"/>
        <w:ind w:left="640" w:leftChars="305" w:firstLine="320" w:firstLineChars="100"/>
        <w:rPr>
          <w:rFonts w:ascii="仿宋" w:hAnsi="仿宋" w:eastAsia="仿宋"/>
          <w:color w:val="000000"/>
          <w:sz w:val="32"/>
          <w:szCs w:val="32"/>
        </w:rPr>
      </w:pPr>
      <w:r>
        <w:rPr>
          <w:rFonts w:hint="eastAsia" w:ascii="仿宋" w:hAnsi="仿宋" w:eastAsia="仿宋"/>
          <w:color w:val="000000"/>
          <w:sz w:val="32"/>
          <w:szCs w:val="32"/>
        </w:rPr>
        <w:drawing>
          <wp:anchor distT="0" distB="0" distL="114300" distR="114300" simplePos="0" relativeHeight="251662336" behindDoc="1" locked="0" layoutInCell="1" allowOverlap="1">
            <wp:simplePos x="0" y="0"/>
            <wp:positionH relativeFrom="column">
              <wp:posOffset>647700</wp:posOffset>
            </wp:positionH>
            <wp:positionV relativeFrom="paragraph">
              <wp:posOffset>35560</wp:posOffset>
            </wp:positionV>
            <wp:extent cx="5000625" cy="1819275"/>
            <wp:effectExtent l="19050" t="0" r="9525" b="0"/>
            <wp:wrapNone/>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spacing w:line="600" w:lineRule="exact"/>
        <w:ind w:left="640" w:leftChars="305" w:firstLine="320" w:firstLineChars="100"/>
        <w:rPr>
          <w:rFonts w:ascii="仿宋" w:hAnsi="仿宋" w:eastAsia="仿宋"/>
          <w:color w:val="000000"/>
          <w:sz w:val="32"/>
          <w:szCs w:val="32"/>
        </w:rPr>
      </w:pPr>
    </w:p>
    <w:p>
      <w:pPr>
        <w:pStyle w:val="25"/>
        <w:spacing w:line="600" w:lineRule="exact"/>
        <w:ind w:left="1360" w:firstLine="0" w:firstLineChars="0"/>
        <w:outlineLvl w:val="1"/>
        <w:rPr>
          <w:rStyle w:val="27"/>
          <w:rFonts w:ascii="黑体" w:hAnsi="黑体" w:eastAsia="黑体"/>
          <w:b w:val="0"/>
        </w:rPr>
      </w:pPr>
    </w:p>
    <w:p>
      <w:pPr>
        <w:tabs>
          <w:tab w:val="left" w:pos="6635"/>
        </w:tabs>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ab/>
      </w:r>
    </w:p>
    <w:p>
      <w:pPr>
        <w:tabs>
          <w:tab w:val="left" w:pos="7130"/>
        </w:tabs>
        <w:spacing w:line="600" w:lineRule="exact"/>
        <w:rPr>
          <w:rFonts w:ascii="仿宋" w:hAnsi="仿宋" w:eastAsia="仿宋"/>
          <w:color w:val="000000"/>
          <w:sz w:val="32"/>
          <w:szCs w:val="32"/>
        </w:rPr>
      </w:pPr>
    </w:p>
    <w:p>
      <w:pPr>
        <w:tabs>
          <w:tab w:val="left" w:pos="7130"/>
        </w:tabs>
        <w:spacing w:line="600" w:lineRule="exact"/>
        <w:ind w:firstLine="320" w:firstLineChars="100"/>
        <w:rPr>
          <w:rFonts w:ascii="仿宋" w:hAnsi="仿宋" w:eastAsia="仿宋"/>
          <w:color w:val="000000"/>
          <w:sz w:val="32"/>
          <w:szCs w:val="32"/>
        </w:rPr>
      </w:pPr>
      <w:r>
        <w:rPr>
          <w:rFonts w:hint="eastAsia" w:ascii="仿宋" w:hAnsi="仿宋" w:eastAsia="仿宋"/>
          <w:color w:val="000000"/>
          <w:sz w:val="32"/>
          <w:szCs w:val="32"/>
        </w:rPr>
        <w:t>2018年度支出总计4455.57万元。与2017年相比，支出总计增加975.98万元，增长21.90%，主要变动原因，2018年我局人员变动，工资，社保等费用增加。</w:t>
      </w:r>
    </w:p>
    <w:p>
      <w:pPr>
        <w:tabs>
          <w:tab w:val="left" w:pos="7130"/>
        </w:tabs>
        <w:spacing w:line="600" w:lineRule="exact"/>
        <w:rPr>
          <w:rFonts w:ascii="仿宋" w:hAnsi="仿宋" w:eastAsia="仿宋"/>
          <w:color w:val="000000"/>
          <w:sz w:val="32"/>
          <w:szCs w:val="32"/>
        </w:rPr>
      </w:pPr>
      <w:r>
        <w:rPr>
          <w:rFonts w:hint="eastAsia" w:ascii="仿宋" w:hAnsi="仿宋" w:eastAsia="仿宋"/>
          <w:color w:val="000000"/>
          <w:sz w:val="32"/>
          <w:szCs w:val="32"/>
        </w:rPr>
        <w:drawing>
          <wp:anchor distT="0" distB="0" distL="114300" distR="114300" simplePos="0" relativeHeight="251665408" behindDoc="1" locked="0" layoutInCell="1" allowOverlap="1">
            <wp:simplePos x="0" y="0"/>
            <wp:positionH relativeFrom="column">
              <wp:posOffset>19050</wp:posOffset>
            </wp:positionH>
            <wp:positionV relativeFrom="paragraph">
              <wp:posOffset>0</wp:posOffset>
            </wp:positionV>
            <wp:extent cx="4886325" cy="1885950"/>
            <wp:effectExtent l="19050" t="0" r="9525" b="0"/>
            <wp:wrapNone/>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tabs>
          <w:tab w:val="left" w:pos="7130"/>
        </w:tabs>
        <w:spacing w:line="600" w:lineRule="exact"/>
        <w:rPr>
          <w:rFonts w:ascii="仿宋" w:hAnsi="仿宋" w:eastAsia="仿宋"/>
          <w:color w:val="000000"/>
          <w:sz w:val="32"/>
          <w:szCs w:val="32"/>
        </w:rPr>
      </w:pPr>
    </w:p>
    <w:p>
      <w:pPr>
        <w:tabs>
          <w:tab w:val="left" w:pos="7130"/>
        </w:tabs>
        <w:spacing w:line="600" w:lineRule="exact"/>
        <w:rPr>
          <w:rFonts w:ascii="仿宋" w:hAnsi="仿宋" w:eastAsia="仿宋"/>
          <w:color w:val="000000"/>
          <w:sz w:val="32"/>
          <w:szCs w:val="32"/>
        </w:rPr>
      </w:pPr>
    </w:p>
    <w:p>
      <w:pPr>
        <w:tabs>
          <w:tab w:val="left" w:pos="7130"/>
        </w:tabs>
        <w:spacing w:line="600" w:lineRule="exact"/>
        <w:rPr>
          <w:rFonts w:ascii="仿宋" w:hAnsi="仿宋" w:eastAsia="仿宋"/>
          <w:color w:val="000000"/>
          <w:sz w:val="32"/>
          <w:szCs w:val="32"/>
        </w:rPr>
      </w:pPr>
    </w:p>
    <w:p>
      <w:pPr>
        <w:tabs>
          <w:tab w:val="left" w:pos="7130"/>
        </w:tabs>
        <w:spacing w:line="600" w:lineRule="exact"/>
        <w:rPr>
          <w:rFonts w:ascii="仿宋" w:hAnsi="仿宋" w:eastAsia="仿宋"/>
          <w:color w:val="000000"/>
          <w:sz w:val="32"/>
          <w:szCs w:val="32"/>
        </w:rPr>
      </w:pPr>
      <w:r>
        <w:rPr>
          <w:rFonts w:ascii="仿宋" w:hAnsi="仿宋" w:eastAsia="仿宋"/>
          <w:color w:val="000000"/>
          <w:sz w:val="32"/>
          <w:szCs w:val="32"/>
        </w:rPr>
        <w:tab/>
      </w:r>
    </w:p>
    <w:p>
      <w:pPr>
        <w:pStyle w:val="25"/>
        <w:numPr>
          <w:ilvl w:val="0"/>
          <w:numId w:val="1"/>
        </w:numPr>
        <w:spacing w:line="600" w:lineRule="exact"/>
        <w:ind w:firstLineChars="0"/>
        <w:outlineLvl w:val="1"/>
        <w:rPr>
          <w:rStyle w:val="27"/>
          <w:rFonts w:ascii="黑体" w:hAnsi="黑体" w:eastAsia="黑体"/>
          <w:b w:val="0"/>
        </w:rPr>
      </w:pPr>
      <w:bookmarkStart w:id="26" w:name="_Toc15377206"/>
      <w:bookmarkStart w:id="27" w:name="_Toc15396604"/>
      <w:r>
        <w:rPr>
          <w:rFonts w:hint="eastAsia" w:ascii="黑体" w:hAnsi="黑体" w:eastAsia="黑体"/>
          <w:color w:val="000000"/>
          <w:sz w:val="32"/>
          <w:szCs w:val="32"/>
        </w:rPr>
        <w:t>收</w:t>
      </w:r>
      <w:r>
        <w:rPr>
          <w:rStyle w:val="27"/>
          <w:rFonts w:hint="eastAsia" w:ascii="黑体" w:hAnsi="黑体" w:eastAsia="黑体"/>
          <w:b w:val="0"/>
        </w:rPr>
        <w:t>入决算情况说明</w:t>
      </w:r>
      <w:bookmarkEnd w:id="26"/>
      <w:bookmarkEnd w:id="27"/>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8年本年收入合计3564.15万元，其中：一般公共预算财政拨款收入3563.95万元，占99.99</w:t>
      </w:r>
      <w:r>
        <w:rPr>
          <w:rFonts w:ascii="仿宋" w:hAnsi="仿宋" w:eastAsia="仿宋"/>
          <w:color w:val="000000"/>
          <w:sz w:val="32"/>
          <w:szCs w:val="32"/>
        </w:rPr>
        <w:t>%</w:t>
      </w:r>
      <w:r>
        <w:rPr>
          <w:rFonts w:hint="eastAsia" w:ascii="仿宋" w:hAnsi="仿宋" w:eastAsia="仿宋"/>
          <w:color w:val="000000"/>
          <w:sz w:val="32"/>
          <w:szCs w:val="32"/>
        </w:rPr>
        <w:t>；政府性基金预算财政拨款收入0万元，占0</w:t>
      </w:r>
      <w:r>
        <w:rPr>
          <w:rFonts w:ascii="仿宋" w:hAnsi="仿宋" w:eastAsia="仿宋"/>
          <w:color w:val="000000"/>
          <w:sz w:val="32"/>
          <w:szCs w:val="32"/>
        </w:rPr>
        <w:t>%</w:t>
      </w:r>
      <w:r>
        <w:rPr>
          <w:rFonts w:hint="eastAsia" w:ascii="仿宋" w:hAnsi="仿宋" w:eastAsia="仿宋"/>
          <w:color w:val="000000"/>
          <w:sz w:val="32"/>
          <w:szCs w:val="32"/>
        </w:rPr>
        <w:t>；国有资本经营预算财政拨款收入0万元，占0</w:t>
      </w:r>
      <w:r>
        <w:rPr>
          <w:rFonts w:ascii="仿宋" w:hAnsi="仿宋" w:eastAsia="仿宋"/>
          <w:color w:val="000000"/>
          <w:sz w:val="32"/>
          <w:szCs w:val="32"/>
        </w:rPr>
        <w:t>%</w:t>
      </w:r>
      <w:r>
        <w:rPr>
          <w:rFonts w:hint="eastAsia" w:ascii="仿宋" w:hAnsi="仿宋" w:eastAsia="仿宋"/>
          <w:color w:val="000000"/>
          <w:sz w:val="32"/>
          <w:szCs w:val="32"/>
        </w:rPr>
        <w:t>；事业收入0万元，占0</w:t>
      </w:r>
      <w:r>
        <w:rPr>
          <w:rFonts w:ascii="仿宋" w:hAnsi="仿宋" w:eastAsia="仿宋"/>
          <w:color w:val="000000"/>
          <w:sz w:val="32"/>
          <w:szCs w:val="32"/>
        </w:rPr>
        <w:t>%</w:t>
      </w:r>
      <w:r>
        <w:rPr>
          <w:rFonts w:hint="eastAsia" w:ascii="仿宋" w:hAnsi="仿宋" w:eastAsia="仿宋"/>
          <w:color w:val="000000"/>
          <w:sz w:val="32"/>
          <w:szCs w:val="32"/>
        </w:rPr>
        <w:t>；经营收入0万元，占0</w:t>
      </w:r>
      <w:r>
        <w:rPr>
          <w:rFonts w:ascii="仿宋" w:hAnsi="仿宋" w:eastAsia="仿宋"/>
          <w:color w:val="000000"/>
          <w:sz w:val="32"/>
          <w:szCs w:val="32"/>
        </w:rPr>
        <w:t>%</w:t>
      </w:r>
      <w:r>
        <w:rPr>
          <w:rFonts w:hint="eastAsia" w:ascii="仿宋" w:hAnsi="仿宋" w:eastAsia="仿宋"/>
          <w:color w:val="000000"/>
          <w:sz w:val="32"/>
          <w:szCs w:val="32"/>
        </w:rPr>
        <w:t>；附属单位上缴收入0万元，占0</w:t>
      </w:r>
      <w:r>
        <w:rPr>
          <w:rFonts w:ascii="仿宋" w:hAnsi="仿宋" w:eastAsia="仿宋"/>
          <w:color w:val="000000"/>
          <w:sz w:val="32"/>
          <w:szCs w:val="32"/>
        </w:rPr>
        <w:t>%</w:t>
      </w:r>
      <w:r>
        <w:rPr>
          <w:rFonts w:hint="eastAsia" w:ascii="仿宋" w:hAnsi="仿宋" w:eastAsia="仿宋"/>
          <w:color w:val="000000"/>
          <w:sz w:val="32"/>
          <w:szCs w:val="32"/>
        </w:rPr>
        <w:t>；其他收入0.19万元，占0.01</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outlineLvl w:val="1"/>
        <w:rPr>
          <w:rFonts w:ascii="仿宋" w:hAnsi="仿宋" w:eastAsia="仿宋"/>
          <w:color w:val="000000"/>
          <w:sz w:val="32"/>
          <w:szCs w:val="32"/>
        </w:rPr>
      </w:pPr>
      <w:r>
        <w:rPr>
          <w:rFonts w:hint="eastAsia" w:ascii="仿宋" w:hAnsi="仿宋" w:eastAsia="仿宋"/>
          <w:color w:val="000000"/>
          <w:sz w:val="32"/>
          <w:szCs w:val="32"/>
        </w:rPr>
        <w:drawing>
          <wp:anchor distT="0" distB="0" distL="114300" distR="114300" simplePos="0" relativeHeight="251659264" behindDoc="1" locked="0" layoutInCell="1" allowOverlap="1">
            <wp:simplePos x="0" y="0"/>
            <wp:positionH relativeFrom="column">
              <wp:posOffset>142875</wp:posOffset>
            </wp:positionH>
            <wp:positionV relativeFrom="paragraph">
              <wp:posOffset>85725</wp:posOffset>
            </wp:positionV>
            <wp:extent cx="4924425" cy="2076450"/>
            <wp:effectExtent l="19050" t="0" r="9525" b="0"/>
            <wp:wrapNone/>
            <wp:docPr id="9"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600" w:lineRule="exact"/>
        <w:ind w:firstLine="640" w:firstLineChars="200"/>
        <w:outlineLvl w:val="1"/>
        <w:rPr>
          <w:rFonts w:ascii="仿宋" w:hAnsi="仿宋" w:eastAsia="仿宋"/>
          <w:color w:val="000000"/>
          <w:sz w:val="32"/>
          <w:szCs w:val="32"/>
        </w:rPr>
      </w:pPr>
    </w:p>
    <w:p>
      <w:pPr>
        <w:spacing w:line="600" w:lineRule="exact"/>
        <w:ind w:firstLine="640" w:firstLineChars="200"/>
        <w:outlineLvl w:val="1"/>
        <w:rPr>
          <w:rFonts w:ascii="仿宋" w:hAnsi="仿宋" w:eastAsia="仿宋"/>
          <w:color w:val="000000"/>
          <w:sz w:val="32"/>
          <w:szCs w:val="32"/>
        </w:rPr>
      </w:pPr>
    </w:p>
    <w:p>
      <w:pPr>
        <w:spacing w:line="600" w:lineRule="exact"/>
        <w:ind w:firstLine="640" w:firstLineChars="200"/>
        <w:outlineLvl w:val="1"/>
        <w:rPr>
          <w:rFonts w:ascii="仿宋" w:hAnsi="仿宋" w:eastAsia="仿宋"/>
          <w:color w:val="000000"/>
          <w:sz w:val="32"/>
          <w:szCs w:val="32"/>
        </w:rPr>
      </w:pPr>
    </w:p>
    <w:p>
      <w:pPr>
        <w:spacing w:line="600" w:lineRule="exact"/>
        <w:ind w:firstLine="640" w:firstLineChars="200"/>
        <w:outlineLvl w:val="1"/>
        <w:rPr>
          <w:rFonts w:ascii="仿宋" w:hAnsi="仿宋" w:eastAsia="仿宋"/>
          <w:color w:val="000000"/>
          <w:sz w:val="32"/>
          <w:szCs w:val="32"/>
        </w:rPr>
      </w:pPr>
    </w:p>
    <w:p>
      <w:pPr>
        <w:spacing w:line="600" w:lineRule="exact"/>
        <w:ind w:firstLine="640" w:firstLineChars="200"/>
        <w:outlineLvl w:val="1"/>
        <w:rPr>
          <w:rFonts w:ascii="仿宋" w:hAnsi="仿宋" w:eastAsia="仿宋"/>
          <w:color w:val="000000"/>
          <w:sz w:val="32"/>
          <w:szCs w:val="32"/>
        </w:rPr>
      </w:pPr>
    </w:p>
    <w:p>
      <w:pPr>
        <w:pStyle w:val="25"/>
        <w:numPr>
          <w:ilvl w:val="0"/>
          <w:numId w:val="1"/>
        </w:numPr>
        <w:spacing w:line="600" w:lineRule="exact"/>
        <w:ind w:firstLineChars="0"/>
        <w:outlineLvl w:val="1"/>
        <w:rPr>
          <w:rStyle w:val="27"/>
          <w:rFonts w:ascii="黑体" w:hAnsi="黑体" w:eastAsia="黑体"/>
          <w:b w:val="0"/>
        </w:rPr>
      </w:pPr>
      <w:bookmarkStart w:id="28" w:name="_Toc15377207"/>
      <w:bookmarkStart w:id="29" w:name="_Toc15396605"/>
      <w:r>
        <w:rPr>
          <w:rFonts w:hint="eastAsia" w:ascii="黑体" w:hAnsi="黑体" w:eastAsia="黑体"/>
          <w:color w:val="000000"/>
          <w:sz w:val="32"/>
          <w:szCs w:val="32"/>
        </w:rPr>
        <w:t>支</w:t>
      </w:r>
      <w:r>
        <w:rPr>
          <w:rStyle w:val="27"/>
          <w:rFonts w:hint="eastAsia" w:ascii="黑体" w:hAnsi="黑体" w:eastAsia="黑体"/>
          <w:b w:val="0"/>
        </w:rPr>
        <w:t>出决算情况说明</w:t>
      </w:r>
      <w:bookmarkEnd w:id="28"/>
      <w:bookmarkEnd w:id="29"/>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8年本年支出合计4455.77万元，其中：基本支出3192.28万元，占72</w:t>
      </w:r>
      <w:r>
        <w:rPr>
          <w:rFonts w:ascii="仿宋" w:hAnsi="仿宋" w:eastAsia="仿宋"/>
          <w:color w:val="000000"/>
          <w:sz w:val="32"/>
          <w:szCs w:val="32"/>
        </w:rPr>
        <w:t>%</w:t>
      </w:r>
      <w:r>
        <w:rPr>
          <w:rFonts w:hint="eastAsia" w:ascii="仿宋" w:hAnsi="仿宋" w:eastAsia="仿宋"/>
          <w:color w:val="000000"/>
          <w:sz w:val="32"/>
          <w:szCs w:val="32"/>
        </w:rPr>
        <w:t>；项目支出1263.29万元，占28</w:t>
      </w:r>
      <w:r>
        <w:rPr>
          <w:rFonts w:ascii="仿宋" w:hAnsi="仿宋" w:eastAsia="仿宋"/>
          <w:color w:val="000000"/>
          <w:sz w:val="32"/>
          <w:szCs w:val="32"/>
        </w:rPr>
        <w:t>%</w:t>
      </w:r>
      <w:r>
        <w:rPr>
          <w:rFonts w:hint="eastAsia" w:ascii="仿宋" w:hAnsi="仿宋" w:eastAsia="仿宋"/>
          <w:color w:val="000000"/>
          <w:sz w:val="32"/>
          <w:szCs w:val="32"/>
        </w:rPr>
        <w:t>；上缴上级支出0万元，占0</w:t>
      </w:r>
      <w:r>
        <w:rPr>
          <w:rFonts w:ascii="仿宋" w:hAnsi="仿宋" w:eastAsia="仿宋"/>
          <w:color w:val="000000"/>
          <w:sz w:val="32"/>
          <w:szCs w:val="32"/>
        </w:rPr>
        <w:t>%</w:t>
      </w:r>
      <w:r>
        <w:rPr>
          <w:rFonts w:hint="eastAsia" w:ascii="仿宋" w:hAnsi="仿宋" w:eastAsia="仿宋"/>
          <w:color w:val="000000"/>
          <w:sz w:val="32"/>
          <w:szCs w:val="32"/>
        </w:rPr>
        <w:t>；经营支出0万元，占0</w:t>
      </w:r>
      <w:r>
        <w:rPr>
          <w:rFonts w:ascii="仿宋" w:hAnsi="仿宋" w:eastAsia="仿宋"/>
          <w:color w:val="000000"/>
          <w:sz w:val="32"/>
          <w:szCs w:val="32"/>
        </w:rPr>
        <w:t>%</w:t>
      </w:r>
      <w:r>
        <w:rPr>
          <w:rFonts w:hint="eastAsia" w:ascii="仿宋" w:hAnsi="仿宋" w:eastAsia="仿宋"/>
          <w:color w:val="000000"/>
          <w:sz w:val="32"/>
          <w:szCs w:val="32"/>
        </w:rPr>
        <w:t>；对附属单位补助支出0万元，占0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drawing>
          <wp:anchor distT="0" distB="0" distL="114300" distR="114300" simplePos="0" relativeHeight="251660288" behindDoc="1" locked="0" layoutInCell="1" allowOverlap="1">
            <wp:simplePos x="0" y="0"/>
            <wp:positionH relativeFrom="column">
              <wp:posOffset>542925</wp:posOffset>
            </wp:positionH>
            <wp:positionV relativeFrom="paragraph">
              <wp:posOffset>0</wp:posOffset>
            </wp:positionV>
            <wp:extent cx="3943350" cy="1943100"/>
            <wp:effectExtent l="19050" t="0" r="19050" b="0"/>
            <wp:wrapNone/>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shd w:val="pct10" w:color="auto" w:fill="FFFFFF"/>
        </w:rPr>
      </w:pPr>
    </w:p>
    <w:p>
      <w:pPr>
        <w:spacing w:line="600" w:lineRule="exact"/>
        <w:ind w:firstLine="640" w:firstLineChars="200"/>
        <w:rPr>
          <w:rFonts w:ascii="仿宋" w:hAnsi="仿宋" w:eastAsia="仿宋"/>
          <w:color w:val="000000" w:themeColor="text1"/>
          <w:sz w:val="32"/>
          <w:szCs w:val="32"/>
        </w:rPr>
      </w:pPr>
    </w:p>
    <w:p>
      <w:pPr>
        <w:pStyle w:val="25"/>
        <w:numPr>
          <w:ilvl w:val="0"/>
          <w:numId w:val="1"/>
        </w:numPr>
        <w:spacing w:line="600" w:lineRule="exact"/>
        <w:ind w:firstLineChars="0"/>
        <w:outlineLvl w:val="1"/>
        <w:rPr>
          <w:rStyle w:val="27"/>
          <w:rFonts w:ascii="黑体" w:hAnsi="黑体" w:eastAsia="黑体"/>
          <w:b w:val="0"/>
        </w:rPr>
      </w:pPr>
      <w:bookmarkStart w:id="30" w:name="_Toc15377208"/>
      <w:bookmarkStart w:id="31" w:name="_Toc15396606"/>
      <w:r>
        <w:rPr>
          <w:rFonts w:hint="eastAsia" w:ascii="黑体" w:hAnsi="黑体" w:eastAsia="黑体"/>
          <w:color w:val="000000"/>
          <w:sz w:val="32"/>
          <w:szCs w:val="32"/>
        </w:rPr>
        <w:t>财</w:t>
      </w:r>
      <w:r>
        <w:rPr>
          <w:rStyle w:val="27"/>
          <w:rFonts w:hint="eastAsia" w:ascii="黑体" w:hAnsi="黑体" w:eastAsia="黑体"/>
          <w:b w:val="0"/>
        </w:rPr>
        <w:t>政拨款收入支出决算总体情况说明</w:t>
      </w:r>
      <w:bookmarkEnd w:id="30"/>
      <w:bookmarkEnd w:id="31"/>
    </w:p>
    <w:p>
      <w:pPr>
        <w:spacing w:line="600" w:lineRule="exact"/>
        <w:ind w:left="640" w:leftChars="305" w:firstLine="480" w:firstLineChars="150"/>
        <w:rPr>
          <w:rFonts w:ascii="仿宋" w:hAnsi="仿宋" w:eastAsia="仿宋"/>
          <w:color w:val="000000"/>
          <w:sz w:val="32"/>
          <w:szCs w:val="32"/>
        </w:rPr>
      </w:pPr>
      <w:r>
        <w:rPr>
          <w:rFonts w:hint="eastAsia" w:ascii="仿宋" w:hAnsi="仿宋" w:eastAsia="仿宋"/>
          <w:color w:val="000000"/>
          <w:sz w:val="32"/>
          <w:szCs w:val="32"/>
        </w:rPr>
        <w:t>2018年度收入3564.15万元，支出4455.57万元，总计8019.92万元。2017年度收入3689.83万元，支出3479.59万元，总计7169.42万元。与2017年相比，收入减少125.68万元，减少3.6%，支出增加975.98万元，增长22</w:t>
      </w:r>
      <w:r>
        <w:rPr>
          <w:rFonts w:ascii="仿宋" w:hAnsi="仿宋" w:eastAsia="仿宋"/>
          <w:color w:val="000000"/>
          <w:sz w:val="32"/>
          <w:szCs w:val="32"/>
        </w:rPr>
        <w:t>%</w:t>
      </w:r>
      <w:r>
        <w:rPr>
          <w:rFonts w:hint="eastAsia" w:ascii="仿宋" w:hAnsi="仿宋" w:eastAsia="仿宋"/>
          <w:color w:val="000000"/>
          <w:sz w:val="32"/>
          <w:szCs w:val="32"/>
        </w:rPr>
        <w:t>。主要变动原因，2018年我局人员变动，工资，社保等费用增加。</w:t>
      </w:r>
    </w:p>
    <w:p>
      <w:pPr>
        <w:spacing w:line="600" w:lineRule="exact"/>
        <w:ind w:left="640" w:leftChars="305" w:firstLine="480" w:firstLineChars="150"/>
        <w:rPr>
          <w:rFonts w:ascii="仿宋" w:hAnsi="仿宋" w:eastAsia="仿宋"/>
          <w:color w:val="000000"/>
          <w:sz w:val="32"/>
          <w:szCs w:val="32"/>
        </w:rPr>
      </w:pPr>
      <w:r>
        <w:rPr>
          <w:rFonts w:hint="eastAsia" w:ascii="仿宋" w:hAnsi="仿宋" w:eastAsia="仿宋"/>
          <w:color w:val="000000"/>
          <w:sz w:val="32"/>
          <w:szCs w:val="32"/>
        </w:rPr>
        <w:drawing>
          <wp:anchor distT="0" distB="0" distL="114300" distR="114300" simplePos="0" relativeHeight="251661312" behindDoc="1" locked="0" layoutInCell="1" allowOverlap="1">
            <wp:simplePos x="0" y="0"/>
            <wp:positionH relativeFrom="column">
              <wp:posOffset>476250</wp:posOffset>
            </wp:positionH>
            <wp:positionV relativeFrom="paragraph">
              <wp:posOffset>114300</wp:posOffset>
            </wp:positionV>
            <wp:extent cx="4619625" cy="1819275"/>
            <wp:effectExtent l="19050" t="0" r="9525" b="0"/>
            <wp:wrapNone/>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600" w:lineRule="exact"/>
        <w:ind w:left="640" w:leftChars="305" w:firstLine="480" w:firstLineChars="150"/>
        <w:rPr>
          <w:rFonts w:ascii="仿宋" w:hAnsi="仿宋" w:eastAsia="仿宋"/>
          <w:color w:val="000000"/>
          <w:sz w:val="32"/>
          <w:szCs w:val="32"/>
        </w:rPr>
      </w:pPr>
    </w:p>
    <w:p>
      <w:pPr>
        <w:spacing w:line="600" w:lineRule="exact"/>
        <w:ind w:left="640" w:leftChars="305" w:firstLine="480" w:firstLineChars="150"/>
        <w:rPr>
          <w:rFonts w:ascii="仿宋" w:hAnsi="仿宋" w:eastAsia="仿宋"/>
          <w:color w:val="000000"/>
          <w:sz w:val="32"/>
          <w:szCs w:val="32"/>
        </w:rPr>
      </w:pPr>
    </w:p>
    <w:p>
      <w:pPr>
        <w:spacing w:line="600" w:lineRule="exact"/>
        <w:ind w:left="640" w:leftChars="305" w:firstLine="480" w:firstLineChars="150"/>
        <w:rPr>
          <w:rFonts w:ascii="仿宋" w:hAnsi="仿宋" w:eastAsia="仿宋"/>
          <w:color w:val="000000"/>
          <w:sz w:val="32"/>
          <w:szCs w:val="32"/>
        </w:rPr>
      </w:pPr>
    </w:p>
    <w:p>
      <w:pPr>
        <w:spacing w:line="600" w:lineRule="exact"/>
        <w:ind w:left="640" w:leftChars="305" w:firstLine="480" w:firstLineChars="150"/>
        <w:rPr>
          <w:rStyle w:val="27"/>
          <w:rFonts w:ascii="仿宋" w:hAnsi="仿宋" w:eastAsia="仿宋" w:cs="Times New Roman"/>
          <w:b w:val="0"/>
          <w:bCs w:val="0"/>
          <w:color w:val="000000"/>
        </w:rPr>
      </w:pPr>
    </w:p>
    <w:p>
      <w:pPr>
        <w:spacing w:line="600" w:lineRule="exact"/>
        <w:ind w:firstLine="640" w:firstLineChars="200"/>
        <w:outlineLvl w:val="1"/>
        <w:rPr>
          <w:rStyle w:val="27"/>
          <w:rFonts w:ascii="黑体" w:hAnsi="黑体" w:eastAsia="黑体"/>
          <w:b w:val="0"/>
        </w:rPr>
      </w:pPr>
      <w:bookmarkStart w:id="32" w:name="_Toc15377209"/>
      <w:bookmarkStart w:id="33" w:name="_Toc15396607"/>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7"/>
          <w:rFonts w:hint="eastAsia" w:ascii="黑体" w:hAnsi="黑体" w:eastAsia="黑体"/>
          <w:b w:val="0"/>
        </w:rPr>
        <w:t>般公共预算财政拨款支出决算情况说明</w:t>
      </w:r>
      <w:bookmarkEnd w:id="32"/>
      <w:bookmarkEnd w:id="33"/>
    </w:p>
    <w:p>
      <w:pPr>
        <w:spacing w:line="600" w:lineRule="exact"/>
        <w:ind w:firstLine="643" w:firstLineChars="200"/>
        <w:outlineLvl w:val="2"/>
        <w:rPr>
          <w:rFonts w:ascii="仿宋" w:hAnsi="仿宋" w:eastAsia="仿宋"/>
          <w:b/>
          <w:color w:val="000000"/>
          <w:sz w:val="32"/>
          <w:szCs w:val="32"/>
        </w:rPr>
      </w:pPr>
      <w:bookmarkStart w:id="34" w:name="_Toc15377210"/>
      <w:r>
        <w:rPr>
          <w:rFonts w:hint="eastAsia" w:ascii="仿宋" w:hAnsi="仿宋" w:eastAsia="仿宋"/>
          <w:b/>
          <w:color w:val="000000"/>
          <w:sz w:val="32"/>
          <w:szCs w:val="32"/>
        </w:rPr>
        <w:t>（一）一般公共预算财政拨款支出决算总体情况</w:t>
      </w:r>
      <w:bookmarkEnd w:id="34"/>
    </w:p>
    <w:p>
      <w:pPr>
        <w:spacing w:line="600" w:lineRule="exact"/>
        <w:ind w:left="640" w:leftChars="305" w:firstLine="480" w:firstLineChars="15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8年一般公共预算财政拨款支出4455.57万元，占本年支出合计的100</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rPr>
        <w:t>7年相比，一般公共预算财政拨款支出增加975.98万元，增长21.9</w:t>
      </w:r>
      <w:r>
        <w:rPr>
          <w:rFonts w:ascii="仿宋" w:hAnsi="仿宋" w:eastAsia="仿宋"/>
          <w:color w:val="000000"/>
          <w:sz w:val="32"/>
          <w:szCs w:val="32"/>
        </w:rPr>
        <w:t>%</w:t>
      </w:r>
      <w:r>
        <w:rPr>
          <w:rFonts w:hint="eastAsia" w:ascii="仿宋" w:hAnsi="仿宋" w:eastAsia="仿宋"/>
          <w:color w:val="000000"/>
          <w:sz w:val="32"/>
          <w:szCs w:val="32"/>
        </w:rPr>
        <w:t>。主要变动原因是2018年我局人员变动，工资，社保等费用增加。</w:t>
      </w:r>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drawing>
          <wp:anchor distT="0" distB="0" distL="114300" distR="114300" simplePos="0" relativeHeight="251663360" behindDoc="1" locked="0" layoutInCell="1" allowOverlap="1">
            <wp:simplePos x="0" y="0"/>
            <wp:positionH relativeFrom="column">
              <wp:posOffset>314325</wp:posOffset>
            </wp:positionH>
            <wp:positionV relativeFrom="paragraph">
              <wp:posOffset>247650</wp:posOffset>
            </wp:positionV>
            <wp:extent cx="5067300" cy="2076450"/>
            <wp:effectExtent l="19050" t="0" r="19050" b="0"/>
            <wp:wrapNone/>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outlineLvl w:val="2"/>
        <w:rPr>
          <w:rFonts w:ascii="仿宋" w:hAnsi="仿宋" w:eastAsia="仿宋"/>
          <w:color w:val="000000" w:themeColor="text1"/>
          <w:sz w:val="32"/>
          <w:szCs w:val="32"/>
        </w:rPr>
      </w:pPr>
      <w:bookmarkStart w:id="35" w:name="_Toc15377211"/>
    </w:p>
    <w:p>
      <w:pPr>
        <w:spacing w:line="600" w:lineRule="exact"/>
        <w:ind w:firstLine="643" w:firstLineChars="200"/>
        <w:outlineLvl w:val="2"/>
        <w:rPr>
          <w:rFonts w:ascii="仿宋" w:hAnsi="仿宋" w:eastAsia="仿宋"/>
          <w:b/>
          <w:color w:val="000000"/>
          <w:sz w:val="32"/>
          <w:szCs w:val="32"/>
        </w:rPr>
      </w:pPr>
      <w:r>
        <w:rPr>
          <w:rFonts w:hint="eastAsia" w:ascii="仿宋" w:hAnsi="仿宋" w:eastAsia="仿宋"/>
          <w:b/>
          <w:color w:val="000000"/>
          <w:sz w:val="32"/>
          <w:szCs w:val="32"/>
        </w:rPr>
        <w:t>（二）一般公共预算财政拨款支出决算结构情况</w:t>
      </w:r>
      <w:bookmarkEnd w:id="35"/>
    </w:p>
    <w:p>
      <w:pPr>
        <w:spacing w:line="600" w:lineRule="exact"/>
        <w:ind w:firstLine="640"/>
        <w:rPr>
          <w:rFonts w:ascii="仿宋" w:hAnsi="仿宋" w:eastAsia="仿宋"/>
          <w:color w:val="000000" w:themeColor="text1"/>
          <w:sz w:val="32"/>
          <w:szCs w:val="32"/>
        </w:rPr>
      </w:pPr>
      <w:r>
        <w:rPr>
          <w:rFonts w:ascii="仿宋" w:hAnsi="仿宋" w:eastAsia="仿宋"/>
          <w:color w:val="000000"/>
          <w:sz w:val="32"/>
          <w:szCs w:val="32"/>
        </w:rPr>
        <w:t>201</w:t>
      </w:r>
      <w:r>
        <w:rPr>
          <w:rFonts w:hint="eastAsia" w:ascii="仿宋" w:hAnsi="仿宋" w:eastAsia="仿宋"/>
          <w:color w:val="000000"/>
          <w:sz w:val="32"/>
          <w:szCs w:val="32"/>
        </w:rPr>
        <w:t>8年一般公共预算财</w:t>
      </w:r>
      <w:r>
        <w:rPr>
          <w:rFonts w:hint="eastAsia" w:ascii="仿宋" w:hAnsi="仿宋" w:eastAsia="仿宋"/>
          <w:color w:val="000000" w:themeColor="text1"/>
          <w:sz w:val="32"/>
          <w:szCs w:val="32"/>
        </w:rPr>
        <w:t>政拨款支出4455.57万元，主要用于以下方面</w:t>
      </w:r>
      <w:r>
        <w:rPr>
          <w:rFonts w:ascii="仿宋" w:hAnsi="仿宋" w:eastAsia="仿宋"/>
          <w:color w:val="000000" w:themeColor="text1"/>
          <w:sz w:val="32"/>
          <w:szCs w:val="32"/>
        </w:rPr>
        <w:t>:</w:t>
      </w:r>
      <w:r>
        <w:rPr>
          <w:rFonts w:hint="eastAsia" w:ascii="仿宋" w:hAnsi="仿宋" w:eastAsia="仿宋"/>
          <w:b/>
          <w:color w:val="000000" w:themeColor="text1"/>
          <w:sz w:val="32"/>
          <w:szCs w:val="32"/>
        </w:rPr>
        <w:t>一般公共服务支出</w:t>
      </w:r>
      <w:r>
        <w:rPr>
          <w:rFonts w:hint="eastAsia" w:ascii="仿宋" w:hAnsi="仿宋" w:eastAsia="仿宋"/>
          <w:color w:val="000000" w:themeColor="text1"/>
          <w:sz w:val="32"/>
          <w:szCs w:val="32"/>
        </w:rPr>
        <w:t>3.44万元，占0.08</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公共安全支出</w:t>
      </w:r>
      <w:r>
        <w:rPr>
          <w:rFonts w:ascii="仿宋" w:hAnsi="仿宋" w:eastAsia="仿宋"/>
          <w:color w:val="000000" w:themeColor="text1"/>
          <w:sz w:val="32"/>
          <w:szCs w:val="32"/>
        </w:rPr>
        <w:t xml:space="preserve"> </w:t>
      </w:r>
      <w:r>
        <w:rPr>
          <w:rFonts w:hint="eastAsia" w:ascii="仿宋" w:hAnsi="仿宋" w:eastAsia="仿宋"/>
          <w:color w:val="000000" w:themeColor="text1"/>
          <w:sz w:val="32"/>
          <w:szCs w:val="32"/>
        </w:rPr>
        <w:t>3757.79万元，占84.34</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社会保障和就业支出</w:t>
      </w:r>
      <w:r>
        <w:rPr>
          <w:rFonts w:hint="eastAsia" w:ascii="仿宋" w:hAnsi="仿宋" w:eastAsia="仿宋"/>
          <w:color w:val="000000" w:themeColor="text1"/>
          <w:sz w:val="32"/>
          <w:szCs w:val="32"/>
        </w:rPr>
        <w:t>365.18万元，占8.2</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医疗卫生支出</w:t>
      </w:r>
      <w:r>
        <w:rPr>
          <w:rFonts w:hint="eastAsia" w:ascii="仿宋" w:hAnsi="仿宋" w:eastAsia="仿宋"/>
          <w:color w:val="000000" w:themeColor="text1"/>
          <w:sz w:val="32"/>
          <w:szCs w:val="32"/>
        </w:rPr>
        <w:t>128.63万元，占2.9</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住房保障支出</w:t>
      </w:r>
      <w:r>
        <w:rPr>
          <w:rFonts w:hint="eastAsia" w:ascii="仿宋" w:hAnsi="仿宋" w:eastAsia="仿宋"/>
          <w:color w:val="000000" w:themeColor="text1"/>
          <w:sz w:val="32"/>
          <w:szCs w:val="32"/>
        </w:rPr>
        <w:t>200.53万元，占4.5</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p>
    <w:p>
      <w:pPr>
        <w:spacing w:line="600" w:lineRule="exact"/>
        <w:ind w:firstLine="640"/>
        <w:rPr>
          <w:rFonts w:ascii="仿宋" w:hAnsi="仿宋" w:eastAsia="仿宋"/>
          <w:b/>
          <w:color w:val="000000" w:themeColor="text1"/>
          <w:sz w:val="32"/>
          <w:szCs w:val="32"/>
        </w:rPr>
      </w:pPr>
      <w:r>
        <w:rPr>
          <w:rFonts w:hint="eastAsia" w:ascii="仿宋" w:hAnsi="仿宋" w:eastAsia="仿宋"/>
          <w:b/>
          <w:color w:val="000000" w:themeColor="text1"/>
          <w:sz w:val="32"/>
          <w:szCs w:val="32"/>
        </w:rPr>
        <w:drawing>
          <wp:anchor distT="0" distB="0" distL="114300" distR="114300" simplePos="0" relativeHeight="251664384" behindDoc="1" locked="0" layoutInCell="1" allowOverlap="1">
            <wp:simplePos x="0" y="0"/>
            <wp:positionH relativeFrom="column">
              <wp:posOffset>428625</wp:posOffset>
            </wp:positionH>
            <wp:positionV relativeFrom="paragraph">
              <wp:posOffset>85725</wp:posOffset>
            </wp:positionV>
            <wp:extent cx="4705350" cy="2105025"/>
            <wp:effectExtent l="19050" t="0" r="19050" b="0"/>
            <wp:wrapNone/>
            <wp:docPr id="14"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spacing w:line="600" w:lineRule="exact"/>
        <w:ind w:firstLine="640"/>
        <w:rPr>
          <w:rFonts w:ascii="仿宋" w:hAnsi="仿宋" w:eastAsia="仿宋"/>
          <w:b/>
          <w:color w:val="000000" w:themeColor="text1"/>
          <w:sz w:val="32"/>
          <w:szCs w:val="32"/>
        </w:rPr>
      </w:pPr>
    </w:p>
    <w:p>
      <w:pPr>
        <w:spacing w:line="600" w:lineRule="exact"/>
        <w:ind w:firstLine="640"/>
        <w:rPr>
          <w:rFonts w:ascii="仿宋" w:hAnsi="仿宋" w:eastAsia="仿宋"/>
          <w:b/>
          <w:color w:val="000000" w:themeColor="text1"/>
          <w:sz w:val="32"/>
          <w:szCs w:val="32"/>
        </w:rPr>
      </w:pPr>
    </w:p>
    <w:p>
      <w:pPr>
        <w:spacing w:line="600" w:lineRule="exact"/>
        <w:ind w:firstLine="640"/>
        <w:rPr>
          <w:rFonts w:ascii="仿宋" w:hAnsi="仿宋" w:eastAsia="仿宋"/>
          <w:b/>
          <w:color w:val="000000" w:themeColor="text1"/>
          <w:sz w:val="32"/>
          <w:szCs w:val="32"/>
        </w:rPr>
      </w:pPr>
    </w:p>
    <w:p>
      <w:pPr>
        <w:spacing w:line="600" w:lineRule="exact"/>
        <w:rPr>
          <w:rFonts w:ascii="仿宋" w:hAnsi="仿宋" w:eastAsia="仿宋"/>
          <w:color w:val="000000"/>
          <w:sz w:val="32"/>
          <w:szCs w:val="32"/>
        </w:rPr>
      </w:pPr>
    </w:p>
    <w:p>
      <w:pPr>
        <w:spacing w:line="600" w:lineRule="exact"/>
        <w:rPr>
          <w:rFonts w:ascii="仿宋" w:hAnsi="仿宋" w:eastAsia="仿宋"/>
          <w:color w:val="000000"/>
          <w:sz w:val="32"/>
          <w:szCs w:val="32"/>
        </w:rPr>
      </w:pPr>
    </w:p>
    <w:p>
      <w:pPr>
        <w:spacing w:line="600" w:lineRule="exact"/>
        <w:ind w:firstLine="643" w:firstLineChars="200"/>
        <w:outlineLvl w:val="2"/>
        <w:rPr>
          <w:rFonts w:ascii="仿宋" w:hAnsi="仿宋" w:eastAsia="仿宋"/>
          <w:b/>
          <w:color w:val="000000"/>
          <w:sz w:val="32"/>
          <w:szCs w:val="32"/>
        </w:rPr>
      </w:pPr>
      <w:bookmarkStart w:id="36" w:name="_Toc15377212"/>
      <w:r>
        <w:rPr>
          <w:rFonts w:hint="eastAsia" w:ascii="仿宋" w:hAnsi="仿宋" w:eastAsia="仿宋"/>
          <w:b/>
          <w:color w:val="000000"/>
          <w:sz w:val="32"/>
          <w:szCs w:val="32"/>
        </w:rPr>
        <w:t>（三）一般公共预算财政拨款支出决算具体情况</w:t>
      </w:r>
      <w:bookmarkEnd w:id="36"/>
    </w:p>
    <w:p>
      <w:pPr>
        <w:spacing w:line="600" w:lineRule="exact"/>
        <w:ind w:firstLine="643" w:firstLineChars="200"/>
        <w:outlineLvl w:val="2"/>
        <w:rPr>
          <w:rFonts w:ascii="仿宋" w:hAnsi="仿宋" w:eastAsia="仿宋"/>
          <w:color w:val="FF0000"/>
          <w:sz w:val="32"/>
          <w:szCs w:val="32"/>
        </w:rPr>
      </w:pPr>
      <w:bookmarkStart w:id="37" w:name="_Toc15377213"/>
      <w:bookmarkStart w:id="38" w:name="_Toc15377444"/>
      <w:bookmarkStart w:id="39" w:name="_Toc15378460"/>
      <w:r>
        <w:rPr>
          <w:rFonts w:hint="eastAsia" w:ascii="仿宋" w:hAnsi="仿宋" w:eastAsia="仿宋"/>
          <w:b/>
          <w:color w:val="000000" w:themeColor="text1"/>
          <w:sz w:val="32"/>
          <w:szCs w:val="32"/>
        </w:rPr>
        <w:t>2018年一般公共预算支出决算数为4455.57</w:t>
      </w:r>
      <w:r>
        <w:rPr>
          <w:rFonts w:hint="eastAsia" w:ascii="仿宋" w:hAnsi="仿宋" w:eastAsia="仿宋"/>
          <w:color w:val="000000" w:themeColor="text1"/>
          <w:sz w:val="32"/>
          <w:szCs w:val="32"/>
        </w:rPr>
        <w:t>，</w:t>
      </w:r>
      <w:r>
        <w:rPr>
          <w:rStyle w:val="15"/>
          <w:rFonts w:hint="eastAsia" w:ascii="仿宋" w:hAnsi="仿宋" w:eastAsia="仿宋"/>
          <w:bCs/>
          <w:color w:val="000000" w:themeColor="text1"/>
          <w:sz w:val="32"/>
          <w:szCs w:val="32"/>
        </w:rPr>
        <w:t>完成</w:t>
      </w:r>
      <w:r>
        <w:rPr>
          <w:rStyle w:val="15"/>
          <w:rFonts w:hint="eastAsia" w:ascii="仿宋" w:hAnsi="仿宋" w:eastAsia="仿宋"/>
          <w:bCs/>
          <w:color w:val="000000"/>
          <w:sz w:val="32"/>
          <w:szCs w:val="32"/>
        </w:rPr>
        <w:t>预算100</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。其中：</w:t>
      </w:r>
      <w:bookmarkEnd w:id="37"/>
      <w:bookmarkEnd w:id="38"/>
      <w:bookmarkEnd w:id="39"/>
    </w:p>
    <w:p>
      <w:pPr>
        <w:spacing w:line="600" w:lineRule="exact"/>
        <w:ind w:firstLine="643" w:firstLineChars="200"/>
        <w:rPr>
          <w:rStyle w:val="15"/>
          <w:rFonts w:ascii="仿宋" w:hAnsi="仿宋" w:eastAsia="仿宋"/>
          <w:b w:val="0"/>
          <w:bCs/>
          <w:color w:val="000000"/>
          <w:sz w:val="32"/>
          <w:szCs w:val="32"/>
        </w:rPr>
      </w:pPr>
      <w:r>
        <w:rPr>
          <w:rStyle w:val="15"/>
          <w:rFonts w:ascii="仿宋" w:hAnsi="仿宋" w:eastAsia="仿宋"/>
          <w:bCs/>
          <w:color w:val="000000"/>
          <w:sz w:val="32"/>
          <w:szCs w:val="32"/>
        </w:rPr>
        <w:t>1.</w:t>
      </w:r>
      <w:r>
        <w:rPr>
          <w:rStyle w:val="15"/>
          <w:rFonts w:hint="eastAsia" w:ascii="仿宋" w:hAnsi="仿宋" w:eastAsia="仿宋"/>
          <w:bCs/>
          <w:color w:val="000000"/>
          <w:sz w:val="32"/>
          <w:szCs w:val="32"/>
        </w:rPr>
        <w:t>一般公共服务（201）民族事务（23）其他民族事务支出（99）</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支出决算为3.44万元，完成预算100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spacing w:line="600" w:lineRule="exact"/>
        <w:ind w:firstLine="643" w:firstLineChars="200"/>
        <w:rPr>
          <w:rStyle w:val="15"/>
          <w:rFonts w:ascii="仿宋" w:hAnsi="仿宋" w:eastAsia="仿宋"/>
          <w:b w:val="0"/>
          <w:bCs/>
          <w:color w:val="000000"/>
          <w:sz w:val="32"/>
          <w:szCs w:val="32"/>
        </w:rPr>
      </w:pPr>
      <w:r>
        <w:rPr>
          <w:rStyle w:val="15"/>
          <w:rFonts w:ascii="仿宋" w:hAnsi="仿宋" w:eastAsia="仿宋"/>
          <w:bCs/>
          <w:color w:val="000000"/>
          <w:sz w:val="32"/>
          <w:szCs w:val="32"/>
        </w:rPr>
        <w:t>2.</w:t>
      </w:r>
      <w:r>
        <w:rPr>
          <w:rStyle w:val="15"/>
          <w:rFonts w:hint="eastAsia" w:ascii="仿宋" w:hAnsi="仿宋" w:eastAsia="仿宋"/>
          <w:bCs/>
          <w:color w:val="000000"/>
          <w:sz w:val="32"/>
          <w:szCs w:val="32"/>
        </w:rPr>
        <w:t>公共安全支出（204）公安（02）行政运行（01）：</w:t>
      </w:r>
      <w:r>
        <w:rPr>
          <w:rStyle w:val="15"/>
          <w:rFonts w:hint="eastAsia" w:ascii="仿宋" w:hAnsi="仿宋" w:eastAsia="仿宋"/>
          <w:b w:val="0"/>
          <w:bCs/>
          <w:color w:val="000000"/>
          <w:sz w:val="32"/>
          <w:szCs w:val="32"/>
        </w:rPr>
        <w:t>支出决算为2497.94万元，完成预算100%。</w:t>
      </w:r>
    </w:p>
    <w:p>
      <w:pPr>
        <w:spacing w:line="600" w:lineRule="exact"/>
        <w:ind w:firstLine="643" w:firstLineChars="200"/>
        <w:rPr>
          <w:rStyle w:val="15"/>
          <w:rFonts w:ascii="仿宋" w:hAnsi="仿宋" w:eastAsia="仿宋"/>
          <w:b w:val="0"/>
          <w:bCs/>
          <w:color w:val="000000"/>
          <w:sz w:val="32"/>
          <w:szCs w:val="32"/>
        </w:rPr>
      </w:pPr>
      <w:r>
        <w:rPr>
          <w:rStyle w:val="15"/>
          <w:rFonts w:ascii="仿宋" w:hAnsi="仿宋" w:eastAsia="仿宋"/>
          <w:bCs/>
          <w:color w:val="000000"/>
          <w:sz w:val="32"/>
          <w:szCs w:val="32"/>
        </w:rPr>
        <w:t>3.</w:t>
      </w:r>
      <w:r>
        <w:rPr>
          <w:rStyle w:val="15"/>
          <w:rFonts w:hint="eastAsia" w:ascii="仿宋" w:hAnsi="仿宋" w:eastAsia="仿宋"/>
          <w:bCs/>
          <w:color w:val="000000"/>
          <w:sz w:val="32"/>
          <w:szCs w:val="32"/>
        </w:rPr>
        <w:t>公共安全支出（204）公安（02）一般行政管理事务（02）：</w:t>
      </w:r>
      <w:r>
        <w:rPr>
          <w:rStyle w:val="15"/>
          <w:rFonts w:hint="eastAsia" w:ascii="仿宋" w:hAnsi="仿宋" w:eastAsia="仿宋"/>
          <w:b w:val="0"/>
          <w:bCs/>
          <w:color w:val="000000"/>
          <w:sz w:val="32"/>
          <w:szCs w:val="32"/>
        </w:rPr>
        <w:t>支出决算为 643.64万元，完成预算</w:t>
      </w:r>
    </w:p>
    <w:p>
      <w:pPr>
        <w:spacing w:line="600" w:lineRule="exact"/>
        <w:ind w:firstLine="643" w:firstLineChars="200"/>
        <w:rPr>
          <w:rStyle w:val="15"/>
          <w:rFonts w:ascii="仿宋" w:hAnsi="仿宋" w:eastAsia="仿宋"/>
          <w:b w:val="0"/>
          <w:bCs/>
          <w:color w:val="000000"/>
          <w:sz w:val="32"/>
          <w:szCs w:val="32"/>
        </w:rPr>
      </w:pPr>
      <w:r>
        <w:rPr>
          <w:rStyle w:val="15"/>
          <w:rFonts w:ascii="仿宋" w:hAnsi="仿宋" w:eastAsia="仿宋"/>
          <w:bCs/>
          <w:color w:val="000000"/>
          <w:sz w:val="32"/>
          <w:szCs w:val="32"/>
        </w:rPr>
        <w:t>4.</w:t>
      </w:r>
      <w:r>
        <w:rPr>
          <w:rStyle w:val="15"/>
          <w:rFonts w:hint="eastAsia" w:ascii="仿宋" w:hAnsi="仿宋" w:eastAsia="仿宋"/>
          <w:bCs/>
          <w:color w:val="000000"/>
          <w:sz w:val="32"/>
          <w:szCs w:val="32"/>
        </w:rPr>
        <w:t>公共安全支出（204）公安（02）出入境管理（08）</w:t>
      </w:r>
      <w:r>
        <w:rPr>
          <w:rStyle w:val="15"/>
          <w:rFonts w:hint="eastAsia" w:ascii="仿宋" w:hAnsi="仿宋" w:eastAsia="仿宋"/>
          <w:b w:val="0"/>
          <w:bCs/>
          <w:color w:val="000000"/>
          <w:sz w:val="32"/>
          <w:szCs w:val="32"/>
        </w:rPr>
        <w:t>支出决算2.4万元；完成预算</w:t>
      </w:r>
    </w:p>
    <w:p>
      <w:pPr>
        <w:spacing w:line="600" w:lineRule="exact"/>
        <w:ind w:firstLine="643" w:firstLineChars="200"/>
        <w:rPr>
          <w:rStyle w:val="15"/>
          <w:rFonts w:ascii="仿宋" w:hAnsi="仿宋" w:eastAsia="仿宋"/>
          <w:b w:val="0"/>
          <w:bCs/>
          <w:color w:val="000000"/>
          <w:sz w:val="32"/>
          <w:szCs w:val="32"/>
        </w:rPr>
      </w:pPr>
      <w:r>
        <w:rPr>
          <w:rStyle w:val="15"/>
          <w:rFonts w:hint="eastAsia" w:ascii="仿宋" w:hAnsi="仿宋" w:eastAsia="仿宋"/>
          <w:bCs/>
          <w:color w:val="000000"/>
          <w:sz w:val="32"/>
          <w:szCs w:val="32"/>
        </w:rPr>
        <w:t>5.公共安全支出（204）公安（02）道路交通管理（12）</w:t>
      </w:r>
      <w:r>
        <w:rPr>
          <w:rStyle w:val="15"/>
          <w:rFonts w:hint="eastAsia" w:ascii="仿宋" w:hAnsi="仿宋" w:eastAsia="仿宋"/>
          <w:b w:val="0"/>
          <w:bCs/>
          <w:color w:val="000000"/>
          <w:sz w:val="32"/>
          <w:szCs w:val="32"/>
        </w:rPr>
        <w:t>支出决算为57.32万元；完成预算</w:t>
      </w:r>
    </w:p>
    <w:p>
      <w:pPr>
        <w:spacing w:line="600" w:lineRule="exact"/>
        <w:ind w:firstLine="643" w:firstLineChars="200"/>
        <w:rPr>
          <w:rStyle w:val="15"/>
          <w:rFonts w:ascii="仿宋" w:hAnsi="仿宋" w:eastAsia="仿宋"/>
          <w:b w:val="0"/>
          <w:bCs/>
          <w:color w:val="000000"/>
          <w:sz w:val="32"/>
          <w:szCs w:val="32"/>
        </w:rPr>
      </w:pPr>
      <w:r>
        <w:rPr>
          <w:rStyle w:val="15"/>
          <w:rFonts w:hint="eastAsia" w:ascii="仿宋" w:hAnsi="仿宋" w:eastAsia="仿宋"/>
          <w:bCs/>
          <w:color w:val="000000"/>
          <w:sz w:val="32"/>
          <w:szCs w:val="32"/>
        </w:rPr>
        <w:t>6.公共安全支出（204）公安（02）拘押收教场所管理（17）</w:t>
      </w:r>
      <w:r>
        <w:rPr>
          <w:rStyle w:val="15"/>
          <w:rFonts w:hint="eastAsia" w:ascii="仿宋" w:hAnsi="仿宋" w:eastAsia="仿宋"/>
          <w:b w:val="0"/>
          <w:bCs/>
          <w:color w:val="000000"/>
          <w:sz w:val="32"/>
          <w:szCs w:val="32"/>
        </w:rPr>
        <w:t>支出决算为88.95万元；完成预算</w:t>
      </w:r>
    </w:p>
    <w:p>
      <w:pPr>
        <w:spacing w:line="600" w:lineRule="exact"/>
        <w:ind w:firstLine="643" w:firstLineChars="200"/>
        <w:rPr>
          <w:rFonts w:ascii="仿宋" w:hAnsi="仿宋" w:eastAsia="仿宋"/>
          <w:b/>
          <w:color w:val="000000"/>
          <w:sz w:val="32"/>
          <w:szCs w:val="32"/>
        </w:rPr>
      </w:pPr>
      <w:r>
        <w:rPr>
          <w:rStyle w:val="15"/>
          <w:rFonts w:hint="eastAsia" w:ascii="仿宋" w:hAnsi="仿宋" w:eastAsia="仿宋"/>
          <w:bCs/>
          <w:color w:val="000000"/>
          <w:sz w:val="32"/>
          <w:szCs w:val="32"/>
        </w:rPr>
        <w:t>7.公共安全支出（204）公安（02）其他公安支出（99）</w:t>
      </w:r>
      <w:r>
        <w:rPr>
          <w:rStyle w:val="15"/>
          <w:rFonts w:hint="eastAsia" w:ascii="仿宋" w:hAnsi="仿宋" w:eastAsia="仿宋"/>
          <w:b w:val="0"/>
          <w:bCs/>
          <w:color w:val="000000"/>
          <w:sz w:val="32"/>
          <w:szCs w:val="32"/>
        </w:rPr>
        <w:t>支出决算为403.68万元，完成预算100%。</w:t>
      </w:r>
    </w:p>
    <w:p>
      <w:pPr>
        <w:spacing w:line="600" w:lineRule="exact"/>
        <w:ind w:firstLine="643" w:firstLineChars="200"/>
        <w:rPr>
          <w:rFonts w:ascii="仿宋" w:hAnsi="仿宋" w:eastAsia="仿宋"/>
          <w:b/>
          <w:color w:val="000000"/>
          <w:sz w:val="32"/>
          <w:szCs w:val="32"/>
        </w:rPr>
      </w:pPr>
      <w:r>
        <w:rPr>
          <w:rStyle w:val="15"/>
          <w:rFonts w:hint="eastAsia" w:ascii="仿宋" w:hAnsi="仿宋" w:eastAsia="仿宋"/>
          <w:bCs/>
          <w:color w:val="000000"/>
          <w:sz w:val="32"/>
          <w:szCs w:val="32"/>
        </w:rPr>
        <w:t>8</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 xml:space="preserve"> 公共安全支出（204）其他公共安全支出（99）其他公共安全支出（01）</w:t>
      </w:r>
      <w:r>
        <w:rPr>
          <w:rStyle w:val="15"/>
          <w:rFonts w:hint="eastAsia" w:ascii="仿宋" w:hAnsi="仿宋" w:eastAsia="仿宋"/>
          <w:b w:val="0"/>
          <w:bCs/>
          <w:color w:val="000000"/>
          <w:sz w:val="32"/>
          <w:szCs w:val="32"/>
        </w:rPr>
        <w:t>支出决算63.86万元，完成预算100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spacing w:line="600" w:lineRule="exact"/>
        <w:ind w:firstLine="643" w:firstLineChars="200"/>
        <w:rPr>
          <w:rStyle w:val="15"/>
          <w:rFonts w:ascii="仿宋" w:hAnsi="仿宋" w:eastAsia="仿宋"/>
          <w:b w:val="0"/>
          <w:bCs/>
          <w:color w:val="000000"/>
          <w:sz w:val="32"/>
          <w:szCs w:val="32"/>
        </w:rPr>
      </w:pPr>
      <w:r>
        <w:rPr>
          <w:rStyle w:val="15"/>
          <w:rFonts w:hint="eastAsia" w:ascii="仿宋" w:hAnsi="仿宋" w:eastAsia="仿宋"/>
          <w:bCs/>
          <w:color w:val="000000"/>
          <w:sz w:val="32"/>
          <w:szCs w:val="32"/>
        </w:rPr>
        <w:t>9</w:t>
      </w:r>
      <w:r>
        <w:rPr>
          <w:rStyle w:val="15"/>
          <w:rFonts w:ascii="仿宋" w:hAnsi="仿宋" w:eastAsia="仿宋"/>
          <w:bCs/>
          <w:color w:val="000000"/>
          <w:sz w:val="32"/>
          <w:szCs w:val="32"/>
        </w:rPr>
        <w:t>.</w:t>
      </w:r>
      <w:r>
        <w:rPr>
          <w:rFonts w:ascii="仿宋" w:hAnsi="仿宋" w:eastAsia="仿宋"/>
          <w:b/>
          <w:color w:val="000000"/>
          <w:sz w:val="32"/>
          <w:szCs w:val="32"/>
        </w:rPr>
        <w:t xml:space="preserve"> </w:t>
      </w:r>
      <w:r>
        <w:rPr>
          <w:rStyle w:val="15"/>
          <w:rFonts w:hint="eastAsia" w:ascii="仿宋" w:hAnsi="仿宋" w:eastAsia="仿宋"/>
          <w:bCs/>
          <w:color w:val="000000"/>
          <w:sz w:val="32"/>
          <w:szCs w:val="32"/>
        </w:rPr>
        <w:t>社会保障和就业支出（208）行政事业单位离退休（05）机关事业单位基本养老保险缴费支出（05）</w:t>
      </w:r>
      <w:r>
        <w:rPr>
          <w:rFonts w:hint="eastAsia" w:ascii="仿宋_GB2312" w:hAnsi="仿宋_GB2312" w:eastAsia="仿宋_GB2312" w:cs="仿宋_GB2312"/>
          <w:b/>
          <w:color w:val="000000" w:themeColor="text1"/>
          <w:sz w:val="32"/>
          <w:szCs w:val="32"/>
        </w:rPr>
        <w:t>支出决算为</w:t>
      </w:r>
      <w:r>
        <w:rPr>
          <w:rStyle w:val="15"/>
          <w:rFonts w:hint="eastAsia" w:ascii="仿宋" w:hAnsi="仿宋" w:eastAsia="仿宋"/>
          <w:b w:val="0"/>
          <w:bCs/>
          <w:color w:val="000000"/>
          <w:sz w:val="32"/>
          <w:szCs w:val="32"/>
        </w:rPr>
        <w:t>260.87万元，完成预算数100%。</w:t>
      </w:r>
    </w:p>
    <w:p>
      <w:pPr>
        <w:spacing w:line="600" w:lineRule="exact"/>
        <w:ind w:firstLine="643" w:firstLineChars="200"/>
        <w:rPr>
          <w:rFonts w:ascii="仿宋" w:hAnsi="仿宋" w:eastAsia="仿宋"/>
          <w:b/>
          <w:color w:val="000000"/>
          <w:sz w:val="32"/>
          <w:szCs w:val="32"/>
        </w:rPr>
      </w:pPr>
      <w:r>
        <w:rPr>
          <w:rStyle w:val="15"/>
          <w:rFonts w:hint="eastAsia" w:ascii="仿宋" w:hAnsi="仿宋" w:eastAsia="仿宋"/>
          <w:bCs/>
          <w:color w:val="000000"/>
          <w:sz w:val="32"/>
          <w:szCs w:val="32"/>
        </w:rPr>
        <w:t>10.社会保障和就业支出（208）行政事业单位离退休（05）机关事业单位职业年金缴费支出（06）</w:t>
      </w:r>
      <w:r>
        <w:rPr>
          <w:rStyle w:val="15"/>
          <w:rFonts w:hint="eastAsia" w:ascii="仿宋" w:hAnsi="仿宋" w:eastAsia="仿宋"/>
          <w:b w:val="0"/>
          <w:bCs/>
          <w:color w:val="000000"/>
          <w:sz w:val="32"/>
          <w:szCs w:val="32"/>
        </w:rPr>
        <w:t>支出决算为104.31万元，完成预算数100%。</w:t>
      </w:r>
    </w:p>
    <w:p>
      <w:pPr>
        <w:spacing w:line="600" w:lineRule="exact"/>
        <w:ind w:firstLine="643" w:firstLineChars="200"/>
        <w:rPr>
          <w:rFonts w:ascii="仿宋" w:hAnsi="仿宋" w:eastAsia="仿宋"/>
          <w:b/>
          <w:color w:val="000000"/>
          <w:sz w:val="32"/>
          <w:szCs w:val="32"/>
        </w:rPr>
      </w:pPr>
      <w:r>
        <w:rPr>
          <w:rStyle w:val="15"/>
          <w:rFonts w:hint="eastAsia" w:ascii="仿宋" w:hAnsi="仿宋" w:eastAsia="仿宋"/>
          <w:bCs/>
          <w:color w:val="000000"/>
          <w:sz w:val="32"/>
          <w:szCs w:val="32"/>
        </w:rPr>
        <w:t>11</w:t>
      </w:r>
      <w:r>
        <w:rPr>
          <w:rStyle w:val="15"/>
          <w:rFonts w:ascii="仿宋" w:hAnsi="仿宋" w:eastAsia="仿宋"/>
          <w:bCs/>
          <w:color w:val="000000"/>
          <w:sz w:val="32"/>
          <w:szCs w:val="32"/>
        </w:rPr>
        <w:t>.</w:t>
      </w:r>
      <w:r>
        <w:rPr>
          <w:rFonts w:ascii="仿宋" w:hAnsi="仿宋" w:eastAsia="仿宋"/>
          <w:b/>
          <w:color w:val="000000"/>
          <w:sz w:val="32"/>
          <w:szCs w:val="32"/>
        </w:rPr>
        <w:t xml:space="preserve"> </w:t>
      </w:r>
      <w:r>
        <w:rPr>
          <w:rStyle w:val="15"/>
          <w:rFonts w:hint="eastAsia" w:ascii="仿宋" w:hAnsi="仿宋" w:eastAsia="仿宋"/>
          <w:bCs/>
          <w:color w:val="000000"/>
          <w:sz w:val="32"/>
          <w:szCs w:val="32"/>
        </w:rPr>
        <w:t>医疗卫生和计划生育支出（210）行政事业单位医疗（11）行政单位医疗（01）</w:t>
      </w:r>
      <w:r>
        <w:rPr>
          <w:rFonts w:hint="eastAsia" w:ascii="仿宋_GB2312" w:hAnsi="仿宋_GB2312" w:eastAsia="仿宋_GB2312" w:cs="仿宋_GB2312"/>
          <w:b/>
          <w:color w:val="000000" w:themeColor="text1"/>
          <w:sz w:val="32"/>
          <w:szCs w:val="32"/>
        </w:rPr>
        <w:t>支出决算为</w:t>
      </w:r>
      <w:r>
        <w:rPr>
          <w:rStyle w:val="15"/>
          <w:rFonts w:hint="eastAsia" w:ascii="仿宋" w:hAnsi="仿宋" w:eastAsia="仿宋"/>
          <w:b w:val="0"/>
          <w:bCs/>
          <w:color w:val="000000"/>
          <w:sz w:val="32"/>
          <w:szCs w:val="32"/>
        </w:rPr>
        <w:t>128.63万元，完成预算100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5"/>
          <w:rFonts w:hint="eastAsia" w:ascii="仿宋" w:hAnsi="仿宋" w:eastAsia="仿宋"/>
          <w:bCs/>
          <w:color w:val="000000"/>
          <w:sz w:val="32"/>
          <w:szCs w:val="32"/>
        </w:rPr>
        <w:t>12</w:t>
      </w:r>
      <w:r>
        <w:rPr>
          <w:rStyle w:val="15"/>
          <w:rFonts w:ascii="仿宋" w:hAnsi="仿宋" w:eastAsia="仿宋"/>
          <w:bCs/>
          <w:color w:val="000000"/>
          <w:sz w:val="32"/>
          <w:szCs w:val="32"/>
        </w:rPr>
        <w:t>.</w:t>
      </w:r>
      <w:r>
        <w:rPr>
          <w:rFonts w:ascii="仿宋" w:hAnsi="仿宋" w:eastAsia="仿宋"/>
          <w:b/>
          <w:color w:val="000000"/>
          <w:sz w:val="32"/>
          <w:szCs w:val="32"/>
        </w:rPr>
        <w:t xml:space="preserve"> </w:t>
      </w:r>
      <w:r>
        <w:rPr>
          <w:rStyle w:val="15"/>
          <w:rFonts w:hint="eastAsia" w:ascii="仿宋" w:hAnsi="仿宋" w:eastAsia="仿宋"/>
          <w:bCs/>
          <w:color w:val="000000"/>
          <w:sz w:val="32"/>
          <w:szCs w:val="32"/>
        </w:rPr>
        <w:t>住房保障支出（221）住房改革支出（02）住房公积金（01）</w:t>
      </w:r>
      <w:r>
        <w:rPr>
          <w:rFonts w:hint="eastAsia" w:ascii="仿宋_GB2312" w:hAnsi="仿宋_GB2312" w:eastAsia="仿宋_GB2312" w:cs="仿宋_GB2312"/>
          <w:b/>
          <w:color w:val="000000" w:themeColor="text1"/>
          <w:sz w:val="32"/>
          <w:szCs w:val="32"/>
        </w:rPr>
        <w:t>决算支出为</w:t>
      </w:r>
      <w:r>
        <w:rPr>
          <w:rStyle w:val="15"/>
          <w:rFonts w:hint="eastAsia" w:ascii="仿宋" w:hAnsi="仿宋" w:eastAsia="仿宋"/>
          <w:b w:val="0"/>
          <w:bCs/>
          <w:color w:val="000000"/>
          <w:sz w:val="32"/>
          <w:szCs w:val="32"/>
        </w:rPr>
        <w:t>199.01万元，完成预算100%</w:t>
      </w:r>
    </w:p>
    <w:p>
      <w:pPr>
        <w:spacing w:line="600" w:lineRule="exact"/>
        <w:ind w:firstLine="643" w:firstLineChars="200"/>
        <w:rPr>
          <w:rFonts w:ascii="仿宋" w:hAnsi="仿宋" w:eastAsia="仿宋"/>
          <w:b/>
          <w:color w:val="000000"/>
          <w:sz w:val="32"/>
          <w:szCs w:val="32"/>
        </w:rPr>
      </w:pPr>
      <w:r>
        <w:rPr>
          <w:rFonts w:hint="eastAsia" w:ascii="仿宋" w:hAnsi="仿宋" w:eastAsia="仿宋"/>
          <w:b/>
          <w:color w:val="000000"/>
          <w:sz w:val="32"/>
          <w:szCs w:val="32"/>
        </w:rPr>
        <w:t>13.</w:t>
      </w:r>
      <w:r>
        <w:rPr>
          <w:rFonts w:hint="eastAsia" w:ascii="仿宋_GB2312" w:hAnsi="仿宋_GB2312" w:eastAsia="仿宋_GB2312" w:cs="仿宋_GB2312"/>
          <w:b/>
          <w:color w:val="000000" w:themeColor="text1"/>
          <w:sz w:val="32"/>
          <w:szCs w:val="32"/>
        </w:rPr>
        <w:t xml:space="preserve"> </w:t>
      </w:r>
      <w:r>
        <w:rPr>
          <w:rStyle w:val="15"/>
          <w:rFonts w:hint="eastAsia" w:ascii="仿宋" w:hAnsi="仿宋" w:eastAsia="仿宋"/>
          <w:bCs/>
          <w:color w:val="000000"/>
          <w:sz w:val="32"/>
          <w:szCs w:val="32"/>
        </w:rPr>
        <w:t>住房保障支出（221）住房改革支出（02）购房补贴（03）</w:t>
      </w:r>
      <w:r>
        <w:rPr>
          <w:rFonts w:hint="eastAsia" w:ascii="仿宋" w:hAnsi="仿宋" w:eastAsia="仿宋"/>
          <w:color w:val="000000"/>
          <w:sz w:val="32"/>
          <w:szCs w:val="32"/>
        </w:rPr>
        <w:t>决算支出为1.52万元，完成预算100%。</w:t>
      </w:r>
    </w:p>
    <w:p>
      <w:pPr>
        <w:tabs>
          <w:tab w:val="right" w:pos="8306"/>
        </w:tabs>
        <w:spacing w:line="600" w:lineRule="exact"/>
        <w:ind w:firstLine="640"/>
        <w:outlineLvl w:val="1"/>
        <w:rPr>
          <w:rStyle w:val="27"/>
        </w:rPr>
      </w:pPr>
      <w:bookmarkStart w:id="40" w:name="_Toc15377214"/>
      <w:bookmarkStart w:id="41" w:name="_Toc1539660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7"/>
          <w:rFonts w:hint="eastAsia" w:ascii="黑体" w:hAnsi="黑体" w:eastAsia="黑体"/>
          <w:b w:val="0"/>
        </w:rPr>
        <w:t>般公共预算财政拨款基本支出决算情况说明</w:t>
      </w:r>
      <w:bookmarkEnd w:id="40"/>
      <w:bookmarkEnd w:id="41"/>
      <w:r>
        <w:rPr>
          <w:rStyle w:val="27"/>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8年一般公共预算财政拨款基本支出3192.27万元，其中：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2923.41万元，主要包括：基本工资、津贴补贴、奖金、伙食补助费、机关事业单位基本养老保险缴费、职业年金缴费、其他社会保障缴费、职工基本医疗保险费、其他工资福利支出、抚恤金、生活补助、住房公积金、其他对个人和家庭的补助支出、医疗费补助等。</w:t>
      </w:r>
      <w:r>
        <w:rPr>
          <w:rFonts w:ascii="仿宋" w:hAnsi="仿宋" w:eastAsia="仿宋"/>
          <w:color w:val="000000"/>
          <w:sz w:val="32"/>
          <w:szCs w:val="32"/>
        </w:rPr>
        <w:br w:type="textWrapping"/>
      </w:r>
      <w:r>
        <w:rPr>
          <w:rFonts w:hint="eastAsia" w:ascii="仿宋" w:hAnsi="仿宋" w:eastAsia="仿宋"/>
          <w:color w:val="000000"/>
          <w:sz w:val="32"/>
          <w:szCs w:val="32"/>
        </w:rPr>
        <w:t>　　公用经费268.86万元，主要包括：办公费、印刷费、水费、电费、邮电费、取暖费、差旅费、维修（护）费、租赁费、会议费、培训费、公务接待费、被装购置费、劳务费、公务用车运行维护费、其他交通费用、其他商品和服务支出、办公设备购置等。</w:t>
      </w:r>
    </w:p>
    <w:p>
      <w:pPr>
        <w:spacing w:line="600" w:lineRule="exact"/>
        <w:ind w:firstLine="640"/>
        <w:outlineLvl w:val="1"/>
        <w:rPr>
          <w:rStyle w:val="27"/>
          <w:rFonts w:ascii="黑体" w:hAnsi="黑体" w:eastAsia="黑体"/>
          <w:b w:val="0"/>
        </w:rPr>
      </w:pPr>
      <w:bookmarkStart w:id="42" w:name="_Toc15396609"/>
      <w:bookmarkStart w:id="43" w:name="_Toc15377215"/>
      <w:r>
        <w:rPr>
          <w:rFonts w:hint="eastAsia" w:ascii="黑体" w:eastAsia="黑体"/>
          <w:color w:val="000000"/>
          <w:sz w:val="32"/>
          <w:szCs w:val="32"/>
        </w:rPr>
        <w:t>七、</w:t>
      </w:r>
      <w:r>
        <w:rPr>
          <w:rStyle w:val="27"/>
          <w:rFonts w:hint="eastAsia" w:ascii="黑体" w:hAnsi="黑体" w:eastAsia="黑体"/>
        </w:rPr>
        <w:t>“</w:t>
      </w:r>
      <w:r>
        <w:rPr>
          <w:rStyle w:val="27"/>
          <w:rFonts w:hint="eastAsia" w:ascii="黑体" w:hAnsi="黑体" w:eastAsia="黑体"/>
          <w:b w:val="0"/>
        </w:rPr>
        <w:t>三公”经费财政拨款支出决算情况说明</w:t>
      </w:r>
      <w:bookmarkEnd w:id="42"/>
      <w:bookmarkEnd w:id="43"/>
    </w:p>
    <w:p>
      <w:pPr>
        <w:spacing w:line="600" w:lineRule="exact"/>
        <w:ind w:firstLine="640"/>
        <w:outlineLvl w:val="2"/>
        <w:rPr>
          <w:rFonts w:ascii="仿宋" w:hAnsi="仿宋" w:eastAsia="仿宋"/>
          <w:b/>
          <w:color w:val="000000"/>
          <w:sz w:val="32"/>
          <w:szCs w:val="32"/>
        </w:rPr>
      </w:pPr>
      <w:bookmarkStart w:id="44" w:name="_Toc15377216"/>
      <w:r>
        <w:rPr>
          <w:rFonts w:hint="eastAsia" w:ascii="仿宋" w:hAnsi="仿宋" w:eastAsia="仿宋"/>
          <w:b/>
          <w:color w:val="000000"/>
          <w:sz w:val="32"/>
          <w:szCs w:val="32"/>
        </w:rPr>
        <w:t>（一）“三公”经费财政拨款支出决算总体情况说明</w:t>
      </w:r>
      <w:bookmarkEnd w:id="44"/>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8年“三公”经费财政拨款支出决算为225.96万元，完成预算100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outlineLvl w:val="2"/>
        <w:rPr>
          <w:rFonts w:ascii="仿宋" w:hAnsi="仿宋" w:eastAsia="仿宋"/>
          <w:b/>
          <w:color w:val="000000"/>
          <w:sz w:val="32"/>
          <w:szCs w:val="32"/>
        </w:rPr>
      </w:pPr>
      <w:bookmarkStart w:id="45" w:name="_Toc15377217"/>
      <w:r>
        <w:rPr>
          <w:rFonts w:hint="eastAsia" w:ascii="仿宋" w:hAnsi="仿宋" w:eastAsia="仿宋"/>
          <w:b/>
          <w:color w:val="000000"/>
          <w:sz w:val="32"/>
          <w:szCs w:val="32"/>
        </w:rPr>
        <w:t>（二）“三公”经费财政拨款支出决算具体情况说明</w:t>
      </w:r>
      <w:bookmarkEnd w:id="45"/>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8年“三公”经费财政拨款支出决算中，因公出国（境）费支出决算0万元，占0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；公务用车购置及运行维护费支出决算225.9万元，占99.97</w:t>
      </w:r>
      <w:r>
        <w:rPr>
          <w:rFonts w:ascii="仿宋" w:hAnsi="仿宋" w:eastAsia="仿宋"/>
          <w:color w:val="000000"/>
          <w:sz w:val="32"/>
          <w:szCs w:val="32"/>
        </w:rPr>
        <w:t>%</w:t>
      </w:r>
      <w:r>
        <w:rPr>
          <w:rFonts w:hint="eastAsia" w:ascii="仿宋" w:hAnsi="仿宋" w:eastAsia="仿宋"/>
          <w:color w:val="000000"/>
          <w:sz w:val="32"/>
          <w:szCs w:val="32"/>
        </w:rPr>
        <w:t>；公务接待费支出决算0.06万元，占0.03</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drawing>
          <wp:anchor distT="0" distB="0" distL="114300" distR="114300" simplePos="0" relativeHeight="251666432" behindDoc="1" locked="0" layoutInCell="1" allowOverlap="1">
            <wp:simplePos x="0" y="0"/>
            <wp:positionH relativeFrom="column">
              <wp:posOffset>523875</wp:posOffset>
            </wp:positionH>
            <wp:positionV relativeFrom="paragraph">
              <wp:posOffset>66675</wp:posOffset>
            </wp:positionV>
            <wp:extent cx="3952875" cy="2505075"/>
            <wp:effectExtent l="19050" t="0" r="9525" b="0"/>
            <wp:wrapNone/>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color w:val="000000"/>
          <w:sz w:val="32"/>
          <w:szCs w:val="32"/>
        </w:rPr>
        <w:t>0万元，</w:t>
      </w:r>
      <w:r>
        <w:rPr>
          <w:rStyle w:val="15"/>
          <w:rFonts w:hint="eastAsia" w:ascii="仿宋" w:hAnsi="仿宋" w:eastAsia="仿宋"/>
          <w:b w:val="0"/>
          <w:bCs/>
          <w:color w:val="000000"/>
          <w:sz w:val="32"/>
          <w:szCs w:val="32"/>
        </w:rPr>
        <w:t>完成预算0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r>
        <w:rPr>
          <w:rFonts w:hint="eastAsia" w:ascii="仿宋_GB2312" w:eastAsia="仿宋_GB2312"/>
          <w:color w:val="000000"/>
          <w:sz w:val="32"/>
          <w:szCs w:val="32"/>
        </w:rPr>
        <w:t>全年安排因公出国（境）团组0次，出国（境）0人。因公出国（境）支出决算比</w:t>
      </w:r>
      <w:r>
        <w:rPr>
          <w:rFonts w:ascii="仿宋_GB2312" w:eastAsia="仿宋_GB2312"/>
          <w:color w:val="000000"/>
          <w:sz w:val="32"/>
          <w:szCs w:val="32"/>
        </w:rPr>
        <w:t>201</w:t>
      </w:r>
      <w:r>
        <w:rPr>
          <w:rFonts w:hint="eastAsia" w:ascii="仿宋_GB2312" w:eastAsia="仿宋_GB2312"/>
          <w:color w:val="000000"/>
          <w:sz w:val="32"/>
          <w:szCs w:val="32"/>
        </w:rPr>
        <w:t>7年无变化。</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rPr>
        <w:t>225.9万元,完成预算100</w:t>
      </w:r>
      <w:r>
        <w:rPr>
          <w:rFonts w:ascii="仿宋_GB2312" w:eastAsia="仿宋_GB2312"/>
          <w:color w:val="000000"/>
          <w:sz w:val="32"/>
          <w:szCs w:val="32"/>
        </w:rPr>
        <w:t>%</w:t>
      </w:r>
      <w:r>
        <w:rPr>
          <w:rFonts w:hint="eastAsia" w:ascii="仿宋_GB2312" w:eastAsia="仿宋_GB2312"/>
          <w:color w:val="000000"/>
          <w:sz w:val="32"/>
          <w:szCs w:val="32"/>
        </w:rPr>
        <w:t>。公务用车购置及运行维护费支出决算比</w:t>
      </w:r>
      <w:r>
        <w:rPr>
          <w:rFonts w:ascii="仿宋_GB2312" w:eastAsia="仿宋_GB2312"/>
          <w:color w:val="000000"/>
          <w:sz w:val="32"/>
          <w:szCs w:val="32"/>
        </w:rPr>
        <w:t>201</w:t>
      </w:r>
      <w:r>
        <w:rPr>
          <w:rFonts w:hint="eastAsia" w:ascii="仿宋_GB2312" w:eastAsia="仿宋_GB2312"/>
          <w:color w:val="000000"/>
          <w:sz w:val="32"/>
          <w:szCs w:val="32"/>
        </w:rPr>
        <w:t>7年减少95.14万元，下降42.12</w:t>
      </w:r>
      <w:r>
        <w:rPr>
          <w:rFonts w:ascii="仿宋_GB2312" w:eastAsia="仿宋_GB2312"/>
          <w:color w:val="000000"/>
          <w:sz w:val="32"/>
          <w:szCs w:val="32"/>
        </w:rPr>
        <w:t>%</w:t>
      </w:r>
      <w:r>
        <w:rPr>
          <w:rFonts w:hint="eastAsia" w:ascii="仿宋_GB2312" w:eastAsia="仿宋_GB2312"/>
          <w:color w:val="000000"/>
          <w:sz w:val="32"/>
          <w:szCs w:val="32"/>
        </w:rPr>
        <w:t>。主要原因是单位新购置两台车。</w:t>
      </w:r>
    </w:p>
    <w:p>
      <w:pPr>
        <w:spacing w:line="600" w:lineRule="exact"/>
        <w:ind w:firstLine="640" w:firstLineChars="200"/>
        <w:rPr>
          <w:rFonts w:ascii="仿宋_GB2312" w:eastAsia="仿宋_GB2312"/>
          <w:b/>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color w:val="000000"/>
          <w:sz w:val="32"/>
          <w:szCs w:val="32"/>
        </w:rPr>
        <w:t>84.68万元。全年按规定更新购置公务用车2辆，其中：载客汽车2辆、金额84.68万元，主要用于大型活动等运送大量警力。截至</w:t>
      </w:r>
      <w:r>
        <w:rPr>
          <w:rFonts w:ascii="仿宋_GB2312" w:eastAsia="仿宋_GB2312"/>
          <w:color w:val="000000"/>
          <w:sz w:val="32"/>
          <w:szCs w:val="32"/>
        </w:rPr>
        <w:t>201</w:t>
      </w:r>
      <w:r>
        <w:rPr>
          <w:rFonts w:hint="eastAsia" w:ascii="仿宋_GB2312" w:eastAsia="仿宋_GB2312"/>
          <w:color w:val="000000"/>
          <w:sz w:val="32"/>
          <w:szCs w:val="32"/>
        </w:rPr>
        <w:t>8年</w:t>
      </w:r>
      <w:r>
        <w:rPr>
          <w:rFonts w:ascii="仿宋_GB2312" w:eastAsia="仿宋_GB2312"/>
          <w:color w:val="000000"/>
          <w:sz w:val="32"/>
          <w:szCs w:val="32"/>
        </w:rPr>
        <w:t>12</w:t>
      </w:r>
      <w:r>
        <w:rPr>
          <w:rFonts w:hint="eastAsia" w:ascii="仿宋_GB2312" w:eastAsia="仿宋_GB2312"/>
          <w:color w:val="000000"/>
          <w:sz w:val="32"/>
          <w:szCs w:val="32"/>
        </w:rPr>
        <w:t>月底，单位共有公务用车45辆，其中：轿车13辆、越野车30辆、其他车型2辆。</w:t>
      </w:r>
    </w:p>
    <w:p>
      <w:p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rPr>
        <w:t>141.22万元。主要用于办案过程中所需的公务用车燃料费、维修费、过路过桥费、保险费等支出。</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color w:val="000000"/>
          <w:sz w:val="32"/>
          <w:szCs w:val="32"/>
        </w:rPr>
        <w:t>0.06万元，</w:t>
      </w:r>
      <w:r>
        <w:rPr>
          <w:rStyle w:val="15"/>
          <w:rFonts w:hint="eastAsia" w:ascii="仿宋" w:hAnsi="仿宋" w:eastAsia="仿宋"/>
          <w:b w:val="0"/>
          <w:bCs/>
          <w:color w:val="000000"/>
          <w:sz w:val="32"/>
          <w:szCs w:val="32"/>
        </w:rPr>
        <w:t>完成预算100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201</w:t>
      </w:r>
      <w:r>
        <w:rPr>
          <w:rFonts w:hint="eastAsia" w:ascii="仿宋_GB2312" w:eastAsia="仿宋_GB2312"/>
          <w:color w:val="000000"/>
          <w:sz w:val="32"/>
          <w:szCs w:val="32"/>
        </w:rPr>
        <w:t>7年一样，无变化。</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主要用于执行公务、开展业务活动开支的交通费、住宿费、用餐费等。国内公务接待1批次，3人次（不包括陪同人员），共计支出0.06万元，具体内容包括：接待“一标三实”轮流交叉检查组</w:t>
      </w:r>
      <w:r>
        <w:rPr>
          <w:rFonts w:ascii="仿宋_GB2312" w:eastAsia="仿宋_GB2312"/>
          <w:color w:val="000000"/>
          <w:sz w:val="32"/>
          <w:szCs w:val="32"/>
        </w:rPr>
        <w:t xml:space="preserve"> </w:t>
      </w:r>
      <w:r>
        <w:rPr>
          <w:rFonts w:hint="eastAsia" w:ascii="仿宋_GB2312" w:eastAsia="仿宋_GB2312"/>
          <w:color w:val="000000"/>
          <w:sz w:val="32"/>
          <w:szCs w:val="32"/>
        </w:rPr>
        <w:t>。</w:t>
      </w:r>
    </w:p>
    <w:p>
      <w:pPr>
        <w:spacing w:line="600" w:lineRule="exact"/>
        <w:ind w:firstLine="643" w:firstLineChars="200"/>
        <w:rPr>
          <w:rFonts w:ascii="仿宋_GB2312" w:eastAsia="仿宋_GB2312"/>
          <w:color w:val="000000" w:themeColor="text1"/>
          <w:sz w:val="32"/>
          <w:szCs w:val="32"/>
        </w:rPr>
      </w:pPr>
      <w:r>
        <w:rPr>
          <w:rFonts w:hint="eastAsia" w:ascii="仿宋" w:hAnsi="仿宋" w:eastAsia="仿宋"/>
          <w:b/>
          <w:color w:val="000000"/>
          <w:sz w:val="32"/>
          <w:szCs w:val="32"/>
        </w:rPr>
        <w:t>外事接待支出</w:t>
      </w:r>
      <w:r>
        <w:rPr>
          <w:rFonts w:hint="eastAsia" w:ascii="仿宋" w:hAnsi="仿宋" w:eastAsia="仿宋"/>
          <w:color w:val="000000"/>
          <w:sz w:val="32"/>
          <w:szCs w:val="32"/>
        </w:rPr>
        <w:t>0</w:t>
      </w:r>
      <w:r>
        <w:rPr>
          <w:rFonts w:hint="eastAsia" w:ascii="仿宋_GB2312" w:eastAsia="仿宋_GB2312"/>
          <w:color w:val="000000"/>
          <w:sz w:val="32"/>
          <w:szCs w:val="32"/>
        </w:rPr>
        <w:t>万元</w:t>
      </w:r>
      <w:r>
        <w:rPr>
          <w:rFonts w:hint="eastAsia" w:ascii="仿宋_GB2312" w:eastAsia="仿宋_GB2312"/>
          <w:color w:val="000000" w:themeColor="text1"/>
          <w:sz w:val="32"/>
          <w:szCs w:val="32"/>
        </w:rPr>
        <w:t>，外事接待0批次，0人，共计支出0万元。</w:t>
      </w:r>
    </w:p>
    <w:p>
      <w:pPr>
        <w:spacing w:line="600" w:lineRule="exact"/>
        <w:ind w:firstLine="640"/>
        <w:rPr>
          <w:rFonts w:ascii="黑体" w:eastAsia="黑体"/>
          <w:color w:val="000000"/>
          <w:sz w:val="32"/>
          <w:szCs w:val="32"/>
        </w:rPr>
      </w:pPr>
      <w:r>
        <w:rPr>
          <w:rFonts w:hint="eastAsia" w:ascii="仿宋" w:hAnsi="仿宋" w:eastAsia="仿宋"/>
          <w:b/>
          <w:color w:val="000000"/>
          <w:sz w:val="32"/>
          <w:szCs w:val="32"/>
        </w:rPr>
        <w:t>其他国内公务接待支出</w:t>
      </w:r>
      <w:r>
        <w:rPr>
          <w:rFonts w:hint="eastAsia" w:ascii="仿宋" w:hAnsi="仿宋" w:eastAsia="仿宋"/>
          <w:color w:val="000000"/>
          <w:sz w:val="32"/>
          <w:szCs w:val="32"/>
        </w:rPr>
        <w:t>0</w:t>
      </w:r>
      <w:r>
        <w:rPr>
          <w:rFonts w:hint="eastAsia" w:ascii="仿宋_GB2312" w:eastAsia="仿宋_GB2312"/>
          <w:color w:val="000000"/>
          <w:sz w:val="32"/>
          <w:szCs w:val="32"/>
        </w:rPr>
        <w:t>万元</w:t>
      </w:r>
      <w:bookmarkStart w:id="46" w:name="_Toc15396610"/>
      <w:bookmarkStart w:id="47" w:name="_Toc15377218"/>
      <w:r>
        <w:rPr>
          <w:rFonts w:hint="eastAsia" w:ascii="仿宋_GB2312" w:eastAsia="仿宋_GB2312"/>
          <w:color w:val="000000"/>
          <w:sz w:val="32"/>
          <w:szCs w:val="32"/>
        </w:rPr>
        <w:t>。</w:t>
      </w:r>
      <w:r>
        <w:rPr>
          <w:rFonts w:ascii="黑体" w:eastAsia="黑体"/>
          <w:color w:val="000000"/>
          <w:sz w:val="32"/>
          <w:szCs w:val="32"/>
        </w:rPr>
        <w:t xml:space="preserve"> </w:t>
      </w:r>
    </w:p>
    <w:p>
      <w:pPr>
        <w:spacing w:line="600" w:lineRule="exact"/>
        <w:ind w:firstLine="640"/>
        <w:outlineLvl w:val="1"/>
        <w:rPr>
          <w:rStyle w:val="27"/>
          <w:rFonts w:ascii="黑体" w:hAnsi="黑体" w:eastAsia="黑体"/>
        </w:rPr>
      </w:pPr>
      <w:r>
        <w:rPr>
          <w:rFonts w:hint="eastAsia" w:ascii="黑体" w:eastAsia="黑体"/>
          <w:color w:val="000000"/>
          <w:sz w:val="32"/>
          <w:szCs w:val="32"/>
        </w:rPr>
        <w:t>八、</w:t>
      </w:r>
      <w:r>
        <w:rPr>
          <w:rStyle w:val="27"/>
          <w:rFonts w:hint="eastAsia" w:ascii="黑体" w:hAnsi="黑体" w:eastAsia="黑体"/>
          <w:b w:val="0"/>
        </w:rPr>
        <w:t>政府性基金预算支出决算情况说明</w:t>
      </w:r>
      <w:bookmarkEnd w:id="46"/>
      <w:bookmarkEnd w:id="47"/>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8年政府性基金预算拨款支出0万元。</w:t>
      </w:r>
    </w:p>
    <w:p>
      <w:pPr>
        <w:numPr>
          <w:ilvl w:val="0"/>
          <w:numId w:val="2"/>
        </w:numPr>
        <w:spacing w:line="600" w:lineRule="exact"/>
        <w:ind w:firstLine="640"/>
        <w:outlineLvl w:val="1"/>
        <w:rPr>
          <w:rStyle w:val="27"/>
          <w:rFonts w:ascii="黑体" w:hAnsi="黑体" w:eastAsia="黑体"/>
          <w:b w:val="0"/>
        </w:rPr>
      </w:pPr>
      <w:bookmarkStart w:id="48" w:name="_Toc15377219"/>
      <w:bookmarkStart w:id="49" w:name="_Toc15396611"/>
      <w:r>
        <w:rPr>
          <w:rStyle w:val="27"/>
          <w:rFonts w:hint="eastAsia" w:ascii="黑体" w:hAnsi="黑体" w:eastAsia="黑体"/>
          <w:b w:val="0"/>
        </w:rPr>
        <w:t>国有资本经营预算支出决算情况说明</w:t>
      </w:r>
      <w:bookmarkEnd w:id="48"/>
      <w:bookmarkEnd w:id="49"/>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8年国有资本经营预算拨款支出0万元。</w:t>
      </w:r>
    </w:p>
    <w:p>
      <w:pPr>
        <w:pStyle w:val="25"/>
        <w:numPr>
          <w:ilvl w:val="0"/>
          <w:numId w:val="3"/>
        </w:numPr>
        <w:spacing w:line="580" w:lineRule="exact"/>
        <w:ind w:firstLineChars="0"/>
        <w:rPr>
          <w:rStyle w:val="27"/>
          <w:rFonts w:ascii="黑体" w:hAnsi="黑体" w:eastAsia="黑体"/>
          <w:b w:val="0"/>
        </w:rPr>
      </w:pPr>
      <w:r>
        <w:rPr>
          <w:rStyle w:val="27"/>
          <w:rFonts w:hint="eastAsia" w:ascii="黑体" w:hAnsi="黑体" w:eastAsia="黑体"/>
          <w:b w:val="0"/>
        </w:rPr>
        <w:t>预算绩效情况说明</w:t>
      </w:r>
    </w:p>
    <w:p>
      <w:pPr>
        <w:numPr>
          <w:ilvl w:val="0"/>
          <w:numId w:val="4"/>
        </w:numPr>
        <w:spacing w:line="580" w:lineRule="exact"/>
        <w:ind w:firstLine="643" w:firstLineChars="200"/>
        <w:rPr>
          <w:rFonts w:ascii="仿宋" w:hAnsi="仿宋" w:eastAsia="仿宋" w:cs="楷体_GB2312"/>
          <w:b/>
          <w:bCs/>
          <w:sz w:val="32"/>
          <w:szCs w:val="32"/>
        </w:rPr>
      </w:pPr>
      <w:r>
        <w:rPr>
          <w:rFonts w:hint="eastAsia" w:ascii="仿宋" w:hAnsi="仿宋" w:eastAsia="仿宋" w:cs="楷体_GB2312"/>
          <w:b/>
          <w:bCs/>
          <w:sz w:val="32"/>
          <w:szCs w:val="32"/>
        </w:rPr>
        <w:t>预算绩效管理工作开展情况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我局在年初预算编制阶段，组织对该项目开展了预算事前绩效评估，编制了绩效目标，预算执行过程中，选取该项目开展绩效监控，年终执行完毕后，对该项目开展了绩效目标完成情况梳理填报。</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局按要求对2018年部门整体支出开展绩效自评，从评价情况来看2018年我局整体支出绩效评价自查自评结果较好，达到年初预定的目标，我局还自行组织了该项目绩效评价，从评价情况来看有效保障了我局公安工作的开展，努力实现公安工作保障。</w:t>
      </w:r>
    </w:p>
    <w:p>
      <w:pPr>
        <w:numPr>
          <w:ilvl w:val="0"/>
          <w:numId w:val="4"/>
        </w:numPr>
        <w:spacing w:line="580" w:lineRule="exact"/>
        <w:ind w:firstLine="643" w:firstLineChars="200"/>
        <w:rPr>
          <w:rFonts w:ascii="仿宋_GB2312" w:hAnsi="仿宋_GB2312" w:eastAsia="仿宋_GB2312" w:cs="仿宋_GB2312"/>
          <w:sz w:val="32"/>
          <w:szCs w:val="32"/>
        </w:rPr>
      </w:pPr>
      <w:r>
        <w:rPr>
          <w:rFonts w:hint="eastAsia" w:ascii="仿宋" w:hAnsi="仿宋" w:eastAsia="仿宋" w:cs="楷体_GB2312"/>
          <w:b/>
          <w:bCs/>
          <w:sz w:val="32"/>
          <w:szCs w:val="32"/>
        </w:rPr>
        <w:t>项目绩效目标完成情况</w:t>
      </w:r>
      <w:r>
        <w:rPr>
          <w:rFonts w:hint="eastAsia" w:ascii="楷体_GB2312" w:hAnsi="楷体_GB2312" w:eastAsia="楷体_GB2312" w:cs="楷体_GB2312"/>
          <w:b/>
          <w:bCs/>
          <w:sz w:val="32"/>
          <w:szCs w:val="32"/>
        </w:rPr>
        <w:br w:type="textWrapping"/>
      </w:r>
      <w:r>
        <w:rPr>
          <w:rFonts w:hint="eastAsia" w:ascii="仿宋_GB2312" w:hAnsi="仿宋_GB2312" w:eastAsia="仿宋_GB2312" w:cs="仿宋_GB2312"/>
          <w:sz w:val="32"/>
          <w:szCs w:val="32"/>
        </w:rPr>
        <w:t xml:space="preserve">    我局在2018年度部门决算中反映该项目绩效目标实际完成情况。</w:t>
      </w:r>
    </w:p>
    <w:tbl>
      <w:tblPr>
        <w:tblStyle w:val="17"/>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Layout w:type="fixed"/>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5"/>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(2018 年度)</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中央和省级政法转移支付资金</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壤塘县公安局</w:t>
            </w: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1096.15</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1263.29</w:t>
            </w:r>
          </w:p>
        </w:tc>
      </w:tr>
      <w:tr>
        <w:tblPrEx>
          <w:tblLayout w:type="fixed"/>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1096.15</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1263.29</w:t>
            </w:r>
          </w:p>
        </w:tc>
      </w:tr>
      <w:tr>
        <w:tblPrEx>
          <w:tblLayout w:type="fixed"/>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Layout w:type="fixed"/>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保障公安工作的开展，能更好的发挥公安机关的职能。</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不断提升公安业务水平，努力实现保障制度化，装备现代化，管理科学化，队伍专业化。</w:t>
            </w:r>
          </w:p>
        </w:tc>
      </w:tr>
      <w:tr>
        <w:tblPrEx>
          <w:tblLayout w:type="fixed"/>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Layout w:type="fixed"/>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拨入资金</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到位情况</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实际支付</w:t>
            </w:r>
          </w:p>
        </w:tc>
      </w:tr>
      <w:tr>
        <w:tblPrEx>
          <w:tblLayout w:type="fixed"/>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2018年12月</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2018年12月</w:t>
            </w:r>
          </w:p>
        </w:tc>
      </w:tr>
      <w:tr>
        <w:tblPrEx>
          <w:tblLayout w:type="fixed"/>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达成效益</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保障各项工作开展</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为各项工作开展提供有力保障</w:t>
            </w:r>
          </w:p>
        </w:tc>
      </w:tr>
      <w:tr>
        <w:tblPrEx>
          <w:tblLayout w:type="fixed"/>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满意度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满意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满意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满意</w:t>
            </w:r>
          </w:p>
        </w:tc>
      </w:tr>
    </w:tbl>
    <w:p>
      <w:pPr>
        <w:rPr>
          <w:rFonts w:ascii="Calibri" w:hAnsi="Calibri"/>
        </w:rPr>
      </w:pPr>
    </w:p>
    <w:p>
      <w:pPr>
        <w:spacing w:line="580" w:lineRule="exact"/>
        <w:rPr>
          <w:rFonts w:ascii="仿宋_GB2312" w:hAnsi="仿宋_GB2312" w:eastAsia="仿宋_GB2312" w:cs="仿宋_GB2312"/>
          <w:sz w:val="32"/>
          <w:szCs w:val="32"/>
        </w:rPr>
      </w:pPr>
    </w:p>
    <w:p>
      <w:pPr>
        <w:numPr>
          <w:ilvl w:val="0"/>
          <w:numId w:val="4"/>
        </w:numPr>
        <w:spacing w:line="580" w:lineRule="exact"/>
        <w:ind w:firstLine="643" w:firstLineChars="200"/>
        <w:rPr>
          <w:rFonts w:ascii="仿宋" w:hAnsi="仿宋" w:eastAsia="仿宋" w:cs="仿宋_GB2312"/>
          <w:sz w:val="32"/>
          <w:szCs w:val="32"/>
        </w:rPr>
      </w:pPr>
      <w:r>
        <w:rPr>
          <w:rFonts w:hint="eastAsia" w:ascii="仿宋" w:hAnsi="仿宋" w:eastAsia="仿宋" w:cs="楷体_GB2312"/>
          <w:b/>
          <w:bCs/>
          <w:sz w:val="32"/>
          <w:szCs w:val="32"/>
        </w:rPr>
        <w:t>部门开展绩效评价结果</w:t>
      </w:r>
    </w:p>
    <w:p>
      <w:pPr>
        <w:pStyle w:val="25"/>
        <w:spacing w:line="560" w:lineRule="exact"/>
        <w:ind w:left="420" w:leftChars="200"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我局按要求对2018年部门整体支出绩效评价情况开展自评，《壤塘县公安局2018年部门整体支出绩效评价报告》见附件。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我局按要求对2018年部门项目支出绩效评价情况开展自评，《壤塘县公安局2018年部门项目支出绩效评价报告》见附件。</w:t>
      </w:r>
    </w:p>
    <w:p>
      <w:pPr>
        <w:spacing w:line="580" w:lineRule="exact"/>
        <w:jc w:val="center"/>
        <w:rPr>
          <w:rFonts w:ascii="方正小标宋简体" w:hAnsi="方正小标宋简体" w:eastAsia="方正小标宋简体" w:cs="方正小标宋简体"/>
          <w:sz w:val="44"/>
          <w:szCs w:val="44"/>
        </w:rPr>
      </w:pPr>
    </w:p>
    <w:p>
      <w:pPr>
        <w:spacing w:line="600" w:lineRule="exact"/>
        <w:ind w:firstLine="800" w:firstLineChars="250"/>
        <w:outlineLvl w:val="1"/>
        <w:rPr>
          <w:rStyle w:val="27"/>
          <w:rFonts w:ascii="黑体" w:hAnsi="黑体" w:eastAsia="黑体"/>
        </w:rPr>
      </w:pPr>
      <w:bookmarkStart w:id="50" w:name="_Toc15377221"/>
      <w:bookmarkStart w:id="51" w:name="_Toc15396612"/>
      <w:r>
        <w:rPr>
          <w:rFonts w:hint="eastAsia" w:ascii="黑体" w:hAnsi="黑体" w:eastAsia="黑体"/>
          <w:color w:val="000000"/>
          <w:sz w:val="32"/>
          <w:szCs w:val="32"/>
        </w:rPr>
        <w:t>十</w:t>
      </w:r>
      <w:r>
        <w:rPr>
          <w:rStyle w:val="27"/>
          <w:rFonts w:hint="eastAsia" w:ascii="黑体" w:hAnsi="黑体" w:eastAsia="黑体"/>
        </w:rPr>
        <w:t>一、</w:t>
      </w:r>
      <w:r>
        <w:rPr>
          <w:rStyle w:val="27"/>
          <w:rFonts w:hint="eastAsia" w:ascii="黑体" w:hAnsi="黑体" w:eastAsia="黑体"/>
          <w:b w:val="0"/>
        </w:rPr>
        <w:t>其他重要事项的情况说明</w:t>
      </w:r>
      <w:bookmarkEnd w:id="50"/>
      <w:bookmarkEnd w:id="51"/>
    </w:p>
    <w:p>
      <w:pPr>
        <w:spacing w:line="600" w:lineRule="exact"/>
        <w:ind w:firstLine="643" w:firstLineChars="200"/>
        <w:outlineLvl w:val="2"/>
        <w:rPr>
          <w:rFonts w:ascii="仿宋" w:hAnsi="仿宋" w:eastAsia="仿宋"/>
          <w:color w:val="000000"/>
          <w:sz w:val="32"/>
          <w:szCs w:val="32"/>
        </w:rPr>
      </w:pPr>
      <w:bookmarkStart w:id="52" w:name="_Toc15377222"/>
      <w:r>
        <w:rPr>
          <w:rFonts w:hint="eastAsia" w:ascii="仿宋" w:hAnsi="仿宋" w:eastAsia="仿宋"/>
          <w:b/>
          <w:color w:val="000000"/>
          <w:sz w:val="32"/>
          <w:szCs w:val="32"/>
        </w:rPr>
        <w:t>（一）机关运行经费支出情况</w:t>
      </w:r>
      <w:bookmarkEnd w:id="52"/>
    </w:p>
    <w:p>
      <w:pPr>
        <w:spacing w:line="600" w:lineRule="exact"/>
        <w:ind w:firstLine="640" w:firstLineChars="200"/>
        <w:rPr>
          <w:rFonts w:ascii="仿宋_GB2312" w:eastAsia="仿宋_GB2312"/>
          <w:color w:val="000000" w:themeColor="text1"/>
          <w:sz w:val="32"/>
          <w:szCs w:val="32"/>
        </w:rPr>
      </w:pPr>
      <w:r>
        <w:rPr>
          <w:rFonts w:ascii="仿宋_GB2312" w:eastAsia="仿宋_GB2312"/>
          <w:color w:val="000000"/>
          <w:sz w:val="32"/>
          <w:szCs w:val="32"/>
        </w:rPr>
        <w:t>201</w:t>
      </w:r>
      <w:r>
        <w:rPr>
          <w:rFonts w:hint="eastAsia" w:ascii="仿宋_GB2312" w:eastAsia="仿宋_GB2312"/>
          <w:color w:val="000000"/>
          <w:sz w:val="32"/>
          <w:szCs w:val="32"/>
        </w:rPr>
        <w:t>8年，壤塘县公安局机关运行经费支出220.72万元，比</w:t>
      </w:r>
      <w:r>
        <w:rPr>
          <w:rFonts w:ascii="仿宋_GB2312" w:eastAsia="仿宋_GB2312"/>
          <w:color w:val="000000"/>
          <w:sz w:val="32"/>
          <w:szCs w:val="32"/>
        </w:rPr>
        <w:t>201</w:t>
      </w:r>
      <w:r>
        <w:rPr>
          <w:rFonts w:hint="eastAsia" w:ascii="仿宋_GB2312" w:eastAsia="仿宋_GB2312"/>
          <w:color w:val="000000"/>
          <w:sz w:val="32"/>
          <w:szCs w:val="32"/>
        </w:rPr>
        <w:t>7年增加51.23万元，增长23.21</w:t>
      </w:r>
      <w:r>
        <w:rPr>
          <w:rFonts w:ascii="仿宋_GB2312" w:eastAsia="仿宋_GB2312"/>
          <w:color w:val="000000"/>
          <w:sz w:val="32"/>
          <w:szCs w:val="32"/>
        </w:rPr>
        <w:t>%</w:t>
      </w:r>
      <w:r>
        <w:rPr>
          <w:rFonts w:hint="eastAsia" w:ascii="仿宋_GB2312" w:eastAsia="仿宋_GB2312"/>
          <w:color w:val="000000"/>
          <w:sz w:val="32"/>
          <w:szCs w:val="32"/>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3" w:name="_Toc15377223"/>
      <w:r>
        <w:rPr>
          <w:rFonts w:hint="eastAsia" w:ascii="仿宋" w:hAnsi="仿宋" w:eastAsia="仿宋"/>
          <w:b/>
          <w:color w:val="000000"/>
          <w:sz w:val="32"/>
          <w:szCs w:val="32"/>
        </w:rPr>
        <w:t>（二）政府采购支出情况</w:t>
      </w:r>
      <w:bookmarkEnd w:id="53"/>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8年，壤塘县公安局政府采购支出总额568万元，其中：政府采购货物支出568万元。</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4" w:name="_Toc15377224"/>
      <w:r>
        <w:rPr>
          <w:rFonts w:hint="eastAsia" w:ascii="仿宋" w:hAnsi="仿宋" w:eastAsia="仿宋"/>
          <w:b/>
          <w:color w:val="000000"/>
          <w:sz w:val="32"/>
          <w:szCs w:val="32"/>
        </w:rPr>
        <w:t>（三）国有资产占有使用情况</w:t>
      </w:r>
      <w:bookmarkEnd w:id="54"/>
    </w:p>
    <w:p>
      <w:pPr>
        <w:autoSpaceDE w:val="0"/>
        <w:autoSpaceDN w:val="0"/>
        <w:adjustRightInd w:val="0"/>
        <w:spacing w:line="60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8年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日，壤塘县公安局共有车辆45辆，其中：一般执法执勤用车45辆、</w:t>
      </w:r>
      <w:r>
        <w:rPr>
          <w:rFonts w:hint="eastAsia" w:ascii="仿宋_GB2312" w:eastAsia="仿宋_GB2312"/>
          <w:color w:val="000000" w:themeColor="text1"/>
          <w:sz w:val="32"/>
          <w:szCs w:val="32"/>
        </w:rPr>
        <w:t>单价</w:t>
      </w:r>
      <w:r>
        <w:rPr>
          <w:rFonts w:ascii="仿宋_GB2312" w:eastAsia="仿宋_GB2312"/>
          <w:color w:val="000000" w:themeColor="text1"/>
          <w:sz w:val="32"/>
          <w:szCs w:val="32"/>
        </w:rPr>
        <w:t>100</w:t>
      </w:r>
      <w:r>
        <w:rPr>
          <w:rFonts w:hint="eastAsia" w:ascii="仿宋_GB2312" w:eastAsia="仿宋_GB2312"/>
          <w:color w:val="000000"/>
          <w:sz w:val="32"/>
          <w:szCs w:val="32"/>
        </w:rPr>
        <w:t>万元以上专用设备2台（套）。</w:t>
      </w:r>
      <w:r>
        <w:rPr>
          <w:rFonts w:ascii="仿宋_GB2312" w:eastAsia="仿宋_GB2312"/>
          <w:b/>
          <w:color w:val="000000"/>
          <w:sz w:val="32"/>
          <w:szCs w:val="32"/>
        </w:rPr>
        <w:br w:type="page"/>
      </w:r>
    </w:p>
    <w:p>
      <w:pPr>
        <w:numPr>
          <w:ilvl w:val="0"/>
          <w:numId w:val="5"/>
        </w:numPr>
        <w:spacing w:line="600" w:lineRule="exact"/>
        <w:ind w:firstLine="663" w:firstLineChars="150"/>
        <w:jc w:val="center"/>
        <w:outlineLvl w:val="0"/>
        <w:rPr>
          <w:rFonts w:ascii="黑体" w:hAnsi="黑体" w:eastAsia="黑体"/>
          <w:bCs/>
          <w:kern w:val="44"/>
          <w:sz w:val="44"/>
          <w:szCs w:val="44"/>
        </w:rPr>
      </w:pPr>
      <w:bookmarkStart w:id="55" w:name="_Toc15377225"/>
      <w:bookmarkStart w:id="56" w:name="_Toc15396613"/>
      <w:r>
        <w:rPr>
          <w:rFonts w:hint="eastAsia" w:ascii="黑体" w:hAnsi="黑体" w:eastAsia="黑体"/>
          <w:b/>
          <w:color w:val="000000"/>
          <w:sz w:val="44"/>
          <w:szCs w:val="44"/>
        </w:rPr>
        <w:t>名</w:t>
      </w:r>
      <w:r>
        <w:rPr>
          <w:rStyle w:val="26"/>
          <w:rFonts w:hint="eastAsia" w:ascii="黑体" w:hAnsi="黑体" w:eastAsia="黑体"/>
          <w:b w:val="0"/>
        </w:rPr>
        <w:t>词解释</w:t>
      </w:r>
      <w:bookmarkEnd w:id="55"/>
      <w:bookmarkEnd w:id="56"/>
    </w:p>
    <w:p>
      <w:pPr>
        <w:pStyle w:val="13"/>
        <w:widowControl/>
        <w:spacing w:before="300" w:beforeAutospacing="0" w:afterAutospacing="0" w:line="560" w:lineRule="exact"/>
        <w:ind w:firstLine="640" w:firstLineChars="200"/>
        <w:rPr>
          <w:rFonts w:ascii="仿宋_GB2312" w:eastAsia="仿宋_GB2312"/>
          <w:sz w:val="32"/>
          <w:szCs w:val="32"/>
        </w:rPr>
      </w:pPr>
      <w:r>
        <w:rPr>
          <w:rFonts w:ascii="仿宋_GB2312" w:eastAsia="仿宋_GB2312"/>
          <w:sz w:val="32"/>
          <w:szCs w:val="32"/>
        </w:rPr>
        <w:t>1.</w:t>
      </w:r>
      <w:r>
        <w:rPr>
          <w:rFonts w:ascii="仿宋_GB2312" w:eastAsia="仿宋_GB2312"/>
          <w:color w:val="000000"/>
          <w:sz w:val="32"/>
          <w:szCs w:val="32"/>
        </w:rPr>
        <w:t xml:space="preserve"> </w:t>
      </w:r>
      <w:r>
        <w:rPr>
          <w:rFonts w:hint="eastAsia" w:ascii="仿宋_GB2312" w:eastAsia="仿宋_GB2312"/>
          <w:sz w:val="32"/>
          <w:szCs w:val="32"/>
        </w:rPr>
        <w:t>财政拨款收入：指由财政拨款形成的部门收入。按现行管理制度,部门预算中反映的财政拨款仅包括一般公共预算拨款和政府性基金预算拨款。</w:t>
      </w:r>
    </w:p>
    <w:p>
      <w:pPr>
        <w:pStyle w:val="24"/>
        <w:spacing w:line="560" w:lineRule="exact"/>
        <w:ind w:firstLine="640" w:firstLineChars="200"/>
        <w:rPr>
          <w:rFonts w:ascii="仿宋_GB2312" w:eastAsia="仿宋_GB2312"/>
          <w:sz w:val="32"/>
          <w:szCs w:val="32"/>
        </w:rPr>
      </w:pPr>
      <w:r>
        <w:rPr>
          <w:rFonts w:hint="eastAsia" w:ascii="仿宋_GB2312" w:eastAsia="仿宋_GB2312"/>
          <w:sz w:val="32"/>
          <w:szCs w:val="32"/>
        </w:rPr>
        <w:t>2.其他收入：指除“财政拨款收入”“事业收入”“事业单位经营收入”等以外的收入,主要是所属行政事业单位按规定动用的售房收入、存款利息收入等。</w:t>
      </w:r>
    </w:p>
    <w:p>
      <w:pPr>
        <w:pStyle w:val="24"/>
        <w:spacing w:line="560" w:lineRule="exact"/>
        <w:ind w:firstLine="640" w:firstLineChars="200"/>
        <w:rPr>
          <w:rFonts w:ascii="仿宋_GB2312" w:eastAsia="仿宋_GB2312"/>
          <w:sz w:val="32"/>
          <w:szCs w:val="32"/>
        </w:rPr>
      </w:pPr>
      <w:r>
        <w:rPr>
          <w:rFonts w:hint="eastAsia" w:ascii="仿宋_GB2312" w:eastAsia="仿宋_GB2312"/>
          <w:sz w:val="32"/>
          <w:szCs w:val="32"/>
        </w:rPr>
        <w:t>3</w:t>
      </w:r>
      <w:r>
        <w:rPr>
          <w:rFonts w:ascii="仿宋_GB2312" w:eastAsia="仿宋_GB2312"/>
          <w:sz w:val="32"/>
          <w:szCs w:val="32"/>
        </w:rPr>
        <w:t>.</w:t>
      </w:r>
      <w:r>
        <w:rPr>
          <w:rFonts w:hint="eastAsia" w:ascii="仿宋_GB2312" w:eastAsia="仿宋_GB2312"/>
          <w:sz w:val="32"/>
          <w:szCs w:val="32"/>
        </w:rPr>
        <w:t>年初结转和结余：指以前年度尚未完成、结转到本年按有关规定继续使用的资金。</w:t>
      </w:r>
    </w:p>
    <w:p>
      <w:pPr>
        <w:pStyle w:val="24"/>
        <w:spacing w:line="560" w:lineRule="exact"/>
        <w:ind w:firstLine="640" w:firstLineChars="200"/>
        <w:rPr>
          <w:rFonts w:ascii="仿宋_GB2312" w:hAnsi="Times New Roman" w:eastAsia="仿宋_GB2312" w:cs="Times New Roman"/>
          <w:color w:val="auto"/>
          <w:sz w:val="32"/>
          <w:szCs w:val="32"/>
        </w:rPr>
      </w:pPr>
      <w:r>
        <w:rPr>
          <w:rFonts w:hint="eastAsia" w:ascii="仿宋_GB2312" w:eastAsia="仿宋_GB2312"/>
          <w:sz w:val="32"/>
          <w:szCs w:val="32"/>
        </w:rPr>
        <w:t>4、年末结转和结余：指单位按有关规定结转到下年或以后年</w:t>
      </w:r>
      <w:r>
        <w:rPr>
          <w:rFonts w:hint="eastAsia" w:ascii="仿宋_GB2312" w:hAnsi="Times New Roman" w:eastAsia="仿宋_GB2312" w:cs="Times New Roman"/>
          <w:color w:val="auto"/>
          <w:sz w:val="32"/>
          <w:szCs w:val="32"/>
        </w:rPr>
        <w:t>度继续使用的资金。</w:t>
      </w:r>
    </w:p>
    <w:p>
      <w:pPr>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5.一般公共服务支出（201）民族事务（23）其他事务支出（99）：指其他用于民族事务方面的支出。</w:t>
      </w:r>
    </w:p>
    <w:p>
      <w:pPr>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6.公共安全支出（204）公安（02）行政运行（01）：指行政单位（包括实行公务员管理的事业单位）的基本支出。</w:t>
      </w:r>
    </w:p>
    <w:p>
      <w:pPr>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7.公共安全支出（204）公安（02）一般行政管理事务（02）：指行政单位（包括实行公务员管理的事业单位）未独立设置项级科目的其他项目支出。</w:t>
      </w:r>
    </w:p>
    <w:p>
      <w:pPr>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8.公共安全支出（204）公安（02）其他公安支出（99）：指其他用于公安方面的支出。</w:t>
      </w:r>
    </w:p>
    <w:p>
      <w:pPr>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9.公共安全支出（204）公安（02）出入境管理（08）：指出入境大队用于开展护照办理等出入境工作的支出。</w:t>
      </w:r>
    </w:p>
    <w:p>
      <w:pPr>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10.公共安全支出（204）公安（02）道路交通管理（12）指交警大队用于开展道路交通等工作的支出。</w:t>
      </w:r>
    </w:p>
    <w:p>
      <w:pPr>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11. 公共安全支出（204）公安（02）拘押收教场所管理（12）</w:t>
      </w:r>
    </w:p>
    <w:p>
      <w:pPr>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指用于拘押场所工作的支出。</w:t>
      </w:r>
    </w:p>
    <w:p>
      <w:pPr>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12.社会保障和就业支出（208）行政事业单位离退休（05）机关事业单位基本养老保险缴费支出（05）：指机关事业单位实施养老保险制度由单位缴纳的基本养老保险支出。</w:t>
      </w:r>
    </w:p>
    <w:p>
      <w:pPr>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13.社会保障和就业支出（208）行政事业单位离退休（05）机关事业单位职业年金缴费支出（06）：指机关事业单位实施养老保险制度由单位实际缴纳的职业年金支出。</w:t>
      </w:r>
    </w:p>
    <w:p>
      <w:pPr>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14.医疗卫生和计划生育支出（210）行政事业单位医疗（11）行政单位医疗（01）：指财政部门集中安排的行政单位基本医疗保险缴费经费，未参加医疗保险的行政单位的公费医疗经费，按国家规定享受离休人员、红军老战士待遇的医疗经费。</w:t>
      </w:r>
    </w:p>
    <w:p>
      <w:pPr>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15.住房保障支出（221）住房改革支出（02）住房公积金（01）：指行政事业单位按人力资源和社会保障部、财政部规定的基本工资、津贴补贴以及规定比例为职工缴纳的住房公积金。</w:t>
      </w:r>
    </w:p>
    <w:p>
      <w:pPr>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16.住房保障支出（221）住房改革支出（02）购房补贴（03）:指按房改政策规定的标准，行政事业单位向符合条件职工（含离退休人员）、军队（含武警）向转役复员离退休人员发放的用于购买住房的补贴。</w:t>
      </w:r>
    </w:p>
    <w:p>
      <w:pPr>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17.基本支出：指为保障机构正常运转、完成日常工作任务而发生的人员支出和公用支出。</w:t>
      </w:r>
    </w:p>
    <w:p>
      <w:pPr>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18.项目支出：指在基本支出之外为完成特定行政任务和事业发展目标所发生的支出。</w:t>
      </w:r>
    </w:p>
    <w:p>
      <w:pPr>
        <w:pStyle w:val="24"/>
        <w:spacing w:line="560" w:lineRule="exact"/>
        <w:ind w:firstLine="640" w:firstLineChars="200"/>
        <w:rPr>
          <w:rFonts w:ascii="仿宋_GB2312" w:eastAsia="仿宋_GB2312"/>
          <w:sz w:val="32"/>
          <w:szCs w:val="32"/>
        </w:rPr>
      </w:pPr>
      <w:r>
        <w:rPr>
          <w:rFonts w:hint="eastAsia" w:ascii="仿宋_GB2312" w:eastAsia="仿宋_GB2312"/>
          <w:sz w:val="32"/>
          <w:szCs w:val="32"/>
        </w:rPr>
        <w:t>19</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4"/>
        <w:spacing w:line="560" w:lineRule="exact"/>
        <w:ind w:firstLine="640" w:firstLineChars="200"/>
        <w:rPr>
          <w:rFonts w:ascii="仿宋_GB2312" w:eastAsia="仿宋_GB2312" w:cs="黑体"/>
          <w:sz w:val="32"/>
          <w:szCs w:val="32"/>
        </w:rPr>
      </w:pPr>
      <w:r>
        <w:rPr>
          <w:rFonts w:hint="eastAsia" w:ascii="仿宋_GB2312" w:eastAsia="仿宋_GB2312"/>
          <w:sz w:val="32"/>
          <w:szCs w:val="32"/>
        </w:rPr>
        <w:t>20</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仿宋_GB2312" w:eastAsia="仿宋_GB2312"/>
          <w:color w:val="000000"/>
          <w:sz w:val="32"/>
          <w:szCs w:val="32"/>
        </w:rPr>
      </w:pPr>
      <w:r>
        <w:rPr>
          <w:rFonts w:ascii="仿宋_GB2312" w:eastAsia="仿宋_GB2312"/>
          <w:color w:val="000000"/>
          <w:sz w:val="32"/>
          <w:szCs w:val="32"/>
        </w:rPr>
        <w:t>2</w:t>
      </w:r>
      <w:r>
        <w:rPr>
          <w:rFonts w:hint="eastAsia" w:ascii="仿宋_GB2312" w:eastAsia="仿宋_GB2312"/>
          <w:color w:val="000000"/>
          <w:sz w:val="32"/>
          <w:szCs w:val="32"/>
        </w:rPr>
        <w:t>1</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ascii="仿宋_GB2312" w:eastAsia="仿宋_GB2312"/>
          <w:color w:val="000000"/>
          <w:sz w:val="32"/>
          <w:szCs w:val="32"/>
        </w:rPr>
        <w:t>2</w:t>
      </w:r>
      <w:r>
        <w:rPr>
          <w:rFonts w:hint="eastAsia" w:ascii="仿宋_GB2312" w:eastAsia="仿宋_GB2312"/>
          <w:color w:val="000000"/>
          <w:sz w:val="32"/>
          <w:szCs w:val="32"/>
        </w:rPr>
        <w:t>2</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p>
    <w:p>
      <w:pPr>
        <w:pStyle w:val="24"/>
        <w:spacing w:line="560" w:lineRule="exact"/>
        <w:ind w:firstLine="640" w:firstLineChars="200"/>
        <w:rPr>
          <w:rFonts w:ascii="仿宋_GB2312" w:eastAsia="仿宋_GB2312"/>
          <w:sz w:val="32"/>
          <w:szCs w:val="32"/>
        </w:rPr>
      </w:pPr>
      <w:r>
        <w:rPr>
          <w:rFonts w:hint="eastAsia" w:ascii="仿宋_GB2312" w:eastAsia="仿宋_GB2312"/>
          <w:sz w:val="32"/>
          <w:szCs w:val="32"/>
        </w:rPr>
        <w:t>23</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4"/>
        <w:spacing w:line="560" w:lineRule="exact"/>
        <w:ind w:firstLine="640" w:firstLineChars="200"/>
        <w:rPr>
          <w:rFonts w:ascii="仿宋_GB2312" w:eastAsia="仿宋_GB2312"/>
          <w:sz w:val="32"/>
          <w:szCs w:val="32"/>
        </w:rPr>
      </w:pPr>
    </w:p>
    <w:p>
      <w:pPr>
        <w:pStyle w:val="24"/>
        <w:spacing w:line="560" w:lineRule="exact"/>
        <w:ind w:firstLine="640" w:firstLineChars="200"/>
        <w:rPr>
          <w:rFonts w:ascii="仿宋_GB2312" w:eastAsia="仿宋_GB2312"/>
          <w:sz w:val="32"/>
          <w:szCs w:val="32"/>
        </w:rPr>
      </w:pPr>
    </w:p>
    <w:p>
      <w:pPr>
        <w:spacing w:line="600" w:lineRule="exact"/>
        <w:jc w:val="center"/>
        <w:outlineLvl w:val="0"/>
        <w:rPr>
          <w:rStyle w:val="26"/>
          <w:rFonts w:ascii="黑体" w:hAnsi="黑体" w:eastAsia="黑体"/>
          <w:b w:val="0"/>
        </w:rPr>
      </w:pPr>
      <w:bookmarkStart w:id="57" w:name="_Toc15396614"/>
      <w:bookmarkStart w:id="58" w:name="_Toc15377226"/>
      <w:r>
        <w:rPr>
          <w:rFonts w:hint="eastAsia" w:ascii="黑体" w:hAnsi="黑体" w:eastAsia="黑体"/>
          <w:color w:val="000000"/>
          <w:sz w:val="44"/>
          <w:szCs w:val="44"/>
        </w:rPr>
        <w:t>第</w:t>
      </w:r>
      <w:r>
        <w:rPr>
          <w:rStyle w:val="26"/>
          <w:rFonts w:hint="eastAsia" w:ascii="黑体" w:hAnsi="黑体" w:eastAsia="黑体"/>
          <w:b w:val="0"/>
        </w:rPr>
        <w:t>四部分 附件</w:t>
      </w:r>
      <w:bookmarkEnd w:id="57"/>
    </w:p>
    <w:p>
      <w:pPr>
        <w:spacing w:line="600" w:lineRule="exact"/>
        <w:jc w:val="center"/>
        <w:outlineLvl w:val="0"/>
        <w:rPr>
          <w:rStyle w:val="26"/>
        </w:rPr>
      </w:pPr>
    </w:p>
    <w:p>
      <w:pPr>
        <w:pStyle w:val="3"/>
        <w:rPr>
          <w:rStyle w:val="26"/>
          <w:rFonts w:ascii="仿宋" w:hAnsi="仿宋" w:eastAsia="仿宋"/>
          <w:b w:val="0"/>
          <w:bCs w:val="0"/>
          <w:sz w:val="32"/>
          <w:szCs w:val="32"/>
        </w:rPr>
      </w:pPr>
      <w:bookmarkStart w:id="59" w:name="_Toc15396615"/>
      <w:r>
        <w:rPr>
          <w:rStyle w:val="26"/>
          <w:rFonts w:hint="eastAsia" w:ascii="仿宋" w:hAnsi="仿宋" w:eastAsia="仿宋"/>
          <w:b w:val="0"/>
          <w:bCs w:val="0"/>
          <w:sz w:val="32"/>
          <w:szCs w:val="32"/>
        </w:rPr>
        <w:t>附件1</w:t>
      </w:r>
      <w:bookmarkEnd w:id="59"/>
    </w:p>
    <w:p>
      <w:pPr>
        <w:spacing w:line="600" w:lineRule="exact"/>
        <w:jc w:val="center"/>
        <w:outlineLvl w:val="0"/>
        <w:rPr>
          <w:rFonts w:ascii="黑体" w:hAnsi="黑体" w:eastAsia="黑体" w:cs="方正小标宋简体"/>
          <w:sz w:val="36"/>
          <w:szCs w:val="36"/>
        </w:rPr>
      </w:pPr>
      <w:bookmarkStart w:id="60" w:name="_Toc15396616"/>
      <w:r>
        <w:rPr>
          <w:rFonts w:hint="eastAsia" w:ascii="黑体" w:hAnsi="黑体" w:eastAsia="黑体" w:cs="方正小标宋简体"/>
          <w:sz w:val="36"/>
          <w:szCs w:val="36"/>
        </w:rPr>
        <w:t>壤塘县公安局</w:t>
      </w:r>
    </w:p>
    <w:p>
      <w:pPr>
        <w:spacing w:line="600" w:lineRule="exact"/>
        <w:jc w:val="center"/>
        <w:outlineLvl w:val="0"/>
        <w:rPr>
          <w:rFonts w:ascii="黑体" w:hAnsi="黑体" w:eastAsia="黑体" w:cs="方正小标宋简体"/>
          <w:sz w:val="36"/>
          <w:szCs w:val="36"/>
        </w:rPr>
      </w:pPr>
      <w:r>
        <w:rPr>
          <w:rFonts w:hint="eastAsia" w:ascii="黑体" w:hAnsi="黑体" w:eastAsia="黑体" w:cs="方正小标宋简体"/>
          <w:sz w:val="36"/>
          <w:szCs w:val="36"/>
        </w:rPr>
        <w:t>2018年部门整体支出绩效评价报告</w:t>
      </w:r>
      <w:bookmarkEnd w:id="60"/>
    </w:p>
    <w:p>
      <w:pPr>
        <w:spacing w:line="580" w:lineRule="exact"/>
        <w:ind w:firstLine="640" w:firstLineChars="200"/>
        <w:rPr>
          <w:rFonts w:ascii="黑体" w:hAnsi="黑体" w:eastAsia="黑体" w:cs="黑体"/>
          <w:sz w:val="32"/>
          <w:szCs w:val="32"/>
        </w:rPr>
      </w:pP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一、部门（单位）概况</w:t>
      </w:r>
    </w:p>
    <w:p>
      <w:pPr>
        <w:pStyle w:val="25"/>
        <w:numPr>
          <w:ilvl w:val="0"/>
          <w:numId w:val="6"/>
        </w:numPr>
        <w:spacing w:line="580" w:lineRule="exact"/>
        <w:ind w:firstLineChars="0"/>
        <w:rPr>
          <w:rFonts w:ascii="仿宋" w:hAnsi="仿宋" w:eastAsia="仿宋" w:cs="仿宋_GB2312"/>
          <w:sz w:val="32"/>
          <w:szCs w:val="32"/>
        </w:rPr>
      </w:pPr>
      <w:r>
        <w:rPr>
          <w:rFonts w:ascii="仿宋" w:hAnsi="仿宋" w:eastAsia="仿宋" w:cs="仿宋_GB2312"/>
          <w:sz w:val="32"/>
          <w:szCs w:val="32"/>
        </w:rPr>
        <w:t>机构组成</w:t>
      </w:r>
    </w:p>
    <w:p>
      <w:pPr>
        <w:pStyle w:val="25"/>
        <w:spacing w:before="93"/>
        <w:ind w:left="360" w:firstLine="0" w:firstLineChars="0"/>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1、指挥中心</w:t>
      </w:r>
      <w:r>
        <w:rPr>
          <w:rFonts w:hint="eastAsia" w:ascii="仿宋_GB2312" w:hAnsi="Calibri" w:eastAsia="仿宋_GB2312" w:cs="仿宋"/>
          <w:color w:val="000000"/>
          <w:kern w:val="0"/>
          <w:sz w:val="32"/>
          <w:szCs w:val="32"/>
        </w:rPr>
        <w:br w:type="textWrapping"/>
      </w:r>
      <w:r>
        <w:rPr>
          <w:rFonts w:hint="eastAsia" w:ascii="仿宋_GB2312" w:hAnsi="Calibri" w:eastAsia="仿宋_GB2312" w:cs="仿宋"/>
          <w:color w:val="000000"/>
          <w:kern w:val="0"/>
          <w:sz w:val="32"/>
          <w:szCs w:val="32"/>
        </w:rPr>
        <w:t>2、国内安全保卫大队；</w:t>
      </w:r>
      <w:r>
        <w:rPr>
          <w:rFonts w:hint="eastAsia" w:ascii="仿宋_GB2312" w:hAnsi="Calibri" w:eastAsia="仿宋_GB2312" w:cs="仿宋"/>
          <w:color w:val="000000"/>
          <w:kern w:val="0"/>
          <w:sz w:val="32"/>
          <w:szCs w:val="32"/>
        </w:rPr>
        <w:br w:type="textWrapping"/>
      </w:r>
      <w:r>
        <w:rPr>
          <w:rFonts w:hint="eastAsia" w:ascii="仿宋_GB2312" w:hAnsi="Calibri" w:eastAsia="仿宋_GB2312" w:cs="仿宋"/>
          <w:color w:val="000000"/>
          <w:kern w:val="0"/>
          <w:sz w:val="32"/>
          <w:szCs w:val="32"/>
        </w:rPr>
        <w:t>3、刑事侦查大队</w:t>
      </w:r>
      <w:r>
        <w:rPr>
          <w:rFonts w:hint="eastAsia" w:ascii="仿宋_GB2312" w:hAnsi="Calibri" w:eastAsia="仿宋_GB2312" w:cs="仿宋"/>
          <w:color w:val="000000"/>
          <w:kern w:val="0"/>
          <w:sz w:val="32"/>
          <w:szCs w:val="32"/>
        </w:rPr>
        <w:br w:type="textWrapping"/>
      </w:r>
      <w:r>
        <w:rPr>
          <w:rFonts w:hint="eastAsia" w:ascii="仿宋_GB2312" w:hAnsi="Calibri" w:eastAsia="仿宋_GB2312" w:cs="仿宋"/>
          <w:color w:val="000000"/>
          <w:kern w:val="0"/>
          <w:sz w:val="32"/>
          <w:szCs w:val="32"/>
        </w:rPr>
        <w:t>4、治安管理大队</w:t>
      </w:r>
    </w:p>
    <w:p>
      <w:pPr>
        <w:pStyle w:val="25"/>
        <w:spacing w:before="93"/>
        <w:ind w:left="360" w:firstLine="0" w:firstLineChars="0"/>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5、交通管理大队。。</w:t>
      </w:r>
      <w:r>
        <w:rPr>
          <w:rFonts w:hint="eastAsia" w:ascii="仿宋_GB2312" w:hAnsi="Calibri" w:eastAsia="仿宋_GB2312" w:cs="仿宋"/>
          <w:color w:val="000000"/>
          <w:kern w:val="0"/>
          <w:sz w:val="32"/>
          <w:szCs w:val="32"/>
        </w:rPr>
        <w:br w:type="textWrapping"/>
      </w:r>
      <w:r>
        <w:rPr>
          <w:rFonts w:hint="eastAsia" w:ascii="仿宋_GB2312" w:hAnsi="Calibri" w:eastAsia="仿宋_GB2312" w:cs="仿宋"/>
          <w:color w:val="000000"/>
          <w:kern w:val="0"/>
          <w:sz w:val="32"/>
          <w:szCs w:val="32"/>
        </w:rPr>
        <w:t>6、政工监督室</w:t>
      </w:r>
      <w:r>
        <w:rPr>
          <w:rFonts w:hint="eastAsia" w:ascii="仿宋_GB2312" w:hAnsi="Calibri" w:eastAsia="仿宋_GB2312" w:cs="仿宋"/>
          <w:color w:val="000000"/>
          <w:kern w:val="0"/>
          <w:sz w:val="32"/>
          <w:szCs w:val="32"/>
        </w:rPr>
        <w:br w:type="textWrapping"/>
      </w:r>
      <w:r>
        <w:rPr>
          <w:rFonts w:hint="eastAsia" w:ascii="仿宋_GB2312" w:hAnsi="Calibri" w:eastAsia="仿宋_GB2312" w:cs="仿宋"/>
          <w:color w:val="000000"/>
          <w:kern w:val="0"/>
          <w:sz w:val="32"/>
          <w:szCs w:val="32"/>
        </w:rPr>
        <w:t>7、法制室</w:t>
      </w:r>
      <w:r>
        <w:rPr>
          <w:rFonts w:hint="eastAsia" w:ascii="仿宋_GB2312" w:hAnsi="Calibri" w:eastAsia="仿宋_GB2312" w:cs="仿宋"/>
          <w:color w:val="000000"/>
          <w:kern w:val="0"/>
          <w:sz w:val="32"/>
          <w:szCs w:val="32"/>
        </w:rPr>
        <w:br w:type="textWrapping"/>
      </w:r>
      <w:r>
        <w:rPr>
          <w:rFonts w:hint="eastAsia" w:ascii="仿宋_GB2312" w:hAnsi="Calibri" w:eastAsia="仿宋_GB2312" w:cs="仿宋"/>
          <w:color w:val="000000"/>
          <w:kern w:val="0"/>
          <w:sz w:val="32"/>
          <w:szCs w:val="32"/>
        </w:rPr>
        <w:t>8、警务保障室</w:t>
      </w:r>
    </w:p>
    <w:p>
      <w:pPr>
        <w:pStyle w:val="25"/>
        <w:spacing w:before="93"/>
        <w:ind w:left="360" w:firstLine="0" w:firstLineChars="0"/>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9、网安大队</w:t>
      </w:r>
    </w:p>
    <w:p>
      <w:pPr>
        <w:pStyle w:val="25"/>
        <w:spacing w:before="93"/>
        <w:ind w:left="360" w:firstLine="0" w:firstLineChars="0"/>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10.纪委监督室</w:t>
      </w:r>
    </w:p>
    <w:p>
      <w:pPr>
        <w:pStyle w:val="25"/>
        <w:spacing w:before="93"/>
        <w:ind w:left="360" w:firstLine="0" w:firstLineChars="0"/>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11.看守所</w:t>
      </w:r>
    </w:p>
    <w:p>
      <w:pPr>
        <w:pStyle w:val="25"/>
        <w:spacing w:before="93"/>
        <w:ind w:left="360" w:firstLine="0" w:firstLineChars="0"/>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12.乡镇13个派出所</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（二）机构职能</w:t>
      </w:r>
    </w:p>
    <w:p>
      <w:pPr>
        <w:pStyle w:val="31"/>
        <w:numPr>
          <w:ilvl w:val="0"/>
          <w:numId w:val="7"/>
        </w:numPr>
        <w:shd w:val="clear" w:color="auto" w:fill="FFFFFF"/>
        <w:rPr>
          <w:rFonts w:ascii="仿宋_GB2312" w:hAnsi="Calibri" w:eastAsia="仿宋_GB2312" w:cs="仿宋"/>
          <w:color w:val="000000"/>
          <w:sz w:val="32"/>
          <w:szCs w:val="32"/>
        </w:rPr>
      </w:pPr>
      <w:r>
        <w:rPr>
          <w:rFonts w:hint="eastAsia" w:ascii="仿宋_GB2312" w:hAnsi="Calibri" w:eastAsia="仿宋_GB2312" w:cs="仿宋"/>
          <w:color w:val="000000"/>
          <w:sz w:val="32"/>
          <w:szCs w:val="32"/>
        </w:rPr>
        <w:t>依法预防、制止和惩治违法犯罪活动,维护国家安全,维护社会治安秩序,掌握影响社会稳定、危害国家安全和社会治安的情况并提出对策</w:t>
      </w:r>
    </w:p>
    <w:p>
      <w:pPr>
        <w:pStyle w:val="31"/>
        <w:numPr>
          <w:ilvl w:val="0"/>
          <w:numId w:val="7"/>
        </w:numPr>
        <w:shd w:val="clear" w:color="auto" w:fill="FFFFFF"/>
        <w:rPr>
          <w:rFonts w:ascii="仿宋_GB2312" w:hAnsi="Calibri" w:eastAsia="仿宋_GB2312" w:cs="仿宋"/>
          <w:color w:val="000000"/>
          <w:sz w:val="32"/>
          <w:szCs w:val="32"/>
        </w:rPr>
      </w:pPr>
      <w:r>
        <w:rPr>
          <w:rFonts w:hint="eastAsia" w:ascii="仿宋_GB2312" w:hAnsi="Calibri" w:eastAsia="仿宋_GB2312" w:cs="仿宋"/>
          <w:color w:val="000000"/>
          <w:sz w:val="32"/>
          <w:szCs w:val="32"/>
        </w:rPr>
        <w:t>侦办刑事犯罪案件、危害国家安全的犯罪案件,负责侦办涉及全县的重大经济犯罪案件。</w:t>
      </w:r>
    </w:p>
    <w:p>
      <w:pPr>
        <w:pStyle w:val="31"/>
        <w:numPr>
          <w:ilvl w:val="0"/>
          <w:numId w:val="7"/>
        </w:numPr>
        <w:shd w:val="clear" w:color="auto" w:fill="FFFFFF"/>
        <w:rPr>
          <w:rFonts w:ascii="仿宋_GB2312" w:hAnsi="Calibri" w:eastAsia="仿宋_GB2312" w:cs="仿宋"/>
          <w:color w:val="000000"/>
          <w:sz w:val="32"/>
          <w:szCs w:val="32"/>
        </w:rPr>
      </w:pPr>
      <w:r>
        <w:rPr>
          <w:rFonts w:hint="eastAsia" w:ascii="仿宋_GB2312" w:hAnsi="Calibri" w:eastAsia="仿宋_GB2312" w:cs="仿宋"/>
          <w:color w:val="000000"/>
          <w:sz w:val="32"/>
          <w:szCs w:val="32"/>
        </w:rPr>
        <w:t>负责治安管理工作并承担相应责任。协调处置重大治安事件和群体性事件,依法管理户政、</w:t>
      </w:r>
    </w:p>
    <w:p>
      <w:pPr>
        <w:pStyle w:val="31"/>
        <w:shd w:val="clear" w:color="auto" w:fill="FFFFFF"/>
        <w:rPr>
          <w:rFonts w:ascii="仿宋_GB2312" w:hAnsi="Calibri" w:eastAsia="仿宋_GB2312" w:cs="仿宋"/>
          <w:color w:val="000000"/>
          <w:sz w:val="32"/>
          <w:szCs w:val="32"/>
        </w:rPr>
      </w:pPr>
      <w:r>
        <w:rPr>
          <w:rFonts w:hint="eastAsia" w:ascii="仿宋_GB2312" w:hAnsi="Calibri" w:eastAsia="仿宋_GB2312" w:cs="仿宋"/>
          <w:color w:val="000000"/>
          <w:sz w:val="32"/>
          <w:szCs w:val="32"/>
        </w:rPr>
        <w:t>4、依法管理枪支弹药、管制刀具、易燃易爆、剧毒、放射性等危险物品和特种行业。</w:t>
      </w:r>
    </w:p>
    <w:p>
      <w:pPr>
        <w:pStyle w:val="31"/>
        <w:numPr>
          <w:ilvl w:val="0"/>
          <w:numId w:val="8"/>
        </w:numPr>
        <w:shd w:val="clear" w:color="auto" w:fill="FFFFFF"/>
        <w:rPr>
          <w:rFonts w:ascii="仿宋_GB2312" w:hAnsi="Calibri" w:eastAsia="仿宋_GB2312" w:cs="仿宋"/>
          <w:color w:val="000000"/>
          <w:sz w:val="32"/>
          <w:szCs w:val="32"/>
        </w:rPr>
      </w:pPr>
      <w:r>
        <w:rPr>
          <w:rFonts w:hint="eastAsia" w:ascii="仿宋_GB2312" w:hAnsi="Calibri" w:eastAsia="仿宋_GB2312" w:cs="仿宋"/>
          <w:color w:val="000000"/>
          <w:sz w:val="32"/>
          <w:szCs w:val="32"/>
        </w:rPr>
        <w:t>负责全县道路交通安全管理工作并承担相应责任。维护全县道路交通安全和道路交通秩序,处理交通事故以及负责对机动车辆、驾驶人员的管理工作。</w:t>
      </w:r>
    </w:p>
    <w:p>
      <w:pPr>
        <w:pStyle w:val="31"/>
        <w:numPr>
          <w:ilvl w:val="0"/>
          <w:numId w:val="8"/>
        </w:numPr>
        <w:shd w:val="clear" w:color="auto" w:fill="FFFFFF"/>
        <w:rPr>
          <w:rFonts w:ascii="仿宋_GB2312" w:hAnsi="Calibri" w:eastAsia="仿宋_GB2312" w:cs="仿宋"/>
          <w:color w:val="000000"/>
          <w:sz w:val="32"/>
          <w:szCs w:val="32"/>
        </w:rPr>
      </w:pPr>
      <w:r>
        <w:rPr>
          <w:rFonts w:hint="eastAsia" w:ascii="仿宋_GB2312" w:hAnsi="Calibri" w:eastAsia="仿宋_GB2312" w:cs="仿宋"/>
          <w:color w:val="000000"/>
          <w:sz w:val="32"/>
          <w:szCs w:val="32"/>
        </w:rPr>
        <w:t>依法对涉毒案件进行侦查、打击工作,组织、指导禁毒宣传活动。</w:t>
      </w:r>
    </w:p>
    <w:p>
      <w:pPr>
        <w:pStyle w:val="31"/>
        <w:numPr>
          <w:ilvl w:val="0"/>
          <w:numId w:val="8"/>
        </w:numPr>
        <w:shd w:val="clear" w:color="auto" w:fill="FFFFFF"/>
        <w:rPr>
          <w:rFonts w:ascii="仿宋_GB2312" w:hAnsi="Calibri" w:eastAsia="仿宋_GB2312" w:cs="仿宋"/>
          <w:color w:val="000000"/>
          <w:sz w:val="32"/>
          <w:szCs w:val="32"/>
        </w:rPr>
      </w:pPr>
      <w:r>
        <w:rPr>
          <w:rFonts w:hint="eastAsia" w:ascii="仿宋_GB2312" w:hAnsi="Calibri" w:eastAsia="仿宋_GB2312" w:cs="仿宋"/>
          <w:color w:val="000000"/>
          <w:sz w:val="32"/>
          <w:szCs w:val="32"/>
        </w:rPr>
        <w:t>负责对公共信息网络的安全监察及保护工作。</w:t>
      </w:r>
    </w:p>
    <w:p>
      <w:pPr>
        <w:pStyle w:val="31"/>
        <w:numPr>
          <w:ilvl w:val="0"/>
          <w:numId w:val="8"/>
        </w:numPr>
        <w:shd w:val="clear" w:color="auto" w:fill="FFFFFF"/>
        <w:rPr>
          <w:rFonts w:ascii="仿宋_GB2312" w:hAnsi="Calibri" w:eastAsia="仿宋_GB2312" w:cs="仿宋"/>
          <w:color w:val="000000"/>
          <w:sz w:val="32"/>
          <w:szCs w:val="32"/>
        </w:rPr>
      </w:pPr>
      <w:r>
        <w:rPr>
          <w:rFonts w:hint="eastAsia" w:ascii="仿宋_GB2312" w:hAnsi="Calibri" w:eastAsia="仿宋_GB2312" w:cs="仿宋"/>
          <w:color w:val="000000"/>
          <w:sz w:val="32"/>
          <w:szCs w:val="32"/>
        </w:rPr>
        <w:t>负责看守所、拘留所、强制隔离戒毒所、收教所的管理工作  。</w:t>
      </w:r>
    </w:p>
    <w:p>
      <w:pPr>
        <w:pStyle w:val="31"/>
        <w:numPr>
          <w:ilvl w:val="0"/>
          <w:numId w:val="6"/>
        </w:numPr>
        <w:shd w:val="clear" w:color="auto" w:fill="FFFFFF"/>
        <w:rPr>
          <w:rFonts w:ascii="仿宋" w:hAnsi="仿宋" w:eastAsia="仿宋" w:cs="仿宋_GB2312"/>
          <w:sz w:val="32"/>
          <w:szCs w:val="32"/>
        </w:rPr>
      </w:pPr>
      <w:r>
        <w:rPr>
          <w:rFonts w:ascii="仿宋" w:hAnsi="仿宋" w:eastAsia="仿宋" w:cs="仿宋_GB2312"/>
          <w:sz w:val="32"/>
          <w:szCs w:val="32"/>
        </w:rPr>
        <w:t>人员概况</w:t>
      </w:r>
    </w:p>
    <w:p>
      <w:pPr>
        <w:pStyle w:val="31"/>
        <w:shd w:val="clear" w:color="auto" w:fill="FFFFFF"/>
        <w:ind w:left="640" w:leftChars="305" w:firstLine="480" w:firstLineChars="150"/>
        <w:rPr>
          <w:rFonts w:ascii="仿宋" w:hAnsi="仿宋" w:eastAsia="仿宋" w:cs="仿宋_GB2312"/>
          <w:sz w:val="32"/>
          <w:szCs w:val="32"/>
        </w:rPr>
      </w:pPr>
      <w:r>
        <w:rPr>
          <w:rFonts w:hint="eastAsia" w:ascii="仿宋_GB2312" w:hAnsi="Calibri" w:eastAsia="仿宋_GB2312" w:cs="仿宋"/>
          <w:color w:val="000000"/>
          <w:sz w:val="32"/>
          <w:szCs w:val="32"/>
        </w:rPr>
        <w:t>壤塘县公安局政法编制155名，工勤编制8名，现实有在职干警118人，工勤4人，辅警33人。</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二、部门财政资金收支情况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（一）部门财政资金收入情况</w:t>
      </w:r>
    </w:p>
    <w:p>
      <w:pPr>
        <w:spacing w:line="560" w:lineRule="exact"/>
        <w:ind w:firstLine="640" w:firstLineChars="200"/>
        <w:rPr>
          <w:rFonts w:ascii="仿宋" w:hAnsi="仿宋" w:eastAsia="仿宋" w:cs="仿宋_GB2312"/>
          <w:sz w:val="32"/>
          <w:szCs w:val="32"/>
        </w:rPr>
      </w:pPr>
      <w:r>
        <w:rPr>
          <w:rFonts w:hint="eastAsia" w:ascii="仿宋_GB2312" w:hAnsi="仿宋_GB2312" w:eastAsia="仿宋_GB2312" w:cs="仿宋_GB2312"/>
          <w:sz w:val="32"/>
          <w:szCs w:val="32"/>
        </w:rPr>
        <w:t>2018年度，我局财政资金收入3564.14万元，其中：一般公共服务支出收入3.44万元，公共安全支出收入3127.22万元，社会保障和就业支出收入104.31万元，医疗卫生与计划生育支出收入128.63万元，住房保障支出收入200.53万元。</w:t>
      </w:r>
    </w:p>
    <w:p>
      <w:pPr>
        <w:pStyle w:val="25"/>
        <w:numPr>
          <w:ilvl w:val="0"/>
          <w:numId w:val="6"/>
        </w:numPr>
        <w:spacing w:line="580" w:lineRule="exact"/>
        <w:ind w:firstLineChars="0"/>
        <w:rPr>
          <w:rFonts w:ascii="仿宋" w:hAnsi="仿宋" w:eastAsia="仿宋" w:cs="仿宋_GB2312"/>
          <w:sz w:val="32"/>
          <w:szCs w:val="32"/>
        </w:rPr>
      </w:pPr>
      <w:r>
        <w:rPr>
          <w:rFonts w:ascii="仿宋" w:hAnsi="仿宋" w:eastAsia="仿宋" w:cs="仿宋_GB2312"/>
          <w:sz w:val="32"/>
          <w:szCs w:val="32"/>
        </w:rPr>
        <w:t>部门财政资金支出情况</w:t>
      </w:r>
    </w:p>
    <w:p>
      <w:pPr>
        <w:spacing w:line="560" w:lineRule="exact"/>
        <w:ind w:left="640" w:leftChars="305" w:firstLine="480" w:firstLineChars="150"/>
        <w:rPr>
          <w:rFonts w:ascii="仿宋" w:hAnsi="仿宋" w:eastAsia="仿宋" w:cs="仿宋_GB2312"/>
          <w:sz w:val="32"/>
          <w:szCs w:val="32"/>
        </w:rPr>
      </w:pPr>
      <w:r>
        <w:rPr>
          <w:rFonts w:hint="eastAsia" w:ascii="仿宋_GB2312" w:hAnsi="仿宋_GB2312" w:eastAsia="仿宋_GB2312" w:cs="仿宋_GB2312"/>
          <w:sz w:val="32"/>
          <w:szCs w:val="32"/>
        </w:rPr>
        <w:t>2018年度，我局财政资金支出4455.57万元，其中：一般公共服务支出3.44万元，公共安全支出3757.79万元，社会保障和就业支出365.18万元，医疗卫生与计划生育支出128.63万元，住房保障支出200.53万元。</w:t>
      </w:r>
    </w:p>
    <w:p>
      <w:pPr>
        <w:pStyle w:val="25"/>
        <w:spacing w:line="580" w:lineRule="exact"/>
        <w:ind w:left="1720" w:firstLine="0" w:firstLineChars="0"/>
        <w:rPr>
          <w:rFonts w:ascii="仿宋" w:hAnsi="仿宋" w:eastAsia="仿宋" w:cs="仿宋_GB2312"/>
          <w:sz w:val="32"/>
          <w:szCs w:val="32"/>
        </w:rPr>
      </w:pP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三、部门整体预算绩效管理情况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（一）部门预算管理</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我局按照财政要求及时准确、保质保量编报财政预决算、绩效目标报表。根据我局工作实际，建立各项工作制度，实施内部监督和控制，并在工作中严格要求遵守规章制度，强化控制作用，保证了会计工作的真实性、完整性以及单位财产的安全，加强了对本单位财产物资的监督和管理，杜绝了各种漏洞的发生。</w:t>
      </w:r>
    </w:p>
    <w:p>
      <w:pPr>
        <w:spacing w:line="580" w:lineRule="exact"/>
        <w:ind w:firstLine="640" w:firstLineChars="200"/>
        <w:rPr>
          <w:rFonts w:ascii="仿宋_GB2312" w:hAnsi="仿宋_GB2312" w:eastAsia="仿宋_GB2312" w:cs="仿宋_GB2312"/>
          <w:color w:val="000000"/>
          <w:sz w:val="32"/>
          <w:szCs w:val="32"/>
        </w:rPr>
      </w:pPr>
      <w:r>
        <w:rPr>
          <w:rFonts w:ascii="仿宋" w:hAnsi="仿宋" w:eastAsia="仿宋" w:cs="仿宋_GB2312"/>
          <w:sz w:val="32"/>
          <w:szCs w:val="32"/>
        </w:rPr>
        <w:t>（二）专项预算管理</w:t>
      </w:r>
    </w:p>
    <w:p>
      <w:pPr>
        <w:spacing w:line="560" w:lineRule="exact"/>
        <w:ind w:firstLine="640" w:firstLineChars="200"/>
        <w:rPr>
          <w:rFonts w:ascii="仿宋" w:hAnsi="仿宋" w:eastAsia="仿宋" w:cs="仿宋_GB2312"/>
          <w:sz w:val="32"/>
          <w:szCs w:val="32"/>
        </w:rPr>
      </w:pPr>
      <w:r>
        <w:rPr>
          <w:rFonts w:hint="eastAsia" w:ascii="仿宋_GB2312" w:hAnsi="仿宋_GB2312" w:eastAsia="仿宋_GB2312" w:cs="仿宋_GB2312"/>
          <w:sz w:val="32"/>
          <w:szCs w:val="32"/>
        </w:rPr>
        <w:t>将下达到我局的中央转移支付资金管好、用好，切实为公安事业的发展提供充分有力的资金保障，我局严格按照《关于加强政法经费保障工作的意见》、《政法经费分类保障办法（试行）》，结合《壤塘县人民政府关于专项资金使用管理办法》的规定，加强专项资金监管力度，切实做到专款专用。</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（三）结果应用情况。</w:t>
      </w:r>
    </w:p>
    <w:p>
      <w:pPr>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我局根据部门整体支出绩效评价指标体系对部门预算绩效管理工作开展情况进行自评。从年初指标细则到指标完成情况，进行全面自查及自评，通过落实目标明确、目标合理、工作可量化等各项要求，保障了我局工作高效运行，各项工作按照计划有序实施，完成数量及质量均得到有效控制；工作实施所需的经费均得到充分保障，公安工作质量显著提升。</w:t>
      </w:r>
    </w:p>
    <w:p>
      <w:pPr>
        <w:pStyle w:val="25"/>
        <w:numPr>
          <w:ilvl w:val="0"/>
          <w:numId w:val="1"/>
        </w:numPr>
        <w:spacing w:line="580" w:lineRule="exact"/>
        <w:ind w:firstLineChars="0"/>
        <w:rPr>
          <w:rFonts w:ascii="黑体" w:hAnsi="黑体" w:eastAsia="黑体" w:cs="黑体"/>
          <w:sz w:val="32"/>
          <w:szCs w:val="32"/>
        </w:rPr>
      </w:pPr>
      <w:r>
        <w:rPr>
          <w:rFonts w:ascii="黑体" w:hAnsi="黑体" w:eastAsia="黑体" w:cs="黑体"/>
          <w:sz w:val="32"/>
          <w:szCs w:val="32"/>
        </w:rPr>
        <w:t>评价结论</w:t>
      </w:r>
    </w:p>
    <w:p>
      <w:pPr>
        <w:spacing w:line="560" w:lineRule="exact"/>
        <w:ind w:left="567"/>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我局部门预算执行情况良好，无不良记录及违规违纪行为。</w:t>
      </w:r>
    </w:p>
    <w:p>
      <w:pPr>
        <w:spacing w:line="580" w:lineRule="exact"/>
        <w:ind w:left="640"/>
        <w:rPr>
          <w:rFonts w:ascii="黑体" w:hAnsi="黑体" w:eastAsia="黑体" w:cs="黑体"/>
          <w:sz w:val="32"/>
          <w:szCs w:val="32"/>
        </w:rPr>
      </w:pPr>
    </w:p>
    <w:p>
      <w:pPr>
        <w:pStyle w:val="25"/>
        <w:numPr>
          <w:ilvl w:val="0"/>
          <w:numId w:val="9"/>
        </w:numPr>
        <w:spacing w:line="580" w:lineRule="exact"/>
        <w:ind w:firstLineChars="0"/>
        <w:rPr>
          <w:rFonts w:ascii="仿宋" w:hAnsi="仿宋" w:eastAsia="仿宋" w:cs="仿宋_GB2312"/>
          <w:sz w:val="32"/>
          <w:szCs w:val="32"/>
        </w:rPr>
      </w:pPr>
      <w:r>
        <w:rPr>
          <w:rFonts w:ascii="仿宋" w:hAnsi="仿宋" w:eastAsia="仿宋" w:cs="仿宋_GB2312"/>
          <w:sz w:val="32"/>
          <w:szCs w:val="32"/>
        </w:rPr>
        <w:t>存在问题</w:t>
      </w:r>
    </w:p>
    <w:p>
      <w:pPr>
        <w:spacing w:line="560" w:lineRule="exact"/>
        <w:ind w:left="640"/>
        <w:rPr>
          <w:rFonts w:ascii="仿宋_GB2312" w:hAnsi="仿宋_GB2312" w:eastAsia="仿宋_GB2312" w:cs="仿宋_GB2312"/>
          <w:color w:val="000000"/>
          <w:kern w:val="0"/>
          <w:sz w:val="32"/>
          <w:szCs w:val="32"/>
        </w:rPr>
      </w:pPr>
      <w:r>
        <w:rPr>
          <w:rFonts w:hint="eastAsia" w:ascii="仿宋_GB2312" w:hAnsi="Calibri" w:eastAsia="仿宋_GB2312" w:cs="仿宋"/>
          <w:color w:val="000000"/>
          <w:sz w:val="32"/>
          <w:szCs w:val="32"/>
        </w:rPr>
        <w:t>财务人员业务专业水平有待提高</w:t>
      </w:r>
      <w:r>
        <w:rPr>
          <w:rFonts w:hint="eastAsia" w:ascii="仿宋_GB2312" w:hAnsi="仿宋_GB2312" w:eastAsia="仿宋_GB2312" w:cs="仿宋_GB2312"/>
          <w:color w:val="000000"/>
          <w:kern w:val="0"/>
          <w:sz w:val="32"/>
          <w:szCs w:val="32"/>
        </w:rPr>
        <w:t>。</w:t>
      </w:r>
    </w:p>
    <w:p>
      <w:pPr>
        <w:pStyle w:val="25"/>
        <w:numPr>
          <w:ilvl w:val="0"/>
          <w:numId w:val="9"/>
        </w:numPr>
        <w:spacing w:line="580" w:lineRule="exact"/>
        <w:ind w:firstLineChars="0"/>
        <w:rPr>
          <w:rFonts w:ascii="仿宋" w:hAnsi="仿宋" w:eastAsia="仿宋" w:cs="仿宋_GB2312"/>
          <w:sz w:val="32"/>
          <w:szCs w:val="32"/>
        </w:rPr>
      </w:pPr>
      <w:r>
        <w:rPr>
          <w:rFonts w:ascii="仿宋" w:hAnsi="仿宋" w:eastAsia="仿宋" w:cs="仿宋_GB2312"/>
          <w:sz w:val="32"/>
          <w:szCs w:val="32"/>
        </w:rPr>
        <w:t>改进建议</w:t>
      </w:r>
    </w:p>
    <w:p>
      <w:pPr>
        <w:spacing w:line="560" w:lineRule="exact"/>
        <w:ind w:left="640"/>
        <w:rPr>
          <w:rFonts w:ascii="仿宋_GB2312" w:hAnsi="Calibri" w:eastAsia="仿宋_GB2312" w:cs="仿宋"/>
          <w:color w:val="000000"/>
          <w:sz w:val="32"/>
          <w:szCs w:val="32"/>
        </w:rPr>
      </w:pPr>
      <w:r>
        <w:rPr>
          <w:rFonts w:hint="eastAsia" w:ascii="仿宋_GB2312" w:hAnsi="Calibri" w:eastAsia="仿宋_GB2312" w:cs="仿宋"/>
          <w:color w:val="000000"/>
          <w:sz w:val="32"/>
          <w:szCs w:val="32"/>
        </w:rPr>
        <w:t>一是抓好内部控制制度，完善财务管理机制。二是加强管理，确保经费发挥最大效益。三是积极协调，争取支持，加大公安经费投入。四是明确职责，抓好固定资产日常管理工作的落实。</w:t>
      </w:r>
    </w:p>
    <w:p>
      <w:pPr>
        <w:pStyle w:val="25"/>
        <w:spacing w:line="580" w:lineRule="exact"/>
        <w:ind w:left="1720" w:firstLine="0" w:firstLineChars="0"/>
        <w:rPr>
          <w:rFonts w:ascii="仿宋" w:hAnsi="仿宋" w:eastAsia="仿宋" w:cs="仿宋_GB2312"/>
          <w:sz w:val="32"/>
          <w:szCs w:val="32"/>
        </w:rPr>
      </w:pPr>
    </w:p>
    <w:p>
      <w:pPr>
        <w:spacing w:line="580" w:lineRule="exact"/>
        <w:ind w:firstLine="640" w:firstLineChars="200"/>
        <w:rPr>
          <w:rFonts w:ascii="仿宋_GB2312" w:hAnsi="仿宋_GB2312" w:eastAsia="仿宋_GB2312" w:cs="仿宋_GB2312"/>
          <w:sz w:val="32"/>
          <w:szCs w:val="32"/>
        </w:rPr>
      </w:pP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pStyle w:val="3"/>
        <w:rPr>
          <w:rStyle w:val="26"/>
          <w:rFonts w:ascii="仿宋" w:hAnsi="仿宋" w:eastAsia="仿宋"/>
          <w:b w:val="0"/>
          <w:bCs w:val="0"/>
          <w:sz w:val="32"/>
          <w:szCs w:val="32"/>
        </w:rPr>
      </w:pPr>
      <w:bookmarkStart w:id="61" w:name="_Toc15396617"/>
      <w:r>
        <w:rPr>
          <w:rStyle w:val="26"/>
          <w:rFonts w:hint="eastAsia" w:ascii="仿宋" w:hAnsi="仿宋" w:eastAsia="仿宋"/>
          <w:b w:val="0"/>
          <w:bCs w:val="0"/>
          <w:sz w:val="32"/>
          <w:szCs w:val="32"/>
        </w:rPr>
        <w:t>附件2</w:t>
      </w:r>
      <w:bookmarkEnd w:id="61"/>
    </w:p>
    <w:p>
      <w:pPr>
        <w:spacing w:line="580" w:lineRule="exact"/>
        <w:jc w:val="center"/>
        <w:rPr>
          <w:rFonts w:ascii="黑体" w:hAnsi="黑体" w:eastAsia="黑体" w:cs="方正小标宋简体"/>
          <w:sz w:val="44"/>
          <w:szCs w:val="44"/>
        </w:rPr>
      </w:pPr>
      <w:r>
        <w:rPr>
          <w:rFonts w:hint="eastAsia" w:ascii="黑体" w:hAnsi="黑体" w:eastAsia="黑体" w:cs="方正小标宋简体"/>
          <w:sz w:val="44"/>
          <w:szCs w:val="44"/>
        </w:rPr>
        <w:t>2018年壤塘县公安局</w:t>
      </w:r>
    </w:p>
    <w:p>
      <w:pPr>
        <w:spacing w:line="580" w:lineRule="exact"/>
        <w:jc w:val="center"/>
        <w:rPr>
          <w:rFonts w:ascii="黑体" w:hAnsi="黑体" w:eastAsia="黑体" w:cs="方正小标宋简体"/>
          <w:sz w:val="44"/>
          <w:szCs w:val="44"/>
        </w:rPr>
      </w:pPr>
      <w:r>
        <w:rPr>
          <w:rFonts w:hint="eastAsia" w:ascii="黑体" w:hAnsi="黑体" w:eastAsia="黑体" w:cs="方正小标宋简体"/>
          <w:sz w:val="44"/>
          <w:szCs w:val="44"/>
        </w:rPr>
        <w:t>项目支出绩效评价报告</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w:t>
      </w:r>
      <w:r>
        <w:rPr>
          <w:rFonts w:ascii="仿宋" w:hAnsi="仿宋" w:eastAsia="仿宋" w:cs="仿宋_GB2312"/>
          <w:sz w:val="32"/>
          <w:szCs w:val="32"/>
        </w:rPr>
        <w:t>、评价工作开展及项目情况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2018年我局中央和省级政法转移支付资金共计1096.15万元，实际总支出1263.29万元，包括往年结转的资金。中央和省级政法转移支付资金</w:t>
      </w:r>
      <w:r>
        <w:rPr>
          <w:rFonts w:hint="eastAsia" w:ascii="仿宋_GB2312" w:hAnsi="仿宋_GB2312" w:eastAsia="仿宋_GB2312" w:cs="仿宋_GB2312"/>
          <w:sz w:val="32"/>
          <w:szCs w:val="32"/>
        </w:rPr>
        <w:t>保障各项公安业务工作的开展，更好地发挥公安机关的法律监督职能作用</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w:t>
      </w:r>
      <w:r>
        <w:rPr>
          <w:rFonts w:ascii="仿宋" w:hAnsi="仿宋" w:eastAsia="仿宋" w:cs="仿宋_GB2312"/>
          <w:sz w:val="32"/>
          <w:szCs w:val="32"/>
        </w:rPr>
        <w:t>、评价结论及绩效分析</w:t>
      </w:r>
    </w:p>
    <w:p>
      <w:pPr>
        <w:spacing w:line="560" w:lineRule="exact"/>
        <w:ind w:firstLine="640" w:firstLineChars="200"/>
        <w:rPr>
          <w:rFonts w:ascii="仿宋" w:hAnsi="仿宋" w:eastAsia="仿宋" w:cs="仿宋_GB2312"/>
          <w:sz w:val="32"/>
          <w:szCs w:val="32"/>
        </w:rPr>
      </w:pPr>
      <w:r>
        <w:rPr>
          <w:rFonts w:ascii="仿宋" w:hAnsi="仿宋" w:eastAsia="仿宋" w:cs="仿宋_GB2312"/>
          <w:sz w:val="32"/>
          <w:szCs w:val="32"/>
        </w:rPr>
        <w:t>（一）评价结论</w:t>
      </w:r>
    </w:p>
    <w:p>
      <w:pPr>
        <w:spacing w:line="560" w:lineRule="exact"/>
        <w:ind w:firstLine="640" w:firstLineChars="200"/>
        <w:rPr>
          <w:rFonts w:ascii="仿宋" w:hAnsi="仿宋" w:eastAsia="仿宋" w:cs="仿宋_GB2312"/>
          <w:sz w:val="32"/>
          <w:szCs w:val="32"/>
        </w:rPr>
      </w:pPr>
      <w:r>
        <w:rPr>
          <w:rFonts w:hint="eastAsia" w:ascii="仿宋_GB2312" w:hAnsi="仿宋_GB2312" w:eastAsia="仿宋_GB2312" w:cs="仿宋_GB2312"/>
          <w:color w:val="000000"/>
          <w:kern w:val="0"/>
          <w:sz w:val="32"/>
          <w:szCs w:val="32"/>
        </w:rPr>
        <w:t>我局中央和省级政法转移支付资金项目超标完成，不断提升检务保障水平，努力实现工作保障制度化、装备现代化、管理科学化、队伍专业化，为各项公安业务开展提供有力的物质保障。</w:t>
      </w:r>
    </w:p>
    <w:p>
      <w:pPr>
        <w:pStyle w:val="25"/>
        <w:numPr>
          <w:ilvl w:val="0"/>
          <w:numId w:val="9"/>
        </w:numPr>
        <w:spacing w:line="560" w:lineRule="exact"/>
        <w:ind w:firstLineChars="0"/>
        <w:rPr>
          <w:rFonts w:ascii="仿宋" w:hAnsi="仿宋" w:eastAsia="仿宋" w:cs="仿宋_GB2312"/>
          <w:sz w:val="32"/>
          <w:szCs w:val="32"/>
        </w:rPr>
      </w:pPr>
      <w:r>
        <w:rPr>
          <w:rFonts w:ascii="仿宋" w:hAnsi="仿宋" w:eastAsia="仿宋" w:cs="仿宋_GB2312"/>
          <w:sz w:val="32"/>
          <w:szCs w:val="32"/>
        </w:rPr>
        <w:t>绩效分析</w:t>
      </w:r>
    </w:p>
    <w:p>
      <w:pPr>
        <w:spacing w:line="560" w:lineRule="exact"/>
        <w:ind w:firstLine="640" w:firstLineChars="200"/>
        <w:rPr>
          <w:rFonts w:ascii="仿宋" w:hAnsi="仿宋" w:eastAsia="仿宋" w:cs="仿宋_GB2312"/>
          <w:sz w:val="32"/>
          <w:szCs w:val="32"/>
        </w:rPr>
      </w:pPr>
      <w:r>
        <w:rPr>
          <w:rFonts w:hint="eastAsia" w:ascii="仿宋_GB2312" w:hAnsi="仿宋_GB2312" w:eastAsia="仿宋_GB2312" w:cs="仿宋_GB2312"/>
          <w:color w:val="000000"/>
          <w:kern w:val="0"/>
          <w:sz w:val="32"/>
          <w:szCs w:val="32"/>
        </w:rPr>
        <w:t>2018年我局中央和省级政法转移支付资金共计1096.15万元，实际总支出1263.29万元</w:t>
      </w:r>
      <w:r>
        <w:rPr>
          <w:rFonts w:hint="eastAsia" w:ascii="仿宋" w:hAnsi="仿宋" w:eastAsia="仿宋" w:cs="仿宋_GB2312"/>
          <w:sz w:val="32"/>
          <w:szCs w:val="32"/>
        </w:rPr>
        <w:t>。</w:t>
      </w:r>
    </w:p>
    <w:p>
      <w:pPr>
        <w:numPr>
          <w:ilvl w:val="0"/>
          <w:numId w:val="10"/>
        </w:numPr>
        <w:spacing w:line="560" w:lineRule="exact"/>
        <w:ind w:firstLine="640" w:firstLineChars="200"/>
        <w:rPr>
          <w:rFonts w:ascii="仿宋_GB2312" w:eastAsia="仿宋_GB2312"/>
          <w:color w:val="000000"/>
          <w:kern w:val="0"/>
          <w:sz w:val="32"/>
          <w:szCs w:val="32"/>
          <w:lang w:val="zh-CN"/>
        </w:rPr>
      </w:pPr>
      <w:r>
        <w:rPr>
          <w:rFonts w:hint="eastAsia" w:ascii="仿宋_GB2312" w:eastAsia="仿宋_GB2312"/>
          <w:color w:val="000000"/>
          <w:kern w:val="0"/>
          <w:sz w:val="32"/>
          <w:szCs w:val="32"/>
          <w:lang w:val="zh-CN"/>
        </w:rPr>
        <w:t>项目财务管理情况</w:t>
      </w:r>
    </w:p>
    <w:p>
      <w:pPr>
        <w:spacing w:line="560" w:lineRule="exact"/>
        <w:ind w:firstLine="640" w:firstLineChars="200"/>
        <w:rPr>
          <w:rFonts w:ascii="仿宋" w:hAnsi="仿宋" w:eastAsia="仿宋" w:cs="仿宋_GB2312"/>
          <w:sz w:val="32"/>
          <w:szCs w:val="32"/>
        </w:rPr>
      </w:pPr>
      <w:r>
        <w:rPr>
          <w:rFonts w:hint="eastAsia" w:ascii="仿宋_GB2312" w:hAnsi="仿宋_GB2312" w:eastAsia="仿宋_GB2312" w:cs="仿宋_GB2312"/>
          <w:sz w:val="32"/>
          <w:szCs w:val="32"/>
        </w:rPr>
        <w:t>为将下达我局的中央转移支付资金管好、用好，切实为公安事业的发展提供充分有力的资金保障，我局严格按照《关于加强政法经费保障工作的意见》、《政法经费分类保障办法（试行）》，结合《壤塘县人民政府关于专项资金使用管理办法》的规定，加强专项资金监管力度，切实做到专款专用。</w:t>
      </w:r>
    </w:p>
    <w:p>
      <w:pPr>
        <w:spacing w:line="580" w:lineRule="exact"/>
        <w:ind w:firstLine="640" w:firstLineChars="200"/>
        <w:rPr>
          <w:rFonts w:ascii="仿宋" w:hAnsi="仿宋" w:eastAsia="仿宋" w:cs="仿宋_GB2312"/>
          <w:sz w:val="32"/>
          <w:szCs w:val="32"/>
        </w:rPr>
      </w:pP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1、项目绩效</w:t>
      </w:r>
    </w:p>
    <w:p>
      <w:pPr>
        <w:spacing w:line="560" w:lineRule="exact"/>
        <w:ind w:firstLine="640" w:firstLineChars="20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通过项目实施，公安工作经费得到充分保障，公安办公办案设备得到明显改善，我局内部各项工作平稳有序推进，为县经济发展保驾护航。</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w:t>
      </w:r>
      <w:r>
        <w:rPr>
          <w:rFonts w:ascii="仿宋" w:hAnsi="仿宋" w:eastAsia="仿宋" w:cs="仿宋_GB2312"/>
          <w:sz w:val="32"/>
          <w:szCs w:val="32"/>
        </w:rPr>
        <w:t>、存在主要问题</w:t>
      </w:r>
    </w:p>
    <w:p>
      <w:pPr>
        <w:spacing w:line="560" w:lineRule="exact"/>
        <w:ind w:firstLine="640" w:firstLineChars="200"/>
        <w:rPr>
          <w:rFonts w:ascii="仿宋" w:hAnsi="仿宋" w:eastAsia="仿宋" w:cs="仿宋_GB2312"/>
          <w:sz w:val="32"/>
          <w:szCs w:val="32"/>
        </w:rPr>
      </w:pPr>
      <w:r>
        <w:rPr>
          <w:rFonts w:hint="eastAsia" w:ascii="仿宋_GB2312" w:hAnsi="仿宋_GB2312" w:eastAsia="仿宋_GB2312" w:cs="仿宋_GB2312"/>
          <w:color w:val="000000"/>
          <w:sz w:val="32"/>
          <w:szCs w:val="32"/>
        </w:rPr>
        <w:t>首先我局办理的案件逐步增多。其次日益翻新的作案手段，要求充分运用计算机技术、信息管理技术和先进的通讯技术，改善办案、交通条件，增加快速反应能力。第三目前我县看守所尚未建成，异地办案为常态。</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四</w:t>
      </w:r>
      <w:r>
        <w:rPr>
          <w:rFonts w:ascii="仿宋" w:hAnsi="仿宋" w:eastAsia="仿宋" w:cs="仿宋_GB2312"/>
          <w:sz w:val="32"/>
          <w:szCs w:val="32"/>
        </w:rPr>
        <w:t>、相关措施建议</w:t>
      </w:r>
    </w:p>
    <w:p>
      <w:pPr>
        <w:spacing w:line="580" w:lineRule="exact"/>
        <w:ind w:firstLine="640" w:firstLineChars="200"/>
        <w:rPr>
          <w:rFonts w:ascii="仿宋_GB2312" w:hAnsi="仿宋_GB2312" w:eastAsia="仿宋_GB2312"/>
          <w:color w:val="000000"/>
        </w:rPr>
      </w:pPr>
      <w:r>
        <w:rPr>
          <w:rFonts w:hint="eastAsia" w:ascii="仿宋_GB2312" w:hAnsi="仿宋_GB2312" w:eastAsia="仿宋_GB2312" w:cs="仿宋_GB2312"/>
          <w:color w:val="000000"/>
          <w:sz w:val="32"/>
          <w:szCs w:val="32"/>
        </w:rPr>
        <w:t>加强内部监督制约，坚持财政经费统收统支，严格执行各项财经纪律，实行“全局一本帐，审批一支笔，建设一盘棋”，做到重大建设、重大项目开支由党组会研究决定，严把决算关。强化管理，按照“合理平衡、确保重点”的原则，降低成本，减少支出，厉行节约，精打细算，确保重点和急需，使有限的资金发挥出最大的效益。积极协调，争取支持，加大公安经费投入。加强与上级的协调，及时向上级汇报本级经费保障工作中遇到的困难，争取得到理解和支持，努力保障中央转移支付资金足额到位。积极争取党委领导和政府支持。争取年初预算专项经费按进度拨款，年中追加专项经费及时到位，做到专款专用。建立办理大案要案、重大工作部署和重要装备建设通报制度，使地方政府和财政部门了解公安机关的工作开展情况和实际困难。</w:t>
      </w:r>
    </w:p>
    <w:p>
      <w:pPr>
        <w:spacing w:line="600" w:lineRule="exact"/>
        <w:jc w:val="center"/>
        <w:outlineLvl w:val="0"/>
        <w:rPr>
          <w:rStyle w:val="26"/>
          <w:rFonts w:ascii="黑体" w:hAnsi="黑体" w:eastAsia="黑体"/>
          <w:b w:val="0"/>
        </w:rPr>
      </w:pPr>
      <w:bookmarkStart w:id="62" w:name="_Toc15396618"/>
      <w:r>
        <w:rPr>
          <w:rFonts w:hint="eastAsia" w:ascii="黑体" w:hAnsi="黑体" w:eastAsia="黑体"/>
          <w:color w:val="000000"/>
          <w:sz w:val="44"/>
          <w:szCs w:val="44"/>
        </w:rPr>
        <w:t>第</w:t>
      </w:r>
      <w:r>
        <w:rPr>
          <w:rStyle w:val="26"/>
          <w:rFonts w:hint="eastAsia" w:ascii="黑体" w:hAnsi="黑体" w:eastAsia="黑体"/>
          <w:b w:val="0"/>
        </w:rPr>
        <w:t>五部分 附表</w:t>
      </w:r>
      <w:bookmarkEnd w:id="58"/>
      <w:bookmarkEnd w:id="62"/>
    </w:p>
    <w:p>
      <w:pPr>
        <w:spacing w:line="600" w:lineRule="exact"/>
        <w:jc w:val="center"/>
        <w:outlineLvl w:val="0"/>
        <w:rPr>
          <w:rFonts w:ascii="仿宋" w:hAnsi="仿宋" w:eastAsia="仿宋"/>
          <w:b/>
          <w:color w:val="000000"/>
          <w:sz w:val="44"/>
          <w:szCs w:val="44"/>
        </w:rPr>
      </w:pPr>
    </w:p>
    <w:p>
      <w:pPr>
        <w:pStyle w:val="3"/>
        <w:rPr>
          <w:rFonts w:ascii="仿宋" w:hAnsi="仿宋" w:eastAsia="仿宋"/>
          <w:color w:val="000000"/>
        </w:rPr>
      </w:pPr>
      <w:bookmarkStart w:id="63" w:name="_Toc15396619"/>
      <w:r>
        <w:rPr>
          <w:rFonts w:hint="eastAsia" w:ascii="仿宋" w:hAnsi="仿宋" w:eastAsia="仿宋"/>
          <w:b w:val="0"/>
          <w:color w:val="000000"/>
        </w:rPr>
        <w:t>一、收</w:t>
      </w:r>
      <w:r>
        <w:rPr>
          <w:rStyle w:val="27"/>
          <w:rFonts w:hint="eastAsia" w:ascii="仿宋" w:hAnsi="仿宋" w:eastAsia="仿宋"/>
          <w:b w:val="0"/>
          <w:bCs w:val="0"/>
        </w:rPr>
        <w:t>入支出决算总表</w:t>
      </w:r>
      <w:bookmarkEnd w:id="63"/>
    </w:p>
    <w:p>
      <w:pPr>
        <w:pStyle w:val="3"/>
        <w:rPr>
          <w:rFonts w:ascii="仿宋" w:hAnsi="仿宋" w:eastAsia="仿宋"/>
          <w:color w:val="000000"/>
        </w:rPr>
      </w:pPr>
      <w:bookmarkStart w:id="64" w:name="_Toc15396620"/>
      <w:r>
        <w:rPr>
          <w:rFonts w:hint="eastAsia" w:ascii="仿宋" w:hAnsi="仿宋" w:eastAsia="仿宋"/>
          <w:b w:val="0"/>
          <w:color w:val="000000"/>
        </w:rPr>
        <w:t>二、收</w:t>
      </w:r>
      <w:r>
        <w:rPr>
          <w:rStyle w:val="27"/>
          <w:rFonts w:hint="eastAsia" w:ascii="仿宋" w:hAnsi="仿宋" w:eastAsia="仿宋"/>
          <w:b w:val="0"/>
          <w:bCs w:val="0"/>
        </w:rPr>
        <w:t>入总表</w:t>
      </w:r>
      <w:bookmarkEnd w:id="64"/>
    </w:p>
    <w:p>
      <w:pPr>
        <w:pStyle w:val="3"/>
        <w:rPr>
          <w:rFonts w:ascii="仿宋" w:hAnsi="仿宋" w:eastAsia="仿宋"/>
          <w:color w:val="000000"/>
        </w:rPr>
      </w:pPr>
      <w:bookmarkStart w:id="65" w:name="_Toc15396621"/>
      <w:r>
        <w:rPr>
          <w:rStyle w:val="27"/>
          <w:rFonts w:hint="eastAsia" w:ascii="仿宋" w:hAnsi="仿宋" w:eastAsia="仿宋"/>
          <w:b w:val="0"/>
          <w:bCs w:val="0"/>
        </w:rPr>
        <w:t>三、</w:t>
      </w:r>
      <w:r>
        <w:rPr>
          <w:rFonts w:hint="eastAsia" w:ascii="仿宋" w:hAnsi="仿宋" w:eastAsia="仿宋"/>
          <w:b w:val="0"/>
          <w:color w:val="000000"/>
        </w:rPr>
        <w:t>支</w:t>
      </w:r>
      <w:r>
        <w:rPr>
          <w:rStyle w:val="27"/>
          <w:rFonts w:hint="eastAsia" w:ascii="仿宋" w:hAnsi="仿宋" w:eastAsia="仿宋"/>
          <w:b w:val="0"/>
          <w:bCs w:val="0"/>
        </w:rPr>
        <w:t>出总表</w:t>
      </w:r>
      <w:bookmarkEnd w:id="65"/>
    </w:p>
    <w:p>
      <w:pPr>
        <w:pStyle w:val="3"/>
        <w:rPr>
          <w:rFonts w:ascii="仿宋" w:hAnsi="仿宋" w:eastAsia="仿宋"/>
          <w:b w:val="0"/>
          <w:color w:val="000000"/>
        </w:rPr>
      </w:pPr>
      <w:bookmarkStart w:id="66" w:name="_Toc15396622"/>
      <w:r>
        <w:rPr>
          <w:rStyle w:val="27"/>
          <w:rFonts w:hint="eastAsia" w:ascii="仿宋" w:hAnsi="仿宋" w:eastAsia="仿宋"/>
          <w:b w:val="0"/>
          <w:bCs w:val="0"/>
        </w:rPr>
        <w:t>四、</w:t>
      </w:r>
      <w:r>
        <w:rPr>
          <w:rFonts w:hint="eastAsia" w:ascii="仿宋" w:hAnsi="仿宋" w:eastAsia="仿宋"/>
          <w:b w:val="0"/>
          <w:color w:val="000000"/>
        </w:rPr>
        <w:t>财</w:t>
      </w:r>
      <w:r>
        <w:rPr>
          <w:rStyle w:val="27"/>
          <w:rFonts w:hint="eastAsia" w:ascii="仿宋" w:hAnsi="仿宋" w:eastAsia="仿宋"/>
          <w:b w:val="0"/>
          <w:bCs w:val="0"/>
        </w:rPr>
        <w:t>政拨款收入支出决算总表</w:t>
      </w:r>
      <w:bookmarkEnd w:id="66"/>
    </w:p>
    <w:p>
      <w:pPr>
        <w:pStyle w:val="3"/>
        <w:rPr>
          <w:rFonts w:ascii="仿宋" w:hAnsi="仿宋" w:eastAsia="仿宋"/>
          <w:color w:val="000000"/>
        </w:rPr>
      </w:pPr>
      <w:bookmarkStart w:id="67" w:name="_Toc15396623"/>
      <w:r>
        <w:rPr>
          <w:rStyle w:val="27"/>
          <w:rFonts w:hint="eastAsia" w:ascii="仿宋" w:hAnsi="仿宋" w:eastAsia="仿宋"/>
          <w:b w:val="0"/>
          <w:bCs w:val="0"/>
        </w:rPr>
        <w:t>五、</w:t>
      </w:r>
      <w:r>
        <w:rPr>
          <w:rFonts w:hint="eastAsia" w:ascii="仿宋" w:hAnsi="仿宋" w:eastAsia="仿宋"/>
          <w:b w:val="0"/>
          <w:color w:val="000000"/>
        </w:rPr>
        <w:t>财</w:t>
      </w:r>
      <w:r>
        <w:rPr>
          <w:rStyle w:val="27"/>
          <w:rFonts w:hint="eastAsia" w:ascii="仿宋" w:hAnsi="仿宋" w:eastAsia="仿宋"/>
          <w:b w:val="0"/>
          <w:bCs w:val="0"/>
        </w:rPr>
        <w:t>政拨款支出决算明细表（政府经济分类科目）</w:t>
      </w:r>
      <w:bookmarkEnd w:id="67"/>
    </w:p>
    <w:p>
      <w:pPr>
        <w:pStyle w:val="3"/>
        <w:rPr>
          <w:rFonts w:ascii="仿宋" w:hAnsi="仿宋" w:eastAsia="仿宋"/>
          <w:color w:val="000000"/>
        </w:rPr>
      </w:pPr>
      <w:bookmarkStart w:id="68" w:name="_Toc15396624"/>
      <w:r>
        <w:rPr>
          <w:rStyle w:val="27"/>
          <w:rFonts w:hint="eastAsia" w:ascii="仿宋" w:hAnsi="仿宋" w:eastAsia="仿宋"/>
          <w:b w:val="0"/>
          <w:bCs w:val="0"/>
        </w:rPr>
        <w:t>六、</w:t>
      </w:r>
      <w:r>
        <w:rPr>
          <w:rFonts w:hint="eastAsia" w:ascii="仿宋" w:hAnsi="仿宋" w:eastAsia="仿宋"/>
          <w:b w:val="0"/>
          <w:color w:val="000000"/>
        </w:rPr>
        <w:t>一</w:t>
      </w:r>
      <w:r>
        <w:rPr>
          <w:rStyle w:val="27"/>
          <w:rFonts w:hint="eastAsia" w:ascii="仿宋" w:hAnsi="仿宋" w:eastAsia="仿宋"/>
          <w:b w:val="0"/>
          <w:bCs w:val="0"/>
        </w:rPr>
        <w:t>般公共预算财政拨款支出决算表</w:t>
      </w:r>
      <w:bookmarkEnd w:id="68"/>
    </w:p>
    <w:p>
      <w:pPr>
        <w:pStyle w:val="3"/>
        <w:rPr>
          <w:rFonts w:ascii="仿宋" w:hAnsi="仿宋" w:eastAsia="仿宋"/>
          <w:color w:val="000000"/>
        </w:rPr>
      </w:pPr>
      <w:bookmarkStart w:id="69" w:name="_Toc15396625"/>
      <w:r>
        <w:rPr>
          <w:rStyle w:val="27"/>
          <w:rFonts w:hint="eastAsia" w:ascii="仿宋" w:hAnsi="仿宋" w:eastAsia="仿宋"/>
          <w:b w:val="0"/>
          <w:bCs w:val="0"/>
        </w:rPr>
        <w:t>七、</w:t>
      </w:r>
      <w:r>
        <w:rPr>
          <w:rFonts w:hint="eastAsia" w:ascii="仿宋" w:hAnsi="仿宋" w:eastAsia="仿宋"/>
          <w:b w:val="0"/>
          <w:color w:val="000000"/>
        </w:rPr>
        <w:t>一</w:t>
      </w:r>
      <w:r>
        <w:rPr>
          <w:rStyle w:val="27"/>
          <w:rFonts w:hint="eastAsia" w:ascii="仿宋" w:hAnsi="仿宋" w:eastAsia="仿宋"/>
          <w:b w:val="0"/>
          <w:bCs w:val="0"/>
        </w:rPr>
        <w:t>般公共预算财政拨款支出决算明细表</w:t>
      </w:r>
      <w:bookmarkEnd w:id="69"/>
    </w:p>
    <w:p>
      <w:pPr>
        <w:pStyle w:val="3"/>
        <w:rPr>
          <w:rFonts w:ascii="仿宋" w:hAnsi="仿宋" w:eastAsia="仿宋"/>
          <w:color w:val="000000"/>
        </w:rPr>
      </w:pPr>
      <w:bookmarkStart w:id="70" w:name="_Toc15396626"/>
      <w:r>
        <w:rPr>
          <w:rStyle w:val="27"/>
          <w:rFonts w:hint="eastAsia" w:ascii="仿宋" w:hAnsi="仿宋" w:eastAsia="仿宋"/>
          <w:b w:val="0"/>
          <w:bCs w:val="0"/>
        </w:rPr>
        <w:t>八、</w:t>
      </w:r>
      <w:r>
        <w:rPr>
          <w:rFonts w:hint="eastAsia" w:ascii="仿宋" w:hAnsi="仿宋" w:eastAsia="仿宋"/>
          <w:b w:val="0"/>
          <w:color w:val="000000"/>
        </w:rPr>
        <w:t>一</w:t>
      </w:r>
      <w:r>
        <w:rPr>
          <w:rStyle w:val="27"/>
          <w:rFonts w:hint="eastAsia" w:ascii="仿宋" w:hAnsi="仿宋" w:eastAsia="仿宋"/>
          <w:b w:val="0"/>
          <w:bCs w:val="0"/>
        </w:rPr>
        <w:t>般公共预算财政拨款基本支出决算表</w:t>
      </w:r>
      <w:bookmarkEnd w:id="70"/>
    </w:p>
    <w:p>
      <w:pPr>
        <w:pStyle w:val="3"/>
        <w:rPr>
          <w:rFonts w:ascii="仿宋" w:hAnsi="仿宋" w:eastAsia="仿宋"/>
          <w:color w:val="000000"/>
        </w:rPr>
      </w:pPr>
      <w:bookmarkStart w:id="71" w:name="_Toc15396627"/>
      <w:r>
        <w:rPr>
          <w:rStyle w:val="27"/>
          <w:rFonts w:hint="eastAsia" w:ascii="仿宋" w:hAnsi="仿宋" w:eastAsia="仿宋"/>
          <w:b w:val="0"/>
          <w:bCs w:val="0"/>
        </w:rPr>
        <w:t>九、</w:t>
      </w:r>
      <w:r>
        <w:rPr>
          <w:rFonts w:hint="eastAsia" w:ascii="仿宋" w:hAnsi="仿宋" w:eastAsia="仿宋"/>
          <w:b w:val="0"/>
          <w:color w:val="000000"/>
        </w:rPr>
        <w:t>一</w:t>
      </w:r>
      <w:r>
        <w:rPr>
          <w:rStyle w:val="27"/>
          <w:rFonts w:hint="eastAsia" w:ascii="仿宋" w:hAnsi="仿宋" w:eastAsia="仿宋"/>
          <w:b w:val="0"/>
          <w:bCs w:val="0"/>
        </w:rPr>
        <w:t>般公共预算财政拨款项目支出决算表</w:t>
      </w:r>
      <w:bookmarkEnd w:id="71"/>
    </w:p>
    <w:p>
      <w:pPr>
        <w:pStyle w:val="3"/>
        <w:rPr>
          <w:rFonts w:ascii="仿宋" w:hAnsi="仿宋" w:eastAsia="仿宋"/>
          <w:color w:val="000000"/>
        </w:rPr>
      </w:pPr>
      <w:bookmarkStart w:id="72" w:name="_Toc15396628"/>
      <w:r>
        <w:rPr>
          <w:rStyle w:val="27"/>
          <w:rFonts w:hint="eastAsia" w:ascii="仿宋" w:hAnsi="仿宋" w:eastAsia="仿宋"/>
          <w:b w:val="0"/>
          <w:bCs w:val="0"/>
        </w:rPr>
        <w:t>十、</w:t>
      </w:r>
      <w:r>
        <w:rPr>
          <w:rFonts w:hint="eastAsia" w:ascii="仿宋" w:hAnsi="仿宋" w:eastAsia="仿宋"/>
          <w:b w:val="0"/>
          <w:color w:val="000000"/>
        </w:rPr>
        <w:t>一</w:t>
      </w:r>
      <w:r>
        <w:rPr>
          <w:rStyle w:val="27"/>
          <w:rFonts w:hint="eastAsia" w:ascii="仿宋" w:hAnsi="仿宋" w:eastAsia="仿宋"/>
          <w:b w:val="0"/>
          <w:bCs w:val="0"/>
        </w:rPr>
        <w:t>般公共预算财政拨款“三公”经费支出决算表</w:t>
      </w:r>
      <w:bookmarkEnd w:id="72"/>
    </w:p>
    <w:p>
      <w:pPr>
        <w:pStyle w:val="3"/>
        <w:rPr>
          <w:rFonts w:ascii="仿宋" w:hAnsi="仿宋" w:eastAsia="仿宋"/>
          <w:color w:val="000000"/>
        </w:rPr>
      </w:pPr>
      <w:bookmarkStart w:id="73" w:name="_Toc15396629"/>
      <w:r>
        <w:rPr>
          <w:rStyle w:val="27"/>
          <w:rFonts w:hint="eastAsia" w:ascii="仿宋" w:hAnsi="仿宋" w:eastAsia="仿宋"/>
          <w:b w:val="0"/>
          <w:bCs w:val="0"/>
        </w:rPr>
        <w:t>十一、</w:t>
      </w:r>
      <w:r>
        <w:rPr>
          <w:rFonts w:hint="eastAsia" w:ascii="仿宋" w:hAnsi="仿宋" w:eastAsia="仿宋"/>
          <w:b w:val="0"/>
          <w:color w:val="000000"/>
        </w:rPr>
        <w:t>政</w:t>
      </w:r>
      <w:r>
        <w:rPr>
          <w:rStyle w:val="27"/>
          <w:rFonts w:hint="eastAsia" w:ascii="仿宋" w:hAnsi="仿宋" w:eastAsia="仿宋"/>
          <w:b w:val="0"/>
          <w:bCs w:val="0"/>
        </w:rPr>
        <w:t>府性基金预算财政拨款收入支出决算表</w:t>
      </w:r>
      <w:bookmarkEnd w:id="73"/>
    </w:p>
    <w:p>
      <w:pPr>
        <w:pStyle w:val="3"/>
        <w:rPr>
          <w:rFonts w:ascii="仿宋" w:hAnsi="仿宋" w:eastAsia="仿宋"/>
          <w:color w:val="000000"/>
        </w:rPr>
      </w:pPr>
      <w:bookmarkStart w:id="74" w:name="_Toc15396630"/>
      <w:r>
        <w:rPr>
          <w:rStyle w:val="27"/>
          <w:rFonts w:hint="eastAsia" w:ascii="仿宋" w:hAnsi="仿宋" w:eastAsia="仿宋"/>
          <w:b w:val="0"/>
          <w:bCs w:val="0"/>
        </w:rPr>
        <w:t>十二、</w:t>
      </w:r>
      <w:r>
        <w:rPr>
          <w:rFonts w:hint="eastAsia" w:ascii="仿宋" w:hAnsi="仿宋" w:eastAsia="仿宋"/>
          <w:b w:val="0"/>
          <w:color w:val="000000"/>
        </w:rPr>
        <w:t>政</w:t>
      </w:r>
      <w:r>
        <w:rPr>
          <w:rStyle w:val="27"/>
          <w:rFonts w:hint="eastAsia" w:ascii="仿宋" w:hAnsi="仿宋" w:eastAsia="仿宋"/>
          <w:b w:val="0"/>
          <w:bCs w:val="0"/>
        </w:rPr>
        <w:t>府性基金预算财政拨款“三公”经费支出决算表</w:t>
      </w:r>
      <w:bookmarkEnd w:id="74"/>
    </w:p>
    <w:p>
      <w:pPr>
        <w:pStyle w:val="3"/>
        <w:rPr>
          <w:rFonts w:ascii="仿宋" w:hAnsi="仿宋" w:eastAsia="仿宋"/>
          <w:color w:val="000000" w:themeColor="text1"/>
        </w:rPr>
      </w:pPr>
      <w:bookmarkStart w:id="75" w:name="_Toc15396631"/>
      <w:r>
        <w:rPr>
          <w:rStyle w:val="27"/>
          <w:rFonts w:hint="eastAsia" w:ascii="仿宋" w:hAnsi="仿宋" w:eastAsia="仿宋"/>
          <w:b w:val="0"/>
          <w:bCs w:val="0"/>
        </w:rPr>
        <w:t>十三、</w:t>
      </w:r>
      <w:r>
        <w:rPr>
          <w:rFonts w:hint="eastAsia" w:ascii="仿宋" w:hAnsi="仿宋" w:eastAsia="仿宋"/>
          <w:b w:val="0"/>
          <w:color w:val="000000"/>
        </w:rPr>
        <w:t>国</w:t>
      </w:r>
      <w:r>
        <w:rPr>
          <w:rStyle w:val="27"/>
          <w:rFonts w:hint="eastAsia" w:ascii="仿宋" w:hAnsi="仿宋" w:eastAsia="仿宋"/>
          <w:b w:val="0"/>
          <w:bCs w:val="0"/>
        </w:rPr>
        <w:t>有资本经营预算支出决算表</w:t>
      </w:r>
      <w:bookmarkEnd w:id="75"/>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docPartObj>
        <w:docPartGallery w:val="AutoText"/>
      </w:docPartObj>
    </w:sdtPr>
    <w:sdtContent>
      <w:p>
        <w:pPr>
          <w:pStyle w:val="9"/>
          <w:jc w:val="center"/>
        </w:pPr>
        <w:r>
          <w:fldChar w:fldCharType="begin"/>
        </w:r>
        <w:r>
          <w:instrText xml:space="preserve">PAGE   \* MERGEFORMAT</w:instrText>
        </w:r>
        <w:r>
          <w:fldChar w:fldCharType="separate"/>
        </w:r>
        <w:r>
          <w:rPr>
            <w:lang w:val="zh-CN"/>
          </w:rPr>
          <w:t>14</w:t>
        </w:r>
        <w:r>
          <w:rPr>
            <w:lang w:val="zh-CN"/>
          </w:rP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EC0BEF30"/>
    <w:multiLevelType w:val="singleLevel"/>
    <w:tmpl w:val="EC0BEF30"/>
    <w:lvl w:ilvl="0" w:tentative="0">
      <w:start w:val="1"/>
      <w:numFmt w:val="chineseCounting"/>
      <w:suff w:val="nothing"/>
      <w:lvlText w:val="（%1）"/>
      <w:lvlJc w:val="left"/>
      <w:rPr>
        <w:rFonts w:hint="eastAsia" w:ascii="楷体_GB2312" w:hAnsi="楷体_GB2312" w:eastAsia="楷体_GB2312" w:cs="楷体_GB2312"/>
        <w:b/>
        <w:bCs/>
        <w:sz w:val="32"/>
        <w:szCs w:val="32"/>
      </w:rPr>
    </w:lvl>
  </w:abstractNum>
  <w:abstractNum w:abstractNumId="3">
    <w:nsid w:val="01CD2982"/>
    <w:multiLevelType w:val="singleLevel"/>
    <w:tmpl w:val="01CD2982"/>
    <w:lvl w:ilvl="0" w:tentative="0">
      <w:start w:val="1"/>
      <w:numFmt w:val="decimal"/>
      <w:lvlText w:val="%1."/>
      <w:lvlJc w:val="left"/>
      <w:pPr>
        <w:tabs>
          <w:tab w:val="left" w:pos="312"/>
        </w:tabs>
      </w:pPr>
    </w:lvl>
  </w:abstractNum>
  <w:abstractNum w:abstractNumId="4">
    <w:nsid w:val="0FF301AE"/>
    <w:multiLevelType w:val="multilevel"/>
    <w:tmpl w:val="0FF301A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272550B"/>
    <w:multiLevelType w:val="multilevel"/>
    <w:tmpl w:val="1272550B"/>
    <w:lvl w:ilvl="0" w:tentative="0">
      <w:start w:val="1"/>
      <w:numFmt w:val="japaneseCounting"/>
      <w:lvlText w:val="%1、"/>
      <w:lvlJc w:val="left"/>
      <w:pPr>
        <w:ind w:left="1287"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6">
    <w:nsid w:val="17F426B7"/>
    <w:multiLevelType w:val="multilevel"/>
    <w:tmpl w:val="17F426B7"/>
    <w:lvl w:ilvl="0" w:tentative="0">
      <w:start w:val="10"/>
      <w:numFmt w:val="japaneseCounting"/>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7">
    <w:nsid w:val="1A084AE9"/>
    <w:multiLevelType w:val="multilevel"/>
    <w:tmpl w:val="1A084AE9"/>
    <w:lvl w:ilvl="0" w:tentative="0">
      <w:start w:val="5"/>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47B9416E"/>
    <w:multiLevelType w:val="multilevel"/>
    <w:tmpl w:val="47B9416E"/>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9">
    <w:nsid w:val="683D34BB"/>
    <w:multiLevelType w:val="multilevel"/>
    <w:tmpl w:val="683D34BB"/>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5"/>
  </w:num>
  <w:num w:numId="2">
    <w:abstractNumId w:val="0"/>
  </w:num>
  <w:num w:numId="3">
    <w:abstractNumId w:val="6"/>
  </w:num>
  <w:num w:numId="4">
    <w:abstractNumId w:val="2"/>
  </w:num>
  <w:num w:numId="5">
    <w:abstractNumId w:val="1"/>
  </w:num>
  <w:num w:numId="6">
    <w:abstractNumId w:val="8"/>
  </w:num>
  <w:num w:numId="7">
    <w:abstractNumId w:val="4"/>
  </w:num>
  <w:num w:numId="8">
    <w:abstractNumId w:val="7"/>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1361C"/>
    <w:rsid w:val="00007A5C"/>
    <w:rsid w:val="00016D03"/>
    <w:rsid w:val="000222C6"/>
    <w:rsid w:val="00023A46"/>
    <w:rsid w:val="0002549F"/>
    <w:rsid w:val="00032680"/>
    <w:rsid w:val="000428A8"/>
    <w:rsid w:val="00043D90"/>
    <w:rsid w:val="0006487A"/>
    <w:rsid w:val="00065948"/>
    <w:rsid w:val="00065F8F"/>
    <w:rsid w:val="000768F2"/>
    <w:rsid w:val="00081DDF"/>
    <w:rsid w:val="0009184B"/>
    <w:rsid w:val="0009593C"/>
    <w:rsid w:val="000B047F"/>
    <w:rsid w:val="000B5923"/>
    <w:rsid w:val="000B5A48"/>
    <w:rsid w:val="000B6FF3"/>
    <w:rsid w:val="000C3467"/>
    <w:rsid w:val="000C3CA6"/>
    <w:rsid w:val="000C47B2"/>
    <w:rsid w:val="000D1267"/>
    <w:rsid w:val="000D1D50"/>
    <w:rsid w:val="000D5782"/>
    <w:rsid w:val="000E6613"/>
    <w:rsid w:val="000E7119"/>
    <w:rsid w:val="00114E9B"/>
    <w:rsid w:val="00120F4A"/>
    <w:rsid w:val="001370B1"/>
    <w:rsid w:val="00145AD1"/>
    <w:rsid w:val="001464D6"/>
    <w:rsid w:val="0014729F"/>
    <w:rsid w:val="00157BAB"/>
    <w:rsid w:val="001654D1"/>
    <w:rsid w:val="0018106D"/>
    <w:rsid w:val="001877A7"/>
    <w:rsid w:val="00191536"/>
    <w:rsid w:val="0019227F"/>
    <w:rsid w:val="00192D5A"/>
    <w:rsid w:val="00196687"/>
    <w:rsid w:val="001C0962"/>
    <w:rsid w:val="001C40B3"/>
    <w:rsid w:val="001D4CED"/>
    <w:rsid w:val="001D7531"/>
    <w:rsid w:val="001E2184"/>
    <w:rsid w:val="001E737D"/>
    <w:rsid w:val="001F0592"/>
    <w:rsid w:val="001F5D35"/>
    <w:rsid w:val="001F7506"/>
    <w:rsid w:val="002006CD"/>
    <w:rsid w:val="00202B36"/>
    <w:rsid w:val="00204B7A"/>
    <w:rsid w:val="0021101A"/>
    <w:rsid w:val="00220536"/>
    <w:rsid w:val="00232B0A"/>
    <w:rsid w:val="00233A63"/>
    <w:rsid w:val="00235629"/>
    <w:rsid w:val="00255D05"/>
    <w:rsid w:val="002566C6"/>
    <w:rsid w:val="00260C38"/>
    <w:rsid w:val="002616C0"/>
    <w:rsid w:val="002662AA"/>
    <w:rsid w:val="00280496"/>
    <w:rsid w:val="00295495"/>
    <w:rsid w:val="002A3106"/>
    <w:rsid w:val="002B2613"/>
    <w:rsid w:val="002F1818"/>
    <w:rsid w:val="002F567B"/>
    <w:rsid w:val="003216A9"/>
    <w:rsid w:val="0037013F"/>
    <w:rsid w:val="00376059"/>
    <w:rsid w:val="00380C92"/>
    <w:rsid w:val="003A484F"/>
    <w:rsid w:val="003B0BE0"/>
    <w:rsid w:val="003B0C1B"/>
    <w:rsid w:val="003B688C"/>
    <w:rsid w:val="003C0291"/>
    <w:rsid w:val="003C39AE"/>
    <w:rsid w:val="003C7B60"/>
    <w:rsid w:val="003D1FB2"/>
    <w:rsid w:val="003D66DA"/>
    <w:rsid w:val="003E1310"/>
    <w:rsid w:val="003E6F55"/>
    <w:rsid w:val="00406254"/>
    <w:rsid w:val="00410774"/>
    <w:rsid w:val="004223DE"/>
    <w:rsid w:val="00430984"/>
    <w:rsid w:val="00434489"/>
    <w:rsid w:val="00437085"/>
    <w:rsid w:val="00443880"/>
    <w:rsid w:val="004464F4"/>
    <w:rsid w:val="004508A2"/>
    <w:rsid w:val="00471401"/>
    <w:rsid w:val="00473F31"/>
    <w:rsid w:val="0048263A"/>
    <w:rsid w:val="00487E5D"/>
    <w:rsid w:val="004945FD"/>
    <w:rsid w:val="004A1649"/>
    <w:rsid w:val="004A711F"/>
    <w:rsid w:val="004B199D"/>
    <w:rsid w:val="004B4690"/>
    <w:rsid w:val="004E05AC"/>
    <w:rsid w:val="004E0A2D"/>
    <w:rsid w:val="004E206B"/>
    <w:rsid w:val="004E6DF7"/>
    <w:rsid w:val="004F0FBD"/>
    <w:rsid w:val="004F6FF7"/>
    <w:rsid w:val="00505A47"/>
    <w:rsid w:val="00512FDA"/>
    <w:rsid w:val="005154F3"/>
    <w:rsid w:val="00520DA0"/>
    <w:rsid w:val="005211AD"/>
    <w:rsid w:val="00526E7B"/>
    <w:rsid w:val="00551CDC"/>
    <w:rsid w:val="005522E4"/>
    <w:rsid w:val="005664BB"/>
    <w:rsid w:val="0057481D"/>
    <w:rsid w:val="0058486E"/>
    <w:rsid w:val="005923F3"/>
    <w:rsid w:val="005D1C8B"/>
    <w:rsid w:val="005D5CED"/>
    <w:rsid w:val="005F1A4C"/>
    <w:rsid w:val="00605688"/>
    <w:rsid w:val="006070AF"/>
    <w:rsid w:val="00607E6C"/>
    <w:rsid w:val="006101B1"/>
    <w:rsid w:val="00614E44"/>
    <w:rsid w:val="00622830"/>
    <w:rsid w:val="00630AEF"/>
    <w:rsid w:val="006325F8"/>
    <w:rsid w:val="00634C9A"/>
    <w:rsid w:val="00637089"/>
    <w:rsid w:val="00637F55"/>
    <w:rsid w:val="006440E4"/>
    <w:rsid w:val="0066343B"/>
    <w:rsid w:val="00664777"/>
    <w:rsid w:val="00672385"/>
    <w:rsid w:val="00672654"/>
    <w:rsid w:val="006748A4"/>
    <w:rsid w:val="00683E73"/>
    <w:rsid w:val="006A3141"/>
    <w:rsid w:val="006A5E34"/>
    <w:rsid w:val="006A77F3"/>
    <w:rsid w:val="006B2422"/>
    <w:rsid w:val="006B2B9A"/>
    <w:rsid w:val="006C1937"/>
    <w:rsid w:val="006F020C"/>
    <w:rsid w:val="007127B7"/>
    <w:rsid w:val="007416B6"/>
    <w:rsid w:val="00746F48"/>
    <w:rsid w:val="0075404D"/>
    <w:rsid w:val="0076182A"/>
    <w:rsid w:val="00767B7E"/>
    <w:rsid w:val="00772AE1"/>
    <w:rsid w:val="007770C3"/>
    <w:rsid w:val="007802CF"/>
    <w:rsid w:val="00784D24"/>
    <w:rsid w:val="00785FBA"/>
    <w:rsid w:val="00786E4A"/>
    <w:rsid w:val="007875EB"/>
    <w:rsid w:val="0079426B"/>
    <w:rsid w:val="007A34CA"/>
    <w:rsid w:val="007A55D5"/>
    <w:rsid w:val="007C1FBC"/>
    <w:rsid w:val="007C28F7"/>
    <w:rsid w:val="007D312A"/>
    <w:rsid w:val="007D3F19"/>
    <w:rsid w:val="007D7A4E"/>
    <w:rsid w:val="007E23B0"/>
    <w:rsid w:val="007E3810"/>
    <w:rsid w:val="007F1991"/>
    <w:rsid w:val="007F2C2F"/>
    <w:rsid w:val="007F55FC"/>
    <w:rsid w:val="007F5665"/>
    <w:rsid w:val="00800112"/>
    <w:rsid w:val="00817C55"/>
    <w:rsid w:val="00823798"/>
    <w:rsid w:val="008253BB"/>
    <w:rsid w:val="008257DE"/>
    <w:rsid w:val="0083706E"/>
    <w:rsid w:val="008423A5"/>
    <w:rsid w:val="00850625"/>
    <w:rsid w:val="00853718"/>
    <w:rsid w:val="00855221"/>
    <w:rsid w:val="00860645"/>
    <w:rsid w:val="00871F71"/>
    <w:rsid w:val="00885AF4"/>
    <w:rsid w:val="00890D23"/>
    <w:rsid w:val="008939CD"/>
    <w:rsid w:val="008B768C"/>
    <w:rsid w:val="008C4DB1"/>
    <w:rsid w:val="008C4EAF"/>
    <w:rsid w:val="008C5176"/>
    <w:rsid w:val="008C7FD0"/>
    <w:rsid w:val="008E1DE7"/>
    <w:rsid w:val="008E707C"/>
    <w:rsid w:val="00900B08"/>
    <w:rsid w:val="00902155"/>
    <w:rsid w:val="00902FA3"/>
    <w:rsid w:val="00906F2D"/>
    <w:rsid w:val="00923564"/>
    <w:rsid w:val="0092392E"/>
    <w:rsid w:val="009315F9"/>
    <w:rsid w:val="009402C8"/>
    <w:rsid w:val="00946945"/>
    <w:rsid w:val="00951248"/>
    <w:rsid w:val="0095152F"/>
    <w:rsid w:val="00954C49"/>
    <w:rsid w:val="0097099F"/>
    <w:rsid w:val="00971997"/>
    <w:rsid w:val="00971FFC"/>
    <w:rsid w:val="0098660A"/>
    <w:rsid w:val="009931C3"/>
    <w:rsid w:val="009B2C43"/>
    <w:rsid w:val="009B4EAE"/>
    <w:rsid w:val="009B7573"/>
    <w:rsid w:val="009C22F4"/>
    <w:rsid w:val="009C2E98"/>
    <w:rsid w:val="009D3447"/>
    <w:rsid w:val="009D4711"/>
    <w:rsid w:val="009F1185"/>
    <w:rsid w:val="009F18CD"/>
    <w:rsid w:val="009F2A13"/>
    <w:rsid w:val="009F7736"/>
    <w:rsid w:val="00A04EB0"/>
    <w:rsid w:val="00A13CC1"/>
    <w:rsid w:val="00A16847"/>
    <w:rsid w:val="00A237D8"/>
    <w:rsid w:val="00A268C4"/>
    <w:rsid w:val="00A307CD"/>
    <w:rsid w:val="00A40A00"/>
    <w:rsid w:val="00A4142F"/>
    <w:rsid w:val="00A56DF2"/>
    <w:rsid w:val="00A651BA"/>
    <w:rsid w:val="00A6691A"/>
    <w:rsid w:val="00A67AB5"/>
    <w:rsid w:val="00A87556"/>
    <w:rsid w:val="00A91760"/>
    <w:rsid w:val="00A93B00"/>
    <w:rsid w:val="00A93C21"/>
    <w:rsid w:val="00AA1608"/>
    <w:rsid w:val="00AA34E2"/>
    <w:rsid w:val="00AC3C6A"/>
    <w:rsid w:val="00AC585A"/>
    <w:rsid w:val="00AD5620"/>
    <w:rsid w:val="00AD7C1B"/>
    <w:rsid w:val="00AE16BA"/>
    <w:rsid w:val="00AE1EBE"/>
    <w:rsid w:val="00B03C9D"/>
    <w:rsid w:val="00B060AE"/>
    <w:rsid w:val="00B10517"/>
    <w:rsid w:val="00B14E76"/>
    <w:rsid w:val="00B161B8"/>
    <w:rsid w:val="00B2048C"/>
    <w:rsid w:val="00B24023"/>
    <w:rsid w:val="00B25B3D"/>
    <w:rsid w:val="00B310B9"/>
    <w:rsid w:val="00B35F3F"/>
    <w:rsid w:val="00B36CBB"/>
    <w:rsid w:val="00B425E0"/>
    <w:rsid w:val="00B440AA"/>
    <w:rsid w:val="00B44B70"/>
    <w:rsid w:val="00B51A68"/>
    <w:rsid w:val="00B53C56"/>
    <w:rsid w:val="00B549F8"/>
    <w:rsid w:val="00B57C9F"/>
    <w:rsid w:val="00B62713"/>
    <w:rsid w:val="00B77EA6"/>
    <w:rsid w:val="00B81598"/>
    <w:rsid w:val="00B82D13"/>
    <w:rsid w:val="00B841F1"/>
    <w:rsid w:val="00B944D6"/>
    <w:rsid w:val="00BB4DF0"/>
    <w:rsid w:val="00BC289F"/>
    <w:rsid w:val="00BC5361"/>
    <w:rsid w:val="00BC5460"/>
    <w:rsid w:val="00BC6B50"/>
    <w:rsid w:val="00BD0E25"/>
    <w:rsid w:val="00BE1663"/>
    <w:rsid w:val="00BF5BD6"/>
    <w:rsid w:val="00C03E31"/>
    <w:rsid w:val="00C33E72"/>
    <w:rsid w:val="00C354B2"/>
    <w:rsid w:val="00C35554"/>
    <w:rsid w:val="00C42709"/>
    <w:rsid w:val="00C533CC"/>
    <w:rsid w:val="00C547B1"/>
    <w:rsid w:val="00C56785"/>
    <w:rsid w:val="00C5751C"/>
    <w:rsid w:val="00C61BFC"/>
    <w:rsid w:val="00C62B85"/>
    <w:rsid w:val="00C65438"/>
    <w:rsid w:val="00C91CBB"/>
    <w:rsid w:val="00CB28D8"/>
    <w:rsid w:val="00CC09B6"/>
    <w:rsid w:val="00CC666F"/>
    <w:rsid w:val="00CD1E3F"/>
    <w:rsid w:val="00CE44F6"/>
    <w:rsid w:val="00CE49DA"/>
    <w:rsid w:val="00CE7B61"/>
    <w:rsid w:val="00D00095"/>
    <w:rsid w:val="00D162AC"/>
    <w:rsid w:val="00D20620"/>
    <w:rsid w:val="00D26091"/>
    <w:rsid w:val="00D3449F"/>
    <w:rsid w:val="00D34E7C"/>
    <w:rsid w:val="00D35489"/>
    <w:rsid w:val="00D51276"/>
    <w:rsid w:val="00D7035F"/>
    <w:rsid w:val="00DA624B"/>
    <w:rsid w:val="00DA65AC"/>
    <w:rsid w:val="00DB1913"/>
    <w:rsid w:val="00DB77CB"/>
    <w:rsid w:val="00DC410D"/>
    <w:rsid w:val="00DC68CA"/>
    <w:rsid w:val="00DC7CBA"/>
    <w:rsid w:val="00DD73B7"/>
    <w:rsid w:val="00DF28BC"/>
    <w:rsid w:val="00DF34B9"/>
    <w:rsid w:val="00E01053"/>
    <w:rsid w:val="00E07ACF"/>
    <w:rsid w:val="00E13C3C"/>
    <w:rsid w:val="00E331A1"/>
    <w:rsid w:val="00E33202"/>
    <w:rsid w:val="00E336A9"/>
    <w:rsid w:val="00E50624"/>
    <w:rsid w:val="00E568DF"/>
    <w:rsid w:val="00E64269"/>
    <w:rsid w:val="00E82267"/>
    <w:rsid w:val="00EA010F"/>
    <w:rsid w:val="00EB7F1F"/>
    <w:rsid w:val="00ED1B63"/>
    <w:rsid w:val="00ED3C1F"/>
    <w:rsid w:val="00ED4085"/>
    <w:rsid w:val="00ED420E"/>
    <w:rsid w:val="00EE2F57"/>
    <w:rsid w:val="00EF4C34"/>
    <w:rsid w:val="00EF77C6"/>
    <w:rsid w:val="00F0001B"/>
    <w:rsid w:val="00F05438"/>
    <w:rsid w:val="00F1361C"/>
    <w:rsid w:val="00F160C7"/>
    <w:rsid w:val="00F35A44"/>
    <w:rsid w:val="00F36D8F"/>
    <w:rsid w:val="00F417B1"/>
    <w:rsid w:val="00F602DF"/>
    <w:rsid w:val="00F61B31"/>
    <w:rsid w:val="00F81FD9"/>
    <w:rsid w:val="00F841AA"/>
    <w:rsid w:val="00FA23E8"/>
    <w:rsid w:val="00FA3EAB"/>
    <w:rsid w:val="00FB6A5F"/>
    <w:rsid w:val="00FD3CC1"/>
    <w:rsid w:val="00FF1E02"/>
    <w:rsid w:val="00FF30B4"/>
    <w:rsid w:val="10C055FF"/>
    <w:rsid w:val="16BB723D"/>
    <w:rsid w:val="240371BF"/>
    <w:rsid w:val="29FD04D3"/>
    <w:rsid w:val="319F7F4E"/>
    <w:rsid w:val="69234EF3"/>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name="header"/>
    <w:lsdException w:unhideWhenUsed="0"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0"/>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5">
    <w:name w:val="caption"/>
    <w:basedOn w:val="1"/>
    <w:next w:val="1"/>
    <w:unhideWhenUsed/>
    <w:qFormat/>
    <w:uiPriority w:val="35"/>
    <w:rPr>
      <w:rFonts w:eastAsia="黑体" w:asciiTheme="majorHAnsi" w:hAnsiTheme="majorHAnsi" w:cstheme="majorBidi"/>
      <w:sz w:val="20"/>
      <w:szCs w:val="20"/>
    </w:rPr>
  </w:style>
  <w:style w:type="paragraph" w:styleId="6">
    <w:name w:val="Body Text"/>
    <w:basedOn w:val="1"/>
    <w:link w:val="23"/>
    <w:uiPriority w:val="99"/>
    <w:pPr>
      <w:spacing w:beforeLines="30"/>
    </w:pPr>
    <w:rPr>
      <w:rFonts w:ascii="仿宋_GB2312" w:eastAsia="仿宋_GB2312"/>
      <w:kern w:val="0"/>
      <w:sz w:val="30"/>
    </w:r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29"/>
    <w:semiHidden/>
    <w:unhideWhenUsed/>
    <w:uiPriority w:val="99"/>
    <w:rPr>
      <w:sz w:val="18"/>
      <w:szCs w:val="18"/>
    </w:rPr>
  </w:style>
  <w:style w:type="paragraph" w:styleId="9">
    <w:name w:val="footer"/>
    <w:basedOn w:val="1"/>
    <w:link w:val="21"/>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19"/>
    <w:semiHidden/>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paragraph" w:styleId="13">
    <w:name w:val="Normal (Web)"/>
    <w:basedOn w:val="1"/>
    <w:unhideWhenUsed/>
    <w:qFormat/>
    <w:uiPriority w:val="99"/>
    <w:pPr>
      <w:spacing w:beforeAutospacing="1" w:afterAutospacing="1"/>
      <w:jc w:val="left"/>
    </w:pPr>
    <w:rPr>
      <w:kern w:val="0"/>
      <w:sz w:val="24"/>
    </w:rPr>
  </w:style>
  <w:style w:type="character" w:styleId="15">
    <w:name w:val="Strong"/>
    <w:basedOn w:val="14"/>
    <w:qFormat/>
    <w:uiPriority w:val="99"/>
    <w:rPr>
      <w:b/>
    </w:rPr>
  </w:style>
  <w:style w:type="character" w:styleId="16">
    <w:name w:val="Hyperlink"/>
    <w:basedOn w:val="14"/>
    <w:unhideWhenUsed/>
    <w:uiPriority w:val="99"/>
    <w:rPr>
      <w:color w:val="0000FF" w:themeColor="hyperlink"/>
      <w:u w:val="single"/>
    </w:rPr>
  </w:style>
  <w:style w:type="character" w:customStyle="1" w:styleId="18">
    <w:name w:val="Header Char"/>
    <w:basedOn w:val="14"/>
    <w:semiHidden/>
    <w:uiPriority w:val="99"/>
    <w:rPr>
      <w:rFonts w:ascii="Times New Roman" w:hAnsi="Times New Roman"/>
      <w:sz w:val="18"/>
      <w:szCs w:val="18"/>
    </w:rPr>
  </w:style>
  <w:style w:type="character" w:customStyle="1" w:styleId="19">
    <w:name w:val="页眉 Char"/>
    <w:link w:val="10"/>
    <w:semiHidden/>
    <w:locked/>
    <w:uiPriority w:val="99"/>
    <w:rPr>
      <w:sz w:val="18"/>
    </w:rPr>
  </w:style>
  <w:style w:type="character" w:customStyle="1" w:styleId="20">
    <w:name w:val="Footer Char"/>
    <w:basedOn w:val="14"/>
    <w:semiHidden/>
    <w:qFormat/>
    <w:uiPriority w:val="99"/>
    <w:rPr>
      <w:rFonts w:ascii="Times New Roman" w:hAnsi="Times New Roman"/>
      <w:sz w:val="18"/>
      <w:szCs w:val="18"/>
    </w:rPr>
  </w:style>
  <w:style w:type="character" w:customStyle="1" w:styleId="21">
    <w:name w:val="页脚 Char"/>
    <w:link w:val="9"/>
    <w:locked/>
    <w:uiPriority w:val="99"/>
    <w:rPr>
      <w:sz w:val="18"/>
    </w:rPr>
  </w:style>
  <w:style w:type="character" w:customStyle="1" w:styleId="22">
    <w:name w:val="Body Text Char"/>
    <w:basedOn w:val="14"/>
    <w:semiHidden/>
    <w:uiPriority w:val="99"/>
    <w:rPr>
      <w:rFonts w:ascii="Times New Roman" w:hAnsi="Times New Roman"/>
      <w:szCs w:val="24"/>
    </w:rPr>
  </w:style>
  <w:style w:type="character" w:customStyle="1" w:styleId="23">
    <w:name w:val="正文文本 Char"/>
    <w:link w:val="6"/>
    <w:locked/>
    <w:uiPriority w:val="99"/>
    <w:rPr>
      <w:rFonts w:ascii="仿宋_GB2312" w:hAnsi="Times New Roman" w:eastAsia="仿宋_GB2312"/>
      <w:sz w:val="24"/>
    </w:rPr>
  </w:style>
  <w:style w:type="paragraph" w:customStyle="1" w:styleId="24">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5">
    <w:name w:val="List Paragraph"/>
    <w:basedOn w:val="1"/>
    <w:qFormat/>
    <w:uiPriority w:val="34"/>
    <w:pPr>
      <w:ind w:firstLine="420" w:firstLineChars="200"/>
    </w:pPr>
  </w:style>
  <w:style w:type="character" w:customStyle="1" w:styleId="26">
    <w:name w:val="标题 1 Char"/>
    <w:basedOn w:val="14"/>
    <w:link w:val="2"/>
    <w:uiPriority w:val="9"/>
    <w:rPr>
      <w:rFonts w:ascii="Times New Roman" w:hAnsi="Times New Roman"/>
      <w:b/>
      <w:bCs/>
      <w:kern w:val="44"/>
      <w:sz w:val="44"/>
      <w:szCs w:val="44"/>
    </w:rPr>
  </w:style>
  <w:style w:type="character" w:customStyle="1" w:styleId="27">
    <w:name w:val="标题 2 Char"/>
    <w:basedOn w:val="14"/>
    <w:link w:val="3"/>
    <w:uiPriority w:val="9"/>
    <w:rPr>
      <w:rFonts w:asciiTheme="majorHAnsi" w:hAnsiTheme="majorHAnsi" w:eastAsiaTheme="majorEastAsia" w:cstheme="majorBidi"/>
      <w:b/>
      <w:bCs/>
      <w:kern w:val="2"/>
      <w:sz w:val="32"/>
      <w:szCs w:val="32"/>
    </w:rPr>
  </w:style>
  <w:style w:type="paragraph" w:customStyle="1" w:styleId="28">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9">
    <w:name w:val="批注框文本 Char"/>
    <w:basedOn w:val="14"/>
    <w:link w:val="8"/>
    <w:semiHidden/>
    <w:uiPriority w:val="99"/>
    <w:rPr>
      <w:rFonts w:ascii="Times New Roman" w:hAnsi="Times New Roman"/>
      <w:kern w:val="2"/>
      <w:sz w:val="18"/>
      <w:szCs w:val="18"/>
    </w:rPr>
  </w:style>
  <w:style w:type="character" w:customStyle="1" w:styleId="30">
    <w:name w:val="标题 3 Char"/>
    <w:basedOn w:val="14"/>
    <w:link w:val="4"/>
    <w:uiPriority w:val="9"/>
    <w:rPr>
      <w:rFonts w:ascii="Times New Roman" w:hAnsi="Times New Roman"/>
      <w:b/>
      <w:bCs/>
      <w:kern w:val="2"/>
      <w:sz w:val="32"/>
      <w:szCs w:val="32"/>
    </w:rPr>
  </w:style>
  <w:style w:type="paragraph" w:customStyle="1" w:styleId="31">
    <w:name w:val="leaidx"/>
    <w:basedOn w:val="1"/>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chart" Target="charts/chart8.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8.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8.xml.rels><?xml version="1.0" encoding="UTF-8" standalone="yes"?>
<Relationships xmlns="http://schemas.openxmlformats.org/package/2006/relationships"><Relationship Id="rId1" Type="http://schemas.openxmlformats.org/officeDocument/2006/relationships/package" Target="../embeddings/Workbook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100"/>
              <a:t>收入决算总计变动情况图（单位；万元）</a:t>
            </a:r>
            <a:endParaRPr lang="zh-CN" altLang="en-US" sz="1100"/>
          </a:p>
        </c:rich>
      </c:tx>
      <c:layout>
        <c:manualLayout>
          <c:xMode val="edge"/>
          <c:yMode val="edge"/>
          <c:x val="0.0750730158730159"/>
          <c:y val="0.0252525252525252"/>
        </c:manualLayout>
      </c:layout>
      <c:overlay val="0"/>
    </c:title>
    <c:autoTitleDeleted val="0"/>
    <c:plotArea>
      <c:layout/>
      <c:barChart>
        <c:barDir val="col"/>
        <c:grouping val="clustered"/>
        <c:varyColors val="0"/>
        <c:ser>
          <c:idx val="0"/>
          <c:order val="0"/>
          <c:tx>
            <c:strRef>
              <c:f>Sheet1!$B$1</c:f>
              <c:strCache>
                <c:ptCount val="1"/>
                <c:pt idx="0">
                  <c:v>收、支决算总计变动情况图</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Sheet1!$A$2:$A$3</c:f>
              <c:strCache>
                <c:ptCount val="2"/>
                <c:pt idx="0">
                  <c:v>2017年</c:v>
                </c:pt>
                <c:pt idx="1">
                  <c:v>2018年</c:v>
                </c:pt>
              </c:strCache>
            </c:strRef>
          </c:cat>
          <c:val>
            <c:numRef>
              <c:f>Sheet1!$B$2:$B$3</c:f>
              <c:numCache>
                <c:formatCode>General</c:formatCode>
                <c:ptCount val="2"/>
                <c:pt idx="0">
                  <c:v>3689.83</c:v>
                </c:pt>
                <c:pt idx="1">
                  <c:v>3564.14</c:v>
                </c:pt>
              </c:numCache>
            </c:numRef>
          </c:val>
        </c:ser>
        <c:dLbls>
          <c:showLegendKey val="0"/>
          <c:showVal val="1"/>
          <c:showCatName val="0"/>
          <c:showSerName val="0"/>
          <c:showPercent val="0"/>
          <c:showBubbleSize val="0"/>
        </c:dLbls>
        <c:gapWidth val="150"/>
        <c:axId val="177950720"/>
        <c:axId val="184525952"/>
      </c:barChart>
      <c:catAx>
        <c:axId val="177950720"/>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84525952"/>
        <c:crosses val="autoZero"/>
        <c:auto val="1"/>
        <c:lblAlgn val="ctr"/>
        <c:lblOffset val="100"/>
        <c:noMultiLvlLbl val="0"/>
      </c:catAx>
      <c:valAx>
        <c:axId val="18452595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77950720"/>
        <c:crosses val="autoZero"/>
        <c:crossBetween val="between"/>
      </c:valAx>
    </c:plotArea>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000" b="1" i="0" u="none" strike="noStrike" kern="1200" baseline="0">
              <a:solidFill>
                <a:schemeClr val="tx1"/>
              </a:solidFill>
              <a:latin typeface="+mn-lt"/>
              <a:ea typeface="+mn-ea"/>
              <a:cs typeface="+mn-cs"/>
            </a:defRPr>
          </a:pPr>
        </a:p>
      </c:txPr>
    </c:title>
    <c:autoTitleDeleted val="0"/>
    <c:plotArea>
      <c:layout/>
      <c:barChart>
        <c:barDir val="col"/>
        <c:grouping val="clustered"/>
        <c:varyColors val="0"/>
        <c:ser>
          <c:idx val="0"/>
          <c:order val="0"/>
          <c:tx>
            <c:strRef>
              <c:f>Sheet1!$B$1</c:f>
              <c:strCache>
                <c:ptCount val="1"/>
                <c:pt idx="0">
                  <c:v>支出决算总计变动情况图（单位：万元）</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Sheet1!$A$2:$A$3</c:f>
              <c:strCache>
                <c:ptCount val="2"/>
                <c:pt idx="0">
                  <c:v>2017年</c:v>
                </c:pt>
                <c:pt idx="1">
                  <c:v>2018年</c:v>
                </c:pt>
              </c:strCache>
            </c:strRef>
          </c:cat>
          <c:val>
            <c:numRef>
              <c:f>Sheet1!$B$2:$B$3</c:f>
              <c:numCache>
                <c:formatCode>General</c:formatCode>
                <c:ptCount val="2"/>
                <c:pt idx="0">
                  <c:v>3479.59</c:v>
                </c:pt>
                <c:pt idx="1">
                  <c:v>4455.57</c:v>
                </c:pt>
              </c:numCache>
            </c:numRef>
          </c:val>
        </c:ser>
        <c:dLbls>
          <c:showLegendKey val="0"/>
          <c:showVal val="1"/>
          <c:showCatName val="0"/>
          <c:showSerName val="0"/>
          <c:showPercent val="0"/>
          <c:showBubbleSize val="0"/>
        </c:dLbls>
        <c:gapWidth val="150"/>
        <c:axId val="226092160"/>
        <c:axId val="228832000"/>
      </c:barChart>
      <c:catAx>
        <c:axId val="226092160"/>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28832000"/>
        <c:crosses val="autoZero"/>
        <c:auto val="1"/>
        <c:lblAlgn val="ctr"/>
        <c:lblOffset val="100"/>
        <c:noMultiLvlLbl val="0"/>
      </c:catAx>
      <c:valAx>
        <c:axId val="228832000"/>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26092160"/>
        <c:crosses val="autoZero"/>
        <c:crossBetween val="between"/>
      </c:valAx>
    </c:plotArea>
    <c:plotVisOnly val="1"/>
    <c:dispBlanksAs val="gap"/>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100" b="1" i="0" u="none" strike="noStrike" kern="1200" baseline="0">
                <a:solidFill>
                  <a:schemeClr val="tx1"/>
                </a:solidFill>
                <a:latin typeface="+mn-lt"/>
                <a:ea typeface="+mn-ea"/>
                <a:cs typeface="+mn-cs"/>
              </a:defRPr>
            </a:pPr>
            <a:r>
              <a:rPr lang="zh-CN" altLang="en-US" sz="1100"/>
              <a:t>本年收入决算结构图</a:t>
            </a:r>
            <a:endParaRPr lang="zh-CN" altLang="en-US" sz="1100"/>
          </a:p>
        </c:rich>
      </c:tx>
      <c:layout/>
      <c:overlay val="0"/>
    </c:title>
    <c:autoTitleDeleted val="0"/>
    <c:plotArea>
      <c:layout/>
      <c:pieChart>
        <c:varyColors val="1"/>
        <c:ser>
          <c:idx val="0"/>
          <c:order val="0"/>
          <c:tx>
            <c:strRef>
              <c:f>Sheet1!$B$1</c:f>
              <c:strCache>
                <c:ptCount val="1"/>
                <c:pt idx="0">
                  <c:v>本年收入决算结构图</c:v>
                </c:pt>
              </c:strCache>
            </c:strRef>
          </c:tx>
          <c:explosion val="0"/>
          <c:dPt>
            <c:idx val="0"/>
            <c:bubble3D val="0"/>
          </c:dPt>
          <c:dPt>
            <c:idx val="1"/>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Sheet1!$A$2:$A$3</c:f>
              <c:strCache>
                <c:ptCount val="2"/>
                <c:pt idx="0">
                  <c:v>一般公共预算财政拨款收入</c:v>
                </c:pt>
                <c:pt idx="1">
                  <c:v>其他收入</c:v>
                </c:pt>
              </c:strCache>
            </c:strRef>
          </c:cat>
          <c:val>
            <c:numRef>
              <c:f>Sheet1!$B$2:$B$3</c:f>
              <c:numCache>
                <c:formatCode>0.00%</c:formatCode>
                <c:ptCount val="2"/>
                <c:pt idx="0">
                  <c:v>0.9999</c:v>
                </c:pt>
                <c:pt idx="1">
                  <c:v>0.0001</c:v>
                </c:pt>
              </c:numCache>
            </c:numRef>
          </c:val>
        </c:ser>
        <c:dLbls>
          <c:showLegendKey val="0"/>
          <c:showVal val="1"/>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100" b="1" i="0" u="none" strike="noStrike" kern="1200" baseline="0">
                <a:solidFill>
                  <a:schemeClr val="tx1"/>
                </a:solidFill>
                <a:latin typeface="+mn-lt"/>
                <a:ea typeface="+mn-ea"/>
                <a:cs typeface="+mn-cs"/>
              </a:defRPr>
            </a:pPr>
            <a:r>
              <a:rPr lang="zh-CN" altLang="en-US" sz="1100"/>
              <a:t>本年支出决算结构图</a:t>
            </a:r>
            <a:endParaRPr lang="zh-CN" altLang="en-US" sz="1100"/>
          </a:p>
        </c:rich>
      </c:tx>
      <c:layout>
        <c:manualLayout>
          <c:xMode val="edge"/>
          <c:yMode val="edge"/>
          <c:x val="0.496553945249598"/>
          <c:y val="0.0588235294117647"/>
        </c:manualLayout>
      </c:layout>
      <c:overlay val="0"/>
    </c:title>
    <c:autoTitleDeleted val="0"/>
    <c:plotArea>
      <c:layout>
        <c:manualLayout>
          <c:layoutTarget val="inner"/>
          <c:xMode val="edge"/>
          <c:yMode val="edge"/>
          <c:x val="0.0923080416474658"/>
          <c:y val="0.246362098138748"/>
          <c:w val="0.377777777777779"/>
          <c:h val="0.753637901861252"/>
        </c:manualLayout>
      </c:layout>
      <c:pieChart>
        <c:varyColors val="1"/>
        <c:ser>
          <c:idx val="0"/>
          <c:order val="0"/>
          <c:tx>
            <c:strRef>
              <c:f>Sheet1!$B$1</c:f>
              <c:strCache>
                <c:ptCount val="1"/>
                <c:pt idx="0">
                  <c:v>支出</c:v>
                </c:pt>
              </c:strCache>
            </c:strRef>
          </c:tx>
          <c:explosion val="25"/>
          <c:dPt>
            <c:idx val="0"/>
            <c:bubble3D val="0"/>
          </c:dPt>
          <c:dPt>
            <c:idx val="1"/>
            <c:bubble3D val="0"/>
          </c:dPt>
          <c:dLbls>
            <c:dLbl>
              <c:idx val="1"/>
              <c:layout>
                <c:manualLayout>
                  <c:x val="0.0742741577592656"/>
                  <c:y val="-0.0999670629406622"/>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en-US"/>
                      <a:t>28</a:t>
                    </a:r>
                    <a:r>
                      <a:rPr lang="en-US" altLang="zh-CN"/>
                      <a:t>%</a:t>
                    </a:r>
                    <a:endParaRPr lang="en-US" altLang="en-US"/>
                  </a:p>
                </c:rich>
              </c:tx>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Sheet1!$A$2:$A$3</c:f>
              <c:strCache>
                <c:ptCount val="2"/>
                <c:pt idx="0">
                  <c:v>基本支出</c:v>
                </c:pt>
                <c:pt idx="1">
                  <c:v>项目支出</c:v>
                </c:pt>
              </c:strCache>
            </c:strRef>
          </c:cat>
          <c:val>
            <c:numRef>
              <c:f>Sheet1!$B$2:$B$3</c:f>
              <c:numCache>
                <c:formatCode>0%</c:formatCode>
                <c:ptCount val="2"/>
                <c:pt idx="0">
                  <c:v>0.720000000000001</c:v>
                </c:pt>
                <c:pt idx="1">
                  <c:v>0.28</c:v>
                </c:pt>
              </c:numCache>
            </c:numRef>
          </c:val>
        </c:ser>
        <c:dLbls>
          <c:showLegendKey val="0"/>
          <c:showVal val="1"/>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收入</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Sheet1!$A$2:$A$4</c:f>
              <c:strCache>
                <c:ptCount val="2"/>
                <c:pt idx="0">
                  <c:v>2017年</c:v>
                </c:pt>
                <c:pt idx="1">
                  <c:v>2018年</c:v>
                </c:pt>
              </c:strCache>
            </c:strRef>
          </c:cat>
          <c:val>
            <c:numRef>
              <c:f>Sheet1!$B$2:$B$4</c:f>
              <c:numCache>
                <c:formatCode>General</c:formatCode>
                <c:ptCount val="3"/>
                <c:pt idx="0">
                  <c:v>3689.83</c:v>
                </c:pt>
                <c:pt idx="1">
                  <c:v>3564.15</c:v>
                </c:pt>
                <c:pt idx="2">
                  <c:v>0</c:v>
                </c:pt>
              </c:numCache>
            </c:numRef>
          </c:val>
        </c:ser>
        <c:ser>
          <c:idx val="1"/>
          <c:order val="1"/>
          <c:tx>
            <c:strRef>
              <c:f>Sheet1!$C$1</c:f>
              <c:strCache>
                <c:ptCount val="1"/>
                <c:pt idx="0">
                  <c:v>支出</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Sheet1!$A$2:$A$4</c:f>
              <c:strCache>
                <c:ptCount val="2"/>
                <c:pt idx="0">
                  <c:v>2017年</c:v>
                </c:pt>
                <c:pt idx="1">
                  <c:v>2018年</c:v>
                </c:pt>
              </c:strCache>
            </c:strRef>
          </c:cat>
          <c:val>
            <c:numRef>
              <c:f>Sheet1!$C$2:$C$4</c:f>
              <c:numCache>
                <c:formatCode>General</c:formatCode>
                <c:ptCount val="3"/>
                <c:pt idx="0">
                  <c:v>3479.59</c:v>
                </c:pt>
                <c:pt idx="1">
                  <c:v>4455.57</c:v>
                </c:pt>
              </c:numCache>
            </c:numRef>
          </c:val>
        </c:ser>
        <c:dLbls>
          <c:showLegendKey val="0"/>
          <c:showVal val="1"/>
          <c:showCatName val="0"/>
          <c:showSerName val="0"/>
          <c:showPercent val="0"/>
          <c:showBubbleSize val="0"/>
        </c:dLbls>
        <c:gapWidth val="150"/>
        <c:axId val="185989760"/>
        <c:axId val="228467072"/>
      </c:barChart>
      <c:catAx>
        <c:axId val="185989760"/>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28467072"/>
        <c:crosses val="autoZero"/>
        <c:auto val="1"/>
        <c:lblAlgn val="ctr"/>
        <c:lblOffset val="100"/>
        <c:noMultiLvlLbl val="0"/>
      </c:catAx>
      <c:valAx>
        <c:axId val="22846707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85989760"/>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100"/>
              <a:t>本年一般公共预算财政拨款支出决算情况变动表（单位；万元）</a:t>
            </a:r>
            <a:endParaRPr lang="zh-CN" altLang="en-US" sz="1100"/>
          </a:p>
        </c:rich>
      </c:tx>
      <c:layout>
        <c:manualLayout>
          <c:xMode val="edge"/>
          <c:yMode val="edge"/>
          <c:x val="0.176330363592584"/>
          <c:y val="0.0996168582375481"/>
        </c:manualLayout>
      </c:layout>
      <c:overlay val="0"/>
    </c:title>
    <c:autoTitleDeleted val="0"/>
    <c:plotArea>
      <c:layout/>
      <c:barChart>
        <c:barDir val="col"/>
        <c:grouping val="clustered"/>
        <c:varyColors val="0"/>
        <c:ser>
          <c:idx val="0"/>
          <c:order val="0"/>
          <c:tx>
            <c:strRef>
              <c:f>Sheet1!$B$1</c:f>
              <c:strCache>
                <c:ptCount val="1"/>
                <c:pt idx="0">
                  <c:v>一般公共预算财政拨款支出</c:v>
                </c:pt>
              </c:strCache>
            </c:strRef>
          </c:tx>
          <c:invertIfNegative val="0"/>
          <c:dLbls>
            <c:delete val="1"/>
          </c:dLbls>
          <c:cat>
            <c:strRef>
              <c:f>Sheet1!$A$2:$A$3</c:f>
              <c:strCache>
                <c:ptCount val="2"/>
                <c:pt idx="0">
                  <c:v>2017年</c:v>
                </c:pt>
                <c:pt idx="1">
                  <c:v>2018年</c:v>
                </c:pt>
              </c:strCache>
            </c:strRef>
          </c:cat>
          <c:val>
            <c:numRef>
              <c:f>Sheet1!$B$2:$B$3</c:f>
              <c:numCache>
                <c:formatCode>General</c:formatCode>
                <c:ptCount val="2"/>
                <c:pt idx="0">
                  <c:v>3479.59</c:v>
                </c:pt>
                <c:pt idx="1">
                  <c:v>4455.57</c:v>
                </c:pt>
              </c:numCache>
            </c:numRef>
          </c:val>
        </c:ser>
        <c:dLbls>
          <c:showLegendKey val="0"/>
          <c:showVal val="0"/>
          <c:showCatName val="0"/>
          <c:showSerName val="0"/>
          <c:showPercent val="0"/>
          <c:showBubbleSize val="0"/>
        </c:dLbls>
        <c:gapWidth val="150"/>
        <c:axId val="228474880"/>
        <c:axId val="228476416"/>
      </c:barChart>
      <c:catAx>
        <c:axId val="228474880"/>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28476416"/>
        <c:crosses val="autoZero"/>
        <c:auto val="1"/>
        <c:lblAlgn val="ctr"/>
        <c:lblOffset val="100"/>
        <c:noMultiLvlLbl val="0"/>
      </c:catAx>
      <c:valAx>
        <c:axId val="228476416"/>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28474880"/>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本年一般公共预算财政拨款支出决算结构图</c:v>
                </c:pt>
              </c:strCache>
            </c:strRef>
          </c:tx>
          <c:explosion val="25"/>
          <c:dPt>
            <c:idx val="0"/>
            <c:bubble3D val="0"/>
          </c:dPt>
          <c:dPt>
            <c:idx val="1"/>
            <c:bubble3D val="0"/>
          </c:dPt>
          <c:dPt>
            <c:idx val="2"/>
            <c:bubble3D val="0"/>
          </c:dPt>
          <c:dPt>
            <c:idx val="3"/>
            <c:bubble3D val="0"/>
          </c:dPt>
          <c:dPt>
            <c:idx val="4"/>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Sheet1!$A$2:$A$6</c:f>
              <c:strCache>
                <c:ptCount val="5"/>
                <c:pt idx="0">
                  <c:v>一般公共服务支出</c:v>
                </c:pt>
                <c:pt idx="1">
                  <c:v>公共安全支出</c:v>
                </c:pt>
                <c:pt idx="2">
                  <c:v>社会保障和就业支出</c:v>
                </c:pt>
                <c:pt idx="3">
                  <c:v>医疗卫生支出</c:v>
                </c:pt>
                <c:pt idx="4">
                  <c:v>住房保障支出</c:v>
                </c:pt>
              </c:strCache>
            </c:strRef>
          </c:cat>
          <c:val>
            <c:numRef>
              <c:f>Sheet1!$B$2:$B$6</c:f>
              <c:numCache>
                <c:formatCode>General</c:formatCode>
                <c:ptCount val="5"/>
                <c:pt idx="0">
                  <c:v>3.44</c:v>
                </c:pt>
                <c:pt idx="1">
                  <c:v>3757.79</c:v>
                </c:pt>
                <c:pt idx="2">
                  <c:v>365.18</c:v>
                </c:pt>
                <c:pt idx="3">
                  <c:v>128.63</c:v>
                </c:pt>
                <c:pt idx="4">
                  <c:v>200.53</c:v>
                </c:pt>
              </c:numCache>
            </c:numRef>
          </c:val>
        </c:ser>
        <c:dLbls>
          <c:showLegendKey val="0"/>
          <c:showVal val="1"/>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100"/>
              <a:t>“三公”经费财政拨款支出结构图</a:t>
            </a:r>
            <a:endParaRPr lang="zh-CN" altLang="en-US" sz="1100"/>
          </a:p>
        </c:rich>
      </c:tx>
      <c:layout/>
      <c:overlay val="0"/>
    </c:title>
    <c:autoTitleDeleted val="0"/>
    <c:plotArea>
      <c:layout/>
      <c:pieChart>
        <c:varyColors val="1"/>
        <c:ser>
          <c:idx val="0"/>
          <c:order val="0"/>
          <c:tx>
            <c:strRef>
              <c:f>Sheet1!$B$1</c:f>
              <c:strCache>
                <c:ptCount val="1"/>
                <c:pt idx="0">
                  <c:v>“三公”经费财政拨款支出结构图</c:v>
                </c:pt>
              </c:strCache>
            </c:strRef>
          </c:tx>
          <c:explosion val="0"/>
          <c:dPt>
            <c:idx val="0"/>
            <c:bubble3D val="0"/>
          </c:dPt>
          <c:dPt>
            <c:idx val="1"/>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Sheet1!$A$2:$A$3</c:f>
              <c:strCache>
                <c:ptCount val="2"/>
                <c:pt idx="0">
                  <c:v>公务用车购置及运行维护费支出</c:v>
                </c:pt>
                <c:pt idx="1">
                  <c:v>公务接待费</c:v>
                </c:pt>
              </c:strCache>
            </c:strRef>
          </c:cat>
          <c:val>
            <c:numRef>
              <c:f>Sheet1!$B$2:$B$3</c:f>
              <c:numCache>
                <c:formatCode>0.00%</c:formatCode>
                <c:ptCount val="2"/>
                <c:pt idx="0">
                  <c:v>0.9997</c:v>
                </c:pt>
                <c:pt idx="1">
                  <c:v>0.0003</c:v>
                </c:pt>
              </c:numCache>
            </c:numRef>
          </c:val>
        </c:ser>
        <c:dLbls>
          <c:showLegendKey val="0"/>
          <c:showVal val="1"/>
          <c:showCatName val="0"/>
          <c:showSerName val="0"/>
          <c:showPercent val="0"/>
          <c:showBubbleSize val="0"/>
          <c:showLeaderLines val="1"/>
        </c:dLbls>
        <c:firstSliceAng val="0"/>
      </c:pieChart>
    </c:plotArea>
    <c:legend>
      <c:legendPos val="r"/>
      <c:layout>
        <c:manualLayout>
          <c:xMode val="edge"/>
          <c:yMode val="edge"/>
          <c:x val="0.640963855421688"/>
          <c:y val="0.355859605001847"/>
          <c:w val="0.342971887550201"/>
          <c:h val="0.305863896290531"/>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7280FA-0169-4AA2-A13D-8FF2769F7007}">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26</Pages>
  <Words>8356</Words>
  <Characters>3115</Characters>
  <Lines>25</Lines>
  <Paragraphs>22</Paragraphs>
  <TotalTime>664</TotalTime>
  <ScaleCrop>false</ScaleCrop>
  <LinksUpToDate>false</LinksUpToDate>
  <CharactersWithSpaces>11449</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2019-10-23T08:37:00Z</dcterms:created>
  <dc:creator>张彬茜</dc:creator>
  <cp:lastModifiedBy>陶淑群</cp:lastModifiedBy>
  <cp:lastPrinted>2019-08-01T00:48:00Z</cp:lastPrinted>
  <dcterms:modified xsi:type="dcterms:W3CDTF">2019-10-31T02:54:18Z</dcterms:modified>
  <dc:title>四川省***</dc:title>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