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8441"/>
      <w:bookmarkStart w:id="1" w:name="_Toc15377193"/>
      <w:bookmarkStart w:id="2" w:name="_Toc15396475"/>
      <w:bookmarkStart w:id="3" w:name="_Toc15396597"/>
      <w:bookmarkStart w:id="4" w:name="_Toc15306267"/>
      <w:bookmarkStart w:id="5" w:name="_Toc15377425"/>
    </w:p>
    <w:bookmarkEnd w:id="0"/>
    <w:bookmarkEnd w:id="1"/>
    <w:bookmarkEnd w:id="2"/>
    <w:bookmarkEnd w:id="3"/>
    <w:bookmarkEnd w:id="4"/>
    <w:bookmarkEnd w:id="5"/>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keepNext w:val="0"/>
        <w:keepLines w:val="0"/>
        <w:pageBreakBefore w:val="0"/>
        <w:suppressAutoHyphens/>
        <w:kinsoku/>
        <w:wordWrap/>
        <w:overflowPunct/>
        <w:topLinePunct w:val="0"/>
        <w:autoSpaceDE/>
        <w:autoSpaceDN/>
        <w:bidi w:val="0"/>
        <w:adjustRightInd/>
        <w:snapToGrid/>
        <w:spacing w:before="0" w:beforeLines="-2147483648" w:after="140" w:line="1500" w:lineRule="exact"/>
        <w:ind w:firstLine="2160" w:firstLineChars="300"/>
        <w:jc w:val="both"/>
        <w:textAlignment w:val="auto"/>
        <w:rPr>
          <w:rFonts w:hint="eastAsia" w:ascii="方正小标宋_GBK" w:hAnsi="方正小标宋_GBK" w:eastAsia="方正小标宋_GBK" w:cs="方正小标宋_GBK"/>
          <w:color w:val="auto"/>
          <w:kern w:val="2"/>
          <w:sz w:val="72"/>
          <w:szCs w:val="72"/>
          <w:highlight w:val="none"/>
          <w:lang w:val="en-US" w:eastAsia="zh-CN" w:bidi="ar-SA"/>
        </w:rPr>
      </w:pPr>
      <w:r>
        <w:rPr>
          <w:rFonts w:hint="eastAsia" w:ascii="方正小标宋_GBK" w:hAnsi="方正小标宋_GBK" w:eastAsia="方正小标宋_GBK" w:cs="方正小标宋_GBK"/>
          <w:color w:val="auto"/>
          <w:kern w:val="2"/>
          <w:sz w:val="72"/>
          <w:szCs w:val="72"/>
          <w:highlight w:val="none"/>
          <w:lang w:val="en-US" w:eastAsia="zh-CN" w:bidi="ar-SA"/>
        </w:rPr>
        <w:t>阿坝州壤塘县</w:t>
      </w:r>
    </w:p>
    <w:p>
      <w:pPr>
        <w:pStyle w:val="7"/>
        <w:keepNext w:val="0"/>
        <w:keepLines w:val="0"/>
        <w:pageBreakBefore w:val="0"/>
        <w:suppressAutoHyphens/>
        <w:kinsoku/>
        <w:wordWrap/>
        <w:overflowPunct/>
        <w:topLinePunct w:val="0"/>
        <w:autoSpaceDE/>
        <w:autoSpaceDN/>
        <w:bidi w:val="0"/>
        <w:adjustRightInd/>
        <w:snapToGrid/>
        <w:spacing w:before="0" w:beforeLines="-2147483648" w:after="140" w:line="1500" w:lineRule="exact"/>
        <w:jc w:val="center"/>
        <w:textAlignment w:val="auto"/>
        <w:rPr>
          <w:rFonts w:hint="eastAsia" w:ascii="方正小标宋_GBK" w:hAnsi="方正小标宋_GBK" w:eastAsia="方正小标宋_GBK" w:cs="方正小标宋_GBK"/>
          <w:color w:val="auto"/>
          <w:kern w:val="2"/>
          <w:sz w:val="72"/>
          <w:szCs w:val="72"/>
          <w:highlight w:val="none"/>
          <w:lang w:val="en-US" w:eastAsia="zh-CN" w:bidi="ar-SA"/>
        </w:rPr>
      </w:pPr>
      <w:r>
        <w:rPr>
          <w:rFonts w:hint="eastAsia" w:ascii="方正小标宋_GBK" w:hAnsi="方正小标宋_GBK" w:eastAsia="方正小标宋_GBK" w:cs="方正小标宋_GBK"/>
          <w:color w:val="auto"/>
          <w:kern w:val="2"/>
          <w:sz w:val="72"/>
          <w:szCs w:val="72"/>
          <w:highlight w:val="none"/>
          <w:lang w:val="en-US" w:eastAsia="zh-CN" w:bidi="ar-SA"/>
        </w:rPr>
        <w:t>2025年度民族宗教局</w:t>
      </w:r>
    </w:p>
    <w:p>
      <w:pPr>
        <w:widowControl/>
        <w:jc w:val="center"/>
        <w:rPr>
          <w:rFonts w:hint="eastAsia" w:ascii="Times New Roman" w:hAnsi="Times New Roman" w:eastAsia="黑体"/>
          <w:color w:val="auto"/>
          <w:sz w:val="48"/>
          <w:szCs w:val="48"/>
          <w:highlight w:val="none"/>
        </w:rPr>
      </w:pPr>
      <w:r>
        <w:rPr>
          <w:rFonts w:hint="eastAsia" w:ascii="方正小标宋_GBK" w:hAnsi="方正小标宋_GBK" w:eastAsia="方正小标宋_GBK" w:cs="方正小标宋_GBK"/>
          <w:color w:val="auto"/>
          <w:kern w:val="2"/>
          <w:sz w:val="72"/>
          <w:szCs w:val="72"/>
          <w:highlight w:val="none"/>
          <w:lang w:val="en-US" w:eastAsia="zh-CN" w:bidi="ar-SA"/>
        </w:rPr>
        <w:t>单位决算公开</w:t>
      </w: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both"/>
        <w:rPr>
          <w:rFonts w:hint="eastAsia" w:ascii="Times New Roman" w:hAnsi="Times New Roman" w:eastAsia="黑体"/>
          <w:color w:val="auto"/>
          <w:sz w:val="48"/>
          <w:szCs w:val="48"/>
          <w:highlight w:val="none"/>
        </w:rPr>
      </w:pPr>
    </w:p>
    <w:p>
      <w:pPr>
        <w:widowControl/>
        <w:jc w:val="center"/>
        <w:rPr>
          <w:rFonts w:hint="eastAsia" w:ascii="Times New Roman" w:hAnsi="Times New Roman" w:eastAsia="黑体"/>
          <w:color w:val="auto"/>
          <w:sz w:val="48"/>
          <w:szCs w:val="48"/>
          <w:highlight w:val="none"/>
        </w:r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jc w:val="left"/>
        <w:textAlignment w:val="auto"/>
        <w:rPr>
          <w:rFonts w:ascii="仿宋_GB2312" w:hAnsi="宋体" w:eastAsia="仿宋_GB2312" w:cs="宋体"/>
          <w:kern w:val="0"/>
          <w:sz w:val="32"/>
          <w:szCs w:val="32"/>
        </w:rPr>
      </w:pPr>
      <w:bookmarkStart w:id="8" w:name="_Toc79163604"/>
      <w:bookmarkStart w:id="9" w:name="_Toc15377199"/>
      <w:bookmarkStart w:id="10" w:name="_Toc15378446"/>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1</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加强宗教团体依法依规开展</w:t>
      </w:r>
      <w:r>
        <w:rPr>
          <w:rFonts w:hint="eastAsia" w:ascii="仿宋_GB2312" w:hAnsi="宋体" w:eastAsia="仿宋_GB2312" w:cs="宋体"/>
          <w:kern w:val="0"/>
          <w:sz w:val="32"/>
          <w:szCs w:val="32"/>
          <w:lang w:val="en-US" w:eastAsia="zh-CN"/>
        </w:rPr>
        <w:t>宗教</w:t>
      </w:r>
      <w:r>
        <w:rPr>
          <w:rFonts w:hint="eastAsia" w:ascii="仿宋_GB2312" w:hAnsi="宋体" w:eastAsia="仿宋_GB2312" w:cs="宋体"/>
          <w:kern w:val="0"/>
          <w:sz w:val="32"/>
          <w:szCs w:val="32"/>
        </w:rPr>
        <w:t>活动。</w:t>
      </w:r>
    </w:p>
    <w:p>
      <w:pPr>
        <w:widowControl/>
        <w:spacing w:line="6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加强宗教事务管理。</w:t>
      </w:r>
    </w:p>
    <w:p>
      <w:pPr>
        <w:widowControl/>
        <w:spacing w:line="60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依法履行宗教事务管理职责。</w:t>
      </w:r>
    </w:p>
    <w:p>
      <w:pPr>
        <w:pStyle w:val="7"/>
        <w:adjustRightInd w:val="0"/>
        <w:snapToGrid w:val="0"/>
        <w:spacing w:before="0" w:beforeAutospacing="0" w:after="0" w:afterAutospacing="0" w:line="560" w:lineRule="exact"/>
        <w:ind w:firstLine="640" w:firstLineChars="200"/>
        <w:rPr>
          <w:rFonts w:hint="eastAsia"/>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规范少数民族语言文字工作。</w:t>
      </w:r>
      <w:bookmarkEnd w:id="8"/>
      <w:bookmarkEnd w:id="9"/>
      <w:bookmarkEnd w:id="10"/>
    </w:p>
    <w:p>
      <w:pPr>
        <w:numPr>
          <w:ilvl w:val="0"/>
          <w:numId w:val="0"/>
        </w:numPr>
        <w:rPr>
          <w:rFonts w:hint="eastAsia"/>
          <w:lang w:eastAsia="zh-CN"/>
        </w:rPr>
      </w:pPr>
    </w:p>
    <w:p>
      <w:pPr>
        <w:pStyle w:val="4"/>
        <w:rPr>
          <w:rStyle w:val="31"/>
          <w:rFonts w:ascii="Times New Roman" w:hAnsi="Times New Roman"/>
          <w:b w:val="0"/>
          <w:bCs w:val="0"/>
          <w:color w:val="auto"/>
          <w:highlight w:val="none"/>
        </w:rPr>
      </w:pPr>
      <w:bookmarkStart w:id="11" w:name="_Toc15396601"/>
      <w:bookmarkStart w:id="12"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1"/>
      <w:bookmarkEnd w:id="12"/>
    </w:p>
    <w:p>
      <w:pPr>
        <w:widowControl/>
        <w:ind w:firstLine="640" w:firstLineChars="200"/>
        <w:jc w:val="left"/>
        <w:rPr>
          <w:rFonts w:ascii="Times New Roman" w:hAnsi="Times New Roman" w:eastAsia="仿宋"/>
          <w:color w:val="auto"/>
          <w:kern w:val="0"/>
          <w:sz w:val="32"/>
          <w:szCs w:val="32"/>
          <w:highlight w:val="none"/>
        </w:rPr>
      </w:pPr>
      <w:r>
        <w:rPr>
          <w:rStyle w:val="37"/>
          <w:rFonts w:hint="eastAsia" w:ascii="仿宋_GB2312" w:hAnsi="仿宋_GB2312" w:eastAsia="仿宋_GB2312" w:cs="Times New Roman"/>
          <w:color w:val="000000"/>
          <w:sz w:val="32"/>
          <w:szCs w:val="32"/>
        </w:rPr>
        <w:t>壤塘县民族宗教局无下属二级单位，基本性质为行政单位,较上年未产生变动。</w:t>
      </w:r>
    </w:p>
    <w:p>
      <w:pPr>
        <w:pStyle w:val="3"/>
        <w:jc w:val="center"/>
        <w:rPr>
          <w:rFonts w:hint="eastAsia" w:ascii="Times New Roman" w:hAnsi="Times New Roman" w:eastAsia="方正小标宋简体" w:cs="方正小标宋简体"/>
          <w:b w:val="0"/>
          <w:color w:val="auto"/>
          <w:highlight w:val="none"/>
        </w:rPr>
      </w:pPr>
      <w:bookmarkStart w:id="13" w:name="_Toc15396602"/>
      <w:bookmarkStart w:id="14"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p>
    <w:p>
      <w:pPr>
        <w:rPr>
          <w:rFonts w:ascii="Times New Roman" w:hAnsi="Times New Roman"/>
          <w:color w:val="auto"/>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5" w:name="_Toc15396603"/>
      <w:bookmarkStart w:id="16"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5"/>
      <w:bookmarkEnd w:id="16"/>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总计656.53万元，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656.53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总计增加66.77万元，增长11.32%，主要变动原因是项目收入未收入2025预算。</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666.77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11.32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项目支出未收入2025年预算。</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pPr>
      <w:r>
        <w:drawing>
          <wp:inline distT="0" distB="0" distL="114300" distR="114300">
            <wp:extent cx="4809490" cy="1953260"/>
            <wp:effectExtent l="5080" t="4445" r="5080" b="2349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7"/>
        <w:rPr>
          <w:rFonts w:hint="eastAsia"/>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7" w:name="_Toc15396604"/>
      <w:bookmarkStart w:id="18" w:name="_Toc15377206"/>
      <w:r>
        <w:rPr>
          <w:rFonts w:hint="eastAsia" w:ascii="Times New Roman" w:hAnsi="Times New Roman" w:eastAsia="黑体"/>
          <w:color w:val="auto"/>
          <w:sz w:val="32"/>
          <w:szCs w:val="32"/>
          <w:highlight w:val="none"/>
          <w:lang w:eastAsia="zh-CN"/>
        </w:rPr>
        <w:t>二、收入决算情况说明</w:t>
      </w:r>
      <w:bookmarkEnd w:id="17"/>
      <w:bookmarkEnd w:id="1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656.53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656.53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ind w:firstLine="525" w:firstLineChars="250"/>
      </w:pPr>
      <w:r>
        <w:drawing>
          <wp:inline distT="0" distB="0" distL="114300" distR="114300">
            <wp:extent cx="4857115" cy="1951990"/>
            <wp:effectExtent l="5080" t="4445" r="14605" b="571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7"/>
        <w:rPr>
          <w:rFonts w:hint="eastAsia"/>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9" w:name="_Toc15396605"/>
      <w:bookmarkStart w:id="20"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19"/>
      <w:bookmarkEnd w:id="20"/>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656.53</w:t>
      </w:r>
      <w:r>
        <w:rPr>
          <w:rFonts w:hint="eastAsia" w:ascii="Times New Roman" w:hAnsi="Times New Roman" w:eastAsia="仿宋_GB2312" w:cs="仿宋_GB2312"/>
          <w:color w:val="auto"/>
          <w:sz w:val="32"/>
          <w:szCs w:val="32"/>
          <w:highlight w:val="none"/>
          <w:lang w:eastAsia="zh-CN"/>
        </w:rPr>
        <w:t>万元，其中：基本支出333.88万元，占</w:t>
      </w:r>
      <w:r>
        <w:rPr>
          <w:rFonts w:hint="eastAsia" w:eastAsia="仿宋_GB2312" w:cs="仿宋_GB2312"/>
          <w:color w:val="auto"/>
          <w:sz w:val="32"/>
          <w:szCs w:val="32"/>
          <w:highlight w:val="none"/>
          <w:lang w:val="en-US" w:eastAsia="zh-CN"/>
        </w:rPr>
        <w:t>50.86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322.66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49.14</w:t>
      </w:r>
      <w:r>
        <w:rPr>
          <w:rFonts w:hint="eastAsia" w:ascii="Times New Roman" w:hAnsi="Times New Roman" w:eastAsia="仿宋_GB2312" w:cs="仿宋_GB2312"/>
          <w:color w:val="auto"/>
          <w:sz w:val="32"/>
          <w:szCs w:val="32"/>
          <w:highlight w:val="none"/>
          <w:lang w:eastAsia="zh-CN"/>
        </w:rPr>
        <w:t>%；</w:t>
      </w:r>
    </w:p>
    <w:p>
      <w:pPr>
        <w:spacing w:line="600" w:lineRule="exact"/>
        <w:ind w:firstLine="420" w:firstLineChars="200"/>
        <w:outlineLvl w:val="1"/>
      </w:pPr>
      <w:bookmarkStart w:id="21" w:name="_Toc15396606"/>
      <w:bookmarkStart w:id="22" w:name="_Toc15377208"/>
    </w:p>
    <w:p>
      <w:pPr>
        <w:pStyle w:val="7"/>
      </w:pPr>
      <w:r>
        <w:drawing>
          <wp:inline distT="0" distB="0" distL="114300" distR="114300">
            <wp:extent cx="4980940" cy="2400300"/>
            <wp:effectExtent l="4445" t="4445" r="5715" b="14605"/>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1"/>
      <w:bookmarkEnd w:id="22"/>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w:t>
      </w:r>
      <w:r>
        <w:rPr>
          <w:rFonts w:hint="eastAsia" w:eastAsia="仿宋_GB2312" w:cs="仿宋_GB2312"/>
          <w:color w:val="auto"/>
          <w:kern w:val="2"/>
          <w:sz w:val="32"/>
          <w:szCs w:val="32"/>
          <w:highlight w:val="none"/>
          <w:lang w:val="en-US" w:eastAsia="zh-CN" w:bidi="ar-SA"/>
        </w:rPr>
        <w:t>656.53万元，支出656.53万元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w:t>
      </w:r>
      <w:r>
        <w:rPr>
          <w:rFonts w:hint="eastAsia" w:eastAsia="仿宋_GB2312" w:cs="仿宋_GB2312"/>
          <w:color w:val="auto"/>
          <w:kern w:val="2"/>
          <w:sz w:val="32"/>
          <w:szCs w:val="32"/>
          <w:highlight w:val="none"/>
          <w:lang w:val="en-US" w:eastAsia="zh-CN" w:bidi="ar-SA"/>
        </w:rPr>
        <w:t>增长66.77万元，增长11.32%，主要变动原因是工资福利以及人员变动。</w:t>
      </w:r>
      <w:r>
        <w:rPr>
          <w:rFonts w:hint="eastAsia" w:ascii="Times New Roman" w:hAnsi="Times New Roman" w:eastAsia="仿宋_GB2312" w:cs="仿宋_GB2312"/>
          <w:color w:val="auto"/>
          <w:kern w:val="2"/>
          <w:sz w:val="32"/>
          <w:szCs w:val="32"/>
          <w:highlight w:val="none"/>
          <w:lang w:val="en-US" w:eastAsia="zh-CN" w:bidi="ar-SA"/>
        </w:rPr>
        <w:t>支出总计各增加</w:t>
      </w:r>
      <w:r>
        <w:rPr>
          <w:rFonts w:hint="eastAsia" w:eastAsia="仿宋_GB2312" w:cs="仿宋_GB2312"/>
          <w:color w:val="auto"/>
          <w:kern w:val="2"/>
          <w:sz w:val="32"/>
          <w:szCs w:val="32"/>
          <w:highlight w:val="none"/>
          <w:lang w:val="en-US" w:eastAsia="zh-CN" w:bidi="ar-SA"/>
        </w:rPr>
        <w:t>66.77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主要变动原因是工资福利以及人员变动。</w:t>
      </w:r>
    </w:p>
    <w:p>
      <w:pPr>
        <w:pStyle w:val="7"/>
        <w:rPr>
          <w:rFonts w:hint="eastAsia"/>
          <w:lang w:val="en-US" w:eastAsia="zh-CN"/>
        </w:rPr>
      </w:pPr>
      <w:r>
        <w:rPr>
          <w:rFonts w:hint="eastAsia" w:eastAsia="仿宋_GB2312" w:cs="仿宋_GB2312"/>
          <w:color w:val="0000FF"/>
          <w:kern w:val="2"/>
          <w:sz w:val="32"/>
          <w:szCs w:val="32"/>
          <w:highlight w:val="none"/>
          <w:lang w:val="en-US" w:eastAsia="zh-CN" w:bidi="ar-SA"/>
        </w:rPr>
        <w:drawing>
          <wp:inline distT="0" distB="0" distL="114300" distR="114300">
            <wp:extent cx="5117465" cy="2127885"/>
            <wp:effectExtent l="4445" t="4445" r="21590" b="2032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1"/>
          <w:rFonts w:ascii="Times New Roman" w:hAnsi="Times New Roman" w:eastAsia="黑体"/>
          <w:b w:val="0"/>
          <w:color w:val="auto"/>
          <w:highlight w:val="none"/>
        </w:rPr>
      </w:pPr>
      <w:bookmarkStart w:id="23" w:name="_Toc15377209"/>
      <w:bookmarkStart w:id="24"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3"/>
      <w:bookmarkEnd w:id="2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5"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5"/>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656.53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99.63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66.77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11.37%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未收入2025年预算。</w:t>
      </w:r>
    </w:p>
    <w:p>
      <w:pPr>
        <w:pStyle w:val="7"/>
        <w:rPr>
          <w:rFonts w:hint="default" w:eastAsia="仿宋_GB2312" w:cs="仿宋_GB2312"/>
          <w:color w:val="auto"/>
          <w:kern w:val="2"/>
          <w:sz w:val="32"/>
          <w:szCs w:val="32"/>
          <w:highlight w:val="none"/>
          <w:lang w:val="en-US" w:eastAsia="zh-CN" w:bidi="ar-SA"/>
        </w:rPr>
      </w:pPr>
      <w:r>
        <w:drawing>
          <wp:inline distT="0" distB="0" distL="114300" distR="114300">
            <wp:extent cx="5114925" cy="2058670"/>
            <wp:effectExtent l="4445" t="4445" r="5080" b="13335"/>
            <wp:docPr id="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6"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656.53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一般公共服务支出499.7万元，占</w:t>
      </w:r>
      <w:r>
        <w:rPr>
          <w:rFonts w:hint="eastAsia" w:eastAsia="仿宋_GB2312" w:cs="仿宋_GB2312"/>
          <w:color w:val="auto"/>
          <w:kern w:val="2"/>
          <w:sz w:val="32"/>
          <w:szCs w:val="32"/>
          <w:highlight w:val="none"/>
          <w:lang w:val="en-US" w:eastAsia="zh-CN" w:bidi="ar-SA"/>
        </w:rPr>
        <w:t>76.11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45.19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6.88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19.18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2.92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农林水支出69.72万元，占10.62%；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22.74</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占3.46</w:t>
      </w:r>
      <w:r>
        <w:rPr>
          <w:rFonts w:hint="eastAsia" w:ascii="Times New Roman" w:hAnsi="Times New Roman" w:eastAsia="仿宋_GB2312" w:cs="仿宋_GB2312"/>
          <w:color w:val="auto"/>
          <w:kern w:val="2"/>
          <w:sz w:val="32"/>
          <w:szCs w:val="32"/>
          <w:highlight w:val="none"/>
          <w:lang w:val="en-US" w:eastAsia="zh-CN" w:bidi="ar-SA"/>
        </w:rPr>
        <w:t>%；</w:t>
      </w:r>
    </w:p>
    <w:p>
      <w:pPr>
        <w:pStyle w:val="7"/>
        <w:jc w:val="center"/>
        <w:rPr>
          <w:rFonts w:hint="eastAsia"/>
          <w:lang w:val="en-US" w:eastAsia="zh-CN"/>
        </w:rPr>
      </w:pPr>
      <w:r>
        <w:drawing>
          <wp:inline distT="0" distB="0" distL="114300" distR="114300">
            <wp:extent cx="4951730" cy="3137535"/>
            <wp:effectExtent l="4445" t="4445" r="15875" b="2032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7"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8" w:name="_Toc15377213"/>
      <w:bookmarkStart w:id="29" w:name="_Toc15378460"/>
      <w:bookmarkStart w:id="30"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656.53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8"/>
      <w:bookmarkEnd w:id="29"/>
      <w:bookmarkEnd w:id="30"/>
    </w:p>
    <w:p>
      <w:pPr>
        <w:numPr>
          <w:ilvl w:val="0"/>
          <w:numId w:val="2"/>
        </w:numPr>
        <w:spacing w:line="600" w:lineRule="exact"/>
        <w:ind w:left="-1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249.73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，决算数与预算数持平；</w:t>
      </w:r>
    </w:p>
    <w:p>
      <w:pPr>
        <w:numPr>
          <w:ilvl w:val="0"/>
          <w:numId w:val="2"/>
        </w:numPr>
        <w:spacing w:line="600" w:lineRule="exact"/>
        <w:ind w:left="-10" w:leftChars="0" w:firstLine="640" w:firstLineChars="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一般行政管理事务（项）：支出决算数为8万元，完成预算数100%，决算数与预算数持平；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民族工作专项（项）：支出决算数为12.6万元，完成预算数100%，决算数与预算数持平；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其他民族事务支出（项）：支出决算数为75.2万元，完成预算数100%，决算数与预算数持平；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一般公共服务（类）统战事务（款）一般行政管理事务（项）：支出决算数为37.23万元，完成预算数100%，决算数与预算数持平；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一般公共服务（类）统战事务（款）宗教事务（项）：支出决算数为114.51万元，完成预算数100%，决算数与预算数持平；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社会保障和就业支出（类）行政事业单位养老支出（款）机关事业单位基本养老保险缴费支出（项）：支出决算数为30.13万元，完成预算数100%，决算数与预算数持平；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社会保障和就业支出（类）行政事业单位养老支出（款）机关事业单位职业年金缴费支出（项）：支出决算数为15.06万元，完成预算数100%，决算数与预算数持平；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卫生健康支出（类）公共卫生（款）重大公共卫生服务（项）：支出决算数为2.97万元，完成预算数100%，决算数与预算数持平；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卫生健康支出（类）行政事业单位医疗（款）行政单位医疗（项）：支出决算数为13.07万元，完成预算数100%，决算数与预算数持平；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卫生健康支出（类）行政事业单位医疗（款）公务员医疗补助（项）：支出决算数为3.14万元，完成预算数100%，决算数与预算数持平；</w:t>
      </w:r>
    </w:p>
    <w:p>
      <w:pPr>
        <w:numPr>
          <w:ilvl w:val="0"/>
          <w:numId w:val="2"/>
        </w:numPr>
        <w:spacing w:line="600" w:lineRule="exact"/>
        <w:ind w:left="-10" w:leftChars="0"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农林水支出（类）巩固拓展脱贫攻坚成果衔接乡村振兴（款）其他巩固拓展脱贫攻坚成果衔接乡村振兴支出（项）：支出决算数为69.72万元，完成预算数100%，决算数与预算数持平；</w:t>
      </w:r>
    </w:p>
    <w:p>
      <w:pPr>
        <w:numPr>
          <w:ilvl w:val="0"/>
          <w:numId w:val="2"/>
        </w:numPr>
        <w:spacing w:line="600" w:lineRule="exact"/>
        <w:ind w:left="-10" w:leftChars="0" w:firstLine="640" w:firstLineChars="0"/>
        <w:rPr>
          <w:rFonts w:hint="eastAsia"/>
          <w:lang w:val="en-US" w:eastAsia="zh-CN"/>
        </w:rPr>
      </w:pPr>
      <w:r>
        <w:rPr>
          <w:rFonts w:hint="eastAsia" w:eastAsia="仿宋_GB2312" w:cs="仿宋_GB2312"/>
          <w:color w:val="auto"/>
          <w:kern w:val="2"/>
          <w:sz w:val="32"/>
          <w:szCs w:val="32"/>
          <w:highlight w:val="none"/>
          <w:lang w:val="en-US" w:eastAsia="zh-CN" w:bidi="ar-SA"/>
        </w:rPr>
        <w:t>住房保障支出（类）住房改革支出（款）住房公积金（项）：支出决算数为22.74万元，完成预算数100%，决算数与预算数持平；</w:t>
      </w:r>
    </w:p>
    <w:p>
      <w:pPr>
        <w:tabs>
          <w:tab w:val="right" w:pos="8306"/>
        </w:tabs>
        <w:spacing w:line="600" w:lineRule="exact"/>
        <w:ind w:firstLine="640"/>
        <w:outlineLvl w:val="1"/>
        <w:rPr>
          <w:rStyle w:val="31"/>
          <w:rFonts w:ascii="Times New Roman" w:hAnsi="Times New Roman"/>
          <w:color w:val="auto"/>
          <w:highlight w:val="none"/>
        </w:rPr>
      </w:pPr>
      <w:bookmarkStart w:id="31" w:name="_Toc15377214"/>
      <w:bookmarkStart w:id="3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1"/>
      <w:bookmarkEnd w:id="32"/>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w:t>
      </w:r>
      <w:r>
        <w:rPr>
          <w:rFonts w:hint="eastAsia" w:eastAsia="仿宋_GB2312" w:cs="仿宋_GB2312"/>
          <w:color w:val="auto"/>
          <w:kern w:val="2"/>
          <w:sz w:val="32"/>
          <w:szCs w:val="32"/>
          <w:highlight w:val="none"/>
          <w:lang w:val="en-US" w:eastAsia="zh-CN" w:bidi="ar-SA"/>
        </w:rPr>
        <w:t>出333.88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305.1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28.78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Fonts w:hint="eastAsia" w:ascii="Times New Roman" w:hAnsi="Times New Roman" w:eastAsia="黑体"/>
          <w:color w:val="auto"/>
          <w:sz w:val="32"/>
          <w:szCs w:val="32"/>
          <w:highlight w:val="none"/>
        </w:rPr>
      </w:pPr>
      <w:bookmarkStart w:id="33" w:name="_Toc15377215"/>
      <w:bookmarkStart w:id="34" w:name="_Toc15396609"/>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3"/>
      <w:bookmarkEnd w:id="34"/>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5"/>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0.53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17.26</w:t>
      </w:r>
      <w:r>
        <w:rPr>
          <w:rFonts w:hint="eastAsia" w:ascii="Times New Roman" w:hAnsi="Times New Roman" w:eastAsia="仿宋_GB2312" w:cs="仿宋_GB2312"/>
          <w:color w:val="auto"/>
          <w:kern w:val="2"/>
          <w:sz w:val="32"/>
          <w:szCs w:val="32"/>
          <w:highlight w:val="none"/>
          <w:lang w:val="en-US" w:eastAsia="zh-CN" w:bidi="ar-SA"/>
        </w:rPr>
        <w:t>%。决算与预算数持平</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outlineLvl w:val="2"/>
        <w:rPr>
          <w:rFonts w:hint="eastAsia" w:ascii="Times New Roman" w:hAnsi="Times New Roman" w:eastAsia="楷体_GB2312" w:cs="楷体_GB2312"/>
          <w:b/>
          <w:color w:val="auto"/>
          <w:sz w:val="32"/>
          <w:szCs w:val="32"/>
          <w:highlight w:val="none"/>
        </w:rPr>
      </w:pPr>
      <w:bookmarkStart w:id="3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6"/>
    </w:p>
    <w:p>
      <w:pPr>
        <w:keepNext w:val="0"/>
        <w:keepLines w:val="0"/>
        <w:pageBreakBefore w:val="0"/>
        <w:widowControl w:val="0"/>
        <w:kinsoku/>
        <w:wordWrap/>
        <w:overflowPunct/>
        <w:topLinePunct w:val="0"/>
        <w:autoSpaceDE/>
        <w:autoSpaceDN/>
        <w:bidi w:val="0"/>
        <w:adjustRightInd/>
        <w:snapToGrid/>
        <w:spacing w:line="60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7"/>
        <w:jc w:val="center"/>
        <w:rPr>
          <w:rFonts w:hint="eastAsia"/>
          <w:lang w:val="en-US" w:eastAsia="zh-CN"/>
        </w:rPr>
      </w:pPr>
      <w:r>
        <w:rPr>
          <w:rFonts w:hint="eastAsia"/>
          <w:lang w:val="en-US" w:eastAsia="zh-CN"/>
        </w:rPr>
        <w:drawing>
          <wp:inline distT="0" distB="0" distL="114300" distR="114300">
            <wp:extent cx="4692015" cy="2769870"/>
            <wp:effectExtent l="4445" t="4445" r="8890" b="698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与上年决算持平。</w:t>
      </w:r>
    </w:p>
    <w:p>
      <w:pPr>
        <w:spacing w:line="600" w:lineRule="exact"/>
        <w:ind w:firstLine="642"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0.53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17.11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本单位年度用车维护次数增加。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单位人员出差以及下乡等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与上年决算持平。</w:t>
      </w:r>
    </w:p>
    <w:p>
      <w:pPr>
        <w:numPr>
          <w:ilvl w:val="0"/>
          <w:numId w:val="3"/>
        </w:num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无相关开支</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无相关开支</w:t>
      </w:r>
      <w:r>
        <w:rPr>
          <w:rFonts w:hint="eastAsia" w:ascii="Times New Roman" w:hAnsi="Times New Roman" w:eastAsia="仿宋_GB2312" w:cs="仿宋_GB2312"/>
          <w:color w:val="auto"/>
          <w:kern w:val="2"/>
          <w:sz w:val="32"/>
          <w:szCs w:val="32"/>
          <w:highlight w:val="none"/>
          <w:lang w:val="en-US" w:eastAsia="zh-CN" w:bidi="ar-SA"/>
        </w:rPr>
        <w:t>。</w:t>
      </w:r>
      <w:bookmarkStart w:id="37" w:name="_Toc15377218"/>
      <w:bookmarkStart w:id="38" w:name="_Toc15396610"/>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37"/>
      <w:bookmarkEnd w:id="38"/>
    </w:p>
    <w:p>
      <w:pPr>
        <w:spacing w:line="600" w:lineRule="exact"/>
        <w:ind w:firstLine="640"/>
        <w:rPr>
          <w:rStyle w:val="31"/>
          <w:rFonts w:hint="eastAsia" w:ascii="Times New Roman" w:hAnsi="Times New Roman" w:eastAsia="黑体"/>
          <w:b w:val="0"/>
          <w:color w:val="auto"/>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无增减</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b w:val="0"/>
          <w:bCs w:val="0"/>
          <w:color w:val="auto"/>
          <w:kern w:val="2"/>
          <w:sz w:val="32"/>
          <w:szCs w:val="32"/>
          <w:highlight w:val="none"/>
          <w:lang w:val="en-US" w:eastAsia="zh-CN" w:bidi="ar-SA"/>
        </w:rPr>
        <w:t>支出数与上年持平。</w:t>
      </w:r>
      <w:bookmarkStart w:id="39" w:name="_Toc15377219"/>
      <w:bookmarkStart w:id="40" w:name="_Toc15396611"/>
    </w:p>
    <w:p>
      <w:pPr>
        <w:spacing w:line="600" w:lineRule="exact"/>
        <w:ind w:firstLine="640"/>
        <w:rPr>
          <w:rStyle w:val="31"/>
          <w:rFonts w:ascii="Times New Roman" w:hAnsi="Times New Roman" w:eastAsia="黑体"/>
          <w:b w:val="0"/>
          <w:color w:val="auto"/>
          <w:highlight w:val="none"/>
        </w:rPr>
      </w:pPr>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39"/>
      <w:bookmarkEnd w:id="40"/>
    </w:p>
    <w:p>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无增减</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b w:val="0"/>
          <w:bCs w:val="0"/>
          <w:color w:val="auto"/>
          <w:kern w:val="2"/>
          <w:sz w:val="32"/>
          <w:szCs w:val="32"/>
          <w:highlight w:val="none"/>
          <w:lang w:val="en-US" w:eastAsia="zh-CN" w:bidi="ar-SA"/>
        </w:rPr>
        <w:t>支出数与上年持平。</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1" w:name="_Toc15377221"/>
      <w:bookmarkStart w:id="42"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1"/>
      <w:bookmarkEnd w:id="4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3" w:name="_Toc15377222"/>
      <w:r>
        <w:rPr>
          <w:rFonts w:hint="eastAsia" w:ascii="Times New Roman" w:hAnsi="Times New Roman" w:eastAsia="楷体_GB2312" w:cs="楷体_GB2312"/>
          <w:b/>
          <w:color w:val="auto"/>
          <w:sz w:val="32"/>
          <w:szCs w:val="32"/>
          <w:highlight w:val="none"/>
        </w:rPr>
        <w:t>（一）机关运行经费支出情况</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壤塘县民族宗教局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28.78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本年度单位人员增加，宗教业务、基层调研、出差频率等有所增加。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4" w:name="_Toc15377223"/>
      <w:r>
        <w:rPr>
          <w:rFonts w:hint="eastAsia" w:ascii="Times New Roman" w:hAnsi="Times New Roman" w:eastAsia="楷体_GB2312" w:cs="楷体_GB2312"/>
          <w:b/>
          <w:color w:val="auto"/>
          <w:sz w:val="32"/>
          <w:szCs w:val="32"/>
          <w:highlight w:val="none"/>
        </w:rPr>
        <w:t>（二）政府采购支出情况</w:t>
      </w:r>
      <w:bookmarkEnd w:id="44"/>
    </w:p>
    <w:p>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壤塘县民族宗教局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45" w:name="_Toc15377224"/>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壤塘县民族宗教局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单位人员开展日常出差下乡等工作。</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壤塘县民族宗教局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元旦春节慰问活动经费、向上争取项目奖励金、2025年州本级民族事业发展资金、宗教活动场所民管会成员生活补助、壤塘县2025年民族手工业融合创新项目、壤塘县民族团结进步创建提质增效建设项目、</w:t>
      </w:r>
      <w:r>
        <w:rPr>
          <w:rFonts w:hint="eastAsia" w:ascii="Times New Roman" w:hAnsi="Times New Roman" w:eastAsia="仿宋_GB2312" w:cs="仿宋_GB2312"/>
          <w:color w:val="auto"/>
          <w:kern w:val="2"/>
          <w:sz w:val="32"/>
          <w:szCs w:val="32"/>
          <w:highlight w:val="none"/>
          <w:lang w:val="en-US" w:eastAsia="zh-CN" w:bidi="ar-SA"/>
        </w:rPr>
        <w:t>仁棚等五处修行安置点网格员补助1</w:t>
      </w:r>
      <w:r>
        <w:rPr>
          <w:rFonts w:hint="eastAsia" w:eastAsia="仿宋_GB2312" w:cs="仿宋_GB2312"/>
          <w:color w:val="auto"/>
          <w:kern w:val="2"/>
          <w:sz w:val="32"/>
          <w:szCs w:val="32"/>
          <w:highlight w:val="none"/>
          <w:lang w:val="en-US" w:eastAsia="zh-CN" w:bidi="ar-SA"/>
        </w:rPr>
        <w:t>、寺庙民管会补助1</w:t>
      </w:r>
      <w:r>
        <w:rPr>
          <w:rFonts w:hint="eastAsia" w:ascii="Times New Roman" w:hAnsi="Times New Roman" w:eastAsia="仿宋_GB2312" w:cs="仿宋_GB2312"/>
          <w:color w:val="auto"/>
          <w:kern w:val="2"/>
          <w:sz w:val="32"/>
          <w:szCs w:val="32"/>
          <w:highlight w:val="none"/>
          <w:lang w:val="en-US" w:eastAsia="zh-CN" w:bidi="ar-SA"/>
        </w:rPr>
        <w:t>（项目名称）</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222.79</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1个</w:t>
      </w:r>
      <w:r>
        <w:rPr>
          <w:rFonts w:hint="eastAsia" w:ascii="Times New Roman" w:hAnsi="Times New Roman" w:eastAsia="仿宋_GB2312" w:cs="仿宋_GB2312"/>
          <w:color w:val="auto"/>
          <w:kern w:val="2"/>
          <w:sz w:val="32"/>
          <w:szCs w:val="32"/>
          <w:highlight w:val="none"/>
          <w:lang w:val="en-US" w:eastAsia="zh-CN" w:bidi="ar-SA"/>
        </w:rPr>
        <w:t>项目编制了绩效目标，预算执行过程中，选取</w:t>
      </w:r>
      <w:r>
        <w:rPr>
          <w:rFonts w:hint="eastAsia" w:eastAsia="仿宋_GB2312" w:cs="仿宋_GB2312"/>
          <w:color w:val="auto"/>
          <w:kern w:val="2"/>
          <w:sz w:val="32"/>
          <w:szCs w:val="32"/>
          <w:highlight w:val="none"/>
          <w:lang w:val="en-US" w:eastAsia="zh-CN" w:bidi="ar-SA"/>
        </w:rPr>
        <w:t>16个</w:t>
      </w:r>
      <w:r>
        <w:rPr>
          <w:rFonts w:hint="eastAsia" w:ascii="Times New Roman" w:hAnsi="Times New Roman" w:eastAsia="仿宋_GB2312" w:cs="仿宋_GB2312"/>
          <w:color w:val="auto"/>
          <w:kern w:val="2"/>
          <w:sz w:val="32"/>
          <w:szCs w:val="32"/>
          <w:highlight w:val="none"/>
          <w:lang w:val="en-US" w:eastAsia="zh-CN" w:bidi="ar-SA"/>
        </w:rPr>
        <w:t>项目开展绩效监控。</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color w:val="auto"/>
          <w:sz w:val="32"/>
          <w:szCs w:val="32"/>
          <w:lang w:val="en-US" w:eastAsia="zh-CN"/>
        </w:rPr>
        <w:t>壤塘县2025年“健康饮茶”送茶入户项目、壤塘县民族团结进步创建提质增效建设项目</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 xml:space="preserve">   </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Times New Roman" w:hAnsi="Times New Roman" w:eastAsia="仿宋_GB2312" w:cs="Times New Roman"/>
          <w:color w:val="auto"/>
          <w:sz w:val="32"/>
          <w:szCs w:val="32"/>
          <w:lang w:val="en-US" w:eastAsia="zh-CN"/>
        </w:rPr>
        <w:t>壤塘县2025年“健康饮茶”送茶入户项目</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95.1</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壤塘县2025年健康饮茶“送茶入户”项目，安排少数民族发展补助资金20万元，资金到位率100%，实际支出19.7661万元。项目覆盖全县11个乡镇，为350户1607名2018年底未脱贫建档立卡贫困户免费发放低氟边销茶。我局成立项目自评小组，按规定以询价方式开展采购，按期完成物资发放，项目财务管理规范，保障资金安全。项目实施普及低氟茶健康知识，提升农牧民群众获得感，助力乡村振兴。项目全过程主动接受财政、乡村振兴等部门监督，整体实施成效良好。后续将持续规范项目管理，进一步提升财政资金使用效益</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sz w:val="32"/>
          <w:szCs w:val="32"/>
          <w:lang w:val="en-US" w:eastAsia="zh-CN"/>
        </w:rPr>
        <w:t>壤塘县民族团结进步创建提质增效建设项目</w:t>
      </w:r>
      <w:r>
        <w:rPr>
          <w:rFonts w:hint="eastAsia" w:ascii="Times New Roman" w:hAnsi="Times New Roman" w:eastAsia="仿宋_GB2312" w:cs="仿宋_GB2312"/>
          <w:color w:val="auto"/>
          <w:kern w:val="2"/>
          <w:sz w:val="32"/>
          <w:szCs w:val="32"/>
          <w:highlight w:val="none"/>
          <w:lang w:val="en-US" w:eastAsia="zh-CN" w:bidi="ar-SA"/>
        </w:rPr>
        <w:t>等专项预算项目绩效自评得分为</w:t>
      </w:r>
      <w:r>
        <w:rPr>
          <w:rFonts w:hint="eastAsia" w:eastAsia="仿宋_GB2312" w:cs="仿宋_GB2312"/>
          <w:color w:val="auto"/>
          <w:kern w:val="2"/>
          <w:sz w:val="32"/>
          <w:szCs w:val="32"/>
          <w:highlight w:val="none"/>
          <w:lang w:val="en-US" w:eastAsia="zh-CN" w:bidi="ar-SA"/>
        </w:rPr>
        <w:t>95.1</w:t>
      </w:r>
      <w:r>
        <w:rPr>
          <w:rFonts w:hint="eastAsia" w:ascii="Times New Roman" w:hAnsi="Times New Roman" w:eastAsia="仿宋_GB2312" w:cs="仿宋_GB2312"/>
          <w:color w:val="auto"/>
          <w:kern w:val="2"/>
          <w:sz w:val="32"/>
          <w:szCs w:val="32"/>
          <w:highlight w:val="none"/>
          <w:lang w:val="en-US" w:eastAsia="zh-CN" w:bidi="ar-SA"/>
        </w:rPr>
        <w:t>分，本项目为2025年省级民族事业发展专项资金项目，预算总额60万元，资金已全额到位，实际支出22.93万元。项目严格依照专项资金管理办法实施，聚焦民族团结进步创建提质增效，重点开展民族非遗文化传承、民族手工业创新发展、文旅融合提升相关工作，实施范围覆盖全县11个乡镇。本次自评通过成立自评小组，采取单位自评、实地踏勘的方式开展评价项目实施</w:t>
      </w:r>
      <w:r>
        <w:rPr>
          <w:rFonts w:hint="eastAsia" w:eastAsia="仿宋_GB2312" w:cs="仿宋_GB2312"/>
          <w:color w:val="auto"/>
          <w:kern w:val="2"/>
          <w:sz w:val="32"/>
          <w:szCs w:val="32"/>
          <w:highlight w:val="none"/>
          <w:lang w:val="en-US" w:eastAsia="zh-CN" w:bidi="ar-SA"/>
        </w:rPr>
        <w:t>情况</w:t>
      </w:r>
      <w:r>
        <w:rPr>
          <w:rFonts w:hint="eastAsia" w:ascii="Times New Roman" w:hAnsi="Times New Roman" w:eastAsia="仿宋_GB2312" w:cs="仿宋_GB2312"/>
          <w:color w:val="auto"/>
          <w:kern w:val="2"/>
          <w:sz w:val="32"/>
          <w:szCs w:val="32"/>
          <w:highlight w:val="none"/>
          <w:lang w:val="en-US" w:eastAsia="zh-CN" w:bidi="ar-SA"/>
        </w:rPr>
        <w:t>同时也暴露出品牌影响力不强，项目绩效全过程动态监管机制仍需完善等短板。下一步，我局将健全项目全周期跟踪问效机制，落实常态化督查和绩效反馈，切实提高专项资金使用效益。</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6" w:name="_Toc15377225"/>
      <w:bookmarkStart w:id="47"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6"/>
      <w:bookmarkEnd w:id="47"/>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（项）：指反映本单位保障机构正常运转的基本支出，含人员经费、公用经费</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一般行政管理事务（项）</w:t>
      </w:r>
      <w:r>
        <w:rPr>
          <w:rFonts w:hint="eastAsia" w:ascii="Times New Roman" w:hAnsi="Times New Roman" w:eastAsia="仿宋_GB2312" w:cs="仿宋_GB2312"/>
          <w:color w:val="auto"/>
          <w:kern w:val="2"/>
          <w:sz w:val="32"/>
          <w:szCs w:val="32"/>
          <w:highlight w:val="none"/>
          <w:lang w:val="en-US" w:eastAsia="zh-CN" w:bidi="ar-SA"/>
        </w:rPr>
        <w:t>：指指反映民族事务行政管理方面未单独设置项级科目的其他项目支出。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民族工作专项（项）</w:t>
      </w:r>
      <w:r>
        <w:rPr>
          <w:rFonts w:hint="eastAsia" w:ascii="Times New Roman" w:hAnsi="Times New Roman" w:eastAsia="仿宋_GB2312" w:cs="仿宋_GB2312"/>
          <w:color w:val="auto"/>
          <w:kern w:val="2"/>
          <w:sz w:val="32"/>
          <w:szCs w:val="32"/>
          <w:highlight w:val="none"/>
          <w:lang w:val="en-US" w:eastAsia="zh-CN" w:bidi="ar-SA"/>
        </w:rPr>
        <w:t>：指指反映开展民族团结宣传、民族领域维稳、民族事务治理等专项工作的支出。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12.一般公共服务（类）</w:t>
      </w:r>
      <w:r>
        <w:rPr>
          <w:rFonts w:hint="eastAsia" w:eastAsia="仿宋_GB2312" w:cs="仿宋_GB2312"/>
          <w:color w:val="auto"/>
          <w:kern w:val="2"/>
          <w:sz w:val="32"/>
          <w:szCs w:val="32"/>
          <w:highlight w:val="none"/>
          <w:lang w:val="en-US" w:eastAsia="zh-CN" w:bidi="ar-SA"/>
        </w:rPr>
        <w:t>民族事务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其他民族事务支出（项）</w:t>
      </w:r>
      <w:r>
        <w:rPr>
          <w:rFonts w:hint="eastAsia" w:ascii="Times New Roman" w:hAnsi="Times New Roman" w:eastAsia="仿宋_GB2312" w:cs="仿宋_GB2312"/>
          <w:color w:val="auto"/>
          <w:kern w:val="2"/>
          <w:sz w:val="32"/>
          <w:szCs w:val="32"/>
          <w:highlight w:val="none"/>
          <w:lang w:val="en-US" w:eastAsia="zh-CN" w:bidi="ar-SA"/>
        </w:rPr>
        <w:t>：指反映除上述项目以外其他用于民族事务方面的支出。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w:t>
      </w:r>
      <w:r>
        <w:rPr>
          <w:rFonts w:hint="eastAsia" w:eastAsia="仿宋_GB2312" w:cs="仿宋_GB2312"/>
          <w:color w:val="auto"/>
          <w:kern w:val="2"/>
          <w:sz w:val="32"/>
          <w:szCs w:val="32"/>
          <w:highlight w:val="none"/>
          <w:lang w:val="en-US" w:eastAsia="zh-CN" w:bidi="ar-SA"/>
        </w:rPr>
        <w:t>一般公共服务（类）统战事务（款）一般行政管理事务（项）</w:t>
      </w:r>
      <w:r>
        <w:rPr>
          <w:rFonts w:hint="eastAsia" w:ascii="Times New Roman" w:hAnsi="Times New Roman" w:eastAsia="仿宋_GB2312" w:cs="仿宋_GB2312"/>
          <w:color w:val="auto"/>
          <w:kern w:val="2"/>
          <w:sz w:val="32"/>
          <w:szCs w:val="32"/>
          <w:highlight w:val="none"/>
          <w:lang w:val="en-US" w:eastAsia="zh-CN" w:bidi="ar-SA"/>
        </w:rPr>
        <w:t>：指反映统战事务行政管理方面未单独设置项级科目的其他项目支出。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w:t>
      </w:r>
      <w:r>
        <w:rPr>
          <w:rFonts w:hint="eastAsia" w:eastAsia="仿宋_GB2312" w:cs="仿宋_GB2312"/>
          <w:color w:val="auto"/>
          <w:kern w:val="2"/>
          <w:sz w:val="32"/>
          <w:szCs w:val="32"/>
          <w:highlight w:val="none"/>
          <w:lang w:val="en-US" w:eastAsia="zh-CN" w:bidi="ar-SA"/>
        </w:rPr>
        <w:t>社会保障和就业支出（类）行政事业单位养老支出（款）机关事业单位基本养老保险缴费支出（项）</w:t>
      </w:r>
      <w:r>
        <w:rPr>
          <w:rFonts w:hint="eastAsia" w:ascii="Times New Roman" w:hAnsi="Times New Roman" w:eastAsia="仿宋_GB2312" w:cs="仿宋_GB2312"/>
          <w:color w:val="auto"/>
          <w:kern w:val="2"/>
          <w:sz w:val="32"/>
          <w:szCs w:val="32"/>
          <w:highlight w:val="none"/>
          <w:lang w:val="en-US" w:eastAsia="zh-CN" w:bidi="ar-SA"/>
        </w:rPr>
        <w:t>：指反映机关事业单位缴纳基本养老保险费的支出。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w:t>
      </w:r>
      <w:r>
        <w:rPr>
          <w:rFonts w:hint="eastAsia" w:eastAsia="仿宋_GB2312" w:cs="仿宋_GB2312"/>
          <w:color w:val="auto"/>
          <w:kern w:val="2"/>
          <w:sz w:val="32"/>
          <w:szCs w:val="32"/>
          <w:highlight w:val="none"/>
          <w:lang w:val="en-US" w:eastAsia="zh-CN" w:bidi="ar-SA"/>
        </w:rPr>
        <w:t>社会保障和就业支出（类）行政事业单位养老支出（款）机关事业单位职业年金缴费支出（项）</w:t>
      </w:r>
      <w:r>
        <w:rPr>
          <w:rFonts w:hint="eastAsia" w:ascii="Times New Roman" w:hAnsi="Times New Roman" w:eastAsia="仿宋_GB2312" w:cs="仿宋_GB2312"/>
          <w:color w:val="auto"/>
          <w:kern w:val="2"/>
          <w:sz w:val="32"/>
          <w:szCs w:val="32"/>
          <w:highlight w:val="none"/>
          <w:lang w:val="en-US" w:eastAsia="zh-CN" w:bidi="ar-SA"/>
        </w:rPr>
        <w:t>：指反映机关事业单位缴纳职业年金的支出。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w:t>
      </w:r>
      <w:r>
        <w:rPr>
          <w:rFonts w:hint="eastAsia" w:eastAsia="仿宋_GB2312" w:cs="仿宋_GB2312"/>
          <w:color w:val="auto"/>
          <w:kern w:val="2"/>
          <w:sz w:val="32"/>
          <w:szCs w:val="32"/>
          <w:highlight w:val="none"/>
          <w:lang w:val="en-US" w:eastAsia="zh-CN" w:bidi="ar-SA"/>
        </w:rPr>
        <w:t>卫生健康支出（类）公共卫生（款）重大公共卫生服务（项）</w:t>
      </w:r>
      <w:r>
        <w:rPr>
          <w:rFonts w:hint="eastAsia" w:ascii="Times New Roman" w:hAnsi="Times New Roman" w:eastAsia="仿宋_GB2312" w:cs="仿宋_GB2312"/>
          <w:color w:val="auto"/>
          <w:kern w:val="2"/>
          <w:sz w:val="32"/>
          <w:szCs w:val="32"/>
          <w:highlight w:val="none"/>
          <w:lang w:val="en-US" w:eastAsia="zh-CN" w:bidi="ar-SA"/>
        </w:rPr>
        <w:t>：指反映重大疾病防控等重大公共卫生专项工作支出。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w:t>
      </w:r>
      <w:r>
        <w:rPr>
          <w:rFonts w:hint="eastAsia" w:eastAsia="仿宋_GB2312" w:cs="仿宋_GB2312"/>
          <w:color w:val="auto"/>
          <w:kern w:val="2"/>
          <w:sz w:val="32"/>
          <w:szCs w:val="32"/>
          <w:highlight w:val="none"/>
          <w:lang w:val="en-US" w:eastAsia="zh-CN" w:bidi="ar-SA"/>
        </w:rPr>
        <w:t>卫生健康支出（类）行政事业单位医疗（款）行政单位医疗（项）：</w:t>
      </w:r>
      <w:r>
        <w:rPr>
          <w:rFonts w:hint="eastAsia" w:ascii="Times New Roman" w:hAnsi="Times New Roman" w:eastAsia="仿宋_GB2312" w:cs="仿宋_GB2312"/>
          <w:color w:val="auto"/>
          <w:kern w:val="2"/>
          <w:sz w:val="32"/>
          <w:szCs w:val="32"/>
          <w:highlight w:val="none"/>
          <w:lang w:val="en-US" w:eastAsia="zh-CN" w:bidi="ar-SA"/>
        </w:rPr>
        <w:t>指反映行政单位在职人员基本医疗保险缴费支出。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w:t>
      </w:r>
      <w:r>
        <w:rPr>
          <w:rFonts w:hint="eastAsia" w:eastAsia="仿宋_GB2312" w:cs="仿宋_GB2312"/>
          <w:color w:val="auto"/>
          <w:kern w:val="2"/>
          <w:sz w:val="32"/>
          <w:szCs w:val="32"/>
          <w:highlight w:val="none"/>
          <w:lang w:val="en-US" w:eastAsia="zh-CN" w:bidi="ar-SA"/>
        </w:rPr>
        <w:t>卫生健康支出（类）行政事业单位医疗（款）公务员医疗补助（项）</w:t>
      </w:r>
      <w:r>
        <w:rPr>
          <w:rFonts w:hint="eastAsia" w:ascii="Times New Roman" w:hAnsi="Times New Roman" w:eastAsia="仿宋_GB2312" w:cs="仿宋_GB2312"/>
          <w:color w:val="auto"/>
          <w:kern w:val="2"/>
          <w:sz w:val="32"/>
          <w:szCs w:val="32"/>
          <w:highlight w:val="none"/>
          <w:lang w:val="en-US" w:eastAsia="zh-CN" w:bidi="ar-SA"/>
        </w:rPr>
        <w:t>：指反映按政策规定为单位公务员缴纳公务员医疗补助经费的支出，用于公务员医疗补助保障。</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w:t>
      </w:r>
      <w:r>
        <w:rPr>
          <w:rFonts w:hint="eastAsia" w:eastAsia="仿宋_GB2312" w:cs="仿宋_GB2312"/>
          <w:color w:val="auto"/>
          <w:kern w:val="2"/>
          <w:sz w:val="32"/>
          <w:szCs w:val="32"/>
          <w:highlight w:val="none"/>
          <w:lang w:val="en-US" w:eastAsia="zh-CN" w:bidi="ar-SA"/>
        </w:rPr>
        <w:t>农林水支出（类）巩固拓展脱贫攻坚成果衔接乡村振兴（款）其他巩固拓展脱贫攻坚成果衔接乡村振兴支出（项）</w:t>
      </w:r>
      <w:r>
        <w:rPr>
          <w:rFonts w:hint="eastAsia" w:ascii="Times New Roman" w:hAnsi="Times New Roman" w:eastAsia="仿宋_GB2312" w:cs="仿宋_GB2312"/>
          <w:color w:val="auto"/>
          <w:kern w:val="2"/>
          <w:sz w:val="32"/>
          <w:szCs w:val="32"/>
          <w:highlight w:val="none"/>
          <w:lang w:val="en-US" w:eastAsia="zh-CN" w:bidi="ar-SA"/>
        </w:rPr>
        <w:t>：指反映除相关专项科目以外，用于巩固拓展脱贫攻坚成果、推进乡村振兴相关的其他工作支出。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w:t>
      </w:r>
      <w:r>
        <w:rPr>
          <w:rFonts w:hint="eastAsia" w:eastAsia="仿宋_GB2312" w:cs="仿宋_GB2312"/>
          <w:color w:val="auto"/>
          <w:kern w:val="2"/>
          <w:sz w:val="32"/>
          <w:szCs w:val="32"/>
          <w:highlight w:val="none"/>
          <w:lang w:val="en-US" w:eastAsia="zh-CN" w:bidi="ar-SA"/>
        </w:rPr>
        <w:t>住房保障支出（类）住房改革支出（款）住房公积金（项）</w:t>
      </w:r>
      <w:r>
        <w:rPr>
          <w:rFonts w:hint="eastAsia" w:ascii="Times New Roman" w:hAnsi="Times New Roman" w:eastAsia="仿宋_GB2312" w:cs="仿宋_GB2312"/>
          <w:color w:val="auto"/>
          <w:kern w:val="2"/>
          <w:sz w:val="32"/>
          <w:szCs w:val="32"/>
          <w:highlight w:val="none"/>
          <w:lang w:val="en-US" w:eastAsia="zh-CN" w:bidi="ar-SA"/>
        </w:rPr>
        <w:t>：指反映按照国家政策规定，为单位在职职工缴纳的住房公积金支出。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0"/>
          <w:rFonts w:hint="eastAsia" w:ascii="Times New Roman" w:hAnsi="Times New Roman" w:eastAsia="黑体"/>
          <w:b w:val="0"/>
          <w:color w:val="auto"/>
          <w:highlight w:val="none"/>
          <w:lang w:eastAsia="zh-CN"/>
        </w:rPr>
      </w:pPr>
      <w:bookmarkStart w:id="48"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9"/>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Style w:val="37"/>
          <w:rFonts w:hint="eastAsia" w:ascii="仿宋_GB2312" w:hAnsi="仿宋_GB2312" w:eastAsia="仿宋_GB2312" w:cs="Times New Roman"/>
          <w:color w:val="000000"/>
          <w:sz w:val="32"/>
          <w:szCs w:val="32"/>
        </w:rPr>
      </w:pPr>
      <w:r>
        <w:rPr>
          <w:rStyle w:val="37"/>
          <w:rFonts w:hint="eastAsia" w:ascii="仿宋_GB2312" w:hAnsi="仿宋_GB2312" w:eastAsia="仿宋_GB2312" w:cs="Times New Roman"/>
          <w:color w:val="000000"/>
          <w:sz w:val="32"/>
          <w:szCs w:val="32"/>
        </w:rPr>
        <w:t>壤塘县民族宗教局无下属二级单位</w:t>
      </w:r>
    </w:p>
    <w:p>
      <w:pPr>
        <w:keepNext w:val="0"/>
        <w:keepLines w:val="0"/>
        <w:pageBreakBefore w:val="0"/>
        <w:widowControl/>
        <w:kinsoku/>
        <w:wordWrap/>
        <w:overflowPunct/>
        <w:topLinePunct w:val="0"/>
        <w:autoSpaceDE/>
        <w:autoSpaceDN/>
        <w:bidi w:val="0"/>
        <w:adjustRightInd/>
        <w:snapToGrid/>
        <w:spacing w:line="600" w:lineRule="exact"/>
        <w:ind w:left="0" w:leftChars="0" w:firstLine="642" w:firstLineChars="200"/>
        <w:jc w:val="left"/>
        <w:textAlignment w:val="auto"/>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widowControl/>
        <w:kinsoku/>
        <w:wordWrap/>
        <w:overflowPunct/>
        <w:topLinePunct w:val="0"/>
        <w:autoSpaceDE/>
        <w:autoSpaceDN/>
        <w:bidi w:val="0"/>
        <w:adjustRightInd/>
        <w:snapToGrid/>
        <w:spacing w:line="600" w:lineRule="exact"/>
        <w:ind w:left="0" w:leftChars="0" w:firstLine="1280" w:firstLineChars="4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1</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加强宗教团体依法依规开展</w:t>
      </w:r>
      <w:r>
        <w:rPr>
          <w:rFonts w:hint="eastAsia" w:ascii="仿宋_GB2312" w:hAnsi="宋体" w:eastAsia="仿宋_GB2312" w:cs="宋体"/>
          <w:kern w:val="0"/>
          <w:sz w:val="32"/>
          <w:szCs w:val="32"/>
          <w:lang w:eastAsia="zh-CN"/>
        </w:rPr>
        <w:t>宗教</w:t>
      </w:r>
      <w:bookmarkStart w:id="65" w:name="_GoBack"/>
      <w:bookmarkEnd w:id="65"/>
      <w:r>
        <w:rPr>
          <w:rFonts w:hint="eastAsia" w:ascii="仿宋_GB2312" w:hAnsi="宋体" w:eastAsia="仿宋_GB2312" w:cs="宋体"/>
          <w:kern w:val="0"/>
          <w:sz w:val="32"/>
          <w:szCs w:val="32"/>
        </w:rPr>
        <w:t>活动。</w:t>
      </w:r>
    </w:p>
    <w:p>
      <w:pPr>
        <w:keepNext w:val="0"/>
        <w:keepLines w:val="0"/>
        <w:pageBreakBefore w:val="0"/>
        <w:widowControl/>
        <w:kinsoku/>
        <w:wordWrap/>
        <w:overflowPunct/>
        <w:topLinePunct w:val="0"/>
        <w:autoSpaceDE/>
        <w:autoSpaceDN/>
        <w:bidi w:val="0"/>
        <w:spacing w:line="600" w:lineRule="exact"/>
        <w:ind w:firstLine="1280" w:firstLineChars="4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加强宗教事务管理。</w:t>
      </w:r>
    </w:p>
    <w:p>
      <w:pPr>
        <w:keepNext w:val="0"/>
        <w:keepLines w:val="0"/>
        <w:pageBreakBefore w:val="0"/>
        <w:widowControl/>
        <w:kinsoku/>
        <w:wordWrap/>
        <w:overflowPunct/>
        <w:topLinePunct w:val="0"/>
        <w:autoSpaceDE/>
        <w:autoSpaceDN/>
        <w:bidi w:val="0"/>
        <w:spacing w:line="600" w:lineRule="exact"/>
        <w:ind w:firstLine="1280" w:firstLineChars="400"/>
        <w:jc w:val="left"/>
        <w:textAlignment w:val="auto"/>
        <w:rPr>
          <w:rFonts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依法履行宗教事务管理职责。</w:t>
      </w:r>
    </w:p>
    <w:p>
      <w:pPr>
        <w:keepNext w:val="0"/>
        <w:keepLines w:val="0"/>
        <w:pageBreakBefore w:val="0"/>
        <w:widowControl/>
        <w:kinsoku/>
        <w:wordWrap/>
        <w:overflowPunct/>
        <w:topLinePunct w:val="0"/>
        <w:autoSpaceDE/>
        <w:autoSpaceDN/>
        <w:bidi w:val="0"/>
        <w:adjustRightInd w:val="0"/>
        <w:snapToGrid w:val="0"/>
        <w:spacing w:line="578" w:lineRule="exact"/>
        <w:ind w:firstLine="1280" w:firstLineChars="4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规范少数民族语言文字工作。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ascii="仿宋_GB2312" w:hAnsi="宋体" w:eastAsia="仿宋_GB2312" w:cs="宋体"/>
          <w:kern w:val="0"/>
          <w:sz w:val="32"/>
          <w:szCs w:val="32"/>
        </w:rPr>
      </w:pPr>
      <w:r>
        <w:rPr>
          <w:rFonts w:hint="eastAsia" w:ascii="仿宋_GB2312" w:hAnsi="宋体" w:eastAsia="仿宋_GB2312" w:cs="宋体"/>
          <w:kern w:val="0"/>
          <w:sz w:val="32"/>
          <w:szCs w:val="32"/>
        </w:rPr>
        <w:t>壤塘县民族宗教局独立编制机构数1个，独立核算机构数1个；在职人员</w:t>
      </w:r>
      <w:r>
        <w:rPr>
          <w:rFonts w:hint="eastAsia" w:ascii="仿宋_GB2312" w:hAnsi="宋体" w:eastAsia="仿宋_GB2312" w:cs="宋体"/>
          <w:kern w:val="0"/>
          <w:sz w:val="32"/>
          <w:szCs w:val="32"/>
          <w:lang w:val="en-US"/>
        </w:rPr>
        <w:t>15</w:t>
      </w:r>
      <w:r>
        <w:rPr>
          <w:rFonts w:hint="eastAsia" w:ascii="仿宋_GB2312" w:hAnsi="宋体" w:eastAsia="仿宋_GB2312" w:cs="宋体"/>
          <w:kern w:val="0"/>
          <w:sz w:val="32"/>
          <w:szCs w:val="32"/>
        </w:rPr>
        <w:t>人，其中行政人员</w:t>
      </w:r>
      <w:r>
        <w:rPr>
          <w:rFonts w:hint="eastAsia" w:ascii="仿宋_GB2312" w:hAnsi="宋体" w:eastAsia="仿宋_GB2312" w:cs="宋体"/>
          <w:kern w:val="0"/>
          <w:sz w:val="32"/>
          <w:szCs w:val="32"/>
          <w:lang w:val="en-US"/>
        </w:rPr>
        <w:t>11</w:t>
      </w:r>
      <w:r>
        <w:rPr>
          <w:rFonts w:hint="eastAsia" w:ascii="仿宋_GB2312" w:hAnsi="宋体" w:eastAsia="仿宋_GB2312" w:cs="宋体"/>
          <w:kern w:val="0"/>
          <w:sz w:val="32"/>
          <w:szCs w:val="32"/>
        </w:rPr>
        <w:t>人，参照公务员法管理事业人员0人，非参公事业人员</w:t>
      </w:r>
      <w:r>
        <w:rPr>
          <w:rFonts w:hint="eastAsia" w:ascii="仿宋_GB2312" w:hAnsi="宋体" w:eastAsia="仿宋_GB2312" w:cs="宋体"/>
          <w:kern w:val="0"/>
          <w:sz w:val="32"/>
          <w:szCs w:val="32"/>
          <w:lang w:val="en-US"/>
        </w:rPr>
        <w:t>4</w:t>
      </w:r>
      <w:r>
        <w:rPr>
          <w:rFonts w:hint="eastAsia" w:ascii="仿宋_GB2312" w:hAnsi="宋体" w:eastAsia="仿宋_GB2312" w:cs="宋体"/>
          <w:kern w:val="0"/>
          <w:sz w:val="32"/>
          <w:szCs w:val="32"/>
        </w:rPr>
        <w:t>人；退休人员</w:t>
      </w:r>
      <w:r>
        <w:rPr>
          <w:rFonts w:hint="eastAsia" w:ascii="仿宋_GB2312" w:hAnsi="宋体" w:eastAsia="仿宋_GB2312" w:cs="宋体"/>
          <w:kern w:val="0"/>
          <w:sz w:val="32"/>
          <w:szCs w:val="32"/>
          <w:lang w:val="en-US"/>
        </w:rPr>
        <w:t>5人。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auto"/>
          <w:kern w:val="0"/>
          <w:szCs w:val="32"/>
          <w:highlight w:val="none"/>
          <w:shd w:val="clear" w:color="auto" w:fill="FFFFFF"/>
          <w:lang w:val="en-US"/>
        </w:rPr>
      </w:pPr>
      <w:r>
        <w:rPr>
          <w:rFonts w:hint="eastAsia" w:ascii="仿宋_GB2312" w:hAnsi="仿宋_GB2312" w:eastAsia="仿宋_GB2312" w:cs="仿宋_GB2312"/>
          <w:b w:val="0"/>
          <w:bCs/>
          <w:color w:val="auto"/>
          <w:sz w:val="32"/>
          <w:szCs w:val="32"/>
          <w:highlight w:val="none"/>
          <w:lang w:val="en-US" w:eastAsia="zh-CN"/>
        </w:rPr>
        <w:t>壤塘县民族宗教局</w:t>
      </w:r>
      <w:r>
        <w:rPr>
          <w:rFonts w:hint="eastAsia"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年年初预算收入</w:t>
      </w:r>
      <w:r>
        <w:rPr>
          <w:rFonts w:hint="eastAsia" w:eastAsia="仿宋_GB2312" w:cs="Times New Roman"/>
          <w:color w:val="auto"/>
          <w:sz w:val="32"/>
          <w:szCs w:val="32"/>
          <w:lang w:val="en-US" w:eastAsia="zh-CN"/>
        </w:rPr>
        <w:t>386.14万元</w:t>
      </w:r>
      <w:r>
        <w:rPr>
          <w:rFonts w:hint="eastAsia" w:ascii="Times New Roman" w:hAnsi="Times New Roman" w:eastAsia="仿宋_GB2312" w:cs="Times New Roman"/>
          <w:color w:val="auto"/>
          <w:sz w:val="32"/>
          <w:szCs w:val="32"/>
          <w:lang w:val="en-US" w:eastAsia="zh-CN"/>
        </w:rPr>
        <w:t>、决算报表收入</w:t>
      </w:r>
      <w:r>
        <w:rPr>
          <w:rFonts w:hint="eastAsia" w:eastAsia="仿宋_GB2312" w:cs="Times New Roman"/>
          <w:color w:val="auto"/>
          <w:sz w:val="32"/>
          <w:szCs w:val="32"/>
          <w:lang w:val="en-US" w:eastAsia="zh-CN"/>
        </w:rPr>
        <w:t>656.53万元</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197" w:leftChars="0" w:firstLine="643" w:firstLineChars="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eastAsia" w:ascii="Times New Roman" w:hAnsi="Times New Roman" w:eastAsia="楷体_GB2312" w:cs="Times New Roman"/>
          <w:b/>
          <w:bCs/>
          <w:color w:val="auto"/>
          <w:kern w:val="0"/>
          <w:sz w:val="32"/>
          <w:szCs w:val="32"/>
          <w:highlight w:val="none"/>
          <w:shd w:val="clear" w:color="auto" w:fill="FFFFFF"/>
          <w:lang w:val="zh-CN"/>
        </w:rPr>
        <w:t>支出情况</w:t>
      </w:r>
      <w:r>
        <w:rPr>
          <w:rFonts w:hint="default" w:ascii="Times New Roman" w:hAnsi="Times New Roman" w:eastAsia="楷体_GB2312" w:cs="Times New Roman"/>
          <w:b/>
          <w:bCs/>
          <w:color w:val="auto"/>
          <w:kern w:val="0"/>
          <w:sz w:val="32"/>
          <w:szCs w:val="32"/>
          <w:highlight w:val="none"/>
          <w:shd w:val="clear" w:color="auto" w:fill="FFFFFF"/>
          <w:lang w:val="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960" w:firstLineChars="300"/>
        <w:contextualSpacing/>
        <w:jc w:val="left"/>
        <w:textAlignment w:val="auto"/>
        <w:outlineLvl w:val="9"/>
        <w:rPr>
          <w:rFonts w:hint="default" w:ascii="Times New Roman" w:hAnsi="Times New Roman" w:cs="Times New Roman"/>
          <w:color w:val="auto"/>
          <w:szCs w:val="32"/>
          <w:lang w:val="zh-CN" w:eastAsia="zh-CN"/>
        </w:rPr>
      </w:pPr>
      <w:r>
        <w:rPr>
          <w:rFonts w:hint="eastAsia" w:eastAsia="楷体_GB2312" w:cs="楷体_GB2312"/>
          <w:b w:val="0"/>
          <w:bCs/>
          <w:color w:val="auto"/>
          <w:sz w:val="32"/>
          <w:szCs w:val="32"/>
          <w:highlight w:val="none"/>
          <w:lang w:val="en-US" w:eastAsia="zh-CN"/>
        </w:rPr>
        <w:t>壤塘县民族宗教局</w:t>
      </w:r>
      <w:r>
        <w:rPr>
          <w:rFonts w:hint="eastAsia" w:ascii="Times New Roman" w:hAnsi="Times New Roman" w:eastAsia="仿宋_GB2312" w:cs="Times New Roman"/>
          <w:color w:val="auto"/>
          <w:sz w:val="32"/>
          <w:szCs w:val="32"/>
          <w:lang w:val="en-US" w:eastAsia="zh-CN"/>
        </w:rPr>
        <w:t>202</w:t>
      </w:r>
      <w:r>
        <w:rPr>
          <w:rFonts w:hint="eastAsia"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lang w:val="en-US" w:eastAsia="zh-CN"/>
        </w:rPr>
        <w:t>年年初预算支出</w:t>
      </w:r>
      <w:r>
        <w:rPr>
          <w:rFonts w:hint="eastAsia" w:eastAsia="仿宋_GB2312" w:cs="Times New Roman"/>
          <w:color w:val="auto"/>
          <w:sz w:val="32"/>
          <w:szCs w:val="32"/>
          <w:lang w:val="en-US" w:eastAsia="zh-CN"/>
        </w:rPr>
        <w:t>386.14万元</w:t>
      </w:r>
      <w:r>
        <w:rPr>
          <w:rFonts w:hint="eastAsia" w:ascii="Times New Roman" w:hAnsi="Times New Roman" w:eastAsia="仿宋_GB2312" w:cs="Times New Roman"/>
          <w:color w:val="auto"/>
          <w:sz w:val="32"/>
          <w:szCs w:val="32"/>
          <w:lang w:val="en-US" w:eastAsia="zh-CN"/>
        </w:rPr>
        <w:t>、决算报表支出</w:t>
      </w:r>
      <w:r>
        <w:rPr>
          <w:rFonts w:hint="eastAsia" w:eastAsia="仿宋_GB2312" w:cs="Times New Roman"/>
          <w:color w:val="auto"/>
          <w:sz w:val="32"/>
          <w:szCs w:val="32"/>
          <w:lang w:val="en-US" w:eastAsia="zh-CN"/>
        </w:rPr>
        <w:t>656.53万元</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仿宋_GB2312" w:hAnsi="仿宋_GB2312" w:eastAsia="仿宋_GB2312" w:cs="仿宋_GB2312"/>
          <w:b w:val="0"/>
          <w:bCs/>
          <w:color w:val="auto"/>
          <w:sz w:val="32"/>
          <w:szCs w:val="32"/>
          <w:highlight w:val="none"/>
          <w:lang w:val="en-US" w:eastAsia="zh-CN"/>
        </w:rPr>
        <w:t>壤塘县民族宗教局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仿宋_GB2312"/>
          <w:color w:val="4F81BD" w:themeColor="accent1"/>
          <w:kern w:val="2"/>
          <w:sz w:val="32"/>
          <w:szCs w:val="32"/>
          <w:highlight w:val="none"/>
          <w:lang w:val="zh-CN" w:eastAsia="zh-CN" w:bidi="ar-SA"/>
          <w14:textFill>
            <w14:solidFill>
              <w14:schemeClr w14:val="accent1"/>
            </w14:solidFill>
          </w14:textFill>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单位工作开展</w:t>
      </w:r>
      <w:r>
        <w:rPr>
          <w:rFonts w:hint="eastAsia" w:ascii="Times New Roman" w:hAnsi="Times New Roman" w:eastAsia="仿宋_GB2312" w:cs="仿宋_GB2312"/>
          <w:color w:val="auto"/>
          <w:kern w:val="2"/>
          <w:sz w:val="32"/>
          <w:szCs w:val="32"/>
          <w:highlight w:val="none"/>
          <w:lang w:val="zh-CN" w:eastAsia="zh-CN" w:bidi="ar-SA"/>
        </w:rPr>
        <w:t>严格对照年度职能目标，聚焦民族宗教领域重点工作任务，稳步推进宗教领域维稳安保、民族团结宣传教育、宗教活动场所规范化管理等各项核心工作。常态化开展基层走访巡查、风险隐患排查、政策宣讲引导等日常业务，规范落实宗教事务常态化监管措施，有序处置民族宗教领域各类常规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单位结合本年度重点业务工作实际，对全年收支预算进行科学测算、合理细化、精准分配，。预算批复下达后，单位做到应收尽收、规范归集。严格规范项目支出及日常公用支出管理，</w:t>
      </w:r>
      <w:r>
        <w:rPr>
          <w:rFonts w:hint="eastAsia" w:eastAsia="仿宋_GB2312" w:cs="仿宋_GB2312"/>
          <w:color w:val="auto"/>
          <w:kern w:val="2"/>
          <w:sz w:val="32"/>
          <w:szCs w:val="32"/>
          <w:highlight w:val="none"/>
          <w:lang w:val="en-US" w:eastAsia="zh-CN" w:bidi="ar-SA"/>
        </w:rPr>
        <w:t>及时</w:t>
      </w:r>
      <w:r>
        <w:rPr>
          <w:rFonts w:hint="eastAsia" w:ascii="Times New Roman" w:hAnsi="Times New Roman" w:eastAsia="仿宋_GB2312" w:cs="仿宋_GB2312"/>
          <w:color w:val="auto"/>
          <w:kern w:val="2"/>
          <w:sz w:val="32"/>
          <w:szCs w:val="32"/>
          <w:highlight w:val="none"/>
          <w:lang w:val="zh-CN" w:eastAsia="zh-CN" w:bidi="ar-SA"/>
        </w:rPr>
        <w:t>对达到政府采购标准的项目，严格依规落实采购流程、按期推进采购实施。</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单位持续健全完善财务管理制度体系，全面梳理财务收支、经费审批、资金拨付等核心业务流程</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严格落实财务内控管理要求，规范设置财务岗位，严格执行不相容岗位相互分离、内部授权审批、归口管理等内控制度，依托预算控制、财产保护、会计核算、单据审核、信息公开等管控手段，实现内部控制制度化、规范化、常态化运行。</w:t>
      </w:r>
    </w:p>
    <w:p>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0000FF"/>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zh-CN" w:eastAsia="zh-CN" w:bidi="ar-SA"/>
        </w:rPr>
        <w:t>严格落实行政事业单位国有资产管理相关规定，健全资产购置、登记、使用、处置全流程管理制度，持续规范日常资产管理工作。定期开展单位资产清查盘点，动态掌握资产存量及使用状况，</w:t>
      </w:r>
    </w:p>
    <w:p>
      <w:pPr>
        <w:keepNext w:val="0"/>
        <w:keepLines w:val="0"/>
        <w:pageBreakBefore w:val="0"/>
        <w:widowControl w:val="0"/>
        <w:numPr>
          <w:ilvl w:val="0"/>
          <w:numId w:val="5"/>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0" w:firstLine="640" w:firstLineChars="200"/>
        <w:contextualSpacing/>
        <w:jc w:val="left"/>
        <w:textAlignment w:val="auto"/>
        <w:outlineLvl w:val="9"/>
        <w:rPr>
          <w:rFonts w:hint="eastAsia" w:ascii="Times New Roman" w:hAnsi="Times New Roman" w:eastAsia="仿宋_GB2312" w:cs="仿宋_GB2312"/>
          <w:color w:val="0000FF"/>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单位项目人员和财务人员</w:t>
      </w:r>
      <w:r>
        <w:rPr>
          <w:rFonts w:hint="eastAsia" w:ascii="Times New Roman" w:hAnsi="Times New Roman" w:eastAsia="仿宋_GB2312" w:cs="仿宋_GB2312"/>
          <w:color w:val="auto"/>
          <w:kern w:val="2"/>
          <w:sz w:val="32"/>
          <w:szCs w:val="32"/>
          <w:highlight w:val="none"/>
          <w:lang w:val="zh-CN" w:eastAsia="zh-CN" w:bidi="ar-SA"/>
        </w:rPr>
        <w:t>严格遵守政府采购相关法律法规及管理制度，常态化学习掌握政府采购流程规范、公开交易要求及扶持中小企业发展的相关政策规定</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日常工作中，单位严格规范采购事前研判、流程管控、资料管理全链条工作机制，常态化落实政府采购优先支持中小企业发展的政策导向。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contextualSpacing/>
        <w:jc w:val="both"/>
        <w:textAlignment w:val="auto"/>
        <w:outlineLvl w:val="9"/>
        <w:rPr>
          <w:rFonts w:hint="default" w:ascii="Times New Roman" w:hAnsi="Times New Roman" w:eastAsia="仿宋_GB2312" w:cs="仿宋_GB2312"/>
          <w:color w:val="00B0F0"/>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108.89</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219012</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71</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项目决策。项目均开展前期调研论证，联合财政、乡村振兴等部门完成实施方案审查、申报审批。</w:t>
      </w:r>
      <w:r>
        <w:rPr>
          <w:rFonts w:hint="eastAsia" w:eastAsia="仿宋_GB2312" w:cs="仿宋_GB2312"/>
          <w:color w:val="auto"/>
          <w:kern w:val="2"/>
          <w:sz w:val="32"/>
          <w:szCs w:val="32"/>
          <w:highlight w:val="none"/>
          <w:lang w:val="en-US" w:eastAsia="zh-CN" w:bidi="ar-SA"/>
        </w:rPr>
        <w:t>目标设置</w:t>
      </w:r>
      <w:r>
        <w:rPr>
          <w:rFonts w:hint="eastAsia" w:ascii="Times New Roman" w:hAnsi="Times New Roman" w:eastAsia="仿宋_GB2312" w:cs="仿宋_GB2312"/>
          <w:color w:val="auto"/>
          <w:kern w:val="2"/>
          <w:sz w:val="32"/>
          <w:szCs w:val="32"/>
          <w:highlight w:val="none"/>
          <w:lang w:val="zh-CN" w:eastAsia="zh-CN" w:bidi="ar-SA"/>
        </w:rPr>
        <w:t>科学合理，总体目标</w:t>
      </w:r>
      <w:r>
        <w:rPr>
          <w:rFonts w:hint="eastAsia" w:eastAsia="仿宋_GB2312" w:cs="仿宋_GB2312"/>
          <w:color w:val="auto"/>
          <w:kern w:val="2"/>
          <w:sz w:val="32"/>
          <w:szCs w:val="32"/>
          <w:highlight w:val="none"/>
          <w:lang w:val="en-US" w:eastAsia="zh-CN" w:bidi="ar-SA"/>
        </w:rPr>
        <w:t>明确</w:t>
      </w:r>
      <w:r>
        <w:rPr>
          <w:rFonts w:hint="eastAsia" w:ascii="Times New Roman" w:hAnsi="Times New Roman" w:eastAsia="仿宋_GB2312" w:cs="仿宋_GB2312"/>
          <w:color w:val="auto"/>
          <w:kern w:val="2"/>
          <w:sz w:val="32"/>
          <w:szCs w:val="32"/>
          <w:highlight w:val="none"/>
          <w:lang w:val="zh-CN" w:eastAsia="zh-CN" w:bidi="ar-SA"/>
        </w:rPr>
        <w:t>，绩效目标与资金规模、工作任务相匹配。管理合规，</w:t>
      </w:r>
      <w:r>
        <w:rPr>
          <w:rFonts w:hint="eastAsia" w:eastAsia="仿宋_GB2312" w:cs="仿宋_GB2312"/>
          <w:color w:val="auto"/>
          <w:kern w:val="2"/>
          <w:sz w:val="32"/>
          <w:szCs w:val="32"/>
          <w:highlight w:val="none"/>
          <w:lang w:val="en-US" w:eastAsia="zh-CN" w:bidi="ar-SA"/>
        </w:rPr>
        <w:t>各个</w:t>
      </w:r>
      <w:r>
        <w:rPr>
          <w:rFonts w:hint="eastAsia" w:ascii="Times New Roman" w:hAnsi="Times New Roman" w:eastAsia="仿宋_GB2312" w:cs="仿宋_GB2312"/>
          <w:color w:val="auto"/>
          <w:kern w:val="2"/>
          <w:sz w:val="32"/>
          <w:szCs w:val="32"/>
          <w:highlight w:val="none"/>
          <w:lang w:val="zh-CN" w:eastAsia="zh-CN" w:bidi="ar-SA"/>
        </w:rPr>
        <w:t>项目均按程序纳入年度项目库，入库资料要素完整，严格执行项目库管理要求</w:t>
      </w:r>
      <w:r>
        <w:rPr>
          <w:rFonts w:hint="eastAsia"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项目执行</w:t>
      </w:r>
      <w:r>
        <w:rPr>
          <w:rFonts w:hint="eastAsia" w:ascii="Times New Roman" w:hAnsi="Times New Roman" w:eastAsia="仿宋_GB2312" w:cs="仿宋_GB2312"/>
          <w:color w:val="auto"/>
          <w:kern w:val="2"/>
          <w:sz w:val="32"/>
          <w:szCs w:val="32"/>
          <w:highlight w:val="none"/>
          <w:lang w:val="zh-CN" w:eastAsia="zh-CN" w:bidi="ar-SA"/>
        </w:rPr>
        <w:t>。资金执行同向</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项目资金全部按批复用途使用，</w:t>
      </w:r>
      <w:r>
        <w:rPr>
          <w:rFonts w:hint="eastAsia" w:eastAsia="仿宋_GB2312" w:cs="仿宋_GB2312"/>
          <w:color w:val="auto"/>
          <w:kern w:val="2"/>
          <w:sz w:val="32"/>
          <w:szCs w:val="32"/>
          <w:highlight w:val="none"/>
          <w:lang w:val="en-US" w:eastAsia="zh-CN" w:bidi="ar-SA"/>
        </w:rPr>
        <w:t>专项</w:t>
      </w:r>
      <w:r>
        <w:rPr>
          <w:rFonts w:hint="eastAsia" w:ascii="Times New Roman" w:hAnsi="Times New Roman" w:eastAsia="仿宋_GB2312" w:cs="仿宋_GB2312"/>
          <w:color w:val="auto"/>
          <w:kern w:val="2"/>
          <w:sz w:val="32"/>
          <w:szCs w:val="32"/>
          <w:highlight w:val="none"/>
          <w:lang w:val="zh-CN" w:eastAsia="zh-CN" w:bidi="ar-SA"/>
        </w:rPr>
        <w:t>项目资金到位率100%</w:t>
      </w:r>
      <w:r>
        <w:rPr>
          <w:rFonts w:hint="eastAsia"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各项目</w:t>
      </w:r>
      <w:r>
        <w:rPr>
          <w:rFonts w:hint="eastAsia" w:ascii="Times New Roman" w:hAnsi="Times New Roman" w:eastAsia="仿宋_GB2312" w:cs="仿宋_GB2312"/>
          <w:color w:val="auto"/>
          <w:kern w:val="2"/>
          <w:sz w:val="32"/>
          <w:szCs w:val="32"/>
          <w:highlight w:val="none"/>
          <w:lang w:val="zh-CN" w:eastAsia="zh-CN" w:bidi="ar-SA"/>
        </w:rPr>
        <w:t>实际</w:t>
      </w:r>
      <w:r>
        <w:rPr>
          <w:rFonts w:hint="eastAsia" w:eastAsia="仿宋_GB2312" w:cs="仿宋_GB2312"/>
          <w:color w:val="auto"/>
          <w:kern w:val="2"/>
          <w:sz w:val="32"/>
          <w:szCs w:val="32"/>
          <w:highlight w:val="none"/>
          <w:lang w:val="en-US" w:eastAsia="zh-CN" w:bidi="ar-SA"/>
        </w:rPr>
        <w:t>资金支出合理推进</w:t>
      </w:r>
      <w:r>
        <w:rPr>
          <w:rFonts w:hint="eastAsia" w:ascii="Times New Roman" w:hAnsi="Times New Roman" w:eastAsia="仿宋_GB2312" w:cs="仿宋_GB2312"/>
          <w:color w:val="auto"/>
          <w:kern w:val="2"/>
          <w:sz w:val="32"/>
          <w:szCs w:val="32"/>
          <w:highlight w:val="none"/>
          <w:lang w:val="zh-CN" w:eastAsia="zh-CN" w:bidi="ar-SA"/>
        </w:rPr>
        <w:t>，资金均用于既定业务内容，无挤占挪用、超范围开支，资金支出方向与项目绩效目标保持一致 。项目实施过程中均未发生重大内容、预算变更，无违规调整情况。执行结果总体可控。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目标实现。各项目均实现预期绩效目标。专项项目全面完成年度既定工作任务，实施覆盖全县11个乡镇，各项产出及个性指标落实到位，项目基本不存在目标偏离。</w:t>
      </w:r>
      <w:r>
        <w:rPr>
          <w:rFonts w:hint="eastAsia" w:eastAsia="仿宋_GB2312" w:cs="仿宋_GB2312"/>
          <w:color w:val="auto"/>
          <w:kern w:val="2"/>
          <w:sz w:val="32"/>
          <w:szCs w:val="32"/>
          <w:highlight w:val="none"/>
          <w:lang w:val="en-US" w:eastAsia="zh-CN" w:bidi="ar-SA"/>
        </w:rPr>
        <w:t>2025年单位实施各项目</w:t>
      </w:r>
      <w:r>
        <w:rPr>
          <w:rFonts w:hint="eastAsia" w:ascii="Times New Roman" w:hAnsi="Times New Roman" w:eastAsia="仿宋_GB2312" w:cs="仿宋_GB2312"/>
          <w:color w:val="auto"/>
          <w:kern w:val="2"/>
          <w:sz w:val="32"/>
          <w:szCs w:val="32"/>
          <w:highlight w:val="none"/>
          <w:lang w:val="zh-CN" w:eastAsia="zh-CN" w:bidi="ar-SA"/>
        </w:rPr>
        <w:t>切实增进群众获得感，助力各民族交往交流交融，有序推进民族团结阵地打造、非遗文化传承等工作，夯实全县民族团结进步创建工作基础。</w:t>
      </w:r>
    </w:p>
    <w:p>
      <w:pPr>
        <w:keepNext w:val="0"/>
        <w:keepLines w:val="0"/>
        <w:pageBreakBefore w:val="0"/>
        <w:widowControl w:val="0"/>
        <w:numPr>
          <w:ilvl w:val="0"/>
          <w:numId w:val="4"/>
        </w:numPr>
        <w:kinsoku/>
        <w:wordWrap/>
        <w:overflowPunct/>
        <w:topLinePunct w:val="0"/>
        <w:autoSpaceDE/>
        <w:autoSpaceDN/>
        <w:bidi w:val="0"/>
        <w:adjustRightInd w:val="0"/>
        <w:snapToGrid w:val="0"/>
        <w:spacing w:line="578" w:lineRule="exact"/>
        <w:ind w:left="197" w:leftChars="0" w:firstLine="643" w:firstLineChars="0"/>
        <w:contextualSpacing/>
        <w:jc w:val="both"/>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内部应用情况：单位结合本年度全部项目绩效自评情况，对各项目从前期谋划到落地执行全流程开展复盘梳理，把绩效评价形成的结论作为内部业务研判的重要依据。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信息公开情况：按照财政绩效管理工作部署，充分运用预算一体化系统，对本单位所有项目常态化开展绩效运行跟踪监控，如实填报项目绩效执行数据。严格遵循决算公开工作要求，将项目绩效有关内容纳入决算公开范畴对外公示，</w:t>
      </w:r>
      <w:r>
        <w:rPr>
          <w:rFonts w:hint="eastAsia" w:eastAsia="仿宋_GB2312" w:cs="仿宋_GB2312"/>
          <w:color w:val="auto"/>
          <w:kern w:val="2"/>
          <w:sz w:val="32"/>
          <w:szCs w:val="32"/>
          <w:highlight w:val="none"/>
          <w:lang w:val="en-US" w:eastAsia="zh-CN" w:bidi="ar-SA"/>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整改反馈情况：对绩效自评、日常监控当中排查出来的各类管理短板，逐一梳理登记形成工作台账，逐项明确整改落实举措，完成问题整改核实工作。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仿宋_GB2312" w:cs="Times New Roman"/>
          <w:color w:val="auto"/>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color w:val="auto"/>
          <w:sz w:val="32"/>
          <w:szCs w:val="32"/>
          <w:u w:val="none"/>
          <w:lang w:val="en-US" w:eastAsia="zh-CN" w:bidi="ar"/>
        </w:rPr>
        <w:t>2025年壤塘县民族宗教局按财政绩效管理要求完成部门预算绩效自评，对常年及阶段（一次性）项目开展全面核查，各项目立项程序合规，资金管理规范，送茶入户、民族团结进步创建提质增效等专项有序落地，有力铸牢中华民族共同体意识，服务乡村振兴，群众满意度较高，财政资金整体使用成效较好。</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sz w:val="32"/>
          <w:szCs w:val="32"/>
          <w:u w:val="none"/>
          <w:lang w:val="en-US" w:eastAsia="zh-CN" w:bidi="ar"/>
        </w:rPr>
      </w:pPr>
      <w:r>
        <w:rPr>
          <w:rFonts w:hint="eastAsia" w:eastAsia="仿宋_GB2312" w:cs="Times New Roman"/>
          <w:color w:val="auto"/>
          <w:sz w:val="32"/>
          <w:szCs w:val="32"/>
          <w:u w:val="none"/>
          <w:lang w:val="en-US" w:eastAsia="zh-CN" w:bidi="ar"/>
        </w:rPr>
        <w:t>1、</w:t>
      </w:r>
      <w:r>
        <w:rPr>
          <w:rFonts w:hint="eastAsia" w:ascii="Times New Roman" w:hAnsi="Times New Roman" w:eastAsia="仿宋_GB2312" w:cs="Times New Roman"/>
          <w:color w:val="auto"/>
          <w:sz w:val="32"/>
          <w:szCs w:val="32"/>
          <w:u w:val="none"/>
          <w:lang w:val="en-US" w:eastAsia="zh-CN" w:bidi="ar"/>
        </w:rPr>
        <w:t>项目全过程绩效动态监管不够精细，过程跟踪力度有待加强。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00B0F0"/>
          <w:sz w:val="32"/>
          <w:szCs w:val="32"/>
          <w:u w:val="none"/>
          <w:lang w:val="en-US" w:eastAsia="zh-CN" w:bidi="ar"/>
        </w:rPr>
      </w:pPr>
      <w:r>
        <w:rPr>
          <w:rFonts w:hint="eastAsia" w:eastAsia="仿宋_GB2312" w:cs="Times New Roman"/>
          <w:color w:val="auto"/>
          <w:sz w:val="32"/>
          <w:szCs w:val="32"/>
          <w:u w:val="none"/>
          <w:lang w:val="en-US" w:eastAsia="zh-CN" w:bidi="ar"/>
        </w:rPr>
        <w:t>2</w:t>
      </w:r>
      <w:r>
        <w:rPr>
          <w:rFonts w:hint="eastAsia" w:eastAsia="仿宋_GB2312" w:cs="Times New Roman"/>
          <w:color w:val="auto"/>
          <w:sz w:val="32"/>
          <w:szCs w:val="32"/>
          <w:u w:val="none"/>
          <w:lang w:val="en-US" w:eastAsia="zh-CN" w:bidi="ar"/>
        </w:rPr>
        <w:tab/>
      </w:r>
      <w:r>
        <w:rPr>
          <w:rFonts w:hint="eastAsia" w:eastAsia="仿宋_GB2312" w:cs="Times New Roman"/>
          <w:color w:val="auto"/>
          <w:sz w:val="32"/>
          <w:szCs w:val="32"/>
          <w:u w:val="none"/>
          <w:lang w:val="en-US" w:eastAsia="zh-CN" w:bidi="ar"/>
        </w:rPr>
        <w:t>、</w:t>
      </w:r>
      <w:r>
        <w:rPr>
          <w:rFonts w:hint="eastAsia" w:ascii="Times New Roman" w:hAnsi="Times New Roman" w:eastAsia="仿宋_GB2312" w:cs="Times New Roman"/>
          <w:color w:val="auto"/>
          <w:sz w:val="32"/>
          <w:szCs w:val="32"/>
          <w:u w:val="none"/>
          <w:lang w:val="en-US" w:eastAsia="zh-CN" w:bidi="ar"/>
        </w:rPr>
        <w:t>部分项目前期谋划不够深入，绩效指标细化程度仍需提升。</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50" w:name="_Hlk110546638"/>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eastAsia="仿宋_GB2312" w:cs="Times New Roman"/>
          <w:color w:val="auto"/>
          <w:sz w:val="32"/>
          <w:szCs w:val="32"/>
          <w:u w:val="none"/>
          <w:lang w:val="en-US" w:eastAsia="zh-CN" w:bidi="ar"/>
        </w:rPr>
      </w:pPr>
      <w:r>
        <w:rPr>
          <w:rFonts w:hint="eastAsia" w:eastAsia="楷体_GB2312" w:cs="Times New Roman"/>
          <w:b/>
          <w:bCs/>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auto"/>
          <w:sz w:val="32"/>
          <w:szCs w:val="32"/>
          <w:u w:val="none"/>
          <w:lang w:val="en-US" w:eastAsia="zh-CN" w:bidi="ar"/>
        </w:rPr>
        <w:t>依托预算一体化系统抓实事中绩效监控，将绩效管控贯穿项目全流程，压实岗位绩效责任</w:t>
      </w:r>
      <w:r>
        <w:rPr>
          <w:rFonts w:hint="eastAsia" w:eastAsia="仿宋_GB2312" w:cs="Times New Roman"/>
          <w:color w:val="auto"/>
          <w:sz w:val="32"/>
          <w:szCs w:val="32"/>
          <w:u w:val="none"/>
          <w:lang w:val="en-US" w:eastAsia="zh-CN" w:bidi="ar"/>
        </w:rPr>
        <w:t>，领导牵头、项目执行、财务监管，形成多程序监管流程，保障项目运行合理合规</w:t>
      </w:r>
      <w:r>
        <w:rPr>
          <w:rFonts w:hint="eastAsia" w:ascii="Times New Roman" w:hAnsi="Times New Roman" w:eastAsia="仿宋_GB2312" w:cs="Times New Roman"/>
          <w:color w:val="auto"/>
          <w:sz w:val="32"/>
          <w:szCs w:val="32"/>
          <w:u w:val="none"/>
          <w:lang w:val="en-US" w:eastAsia="zh-CN" w:bidi="ar"/>
        </w:rPr>
        <w:t>。</w:t>
      </w:r>
      <w:r>
        <w:rPr>
          <w:rFonts w:hint="eastAsia" w:eastAsia="仿宋_GB2312" w:cs="Times New Roman"/>
          <w:color w:val="auto"/>
          <w:sz w:val="32"/>
          <w:szCs w:val="32"/>
          <w:u w:val="none"/>
          <w:lang w:val="en-US" w:eastAsia="zh-CN" w:bidi="ar"/>
        </w:rPr>
        <w:t xml:space="preserve">  </w:t>
      </w:r>
    </w:p>
    <w:p>
      <w:pPr>
        <w:keepNext w:val="0"/>
        <w:keepLines w:val="0"/>
        <w:pageBreakBefore w:val="0"/>
        <w:widowControl/>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Times New Roman" w:hAnsi="Times New Roman" w:eastAsia="仿宋_GB2312" w:cs="Times New Roman"/>
          <w:color w:val="auto"/>
          <w:sz w:val="32"/>
          <w:szCs w:val="32"/>
          <w:u w:val="none"/>
          <w:lang w:val="en-US" w:eastAsia="zh-CN" w:bidi="ar"/>
        </w:rPr>
      </w:pPr>
      <w:r>
        <w:rPr>
          <w:rFonts w:hint="eastAsia" w:eastAsia="仿宋_GB2312" w:cs="Times New Roman"/>
          <w:b/>
          <w:bCs/>
          <w:color w:val="auto"/>
          <w:sz w:val="32"/>
          <w:szCs w:val="32"/>
          <w:u w:val="none"/>
          <w:lang w:val="en-US" w:eastAsia="zh-CN" w:bidi="ar"/>
        </w:rPr>
        <w:t>2</w:t>
      </w:r>
      <w:r>
        <w:rPr>
          <w:rFonts w:hint="eastAsia" w:eastAsia="仿宋_GB2312" w:cs="Times New Roman"/>
          <w:color w:val="auto"/>
          <w:sz w:val="32"/>
          <w:szCs w:val="32"/>
          <w:u w:val="none"/>
          <w:lang w:val="en-US" w:eastAsia="zh-CN" w:bidi="ar"/>
        </w:rPr>
        <w:t>.</w:t>
      </w:r>
      <w:r>
        <w:rPr>
          <w:rFonts w:hint="eastAsia" w:ascii="Times New Roman" w:hAnsi="Times New Roman" w:eastAsia="仿宋_GB2312" w:cs="Times New Roman"/>
          <w:color w:val="auto"/>
          <w:sz w:val="32"/>
          <w:szCs w:val="32"/>
          <w:u w:val="none"/>
          <w:lang w:val="en-US" w:eastAsia="zh-CN" w:bidi="ar"/>
        </w:rPr>
        <w:t>强化项目申报前期实地调研，科学谋划实施时序，进一步细化绩效指标，提高预算编制科学性。</w:t>
      </w:r>
      <w:bookmarkEnd w:id="50"/>
    </w:p>
    <w:p>
      <w:pPr>
        <w:pStyle w:val="21"/>
        <w:rPr>
          <w:rFonts w:hint="eastAsia" w:ascii="Times New Roman" w:hAnsi="Times New Roman" w:eastAsia="仿宋_GB2312" w:cs="Times New Roman"/>
          <w:color w:val="auto"/>
          <w:sz w:val="32"/>
          <w:szCs w:val="32"/>
          <w:u w:val="none"/>
          <w:lang w:val="en-US" w:eastAsia="zh-CN" w:bidi="ar"/>
        </w:rPr>
      </w:pPr>
    </w:p>
    <w:p>
      <w:pPr>
        <w:rPr>
          <w:rFonts w:hint="eastAsia" w:ascii="Times New Roman" w:hAnsi="Times New Roman" w:eastAsia="仿宋_GB2312" w:cs="Times New Roman"/>
          <w:color w:val="auto"/>
          <w:sz w:val="32"/>
          <w:szCs w:val="32"/>
          <w:u w:val="none"/>
          <w:lang w:val="en-US" w:eastAsia="zh-CN" w:bidi="ar"/>
        </w:rPr>
      </w:pPr>
    </w:p>
    <w:tbl>
      <w:tblPr>
        <w:tblStyle w:val="17"/>
        <w:tblpPr w:leftFromText="180" w:rightFromText="180" w:vertAnchor="text" w:horzAnchor="page" w:tblpX="6" w:tblpY="647"/>
        <w:tblOverlap w:val="never"/>
        <w:tblW w:w="11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66"/>
        <w:gridCol w:w="1699"/>
        <w:gridCol w:w="1470"/>
        <w:gridCol w:w="1875"/>
        <w:gridCol w:w="432"/>
        <w:gridCol w:w="1389"/>
        <w:gridCol w:w="431"/>
        <w:gridCol w:w="904"/>
        <w:gridCol w:w="418"/>
        <w:gridCol w:w="378"/>
        <w:gridCol w:w="21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51323024T000011805013-壤塘县民族宗教局关于解决阿坝州娜泽求宗尼姑安置社区管委会能力提升建设项目资金的请示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3.05</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3.05</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51323024T000011821047-壤塘县寺庙基础设施维修加固项目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2.68</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2.68</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2.68</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2.68</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51323025T000012660939-寺庙民管会补助1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1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after="180" w:afterAutospacing="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以习近平新时代中国特色社会主义思想为指导，认真贯彻落实关于民族宗教工作的方针政策和法律法规，紧紧围绕“寺庙管理、争取人心、维护稳定”三大任务，以“严管+厚爱”的方式，充分发挥民管会班子成员能力，依法履行宗教事务管理职能，促进民族宗教工作稳妥、有序、有效推进。</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59.06</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96.29</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95.23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98.90%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59.06</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96.29</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95.23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98.90%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发放寺庙</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37</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发放人数</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164</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其中民管会主任发放人数</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37</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充分发挥民管会班子成员能力，依法履行宗教事务管理职能</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按季度发放</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月</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促进我县民族宗教工作向上向好</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7"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可持续影响指标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以习近平新时代中国特色社会主义思想为指导，认真贯彻落实关于民族宗教工作的方针政策和法律法规，紧紧围绕“寺庙管理、争取人心、维护稳定”三大任</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p>
            <w:pPr>
              <w:pStyle w:val="21"/>
              <w:rPr>
                <w:rFonts w:hint="eastAsia"/>
              </w:rPr>
            </w:pPr>
          </w:p>
          <w:p>
            <w:pPr>
              <w:rPr>
                <w:rFonts w:hint="eastAsia"/>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51323025T000012684012-关于解决参加阿坝州2024年民族团结进步活动月集中宣传活动表演节目人员经费的请示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2.39</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68.99%</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2.39</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1.65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68.99%</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51323025T000013111334-项目管理培训费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51323025T000013165545-州级民族事业发展专项资金（民族机动金）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99.56%</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99.56%</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51323025T000013381324-向上争取项目奖励资金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99.98%</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8.00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99.98%</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51323025T000013674154-民族地区春节送温暖活动慰问金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51323025T000013758313-壤塘县2025年健康饮茶“送茶入户”项目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19.77</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98.83%</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19.77</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98.83%</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51323025T000013849941-壤塘县民族团结进步创建提质增效建设项目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22.93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38.21%</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60.00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22.93</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38.21%</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51323025T000013853890-包虫病防治（石渠模式）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2.97</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2.97</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51323025T000013966111-壤塘县2025年民族手工业融合创新项目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49.95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49.95</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99.90%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51323026T000014205182-2025年州本级民族事业发展资金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99.62%</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99.62%</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47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87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2"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389"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31"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90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4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7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9" w:hRule="atLeast"/>
        </w:trPr>
        <w:tc>
          <w:tcPr>
            <w:tcW w:w="1168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20"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51323026T000015226462-2025年民族地区开发资金项目培训管理费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226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c>
          <w:tcPr>
            <w:tcW w:w="904"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1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壤塘县民族宗教局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55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3818"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95"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9415"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2"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9"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1"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3"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22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11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6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4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0" w:hRule="atLeast"/>
        </w:trPr>
        <w:tc>
          <w:tcPr>
            <w:tcW w:w="87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c>
          <w:tcPr>
            <w:tcW w:w="2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9"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1"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111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3" w:hRule="atLeast"/>
        </w:trPr>
        <w:tc>
          <w:tcPr>
            <w:tcW w:w="604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56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bl>
    <w:p>
      <w:pPr>
        <w:pStyle w:val="21"/>
        <w:rPr>
          <w:rFonts w:hint="eastAsia"/>
          <w:lang w:val="zh-CN" w:eastAsia="zh-CN"/>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rPr>
          <w:rFonts w:hint="eastAsia" w:ascii="Times New Roman" w:hAnsi="Times New Roman" w:eastAsia="黑体" w:cs="黑体"/>
          <w:color w:val="auto"/>
          <w:kern w:val="0"/>
          <w:sz w:val="32"/>
          <w:szCs w:val="32"/>
          <w:highlight w:val="none"/>
          <w:shd w:val="clear" w:color="auto" w:fill="FFFFFF"/>
          <w:lang w:val="zh-CN"/>
        </w:rPr>
      </w:pPr>
    </w:p>
    <w:p>
      <w:pPr>
        <w:pStyle w:val="7"/>
        <w:tabs>
          <w:tab w:val="center" w:pos="4153"/>
        </w:tabs>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r>
        <w:rPr>
          <w:rFonts w:hint="eastAsia" w:ascii="Times New Roman" w:eastAsia="黑体" w:cs="黑体"/>
          <w:color w:val="auto"/>
          <w:kern w:val="0"/>
          <w:sz w:val="32"/>
          <w:szCs w:val="32"/>
          <w:highlight w:val="none"/>
          <w:shd w:val="clear" w:color="auto" w:fill="FFFFFF"/>
          <w:lang w:val="en-US" w:eastAsia="zh-CN"/>
        </w:rPr>
        <w:tab/>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color w:val="1F497D" w:themeColor="text2"/>
          <w:kern w:val="0"/>
          <w:sz w:val="32"/>
          <w:szCs w:val="32"/>
          <w:highlight w:val="none"/>
          <w:u w:val="none"/>
          <w:shd w:val="clear" w:color="auto" w:fill="FFFFFF"/>
          <w:lang w:val="zh-CN"/>
          <w14:textFill>
            <w14:solidFill>
              <w14:schemeClr w14:val="tx2"/>
            </w14:solidFill>
          </w14:textFill>
        </w:rPr>
      </w:pPr>
      <w:r>
        <w:rPr>
          <w:rFonts w:hint="eastAsia" w:ascii="Times New Roman" w:hAnsi="Times New Roman" w:eastAsia="楷体_GB2312"/>
          <w:b/>
          <w:color w:val="auto"/>
          <w:sz w:val="32"/>
          <w:szCs w:val="32"/>
          <w:highlight w:val="none"/>
          <w:u w:val="none"/>
          <w:lang w:val="zh-CN"/>
        </w:rPr>
        <w:t>（一）设立背景及基本情况。</w:t>
      </w:r>
    </w:p>
    <w:p>
      <w:pPr>
        <w:pStyle w:val="6"/>
        <w:ind w:left="0" w:leftChars="0" w:firstLine="640" w:firstLineChars="200"/>
        <w:rPr>
          <w:rFonts w:hint="default"/>
          <w:lang w:val="en-US"/>
        </w:rPr>
      </w:pPr>
      <w:r>
        <w:rPr>
          <w:rFonts w:hint="eastAsia" w:ascii="Times New Roman" w:hAnsi="Times New Roman" w:eastAsia="仿宋_GB2312" w:cs="Times New Roman"/>
          <w:sz w:val="32"/>
          <w:szCs w:val="32"/>
          <w:lang w:val="en-US" w:eastAsia="zh-CN"/>
        </w:rPr>
        <w:t>壤塘县2025年“健康饮茶”送茶入户项目</w:t>
      </w:r>
      <w:r>
        <w:rPr>
          <w:rFonts w:hint="default" w:ascii="Times New Roman" w:hAnsi="Times New Roman" w:eastAsia="仿宋_GB2312" w:cs="Times New Roman"/>
          <w:sz w:val="32"/>
          <w:szCs w:val="32"/>
          <w:lang w:val="en-US" w:eastAsia="zh-CN"/>
        </w:rPr>
        <w:t>为进一步增强少数民族群众健康观念，巩固“健康饮茶”试点成果，按照国家民委等7部委在我省开展“健康饮茶”试点工作开展要求，根据省委</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省政府、州委</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州政府《关于继续开展“健康饮茶”送茶入户试点工作的通知》</w:t>
      </w:r>
      <w:r>
        <w:rPr>
          <w:rFonts w:hint="eastAsia" w:ascii="仿宋_GB2312" w:hAnsi="仿宋_GB2312" w:eastAsia="仿宋_GB2312" w:cs="仿宋_GB2312"/>
          <w:sz w:val="32"/>
          <w:szCs w:val="32"/>
          <w:lang w:val="en-US" w:eastAsia="zh-CN"/>
        </w:rPr>
        <w:t>开展。</w:t>
      </w:r>
      <w:r>
        <w:rPr>
          <w:rFonts w:hint="eastAsia" w:eastAsia="仿宋_GB2312" w:cs="Times New Roman"/>
          <w:sz w:val="32"/>
          <w:szCs w:val="32"/>
          <w:lang w:val="en-US" w:eastAsia="zh-CN"/>
        </w:rPr>
        <w:t>资金为2025年中央财政衔接推进乡村振兴补助资金（少数民族发展任务）；为面向壤塘县2018年底尚未脱贫的建档立卡贫困户共计1607人，每人免费发放2公斤符合国家食品安全标准的低氟砖茶，合计采购发放低氟砖茶3214公斤；由县民族宗教局按政府采购程序统一采购，采购完成后配送至各乡镇，同步开展健康饮茶科普宣传，收集归档发放花名册、公示、影像简报等资料。协调推进项目落地，监督项目质量、资金使用安全，做好政策科普、经验总结等工作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right="0" w:rightChars="0" w:firstLine="642" w:firstLineChars="200"/>
        <w:textAlignment w:val="auto"/>
        <w:rPr>
          <w:rFonts w:hint="default" w:ascii="Times New Roman" w:hAnsi="Times New Roman" w:eastAsia="仿宋_GB2312" w:cs="Times New Roman"/>
          <w:kern w:val="2"/>
          <w:sz w:val="32"/>
          <w:szCs w:val="32"/>
          <w:lang w:val="en-US" w:eastAsia="zh-CN" w:bidi="ar-SA"/>
        </w:rPr>
      </w:pPr>
      <w:r>
        <w:rPr>
          <w:rFonts w:hint="eastAsia"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0" w:firstLine="640" w:firstLineChars="200"/>
        <w:textAlignment w:val="auto"/>
        <w:rPr>
          <w:rFonts w:hint="eastAsia" w:ascii="仿宋_GB2312" w:hAnsi="仿宋_GB2312" w:eastAsia="仿宋_GB2312" w:cs="仿宋_GB2312"/>
          <w:lang w:val="en-US" w:eastAsia="zh-CN"/>
        </w:rPr>
      </w:pPr>
      <w:r>
        <w:rPr>
          <w:rFonts w:hint="eastAsia" w:eastAsia="仿宋_GB2312" w:cs="Times New Roman"/>
          <w:kern w:val="2"/>
          <w:sz w:val="32"/>
          <w:szCs w:val="32"/>
          <w:lang w:val="en-US" w:eastAsia="zh-CN" w:bidi="ar-SA"/>
        </w:rPr>
        <w:t>向农牧民普及低氟边销茶健康知识，引导群众转变传统饮茶习惯，降低饮茶型地氟病风险；巩固拓展脱贫攻坚成果，增强边远山区农牧民群众的获得感、幸福感；</w:t>
      </w:r>
      <w:r>
        <w:rPr>
          <w:rFonts w:hint="eastAsia" w:ascii="仿宋_GB2312" w:hAnsi="仿宋_GB2312" w:eastAsia="仿宋_GB2312" w:cs="仿宋_GB2312"/>
          <w:sz w:val="32"/>
          <w:szCs w:val="32"/>
          <w:lang w:val="en-US" w:eastAsia="zh-CN"/>
        </w:rPr>
        <w:t>项目支持方向：本项目属于少数民族发展任务民生帮扶类项目。</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630" w:leftChars="0"/>
        <w:contextualSpacing/>
        <w:jc w:val="left"/>
        <w:textAlignment w:val="auto"/>
        <w:rPr>
          <w:rFonts w:hint="eastAsia" w:ascii="Times New Roman" w:hAnsi="Times New Roman" w:eastAsia="仿宋_GB2312" w:cs="仿宋_GB2312"/>
          <w:b w:val="0"/>
          <w:bCs w:val="0"/>
          <w:color w:val="00B0F0"/>
          <w:kern w:val="0"/>
          <w:position w:val="0"/>
          <w:sz w:val="32"/>
          <w:szCs w:val="32"/>
          <w:highlight w:val="none"/>
          <w:lang w:val="zh-CN" w:eastAsia="zh-CN" w:bidi="ar-SA"/>
        </w:rPr>
      </w:pPr>
      <w:r>
        <w:rPr>
          <w:rFonts w:hint="eastAsia" w:eastAsia="楷体_GB2312" w:cs="Times New Roman"/>
          <w:b/>
          <w:color w:val="auto"/>
          <w:sz w:val="32"/>
          <w:szCs w:val="32"/>
          <w:highlight w:val="none"/>
          <w:u w:val="none"/>
          <w:lang w:val="en-US"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项目预算安排情况：项目总预算20万元。用于采购3214公斤低氟砖茶、包装设计和制作、乡镇统一配送费，各项资金安排已纳入预算管理，保障专款专用；项目资金分配原则精准帮扶、专款专用、据实开支；以2018年底尚未脱贫建档立卡贫困户人口基数测算实物采购规模；</w:t>
      </w:r>
    </w:p>
    <w:p>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lang w:val="en-US" w:eastAsia="zh-CN"/>
        </w:rPr>
      </w:pPr>
      <w:r>
        <w:rPr>
          <w:rFonts w:hint="eastAsia"/>
          <w:sz w:val="32"/>
          <w:szCs w:val="32"/>
          <w:lang w:val="en-US" w:eastAsia="zh-CN"/>
        </w:rPr>
        <w:t>项目资金分配情况：预算数20万元全部用于采购低氟砖茶。按照各乡镇建档立卡贫困户实际人数分配物资：蒲西乡25人、宗科乡7人、石里乡109人、吾依乡135人、岗木达镇155人、上杜柯乡287人、茸木达乡26人、南木达乡197人、尕多乡219人、中壤塘镇295人、上壤塘乡152人，合计覆盖1607人，按每人2公斤标准分配砖茶，物资配送至对应乡镇，不直接向乡镇拨付现金，由县级统一采购实物下发</w:t>
      </w:r>
      <w:r>
        <w:rPr>
          <w:rFonts w:hint="eastAsia"/>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sz w:val="32"/>
          <w:szCs w:val="32"/>
          <w:lang w:val="en-US" w:eastAsia="zh-CN"/>
        </w:rPr>
      </w:pPr>
      <w:r>
        <w:rPr>
          <w:rFonts w:hint="eastAsia" w:eastAsia="楷体_GB2312" w:cs="Times New Roman"/>
          <w:b/>
          <w:color w:val="auto"/>
          <w:sz w:val="32"/>
          <w:szCs w:val="32"/>
          <w:highlight w:val="none"/>
          <w:u w:val="none"/>
          <w:lang w:val="zh-CN" w:eastAsia="zh-CN"/>
        </w:rPr>
        <w:t>（</w:t>
      </w:r>
      <w:r>
        <w:rPr>
          <w:rFonts w:hint="eastAsia" w:eastAsia="楷体_GB2312" w:cs="Times New Roman"/>
          <w:b/>
          <w:color w:val="auto"/>
          <w:sz w:val="32"/>
          <w:szCs w:val="32"/>
          <w:highlight w:val="none"/>
          <w:u w:val="none"/>
          <w:lang w:val="en-US" w:eastAsia="zh-CN"/>
        </w:rPr>
        <w:t>四</w:t>
      </w:r>
      <w:r>
        <w:rPr>
          <w:rFonts w:hint="eastAsia"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zh-CN" w:eastAsia="zh-CN"/>
        </w:rPr>
        <w:t>项目绩效目标设置。</w:t>
      </w:r>
      <w:r>
        <w:rPr>
          <w:rFonts w:hint="eastAsia" w:eastAsia="仿宋_GB2312" w:cs="仿宋_GB2312"/>
          <w:b w:val="0"/>
          <w:bCs w:val="0"/>
          <w:color w:val="auto"/>
          <w:kern w:val="0"/>
          <w:position w:val="0"/>
          <w:sz w:val="32"/>
          <w:szCs w:val="32"/>
          <w:highlight w:val="none"/>
          <w:lang w:val="en-US" w:eastAsia="zh-CN" w:bidi="ar-SA"/>
        </w:rPr>
        <w:t>项目整体目标：完成全县1607名建档立卡贫困户低氟砖茶发放；切实保障困难群众饮茶安全，巩固拓展民族地区脱贫攻坚成果。</w:t>
      </w:r>
      <w:r>
        <w:rPr>
          <w:rFonts w:hint="eastAsia" w:ascii="仿宋_GB2312" w:hAnsi="仿宋_GB2312" w:eastAsia="仿宋_GB2312" w:cs="仿宋_GB2312"/>
          <w:sz w:val="32"/>
          <w:szCs w:val="32"/>
          <w:lang w:val="en-US" w:eastAsia="zh-CN"/>
        </w:rPr>
        <w:t>各乡镇完成物资接收、组织到户发放、公示、资料收集上报，实现政策宣传同步跟进，各乡镇项目流程规范、档案资料完整。</w:t>
      </w:r>
    </w:p>
    <w:p>
      <w:pPr>
        <w:pStyle w:val="7"/>
        <w:keepNext w:val="0"/>
        <w:keepLines w:val="0"/>
        <w:pageBreakBefore w:val="0"/>
        <w:widowControl w:val="0"/>
        <w:numPr>
          <w:ilvl w:val="0"/>
          <w:numId w:val="0"/>
        </w:numPr>
        <w:kinsoku/>
        <w:wordWrap/>
        <w:overflowPunct/>
        <w:topLinePunct w:val="0"/>
        <w:autoSpaceDE/>
        <w:autoSpaceDN/>
        <w:bidi w:val="0"/>
        <w:adjustRightInd/>
        <w:snapToGrid/>
        <w:ind w:leftChars="0" w:firstLine="640" w:firstLineChars="200"/>
        <w:textAlignment w:val="auto"/>
        <w:rPr>
          <w:rFonts w:hint="eastAsia"/>
          <w:sz w:val="32"/>
          <w:szCs w:val="32"/>
          <w:lang w:val="en-US" w:eastAsia="zh-CN"/>
        </w:rPr>
      </w:pPr>
      <w:r>
        <w:rPr>
          <w:rFonts w:hint="eastAsia"/>
          <w:sz w:val="32"/>
          <w:szCs w:val="32"/>
          <w:lang w:val="en-US" w:eastAsia="zh-CN"/>
        </w:rPr>
        <w:t>具体绩效目标设置：产出指标：采购符合国家标准低氟砖茶数量3214公斤，发放低氟砖茶标准为2公斤/人，低氟砖茶合格率100%，从采购到发放砖茶时间控制在60天之内；效益指标：提高农牧民生活质量；满意度指标：受益群众满意度大于等于98%；成本指标：经济成本指标小于等于20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720"/>
        <w:textAlignment w:val="auto"/>
        <w:outlineLvl w:val="9"/>
        <w:rPr>
          <w:rFonts w:hint="eastAsia" w:eastAsia="仿宋_GB2312"/>
          <w:sz w:val="32"/>
          <w:szCs w:val="32"/>
          <w:lang w:val="en-US" w:eastAsia="zh-CN"/>
        </w:rPr>
      </w:pPr>
      <w:r>
        <w:rPr>
          <w:rFonts w:hint="eastAsia" w:ascii="仿宋_GB2312" w:hAnsi="仿宋_GB2312" w:eastAsia="仿宋_GB2312" w:cs="仿宋_GB2312"/>
          <w:sz w:val="32"/>
          <w:szCs w:val="32"/>
          <w:lang w:val="en-US" w:eastAsia="zh-CN"/>
        </w:rPr>
        <w:t>自评工作开展情况</w:t>
      </w:r>
      <w:r>
        <w:rPr>
          <w:rFonts w:hint="eastAsia"/>
          <w:sz w:val="32"/>
          <w:szCs w:val="32"/>
          <w:lang w:val="en-US" w:eastAsia="zh-CN"/>
        </w:rPr>
        <w:t>：</w:t>
      </w:r>
      <w:r>
        <w:rPr>
          <w:rFonts w:hint="default" w:ascii="Times New Roman" w:hAnsi="Times New Roman" w:eastAsia="仿宋_GB2312" w:cs="Times New Roman"/>
          <w:sz w:val="32"/>
          <w:szCs w:val="32"/>
          <w:lang w:eastAsia="zh-CN"/>
        </w:rPr>
        <w:t>我局对该</w:t>
      </w:r>
      <w:r>
        <w:rPr>
          <w:rFonts w:hint="default" w:ascii="Times New Roman" w:hAnsi="Times New Roman" w:eastAsia="仿宋_GB2312" w:cs="Times New Roman"/>
          <w:sz w:val="32"/>
          <w:szCs w:val="32"/>
        </w:rPr>
        <w:t>项目采取自评</w:t>
      </w:r>
      <w:r>
        <w:rPr>
          <w:rFonts w:hint="default" w:ascii="Times New Roman" w:hAnsi="Times New Roman" w:eastAsia="仿宋_GB2312" w:cs="Times New Roman"/>
          <w:sz w:val="32"/>
          <w:szCs w:val="32"/>
          <w:lang w:eastAsia="zh-CN"/>
        </w:rPr>
        <w:t>为主的</w:t>
      </w:r>
      <w:r>
        <w:rPr>
          <w:rFonts w:hint="default" w:ascii="Times New Roman" w:hAnsi="Times New Roman" w:eastAsia="仿宋_GB2312" w:cs="Times New Roman"/>
          <w:sz w:val="32"/>
          <w:szCs w:val="32"/>
        </w:rPr>
        <w:t>方式，成立项目自评小组，对</w:t>
      </w:r>
      <w:r>
        <w:rPr>
          <w:rFonts w:hint="default"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内容、实施情况、资金兑现、财务管理、社会效益</w:t>
      </w:r>
      <w:r>
        <w:rPr>
          <w:rFonts w:hint="eastAsia" w:eastAsia="仿宋_GB2312" w:cs="Times New Roman"/>
          <w:sz w:val="32"/>
          <w:szCs w:val="32"/>
          <w:lang w:eastAsia="zh-CN"/>
        </w:rPr>
        <w:t>等作出自我</w:t>
      </w:r>
      <w:r>
        <w:rPr>
          <w:rFonts w:hint="default" w:ascii="Times New Roman" w:hAnsi="Times New Roman" w:eastAsia="仿宋_GB2312" w:cs="Times New Roman"/>
          <w:sz w:val="32"/>
          <w:szCs w:val="32"/>
        </w:rPr>
        <w:t>评价</w:t>
      </w:r>
      <w:r>
        <w:rPr>
          <w:rFonts w:hint="eastAsia" w:eastAsia="仿宋_GB2312" w:cs="Times New Roman"/>
          <w:sz w:val="32"/>
          <w:szCs w:val="32"/>
          <w:lang w:eastAsia="zh-CN"/>
        </w:rPr>
        <w:t>。</w:t>
      </w:r>
    </w:p>
    <w:p>
      <w:pPr>
        <w:pStyle w:val="6"/>
        <w:rPr>
          <w:rFonts w:hint="default"/>
          <w:lang w:val="en-US"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default" w:ascii="Times New Roman" w:hAnsi="Times New Roman" w:eastAsia="仿宋_GB2312" w:cs="Times New Roman"/>
          <w:sz w:val="32"/>
          <w:szCs w:val="32"/>
          <w:lang w:val="en-US" w:eastAsia="zh-CN" w:bidi="bo-CN"/>
        </w:rPr>
        <w:t>全面评估资金使用、发放落实、惠民效果，规范民生项目管理，提升资金效益。</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default" w:ascii="Times New Roman" w:hAnsi="Times New Roman" w:eastAsia="仿宋_GB2312" w:cs="Times New Roman"/>
          <w:sz w:val="32"/>
          <w:szCs w:val="32"/>
          <w:lang w:val="en-US" w:eastAsia="zh-CN" w:bidi="bo-CN"/>
        </w:rPr>
        <w:t>重点评价对象精准性、发放及时性、资金合规性、群众满意度、健康知识普及效果。</w:t>
      </w:r>
    </w:p>
    <w:p>
      <w:pPr>
        <w:adjustRightInd w:val="0"/>
        <w:snapToGrid w:val="0"/>
        <w:spacing w:line="560" w:lineRule="exact"/>
        <w:ind w:firstLine="642"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仿宋_GB2312" w:hAnsi="仿宋_GB2312" w:eastAsia="仿宋_GB2312" w:cs="仿宋_GB2312"/>
          <w:sz w:val="32"/>
          <w:szCs w:val="32"/>
          <w:lang w:bidi="bo-CN"/>
        </w:rPr>
        <w:t>选取县本级、民宗局、多个乡镇及受益农户代表开展踏勘。</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default" w:ascii="Times New Roman" w:hAnsi="Times New Roman" w:eastAsia="仿宋_GB2312" w:cs="Times New Roman"/>
          <w:sz w:val="32"/>
          <w:szCs w:val="32"/>
          <w:lang w:val="en-US" w:eastAsia="zh-CN" w:bidi="bo-CN"/>
        </w:rPr>
        <w:t>采用单位自评法、</w:t>
      </w:r>
      <w:r>
        <w:rPr>
          <w:rFonts w:hint="eastAsia" w:eastAsia="仿宋_GB2312" w:cs="Times New Roman"/>
          <w:sz w:val="32"/>
          <w:szCs w:val="32"/>
          <w:lang w:val="en-US" w:eastAsia="zh-CN" w:bidi="bo-CN"/>
        </w:rPr>
        <w:t>实地勘查</w:t>
      </w:r>
      <w:r>
        <w:rPr>
          <w:rFonts w:hint="default" w:ascii="Times New Roman" w:hAnsi="Times New Roman" w:eastAsia="仿宋_GB2312" w:cs="Times New Roman"/>
          <w:sz w:val="32"/>
          <w:szCs w:val="32"/>
          <w:lang w:val="en-US" w:eastAsia="zh-CN" w:bidi="bo-CN"/>
        </w:rPr>
        <w:t>法开展评价。</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default" w:ascii="Times New Roman" w:hAnsi="Times New Roman" w:eastAsia="仿宋_GB2312" w:cs="Times New Roman"/>
          <w:sz w:val="32"/>
          <w:szCs w:val="32"/>
          <w:lang w:val="en-US" w:eastAsia="zh-CN" w:bidi="bo-CN"/>
        </w:rPr>
        <w:t>成立自评小组，由分管领导、项目、财务、乡镇联络员组成，分工负责。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ascii="Times New Roman" w:hAnsi="Times New Roman" w:eastAsia="仿宋_GB2312" w:cs="仿宋_GB2312"/>
          <w:b w:val="0"/>
          <w:bCs w:val="0"/>
          <w:color w:val="0000FF"/>
          <w:kern w:val="0"/>
          <w:position w:val="0"/>
          <w:sz w:val="32"/>
          <w:szCs w:val="32"/>
          <w:highlight w:val="none"/>
          <w:lang w:val="zh-CN" w:eastAsia="zh-CN" w:bidi="ar-SA"/>
        </w:rPr>
        <w:t xml:space="preserve"> </w:t>
      </w:r>
      <w:r>
        <w:rPr>
          <w:rFonts w:hint="eastAsia" w:ascii="Times New Roman" w:hAnsi="Times New Roman" w:eastAsia="仿宋_GB2312" w:cs="仿宋_GB2312"/>
          <w:b w:val="0"/>
          <w:bCs w:val="0"/>
          <w:color w:val="auto"/>
          <w:kern w:val="0"/>
          <w:position w:val="0"/>
          <w:sz w:val="32"/>
          <w:szCs w:val="32"/>
          <w:highlight w:val="none"/>
          <w:lang w:val="zh-CN" w:eastAsia="zh-CN" w:bidi="ar-SA"/>
        </w:rPr>
        <w:t>落实专人牵头负责项目，收到资金文件后，对接财政、乡村振兴部门完成前期备案、统计分配等工作，按规定启动询价采购</w:t>
      </w:r>
      <w:r>
        <w:rPr>
          <w:rFonts w:hint="eastAsia" w:eastAsia="仿宋_GB2312" w:cs="仿宋_GB2312"/>
          <w:b w:val="0"/>
          <w:bCs w:val="0"/>
          <w:color w:val="auto"/>
          <w:kern w:val="0"/>
          <w:position w:val="0"/>
          <w:sz w:val="32"/>
          <w:szCs w:val="32"/>
          <w:highlight w:val="none"/>
          <w:lang w:val="zh-CN" w:eastAsia="zh-CN" w:bidi="ar-SA"/>
        </w:rPr>
        <w:t>；</w:t>
      </w:r>
      <w:r>
        <w:rPr>
          <w:rFonts w:hint="eastAsia" w:ascii="Times New Roman" w:hAnsi="Times New Roman" w:eastAsia="仿宋_GB2312" w:cs="仿宋_GB2312"/>
          <w:b w:val="0"/>
          <w:bCs w:val="0"/>
          <w:color w:val="auto"/>
          <w:kern w:val="0"/>
          <w:position w:val="0"/>
          <w:sz w:val="32"/>
          <w:szCs w:val="32"/>
          <w:highlight w:val="none"/>
          <w:lang w:val="zh-CN" w:eastAsia="zh-CN" w:bidi="ar-SA"/>
        </w:rPr>
        <w:t>结合我县实际确定发放对象、乡镇分配名额，明确采购、配送、发放时限及资料报送要求，项目实施计划清晰。资金全部用于低氟边销茶采购及配送，投向紧扣“健康饮茶”送茶入户项目目标，投向精准。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s="仿宋_GB2312"/>
          <w:b w:val="0"/>
          <w:bCs w:val="0"/>
          <w:color w:val="auto"/>
          <w:kern w:val="0"/>
          <w:position w:val="0"/>
          <w:sz w:val="32"/>
          <w:szCs w:val="32"/>
          <w:highlight w:val="none"/>
          <w:lang w:val="zh-CN" w:eastAsia="zh-CN" w:bidi="ar-SA"/>
        </w:rPr>
      </w:pPr>
      <w:r>
        <w:rPr>
          <w:rFonts w:hint="eastAsia" w:eastAsia="仿宋_GB2312" w:cs="仿宋_GB2312"/>
          <w:b w:val="0"/>
          <w:bCs w:val="0"/>
          <w:color w:val="auto"/>
          <w:kern w:val="0"/>
          <w:position w:val="0"/>
          <w:sz w:val="32"/>
          <w:szCs w:val="32"/>
          <w:highlight w:val="none"/>
          <w:lang w:val="en-US" w:eastAsia="zh-CN" w:bidi="ar-SA"/>
        </w:rPr>
        <w:t>壤塘县民族宗教局牵头采购工作，与乡镇协调对接严格落实项目计划管理相关要求；按计划完成物资配送、到户发放，规范落实分配发放流程；</w:t>
      </w:r>
      <w:r>
        <w:rPr>
          <w:rFonts w:hint="eastAsia" w:ascii="Times New Roman" w:hAnsi="Times New Roman" w:eastAsia="仿宋_GB2312" w:cs="仿宋_GB2312"/>
          <w:b w:val="0"/>
          <w:bCs w:val="0"/>
          <w:color w:val="auto"/>
          <w:kern w:val="0"/>
          <w:position w:val="0"/>
          <w:sz w:val="32"/>
          <w:szCs w:val="32"/>
          <w:highlight w:val="none"/>
          <w:lang w:val="zh-CN" w:eastAsia="zh-CN" w:bidi="ar-SA"/>
        </w:rPr>
        <w:t>开展群众回访，收集农牧民意见建议，跟踪项目实施成效，做好过程监管。</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项目实施。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lang w:val="zh-CN" w:eastAsia="zh-CN"/>
        </w:rPr>
      </w:pPr>
      <w:r>
        <w:rPr>
          <w:rFonts w:hint="default" w:ascii="Times New Roman" w:hAnsi="Times New Roman" w:eastAsia="仿宋_GB2312" w:cs="Times New Roman"/>
          <w:sz w:val="32"/>
          <w:szCs w:val="32"/>
          <w:lang w:val="en-US" w:eastAsia="zh-CN"/>
        </w:rPr>
        <w:t>壤塘县202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年“健康饮茶”送茶入户采购项目，项目实用资金</w:t>
      </w:r>
      <w:r>
        <w:rPr>
          <w:rFonts w:hint="eastAsia" w:ascii="Times New Roman" w:hAnsi="Times New Roman" w:eastAsia="仿宋_GB2312" w:cs="Times New Roman"/>
          <w:sz w:val="32"/>
          <w:szCs w:val="32"/>
          <w:lang w:val="en-US" w:eastAsia="zh-CN"/>
        </w:rPr>
        <w:t>19.7661</w:t>
      </w:r>
      <w:r>
        <w:rPr>
          <w:rFonts w:hint="default" w:ascii="Times New Roman" w:hAnsi="Times New Roman" w:eastAsia="仿宋_GB2312" w:cs="Times New Roman"/>
          <w:sz w:val="32"/>
          <w:szCs w:val="32"/>
          <w:lang w:val="en-US" w:eastAsia="zh-CN"/>
        </w:rPr>
        <w:t>万元</w:t>
      </w:r>
      <w:r>
        <w:rPr>
          <w:rFonts w:hint="eastAsia" w:eastAsia="仿宋_GB2312" w:cs="Times New Roman"/>
          <w:sz w:val="32"/>
          <w:szCs w:val="32"/>
          <w:lang w:val="en-US" w:eastAsia="zh-CN"/>
        </w:rPr>
        <w:t>，执行率达99%；严格实行专款专用，资金投向与项目目标一致，使用规范；</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630" w:leftChars="0"/>
        <w:textAlignment w:val="auto"/>
        <w:outlineLvl w:val="9"/>
        <w:rPr>
          <w:rFonts w:hint="eastAsia" w:ascii="Times New Roman" w:hAnsi="Times New Roman" w:eastAsia="仿宋_GB2312" w:cs="仿宋_GB2312"/>
          <w:b w:val="0"/>
          <w:bCs w:val="0"/>
          <w:color w:val="0070C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en-US" w:eastAsia="zh-CN" w:bidi="ar-SA"/>
        </w:rPr>
        <w:t>项目结果。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顺利完成低氟砖茶发放与健康饮茶科普宣传，增进民族团结，助推乡村振兴，群众获得感明显提升，绩效目标全面落地。按既定时间节点完成物资配送、到户发放及回访工作，项目实施按时办结。</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color w:val="00B0F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1.产业发展。本项目为低氟边销茶发放民生项目，不属于产业发展支持范畴，不做分析。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区域均衡性：覆盖全县11个乡镇，按照各乡镇实际受益人口分配边销茶，各乡镇均落实物资发放，区域覆盖均衡。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对象精准性：严格锁定2018年底未脱贫建档立卡贫困户，共计350户1607人，受益对象筛选准确，分配到人到户。</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标准合理性：执行每人发放2公斤低氟边销茶标准，产品符合国家砖茶含氟量食品安全标准，采购发放标准合规合理。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群众满意度：项目实施后开展回访收集农牧民意见建议，普及健康饮茶知识，群众获得感较强，民生保障成效显现。</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w:t>
      </w:r>
      <w:r>
        <w:rPr>
          <w:rFonts w:hint="eastAsia" w:ascii="Times New Roman" w:hAnsi="Times New Roman" w:eastAsia="仿宋_GB2312" w:cs="仿宋_GB2312"/>
          <w:b w:val="0"/>
          <w:bCs w:val="0"/>
          <w:kern w:val="0"/>
          <w:position w:val="0"/>
          <w:sz w:val="32"/>
          <w:szCs w:val="32"/>
          <w:highlight w:val="none"/>
          <w:lang w:val="zh-CN" w:eastAsia="zh-CN" w:bidi="ar-SA"/>
        </w:rPr>
        <w:t>本项目无基础设施建设内容，不做分析。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行政运转。本项目不属于行政运转类，不做分析。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color w:val="auto"/>
          <w:kern w:val="0"/>
          <w:position w:val="0"/>
          <w:sz w:val="32"/>
          <w:szCs w:val="32"/>
          <w:highlight w:val="none"/>
          <w:lang w:val="zh-CN" w:eastAsia="zh-CN" w:bidi="ar-SA"/>
        </w:rPr>
        <w:t>结合“健康饮茶”送茶入户项目工作特点，</w:t>
      </w:r>
      <w:r>
        <w:rPr>
          <w:rFonts w:hint="eastAsia" w:ascii="Times New Roman" w:hAnsi="Times New Roman" w:eastAsia="仿宋_GB2312" w:cs="仿宋_GB2312"/>
          <w:b w:val="0"/>
          <w:bCs w:val="0"/>
          <w:kern w:val="0"/>
          <w:position w:val="0"/>
          <w:sz w:val="32"/>
          <w:szCs w:val="32"/>
          <w:highlight w:val="none"/>
          <w:lang w:val="zh-CN" w:eastAsia="zh-CN" w:bidi="ar-SA"/>
        </w:rPr>
        <w:t>设置项目宣传科普、民族团结成效、档案资料归集3项个性指标：</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1. 健康饮茶科普宣传指标：依托送茶入户开展低氟砖茶健康知识科普，引导群众树立健康饮茶习惯，完成项目宣传任务。</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2. 铸牢中华民族共同体意识指标：通过政策惠民落地，传递党和国家对民族地区群众关怀，</w:t>
      </w:r>
      <w:r>
        <w:rPr>
          <w:rFonts w:hint="eastAsia" w:eastAsia="仿宋_GB2312" w:cs="仿宋_GB2312"/>
          <w:b w:val="0"/>
          <w:bCs w:val="0"/>
          <w:kern w:val="0"/>
          <w:position w:val="0"/>
          <w:sz w:val="32"/>
          <w:szCs w:val="32"/>
          <w:highlight w:val="none"/>
          <w:lang w:val="zh-CN" w:eastAsia="zh-CN" w:bidi="ar-SA"/>
        </w:rPr>
        <w:t>促进各民族广泛交往交流交融</w:t>
      </w:r>
      <w:r>
        <w:rPr>
          <w:rFonts w:hint="eastAsia" w:ascii="Times New Roman" w:hAnsi="Times New Roman" w:eastAsia="仿宋_GB2312" w:cs="仿宋_GB2312"/>
          <w:b w:val="0"/>
          <w:bCs w:val="0"/>
          <w:kern w:val="0"/>
          <w:position w:val="0"/>
          <w:sz w:val="32"/>
          <w:szCs w:val="32"/>
          <w:highlight w:val="none"/>
          <w:lang w:val="zh-CN" w:eastAsia="zh-CN" w:bidi="ar-SA"/>
        </w:rPr>
        <w:t>，激发群众爱党爱国爱家情怀。</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3. 项目档案归集指标：各乡镇完成发放花名册、领取签字、现场影像资料收集并加盖公章上报县</w:t>
      </w:r>
      <w:r>
        <w:rPr>
          <w:rFonts w:hint="eastAsia" w:eastAsia="仿宋_GB2312" w:cs="仿宋_GB2312"/>
          <w:b w:val="0"/>
          <w:bCs w:val="0"/>
          <w:kern w:val="0"/>
          <w:position w:val="0"/>
          <w:sz w:val="32"/>
          <w:szCs w:val="32"/>
          <w:highlight w:val="none"/>
          <w:lang w:val="en-US" w:eastAsia="zh-CN" w:bidi="ar-SA"/>
        </w:rPr>
        <w:t>民族宗教局</w:t>
      </w:r>
      <w:r>
        <w:rPr>
          <w:rFonts w:hint="eastAsia" w:ascii="Times New Roman" w:hAnsi="Times New Roman" w:eastAsia="仿宋_GB2312" w:cs="仿宋_GB2312"/>
          <w:b w:val="0"/>
          <w:bCs w:val="0"/>
          <w:kern w:val="0"/>
          <w:position w:val="0"/>
          <w:sz w:val="32"/>
          <w:szCs w:val="32"/>
          <w:highlight w:val="none"/>
          <w:lang w:val="zh-CN" w:eastAsia="zh-CN" w:bidi="ar-SA"/>
        </w:rPr>
        <w:t>，项目台账资料完整，档案归集落实到位。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“健康饮茶”送茶入户项目绩效自评综合得分96分。项目按计划完成低氟边销茶采购、分配及到户发放，规范开展健康科普宣传，资金使用合规，惠及群众精准，有效促进民族团结，较好实现既定绩效目标。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后期长效回访机制不够完善，群众意见跟踪收集不够持续；部分乡镇资料报送及时性有待提升。</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color w:val="auto"/>
          <w:kern w:val="0"/>
          <w:position w:val="0"/>
          <w:sz w:val="32"/>
          <w:szCs w:val="32"/>
          <w:highlight w:val="none"/>
          <w:lang w:val="en-US" w:eastAsia="zh-CN" w:bidi="ar-SA"/>
        </w:rPr>
        <w:t>建立常态化回访机制，明确资料报送时限，加强项目全流程跟踪督导</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压实乡镇工作责任，明确资料报送时限要求，强化资料报送督促。</w:t>
      </w:r>
    </w:p>
    <w:p>
      <w:pPr>
        <w:pStyle w:val="21"/>
        <w:rPr>
          <w:rFonts w:hint="eastAsia" w:ascii="Times New Roman" w:hAnsi="Times New Roman" w:eastAsia="仿宋_GB2312" w:cs="仿宋_GB2312"/>
          <w:b/>
          <w:bCs/>
          <w:kern w:val="0"/>
          <w:position w:val="0"/>
          <w:sz w:val="32"/>
          <w:szCs w:val="32"/>
          <w:highlight w:val="none"/>
          <w:lang w:val="en-US" w:eastAsia="zh-CN" w:bidi="ar-SA"/>
        </w:rPr>
      </w:pPr>
    </w:p>
    <w:p>
      <w:pPr>
        <w:rPr>
          <w:rFonts w:hint="eastAsia" w:ascii="Times New Roman" w:hAnsi="Times New Roman" w:eastAsia="仿宋_GB2312" w:cs="仿宋_GB2312"/>
          <w:b/>
          <w:bCs/>
          <w:kern w:val="0"/>
          <w:position w:val="0"/>
          <w:sz w:val="32"/>
          <w:szCs w:val="32"/>
          <w:highlight w:val="none"/>
          <w:lang w:val="en-US" w:eastAsia="zh-CN" w:bidi="ar-SA"/>
        </w:rPr>
      </w:pPr>
    </w:p>
    <w:p>
      <w:pPr>
        <w:pStyle w:val="21"/>
        <w:rPr>
          <w:rFonts w:hint="eastAsia" w:ascii="Times New Roman" w:hAnsi="Times New Roman" w:eastAsia="仿宋_GB2312" w:cs="仿宋_GB2312"/>
          <w:b/>
          <w:bCs/>
          <w:kern w:val="0"/>
          <w:position w:val="0"/>
          <w:sz w:val="32"/>
          <w:szCs w:val="32"/>
          <w:highlight w:val="none"/>
          <w:lang w:val="en-US" w:eastAsia="zh-CN" w:bidi="ar-SA"/>
        </w:rPr>
      </w:pPr>
    </w:p>
    <w:p>
      <w:pPr>
        <w:rPr>
          <w:rFonts w:hint="eastAsia" w:ascii="Times New Roman" w:hAnsi="Times New Roman" w:eastAsia="仿宋_GB2312" w:cs="仿宋_GB2312"/>
          <w:b/>
          <w:bCs/>
          <w:kern w:val="0"/>
          <w:position w:val="0"/>
          <w:sz w:val="32"/>
          <w:szCs w:val="32"/>
          <w:highlight w:val="none"/>
          <w:lang w:val="en-US" w:eastAsia="zh-CN" w:bidi="ar-SA"/>
        </w:rPr>
      </w:pPr>
    </w:p>
    <w:p>
      <w:pPr>
        <w:pStyle w:val="21"/>
        <w:rPr>
          <w:rFonts w:hint="eastAsia" w:ascii="Times New Roman" w:hAnsi="Times New Roman" w:eastAsia="仿宋_GB2312" w:cs="仿宋_GB2312"/>
          <w:b/>
          <w:bCs/>
          <w:kern w:val="0"/>
          <w:position w:val="0"/>
          <w:sz w:val="32"/>
          <w:szCs w:val="32"/>
          <w:highlight w:val="none"/>
          <w:lang w:val="en-US" w:eastAsia="zh-CN" w:bidi="ar-SA"/>
        </w:rPr>
      </w:pPr>
    </w:p>
    <w:p>
      <w:pPr>
        <w:pStyle w:val="21"/>
        <w:rPr>
          <w:rFonts w:hint="eastAsia"/>
          <w:lang w:val="en-US" w:eastAsia="zh-CN"/>
        </w:rPr>
      </w:pPr>
    </w:p>
    <w:p>
      <w:pPr>
        <w:rPr>
          <w:rFonts w:hint="eastAsia"/>
          <w:lang w:val="en-US" w:eastAsia="zh-CN"/>
        </w:rPr>
      </w:pPr>
    </w:p>
    <w:p>
      <w:pPr>
        <w:pStyle w:val="21"/>
        <w:rPr>
          <w:rFonts w:hint="eastAsia"/>
          <w:lang w:val="en-US" w:eastAsia="zh-CN"/>
        </w:rPr>
      </w:pP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eastAsia="仿宋_GB2312" w:cs="仿宋_GB2312"/>
          <w:color w:val="00B0F0"/>
          <w:kern w:val="0"/>
          <w:sz w:val="32"/>
          <w:szCs w:val="32"/>
          <w:highlight w:val="none"/>
          <w:u w:val="none"/>
          <w:shd w:val="clear" w:color="auto" w:fill="FFFFFF"/>
          <w:lang w:val="en-US" w:eastAsia="zh-CN"/>
        </w:rPr>
      </w:pPr>
      <w:r>
        <w:rPr>
          <w:rFonts w:hint="eastAsia" w:ascii="Times New Roman" w:hAnsi="Times New Roman" w:eastAsia="楷体_GB2312"/>
          <w:b/>
          <w:color w:val="auto"/>
          <w:sz w:val="32"/>
          <w:szCs w:val="32"/>
          <w:highlight w:val="none"/>
          <w:u w:val="none"/>
          <w:lang w:val="zh-CN"/>
        </w:rPr>
        <w:t>（一）设立背景及基本情况。</w:t>
      </w:r>
      <w:r>
        <w:rPr>
          <w:rFonts w:hint="eastAsia" w:eastAsia="仿宋_GB2312" w:cs="仿宋_GB2312"/>
          <w:color w:val="00B0F0"/>
          <w:kern w:val="0"/>
          <w:sz w:val="32"/>
          <w:szCs w:val="32"/>
          <w:highlight w:val="none"/>
          <w:u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仿宋_GB2312" w:cs="仿宋_GB2312"/>
          <w:color w:val="auto"/>
          <w:kern w:val="0"/>
          <w:sz w:val="32"/>
          <w:szCs w:val="32"/>
          <w:highlight w:val="none"/>
          <w:u w:val="none"/>
          <w:shd w:val="clear" w:color="auto" w:fill="FFFFFF"/>
          <w:lang w:val="zh-CN"/>
        </w:rPr>
        <w:t>为持续深化民族团结进步创建工作，铸牢中华民族共同体意识，巩固提升我县民族团结进步示范创建成效，根据省、州民族事业发展专项资金相关文件立项实施本项目。项目预算60万元，为2025年省级民族事业发展专项资金。项目主要开展宣传点位升级改造、宣传片制作、氛围营造、文创宣传品印制、藏历新年民族融合主题活动等工作。主管部门为壤塘县民族宗教局，负责项目统筹、采购组织、实施监管及绩效自评。</w:t>
      </w:r>
    </w:p>
    <w:p>
      <w:pPr>
        <w:keepNext w:val="0"/>
        <w:keepLines w:val="0"/>
        <w:pageBreakBefore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0"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color w:val="auto"/>
          <w:kern w:val="0"/>
          <w:position w:val="0"/>
          <w:sz w:val="32"/>
          <w:szCs w:val="32"/>
          <w:highlight w:val="none"/>
          <w:lang w:val="en-US" w:eastAsia="zh-CN" w:bidi="ar-SA"/>
        </w:rPr>
        <w:t>项目资金管理办法制定：</w:t>
      </w:r>
      <w:r>
        <w:rPr>
          <w:rFonts w:hint="eastAsia" w:ascii="Times New Roman" w:hAnsi="Times New Roman" w:eastAsia="仿宋_GB2312" w:cs="仿宋_GB2312"/>
          <w:b w:val="0"/>
          <w:bCs w:val="0"/>
          <w:kern w:val="0"/>
          <w:position w:val="0"/>
          <w:sz w:val="32"/>
          <w:szCs w:val="32"/>
          <w:highlight w:val="none"/>
          <w:lang w:val="zh-CN" w:eastAsia="zh-CN" w:bidi="ar-SA"/>
        </w:rPr>
        <w:t>项目资金严格按照《四川省民族事业发展专项资金管理办法》相关规定规范管理。</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实施目的：紧扣铸牢中华民族共同体意识主线，提档升级民族团结宣传阵地，丰富宣传载体，搭建各民族互动交流平台，巩固民族团结进步创建成果。</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支持方向：用于民族团结进步宣传阵地提质改造、宣传教育素材及文创产品制作、各民族交往交流交融主题活动举办。</w:t>
      </w:r>
    </w:p>
    <w:p>
      <w:pPr>
        <w:keepNext w:val="0"/>
        <w:keepLines w:val="0"/>
        <w:pageBreakBefore w:val="0"/>
        <w:widowControl/>
        <w:numPr>
          <w:ilvl w:val="0"/>
          <w:numId w:val="6"/>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本项目预算安排60万元，为省级民族事业发展专项资金。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资金分配</w:t>
      </w:r>
      <w:r>
        <w:rPr>
          <w:rFonts w:hint="eastAsia" w:eastAsia="仿宋_GB2312" w:cs="仿宋_GB2312"/>
          <w:b w:val="0"/>
          <w:bCs w:val="0"/>
          <w:kern w:val="0"/>
          <w:position w:val="0"/>
          <w:sz w:val="32"/>
          <w:szCs w:val="32"/>
          <w:highlight w:val="none"/>
          <w:lang w:val="en-US" w:eastAsia="zh-CN" w:bidi="ar-SA"/>
        </w:rPr>
        <w:t>原则：</w:t>
      </w:r>
      <w:r>
        <w:rPr>
          <w:rFonts w:hint="eastAsia" w:ascii="Times New Roman" w:hAnsi="Times New Roman" w:eastAsia="仿宋_GB2312" w:cs="仿宋_GB2312"/>
          <w:b w:val="0"/>
          <w:bCs w:val="0"/>
          <w:kern w:val="0"/>
          <w:position w:val="0"/>
          <w:sz w:val="32"/>
          <w:szCs w:val="32"/>
          <w:highlight w:val="none"/>
          <w:lang w:val="zh-CN" w:eastAsia="zh-CN" w:bidi="ar-SA"/>
        </w:rPr>
        <w:t>坚持紧扣创建工作重点、优先保障宣传阵地建设、按需统筹活动开展的原则，结合点位改造、宣传品制作、主题活动等板块工作量测算分配。</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项目资金分配情况：</w:t>
      </w:r>
      <w:r>
        <w:rPr>
          <w:rFonts w:hint="eastAsia" w:ascii="Times New Roman" w:hAnsi="Times New Roman" w:eastAsia="仿宋_GB2312" w:cs="仿宋_GB2312"/>
          <w:b w:val="0"/>
          <w:bCs w:val="0"/>
          <w:kern w:val="0"/>
          <w:position w:val="0"/>
          <w:sz w:val="32"/>
          <w:szCs w:val="32"/>
          <w:highlight w:val="none"/>
          <w:lang w:val="zh-CN" w:eastAsia="zh-CN" w:bidi="ar-SA"/>
        </w:rPr>
        <w:t>用于宣传点位升级改造、宣传片及配套材料制作、氛围营造布置、宣传文创产品印制、藏历新年民族融合系列主题活动等方面</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项目整体目标：深化民族团结进步创建，铸牢中华民族共同体意识，</w:t>
      </w:r>
      <w:r>
        <w:rPr>
          <w:rFonts w:hint="eastAsia" w:eastAsia="仿宋_GB2312" w:cs="仿宋_GB2312"/>
          <w:b w:val="0"/>
          <w:bCs w:val="0"/>
          <w:kern w:val="0"/>
          <w:position w:val="0"/>
          <w:sz w:val="32"/>
          <w:szCs w:val="32"/>
          <w:highlight w:val="none"/>
          <w:lang w:val="zh-CN" w:eastAsia="zh-CN" w:bidi="ar-SA"/>
        </w:rPr>
        <w:t>促进各民族广泛交往交流交融</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区域目标：覆盖全县各乡镇，夯实壤塘</w:t>
      </w:r>
      <w:r>
        <w:rPr>
          <w:rFonts w:hint="eastAsia" w:eastAsia="仿宋_GB2312" w:cs="仿宋_GB2312"/>
          <w:b w:val="0"/>
          <w:bCs w:val="0"/>
          <w:kern w:val="0"/>
          <w:position w:val="0"/>
          <w:sz w:val="32"/>
          <w:szCs w:val="32"/>
          <w:highlight w:val="none"/>
          <w:lang w:val="zh-CN" w:eastAsia="zh-CN" w:bidi="ar-SA"/>
        </w:rPr>
        <w:t>民族团结进步创建</w:t>
      </w:r>
      <w:r>
        <w:rPr>
          <w:rFonts w:hint="eastAsia" w:ascii="Times New Roman" w:hAnsi="Times New Roman" w:eastAsia="仿宋_GB2312" w:cs="仿宋_GB2312"/>
          <w:b w:val="0"/>
          <w:bCs w:val="0"/>
          <w:kern w:val="0"/>
          <w:position w:val="0"/>
          <w:sz w:val="32"/>
          <w:szCs w:val="32"/>
          <w:highlight w:val="none"/>
          <w:lang w:val="zh-CN" w:eastAsia="zh-CN" w:bidi="ar-SA"/>
        </w:rPr>
        <w:t>基础。</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具体绩效目标</w:t>
      </w:r>
      <w:r>
        <w:rPr>
          <w:rFonts w:hint="eastAsia"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产出指标：举办民族团结进步宣讲场次大于等于2场；群众对民族团结政策知晓率大于等于98%；民族团结宣传月活动按期举办率大于等于99%；效益指标：培训基层民族工作干部、提升长期工作能力大于等于10人；群众对中华民族共同体的认同度大于等于99%；成本指标：资金下达等于60万元；</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自评开展情况：项目实施阶段性结束后，由县民宗局牵头成立自评小组，对照既定绩效目标，收集佐证资料，逐项核查指标完成情况，组织开展本次绩效自评工作。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仿宋_GB2312" w:hAnsi="仿宋_GB2312" w:eastAsia="仿宋_GB2312" w:cs="仿宋_GB2312"/>
          <w:b w:val="0"/>
          <w:bCs w:val="0"/>
          <w:sz w:val="32"/>
          <w:szCs w:val="32"/>
        </w:rPr>
        <w:t>全面评估资金使用、发放落实、惠民效果，规范民生项目管理，提升资金效益。</w:t>
      </w:r>
    </w:p>
    <w:p>
      <w:pPr>
        <w:spacing w:line="578" w:lineRule="exact"/>
        <w:ind w:firstLine="642"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val="0"/>
          <w:sz w:val="32"/>
          <w:szCs w:val="32"/>
        </w:rPr>
        <w:t>重点评价对象精准性、资金合规性、群众满意度、健康知识普及效果。</w:t>
      </w:r>
    </w:p>
    <w:p>
      <w:pPr>
        <w:spacing w:line="578" w:lineRule="exact"/>
        <w:ind w:firstLine="642"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仿宋_GB2312" w:hAnsi="仿宋_GB2312" w:eastAsia="仿宋_GB2312" w:cs="仿宋_GB2312"/>
          <w:b w:val="0"/>
          <w:bCs w:val="0"/>
          <w:sz w:val="32"/>
          <w:szCs w:val="32"/>
        </w:rPr>
        <w:t>选取县本级、民宗局、多个乡镇及受益农户代表开展踏勘。</w:t>
      </w:r>
    </w:p>
    <w:p>
      <w:pPr>
        <w:spacing w:line="578" w:lineRule="exact"/>
        <w:ind w:firstLine="642"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仿宋_GB2312" w:hAnsi="仿宋_GB2312" w:eastAsia="仿宋_GB2312" w:cs="仿宋_GB2312"/>
          <w:b w:val="0"/>
          <w:bCs w:val="0"/>
          <w:sz w:val="32"/>
          <w:szCs w:val="32"/>
        </w:rPr>
        <w:t>采用单位自评法、</w:t>
      </w:r>
      <w:r>
        <w:rPr>
          <w:rFonts w:hint="eastAsia" w:ascii="仿宋_GB2312" w:hAnsi="仿宋_GB2312" w:eastAsia="仿宋_GB2312" w:cs="仿宋_GB2312"/>
          <w:b w:val="0"/>
          <w:bCs w:val="0"/>
          <w:sz w:val="32"/>
          <w:szCs w:val="32"/>
          <w:lang w:eastAsia="zh-CN"/>
        </w:rPr>
        <w:t>实地勘查</w:t>
      </w:r>
      <w:r>
        <w:rPr>
          <w:rFonts w:hint="eastAsia" w:ascii="仿宋_GB2312" w:hAnsi="仿宋_GB2312" w:eastAsia="仿宋_GB2312" w:cs="仿宋_GB2312"/>
          <w:b w:val="0"/>
          <w:bCs w:val="0"/>
          <w:sz w:val="32"/>
          <w:szCs w:val="32"/>
        </w:rPr>
        <w:t>法开展评价。</w:t>
      </w:r>
    </w:p>
    <w:p>
      <w:pPr>
        <w:spacing w:line="578" w:lineRule="exact"/>
        <w:ind w:firstLine="642" w:firstLineChars="200"/>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仿宋_GB2312" w:hAnsi="仿宋_GB2312" w:eastAsia="仿宋_GB2312" w:cs="仿宋_GB2312"/>
          <w:b w:val="0"/>
          <w:bCs w:val="0"/>
          <w:sz w:val="32"/>
          <w:szCs w:val="32"/>
        </w:rPr>
        <w:t>成立自评小组，由分管领导、项目、财务、乡镇工作人员组成，分工负责。</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pacing w:line="578" w:lineRule="exact"/>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w:t>
      </w:r>
      <w:r>
        <w:rPr>
          <w:rFonts w:hint="eastAsia" w:ascii="仿宋_GB2312" w:hAnsi="仿宋_GB2312" w:eastAsia="仿宋_GB2312" w:cs="仿宋_GB2312"/>
          <w:b w:val="0"/>
          <w:bCs w:val="0"/>
          <w:sz w:val="32"/>
          <w:szCs w:val="32"/>
        </w:rPr>
        <w:t>程序规范，符合创建全国民族团结示范县政策，资金投向精准。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w:t>
      </w:r>
      <w:r>
        <w:rPr>
          <w:rFonts w:hint="eastAsia" w:ascii="仿宋_GB2312" w:hAnsi="仿宋_GB2312" w:eastAsia="仿宋_GB2312" w:cs="仿宋_GB2312"/>
          <w:b w:val="0"/>
          <w:bCs w:val="0"/>
          <w:sz w:val="32"/>
          <w:szCs w:val="32"/>
        </w:rPr>
        <w:t>制度健全，分配精准，监管到位。</w:t>
      </w:r>
    </w:p>
    <w:p>
      <w:pPr>
        <w:spacing w:line="578" w:lineRule="exact"/>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eastAsia="仿宋_GB2312" w:cs="仿宋_GB2312"/>
          <w:b w:val="0"/>
          <w:bCs w:val="0"/>
          <w:color w:val="auto"/>
          <w:kern w:val="0"/>
          <w:position w:val="0"/>
          <w:sz w:val="32"/>
          <w:szCs w:val="32"/>
          <w:highlight w:val="none"/>
          <w:lang w:val="en-US" w:eastAsia="zh-CN" w:bidi="ar-SA"/>
        </w:rPr>
        <w:t>预算</w:t>
      </w:r>
      <w:r>
        <w:rPr>
          <w:rFonts w:hint="eastAsia" w:ascii="仿宋_GB2312" w:hAnsi="仿宋_GB2312" w:eastAsia="仿宋_GB2312" w:cs="仿宋_GB2312"/>
          <w:b w:val="0"/>
          <w:bCs w:val="0"/>
          <w:sz w:val="32"/>
          <w:szCs w:val="32"/>
        </w:rPr>
        <w:t>资金60万元全额到位，实际使用22.93万元，使用合规。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完成部分宣传点位升级、宣传物料制作，取得阶段性宣传成效；</w:t>
      </w:r>
      <w:r>
        <w:rPr>
          <w:rFonts w:hint="eastAsia" w:eastAsia="仿宋_GB2312" w:cs="仿宋_GB2312"/>
          <w:b w:val="0"/>
          <w:bCs w:val="0"/>
          <w:kern w:val="0"/>
          <w:position w:val="0"/>
          <w:sz w:val="32"/>
          <w:szCs w:val="32"/>
          <w:highlight w:val="none"/>
          <w:lang w:val="en-US" w:eastAsia="zh-CN" w:bidi="ar-SA"/>
        </w:rPr>
        <w:t>基本工作</w:t>
      </w:r>
      <w:r>
        <w:rPr>
          <w:rFonts w:hint="eastAsia" w:ascii="Times New Roman" w:hAnsi="Times New Roman" w:eastAsia="仿宋_GB2312" w:cs="仿宋_GB2312"/>
          <w:b w:val="0"/>
          <w:bCs w:val="0"/>
          <w:kern w:val="0"/>
          <w:position w:val="0"/>
          <w:sz w:val="32"/>
          <w:szCs w:val="32"/>
          <w:highlight w:val="none"/>
          <w:lang w:val="zh-CN" w:eastAsia="zh-CN" w:bidi="ar-SA"/>
        </w:rPr>
        <w:t>已实施工作按期完成</w:t>
      </w:r>
      <w:r>
        <w:rPr>
          <w:rFonts w:hint="eastAsia"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1.产业发展。本项目不属于产业发展支持范畴，不做绩效分析。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区域均衡性：宣传阵地、宣传资料覆盖全县各乡镇，宣传资源统筹下沉，区域覆盖较为均衡。</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对象精准性：面向全县各族干部群众开展民族团结宣传教育，受众符合项目定位，对象选取精准。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标准合理性：项目采购、活动实施严格按照专项资金管理、政府采购相关规定执行，实施标准合规合理。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群众满意度：通过阵地提质、宣传引导，各族群众对民族团结工作认可度稳步提升，满意度较好。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w:t>
      </w:r>
      <w:r>
        <w:rPr>
          <w:rFonts w:hint="eastAsia" w:ascii="Times New Roman" w:hAnsi="Times New Roman" w:eastAsia="仿宋_GB2312" w:cs="仿宋_GB2312"/>
          <w:b w:val="0"/>
          <w:bCs w:val="0"/>
          <w:kern w:val="0"/>
          <w:position w:val="0"/>
          <w:sz w:val="32"/>
          <w:szCs w:val="32"/>
          <w:highlight w:val="none"/>
          <w:lang w:val="zh-CN" w:eastAsia="zh-CN" w:bidi="ar-SA"/>
        </w:rPr>
        <w:t>本项目无新建、改造基建工程内容，不做绩效分析。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行政运转。本项目不属于单位日常行政运转保障类项目，不做绩效分析。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1. 铸牢中华民族共同体意识宣传引导指标：依托宣传点位、宣传物料开展常态化宣传，持续厚植“五个认同”，阶段性目标已完成。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 项目档案归集管理指标：已实施工作的采购资料、现场影像、验收资料及时收集归档，台账资料规范完整。</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spacing w:line="578" w:lineRule="exact"/>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sz w:val="32"/>
          <w:szCs w:val="32"/>
          <w:lang w:eastAsia="zh-CN"/>
        </w:rPr>
        <w:t>本项目绩效自评得分100分。项目立项合规、资金管理规范，全面完成绩效目标，切实保障群众健康，增强群众幸福感、获得感，成效显著。</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spacing w:line="578" w:lineRule="exact"/>
        <w:ind w:firstLine="640" w:firstLineChars="200"/>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sz w:val="32"/>
          <w:szCs w:val="32"/>
        </w:rPr>
        <w:t>民族团结工作市场化推广力度不足，品牌影响力有待加强</w:t>
      </w:r>
      <w:r>
        <w:rPr>
          <w:rFonts w:hint="eastAsia" w:ascii="仿宋_GB2312" w:hAnsi="仿宋_GB2312" w:eastAsia="仿宋_GB2312" w:cs="仿宋_GB2312"/>
          <w:b w:val="0"/>
          <w:bCs w:val="0"/>
          <w:sz w:val="32"/>
          <w:szCs w:val="32"/>
          <w:lang w:eastAsia="zh-CN"/>
        </w:rPr>
        <w:t>；项目绩效全过程动态监管机制需进一步完善。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spacing w:line="578"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针对市场化不足：加大品牌打造与市场推广力度，拓展线上线下销售渠道，提升产品竞争力。</w:t>
      </w:r>
    </w:p>
    <w:p>
      <w:pPr>
        <w:spacing w:line="578" w:lineRule="exact"/>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针对绩效监管：健全项目全周期跟踪问效机制，强化常态化督查与绩效反馈。</w:t>
      </w:r>
    </w:p>
    <w:p>
      <w:pPr>
        <w:rPr>
          <w:rFonts w:hint="eastAsia"/>
          <w:lang w:val="en-US" w:eastAsia="zh-CN"/>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48"/>
      <w:bookmarkEnd w:id="51"/>
      <w:bookmarkStart w:id="52"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0"/>
      <w:r>
        <w:rPr>
          <w:rFonts w:hint="eastAsia" w:ascii="Times New Roman" w:hAnsi="Times New Roman" w:eastAsia="仿宋_GB2312" w:cs="仿宋_GB2312"/>
          <w:color w:val="auto"/>
          <w:sz w:val="32"/>
          <w:szCs w:val="32"/>
          <w:highlight w:val="none"/>
        </w:rPr>
        <w:t>二、收入决算表</w:t>
      </w:r>
      <w:bookmarkEnd w:id="5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1"/>
      <w:r>
        <w:rPr>
          <w:rFonts w:hint="eastAsia" w:ascii="Times New Roman" w:hAnsi="Times New Roman" w:eastAsia="仿宋_GB2312" w:cs="仿宋_GB2312"/>
          <w:color w:val="auto"/>
          <w:sz w:val="32"/>
          <w:szCs w:val="32"/>
          <w:highlight w:val="none"/>
        </w:rPr>
        <w:t>三、支出决算表</w:t>
      </w:r>
      <w:bookmarkEnd w:id="5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2"/>
      <w:r>
        <w:rPr>
          <w:rFonts w:hint="eastAsia" w:ascii="Times New Roman" w:hAnsi="Times New Roman" w:eastAsia="仿宋_GB2312" w:cs="仿宋_GB2312"/>
          <w:color w:val="auto"/>
          <w:sz w:val="32"/>
          <w:szCs w:val="32"/>
          <w:highlight w:val="none"/>
        </w:rPr>
        <w:t>四、财政拨款收入支出决算总表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3"/>
      <w:r>
        <w:rPr>
          <w:rFonts w:hint="eastAsia" w:ascii="Times New Roman" w:hAnsi="Times New Roman" w:eastAsia="仿宋_GB2312" w:cs="仿宋_GB2312"/>
          <w:color w:val="auto"/>
          <w:sz w:val="32"/>
          <w:szCs w:val="32"/>
          <w:highlight w:val="none"/>
        </w:rPr>
        <w:t>五、财政拨款支出决算明细表</w:t>
      </w:r>
      <w:bookmarkEnd w:id="56"/>
      <w:bookmarkStart w:id="57"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5"/>
      <w:r>
        <w:rPr>
          <w:rFonts w:hint="eastAsia" w:ascii="Times New Roman" w:hAnsi="Times New Roman" w:eastAsia="仿宋_GB2312" w:cs="仿宋_GB2312"/>
          <w:color w:val="auto"/>
          <w:sz w:val="32"/>
          <w:szCs w:val="32"/>
          <w:highlight w:val="none"/>
        </w:rPr>
        <w:t>七、一般公共预算财政拨款支出决算明细表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6"/>
      <w:r>
        <w:rPr>
          <w:rFonts w:hint="eastAsia" w:ascii="Times New Roman" w:hAnsi="Times New Roman" w:eastAsia="仿宋_GB2312" w:cs="仿宋_GB2312"/>
          <w:color w:val="auto"/>
          <w:sz w:val="32"/>
          <w:szCs w:val="32"/>
          <w:highlight w:val="none"/>
        </w:rPr>
        <w:t>八、一般公共预算财政拨款基本支出决算表</w:t>
      </w:r>
      <w:bookmarkEnd w:id="5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7"/>
      <w:r>
        <w:rPr>
          <w:rFonts w:hint="eastAsia" w:ascii="Times New Roman" w:hAnsi="Times New Roman" w:eastAsia="仿宋_GB2312" w:cs="仿宋_GB2312"/>
          <w:color w:val="auto"/>
          <w:sz w:val="32"/>
          <w:szCs w:val="32"/>
          <w:highlight w:val="none"/>
        </w:rPr>
        <w:t>九、一般公共预算财政拨款项目支出决算表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8"/>
      <w:r>
        <w:rPr>
          <w:rFonts w:hint="eastAsia" w:ascii="Times New Roman" w:hAnsi="Times New Roman" w:eastAsia="仿宋_GB2312" w:cs="仿宋_GB2312"/>
          <w:color w:val="auto"/>
          <w:sz w:val="32"/>
          <w:szCs w:val="32"/>
          <w:highlight w:val="none"/>
        </w:rPr>
        <w:t>十、</w:t>
      </w:r>
      <w:bookmarkEnd w:id="61"/>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9"/>
      <w:r>
        <w:rPr>
          <w:rFonts w:hint="eastAsia" w:ascii="Times New Roman" w:hAnsi="Times New Roman" w:eastAsia="仿宋_GB2312" w:cs="仿宋_GB2312"/>
          <w:color w:val="auto"/>
          <w:sz w:val="32"/>
          <w:szCs w:val="32"/>
          <w:highlight w:val="none"/>
        </w:rPr>
        <w:t>十一、</w:t>
      </w:r>
      <w:bookmarkEnd w:id="6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30"/>
      <w:r>
        <w:rPr>
          <w:rFonts w:hint="eastAsia" w:ascii="Times New Roman" w:hAnsi="Times New Roman" w:eastAsia="仿宋_GB2312" w:cs="仿宋_GB2312"/>
          <w:color w:val="auto"/>
          <w:sz w:val="32"/>
          <w:szCs w:val="32"/>
          <w:highlight w:val="none"/>
        </w:rPr>
        <w:t>十二、</w:t>
      </w:r>
      <w:bookmarkEnd w:id="63"/>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4" w:name="_Toc15396631"/>
      <w:r>
        <w:rPr>
          <w:rFonts w:hint="eastAsia" w:ascii="Times New Roman" w:hAnsi="Times New Roman" w:eastAsia="仿宋_GB2312" w:cs="仿宋_GB2312"/>
          <w:color w:val="auto"/>
          <w:sz w:val="32"/>
          <w:szCs w:val="32"/>
          <w:highlight w:val="none"/>
        </w:rPr>
        <w:t>十三、</w:t>
      </w:r>
      <w:bookmarkEnd w:id="64"/>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
    <w:panose1 w:val="02010609060101010101"/>
    <w:charset w:val="86"/>
    <w:family w:val="modern"/>
    <w:pitch w:val="default"/>
    <w:sig w:usb0="800002BF" w:usb1="38CF7CFA" w:usb2="00000016" w:usb3="00000000" w:csb0="00040001" w:csb1="00000000"/>
  </w:font>
  <w:font w:name="Arial Unicode MS">
    <w:altName w:val="Times New Roman"/>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11082C"/>
    <w:multiLevelType w:val="singleLevel"/>
    <w:tmpl w:val="9511082C"/>
    <w:lvl w:ilvl="0" w:tentative="0">
      <w:start w:val="1"/>
      <w:numFmt w:val="decimal"/>
      <w:lvlText w:val="%1."/>
      <w:lvlJc w:val="left"/>
      <w:pPr>
        <w:tabs>
          <w:tab w:val="left" w:pos="312"/>
        </w:tabs>
        <w:ind w:left="-10"/>
      </w:pPr>
    </w:lvl>
  </w:abstractNum>
  <w:abstractNum w:abstractNumId="1">
    <w:nsid w:val="D1A2E47D"/>
    <w:multiLevelType w:val="singleLevel"/>
    <w:tmpl w:val="D1A2E47D"/>
    <w:lvl w:ilvl="0" w:tentative="0">
      <w:start w:val="4"/>
      <w:numFmt w:val="decimal"/>
      <w:lvlText w:val="%1."/>
      <w:lvlJc w:val="left"/>
      <w:pPr>
        <w:tabs>
          <w:tab w:val="left" w:pos="312"/>
        </w:tabs>
      </w:pPr>
    </w:lvl>
  </w:abstractNum>
  <w:abstractNum w:abstractNumId="2">
    <w:nsid w:val="F084D55E"/>
    <w:multiLevelType w:val="singleLevel"/>
    <w:tmpl w:val="F084D55E"/>
    <w:lvl w:ilvl="0" w:tentative="0">
      <w:start w:val="1"/>
      <w:numFmt w:val="chineseCounting"/>
      <w:suff w:val="nothing"/>
      <w:lvlText w:val="%1、"/>
      <w:lvlJc w:val="left"/>
      <w:rPr>
        <w:rFonts w:hint="eastAsia"/>
      </w:rPr>
    </w:lvl>
  </w:abstractNum>
  <w:abstractNum w:abstractNumId="3">
    <w:nsid w:val="144A545C"/>
    <w:multiLevelType w:val="singleLevel"/>
    <w:tmpl w:val="144A545C"/>
    <w:lvl w:ilvl="0" w:tentative="0">
      <w:start w:val="2"/>
      <w:numFmt w:val="chineseCounting"/>
      <w:suff w:val="nothing"/>
      <w:lvlText w:val="（%1）"/>
      <w:lvlJc w:val="left"/>
      <w:pPr>
        <w:ind w:left="197"/>
      </w:pPr>
      <w:rPr>
        <w:rFonts w:hint="eastAsia"/>
      </w:rPr>
    </w:lvl>
  </w:abstractNum>
  <w:abstractNum w:abstractNumId="4">
    <w:nsid w:val="7B1E7B5F"/>
    <w:multiLevelType w:val="singleLevel"/>
    <w:tmpl w:val="7B1E7B5F"/>
    <w:lvl w:ilvl="0" w:tentative="0">
      <w:start w:val="2"/>
      <w:numFmt w:val="chineseCounting"/>
      <w:suff w:val="nothing"/>
      <w:lvlText w:val="（%1）"/>
      <w:lvlJc w:val="left"/>
      <w:rPr>
        <w:rFonts w:hint="eastAsia"/>
      </w:rPr>
    </w:lvl>
  </w:abstractNum>
  <w:abstractNum w:abstractNumId="5">
    <w:nsid w:val="7F359D6C"/>
    <w:multiLevelType w:val="singleLevel"/>
    <w:tmpl w:val="7F359D6C"/>
    <w:lvl w:ilvl="0" w:tentative="0">
      <w:start w:val="3"/>
      <w:numFmt w:val="decimal"/>
      <w:lvlText w:val="%1."/>
      <w:lvlJc w:val="left"/>
      <w:pPr>
        <w:tabs>
          <w:tab w:val="left" w:pos="312"/>
        </w:tabs>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12BF3"/>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89417F"/>
    <w:rsid w:val="05924224"/>
    <w:rsid w:val="061E35DE"/>
    <w:rsid w:val="066E0107"/>
    <w:rsid w:val="067E2633"/>
    <w:rsid w:val="06BA3653"/>
    <w:rsid w:val="07996F6E"/>
    <w:rsid w:val="07DFD8BA"/>
    <w:rsid w:val="08DB07E4"/>
    <w:rsid w:val="09227AEE"/>
    <w:rsid w:val="09867E8F"/>
    <w:rsid w:val="0A1872DD"/>
    <w:rsid w:val="0A2032A3"/>
    <w:rsid w:val="0AFF0D65"/>
    <w:rsid w:val="0BA313D9"/>
    <w:rsid w:val="0C6C4794"/>
    <w:rsid w:val="0CA8290A"/>
    <w:rsid w:val="0D35B1ED"/>
    <w:rsid w:val="0DE07E2B"/>
    <w:rsid w:val="0F98263C"/>
    <w:rsid w:val="101860EC"/>
    <w:rsid w:val="10325FD2"/>
    <w:rsid w:val="10C055FF"/>
    <w:rsid w:val="11772AA4"/>
    <w:rsid w:val="118107EC"/>
    <w:rsid w:val="12070D49"/>
    <w:rsid w:val="12AC4983"/>
    <w:rsid w:val="13D50BC4"/>
    <w:rsid w:val="14022904"/>
    <w:rsid w:val="14EC118B"/>
    <w:rsid w:val="152F2A07"/>
    <w:rsid w:val="15867488"/>
    <w:rsid w:val="15B422A6"/>
    <w:rsid w:val="162E5DAC"/>
    <w:rsid w:val="165E0673"/>
    <w:rsid w:val="16781B16"/>
    <w:rsid w:val="16BB723D"/>
    <w:rsid w:val="172F3B86"/>
    <w:rsid w:val="174B4C4B"/>
    <w:rsid w:val="17752DEC"/>
    <w:rsid w:val="17965156"/>
    <w:rsid w:val="17A806EA"/>
    <w:rsid w:val="17D31478"/>
    <w:rsid w:val="186504BB"/>
    <w:rsid w:val="18B63B11"/>
    <w:rsid w:val="1938089F"/>
    <w:rsid w:val="19A445FC"/>
    <w:rsid w:val="1B7D550C"/>
    <w:rsid w:val="1BE8440E"/>
    <w:rsid w:val="1C044916"/>
    <w:rsid w:val="1CA76710"/>
    <w:rsid w:val="1D155CEE"/>
    <w:rsid w:val="1D593485"/>
    <w:rsid w:val="1DAD2FA9"/>
    <w:rsid w:val="1E740ACF"/>
    <w:rsid w:val="1E9B6C1B"/>
    <w:rsid w:val="1FF35744"/>
    <w:rsid w:val="1FF6BC77"/>
    <w:rsid w:val="21962A9E"/>
    <w:rsid w:val="219C72D9"/>
    <w:rsid w:val="21AE7C77"/>
    <w:rsid w:val="22BC3C41"/>
    <w:rsid w:val="22EA7A57"/>
    <w:rsid w:val="23772D2F"/>
    <w:rsid w:val="23860B96"/>
    <w:rsid w:val="240371BF"/>
    <w:rsid w:val="260F557C"/>
    <w:rsid w:val="264C0786"/>
    <w:rsid w:val="26787F06"/>
    <w:rsid w:val="273D78E1"/>
    <w:rsid w:val="27A21A6B"/>
    <w:rsid w:val="2810476F"/>
    <w:rsid w:val="281408E2"/>
    <w:rsid w:val="28636F80"/>
    <w:rsid w:val="296E058F"/>
    <w:rsid w:val="298A4995"/>
    <w:rsid w:val="29FD04D3"/>
    <w:rsid w:val="2BFF7BC6"/>
    <w:rsid w:val="2C230DAB"/>
    <w:rsid w:val="2C8A61B5"/>
    <w:rsid w:val="2CE85C70"/>
    <w:rsid w:val="2D2E01CF"/>
    <w:rsid w:val="2DBE198D"/>
    <w:rsid w:val="2DF04E50"/>
    <w:rsid w:val="2E000D4A"/>
    <w:rsid w:val="2E9545B0"/>
    <w:rsid w:val="2E99321B"/>
    <w:rsid w:val="2F040D46"/>
    <w:rsid w:val="2FAE5751"/>
    <w:rsid w:val="2FB1A395"/>
    <w:rsid w:val="2FD9A7D8"/>
    <w:rsid w:val="30CF4241"/>
    <w:rsid w:val="319F7F4E"/>
    <w:rsid w:val="321B2544"/>
    <w:rsid w:val="3304709D"/>
    <w:rsid w:val="34281836"/>
    <w:rsid w:val="349D6851"/>
    <w:rsid w:val="35675B59"/>
    <w:rsid w:val="35BA6CAF"/>
    <w:rsid w:val="35D4071F"/>
    <w:rsid w:val="364D14C1"/>
    <w:rsid w:val="36AA5135"/>
    <w:rsid w:val="36BE0DA7"/>
    <w:rsid w:val="376B6AA6"/>
    <w:rsid w:val="376D39B2"/>
    <w:rsid w:val="37B31CD3"/>
    <w:rsid w:val="37E16F03"/>
    <w:rsid w:val="37F53A3B"/>
    <w:rsid w:val="386B672D"/>
    <w:rsid w:val="38882571"/>
    <w:rsid w:val="389B6C89"/>
    <w:rsid w:val="38D469F0"/>
    <w:rsid w:val="39627CCD"/>
    <w:rsid w:val="397BAF1F"/>
    <w:rsid w:val="39A94B8A"/>
    <w:rsid w:val="39F046EF"/>
    <w:rsid w:val="3AB79AF3"/>
    <w:rsid w:val="3AE6202B"/>
    <w:rsid w:val="3B254B71"/>
    <w:rsid w:val="3B7EF35A"/>
    <w:rsid w:val="3B9FDB6C"/>
    <w:rsid w:val="3BF5BC2F"/>
    <w:rsid w:val="3C841142"/>
    <w:rsid w:val="3CEBA265"/>
    <w:rsid w:val="3D243AB6"/>
    <w:rsid w:val="3D98207C"/>
    <w:rsid w:val="3D9B0D99"/>
    <w:rsid w:val="3DEE7CF3"/>
    <w:rsid w:val="3DF02244"/>
    <w:rsid w:val="3DF372A9"/>
    <w:rsid w:val="3DF97B88"/>
    <w:rsid w:val="3E78745D"/>
    <w:rsid w:val="3E7D41CF"/>
    <w:rsid w:val="3F7408AD"/>
    <w:rsid w:val="3FF4CAE0"/>
    <w:rsid w:val="3FF7B227"/>
    <w:rsid w:val="4024216A"/>
    <w:rsid w:val="40E54C45"/>
    <w:rsid w:val="422D545E"/>
    <w:rsid w:val="423C08AA"/>
    <w:rsid w:val="42AF7D8F"/>
    <w:rsid w:val="43A407DF"/>
    <w:rsid w:val="44515BEA"/>
    <w:rsid w:val="44E268DA"/>
    <w:rsid w:val="453F7E5B"/>
    <w:rsid w:val="47C70D24"/>
    <w:rsid w:val="486A6C7A"/>
    <w:rsid w:val="4896241A"/>
    <w:rsid w:val="489C5559"/>
    <w:rsid w:val="49176D9B"/>
    <w:rsid w:val="497F206B"/>
    <w:rsid w:val="4A627F82"/>
    <w:rsid w:val="4A9D650F"/>
    <w:rsid w:val="4B0E749A"/>
    <w:rsid w:val="4B40477A"/>
    <w:rsid w:val="4B4F25DA"/>
    <w:rsid w:val="4B5037BD"/>
    <w:rsid w:val="4BDA0CFB"/>
    <w:rsid w:val="4BE068DB"/>
    <w:rsid w:val="4C382F72"/>
    <w:rsid w:val="4C682133"/>
    <w:rsid w:val="4CEC4BF9"/>
    <w:rsid w:val="4D3C0CCC"/>
    <w:rsid w:val="4D577224"/>
    <w:rsid w:val="4DBF1CEB"/>
    <w:rsid w:val="4E027201"/>
    <w:rsid w:val="4E7E571C"/>
    <w:rsid w:val="4EAB630A"/>
    <w:rsid w:val="4ECE2238"/>
    <w:rsid w:val="4F5267B8"/>
    <w:rsid w:val="4F833267"/>
    <w:rsid w:val="4FE9BD67"/>
    <w:rsid w:val="4FEB1745"/>
    <w:rsid w:val="4FFB052F"/>
    <w:rsid w:val="506C296A"/>
    <w:rsid w:val="50A0374E"/>
    <w:rsid w:val="5276474E"/>
    <w:rsid w:val="53083A92"/>
    <w:rsid w:val="537E6D0A"/>
    <w:rsid w:val="53AF27A2"/>
    <w:rsid w:val="53F74C96"/>
    <w:rsid w:val="54B232F2"/>
    <w:rsid w:val="56E47B74"/>
    <w:rsid w:val="57151A1D"/>
    <w:rsid w:val="57BD3DD4"/>
    <w:rsid w:val="57EF7335"/>
    <w:rsid w:val="57FA5423"/>
    <w:rsid w:val="58717F51"/>
    <w:rsid w:val="5AF92295"/>
    <w:rsid w:val="5BDD79E6"/>
    <w:rsid w:val="5BE51150"/>
    <w:rsid w:val="5BF561CA"/>
    <w:rsid w:val="5BFF5DFC"/>
    <w:rsid w:val="5C170ED9"/>
    <w:rsid w:val="5CD71FC4"/>
    <w:rsid w:val="5D1F11B5"/>
    <w:rsid w:val="5DAE1B18"/>
    <w:rsid w:val="5DE7D9E5"/>
    <w:rsid w:val="5EC87D33"/>
    <w:rsid w:val="5ECEC941"/>
    <w:rsid w:val="5F3C3E6C"/>
    <w:rsid w:val="5F493CB7"/>
    <w:rsid w:val="5FBF9FF3"/>
    <w:rsid w:val="5FCD4E2C"/>
    <w:rsid w:val="5FD15F49"/>
    <w:rsid w:val="5FEF394A"/>
    <w:rsid w:val="5FF67715"/>
    <w:rsid w:val="60926CE6"/>
    <w:rsid w:val="61EB57DA"/>
    <w:rsid w:val="62BF3928"/>
    <w:rsid w:val="645931CF"/>
    <w:rsid w:val="647F5392"/>
    <w:rsid w:val="64A66DEE"/>
    <w:rsid w:val="64C02DE6"/>
    <w:rsid w:val="652F4AE6"/>
    <w:rsid w:val="66232203"/>
    <w:rsid w:val="664B1D71"/>
    <w:rsid w:val="67AA3209"/>
    <w:rsid w:val="681C4F0D"/>
    <w:rsid w:val="687C76BB"/>
    <w:rsid w:val="69046D0F"/>
    <w:rsid w:val="698D0931"/>
    <w:rsid w:val="6A993CED"/>
    <w:rsid w:val="6B053271"/>
    <w:rsid w:val="6B3C438C"/>
    <w:rsid w:val="6BCE6674"/>
    <w:rsid w:val="6C3101DF"/>
    <w:rsid w:val="6C4A05C8"/>
    <w:rsid w:val="6C8742B8"/>
    <w:rsid w:val="6C8A170F"/>
    <w:rsid w:val="6CB54609"/>
    <w:rsid w:val="6DBF5E93"/>
    <w:rsid w:val="6DFF077E"/>
    <w:rsid w:val="6E2A0FD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C32C1C"/>
    <w:rsid w:val="712A28F1"/>
    <w:rsid w:val="715C0E4B"/>
    <w:rsid w:val="71A32500"/>
    <w:rsid w:val="71C577F4"/>
    <w:rsid w:val="72233669"/>
    <w:rsid w:val="72734D90"/>
    <w:rsid w:val="73011729"/>
    <w:rsid w:val="7332FE48"/>
    <w:rsid w:val="73AB61DA"/>
    <w:rsid w:val="73AD73D5"/>
    <w:rsid w:val="73B6EB34"/>
    <w:rsid w:val="73FA497D"/>
    <w:rsid w:val="744731E5"/>
    <w:rsid w:val="74527205"/>
    <w:rsid w:val="74BBD01D"/>
    <w:rsid w:val="74ED5379"/>
    <w:rsid w:val="74FC2395"/>
    <w:rsid w:val="75DB0BB4"/>
    <w:rsid w:val="75DEEEC2"/>
    <w:rsid w:val="76E3355F"/>
    <w:rsid w:val="76EB3CC8"/>
    <w:rsid w:val="76FF5125"/>
    <w:rsid w:val="77277511"/>
    <w:rsid w:val="776F6FFA"/>
    <w:rsid w:val="778769C8"/>
    <w:rsid w:val="77BB22C7"/>
    <w:rsid w:val="77DC22F5"/>
    <w:rsid w:val="784C4AF9"/>
    <w:rsid w:val="78B026EA"/>
    <w:rsid w:val="78B44357"/>
    <w:rsid w:val="79086DAD"/>
    <w:rsid w:val="79974F09"/>
    <w:rsid w:val="79D7FD79"/>
    <w:rsid w:val="79EE5BA4"/>
    <w:rsid w:val="7A894339"/>
    <w:rsid w:val="7AFF7572"/>
    <w:rsid w:val="7B6C7DFB"/>
    <w:rsid w:val="7BBFBED0"/>
    <w:rsid w:val="7BC3E394"/>
    <w:rsid w:val="7C1F3737"/>
    <w:rsid w:val="7CBFC87B"/>
    <w:rsid w:val="7CFE0F48"/>
    <w:rsid w:val="7D7EC23E"/>
    <w:rsid w:val="7D887FEE"/>
    <w:rsid w:val="7D916348"/>
    <w:rsid w:val="7E8ADEBF"/>
    <w:rsid w:val="7EEF11D3"/>
    <w:rsid w:val="7F0971A6"/>
    <w:rsid w:val="7F3F679B"/>
    <w:rsid w:val="7F4FC4EF"/>
    <w:rsid w:val="7F5E4D54"/>
    <w:rsid w:val="7F6E0135"/>
    <w:rsid w:val="7FA30C79"/>
    <w:rsid w:val="7FAF8ABF"/>
    <w:rsid w:val="7FB7269E"/>
    <w:rsid w:val="7FC96657"/>
    <w:rsid w:val="7FCD428A"/>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3FF5CAC"/>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仿宋" w:cs="Arial Unicode MS"/>
      <w:kern w:val="0"/>
      <w:sz w:val="32"/>
      <w:szCs w:val="21"/>
      <w:lang w:bidi="bo-CN"/>
    </w:rPr>
  </w:style>
  <w:style w:type="paragraph" w:styleId="6">
    <w:name w:val="index 8"/>
    <w:basedOn w:val="1"/>
    <w:next w:val="1"/>
    <w:unhideWhenUsed/>
    <w:qFormat/>
    <w:uiPriority w:val="99"/>
    <w:pPr>
      <w:ind w:left="2940"/>
    </w:pPr>
  </w:style>
  <w:style w:type="paragraph" w:styleId="7">
    <w:name w:val="Body Text"/>
    <w:basedOn w:val="1"/>
    <w:next w:val="6"/>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NormalCharacter"/>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AppData\Local\Temp\wps.nP9064\Workbook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AppData\Local\Temp\wps.gz9064\Chart3%20in%20Wps.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AppData\Local\Temp\wps.pp9064\Chart5%20in%20Wps.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AppData\Local\Temp\wps.BZ9064\Chart8%20in%20Wps.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AppData\Local\Temp\wps.lk8888\Chart%20in%20Wps.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manualLayout>
          <c:xMode val="edge"/>
          <c:yMode val="edge"/>
          <c:x val="0.212361111111111"/>
          <c:y val="0.0208333333333333"/>
        </c:manualLayout>
      </c:layout>
      <c:overlay val="0"/>
      <c:spPr>
        <a:noFill/>
        <a:ln>
          <a:noFill/>
        </a:ln>
        <a:effectLst/>
      </c:spPr>
    </c:title>
    <c:autoTitleDeleted val="0"/>
    <c:plotArea>
      <c:layout/>
      <c:barChart>
        <c:barDir val="col"/>
        <c:grouping val="clustered"/>
        <c:varyColors val="0"/>
        <c:ser>
          <c:idx val="0"/>
          <c:order val="0"/>
          <c:tx>
            <c:strRef>
              <c:f>Sheet1!$A$2</c:f>
              <c:strCache>
                <c:ptCount val="1"/>
                <c:pt idx="0">
                  <c:v>类别 1</c:v>
                </c:pt>
              </c:strCache>
            </c:strRef>
          </c:tx>
          <c:spPr>
            <a:solidFill>
              <a:schemeClr val="accent1"/>
            </a:solidFill>
            <a:ln>
              <a:noFill/>
            </a:ln>
            <a:effectLst/>
          </c:spPr>
          <c:invertIfNegative val="0"/>
          <c:dLbls>
            <c:delete val="1"/>
          </c:dLbls>
          <c:cat>
            <c:strRef>
              <c:f>Sheet1!$B$1:$C$1</c:f>
              <c:strCache>
                <c:ptCount val="2"/>
                <c:pt idx="0">
                  <c:v>收入总计变动</c:v>
                </c:pt>
                <c:pt idx="1">
                  <c:v>支出总计变动</c:v>
                </c:pt>
              </c:strCache>
            </c:strRef>
          </c:cat>
          <c:val>
            <c:numRef>
              <c:f>Sheet1!$B$2:$C$2</c:f>
              <c:numCache>
                <c:formatCode>General</c:formatCode>
                <c:ptCount val="2"/>
                <c:pt idx="0">
                  <c:v>589.76</c:v>
                </c:pt>
                <c:pt idx="1">
                  <c:v>589.76</c:v>
                </c:pt>
              </c:numCache>
            </c:numRef>
          </c:val>
        </c:ser>
        <c:ser>
          <c:idx val="1"/>
          <c:order val="1"/>
          <c:tx>
            <c:strRef>
              <c:f>Sheet1!$A$3</c:f>
              <c:strCache>
                <c:ptCount val="1"/>
                <c:pt idx="0">
                  <c:v>类别 2</c:v>
                </c:pt>
              </c:strCache>
            </c:strRef>
          </c:tx>
          <c:spPr>
            <a:solidFill>
              <a:schemeClr val="accent2"/>
            </a:solidFill>
            <a:ln>
              <a:noFill/>
            </a:ln>
            <a:effectLst/>
          </c:spPr>
          <c:invertIfNegative val="0"/>
          <c:dLbls>
            <c:delete val="1"/>
          </c:dLbls>
          <c:cat>
            <c:strRef>
              <c:f>Sheet1!$B$1:$C$1</c:f>
              <c:strCache>
                <c:ptCount val="2"/>
                <c:pt idx="0">
                  <c:v>收入总计变动</c:v>
                </c:pt>
                <c:pt idx="1">
                  <c:v>支出总计变动</c:v>
                </c:pt>
              </c:strCache>
            </c:strRef>
          </c:cat>
          <c:val>
            <c:numRef>
              <c:f>Sheet1!$B$3:$C$3</c:f>
              <c:numCache>
                <c:formatCode>General</c:formatCode>
                <c:ptCount val="2"/>
                <c:pt idx="0">
                  <c:v>656.53</c:v>
                </c:pt>
                <c:pt idx="1">
                  <c:v>656.53</c:v>
                </c:pt>
              </c:numCache>
            </c:numRef>
          </c:val>
        </c:ser>
        <c:dLbls>
          <c:showLegendKey val="0"/>
          <c:showVal val="0"/>
          <c:showCatName val="0"/>
          <c:showSerName val="0"/>
          <c:showPercent val="0"/>
          <c:showBubbleSize val="0"/>
        </c:dLbls>
        <c:gapWidth val="219"/>
        <c:overlap val="-27"/>
        <c:axId val="931942576"/>
        <c:axId val="564202929"/>
      </c:barChart>
      <c:catAx>
        <c:axId val="931942576"/>
        <c:scaling>
          <c:orientation val="minMax"/>
        </c:scaling>
        <c:delete val="0"/>
        <c:axPos val="b"/>
        <c:numFmt formatCode="#,##0.00_);[Red]\(#,##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202929"/>
        <c:crosses val="autoZero"/>
        <c:auto val="0"/>
        <c:lblAlgn val="ctr"/>
        <c:lblOffset val="100"/>
        <c:noMultiLvlLbl val="0"/>
      </c:catAx>
      <c:valAx>
        <c:axId val="56420292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1942576"/>
        <c:crosses val="autoZero"/>
        <c:crossBetween val="between"/>
        <c:majorUnit val="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Sheet1!$A$2</c:f>
              <c:strCache>
                <c:ptCount val="1"/>
                <c:pt idx="0">
                  <c:v>一般公共预算财政拨款收入</c:v>
                </c:pt>
              </c:strCache>
            </c:strRef>
          </c:tx>
          <c:spPr/>
          <c:explosion val="0"/>
          <c:dPt>
            <c:idx val="0"/>
            <c:bubble3D val="0"/>
            <c:spPr>
              <a:solidFill>
                <a:schemeClr val="accent1"/>
              </a:solidFill>
              <a:ln w="19050">
                <a:solidFill>
                  <a:schemeClr val="lt1"/>
                </a:solidFill>
              </a:ln>
              <a:effectLst/>
            </c:spPr>
          </c:dPt>
          <c:dLbls>
            <c:delete val="1"/>
          </c:dLbls>
          <c:cat>
            <c:strRef>
              <c:f>Sheet1!$B$1</c:f>
              <c:strCache>
                <c:ptCount val="1"/>
                <c:pt idx="0">
                  <c:v>收入决算结构图</c:v>
                </c:pt>
              </c:strCache>
            </c:strRef>
          </c:cat>
          <c:val>
            <c:numRef>
              <c:f>Sheet1!$B$2</c:f>
              <c:numCache>
                <c:formatCode>General</c:formatCode>
                <c:ptCount val="1"/>
                <c:pt idx="0">
                  <c:v>656.53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'[Chart5 in Wps.xlsx]Sheet1'!$B$1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'[Chart5 in Wps.xlsx]Sheet1'!$A$2:$A$3</c:f>
              <c:strCache>
                <c:ptCount val="2"/>
                <c:pt idx="0">
                  <c:v>基本支出</c:v>
                </c:pt>
                <c:pt idx="1">
                  <c:v>项目支出</c:v>
                </c:pt>
              </c:strCache>
            </c:strRef>
          </c:cat>
          <c:val>
            <c:numRef>
              <c:f>'[Chart5 in Wps.xlsx]Sheet1'!$B$2:$B$3</c:f>
              <c:numCache>
                <c:formatCode>General</c:formatCode>
                <c:ptCount val="2"/>
                <c:pt idx="0">
                  <c:v>333.88</c:v>
                </c:pt>
                <c:pt idx="1">
                  <c:v>322.66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49804305283757"/>
          <c:y val="0.88137254901960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delete val="1"/>
          </c:dLbls>
          <c:cat>
            <c:strRef>
              <c:f>Sheet1!$A$2:$A$3</c:f>
              <c:strCache>
                <c:ptCount val="2"/>
                <c:pt idx="0">
                  <c:v>财政拨款收入总计变动</c:v>
                </c:pt>
                <c:pt idx="1">
                  <c:v>财政拨款支出总计变动</c:v>
                </c:pt>
              </c:strCache>
            </c:strRef>
          </c:cat>
          <c:val>
            <c:numRef>
              <c:f>Sheet1!$B$2:$B$3</c:f>
              <c:numCache>
                <c:formatCode>General</c:formatCode>
                <c:ptCount val="2"/>
                <c:pt idx="0">
                  <c:v>589.76</c:v>
                </c:pt>
                <c:pt idx="1">
                  <c:v>589.76</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Sheet1!$A$2:$A$3</c:f>
              <c:strCache>
                <c:ptCount val="2"/>
                <c:pt idx="0">
                  <c:v>财政拨款收入总计变动</c:v>
                </c:pt>
                <c:pt idx="1">
                  <c:v>财政拨款支出总计变动</c:v>
                </c:pt>
              </c:strCache>
            </c:strRef>
          </c:cat>
          <c:val>
            <c:numRef>
              <c:f>Sheet1!$C$2:$C$3</c:f>
              <c:numCache>
                <c:formatCode>General</c:formatCode>
                <c:ptCount val="2"/>
                <c:pt idx="0">
                  <c:v>656.53</c:v>
                </c:pt>
                <c:pt idx="1">
                  <c:v>656.53</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财政拨款收入总计变动</c:v>
                </c:pt>
                <c:pt idx="1">
                  <c:v>财政拨款支出总计变动</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19"/>
        <c:overlap val="-27"/>
        <c:axId val="124838977"/>
        <c:axId val="466295863"/>
      </c:barChart>
      <c:catAx>
        <c:axId val="1248389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66295863"/>
        <c:crosses val="autoZero"/>
        <c:auto val="1"/>
        <c:lblAlgn val="ctr"/>
        <c:lblOffset val="100"/>
        <c:noMultiLvlLbl val="0"/>
      </c:catAx>
      <c:valAx>
        <c:axId val="466295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4838977"/>
        <c:crosses val="autoZero"/>
        <c:crossBetween val="between"/>
        <c:minorUnit val="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589.76</c:v>
                </c:pt>
                <c:pt idx="1">
                  <c:v>656.53</c:v>
                </c:pt>
              </c:numCache>
            </c:numRef>
          </c:val>
        </c:ser>
        <c:dLbls>
          <c:showLegendKey val="0"/>
          <c:showVal val="0"/>
          <c:showCatName val="0"/>
          <c:showSerName val="0"/>
          <c:showPercent val="0"/>
          <c:showBubbleSize val="0"/>
        </c:dLbls>
        <c:gapWidth val="219"/>
        <c:overlap val="-27"/>
        <c:axId val="190978316"/>
        <c:axId val="846106975"/>
      </c:barChart>
      <c:catAx>
        <c:axId val="1909783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6106975"/>
        <c:crosses val="autoZero"/>
        <c:auto val="1"/>
        <c:lblAlgn val="ctr"/>
        <c:lblOffset val="100"/>
        <c:noMultiLvlLbl val="0"/>
      </c:catAx>
      <c:valAx>
        <c:axId val="8461069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0978316"/>
        <c:crosses val="autoZero"/>
        <c:crossBetween val="between"/>
        <c:majorUnit val="1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'[Chart in Wps.xlsx]Sheet1'!$B$1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'[Chart in Wps.xlsx]Sheet1'!$A$2:$A$6</c:f>
              <c:strCache>
                <c:ptCount val="5"/>
                <c:pt idx="0">
                  <c:v>一般公共服务支出</c:v>
                </c:pt>
                <c:pt idx="1">
                  <c:v>社会保障和就业</c:v>
                </c:pt>
                <c:pt idx="2">
                  <c:v>卫生健康支出</c:v>
                </c:pt>
                <c:pt idx="3">
                  <c:v>农林水支出</c:v>
                </c:pt>
                <c:pt idx="4">
                  <c:v>住房保障支出</c:v>
                </c:pt>
              </c:strCache>
            </c:strRef>
          </c:cat>
          <c:val>
            <c:numRef>
              <c:f>'[Chart in Wps.xlsx]Sheet1'!$B$2:$B$6</c:f>
              <c:numCache>
                <c:formatCode>General</c:formatCode>
                <c:ptCount val="5"/>
                <c:pt idx="0">
                  <c:v>499.7</c:v>
                </c:pt>
                <c:pt idx="1">
                  <c:v>45.19</c:v>
                </c:pt>
                <c:pt idx="2">
                  <c:v>19.18</c:v>
                </c:pt>
                <c:pt idx="3">
                  <c:v>69.72</c:v>
                </c:pt>
                <c:pt idx="4">
                  <c:v>22.74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209517563037458"/>
          <c:y val="0.115453283078754"/>
          <c:w val="0.525579361609095"/>
          <c:h val="0.71533425907558"/>
        </c:manualLayout>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3.6</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10</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2026-10-26T15:53:00Z</cp:lastPrinted>
  <dcterms:modified xsi:type="dcterms:W3CDTF">2026-10-26T17:23:10Z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9C20405CF3C44461A8C3AE6B975882EC_13</vt:lpwstr>
  </property>
</Properties>
</file>