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7425"/>
      <w:bookmarkStart w:id="2" w:name="_Toc15396475"/>
      <w:bookmarkStart w:id="3" w:name="_Toc15378441"/>
      <w:bookmarkStart w:id="4" w:name="_Toc15396597"/>
      <w:bookmarkStart w:id="5" w:name="_Toc15306267"/>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96476"/>
      <w:bookmarkStart w:id="8" w:name="_Toc15377194"/>
      <w:bookmarkStart w:id="9" w:name="_Toc15396598"/>
      <w:bookmarkStart w:id="10" w:name="_Toc1537742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壤塘县畜牧兽医服务中心（本级）</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bookmarkStart w:id="108" w:name="_GoBack"/>
      <w:bookmarkEnd w:id="108"/>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28</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4"/>
        <w:tabs>
          <w:tab w:val="right" w:leader="dot" w:pos="8306"/>
          <w:tab w:val="clear" w:pos="8296"/>
        </w:tabs>
      </w:pPr>
      <w:bookmarkStart w:id="12" w:name="_Toc15396599"/>
      <w:bookmarkStart w:id="13" w:name="_Toc15377196"/>
      <w:r>
        <w:fldChar w:fldCharType="begin"/>
      </w:r>
      <w:r>
        <w:instrText xml:space="preserve">TOC \o "1-2" \h \u </w:instrText>
      </w:r>
      <w:r>
        <w:fldChar w:fldCharType="separate"/>
      </w:r>
      <w:r>
        <w:fldChar w:fldCharType="begin"/>
      </w:r>
      <w:r>
        <w:instrText xml:space="preserve"> HYPERLINK \l _Toc5325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_Toc5325 \h </w:instrText>
      </w:r>
      <w:r>
        <w:fldChar w:fldCharType="separate"/>
      </w:r>
      <w:r>
        <w:t>3</w:t>
      </w:r>
      <w:r>
        <w:fldChar w:fldCharType="end"/>
      </w:r>
      <w:r>
        <w:fldChar w:fldCharType="end"/>
      </w:r>
    </w:p>
    <w:p>
      <w:pPr>
        <w:pStyle w:val="16"/>
        <w:tabs>
          <w:tab w:val="right" w:leader="dot" w:pos="8306"/>
          <w:tab w:val="clear" w:pos="8296"/>
        </w:tabs>
      </w:pPr>
      <w:r>
        <w:fldChar w:fldCharType="begin"/>
      </w:r>
      <w:r>
        <w:instrText xml:space="preserve"> HYPERLINK \l _Toc28110 </w:instrText>
      </w:r>
      <w:r>
        <w:fldChar w:fldCharType="separate"/>
      </w:r>
      <w:r>
        <w:rPr>
          <w:rFonts w:hint="eastAsia" w:ascii="Times New Roman" w:hAnsi="Times New Roman" w:eastAsia="黑体"/>
          <w:lang w:eastAsia="zh-CN"/>
        </w:rPr>
        <w:t>一、</w:t>
      </w:r>
      <w:r>
        <w:rPr>
          <w:rFonts w:hint="eastAsia" w:ascii="Times New Roman" w:hAnsi="Times New Roman" w:eastAsia="黑体"/>
          <w:highlight w:val="none"/>
          <w:lang w:eastAsia="zh-CN"/>
        </w:rPr>
        <w:t>部门职责</w:t>
      </w:r>
      <w:r>
        <w:tab/>
      </w:r>
      <w:r>
        <w:fldChar w:fldCharType="begin"/>
      </w:r>
      <w:r>
        <w:instrText xml:space="preserve"> PAGEREF _Toc28110 \h </w:instrText>
      </w:r>
      <w:r>
        <w:fldChar w:fldCharType="separate"/>
      </w:r>
      <w:r>
        <w:t>3</w:t>
      </w:r>
      <w:r>
        <w:fldChar w:fldCharType="end"/>
      </w:r>
      <w:r>
        <w:fldChar w:fldCharType="end"/>
      </w:r>
    </w:p>
    <w:p>
      <w:pPr>
        <w:pStyle w:val="16"/>
        <w:tabs>
          <w:tab w:val="right" w:leader="dot" w:pos="8306"/>
          <w:tab w:val="clear" w:pos="8296"/>
        </w:tabs>
      </w:pPr>
      <w:r>
        <w:fldChar w:fldCharType="begin"/>
      </w:r>
      <w:r>
        <w:instrText xml:space="preserve"> HYPERLINK \l _Toc14397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_Toc14397 \h </w:instrText>
      </w:r>
      <w:r>
        <w:fldChar w:fldCharType="separate"/>
      </w:r>
      <w:r>
        <w:t>3</w:t>
      </w:r>
      <w:r>
        <w:fldChar w:fldCharType="end"/>
      </w:r>
      <w:r>
        <w:fldChar w:fldCharType="end"/>
      </w:r>
    </w:p>
    <w:p>
      <w:pPr>
        <w:pStyle w:val="14"/>
        <w:tabs>
          <w:tab w:val="right" w:leader="dot" w:pos="8306"/>
          <w:tab w:val="clear" w:pos="8296"/>
        </w:tabs>
      </w:pPr>
      <w:r>
        <w:fldChar w:fldCharType="begin"/>
      </w:r>
      <w:r>
        <w:instrText xml:space="preserve"> HYPERLINK \l _Toc9674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_Toc9674 \h </w:instrText>
      </w:r>
      <w:r>
        <w:fldChar w:fldCharType="separate"/>
      </w:r>
      <w:r>
        <w:t>5</w:t>
      </w:r>
      <w:r>
        <w:fldChar w:fldCharType="end"/>
      </w:r>
      <w:r>
        <w:fldChar w:fldCharType="end"/>
      </w:r>
    </w:p>
    <w:p>
      <w:pPr>
        <w:pStyle w:val="16"/>
        <w:tabs>
          <w:tab w:val="right" w:leader="dot" w:pos="8306"/>
          <w:tab w:val="clear" w:pos="8296"/>
        </w:tabs>
      </w:pPr>
      <w:r>
        <w:fldChar w:fldCharType="begin"/>
      </w:r>
      <w:r>
        <w:instrText xml:space="preserve"> HYPERLINK \l _Toc20225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_Toc20225 \h </w:instrText>
      </w:r>
      <w:r>
        <w:fldChar w:fldCharType="separate"/>
      </w:r>
      <w:r>
        <w:t>5</w:t>
      </w:r>
      <w:r>
        <w:fldChar w:fldCharType="end"/>
      </w:r>
      <w:r>
        <w:fldChar w:fldCharType="end"/>
      </w:r>
    </w:p>
    <w:p>
      <w:pPr>
        <w:pStyle w:val="16"/>
        <w:tabs>
          <w:tab w:val="right" w:leader="dot" w:pos="8306"/>
          <w:tab w:val="clear" w:pos="8296"/>
        </w:tabs>
      </w:pPr>
      <w:r>
        <w:fldChar w:fldCharType="begin"/>
      </w:r>
      <w:r>
        <w:instrText xml:space="preserve"> HYPERLINK \l _Toc13428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_Toc13428 \h </w:instrText>
      </w:r>
      <w:r>
        <w:fldChar w:fldCharType="separate"/>
      </w:r>
      <w:r>
        <w:t>5</w:t>
      </w:r>
      <w:r>
        <w:fldChar w:fldCharType="end"/>
      </w:r>
      <w:r>
        <w:fldChar w:fldCharType="end"/>
      </w:r>
    </w:p>
    <w:p>
      <w:pPr>
        <w:pStyle w:val="16"/>
        <w:tabs>
          <w:tab w:val="right" w:leader="dot" w:pos="8306"/>
          <w:tab w:val="clear" w:pos="8296"/>
        </w:tabs>
      </w:pPr>
      <w:r>
        <w:fldChar w:fldCharType="begin"/>
      </w:r>
      <w:r>
        <w:instrText xml:space="preserve"> HYPERLINK \l _Toc31945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_Toc31945 \h </w:instrText>
      </w:r>
      <w:r>
        <w:fldChar w:fldCharType="separate"/>
      </w:r>
      <w:r>
        <w:t>6</w:t>
      </w:r>
      <w:r>
        <w:fldChar w:fldCharType="end"/>
      </w:r>
      <w:r>
        <w:fldChar w:fldCharType="end"/>
      </w:r>
    </w:p>
    <w:p>
      <w:pPr>
        <w:pStyle w:val="16"/>
        <w:tabs>
          <w:tab w:val="right" w:leader="dot" w:pos="8306"/>
          <w:tab w:val="clear" w:pos="8296"/>
        </w:tabs>
      </w:pPr>
      <w:r>
        <w:fldChar w:fldCharType="begin"/>
      </w:r>
      <w:r>
        <w:instrText xml:space="preserve"> HYPERLINK \l _Toc9714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_Toc9714 \h </w:instrText>
      </w:r>
      <w:r>
        <w:fldChar w:fldCharType="separate"/>
      </w:r>
      <w:r>
        <w:t>6</w:t>
      </w:r>
      <w:r>
        <w:fldChar w:fldCharType="end"/>
      </w:r>
      <w:r>
        <w:fldChar w:fldCharType="end"/>
      </w:r>
    </w:p>
    <w:p>
      <w:pPr>
        <w:pStyle w:val="16"/>
        <w:tabs>
          <w:tab w:val="right" w:leader="dot" w:pos="8306"/>
          <w:tab w:val="clear" w:pos="8296"/>
        </w:tabs>
      </w:pPr>
      <w:r>
        <w:fldChar w:fldCharType="begin"/>
      </w:r>
      <w:r>
        <w:instrText xml:space="preserve"> HYPERLINK \l _Toc8045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_Toc8045 \h </w:instrText>
      </w:r>
      <w:r>
        <w:fldChar w:fldCharType="separate"/>
      </w:r>
      <w:r>
        <w:t>7</w:t>
      </w:r>
      <w:r>
        <w:fldChar w:fldCharType="end"/>
      </w:r>
      <w:r>
        <w:fldChar w:fldCharType="end"/>
      </w:r>
    </w:p>
    <w:p>
      <w:pPr>
        <w:pStyle w:val="16"/>
        <w:tabs>
          <w:tab w:val="right" w:leader="dot" w:pos="8306"/>
          <w:tab w:val="clear" w:pos="8296"/>
        </w:tabs>
      </w:pPr>
      <w:r>
        <w:fldChar w:fldCharType="begin"/>
      </w:r>
      <w:r>
        <w:instrText xml:space="preserve"> HYPERLINK \l _Toc8646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_Toc8646 \h </w:instrText>
      </w:r>
      <w:r>
        <w:fldChar w:fldCharType="separate"/>
      </w:r>
      <w:r>
        <w:t>10</w:t>
      </w:r>
      <w:r>
        <w:fldChar w:fldCharType="end"/>
      </w:r>
      <w:r>
        <w:fldChar w:fldCharType="end"/>
      </w:r>
    </w:p>
    <w:p>
      <w:pPr>
        <w:pStyle w:val="16"/>
        <w:tabs>
          <w:tab w:val="right" w:leader="dot" w:pos="8306"/>
          <w:tab w:val="clear" w:pos="8296"/>
        </w:tabs>
      </w:pPr>
      <w:r>
        <w:fldChar w:fldCharType="begin"/>
      </w:r>
      <w:r>
        <w:instrText xml:space="preserve"> HYPERLINK \l _Toc9553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_Toc9553 \h </w:instrText>
      </w:r>
      <w:r>
        <w:fldChar w:fldCharType="separate"/>
      </w:r>
      <w:r>
        <w:t>11</w:t>
      </w:r>
      <w:r>
        <w:fldChar w:fldCharType="end"/>
      </w:r>
      <w:r>
        <w:fldChar w:fldCharType="end"/>
      </w:r>
    </w:p>
    <w:p>
      <w:pPr>
        <w:pStyle w:val="16"/>
        <w:tabs>
          <w:tab w:val="right" w:leader="dot" w:pos="8306"/>
          <w:tab w:val="clear" w:pos="8296"/>
        </w:tabs>
      </w:pPr>
      <w:r>
        <w:fldChar w:fldCharType="begin"/>
      </w:r>
      <w:r>
        <w:instrText xml:space="preserve"> HYPERLINK \l _Toc13856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_Toc13856 \h </w:instrText>
      </w:r>
      <w:r>
        <w:fldChar w:fldCharType="separate"/>
      </w:r>
      <w:r>
        <w:t>11</w:t>
      </w:r>
      <w:r>
        <w:fldChar w:fldCharType="end"/>
      </w:r>
      <w:r>
        <w:fldChar w:fldCharType="end"/>
      </w:r>
    </w:p>
    <w:p>
      <w:pPr>
        <w:pStyle w:val="16"/>
        <w:tabs>
          <w:tab w:val="right" w:leader="dot" w:pos="8306"/>
          <w:tab w:val="clear" w:pos="8296"/>
        </w:tabs>
      </w:pPr>
      <w:r>
        <w:fldChar w:fldCharType="begin"/>
      </w:r>
      <w:r>
        <w:instrText xml:space="preserve"> HYPERLINK \l _Toc16335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_Toc16335 \h </w:instrText>
      </w:r>
      <w:r>
        <w:fldChar w:fldCharType="separate"/>
      </w:r>
      <w:r>
        <w:t>11</w:t>
      </w:r>
      <w:r>
        <w:fldChar w:fldCharType="end"/>
      </w:r>
      <w:r>
        <w:fldChar w:fldCharType="end"/>
      </w:r>
    </w:p>
    <w:p>
      <w:pPr>
        <w:pStyle w:val="16"/>
        <w:tabs>
          <w:tab w:val="right" w:leader="dot" w:pos="8306"/>
          <w:tab w:val="clear" w:pos="8296"/>
        </w:tabs>
      </w:pPr>
      <w:r>
        <w:fldChar w:fldCharType="begin"/>
      </w:r>
      <w:r>
        <w:instrText xml:space="preserve"> HYPERLINK \l _Toc795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_Toc795 \h </w:instrText>
      </w:r>
      <w:r>
        <w:fldChar w:fldCharType="separate"/>
      </w:r>
      <w:r>
        <w:t>12</w:t>
      </w:r>
      <w:r>
        <w:fldChar w:fldCharType="end"/>
      </w:r>
      <w:r>
        <w:fldChar w:fldCharType="end"/>
      </w:r>
    </w:p>
    <w:p>
      <w:pPr>
        <w:pStyle w:val="14"/>
        <w:tabs>
          <w:tab w:val="right" w:leader="dot" w:pos="8306"/>
          <w:tab w:val="clear" w:pos="8296"/>
        </w:tabs>
      </w:pPr>
      <w:r>
        <w:fldChar w:fldCharType="begin"/>
      </w:r>
      <w:r>
        <w:instrText xml:space="preserve"> HYPERLINK \l _Toc6686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_Toc6686 \h </w:instrText>
      </w:r>
      <w:r>
        <w:fldChar w:fldCharType="separate"/>
      </w:r>
      <w:r>
        <w:t>14</w:t>
      </w:r>
      <w:r>
        <w:fldChar w:fldCharType="end"/>
      </w:r>
      <w:r>
        <w:fldChar w:fldCharType="end"/>
      </w:r>
    </w:p>
    <w:p>
      <w:pPr>
        <w:pStyle w:val="14"/>
        <w:tabs>
          <w:tab w:val="right" w:leader="dot" w:pos="8306"/>
          <w:tab w:val="clear" w:pos="8296"/>
        </w:tabs>
      </w:pPr>
      <w:r>
        <w:fldChar w:fldCharType="begin"/>
      </w:r>
      <w:r>
        <w:instrText xml:space="preserve"> HYPERLINK \l _Toc27787 </w:instrText>
      </w:r>
      <w: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附件</w:t>
      </w:r>
      <w:r>
        <w:tab/>
      </w:r>
      <w:r>
        <w:fldChar w:fldCharType="begin"/>
      </w:r>
      <w:r>
        <w:instrText xml:space="preserve"> PAGEREF _Toc27787 \h </w:instrText>
      </w:r>
      <w:r>
        <w:fldChar w:fldCharType="separate"/>
      </w:r>
      <w:r>
        <w:t>16</w:t>
      </w:r>
      <w:r>
        <w:fldChar w:fldCharType="end"/>
      </w:r>
      <w:r>
        <w:fldChar w:fldCharType="end"/>
      </w:r>
    </w:p>
    <w:p>
      <w:pPr>
        <w:pStyle w:val="16"/>
        <w:tabs>
          <w:tab w:val="right" w:leader="dot" w:pos="8306"/>
          <w:tab w:val="clear" w:pos="8296"/>
        </w:tabs>
      </w:pPr>
      <w:r>
        <w:fldChar w:fldCharType="begin"/>
      </w:r>
      <w:r>
        <w:instrText xml:space="preserve"> HYPERLINK \l _Toc16467 </w:instrText>
      </w:r>
      <w:r>
        <w:fldChar w:fldCharType="separate"/>
      </w:r>
      <w:r>
        <w:rPr>
          <w:rFonts w:hint="eastAsia" w:ascii="Times New Roman" w:hAnsi="Times New Roman" w:eastAsia="黑体" w:cs="黑体"/>
          <w:szCs w:val="32"/>
          <w:highlight w:val="none"/>
        </w:rPr>
        <w:t>附件</w:t>
      </w:r>
      <w:r>
        <w:rPr>
          <w:rFonts w:hint="eastAsia" w:ascii="Times New Roman" w:hAnsi="Times New Roman" w:eastAsia="黑体" w:cs="黑体"/>
          <w:szCs w:val="32"/>
          <w:highlight w:val="none"/>
          <w:lang w:val="en-US" w:eastAsia="zh-CN"/>
        </w:rPr>
        <w:t>1</w:t>
      </w:r>
      <w:r>
        <w:tab/>
      </w:r>
      <w:r>
        <w:fldChar w:fldCharType="begin"/>
      </w:r>
      <w:r>
        <w:instrText xml:space="preserve"> PAGEREF _Toc16467 \h </w:instrText>
      </w:r>
      <w:r>
        <w:fldChar w:fldCharType="separate"/>
      </w:r>
      <w:r>
        <w:t>16</w:t>
      </w:r>
      <w:r>
        <w:fldChar w:fldCharType="end"/>
      </w:r>
      <w:r>
        <w:fldChar w:fldCharType="end"/>
      </w:r>
    </w:p>
    <w:p>
      <w:pPr>
        <w:pStyle w:val="16"/>
        <w:tabs>
          <w:tab w:val="right" w:leader="dot" w:pos="8306"/>
          <w:tab w:val="clear" w:pos="8296"/>
        </w:tabs>
      </w:pPr>
      <w:r>
        <w:fldChar w:fldCharType="begin"/>
      </w:r>
      <w:r>
        <w:instrText xml:space="preserve"> HYPERLINK \l _Toc28543 </w:instrText>
      </w:r>
      <w:r>
        <w:fldChar w:fldCharType="separate"/>
      </w:r>
      <w:r>
        <w:rPr>
          <w:rFonts w:hint="eastAsia" w:ascii="Times New Roman" w:hAnsi="Times New Roman" w:eastAsia="黑体" w:cs="黑体"/>
          <w:kern w:val="0"/>
          <w:szCs w:val="32"/>
          <w:highlight w:val="none"/>
          <w:shd w:val="clear" w:color="auto" w:fill="FFFFFF"/>
          <w:lang w:val="zh-CN"/>
        </w:rPr>
        <w:t>附件</w:t>
      </w:r>
      <w:r>
        <w:rPr>
          <w:rFonts w:hint="eastAsia" w:ascii="Times New Roman" w:hAnsi="Times New Roman" w:eastAsia="黑体" w:cs="黑体"/>
          <w:kern w:val="0"/>
          <w:szCs w:val="32"/>
          <w:highlight w:val="none"/>
          <w:shd w:val="clear" w:color="auto" w:fill="FFFFFF"/>
          <w:lang w:val="en-US" w:eastAsia="zh-CN"/>
        </w:rPr>
        <w:t>2</w:t>
      </w:r>
      <w:r>
        <w:tab/>
      </w:r>
      <w:r>
        <w:fldChar w:fldCharType="begin"/>
      </w:r>
      <w:r>
        <w:instrText xml:space="preserve"> PAGEREF _Toc28543 \h </w:instrText>
      </w:r>
      <w:r>
        <w:fldChar w:fldCharType="separate"/>
      </w:r>
      <w:r>
        <w:t>24</w:t>
      </w:r>
      <w:r>
        <w:fldChar w:fldCharType="end"/>
      </w:r>
      <w:r>
        <w:fldChar w:fldCharType="end"/>
      </w:r>
    </w:p>
    <w:p>
      <w:pPr>
        <w:pStyle w:val="14"/>
        <w:tabs>
          <w:tab w:val="right" w:leader="dot" w:pos="8306"/>
          <w:tab w:val="clear" w:pos="8296"/>
        </w:tabs>
      </w:pPr>
      <w:r>
        <w:fldChar w:fldCharType="begin"/>
      </w:r>
      <w:r>
        <w:instrText xml:space="preserve"> HYPERLINK \l _Toc32611 </w:instrText>
      </w:r>
      <w:r>
        <w:fldChar w:fldCharType="separate"/>
      </w:r>
      <w:r>
        <w:rPr>
          <w:rFonts w:hint="eastAsia" w:ascii="Times New Roman" w:hAnsi="Times New Roman" w:eastAsia="黑体"/>
          <w:szCs w:val="44"/>
          <w:highlight w:val="none"/>
        </w:rPr>
        <w:t>第</w:t>
      </w:r>
      <w:r>
        <w:rPr>
          <w:rFonts w:hint="eastAsia" w:ascii="Times New Roman" w:hAnsi="Times New Roman" w:eastAsia="黑体"/>
          <w:highlight w:val="none"/>
        </w:rPr>
        <w:t>五部分 附表</w:t>
      </w:r>
      <w:r>
        <w:tab/>
      </w:r>
      <w:r>
        <w:fldChar w:fldCharType="begin"/>
      </w:r>
      <w:r>
        <w:instrText xml:space="preserve"> PAGEREF _Toc32611 \h </w:instrText>
      </w:r>
      <w:r>
        <w:fldChar w:fldCharType="separate"/>
      </w:r>
      <w:r>
        <w:t>31</w:t>
      </w:r>
      <w:r>
        <w:fldChar w:fldCharType="end"/>
      </w:r>
      <w:r>
        <w:fldChar w:fldCharType="end"/>
      </w:r>
    </w:p>
    <w:p>
      <w:pPr>
        <w:pStyle w:val="16"/>
        <w:tabs>
          <w:tab w:val="right" w:leader="dot" w:pos="8306"/>
          <w:tab w:val="clear" w:pos="8296"/>
        </w:tabs>
        <w:rPr>
          <w:b/>
          <w:bCs/>
        </w:rPr>
      </w:pPr>
      <w:r>
        <w:rPr>
          <w:b/>
          <w:bCs/>
        </w:rPr>
        <w:fldChar w:fldCharType="begin"/>
      </w:r>
      <w:r>
        <w:rPr>
          <w:b/>
          <w:bCs/>
        </w:rPr>
        <w:instrText xml:space="preserve"> HYPERLINK \l _Toc24750 </w:instrText>
      </w:r>
      <w:r>
        <w:rPr>
          <w:b/>
          <w:bCs/>
        </w:rPr>
        <w:fldChar w:fldCharType="separate"/>
      </w:r>
      <w:r>
        <w:rPr>
          <w:rFonts w:hint="eastAsia" w:ascii="Times New Roman" w:hAnsi="Times New Roman" w:eastAsia="仿宋_GB2312" w:cs="仿宋_GB2312"/>
          <w:b/>
          <w:bCs/>
          <w:szCs w:val="32"/>
          <w:highlight w:val="none"/>
        </w:rPr>
        <w:t>一、收入支出决算总表</w:t>
      </w:r>
      <w:r>
        <w:rPr>
          <w:b/>
          <w:bCs/>
        </w:rPr>
        <w:tab/>
      </w:r>
      <w:r>
        <w:rPr>
          <w:b/>
          <w:bCs/>
        </w:rPr>
        <w:fldChar w:fldCharType="begin"/>
      </w:r>
      <w:r>
        <w:rPr>
          <w:b/>
          <w:bCs/>
        </w:rPr>
        <w:instrText xml:space="preserve"> PAGEREF _Toc24750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rPr>
          <w:b/>
          <w:bCs/>
        </w:rPr>
      </w:pPr>
      <w:r>
        <w:rPr>
          <w:b/>
          <w:bCs/>
        </w:rPr>
        <w:fldChar w:fldCharType="begin"/>
      </w:r>
      <w:r>
        <w:rPr>
          <w:b/>
          <w:bCs/>
        </w:rPr>
        <w:instrText xml:space="preserve"> HYPERLINK \l _Toc3673 </w:instrText>
      </w:r>
      <w:r>
        <w:rPr>
          <w:b/>
          <w:bCs/>
        </w:rPr>
        <w:fldChar w:fldCharType="separate"/>
      </w:r>
      <w:r>
        <w:rPr>
          <w:rFonts w:hint="eastAsia" w:ascii="Times New Roman" w:hAnsi="Times New Roman" w:eastAsia="仿宋_GB2312" w:cs="仿宋_GB2312"/>
          <w:b/>
          <w:bCs/>
          <w:szCs w:val="32"/>
          <w:highlight w:val="none"/>
        </w:rPr>
        <w:t>二、收入决算表</w:t>
      </w:r>
      <w:r>
        <w:rPr>
          <w:b/>
          <w:bCs/>
        </w:rPr>
        <w:tab/>
      </w:r>
      <w:r>
        <w:rPr>
          <w:b/>
          <w:bCs/>
        </w:rPr>
        <w:fldChar w:fldCharType="begin"/>
      </w:r>
      <w:r>
        <w:rPr>
          <w:b/>
          <w:bCs/>
        </w:rPr>
        <w:instrText xml:space="preserve"> PAGEREF _Toc3673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rPr>
          <w:b/>
          <w:bCs/>
        </w:rPr>
      </w:pPr>
      <w:r>
        <w:rPr>
          <w:b/>
          <w:bCs/>
        </w:rPr>
        <w:fldChar w:fldCharType="begin"/>
      </w:r>
      <w:r>
        <w:rPr>
          <w:b/>
          <w:bCs/>
        </w:rPr>
        <w:instrText xml:space="preserve"> HYPERLINK \l _Toc17249 </w:instrText>
      </w:r>
      <w:r>
        <w:rPr>
          <w:b/>
          <w:bCs/>
        </w:rPr>
        <w:fldChar w:fldCharType="separate"/>
      </w:r>
      <w:r>
        <w:rPr>
          <w:rFonts w:hint="eastAsia" w:ascii="Times New Roman" w:hAnsi="Times New Roman" w:eastAsia="仿宋_GB2312" w:cs="仿宋_GB2312"/>
          <w:b/>
          <w:bCs/>
          <w:szCs w:val="32"/>
          <w:highlight w:val="none"/>
        </w:rPr>
        <w:t>三、支出决算表</w:t>
      </w:r>
      <w:r>
        <w:rPr>
          <w:b/>
          <w:bCs/>
        </w:rPr>
        <w:tab/>
      </w:r>
      <w:r>
        <w:rPr>
          <w:b/>
          <w:bCs/>
        </w:rPr>
        <w:fldChar w:fldCharType="begin"/>
      </w:r>
      <w:r>
        <w:rPr>
          <w:b/>
          <w:bCs/>
        </w:rPr>
        <w:instrText xml:space="preserve"> PAGEREF _Toc17249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rPr>
          <w:b/>
          <w:bCs/>
        </w:rPr>
      </w:pPr>
      <w:r>
        <w:rPr>
          <w:b/>
          <w:bCs/>
        </w:rPr>
        <w:fldChar w:fldCharType="begin"/>
      </w:r>
      <w:r>
        <w:rPr>
          <w:b/>
          <w:bCs/>
        </w:rPr>
        <w:instrText xml:space="preserve"> HYPERLINK \l _Toc4638 </w:instrText>
      </w:r>
      <w:r>
        <w:rPr>
          <w:b/>
          <w:bCs/>
        </w:rPr>
        <w:fldChar w:fldCharType="separate"/>
      </w:r>
      <w:r>
        <w:rPr>
          <w:rFonts w:hint="eastAsia" w:ascii="Times New Roman" w:hAnsi="Times New Roman" w:eastAsia="仿宋_GB2312" w:cs="仿宋_GB2312"/>
          <w:b/>
          <w:bCs/>
          <w:szCs w:val="32"/>
          <w:highlight w:val="none"/>
        </w:rPr>
        <w:t>四、财政拨款收入支出决算总表</w:t>
      </w:r>
      <w:r>
        <w:rPr>
          <w:b/>
          <w:bCs/>
        </w:rPr>
        <w:tab/>
      </w:r>
      <w:r>
        <w:rPr>
          <w:b/>
          <w:bCs/>
        </w:rPr>
        <w:fldChar w:fldCharType="begin"/>
      </w:r>
      <w:r>
        <w:rPr>
          <w:b/>
          <w:bCs/>
        </w:rPr>
        <w:instrText xml:space="preserve"> PAGEREF _Toc4638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rPr>
          <w:b/>
          <w:bCs/>
        </w:rPr>
      </w:pPr>
      <w:r>
        <w:rPr>
          <w:b/>
          <w:bCs/>
        </w:rPr>
        <w:fldChar w:fldCharType="begin"/>
      </w:r>
      <w:r>
        <w:rPr>
          <w:b/>
          <w:bCs/>
        </w:rPr>
        <w:instrText xml:space="preserve"> HYPERLINK \l _Toc9371 </w:instrText>
      </w:r>
      <w:r>
        <w:rPr>
          <w:b/>
          <w:bCs/>
        </w:rPr>
        <w:fldChar w:fldCharType="separate"/>
      </w:r>
      <w:r>
        <w:rPr>
          <w:rFonts w:hint="eastAsia" w:ascii="Times New Roman" w:hAnsi="Times New Roman" w:eastAsia="仿宋_GB2312" w:cs="仿宋_GB2312"/>
          <w:b/>
          <w:bCs/>
          <w:szCs w:val="32"/>
          <w:highlight w:val="none"/>
        </w:rPr>
        <w:t>五、财政拨款支出决算明细表</w:t>
      </w:r>
      <w:r>
        <w:rPr>
          <w:b/>
          <w:bCs/>
        </w:rPr>
        <w:tab/>
      </w:r>
      <w:r>
        <w:rPr>
          <w:b/>
          <w:bCs/>
        </w:rPr>
        <w:fldChar w:fldCharType="begin"/>
      </w:r>
      <w:r>
        <w:rPr>
          <w:b/>
          <w:bCs/>
        </w:rPr>
        <w:instrText xml:space="preserve"> PAGEREF _Toc9371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rPr>
          <w:b/>
          <w:bCs/>
        </w:rPr>
      </w:pPr>
      <w:r>
        <w:rPr>
          <w:b/>
          <w:bCs/>
        </w:rPr>
        <w:fldChar w:fldCharType="begin"/>
      </w:r>
      <w:r>
        <w:rPr>
          <w:b/>
          <w:bCs/>
        </w:rPr>
        <w:instrText xml:space="preserve"> HYPERLINK \l _Toc22649 </w:instrText>
      </w:r>
      <w:r>
        <w:rPr>
          <w:b/>
          <w:bCs/>
        </w:rPr>
        <w:fldChar w:fldCharType="separate"/>
      </w:r>
      <w:r>
        <w:rPr>
          <w:rFonts w:hint="eastAsia" w:ascii="Times New Roman" w:hAnsi="Times New Roman" w:eastAsia="仿宋_GB2312" w:cs="仿宋_GB2312"/>
          <w:b/>
          <w:bCs/>
          <w:szCs w:val="32"/>
          <w:highlight w:val="none"/>
        </w:rPr>
        <w:t>六、一般公共预算财政拨款支出决算表</w:t>
      </w:r>
      <w:r>
        <w:rPr>
          <w:b/>
          <w:bCs/>
        </w:rPr>
        <w:tab/>
      </w:r>
      <w:r>
        <w:rPr>
          <w:b/>
          <w:bCs/>
        </w:rPr>
        <w:fldChar w:fldCharType="begin"/>
      </w:r>
      <w:r>
        <w:rPr>
          <w:b/>
          <w:bCs/>
        </w:rPr>
        <w:instrText xml:space="preserve"> PAGEREF _Toc22649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rPr>
          <w:b/>
          <w:bCs/>
        </w:rPr>
      </w:pPr>
      <w:r>
        <w:rPr>
          <w:b/>
          <w:bCs/>
        </w:rPr>
        <w:fldChar w:fldCharType="begin"/>
      </w:r>
      <w:r>
        <w:rPr>
          <w:b/>
          <w:bCs/>
        </w:rPr>
        <w:instrText xml:space="preserve"> HYPERLINK \l _Toc1164 </w:instrText>
      </w:r>
      <w:r>
        <w:rPr>
          <w:b/>
          <w:bCs/>
        </w:rPr>
        <w:fldChar w:fldCharType="separate"/>
      </w:r>
      <w:r>
        <w:rPr>
          <w:rFonts w:hint="eastAsia" w:ascii="Times New Roman" w:hAnsi="Times New Roman" w:eastAsia="仿宋_GB2312" w:cs="仿宋_GB2312"/>
          <w:b/>
          <w:bCs/>
          <w:szCs w:val="32"/>
          <w:highlight w:val="none"/>
        </w:rPr>
        <w:t>七、一般公共预算财政拨款支出决算明细表</w:t>
      </w:r>
      <w:r>
        <w:rPr>
          <w:b/>
          <w:bCs/>
        </w:rPr>
        <w:tab/>
      </w:r>
      <w:r>
        <w:rPr>
          <w:b/>
          <w:bCs/>
        </w:rPr>
        <w:fldChar w:fldCharType="begin"/>
      </w:r>
      <w:r>
        <w:rPr>
          <w:b/>
          <w:bCs/>
        </w:rPr>
        <w:instrText xml:space="preserve"> PAGEREF _Toc1164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rPr>
          <w:b/>
          <w:bCs/>
        </w:rPr>
      </w:pPr>
      <w:r>
        <w:rPr>
          <w:b/>
          <w:bCs/>
        </w:rPr>
        <w:fldChar w:fldCharType="begin"/>
      </w:r>
      <w:r>
        <w:rPr>
          <w:b/>
          <w:bCs/>
        </w:rPr>
        <w:instrText xml:space="preserve"> HYPERLINK \l _Toc19519 </w:instrText>
      </w:r>
      <w:r>
        <w:rPr>
          <w:b/>
          <w:bCs/>
        </w:rPr>
        <w:fldChar w:fldCharType="separate"/>
      </w:r>
      <w:r>
        <w:rPr>
          <w:rFonts w:hint="eastAsia" w:ascii="Times New Roman" w:hAnsi="Times New Roman" w:eastAsia="仿宋_GB2312" w:cs="仿宋_GB2312"/>
          <w:b/>
          <w:bCs/>
          <w:szCs w:val="32"/>
          <w:highlight w:val="none"/>
        </w:rPr>
        <w:t>八、一般公共预算财政拨款基本支出决算表</w:t>
      </w:r>
      <w:r>
        <w:rPr>
          <w:b/>
          <w:bCs/>
        </w:rPr>
        <w:tab/>
      </w:r>
      <w:r>
        <w:rPr>
          <w:b/>
          <w:bCs/>
        </w:rPr>
        <w:fldChar w:fldCharType="begin"/>
      </w:r>
      <w:r>
        <w:rPr>
          <w:b/>
          <w:bCs/>
        </w:rPr>
        <w:instrText xml:space="preserve"> PAGEREF _Toc19519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rPr>
          <w:b/>
          <w:bCs/>
        </w:rPr>
      </w:pPr>
      <w:r>
        <w:rPr>
          <w:b/>
          <w:bCs/>
        </w:rPr>
        <w:fldChar w:fldCharType="begin"/>
      </w:r>
      <w:r>
        <w:rPr>
          <w:b/>
          <w:bCs/>
        </w:rPr>
        <w:instrText xml:space="preserve"> HYPERLINK \l _Toc26770 </w:instrText>
      </w:r>
      <w:r>
        <w:rPr>
          <w:b/>
          <w:bCs/>
        </w:rPr>
        <w:fldChar w:fldCharType="separate"/>
      </w:r>
      <w:r>
        <w:rPr>
          <w:rFonts w:hint="eastAsia" w:ascii="Times New Roman" w:hAnsi="Times New Roman" w:eastAsia="仿宋_GB2312" w:cs="仿宋_GB2312"/>
          <w:b/>
          <w:bCs/>
          <w:szCs w:val="32"/>
          <w:highlight w:val="none"/>
        </w:rPr>
        <w:t>九、一般公共预算财政拨款项目支出决算表</w:t>
      </w:r>
      <w:r>
        <w:rPr>
          <w:b/>
          <w:bCs/>
        </w:rPr>
        <w:tab/>
      </w:r>
      <w:r>
        <w:rPr>
          <w:b/>
          <w:bCs/>
        </w:rPr>
        <w:fldChar w:fldCharType="begin"/>
      </w:r>
      <w:r>
        <w:rPr>
          <w:b/>
          <w:bCs/>
        </w:rPr>
        <w:instrText xml:space="preserve"> PAGEREF _Toc26770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rPr>
          <w:b/>
          <w:bCs/>
        </w:rPr>
      </w:pPr>
      <w:r>
        <w:rPr>
          <w:b/>
          <w:bCs/>
        </w:rPr>
        <w:fldChar w:fldCharType="begin"/>
      </w:r>
      <w:r>
        <w:rPr>
          <w:b/>
          <w:bCs/>
        </w:rPr>
        <w:instrText xml:space="preserve"> HYPERLINK \l _Toc29636 </w:instrText>
      </w:r>
      <w:r>
        <w:rPr>
          <w:b/>
          <w:bCs/>
        </w:rPr>
        <w:fldChar w:fldCharType="separate"/>
      </w:r>
      <w:r>
        <w:rPr>
          <w:rFonts w:hint="eastAsia" w:ascii="Times New Roman" w:hAnsi="Times New Roman" w:eastAsia="仿宋_GB2312" w:cs="仿宋_GB2312"/>
          <w:b/>
          <w:bCs/>
          <w:szCs w:val="32"/>
          <w:highlight w:val="none"/>
        </w:rPr>
        <w:t>十、政府性基金预算财政拨款收入支出决算表</w:t>
      </w:r>
      <w:r>
        <w:rPr>
          <w:b/>
          <w:bCs/>
        </w:rPr>
        <w:tab/>
      </w:r>
      <w:r>
        <w:rPr>
          <w:b/>
          <w:bCs/>
        </w:rPr>
        <w:fldChar w:fldCharType="begin"/>
      </w:r>
      <w:r>
        <w:rPr>
          <w:b/>
          <w:bCs/>
        </w:rPr>
        <w:instrText xml:space="preserve"> PAGEREF _Toc29636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rPr>
          <w:b/>
          <w:bCs/>
        </w:rPr>
      </w:pPr>
      <w:r>
        <w:rPr>
          <w:b/>
          <w:bCs/>
        </w:rPr>
        <w:fldChar w:fldCharType="begin"/>
      </w:r>
      <w:r>
        <w:rPr>
          <w:b/>
          <w:bCs/>
        </w:rPr>
        <w:instrText xml:space="preserve"> HYPERLINK \l _Toc16985 </w:instrText>
      </w:r>
      <w:r>
        <w:rPr>
          <w:b/>
          <w:bCs/>
        </w:rPr>
        <w:fldChar w:fldCharType="separate"/>
      </w:r>
      <w:r>
        <w:rPr>
          <w:rFonts w:hint="eastAsia" w:ascii="Times New Roman" w:hAnsi="Times New Roman" w:eastAsia="仿宋_GB2312" w:cs="仿宋_GB2312"/>
          <w:b/>
          <w:bCs/>
          <w:szCs w:val="32"/>
          <w:highlight w:val="none"/>
        </w:rPr>
        <w:t>十一、国有资本经营预算</w:t>
      </w:r>
      <w:r>
        <w:rPr>
          <w:rFonts w:hint="eastAsia" w:ascii="Times New Roman" w:hAnsi="Times New Roman" w:eastAsia="仿宋_GB2312" w:cs="仿宋_GB2312"/>
          <w:b/>
          <w:bCs/>
          <w:szCs w:val="32"/>
          <w:highlight w:val="none"/>
          <w:lang w:eastAsia="zh-CN"/>
        </w:rPr>
        <w:t>财政拨款收入</w:t>
      </w:r>
      <w:r>
        <w:rPr>
          <w:rFonts w:hint="eastAsia" w:ascii="Times New Roman" w:hAnsi="Times New Roman" w:eastAsia="仿宋_GB2312" w:cs="仿宋_GB2312"/>
          <w:b/>
          <w:bCs/>
          <w:szCs w:val="32"/>
          <w:highlight w:val="none"/>
        </w:rPr>
        <w:t>支出决算表</w:t>
      </w:r>
      <w:r>
        <w:rPr>
          <w:b/>
          <w:bCs/>
        </w:rPr>
        <w:tab/>
      </w:r>
      <w:r>
        <w:rPr>
          <w:b/>
          <w:bCs/>
        </w:rPr>
        <w:fldChar w:fldCharType="begin"/>
      </w:r>
      <w:r>
        <w:rPr>
          <w:b/>
          <w:bCs/>
        </w:rPr>
        <w:instrText xml:space="preserve"> PAGEREF _Toc16985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rPr>
          <w:b/>
          <w:bCs/>
        </w:rPr>
      </w:pPr>
      <w:r>
        <w:rPr>
          <w:b/>
          <w:bCs/>
        </w:rPr>
        <w:fldChar w:fldCharType="begin"/>
      </w:r>
      <w:r>
        <w:rPr>
          <w:b/>
          <w:bCs/>
        </w:rPr>
        <w:instrText xml:space="preserve"> HYPERLINK \l _Toc5132 </w:instrText>
      </w:r>
      <w:r>
        <w:rPr>
          <w:b/>
          <w:bCs/>
        </w:rPr>
        <w:fldChar w:fldCharType="separate"/>
      </w:r>
      <w:r>
        <w:rPr>
          <w:rFonts w:hint="eastAsia" w:ascii="Times New Roman" w:hAnsi="Times New Roman" w:eastAsia="仿宋_GB2312" w:cs="仿宋_GB2312"/>
          <w:b/>
          <w:bCs/>
          <w:szCs w:val="32"/>
          <w:highlight w:val="none"/>
        </w:rPr>
        <w:t>十二、</w:t>
      </w:r>
      <w:r>
        <w:rPr>
          <w:rFonts w:hint="eastAsia" w:ascii="Times New Roman" w:hAnsi="Times New Roman" w:eastAsia="仿宋_GB2312" w:cs="仿宋_GB2312"/>
          <w:b/>
          <w:bCs/>
          <w:szCs w:val="32"/>
          <w:highlight w:val="none"/>
          <w:lang w:eastAsia="zh-CN"/>
        </w:rPr>
        <w:t>国有资本经营预算财政拨款支出决算表</w:t>
      </w:r>
      <w:r>
        <w:rPr>
          <w:b/>
          <w:bCs/>
        </w:rPr>
        <w:tab/>
      </w:r>
      <w:r>
        <w:rPr>
          <w:b/>
          <w:bCs/>
        </w:rPr>
        <w:fldChar w:fldCharType="begin"/>
      </w:r>
      <w:r>
        <w:rPr>
          <w:b/>
          <w:bCs/>
        </w:rPr>
        <w:instrText xml:space="preserve"> PAGEREF _Toc5132 \h </w:instrText>
      </w:r>
      <w:r>
        <w:rPr>
          <w:b/>
          <w:bCs/>
        </w:rPr>
        <w:fldChar w:fldCharType="separate"/>
      </w:r>
      <w:r>
        <w:rPr>
          <w:b/>
          <w:bCs/>
        </w:rPr>
        <w:t>31</w:t>
      </w:r>
      <w:r>
        <w:rPr>
          <w:b/>
          <w:bCs/>
        </w:rPr>
        <w:fldChar w:fldCharType="end"/>
      </w:r>
      <w:r>
        <w:rPr>
          <w:b/>
          <w:bCs/>
        </w:rPr>
        <w:fldChar w:fldCharType="end"/>
      </w:r>
    </w:p>
    <w:p>
      <w:pPr>
        <w:pStyle w:val="16"/>
        <w:tabs>
          <w:tab w:val="right" w:leader="dot" w:pos="8306"/>
          <w:tab w:val="clear" w:pos="8296"/>
        </w:tabs>
      </w:pPr>
      <w:r>
        <w:rPr>
          <w:b/>
          <w:bCs/>
        </w:rPr>
        <w:fldChar w:fldCharType="begin"/>
      </w:r>
      <w:r>
        <w:rPr>
          <w:b/>
          <w:bCs/>
        </w:rPr>
        <w:instrText xml:space="preserve"> HYPERLINK \l _Toc31954 </w:instrText>
      </w:r>
      <w:r>
        <w:rPr>
          <w:b/>
          <w:bCs/>
        </w:rPr>
        <w:fldChar w:fldCharType="separate"/>
      </w:r>
      <w:r>
        <w:rPr>
          <w:rFonts w:hint="eastAsia" w:ascii="Times New Roman" w:hAnsi="Times New Roman" w:eastAsia="仿宋_GB2312" w:cs="仿宋_GB2312"/>
          <w:b/>
          <w:bCs/>
          <w:szCs w:val="32"/>
          <w:highlight w:val="none"/>
        </w:rPr>
        <w:t>十三、</w:t>
      </w:r>
      <w:r>
        <w:rPr>
          <w:rFonts w:hint="eastAsia" w:ascii="Times New Roman" w:hAnsi="Times New Roman" w:eastAsia="仿宋_GB2312" w:cs="仿宋_GB2312"/>
          <w:b/>
          <w:bCs/>
          <w:szCs w:val="32"/>
          <w:highlight w:val="none"/>
          <w:lang w:eastAsia="zh-CN"/>
        </w:rPr>
        <w:t>财政拨款“三公”经费支出决算表</w:t>
      </w:r>
      <w:r>
        <w:rPr>
          <w:b/>
          <w:bCs/>
        </w:rPr>
        <w:tab/>
      </w:r>
      <w:r>
        <w:rPr>
          <w:b/>
          <w:bCs/>
        </w:rPr>
        <w:fldChar w:fldCharType="begin"/>
      </w:r>
      <w:r>
        <w:rPr>
          <w:b/>
          <w:bCs/>
        </w:rPr>
        <w:instrText xml:space="preserve"> PAGEREF _Toc31954 \h </w:instrText>
      </w:r>
      <w:r>
        <w:rPr>
          <w:b/>
          <w:bCs/>
        </w:rPr>
        <w:fldChar w:fldCharType="separate"/>
      </w:r>
      <w:r>
        <w:rPr>
          <w:b/>
          <w:bCs/>
        </w:rPr>
        <w:t>31</w:t>
      </w:r>
      <w:r>
        <w:rPr>
          <w:b/>
          <w:bCs/>
        </w:rPr>
        <w:fldChar w:fldCharType="end"/>
      </w:r>
      <w:r>
        <w:rPr>
          <w:b/>
          <w:bCs/>
        </w:rPr>
        <w:fldChar w:fldCharType="end"/>
      </w:r>
    </w:p>
    <w:p>
      <w:r>
        <w:fldChar w:fldCharType="end"/>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pPr>
        <w:pStyle w:val="3"/>
        <w:jc w:val="center"/>
        <w:outlineLvl w:val="0"/>
        <w:rPr>
          <w:rStyle w:val="30"/>
          <w:rFonts w:hint="eastAsia" w:ascii="Times New Roman" w:hAnsi="Times New Roman" w:eastAsia="方正小标宋简体" w:cs="方正小标宋简体"/>
          <w:b/>
          <w:bCs w:val="0"/>
          <w:color w:val="auto"/>
          <w:highlight w:val="none"/>
        </w:rPr>
      </w:pPr>
      <w:bookmarkStart w:id="14" w:name="_Toc5325"/>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2"/>
      <w:bookmarkEnd w:id="13"/>
      <w:bookmarkEnd w:id="14"/>
    </w:p>
    <w:p>
      <w:pPr>
        <w:widowControl/>
        <w:jc w:val="left"/>
        <w:rPr>
          <w:rFonts w:ascii="Times New Roman" w:hAnsi="Times New Roman" w:eastAsia="黑体"/>
          <w:color w:val="auto"/>
          <w:sz w:val="32"/>
          <w:szCs w:val="32"/>
          <w:highlight w:val="none"/>
        </w:rPr>
      </w:pPr>
    </w:p>
    <w:p>
      <w:pPr>
        <w:pStyle w:val="4"/>
        <w:numPr>
          <w:ilvl w:val="0"/>
          <w:numId w:val="1"/>
        </w:numPr>
        <w:outlineLvl w:val="1"/>
        <w:rPr>
          <w:rFonts w:hint="eastAsia" w:ascii="Times New Roman" w:hAnsi="Times New Roman" w:eastAsia="黑体"/>
          <w:b w:val="0"/>
          <w:color w:val="auto"/>
          <w:highlight w:val="none"/>
          <w:lang w:eastAsia="zh-CN"/>
        </w:rPr>
      </w:pPr>
      <w:bookmarkStart w:id="15" w:name="_Toc28110"/>
      <w:r>
        <w:rPr>
          <w:rFonts w:hint="eastAsia" w:ascii="Times New Roman" w:hAnsi="Times New Roman" w:eastAsia="黑体"/>
          <w:b w:val="0"/>
          <w:color w:val="auto"/>
          <w:highlight w:val="none"/>
          <w:lang w:eastAsia="zh-CN"/>
        </w:rPr>
        <w:t>部门职责</w:t>
      </w:r>
      <w:bookmarkEnd w:id="15"/>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贯彻落实国家、省(州)畜牧兽医工作方针、政策和法律、法规；研究草拟全县畜牧生产、兽医兽药、饲料发展、草种资源保护的中长期规划；组织实施动物防疫工作和重大疫情的扑灭工作，开展动物防疫和饲料等生产技术服务。</w:t>
      </w:r>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t>推进畜牧兽医产业化发展；推广畜禽优良品种和畜禽繁育、饲养新技术；制定畜牧业发展的技术措施和科技发展计划。</w:t>
      </w:r>
    </w:p>
    <w:p>
      <w:pPr>
        <w:pageBreakBefore w:val="0"/>
        <w:widowControl w:val="0"/>
        <w:kinsoku/>
        <w:wordWrap/>
        <w:overflowPunct/>
        <w:topLinePunct w:val="0"/>
        <w:autoSpaceDE/>
        <w:autoSpaceDN/>
        <w:bidi w:val="0"/>
        <w:adjustRightInd/>
        <w:snapToGrid/>
        <w:spacing w:line="560" w:lineRule="exact"/>
        <w:ind w:firstLine="800" w:firstLineChars="25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lang w:eastAsia="zh-CN"/>
        </w:rPr>
        <w:t>.督促检查指导全县畜牧科技项目的实施工作，负责标准化养殖、规模养殖场、养畜基础设施建设(棚圈)等方面的工作。负责全县畜、禽、蜂的保护和开发利用工作；负责全县畜(禽、蜂、奶)养殖实用技术培训新技术推广工作。</w:t>
      </w:r>
    </w:p>
    <w:p>
      <w:pPr>
        <w:pageBreakBefore w:val="0"/>
        <w:widowControl w:val="0"/>
        <w:kinsoku/>
        <w:wordWrap/>
        <w:overflowPunct/>
        <w:topLinePunct w:val="0"/>
        <w:autoSpaceDE/>
        <w:autoSpaceDN/>
        <w:bidi w:val="0"/>
        <w:adjustRightInd/>
        <w:snapToGrid/>
        <w:spacing w:line="560" w:lineRule="exact"/>
        <w:ind w:firstLine="800" w:firstLineChars="25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eastAsia="zh-CN"/>
        </w:rPr>
        <w:t xml:space="preserve">.完成县委、县政府和局机关及上级业务主管部门交办的其他工作。 </w:t>
      </w:r>
    </w:p>
    <w:p>
      <w:pPr>
        <w:numPr>
          <w:ilvl w:val="0"/>
          <w:numId w:val="0"/>
        </w:numPr>
        <w:rPr>
          <w:rFonts w:hint="eastAsia"/>
          <w:lang w:eastAsia="zh-CN"/>
        </w:rPr>
      </w:pPr>
    </w:p>
    <w:p>
      <w:pPr>
        <w:pStyle w:val="4"/>
        <w:outlineLvl w:val="1"/>
        <w:rPr>
          <w:rStyle w:val="31"/>
          <w:rFonts w:ascii="Times New Roman" w:hAnsi="Times New Roman"/>
          <w:b w:val="0"/>
          <w:bCs w:val="0"/>
          <w:color w:val="auto"/>
          <w:highlight w:val="none"/>
        </w:rPr>
      </w:pPr>
      <w:bookmarkStart w:id="16" w:name="_Toc14397"/>
      <w:bookmarkStart w:id="17" w:name="_Toc15396601"/>
      <w:bookmarkStart w:id="18" w:name="_Toc15377200"/>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6"/>
      <w:bookmarkEnd w:id="17"/>
      <w:bookmarkEnd w:id="18"/>
    </w:p>
    <w:p>
      <w:pPr>
        <w:keepNext w:val="0"/>
        <w:keepLines w:val="0"/>
        <w:pageBreakBefore w:val="0"/>
        <w:kinsoku/>
        <w:wordWrap/>
        <w:overflowPunct/>
        <w:topLinePunct w:val="0"/>
        <w:autoSpaceDE/>
        <w:autoSpaceDN/>
        <w:bidi w:val="0"/>
        <w:ind w:left="0" w:firstLine="640" w:firstLineChars="200"/>
        <w:jc w:val="both"/>
        <w:textAlignment w:val="auto"/>
        <w:outlineLvl w:val="9"/>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壤塘县畜牧兽医服务中心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pPr>
        <w:pStyle w:val="6"/>
        <w:keepNext w:val="0"/>
        <w:keepLines w:val="0"/>
        <w:pageBreakBefore w:val="0"/>
        <w:kinsoku/>
        <w:wordWrap/>
        <w:overflowPunct/>
        <w:topLinePunct w:val="0"/>
        <w:autoSpaceDE/>
        <w:autoSpaceDN/>
        <w:bidi w:val="0"/>
        <w:adjustRightInd w:val="0"/>
        <w:snapToGrid w:val="0"/>
        <w:spacing w:before="93" w:line="600" w:lineRule="exact"/>
        <w:ind w:left="0" w:firstLine="640" w:firstLineChars="200"/>
        <w:jc w:val="both"/>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Times New Roman" w:cs="仿宋_GB2312"/>
          <w:color w:val="auto"/>
          <w:sz w:val="32"/>
          <w:szCs w:val="32"/>
          <w:highlight w:val="none"/>
          <w:lang w:eastAsia="zh-CN"/>
        </w:rPr>
        <w:t>壤塘县畜牧兽医服务中心2025年度</w:t>
      </w:r>
      <w:r>
        <w:rPr>
          <w:rFonts w:hint="eastAsia" w:ascii="Times New Roman" w:hAnsi="Times New Roman" w:eastAsia="仿宋_GB2312" w:cs="仿宋_GB2312"/>
          <w:color w:val="auto"/>
          <w:sz w:val="32"/>
          <w:szCs w:val="32"/>
          <w:highlight w:val="none"/>
        </w:rPr>
        <w:t>部门决算编制范围的二级预算单位包括：</w:t>
      </w:r>
    </w:p>
    <w:p>
      <w:pPr>
        <w:pStyle w:val="6"/>
        <w:keepNext w:val="0"/>
        <w:keepLines w:val="0"/>
        <w:pageBreakBefore w:val="0"/>
        <w:numPr>
          <w:ilvl w:val="0"/>
          <w:numId w:val="0"/>
        </w:numPr>
        <w:kinsoku/>
        <w:wordWrap/>
        <w:overflowPunct/>
        <w:topLinePunct w:val="0"/>
        <w:autoSpaceDE/>
        <w:autoSpaceDN/>
        <w:bidi w:val="0"/>
        <w:adjustRightInd w:val="0"/>
        <w:snapToGrid w:val="0"/>
        <w:spacing w:before="93" w:line="600" w:lineRule="exact"/>
        <w:ind w:left="0" w:leftChars="0" w:firstLine="640" w:firstLineChars="200"/>
        <w:jc w:val="both"/>
        <w:textAlignment w:val="auto"/>
        <w:outlineLvl w:val="9"/>
        <w:rPr>
          <w:rFonts w:hint="eastAsia" w:ascii="Times New Roman" w:hAnsi="Times New Roman" w:eastAsia="仿宋_GB2312" w:cs="仿宋_GB2312"/>
          <w:color w:val="auto"/>
          <w:sz w:val="32"/>
          <w:szCs w:val="32"/>
          <w:highlight w:val="none"/>
        </w:rPr>
      </w:pPr>
      <w:bookmarkStart w:id="19" w:name="_Toc15377202"/>
      <w:bookmarkStart w:id="20" w:name="_Toc15306276"/>
      <w:bookmarkStart w:id="21" w:name="_Toc15377433"/>
      <w:bookmarkStart w:id="22" w:name="_Toc15378449"/>
      <w:r>
        <w:rPr>
          <w:rFonts w:hint="eastAsia" w:ascii="Times New Roman" w:cs="仿宋_GB2312"/>
          <w:color w:val="auto"/>
          <w:sz w:val="32"/>
          <w:szCs w:val="32"/>
          <w:highlight w:val="none"/>
          <w:lang w:val="en-US" w:eastAsia="zh-CN"/>
        </w:rPr>
        <w:t>1.</w:t>
      </w:r>
      <w:r>
        <w:rPr>
          <w:rFonts w:hint="eastAsia" w:ascii="Times New Roman" w:cs="仿宋_GB2312"/>
          <w:color w:val="auto"/>
          <w:sz w:val="32"/>
          <w:szCs w:val="32"/>
          <w:highlight w:val="none"/>
          <w:lang w:eastAsia="zh-CN"/>
        </w:rPr>
        <w:t>壤塘县畜牧兽医服务中心</w:t>
      </w:r>
      <w:bookmarkEnd w:id="19"/>
      <w:bookmarkEnd w:id="20"/>
      <w:bookmarkEnd w:id="21"/>
      <w:bookmarkEnd w:id="22"/>
      <w:bookmarkStart w:id="23" w:name="_Toc15378450"/>
      <w:bookmarkStart w:id="24" w:name="_Toc15377203"/>
      <w:bookmarkStart w:id="25" w:name="_Toc15377434"/>
      <w:bookmarkStart w:id="26" w:name="_Toc15306277"/>
    </w:p>
    <w:bookmarkEnd w:id="23"/>
    <w:bookmarkEnd w:id="24"/>
    <w:bookmarkEnd w:id="25"/>
    <w:bookmarkEnd w:id="26"/>
    <w:p>
      <w:pPr>
        <w:keepNext w:val="0"/>
        <w:keepLines w:val="0"/>
        <w:pageBreakBefore w:val="0"/>
        <w:widowControl/>
        <w:kinsoku/>
        <w:wordWrap/>
        <w:overflowPunct/>
        <w:topLinePunct w:val="0"/>
        <w:autoSpaceDE/>
        <w:autoSpaceDN/>
        <w:bidi w:val="0"/>
        <w:ind w:left="0" w:firstLine="640" w:firstLineChars="200"/>
        <w:jc w:val="both"/>
        <w:textAlignment w:val="auto"/>
        <w:outlineLvl w:val="9"/>
        <w:rPr>
          <w:rFonts w:ascii="Times New Roman" w:hAnsi="Times New Roman" w:eastAsia="仿宋"/>
          <w:color w:val="auto"/>
          <w:kern w:val="0"/>
          <w:sz w:val="32"/>
          <w:szCs w:val="32"/>
          <w:highlight w:val="none"/>
        </w:rPr>
      </w:pPr>
      <w:r>
        <w:rPr>
          <w:rFonts w:hint="eastAsia"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eastAsia="zh-CN"/>
        </w:rPr>
        <w:t>壤塘县畜牧兽医服务工作站</w:t>
      </w:r>
    </w:p>
    <w:p>
      <w:pPr>
        <w:rPr>
          <w:rFonts w:hint="eastAsia" w:ascii="Times New Roman" w:hAnsi="Times New Roman" w:eastAsia="方正小标宋简体" w:cs="方正小标宋简体"/>
          <w:b w:val="0"/>
          <w:color w:val="auto"/>
          <w:highlight w:val="none"/>
        </w:rPr>
      </w:pPr>
      <w:bookmarkStart w:id="27" w:name="_Toc15377204"/>
      <w:bookmarkStart w:id="28" w:name="_Toc15396602"/>
      <w:r>
        <w:rPr>
          <w:rFonts w:hint="eastAsia" w:ascii="Times New Roman" w:hAnsi="Times New Roman" w:eastAsia="方正小标宋简体" w:cs="方正小标宋简体"/>
          <w:b w:val="0"/>
          <w:color w:val="auto"/>
          <w:highlight w:val="none"/>
        </w:rPr>
        <w:br w:type="page"/>
      </w:r>
    </w:p>
    <w:p>
      <w:pPr>
        <w:pStyle w:val="3"/>
        <w:jc w:val="center"/>
        <w:outlineLvl w:val="0"/>
        <w:rPr>
          <w:rFonts w:hint="eastAsia" w:ascii="Times New Roman" w:hAnsi="Times New Roman" w:eastAsia="方正小标宋简体" w:cs="方正小标宋简体"/>
          <w:b w:val="0"/>
          <w:color w:val="auto"/>
          <w:highlight w:val="none"/>
        </w:rPr>
      </w:pPr>
      <w:bookmarkStart w:id="29" w:name="_Toc967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7"/>
      <w:bookmarkEnd w:id="28"/>
      <w:bookmarkEnd w:id="29"/>
    </w:p>
    <w:p>
      <w:pPr>
        <w:outlineLvl w:val="9"/>
        <w:rPr>
          <w:rFonts w:ascii="Times New Roman" w:hAnsi="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30" w:name="_Toc15377205"/>
      <w:bookmarkStart w:id="31" w:name="_Toc15396603"/>
      <w:bookmarkStart w:id="32" w:name="_Toc2022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30"/>
      <w:bookmarkEnd w:id="31"/>
      <w:bookmarkEnd w:id="32"/>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both"/>
        <w:textAlignment w:val="auto"/>
        <w:outlineLvl w:val="9"/>
        <w:rPr>
          <w:rFonts w:hint="default" w:ascii="Times New Roman" w:hAnsi="Times New Roman" w:eastAsia="仿宋_GB2312" w:cs="Times New Roman"/>
          <w:b w:val="0"/>
          <w:bCs w:val="0"/>
          <w:kern w:val="2"/>
          <w:sz w:val="32"/>
          <w:szCs w:val="32"/>
          <w:lang w:val="en-US" w:eastAsia="zh-CN" w:bidi="ar-SA"/>
        </w:rPr>
      </w:pPr>
      <w:r>
        <w:drawing>
          <wp:anchor distT="0" distB="0" distL="114300" distR="114300" simplePos="0" relativeHeight="251659264" behindDoc="0" locked="0" layoutInCell="1" allowOverlap="1">
            <wp:simplePos x="0" y="0"/>
            <wp:positionH relativeFrom="column">
              <wp:posOffset>340360</wp:posOffset>
            </wp:positionH>
            <wp:positionV relativeFrom="paragraph">
              <wp:posOffset>1642745</wp:posOffset>
            </wp:positionV>
            <wp:extent cx="4572000" cy="2743200"/>
            <wp:effectExtent l="4445" t="4445" r="14605" b="14605"/>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3785.7</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3785.70</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rPr>
        <w:t>%。主要变动原因是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根据壤编发﹝2025﹞13号文件，畜牧兽医服务中心临时分设开展工作，项目增加，人员增加，费用增加。</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3" w:name="_Toc15377206"/>
      <w:bookmarkStart w:id="34" w:name="_Toc13428"/>
      <w:bookmarkStart w:id="35" w:name="_Toc15396604"/>
      <w:r>
        <w:rPr>
          <w:rFonts w:hint="eastAsia" w:ascii="Times New Roman" w:hAnsi="Times New Roman" w:eastAsia="黑体"/>
          <w:color w:val="auto"/>
          <w:sz w:val="32"/>
          <w:szCs w:val="32"/>
          <w:highlight w:val="none"/>
          <w:lang w:eastAsia="zh-CN"/>
        </w:rPr>
        <w:t>二、收入决算情况说明</w:t>
      </w:r>
      <w:bookmarkEnd w:id="33"/>
      <w:bookmarkEnd w:id="34"/>
      <w:bookmarkEnd w:id="35"/>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3785.7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3785.65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99.99</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0.05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280035</wp:posOffset>
            </wp:positionH>
            <wp:positionV relativeFrom="paragraph">
              <wp:posOffset>172720</wp:posOffset>
            </wp:positionV>
            <wp:extent cx="4572000" cy="2743200"/>
            <wp:effectExtent l="4445" t="4445" r="14605" b="14605"/>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36" w:name="_Toc15396605"/>
      <w:bookmarkStart w:id="37" w:name="_Toc31945"/>
      <w:bookmarkStart w:id="38"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36"/>
      <w:bookmarkEnd w:id="37"/>
      <w:bookmarkEnd w:id="38"/>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3785.65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334.05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8.82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3451.6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91.17</w:t>
      </w:r>
      <w:r>
        <w:rPr>
          <w:rFonts w:hint="eastAsia" w:ascii="Times New Roman" w:hAnsi="Times New Roman" w:eastAsia="仿宋_GB2312" w:cs="仿宋_GB2312"/>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340360</wp:posOffset>
            </wp:positionH>
            <wp:positionV relativeFrom="paragraph">
              <wp:posOffset>71120</wp:posOffset>
            </wp:positionV>
            <wp:extent cx="4572000" cy="2336800"/>
            <wp:effectExtent l="4445" t="4445" r="14605" b="20955"/>
            <wp:wrapTopAndBottom/>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pPr>
        <w:spacing w:line="600" w:lineRule="exact"/>
        <w:ind w:firstLine="640" w:firstLineChars="200"/>
        <w:outlineLvl w:val="1"/>
        <w:rPr>
          <w:rStyle w:val="31"/>
          <w:rFonts w:ascii="Times New Roman" w:hAnsi="Times New Roman" w:eastAsia="黑体"/>
          <w:b w:val="0"/>
          <w:color w:val="auto"/>
          <w:highlight w:val="none"/>
        </w:rPr>
      </w:pPr>
      <w:bookmarkStart w:id="39" w:name="_Toc15396606"/>
      <w:bookmarkStart w:id="40" w:name="_Toc9714"/>
      <w:bookmarkStart w:id="41"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39"/>
      <w:bookmarkEnd w:id="40"/>
      <w:bookmarkEnd w:id="41"/>
    </w:p>
    <w:p>
      <w:pPr>
        <w:spacing w:line="600" w:lineRule="exact"/>
        <w:ind w:firstLine="640"/>
        <w:jc w:val="both"/>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3785.65</w:t>
      </w:r>
      <w:r>
        <w:rPr>
          <w:rFonts w:hint="eastAsia" w:ascii="Times New Roman" w:hAnsi="Times New Roman" w:eastAsia="仿宋_GB2312" w:cs="仿宋_GB2312"/>
          <w:color w:val="auto"/>
          <w:kern w:val="2"/>
          <w:sz w:val="32"/>
          <w:szCs w:val="32"/>
          <w:highlight w:val="none"/>
          <w:lang w:val="en-US" w:eastAsia="zh-CN" w:bidi="ar-SA"/>
        </w:rPr>
        <w:t>万元。</w:t>
      </w:r>
      <w:r>
        <w:drawing>
          <wp:anchor distT="0" distB="0" distL="114300" distR="114300" simplePos="0" relativeHeight="251662336" behindDoc="0" locked="0" layoutInCell="1" allowOverlap="1">
            <wp:simplePos x="0" y="0"/>
            <wp:positionH relativeFrom="column">
              <wp:posOffset>314325</wp:posOffset>
            </wp:positionH>
            <wp:positionV relativeFrom="paragraph">
              <wp:posOffset>1591310</wp:posOffset>
            </wp:positionV>
            <wp:extent cx="4953000" cy="2714625"/>
            <wp:effectExtent l="4445" t="4445" r="14605" b="5080"/>
            <wp:wrapTopAndBottom/>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3786.65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根据壤编发﹝2025﹞13号文件，畜牧兽医服务中心临时分设开展工作，项目增加，人员增加，费用增加。</w:t>
      </w:r>
    </w:p>
    <w:p>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31"/>
          <w:rFonts w:ascii="Times New Roman" w:hAnsi="Times New Roman" w:eastAsia="黑体"/>
          <w:b w:val="0"/>
          <w:color w:val="auto"/>
          <w:highlight w:val="none"/>
        </w:rPr>
      </w:pPr>
      <w:bookmarkStart w:id="42" w:name="_Toc8045"/>
      <w:bookmarkStart w:id="43" w:name="_Toc15377209"/>
      <w:bookmarkStart w:id="44"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42"/>
      <w:bookmarkEnd w:id="43"/>
      <w:bookmarkEnd w:id="44"/>
    </w:p>
    <w:p>
      <w:pPr>
        <w:spacing w:line="600" w:lineRule="exact"/>
        <w:ind w:firstLine="642" w:firstLineChars="200"/>
        <w:outlineLvl w:val="9"/>
        <w:rPr>
          <w:rFonts w:hint="eastAsia" w:ascii="Times New Roman" w:hAnsi="Times New Roman" w:eastAsia="楷体_GB2312" w:cs="楷体_GB2312"/>
          <w:b/>
          <w:color w:val="auto"/>
          <w:sz w:val="32"/>
          <w:szCs w:val="32"/>
          <w:highlight w:val="none"/>
        </w:rPr>
      </w:pPr>
      <w:bookmarkStart w:id="45"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5"/>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3785.65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3785.65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根据壤编发﹝2025﹞13号文件，畜牧兽医服务中心临时分设开展工作，项目增加，人员增加，费用增加。</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384810</wp:posOffset>
            </wp:positionH>
            <wp:positionV relativeFrom="paragraph">
              <wp:posOffset>231140</wp:posOffset>
            </wp:positionV>
            <wp:extent cx="4572000" cy="2743200"/>
            <wp:effectExtent l="4445" t="4445" r="14605" b="14605"/>
            <wp:wrapTopAndBottom/>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9"/>
        <w:rPr>
          <w:rFonts w:hint="eastAsia" w:ascii="Times New Roman" w:hAnsi="Times New Roman" w:eastAsia="楷体_GB2312" w:cs="楷体_GB2312"/>
          <w:b/>
          <w:color w:val="auto"/>
          <w:sz w:val="32"/>
          <w:szCs w:val="32"/>
          <w:highlight w:val="none"/>
        </w:rPr>
      </w:pPr>
      <w:bookmarkStart w:id="4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6"/>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3785.65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13.69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0.36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62.00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1.64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14.25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0.38</w:t>
      </w: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3676.83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97.13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18.88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0.50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outlineLvl w:val="9"/>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506095</wp:posOffset>
            </wp:positionH>
            <wp:positionV relativeFrom="paragraph">
              <wp:posOffset>21590</wp:posOffset>
            </wp:positionV>
            <wp:extent cx="4225925" cy="1896110"/>
            <wp:effectExtent l="4445" t="4445" r="17780" b="23495"/>
            <wp:wrapTopAndBottom/>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9"/>
        <w:rPr>
          <w:rFonts w:hint="eastAsia" w:ascii="Times New Roman" w:hAnsi="Times New Roman" w:eastAsia="楷体_GB2312" w:cs="楷体_GB2312"/>
          <w:b/>
          <w:color w:val="auto"/>
          <w:sz w:val="32"/>
          <w:szCs w:val="32"/>
          <w:highlight w:val="none"/>
        </w:rPr>
      </w:pPr>
      <w:bookmarkStart w:id="4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7"/>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48" w:name="_Toc15377213"/>
      <w:bookmarkStart w:id="49" w:name="_Toc15378460"/>
      <w:bookmarkStart w:id="50"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3785.65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8"/>
      <w:bookmarkEnd w:id="49"/>
      <w:bookmarkEnd w:id="50"/>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科学技术支出（类）其他科学技术支出（款）其他科学技术支出（项）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13.69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2.社会保障和就业支出（类）行政事业单位养老支出（款）机关事业单位基本养老保险缴费支出（项）: 支出决算为</w:t>
      </w:r>
      <w:r>
        <w:rPr>
          <w:rFonts w:hint="eastAsia" w:eastAsia="仿宋_GB2312" w:cs="仿宋_GB2312"/>
          <w:color w:val="auto"/>
          <w:kern w:val="2"/>
          <w:sz w:val="32"/>
          <w:szCs w:val="32"/>
          <w:highlight w:val="none"/>
          <w:lang w:val="en-US" w:eastAsia="zh-CN" w:bidi="ar-SA"/>
        </w:rPr>
        <w:t>23.38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 支出决算为</w:t>
      </w:r>
      <w:r>
        <w:rPr>
          <w:rFonts w:hint="eastAsia" w:eastAsia="仿宋_GB2312" w:cs="仿宋_GB2312"/>
          <w:color w:val="auto"/>
          <w:kern w:val="2"/>
          <w:sz w:val="32"/>
          <w:szCs w:val="32"/>
          <w:highlight w:val="none"/>
          <w:lang w:val="en-US" w:eastAsia="zh-CN" w:bidi="ar-SA"/>
        </w:rPr>
        <w:t>11.69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社会保障和就业支出（类）抚恤（款）死亡抚恤（项）：支出决算为26.93万元，完成预算100%。</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3.卫生健康支出（类）公共卫生（款）重大公共卫生服务（项）：支出决算为0.79万元，完成预算100%。</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卫生健康支出（类）行政事业单位医疗（款）行政单位医疗（项）：支出决算为2.75万元，完成预算100%。</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卫生健康支出（类）行政事业单位医疗（款）事业单位医疗（项）：支出决算为7.50万元，完成预算100%。</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卫生健康支出（类）行政事业单位医疗（款）公务员医疗补助（项）：支出决算为0.69万元，完成预算100%。</w:t>
      </w:r>
    </w:p>
    <w:p>
      <w:pPr>
        <w:spacing w:line="600" w:lineRule="exact"/>
        <w:ind w:firstLine="640"/>
        <w:outlineLvl w:val="9"/>
        <w:rPr>
          <w:rFonts w:hint="default"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卫生健康支出（类）行政事业单位医疗（款）其他行政事业单位医疗支出（项）：支出决算为2.51万元，完成预算100%。</w:t>
      </w:r>
    </w:p>
    <w:p>
      <w:pPr>
        <w:numPr>
          <w:ilvl w:val="0"/>
          <w:numId w:val="0"/>
        </w:numPr>
        <w:spacing w:line="600" w:lineRule="exact"/>
        <w:ind w:firstLine="640" w:firstLineChars="20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4.农林水支出（类）农业农村（款）行政运行（项）：支出决算为60.32万元，完成预算100%。</w:t>
      </w:r>
    </w:p>
    <w:p>
      <w:pPr>
        <w:numPr>
          <w:ilvl w:val="0"/>
          <w:numId w:val="0"/>
        </w:numPr>
        <w:spacing w:line="600" w:lineRule="exact"/>
        <w:ind w:firstLine="640" w:firstLineChars="20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农林水支出（类）农业农村（款）事业运行（项）：支出决算为179.38万元，完成预算100%。</w:t>
      </w:r>
    </w:p>
    <w:p>
      <w:pPr>
        <w:numPr>
          <w:ilvl w:val="0"/>
          <w:numId w:val="0"/>
        </w:numPr>
        <w:spacing w:line="600" w:lineRule="exact"/>
        <w:ind w:firstLine="640" w:firstLineChars="20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农林水支出（类）农业农村（款）防灾救灾（项）：支出决算为0.43万元，完成预算100%。</w:t>
      </w:r>
    </w:p>
    <w:p>
      <w:pPr>
        <w:numPr>
          <w:ilvl w:val="0"/>
          <w:numId w:val="0"/>
        </w:numPr>
        <w:spacing w:line="600" w:lineRule="exact"/>
        <w:ind w:firstLine="640" w:firstLineChars="20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农林水支出（类）农业农村（款）其他农业农村支出（项）：支出决算为2850.65万元，完成预算100%。</w:t>
      </w:r>
    </w:p>
    <w:p>
      <w:pPr>
        <w:numPr>
          <w:ilvl w:val="0"/>
          <w:numId w:val="0"/>
        </w:numPr>
        <w:spacing w:line="600" w:lineRule="exact"/>
        <w:ind w:firstLine="640" w:firstLineChars="20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农林水支出（类）巩固</w:t>
      </w:r>
      <w:r>
        <w:rPr>
          <w:rFonts w:hint="eastAsia" w:eastAsia="仿宋_GB2312" w:cs="仿宋_GB2312"/>
          <w:color w:val="auto"/>
          <w:kern w:val="2"/>
          <w:sz w:val="32"/>
          <w:szCs w:val="32"/>
          <w:highlight w:val="none"/>
          <w:lang w:val="en-US" w:eastAsia="zh-CN" w:bidi="ar-SA"/>
        </w:rPr>
        <w:t>拓展</w:t>
      </w:r>
      <w:r>
        <w:rPr>
          <w:rFonts w:hint="eastAsia" w:ascii="Times New Roman" w:hAnsi="Times New Roman" w:eastAsia="仿宋_GB2312" w:cs="仿宋_GB2312"/>
          <w:color w:val="auto"/>
          <w:kern w:val="2"/>
          <w:sz w:val="32"/>
          <w:szCs w:val="32"/>
          <w:highlight w:val="none"/>
          <w:lang w:val="en-US" w:eastAsia="zh-CN" w:bidi="ar-SA"/>
        </w:rPr>
        <w:t>脱贫攻坚成果衔接乡村振兴（款）生产发展（项）：支出决算为514.24万元，完成预算100%。</w:t>
      </w:r>
    </w:p>
    <w:p>
      <w:pPr>
        <w:numPr>
          <w:ilvl w:val="0"/>
          <w:numId w:val="0"/>
        </w:numPr>
        <w:spacing w:line="600" w:lineRule="exact"/>
        <w:ind w:firstLine="640" w:firstLineChars="20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农林水支出（类）巩固</w:t>
      </w:r>
      <w:r>
        <w:rPr>
          <w:rFonts w:hint="eastAsia" w:eastAsia="仿宋_GB2312" w:cs="仿宋_GB2312"/>
          <w:color w:val="auto"/>
          <w:kern w:val="2"/>
          <w:sz w:val="32"/>
          <w:szCs w:val="32"/>
          <w:highlight w:val="none"/>
          <w:lang w:val="en-US" w:eastAsia="zh-CN" w:bidi="ar-SA"/>
        </w:rPr>
        <w:t>拓展</w:t>
      </w:r>
      <w:r>
        <w:rPr>
          <w:rFonts w:hint="eastAsia" w:ascii="Times New Roman" w:hAnsi="Times New Roman" w:eastAsia="仿宋_GB2312" w:cs="仿宋_GB2312"/>
          <w:color w:val="auto"/>
          <w:kern w:val="2"/>
          <w:sz w:val="32"/>
          <w:szCs w:val="32"/>
          <w:highlight w:val="none"/>
          <w:lang w:val="en-US" w:eastAsia="zh-CN" w:bidi="ar-SA"/>
        </w:rPr>
        <w:t>脱贫攻坚成果衔接乡村振兴（款）其他巩固</w:t>
      </w:r>
      <w:r>
        <w:rPr>
          <w:rFonts w:hint="eastAsia" w:eastAsia="仿宋_GB2312" w:cs="仿宋_GB2312"/>
          <w:color w:val="auto"/>
          <w:kern w:val="2"/>
          <w:sz w:val="32"/>
          <w:szCs w:val="32"/>
          <w:highlight w:val="none"/>
          <w:lang w:val="en-US" w:eastAsia="zh-CN" w:bidi="ar-SA"/>
        </w:rPr>
        <w:t>拓展</w:t>
      </w:r>
      <w:r>
        <w:rPr>
          <w:rFonts w:hint="eastAsia" w:ascii="Times New Roman" w:hAnsi="Times New Roman" w:eastAsia="仿宋_GB2312" w:cs="仿宋_GB2312"/>
          <w:color w:val="auto"/>
          <w:kern w:val="2"/>
          <w:sz w:val="32"/>
          <w:szCs w:val="32"/>
          <w:highlight w:val="none"/>
          <w:lang w:val="en-US" w:eastAsia="zh-CN" w:bidi="ar-SA"/>
        </w:rPr>
        <w:t>脱贫攻坚成果衔接乡村振兴支出（项）：支出决算为10.60万元，完成预算100%。</w:t>
      </w:r>
    </w:p>
    <w:p>
      <w:pPr>
        <w:numPr>
          <w:ilvl w:val="0"/>
          <w:numId w:val="0"/>
        </w:numPr>
        <w:spacing w:line="600" w:lineRule="exact"/>
        <w:ind w:firstLine="640" w:firstLineChars="20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农林水支出（类）普惠金融发展支出（款）农业保险保费补贴（项）：支出决算为61.19万元，完成预算100%。</w:t>
      </w:r>
    </w:p>
    <w:p>
      <w:pPr>
        <w:numPr>
          <w:ilvl w:val="0"/>
          <w:numId w:val="0"/>
        </w:numPr>
        <w:spacing w:line="600" w:lineRule="exact"/>
        <w:ind w:firstLine="640" w:firstLineChars="200"/>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5.住房保障支出（类）住房改革支出（款）住房公积金（项）：支出决算为18.88万元，完成预算100%。</w:t>
      </w:r>
    </w:p>
    <w:p>
      <w:pPr>
        <w:tabs>
          <w:tab w:val="right" w:pos="8306"/>
        </w:tabs>
        <w:spacing w:line="600" w:lineRule="exact"/>
        <w:ind w:firstLine="640"/>
        <w:outlineLvl w:val="1"/>
        <w:rPr>
          <w:rFonts w:hint="eastAsia" w:ascii="Times New Roman" w:hAnsi="Times New Roman" w:eastAsia="黑体"/>
          <w:color w:val="auto"/>
          <w:sz w:val="32"/>
          <w:szCs w:val="32"/>
          <w:highlight w:val="none"/>
        </w:rPr>
      </w:pPr>
      <w:bookmarkStart w:id="51" w:name="_Toc15377214"/>
      <w:bookmarkStart w:id="52" w:name="_Toc15396608"/>
    </w:p>
    <w:p>
      <w:pPr>
        <w:tabs>
          <w:tab w:val="right" w:pos="8306"/>
        </w:tabs>
        <w:spacing w:line="600" w:lineRule="exact"/>
        <w:ind w:firstLine="640"/>
        <w:outlineLvl w:val="1"/>
        <w:rPr>
          <w:rStyle w:val="31"/>
          <w:rFonts w:ascii="Times New Roman" w:hAnsi="Times New Roman"/>
          <w:color w:val="auto"/>
          <w:highlight w:val="none"/>
        </w:rPr>
      </w:pPr>
      <w:bookmarkStart w:id="53" w:name="_Toc8646"/>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51"/>
      <w:bookmarkEnd w:id="52"/>
      <w:bookmarkEnd w:id="53"/>
      <w:r>
        <w:rPr>
          <w:rStyle w:val="31"/>
          <w:rFonts w:ascii="Times New Roman" w:hAnsi="Times New Roman" w:eastAsia="黑体"/>
          <w:b w:val="0"/>
          <w:color w:val="auto"/>
          <w:highlight w:val="none"/>
        </w:rPr>
        <w:tab/>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334.05</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308.29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万元，主要包括：基本工资、津贴补贴、奖金、绩效工资、机关事业单位基本养老保险缴费、职业年金缴费、职工基本医疗保险缴费、公务员医疗补助缴费、其他社会保障缴费、住房公积金等。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25.76</w:t>
      </w:r>
      <w:r>
        <w:rPr>
          <w:rFonts w:hint="eastAsia" w:ascii="Times New Roman" w:hAnsi="Times New Roman" w:eastAsia="仿宋_GB2312" w:cs="仿宋_GB2312"/>
          <w:color w:val="auto"/>
          <w:kern w:val="2"/>
          <w:sz w:val="32"/>
          <w:szCs w:val="32"/>
          <w:highlight w:val="none"/>
          <w:lang w:val="en-US" w:eastAsia="zh-CN" w:bidi="ar-SA"/>
        </w:rPr>
        <w:t>万元，主要包括：办公费、印刷费、邮电费、物业管理费、差旅费、维修（护）费、租赁费、劳务费、其他交通费等。</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31"/>
          <w:rFonts w:ascii="Times New Roman" w:hAnsi="Times New Roman" w:eastAsia="黑体"/>
          <w:b w:val="0"/>
          <w:color w:val="auto"/>
          <w:highlight w:val="none"/>
        </w:rPr>
      </w:pPr>
      <w:bookmarkStart w:id="54" w:name="_Toc15396609"/>
      <w:bookmarkStart w:id="55" w:name="_Toc15377215"/>
      <w:bookmarkStart w:id="56" w:name="_Toc9553"/>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54"/>
      <w:bookmarkEnd w:id="55"/>
      <w:bookmarkEnd w:id="5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7"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w:t>
      </w:r>
      <w:r>
        <w:rPr>
          <w:rFonts w:hint="eastAsia" w:eastAsia="仿宋_GB2312" w:cs="Times New Roman"/>
          <w:b w:val="0"/>
          <w:bCs w:val="0"/>
          <w:kern w:val="2"/>
          <w:sz w:val="32"/>
          <w:szCs w:val="32"/>
          <w:lang w:val="en-US" w:eastAsia="zh-CN" w:bidi="ar-SA"/>
        </w:rPr>
        <w:t>公车编制暂时未划转</w:t>
      </w:r>
      <w:r>
        <w:rPr>
          <w:rFonts w:hint="default" w:ascii="Times New Roman" w:hAnsi="Times New Roman" w:eastAsia="仿宋_GB2312" w:cs="Times New Roman"/>
          <w:b w:val="0"/>
          <w:bCs w:val="0"/>
          <w:kern w:val="2"/>
          <w:sz w:val="32"/>
          <w:szCs w:val="32"/>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8"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bookmarkStart w:id="59" w:name="_Toc15396610"/>
      <w:bookmarkStart w:id="60" w:name="_Toc15377218"/>
    </w:p>
    <w:p>
      <w:pPr>
        <w:spacing w:line="600" w:lineRule="exact"/>
        <w:ind w:firstLine="640"/>
        <w:outlineLvl w:val="1"/>
        <w:rPr>
          <w:rStyle w:val="31"/>
          <w:rFonts w:ascii="Times New Roman" w:hAnsi="Times New Roman" w:eastAsia="黑体"/>
          <w:color w:val="auto"/>
          <w:highlight w:val="none"/>
        </w:rPr>
      </w:pPr>
      <w:bookmarkStart w:id="61" w:name="_Toc13856"/>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59"/>
      <w:bookmarkEnd w:id="60"/>
      <w:bookmarkEnd w:id="6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62" w:name="_Toc15377219"/>
      <w:bookmarkStart w:id="63" w:name="_Toc15396611"/>
      <w:bookmarkStart w:id="64" w:name="_Toc16335"/>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62"/>
      <w:bookmarkEnd w:id="63"/>
      <w:bookmarkEnd w:id="6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65" w:name="_Toc15396612"/>
      <w:bookmarkStart w:id="66" w:name="_Toc15377221"/>
      <w:bookmarkStart w:id="67" w:name="_Toc795"/>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65"/>
      <w:bookmarkEnd w:id="66"/>
      <w:bookmarkEnd w:id="67"/>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8" w:name="_Toc15377222"/>
      <w:r>
        <w:rPr>
          <w:rFonts w:hint="eastAsia" w:ascii="Times New Roman" w:hAnsi="Times New Roman" w:eastAsia="楷体_GB2312" w:cs="楷体_GB2312"/>
          <w:b/>
          <w:color w:val="auto"/>
          <w:sz w:val="32"/>
          <w:szCs w:val="32"/>
          <w:highlight w:val="none"/>
        </w:rPr>
        <w:t>（一）机关运行经费支出情况</w:t>
      </w:r>
      <w:bookmarkEnd w:id="68"/>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壤塘县畜牧兽医服务中心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费用增加。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9" w:name="_Toc15377223"/>
      <w:r>
        <w:rPr>
          <w:rFonts w:hint="eastAsia" w:ascii="Times New Roman" w:hAnsi="Times New Roman" w:eastAsia="楷体_GB2312" w:cs="楷体_GB2312"/>
          <w:b/>
          <w:color w:val="auto"/>
          <w:sz w:val="32"/>
          <w:szCs w:val="32"/>
          <w:highlight w:val="none"/>
        </w:rPr>
        <w:t>（二）政府采购支出情况</w:t>
      </w:r>
      <w:bookmarkEnd w:id="6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壤塘县畜牧兽医服务中心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70" w:name="_Toc15377224"/>
      <w:r>
        <w:rPr>
          <w:rFonts w:hint="eastAsia" w:ascii="Times New Roman" w:hAnsi="Times New Roman" w:eastAsia="楷体_GB2312" w:cs="楷体_GB2312"/>
          <w:b/>
          <w:color w:val="auto"/>
          <w:sz w:val="32"/>
          <w:szCs w:val="32"/>
          <w:highlight w:val="none"/>
        </w:rPr>
        <w:t>（三）国有资产占有使用情况</w:t>
      </w:r>
      <w:bookmarkEnd w:id="7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壤塘县畜牧兽医服务中心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壤塘县畜牧中心</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中央和省级财政农业相关转移支付资金（草奖）</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3451.60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组织对2025年度一般公共预算全面开展绩效自评，形成</w:t>
      </w:r>
      <w:r>
        <w:rPr>
          <w:rFonts w:hint="eastAsia" w:eastAsia="仿宋_GB2312" w:cs="仿宋_GB2312"/>
          <w:color w:val="auto"/>
          <w:kern w:val="2"/>
          <w:sz w:val="32"/>
          <w:szCs w:val="32"/>
          <w:highlight w:val="none"/>
          <w:lang w:val="en-US" w:eastAsia="zh-CN" w:bidi="ar-SA"/>
        </w:rPr>
        <w:t>壤塘县畜牧兽医服务中心</w:t>
      </w:r>
      <w:r>
        <w:rPr>
          <w:rFonts w:hint="eastAsia" w:ascii="Times New Roman" w:hAnsi="Times New Roman" w:eastAsia="仿宋_GB2312" w:cs="仿宋_GB2312"/>
          <w:color w:val="auto"/>
          <w:kern w:val="2"/>
          <w:sz w:val="32"/>
          <w:szCs w:val="32"/>
          <w:highlight w:val="none"/>
          <w:lang w:val="en-US" w:eastAsia="zh-CN" w:bidi="ar-SA"/>
        </w:rPr>
        <w:t>预算（含部门预算项目）绩效自评报告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牦牛保险</w:t>
      </w:r>
      <w:r>
        <w:rPr>
          <w:rFonts w:hint="eastAsia" w:eastAsia="仿宋_GB2312" w:cs="仿宋_GB2312"/>
          <w:color w:val="auto"/>
          <w:kern w:val="2"/>
          <w:sz w:val="32"/>
          <w:szCs w:val="32"/>
          <w:highlight w:val="none"/>
          <w:lang w:val="en-US" w:eastAsia="zh-CN" w:bidi="ar-SA"/>
        </w:rPr>
        <w:t>》、《壤塘县牲畜暖棚建设项目（2025年）》、《中央和省级财政农业相关转移支付资金（草奖）》</w:t>
      </w:r>
      <w:r>
        <w:rPr>
          <w:rFonts w:hint="eastAsia" w:ascii="Times New Roman" w:hAnsi="Times New Roman" w:eastAsia="仿宋_GB2312" w:cs="仿宋_GB2312"/>
          <w:color w:val="auto"/>
          <w:kern w:val="2"/>
          <w:sz w:val="32"/>
          <w:szCs w:val="32"/>
          <w:highlight w:val="none"/>
          <w:lang w:val="en-US" w:eastAsia="zh-CN" w:bidi="ar-SA"/>
        </w:rPr>
        <w:t>等专项预算项目绩效自评报告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壤塘县畜牧兽医服务中心</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88</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本年度畜牧兽医服务中心预算执行总体规范，资金使用合规高效，各项履职工作圆满完成，预算绩效目标基本实现，财政资金发挥了应有的社会效益和履职效益，综合绩效评价等级为良好。后续，本单位将针对存在问题扎实整改，不断强化预算绩效管理，优化资金配置，切实提升畜牧兽医服务中心工作服务质效，更好地履行畜牧兽医服务职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olor w:val="auto"/>
          <w:sz w:val="44"/>
          <w:szCs w:val="44"/>
          <w:highlight w:val="none"/>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牦牛保险</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项目严格按照政策要求规范实施，资金管理合规、预算执行到位，圆满完成年度承保、理赔等各项绩效目标，有效防范牦牛养殖风险、保障牧民群众收益，助力县域高原畜牧业稳定发展，整体实施成效良好，评价等级为良</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《壤塘县牲畜暖棚建设项目（2025年）》</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87</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项目建成后，活畜死亡率控制在2%以内，出栏周期缩短1至2年，项目建设户力争实现牦牛年出栏不低于10%，确保户均年出栏收入达到3.5万元以上。此举将有效发挥“放牧+补饲+圈养”科学养殖模式的示范推广作用。此外，项目进一步扩大辐射范围，引导项目区周边牧民群众采纳自然放牧与舍饲相结合的生产方式。通过转变牧户的传统观念，引导他们走上科学养畜的道路，有效增加农牧民收入，促进牧区的稳定团结与社会和谐。</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绩效自评报告详见附件。</w:t>
      </w:r>
    </w:p>
    <w:p>
      <w:pPr>
        <w:numPr>
          <w:ilvl w:val="0"/>
          <w:numId w:val="0"/>
        </w:numPr>
        <w:spacing w:line="600" w:lineRule="exact"/>
        <w:jc w:val="both"/>
        <w:outlineLvl w:val="0"/>
        <w:rPr>
          <w:rFonts w:hint="eastAsia" w:ascii="Times New Roman" w:hAnsi="Times New Roman" w:eastAsia="黑体"/>
          <w:color w:val="auto"/>
          <w:sz w:val="44"/>
          <w:szCs w:val="44"/>
          <w:highlight w:val="none"/>
        </w:rPr>
      </w:pPr>
      <w:bookmarkStart w:id="71" w:name="_Toc15396613"/>
      <w:bookmarkStart w:id="72" w:name="_Toc15377225"/>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3" w:name="_Toc6686"/>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1"/>
      <w:bookmarkEnd w:id="72"/>
      <w:bookmarkEnd w:id="73"/>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bookmarkStart w:id="74" w:name="_Toc15377226"/>
      <w:r>
        <w:rPr>
          <w:rFonts w:hint="eastAsia" w:ascii="Times New Roman" w:hAnsi="Times New Roman" w:eastAsia="仿宋_GB2312" w:cs="仿宋_GB2312"/>
          <w:color w:val="auto"/>
          <w:kern w:val="2"/>
          <w:sz w:val="32"/>
          <w:szCs w:val="32"/>
          <w:highlight w:val="none"/>
          <w:lang w:val="en-US" w:eastAsia="zh-CN" w:bidi="ar-SA"/>
        </w:rPr>
        <w:t>9.科学技术（类）……（款）……（项）：指……</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.社会保障和就业（类）……（款）……（项）：指……</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.卫生健康（类）……（款）……（项）：指……</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.农林水（类）……（款）……（项）：指……</w:t>
      </w:r>
    </w:p>
    <w:p>
      <w:pPr>
        <w:spacing w:line="600" w:lineRule="exact"/>
        <w:ind w:firstLine="640"/>
        <w:jc w:val="both"/>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13.住房保障支出</w:t>
      </w:r>
      <w:r>
        <w:rPr>
          <w:rFonts w:hint="eastAsia" w:ascii="Times New Roman" w:hAnsi="Times New Roman" w:eastAsia="仿宋_GB2312" w:cs="仿宋_GB2312"/>
          <w:color w:val="auto"/>
          <w:kern w:val="2"/>
          <w:sz w:val="32"/>
          <w:szCs w:val="32"/>
          <w:highlight w:val="none"/>
          <w:lang w:val="en-US" w:eastAsia="zh-CN" w:bidi="ar-SA"/>
        </w:rPr>
        <w:t>（类）……（款）……（项）：指……</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.机关运行经费：为保障行政单位（含参照公务员法管理的事业单位）运行用于购买货物和服务的各项资金，包括办公及印刷费、邮电费、差旅费、会议费、福利费、日常维修费以及其他费用。</w:t>
      </w:r>
    </w:p>
    <w:p>
      <w:pPr>
        <w:spacing w:line="600" w:lineRule="exact"/>
        <w:jc w:val="center"/>
        <w:outlineLvl w:val="0"/>
        <w:rPr>
          <w:rStyle w:val="30"/>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75" w:name="_Toc27787"/>
      <w:bookmarkStart w:id="7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5"/>
      <w:bookmarkEnd w:id="7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1"/>
        <w:rPr>
          <w:rFonts w:hint="eastAsia" w:ascii="Times New Roman" w:hAnsi="Times New Roman" w:eastAsia="黑体" w:cs="方正小标宋简体"/>
          <w:color w:val="auto"/>
          <w:sz w:val="44"/>
          <w:szCs w:val="44"/>
          <w:highlight w:val="none"/>
          <w:lang w:val="en-US" w:eastAsia="zh-CN"/>
        </w:rPr>
      </w:pPr>
      <w:bookmarkStart w:id="77" w:name="_Toc16467"/>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77"/>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eastAsia="仿宋_GB2312" w:cs="仿宋_GB2312"/>
          <w:color w:val="auto"/>
          <w:sz w:val="32"/>
          <w:szCs w:val="32"/>
          <w:highlight w:val="none"/>
          <w:lang w:eastAsia="zh-CN"/>
        </w:rPr>
        <w:t>壤塘县畜牧兽医服务中心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pPr>
        <w:numPr>
          <w:ilvl w:val="0"/>
          <w:numId w:val="0"/>
        </w:numPr>
        <w:ind w:firstLine="642" w:firstLineChars="200"/>
        <w:jc w:val="both"/>
        <w:rPr>
          <w:rFonts w:hint="eastAsia" w:ascii="Times New Roman" w:hAnsi="Times New Roman" w:eastAsia="仿宋_GB2312" w:cs="仿宋_GB2312"/>
          <w:color w:val="auto"/>
          <w:sz w:val="32"/>
          <w:szCs w:val="32"/>
          <w:highlight w:val="none"/>
          <w:lang w:eastAsia="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贯彻落实国家、省(州)畜牧兽医工作方针、政策和法律、法规；指导、协调畜牧业科技队伍和技术服务体系建设；研究草拟全县畜牧生产、兽医兽药、饲料发展、草种资源保护的中长期规划；组织实施动物防疫工作和重大疫情的扑灭工作，开展动物防疫和饲料等生产技术服务。</w:t>
      </w:r>
    </w:p>
    <w:p>
      <w:pPr>
        <w:numPr>
          <w:ilvl w:val="0"/>
          <w:numId w:val="0"/>
        </w:numPr>
        <w:ind w:firstLine="640" w:firstLineChars="200"/>
        <w:jc w:val="both"/>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t>研究拟</w:t>
      </w:r>
      <w:r>
        <w:rPr>
          <w:rFonts w:hint="eastAsia" w:eastAsia="仿宋_GB2312" w:cs="仿宋_GB2312"/>
          <w:color w:val="auto"/>
          <w:sz w:val="32"/>
          <w:szCs w:val="32"/>
          <w:highlight w:val="none"/>
          <w:lang w:eastAsia="zh-CN"/>
        </w:rPr>
        <w:t>订</w:t>
      </w:r>
      <w:r>
        <w:rPr>
          <w:rFonts w:hint="eastAsia" w:ascii="Times New Roman" w:hAnsi="Times New Roman" w:eastAsia="仿宋_GB2312" w:cs="仿宋_GB2312"/>
          <w:color w:val="auto"/>
          <w:sz w:val="32"/>
          <w:szCs w:val="32"/>
          <w:highlight w:val="none"/>
          <w:lang w:eastAsia="zh-CN"/>
        </w:rPr>
        <w:t>畜牧兽医行业的有关产业政策，引导畜牧兽医行业结构布局调整，扶持龙头企业；推进畜牧兽医产业化发展；推广畜禽优良品种和畜禽繁育、饲养新技术；制定畜牧业发展的技术措施和科技发展计划。</w:t>
      </w:r>
    </w:p>
    <w:p>
      <w:pPr>
        <w:ind w:firstLine="800" w:firstLineChars="250"/>
        <w:jc w:val="both"/>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lang w:eastAsia="zh-CN"/>
        </w:rPr>
        <w:t>.督促检查指导全县畜牧科技项目的实施工作，负责标准化养殖、规模养殖场、养畜基础设施建设(棚圈)等方面的工作。负责全县畜、禽、蜂的保护和开发利用工作；负责全县畜(禽、蜂、奶)养殖实用技术培训新技术推广工作。</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eastAsia="zh-CN"/>
        </w:rPr>
        <w:t xml:space="preserve">.完成县委、县政府和局机关及上级业务主管部门交办的其他工作。 </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eastAsia="仿宋_GB2312" w:cs="仿宋_GB2312"/>
          <w:color w:val="auto"/>
          <w:sz w:val="32"/>
          <w:szCs w:val="32"/>
          <w:highlight w:val="none"/>
          <w:lang w:eastAsia="zh-CN"/>
        </w:rPr>
        <w:t>壤塘县畜牧兽医服务中心</w:t>
      </w:r>
      <w:r>
        <w:rPr>
          <w:rFonts w:hint="default" w:ascii="Times New Roman" w:hAnsi="Times New Roman" w:eastAsia="仿宋_GB2312" w:cs="Times New Roman"/>
          <w:sz w:val="32"/>
          <w:szCs w:val="32"/>
          <w:lang w:val="en-US" w:eastAsia="zh-CN"/>
        </w:rPr>
        <w:t>及下属单位编制</w:t>
      </w:r>
      <w:r>
        <w:rPr>
          <w:rFonts w:hint="eastAsia" w:eastAsia="仿宋_GB2312" w:cs="Times New Roman"/>
          <w:sz w:val="32"/>
          <w:szCs w:val="32"/>
          <w:lang w:val="en-US" w:eastAsia="zh-CN"/>
        </w:rPr>
        <w:t>58人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年末实有人数</w:t>
      </w:r>
      <w:r>
        <w:rPr>
          <w:rFonts w:hint="eastAsia" w:eastAsia="仿宋_GB2312" w:cs="Times New Roman"/>
          <w:sz w:val="32"/>
          <w:szCs w:val="32"/>
          <w:lang w:val="en-US" w:eastAsia="zh-CN"/>
        </w:rPr>
        <w:t>54人</w:t>
      </w:r>
      <w:r>
        <w:rPr>
          <w:rFonts w:hint="eastAsia"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壤塘县畜牧兽医服务中心</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年年初预算收入3785.65</w:t>
      </w:r>
      <w:r>
        <w:rPr>
          <w:rFonts w:hint="eastAsia"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、决算报表收入3785.65</w:t>
      </w:r>
      <w:r>
        <w:rPr>
          <w:rFonts w:hint="eastAsia"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壤塘县畜牧兽医服务中心</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年年初预算支出3785.65</w:t>
      </w:r>
      <w:r>
        <w:rPr>
          <w:rFonts w:hint="eastAsia"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、决算报表支出3785.65</w:t>
      </w:r>
      <w:r>
        <w:rPr>
          <w:rFonts w:hint="eastAsia"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60" w:lineRule="exact"/>
        <w:ind w:firstLine="642"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壤塘县畜牧兽医服务中心</w:t>
      </w:r>
      <w:r>
        <w:rPr>
          <w:rFonts w:hint="eastAsia" w:ascii="Times New Roman" w:hAnsi="Times New Roman" w:eastAsia="仿宋_GB2312" w:cs="仿宋_GB2312"/>
          <w:color w:val="auto"/>
          <w:kern w:val="2"/>
          <w:sz w:val="32"/>
          <w:szCs w:val="32"/>
          <w:highlight w:val="none"/>
          <w:lang w:val="en-US" w:eastAsia="zh-CN" w:bidi="ar-SA"/>
        </w:rPr>
        <w:t>2025年非财政拨款收入共计0.05万元，（其中其他收入为0.05万元）。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eastAsia" w:ascii="Times New Roman" w:hAnsi="Times New Roman" w:eastAsia="仿宋_GB2312" w:cs="Times New Roman"/>
          <w:kern w:val="2"/>
          <w:sz w:val="32"/>
          <w:szCs w:val="32"/>
          <w:lang w:val="en-US" w:eastAsia="zh-CN" w:bidi="zh-CN"/>
        </w:rPr>
        <w:t>《</w:t>
      </w:r>
      <w:r>
        <w:rPr>
          <w:rFonts w:hint="eastAsia" w:ascii="Times New Roman" w:hAnsi="Times New Roman" w:eastAsia="仿宋_GB2312" w:cs="仿宋_GB2312"/>
          <w:color w:val="auto"/>
          <w:kern w:val="2"/>
          <w:sz w:val="32"/>
          <w:szCs w:val="32"/>
          <w:highlight w:val="none"/>
          <w:lang w:val="en-US" w:eastAsia="zh-CN" w:bidi="ar-SA"/>
        </w:rPr>
        <w:t>壤塘县牦牛肉加工厂项目》成立壤塘县牦牛肉加工厂项目绩效评价工作小组，工作小组依据《壤塘县牦牛肉加工厂项目》绩效目标表开展绩效监管工作，主要对项目产出指标、效益指标、满意度指标、成本指标等核心指标进行监管和跟踪，采取分项核查方式进行对照检验，对未完成绩效目标的指标要求适时整改，直到达标为止。通过监管，该项目设置绩效目标完成率达88%。</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《壤塘县2025年省星级现代农业园区兽医实验室建设项目》</w:t>
      </w:r>
      <w:r>
        <w:rPr>
          <w:rFonts w:hint="eastAsia" w:ascii="Times New Roman" w:hAnsi="Times New Roman" w:eastAsia="仿宋_GB2312" w:cs="仿宋_GB2312"/>
          <w:color w:val="auto"/>
          <w:kern w:val="2"/>
          <w:sz w:val="32"/>
          <w:szCs w:val="32"/>
          <w:highlight w:val="none"/>
          <w:lang w:val="zh-CN" w:eastAsia="zh-CN" w:bidi="ar-SA"/>
        </w:rPr>
        <w:t>全面开展动物疫病防控专项预算执行、资金使用及项目实施成效，检验绩效目标完成情况，规范财政资金管理，优化保险服务流程，充分发挥项目风险保障、惠民增收作用，为后续预算安排、政策优化提供实操依据</w:t>
      </w:r>
      <w:r>
        <w:rPr>
          <w:rFonts w:hint="eastAsia" w:eastAsia="仿宋_GB2312" w:cs="仿宋_GB2312"/>
          <w:color w:val="auto"/>
          <w:kern w:val="2"/>
          <w:sz w:val="32"/>
          <w:szCs w:val="32"/>
          <w:highlight w:val="none"/>
          <w:lang w:val="zh-CN" w:eastAsia="zh-CN" w:bidi="ar-SA"/>
        </w:rPr>
        <w:t>。</w:t>
      </w:r>
    </w:p>
    <w:p>
      <w:pPr>
        <w:pStyle w:val="10"/>
        <w:spacing w:line="578" w:lineRule="exact"/>
        <w:ind w:firstLine="630"/>
        <w:rPr>
          <w:rFonts w:hint="eastAsia"/>
          <w:lang w:val="zh-CN" w:eastAsia="zh-CN"/>
        </w:rPr>
      </w:pPr>
      <w:r>
        <w:rPr>
          <w:rFonts w:hint="eastAsia" w:ascii="Times New Roman" w:hAnsi="Times New Roman" w:eastAsia="仿宋_GB2312" w:cs="仿宋_GB2312"/>
          <w:b w:val="0"/>
          <w:color w:val="auto"/>
          <w:kern w:val="2"/>
          <w:sz w:val="32"/>
          <w:szCs w:val="32"/>
          <w:highlight w:val="none"/>
          <w:lang w:val="zh-CN" w:eastAsia="zh-CN" w:bidi="ar-SA"/>
        </w:rPr>
        <w:t>《</w:t>
      </w:r>
      <w:r>
        <w:rPr>
          <w:rFonts w:hint="eastAsia" w:ascii="仿宋_GB2312" w:hAnsi="宋体" w:eastAsia="仿宋_GB2312" w:cs="Times New Roman"/>
          <w:kern w:val="2"/>
          <w:sz w:val="32"/>
          <w:szCs w:val="32"/>
          <w:lang w:val="en-US" w:eastAsia="zh-CN"/>
        </w:rPr>
        <w:t>202</w:t>
      </w:r>
      <w:r>
        <w:rPr>
          <w:rFonts w:hint="eastAsia" w:ascii="仿宋_GB2312" w:hAnsi="宋体" w:cs="Times New Roman"/>
          <w:kern w:val="2"/>
          <w:sz w:val="32"/>
          <w:szCs w:val="32"/>
          <w:lang w:val="en-US" w:eastAsia="zh-CN"/>
        </w:rPr>
        <w:t>5</w:t>
      </w:r>
      <w:r>
        <w:rPr>
          <w:rFonts w:hint="eastAsia" w:ascii="仿宋_GB2312" w:hAnsi="宋体" w:eastAsia="仿宋_GB2312" w:cs="Times New Roman"/>
          <w:kern w:val="2"/>
          <w:sz w:val="32"/>
          <w:szCs w:val="32"/>
          <w:lang w:val="en-US" w:eastAsia="zh-CN"/>
        </w:rPr>
        <w:t>年政策性牦牛保险项目</w:t>
      </w:r>
      <w:r>
        <w:rPr>
          <w:rFonts w:hint="eastAsia" w:ascii="Times New Roman" w:hAnsi="Times New Roman" w:eastAsia="仿宋_GB2312" w:cs="仿宋_GB2312"/>
          <w:b w:val="0"/>
          <w:color w:val="auto"/>
          <w:kern w:val="2"/>
          <w:sz w:val="32"/>
          <w:szCs w:val="32"/>
          <w:highlight w:val="none"/>
          <w:lang w:val="zh-CN" w:eastAsia="zh-CN" w:bidi="ar-SA"/>
        </w:rPr>
        <w:t>》围绕预算执行、资金使用开展绩效分析。项目预算执行超100%，财政补贴资金及时足额拨付至承保机构，按进度推进承保、查勘、理赔全流程工作；资金使用严格遵循专款专用原则，专账核算、规范列支，无截留、挤占、挪用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所有预算内工作及项目均按年度计划按时完成，资金支出及时高效，无拖延滞后情况，时效指标全面完成。严格按照财政要求推进预算支出，规范资金拨付流程，定期监控支出进度，资金使用专款专用，无超预算、无预算支出情况，财务核算规范，内控制度有效执行，资金管理全程合规。2025年壤塘县畜牧兽医服务中心年初预算数为3785.65万元，年末结转结余0.05万元，预算安排准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严格控制各项工作成本，专项工作人均成本、单场活动成本均控制在预算范围内，成本管控到位，实现资金高效利用。壤塘县畜牧兽医服务中心2025年“三公”经费年初预算1.75万元，决算支出1.35万元。其中公务用车购置及运行维护费预算1.35万元，决算支出1.35万元（其中公务用车运行维护费1.35万元）,未发生因公出国（境）费及公务接待费，2025年“三公”经费决算均未超过预算。</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本年度畜牧中心严格落实国有资产管理各项规定，管理制度健全、流程规范、责任明确，国有资产安全完整、配置合理、使用高效，全面完成资产管理绩效目标，资产管理工作整体规范有序。固定资产在用率100%。截</w:t>
      </w:r>
      <w:r>
        <w:rPr>
          <w:rFonts w:hint="eastAsia" w:eastAsia="仿宋_GB2312" w:cs="仿宋_GB2312"/>
          <w:color w:val="auto"/>
          <w:kern w:val="2"/>
          <w:sz w:val="32"/>
          <w:szCs w:val="32"/>
          <w:highlight w:val="none"/>
          <w:lang w:val="zh-CN" w:eastAsia="zh-CN" w:bidi="ar-SA"/>
        </w:rPr>
        <w:t>至</w:t>
      </w:r>
      <w:r>
        <w:rPr>
          <w:rFonts w:hint="eastAsia" w:ascii="Times New Roman" w:hAnsi="Times New Roman" w:eastAsia="仿宋_GB2312" w:cs="仿宋_GB2312"/>
          <w:color w:val="auto"/>
          <w:kern w:val="2"/>
          <w:sz w:val="32"/>
          <w:szCs w:val="32"/>
          <w:highlight w:val="none"/>
          <w:lang w:val="zh-CN" w:eastAsia="zh-CN" w:bidi="ar-SA"/>
        </w:rPr>
        <w:t>2025年12月31日，壤塘县畜牧兽医服务中心《行政单位资产管理系统》固定资产总计147.92万元，在用的固定资产总计147.92万元，固定资产在用率达100%</w:t>
      </w:r>
      <w:r>
        <w:rPr>
          <w:rFonts w:hint="eastAsia"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所有专项工作均按规定完成立项、审批、实施、验收流程，项目实施全程管控，采购环节合规合法，工作台账、档案资料完整齐全，项目实施流程规范高效。壤塘县畜牧兽医服务中心2025年度政府采购货物支出0万元，政府采购工程支出0万元，政府采购服务支出0万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常年项目绩效分析。该类项目总数2个，涉及预算总金额2380.32万元，1—12月预算执行总体进度为100%，其中：预算结余率大于10%的项目共计0个</w:t>
      </w:r>
      <w:r>
        <w:rPr>
          <w:rFonts w:hint="default"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项目绩效分析。该类项目总数20个，涉及预算总金额3919.55万元，1—12月预算执行总体进度为100%，其中：预算结余率大于10%的项目共计0个。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eastAsia="仿宋_GB2312" w:cs="仿宋_GB2312"/>
          <w:color w:val="auto"/>
          <w:kern w:val="2"/>
          <w:sz w:val="32"/>
          <w:szCs w:val="32"/>
          <w:highlight w:val="none"/>
          <w:lang w:val="zh-CN" w:eastAsia="zh-CN" w:bidi="ar-SA"/>
        </w:rPr>
        <w:t>项目立项前开展需求研判，履行内部集体研究、“三重一大”决策程序；项目实施方案、采购方案按权限报审，相关中介服务按要求组织比价采购等方式，决策资料完整、论证充分、决策程序合规。项目绩效目标按照产出、效益、满意度三级指标细化设置，项目总体目标清晰，与项目资金规模、实施内容匹配。项目入库严格按照财政项目库管理要求完成申报、评审入库，做到先入库、后安排预算，项目入库资料齐全，项目库动态更新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。本年度畜牧兽医服务中心预算项目总预算6299.88万元，资金来源为财政一般公共预算拨款和上级拨款，专项用于项目实施各项支出，无自筹资金。</w:t>
      </w:r>
      <w:r>
        <w:rPr>
          <w:rFonts w:hint="eastAsia" w:eastAsia="仿宋_GB2312" w:cs="仿宋_GB2312"/>
          <w:color w:val="auto"/>
          <w:kern w:val="2"/>
          <w:sz w:val="32"/>
          <w:szCs w:val="32"/>
          <w:highlight w:val="none"/>
          <w:lang w:val="zh-CN" w:eastAsia="zh-CN" w:bidi="ar-SA"/>
        </w:rPr>
        <w:t>项目严格按照立项批复、实施方案、预算批复及绩效目标内容组织实施，项目资金使用方向、实施进度安排等内容均围绕既定绩效目标开展，无擅自变更实施内容、项目执行整体规范、执行同向性较好。项目实施期间无擅自调整项目建设内容、无超范围实施、无重大变更、无报批情况。未对项目整体绩效目标实现造成负面影响。项目严格按照时间节点有序推进，政府采购、合约履行、现场实施、资料归档、资金支付等工作稳步落地。项目整体实施质量达标、进度可控，项目阶段性、终期执行结果总体良好，绩效目标完成度较高。</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目标实现。财政批复预算资金已全额足额到位，资金到位率100%，为项目顺利推进提供了充足资金保障。项目实际支出资金</w:t>
      </w:r>
      <w:r>
        <w:rPr>
          <w:rFonts w:hint="eastAsia" w:ascii="Times New Roman" w:hAnsi="Times New Roman" w:eastAsia="仿宋_GB2312" w:cs="仿宋_GB2312"/>
          <w:color w:val="auto"/>
          <w:kern w:val="2"/>
          <w:sz w:val="32"/>
          <w:szCs w:val="32"/>
          <w:highlight w:val="none"/>
          <w:lang w:val="en-US" w:eastAsia="zh-CN" w:bidi="ar-SA"/>
        </w:rPr>
        <w:t>3451.65</w:t>
      </w:r>
      <w:r>
        <w:rPr>
          <w:rFonts w:hint="eastAsia" w:ascii="Times New Roman" w:hAnsi="Times New Roman" w:eastAsia="仿宋_GB2312" w:cs="仿宋_GB2312"/>
          <w:color w:val="auto"/>
          <w:kern w:val="2"/>
          <w:sz w:val="32"/>
          <w:szCs w:val="32"/>
          <w:highlight w:val="none"/>
          <w:lang w:val="zh-CN" w:eastAsia="zh-CN" w:bidi="ar-SA"/>
        </w:rPr>
        <w:t>万元，预算执行率</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zh-CN" w:eastAsia="zh-CN" w:bidi="ar-SA"/>
        </w:rPr>
        <w:t>%。资金主要用于项目建设，所有支出严格遵循专款专用原则，合规列支，无截留、挤占、挪用项目资金情况，无超范围、超标准开支。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省级部门对</w:t>
      </w:r>
      <w:r>
        <w:rPr>
          <w:rFonts w:hint="eastAsia" w:eastAsia="仿宋_GB2312" w:cs="仿宋_GB2312"/>
          <w:color w:val="auto"/>
          <w:kern w:val="2"/>
          <w:sz w:val="32"/>
          <w:szCs w:val="32"/>
          <w:highlight w:val="none"/>
          <w:lang w:val="en-US" w:eastAsia="zh-CN" w:bidi="ar-SA"/>
        </w:rPr>
        <w:t>2025年度</w:t>
      </w:r>
      <w:r>
        <w:rPr>
          <w:rFonts w:hint="default" w:ascii="Times New Roman" w:hAnsi="Times New Roman" w:eastAsia="仿宋_GB2312" w:cs="仿宋_GB2312"/>
          <w:color w:val="auto"/>
          <w:kern w:val="2"/>
          <w:sz w:val="32"/>
          <w:szCs w:val="32"/>
          <w:highlight w:val="none"/>
          <w:lang w:val="en-US" w:eastAsia="zh-CN" w:bidi="ar-SA"/>
        </w:rPr>
        <w:t>一般公共预算、政府性基金预算、国有资本经营预算安排的常年项目、阶段项目绩效目标完成情况，以及债券资金、政府购买服务有关情况进行梳理阐述</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10" w:leftChars="0" w:firstLine="640" w:firstLineChars="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本年度预算结果应用覆盖全部财政资金，涉及基本支出、项目支出（草奖、牦牛保险、中蜂、防灾减灾资金等22个项目），通过量化分析、问题整改、资源优化，有效提升财政资金使用效益，保障畜牧兽医服务中心核心职能高效履行。</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四、评价结论及建议</w:t>
      </w:r>
    </w:p>
    <w:p>
      <w:pPr>
        <w:widowControl/>
        <w:adjustRightInd w:val="0"/>
        <w:snapToGrid w:val="0"/>
        <w:spacing w:line="578" w:lineRule="exact"/>
        <w:ind w:firstLine="642" w:firstLineChars="200"/>
        <w:contextualSpacing/>
        <w:jc w:val="left"/>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default" w:ascii="Times New Roman" w:hAnsi="Times New Roman" w:eastAsia="仿宋_GB2312" w:cs="仿宋_GB2312"/>
          <w:color w:val="auto"/>
          <w:kern w:val="2"/>
          <w:sz w:val="32"/>
          <w:szCs w:val="32"/>
          <w:highlight w:val="none"/>
          <w:lang w:val="zh-CN" w:eastAsia="zh-CN" w:bidi="ar-SA"/>
        </w:rPr>
        <w:t>本年度畜牧兽医服务中心预算项目立项合规、资金使用规范、项目实施有序，全面完成既定绩效目标，有效履行了畜牧兽医服务中心惠民的核心职能，财政资金发挥了良好的社会效益。综合评定，本项目绩效评价结果为</w:t>
      </w:r>
      <w:r>
        <w:rPr>
          <w:rFonts w:hint="eastAsia" w:eastAsia="仿宋_GB2312" w:cs="仿宋_GB2312"/>
          <w:color w:val="auto"/>
          <w:kern w:val="2"/>
          <w:sz w:val="32"/>
          <w:szCs w:val="32"/>
          <w:highlight w:val="none"/>
          <w:lang w:val="en-US" w:eastAsia="zh-CN" w:bidi="ar-SA"/>
        </w:rPr>
        <w:t>88分</w:t>
      </w:r>
      <w:r>
        <w:rPr>
          <w:rFonts w:hint="default"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预算编制精细化程度不足。部分项目预算编制前期调研不够充分，资金测算与实际支出存在细微偏差，预算编制的精准性、前瞻性有待提升，对跨年度项目资金需求预判不够全面。</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绩效目标设定不够完善。部分绩效指标以定性描述为主，量化指标不够细化，指标可衡量性、可考核性有待加强，绩效目标与项目实施的衔接度需进一步优化。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预算执行进度不均衡。</w:t>
      </w:r>
      <w:r>
        <w:rPr>
          <w:rFonts w:hint="default" w:ascii="Times New Roman" w:hAnsi="Times New Roman" w:eastAsia="仿宋_GB2312" w:cs="仿宋_GB2312"/>
          <w:color w:val="auto"/>
          <w:kern w:val="2"/>
          <w:sz w:val="32"/>
          <w:szCs w:val="32"/>
          <w:highlight w:val="none"/>
          <w:lang w:val="en-US" w:eastAsia="zh-CN" w:bidi="ar-SA"/>
        </w:rPr>
        <w:t>本单位为农牧行业，草奖、种植业等项目存在季节性等问题，资金支付进度较为缓慢。</w:t>
      </w:r>
      <w:r>
        <w:rPr>
          <w:rFonts w:hint="eastAsia" w:ascii="Times New Roman" w:hAnsi="Times New Roman" w:eastAsia="仿宋_GB2312" w:cs="仿宋_GB2312"/>
          <w:color w:val="auto"/>
          <w:kern w:val="2"/>
          <w:sz w:val="32"/>
          <w:szCs w:val="32"/>
          <w:highlight w:val="none"/>
          <w:lang w:val="zh-CN" w:eastAsia="zh-CN" w:bidi="ar-SA"/>
        </w:rPr>
        <w:t>项目实施周期影响，部分项目资金支出前松后紧，支出进度均衡性不足，资金使用效率未能实现最优。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zh-CN" w:eastAsia="zh-CN" w:bidi="ar-SA"/>
        </w:rPr>
        <w:t>绩效结果应用不够深入。预算绩效评价结果主要用于总结工作，与后续预算编制、项目调整、资金优化配置的衔接不够紧密，绩效评价的约束和引导作用未充分发挥。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78" w:name="_Hlk110546638"/>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提升预算编制精细化水平。提前谋划下一年度预算工作，深入开展项目调研，精准测算各项工作资金需求，结合历年支出数据、年度工作任务，科学编制预算，细化资金列支科目，强化预算与实际工作的匹配度，提高预算编制精准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优化绩效目标设定体系。立足畜牧兽医服务中心履职实际，全面量化绩效指标，细化数量、质量、时效、成本、效益等核心指标，增强指标可操作性、可考核性，确保绩效目标全面反映工作成效，实现绩效目标与预算执行、工作落实深度融合。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强化预算执行动态管控。建立预算执行定期监控、通报机制，合理规划项目实施及资金支出节奏，均衡推进资金拨付，避免支出进度失衡；严格资金使用审批，加强项目实施全过程管控，加快工作推进效率，提升资金使用时效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4.深化绩效评价结果应用。建立绩效评价结果反馈整改机制，针对存在的问题及时整改优化；将绩效评价结果作为下一年度预算安排、项目调整的重要依据，优先保障绩效好、需求</w:t>
      </w:r>
      <w:r>
        <w:rPr>
          <w:rFonts w:hint="eastAsia" w:eastAsia="仿宋_GB2312" w:cs="仿宋_GB2312"/>
          <w:color w:val="auto"/>
          <w:kern w:val="2"/>
          <w:sz w:val="32"/>
          <w:szCs w:val="32"/>
          <w:highlight w:val="none"/>
          <w:lang w:val="en-US" w:eastAsia="zh-CN" w:bidi="ar-SA"/>
        </w:rPr>
        <w:t>稳</w:t>
      </w:r>
      <w:r>
        <w:rPr>
          <w:rFonts w:hint="eastAsia" w:ascii="Times New Roman" w:hAnsi="Times New Roman" w:eastAsia="仿宋_GB2312" w:cs="仿宋_GB2312"/>
          <w:color w:val="auto"/>
          <w:kern w:val="2"/>
          <w:sz w:val="32"/>
          <w:szCs w:val="32"/>
          <w:highlight w:val="none"/>
          <w:lang w:val="en-US" w:eastAsia="zh-CN" w:bidi="ar-SA"/>
        </w:rPr>
        <w:t>的项目资金，倒逼资金使用效益持续提升。</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eastAsia" w:ascii="Times New Roman" w:hAnsi="Times New Roman" w:eastAsia="仿宋_GB2312" w:cs="仿宋_GB2312"/>
          <w:color w:val="auto"/>
          <w:kern w:val="2"/>
          <w:sz w:val="32"/>
          <w:szCs w:val="32"/>
          <w:highlight w:val="none"/>
          <w:lang w:val="en-US" w:eastAsia="zh-CN" w:bidi="ar-SA"/>
        </w:rPr>
        <w:t>5.夯实绩效管理基础工作。加强单位财务及业务人员预算绩效管理培训，提升专业能力；完善绩效台账、工作档案管理，规范数据统计、资料留存，实现预算绩效全过程规范化、标准化管理。</w:t>
      </w:r>
    </w:p>
    <w:bookmarkEnd w:id="78"/>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部门需公开部门预算绩效自评报告和部门预算项目支出绩效自评表（2025年度），各下属单位需公开部门预算项目支出绩效自评表（2025年度）。</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6"/>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6"/>
        <w:outlineLvl w:val="1"/>
        <w:rPr>
          <w:rFonts w:hint="eastAsia" w:ascii="Times New Roman" w:hAnsi="Times New Roman" w:eastAsia="黑体" w:cs="黑体"/>
          <w:color w:val="auto"/>
          <w:sz w:val="32"/>
          <w:szCs w:val="32"/>
          <w:highlight w:val="none"/>
          <w:lang w:val="en-US" w:eastAsia="zh-CN"/>
        </w:rPr>
      </w:pPr>
      <w:bookmarkStart w:id="79" w:name="_Toc28543"/>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bookmarkEnd w:id="79"/>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6"/>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壤塘县牦牛肉加工厂项目</w:t>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专项预算绩效自评报告</w:t>
      </w:r>
    </w:p>
    <w:p>
      <w:pPr>
        <w:pStyle w:val="36"/>
        <w:keepNext w:val="0"/>
        <w:keepLines w:val="0"/>
        <w:pageBreakBefore w:val="0"/>
        <w:widowControl w:val="0"/>
        <w:kinsoku/>
        <w:wordWrap/>
        <w:overflowPunct/>
        <w:topLinePunct w:val="0"/>
        <w:autoSpaceDE/>
        <w:autoSpaceDN/>
        <w:bidi w:val="0"/>
        <w:spacing w:line="578" w:lineRule="exact"/>
        <w:ind w:left="0" w:leftChars="0" w:firstLine="640"/>
        <w:jc w:val="both"/>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jc w:val="both"/>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hAnsi="Times New Roman" w:eastAsia="楷体_GB2312"/>
          <w:b/>
          <w:color w:val="auto"/>
          <w:sz w:val="32"/>
          <w:szCs w:val="32"/>
          <w:highlight w:val="none"/>
          <w:u w:val="none"/>
          <w:lang w:val="zh-CN"/>
        </w:rPr>
        <w:t>（一）设立背景及基本情况。</w:t>
      </w:r>
      <w:r>
        <w:rPr>
          <w:rFonts w:hint="eastAsia" w:ascii="仿宋_GB2312" w:hAnsi="仿宋_GB2312" w:eastAsia="仿宋_GB2312" w:cs="仿宋_GB2312"/>
          <w:color w:val="auto"/>
          <w:kern w:val="0"/>
          <w:sz w:val="32"/>
          <w:szCs w:val="32"/>
          <w:highlight w:val="none"/>
          <w:u w:val="none"/>
          <w:shd w:val="clear" w:color="auto" w:fill="FFFFFF"/>
          <w:lang w:val="en-US" w:eastAsia="zh-CN"/>
        </w:rPr>
        <w:t>项目设立原因及背景：</w:t>
      </w:r>
      <w:r>
        <w:rPr>
          <w:rFonts w:hint="eastAsia" w:ascii="仿宋_GB2312" w:hAnsi="仿宋_GB2312" w:eastAsia="仿宋_GB2312" w:cs="仿宋_GB2312"/>
          <w:color w:val="auto"/>
          <w:kern w:val="0"/>
          <w:sz w:val="32"/>
          <w:szCs w:val="32"/>
          <w:lang w:val="en-US" w:eastAsia="zh-CN" w:bidi="ar"/>
        </w:rPr>
        <w:t>《四川省“十四五”推进农业农村现代化规 划》提出要加快发展高质高效现代特色农业，提升产业链供应链现代化水平，推动优势特色产业集聚发展，推进农产品加工业提质增效，加快补齐“10+3”产业体系支撑性短板，加快推进现代农业园区建设，构建现代农业园区梯级发展体系；《阿坝州 2024 年高原特色农牧产业高质量发展十项重点任务》提出，进一步做好农畜产品标准化生产工作，严格管控，把标准化贯穿农畜产品生产、加工、销售始终。在中共壤塘县第十四届委员会第三次全体会议上，提出《中共壤塘县委关于坚持生态优先、绿色发展，大力实施“农牧立县、文旅兴县、能源富县”发展战略加快培育现代产业新体系的决定》，将农牧产业作为主导产业，积极探索产业发展的新路径、新布局，全面推动产业发展转型升级。</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highlight w:val="none"/>
          <w:u w:val="none"/>
          <w:shd w:val="clear" w:color="auto" w:fill="FFFFFF"/>
          <w:lang w:val="zh-CN"/>
        </w:rPr>
        <w:t>项目立项：</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壤塘县发展和改革局关于壤塘县农产品物流中心建设项目实施方案的批复（壤发改行审〔2024〕56号）》</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highlight w:val="none"/>
          <w:u w:val="none"/>
          <w:shd w:val="clear" w:color="auto" w:fill="FFFFFF"/>
          <w:lang w:val="zh-CN"/>
        </w:rPr>
        <w:t>资金申报的依据：</w:t>
      </w:r>
      <w:r>
        <w:rPr>
          <w:rFonts w:hint="eastAsia" w:ascii="仿宋_GB2312" w:hAnsi="仿宋_GB2312" w:eastAsia="仿宋_GB2312" w:cs="仿宋_GB2312"/>
          <w:color w:val="auto"/>
          <w:kern w:val="0"/>
          <w:sz w:val="32"/>
          <w:szCs w:val="32"/>
          <w:lang w:val="en-US" w:eastAsia="zh-CN" w:bidi="ar"/>
        </w:rPr>
        <w:t>本项目是壤塘县现代农牧业综合产业园的一部分，项目通过建设产业链一环所需的基础设施，发展牦牛精深加工以及产业融合，提升壤塘县的牦牛肉精加工能力，完善产业链条，有力推进壤塘牦牛产业升级。</w:t>
      </w:r>
    </w:p>
    <w:p>
      <w:pPr>
        <w:pStyle w:val="21"/>
        <w:pageBreakBefore w:val="0"/>
        <w:kinsoku/>
        <w:wordWrap/>
        <w:overflowPunct/>
        <w:topLinePunct w:val="0"/>
        <w:autoSpaceDE/>
        <w:autoSpaceDN/>
        <w:bidi w:val="0"/>
        <w:spacing w:before="0" w:after="0" w:line="560" w:lineRule="exact"/>
        <w:ind w:leftChars="0" w:firstLine="640" w:firstLineChars="200"/>
        <w:jc w:val="both"/>
        <w:textAlignment w:val="auto"/>
        <w:rPr>
          <w:rFonts w:hint="eastAsia" w:ascii="仿宋_GB2312" w:hAnsi="仿宋_GB2312" w:eastAsia="仿宋_GB2312" w:cs="仿宋_GB2312"/>
          <w:b w:val="0"/>
          <w:color w:val="auto"/>
          <w:kern w:val="0"/>
          <w:sz w:val="32"/>
          <w:szCs w:val="32"/>
          <w:lang w:val="en-US" w:eastAsia="zh-CN" w:bidi="ar"/>
        </w:rPr>
      </w:pPr>
      <w:r>
        <w:rPr>
          <w:rFonts w:hint="eastAsia" w:ascii="仿宋_GB2312" w:hAnsi="仿宋_GB2312" w:eastAsia="仿宋_GB2312" w:cs="仿宋_GB2312"/>
          <w:b w:val="0"/>
          <w:color w:val="auto"/>
          <w:kern w:val="0"/>
          <w:sz w:val="32"/>
          <w:szCs w:val="32"/>
          <w:lang w:val="zh-CN" w:eastAsia="zh-CN" w:bidi="ar"/>
        </w:rPr>
        <w:t>项目主要内容：</w:t>
      </w:r>
      <w:r>
        <w:rPr>
          <w:rFonts w:hint="eastAsia" w:ascii="仿宋_GB2312" w:hAnsi="仿宋_GB2312" w:eastAsia="仿宋_GB2312" w:cs="仿宋_GB2312"/>
          <w:b w:val="0"/>
          <w:color w:val="auto"/>
          <w:kern w:val="0"/>
          <w:sz w:val="32"/>
          <w:szCs w:val="32"/>
          <w:lang w:val="en-US" w:eastAsia="zh-CN" w:bidi="ar"/>
        </w:rPr>
        <w:t>新建牦牛肉加工生产用房1栋9003.72平方米，配套建设园区道路等基础设施。</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both"/>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color w:val="auto"/>
          <w:kern w:val="0"/>
          <w:sz w:val="32"/>
          <w:szCs w:val="32"/>
          <w:highlight w:val="none"/>
          <w:u w:val="none"/>
          <w:shd w:val="clear" w:color="auto" w:fill="FFFFFF"/>
          <w:lang w:val="zh-CN"/>
        </w:rPr>
        <w:t>主管部门职能：</w:t>
      </w:r>
      <w:r>
        <w:rPr>
          <w:rFonts w:hint="eastAsia" w:ascii="仿宋_GB2312" w:hAnsi="仿宋_GB2312" w:eastAsia="仿宋_GB2312" w:cs="仿宋_GB2312"/>
          <w:color w:val="auto"/>
          <w:kern w:val="0"/>
          <w:sz w:val="32"/>
          <w:szCs w:val="32"/>
          <w:highlight w:val="none"/>
          <w:u w:val="none"/>
          <w:shd w:val="clear" w:color="auto" w:fill="FFFFFF"/>
          <w:lang w:val="en-US" w:eastAsia="zh-CN"/>
        </w:rPr>
        <w:t>督促工程建设、资金拨付进度，参与工程质量检查验收，协调相关事宜。</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0" w:firstLine="642"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本项目的建设是促进壤塘县牦牛产业的发展、推进壤塘牦牛产业升级的需要。随着壤塘县畜牧养殖业发展快速，壤塘县已具备进行畜牧业生产结构战略性调整的基本条件。本项目建设的牦牛肉加工厂是壤塘县现代农牧业综合产业园的一部分，项目通过建设产业链 一环所需的基础设施，发展牦牛精深加工以及产业融合，提升壤塘县的牦牛肉精加工能力，完善产业链条，有力推进壤塘牦牛产业升级。</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0" w:firstLine="642" w:firstLineChars="200"/>
        <w:jc w:val="both"/>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该</w:t>
      </w:r>
      <w:r>
        <w:rPr>
          <w:rFonts w:hint="default" w:ascii="仿宋_GB2312" w:hAnsi="仿宋_GB2312" w:eastAsia="仿宋_GB2312" w:cs="仿宋_GB2312"/>
          <w:color w:val="auto"/>
          <w:kern w:val="0"/>
          <w:sz w:val="32"/>
          <w:szCs w:val="32"/>
          <w:highlight w:val="none"/>
          <w:u w:val="none"/>
          <w:shd w:val="clear" w:color="auto" w:fill="FFFFFF"/>
          <w:lang w:val="en-US" w:eastAsia="zh-CN"/>
        </w:rPr>
        <w:t>项目总</w:t>
      </w:r>
      <w:r>
        <w:rPr>
          <w:rFonts w:hint="eastAsia" w:ascii="仿宋_GB2312" w:hAnsi="仿宋_GB2312" w:eastAsia="仿宋_GB2312" w:cs="仿宋_GB2312"/>
          <w:color w:val="auto"/>
          <w:kern w:val="0"/>
          <w:sz w:val="32"/>
          <w:szCs w:val="32"/>
          <w:highlight w:val="none"/>
          <w:u w:val="none"/>
          <w:shd w:val="clear" w:color="auto" w:fill="FFFFFF"/>
          <w:lang w:val="en-US" w:eastAsia="zh-CN"/>
        </w:rPr>
        <w:t>投资2800万元，到位资金2302.6525万元。截至目前，项目资金支付共计：1762.08061499万元，支付率78%，项目进度达到100%，二类费用共下达资金157.642312万元，支付111.16万元，支付率74.1%。</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2"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zh-CN"/>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b w:val="0"/>
          <w:bCs w:val="0"/>
          <w:color w:val="auto"/>
          <w:kern w:val="2"/>
          <w:sz w:val="32"/>
          <w:szCs w:val="32"/>
          <w:highlight w:val="none"/>
          <w:lang w:val="en-US" w:eastAsia="zh-CN" w:bidi="zh-CN"/>
        </w:rPr>
        <w:t>项目总体目标：新建牦牛肉加工生产用房1栋9003.72平方米，配套建设园区道路等基础设施。</w:t>
      </w:r>
    </w:p>
    <w:p>
      <w:pPr>
        <w:pStyle w:val="21"/>
        <w:ind w:firstLine="640" w:firstLineChars="200"/>
        <w:jc w:val="both"/>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zh-CN"/>
        </w:rPr>
        <w:t>实际完成情况：完成新建牦牛肉加工生产用房1栋9003.72平方米，配套建设园区道路等基础设施。自评得分88分。</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jc w:val="both"/>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全面核查项目资金拨付、使用管理、项目落地、效益发挥全流程，确保评价客观、真实、全面，为后续项目谋划、政策优化提供数据支撑和实践参考。</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642"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围绕项目决策合规性、管理制度健全性、资金使用规范性、预算执行率、绩效目标完成度、社会效益及群众满意度等方面，对项目全流程进行综合评价，重点核查资金投向、任务落地、惠民实效等核心内容。</w:t>
      </w:r>
      <w:r>
        <w:rPr>
          <w:rFonts w:hint="eastAsia" w:eastAsia="仿宋_GB2312" w:cs="仿宋_GB2312"/>
          <w:b w:val="0"/>
          <w:bCs w:val="0"/>
          <w:kern w:val="0"/>
          <w:position w:val="0"/>
          <w:sz w:val="32"/>
          <w:szCs w:val="32"/>
          <w:highlight w:val="none"/>
          <w:lang w:val="zh-CN" w:eastAsia="zh-CN" w:bidi="ar-SA"/>
        </w:rPr>
        <w:t>确保</w:t>
      </w:r>
      <w:r>
        <w:rPr>
          <w:rFonts w:hint="eastAsia" w:ascii="仿宋_GB2312" w:hAnsi="仿宋_GB2312" w:eastAsia="仿宋_GB2312"/>
          <w:color w:val="auto"/>
          <w:sz w:val="32"/>
          <w:lang w:val="zh-CN"/>
        </w:rPr>
        <w:t>资金支出全过程管控严格，资源配置高效，实施效果显著</w:t>
      </w:r>
      <w:r>
        <w:rPr>
          <w:rFonts w:hint="eastAsia" w:ascii="Times New Roman" w:hAnsi="Times New Roman" w:eastAsia="仿宋_GB2312" w:cs="仿宋_GB2312"/>
          <w:b w:val="0"/>
          <w:bCs w:val="0"/>
          <w:kern w:val="0"/>
          <w:position w:val="0"/>
          <w:sz w:val="32"/>
          <w:szCs w:val="32"/>
          <w:highlight w:val="none"/>
          <w:lang w:val="zh-CN" w:eastAsia="zh-CN" w:bidi="ar-SA"/>
        </w:rPr>
        <w:t>，风险防控机制健全，符合绩效目标要求。</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default" w:ascii="Times New Roman" w:hAnsi="Times New Roman" w:eastAsia="仿宋_GB2312" w:cs="Times New Roman"/>
          <w:szCs w:val="32"/>
          <w:lang w:eastAsia="zh-CN"/>
        </w:rPr>
      </w:pPr>
      <w:r>
        <w:rPr>
          <w:rFonts w:hint="eastAsia" w:ascii="Times New Roman" w:hAnsi="Times New Roman" w:eastAsia="楷体_GB2312" w:cs="Times New Roman"/>
          <w:b/>
          <w:color w:val="auto"/>
          <w:sz w:val="32"/>
          <w:szCs w:val="32"/>
          <w:highlight w:val="none"/>
          <w:u w:val="none"/>
          <w:lang w:val="zh-CN" w:eastAsia="zh-CN"/>
        </w:rPr>
        <w:t>（</w:t>
      </w:r>
      <w:r>
        <w:rPr>
          <w:rFonts w:hint="default" w:ascii="Times New Roman" w:hAnsi="Times New Roman" w:eastAsia="楷体_GB2312" w:cs="Times New Roman"/>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en-US" w:eastAsia="zh-CN" w:bidi="ar-SA"/>
        </w:rPr>
        <w:t>参照</w:t>
      </w:r>
      <w:r>
        <w:rPr>
          <w:rFonts w:hint="eastAsia" w:ascii="Times New Roman" w:hAnsi="Times New Roman" w:eastAsia="仿宋_GB2312" w:cs="仿宋_GB2312"/>
          <w:b w:val="0"/>
          <w:bCs w:val="0"/>
          <w:kern w:val="0"/>
          <w:position w:val="0"/>
          <w:sz w:val="32"/>
          <w:szCs w:val="32"/>
          <w:highlight w:val="none"/>
          <w:lang w:val="zh-CN" w:eastAsia="zh-CN" w:bidi="ar-SA"/>
        </w:rPr>
        <w:t>《财政厅关于开展省级部门预算绩效自评工作的通知（川财绩〔</w:t>
      </w:r>
      <w:r>
        <w:rPr>
          <w:rFonts w:hint="eastAsia" w:ascii="Times New Roman" w:hAnsi="Times New Roman" w:eastAsia="仿宋_GB2312" w:cs="仿宋_GB2312"/>
          <w:b w:val="0"/>
          <w:bCs w:val="0"/>
          <w:kern w:val="0"/>
          <w:position w:val="0"/>
          <w:sz w:val="32"/>
          <w:szCs w:val="32"/>
          <w:highlight w:val="none"/>
          <w:lang w:val="en-US" w:eastAsia="zh-CN" w:bidi="ar-SA"/>
        </w:rPr>
        <w:t>2025〕14号</w:t>
      </w:r>
      <w:r>
        <w:rPr>
          <w:rFonts w:hint="eastAsia" w:ascii="Times New Roman" w:hAnsi="Times New Roman" w:eastAsia="仿宋_GB2312" w:cs="仿宋_GB2312"/>
          <w:b w:val="0"/>
          <w:bCs w:val="0"/>
          <w:kern w:val="0"/>
          <w:position w:val="0"/>
          <w:sz w:val="32"/>
          <w:szCs w:val="32"/>
          <w:highlight w:val="none"/>
          <w:lang w:val="zh-CN" w:eastAsia="zh-CN" w:bidi="ar-SA"/>
        </w:rPr>
        <w:t>）》</w:t>
      </w:r>
      <w:r>
        <w:rPr>
          <w:rFonts w:hint="default" w:ascii="Times New Roman" w:hAnsi="Times New Roman" w:eastAsia="仿宋_GB2312" w:cs="仿宋_GB2312"/>
          <w:b w:val="0"/>
          <w:bCs w:val="0"/>
          <w:kern w:val="0"/>
          <w:position w:val="0"/>
          <w:sz w:val="32"/>
          <w:szCs w:val="32"/>
          <w:highlight w:val="none"/>
          <w:lang w:val="zh-CN" w:eastAsia="zh-CN" w:bidi="ar-SA"/>
        </w:rPr>
        <w:t>要求</w:t>
      </w:r>
      <w:r>
        <w:rPr>
          <w:rFonts w:hint="eastAsia" w:ascii="Times New Roman" w:hAnsi="Times New Roman"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本次共选该项目建设点位（建设内容）1个，占项目总点位（建设内容）的100%，满足相关要求；本次绩效评价选点（建设内容）为新建牦牛肉加工生产用房1栋9003.72平方米；选点</w:t>
      </w:r>
      <w:r>
        <w:rPr>
          <w:rFonts w:hint="default" w:ascii="Times New Roman" w:hAnsi="Times New Roman" w:eastAsia="楷体_GB2312" w:cs="Times New Roman"/>
          <w:b/>
          <w:color w:val="auto"/>
          <w:sz w:val="32"/>
          <w:szCs w:val="32"/>
          <w:highlight w:val="none"/>
          <w:u w:val="none"/>
          <w:lang w:val="zh-CN"/>
        </w:rPr>
        <w:t>（四）评价方法。</w:t>
      </w:r>
      <w:r>
        <w:rPr>
          <w:rFonts w:hint="eastAsia" w:ascii="Times New Roman" w:hAnsi="Times New Roman" w:eastAsia="仿宋_GB2312" w:cs="Times New Roman"/>
          <w:kern w:val="2"/>
          <w:sz w:val="32"/>
          <w:szCs w:val="32"/>
          <w:lang w:val="en-US" w:eastAsia="zh-CN" w:bidi="zh-CN"/>
        </w:rPr>
        <w:t>本次评价主要</w:t>
      </w:r>
      <w:r>
        <w:rPr>
          <w:rFonts w:hint="eastAsia" w:eastAsia="仿宋_GB2312" w:cs="Times New Roman"/>
          <w:kern w:val="2"/>
          <w:sz w:val="32"/>
          <w:szCs w:val="32"/>
          <w:lang w:val="en-US" w:eastAsia="zh-CN" w:bidi="zh-CN"/>
        </w:rPr>
        <w:t>采</w:t>
      </w:r>
      <w:r>
        <w:rPr>
          <w:rFonts w:hint="eastAsia" w:ascii="Times New Roman" w:hAnsi="Times New Roman" w:eastAsia="仿宋_GB2312" w:cs="Times New Roman"/>
          <w:kern w:val="2"/>
          <w:sz w:val="32"/>
          <w:szCs w:val="32"/>
          <w:lang w:val="en-US" w:eastAsia="zh-CN" w:bidi="zh-CN"/>
        </w:rPr>
        <w:t>用</w:t>
      </w:r>
      <w:r>
        <w:rPr>
          <w:rFonts w:hint="default" w:ascii="Times New Roman" w:hAnsi="Times New Roman" w:eastAsia="仿宋_GB2312" w:cs="Times New Roman"/>
          <w:kern w:val="2"/>
          <w:sz w:val="32"/>
          <w:szCs w:val="32"/>
          <w:lang w:val="en-US" w:eastAsia="zh-CN" w:bidi="zh-CN"/>
        </w:rPr>
        <w:t>单位自评法</w:t>
      </w:r>
      <w:r>
        <w:rPr>
          <w:rFonts w:hint="eastAsia" w:eastAsia="仿宋_GB2312" w:cs="Times New Roman"/>
          <w:kern w:val="2"/>
          <w:sz w:val="32"/>
          <w:szCs w:val="32"/>
          <w:lang w:val="en-US" w:eastAsia="zh-CN" w:bidi="zh-CN"/>
        </w:rPr>
        <w:t>，对项目投入、过程、产出、结果进行综合评价，对各项指标分配权重逐项打分，最终得出总分</w:t>
      </w:r>
      <w:r>
        <w:rPr>
          <w:rFonts w:hint="eastAsia" w:ascii="Times New Roman" w:hAnsi="Times New Roman" w:eastAsia="仿宋_GB2312" w:cs="Times New Roman"/>
          <w:kern w:val="2"/>
          <w:sz w:val="32"/>
          <w:szCs w:val="32"/>
          <w:lang w:val="en-US" w:eastAsia="zh-CN" w:bidi="zh-CN"/>
        </w:rPr>
        <w:t>。</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Times New Roman"/>
          <w:kern w:val="2"/>
          <w:sz w:val="32"/>
          <w:szCs w:val="32"/>
          <w:lang w:val="en-US" w:eastAsia="zh-CN" w:bidi="zh-CN"/>
        </w:rPr>
      </w:pPr>
      <w:r>
        <w:rPr>
          <w:rFonts w:hint="default" w:ascii="Times New Roman" w:hAnsi="Times New Roman" w:eastAsia="仿宋_GB2312" w:cs="Times New Roman"/>
          <w:kern w:val="2"/>
          <w:sz w:val="32"/>
          <w:szCs w:val="32"/>
          <w:lang w:val="en-US" w:eastAsia="zh-CN" w:bidi="zh-CN"/>
        </w:rPr>
        <w:t>评价组人员构成</w:t>
      </w:r>
      <w:r>
        <w:rPr>
          <w:rFonts w:hint="eastAsia" w:ascii="Times New Roman" w:hAnsi="Times New Roman" w:eastAsia="仿宋_GB2312" w:cs="Times New Roman"/>
          <w:kern w:val="2"/>
          <w:sz w:val="32"/>
          <w:szCs w:val="32"/>
          <w:lang w:val="en-US" w:eastAsia="zh-CN" w:bidi="zh-CN"/>
        </w:rPr>
        <w:t>：《壤塘县牦牛肉加工厂项目》绩效</w:t>
      </w:r>
      <w:r>
        <w:rPr>
          <w:rFonts w:hint="eastAsia" w:eastAsia="仿宋_GB2312" w:cs="Times New Roman"/>
          <w:kern w:val="2"/>
          <w:sz w:val="32"/>
          <w:szCs w:val="32"/>
          <w:lang w:val="en-US" w:eastAsia="zh-CN" w:bidi="zh-CN"/>
        </w:rPr>
        <w:t>评价</w:t>
      </w:r>
      <w:r>
        <w:rPr>
          <w:rFonts w:hint="eastAsia" w:ascii="Times New Roman" w:hAnsi="Times New Roman" w:eastAsia="仿宋_GB2312" w:cs="Times New Roman"/>
          <w:kern w:val="2"/>
          <w:sz w:val="32"/>
          <w:szCs w:val="32"/>
          <w:lang w:val="en-US" w:eastAsia="zh-CN" w:bidi="zh-CN"/>
        </w:rPr>
        <w:t>工作小组由业主单位负责人、业主单位分管领导、财务人员、经办人等构成绩效评价工作小组，工作小组主要对照项目管理办法、资金使用方案，项目实施方案等评价项目实施前、实施中、实施后的项目决策、资金使用与管理，目标完成情况等展开评价。</w:t>
      </w:r>
    </w:p>
    <w:p>
      <w:pPr>
        <w:pStyle w:val="21"/>
        <w:ind w:firstLine="640" w:firstLineChars="200"/>
        <w:jc w:val="both"/>
        <w:rPr>
          <w:rFonts w:hint="eastAsia" w:ascii="Times New Roman" w:hAnsi="Times New Roman" w:eastAsia="仿宋_GB2312" w:cs="Times New Roman"/>
          <w:bCs/>
          <w:lang w:eastAsia="zh-CN"/>
        </w:rPr>
      </w:pPr>
      <w:r>
        <w:rPr>
          <w:rFonts w:hint="default" w:ascii="Times New Roman" w:hAnsi="Times New Roman" w:eastAsia="仿宋_GB2312" w:cs="Times New Roman"/>
          <w:b w:val="0"/>
          <w:kern w:val="2"/>
          <w:sz w:val="32"/>
          <w:szCs w:val="32"/>
          <w:lang w:val="en-US" w:eastAsia="zh-CN" w:bidi="ar-SA"/>
        </w:rPr>
        <w:t>职责分工</w:t>
      </w:r>
      <w:r>
        <w:rPr>
          <w:rFonts w:hint="eastAsia" w:ascii="Times New Roman" w:hAnsi="Times New Roman" w:eastAsia="仿宋_GB2312" w:cs="Times New Roman"/>
          <w:b w:val="0"/>
          <w:kern w:val="2"/>
          <w:sz w:val="32"/>
          <w:szCs w:val="32"/>
          <w:lang w:val="en-US" w:eastAsia="zh-CN" w:bidi="ar-SA"/>
        </w:rPr>
        <w:t>：</w:t>
      </w:r>
      <w:r>
        <w:rPr>
          <w:rFonts w:hint="eastAsia" w:ascii="Times New Roman" w:hAnsi="Times New Roman" w:eastAsia="仿宋_GB2312" w:cs="Times New Roman"/>
          <w:b w:val="0"/>
          <w:kern w:val="2"/>
          <w:sz w:val="32"/>
          <w:szCs w:val="32"/>
          <w:lang w:val="en-US" w:eastAsia="zh-CN" w:bidi="zh-CN"/>
        </w:rPr>
        <w:t>组长负责自评工作的全面领导和统筹协调；副组长协助组长开展工作，督促各成员履行职责；财务股人员负责对资金预算、拨付、使用、核算等财务方面进行评价；具体项目负责人负责对项目立项、实施进度、合同执行、工程质量、绩效目标完成等业务方面进行评价。各成员密切配合，共同完成本次绩效评价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jc w:val="both"/>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数量指标1个：指标1.牦牛肉加工生产用房，指标值：1套，全年实际完成值1套，实际得分15分。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质量指标1个：指标1 ，项目验收合格率，指标值：≥95%，全年实际完成值：0，实际得分11分。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时效指标1个：指标1.本项目从2024年4月开工，于2024年11月完工，指标值：≤8个月，全年实际完成值：24个月，实际得分6分。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成本指标1个：指标1.项目建设费用总体控制在财政预算安排数内，指标值：≤2800万元，全年实际完成值：≤2800万元，实际得分10分。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社会效益指标2个：指标１.项目建设是否改善周围居民就业需求，指标值：是，全年实际完成值：是，实际得分15分；指标2.项目建设是否有利于高效利用土地，提升城市承载能力，指标值：是，全年实际完成值：是，实际得分15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Times New Roman"/>
          <w:b w:val="0"/>
          <w:kern w:val="2"/>
          <w:sz w:val="32"/>
          <w:szCs w:val="32"/>
          <w:lang w:val="zh-CN" w:eastAsia="zh-CN" w:bidi="zh-CN"/>
        </w:rPr>
      </w:pPr>
      <w:r>
        <w:rPr>
          <w:rFonts w:hint="eastAsia" w:ascii="Times New Roman" w:hAnsi="Times New Roman" w:eastAsia="仿宋_GB2312" w:cs="Times New Roman"/>
          <w:b w:val="0"/>
          <w:kern w:val="2"/>
          <w:sz w:val="32"/>
          <w:szCs w:val="32"/>
          <w:lang w:val="zh-CN" w:eastAsia="zh-CN" w:bidi="zh-CN"/>
        </w:rPr>
        <w:t>满意度指标2个：指标1.受益群众满意度，指标值：≥98％，全年实际完成值：≥98％，实际得分5分；指标2.受益乡镇、村满意度，指标值≥98％，全年实际完成值：≥98％，实际得分5分。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该项目属于产业发展类工程项目，项目实施前业主单位会同项目实施地乡镇、建设部门到建设点位进行实地踏勘并召开了相关工作推进会议，业主单位编制《壤塘县牦牛肉加工厂项目实施方案》完成后，送县发展和改革局审核，县发展和改革局审核后下达项目建设批复。立项程序符合相关规定。</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成立壤塘县牦牛肉加工厂项目绩效评价工作小组，工作小组依据《壤塘县牦牛肉加工厂项目》绩效目标表开展绩效监管工作，主要对项目产出指标、效益指标、满意度指标、成本指标等核心指标进行监管和跟踪，采取分项核查方式进行对照检验，对未完成绩效目标的指标要求适时整改，直到达标为止。通过监管，该项目设置绩效目标完成率达89%。</w:t>
      </w:r>
    </w:p>
    <w:p>
      <w:pPr>
        <w:pStyle w:val="12"/>
        <w:keepNext w:val="0"/>
        <w:keepLines w:val="0"/>
        <w:pageBreakBefore w:val="0"/>
        <w:widowControl w:val="0"/>
        <w:numPr>
          <w:ilvl w:val="0"/>
          <w:numId w:val="0"/>
        </w:numPr>
        <w:kinsoku/>
        <w:wordWrap/>
        <w:overflowPunct/>
        <w:topLinePunct w:val="0"/>
        <w:autoSpaceDE/>
        <w:autoSpaceDN/>
        <w:bidi w:val="0"/>
        <w:adjustRightInd/>
        <w:spacing w:line="560" w:lineRule="exact"/>
        <w:ind w:right="0" w:rightChars="0" w:firstLine="640" w:firstLineChars="200"/>
        <w:jc w:val="both"/>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p>
    <w:p>
      <w:pPr>
        <w:pStyle w:val="12"/>
        <w:keepNext w:val="0"/>
        <w:keepLines w:val="0"/>
        <w:pageBreakBefore w:val="0"/>
        <w:widowControl w:val="0"/>
        <w:numPr>
          <w:ilvl w:val="0"/>
          <w:numId w:val="0"/>
        </w:numPr>
        <w:kinsoku/>
        <w:wordWrap/>
        <w:overflowPunct/>
        <w:topLinePunct w:val="0"/>
        <w:autoSpaceDE/>
        <w:autoSpaceDN/>
        <w:bidi w:val="0"/>
        <w:adjustRightInd/>
        <w:spacing w:line="560" w:lineRule="exact"/>
        <w:ind w:right="0" w:rightChars="0" w:firstLine="640" w:firstLineChars="200"/>
        <w:jc w:val="both"/>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3.1、资金来源。本项目预算资金2800万元，均为乡村振兴衔接资金。</w:t>
      </w:r>
    </w:p>
    <w:p>
      <w:pPr>
        <w:pStyle w:val="12"/>
        <w:keepNext w:val="0"/>
        <w:keepLines w:val="0"/>
        <w:pageBreakBefore w:val="0"/>
        <w:widowControl w:val="0"/>
        <w:numPr>
          <w:ilvl w:val="0"/>
          <w:numId w:val="0"/>
        </w:numPr>
        <w:kinsoku/>
        <w:wordWrap/>
        <w:overflowPunct/>
        <w:topLinePunct w:val="0"/>
        <w:autoSpaceDE/>
        <w:autoSpaceDN/>
        <w:bidi w:val="0"/>
        <w:adjustRightInd/>
        <w:spacing w:line="560" w:lineRule="exact"/>
        <w:ind w:right="0" w:rightChars="0" w:firstLine="640" w:firstLineChars="200"/>
        <w:jc w:val="both"/>
        <w:textAlignment w:val="auto"/>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3.2、预算执行。截至自评日，实际支付资金603.882927万元，预算执行率26.7%，符合相关资金拨付要求。</w:t>
      </w:r>
    </w:p>
    <w:p>
      <w:pPr>
        <w:keepNext w:val="0"/>
        <w:keepLines w:val="0"/>
        <w:pageBreakBefore w:val="0"/>
        <w:widowControl w:val="0"/>
        <w:kinsoku/>
        <w:wordWrap/>
        <w:overflowPunct/>
        <w:topLinePunct w:val="0"/>
        <w:autoSpaceDE/>
        <w:autoSpaceDN/>
        <w:bidi w:val="0"/>
        <w:adjustRightInd/>
        <w:snapToGrid/>
        <w:spacing w:line="578" w:lineRule="exact"/>
        <w:jc w:val="both"/>
        <w:textAlignment w:val="auto"/>
        <w:outlineLvl w:val="9"/>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3.3、资金使用。本项目资金全部专款专用，严格按照《中央和省级财政衔接推进乡村振兴补助资金管理办法》（川财农</w:t>
      </w:r>
      <w:r>
        <w:rPr>
          <w:rFonts w:hint="eastAsia" w:ascii="Times New Roman" w:hAnsi="Times New Roman"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2021〕36号）要求管理项目资金，未出现资金截留、挪用情况。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outlineLvl w:val="9"/>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项目共设置绩效目标一级指标４个，分别为产出指标、效益指标、满意度指标、成本指标；二级指标7个，分别为质量指标、数量指标、时效指标、经济成本指标、经济效益指标、社会效益指标、服务对象满意度指标；绩效目标设置满足相关要求。6项指标完成率100%，1项指标完成率73%，1项指标完成率60%，产出目标、效益目标等主要指标达到项目预期效益</w:t>
      </w:r>
      <w:r>
        <w:rPr>
          <w:rFonts w:hint="default"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jc w:val="both"/>
        <w:textAlignment w:val="auto"/>
        <w:rPr>
          <w:rFonts w:hint="default" w:ascii="Times New Roman" w:hAnsi="Times New Roman" w:eastAsia="仿宋_GB2312" w:cs="Times New Roman"/>
          <w:b w:val="0"/>
          <w:kern w:val="2"/>
          <w:sz w:val="32"/>
          <w:szCs w:val="32"/>
          <w:lang w:val="en-US" w:eastAsia="zh-CN" w:bidi="ar-SA"/>
        </w:rPr>
      </w:pPr>
      <w:r>
        <w:rPr>
          <w:rFonts w:hint="eastAsia" w:ascii="Times New Roman" w:hAnsi="Times New Roman" w:eastAsia="楷体_GB2312" w:cs="Times New Roman"/>
          <w:b/>
          <w:bCs/>
          <w:color w:val="000000"/>
          <w:kern w:val="2"/>
          <w:sz w:val="32"/>
          <w:szCs w:val="32"/>
          <w:highlight w:val="none"/>
          <w:u w:val="none"/>
          <w:lang w:val="en-US" w:eastAsia="zh-CN" w:bidi="zh-CN"/>
        </w:rPr>
        <w:t>1.产业发展。</w:t>
      </w:r>
      <w:r>
        <w:rPr>
          <w:rFonts w:hint="default" w:ascii="Times New Roman" w:hAnsi="Times New Roman" w:eastAsia="仿宋_GB2312" w:cs="仿宋_GB2312"/>
          <w:b w:val="0"/>
          <w:bCs w:val="0"/>
          <w:kern w:val="0"/>
          <w:position w:val="0"/>
          <w:sz w:val="32"/>
          <w:szCs w:val="32"/>
          <w:highlight w:val="none"/>
          <w:lang w:val="en-US" w:eastAsia="zh-CN" w:bidi="ar-SA"/>
        </w:rPr>
        <w:t>壤塘县是国家乡村振兴重点帮扶县，也是四川省托底性帮扶39个欠发达县域之一，</w:t>
      </w:r>
      <w:r>
        <w:rPr>
          <w:rFonts w:hint="eastAsia" w:ascii="Times New Roman" w:hAnsi="Times New Roman" w:eastAsia="仿宋_GB2312" w:cs="仿宋_GB2312"/>
          <w:b w:val="0"/>
          <w:bCs w:val="0"/>
          <w:kern w:val="0"/>
          <w:position w:val="0"/>
          <w:sz w:val="32"/>
          <w:szCs w:val="32"/>
          <w:highlight w:val="none"/>
          <w:lang w:val="en-US" w:eastAsia="zh-CN" w:bidi="ar-SA"/>
        </w:rPr>
        <w:t>农牧民增收渠道有限，项目建设点位及周边饲养牦牛数量多，项目建成后能为周边牧户提供稳定的短期就业岗位，是富县利民的惠民产业，产业发展符合国家支持方向，且具备持续性。</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bCs/>
          <w:color w:val="000000"/>
          <w:kern w:val="2"/>
          <w:sz w:val="32"/>
          <w:szCs w:val="32"/>
          <w:highlight w:val="none"/>
          <w:u w:val="none"/>
          <w:lang w:val="en-US" w:eastAsia="zh-CN" w:bidi="zh-CN"/>
        </w:rPr>
        <w:t>2.基础设施</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本项目是壤塘县现代农牧业综合产业园的重要组成部分，立足于建设标准化厂房，通过发展牦牛精深加工以及产业融合的方式，加快壤塘县经济结构和经济增长，通过建设牦牛肉产业园，可以实现牦牛资源的可持续利用，为高原地区的可持续发展奠定基础。</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《壤塘县牦牛肉加工厂项目》目标值完成率89%，资金使用合规、执行流程规范、绩效成效达标，立项预期绩效主体完成，自评得分89分。</w:t>
      </w:r>
    </w:p>
    <w:p>
      <w:pPr>
        <w:keepNext w:val="0"/>
        <w:keepLines w:val="0"/>
        <w:pageBreakBefore w:val="0"/>
        <w:widowControl w:val="0"/>
        <w:kinsoku/>
        <w:wordWrap/>
        <w:overflowPunct/>
        <w:topLinePunct w:val="0"/>
        <w:autoSpaceDE/>
        <w:autoSpaceDN/>
        <w:bidi w:val="0"/>
        <w:adjustRightInd/>
        <w:snapToGrid/>
        <w:spacing w:line="578" w:lineRule="exact"/>
        <w:ind w:firstLine="64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无</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无</w:t>
      </w:r>
    </w:p>
    <w:p>
      <w:pPr>
        <w:keepNext w:val="0"/>
        <w:keepLines w:val="0"/>
        <w:pageBreakBefore w:val="0"/>
        <w:widowControl w:val="0"/>
        <w:kinsoku/>
        <w:wordWrap/>
        <w:overflowPunct/>
        <w:topLinePunct w:val="0"/>
        <w:autoSpaceDE/>
        <w:autoSpaceDN/>
        <w:bidi w:val="0"/>
        <w:spacing w:line="578" w:lineRule="exact"/>
        <w:ind w:firstLine="640"/>
        <w:jc w:val="both"/>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80"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outlineLvl w:val="0"/>
        <w:rPr>
          <w:rFonts w:hint="eastAsia" w:ascii="Times New Roman" w:hAnsi="Times New Roman" w:eastAsia="仿宋"/>
          <w:b w:val="0"/>
          <w:color w:val="auto"/>
          <w:highlight w:val="none"/>
        </w:rPr>
      </w:pPr>
      <w:bookmarkStart w:id="81" w:name="_Toc32611"/>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74"/>
      <w:bookmarkEnd w:id="80"/>
      <w:bookmarkEnd w:id="81"/>
      <w:bookmarkStart w:id="82"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3" w:name="_Toc24750"/>
      <w:r>
        <w:rPr>
          <w:rFonts w:hint="eastAsia" w:ascii="Times New Roman" w:hAnsi="Times New Roman" w:eastAsia="仿宋_GB2312" w:cs="仿宋_GB2312"/>
          <w:color w:val="auto"/>
          <w:sz w:val="32"/>
          <w:szCs w:val="32"/>
          <w:highlight w:val="none"/>
        </w:rPr>
        <w:t>一、收入支出决算总表</w:t>
      </w:r>
      <w:bookmarkEnd w:id="82"/>
      <w:bookmarkEnd w:id="8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4" w:name="_Toc15396620"/>
      <w:bookmarkStart w:id="85" w:name="_Toc3673"/>
      <w:r>
        <w:rPr>
          <w:rFonts w:hint="eastAsia" w:ascii="Times New Roman" w:hAnsi="Times New Roman" w:eastAsia="仿宋_GB2312" w:cs="仿宋_GB2312"/>
          <w:color w:val="auto"/>
          <w:sz w:val="32"/>
          <w:szCs w:val="32"/>
          <w:highlight w:val="none"/>
        </w:rPr>
        <w:t>二、收入决算表</w:t>
      </w:r>
      <w:bookmarkEnd w:id="84"/>
      <w:bookmarkEnd w:id="8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6" w:name="_Toc17249"/>
      <w:bookmarkStart w:id="87" w:name="_Toc15396621"/>
      <w:r>
        <w:rPr>
          <w:rFonts w:hint="eastAsia" w:ascii="Times New Roman" w:hAnsi="Times New Roman" w:eastAsia="仿宋_GB2312" w:cs="仿宋_GB2312"/>
          <w:color w:val="auto"/>
          <w:sz w:val="32"/>
          <w:szCs w:val="32"/>
          <w:highlight w:val="none"/>
        </w:rPr>
        <w:t>三、支出决算表</w:t>
      </w:r>
      <w:bookmarkEnd w:id="86"/>
      <w:bookmarkEnd w:id="8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8" w:name="_Toc4638"/>
      <w:bookmarkStart w:id="89" w:name="_Toc15396622"/>
      <w:r>
        <w:rPr>
          <w:rFonts w:hint="eastAsia" w:ascii="Times New Roman" w:hAnsi="Times New Roman" w:eastAsia="仿宋_GB2312" w:cs="仿宋_GB2312"/>
          <w:color w:val="auto"/>
          <w:sz w:val="32"/>
          <w:szCs w:val="32"/>
          <w:highlight w:val="none"/>
        </w:rPr>
        <w:t>四、财政拨款收入支出决算总表</w:t>
      </w:r>
      <w:bookmarkEnd w:id="88"/>
      <w:bookmarkEnd w:id="8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0" w:name="_Toc15396623"/>
      <w:bookmarkStart w:id="91" w:name="_Toc9371"/>
      <w:r>
        <w:rPr>
          <w:rFonts w:hint="eastAsia" w:ascii="Times New Roman" w:hAnsi="Times New Roman" w:eastAsia="仿宋_GB2312" w:cs="仿宋_GB2312"/>
          <w:color w:val="auto"/>
          <w:sz w:val="32"/>
          <w:szCs w:val="32"/>
          <w:highlight w:val="none"/>
        </w:rPr>
        <w:t>五、财政拨款支出决算明细表</w:t>
      </w:r>
      <w:bookmarkEnd w:id="90"/>
      <w:bookmarkEnd w:id="91"/>
      <w:bookmarkStart w:id="92"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3" w:name="_Toc22649"/>
      <w:r>
        <w:rPr>
          <w:rFonts w:hint="eastAsia" w:ascii="Times New Roman" w:hAnsi="Times New Roman" w:eastAsia="仿宋_GB2312" w:cs="仿宋_GB2312"/>
          <w:color w:val="auto"/>
          <w:sz w:val="32"/>
          <w:szCs w:val="32"/>
          <w:highlight w:val="none"/>
        </w:rPr>
        <w:t>六、一般公共预算财政拨款支出决算表</w:t>
      </w:r>
      <w:bookmarkEnd w:id="92"/>
      <w:bookmarkEnd w:id="9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4" w:name="_Toc15396625"/>
      <w:bookmarkStart w:id="95" w:name="_Toc1164"/>
      <w:r>
        <w:rPr>
          <w:rFonts w:hint="eastAsia" w:ascii="Times New Roman" w:hAnsi="Times New Roman" w:eastAsia="仿宋_GB2312" w:cs="仿宋_GB2312"/>
          <w:color w:val="auto"/>
          <w:sz w:val="32"/>
          <w:szCs w:val="32"/>
          <w:highlight w:val="none"/>
        </w:rPr>
        <w:t>七、一般公共预算财政拨款支出决算明细表</w:t>
      </w:r>
      <w:bookmarkEnd w:id="94"/>
      <w:bookmarkEnd w:id="9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6" w:name="_Toc15396626"/>
      <w:bookmarkStart w:id="97" w:name="_Toc19519"/>
      <w:r>
        <w:rPr>
          <w:rFonts w:hint="eastAsia" w:ascii="Times New Roman" w:hAnsi="Times New Roman" w:eastAsia="仿宋_GB2312" w:cs="仿宋_GB2312"/>
          <w:color w:val="auto"/>
          <w:sz w:val="32"/>
          <w:szCs w:val="32"/>
          <w:highlight w:val="none"/>
        </w:rPr>
        <w:t>八、一般公共预算财政拨款基本支出决算表</w:t>
      </w:r>
      <w:bookmarkEnd w:id="96"/>
      <w:bookmarkEnd w:id="9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8" w:name="_Toc26770"/>
      <w:bookmarkStart w:id="99" w:name="_Toc15396627"/>
      <w:r>
        <w:rPr>
          <w:rFonts w:hint="eastAsia" w:ascii="Times New Roman" w:hAnsi="Times New Roman" w:eastAsia="仿宋_GB2312" w:cs="仿宋_GB2312"/>
          <w:color w:val="auto"/>
          <w:sz w:val="32"/>
          <w:szCs w:val="32"/>
          <w:highlight w:val="none"/>
        </w:rPr>
        <w:t>九、一般公共预算财政拨款项目支出决算表</w:t>
      </w:r>
      <w:bookmarkEnd w:id="98"/>
      <w:bookmarkEnd w:id="9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100" w:name="_Toc15396628"/>
      <w:bookmarkStart w:id="101" w:name="_Toc29636"/>
      <w:r>
        <w:rPr>
          <w:rFonts w:hint="eastAsia" w:ascii="Times New Roman" w:hAnsi="Times New Roman" w:eastAsia="仿宋_GB2312" w:cs="仿宋_GB2312"/>
          <w:color w:val="auto"/>
          <w:sz w:val="32"/>
          <w:szCs w:val="32"/>
          <w:highlight w:val="none"/>
        </w:rPr>
        <w:t>十、</w:t>
      </w:r>
      <w:bookmarkEnd w:id="100"/>
      <w:r>
        <w:rPr>
          <w:rFonts w:hint="eastAsia" w:ascii="Times New Roman" w:hAnsi="Times New Roman" w:eastAsia="仿宋_GB2312" w:cs="仿宋_GB2312"/>
          <w:color w:val="auto"/>
          <w:sz w:val="32"/>
          <w:szCs w:val="32"/>
          <w:highlight w:val="none"/>
        </w:rPr>
        <w:t>政府性基金预算财政拨款收入支出决算表</w:t>
      </w:r>
      <w:bookmarkEnd w:id="10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102" w:name="_Toc15396629"/>
      <w:bookmarkStart w:id="103" w:name="_Toc16985"/>
      <w:r>
        <w:rPr>
          <w:rFonts w:hint="eastAsia" w:ascii="Times New Roman" w:hAnsi="Times New Roman" w:eastAsia="仿宋_GB2312" w:cs="仿宋_GB2312"/>
          <w:color w:val="auto"/>
          <w:sz w:val="32"/>
          <w:szCs w:val="32"/>
          <w:highlight w:val="none"/>
        </w:rPr>
        <w:t>十一、</w:t>
      </w:r>
      <w:bookmarkEnd w:id="10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0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104" w:name="_Toc15396630"/>
      <w:bookmarkStart w:id="105" w:name="_Toc5132"/>
      <w:r>
        <w:rPr>
          <w:rFonts w:hint="eastAsia" w:ascii="Times New Roman" w:hAnsi="Times New Roman" w:eastAsia="仿宋_GB2312" w:cs="仿宋_GB2312"/>
          <w:color w:val="auto"/>
          <w:sz w:val="32"/>
          <w:szCs w:val="32"/>
          <w:highlight w:val="none"/>
        </w:rPr>
        <w:t>十二、</w:t>
      </w:r>
      <w:bookmarkEnd w:id="104"/>
      <w:r>
        <w:rPr>
          <w:rFonts w:hint="eastAsia" w:ascii="Times New Roman" w:hAnsi="Times New Roman" w:eastAsia="仿宋_GB2312" w:cs="仿宋_GB2312"/>
          <w:color w:val="auto"/>
          <w:sz w:val="32"/>
          <w:szCs w:val="32"/>
          <w:highlight w:val="none"/>
          <w:lang w:eastAsia="zh-CN"/>
        </w:rPr>
        <w:t>国有资本经营预算财政拨款支出决算表</w:t>
      </w:r>
      <w:bookmarkEnd w:id="10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106" w:name="_Toc15396631"/>
      <w:bookmarkStart w:id="107" w:name="_Toc31954"/>
      <w:r>
        <w:rPr>
          <w:rFonts w:hint="eastAsia" w:ascii="Times New Roman" w:hAnsi="Times New Roman" w:eastAsia="仿宋_GB2312" w:cs="仿宋_GB2312"/>
          <w:color w:val="auto"/>
          <w:sz w:val="32"/>
          <w:szCs w:val="32"/>
          <w:highlight w:val="none"/>
        </w:rPr>
        <w:t>十三、</w:t>
      </w:r>
      <w:bookmarkEnd w:id="106"/>
      <w:r>
        <w:rPr>
          <w:rFonts w:hint="eastAsia" w:ascii="Times New Roman" w:hAnsi="Times New Roman" w:eastAsia="仿宋_GB2312" w:cs="仿宋_GB2312"/>
          <w:color w:val="auto"/>
          <w:sz w:val="32"/>
          <w:szCs w:val="32"/>
          <w:highlight w:val="none"/>
          <w:lang w:eastAsia="zh-CN"/>
        </w:rPr>
        <w:t>财政拨款“三公”经费支出决算表</w:t>
      </w:r>
      <w:bookmarkEnd w:id="107"/>
    </w:p>
    <w:p>
      <w:pPr>
        <w:outlineLvl w:val="1"/>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hrYRyMwIAAGMEAAAOAAAAAAAAAAEAIAAA&#10;ADUBAABkcnMvZTJvRG9jLnhtbFBLBQYAAAAABgAGAFkBAADaBQ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2</w:t>
                    </w:r>
                    <w:r>
                      <w:fldChar w:fldCharType="end"/>
                    </w:r>
                  </w:p>
                </w:txbxContent>
              </v:textbox>
            </v:shape>
          </w:pict>
        </mc:Fallback>
      </mc:AlternateContent>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9CB6C"/>
    <w:multiLevelType w:val="singleLevel"/>
    <w:tmpl w:val="B939CB6C"/>
    <w:lvl w:ilvl="0" w:tentative="0">
      <w:start w:val="3"/>
      <w:numFmt w:val="chineseCounting"/>
      <w:suff w:val="nothing"/>
      <w:lvlText w:val="（%1）"/>
      <w:lvlJc w:val="left"/>
      <w:pPr>
        <w:ind w:left="-10"/>
      </w:pPr>
      <w:rPr>
        <w:rFonts w:hint="eastAsia"/>
      </w:rPr>
    </w:lvl>
  </w:abstractNum>
  <w:abstractNum w:abstractNumId="1">
    <w:nsid w:val="2A76EE7C"/>
    <w:multiLevelType w:val="singleLevel"/>
    <w:tmpl w:val="2A76EE7C"/>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5Y2EzZGQ1ZTg1MWZhNjY1YTE1OWY1YzBhOWI1OT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A4BD4"/>
    <w:rsid w:val="00FD3CC1"/>
    <w:rsid w:val="00FF1E02"/>
    <w:rsid w:val="00FF30B4"/>
    <w:rsid w:val="015975B8"/>
    <w:rsid w:val="01A23516"/>
    <w:rsid w:val="02317B1B"/>
    <w:rsid w:val="02FEBE30"/>
    <w:rsid w:val="042C15EE"/>
    <w:rsid w:val="049C51B4"/>
    <w:rsid w:val="053A0230"/>
    <w:rsid w:val="061E35DE"/>
    <w:rsid w:val="066E0107"/>
    <w:rsid w:val="07996F6E"/>
    <w:rsid w:val="07DFD8BA"/>
    <w:rsid w:val="08DB07E4"/>
    <w:rsid w:val="09867E8F"/>
    <w:rsid w:val="0A2032A3"/>
    <w:rsid w:val="0A3E05D2"/>
    <w:rsid w:val="0C6C4794"/>
    <w:rsid w:val="0CA8290A"/>
    <w:rsid w:val="0D35B1ED"/>
    <w:rsid w:val="0D4D6BD9"/>
    <w:rsid w:val="0DE07E2B"/>
    <w:rsid w:val="0F98263C"/>
    <w:rsid w:val="101860EC"/>
    <w:rsid w:val="10C055FF"/>
    <w:rsid w:val="11772AA4"/>
    <w:rsid w:val="118107EC"/>
    <w:rsid w:val="13957196"/>
    <w:rsid w:val="13D50BC4"/>
    <w:rsid w:val="14022904"/>
    <w:rsid w:val="152F2A07"/>
    <w:rsid w:val="165E0673"/>
    <w:rsid w:val="16603AA7"/>
    <w:rsid w:val="16BB723D"/>
    <w:rsid w:val="16F13FCB"/>
    <w:rsid w:val="186504BB"/>
    <w:rsid w:val="1938089F"/>
    <w:rsid w:val="19A445FC"/>
    <w:rsid w:val="1B7D550C"/>
    <w:rsid w:val="1BB61551"/>
    <w:rsid w:val="1BE8440E"/>
    <w:rsid w:val="1BF62C01"/>
    <w:rsid w:val="1D155CEE"/>
    <w:rsid w:val="1DE178F3"/>
    <w:rsid w:val="1E740ACF"/>
    <w:rsid w:val="1FF35744"/>
    <w:rsid w:val="1FF6BC77"/>
    <w:rsid w:val="21962A9E"/>
    <w:rsid w:val="21AE7C77"/>
    <w:rsid w:val="22BC3C41"/>
    <w:rsid w:val="22F406F8"/>
    <w:rsid w:val="23860B96"/>
    <w:rsid w:val="240371BF"/>
    <w:rsid w:val="24D25252"/>
    <w:rsid w:val="260F557C"/>
    <w:rsid w:val="281408E2"/>
    <w:rsid w:val="29FD04D3"/>
    <w:rsid w:val="2B122D8D"/>
    <w:rsid w:val="2BDA6E01"/>
    <w:rsid w:val="2BFF7BC6"/>
    <w:rsid w:val="2C8A61B5"/>
    <w:rsid w:val="2D2E01CF"/>
    <w:rsid w:val="2DF04E50"/>
    <w:rsid w:val="2E1E3511"/>
    <w:rsid w:val="2E9545B0"/>
    <w:rsid w:val="2F040D46"/>
    <w:rsid w:val="2FAE5751"/>
    <w:rsid w:val="2FB1A395"/>
    <w:rsid w:val="2FD9A7D8"/>
    <w:rsid w:val="306F78B6"/>
    <w:rsid w:val="319F7F4E"/>
    <w:rsid w:val="321B2544"/>
    <w:rsid w:val="3304709D"/>
    <w:rsid w:val="33873DC4"/>
    <w:rsid w:val="34281836"/>
    <w:rsid w:val="349D6851"/>
    <w:rsid w:val="35BA6CAF"/>
    <w:rsid w:val="35D37231"/>
    <w:rsid w:val="363E7FC9"/>
    <w:rsid w:val="364D14C1"/>
    <w:rsid w:val="36AA5135"/>
    <w:rsid w:val="36BE0DA7"/>
    <w:rsid w:val="376B6AA6"/>
    <w:rsid w:val="376D39B2"/>
    <w:rsid w:val="37E16F03"/>
    <w:rsid w:val="37F53A3B"/>
    <w:rsid w:val="389B6C89"/>
    <w:rsid w:val="38D469F0"/>
    <w:rsid w:val="39627CCD"/>
    <w:rsid w:val="397BAF1F"/>
    <w:rsid w:val="3AB79AF3"/>
    <w:rsid w:val="3B7EF35A"/>
    <w:rsid w:val="3B9FDB6C"/>
    <w:rsid w:val="3BC014C4"/>
    <w:rsid w:val="3BF5BC2F"/>
    <w:rsid w:val="3CEBA265"/>
    <w:rsid w:val="3D98207C"/>
    <w:rsid w:val="3D9B0D99"/>
    <w:rsid w:val="3DDE3E9A"/>
    <w:rsid w:val="3DEE7CF3"/>
    <w:rsid w:val="3DF02244"/>
    <w:rsid w:val="3E78745D"/>
    <w:rsid w:val="3EBD028C"/>
    <w:rsid w:val="3EE31B9B"/>
    <w:rsid w:val="3FF4CAE0"/>
    <w:rsid w:val="3FF7B227"/>
    <w:rsid w:val="40E54C45"/>
    <w:rsid w:val="411E335F"/>
    <w:rsid w:val="41313393"/>
    <w:rsid w:val="431A0E09"/>
    <w:rsid w:val="43A407DF"/>
    <w:rsid w:val="44515BEA"/>
    <w:rsid w:val="44E268DA"/>
    <w:rsid w:val="453F7E5B"/>
    <w:rsid w:val="48285669"/>
    <w:rsid w:val="48387CB1"/>
    <w:rsid w:val="486A6C7A"/>
    <w:rsid w:val="49176D9B"/>
    <w:rsid w:val="494006BD"/>
    <w:rsid w:val="4A627F82"/>
    <w:rsid w:val="4B0E749A"/>
    <w:rsid w:val="4B4F25DA"/>
    <w:rsid w:val="4BDA0CFB"/>
    <w:rsid w:val="4BE068DB"/>
    <w:rsid w:val="4C1753ED"/>
    <w:rsid w:val="4D3C0CCC"/>
    <w:rsid w:val="4D577224"/>
    <w:rsid w:val="4DBF1CEB"/>
    <w:rsid w:val="4EAB630A"/>
    <w:rsid w:val="4ECE2238"/>
    <w:rsid w:val="4F833267"/>
    <w:rsid w:val="4FE9BD67"/>
    <w:rsid w:val="4FFB052F"/>
    <w:rsid w:val="52A12DE1"/>
    <w:rsid w:val="53083A92"/>
    <w:rsid w:val="537E6D0A"/>
    <w:rsid w:val="53AF27A2"/>
    <w:rsid w:val="53F74C96"/>
    <w:rsid w:val="54312B03"/>
    <w:rsid w:val="56711A8D"/>
    <w:rsid w:val="56E47B74"/>
    <w:rsid w:val="57BD3DD4"/>
    <w:rsid w:val="58CF63B2"/>
    <w:rsid w:val="5AF92295"/>
    <w:rsid w:val="5BDD79E6"/>
    <w:rsid w:val="5BF561CA"/>
    <w:rsid w:val="5BFF5DFC"/>
    <w:rsid w:val="5CD71FC4"/>
    <w:rsid w:val="5D1F11B5"/>
    <w:rsid w:val="5DAE1B18"/>
    <w:rsid w:val="5DE7D9E5"/>
    <w:rsid w:val="5EC46E9C"/>
    <w:rsid w:val="5ECEC941"/>
    <w:rsid w:val="5F493CB7"/>
    <w:rsid w:val="5FBF9FF3"/>
    <w:rsid w:val="5FCD4E2C"/>
    <w:rsid w:val="5FD15F49"/>
    <w:rsid w:val="5FEF394A"/>
    <w:rsid w:val="5FF67715"/>
    <w:rsid w:val="62BF3928"/>
    <w:rsid w:val="63347288"/>
    <w:rsid w:val="644522AC"/>
    <w:rsid w:val="647F5392"/>
    <w:rsid w:val="64D77648"/>
    <w:rsid w:val="65096DD2"/>
    <w:rsid w:val="65FA50BB"/>
    <w:rsid w:val="664B1D71"/>
    <w:rsid w:val="66D02362"/>
    <w:rsid w:val="67AA3209"/>
    <w:rsid w:val="681C4F0D"/>
    <w:rsid w:val="69046D0F"/>
    <w:rsid w:val="69361E19"/>
    <w:rsid w:val="698D0931"/>
    <w:rsid w:val="6A993CED"/>
    <w:rsid w:val="6B053271"/>
    <w:rsid w:val="6BCE6674"/>
    <w:rsid w:val="6C4A05C8"/>
    <w:rsid w:val="6C8742B8"/>
    <w:rsid w:val="6C8A170F"/>
    <w:rsid w:val="6CB54609"/>
    <w:rsid w:val="6CD97BC4"/>
    <w:rsid w:val="6DBF5E93"/>
    <w:rsid w:val="6DDC4382"/>
    <w:rsid w:val="6DFF077E"/>
    <w:rsid w:val="6E7E3605"/>
    <w:rsid w:val="6E7FDCC7"/>
    <w:rsid w:val="6ED6A62E"/>
    <w:rsid w:val="6EE00B15"/>
    <w:rsid w:val="6F4319DE"/>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C75C33"/>
    <w:rsid w:val="73FA497D"/>
    <w:rsid w:val="744731E5"/>
    <w:rsid w:val="74527205"/>
    <w:rsid w:val="748C1DB2"/>
    <w:rsid w:val="74BBD01D"/>
    <w:rsid w:val="74ED5379"/>
    <w:rsid w:val="74FC2395"/>
    <w:rsid w:val="755B38E1"/>
    <w:rsid w:val="75DEEEC2"/>
    <w:rsid w:val="75F55735"/>
    <w:rsid w:val="767C160C"/>
    <w:rsid w:val="76A63FB7"/>
    <w:rsid w:val="76E3355F"/>
    <w:rsid w:val="76FF5125"/>
    <w:rsid w:val="771A18F7"/>
    <w:rsid w:val="772539E4"/>
    <w:rsid w:val="776F6FFA"/>
    <w:rsid w:val="778769C8"/>
    <w:rsid w:val="77DC22F5"/>
    <w:rsid w:val="78DF4DEE"/>
    <w:rsid w:val="79086DAD"/>
    <w:rsid w:val="790F188F"/>
    <w:rsid w:val="794D062C"/>
    <w:rsid w:val="79974F09"/>
    <w:rsid w:val="79D7FD79"/>
    <w:rsid w:val="79EE5BA4"/>
    <w:rsid w:val="7A894339"/>
    <w:rsid w:val="7AFF7572"/>
    <w:rsid w:val="7B5F77F4"/>
    <w:rsid w:val="7B6C7DFB"/>
    <w:rsid w:val="7BBFBED0"/>
    <w:rsid w:val="7BC3E394"/>
    <w:rsid w:val="7C1F3737"/>
    <w:rsid w:val="7C5532F9"/>
    <w:rsid w:val="7CBFC87B"/>
    <w:rsid w:val="7CD346F5"/>
    <w:rsid w:val="7CFE0F48"/>
    <w:rsid w:val="7D6E5432"/>
    <w:rsid w:val="7D7EC23E"/>
    <w:rsid w:val="7D916348"/>
    <w:rsid w:val="7DDF9EBE"/>
    <w:rsid w:val="7E8ADEBF"/>
    <w:rsid w:val="7EEF11D3"/>
    <w:rsid w:val="7F0971A6"/>
    <w:rsid w:val="7F3F679B"/>
    <w:rsid w:val="7F4FC4EF"/>
    <w:rsid w:val="7F5E4D54"/>
    <w:rsid w:val="7F6E0135"/>
    <w:rsid w:val="7FA30C79"/>
    <w:rsid w:val="7FAF8ABF"/>
    <w:rsid w:val="7FB7269E"/>
    <w:rsid w:val="7FBE5945"/>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BFD738"/>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qFormat/>
    <w:uiPriority w:val="0"/>
    <w:pPr>
      <w:widowControl w:val="0"/>
      <w:kinsoku/>
      <w:wordWrap/>
      <w:overflowPunct/>
      <w:topLinePunct w:val="0"/>
      <w:autoSpaceDE/>
      <w:autoSpaceDN/>
      <w:bidi w:val="0"/>
      <w:adjustRightInd/>
      <w:spacing w:line="480" w:lineRule="auto"/>
      <w:ind w:left="200" w:leftChars="200" w:right="0"/>
      <w:jc w:val="both"/>
      <w:textAlignment w:val="auto"/>
    </w:pPr>
    <w:rPr>
      <w:rFonts w:ascii="Times New Roman" w:hAnsi="Times New Roman" w:eastAsia="宋体" w:cs="Times New Roman"/>
      <w:kern w:val="2"/>
      <w:sz w:val="21"/>
      <w:szCs w:val="21"/>
      <w:lang w:val="en-US" w:eastAsia="zh-CN" w:bidi="zh-CN"/>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0"/>
    <w:rPr>
      <w:rFonts w:ascii="宋体" w:hAnsi="Courier New" w:cs="Courier New"/>
      <w:szCs w:val="21"/>
    </w:r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黑体"/>
      <w:sz w:val="30"/>
      <w:szCs w:val="28"/>
    </w:rPr>
  </w:style>
  <w:style w:type="paragraph" w:styleId="15">
    <w:name w:val="footnote text"/>
    <w:basedOn w:val="1"/>
    <w:next w:val="8"/>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rPr>
      <w:rFonts w:ascii="Times New Roman" w:hAnsi="Times New Roman" w:eastAsia="黑体"/>
      <w:sz w:val="28"/>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a:t>
            </a:r>
          </a:p>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     </a:t>
            </a:r>
            <a:r>
              <a:rPr altLang="en-US"/>
              <a:t>单位：万元</a:t>
            </a:r>
            <a:endParaRPr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[工作簿1]Sheet1!$A$2:$D$2</c:f>
              <c:strCache>
                <c:ptCount val="4"/>
                <c:pt idx="0">
                  <c:v>2024年收入</c:v>
                </c:pt>
                <c:pt idx="1">
                  <c:v>2024年支出</c:v>
                </c:pt>
                <c:pt idx="2">
                  <c:v>2025年收入</c:v>
                </c:pt>
                <c:pt idx="3">
                  <c:v>2025年支出</c:v>
                </c:pt>
              </c:strCache>
            </c:strRef>
          </c:cat>
          <c:val>
            <c:numRef>
              <c:f>[工作簿1]Sheet1!$A$3:$D$3</c:f>
              <c:numCache>
                <c:formatCode>General</c:formatCode>
                <c:ptCount val="4"/>
                <c:pt idx="0">
                  <c:v>0</c:v>
                </c:pt>
                <c:pt idx="1">
                  <c:v>3785.7</c:v>
                </c:pt>
                <c:pt idx="2">
                  <c:v>0</c:v>
                </c:pt>
                <c:pt idx="3">
                  <c:v>3785.7</c:v>
                </c:pt>
              </c:numCache>
            </c:numRef>
          </c:val>
        </c:ser>
        <c:dLbls>
          <c:showLegendKey val="0"/>
          <c:showVal val="1"/>
          <c:showCatName val="0"/>
          <c:showSerName val="0"/>
          <c:showPercent val="0"/>
          <c:showBubbleSize val="0"/>
        </c:dLbls>
        <c:gapWidth val="219"/>
        <c:overlap val="-27"/>
        <c:axId val="122956529"/>
        <c:axId val="183276286"/>
      </c:barChart>
      <c:catAx>
        <c:axId val="1229565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3276286"/>
        <c:crosses val="autoZero"/>
        <c:auto val="1"/>
        <c:lblAlgn val="ctr"/>
        <c:lblOffset val="100"/>
        <c:noMultiLvlLbl val="0"/>
      </c:catAx>
      <c:valAx>
        <c:axId val="18327628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295652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a:p>
            <a:pPr defTabSz="914400">
              <a:defRPr lang="zh-CN" sz="1400" b="0" i="0" u="none" strike="noStrike" kern="1200" spc="0" baseline="0">
                <a:solidFill>
                  <a:schemeClr val="tx1">
                    <a:lumMod val="65000"/>
                    <a:lumOff val="35000"/>
                  </a:schemeClr>
                </a:solidFill>
                <a:latin typeface="+mn-lt"/>
                <a:ea typeface="+mn-ea"/>
                <a:cs typeface="+mn-cs"/>
              </a:defRPr>
            </a:pPr>
            <a:r>
              <a:t>单位：万元</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[工作簿1]Sheet1!$A$5:$B$5</c:f>
              <c:strCache>
                <c:ptCount val="2"/>
                <c:pt idx="0">
                  <c:v>一般公共预算财政拨款收入</c:v>
                </c:pt>
                <c:pt idx="1">
                  <c:v>其他收入</c:v>
                </c:pt>
              </c:strCache>
            </c:strRef>
          </c:cat>
          <c:val>
            <c:numRef>
              <c:f>[工作簿1]Sheet1!$A$6:$B$6</c:f>
              <c:numCache>
                <c:formatCode>General</c:formatCode>
                <c:ptCount val="2"/>
                <c:pt idx="0">
                  <c:v>3785.65</c:v>
                </c:pt>
                <c:pt idx="1">
                  <c:v>0.05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a:p>
            <a:pPr defTabSz="914400">
              <a:defRPr lang="zh-CN" sz="1400" b="0" i="0" u="none" strike="noStrike" kern="1200" spc="0" baseline="0">
                <a:solidFill>
                  <a:schemeClr val="tx1">
                    <a:lumMod val="65000"/>
                    <a:lumOff val="35000"/>
                  </a:schemeClr>
                </a:solidFill>
                <a:latin typeface="+mn-lt"/>
                <a:ea typeface="+mn-ea"/>
                <a:cs typeface="+mn-cs"/>
              </a:defRPr>
            </a:pPr>
            <a:r>
              <a:t>单位：万元</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[工作簿1]Sheet1!$B$32:$C$32</c:f>
              <c:strCache>
                <c:ptCount val="2"/>
                <c:pt idx="0">
                  <c:v>基本支出</c:v>
                </c:pt>
                <c:pt idx="1">
                  <c:v>项目支出</c:v>
                </c:pt>
              </c:strCache>
            </c:strRef>
          </c:cat>
          <c:val>
            <c:numRef>
              <c:f>[工作簿1]Sheet1!$B$33:$C$33</c:f>
              <c:numCache>
                <c:formatCode>General</c:formatCode>
                <c:ptCount val="2"/>
                <c:pt idx="0">
                  <c:v>334.05</c:v>
                </c:pt>
                <c:pt idx="1">
                  <c:v>3451.6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a:p>
            <a:pPr defTabSz="914400">
              <a:defRPr lang="zh-CN" sz="1400" b="0" i="0" u="none" strike="noStrike" kern="1200" spc="0" baseline="0">
                <a:solidFill>
                  <a:schemeClr val="tx1">
                    <a:lumMod val="65000"/>
                    <a:lumOff val="35000"/>
                  </a:schemeClr>
                </a:solidFill>
                <a:latin typeface="+mn-lt"/>
                <a:ea typeface="+mn-ea"/>
                <a:cs typeface="+mn-cs"/>
              </a:defRPr>
            </a:pPr>
            <a:r>
              <a:t>单位：万元</a:t>
            </a:r>
          </a:p>
        </c:rich>
      </c:tx>
      <c:layout>
        <c:manualLayout>
          <c:xMode val="edge"/>
          <c:yMode val="edge"/>
          <c:x val="0.225384615384615"/>
          <c:y val="0.00888888888888889"/>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[工作簿1]Sheet1!$B$50:$E$50</c:f>
              <c:strCache>
                <c:ptCount val="4"/>
                <c:pt idx="0">
                  <c:v>2024年财政拨款收入</c:v>
                </c:pt>
                <c:pt idx="1">
                  <c:v>2025年财政拨款支出</c:v>
                </c:pt>
                <c:pt idx="2">
                  <c:v>2024年财政拨款支出</c:v>
                </c:pt>
                <c:pt idx="3">
                  <c:v>2025年财政拨款支出</c:v>
                </c:pt>
              </c:strCache>
            </c:strRef>
          </c:cat>
          <c:val>
            <c:numRef>
              <c:f>[工作簿1]Sheet1!$B$51:$E$51</c:f>
              <c:numCache>
                <c:formatCode>General</c:formatCode>
                <c:ptCount val="4"/>
                <c:pt idx="0">
                  <c:v>0</c:v>
                </c:pt>
                <c:pt idx="1">
                  <c:v>3786.65</c:v>
                </c:pt>
                <c:pt idx="2">
                  <c:v>0</c:v>
                </c:pt>
                <c:pt idx="3">
                  <c:v>3786.65</c:v>
                </c:pt>
              </c:numCache>
            </c:numRef>
          </c:val>
        </c:ser>
        <c:dLbls>
          <c:showLegendKey val="0"/>
          <c:showVal val="1"/>
          <c:showCatName val="0"/>
          <c:showSerName val="0"/>
          <c:showPercent val="0"/>
          <c:showBubbleSize val="0"/>
        </c:dLbls>
        <c:gapWidth val="219"/>
        <c:overlap val="-27"/>
        <c:axId val="25287281"/>
        <c:axId val="282347893"/>
      </c:barChart>
      <c:catAx>
        <c:axId val="252872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2347893"/>
        <c:crosses val="autoZero"/>
        <c:auto val="1"/>
        <c:lblAlgn val="ctr"/>
        <c:lblOffset val="100"/>
        <c:noMultiLvlLbl val="0"/>
      </c:catAx>
      <c:valAx>
        <c:axId val="28234789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2872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a:p>
            <a:pPr defTabSz="914400">
              <a:defRPr lang="zh-CN" sz="1400" b="0" i="0" u="none" strike="noStrike" kern="1200" spc="0" baseline="0">
                <a:solidFill>
                  <a:schemeClr val="tx1">
                    <a:lumMod val="65000"/>
                    <a:lumOff val="35000"/>
                  </a:schemeClr>
                </a:solidFill>
                <a:latin typeface="+mn-lt"/>
                <a:ea typeface="+mn-ea"/>
                <a:cs typeface="+mn-cs"/>
              </a:defRPr>
            </a:pPr>
            <a:r>
              <a:t>单位：万元</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[工作簿1]Sheet1!$C$63:$D$63</c:f>
              <c:strCache>
                <c:ptCount val="2"/>
                <c:pt idx="0">
                  <c:v>2024年财政拨款支出</c:v>
                </c:pt>
                <c:pt idx="1">
                  <c:v>2025年财政拨款支出</c:v>
                </c:pt>
              </c:strCache>
            </c:strRef>
          </c:cat>
          <c:val>
            <c:numRef>
              <c:f>[工作簿1]Sheet1!$C$64:$D$64</c:f>
              <c:numCache>
                <c:formatCode>General</c:formatCode>
                <c:ptCount val="2"/>
                <c:pt idx="0">
                  <c:v>0</c:v>
                </c:pt>
                <c:pt idx="1">
                  <c:v>3785.65</c:v>
                </c:pt>
              </c:numCache>
            </c:numRef>
          </c:val>
        </c:ser>
        <c:dLbls>
          <c:showLegendKey val="0"/>
          <c:showVal val="1"/>
          <c:showCatName val="0"/>
          <c:showSerName val="0"/>
          <c:showPercent val="0"/>
          <c:showBubbleSize val="0"/>
        </c:dLbls>
        <c:gapWidth val="219"/>
        <c:overlap val="-27"/>
        <c:axId val="29752055"/>
        <c:axId val="692535670"/>
      </c:barChart>
      <c:catAx>
        <c:axId val="2975205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535670"/>
        <c:crosses val="autoZero"/>
        <c:auto val="1"/>
        <c:lblAlgn val="ctr"/>
        <c:lblOffset val="100"/>
        <c:noMultiLvlLbl val="0"/>
      </c:catAx>
      <c:valAx>
        <c:axId val="69253567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7520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manualLayout>
          <c:xMode val="edge"/>
          <c:yMode val="edge"/>
          <c:x val="0.181111111111111"/>
          <c:y val="0.0451388888888889"/>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1"/>
              <c:layout>
                <c:manualLayout>
                  <c:x val="0.107883043099968"/>
                  <c:y val="0.0014678592896474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174432730736907"/>
                  <c:y val="0.036173150444417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177366702522046"/>
                  <c:y val="0.039668959841161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[工作簿1]Sheet1!$B$79:$B$83</c:f>
              <c:strCache>
                <c:ptCount val="5"/>
                <c:pt idx="0" c:formatCode="0.00_ ">
                  <c:v>科学技术支出</c:v>
                </c:pt>
                <c:pt idx="1" c:formatCode="0.00_ ">
                  <c:v>社会保障和就业支出</c:v>
                </c:pt>
                <c:pt idx="2" c:formatCode="0.00_ ">
                  <c:v>卫生健康支出</c:v>
                </c:pt>
                <c:pt idx="3" c:formatCode="0.00_ ">
                  <c:v>农林水支出</c:v>
                </c:pt>
                <c:pt idx="4" c:formatCode="0.00_ ">
                  <c:v>住房保障支出</c:v>
                </c:pt>
              </c:strCache>
            </c:strRef>
          </c:cat>
          <c:val>
            <c:numRef>
              <c:f>[工作簿1]Sheet1!$C$79:$C$83</c:f>
              <c:numCache>
                <c:formatCode>0.00_ </c:formatCode>
                <c:ptCount val="5"/>
                <c:pt idx="0">
                  <c:v>13.69</c:v>
                </c:pt>
                <c:pt idx="1">
                  <c:v>62</c:v>
                </c:pt>
                <c:pt idx="2">
                  <c:v>14.25</c:v>
                </c:pt>
                <c:pt idx="3">
                  <c:v>3676.83</c:v>
                </c:pt>
                <c:pt idx="4">
                  <c:v>18.88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32</Pages>
  <Words>12079</Words>
  <Characters>12900</Characters>
  <Lines>61</Lines>
  <Paragraphs>17</Paragraphs>
  <TotalTime>16</TotalTime>
  <ScaleCrop>false</ScaleCrop>
  <LinksUpToDate>false</LinksUpToDate>
  <CharactersWithSpaces>13109</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2026-08-04T01:27:00Z</cp:lastPrinted>
  <dcterms:modified xsi:type="dcterms:W3CDTF">2026-10-28T14:54:42Z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CA39465689F545AEA3CE631E42923526</vt:lpwstr>
  </property>
</Properties>
</file>