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96597"/>
      <w:bookmarkStart w:id="2" w:name="_Toc15377425"/>
      <w:bookmarkStart w:id="3" w:name="_Toc15377193"/>
      <w:bookmarkStart w:id="4" w:name="_Toc15396475"/>
      <w:bookmarkStart w:id="5" w:name="_Toc15378441"/>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2025年度壤塘县科学技术和农业畜牧局部门</w:t>
      </w:r>
      <w:r>
        <w:rPr>
          <w:rFonts w:hint="eastAsia" w:ascii="Times New Roman" w:hAnsi="Times New Roman" w:eastAsia="方正小标宋简体" w:cs="Times New Roman"/>
          <w:color w:val="auto"/>
          <w:kern w:val="2"/>
          <w:sz w:val="44"/>
          <w:szCs w:val="44"/>
          <w:highlight w:val="none"/>
          <w:lang w:val="en-US" w:eastAsia="zh-CN" w:bidi="ar-SA"/>
        </w:rPr>
        <w:t>决算</w:t>
      </w:r>
      <w:r>
        <w:rPr>
          <w:rFonts w:hint="eastAsia" w:ascii="Times New Roman" w:eastAsia="方正小标宋简体" w:cs="Times New Roman"/>
          <w:color w:val="auto"/>
          <w:kern w:val="2"/>
          <w:sz w:val="44"/>
          <w:szCs w:val="44"/>
          <w:highlight w:val="none"/>
          <w:lang w:val="en-US" w:eastAsia="zh-CN" w:bidi="ar-SA"/>
        </w:rPr>
        <w:t>公开</w:t>
      </w:r>
    </w:p>
    <w:p>
      <w:pPr>
        <w:spacing w:line="600" w:lineRule="exact"/>
        <w:jc w:val="center"/>
        <w:outlineLvl w:val="0"/>
        <w:rPr>
          <w:rFonts w:ascii="Times New Roman" w:hAnsi="Times New Roman" w:eastAsia="方正小标宋简体"/>
          <w:color w:val="auto"/>
          <w:sz w:val="72"/>
          <w:szCs w:val="72"/>
          <w:highlight w:val="none"/>
        </w:rPr>
      </w:pPr>
    </w:p>
    <w:p>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rPr>
          <w:rFonts w:ascii="Times New Roman" w:hAnsi="Times New Roman"/>
        </w:rPr>
      </w:pPr>
    </w:p>
    <w:bookmarkEnd w:id="0"/>
    <w:bookmarkEnd w:id="1"/>
    <w:bookmarkEnd w:id="2"/>
    <w:bookmarkEnd w:id="3"/>
    <w:bookmarkEnd w:id="4"/>
    <w:bookmarkEnd w:id="5"/>
    <w:p>
      <w:pPr>
        <w:widowControl/>
        <w:jc w:val="center"/>
        <w:rPr>
          <w:rFonts w:ascii="Times New Roman" w:hAnsi="Times New Roman" w:eastAsia="黑体"/>
          <w:color w:val="auto"/>
          <w:sz w:val="48"/>
          <w:szCs w:val="48"/>
          <w:highlight w:val="none"/>
        </w:rPr>
      </w:pPr>
      <w:bookmarkStart w:id="65" w:name="_GoBack"/>
      <w:bookmarkEnd w:id="65"/>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pPr>
        <w:pStyle w:val="5"/>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6"/>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keepNext w:val="0"/>
        <w:keepLines w:val="0"/>
        <w:pageBreakBefore w:val="0"/>
        <w:widowControl w:val="0"/>
        <w:numPr>
          <w:ilvl w:val="0"/>
          <w:numId w:val="2"/>
        </w:numPr>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贯彻执行有关创新驱动发展战略以及科技发展、引进国外智力规划和政策，拟订全县有关科技发展的政策措施并组织实施。</w:t>
      </w:r>
    </w:p>
    <w:p>
      <w:pPr>
        <w:keepNext w:val="0"/>
        <w:keepLines w:val="0"/>
        <w:pageBreakBefore w:val="0"/>
        <w:widowControl w:val="0"/>
        <w:numPr>
          <w:ilvl w:val="0"/>
          <w:numId w:val="2"/>
        </w:numPr>
        <w:kinsoku/>
        <w:wordWrap/>
        <w:overflowPunct/>
        <w:topLinePunct w:val="0"/>
        <w:autoSpaceDE w:val="0"/>
        <w:autoSpaceDN w:val="0"/>
        <w:bidi w:val="0"/>
        <w:adjustRightInd/>
        <w:snapToGrid/>
        <w:spacing w:line="560" w:lineRule="exact"/>
        <w:ind w:left="0" w:leftChars="0"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统筹研究和组织实施全县“三农”工作的发展</w:t>
      </w:r>
      <w:r>
        <w:rPr>
          <w:rFonts w:hint="eastAsia" w:ascii="仿宋" w:hAnsi="仿宋" w:eastAsia="仿宋" w:cs="仿宋"/>
          <w:sz w:val="30"/>
          <w:szCs w:val="30"/>
          <w:lang w:eastAsia="zh-CN"/>
        </w:rPr>
        <w:t>战略和中长期</w:t>
      </w:r>
      <w:r>
        <w:rPr>
          <w:rFonts w:hint="eastAsia" w:ascii="仿宋" w:hAnsi="仿宋" w:eastAsia="仿宋" w:cs="仿宋"/>
          <w:sz w:val="30"/>
          <w:szCs w:val="30"/>
        </w:rPr>
        <w:t>规划、重大政策。</w:t>
      </w:r>
    </w:p>
    <w:p>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right="0" w:rightChars="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3</w:t>
      </w:r>
      <w:r>
        <w:rPr>
          <w:rFonts w:hint="eastAsia" w:ascii="仿宋" w:hAnsi="仿宋" w:eastAsia="仿宋" w:cs="仿宋"/>
          <w:sz w:val="30"/>
          <w:szCs w:val="30"/>
          <w:lang w:eastAsia="zh-CN"/>
        </w:rPr>
        <w:t>）</w:t>
      </w:r>
      <w:r>
        <w:rPr>
          <w:rFonts w:hint="eastAsia" w:ascii="仿宋" w:hAnsi="仿宋" w:eastAsia="仿宋" w:cs="仿宋"/>
          <w:sz w:val="30"/>
          <w:szCs w:val="30"/>
        </w:rPr>
        <w:t>统筹实施乡村振兴战略，牵头组织改善全县农村人居环境。</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4</w:t>
      </w:r>
      <w:r>
        <w:rPr>
          <w:rFonts w:hint="eastAsia" w:ascii="仿宋" w:hAnsi="仿宋" w:eastAsia="仿宋" w:cs="仿宋"/>
          <w:sz w:val="30"/>
          <w:szCs w:val="30"/>
          <w:lang w:eastAsia="zh-CN"/>
        </w:rPr>
        <w:t>）</w:t>
      </w:r>
      <w:r>
        <w:rPr>
          <w:rFonts w:hint="eastAsia" w:ascii="仿宋" w:hAnsi="仿宋" w:eastAsia="仿宋" w:cs="仿宋"/>
          <w:sz w:val="30"/>
          <w:szCs w:val="30"/>
        </w:rPr>
        <w:t>建立统一的科技管理平台和科研项目资金协调、实施评估、监管机制。</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5</w:t>
      </w:r>
      <w:r>
        <w:rPr>
          <w:rFonts w:hint="eastAsia" w:ascii="仿宋" w:hAnsi="仿宋" w:eastAsia="仿宋" w:cs="仿宋"/>
          <w:sz w:val="30"/>
          <w:szCs w:val="30"/>
          <w:lang w:eastAsia="zh-CN"/>
        </w:rPr>
        <w:t>）</w:t>
      </w:r>
      <w:r>
        <w:rPr>
          <w:rFonts w:hint="eastAsia" w:ascii="仿宋" w:hAnsi="仿宋" w:eastAsia="仿宋" w:cs="仿宋"/>
          <w:sz w:val="30"/>
          <w:szCs w:val="30"/>
        </w:rPr>
        <w:t>拟订深化全县农村经济体制改革和</w:t>
      </w:r>
      <w:r>
        <w:rPr>
          <w:rFonts w:hint="eastAsia" w:ascii="仿宋" w:hAnsi="仿宋" w:eastAsia="仿宋" w:cs="仿宋"/>
          <w:sz w:val="30"/>
          <w:szCs w:val="30"/>
          <w:lang w:eastAsia="zh-CN"/>
        </w:rPr>
        <w:t>巩固和完善</w:t>
      </w:r>
      <w:r>
        <w:rPr>
          <w:rFonts w:hint="eastAsia" w:ascii="仿宋" w:hAnsi="仿宋" w:eastAsia="仿宋" w:cs="仿宋"/>
          <w:sz w:val="30"/>
          <w:szCs w:val="30"/>
        </w:rPr>
        <w:t>农村基本经营制度的政策措施。</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6</w:t>
      </w:r>
      <w:r>
        <w:rPr>
          <w:rFonts w:hint="eastAsia" w:ascii="仿宋" w:hAnsi="仿宋" w:eastAsia="仿宋" w:cs="仿宋"/>
          <w:sz w:val="30"/>
          <w:szCs w:val="30"/>
          <w:lang w:eastAsia="zh-CN"/>
        </w:rPr>
        <w:t>）</w:t>
      </w:r>
      <w:r>
        <w:rPr>
          <w:rFonts w:hint="eastAsia" w:ascii="仿宋" w:hAnsi="仿宋" w:eastAsia="仿宋" w:cs="仿宋"/>
          <w:sz w:val="30"/>
          <w:szCs w:val="30"/>
        </w:rPr>
        <w:t>指导全县乡村特色产业、农产品加工业</w:t>
      </w:r>
      <w:r>
        <w:rPr>
          <w:rFonts w:hint="eastAsia" w:ascii="仿宋" w:hAnsi="仿宋" w:eastAsia="仿宋" w:cs="仿宋"/>
          <w:sz w:val="30"/>
          <w:szCs w:val="30"/>
          <w:lang w:eastAsia="zh-CN"/>
        </w:rPr>
        <w:t>（</w:t>
      </w:r>
      <w:r>
        <w:rPr>
          <w:rFonts w:hint="eastAsia" w:ascii="仿宋" w:hAnsi="仿宋" w:eastAsia="仿宋" w:cs="仿宋"/>
          <w:sz w:val="30"/>
          <w:szCs w:val="30"/>
        </w:rPr>
        <w:t>产地初加工</w:t>
      </w:r>
      <w:r>
        <w:rPr>
          <w:rFonts w:hint="eastAsia" w:ascii="仿宋" w:hAnsi="仿宋" w:eastAsia="仿宋" w:cs="仿宋"/>
          <w:sz w:val="30"/>
          <w:szCs w:val="30"/>
          <w:lang w:eastAsia="zh-CN"/>
        </w:rPr>
        <w:t>）</w:t>
      </w:r>
      <w:r>
        <w:rPr>
          <w:rFonts w:hint="eastAsia" w:ascii="仿宋" w:hAnsi="仿宋" w:eastAsia="仿宋" w:cs="仿宋"/>
          <w:sz w:val="30"/>
          <w:szCs w:val="30"/>
        </w:rPr>
        <w:t>、休闲农业和乡村涉农企业发展工作。</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7</w:t>
      </w:r>
      <w:r>
        <w:rPr>
          <w:rFonts w:hint="eastAsia" w:ascii="仿宋" w:hAnsi="仿宋" w:eastAsia="仿宋" w:cs="仿宋"/>
          <w:sz w:val="30"/>
          <w:szCs w:val="30"/>
          <w:lang w:eastAsia="zh-CN"/>
        </w:rPr>
        <w:t>）</w:t>
      </w:r>
      <w:r>
        <w:rPr>
          <w:rFonts w:hint="eastAsia" w:ascii="仿宋" w:hAnsi="仿宋" w:eastAsia="仿宋" w:cs="仿宋"/>
          <w:sz w:val="30"/>
          <w:szCs w:val="30"/>
        </w:rPr>
        <w:t>组织实施重大科技专项，组织参与国家、省、州重大科技专项。</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8</w:t>
      </w:r>
      <w:r>
        <w:rPr>
          <w:rFonts w:hint="eastAsia" w:ascii="仿宋" w:hAnsi="仿宋" w:eastAsia="仿宋" w:cs="仿宋"/>
          <w:sz w:val="30"/>
          <w:szCs w:val="30"/>
          <w:lang w:eastAsia="zh-CN"/>
        </w:rPr>
        <w:t>）</w:t>
      </w:r>
      <w:r>
        <w:rPr>
          <w:rFonts w:hint="eastAsia" w:ascii="仿宋" w:hAnsi="仿宋" w:eastAsia="仿宋" w:cs="仿宋"/>
          <w:sz w:val="30"/>
          <w:szCs w:val="30"/>
        </w:rPr>
        <w:t>统筹区域科技创新体系建设，指导区域创新发展、科技资源合理布局和协同创新能力建设，推动科技园区、科技</w:t>
      </w:r>
      <w:r>
        <w:rPr>
          <w:rFonts w:hint="eastAsia" w:ascii="仿宋" w:hAnsi="仿宋" w:eastAsia="仿宋" w:cs="仿宋"/>
          <w:sz w:val="30"/>
          <w:szCs w:val="30"/>
          <w:lang w:eastAsia="zh-CN"/>
        </w:rPr>
        <w:t>小镇等</w:t>
      </w:r>
      <w:r>
        <w:rPr>
          <w:rFonts w:hint="eastAsia" w:ascii="仿宋" w:hAnsi="仿宋" w:eastAsia="仿宋" w:cs="仿宋"/>
          <w:sz w:val="30"/>
          <w:szCs w:val="30"/>
        </w:rPr>
        <w:t>科技平台建设。</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9</w:t>
      </w:r>
      <w:r>
        <w:rPr>
          <w:rFonts w:hint="eastAsia" w:ascii="仿宋" w:hAnsi="仿宋" w:eastAsia="仿宋" w:cs="仿宋"/>
          <w:sz w:val="30"/>
          <w:szCs w:val="30"/>
          <w:lang w:eastAsia="zh-CN"/>
        </w:rPr>
        <w:t>）</w:t>
      </w:r>
      <w:r>
        <w:rPr>
          <w:rFonts w:hint="eastAsia" w:ascii="仿宋" w:hAnsi="仿宋" w:eastAsia="仿宋" w:cs="仿宋"/>
          <w:sz w:val="30"/>
          <w:szCs w:val="30"/>
        </w:rPr>
        <w:t>负责引进国外智力工作，拟订全县重点引进外国专家总体规划、计划并组织实施，建立外国科学家、团队吸引集聚机制和外国专家联系服务机制。</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10</w:t>
      </w:r>
      <w:r>
        <w:rPr>
          <w:rFonts w:hint="eastAsia" w:ascii="仿宋" w:hAnsi="仿宋" w:eastAsia="仿宋" w:cs="仿宋"/>
          <w:sz w:val="30"/>
          <w:szCs w:val="30"/>
          <w:lang w:eastAsia="zh-CN"/>
        </w:rPr>
        <w:t>）</w:t>
      </w:r>
      <w:r>
        <w:rPr>
          <w:rFonts w:hint="eastAsia" w:ascii="仿宋" w:hAnsi="仿宋" w:eastAsia="仿宋" w:cs="仿宋"/>
          <w:sz w:val="30"/>
          <w:szCs w:val="30"/>
        </w:rPr>
        <w:t>负责全县种植业、畜牧业</w:t>
      </w:r>
      <w:r>
        <w:rPr>
          <w:rFonts w:hint="eastAsia" w:ascii="仿宋" w:hAnsi="仿宋" w:eastAsia="仿宋" w:cs="仿宋"/>
          <w:sz w:val="30"/>
          <w:szCs w:val="30"/>
          <w:lang w:eastAsia="zh-CN"/>
        </w:rPr>
        <w:t>（草原畜牧业）</w:t>
      </w:r>
      <w:r>
        <w:rPr>
          <w:rFonts w:hint="eastAsia" w:ascii="仿宋" w:hAnsi="仿宋" w:eastAsia="仿宋" w:cs="仿宋"/>
          <w:sz w:val="30"/>
          <w:szCs w:val="30"/>
        </w:rPr>
        <w:t>、渔业、农垦农业机械化等农业各产业的监督管理。</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11</w:t>
      </w:r>
      <w:r>
        <w:rPr>
          <w:rFonts w:hint="eastAsia" w:ascii="仿宋" w:hAnsi="仿宋" w:eastAsia="仿宋" w:cs="仿宋"/>
          <w:sz w:val="30"/>
          <w:szCs w:val="30"/>
          <w:lang w:eastAsia="zh-CN"/>
        </w:rPr>
        <w:t>）</w:t>
      </w:r>
      <w:r>
        <w:rPr>
          <w:rFonts w:hint="eastAsia" w:ascii="仿宋" w:hAnsi="仿宋" w:eastAsia="仿宋" w:cs="仿宋"/>
          <w:sz w:val="30"/>
          <w:szCs w:val="30"/>
        </w:rPr>
        <w:t>负责制定全县农业产业机械化、智能化、数字化发展规划并组织实施。</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12</w:t>
      </w:r>
      <w:r>
        <w:rPr>
          <w:rFonts w:hint="eastAsia" w:ascii="仿宋" w:hAnsi="仿宋" w:eastAsia="仿宋" w:cs="仿宋"/>
          <w:sz w:val="30"/>
          <w:szCs w:val="30"/>
          <w:lang w:eastAsia="zh-CN"/>
        </w:rPr>
        <w:t>）</w:t>
      </w:r>
      <w:r>
        <w:rPr>
          <w:rFonts w:hint="eastAsia" w:ascii="仿宋" w:hAnsi="仿宋" w:eastAsia="仿宋" w:cs="仿宋"/>
          <w:color w:val="auto"/>
          <w:sz w:val="30"/>
          <w:szCs w:val="30"/>
        </w:rPr>
        <w:t>负</w:t>
      </w:r>
      <w:r>
        <w:rPr>
          <w:rFonts w:hint="eastAsia" w:ascii="仿宋" w:hAnsi="仿宋" w:eastAsia="仿宋" w:cs="仿宋"/>
          <w:sz w:val="30"/>
          <w:szCs w:val="30"/>
        </w:rPr>
        <w:t>责全县农产品质量安全监督管理。组织开展农产品质量安全监测、追溯、风险评估。</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13</w:t>
      </w:r>
      <w:r>
        <w:rPr>
          <w:rFonts w:hint="eastAsia" w:ascii="仿宋" w:hAnsi="仿宋" w:eastAsia="仿宋" w:cs="仿宋"/>
          <w:sz w:val="30"/>
          <w:szCs w:val="30"/>
          <w:lang w:eastAsia="zh-CN"/>
        </w:rPr>
        <w:t>）</w:t>
      </w:r>
      <w:r>
        <w:rPr>
          <w:rFonts w:hint="eastAsia" w:ascii="仿宋" w:hAnsi="仿宋" w:eastAsia="仿宋" w:cs="仿宋"/>
          <w:sz w:val="30"/>
          <w:szCs w:val="30"/>
        </w:rPr>
        <w:t>组织开展全县农业资源区划和资源保护工作。指导农用地、渔业水域以及农业生物物种资源的保护与管理，负责水生野生动植物保护、耕地及永久基本农田质量保护工作。</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14</w:t>
      </w:r>
      <w:r>
        <w:rPr>
          <w:rFonts w:hint="eastAsia" w:ascii="仿宋" w:hAnsi="仿宋" w:eastAsia="仿宋" w:cs="仿宋"/>
          <w:sz w:val="30"/>
          <w:szCs w:val="30"/>
          <w:lang w:eastAsia="zh-CN"/>
        </w:rPr>
        <w:t>）</w:t>
      </w:r>
      <w:r>
        <w:rPr>
          <w:rFonts w:hint="eastAsia" w:ascii="仿宋" w:hAnsi="仿宋" w:eastAsia="仿宋" w:cs="仿宋"/>
          <w:sz w:val="30"/>
          <w:szCs w:val="30"/>
        </w:rPr>
        <w:t>负责全县农业生产资料和农业投入品的</w:t>
      </w:r>
      <w:r>
        <w:rPr>
          <w:rFonts w:hint="eastAsia" w:ascii="仿宋" w:hAnsi="仿宋" w:eastAsia="仿宋" w:cs="仿宋"/>
          <w:sz w:val="30"/>
          <w:szCs w:val="30"/>
          <w:lang w:eastAsia="zh-CN"/>
        </w:rPr>
        <w:t>监督管理工作组织</w:t>
      </w:r>
      <w:r>
        <w:rPr>
          <w:rFonts w:hint="eastAsia" w:ascii="仿宋" w:hAnsi="仿宋" w:eastAsia="仿宋" w:cs="仿宋"/>
          <w:sz w:val="30"/>
          <w:szCs w:val="30"/>
        </w:rPr>
        <w:t>农业生产资料市场体系建设，承担农作物种子</w:t>
      </w:r>
      <w:r>
        <w:rPr>
          <w:rFonts w:hint="eastAsia" w:ascii="仿宋" w:hAnsi="仿宋" w:eastAsia="仿宋" w:cs="仿宋"/>
          <w:sz w:val="30"/>
          <w:szCs w:val="30"/>
          <w:lang w:eastAsia="zh-CN"/>
        </w:rPr>
        <w:t>（</w:t>
      </w:r>
      <w:r>
        <w:rPr>
          <w:rFonts w:hint="eastAsia" w:ascii="仿宋" w:hAnsi="仿宋" w:eastAsia="仿宋" w:cs="仿宋"/>
          <w:sz w:val="30"/>
          <w:szCs w:val="30"/>
        </w:rPr>
        <w:t>种苗</w:t>
      </w:r>
      <w:r>
        <w:rPr>
          <w:rFonts w:hint="eastAsia" w:ascii="仿宋" w:hAnsi="仿宋" w:eastAsia="仿宋" w:cs="仿宋"/>
          <w:sz w:val="30"/>
          <w:szCs w:val="30"/>
          <w:lang w:eastAsia="zh-CN"/>
        </w:rPr>
        <w:t>）</w:t>
      </w:r>
      <w:r>
        <w:rPr>
          <w:rFonts w:hint="eastAsia" w:ascii="仿宋" w:hAnsi="仿宋" w:eastAsia="仿宋" w:cs="仿宋"/>
          <w:sz w:val="30"/>
          <w:szCs w:val="30"/>
        </w:rPr>
        <w:t>、食用菌种、饲草良种、种畜禽、水产苗种、农药、兽药</w:t>
      </w:r>
      <w:r>
        <w:rPr>
          <w:rFonts w:hint="eastAsia" w:ascii="仿宋" w:hAnsi="仿宋" w:eastAsia="仿宋" w:cs="仿宋"/>
          <w:sz w:val="30"/>
          <w:szCs w:val="30"/>
          <w:lang w:eastAsia="zh-CN"/>
        </w:rPr>
        <w:t>（</w:t>
      </w:r>
      <w:r>
        <w:rPr>
          <w:rFonts w:hint="eastAsia" w:ascii="仿宋" w:hAnsi="仿宋" w:eastAsia="仿宋" w:cs="仿宋"/>
          <w:sz w:val="30"/>
          <w:szCs w:val="30"/>
        </w:rPr>
        <w:t>渔药</w:t>
      </w:r>
      <w:r>
        <w:rPr>
          <w:rFonts w:hint="eastAsia" w:ascii="仿宋" w:hAnsi="仿宋" w:eastAsia="仿宋" w:cs="仿宋"/>
          <w:sz w:val="30"/>
          <w:szCs w:val="30"/>
          <w:lang w:eastAsia="zh-CN"/>
        </w:rPr>
        <w:t>）</w:t>
      </w:r>
      <w:r>
        <w:rPr>
          <w:rFonts w:hint="eastAsia" w:ascii="仿宋" w:hAnsi="仿宋" w:eastAsia="仿宋" w:cs="仿宋"/>
          <w:sz w:val="30"/>
          <w:szCs w:val="30"/>
        </w:rPr>
        <w:t>饲料、饲料添加剂等农业生产资料的监督管理，牵头负责“瘦肉精”监督管理工作。</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15</w:t>
      </w:r>
      <w:r>
        <w:rPr>
          <w:rFonts w:hint="eastAsia" w:ascii="仿宋" w:hAnsi="仿宋" w:eastAsia="仿宋" w:cs="仿宋"/>
          <w:sz w:val="30"/>
          <w:szCs w:val="30"/>
          <w:lang w:eastAsia="zh-CN"/>
        </w:rPr>
        <w:t>）</w:t>
      </w:r>
      <w:r>
        <w:rPr>
          <w:rFonts w:hint="eastAsia" w:ascii="仿宋" w:hAnsi="仿宋" w:eastAsia="仿宋" w:cs="仿宋"/>
          <w:color w:val="auto"/>
          <w:sz w:val="30"/>
          <w:szCs w:val="30"/>
        </w:rPr>
        <w:t>负责全县农业防灾减灾、农作物重大病虫害防治工作。会同有关部门制定动植物防疫检疫政策并指导实施。</w:t>
      </w:r>
    </w:p>
    <w:p>
      <w:pPr>
        <w:keepNext w:val="0"/>
        <w:keepLines w:val="0"/>
        <w:pageBreakBefore w:val="0"/>
        <w:widowControl w:val="0"/>
        <w:kinsoku/>
        <w:wordWrap/>
        <w:overflowPunct/>
        <w:topLinePunct w:val="0"/>
        <w:autoSpaceDE w:val="0"/>
        <w:autoSpaceDN w:val="0"/>
        <w:bidi w:val="0"/>
        <w:adjustRightInd/>
        <w:snapToGrid/>
        <w:spacing w:line="560" w:lineRule="exact"/>
        <w:ind w:left="596" w:leftChars="284" w:right="0" w:firstLine="0" w:firstLineChars="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16</w:t>
      </w:r>
      <w:r>
        <w:rPr>
          <w:rFonts w:hint="eastAsia" w:ascii="仿宋" w:hAnsi="仿宋" w:eastAsia="仿宋" w:cs="仿宋"/>
          <w:sz w:val="30"/>
          <w:szCs w:val="30"/>
          <w:lang w:eastAsia="zh-CN"/>
        </w:rPr>
        <w:t>）</w:t>
      </w:r>
      <w:r>
        <w:rPr>
          <w:rFonts w:hint="eastAsia" w:ascii="仿宋" w:hAnsi="仿宋" w:eastAsia="仿宋" w:cs="仿宋"/>
          <w:sz w:val="30"/>
          <w:szCs w:val="30"/>
        </w:rPr>
        <w:t>负责全县农田建设管理。组织拟订农田建设发展规划。</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17</w:t>
      </w:r>
      <w:r>
        <w:rPr>
          <w:rFonts w:hint="eastAsia" w:ascii="仿宋" w:hAnsi="仿宋" w:eastAsia="仿宋" w:cs="仿宋"/>
          <w:sz w:val="30"/>
          <w:szCs w:val="30"/>
          <w:lang w:eastAsia="zh-CN"/>
        </w:rPr>
        <w:t>）</w:t>
      </w:r>
      <w:r>
        <w:rPr>
          <w:rFonts w:hint="eastAsia" w:ascii="仿宋" w:hAnsi="仿宋" w:eastAsia="仿宋" w:cs="仿宋"/>
          <w:sz w:val="30"/>
          <w:szCs w:val="30"/>
        </w:rPr>
        <w:t>组织拟订全县农业科研、农技推广的规划、计划和有关政策并组织实施，牵头推动农业科技体制改革和农业科技创新体系建设。指导农业产业技术体系和农技推广体系建设，组织农作物、畜禽、水产养殖等新品种育种攻关和农业先进技术引进试验、转化、示范、推广。负责农业转基因生物安全监督管理和</w:t>
      </w:r>
      <w:r>
        <w:rPr>
          <w:rFonts w:hint="eastAsia" w:ascii="仿宋" w:hAnsi="仿宋" w:eastAsia="仿宋" w:cs="仿宋"/>
          <w:sz w:val="30"/>
          <w:szCs w:val="30"/>
          <w:lang w:eastAsia="zh-CN"/>
        </w:rPr>
        <w:t>农</w:t>
      </w:r>
      <w:r>
        <w:rPr>
          <w:rFonts w:hint="eastAsia" w:ascii="仿宋" w:hAnsi="仿宋" w:eastAsia="仿宋" w:cs="仿宋"/>
          <w:sz w:val="30"/>
          <w:szCs w:val="30"/>
        </w:rPr>
        <w:t>业植物新品种保护。</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18</w:t>
      </w:r>
      <w:r>
        <w:rPr>
          <w:rFonts w:hint="eastAsia" w:ascii="仿宋" w:hAnsi="仿宋" w:eastAsia="仿宋" w:cs="仿宋"/>
          <w:sz w:val="30"/>
          <w:szCs w:val="30"/>
          <w:lang w:eastAsia="zh-CN"/>
        </w:rPr>
        <w:t>）</w:t>
      </w:r>
      <w:r>
        <w:rPr>
          <w:rFonts w:hint="eastAsia" w:ascii="仿宋" w:hAnsi="仿宋" w:eastAsia="仿宋" w:cs="仿宋"/>
          <w:sz w:val="30"/>
          <w:szCs w:val="30"/>
        </w:rPr>
        <w:t>牵头开展全县农业对外合作工作</w:t>
      </w:r>
      <w:r>
        <w:rPr>
          <w:rFonts w:hint="eastAsia" w:ascii="仿宋" w:hAnsi="仿宋" w:eastAsia="仿宋" w:cs="仿宋"/>
          <w:sz w:val="30"/>
          <w:szCs w:val="30"/>
          <w:lang w:eastAsia="zh-CN"/>
        </w:rPr>
        <w:t>，</w:t>
      </w:r>
      <w:r>
        <w:rPr>
          <w:rFonts w:hint="eastAsia" w:ascii="仿宋" w:hAnsi="仿宋" w:eastAsia="仿宋" w:cs="仿宋"/>
          <w:sz w:val="30"/>
          <w:szCs w:val="30"/>
        </w:rPr>
        <w:t>承办县政府农业涉外事务，参与拟订农业对外开放政策和外向型农业发展规划，指导外向型农业发展。</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19</w:t>
      </w:r>
      <w:r>
        <w:rPr>
          <w:rFonts w:hint="eastAsia" w:ascii="仿宋" w:hAnsi="仿宋" w:eastAsia="仿宋" w:cs="仿宋"/>
          <w:sz w:val="30"/>
          <w:szCs w:val="30"/>
          <w:lang w:eastAsia="zh-CN"/>
        </w:rPr>
        <w:t>）</w:t>
      </w:r>
      <w:r>
        <w:rPr>
          <w:rFonts w:hint="eastAsia" w:ascii="仿宋" w:hAnsi="仿宋" w:eastAsia="仿宋" w:cs="仿宋"/>
          <w:sz w:val="30"/>
          <w:szCs w:val="30"/>
        </w:rPr>
        <w:t>制定科技人才队伍、农业农村人才队伍建设规划。</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20</w:t>
      </w:r>
      <w:r>
        <w:rPr>
          <w:rFonts w:hint="eastAsia" w:ascii="仿宋" w:hAnsi="仿宋" w:eastAsia="仿宋" w:cs="仿宋"/>
          <w:sz w:val="30"/>
          <w:szCs w:val="30"/>
          <w:lang w:eastAsia="zh-CN"/>
        </w:rPr>
        <w:t>）</w:t>
      </w:r>
      <w:r>
        <w:rPr>
          <w:rFonts w:hint="eastAsia" w:ascii="仿宋" w:hAnsi="仿宋" w:eastAsia="仿宋" w:cs="仿宋"/>
          <w:sz w:val="30"/>
          <w:szCs w:val="30"/>
        </w:rPr>
        <w:t>统筹协调和监督指导全县农业综合执法</w:t>
      </w:r>
      <w:r>
        <w:rPr>
          <w:rFonts w:hint="eastAsia" w:ascii="仿宋" w:hAnsi="仿宋" w:eastAsia="仿宋" w:cs="仿宋"/>
          <w:sz w:val="30"/>
          <w:szCs w:val="30"/>
          <w:lang w:eastAsia="zh-CN"/>
        </w:rPr>
        <w:t>，</w:t>
      </w:r>
      <w:r>
        <w:rPr>
          <w:rFonts w:hint="eastAsia" w:ascii="仿宋" w:hAnsi="仿宋" w:eastAsia="仿宋" w:cs="仿宋"/>
          <w:sz w:val="30"/>
          <w:szCs w:val="30"/>
        </w:rPr>
        <w:t>负责监督指导重大案件查处</w:t>
      </w:r>
      <w:r>
        <w:rPr>
          <w:rFonts w:hint="eastAsia" w:ascii="仿宋" w:hAnsi="仿宋" w:eastAsia="仿宋" w:cs="仿宋"/>
          <w:sz w:val="30"/>
          <w:szCs w:val="30"/>
          <w:lang w:eastAsia="zh-CN"/>
        </w:rPr>
        <w:t>和</w:t>
      </w:r>
      <w:r>
        <w:rPr>
          <w:rFonts w:hint="eastAsia" w:ascii="仿宋" w:hAnsi="仿宋" w:eastAsia="仿宋" w:cs="仿宋"/>
          <w:sz w:val="30"/>
          <w:szCs w:val="30"/>
        </w:rPr>
        <w:t>县本级办理的涉农违法案件</w:t>
      </w:r>
      <w:r>
        <w:rPr>
          <w:rFonts w:hint="eastAsia" w:ascii="仿宋" w:hAnsi="仿宋" w:eastAsia="仿宋" w:cs="仿宋"/>
          <w:sz w:val="30"/>
          <w:szCs w:val="30"/>
          <w:lang w:eastAsia="zh-CN"/>
        </w:rPr>
        <w:t>，</w:t>
      </w:r>
      <w:r>
        <w:rPr>
          <w:rFonts w:hint="eastAsia" w:ascii="仿宋" w:hAnsi="仿宋" w:eastAsia="仿宋" w:cs="仿宋"/>
          <w:sz w:val="30"/>
          <w:szCs w:val="30"/>
        </w:rPr>
        <w:t>推进农业依法行政。</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21</w:t>
      </w:r>
      <w:r>
        <w:rPr>
          <w:rFonts w:hint="eastAsia" w:ascii="仿宋" w:hAnsi="仿宋" w:eastAsia="仿宋" w:cs="仿宋"/>
          <w:sz w:val="30"/>
          <w:szCs w:val="30"/>
          <w:lang w:eastAsia="zh-CN"/>
        </w:rPr>
        <w:t>）</w:t>
      </w:r>
      <w:r>
        <w:rPr>
          <w:rFonts w:hint="eastAsia" w:ascii="仿宋" w:hAnsi="仿宋" w:eastAsia="仿宋" w:cs="仿宋"/>
          <w:sz w:val="30"/>
          <w:szCs w:val="30"/>
        </w:rPr>
        <w:t>负责全县农业投资项目、农业综合项目管理。提出农业投融资体制机制改革建议。</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22</w:t>
      </w:r>
      <w:r>
        <w:rPr>
          <w:rFonts w:hint="eastAsia" w:ascii="仿宋" w:hAnsi="仿宋" w:eastAsia="仿宋" w:cs="仿宋"/>
          <w:sz w:val="30"/>
          <w:szCs w:val="30"/>
          <w:lang w:eastAsia="zh-CN"/>
        </w:rPr>
        <w:t>）</w:t>
      </w:r>
      <w:r>
        <w:rPr>
          <w:rFonts w:hint="eastAsia" w:ascii="仿宋" w:hAnsi="仿宋" w:eastAsia="仿宋" w:cs="仿宋"/>
          <w:sz w:val="30"/>
          <w:szCs w:val="30"/>
        </w:rPr>
        <w:t>负责职责范围内的安全生产和职业健康、生态环境保护、公共机构节能减排、审批服务便民化等工作。</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lang w:eastAsia="zh-CN"/>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23</w:t>
      </w:r>
      <w:r>
        <w:rPr>
          <w:rFonts w:hint="eastAsia" w:ascii="仿宋" w:hAnsi="仿宋" w:eastAsia="仿宋" w:cs="仿宋"/>
          <w:sz w:val="30"/>
          <w:szCs w:val="30"/>
          <w:lang w:eastAsia="zh-CN"/>
        </w:rPr>
        <w:t>）</w:t>
      </w:r>
      <w:r>
        <w:rPr>
          <w:rFonts w:hint="eastAsia" w:ascii="仿宋" w:hAnsi="仿宋" w:eastAsia="仿宋" w:cs="仿宋"/>
          <w:sz w:val="30"/>
          <w:szCs w:val="30"/>
        </w:rPr>
        <w:t>完成县委和县政府交办的其他任务。</w:t>
      </w:r>
    </w:p>
    <w:p>
      <w:pPr>
        <w:numPr>
          <w:ilvl w:val="0"/>
          <w:numId w:val="0"/>
        </w:numPr>
        <w:rPr>
          <w:rFonts w:hint="eastAsia"/>
          <w:lang w:eastAsia="zh-CN"/>
        </w:rPr>
      </w:pPr>
    </w:p>
    <w:p>
      <w:pPr>
        <w:pStyle w:val="6"/>
        <w:rPr>
          <w:rStyle w:val="29"/>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pPr>
        <w:ind w:firstLine="800" w:firstLineChars="250"/>
        <w:rPr>
          <w:rFonts w:hint="eastAsia" w:ascii="Times New Roman" w:hAnsi="Times New Roman" w:eastAsia="仿宋_GB2312" w:cs="仿宋_GB2312"/>
          <w:color w:val="auto"/>
          <w:sz w:val="32"/>
          <w:szCs w:val="32"/>
          <w:highlight w:val="none"/>
        </w:rPr>
      </w:pPr>
      <w:bookmarkStart w:id="10" w:name="_Toc15377432"/>
      <w:bookmarkStart w:id="11" w:name="_Toc15377201"/>
      <w:bookmarkStart w:id="12" w:name="_Toc15378448"/>
      <w:bookmarkStart w:id="13" w:name="_Toc15306275"/>
      <w:r>
        <w:rPr>
          <w:rFonts w:hint="eastAsia" w:ascii="Times New Roman" w:hAnsi="Times New Roman" w:eastAsia="仿宋_GB2312" w:cs="Times New Roman"/>
          <w:kern w:val="0"/>
          <w:sz w:val="32"/>
          <w:szCs w:val="32"/>
          <w:lang w:val="en-US" w:eastAsia="zh-CN"/>
        </w:rPr>
        <w:t>壤塘县科学技术和</w:t>
      </w:r>
      <w:r>
        <w:rPr>
          <w:rFonts w:hint="eastAsia" w:eastAsia="仿宋_GB2312" w:cs="Times New Roman"/>
          <w:kern w:val="0"/>
          <w:sz w:val="32"/>
          <w:szCs w:val="32"/>
          <w:lang w:val="en-US" w:eastAsia="zh-CN"/>
        </w:rPr>
        <w:t>农业畜牧局</w:t>
      </w:r>
      <w:r>
        <w:rPr>
          <w:rFonts w:hint="eastAsia" w:ascii="Times New Roman" w:hAnsi="Times New Roman" w:eastAsia="仿宋_GB2312" w:cs="Times New Roman"/>
          <w:kern w:val="0"/>
          <w:sz w:val="32"/>
          <w:szCs w:val="32"/>
          <w:lang w:val="en-US" w:eastAsia="zh-CN"/>
        </w:rPr>
        <w:t>独立编制机构1个</w:t>
      </w:r>
      <w:r>
        <w:rPr>
          <w:rFonts w:hint="eastAsia" w:eastAsia="仿宋_GB2312" w:cs="Times New Roman"/>
          <w:kern w:val="0"/>
          <w:sz w:val="32"/>
          <w:szCs w:val="32"/>
          <w:lang w:val="en-US" w:eastAsia="zh-CN"/>
        </w:rPr>
        <w:t>，</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r>
        <w:rPr>
          <w:rFonts w:hint="eastAsia" w:ascii="仿宋_GB2312" w:hAnsi="仿宋_GB2312" w:eastAsia="仿宋_GB2312" w:cs="仿宋_GB2312"/>
          <w:sz w:val="32"/>
          <w:szCs w:val="32"/>
          <w:highlight w:val="none"/>
          <w:lang w:val="en-US" w:eastAsia="zh-CN"/>
        </w:rPr>
        <w:t>壤塘县科学技术和农业畜牧局行政人员8人，当年减少2人，增加3人，参照公务员法管理事业人员参照公务员法管理事业人员18人，行政工勤1人。</w:t>
      </w:r>
    </w:p>
    <w:bookmarkEnd w:id="10"/>
    <w:bookmarkEnd w:id="11"/>
    <w:bookmarkEnd w:id="12"/>
    <w:bookmarkEnd w:id="13"/>
    <w:p>
      <w:pPr>
        <w:pStyle w:val="8"/>
        <w:numPr>
          <w:ilvl w:val="0"/>
          <w:numId w:val="0"/>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p>
    <w:p>
      <w:pPr>
        <w:pStyle w:val="8"/>
        <w:adjustRightInd w:val="0"/>
        <w:snapToGrid w:val="0"/>
        <w:spacing w:before="93" w:line="600" w:lineRule="exact"/>
        <w:rPr>
          <w:rFonts w:hint="eastAsia" w:ascii="Times New Roman" w:hAnsi="Times New Roman" w:eastAsia="仿宋_GB2312" w:cs="仿宋_GB2312"/>
          <w:color w:val="auto"/>
          <w:sz w:val="32"/>
          <w:szCs w:val="32"/>
          <w:highlight w:val="none"/>
        </w:rPr>
      </w:pP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5"/>
        <w:jc w:val="center"/>
        <w:rPr>
          <w:rFonts w:hint="eastAsia" w:ascii="Times New Roman" w:hAnsi="Times New Roman" w:eastAsia="方正小标宋简体" w:cs="方正小标宋简体"/>
          <w:b w:val="0"/>
          <w:color w:val="auto"/>
          <w:highlight w:val="none"/>
        </w:rPr>
      </w:pPr>
      <w:bookmarkStart w:id="14" w:name="_Toc15396602"/>
      <w:bookmarkStart w:id="15"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4"/>
      <w:bookmarkEnd w:id="15"/>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77205"/>
      <w:bookmarkStart w:id="17"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6"/>
      <w:bookmarkEnd w:id="1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val="en-US" w:eastAsia="zh-CN"/>
        </w:rPr>
        <w:t>8928.30万元、</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为</w:t>
      </w:r>
      <w:r>
        <w:rPr>
          <w:rFonts w:hint="eastAsia" w:eastAsia="仿宋_GB2312" w:cs="仿宋_GB2312"/>
          <w:color w:val="auto"/>
          <w:sz w:val="32"/>
          <w:szCs w:val="32"/>
          <w:highlight w:val="none"/>
          <w:lang w:val="en-US" w:eastAsia="zh-CN"/>
        </w:rPr>
        <w:t>8936.03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val="en-US" w:eastAsia="zh-CN"/>
        </w:rPr>
        <w:t>减少12121.17，下降57.58%;</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总计减少</w:t>
      </w:r>
      <w:r>
        <w:rPr>
          <w:rFonts w:hint="eastAsia" w:eastAsia="仿宋_GB2312" w:cs="仿宋_GB2312"/>
          <w:color w:val="auto"/>
          <w:sz w:val="32"/>
          <w:szCs w:val="32"/>
          <w:highlight w:val="none"/>
          <w:lang w:val="en-US" w:eastAsia="zh-CN"/>
        </w:rPr>
        <w:t>12091.32</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57.50</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val="en-US" w:eastAsia="zh-CN"/>
        </w:rPr>
        <w:t>是项目减少。</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_GB2312" w:cs="仿宋_GB2312"/>
          <w:color w:val="auto"/>
          <w:sz w:val="32"/>
          <w:szCs w:val="32"/>
          <w:highlight w:val="none"/>
          <w:lang w:val="en-US" w:eastAsia="zh-CN"/>
        </w:rPr>
      </w:pPr>
      <w:r>
        <w:drawing>
          <wp:anchor distT="0" distB="0" distL="114300" distR="114300" simplePos="0" relativeHeight="251659264" behindDoc="0" locked="0" layoutInCell="1" allowOverlap="1">
            <wp:simplePos x="0" y="0"/>
            <wp:positionH relativeFrom="column">
              <wp:posOffset>600075</wp:posOffset>
            </wp:positionH>
            <wp:positionV relativeFrom="paragraph">
              <wp:posOffset>230505</wp:posOffset>
            </wp:positionV>
            <wp:extent cx="4572000" cy="2967990"/>
            <wp:effectExtent l="5080" t="4445" r="13970" b="18415"/>
            <wp:wrapSquare wrapText="bothSides"/>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8" w:name="_Toc15377206"/>
      <w:bookmarkStart w:id="19" w:name="_Toc15396604"/>
      <w:r>
        <w:rPr>
          <w:rFonts w:hint="eastAsia" w:ascii="Times New Roman" w:hAnsi="Times New Roman" w:eastAsia="黑体"/>
          <w:color w:val="auto"/>
          <w:sz w:val="32"/>
          <w:szCs w:val="32"/>
          <w:highlight w:val="none"/>
          <w:lang w:eastAsia="zh-CN"/>
        </w:rPr>
        <w:t>二、收入决算情况说明</w:t>
      </w:r>
      <w:bookmarkEnd w:id="18"/>
      <w:bookmarkEnd w:id="19"/>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本年收入合计8928.3万元，其中：一般公共预算财政拨款收入8741.19万元，占</w:t>
      </w:r>
      <w:r>
        <w:rPr>
          <w:rFonts w:hint="eastAsia" w:eastAsia="仿宋_GB2312" w:cs="仿宋_GB2312"/>
          <w:color w:val="auto"/>
          <w:sz w:val="32"/>
          <w:szCs w:val="32"/>
          <w:highlight w:val="none"/>
          <w:lang w:val="en-US" w:eastAsia="zh-CN"/>
        </w:rPr>
        <w:t>97.9</w:t>
      </w:r>
      <w:r>
        <w:rPr>
          <w:rFonts w:hint="eastAsia" w:ascii="Times New Roman" w:hAnsi="Times New Roman" w:eastAsia="仿宋_GB2312" w:cs="仿宋_GB2312"/>
          <w:color w:val="auto"/>
          <w:sz w:val="32"/>
          <w:szCs w:val="32"/>
          <w:highlight w:val="none"/>
          <w:lang w:eastAsia="zh-CN"/>
        </w:rPr>
        <w:t>%；政府性基金预算财政拨款收入3.85万元，占</w:t>
      </w:r>
      <w:r>
        <w:rPr>
          <w:rFonts w:hint="eastAsia" w:eastAsia="仿宋_GB2312" w:cs="仿宋_GB2312"/>
          <w:color w:val="auto"/>
          <w:sz w:val="32"/>
          <w:szCs w:val="32"/>
          <w:highlight w:val="none"/>
          <w:lang w:val="en-US" w:eastAsia="zh-CN"/>
        </w:rPr>
        <w:t>0.04</w:t>
      </w:r>
      <w:r>
        <w:rPr>
          <w:rFonts w:hint="eastAsia" w:ascii="Times New Roman" w:hAnsi="Times New Roman" w:eastAsia="仿宋_GB2312" w:cs="仿宋_GB2312"/>
          <w:color w:val="auto"/>
          <w:sz w:val="32"/>
          <w:szCs w:val="32"/>
          <w:highlight w:val="none"/>
          <w:lang w:eastAsia="zh-CN"/>
        </w:rPr>
        <w:t>%；其他收入183.26万元，占</w:t>
      </w:r>
      <w:r>
        <w:rPr>
          <w:rFonts w:hint="eastAsia" w:eastAsia="仿宋_GB2312" w:cs="仿宋_GB2312"/>
          <w:color w:val="auto"/>
          <w:sz w:val="32"/>
          <w:szCs w:val="32"/>
          <w:highlight w:val="none"/>
          <w:lang w:val="en-US" w:eastAsia="zh-CN"/>
        </w:rPr>
        <w:t>2.06</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175895</wp:posOffset>
            </wp:positionH>
            <wp:positionV relativeFrom="paragraph">
              <wp:posOffset>318135</wp:posOffset>
            </wp:positionV>
            <wp:extent cx="4572000" cy="2743200"/>
            <wp:effectExtent l="4445" t="4445" r="14605" b="14605"/>
            <wp:wrapSquare wrapText="bothSides"/>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0" w:name="_Toc15377207"/>
      <w:bookmarkStart w:id="21"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0"/>
      <w:bookmarkEnd w:id="21"/>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本年支出合计8936.03万元，其中：基本支出2936.28万元，占</w:t>
      </w:r>
      <w:r>
        <w:rPr>
          <w:rFonts w:hint="eastAsia" w:eastAsia="仿宋_GB2312" w:cs="仿宋_GB2312"/>
          <w:color w:val="auto"/>
          <w:sz w:val="32"/>
          <w:szCs w:val="32"/>
          <w:highlight w:val="none"/>
          <w:lang w:val="en-US" w:eastAsia="zh-CN"/>
        </w:rPr>
        <w:t>32.86</w:t>
      </w:r>
      <w:r>
        <w:rPr>
          <w:rFonts w:hint="eastAsia" w:ascii="Times New Roman" w:hAnsi="Times New Roman" w:eastAsia="仿宋_GB2312" w:cs="仿宋_GB2312"/>
          <w:color w:val="auto"/>
          <w:sz w:val="32"/>
          <w:szCs w:val="32"/>
          <w:highlight w:val="none"/>
          <w:lang w:eastAsia="zh-CN"/>
        </w:rPr>
        <w:t>%；项目支出5999.75万元，占</w:t>
      </w:r>
      <w:r>
        <w:rPr>
          <w:rFonts w:hint="eastAsia" w:eastAsia="仿宋_GB2312" w:cs="仿宋_GB2312"/>
          <w:color w:val="auto"/>
          <w:sz w:val="32"/>
          <w:szCs w:val="32"/>
          <w:highlight w:val="none"/>
          <w:lang w:val="en-US" w:eastAsia="zh-CN"/>
        </w:rPr>
        <w:t>67.14</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703580</wp:posOffset>
            </wp:positionH>
            <wp:positionV relativeFrom="paragraph">
              <wp:posOffset>205105</wp:posOffset>
            </wp:positionV>
            <wp:extent cx="3672205" cy="1488440"/>
            <wp:effectExtent l="4445" t="4445" r="19050" b="12065"/>
            <wp:wrapSquare wrapText="bothSides"/>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29"/>
          <w:rFonts w:ascii="Times New Roman" w:hAnsi="Times New Roman" w:eastAsia="黑体"/>
          <w:b w:val="0"/>
          <w:color w:val="auto"/>
          <w:highlight w:val="none"/>
        </w:rPr>
      </w:pPr>
      <w:bookmarkStart w:id="22" w:name="_Toc15377208"/>
      <w:bookmarkStart w:id="23"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2"/>
      <w:bookmarkEnd w:id="23"/>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财政拨款收入、支出总计均为8745.04万元。与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12104.54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58.06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项目减少。</w:t>
      </w:r>
    </w:p>
    <w:p>
      <w:pPr>
        <w:spacing w:line="600" w:lineRule="exact"/>
        <w:ind w:firstLine="420" w:firstLineChars="20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410210</wp:posOffset>
            </wp:positionH>
            <wp:positionV relativeFrom="paragraph">
              <wp:posOffset>361315</wp:posOffset>
            </wp:positionV>
            <wp:extent cx="4572000" cy="2743200"/>
            <wp:effectExtent l="4445" t="4445" r="14605" b="14605"/>
            <wp:wrapSquare wrapText="bothSides"/>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29"/>
          <w:rFonts w:ascii="Times New Roman" w:hAnsi="Times New Roman" w:eastAsia="黑体"/>
          <w:b w:val="0"/>
          <w:color w:val="auto"/>
          <w:highlight w:val="none"/>
        </w:rPr>
      </w:pPr>
      <w:bookmarkStart w:id="24" w:name="_Toc15396607"/>
      <w:bookmarkStart w:id="25"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4"/>
      <w:bookmarkEnd w:id="2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6"/>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一般公共预算财政拨款支出8741.19万元，占本年支出合计的</w:t>
      </w:r>
      <w:r>
        <w:rPr>
          <w:rFonts w:hint="eastAsia" w:eastAsia="仿宋_GB2312" w:cs="仿宋_GB2312"/>
          <w:color w:val="auto"/>
          <w:kern w:val="2"/>
          <w:sz w:val="32"/>
          <w:szCs w:val="32"/>
          <w:highlight w:val="none"/>
          <w:lang w:val="en-US" w:eastAsia="zh-CN" w:bidi="ar-SA"/>
        </w:rPr>
        <w:t>97.82</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8108.39</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48.12</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kern w:val="2"/>
          <w:sz w:val="32"/>
          <w:szCs w:val="32"/>
          <w:highlight w:val="none"/>
          <w:lang w:val="en-US" w:eastAsia="zh-CN" w:bidi="ar-SA"/>
        </w:rPr>
        <w:t>是项目减少。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437515</wp:posOffset>
            </wp:positionH>
            <wp:positionV relativeFrom="paragraph">
              <wp:posOffset>76200</wp:posOffset>
            </wp:positionV>
            <wp:extent cx="4572000" cy="2033905"/>
            <wp:effectExtent l="4445" t="4445" r="14605" b="19050"/>
            <wp:wrapSquare wrapText="bothSides"/>
            <wp:docPr id="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7"/>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一般公共预算财政拨款支出8741.19万元，主要用于以下方面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农林水支出7801.91</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89.25</w:t>
      </w:r>
      <w:r>
        <w:rPr>
          <w:rFonts w:hint="eastAsia" w:ascii="Times New Roman" w:hAnsi="Times New Roman" w:eastAsia="仿宋_GB2312" w:cs="仿宋_GB2312"/>
          <w:color w:val="auto"/>
          <w:kern w:val="2"/>
          <w:sz w:val="32"/>
          <w:szCs w:val="32"/>
          <w:highlight w:val="none"/>
          <w:lang w:val="en-US" w:eastAsia="zh-CN" w:bidi="ar-SA"/>
        </w:rPr>
        <w:t>%；粮油物资储备支出15.86</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0.18</w:t>
      </w:r>
      <w:r>
        <w:rPr>
          <w:rFonts w:hint="eastAsia" w:ascii="Times New Roman" w:hAnsi="Times New Roman" w:eastAsia="仿宋_GB2312" w:cs="仿宋_GB2312"/>
          <w:color w:val="auto"/>
          <w:kern w:val="2"/>
          <w:sz w:val="32"/>
          <w:szCs w:val="32"/>
          <w:highlight w:val="none"/>
          <w:lang w:val="en-US" w:eastAsia="zh-CN" w:bidi="ar-SA"/>
        </w:rPr>
        <w:t>%；科学技术支出138.86万元，占</w:t>
      </w:r>
      <w:r>
        <w:rPr>
          <w:rFonts w:hint="eastAsia" w:eastAsia="仿宋_GB2312" w:cs="仿宋_GB2312"/>
          <w:color w:val="auto"/>
          <w:kern w:val="2"/>
          <w:sz w:val="32"/>
          <w:szCs w:val="32"/>
          <w:highlight w:val="none"/>
          <w:lang w:val="en-US" w:eastAsia="zh-CN" w:bidi="ar-SA"/>
        </w:rPr>
        <w:t>1.59</w:t>
      </w:r>
      <w:r>
        <w:rPr>
          <w:rFonts w:hint="eastAsia" w:ascii="Times New Roman" w:hAnsi="Times New Roman" w:eastAsia="仿宋_GB2312" w:cs="仿宋_GB2312"/>
          <w:color w:val="auto"/>
          <w:kern w:val="2"/>
          <w:sz w:val="32"/>
          <w:szCs w:val="32"/>
          <w:highlight w:val="none"/>
          <w:lang w:val="en-US" w:eastAsia="zh-CN" w:bidi="ar-SA"/>
        </w:rPr>
        <w:t>%；社会保障和就业支出418.87万元，占</w:t>
      </w:r>
      <w:r>
        <w:rPr>
          <w:rFonts w:hint="eastAsia" w:eastAsia="仿宋_GB2312" w:cs="仿宋_GB2312"/>
          <w:color w:val="auto"/>
          <w:kern w:val="2"/>
          <w:sz w:val="32"/>
          <w:szCs w:val="32"/>
          <w:highlight w:val="none"/>
          <w:lang w:val="en-US" w:eastAsia="zh-CN" w:bidi="ar-SA"/>
        </w:rPr>
        <w:t>4.79</w:t>
      </w:r>
      <w:r>
        <w:rPr>
          <w:rFonts w:hint="eastAsia" w:ascii="Times New Roman" w:hAnsi="Times New Roman" w:eastAsia="仿宋_GB2312" w:cs="仿宋_GB2312"/>
          <w:color w:val="auto"/>
          <w:kern w:val="2"/>
          <w:sz w:val="32"/>
          <w:szCs w:val="32"/>
          <w:highlight w:val="none"/>
          <w:lang w:val="en-US" w:eastAsia="zh-CN" w:bidi="ar-SA"/>
        </w:rPr>
        <w:t>%；卫生健康支出149.47万元，占</w:t>
      </w:r>
      <w:r>
        <w:rPr>
          <w:rFonts w:hint="eastAsia" w:eastAsia="仿宋_GB2312" w:cs="仿宋_GB2312"/>
          <w:color w:val="auto"/>
          <w:kern w:val="2"/>
          <w:sz w:val="32"/>
          <w:szCs w:val="32"/>
          <w:highlight w:val="none"/>
          <w:lang w:val="en-US" w:eastAsia="zh-CN" w:bidi="ar-SA"/>
        </w:rPr>
        <w:t>1.71</w:t>
      </w:r>
      <w:r>
        <w:rPr>
          <w:rFonts w:hint="eastAsia" w:ascii="Times New Roman" w:hAnsi="Times New Roman" w:eastAsia="仿宋_GB2312" w:cs="仿宋_GB2312"/>
          <w:color w:val="auto"/>
          <w:kern w:val="2"/>
          <w:sz w:val="32"/>
          <w:szCs w:val="32"/>
          <w:highlight w:val="none"/>
          <w:lang w:val="en-US" w:eastAsia="zh-CN" w:bidi="ar-SA"/>
        </w:rPr>
        <w:t>%；住房保障支出216.22万元，占</w:t>
      </w:r>
      <w:r>
        <w:rPr>
          <w:rFonts w:hint="eastAsia" w:eastAsia="仿宋_GB2312" w:cs="仿宋_GB2312"/>
          <w:color w:val="auto"/>
          <w:kern w:val="2"/>
          <w:sz w:val="32"/>
          <w:szCs w:val="32"/>
          <w:highlight w:val="none"/>
          <w:lang w:val="en-US" w:eastAsia="zh-CN" w:bidi="ar-SA"/>
        </w:rPr>
        <w:t>2.48</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0" locked="0" layoutInCell="1" allowOverlap="1">
            <wp:simplePos x="0" y="0"/>
            <wp:positionH relativeFrom="column">
              <wp:posOffset>324485</wp:posOffset>
            </wp:positionH>
            <wp:positionV relativeFrom="paragraph">
              <wp:posOffset>237490</wp:posOffset>
            </wp:positionV>
            <wp:extent cx="4572000" cy="2396490"/>
            <wp:effectExtent l="4445" t="4445" r="14605" b="18415"/>
            <wp:wrapSquare wrapText="bothSides"/>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9" w:name="_Toc15377213"/>
      <w:bookmarkStart w:id="30" w:name="_Toc15378460"/>
      <w:bookmarkStart w:id="31"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一般公共预算支出决算数为8741.19，完成预算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9"/>
      <w:bookmarkEnd w:id="30"/>
      <w:bookmarkEnd w:id="31"/>
    </w:p>
    <w:p>
      <w:pPr>
        <w:numPr>
          <w:ilvl w:val="0"/>
          <w:numId w:val="3"/>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科学技术支出（类）技术研究与开发（款）科技成果转化与扩散（项）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支出决算为50万元，完成预算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numPr>
          <w:ilvl w:val="0"/>
          <w:numId w:val="3"/>
        </w:numPr>
        <w:spacing w:line="600" w:lineRule="exact"/>
        <w:ind w:left="0" w:leftChars="0" w:firstLine="64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科学技术支出（类）其他科学技术支出（款）其他科学技术支出（项）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支出决算为88.86万元，完成预算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支出决算为275.16万元，完成预算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支出决算为137.9万元，完成预算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pStyle w:val="2"/>
        <w:rPr>
          <w:rFonts w:hint="default"/>
          <w:lang w:val="en-US" w:eastAsia="zh-CN"/>
        </w:rPr>
      </w:pP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社会保障和就业支出（类）抚恤（款）死亡抚恤（项）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支出决算为5.82万元，完成预算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pStyle w:val="2"/>
        <w:rPr>
          <w:rFonts w:hint="default"/>
          <w:lang w:val="en-US" w:eastAsia="zh-CN"/>
        </w:rPr>
      </w:pP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p>
      <w:pPr>
        <w:pStyle w:val="2"/>
        <w:numPr>
          <w:ilvl w:val="0"/>
          <w:numId w:val="0"/>
        </w:numPr>
        <w:ind w:left="640" w:leftChars="0"/>
        <w:rPr>
          <w:rFonts w:hint="default"/>
          <w:lang w:val="en-US" w:eastAsia="zh-CN"/>
        </w:rPr>
      </w:pPr>
    </w:p>
    <w:p>
      <w:pPr>
        <w:pStyle w:val="2"/>
        <w:widowControl w:val="0"/>
        <w:numPr>
          <w:ilvl w:val="0"/>
          <w:numId w:val="0"/>
        </w:numPr>
        <w:snapToGrid w:val="0"/>
        <w:jc w:val="left"/>
        <w:rPr>
          <w:rFonts w:hint="default"/>
          <w:lang w:val="en-US"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.卫生健康支出（类）行政事业单位医疗（款）行政单位医疗（项）: 支出决算为43.05万元，完成预算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.卫生健康支出（类）行政事业单位医疗（款）事业单位医疗（项）: 支出决算为77.5万元，完成预算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.卫生健康支出（类）行政事业单位医疗（款）其他行政事业单位医疗支出（项）: 支出决算为18.6万元，完成预算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.农林水支出（类）农业农村（款）行政运行（项）: 支出决算为855.82万元，完成预算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.农林水支出（类）农业农村（款）一般行政管理事务（项）: 支出决算为11.69万元，完成预算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.农林水支出（类）农业农村（款）事业运行（项）: 支出决算为1301.72万元，完成预算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农林水支出（类）农业农村（款）病虫害控制（项）: 支出决算为22.16万元，完成预算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3.农林水支出（类）农业农村（款）执法监管（项）: 支出决算为3.22万元，完成预算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.农林水支出（类）农业农村（款）防灾救灾（项）: 支出129.08万元，完成预算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.农林水支出（类）农业农村（款）稳定农民收入补贴（项）: 支出210.73万元，完成预算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.农林水支出（类）农业农村（款）农业生产发展（项）: 支出175.82万元，完成预算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.农林水支出（类）农业农村（款）农业生态资源保护（项）: 支出24.98万元，完成预算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.农林水支出（类）农业农村（款）其他农业农村支出（项）: 支出777.26万元，完成预算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.农林水支出（类）</w:t>
      </w:r>
      <w:r>
        <w:rPr>
          <w:rFonts w:hint="eastAsia" w:eastAsia="仿宋_GB2312" w:cs="仿宋_GB2312"/>
          <w:color w:val="auto"/>
          <w:kern w:val="2"/>
          <w:sz w:val="32"/>
          <w:szCs w:val="32"/>
          <w:highlight w:val="none"/>
          <w:lang w:val="en-US" w:eastAsia="zh-CN" w:bidi="ar-SA"/>
        </w:rPr>
        <w:t>巩固拓展脱贫</w:t>
      </w:r>
      <w:r>
        <w:rPr>
          <w:rFonts w:hint="eastAsia" w:ascii="Times New Roman" w:hAnsi="Times New Roman" w:eastAsia="仿宋_GB2312" w:cs="仿宋_GB2312"/>
          <w:color w:val="auto"/>
          <w:kern w:val="2"/>
          <w:sz w:val="32"/>
          <w:szCs w:val="32"/>
          <w:highlight w:val="none"/>
          <w:lang w:val="en-US" w:eastAsia="zh-CN" w:bidi="ar-SA"/>
        </w:rPr>
        <w:t>攻坚成果衔接乡村振兴（款）农村基础设施建设（项）: 支出468.25万元，完成预算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.农林水支出（类）</w:t>
      </w:r>
      <w:r>
        <w:rPr>
          <w:rFonts w:hint="eastAsia" w:eastAsia="仿宋_GB2312" w:cs="仿宋_GB2312"/>
          <w:color w:val="auto"/>
          <w:kern w:val="2"/>
          <w:sz w:val="32"/>
          <w:szCs w:val="32"/>
          <w:highlight w:val="none"/>
          <w:lang w:val="en-US" w:eastAsia="zh-CN" w:bidi="ar-SA"/>
        </w:rPr>
        <w:t>巩固拓展脱贫</w:t>
      </w:r>
      <w:r>
        <w:rPr>
          <w:rFonts w:hint="eastAsia" w:ascii="Times New Roman" w:hAnsi="Times New Roman" w:eastAsia="仿宋_GB2312" w:cs="仿宋_GB2312"/>
          <w:color w:val="auto"/>
          <w:kern w:val="2"/>
          <w:sz w:val="32"/>
          <w:szCs w:val="32"/>
          <w:highlight w:val="none"/>
          <w:lang w:val="en-US" w:eastAsia="zh-CN" w:bidi="ar-SA"/>
        </w:rPr>
        <w:t>攻坚成果衔接乡村振兴（款）生产发展（项）: 支出3299.88万元，完成预算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.农林水支出（类）</w:t>
      </w:r>
      <w:r>
        <w:rPr>
          <w:rFonts w:hint="eastAsia" w:eastAsia="仿宋_GB2312" w:cs="仿宋_GB2312"/>
          <w:color w:val="auto"/>
          <w:kern w:val="2"/>
          <w:sz w:val="32"/>
          <w:szCs w:val="32"/>
          <w:highlight w:val="none"/>
          <w:lang w:val="en-US" w:eastAsia="zh-CN" w:bidi="ar-SA"/>
        </w:rPr>
        <w:t>巩固拓展脱贫</w:t>
      </w:r>
      <w:r>
        <w:rPr>
          <w:rFonts w:hint="eastAsia" w:ascii="Times New Roman" w:hAnsi="Times New Roman" w:eastAsia="仿宋_GB2312" w:cs="仿宋_GB2312"/>
          <w:color w:val="auto"/>
          <w:kern w:val="2"/>
          <w:sz w:val="32"/>
          <w:szCs w:val="32"/>
          <w:highlight w:val="none"/>
          <w:lang w:val="en-US" w:eastAsia="zh-CN" w:bidi="ar-SA"/>
        </w:rPr>
        <w:t>攻坚成果衔接乡村振兴（款）社会发展（项）: 支出42.77万元，完成预算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.农林水支出（类）</w:t>
      </w:r>
      <w:r>
        <w:rPr>
          <w:rFonts w:hint="eastAsia" w:eastAsia="仿宋_GB2312" w:cs="仿宋_GB2312"/>
          <w:color w:val="auto"/>
          <w:kern w:val="2"/>
          <w:sz w:val="32"/>
          <w:szCs w:val="32"/>
          <w:highlight w:val="none"/>
          <w:lang w:val="en-US" w:eastAsia="zh-CN" w:bidi="ar-SA"/>
        </w:rPr>
        <w:t>巩固拓展脱贫</w:t>
      </w:r>
      <w:r>
        <w:rPr>
          <w:rFonts w:hint="eastAsia" w:ascii="Times New Roman" w:hAnsi="Times New Roman" w:eastAsia="仿宋_GB2312" w:cs="仿宋_GB2312"/>
          <w:color w:val="auto"/>
          <w:kern w:val="2"/>
          <w:sz w:val="32"/>
          <w:szCs w:val="32"/>
          <w:highlight w:val="none"/>
          <w:lang w:val="en-US" w:eastAsia="zh-CN" w:bidi="ar-SA"/>
        </w:rPr>
        <w:t>攻坚成果衔接乡村振兴（款）其他</w:t>
      </w:r>
      <w:r>
        <w:rPr>
          <w:rFonts w:hint="eastAsia" w:eastAsia="仿宋_GB2312" w:cs="仿宋_GB2312"/>
          <w:color w:val="auto"/>
          <w:kern w:val="2"/>
          <w:sz w:val="32"/>
          <w:szCs w:val="32"/>
          <w:highlight w:val="none"/>
          <w:lang w:val="en-US" w:eastAsia="zh-CN" w:bidi="ar-SA"/>
        </w:rPr>
        <w:t>巩固拓展脱贫</w:t>
      </w:r>
      <w:r>
        <w:rPr>
          <w:rFonts w:hint="eastAsia" w:ascii="Times New Roman" w:hAnsi="Times New Roman" w:eastAsia="仿宋_GB2312" w:cs="仿宋_GB2312"/>
          <w:color w:val="auto"/>
          <w:kern w:val="2"/>
          <w:sz w:val="32"/>
          <w:szCs w:val="32"/>
          <w:highlight w:val="none"/>
          <w:lang w:val="en-US" w:eastAsia="zh-CN" w:bidi="ar-SA"/>
        </w:rPr>
        <w:t>攻坚成果衔接乡村振兴支出（项）: 支出94.61万元，完成预算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.农林水支出（类）普惠金融发展支出（款）农业保险保费补贴（项）: 支出136.9万元，完成预算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.住房保障支出（类）住房改革支出（款）住房公积金（项）: 支出213.78万元，完成预算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.住房保障支出（类）住房改革支出（款）购房补贴（项）: 支出2.44万元，完成预算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.粮油物资储备支出（类）粮油物资事务（款）其他粮油物资事务支出（项）: 支出15.86万元，完成预算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项目预算准确。</w:t>
      </w:r>
    </w:p>
    <w:p>
      <w:pPr>
        <w:spacing w:line="600" w:lineRule="exact"/>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tabs>
          <w:tab w:val="right" w:pos="8306"/>
        </w:tabs>
        <w:spacing w:line="600" w:lineRule="exact"/>
        <w:ind w:firstLine="640"/>
        <w:outlineLvl w:val="1"/>
        <w:rPr>
          <w:rStyle w:val="29"/>
          <w:rFonts w:ascii="Times New Roman" w:hAnsi="Times New Roman"/>
          <w:color w:val="auto"/>
          <w:highlight w:val="none"/>
        </w:rPr>
      </w:pPr>
      <w:bookmarkStart w:id="32" w:name="_Toc15377214"/>
      <w:bookmarkStart w:id="33"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2"/>
      <w:bookmarkEnd w:id="33"/>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2936.28万元，其中：人员经费2800.92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135.36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outlineLvl w:val="1"/>
        <w:rPr>
          <w:rStyle w:val="29"/>
          <w:rFonts w:ascii="Times New Roman" w:hAnsi="Times New Roman" w:eastAsia="黑体"/>
          <w:b w:val="0"/>
          <w:color w:val="auto"/>
          <w:highlight w:val="none"/>
        </w:rPr>
      </w:pPr>
      <w:bookmarkStart w:id="34" w:name="_Toc15377215"/>
      <w:bookmarkStart w:id="35"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4"/>
      <w:bookmarkEnd w:id="3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6"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6"/>
    </w:p>
    <w:p>
      <w:pPr>
        <w:pStyle w:val="8"/>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cs="仿宋_GB2312"/>
          <w:color w:val="auto"/>
          <w:kern w:val="2"/>
          <w:sz w:val="32"/>
          <w:szCs w:val="32"/>
          <w:highlight w:val="none"/>
          <w:lang w:val="en-US" w:eastAsia="zh-CN" w:bidi="ar-SA"/>
        </w:rPr>
        <w:t>18.75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cs="仿宋_GB2312"/>
          <w:color w:val="auto"/>
          <w:kern w:val="2"/>
          <w:sz w:val="32"/>
          <w:szCs w:val="32"/>
          <w:highlight w:val="none"/>
          <w:lang w:val="en-US" w:eastAsia="zh-CN" w:bidi="ar-SA"/>
        </w:rPr>
        <w:t>2.99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cs="仿宋_GB2312"/>
          <w:color w:val="auto"/>
          <w:kern w:val="2"/>
          <w:sz w:val="32"/>
          <w:szCs w:val="32"/>
          <w:highlight w:val="none"/>
          <w:lang w:val="en-US" w:eastAsia="zh-CN" w:bidi="ar-SA"/>
        </w:rPr>
        <w:t>13.75</w:t>
      </w: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等于</w:t>
      </w:r>
      <w:r>
        <w:rPr>
          <w:rFonts w:hint="eastAsia" w:ascii="Times New Roman" w:hAnsi="Times New Roman" w:eastAsia="仿宋_GB2312" w:cs="仿宋_GB2312"/>
          <w:color w:val="auto"/>
          <w:kern w:val="2"/>
          <w:sz w:val="32"/>
          <w:szCs w:val="32"/>
          <w:highlight w:val="none"/>
          <w:lang w:val="en-US" w:eastAsia="zh-CN" w:bidi="ar-SA"/>
        </w:rPr>
        <w:t>预算数的主要原因是</w:t>
      </w:r>
      <w:r>
        <w:rPr>
          <w:rFonts w:hint="eastAsia" w:eastAsia="仿宋_GB2312" w:cs="仿宋_GB2312"/>
          <w:color w:val="auto"/>
          <w:kern w:val="2"/>
          <w:sz w:val="32"/>
          <w:szCs w:val="32"/>
          <w:highlight w:val="none"/>
          <w:lang w:val="en-US" w:eastAsia="zh-CN" w:bidi="ar-SA"/>
        </w:rPr>
        <w:t>按照单位实际情况预算。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18.75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pStyle w:val="8"/>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5408" behindDoc="0" locked="0" layoutInCell="1" allowOverlap="1">
            <wp:simplePos x="0" y="0"/>
            <wp:positionH relativeFrom="column">
              <wp:posOffset>385445</wp:posOffset>
            </wp:positionH>
            <wp:positionV relativeFrom="paragraph">
              <wp:posOffset>22860</wp:posOffset>
            </wp:positionV>
            <wp:extent cx="4572000" cy="2743200"/>
            <wp:effectExtent l="4445" t="4445" r="14605" b="14605"/>
            <wp:wrapSquare wrapText="bothSides"/>
            <wp:docPr id="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pStyle w:val="8"/>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18.75</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2.99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13.75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厉行节约。</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皮卡车1辆</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18.75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公务用车</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公务接待减少，厉行节约</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38" w:name="_Toc15377218"/>
      <w:bookmarkStart w:id="39" w:name="_Toc15396610"/>
    </w:p>
    <w:p>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8"/>
      <w:bookmarkEnd w:id="39"/>
    </w:p>
    <w:p>
      <w:pPr>
        <w:spacing w:line="600" w:lineRule="exact"/>
        <w:ind w:firstLine="640"/>
        <w:rPr>
          <w:rFonts w:hint="default"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3.85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0.05</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年度相比，政府性基金预算财政拨款支出减少</w:t>
      </w:r>
      <w:r>
        <w:rPr>
          <w:rFonts w:hint="eastAsia" w:eastAsia="仿宋_GB2312" w:cs="仿宋_GB2312"/>
          <w:color w:val="auto"/>
          <w:kern w:val="2"/>
          <w:sz w:val="32"/>
          <w:szCs w:val="32"/>
          <w:highlight w:val="none"/>
          <w:lang w:val="en-US" w:eastAsia="zh-CN" w:bidi="ar-SA"/>
        </w:rPr>
        <w:t>3996.15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99.9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政府性基金预算项目减少。</w:t>
      </w:r>
    </w:p>
    <w:p>
      <w:pPr>
        <w:numPr>
          <w:ilvl w:val="0"/>
          <w:numId w:val="0"/>
        </w:numPr>
        <w:spacing w:line="600" w:lineRule="exact"/>
        <w:ind w:firstLine="640" w:firstLineChars="200"/>
        <w:outlineLvl w:val="1"/>
        <w:rPr>
          <w:rStyle w:val="29"/>
          <w:rFonts w:ascii="Times New Roman" w:hAnsi="Times New Roman" w:eastAsia="黑体"/>
          <w:b w:val="0"/>
          <w:color w:val="auto"/>
          <w:highlight w:val="none"/>
        </w:rPr>
      </w:pPr>
      <w:bookmarkStart w:id="40" w:name="_Toc15377219"/>
      <w:bookmarkStart w:id="41"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0"/>
      <w:bookmarkEnd w:id="41"/>
    </w:p>
    <w:p>
      <w:pPr>
        <w:numPr>
          <w:ilvl w:val="0"/>
          <w:numId w:val="0"/>
        </w:numPr>
        <w:spacing w:line="600" w:lineRule="exact"/>
        <w:ind w:left="630" w:leftChars="0"/>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w:t>
      </w:r>
      <w:bookmarkStart w:id="42" w:name="_Toc15396612"/>
      <w:bookmarkStart w:id="43" w:name="_Toc15377221"/>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2"/>
      <w:bookmarkEnd w:id="43"/>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4" w:name="_Toc15377222"/>
      <w:r>
        <w:rPr>
          <w:rFonts w:hint="eastAsia" w:ascii="Times New Roman" w:hAnsi="Times New Roman" w:eastAsia="楷体_GB2312" w:cs="楷体_GB2312"/>
          <w:b/>
          <w:color w:val="auto"/>
          <w:sz w:val="32"/>
          <w:szCs w:val="32"/>
          <w:highlight w:val="none"/>
        </w:rPr>
        <w:t>（一）机关运行经费支出情况</w:t>
      </w:r>
      <w:bookmarkEnd w:id="44"/>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壤塘县科学技术和农业畜牧局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56.43</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12.54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18.18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厉行节约。</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5" w:name="_Toc15377223"/>
      <w:r>
        <w:rPr>
          <w:rFonts w:hint="eastAsia" w:ascii="Times New Roman" w:hAnsi="Times New Roman" w:eastAsia="楷体_GB2312" w:cs="楷体_GB2312"/>
          <w:b/>
          <w:color w:val="auto"/>
          <w:sz w:val="32"/>
          <w:szCs w:val="32"/>
          <w:highlight w:val="none"/>
        </w:rPr>
        <w:t>（二）政府采购支出情况</w:t>
      </w:r>
      <w:bookmarkEnd w:id="4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壤塘县科学技术和农业畜牧局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990.05</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814.99</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175.06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高标准农田、食用菌基地等项目开展需求</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894.55</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90.34</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871.55</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88.03</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6" w:name="_Toc15377224"/>
      <w:r>
        <w:rPr>
          <w:rFonts w:hint="eastAsia" w:ascii="Times New Roman" w:hAnsi="Times New Roman" w:eastAsia="楷体_GB2312" w:cs="楷体_GB2312"/>
          <w:b/>
          <w:color w:val="auto"/>
          <w:sz w:val="32"/>
          <w:szCs w:val="32"/>
          <w:highlight w:val="none"/>
        </w:rPr>
        <w:t>（三）国有资产占有使用情况</w:t>
      </w:r>
      <w:bookmarkEnd w:id="4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壤塘县科学技术和农业畜牧局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保障下乡、出差等使用。</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壤塘县科学技术和农业畜牧局</w:t>
      </w:r>
      <w:r>
        <w:rPr>
          <w:rFonts w:hint="eastAsia" w:ascii="Times New Roman" w:hAnsi="Times New Roman" w:eastAsia="仿宋_GB2312" w:cs="仿宋_GB2312"/>
          <w:color w:val="auto"/>
          <w:kern w:val="2"/>
          <w:sz w:val="32"/>
          <w:szCs w:val="32"/>
          <w:highlight w:val="none"/>
          <w:lang w:val="en-US" w:eastAsia="zh-CN" w:bidi="ar-SA"/>
        </w:rPr>
        <w:t>在2025年度，组织对壤塘县生态农副产品初加工园区项目（2期）等</w:t>
      </w:r>
      <w:r>
        <w:rPr>
          <w:rFonts w:hint="eastAsia" w:eastAsia="仿宋_GB2312" w:cs="仿宋_GB2312"/>
          <w:color w:val="auto"/>
          <w:kern w:val="2"/>
          <w:sz w:val="32"/>
          <w:szCs w:val="32"/>
          <w:highlight w:val="none"/>
          <w:lang w:val="en-US" w:eastAsia="zh-CN" w:bidi="ar-SA"/>
        </w:rPr>
        <w:t>62</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4963.51</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62</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62</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after="0" w:line="360" w:lineRule="auto"/>
        <w:ind w:firstLine="42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部门预算绩效自评报告（此项单位不涉及）、壤塘县生态农副产品初加工园区项目（2期）等专项预算项目绩效自评报告，其中，</w:t>
      </w:r>
      <w:r>
        <w:rPr>
          <w:rFonts w:hint="eastAsia" w:eastAsia="仿宋_GB2312" w:cs="仿宋_GB2312"/>
          <w:color w:val="auto"/>
          <w:kern w:val="2"/>
          <w:sz w:val="32"/>
          <w:szCs w:val="32"/>
          <w:highlight w:val="none"/>
          <w:lang w:val="en-US" w:eastAsia="zh-CN" w:bidi="ar-SA"/>
        </w:rPr>
        <w:t>壤塘县科学技术和农业畜牧局</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88</w:t>
      </w:r>
      <w:r>
        <w:rPr>
          <w:rFonts w:hint="eastAsia" w:ascii="Times New Roman" w:hAnsi="Times New Roman" w:eastAsia="仿宋_GB2312" w:cs="仿宋_GB2312"/>
          <w:color w:val="auto"/>
          <w:kern w:val="2"/>
          <w:sz w:val="32"/>
          <w:szCs w:val="32"/>
          <w:highlight w:val="none"/>
          <w:lang w:val="en-US" w:eastAsia="zh-CN" w:bidi="ar-SA"/>
        </w:rPr>
        <w:t>分，绩效自评综述我单位25年部门整体支出绩效评价得分88分，履职能力较好，预算管理合理，财务管理严格按照相关制度进行资金拨付，资产管理合理，采购管理符合单位相关要求。壤塘县2025年高素质农民培育项目专项预算项目绩效自评得分为</w:t>
      </w:r>
      <w:r>
        <w:rPr>
          <w:rFonts w:hint="eastAsia" w:eastAsia="仿宋_GB2312" w:cs="仿宋_GB2312"/>
          <w:color w:val="auto"/>
          <w:kern w:val="2"/>
          <w:sz w:val="32"/>
          <w:szCs w:val="32"/>
          <w:highlight w:val="none"/>
          <w:lang w:val="en-US" w:eastAsia="zh-CN" w:bidi="ar-SA"/>
        </w:rPr>
        <w:t>80</w:t>
      </w:r>
      <w:r>
        <w:rPr>
          <w:rFonts w:hint="eastAsia" w:ascii="Times New Roman" w:hAnsi="Times New Roman" w:eastAsia="仿宋_GB2312" w:cs="仿宋_GB2312"/>
          <w:color w:val="auto"/>
          <w:kern w:val="2"/>
          <w:sz w:val="32"/>
          <w:szCs w:val="32"/>
          <w:highlight w:val="none"/>
          <w:lang w:val="en-US" w:eastAsia="zh-CN" w:bidi="ar-SA"/>
        </w:rPr>
        <w:t>分，绩效自评综述通过开展壤塘县2025年高素质农民培育项目绩效自评，全面掌握项目资金安排、资金使用、培训组织、过程监管、目标完成和实施效果情况，客观评价财政资金使用绩效，查找项目实施和管理中存在的问题，提出改进建议，为后续高素质农民培育项目预算安排、政策完善和管理提升提供依据。壤塘县雨露计划项目专项预算项目绩效自评得分为</w:t>
      </w:r>
      <w:r>
        <w:rPr>
          <w:rFonts w:hint="eastAsia" w:eastAsia="仿宋_GB2312" w:cs="仿宋_GB2312"/>
          <w:color w:val="auto"/>
          <w:kern w:val="2"/>
          <w:sz w:val="32"/>
          <w:szCs w:val="32"/>
          <w:highlight w:val="none"/>
          <w:lang w:val="en-US" w:eastAsia="zh-CN" w:bidi="ar-SA"/>
        </w:rPr>
        <w:t>89</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default" w:ascii="Times New Roman" w:hAnsi="Times New Roman" w:eastAsia="仿宋_GB2312" w:cs="仿宋_GB2312"/>
          <w:color w:val="auto"/>
          <w:kern w:val="2"/>
          <w:sz w:val="32"/>
          <w:szCs w:val="32"/>
          <w:highlight w:val="none"/>
          <w:lang w:val="en-US" w:eastAsia="zh-CN" w:bidi="ar-SA"/>
        </w:rPr>
        <w:t>巩固拓展脱贫攻坚成果，防止返贫致贫，重点帮扶脱贫户、监测户家庭子女接受职业教育，落实助学补助，减轻就学负担，提升就业技能，助力稳定增收，切实筑牢防返贫底线。</w:t>
      </w:r>
    </w:p>
    <w:p>
      <w:pPr>
        <w:keepNext w:val="0"/>
        <w:keepLines w:val="0"/>
        <w:pageBreakBefore w:val="0"/>
        <w:numPr>
          <w:ilvl w:val="0"/>
          <w:numId w:val="0"/>
        </w:numPr>
        <w:pBdr>
          <w:bottom w:val="single" w:color="FFFFFF" w:sz="4" w:space="31"/>
        </w:pBdr>
        <w:tabs>
          <w:tab w:val="left" w:pos="1440"/>
        </w:tabs>
        <w:kinsoku/>
        <w:wordWrap/>
        <w:overflowPunct/>
        <w:topLinePunct w:val="0"/>
        <w:bidi w:val="0"/>
        <w:spacing w:line="560" w:lineRule="exact"/>
        <w:ind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。绩效自评报告详见附件。</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7" w:name="_Toc15377225"/>
      <w:bookmarkStart w:id="48"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7"/>
      <w:bookmarkEnd w:id="48"/>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pPr>
        <w:spacing w:line="600" w:lineRule="exact"/>
        <w:jc w:val="center"/>
        <w:rPr>
          <w:rStyle w:val="28"/>
          <w:rFonts w:hint="eastAsia" w:ascii="Times New Roman" w:hAnsi="Times New Roman" w:eastAsia="黑体"/>
          <w:b w:val="0"/>
          <w:color w:val="auto"/>
          <w:highlight w:val="none"/>
          <w:lang w:eastAsia="zh-CN"/>
        </w:rPr>
      </w:pPr>
      <w:bookmarkStart w:id="49"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0"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0"/>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eastAsia" w:eastAsia="方正小标宋简体" w:cs="Times New Roman"/>
          <w:b w:val="0"/>
          <w:bCs/>
          <w:sz w:val="44"/>
          <w:szCs w:val="44"/>
          <w:highlight w:val="none"/>
          <w:shd w:val="clear" w:color="auto" w:fill="FFFFFF"/>
          <w:lang w:val="en-US" w:eastAsia="zh-CN"/>
        </w:rPr>
        <w:t>壤塘县科学技术和农业畜牧局</w:t>
      </w: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spacing w:line="578" w:lineRule="exact"/>
        <w:ind w:firstLine="963" w:firstLineChars="300"/>
        <w:contextualSpacing/>
        <w:jc w:val="left"/>
        <w:textAlignment w:val="auto"/>
        <w:outlineLvl w:val="9"/>
        <w:rPr>
          <w:rFonts w:hint="default" w:ascii="Times New Roman" w:hAnsi="Times New Roman" w:eastAsia="仿宋_GB2312" w:cs="Times New Roman"/>
          <w:b/>
          <w:bCs/>
          <w:sz w:val="32"/>
          <w:szCs w:val="32"/>
          <w:highlight w:val="none"/>
          <w:shd w:val="clear" w:color="auto" w:fill="FFFFFF"/>
        </w:rPr>
      </w:pPr>
      <w:r>
        <w:rPr>
          <w:rFonts w:hint="default" w:ascii="Times New Roman" w:hAnsi="Times New Roman" w:eastAsia="仿宋_GB2312" w:cs="Times New Roman"/>
          <w:b/>
          <w:bCs/>
          <w:sz w:val="32"/>
          <w:szCs w:val="32"/>
          <w:highlight w:val="none"/>
          <w:shd w:val="clear" w:color="auto" w:fill="FFFFFF"/>
          <w:lang w:val="zh-CN"/>
        </w:rPr>
        <w:t>一、部门（单位）基本情况</w:t>
      </w:r>
    </w:p>
    <w:p>
      <w:pPr>
        <w:keepNext w:val="0"/>
        <w:keepLines w:val="0"/>
        <w:pageBreakBefore w:val="0"/>
        <w:widowControl/>
        <w:kinsoku/>
        <w:wordWrap/>
        <w:overflowPunct/>
        <w:topLinePunct w:val="0"/>
        <w:autoSpaceDE/>
        <w:autoSpaceDN/>
        <w:bidi w:val="0"/>
        <w:spacing w:line="578" w:lineRule="exact"/>
        <w:contextualSpacing/>
        <w:jc w:val="left"/>
        <w:textAlignment w:val="auto"/>
        <w:outlineLvl w:val="9"/>
        <w:rPr>
          <w:rFonts w:hint="default" w:ascii="Times New Roman" w:hAnsi="Times New Roman" w:eastAsia="仿宋_GB2312" w:cs="Times New Roman"/>
          <w:sz w:val="32"/>
          <w:szCs w:val="32"/>
          <w:highlight w:val="none"/>
          <w:shd w:val="clear" w:color="auto" w:fill="FFFFFF"/>
          <w:lang w:val="zh-CN"/>
        </w:rPr>
      </w:pPr>
      <w:r>
        <w:rPr>
          <w:rFonts w:hint="eastAsia" w:ascii="Times New Roman" w:hAnsi="Times New Roman" w:eastAsia="仿宋_GB2312" w:cs="Times New Roman"/>
          <w:sz w:val="32"/>
          <w:szCs w:val="32"/>
          <w:highlight w:val="none"/>
          <w:shd w:val="clear" w:color="auto" w:fill="FFFFFF"/>
          <w:lang w:val="en-US" w:eastAsia="zh-CN"/>
        </w:rPr>
        <w:t xml:space="preserve">   </w:t>
      </w:r>
      <w:r>
        <w:rPr>
          <w:rFonts w:hint="default" w:ascii="Times New Roman" w:hAnsi="Times New Roman" w:eastAsia="仿宋_GB2312" w:cs="Times New Roman"/>
          <w:b/>
          <w:bCs/>
          <w:sz w:val="32"/>
          <w:szCs w:val="32"/>
          <w:highlight w:val="none"/>
          <w:shd w:val="clear" w:color="auto" w:fill="FFFFFF"/>
          <w:lang w:val="zh-CN"/>
        </w:rPr>
        <w:t>（一）机构组成。</w:t>
      </w:r>
      <w:r>
        <w:rPr>
          <w:rFonts w:hint="eastAsia" w:ascii="Times New Roman" w:hAnsi="Times New Roman" w:eastAsia="仿宋_GB2312" w:cs="Times New Roman"/>
          <w:sz w:val="32"/>
          <w:szCs w:val="32"/>
          <w:highlight w:val="none"/>
          <w:shd w:val="clear" w:color="auto" w:fill="FFFFFF"/>
          <w:lang w:val="en-US" w:eastAsia="zh-CN"/>
        </w:rPr>
        <w:t>科技农牧局共有22个股室，其中涉及事业股站18个：科技生产力促进中心、科教站、农业技术推广站、农业种子管理站、农业植物保护站、农村合作经济管理站、土壤肥料和农村能源站、经济作物管理站、农畜水产品质量检测中心、乡村社会事业推进股、农村工作推进办、乡村振兴工作推进办、农牧民补助站、草原开发推广中心、畜牧服务站、畜牧工作站、科技综合管理服务中心、动物</w:t>
      </w:r>
      <w:r>
        <w:rPr>
          <w:rFonts w:hint="eastAsia" w:eastAsia="仿宋_GB2312" w:cs="Times New Roman"/>
          <w:sz w:val="32"/>
          <w:szCs w:val="32"/>
          <w:highlight w:val="none"/>
          <w:shd w:val="clear" w:color="auto" w:fill="FFFFFF"/>
          <w:lang w:val="en-US" w:eastAsia="zh-CN"/>
        </w:rPr>
        <w:t>防疫</w:t>
      </w:r>
      <w:r>
        <w:rPr>
          <w:rFonts w:hint="eastAsia" w:ascii="Times New Roman" w:hAnsi="Times New Roman" w:eastAsia="仿宋_GB2312" w:cs="Times New Roman"/>
          <w:sz w:val="32"/>
          <w:szCs w:val="32"/>
          <w:highlight w:val="none"/>
          <w:shd w:val="clear" w:color="auto" w:fill="FFFFFF"/>
          <w:lang w:val="en-US" w:eastAsia="zh-CN"/>
        </w:rPr>
        <w:t>控制中心；涉及行政股站4个，农业行政执法大队、农机监理管理站、动物卫生执法监督所、畜牧兽医服务中心等。</w:t>
      </w:r>
    </w:p>
    <w:p>
      <w:pPr>
        <w:keepNext w:val="0"/>
        <w:keepLines w:val="0"/>
        <w:pageBreakBefore w:val="0"/>
        <w:widowControl/>
        <w:kinsoku/>
        <w:wordWrap/>
        <w:overflowPunct/>
        <w:topLinePunct w:val="0"/>
        <w:autoSpaceDE/>
        <w:autoSpaceDN/>
        <w:bidi w:val="0"/>
        <w:spacing w:line="578" w:lineRule="exact"/>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 xml:space="preserve">   </w:t>
      </w:r>
      <w:r>
        <w:rPr>
          <w:rFonts w:hint="default" w:ascii="Times New Roman" w:hAnsi="Times New Roman" w:eastAsia="仿宋_GB2312" w:cs="Times New Roman"/>
          <w:b/>
          <w:bCs/>
          <w:sz w:val="32"/>
          <w:szCs w:val="32"/>
          <w:highlight w:val="none"/>
          <w:shd w:val="clear" w:color="auto" w:fill="FFFFFF"/>
          <w:lang w:val="zh-CN"/>
        </w:rPr>
        <w:t>（二）机构职能。</w:t>
      </w:r>
      <w:r>
        <w:rPr>
          <w:rFonts w:hint="eastAsia" w:ascii="Times New Roman" w:hAnsi="Times New Roman" w:eastAsia="仿宋_GB2312" w:cs="Times New Roman"/>
          <w:sz w:val="32"/>
          <w:szCs w:val="32"/>
          <w:highlight w:val="none"/>
          <w:shd w:val="clear" w:color="auto" w:fill="FFFFFF"/>
          <w:lang w:val="en-US" w:eastAsia="zh-CN"/>
        </w:rPr>
        <w:t>（1）贯彻执行有关创新驱动发展战略以及科技发展、引进国外智力规划和政策，拟订全县有关科技发展的政策措施并组织实施。</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（2）统筹研究和组织实施全县“三农”工作的发展</w:t>
      </w:r>
      <w:r>
        <w:rPr>
          <w:rFonts w:hint="eastAsia" w:eastAsia="仿宋_GB2312" w:cs="Times New Roman"/>
          <w:sz w:val="32"/>
          <w:szCs w:val="32"/>
          <w:highlight w:val="none"/>
          <w:shd w:val="clear" w:color="auto" w:fill="FFFFFF"/>
          <w:lang w:val="en-US" w:eastAsia="zh-CN"/>
        </w:rPr>
        <w:t>战略和中长期</w:t>
      </w:r>
      <w:r>
        <w:rPr>
          <w:rFonts w:hint="eastAsia" w:ascii="Times New Roman" w:hAnsi="Times New Roman" w:eastAsia="仿宋_GB2312" w:cs="Times New Roman"/>
          <w:sz w:val="32"/>
          <w:szCs w:val="32"/>
          <w:highlight w:val="none"/>
          <w:shd w:val="clear" w:color="auto" w:fill="FFFFFF"/>
          <w:lang w:val="en-US" w:eastAsia="zh-CN"/>
        </w:rPr>
        <w:t>规划、重大政策。</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（3）统筹实施乡村振兴战略，牵头组织改善全县农村人居环境。统筹推动发展农村社会事业、农村公共服务、农村文化、农村基础设施和乡村治理。</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（4）建立统一的科技管理平台和科研项目资金协调、实施评估、监管机制。</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（5）拟订深化全县农村经济体制改革和</w:t>
      </w:r>
      <w:r>
        <w:rPr>
          <w:rFonts w:hint="eastAsia" w:eastAsia="仿宋_GB2312" w:cs="Times New Roman"/>
          <w:sz w:val="32"/>
          <w:szCs w:val="32"/>
          <w:highlight w:val="none"/>
          <w:shd w:val="clear" w:color="auto" w:fill="FFFFFF"/>
          <w:lang w:val="en-US" w:eastAsia="zh-CN"/>
        </w:rPr>
        <w:t>巩固和完善</w:t>
      </w:r>
      <w:r>
        <w:rPr>
          <w:rFonts w:hint="eastAsia" w:ascii="Times New Roman" w:hAnsi="Times New Roman" w:eastAsia="仿宋_GB2312" w:cs="Times New Roman"/>
          <w:sz w:val="32"/>
          <w:szCs w:val="32"/>
          <w:highlight w:val="none"/>
          <w:shd w:val="clear" w:color="auto" w:fill="FFFFFF"/>
          <w:lang w:val="en-US" w:eastAsia="zh-CN"/>
        </w:rPr>
        <w:t>农村基本经营制度的政策措施。负责农民承包地、农村宅基地管理和改革有关工作。</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（6）指导全县乡村特色产业、农产品加工业（产地初加工）、休闲农业和乡村涉农企业发展工作。</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（7）组织实施重大科技专项，组织参与国家、省、州重大科技专项。</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（8）统筹区域科技创新体系建设，指导区域创新发展、科技资源合理布局和协同创新能力建设，推动科技园区、科技</w:t>
      </w:r>
      <w:r>
        <w:rPr>
          <w:rFonts w:hint="eastAsia" w:eastAsia="仿宋_GB2312" w:cs="Times New Roman"/>
          <w:sz w:val="32"/>
          <w:szCs w:val="32"/>
          <w:highlight w:val="none"/>
          <w:shd w:val="clear" w:color="auto" w:fill="FFFFFF"/>
          <w:lang w:val="en-US" w:eastAsia="zh-CN"/>
        </w:rPr>
        <w:t>小镇等</w:t>
      </w:r>
      <w:r>
        <w:rPr>
          <w:rFonts w:hint="eastAsia" w:ascii="Times New Roman" w:hAnsi="Times New Roman" w:eastAsia="仿宋_GB2312" w:cs="Times New Roman"/>
          <w:sz w:val="32"/>
          <w:szCs w:val="32"/>
          <w:highlight w:val="none"/>
          <w:shd w:val="clear" w:color="auto" w:fill="FFFFFF"/>
          <w:lang w:val="en-US" w:eastAsia="zh-CN"/>
        </w:rPr>
        <w:t>科技平台建设。</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（9）负责引进国外智力工作，拟订全县重点引进外国专家总体规划、计划并组织实施，建立外国科学家、团队吸引集聚机制和外国专家联系服务机制。</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（10）负责全县种植业、畜牧业（</w:t>
      </w:r>
      <w:r>
        <w:rPr>
          <w:rFonts w:hint="eastAsia" w:eastAsia="仿宋_GB2312" w:cs="Times New Roman"/>
          <w:sz w:val="32"/>
          <w:szCs w:val="32"/>
          <w:highlight w:val="none"/>
          <w:shd w:val="clear" w:color="auto" w:fill="FFFFFF"/>
          <w:lang w:val="en-US" w:eastAsia="zh-CN"/>
        </w:rPr>
        <w:t>草原畜牧业</w:t>
      </w:r>
      <w:r>
        <w:rPr>
          <w:rFonts w:hint="eastAsia" w:ascii="Times New Roman" w:hAnsi="Times New Roman" w:eastAsia="仿宋_GB2312" w:cs="Times New Roman"/>
          <w:sz w:val="32"/>
          <w:szCs w:val="32"/>
          <w:highlight w:val="none"/>
          <w:shd w:val="clear" w:color="auto" w:fill="FFFFFF"/>
          <w:lang w:val="en-US" w:eastAsia="zh-CN"/>
        </w:rPr>
        <w:t>）、渔业、农垦农业机械化等农业各产业的监督管理。</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（11）负责制定全县农业产业机械化、智能化、数字化发展规划并组织实施。</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（12）负责全县农产品质量安全监督管理。组织开展农产品质量安全监测、追溯、风险评估。</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（13）组织开展全县农业资源区划和资源保护工作。指导农用地、渔业水域以及农业生物物种资源的保护与管理，负责水生野生动植物保护、耕地及永久基本农田质量保护工作。</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（14）负责全县农业生产资料和农业投入品的</w:t>
      </w:r>
      <w:r>
        <w:rPr>
          <w:rFonts w:hint="eastAsia" w:eastAsia="仿宋_GB2312" w:cs="Times New Roman"/>
          <w:sz w:val="32"/>
          <w:szCs w:val="32"/>
          <w:highlight w:val="none"/>
          <w:shd w:val="clear" w:color="auto" w:fill="FFFFFF"/>
          <w:lang w:val="en-US" w:eastAsia="zh-CN"/>
        </w:rPr>
        <w:t>监督管理工作组织</w:t>
      </w:r>
      <w:r>
        <w:rPr>
          <w:rFonts w:hint="eastAsia" w:ascii="Times New Roman" w:hAnsi="Times New Roman" w:eastAsia="仿宋_GB2312" w:cs="Times New Roman"/>
          <w:sz w:val="32"/>
          <w:szCs w:val="32"/>
          <w:highlight w:val="none"/>
          <w:shd w:val="clear" w:color="auto" w:fill="FFFFFF"/>
          <w:lang w:val="en-US" w:eastAsia="zh-CN"/>
        </w:rPr>
        <w:t>农业生产资料市场体系建设。</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（15）负责全县农业防灾减灾、农作物重大病虫害防治工作。会同有关部门制定动植物防疫检疫政策并指导实施。</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（16）负责全县农田建设管理。组织拟订农田建设发展规划</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（17）组织拟订全县农业科研、农技推广的规划、计划和有关政策并组织实施，牵头推动农业科技体制改革和农业科技创新体系建设。</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（18）牵头开展全县农业对外合作工作，承办县政府农业涉外事务，参与拟订农业对外开放政策和外向型农业发展规划，指导外向型农业发展</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（19）制定科技人才队伍、农业农村人才队伍建设规划。指导科技、农业、农村人才队伍建设。</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（20）统筹协调和监督指导全县农业综合执法，负责监督指导重大案件查处和县本级办理的涉农违法案件，推进农业依法行政。</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（21）负责全县农业投资项目、农业综合项目管理。</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（22）负责职责范围内的安全生产和职业健康、生态环境保护、公共机构节能减排、审批服务便民化等工作。</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zh-CN"/>
        </w:rPr>
      </w:pPr>
      <w:r>
        <w:rPr>
          <w:rFonts w:hint="eastAsia" w:ascii="Times New Roman" w:hAnsi="Times New Roman" w:eastAsia="仿宋_GB2312" w:cs="Times New Roman"/>
          <w:sz w:val="32"/>
          <w:szCs w:val="32"/>
          <w:highlight w:val="none"/>
          <w:shd w:val="clear" w:color="auto" w:fill="FFFFFF"/>
          <w:lang w:val="en-US" w:eastAsia="zh-CN"/>
        </w:rPr>
        <w:t>（23）完成县委和县政府交办的其他任务。</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b/>
          <w:bCs/>
          <w:sz w:val="32"/>
          <w:szCs w:val="32"/>
          <w:highlight w:val="none"/>
          <w:shd w:val="clear" w:color="auto" w:fill="FFFFFF"/>
          <w:lang w:val="zh-CN"/>
        </w:rPr>
        <w:t>（三）人员概况。</w:t>
      </w:r>
      <w:r>
        <w:rPr>
          <w:rFonts w:hint="default" w:ascii="Times New Roman" w:hAnsi="Times New Roman" w:eastAsia="仿宋_GB2312" w:cs="Times New Roman"/>
          <w:sz w:val="32"/>
          <w:szCs w:val="32"/>
          <w:highlight w:val="none"/>
          <w:shd w:val="clear" w:color="auto" w:fill="FFFFFF"/>
        </w:rPr>
        <w:t>截至202</w:t>
      </w:r>
      <w:r>
        <w:rPr>
          <w:rFonts w:hint="eastAsia" w:ascii="Times New Roman" w:hAnsi="Times New Roman" w:eastAsia="仿宋_GB2312" w:cs="Times New Roman"/>
          <w:sz w:val="32"/>
          <w:szCs w:val="32"/>
          <w:highlight w:val="none"/>
          <w:shd w:val="clear" w:color="auto" w:fill="FFFFFF"/>
        </w:rPr>
        <w:t>5</w:t>
      </w:r>
      <w:r>
        <w:rPr>
          <w:rFonts w:hint="default" w:ascii="Times New Roman" w:hAnsi="Times New Roman" w:eastAsia="仿宋_GB2312" w:cs="Times New Roman"/>
          <w:sz w:val="32"/>
          <w:szCs w:val="32"/>
          <w:highlight w:val="none"/>
          <w:shd w:val="clear" w:color="auto" w:fill="FFFFFF"/>
        </w:rPr>
        <w:t>年末</w:t>
      </w:r>
      <w:r>
        <w:rPr>
          <w:rFonts w:hint="eastAsia" w:ascii="Times New Roman" w:hAnsi="Times New Roman" w:eastAsia="仿宋_GB2312" w:cs="Times New Roman"/>
          <w:sz w:val="32"/>
          <w:szCs w:val="32"/>
          <w:highlight w:val="none"/>
          <w:shd w:val="clear" w:color="auto" w:fill="FFFFFF"/>
          <w:lang w:eastAsia="zh-CN"/>
        </w:rPr>
        <w:t>，</w:t>
      </w:r>
      <w:r>
        <w:rPr>
          <w:rFonts w:hint="eastAsia" w:ascii="Times New Roman" w:hAnsi="Times New Roman" w:eastAsia="仿宋_GB2312" w:cs="Times New Roman"/>
          <w:sz w:val="32"/>
          <w:szCs w:val="32"/>
          <w:highlight w:val="none"/>
          <w:shd w:val="clear" w:color="auto" w:fill="FFFFFF"/>
          <w:lang w:val="en-US" w:eastAsia="zh-CN"/>
        </w:rPr>
        <w:t>我单位行政人员编制数8人，实有人数8人，参照公务员法管理事业人员参照公务员法管理事业人员18人，机关工勤1人，阿坝州壤塘县农村合作经营管理站事业人员34人，事业管理及专技人员31人，事业工勤3人</w:t>
      </w:r>
      <w:r>
        <w:rPr>
          <w:rFonts w:hint="default" w:ascii="Times New Roman" w:hAnsi="Times New Roman" w:eastAsia="仿宋_GB2312" w:cs="Times New Roman"/>
          <w:sz w:val="32"/>
          <w:szCs w:val="32"/>
          <w:highlight w:val="none"/>
          <w:shd w:val="clear" w:color="auto" w:fill="FFFFFF"/>
        </w:rPr>
        <w:t>。</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b/>
          <w:bCs/>
          <w:sz w:val="32"/>
          <w:szCs w:val="32"/>
          <w:highlight w:val="none"/>
          <w:shd w:val="clear" w:color="auto" w:fill="FFFFFF"/>
        </w:rPr>
      </w:pPr>
      <w:r>
        <w:rPr>
          <w:rFonts w:hint="default" w:ascii="Times New Roman" w:hAnsi="Times New Roman" w:eastAsia="仿宋_GB2312" w:cs="Times New Roman"/>
          <w:b/>
          <w:bCs/>
          <w:sz w:val="32"/>
          <w:szCs w:val="32"/>
          <w:highlight w:val="none"/>
          <w:shd w:val="clear" w:color="auto" w:fill="FFFFFF"/>
        </w:rPr>
        <w:t>二、部门资金收支情况</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b/>
          <w:bCs/>
          <w:sz w:val="32"/>
          <w:szCs w:val="32"/>
          <w:highlight w:val="none"/>
          <w:shd w:val="clear" w:color="auto" w:fill="FFFFFF"/>
          <w:lang w:val="zh-CN"/>
        </w:rPr>
        <w:t>（一）收入情况。</w:t>
      </w:r>
      <w:r>
        <w:rPr>
          <w:rFonts w:hint="eastAsia" w:ascii="Times New Roman" w:hAnsi="Times New Roman" w:eastAsia="仿宋_GB2312" w:cs="Times New Roman"/>
          <w:sz w:val="32"/>
          <w:szCs w:val="32"/>
          <w:highlight w:val="none"/>
          <w:shd w:val="clear" w:color="auto" w:fill="FFFFFF"/>
          <w:lang w:val="en-US" w:eastAsia="zh-CN"/>
        </w:rPr>
        <w:t>本单位</w:t>
      </w:r>
      <w:r>
        <w:rPr>
          <w:rFonts w:hint="default" w:ascii="Times New Roman" w:hAnsi="Times New Roman" w:eastAsia="仿宋_GB2312" w:cs="Times New Roman"/>
          <w:sz w:val="32"/>
          <w:szCs w:val="32"/>
          <w:highlight w:val="none"/>
          <w:shd w:val="clear" w:color="auto" w:fill="FFFFFF"/>
        </w:rPr>
        <w:t>202</w:t>
      </w:r>
      <w:r>
        <w:rPr>
          <w:rFonts w:hint="eastAsia" w:ascii="Times New Roman" w:hAnsi="Times New Roman" w:eastAsia="仿宋_GB2312" w:cs="Times New Roman"/>
          <w:sz w:val="32"/>
          <w:szCs w:val="32"/>
          <w:highlight w:val="none"/>
          <w:shd w:val="clear" w:color="auto" w:fill="FFFFFF"/>
        </w:rPr>
        <w:t>5</w:t>
      </w:r>
      <w:r>
        <w:rPr>
          <w:rFonts w:hint="default" w:ascii="Times New Roman" w:hAnsi="Times New Roman" w:eastAsia="仿宋_GB2312" w:cs="Times New Roman"/>
          <w:sz w:val="32"/>
          <w:szCs w:val="32"/>
          <w:highlight w:val="none"/>
          <w:shd w:val="clear" w:color="auto" w:fill="FFFFFF"/>
        </w:rPr>
        <w:t>年年初预算收入</w:t>
      </w:r>
      <w:r>
        <w:rPr>
          <w:rFonts w:hint="eastAsia" w:ascii="Times New Roman" w:hAnsi="Times New Roman" w:eastAsia="仿宋_GB2312" w:cs="Times New Roman"/>
          <w:sz w:val="32"/>
          <w:szCs w:val="32"/>
          <w:highlight w:val="none"/>
          <w:shd w:val="clear" w:color="auto" w:fill="FFFFFF"/>
          <w:lang w:val="en-US" w:eastAsia="zh-CN"/>
        </w:rPr>
        <w:t>3259.79万元，</w:t>
      </w:r>
      <w:r>
        <w:rPr>
          <w:rFonts w:hint="default" w:ascii="Times New Roman" w:hAnsi="Times New Roman" w:eastAsia="仿宋_GB2312" w:cs="Times New Roman"/>
          <w:sz w:val="32"/>
          <w:szCs w:val="32"/>
          <w:highlight w:val="none"/>
          <w:shd w:val="clear" w:color="auto" w:fill="FFFFFF"/>
        </w:rPr>
        <w:t>决算报表收入</w:t>
      </w:r>
      <w:r>
        <w:rPr>
          <w:rFonts w:hint="eastAsia" w:ascii="Times New Roman" w:hAnsi="Times New Roman" w:eastAsia="仿宋_GB2312" w:cs="Times New Roman"/>
          <w:sz w:val="32"/>
          <w:szCs w:val="32"/>
          <w:highlight w:val="none"/>
          <w:shd w:val="clear" w:color="auto" w:fill="FFFFFF"/>
          <w:lang w:val="en-US" w:eastAsia="zh-CN"/>
        </w:rPr>
        <w:t>为8928.3万元，其中：一般公共预算财政拨款收入为8741.19万元，占比97.9%；政府性基金预算财政拨款收入为3.85万元，占比0.05%；国有资本经营预算财政拨款收入为0.00)万元，占比0.00%；上级补助收入为0.00万元，占比0.00%；事业收入为0.00万元，占比0.00%；经营收入为0.00万元，占比0.00%；附属单位上缴收入为0.00万元，占比0.00%；其他收入为183.26万元，占比2.05%。</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b/>
          <w:bCs/>
          <w:sz w:val="32"/>
          <w:szCs w:val="32"/>
          <w:highlight w:val="none"/>
          <w:shd w:val="clear" w:color="auto" w:fill="FFFFFF"/>
          <w:lang w:val="zh-CN"/>
        </w:rPr>
        <w:t>（二）支出情况。</w:t>
      </w:r>
      <w:r>
        <w:rPr>
          <w:rFonts w:hint="eastAsia" w:ascii="Times New Roman" w:hAnsi="Times New Roman" w:eastAsia="仿宋_GB2312" w:cs="Times New Roman"/>
          <w:sz w:val="32"/>
          <w:szCs w:val="32"/>
          <w:highlight w:val="none"/>
          <w:shd w:val="clear" w:color="auto" w:fill="FFFFFF"/>
          <w:lang w:val="en-US" w:eastAsia="zh-CN"/>
        </w:rPr>
        <w:t>本单位</w:t>
      </w:r>
      <w:r>
        <w:rPr>
          <w:rFonts w:hint="default" w:ascii="Times New Roman" w:hAnsi="Times New Roman" w:eastAsia="仿宋_GB2312" w:cs="Times New Roman"/>
          <w:sz w:val="32"/>
          <w:szCs w:val="32"/>
          <w:highlight w:val="none"/>
          <w:shd w:val="clear" w:color="auto" w:fill="FFFFFF"/>
        </w:rPr>
        <w:t>202</w:t>
      </w:r>
      <w:r>
        <w:rPr>
          <w:rFonts w:hint="eastAsia" w:ascii="Times New Roman" w:hAnsi="Times New Roman" w:eastAsia="仿宋_GB2312" w:cs="Times New Roman"/>
          <w:sz w:val="32"/>
          <w:szCs w:val="32"/>
          <w:highlight w:val="none"/>
          <w:shd w:val="clear" w:color="auto" w:fill="FFFFFF"/>
        </w:rPr>
        <w:t>5</w:t>
      </w:r>
      <w:r>
        <w:rPr>
          <w:rFonts w:hint="default" w:ascii="Times New Roman" w:hAnsi="Times New Roman" w:eastAsia="仿宋_GB2312" w:cs="Times New Roman"/>
          <w:sz w:val="32"/>
          <w:szCs w:val="32"/>
          <w:highlight w:val="none"/>
          <w:shd w:val="clear" w:color="auto" w:fill="FFFFFF"/>
        </w:rPr>
        <w:t>年年初预算支出</w:t>
      </w:r>
      <w:r>
        <w:rPr>
          <w:rFonts w:hint="eastAsia" w:ascii="Times New Roman" w:hAnsi="Times New Roman" w:eastAsia="仿宋_GB2312" w:cs="Times New Roman"/>
          <w:sz w:val="32"/>
          <w:szCs w:val="32"/>
          <w:highlight w:val="none"/>
          <w:shd w:val="clear" w:color="auto" w:fill="FFFFFF"/>
          <w:lang w:val="en-US" w:eastAsia="zh-CN"/>
        </w:rPr>
        <w:t>3259.79万元，其中年初预算数科学技术支出89.06万元、社会保障和就业支出468.38万元</w:t>
      </w:r>
      <w:r>
        <w:rPr>
          <w:rFonts w:hint="default" w:ascii="Times New Roman" w:hAnsi="Times New Roman" w:eastAsia="仿宋_GB2312" w:cs="Times New Roman"/>
          <w:sz w:val="32"/>
          <w:szCs w:val="32"/>
          <w:highlight w:val="none"/>
          <w:shd w:val="clear" w:color="auto" w:fill="FFFFFF"/>
        </w:rPr>
        <w:t>、</w:t>
      </w:r>
      <w:r>
        <w:rPr>
          <w:rFonts w:hint="eastAsia" w:ascii="Times New Roman" w:hAnsi="Times New Roman" w:eastAsia="仿宋_GB2312" w:cs="Times New Roman"/>
          <w:sz w:val="32"/>
          <w:szCs w:val="32"/>
          <w:highlight w:val="none"/>
          <w:shd w:val="clear" w:color="auto" w:fill="FFFFFF"/>
          <w:lang w:val="en-US" w:eastAsia="zh-CN"/>
        </w:rPr>
        <w:t>卫生健康支出175.55万元、农林水支出2290.95万元、住房保障支出235.85万元。</w:t>
      </w:r>
      <w:r>
        <w:rPr>
          <w:rFonts w:hint="default" w:ascii="Times New Roman" w:hAnsi="Times New Roman" w:eastAsia="仿宋_GB2312" w:cs="Times New Roman"/>
          <w:sz w:val="32"/>
          <w:szCs w:val="32"/>
          <w:highlight w:val="none"/>
          <w:shd w:val="clear" w:color="auto" w:fill="FFFFFF"/>
        </w:rPr>
        <w:t>决算报表支出</w:t>
      </w:r>
      <w:r>
        <w:rPr>
          <w:rFonts w:hint="eastAsia" w:ascii="Times New Roman" w:hAnsi="Times New Roman" w:eastAsia="仿宋_GB2312" w:cs="Times New Roman"/>
          <w:sz w:val="32"/>
          <w:szCs w:val="32"/>
          <w:highlight w:val="none"/>
          <w:shd w:val="clear" w:color="auto" w:fill="FFFFFF"/>
          <w:lang w:val="en-US" w:eastAsia="zh-CN"/>
        </w:rPr>
        <w:t>2025年支出8936.03万元，主要用于以下方面：科学技术支出138.86万元，占1.55%；社会保障和就业支出418.87万元，占4.69%；卫生健康支出149.47万元，占1.67%；农林水支出（类）7992.9万元，占89.45%；资源勘探工业信息支出3.85万元，占0.04%，住房保障支出216.22万元，占2.42%；粮油物资储备支出15.86万元，占0.19%。主要用于项目支出、日常经费支出、工资保险支出，均达到相关预期效果</w:t>
      </w:r>
      <w:r>
        <w:rPr>
          <w:rFonts w:hint="default" w:ascii="Times New Roman" w:hAnsi="Times New Roman" w:eastAsia="仿宋_GB2312" w:cs="Times New Roman"/>
          <w:sz w:val="32"/>
          <w:szCs w:val="32"/>
          <w:highlight w:val="none"/>
          <w:shd w:val="clear" w:color="auto" w:fill="FFFFFF"/>
        </w:rPr>
        <w:t>。</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b/>
          <w:bCs/>
          <w:sz w:val="32"/>
          <w:szCs w:val="32"/>
          <w:highlight w:val="none"/>
          <w:shd w:val="clear" w:color="auto" w:fill="FFFFFF"/>
          <w:lang w:val="zh-CN"/>
        </w:rPr>
        <w:t>（三）</w:t>
      </w:r>
      <w:r>
        <w:rPr>
          <w:rFonts w:hint="default" w:ascii="Times New Roman" w:hAnsi="Times New Roman" w:eastAsia="仿宋_GB2312" w:cs="Times New Roman"/>
          <w:b/>
          <w:bCs/>
          <w:sz w:val="32"/>
          <w:szCs w:val="32"/>
          <w:highlight w:val="none"/>
          <w:shd w:val="clear" w:color="auto" w:fill="FFFFFF"/>
        </w:rPr>
        <w:t>结余分配和结转结余情况。</w:t>
      </w:r>
      <w:r>
        <w:rPr>
          <w:rFonts w:hint="eastAsia" w:ascii="Times New Roman" w:hAnsi="Times New Roman" w:eastAsia="仿宋_GB2312" w:cs="Times New Roman"/>
          <w:sz w:val="32"/>
          <w:szCs w:val="32"/>
          <w:highlight w:val="none"/>
          <w:shd w:val="clear" w:color="auto" w:fill="FFFFFF"/>
          <w:lang w:val="en-US" w:eastAsia="zh-CN"/>
        </w:rPr>
        <w:t>本</w:t>
      </w:r>
      <w:r>
        <w:rPr>
          <w:rFonts w:hint="default" w:ascii="Times New Roman" w:hAnsi="Times New Roman" w:eastAsia="仿宋_GB2312" w:cs="Times New Roman"/>
          <w:sz w:val="32"/>
          <w:szCs w:val="32"/>
          <w:highlight w:val="none"/>
          <w:shd w:val="clear" w:color="auto" w:fill="FFFFFF"/>
        </w:rPr>
        <w:t>202</w:t>
      </w:r>
      <w:r>
        <w:rPr>
          <w:rFonts w:hint="eastAsia" w:ascii="Times New Roman" w:hAnsi="Times New Roman" w:eastAsia="仿宋_GB2312" w:cs="Times New Roman"/>
          <w:sz w:val="32"/>
          <w:szCs w:val="32"/>
          <w:highlight w:val="none"/>
          <w:shd w:val="clear" w:color="auto" w:fill="FFFFFF"/>
        </w:rPr>
        <w:t>5</w:t>
      </w:r>
      <w:r>
        <w:rPr>
          <w:rFonts w:hint="default" w:ascii="Times New Roman" w:hAnsi="Times New Roman" w:eastAsia="仿宋_GB2312" w:cs="Times New Roman"/>
          <w:sz w:val="32"/>
          <w:szCs w:val="32"/>
          <w:highlight w:val="none"/>
          <w:shd w:val="clear" w:color="auto" w:fill="FFFFFF"/>
        </w:rPr>
        <w:t>年决算报表结转结余</w:t>
      </w:r>
      <w:r>
        <w:rPr>
          <w:rFonts w:hint="eastAsia" w:ascii="Times New Roman" w:hAnsi="Times New Roman" w:eastAsia="仿宋_GB2312" w:cs="Times New Roman"/>
          <w:sz w:val="32"/>
          <w:szCs w:val="32"/>
          <w:highlight w:val="none"/>
          <w:shd w:val="clear" w:color="auto" w:fill="FFFFFF"/>
          <w:lang w:val="en-US" w:eastAsia="zh-CN"/>
        </w:rPr>
        <w:t>15.04万元，主要为代管资金结转</w:t>
      </w:r>
      <w:r>
        <w:rPr>
          <w:rFonts w:hint="default" w:ascii="Times New Roman" w:hAnsi="Times New Roman" w:eastAsia="仿宋_GB2312" w:cs="Times New Roman"/>
          <w:sz w:val="32"/>
          <w:szCs w:val="32"/>
          <w:highlight w:val="none"/>
          <w:shd w:val="clear" w:color="auto" w:fill="FFFFFF"/>
        </w:rPr>
        <w:t>。</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b/>
          <w:bCs/>
          <w:sz w:val="32"/>
          <w:szCs w:val="32"/>
          <w:highlight w:val="none"/>
          <w:shd w:val="clear" w:color="auto" w:fill="FFFFFF"/>
        </w:rPr>
      </w:pPr>
      <w:r>
        <w:rPr>
          <w:rFonts w:hint="default" w:ascii="Times New Roman" w:hAnsi="Times New Roman" w:eastAsia="仿宋_GB2312" w:cs="Times New Roman"/>
          <w:b/>
          <w:bCs/>
          <w:sz w:val="32"/>
          <w:szCs w:val="32"/>
          <w:highlight w:val="none"/>
          <w:shd w:val="clear" w:color="auto" w:fill="FFFFFF"/>
        </w:rPr>
        <w:t>三、部门预算绩效分析</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b/>
          <w:bCs/>
          <w:sz w:val="32"/>
          <w:szCs w:val="32"/>
          <w:highlight w:val="none"/>
          <w:shd w:val="clear" w:color="auto" w:fill="FFFFFF"/>
          <w:lang w:val="zh-CN"/>
        </w:rPr>
        <w:t>（一）部门预算总体绩效分析。</w:t>
      </w:r>
      <w:r>
        <w:rPr>
          <w:rFonts w:hint="eastAsia" w:ascii="Times New Roman" w:hAnsi="Times New Roman" w:eastAsia="仿宋_GB2312" w:cs="Times New Roman"/>
          <w:sz w:val="32"/>
          <w:szCs w:val="32"/>
          <w:highlight w:val="none"/>
          <w:shd w:val="clear" w:color="auto" w:fill="FFFFFF"/>
          <w:lang w:val="en-US" w:eastAsia="zh-CN"/>
        </w:rPr>
        <w:t>我单位25年部门整体支出绩效评价得分88分，履职能力较好，预算管理合理，财务管理严格按照相关制度进行资金拨付，资产管理合理，采购管理符合单位相关要求。</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zh-CN" w:eastAsia="zh-CN"/>
        </w:rPr>
      </w:pPr>
      <w:r>
        <w:rPr>
          <w:rFonts w:hint="default" w:ascii="Times New Roman" w:hAnsi="Times New Roman" w:eastAsia="仿宋_GB2312" w:cs="Times New Roman"/>
          <w:b/>
          <w:bCs/>
          <w:sz w:val="32"/>
          <w:szCs w:val="32"/>
          <w:highlight w:val="none"/>
          <w:shd w:val="clear" w:color="auto" w:fill="FFFFFF"/>
        </w:rPr>
        <w:t>1.</w:t>
      </w:r>
      <w:r>
        <w:rPr>
          <w:rFonts w:hint="default" w:ascii="Times New Roman" w:hAnsi="Times New Roman" w:eastAsia="仿宋_GB2312" w:cs="Times New Roman"/>
          <w:b/>
          <w:bCs/>
          <w:sz w:val="32"/>
          <w:szCs w:val="32"/>
          <w:highlight w:val="none"/>
          <w:shd w:val="clear" w:color="auto" w:fill="FFFFFF"/>
          <w:lang w:val="zh-CN"/>
        </w:rPr>
        <w:t>履职效能</w:t>
      </w:r>
      <w:r>
        <w:rPr>
          <w:rFonts w:hint="default" w:ascii="Times New Roman" w:hAnsi="Times New Roman" w:eastAsia="仿宋_GB2312" w:cs="Times New Roman"/>
          <w:sz w:val="32"/>
          <w:szCs w:val="32"/>
          <w:highlight w:val="none"/>
          <w:shd w:val="clear" w:color="auto" w:fill="FFFFFF"/>
          <w:lang w:val="zh-CN"/>
        </w:rPr>
        <w:t>。</w:t>
      </w:r>
      <w:r>
        <w:rPr>
          <w:rFonts w:hint="eastAsia" w:ascii="Times New Roman" w:hAnsi="Times New Roman" w:eastAsia="仿宋_GB2312" w:cs="Times New Roman"/>
          <w:sz w:val="32"/>
          <w:szCs w:val="32"/>
          <w:highlight w:val="none"/>
          <w:shd w:val="clear" w:color="auto" w:fill="FFFFFF"/>
          <w:lang w:val="en-US" w:eastAsia="zh-CN"/>
        </w:rPr>
        <w:t>2025年高素质农民按照要求需培训60名高素质农民，我单位严格按照相关要求进行培训，培育60名高素质农民；壤塘县食用菌菌种繁育中心技改扩能项目需搭建菌种加工厂房内立体层架≥1500平方米，我单位严格执行项目，完成搭建1500平方米；2025年耕地地力保护补贴补贴发放耕地面积需≥34000亩，我单位实际完成补贴发放34757.37亩；农民合作社培育项目需扶持数量≥3个，实际完成3个，单位履职能力良好</w:t>
      </w:r>
      <w:r>
        <w:rPr>
          <w:rFonts w:hint="eastAsia" w:ascii="Times New Roman" w:hAnsi="Times New Roman" w:eastAsia="仿宋_GB2312" w:cs="Times New Roman"/>
          <w:sz w:val="32"/>
          <w:szCs w:val="32"/>
          <w:highlight w:val="none"/>
          <w:shd w:val="clear" w:color="auto" w:fill="FFFFFF"/>
          <w:lang w:val="zh-CN" w:eastAsia="zh-CN"/>
        </w:rPr>
        <w:t>。</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b/>
          <w:bCs/>
          <w:sz w:val="32"/>
          <w:szCs w:val="32"/>
          <w:highlight w:val="none"/>
          <w:shd w:val="clear" w:color="auto" w:fill="FFFFFF"/>
        </w:rPr>
        <w:t>2.</w:t>
      </w:r>
      <w:r>
        <w:rPr>
          <w:rFonts w:hint="default" w:ascii="Times New Roman" w:hAnsi="Times New Roman" w:eastAsia="仿宋_GB2312" w:cs="Times New Roman"/>
          <w:b/>
          <w:bCs/>
          <w:sz w:val="32"/>
          <w:szCs w:val="32"/>
          <w:highlight w:val="none"/>
          <w:shd w:val="clear" w:color="auto" w:fill="FFFFFF"/>
          <w:lang w:val="zh-CN"/>
        </w:rPr>
        <w:t>预算管理。</w:t>
      </w:r>
      <w:r>
        <w:rPr>
          <w:rFonts w:hint="default" w:ascii="Times New Roman" w:hAnsi="Times New Roman" w:eastAsia="仿宋_GB2312" w:cs="Times New Roman"/>
          <w:sz w:val="32"/>
          <w:szCs w:val="32"/>
          <w:highlight w:val="none"/>
          <w:shd w:val="clear" w:color="auto" w:fill="FFFFFF"/>
          <w:lang w:val="en-US" w:eastAsia="zh-CN"/>
        </w:rPr>
        <w:t>我单位制定了《壤塘县科学技术和农业畜牧局预算业务管理制度》</w:t>
      </w:r>
      <w:r>
        <w:rPr>
          <w:rFonts w:hint="eastAsia" w:ascii="Times New Roman" w:hAnsi="Times New Roman" w:eastAsia="仿宋_GB2312" w:cs="Times New Roman"/>
          <w:sz w:val="32"/>
          <w:szCs w:val="32"/>
          <w:highlight w:val="none"/>
          <w:shd w:val="clear" w:color="auto" w:fill="FFFFFF"/>
          <w:lang w:val="en-US" w:eastAsia="zh-CN"/>
        </w:rPr>
        <w:t>，预算编制质量良好，单位收入统筹应纳尽纳、支出执行合理。</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b/>
          <w:bCs/>
          <w:sz w:val="32"/>
          <w:szCs w:val="32"/>
          <w:highlight w:val="none"/>
          <w:shd w:val="clear" w:color="auto" w:fill="FFFFFF"/>
        </w:rPr>
        <w:t>3.</w:t>
      </w:r>
      <w:r>
        <w:rPr>
          <w:rFonts w:hint="default" w:ascii="Times New Roman" w:hAnsi="Times New Roman" w:eastAsia="仿宋_GB2312" w:cs="Times New Roman"/>
          <w:b/>
          <w:bCs/>
          <w:sz w:val="32"/>
          <w:szCs w:val="32"/>
          <w:highlight w:val="none"/>
          <w:shd w:val="clear" w:color="auto" w:fill="FFFFFF"/>
          <w:lang w:val="zh-CN"/>
        </w:rPr>
        <w:t>财务管理。</w:t>
      </w:r>
      <w:r>
        <w:rPr>
          <w:rFonts w:hint="eastAsia" w:ascii="Times New Roman" w:hAnsi="Times New Roman" w:eastAsia="仿宋_GB2312" w:cs="Times New Roman"/>
          <w:sz w:val="32"/>
          <w:szCs w:val="32"/>
          <w:highlight w:val="none"/>
          <w:shd w:val="clear" w:color="auto" w:fill="FFFFFF"/>
          <w:lang w:val="en-US" w:eastAsia="zh-CN"/>
        </w:rPr>
        <w:t>我单位制定</w:t>
      </w:r>
      <w:r>
        <w:rPr>
          <w:rFonts w:hint="default" w:ascii="Times New Roman" w:hAnsi="Times New Roman" w:eastAsia="仿宋_GB2312" w:cs="Times New Roman"/>
          <w:sz w:val="32"/>
          <w:szCs w:val="32"/>
          <w:highlight w:val="none"/>
          <w:shd w:val="clear" w:color="auto" w:fill="FFFFFF"/>
          <w:lang w:val="en-US" w:eastAsia="zh-CN"/>
        </w:rPr>
        <w:t>《壤塘县科学技术和农业畜牧局财务收支管理制度》</w:t>
      </w:r>
      <w:r>
        <w:rPr>
          <w:rFonts w:hint="eastAsia" w:ascii="Times New Roman" w:hAnsi="Times New Roman" w:eastAsia="仿宋_GB2312" w:cs="Times New Roman"/>
          <w:sz w:val="32"/>
          <w:szCs w:val="32"/>
          <w:highlight w:val="none"/>
          <w:shd w:val="clear" w:color="auto" w:fill="FFFFFF"/>
          <w:lang w:val="en-US" w:eastAsia="zh-CN"/>
        </w:rPr>
        <w:t>，严把审核关，</w:t>
      </w:r>
      <w:r>
        <w:rPr>
          <w:rFonts w:hint="default" w:ascii="Times New Roman" w:hAnsi="Times New Roman" w:eastAsia="仿宋_GB2312" w:cs="Times New Roman"/>
          <w:sz w:val="32"/>
          <w:szCs w:val="32"/>
          <w:highlight w:val="none"/>
          <w:shd w:val="clear" w:color="auto" w:fill="FFFFFF"/>
          <w:lang w:val="en-US" w:eastAsia="zh-CN"/>
        </w:rPr>
        <w:t>在报销经费时，经办人使用统一规范的审批单，在审批单上写明用途、经办人员、证明人员、科室负责人、金额、报销日期、单据张数等内容。经办人填写《支出审批单》→由业务科室负责人确认签字→分管领导确认签字→财务科科长审核签字→分管财务、领导签字→局长批准后，到财务科出纳处办理支付手续。</w:t>
      </w:r>
    </w:p>
    <w:p>
      <w:pPr>
        <w:keepNext w:val="0"/>
        <w:keepLines w:val="0"/>
        <w:pageBreakBefore w:val="0"/>
        <w:widowControl/>
        <w:kinsoku/>
        <w:wordWrap/>
        <w:overflowPunct/>
        <w:topLinePunct w:val="0"/>
        <w:autoSpaceDE/>
        <w:autoSpaceDN/>
        <w:bidi w:val="0"/>
        <w:spacing w:line="578" w:lineRule="exact"/>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业务科室负责人及其分管领导对其发生的支出用途及金额的真实性、准确性负责，并对其科室填写的支出审批单内容、大小写金额、票据张数进行审核。经济业务发生后，原则上在15天之内报账完毕。不得将几个经济事项的票据合并填报。</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财务科对科室提供的原始票据的合法性进行审核监督。审核发票是否真实合法、填写是否规范、印章是否齐全、报销金额与原始票据是否相符；审核是否符合审批程序；审核是否在预算额度内、在审计金额内按进度、按比例、按范围付款。对不符合规定的票据，财务科有权拒绝受理。各审批领导审查财务收支的真实性、合法性、必要性，并在报销凭证上明确签署报销意见。所有费用报销实行局长“一支笔”签批制度。出纳人员对已经审批后的支出票据必须进行复核（复核票据张数、金额、审批程序），对不符合规定的票据有权拒绝支付并立即向机关领导报告。严格控制现金支付，原则上采用公务卡和转账结算。会计人员进行会计核算时，对不符合财经管理规定的票据有权拒绝接受并应立即报告。</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zh-CN" w:eastAsia="zh-CN"/>
        </w:rPr>
      </w:pPr>
      <w:r>
        <w:rPr>
          <w:rFonts w:hint="default" w:ascii="Times New Roman" w:hAnsi="Times New Roman" w:eastAsia="仿宋_GB2312" w:cs="Times New Roman"/>
          <w:b/>
          <w:bCs/>
          <w:sz w:val="32"/>
          <w:szCs w:val="32"/>
          <w:highlight w:val="none"/>
          <w:shd w:val="clear" w:color="auto" w:fill="FFFFFF"/>
        </w:rPr>
        <w:t>4.</w:t>
      </w:r>
      <w:r>
        <w:rPr>
          <w:rFonts w:hint="default" w:ascii="Times New Roman" w:hAnsi="Times New Roman" w:eastAsia="仿宋_GB2312" w:cs="Times New Roman"/>
          <w:b/>
          <w:bCs/>
          <w:sz w:val="32"/>
          <w:szCs w:val="32"/>
          <w:highlight w:val="none"/>
          <w:shd w:val="clear" w:color="auto" w:fill="FFFFFF"/>
          <w:lang w:val="zh-CN"/>
        </w:rPr>
        <w:t>资产管理。</w:t>
      </w:r>
      <w:r>
        <w:rPr>
          <w:rFonts w:hint="eastAsia" w:ascii="Times New Roman" w:hAnsi="Times New Roman" w:eastAsia="仿宋_GB2312" w:cs="Times New Roman"/>
          <w:sz w:val="32"/>
          <w:szCs w:val="32"/>
          <w:highlight w:val="none"/>
          <w:shd w:val="clear" w:color="auto" w:fill="FFFFFF"/>
          <w:lang w:val="en-US" w:eastAsia="zh-CN"/>
        </w:rPr>
        <w:t>我单位人均资产变化率较小，资产利用率合理，资产盘活合理</w:t>
      </w:r>
      <w:r>
        <w:rPr>
          <w:rFonts w:hint="default" w:ascii="Times New Roman" w:hAnsi="Times New Roman" w:eastAsia="仿宋_GB2312" w:cs="Times New Roman"/>
          <w:sz w:val="32"/>
          <w:szCs w:val="32"/>
          <w:highlight w:val="none"/>
          <w:shd w:val="clear" w:color="auto" w:fill="FFFFFF"/>
          <w:lang w:val="zh-CN" w:eastAsia="zh-CN"/>
        </w:rPr>
        <w:t>。</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zh-CN" w:eastAsia="zh-CN"/>
        </w:rPr>
      </w:pPr>
      <w:r>
        <w:rPr>
          <w:rFonts w:hint="default" w:ascii="Times New Roman" w:hAnsi="Times New Roman" w:eastAsia="仿宋_GB2312" w:cs="Times New Roman"/>
          <w:b/>
          <w:bCs/>
          <w:sz w:val="32"/>
          <w:szCs w:val="32"/>
          <w:highlight w:val="none"/>
          <w:shd w:val="clear" w:color="auto" w:fill="FFFFFF"/>
        </w:rPr>
        <w:t>5.</w:t>
      </w:r>
      <w:r>
        <w:rPr>
          <w:rFonts w:hint="default" w:ascii="Times New Roman" w:hAnsi="Times New Roman" w:eastAsia="仿宋_GB2312" w:cs="Times New Roman"/>
          <w:b/>
          <w:bCs/>
          <w:sz w:val="32"/>
          <w:szCs w:val="32"/>
          <w:highlight w:val="none"/>
          <w:shd w:val="clear" w:color="auto" w:fill="FFFFFF"/>
          <w:lang w:val="zh-CN"/>
        </w:rPr>
        <w:t>采购管理。</w:t>
      </w:r>
      <w:r>
        <w:rPr>
          <w:rFonts w:hint="eastAsia" w:ascii="Times New Roman" w:hAnsi="Times New Roman" w:eastAsia="仿宋_GB2312" w:cs="Times New Roman"/>
          <w:sz w:val="32"/>
          <w:szCs w:val="32"/>
          <w:highlight w:val="none"/>
          <w:shd w:val="clear" w:color="auto" w:fill="FFFFFF"/>
          <w:lang w:val="en-US" w:eastAsia="zh-CN"/>
        </w:rPr>
        <w:t>我单位严格按照财政相关要求，对于200万元以下采购，必须面对中小企业，2025年完成政府采购990.05万元其中面对中小企业894.55万元，占90.35%</w:t>
      </w:r>
      <w:r>
        <w:rPr>
          <w:rFonts w:hint="default" w:ascii="Times New Roman" w:hAnsi="Times New Roman" w:eastAsia="仿宋_GB2312" w:cs="Times New Roman"/>
          <w:sz w:val="32"/>
          <w:szCs w:val="32"/>
          <w:highlight w:val="none"/>
          <w:shd w:val="clear" w:color="auto" w:fill="FFFFFF"/>
          <w:lang w:val="zh-CN" w:eastAsia="zh-CN"/>
        </w:rPr>
        <w:t>。</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b/>
          <w:bCs/>
          <w:sz w:val="32"/>
          <w:szCs w:val="32"/>
          <w:highlight w:val="none"/>
          <w:shd w:val="clear" w:color="auto" w:fill="FFFFFF"/>
          <w:lang w:val="zh-CN"/>
        </w:rPr>
        <w:t>（二）部门预算项目绩效分析</w:t>
      </w:r>
      <w:r>
        <w:rPr>
          <w:rFonts w:hint="default" w:ascii="Times New Roman" w:hAnsi="Times New Roman" w:eastAsia="仿宋_GB2312" w:cs="Times New Roman"/>
          <w:sz w:val="32"/>
          <w:szCs w:val="32"/>
          <w:highlight w:val="none"/>
          <w:shd w:val="clear" w:color="auto" w:fill="FFFFFF"/>
          <w:lang w:val="zh-CN"/>
        </w:rPr>
        <w:t>。</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zh-CN"/>
        </w:rPr>
      </w:pPr>
      <w:r>
        <w:rPr>
          <w:rFonts w:hint="default" w:ascii="Times New Roman" w:hAnsi="Times New Roman" w:eastAsia="仿宋_GB2312" w:cs="Times New Roman"/>
          <w:b/>
          <w:bCs/>
          <w:sz w:val="32"/>
          <w:szCs w:val="32"/>
          <w:highlight w:val="none"/>
          <w:shd w:val="clear" w:color="auto" w:fill="FFFFFF"/>
        </w:rPr>
        <w:t>常年项目绩效分析。</w:t>
      </w:r>
      <w:r>
        <w:rPr>
          <w:rFonts w:hint="default" w:ascii="Times New Roman" w:hAnsi="Times New Roman" w:eastAsia="仿宋_GB2312" w:cs="Times New Roman"/>
          <w:sz w:val="32"/>
          <w:szCs w:val="32"/>
          <w:highlight w:val="none"/>
          <w:shd w:val="clear" w:color="auto" w:fill="FFFFFF"/>
          <w:lang w:val="zh-CN"/>
        </w:rPr>
        <w:t>该类项目总数</w:t>
      </w:r>
      <w:r>
        <w:rPr>
          <w:rFonts w:hint="eastAsia" w:ascii="Times New Roman" w:hAnsi="Times New Roman" w:eastAsia="仿宋_GB2312" w:cs="Times New Roman"/>
          <w:sz w:val="32"/>
          <w:szCs w:val="32"/>
          <w:highlight w:val="none"/>
          <w:shd w:val="clear" w:color="auto" w:fill="FFFFFF"/>
          <w:lang w:val="en-US" w:eastAsia="zh-CN"/>
        </w:rPr>
        <w:t>6</w:t>
      </w:r>
      <w:r>
        <w:rPr>
          <w:rFonts w:hint="default" w:ascii="Times New Roman" w:hAnsi="Times New Roman" w:eastAsia="仿宋_GB2312" w:cs="Times New Roman"/>
          <w:sz w:val="32"/>
          <w:szCs w:val="32"/>
          <w:highlight w:val="none"/>
          <w:shd w:val="clear" w:color="auto" w:fill="FFFFFF"/>
          <w:lang w:val="zh-CN"/>
        </w:rPr>
        <w:t>个，涉及预算总金额</w:t>
      </w:r>
      <w:r>
        <w:rPr>
          <w:rFonts w:hint="eastAsia" w:ascii="Times New Roman" w:hAnsi="Times New Roman" w:eastAsia="仿宋_GB2312" w:cs="Times New Roman"/>
          <w:sz w:val="32"/>
          <w:szCs w:val="32"/>
          <w:highlight w:val="none"/>
          <w:shd w:val="clear" w:color="auto" w:fill="FFFFFF"/>
          <w:lang w:val="en-US" w:eastAsia="zh-CN"/>
        </w:rPr>
        <w:t>262.36</w:t>
      </w:r>
      <w:r>
        <w:rPr>
          <w:rFonts w:hint="default" w:ascii="Times New Roman" w:hAnsi="Times New Roman" w:eastAsia="仿宋_GB2312" w:cs="Times New Roman"/>
          <w:sz w:val="32"/>
          <w:szCs w:val="32"/>
          <w:highlight w:val="none"/>
          <w:shd w:val="clear" w:color="auto" w:fill="FFFFFF"/>
          <w:lang w:val="zh-CN"/>
        </w:rPr>
        <w:t>万元，1</w:t>
      </w:r>
      <w:r>
        <w:rPr>
          <w:rFonts w:hint="eastAsia" w:ascii="Times New Roman" w:hAnsi="Times New Roman" w:eastAsia="仿宋_GB2312" w:cs="Times New Roman"/>
          <w:sz w:val="32"/>
          <w:szCs w:val="32"/>
          <w:highlight w:val="none"/>
          <w:shd w:val="clear" w:color="auto" w:fill="FFFFFF"/>
          <w:lang w:val="zh-CN"/>
        </w:rPr>
        <w:t>—</w:t>
      </w:r>
      <w:r>
        <w:rPr>
          <w:rFonts w:hint="default" w:ascii="Times New Roman" w:hAnsi="Times New Roman" w:eastAsia="仿宋_GB2312" w:cs="Times New Roman"/>
          <w:sz w:val="32"/>
          <w:szCs w:val="32"/>
          <w:highlight w:val="none"/>
          <w:shd w:val="clear" w:color="auto" w:fill="FFFFFF"/>
          <w:lang w:val="zh-CN"/>
        </w:rPr>
        <w:t>1</w:t>
      </w:r>
      <w:r>
        <w:rPr>
          <w:rFonts w:hint="default" w:ascii="Times New Roman" w:hAnsi="Times New Roman" w:eastAsia="仿宋_GB2312" w:cs="Times New Roman"/>
          <w:sz w:val="32"/>
          <w:szCs w:val="32"/>
          <w:highlight w:val="none"/>
          <w:shd w:val="clear" w:color="auto" w:fill="FFFFFF"/>
        </w:rPr>
        <w:t>2</w:t>
      </w:r>
      <w:r>
        <w:rPr>
          <w:rFonts w:hint="default" w:ascii="Times New Roman" w:hAnsi="Times New Roman" w:eastAsia="仿宋_GB2312" w:cs="Times New Roman"/>
          <w:sz w:val="32"/>
          <w:szCs w:val="32"/>
          <w:highlight w:val="none"/>
          <w:shd w:val="clear" w:color="auto" w:fill="FFFFFF"/>
          <w:lang w:val="zh-CN"/>
        </w:rPr>
        <w:t>月预算执行总体进度为</w:t>
      </w:r>
      <w:r>
        <w:rPr>
          <w:rFonts w:hint="eastAsia" w:ascii="Times New Roman" w:hAnsi="Times New Roman" w:eastAsia="仿宋_GB2312" w:cs="Times New Roman"/>
          <w:sz w:val="32"/>
          <w:szCs w:val="32"/>
          <w:highlight w:val="none"/>
          <w:shd w:val="clear" w:color="auto" w:fill="FFFFFF"/>
          <w:lang w:val="en-US" w:eastAsia="zh-CN"/>
        </w:rPr>
        <w:t>97.02</w:t>
      </w:r>
      <w:r>
        <w:rPr>
          <w:rFonts w:hint="default" w:ascii="Times New Roman" w:hAnsi="Times New Roman" w:eastAsia="仿宋_GB2312" w:cs="Times New Roman"/>
          <w:sz w:val="32"/>
          <w:szCs w:val="32"/>
          <w:highlight w:val="none"/>
          <w:shd w:val="clear" w:color="auto" w:fill="FFFFFF"/>
          <w:lang w:val="zh-CN"/>
        </w:rPr>
        <w:t>%，其中：预算结余率大于</w:t>
      </w:r>
      <w:r>
        <w:rPr>
          <w:rFonts w:hint="default" w:ascii="Times New Roman" w:hAnsi="Times New Roman" w:eastAsia="仿宋_GB2312" w:cs="Times New Roman"/>
          <w:sz w:val="32"/>
          <w:szCs w:val="32"/>
          <w:highlight w:val="none"/>
          <w:shd w:val="clear" w:color="auto" w:fill="FFFFFF"/>
        </w:rPr>
        <w:t>10%</w:t>
      </w:r>
      <w:r>
        <w:rPr>
          <w:rFonts w:hint="default" w:ascii="Times New Roman" w:hAnsi="Times New Roman" w:eastAsia="仿宋_GB2312" w:cs="Times New Roman"/>
          <w:sz w:val="32"/>
          <w:szCs w:val="32"/>
          <w:highlight w:val="none"/>
          <w:shd w:val="clear" w:color="auto" w:fill="FFFFFF"/>
          <w:lang w:val="zh-CN"/>
        </w:rPr>
        <w:t>的项目共计</w:t>
      </w:r>
      <w:r>
        <w:rPr>
          <w:rFonts w:hint="eastAsia" w:ascii="Times New Roman" w:hAnsi="Times New Roman" w:eastAsia="仿宋_GB2312" w:cs="Times New Roman"/>
          <w:sz w:val="32"/>
          <w:szCs w:val="32"/>
          <w:highlight w:val="none"/>
          <w:shd w:val="clear" w:color="auto" w:fill="FFFFFF"/>
          <w:lang w:val="en-US" w:eastAsia="zh-CN"/>
        </w:rPr>
        <w:t>1</w:t>
      </w:r>
      <w:r>
        <w:rPr>
          <w:rFonts w:hint="default" w:ascii="Times New Roman" w:hAnsi="Times New Roman" w:eastAsia="仿宋_GB2312" w:cs="Times New Roman"/>
          <w:sz w:val="32"/>
          <w:szCs w:val="32"/>
          <w:highlight w:val="none"/>
          <w:shd w:val="clear" w:color="auto" w:fill="FFFFFF"/>
          <w:lang w:val="zh-CN"/>
        </w:rPr>
        <w:t>个。</w:t>
      </w:r>
    </w:p>
    <w:p>
      <w:pPr>
        <w:keepNext w:val="0"/>
        <w:keepLines w:val="0"/>
        <w:pageBreakBefore w:val="0"/>
        <w:widowControl/>
        <w:kinsoku/>
        <w:wordWrap/>
        <w:overflowPunct/>
        <w:topLinePunct w:val="0"/>
        <w:autoSpaceDE/>
        <w:autoSpaceDN/>
        <w:bidi w:val="0"/>
        <w:spacing w:line="578" w:lineRule="exact"/>
        <w:contextualSpacing/>
        <w:jc w:val="left"/>
        <w:textAlignment w:val="auto"/>
        <w:outlineLvl w:val="9"/>
        <w:rPr>
          <w:rFonts w:hint="default" w:ascii="Times New Roman" w:hAnsi="Times New Roman" w:eastAsia="仿宋_GB2312" w:cs="Times New Roman"/>
          <w:sz w:val="32"/>
          <w:szCs w:val="32"/>
          <w:highlight w:val="none"/>
          <w:shd w:val="clear" w:color="auto" w:fill="FFFFFF"/>
          <w:lang w:val="zh-CN"/>
        </w:rPr>
      </w:pPr>
      <w:r>
        <w:rPr>
          <w:rFonts w:hint="default" w:ascii="Times New Roman" w:hAnsi="Times New Roman" w:eastAsia="仿宋_GB2312" w:cs="Times New Roman"/>
          <w:sz w:val="32"/>
          <w:szCs w:val="32"/>
          <w:highlight w:val="none"/>
          <w:shd w:val="clear" w:color="auto" w:fill="FFFFFF"/>
        </w:rPr>
        <w:t>阶段（</w:t>
      </w:r>
      <w:r>
        <w:rPr>
          <w:rFonts w:hint="eastAsia" w:ascii="Times New Roman" w:hAnsi="Times New Roman" w:eastAsia="仿宋_GB2312" w:cs="Times New Roman"/>
          <w:sz w:val="32"/>
          <w:szCs w:val="32"/>
          <w:highlight w:val="none"/>
          <w:shd w:val="clear" w:color="auto" w:fill="FFFFFF"/>
        </w:rPr>
        <w:t>含</w:t>
      </w:r>
      <w:r>
        <w:rPr>
          <w:rFonts w:hint="default" w:ascii="Times New Roman" w:hAnsi="Times New Roman" w:eastAsia="仿宋_GB2312" w:cs="Times New Roman"/>
          <w:sz w:val="32"/>
          <w:szCs w:val="32"/>
          <w:highlight w:val="none"/>
          <w:shd w:val="clear" w:color="auto" w:fill="FFFFFF"/>
        </w:rPr>
        <w:t>一次性）项目绩效分析。</w:t>
      </w:r>
      <w:r>
        <w:rPr>
          <w:rFonts w:hint="default" w:ascii="Times New Roman" w:hAnsi="Times New Roman" w:eastAsia="仿宋_GB2312" w:cs="Times New Roman"/>
          <w:sz w:val="32"/>
          <w:szCs w:val="32"/>
          <w:highlight w:val="none"/>
          <w:shd w:val="clear" w:color="auto" w:fill="FFFFFF"/>
          <w:lang w:val="zh-CN"/>
        </w:rPr>
        <w:t>该类项目总数</w:t>
      </w:r>
      <w:r>
        <w:rPr>
          <w:rFonts w:hint="eastAsia" w:ascii="Times New Roman" w:hAnsi="Times New Roman" w:eastAsia="仿宋_GB2312" w:cs="Times New Roman"/>
          <w:sz w:val="32"/>
          <w:szCs w:val="32"/>
          <w:highlight w:val="none"/>
          <w:shd w:val="clear" w:color="auto" w:fill="FFFFFF"/>
          <w:lang w:val="en-US" w:eastAsia="zh-CN"/>
        </w:rPr>
        <w:t>92</w:t>
      </w:r>
      <w:r>
        <w:rPr>
          <w:rFonts w:hint="default" w:ascii="Times New Roman" w:hAnsi="Times New Roman" w:eastAsia="仿宋_GB2312" w:cs="Times New Roman"/>
          <w:sz w:val="32"/>
          <w:szCs w:val="32"/>
          <w:highlight w:val="none"/>
          <w:shd w:val="clear" w:color="auto" w:fill="FFFFFF"/>
          <w:lang w:val="zh-CN"/>
        </w:rPr>
        <w:t>个，涉及预算总金额</w:t>
      </w:r>
      <w:r>
        <w:rPr>
          <w:rFonts w:hint="eastAsia" w:ascii="Times New Roman" w:hAnsi="Times New Roman" w:eastAsia="仿宋_GB2312" w:cs="Times New Roman"/>
          <w:sz w:val="32"/>
          <w:szCs w:val="32"/>
          <w:highlight w:val="none"/>
          <w:shd w:val="clear" w:color="auto" w:fill="FFFFFF"/>
          <w:lang w:val="en-US" w:eastAsia="zh-CN"/>
        </w:rPr>
        <w:t>7360.18</w:t>
      </w:r>
      <w:r>
        <w:rPr>
          <w:rFonts w:hint="default" w:ascii="Times New Roman" w:hAnsi="Times New Roman" w:eastAsia="仿宋_GB2312" w:cs="Times New Roman"/>
          <w:sz w:val="32"/>
          <w:szCs w:val="32"/>
          <w:highlight w:val="none"/>
          <w:shd w:val="clear" w:color="auto" w:fill="FFFFFF"/>
          <w:lang w:val="zh-CN"/>
        </w:rPr>
        <w:t>万元，1</w:t>
      </w:r>
      <w:r>
        <w:rPr>
          <w:rFonts w:hint="eastAsia" w:ascii="Times New Roman" w:hAnsi="Times New Roman" w:eastAsia="仿宋_GB2312" w:cs="Times New Roman"/>
          <w:sz w:val="32"/>
          <w:szCs w:val="32"/>
          <w:highlight w:val="none"/>
          <w:shd w:val="clear" w:color="auto" w:fill="FFFFFF"/>
          <w:lang w:val="zh-CN"/>
        </w:rPr>
        <w:t>—</w:t>
      </w:r>
      <w:r>
        <w:rPr>
          <w:rFonts w:hint="default" w:ascii="Times New Roman" w:hAnsi="Times New Roman" w:eastAsia="仿宋_GB2312" w:cs="Times New Roman"/>
          <w:sz w:val="32"/>
          <w:szCs w:val="32"/>
          <w:highlight w:val="none"/>
          <w:shd w:val="clear" w:color="auto" w:fill="FFFFFF"/>
          <w:lang w:val="zh-CN"/>
        </w:rPr>
        <w:t>1</w:t>
      </w:r>
      <w:r>
        <w:rPr>
          <w:rFonts w:hint="default" w:ascii="Times New Roman" w:hAnsi="Times New Roman" w:eastAsia="仿宋_GB2312" w:cs="Times New Roman"/>
          <w:sz w:val="32"/>
          <w:szCs w:val="32"/>
          <w:highlight w:val="none"/>
          <w:shd w:val="clear" w:color="auto" w:fill="FFFFFF"/>
        </w:rPr>
        <w:t>2</w:t>
      </w:r>
      <w:r>
        <w:rPr>
          <w:rFonts w:hint="default" w:ascii="Times New Roman" w:hAnsi="Times New Roman" w:eastAsia="仿宋_GB2312" w:cs="Times New Roman"/>
          <w:sz w:val="32"/>
          <w:szCs w:val="32"/>
          <w:highlight w:val="none"/>
          <w:shd w:val="clear" w:color="auto" w:fill="FFFFFF"/>
          <w:lang w:val="zh-CN"/>
        </w:rPr>
        <w:t>月预算执行总体进度为</w:t>
      </w:r>
      <w:r>
        <w:rPr>
          <w:rFonts w:hint="eastAsia" w:ascii="Times New Roman" w:hAnsi="Times New Roman" w:eastAsia="仿宋_GB2312" w:cs="Times New Roman"/>
          <w:sz w:val="32"/>
          <w:szCs w:val="32"/>
          <w:highlight w:val="none"/>
          <w:shd w:val="clear" w:color="auto" w:fill="FFFFFF"/>
          <w:lang w:val="en-US" w:eastAsia="zh-CN"/>
        </w:rPr>
        <w:t>73.78</w:t>
      </w:r>
      <w:r>
        <w:rPr>
          <w:rFonts w:hint="default" w:ascii="Times New Roman" w:hAnsi="Times New Roman" w:eastAsia="仿宋_GB2312" w:cs="Times New Roman"/>
          <w:sz w:val="32"/>
          <w:szCs w:val="32"/>
          <w:highlight w:val="none"/>
          <w:shd w:val="clear" w:color="auto" w:fill="FFFFFF"/>
          <w:lang w:val="zh-CN"/>
        </w:rPr>
        <w:t>%，其中：预算结余率大于</w:t>
      </w:r>
      <w:r>
        <w:rPr>
          <w:rFonts w:hint="default" w:ascii="Times New Roman" w:hAnsi="Times New Roman" w:eastAsia="仿宋_GB2312" w:cs="Times New Roman"/>
          <w:sz w:val="32"/>
          <w:szCs w:val="32"/>
          <w:highlight w:val="none"/>
          <w:shd w:val="clear" w:color="auto" w:fill="FFFFFF"/>
        </w:rPr>
        <w:t>10%</w:t>
      </w:r>
      <w:r>
        <w:rPr>
          <w:rFonts w:hint="default" w:ascii="Times New Roman" w:hAnsi="Times New Roman" w:eastAsia="仿宋_GB2312" w:cs="Times New Roman"/>
          <w:sz w:val="32"/>
          <w:szCs w:val="32"/>
          <w:highlight w:val="none"/>
          <w:shd w:val="clear" w:color="auto" w:fill="FFFFFF"/>
          <w:lang w:val="zh-CN"/>
        </w:rPr>
        <w:t>的项目共计</w:t>
      </w:r>
      <w:r>
        <w:rPr>
          <w:rFonts w:hint="eastAsia" w:ascii="Times New Roman" w:hAnsi="Times New Roman" w:eastAsia="仿宋_GB2312" w:cs="Times New Roman"/>
          <w:sz w:val="32"/>
          <w:szCs w:val="32"/>
          <w:highlight w:val="none"/>
          <w:shd w:val="clear" w:color="auto" w:fill="FFFFFF"/>
          <w:lang w:val="en-US" w:eastAsia="zh-CN"/>
        </w:rPr>
        <w:t>26</w:t>
      </w:r>
      <w:r>
        <w:rPr>
          <w:rFonts w:hint="default" w:ascii="Times New Roman" w:hAnsi="Times New Roman" w:eastAsia="仿宋_GB2312" w:cs="Times New Roman"/>
          <w:sz w:val="32"/>
          <w:szCs w:val="32"/>
          <w:highlight w:val="none"/>
          <w:shd w:val="clear" w:color="auto" w:fill="FFFFFF"/>
          <w:lang w:val="zh-CN"/>
        </w:rPr>
        <w:t>个。</w:t>
      </w:r>
    </w:p>
    <w:p>
      <w:pPr>
        <w:keepNext w:val="0"/>
        <w:keepLines w:val="0"/>
        <w:pageBreakBefore w:val="0"/>
        <w:widowControl/>
        <w:kinsoku/>
        <w:wordWrap/>
        <w:overflowPunct/>
        <w:topLinePunct w:val="0"/>
        <w:autoSpaceDE/>
        <w:autoSpaceDN/>
        <w:bidi w:val="0"/>
        <w:spacing w:line="578" w:lineRule="exact"/>
        <w:contextualSpacing/>
        <w:jc w:val="left"/>
        <w:textAlignment w:val="auto"/>
        <w:outlineLvl w:val="9"/>
        <w:rPr>
          <w:rFonts w:hint="default" w:ascii="Times New Roman" w:hAnsi="Times New Roman" w:eastAsia="仿宋_GB2312" w:cs="Times New Roman"/>
          <w:sz w:val="32"/>
          <w:szCs w:val="32"/>
          <w:highlight w:val="none"/>
          <w:shd w:val="clear" w:color="auto" w:fill="FFFFFF"/>
          <w:lang w:val="zh-CN"/>
        </w:rPr>
      </w:pPr>
      <w:r>
        <w:rPr>
          <w:rFonts w:hint="default" w:ascii="Times New Roman" w:hAnsi="Times New Roman" w:eastAsia="仿宋_GB2312" w:cs="Times New Roman"/>
          <w:sz w:val="32"/>
          <w:szCs w:val="32"/>
          <w:highlight w:val="none"/>
          <w:shd w:val="clear" w:color="auto" w:fill="FFFFFF"/>
        </w:rPr>
        <w:t>1.</w:t>
      </w:r>
      <w:r>
        <w:rPr>
          <w:rFonts w:hint="default" w:ascii="Times New Roman" w:hAnsi="Times New Roman" w:eastAsia="仿宋_GB2312" w:cs="Times New Roman"/>
          <w:sz w:val="32"/>
          <w:szCs w:val="32"/>
          <w:highlight w:val="none"/>
          <w:shd w:val="clear" w:color="auto" w:fill="FFFFFF"/>
          <w:lang w:val="zh-CN"/>
        </w:rPr>
        <w:t>项目决策。</w:t>
      </w:r>
      <w:r>
        <w:rPr>
          <w:rFonts w:hint="eastAsia" w:eastAsia="仿宋_GB2312" w:cs="Times New Roman"/>
          <w:sz w:val="32"/>
          <w:szCs w:val="32"/>
          <w:highlight w:val="none"/>
          <w:shd w:val="clear" w:color="auto" w:fill="FFFFFF"/>
          <w:lang w:val="en-US" w:eastAsia="zh-CN"/>
        </w:rPr>
        <w:t>严格决策</w:t>
      </w:r>
      <w:r>
        <w:rPr>
          <w:rFonts w:hint="eastAsia" w:ascii="Times New Roman" w:hAnsi="Times New Roman" w:eastAsia="仿宋_GB2312" w:cs="Times New Roman"/>
          <w:sz w:val="32"/>
          <w:szCs w:val="32"/>
          <w:highlight w:val="none"/>
          <w:shd w:val="clear" w:color="auto" w:fill="FFFFFF"/>
          <w:lang w:val="en-US" w:eastAsia="zh-CN"/>
        </w:rPr>
        <w:t>程序，精准设定项目目标，依托项目库抓实全流程绩效管控，实现项目谋划准、立项严、实施顺、效益优</w:t>
      </w:r>
      <w:r>
        <w:rPr>
          <w:rFonts w:hint="default" w:ascii="Times New Roman" w:hAnsi="Times New Roman" w:eastAsia="仿宋_GB2312" w:cs="Times New Roman"/>
          <w:sz w:val="32"/>
          <w:szCs w:val="32"/>
          <w:highlight w:val="none"/>
          <w:shd w:val="clear" w:color="auto" w:fill="FFFFFF"/>
          <w:lang w:val="zh-CN"/>
        </w:rPr>
        <w:t>。</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b/>
          <w:bCs/>
          <w:sz w:val="32"/>
          <w:szCs w:val="32"/>
          <w:highlight w:val="none"/>
          <w:shd w:val="clear" w:color="auto" w:fill="FFFFFF"/>
        </w:rPr>
        <w:t>2.项目执行</w:t>
      </w:r>
      <w:r>
        <w:rPr>
          <w:rFonts w:hint="default" w:ascii="Times New Roman" w:hAnsi="Times New Roman" w:eastAsia="仿宋_GB2312" w:cs="Times New Roman"/>
          <w:b/>
          <w:bCs/>
          <w:sz w:val="32"/>
          <w:szCs w:val="32"/>
          <w:highlight w:val="none"/>
          <w:shd w:val="clear" w:color="auto" w:fill="FFFFFF"/>
          <w:lang w:val="zh-CN"/>
        </w:rPr>
        <w:t>。</w:t>
      </w:r>
      <w:r>
        <w:rPr>
          <w:rFonts w:hint="eastAsia" w:ascii="Times New Roman" w:hAnsi="Times New Roman" w:eastAsia="仿宋_GB2312" w:cs="Times New Roman"/>
          <w:sz w:val="32"/>
          <w:szCs w:val="32"/>
          <w:highlight w:val="none"/>
          <w:shd w:val="clear" w:color="auto" w:fill="FFFFFF"/>
          <w:lang w:val="en-US" w:eastAsia="zh-CN"/>
        </w:rPr>
        <w:t>按照项目施工节点、建设时序拨付资金，做到项目干到哪儿、</w:t>
      </w:r>
      <w:r>
        <w:rPr>
          <w:rFonts w:hint="eastAsia" w:eastAsia="仿宋_GB2312" w:cs="Times New Roman"/>
          <w:sz w:val="32"/>
          <w:szCs w:val="32"/>
          <w:highlight w:val="none"/>
          <w:shd w:val="clear" w:color="auto" w:fill="FFFFFF"/>
          <w:lang w:val="en-US" w:eastAsia="zh-CN"/>
        </w:rPr>
        <w:t>资金拨</w:t>
      </w:r>
      <w:r>
        <w:rPr>
          <w:rFonts w:hint="eastAsia" w:ascii="Times New Roman" w:hAnsi="Times New Roman" w:eastAsia="仿宋_GB2312" w:cs="Times New Roman"/>
          <w:sz w:val="32"/>
          <w:szCs w:val="32"/>
          <w:highlight w:val="none"/>
          <w:shd w:val="clear" w:color="auto" w:fill="FFFFFF"/>
          <w:lang w:val="en-US" w:eastAsia="zh-CN"/>
        </w:rPr>
        <w:t>到哪儿，杜绝滞拨、超前拨付，规范项目动态调整管理，坚持刚性执行与动态优化相结合。一是要严守调整依据、仅在政策变化、现场条件变化、统筹规划调整等客观情况下依规调整二是严守调整原则、不擅自变更核心建设内容、主要功能布局和重大投资规模。</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b/>
          <w:bCs/>
          <w:sz w:val="32"/>
          <w:szCs w:val="32"/>
          <w:highlight w:val="none"/>
          <w:shd w:val="clear" w:color="auto" w:fill="FFFFFF"/>
        </w:rPr>
        <w:t>3.</w:t>
      </w:r>
      <w:r>
        <w:rPr>
          <w:rFonts w:hint="default" w:ascii="Times New Roman" w:hAnsi="Times New Roman" w:eastAsia="仿宋_GB2312" w:cs="Times New Roman"/>
          <w:b/>
          <w:bCs/>
          <w:sz w:val="32"/>
          <w:szCs w:val="32"/>
          <w:highlight w:val="none"/>
          <w:shd w:val="clear" w:color="auto" w:fill="FFFFFF"/>
          <w:lang w:val="zh-CN"/>
        </w:rPr>
        <w:t>目标实现。</w:t>
      </w:r>
      <w:r>
        <w:rPr>
          <w:rFonts w:hint="default" w:ascii="Times New Roman" w:hAnsi="Times New Roman" w:eastAsia="仿宋_GB2312" w:cs="Times New Roman"/>
          <w:sz w:val="32"/>
          <w:szCs w:val="32"/>
          <w:highlight w:val="none"/>
          <w:shd w:val="clear" w:color="auto" w:fill="FFFFFF"/>
          <w:lang w:val="zh-CN"/>
        </w:rPr>
        <w:t>围绕目标完成、目标偏离、实现效果进行绩效分析。</w:t>
      </w:r>
      <w:r>
        <w:rPr>
          <w:rFonts w:hint="eastAsia" w:ascii="Times New Roman" w:hAnsi="Times New Roman" w:eastAsia="仿宋_GB2312" w:cs="Times New Roman"/>
          <w:sz w:val="32"/>
          <w:szCs w:val="32"/>
          <w:highlight w:val="none"/>
          <w:shd w:val="clear" w:color="auto" w:fill="FFFFFF"/>
          <w:lang w:val="en-US" w:eastAsia="zh-CN"/>
        </w:rPr>
        <w:t>以既定目标为标尺，全面对标项目立项批复及既定绩效目标，逐项核查产出目标、时效目标、质量目标、成本目标等情况，全面梳理已完成事项、达标指标，客观总结项目建设落地成效；一是正向偏离，分析提质增效、提前完成、节约资金的经验做法；二是负向分离，针对进度滞后、内容缩水、超概算、绩效指标未达成等问题，深入分析客观原因。立足项目投入产出，分析经济效益、社会效益、生态与安全效益等分析。</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b/>
          <w:bCs/>
          <w:sz w:val="32"/>
          <w:szCs w:val="32"/>
          <w:highlight w:val="none"/>
          <w:shd w:val="clear" w:color="auto" w:fill="FFFFFF"/>
          <w:lang w:val="zh-CN"/>
        </w:rPr>
        <w:t>（三）绩效结果应用情况。</w:t>
      </w:r>
      <w:r>
        <w:rPr>
          <w:rFonts w:hint="eastAsia" w:ascii="Times New Roman" w:hAnsi="Times New Roman" w:eastAsia="仿宋_GB2312" w:cs="Times New Roman"/>
          <w:sz w:val="32"/>
          <w:szCs w:val="32"/>
          <w:highlight w:val="none"/>
          <w:shd w:val="clear" w:color="auto" w:fill="FFFFFF"/>
          <w:lang w:val="en-US" w:eastAsia="zh-CN"/>
        </w:rPr>
        <w:t>将绩效评价结果深度融入项目和资金管理全过程。一是与年度预算安排、资金分配、项目储备挂钩。二是纳入单位内部考核、岗位履职评价、项目责任人考评；对于绩效公开情况一是依法公开项目绩效目标、绩效监控情况、年度绩效自评报告、重点项目评价结果。二是及时公开项目资金使用情况任务完成全工况。建立评价—反馈—整改—复核—销号闭环机制。</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b/>
          <w:bCs/>
          <w:sz w:val="32"/>
          <w:szCs w:val="32"/>
          <w:highlight w:val="none"/>
          <w:shd w:val="clear" w:color="auto" w:fill="FFFFFF"/>
        </w:rPr>
      </w:pPr>
      <w:r>
        <w:rPr>
          <w:rFonts w:hint="default" w:ascii="Times New Roman" w:hAnsi="Times New Roman" w:eastAsia="仿宋_GB2312" w:cs="Times New Roman"/>
          <w:b/>
          <w:bCs/>
          <w:sz w:val="32"/>
          <w:szCs w:val="32"/>
          <w:highlight w:val="none"/>
          <w:shd w:val="clear" w:color="auto" w:fill="FFFFFF"/>
        </w:rPr>
        <w:t>四、评价结论及建议</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rPr>
      </w:pPr>
      <w:r>
        <w:rPr>
          <w:rFonts w:hint="default" w:ascii="Times New Roman" w:hAnsi="Times New Roman" w:eastAsia="仿宋_GB2312" w:cs="Times New Roman"/>
          <w:b/>
          <w:bCs/>
          <w:sz w:val="32"/>
          <w:szCs w:val="32"/>
          <w:highlight w:val="none"/>
          <w:shd w:val="clear" w:color="auto" w:fill="FFFFFF"/>
          <w:lang w:val="zh-CN"/>
        </w:rPr>
        <w:t>（一）评价结论。</w:t>
      </w:r>
      <w:r>
        <w:rPr>
          <w:rFonts w:hint="default" w:ascii="Times New Roman" w:hAnsi="Times New Roman" w:eastAsia="仿宋_GB2312" w:cs="Times New Roman"/>
          <w:sz w:val="32"/>
          <w:szCs w:val="32"/>
          <w:highlight w:val="none"/>
          <w:shd w:val="clear" w:color="auto" w:fill="FFFFFF"/>
          <w:lang w:val="en-US" w:eastAsia="zh-CN"/>
        </w:rPr>
        <w:t>我单位202</w:t>
      </w:r>
      <w:r>
        <w:rPr>
          <w:rFonts w:hint="eastAsia" w:ascii="Times New Roman" w:hAnsi="Times New Roman" w:eastAsia="仿宋_GB2312" w:cs="Times New Roman"/>
          <w:sz w:val="32"/>
          <w:szCs w:val="32"/>
          <w:highlight w:val="none"/>
          <w:shd w:val="clear" w:color="auto" w:fill="FFFFFF"/>
          <w:lang w:val="en-US" w:eastAsia="zh-CN"/>
        </w:rPr>
        <w:t>5</w:t>
      </w:r>
      <w:r>
        <w:rPr>
          <w:rFonts w:hint="default" w:ascii="Times New Roman" w:hAnsi="Times New Roman" w:eastAsia="仿宋_GB2312" w:cs="Times New Roman"/>
          <w:sz w:val="32"/>
          <w:szCs w:val="32"/>
          <w:highlight w:val="none"/>
          <w:shd w:val="clear" w:color="auto" w:fill="FFFFFF"/>
          <w:lang w:val="en-US" w:eastAsia="zh-CN"/>
        </w:rPr>
        <w:t>年度部门整体支出评分</w:t>
      </w:r>
      <w:r>
        <w:rPr>
          <w:rFonts w:hint="eastAsia" w:ascii="Times New Roman" w:hAnsi="Times New Roman" w:eastAsia="仿宋_GB2312" w:cs="Times New Roman"/>
          <w:sz w:val="32"/>
          <w:szCs w:val="32"/>
          <w:highlight w:val="none"/>
          <w:shd w:val="clear" w:color="auto" w:fill="FFFFFF"/>
          <w:lang w:val="en-US" w:eastAsia="zh-CN"/>
        </w:rPr>
        <w:t>88</w:t>
      </w:r>
      <w:r>
        <w:rPr>
          <w:rFonts w:hint="default" w:ascii="Times New Roman" w:hAnsi="Times New Roman" w:eastAsia="仿宋_GB2312" w:cs="Times New Roman"/>
          <w:sz w:val="32"/>
          <w:szCs w:val="32"/>
          <w:highlight w:val="none"/>
          <w:shd w:val="clear" w:color="auto" w:fill="FFFFFF"/>
          <w:lang w:val="en-US" w:eastAsia="zh-CN"/>
        </w:rPr>
        <w:t>分，预算安排准去性较为合理，严格按照资金拨付进度完成支付，绩效目标量化，各部门职能职责较为完善，管理制度健全，资金使用合规，财务监控有效，我单位高度重视支出绩效评价，</w:t>
      </w:r>
      <w:r>
        <w:rPr>
          <w:rFonts w:hint="eastAsia" w:ascii="Times New Roman" w:hAnsi="Times New Roman" w:eastAsia="仿宋_GB2312" w:cs="Times New Roman"/>
          <w:sz w:val="32"/>
          <w:szCs w:val="32"/>
          <w:highlight w:val="none"/>
          <w:shd w:val="clear" w:color="auto" w:fill="FFFFFF"/>
          <w:lang w:val="en-US" w:eastAsia="zh-CN"/>
        </w:rPr>
        <w:t>认真完成相关绩效评价，做到事前事后绩效评价都按时认真完成。</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b/>
          <w:bCs/>
          <w:sz w:val="32"/>
          <w:szCs w:val="32"/>
          <w:highlight w:val="none"/>
          <w:shd w:val="clear" w:color="auto" w:fill="FFFFFF"/>
          <w:lang w:val="zh-CN"/>
        </w:rPr>
      </w:pPr>
      <w:r>
        <w:rPr>
          <w:rFonts w:hint="default" w:ascii="Times New Roman" w:hAnsi="Times New Roman" w:eastAsia="仿宋_GB2312" w:cs="Times New Roman"/>
          <w:b/>
          <w:bCs/>
          <w:sz w:val="32"/>
          <w:szCs w:val="32"/>
          <w:highlight w:val="none"/>
          <w:shd w:val="clear" w:color="auto" w:fill="FFFFFF"/>
          <w:lang w:val="zh-CN"/>
        </w:rPr>
        <w:t>（二）存在问题。</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1.本单位为农牧行业，种植业</w:t>
      </w:r>
      <w:r>
        <w:rPr>
          <w:rFonts w:hint="eastAsia" w:ascii="Times New Roman" w:hAnsi="Times New Roman" w:eastAsia="仿宋_GB2312" w:cs="Times New Roman"/>
          <w:sz w:val="32"/>
          <w:szCs w:val="32"/>
          <w:highlight w:val="none"/>
          <w:shd w:val="clear" w:color="auto" w:fill="FFFFFF"/>
          <w:lang w:val="en-US" w:eastAsia="zh-CN"/>
        </w:rPr>
        <w:t>、养殖业</w:t>
      </w:r>
      <w:r>
        <w:rPr>
          <w:rFonts w:hint="default" w:ascii="Times New Roman" w:hAnsi="Times New Roman" w:eastAsia="仿宋_GB2312" w:cs="Times New Roman"/>
          <w:sz w:val="32"/>
          <w:szCs w:val="32"/>
          <w:highlight w:val="none"/>
          <w:shd w:val="clear" w:color="auto" w:fill="FFFFFF"/>
          <w:lang w:val="en-US" w:eastAsia="zh-CN"/>
        </w:rPr>
        <w:t>等项目存在季节性等问题，资金支付进度较为缓慢。</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2</w:t>
      </w:r>
      <w:r>
        <w:rPr>
          <w:rFonts w:hint="default" w:ascii="Times New Roman" w:hAnsi="Times New Roman" w:eastAsia="仿宋_GB2312" w:cs="Times New Roman"/>
          <w:sz w:val="32"/>
          <w:szCs w:val="32"/>
          <w:highlight w:val="none"/>
          <w:shd w:val="clear" w:color="auto" w:fill="FFFFFF"/>
          <w:lang w:val="en-US" w:eastAsia="zh-CN"/>
        </w:rPr>
        <w:t>绩效评价业务水平有待提高。</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3</w:t>
      </w:r>
      <w:r>
        <w:rPr>
          <w:rFonts w:hint="default" w:ascii="Times New Roman" w:hAnsi="Times New Roman" w:eastAsia="仿宋_GB2312" w:cs="Times New Roman"/>
          <w:sz w:val="32"/>
          <w:szCs w:val="32"/>
          <w:highlight w:val="none"/>
          <w:shd w:val="clear" w:color="auto" w:fill="FFFFFF"/>
          <w:lang w:val="en-US" w:eastAsia="zh-CN"/>
        </w:rPr>
        <w:t>.预算编制欠缺合理性，政府采购超预算执行。</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4</w:t>
      </w:r>
      <w:r>
        <w:rPr>
          <w:rFonts w:hint="default" w:ascii="Times New Roman" w:hAnsi="Times New Roman" w:eastAsia="仿宋_GB2312" w:cs="Times New Roman"/>
          <w:sz w:val="32"/>
          <w:szCs w:val="32"/>
          <w:highlight w:val="none"/>
          <w:shd w:val="clear" w:color="auto" w:fill="FFFFFF"/>
          <w:lang w:val="en-US" w:eastAsia="zh-CN"/>
        </w:rPr>
        <w:t>.财务基础工作有待提高</w:t>
      </w:r>
      <w:r>
        <w:rPr>
          <w:rFonts w:hint="eastAsia" w:ascii="Times New Roman" w:hAnsi="Times New Roman" w:eastAsia="仿宋_GB2312" w:cs="Times New Roman"/>
          <w:sz w:val="32"/>
          <w:szCs w:val="32"/>
          <w:highlight w:val="none"/>
          <w:shd w:val="clear" w:color="auto" w:fill="FFFFFF"/>
          <w:lang w:val="en-US" w:eastAsia="zh-CN"/>
        </w:rPr>
        <w:t>，业务人员不足</w:t>
      </w:r>
      <w:r>
        <w:rPr>
          <w:rFonts w:hint="default" w:ascii="Times New Roman" w:hAnsi="Times New Roman" w:eastAsia="仿宋_GB2312" w:cs="Times New Roman"/>
          <w:sz w:val="32"/>
          <w:szCs w:val="32"/>
          <w:highlight w:val="none"/>
          <w:shd w:val="clear" w:color="auto" w:fill="FFFFFF"/>
          <w:lang w:val="en-US" w:eastAsia="zh-CN"/>
        </w:rPr>
        <w:t>。</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b/>
          <w:bCs/>
          <w:sz w:val="32"/>
          <w:szCs w:val="32"/>
          <w:highlight w:val="none"/>
          <w:shd w:val="clear" w:color="auto" w:fill="FFFFFF"/>
          <w:lang w:val="zh-CN"/>
        </w:rPr>
      </w:pPr>
      <w:r>
        <w:rPr>
          <w:rFonts w:hint="default" w:ascii="Times New Roman" w:hAnsi="Times New Roman" w:eastAsia="仿宋_GB2312" w:cs="Times New Roman"/>
          <w:b/>
          <w:bCs/>
          <w:sz w:val="32"/>
          <w:szCs w:val="32"/>
          <w:highlight w:val="none"/>
          <w:shd w:val="clear" w:color="auto" w:fill="FFFFFF"/>
          <w:lang w:val="zh-CN"/>
        </w:rPr>
        <w:t>（三）改进建议。</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1.我单位在今后的工作中将加强种植业、畜牧业等工作的推进，扎实做好农牧产业推进工作，按时完成资金拨付。加强绩效评价工作管理，建立健全绩效评价工作机制；加强学习，提高绩效评价业务水平，确保绩效评价工作按时保质保量完成。</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2.提高预算编制合理性，加大预算管理力度</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（1）加强对政府采购项目的管理，完善项目申报、立项、批复工作，若存在以前年度政府采购项目未实施情况，及时调整政府采购预算结构，别让预算成为一纸空谈。</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（2）严格预算执行，把各项费用控制在预算范围内，做到无预算，不支出，同时严格控制公用经费支出，保证业务工作正常开展的同时，加强对机构运行成本的控制力度</w:t>
      </w:r>
      <w:r>
        <w:rPr>
          <w:rFonts w:hint="eastAsia" w:ascii="Times New Roman" w:hAnsi="Times New Roman" w:eastAsia="仿宋_GB2312" w:cs="Times New Roman"/>
          <w:sz w:val="32"/>
          <w:szCs w:val="32"/>
          <w:highlight w:val="none"/>
          <w:shd w:val="clear" w:color="auto" w:fill="FFFFFF"/>
          <w:lang w:val="en-US" w:eastAsia="zh-CN"/>
        </w:rPr>
        <w:t>，加强理论知识培训</w:t>
      </w:r>
      <w:r>
        <w:rPr>
          <w:rFonts w:hint="default" w:ascii="Times New Roman" w:hAnsi="Times New Roman" w:eastAsia="仿宋_GB2312" w:cs="Times New Roman"/>
          <w:sz w:val="32"/>
          <w:szCs w:val="32"/>
          <w:highlight w:val="none"/>
          <w:shd w:val="clear" w:color="auto" w:fill="FFFFFF"/>
          <w:lang w:val="en-US" w:eastAsia="zh-CN"/>
        </w:rPr>
        <w:t>。</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（3）</w:t>
      </w:r>
      <w:r>
        <w:rPr>
          <w:rFonts w:hint="default" w:ascii="Times New Roman" w:hAnsi="Times New Roman" w:eastAsia="仿宋_GB2312" w:cs="Times New Roman"/>
          <w:sz w:val="32"/>
          <w:szCs w:val="32"/>
          <w:highlight w:val="none"/>
          <w:shd w:val="clear" w:color="auto" w:fill="FFFFFF"/>
          <w:lang w:val="en-US" w:eastAsia="zh-CN"/>
        </w:rPr>
        <w:t>重视财务基础工作，降低财务风险</w:t>
      </w:r>
      <w:r>
        <w:rPr>
          <w:rFonts w:hint="eastAsia" w:ascii="Times New Roman" w:hAnsi="Times New Roman" w:eastAsia="仿宋_GB2312" w:cs="Times New Roman"/>
          <w:sz w:val="32"/>
          <w:szCs w:val="32"/>
          <w:highlight w:val="none"/>
          <w:shd w:val="clear" w:color="auto" w:fill="FFFFFF"/>
          <w:lang w:val="en-US" w:eastAsia="zh-CN"/>
        </w:rPr>
        <w:t>，</w:t>
      </w:r>
      <w:r>
        <w:rPr>
          <w:rFonts w:hint="default" w:ascii="Times New Roman" w:hAnsi="Times New Roman" w:eastAsia="仿宋_GB2312" w:cs="Times New Roman"/>
          <w:sz w:val="32"/>
          <w:szCs w:val="32"/>
          <w:highlight w:val="none"/>
          <w:shd w:val="clear" w:color="auto" w:fill="FFFFFF"/>
          <w:lang w:val="en-US" w:eastAsia="zh-CN"/>
        </w:rPr>
        <w:t>重视财务审核工作，明确记账岗、审核岗的职责范围。对原始凭证不齐全，不合规的报账行为，各级审批人员和财务人员应拒绝报账、入账。同时加强对付款单位、账户及发票的审核，务必做到合同对象、开票单位和付款对象完全一致，避免“借户付款”、“公款私付”等现象，预防一切可能出现的风险。</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rPr>
      </w:pPr>
      <w:r>
        <w:rPr>
          <w:rFonts w:hint="eastAsia" w:ascii="Times New Roman" w:hAnsi="Times New Roman" w:eastAsia="仿宋_GB2312" w:cs="Times New Roman"/>
          <w:sz w:val="32"/>
          <w:szCs w:val="32"/>
          <w:highlight w:val="none"/>
          <w:shd w:val="clear" w:color="auto" w:fill="FFFFFF"/>
          <w:lang w:val="en-US" w:eastAsia="zh-CN"/>
        </w:rPr>
        <w:t>（4）建立完善</w:t>
      </w:r>
      <w:r>
        <w:rPr>
          <w:rFonts w:hint="eastAsia" w:eastAsia="仿宋_GB2312" w:cs="Times New Roman"/>
          <w:sz w:val="32"/>
          <w:szCs w:val="32"/>
          <w:highlight w:val="none"/>
          <w:shd w:val="clear" w:color="auto" w:fill="FFFFFF"/>
          <w:lang w:val="en-US" w:eastAsia="zh-CN"/>
        </w:rPr>
        <w:t>财务人员培训机制</w:t>
      </w:r>
      <w:r>
        <w:rPr>
          <w:rFonts w:hint="eastAsia" w:ascii="Times New Roman" w:hAnsi="Times New Roman" w:eastAsia="仿宋_GB2312" w:cs="Times New Roman"/>
          <w:sz w:val="32"/>
          <w:szCs w:val="32"/>
          <w:highlight w:val="none"/>
          <w:shd w:val="clear" w:color="auto" w:fill="FFFFFF"/>
          <w:lang w:val="en-US" w:eastAsia="zh-CN"/>
        </w:rPr>
        <w:t>，培养优秀财务人员。</w:t>
      </w:r>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3"/>
        <w:keepNext w:val="0"/>
        <w:keepLines w:val="0"/>
        <w:pageBreakBefore w:val="0"/>
        <w:numPr>
          <w:ilvl w:val="0"/>
          <w:numId w:val="0"/>
        </w:numPr>
        <w:kinsoku/>
        <w:wordWrap/>
        <w:overflowPunct/>
        <w:topLinePunct w:val="0"/>
        <w:autoSpaceDE/>
        <w:autoSpaceDN/>
        <w:bidi w:val="0"/>
        <w:spacing w:line="560" w:lineRule="exact"/>
        <w:ind w:firstLine="960" w:firstLineChars="300"/>
        <w:textAlignment w:val="auto"/>
        <w:rPr>
          <w:rFonts w:hint="eastAsia" w:ascii="Times New Roman" w:hAnsi="Times New Roman" w:eastAsia="仿宋_GB2312" w:cs="Times New Roman"/>
          <w:kern w:val="2"/>
          <w:sz w:val="32"/>
          <w:szCs w:val="32"/>
          <w:u w:val="none"/>
          <w:lang w:val="en-US"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tbl>
      <w:tblPr>
        <w:tblStyle w:val="15"/>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r>
      <w:tr>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val="en-US" w:eastAsia="zh-CN"/>
              </w:rPr>
              <w:t>部门</w:t>
            </w:r>
            <w:r>
              <w:rPr>
                <w:rFonts w:hint="eastAsia" w:ascii="宋体" w:hAnsi="宋体" w:eastAsia="宋体" w:cs="宋体"/>
                <w:color w:val="000000"/>
                <w:kern w:val="0"/>
                <w:sz w:val="24"/>
              </w:rPr>
              <w:t>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bl>
    <w:p>
      <w:pPr>
        <w:rPr>
          <w:rFonts w:hint="eastAsia"/>
          <w:lang w:val="zh-CN" w:eastAsia="zh-CN"/>
        </w:rPr>
      </w:pPr>
    </w:p>
    <w:p>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8"/>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8"/>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壤塘县2025年高素质农民培育项目</w:t>
      </w: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绩效评价报告</w:t>
      </w:r>
    </w:p>
    <w:p>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zh-CN" w:eastAsia="zh-CN"/>
        </w:rPr>
      </w:pPr>
      <w:r>
        <w:rPr>
          <w:rFonts w:hint="default" w:ascii="Times New Roman" w:hAnsi="Times New Roman" w:cs="Times New Roman"/>
          <w:color w:val="auto"/>
          <w:kern w:val="0"/>
          <w:sz w:val="32"/>
          <w:szCs w:val="32"/>
          <w:highlight w:val="none"/>
          <w:u w:val="none"/>
          <w:shd w:val="clear" w:color="auto" w:fill="FFFFFF"/>
          <w:lang w:val="en-US" w:eastAsia="zh-CN"/>
        </w:rPr>
        <w:t>一、</w:t>
      </w:r>
      <w:r>
        <w:rPr>
          <w:rFonts w:hint="default" w:ascii="Times New Roman" w:hAnsi="Times New Roman" w:cs="Times New Roman"/>
          <w:color w:val="auto"/>
          <w:kern w:val="0"/>
          <w:sz w:val="32"/>
          <w:szCs w:val="32"/>
          <w:highlight w:val="none"/>
          <w:u w:val="none"/>
          <w:shd w:val="clear" w:color="auto" w:fill="FFFFFF"/>
          <w:lang w:val="zh-CN" w:eastAsia="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为巩固拓展脱贫攻坚成果，衔接推进乡村振兴，阻断贫困代际传递，减轻农村困难家庭教育负担，持续实施2025年雨露计划教育帮扶项目。项目立项、资金申报依据国家、省、市</w:t>
      </w:r>
      <w:r>
        <w:rPr>
          <w:rFonts w:hint="eastAsia" w:cs="Times New Roman"/>
          <w:color w:val="auto"/>
          <w:kern w:val="0"/>
          <w:sz w:val="32"/>
          <w:szCs w:val="32"/>
          <w:highlight w:val="none"/>
          <w:u w:val="none"/>
          <w:shd w:val="clear" w:color="auto" w:fill="FFFFFF"/>
          <w:lang w:val="en-US" w:eastAsia="zh-CN"/>
        </w:rPr>
        <w:t>巩固拓展脱贫攻坚成果同乡村振兴有效衔接</w:t>
      </w:r>
      <w:r>
        <w:rPr>
          <w:rFonts w:hint="default" w:ascii="Times New Roman" w:hAnsi="Times New Roman" w:cs="Times New Roman"/>
          <w:color w:val="auto"/>
          <w:kern w:val="0"/>
          <w:sz w:val="32"/>
          <w:szCs w:val="32"/>
          <w:highlight w:val="none"/>
          <w:u w:val="none"/>
          <w:shd w:val="clear" w:color="auto" w:fill="FFFFFF"/>
          <w:lang w:val="en-US" w:eastAsia="zh-CN"/>
        </w:rPr>
        <w:t>相关政策文件及资金管理规定，结合我县实际立项实施，按要求规范申报衔接推进乡村振兴补助资金。</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主要内容：对脱贫户、监测户家庭子女中，就读全日制在校普通中专、成人中专、职业高中、技工院校、高职（专科）的学生，按每生每学期1500元标准发放阶段性补助，严格审核对象信息，规范补助发放，落实教育帮扶政策。主管部门为壤塘县科学技术和农业畜牧局，负责项目统筹部署、政策宣传、对象审核、资金监管、台账管理、督导落实，保障项目规范有序实施。</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（二）实施目的及支持方向</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项目实施目的和主要工作任务：巩固拓展脱贫攻坚成果，防止返贫致贫，重点帮扶脱贫户、监测户家庭子女接受职业教育，落实助学补助，减轻就学负担，提升就业技能，助力稳定增收，切实筑牢防返贫底线。</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资金管理办法制定情况：严格落实上级雨露计划资金管理办法，规范资金拨付、审核、发放流程，专款专用、台账齐全，全程监管资金使用，保障资金安全高效运行。项目支持方向面向农村脱贫不稳定户、边缘易致贫户等重点群体，对中高职、技工院校在读学生发放阶段性补助，精准落实教育帮扶政策。</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（三）预算安排及分配管理</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2025年雨露计划资金来源于乡村振兴财政衔接补助资金，预算足额统筹安排，专项用于教育助学补助，保障项目有序实施。项目资金分配原则：坚持精准公平、专款专用原则，结合脱贫户、监测户子女就读人数、补助标准、实际就学需求统筹分配，优先保障重点帮扶群体。项目资金按学期、补助对象类别规范分配，精准发放至符合条件学生，全程闭环管理，无截留、挤占、挪用情况。</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（四）项目绩效目标设置</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科学设置项目整体、区域及具体绩效目标，聚焦提升脱贫人口、监测人口综合素质，培育实用技能型人才，实现群众一技在手、稳定增收。严格把控工作时限：春季学期6月15日前完成对象审核、6月底前补助足额发放到位；秋季学期12月15日前完成审核、12月底前完成补助拨付，同步常态化开展项目自评工作，确保政策落地见效。</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二、评价实施</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（一）评价目的</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通过项目绩效自评，全面检验雨露计划实施成效、资金使用效益及政策落实情况，及时查摆问题、补齐短板，规范项目管理与资金监管，提升帮扶质效，切实筑牢防返贫底线。</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（二）预设问题及评价重点</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严格对照既定绩效评价指标体系，围绕项目资金拨付、支出使用、流程监管全链条开展自查梳理，全面客观分析项目推进落实、政策执行、社会效益等各方面实施情况，对资金使用规范性、合理性及项目整体实施效果进行全方位综合评价与科学研判。</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（三）评价选点</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绩效自评严格规范抽样点位选取，按照专项预算项目管理要求，结合雨露计划专项资金分配覆盖范围，按涉及市县总数20%比例抽取实地核查点位，抽样点位数量严格控制在20个以内，同步梳理完善点位清单，单独编制形成自评附表，确保实地踏访抽查有据可依、自评工作客观全面。</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（四）评价方法</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本项目按照相关政策文件及绩效评价工作要求，开展全面的绩效评价工作。评价工作严格遵循既定程序与标准，通过综合研判项目实施成效、资金使用效益等内容，客观反映项目运行情况。评价过程将结合项目实际情况，统筹运用各类工作方式方法，确保评价结果真实、准确、有效，评价结果将作为后续项目管理和资金安排的重要依据。</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（五）评价组织</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成立专项评价小组，统一组织开展雨露计划绩效评价工作。人员构成由分管领导、业务经办、财务人员共同组成，人员配置齐全、职责分工明确：分管领导统筹总体工作；业务人员核查项目实施及台账资料；财务人员负责资金使用合规性审核，各司其职、协同配合。</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三、绩效分析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结合通用、专用、个性三类指标，对照二、三级指标逐项开展自查分析，客观研判实施成效，依规逐项完成打分评价。</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（一）通用指标绩效分析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决策：严格规范决策流程，科学开展规划论证，精准合理确定资金投向，保障项目决策合规可行。本项目依据川乡振〔2021〕44号文件要求，以“全国防返贫监测系统”中的脱贫户、监测户信息数据为准，通过村级确认、乡镇初审、县级审核，并对最终申报人员名单进行乡、村两级公示，流程规范合规。</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管理：健全管理制度办法，规范资金分配管理，强化全过程绩效监管，提升项目管理质效。项目严格执行财务管理制度，财务处理及时、会计核算规范；资金申报、批复由县财政直接下达指标到大平台，县科农局以直补方式将资金转入申请学生银行卡（或直系亲属银行卡），支付依据合规合法，资金支付与预算相符。</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项目实施：严格执行年度预算，规范资金拨付与使用，严控支出合规性，保障项目平稳推进。2025年预算资金80万元，</w:t>
      </w:r>
      <w:r>
        <w:rPr>
          <w:rFonts w:hint="eastAsia" w:cs="Times New Roman"/>
          <w:color w:val="auto"/>
          <w:kern w:val="0"/>
          <w:sz w:val="32"/>
          <w:szCs w:val="32"/>
          <w:highlight w:val="none"/>
          <w:u w:val="none"/>
          <w:shd w:val="clear" w:color="auto" w:fill="FFFFFF"/>
          <w:lang w:val="en-US" w:eastAsia="zh-CN"/>
        </w:rPr>
        <w:t>截至</w:t>
      </w:r>
      <w:r>
        <w:rPr>
          <w:rFonts w:hint="default" w:ascii="Times New Roman" w:hAnsi="Times New Roman" w:cs="Times New Roman"/>
          <w:color w:val="auto"/>
          <w:kern w:val="0"/>
          <w:sz w:val="32"/>
          <w:szCs w:val="32"/>
          <w:highlight w:val="none"/>
          <w:u w:val="none"/>
          <w:shd w:val="clear" w:color="auto" w:fill="FFFFFF"/>
          <w:lang w:val="en-US" w:eastAsia="zh-CN"/>
        </w:rPr>
        <w:t>评价时点实际到位80万元，实际支出71.7万元，资金支付率89.6%，惠及478人次。其中：上半年支付40.35万元，补助学生269人；下半年支付31.35万元，补助学生209人。剩余资金8.3万元已由财政收回。</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项目结果：全面落实既定工作目标，按时保质完成各项任务，项目实施时效达标，整体成效良好。</w:t>
      </w:r>
      <w:r>
        <w:rPr>
          <w:rFonts w:hint="eastAsia" w:cs="Times New Roman"/>
          <w:color w:val="auto"/>
          <w:kern w:val="0"/>
          <w:sz w:val="32"/>
          <w:szCs w:val="32"/>
          <w:highlight w:val="none"/>
          <w:u w:val="none"/>
          <w:shd w:val="clear" w:color="auto" w:fill="FFFFFF"/>
          <w:lang w:val="en-US" w:eastAsia="zh-CN"/>
        </w:rPr>
        <w:t>截至</w:t>
      </w:r>
      <w:r>
        <w:rPr>
          <w:rFonts w:hint="default" w:ascii="Times New Roman" w:hAnsi="Times New Roman" w:cs="Times New Roman"/>
          <w:color w:val="auto"/>
          <w:kern w:val="0"/>
          <w:sz w:val="32"/>
          <w:szCs w:val="32"/>
          <w:highlight w:val="none"/>
          <w:u w:val="none"/>
          <w:shd w:val="clear" w:color="auto" w:fill="FFFFFF"/>
          <w:lang w:val="en-US" w:eastAsia="zh-CN"/>
        </w:rPr>
        <w:t>2025年12月底，项目资金共支出71.7万元，惠及478人次，按学期、补助标准精准发放，因部分学生无手机未能及时联系、佐证材料未及时提供，以及我县12月12日关账，导致个别乡镇资金未拨付，但整体进度与质量均符合计划目标。</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（二）专用指标绩效分析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结合专项预算项目资金支持对象，围绕民生保障、行政运转等分类指标，开展对应绩效分析：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民生保障类：立足民生帮扶实际，围绕区域均衡性、帮扶对象精准性、补助标准合理性及群众满意度逐项分析评价。项目面向脱贫家庭（含监测户）子女，精准发放教育补助，引导农村脱贫家庭新成长劳动力接受职业教育，为脱贫家庭培养技能型人才，促进稳定就业、长期增收，实现稳定增收，提高了脱贫家庭人口素质，促进经济收入提升。</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行政运转类：从严规范管理，围绕资金用途、办理程序、执行标准三方面，确保各项工作合规有序运行。项目申报内容与实施内容相符，申报目标合理可行；审核发放过程严格执行财务管理制度，直补资金全部转入学生本人或直系亲属银行卡，无截留、挪用情况。</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（三）个性指标绩效分析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结合本项目实际情况，合理设定个性化评价指标，全面对照指标内容，如实反映项目推进落实、任务完成及实际运行成效。</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补助标准执行情况：严格按每生每学期1500元标准发放，退学、休学学生不予补助，标准执行无偏差。</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资金支付进度情况：全年预算80万元，实际支付71.7万元，支付率89.6%，剩余资金已按规定收回财政。</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政策知晓与满意度：通过乡、村两级公示及政策宣传，受益对象对政策知晓度高，补助发放及时到位，群众满意度良好。</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四、评价结论</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本次专项预算项目绩效自评工作已全面完成，对照各项评价指标逐项分析打分，综合得出项目评价总分。本项目整体实施规范有序，决策科学合理，管理制度健全，资金使用合规安全，年度目标按期完成，惠民政策落实到位，项目实施总体成效良好，圆满完成本年度各项工作任务。</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五、存在主要问题</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项目资料归档整理不够细致，部分佐证材料收集不够及时完整；因部分学生无法及时联系、佐证材料提供滞后，以及年末关账影响，导致个别乡镇资金拨付未完全到位，资金支付率未达100%。</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六、改进建议</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完善资料管理制度，及时收集整理各类佐证材料，规范台账归档工作；加强与乡镇、村社的联动，提前摸排学生情况，确保联系畅通、材料齐全，避免因信息不对称影响资金拨付；优化资金拨付流程，合理安排支付时间，减少年末关账影响，提升资金使用效率。</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pStyle w:val="19"/>
        <w:rPr>
          <w:rFonts w:hint="eastAsia" w:ascii="Times New Roman" w:hAnsi="Times New Roman" w:eastAsia="仿宋_GB2312" w:cs="仿宋_GB2312"/>
          <w:b w:val="0"/>
          <w:bCs w:val="0"/>
          <w:kern w:val="0"/>
          <w:position w:val="0"/>
          <w:sz w:val="32"/>
          <w:szCs w:val="32"/>
          <w:highlight w:val="none"/>
          <w:lang w:val="en-US" w:eastAsia="zh-CN" w:bidi="ar-SA"/>
        </w:rPr>
      </w:pPr>
    </w:p>
    <w:p>
      <w:pPr>
        <w:rPr>
          <w:rFonts w:hint="eastAsia" w:ascii="Times New Roman" w:hAnsi="Times New Roman" w:eastAsia="仿宋_GB2312" w:cs="仿宋_GB2312"/>
          <w:b w:val="0"/>
          <w:bCs w:val="0"/>
          <w:kern w:val="0"/>
          <w:position w:val="0"/>
          <w:sz w:val="32"/>
          <w:szCs w:val="32"/>
          <w:highlight w:val="none"/>
          <w:lang w:val="en-US" w:eastAsia="zh-CN" w:bidi="ar-SA"/>
        </w:rPr>
      </w:pPr>
    </w:p>
    <w:p>
      <w:pPr>
        <w:pStyle w:val="19"/>
        <w:rPr>
          <w:rFonts w:hint="eastAsia" w:ascii="Times New Roman" w:hAnsi="Times New Roman" w:eastAsia="仿宋_GB2312" w:cs="仿宋_GB2312"/>
          <w:b w:val="0"/>
          <w:bCs w:val="0"/>
          <w:kern w:val="0"/>
          <w:position w:val="0"/>
          <w:sz w:val="32"/>
          <w:szCs w:val="32"/>
          <w:highlight w:val="none"/>
          <w:lang w:val="en-US" w:eastAsia="zh-CN" w:bidi="ar-SA"/>
        </w:rPr>
      </w:pPr>
    </w:p>
    <w:p>
      <w:pPr>
        <w:rPr>
          <w:rFonts w:hint="eastAsia" w:ascii="Times New Roman" w:hAnsi="Times New Roman" w:eastAsia="仿宋_GB2312" w:cs="仿宋_GB2312"/>
          <w:b w:val="0"/>
          <w:bCs w:val="0"/>
          <w:kern w:val="0"/>
          <w:position w:val="0"/>
          <w:sz w:val="32"/>
          <w:szCs w:val="32"/>
          <w:highlight w:val="none"/>
          <w:lang w:val="en-US" w:eastAsia="zh-CN" w:bidi="ar-SA"/>
        </w:rPr>
      </w:pPr>
    </w:p>
    <w:p>
      <w:pPr>
        <w:pStyle w:val="19"/>
        <w:rPr>
          <w:rFonts w:hint="eastAsia" w:ascii="Times New Roman" w:hAnsi="Times New Roman" w:eastAsia="仿宋_GB2312" w:cs="仿宋_GB2312"/>
          <w:b w:val="0"/>
          <w:bCs w:val="0"/>
          <w:kern w:val="0"/>
          <w:position w:val="0"/>
          <w:sz w:val="32"/>
          <w:szCs w:val="32"/>
          <w:highlight w:val="none"/>
          <w:lang w:val="en-US" w:eastAsia="zh-CN" w:bidi="ar-SA"/>
        </w:rPr>
      </w:pPr>
    </w:p>
    <w:p>
      <w:pPr>
        <w:rPr>
          <w:rFonts w:hint="eastAsia" w:ascii="Times New Roman" w:hAnsi="Times New Roman" w:eastAsia="仿宋_GB2312" w:cs="仿宋_GB2312"/>
          <w:b w:val="0"/>
          <w:bCs w:val="0"/>
          <w:kern w:val="0"/>
          <w:position w:val="0"/>
          <w:sz w:val="32"/>
          <w:szCs w:val="32"/>
          <w:highlight w:val="none"/>
          <w:lang w:val="en-US" w:eastAsia="zh-CN" w:bidi="ar-SA"/>
        </w:rPr>
      </w:pPr>
    </w:p>
    <w:p>
      <w:pPr>
        <w:pStyle w:val="19"/>
        <w:rPr>
          <w:rFonts w:hint="eastAsia" w:ascii="Times New Roman" w:hAnsi="Times New Roman" w:eastAsia="仿宋_GB2312" w:cs="仿宋_GB2312"/>
          <w:b w:val="0"/>
          <w:bCs w:val="0"/>
          <w:kern w:val="0"/>
          <w:position w:val="0"/>
          <w:sz w:val="32"/>
          <w:szCs w:val="32"/>
          <w:highlight w:val="none"/>
          <w:lang w:val="en-US" w:eastAsia="zh-CN" w:bidi="ar-SA"/>
        </w:rPr>
      </w:pPr>
    </w:p>
    <w:p>
      <w:pPr>
        <w:rPr>
          <w:rFonts w:hint="eastAsia" w:ascii="Times New Roman" w:hAnsi="Times New Roman" w:eastAsia="仿宋_GB2312" w:cs="仿宋_GB2312"/>
          <w:b w:val="0"/>
          <w:bCs w:val="0"/>
          <w:kern w:val="0"/>
          <w:position w:val="0"/>
          <w:sz w:val="32"/>
          <w:szCs w:val="32"/>
          <w:highlight w:val="none"/>
          <w:lang w:val="en-US" w:eastAsia="zh-CN" w:bidi="ar-SA"/>
        </w:rPr>
      </w:pPr>
    </w:p>
    <w:p>
      <w:pPr>
        <w:pStyle w:val="19"/>
        <w:rPr>
          <w:rFonts w:hint="eastAsia" w:ascii="Times New Roman" w:hAnsi="Times New Roman" w:eastAsia="仿宋_GB2312" w:cs="仿宋_GB2312"/>
          <w:b w:val="0"/>
          <w:bCs w:val="0"/>
          <w:kern w:val="0"/>
          <w:position w:val="0"/>
          <w:sz w:val="32"/>
          <w:szCs w:val="32"/>
          <w:highlight w:val="none"/>
          <w:lang w:val="en-US" w:eastAsia="zh-CN" w:bidi="ar-SA"/>
        </w:rPr>
      </w:pPr>
    </w:p>
    <w:p>
      <w:pPr>
        <w:rPr>
          <w:rFonts w:hint="eastAsia" w:ascii="Times New Roman" w:hAnsi="Times New Roman" w:eastAsia="仿宋_GB2312" w:cs="仿宋_GB2312"/>
          <w:b w:val="0"/>
          <w:bCs w:val="0"/>
          <w:kern w:val="0"/>
          <w:position w:val="0"/>
          <w:sz w:val="32"/>
          <w:szCs w:val="32"/>
          <w:highlight w:val="none"/>
          <w:lang w:val="en-US" w:eastAsia="zh-CN" w:bidi="ar-SA"/>
        </w:rPr>
      </w:pPr>
    </w:p>
    <w:p>
      <w:pPr>
        <w:pStyle w:val="19"/>
        <w:rPr>
          <w:rFonts w:hint="eastAsia" w:ascii="Times New Roman" w:hAnsi="Times New Roman" w:eastAsia="仿宋_GB2312" w:cs="仿宋_GB2312"/>
          <w:b w:val="0"/>
          <w:bCs w:val="0"/>
          <w:kern w:val="0"/>
          <w:position w:val="0"/>
          <w:sz w:val="32"/>
          <w:szCs w:val="32"/>
          <w:highlight w:val="none"/>
          <w:lang w:val="en-US" w:eastAsia="zh-CN" w:bidi="ar-SA"/>
        </w:rPr>
      </w:pPr>
    </w:p>
    <w:p>
      <w:pPr>
        <w:rPr>
          <w:rFonts w:hint="eastAsia" w:ascii="Times New Roman" w:hAnsi="Times New Roman" w:eastAsia="仿宋_GB2312" w:cs="仿宋_GB2312"/>
          <w:b w:val="0"/>
          <w:bCs w:val="0"/>
          <w:kern w:val="0"/>
          <w:position w:val="0"/>
          <w:sz w:val="32"/>
          <w:szCs w:val="32"/>
          <w:highlight w:val="none"/>
          <w:lang w:val="en-US" w:eastAsia="zh-CN" w:bidi="ar-SA"/>
        </w:rPr>
      </w:pP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微软雅黑" w:cs="Times New Roman"/>
          <w:color w:val="auto"/>
          <w:kern w:val="2"/>
          <w:sz w:val="44"/>
          <w:szCs w:val="44"/>
          <w:highlight w:val="none"/>
          <w:lang w:val="en-US" w:eastAsia="zh-CN"/>
        </w:rPr>
      </w:pP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微软雅黑" w:cs="Times New Roman"/>
          <w:color w:val="auto"/>
          <w:kern w:val="2"/>
          <w:sz w:val="44"/>
          <w:szCs w:val="44"/>
          <w:highlight w:val="none"/>
          <w:lang w:val="en-US" w:eastAsia="zh-CN"/>
        </w:rPr>
      </w:pP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雨露计划</w:t>
      </w:r>
      <w:r>
        <w:rPr>
          <w:rFonts w:hint="default" w:ascii="Times New Roman" w:hAnsi="Times New Roman" w:eastAsia="方正小标宋简体" w:cs="方正小标宋简体"/>
          <w:color w:val="auto"/>
          <w:kern w:val="2"/>
          <w:sz w:val="44"/>
          <w:szCs w:val="44"/>
          <w:highlight w:val="none"/>
          <w:lang w:val="en-US" w:eastAsia="zh-CN"/>
        </w:rPr>
        <w:t>专项预算绩效自评报告</w:t>
      </w:r>
    </w:p>
    <w:p>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zh-CN" w:eastAsia="zh-CN"/>
        </w:rPr>
      </w:pPr>
      <w:r>
        <w:rPr>
          <w:rFonts w:hint="default" w:ascii="Times New Roman" w:hAnsi="Times New Roman" w:cs="Times New Roman"/>
          <w:color w:val="auto"/>
          <w:kern w:val="0"/>
          <w:sz w:val="32"/>
          <w:szCs w:val="32"/>
          <w:highlight w:val="none"/>
          <w:u w:val="none"/>
          <w:shd w:val="clear" w:color="auto" w:fill="FFFFFF"/>
          <w:lang w:val="en-US" w:eastAsia="zh-CN"/>
        </w:rPr>
        <w:t>一、</w:t>
      </w:r>
      <w:r>
        <w:rPr>
          <w:rFonts w:hint="default" w:ascii="Times New Roman" w:hAnsi="Times New Roman" w:cs="Times New Roman"/>
          <w:color w:val="auto"/>
          <w:kern w:val="0"/>
          <w:sz w:val="32"/>
          <w:szCs w:val="32"/>
          <w:highlight w:val="none"/>
          <w:u w:val="none"/>
          <w:shd w:val="clear" w:color="auto" w:fill="FFFFFF"/>
          <w:lang w:val="zh-CN" w:eastAsia="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为巩固拓展脱贫攻坚成果，衔接推进乡村振兴，阻断贫困代际传递，减轻农村困难家庭教育负担，持续实施2025年雨露计划教育帮扶项目。项目立项、资金申报依据国家、省、市</w:t>
      </w:r>
      <w:r>
        <w:rPr>
          <w:rFonts w:hint="eastAsia" w:cs="Times New Roman"/>
          <w:color w:val="auto"/>
          <w:kern w:val="0"/>
          <w:sz w:val="32"/>
          <w:szCs w:val="32"/>
          <w:highlight w:val="none"/>
          <w:u w:val="none"/>
          <w:shd w:val="clear" w:color="auto" w:fill="FFFFFF"/>
          <w:lang w:val="en-US" w:eastAsia="zh-CN"/>
        </w:rPr>
        <w:t>巩固拓展脱贫攻坚成果同乡村振兴有效衔接</w:t>
      </w:r>
      <w:r>
        <w:rPr>
          <w:rFonts w:hint="default" w:ascii="Times New Roman" w:hAnsi="Times New Roman" w:cs="Times New Roman"/>
          <w:color w:val="auto"/>
          <w:kern w:val="0"/>
          <w:sz w:val="32"/>
          <w:szCs w:val="32"/>
          <w:highlight w:val="none"/>
          <w:u w:val="none"/>
          <w:shd w:val="clear" w:color="auto" w:fill="FFFFFF"/>
          <w:lang w:val="en-US" w:eastAsia="zh-CN"/>
        </w:rPr>
        <w:t>相关政策文件及资金管理规定，结合我县实际立项实施，按要求规范申报衔接推进乡村振兴补助资金。</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主要内容：对脱贫户、监测户家庭子女中，就读全日制在校普通中专、成人中专、职业高中、技工院校、高职（专科）的学生，按每生每学期1500元标准发放阶段性补助，严格审核对象信息，规范补助发放，落实教育帮扶政策。主管部门为壤塘县科学技术和农业畜牧局，负责项目统筹部署、政策宣传、对象审核、资金监管、台账管理、督导落实，保障项目规范有序实施。</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（二）实施目的及支持方向</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项目实施目的和主要工作任务：巩固拓展脱贫攻坚成果，防止返贫致贫，重点帮扶脱贫户、监测户家庭子女接受职业教育，落实助学补助，减轻就学负担，提升就业技能，助力稳定增收，切实筑牢防返贫底线。</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资金管理办法制定情况：严格落实上级雨露计划资金管理办法，规范资金拨付、审核、发放流程，专款专用、台账齐全，全程监管资金使用，保障资金安全高效运行。项目支持方向面向农村脱贫不稳定户、边缘易致贫户等重点群体，对中高职、技工院校在读学生发放阶段性补助，精准落实教育帮扶政策。</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（三）预算安排及分配管理</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2025年雨露计划资金来源于乡村振兴财政衔接补助资金，预算足额统筹安排，专项用于教育助学补助，保障项目有序实施。项目资金分配原则：坚持精准公平、专款专用原则，结合脱贫户、监测户子女就读人数、补助标准、实际就学需求统筹分配，优先保障重点帮扶群体。项目资金按学期、补助对象类别规范分配，精准发放至符合条件学生，全程闭环管理，无截留、挤占、挪用情况。</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（四）项目绩效目标设置</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科学设置项目整体、区域及具体绩效目标，聚焦提升脱贫人口、监测人口综合素质，培育实用技能型人才，实现群众一技在手、稳定增收。严格把控工作时限：春季学期6月15日前完成对象审核、6月底前补助足额发放到位；秋季学期12月15日前完成审核、12月底前完成补助拨付，同步常态化开展项目自评工作，确保政策落地见效。</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二、评价实施</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（一）评价目的</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通过项目绩效自评，全面检验雨露计划实施成效、资金使用效益及政策落实情况，及时查摆问题、补齐短板，规范项目管理与资金监管，提升帮扶质效，切实筑牢防返贫底线。</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（二）预设问题及评价重点</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严格对照既定绩效评价指标体系，围绕项目资金拨付、支出使用、流程监管全链条开展自查梳理，全面客观分析项目推进落实、政策执行、社会效益等各方面实施情况，对资金使用规范性、合理性及项目整体实施效果进行全方位综合评价与科学研判。</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（三）评价选点</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绩效自评严格规范抽样点位选取，按照专项预算项目管理要求，结合雨露计划专项资金分配覆盖范围，按涉及市县总数20%比例抽取实地核查点位，抽样点位数量严格控制在20个以内，同步梳理完善点位清单，单独编制形成自评附表，确保实地踏访抽查有据可依、自评工作客观全面。</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（四）评价方法</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本项目按照相关政策文件及绩效评价工作要求，开展全面的绩效评价工作。评价工作严格遵循既定程序与标准，通过综合研判项目实施成效、资金使用效益等内容，客观反映项目运行情况。评价过程将结合项目实际情况，统筹运用各类工作方式方法，确保评价结果真实、准确、有效，评价结果将作为后续项目管理和资金安排的重要依据。</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（五）评价组织</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成立专项评价小组，统一组织开展雨露计划绩效评价工作。人员构成由分管领导、业务经办、财务人员共同组成，人员配置齐全、职责分工明确：分管领导统筹总体工作；业务人员核查项目实施及台账资料；财务人员负责资金使用合规性审核，各司其职、协同配合。</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三、绩效分析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结合通用、专用、个性三类指标，对照二、三级指标逐项开展自查分析，客观研判实施成效，依规逐项完成打分评价。</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（一）通用指标绩效分析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决策：严格规范决策流程，科学开展规划论证，精准合理确定资金投向，保障项目决策合规可行。本项目依据川乡振〔2021〕44号文件要求，以“全国防返贫监测系统”中的脱贫户、监测户信息数据为准，通过村级确认、乡镇初审、县级审核，并对最终申报人员名单进行乡、村两级公示，流程规范合规。</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管理：健全管理制度办法，规范资金分配管理，强化全过程绩效监管，提升项目管理质效。项目严格执行财务管理制度，财务处理及时、会计核算规范；资金申报、批复由县财政直接下达指标到大平台，县科农局以直补方式将资金转入申请学生银行卡（或直系亲属银行卡），支付依据合规合法，资金支付与预算相符。</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项目实施：严格执行年度预算，规范资金拨付与使用，严控支出合规性，保障项目平稳推进。2025年预算资金80万元，</w:t>
      </w:r>
      <w:r>
        <w:rPr>
          <w:rFonts w:hint="eastAsia" w:cs="Times New Roman"/>
          <w:color w:val="auto"/>
          <w:kern w:val="0"/>
          <w:sz w:val="32"/>
          <w:szCs w:val="32"/>
          <w:highlight w:val="none"/>
          <w:u w:val="none"/>
          <w:shd w:val="clear" w:color="auto" w:fill="FFFFFF"/>
          <w:lang w:val="en-US" w:eastAsia="zh-CN"/>
        </w:rPr>
        <w:t>截至</w:t>
      </w:r>
      <w:r>
        <w:rPr>
          <w:rFonts w:hint="default" w:ascii="Times New Roman" w:hAnsi="Times New Roman" w:cs="Times New Roman"/>
          <w:color w:val="auto"/>
          <w:kern w:val="0"/>
          <w:sz w:val="32"/>
          <w:szCs w:val="32"/>
          <w:highlight w:val="none"/>
          <w:u w:val="none"/>
          <w:shd w:val="clear" w:color="auto" w:fill="FFFFFF"/>
          <w:lang w:val="en-US" w:eastAsia="zh-CN"/>
        </w:rPr>
        <w:t>评价时点实际到位80万元，实际支出71.7万元，资金支付率89.6%，惠及478人次。其中：上半年支付40.35万元，补助学生269人；下半年支付31.35万元，补助学生209人。剩余资金8.3万元已由财政收回。</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项目结果：全面落实既定工作目标，按时保质完成各项任务，项目实施时效达标，整体成效良好。</w:t>
      </w:r>
      <w:r>
        <w:rPr>
          <w:rFonts w:hint="eastAsia" w:cs="Times New Roman"/>
          <w:color w:val="auto"/>
          <w:kern w:val="0"/>
          <w:sz w:val="32"/>
          <w:szCs w:val="32"/>
          <w:highlight w:val="none"/>
          <w:u w:val="none"/>
          <w:shd w:val="clear" w:color="auto" w:fill="FFFFFF"/>
          <w:lang w:val="en-US" w:eastAsia="zh-CN"/>
        </w:rPr>
        <w:t>截至</w:t>
      </w:r>
      <w:r>
        <w:rPr>
          <w:rFonts w:hint="default" w:ascii="Times New Roman" w:hAnsi="Times New Roman" w:cs="Times New Roman"/>
          <w:color w:val="auto"/>
          <w:kern w:val="0"/>
          <w:sz w:val="32"/>
          <w:szCs w:val="32"/>
          <w:highlight w:val="none"/>
          <w:u w:val="none"/>
          <w:shd w:val="clear" w:color="auto" w:fill="FFFFFF"/>
          <w:lang w:val="en-US" w:eastAsia="zh-CN"/>
        </w:rPr>
        <w:t>2025年12月底，项目资金共支出71.7万元，惠及478人次，按学期、补助标准精准发放，因部分学生无手机未能及时联系、佐证材料未及时提供，以及我县12月12日关账，导致个别乡镇资金未拨付，但整体进度与质量均符合计划目标。</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（二）专用指标绩效分析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结合专项预算项目资金支持对象，围绕民生保障、行政运转等分类指标，开展对应绩效分析：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民生保障类：立足民生帮扶实际，围绕区域均衡性、帮扶对象精准性、补助标准合理性及群众满意度逐项分析评价。项目面向脱贫家庭（含监测户）子女，精准发放教育补助，引导农村脱贫家庭新成长劳动力接受职业教育，为脱贫家庭培养技能型人才，促进稳定就业、长期增收，实现稳定增收，提高了脱贫家庭人口素质，促进经济收入提升。</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行政运转类：从严规范管理，围绕资金用途、办理程序、执行标准三方面，确保各项工作合规有序运行。项目申报内容与实施内容相符，申报目标合理可行；审核发放过程严格执行财务管理制度，直补资金全部转入学生本人或直系亲属银行卡，无截留、挪用情况。</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（三）个性指标绩效分析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结合本项目实际情况，合理设定个性化评价指标，全面对照指标内容，如实反映项目推进落实、任务完成及实际运行成效。</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补助标准执行情况：严格按每生每学期1500元标准发放，退学、休学学生不予补助，标准执行无偏差。</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资金支付进度情况：全年预算80万元，实际支付71.7万元，支付率89.6%，剩余资金已按规定收回财政。</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政策知晓与满意度：通过乡、村两级公示及政策宣传，受益对象对政策知晓度高，补助发放及时到位，群众满意度良好。</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四、评价结论</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本次专项预算项目绩效自评工作已全面完成，对照各项评价指标逐项分析打分，综合得出项目评价总分。本项目整体实施规范有序，决策科学合理，管理制度健全，资金使用合规安全，年度目标按期完成，惠民政策落实到位，项目实施总体成效良好，圆满完成本年度各项工作任务。</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五、存在主要问题</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项目资料归档整理不够细致，部分佐证材料收集不够及时完整；因部分学生无法及时联系、佐证材料提供滞后，以及年末关账影响，导致个别乡镇资金拨付未完全到位，资金支付率未达100%。</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六、改进建议</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完善资料管理制度，及时收集整理各类佐证材料，规范台账归档工作；加强与乡镇、村社的联动，提前摸排学生情况，确保联系畅通、材料齐全，避免因信息不对称影响资金拨付；优化资金拨付流程，合理安排支付时间，减少年末关账影响，提升资金使用效率。</w:t>
      </w:r>
    </w:p>
    <w:p>
      <w:pPr>
        <w:pStyle w:val="19"/>
        <w:rPr>
          <w:rFonts w:hint="eastAsia" w:ascii="Times New Roman" w:hAnsi="Times New Roman" w:eastAsia="仿宋_GB2312" w:cs="仿宋_GB2312"/>
          <w:b w:val="0"/>
          <w:bCs w:val="0"/>
          <w:kern w:val="0"/>
          <w:position w:val="0"/>
          <w:sz w:val="32"/>
          <w:szCs w:val="32"/>
          <w:highlight w:val="none"/>
          <w:lang w:val="en-US" w:eastAsia="zh-CN" w:bidi="ar-SA"/>
        </w:rPr>
      </w:pPr>
    </w:p>
    <w:p>
      <w:pPr>
        <w:rPr>
          <w:rFonts w:hint="eastAsia" w:ascii="Times New Roman" w:hAnsi="Times New Roman" w:eastAsia="仿宋_GB2312" w:cs="仿宋_GB2312"/>
          <w:b w:val="0"/>
          <w:bCs w:val="0"/>
          <w:kern w:val="0"/>
          <w:position w:val="0"/>
          <w:sz w:val="32"/>
          <w:szCs w:val="32"/>
          <w:highlight w:val="none"/>
          <w:lang w:val="en-US" w:eastAsia="zh-CN" w:bidi="ar-SA"/>
        </w:rPr>
      </w:pPr>
    </w:p>
    <w:p>
      <w:pPr>
        <w:pStyle w:val="19"/>
        <w:rPr>
          <w:rFonts w:hint="eastAsia"/>
          <w:lang w:val="en-US" w:eastAsia="zh-CN"/>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1"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9"/>
      <w:bookmarkEnd w:id="51"/>
      <w:bookmarkStart w:id="52"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0"/>
      <w:r>
        <w:rPr>
          <w:rFonts w:hint="eastAsia" w:ascii="Times New Roman" w:hAnsi="Times New Roman" w:eastAsia="仿宋_GB2312" w:cs="仿宋_GB2312"/>
          <w:color w:val="auto"/>
          <w:sz w:val="32"/>
          <w:szCs w:val="32"/>
          <w:highlight w:val="none"/>
        </w:rPr>
        <w:t>二、收入决算表</w:t>
      </w:r>
      <w:bookmarkEnd w:id="5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1"/>
      <w:r>
        <w:rPr>
          <w:rFonts w:hint="eastAsia" w:ascii="Times New Roman" w:hAnsi="Times New Roman" w:eastAsia="仿宋_GB2312" w:cs="仿宋_GB2312"/>
          <w:color w:val="auto"/>
          <w:sz w:val="32"/>
          <w:szCs w:val="32"/>
          <w:highlight w:val="none"/>
        </w:rPr>
        <w:t>三、支出决算表</w:t>
      </w:r>
      <w:bookmarkEnd w:id="5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2"/>
      <w:r>
        <w:rPr>
          <w:rFonts w:hint="eastAsia" w:ascii="Times New Roman" w:hAnsi="Times New Roman" w:eastAsia="仿宋_GB2312" w:cs="仿宋_GB2312"/>
          <w:color w:val="auto"/>
          <w:sz w:val="32"/>
          <w:szCs w:val="32"/>
          <w:highlight w:val="none"/>
        </w:rPr>
        <w:t>四、财政拨款收入支出决算总表</w:t>
      </w:r>
      <w:bookmarkEnd w:id="5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3"/>
      <w:r>
        <w:rPr>
          <w:rFonts w:hint="eastAsia" w:ascii="Times New Roman" w:hAnsi="Times New Roman" w:eastAsia="仿宋_GB2312" w:cs="仿宋_GB2312"/>
          <w:color w:val="auto"/>
          <w:sz w:val="32"/>
          <w:szCs w:val="32"/>
          <w:highlight w:val="none"/>
        </w:rPr>
        <w:t>五、财政拨款支出决算明细表</w:t>
      </w:r>
      <w:bookmarkEnd w:id="56"/>
      <w:bookmarkStart w:id="57"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5"/>
      <w:r>
        <w:rPr>
          <w:rFonts w:hint="eastAsia" w:ascii="Times New Roman" w:hAnsi="Times New Roman" w:eastAsia="仿宋_GB2312" w:cs="仿宋_GB2312"/>
          <w:color w:val="auto"/>
          <w:sz w:val="32"/>
          <w:szCs w:val="32"/>
          <w:highlight w:val="none"/>
        </w:rPr>
        <w:t>七、一般公共预算财政拨款支出决算明细表</w:t>
      </w:r>
      <w:bookmarkEnd w:id="5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6"/>
      <w:r>
        <w:rPr>
          <w:rFonts w:hint="eastAsia" w:ascii="Times New Roman" w:hAnsi="Times New Roman" w:eastAsia="仿宋_GB2312" w:cs="仿宋_GB2312"/>
          <w:color w:val="auto"/>
          <w:sz w:val="32"/>
          <w:szCs w:val="32"/>
          <w:highlight w:val="none"/>
        </w:rPr>
        <w:t>八、一般公共预算财政拨款基本支出决算表</w:t>
      </w:r>
      <w:bookmarkEnd w:id="5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7"/>
      <w:r>
        <w:rPr>
          <w:rFonts w:hint="eastAsia" w:ascii="Times New Roman" w:hAnsi="Times New Roman" w:eastAsia="仿宋_GB2312" w:cs="仿宋_GB2312"/>
          <w:color w:val="auto"/>
          <w:sz w:val="32"/>
          <w:szCs w:val="32"/>
          <w:highlight w:val="none"/>
        </w:rPr>
        <w:t>九、一般公共预算财政拨款项目支出决算表</w:t>
      </w:r>
      <w:bookmarkEnd w:id="6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8"/>
      <w:r>
        <w:rPr>
          <w:rFonts w:hint="eastAsia" w:ascii="Times New Roman" w:hAnsi="Times New Roman" w:eastAsia="仿宋_GB2312" w:cs="仿宋_GB2312"/>
          <w:color w:val="auto"/>
          <w:sz w:val="32"/>
          <w:szCs w:val="32"/>
          <w:highlight w:val="none"/>
        </w:rPr>
        <w:t>十、</w:t>
      </w:r>
      <w:bookmarkEnd w:id="61"/>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9"/>
      <w:r>
        <w:rPr>
          <w:rFonts w:hint="eastAsia" w:ascii="Times New Roman" w:hAnsi="Times New Roman" w:eastAsia="仿宋_GB2312" w:cs="仿宋_GB2312"/>
          <w:color w:val="auto"/>
          <w:sz w:val="32"/>
          <w:szCs w:val="32"/>
          <w:highlight w:val="none"/>
        </w:rPr>
        <w:t>十一、</w:t>
      </w:r>
      <w:bookmarkEnd w:id="6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30"/>
      <w:r>
        <w:rPr>
          <w:rFonts w:hint="eastAsia" w:ascii="Times New Roman" w:hAnsi="Times New Roman" w:eastAsia="仿宋_GB2312" w:cs="仿宋_GB2312"/>
          <w:color w:val="auto"/>
          <w:sz w:val="32"/>
          <w:szCs w:val="32"/>
          <w:highlight w:val="none"/>
        </w:rPr>
        <w:t>十二、</w:t>
      </w:r>
      <w:bookmarkEnd w:id="63"/>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4" w:name="_Toc15396631"/>
      <w:r>
        <w:rPr>
          <w:rFonts w:hint="eastAsia" w:ascii="Times New Roman" w:hAnsi="Times New Roman" w:eastAsia="仿宋_GB2312" w:cs="仿宋_GB2312"/>
          <w:color w:val="auto"/>
          <w:sz w:val="32"/>
          <w:szCs w:val="32"/>
          <w:highlight w:val="none"/>
        </w:rPr>
        <w:t>十三、</w:t>
      </w:r>
      <w:bookmarkEnd w:id="64"/>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p>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684885"/>
    <w:multiLevelType w:val="singleLevel"/>
    <w:tmpl w:val="95684885"/>
    <w:lvl w:ilvl="0" w:tentative="0">
      <w:start w:val="1"/>
      <w:numFmt w:val="decimal"/>
      <w:suff w:val="nothing"/>
      <w:lvlText w:val="（%1）"/>
      <w:lvlJc w:val="left"/>
    </w:lvl>
  </w:abstractNum>
  <w:abstractNum w:abstractNumId="1">
    <w:nsid w:val="DAD242FA"/>
    <w:multiLevelType w:val="singleLevel"/>
    <w:tmpl w:val="DAD242FA"/>
    <w:lvl w:ilvl="0" w:tentative="0">
      <w:start w:val="1"/>
      <w:numFmt w:val="decimal"/>
      <w:lvlText w:val="%1."/>
      <w:lvlJc w:val="left"/>
      <w:pPr>
        <w:tabs>
          <w:tab w:val="left" w:pos="312"/>
        </w:tabs>
      </w:pPr>
    </w:lvl>
  </w:abstractNum>
  <w:abstractNum w:abstractNumId="2">
    <w:nsid w:val="016A86AE"/>
    <w:multiLevelType w:val="singleLevel"/>
    <w:tmpl w:val="016A86AE"/>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0MzJlOWZjNWNlZDZjYzU0NWIxOTE2MWQ2MzdmMzE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EB755F4"/>
    <w:rsid w:val="0F98263C"/>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DF97B88"/>
    <w:rsid w:val="3E78745D"/>
    <w:rsid w:val="3FF4CAE0"/>
    <w:rsid w:val="3FF7B227"/>
    <w:rsid w:val="40E54C45"/>
    <w:rsid w:val="43203777"/>
    <w:rsid w:val="43A407DF"/>
    <w:rsid w:val="44515BEA"/>
    <w:rsid w:val="44E268DA"/>
    <w:rsid w:val="453F7E5B"/>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5FFD7A56"/>
    <w:rsid w:val="62BF3928"/>
    <w:rsid w:val="647F5392"/>
    <w:rsid w:val="6528570B"/>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BDDCEC1"/>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DFFEEF5"/>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nyj\Desktop\&#26032;&#24314;%20XLS%20&#24037;&#20316;&#34920;.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nyj\Desktop\&#26032;&#24314;%20XLS%20&#24037;&#20316;&#34920;.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nyj\Desktop\&#26032;&#24314;%20XLS%20&#24037;&#20316;&#34920;.xls"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nyj\Desktop\&#26032;&#24314;%20XLS%20&#24037;&#20316;&#34920;.xls"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nyj\Desktop\&#26032;&#24314;%20XLS%20&#24037;&#20316;&#34920;.xls"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nyj\Desktop\&#26032;&#24314;%20XLS%20&#24037;&#20316;&#34920;.xls"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nyj\Desktop\&#26032;&#24314;%20XLS%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收入、支出决算总计变动情况图（万元）</a:t>
            </a:r>
          </a:p>
        </c:rich>
      </c:tx>
      <c:layout/>
      <c:overlay val="0"/>
      <c:spPr>
        <a:noFill/>
        <a:ln>
          <a:noFill/>
        </a:ln>
        <a:effectLst/>
      </c:spPr>
    </c:title>
    <c:autoTitleDeleted val="0"/>
    <c:plotArea>
      <c:layout>
        <c:manualLayout>
          <c:layoutTarget val="inner"/>
          <c:xMode val="edge"/>
          <c:yMode val="edge"/>
          <c:x val="0.098"/>
          <c:y val="0.192592592592593"/>
          <c:w val="0.869361111111111"/>
          <c:h val="0.711666666666667"/>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工作表.xls]Sheet1'!$G$7:$G$10</c:f>
              <c:strCache>
                <c:ptCount val="4"/>
                <c:pt idx="0">
                  <c:v>2025年本年收入</c:v>
                </c:pt>
                <c:pt idx="1">
                  <c:v>2025年本年支出</c:v>
                </c:pt>
                <c:pt idx="2">
                  <c:v>2024年本年收入</c:v>
                </c:pt>
                <c:pt idx="3">
                  <c:v>2024年本年支出</c:v>
                </c:pt>
              </c:strCache>
            </c:strRef>
          </c:cat>
          <c:val>
            <c:numRef>
              <c:f>'[新建 XLS 工作表.xls]Sheet1'!$H$7:$H$10</c:f>
              <c:numCache>
                <c:formatCode>General</c:formatCode>
                <c:ptCount val="4"/>
                <c:pt idx="0">
                  <c:v>8928.3</c:v>
                </c:pt>
                <c:pt idx="1">
                  <c:v>8936.03</c:v>
                </c:pt>
                <c:pt idx="2">
                  <c:v>21049.47</c:v>
                </c:pt>
                <c:pt idx="3">
                  <c:v>21027.35</c:v>
                </c:pt>
              </c:numCache>
            </c:numRef>
          </c:val>
        </c:ser>
        <c:dLbls>
          <c:showLegendKey val="0"/>
          <c:showVal val="1"/>
          <c:showCatName val="0"/>
          <c:showSerName val="0"/>
          <c:showPercent val="0"/>
          <c:showBubbleSize val="0"/>
        </c:dLbls>
        <c:gapWidth val="219"/>
        <c:overlap val="-27"/>
        <c:axId val="124172264"/>
        <c:axId val="27566411"/>
      </c:barChart>
      <c:catAx>
        <c:axId val="12417226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566411"/>
        <c:crosses val="autoZero"/>
        <c:auto val="1"/>
        <c:lblAlgn val="ctr"/>
        <c:lblOffset val="100"/>
        <c:noMultiLvlLbl val="0"/>
      </c:catAx>
      <c:valAx>
        <c:axId val="275664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4172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收入决算结构图（万元）</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工作表.xls]Sheet1'!$G$7:$G$9</c:f>
              <c:strCache>
                <c:ptCount val="3"/>
                <c:pt idx="0">
                  <c:v>一般公共预算财政拨款收入</c:v>
                </c:pt>
                <c:pt idx="1">
                  <c:v>政府性基金预算财政拨款收入</c:v>
                </c:pt>
                <c:pt idx="2">
                  <c:v>其他收入</c:v>
                </c:pt>
              </c:strCache>
            </c:strRef>
          </c:cat>
          <c:val>
            <c:numRef>
              <c:f>'[新建 XLS 工作表.xls]Sheet1'!$H$7:$H$9</c:f>
              <c:numCache>
                <c:formatCode>General</c:formatCode>
                <c:ptCount val="3"/>
                <c:pt idx="0">
                  <c:v>8741.19</c:v>
                </c:pt>
                <c:pt idx="1">
                  <c:v>3.85</c:v>
                </c:pt>
                <c:pt idx="2">
                  <c:v>183.26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支出决算结构图（万元）</a:t>
            </a:r>
            <a:endParaRPr lang="en-US" altLang="zh-CN"/>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工作表.xls]Sheet1'!$G$7:$G$8</c:f>
              <c:strCache>
                <c:ptCount val="2"/>
                <c:pt idx="0">
                  <c:v>支出决算结构图</c:v>
                </c:pt>
                <c:pt idx="1">
                  <c:v>项目支出</c:v>
                </c:pt>
              </c:strCache>
            </c:strRef>
          </c:cat>
          <c:val>
            <c:numRef>
              <c:f>'[新建 XLS 工作表.xls]Sheet1'!$H$7:$H$8</c:f>
              <c:numCache>
                <c:formatCode>General</c:formatCode>
                <c:ptCount val="2"/>
                <c:pt idx="0">
                  <c:v>2936.28</c:v>
                </c:pt>
                <c:pt idx="1">
                  <c:v>5999.75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财政拨款收、支决算总计变动情况（万元）</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工作表.xls]Sheet1'!$G$7:$G$10</c:f>
              <c:strCache>
                <c:ptCount val="4"/>
                <c:pt idx="0">
                  <c:v>2025年财政拨款收入</c:v>
                </c:pt>
                <c:pt idx="1">
                  <c:v>2025年财政拨款支出</c:v>
                </c:pt>
                <c:pt idx="2">
                  <c:v>2024年财政拨款收入</c:v>
                </c:pt>
                <c:pt idx="3">
                  <c:v>2024年财政拨款支出</c:v>
                </c:pt>
              </c:strCache>
            </c:strRef>
          </c:cat>
          <c:val>
            <c:numRef>
              <c:f>'[新建 XLS 工作表.xls]Sheet1'!$H$7:$H$10</c:f>
              <c:numCache>
                <c:formatCode>General</c:formatCode>
                <c:ptCount val="4"/>
                <c:pt idx="0">
                  <c:v>8745.04</c:v>
                </c:pt>
                <c:pt idx="1">
                  <c:v>8745.04</c:v>
                </c:pt>
                <c:pt idx="2">
                  <c:v>20849.58</c:v>
                </c:pt>
                <c:pt idx="3">
                  <c:v>20849.58</c:v>
                </c:pt>
              </c:numCache>
            </c:numRef>
          </c:val>
        </c:ser>
        <c:dLbls>
          <c:showLegendKey val="0"/>
          <c:showVal val="1"/>
          <c:showCatName val="0"/>
          <c:showSerName val="0"/>
          <c:showPercent val="0"/>
          <c:showBubbleSize val="0"/>
        </c:dLbls>
        <c:gapWidth val="219"/>
        <c:overlap val="-27"/>
        <c:axId val="454097785"/>
        <c:axId val="873854737"/>
      </c:barChart>
      <c:catAx>
        <c:axId val="45409778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3854737"/>
        <c:crosses val="autoZero"/>
        <c:auto val="1"/>
        <c:lblAlgn val="ctr"/>
        <c:lblOffset val="100"/>
        <c:noMultiLvlLbl val="0"/>
      </c:catAx>
      <c:valAx>
        <c:axId val="87385473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409778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一般公共预算财政拨款支出决算变动情况（万元）</a:t>
            </a:r>
          </a:p>
        </c:rich>
      </c:tx>
      <c:layout/>
      <c:overlay val="0"/>
      <c:spPr>
        <a:noFill/>
        <a:ln>
          <a:noFill/>
        </a:ln>
        <a:effectLst/>
      </c:spPr>
    </c:title>
    <c:autoTitleDeleted val="0"/>
    <c:plotArea>
      <c:layout>
        <c:manualLayout>
          <c:layoutTarget val="inner"/>
          <c:xMode val="edge"/>
          <c:yMode val="edge"/>
          <c:x val="0.098"/>
          <c:y val="0.250694444444444"/>
          <c:w val="0.869361111111111"/>
          <c:h val="0.633888888888889"/>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工作表.xls]Sheet1'!$G$9:$G$10</c:f>
              <c:strCache>
                <c:ptCount val="2"/>
                <c:pt idx="0">
                  <c:v>2025年度一般公共预算财政拨款支出</c:v>
                </c:pt>
                <c:pt idx="1">
                  <c:v>2024年度一般公共预算财政拨款支出</c:v>
                </c:pt>
              </c:strCache>
            </c:strRef>
          </c:cat>
          <c:val>
            <c:numRef>
              <c:f>'[新建 XLS 工作表.xls]Sheet1'!$H$9:$H$10</c:f>
              <c:numCache>
                <c:formatCode>General</c:formatCode>
                <c:ptCount val="2"/>
                <c:pt idx="0">
                  <c:v>8741.19</c:v>
                </c:pt>
                <c:pt idx="1">
                  <c:v>16849.58</c:v>
                </c:pt>
              </c:numCache>
            </c:numRef>
          </c:val>
        </c:ser>
        <c:dLbls>
          <c:showLegendKey val="0"/>
          <c:showVal val="1"/>
          <c:showCatName val="0"/>
          <c:showSerName val="0"/>
          <c:showPercent val="0"/>
          <c:showBubbleSize val="0"/>
        </c:dLbls>
        <c:gapWidth val="219"/>
        <c:overlap val="-27"/>
        <c:axId val="988180373"/>
        <c:axId val="740877306"/>
      </c:barChart>
      <c:catAx>
        <c:axId val="98818037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0877306"/>
        <c:crosses val="autoZero"/>
        <c:auto val="1"/>
        <c:lblAlgn val="ctr"/>
        <c:lblOffset val="100"/>
        <c:noMultiLvlLbl val="0"/>
      </c:catAx>
      <c:valAx>
        <c:axId val="74087730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18037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一般公共预算财政拨款支出决算结构（万元）</a:t>
            </a:r>
          </a:p>
        </c:rich>
      </c:tx>
      <c:layout>
        <c:manualLayout>
          <c:xMode val="edge"/>
          <c:yMode val="edge"/>
          <c:x val="0.131111111111111"/>
          <c:y val="0.00694444444444444"/>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工作表.xls]Sheet1'!$G$10:$G$15</c:f>
              <c:strCache>
                <c:ptCount val="6"/>
                <c:pt idx="0">
                  <c:v>农林水支出</c:v>
                </c:pt>
                <c:pt idx="1">
                  <c:v>粮油物资储备支出</c:v>
                </c:pt>
                <c:pt idx="2">
                  <c:v>科学技术支出</c:v>
                </c:pt>
                <c:pt idx="3">
                  <c:v>社会保障和就业支出</c:v>
                </c:pt>
                <c:pt idx="4">
                  <c:v>卫生健康支出</c:v>
                </c:pt>
                <c:pt idx="5">
                  <c:v>住房保障支出</c:v>
                </c:pt>
              </c:strCache>
            </c:strRef>
          </c:cat>
          <c:val>
            <c:numRef>
              <c:f>'[新建 XLS 工作表.xls]Sheet1'!$H$10:$H$15</c:f>
              <c:numCache>
                <c:formatCode>General</c:formatCode>
                <c:ptCount val="6"/>
                <c:pt idx="0">
                  <c:v>7801.91</c:v>
                </c:pt>
                <c:pt idx="1">
                  <c:v>15.86</c:v>
                </c:pt>
                <c:pt idx="2">
                  <c:v>138.86</c:v>
                </c:pt>
                <c:pt idx="3">
                  <c:v>418.87</c:v>
                </c:pt>
                <c:pt idx="4">
                  <c:v>149.47</c:v>
                </c:pt>
                <c:pt idx="5">
                  <c:v>216.22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财政拨款“三公”经费支出结构（万元）</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工作表.xls]Sheet1'!$G$7:$G$8</c:f>
              <c:strCache>
                <c:ptCount val="2"/>
                <c:pt idx="0">
                  <c:v>公务用车购置及运行维护费支出</c:v>
                </c:pt>
              </c:strCache>
            </c:strRef>
          </c:cat>
          <c:val>
            <c:numRef>
              <c:f>'[新建 XLS 工作表.xls]Sheet1'!$H$7:$H$8</c:f>
              <c:numCache>
                <c:formatCode>General</c:formatCode>
                <c:ptCount val="2"/>
                <c:pt idx="0">
                  <c:v>18.75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49</Pages>
  <Words>19471</Words>
  <Characters>20681</Characters>
  <Lines>61</Lines>
  <Paragraphs>17</Paragraphs>
  <TotalTime>5</TotalTime>
  <ScaleCrop>false</ScaleCrop>
  <LinksUpToDate>false</LinksUpToDate>
  <CharactersWithSpaces>20733</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user</cp:lastModifiedBy>
  <cp:lastPrinted>2026-08-04T09:27:00Z</cp:lastPrinted>
  <dcterms:modified xsi:type="dcterms:W3CDTF">2026-10-27T15:13:48Z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EE9B52AB7D184CE3B7F5A50415013B18_13</vt:lpwstr>
  </property>
</Properties>
</file>