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7193"/>
      <w:bookmarkStart w:id="2" w:name="_Toc15377425"/>
      <w:bookmarkStart w:id="3" w:name="_Toc15396597"/>
      <w:bookmarkStart w:id="4" w:name="_Toc15378441"/>
      <w:bookmarkStart w:id="5" w:name="_Toc15396475"/>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2025年度壤塘县畜牧兽医中心</w:t>
      </w:r>
      <w:r>
        <w:rPr>
          <w:rFonts w:hint="eastAsia" w:ascii="Times New Roman" w:hAnsi="Times New Roman" w:eastAsia="方正小标宋简体" w:cs="Times New Roman"/>
          <w:color w:val="auto"/>
          <w:kern w:val="2"/>
          <w:sz w:val="44"/>
          <w:szCs w:val="44"/>
          <w:highlight w:val="none"/>
          <w:lang w:val="en-US" w:eastAsia="zh-CN" w:bidi="ar-SA"/>
        </w:rPr>
        <w:t>决算</w:t>
      </w:r>
    </w:p>
    <w:p>
      <w:pPr>
        <w:pStyle w:val="6"/>
        <w:jc w:val="center"/>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hAnsi="Times New Roman" w:eastAsia="方正小标宋简体" w:cs="Times New Roman"/>
          <w:color w:val="auto"/>
          <w:kern w:val="2"/>
          <w:sz w:val="44"/>
          <w:szCs w:val="44"/>
          <w:highlight w:val="none"/>
          <w:lang w:val="en-US" w:eastAsia="zh-CN" w:bidi="ar-SA"/>
        </w:rPr>
        <w:t>公开文字说</w:t>
      </w:r>
      <w:r>
        <w:rPr>
          <w:rFonts w:hint="eastAsia" w:ascii="Times New Roman" w:eastAsia="方正小标宋简体" w:cs="Times New Roman"/>
          <w:color w:val="auto"/>
          <w:kern w:val="2"/>
          <w:sz w:val="44"/>
          <w:szCs w:val="44"/>
          <w:highlight w:val="none"/>
          <w:lang w:val="en-US" w:eastAsia="zh-CN" w:bidi="ar-SA"/>
        </w:rPr>
        <w:t>明</w:t>
      </w:r>
    </w:p>
    <w:p>
      <w:pPr>
        <w:pStyle w:val="6"/>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bookmarkStart w:id="93" w:name="_GoBack"/>
      <w:bookmarkEnd w:id="93"/>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28</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tabs>
          <w:tab w:val="right" w:leader="dot" w:pos="8306"/>
          <w:tab w:val="clear" w:pos="8296"/>
        </w:tabs>
      </w:pPr>
      <w:bookmarkStart w:id="6" w:name="_Toc15396599"/>
      <w:bookmarkStart w:id="7" w:name="_Toc15377196"/>
      <w:r>
        <w:fldChar w:fldCharType="begin"/>
      </w:r>
      <w:r>
        <w:instrText xml:space="preserve">TOC \o "1-2" \h \u </w:instrText>
      </w:r>
      <w:r>
        <w:fldChar w:fldCharType="separate"/>
      </w:r>
      <w:r>
        <w:fldChar w:fldCharType="begin"/>
      </w:r>
      <w:r>
        <w:instrText xml:space="preserve"> HYPERLINK \l _Toc3663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_Toc3663 \h </w:instrText>
      </w:r>
      <w:r>
        <w:fldChar w:fldCharType="separate"/>
      </w:r>
      <w:r>
        <w:t>3</w:t>
      </w:r>
      <w:r>
        <w:fldChar w:fldCharType="end"/>
      </w:r>
      <w:r>
        <w:fldChar w:fldCharType="end"/>
      </w:r>
    </w:p>
    <w:p>
      <w:pPr>
        <w:pStyle w:val="15"/>
        <w:tabs>
          <w:tab w:val="right" w:leader="dot" w:pos="8306"/>
          <w:tab w:val="clear" w:pos="8296"/>
        </w:tabs>
      </w:pPr>
      <w:r>
        <w:fldChar w:fldCharType="begin"/>
      </w:r>
      <w:r>
        <w:instrText xml:space="preserve"> HYPERLINK \l _Toc15559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_Toc15559 \h </w:instrText>
      </w:r>
      <w:r>
        <w:fldChar w:fldCharType="separate"/>
      </w:r>
      <w:r>
        <w:t>3</w:t>
      </w:r>
      <w:r>
        <w:fldChar w:fldCharType="end"/>
      </w:r>
      <w:r>
        <w:fldChar w:fldCharType="end"/>
      </w:r>
    </w:p>
    <w:p>
      <w:pPr>
        <w:pStyle w:val="15"/>
        <w:tabs>
          <w:tab w:val="right" w:leader="dot" w:pos="8306"/>
          <w:tab w:val="clear" w:pos="8296"/>
        </w:tabs>
      </w:pPr>
      <w:r>
        <w:fldChar w:fldCharType="begin"/>
      </w:r>
      <w:r>
        <w:instrText xml:space="preserve"> HYPERLINK \l _Toc18358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_Toc18358 \h </w:instrText>
      </w:r>
      <w:r>
        <w:fldChar w:fldCharType="separate"/>
      </w:r>
      <w:r>
        <w:t>4</w:t>
      </w:r>
      <w:r>
        <w:fldChar w:fldCharType="end"/>
      </w:r>
      <w:r>
        <w:fldChar w:fldCharType="end"/>
      </w:r>
    </w:p>
    <w:p>
      <w:pPr>
        <w:pStyle w:val="13"/>
        <w:tabs>
          <w:tab w:val="right" w:leader="dot" w:pos="8306"/>
          <w:tab w:val="clear" w:pos="8296"/>
        </w:tabs>
      </w:pPr>
      <w:r>
        <w:fldChar w:fldCharType="begin"/>
      </w:r>
      <w:r>
        <w:instrText xml:space="preserve"> HYPERLINK \l _Toc30095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_Toc30095 \h </w:instrText>
      </w:r>
      <w:r>
        <w:fldChar w:fldCharType="separate"/>
      </w:r>
      <w:r>
        <w:t>4</w:t>
      </w:r>
      <w:r>
        <w:fldChar w:fldCharType="end"/>
      </w:r>
      <w:r>
        <w:fldChar w:fldCharType="end"/>
      </w:r>
    </w:p>
    <w:p>
      <w:pPr>
        <w:pStyle w:val="15"/>
        <w:tabs>
          <w:tab w:val="right" w:leader="dot" w:pos="8306"/>
          <w:tab w:val="clear" w:pos="8296"/>
        </w:tabs>
      </w:pPr>
      <w:r>
        <w:fldChar w:fldCharType="begin"/>
      </w:r>
      <w:r>
        <w:instrText xml:space="preserve"> HYPERLINK \l _Toc2819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_Toc2819 \h </w:instrText>
      </w:r>
      <w:r>
        <w:fldChar w:fldCharType="separate"/>
      </w:r>
      <w:r>
        <w:t>4</w:t>
      </w:r>
      <w:r>
        <w:fldChar w:fldCharType="end"/>
      </w:r>
      <w:r>
        <w:fldChar w:fldCharType="end"/>
      </w:r>
    </w:p>
    <w:p>
      <w:pPr>
        <w:pStyle w:val="15"/>
        <w:tabs>
          <w:tab w:val="right" w:leader="dot" w:pos="8306"/>
          <w:tab w:val="clear" w:pos="8296"/>
        </w:tabs>
      </w:pPr>
      <w:r>
        <w:fldChar w:fldCharType="begin"/>
      </w:r>
      <w:r>
        <w:instrText xml:space="preserve"> HYPERLINK \l _Toc3293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_Toc3293 \h </w:instrText>
      </w:r>
      <w:r>
        <w:fldChar w:fldCharType="separate"/>
      </w:r>
      <w:r>
        <w:t>4</w:t>
      </w:r>
      <w:r>
        <w:fldChar w:fldCharType="end"/>
      </w:r>
      <w:r>
        <w:fldChar w:fldCharType="end"/>
      </w:r>
    </w:p>
    <w:p>
      <w:pPr>
        <w:pStyle w:val="15"/>
        <w:tabs>
          <w:tab w:val="right" w:leader="dot" w:pos="8306"/>
          <w:tab w:val="clear" w:pos="8296"/>
        </w:tabs>
      </w:pPr>
      <w:r>
        <w:fldChar w:fldCharType="begin"/>
      </w:r>
      <w:r>
        <w:instrText xml:space="preserve"> HYPERLINK \l _Toc8990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_Toc8990 \h </w:instrText>
      </w:r>
      <w:r>
        <w:fldChar w:fldCharType="separate"/>
      </w:r>
      <w:r>
        <w:t>5</w:t>
      </w:r>
      <w:r>
        <w:fldChar w:fldCharType="end"/>
      </w:r>
      <w:r>
        <w:fldChar w:fldCharType="end"/>
      </w:r>
    </w:p>
    <w:p>
      <w:pPr>
        <w:pStyle w:val="15"/>
        <w:tabs>
          <w:tab w:val="right" w:leader="dot" w:pos="8306"/>
          <w:tab w:val="clear" w:pos="8296"/>
        </w:tabs>
      </w:pPr>
      <w:r>
        <w:fldChar w:fldCharType="begin"/>
      </w:r>
      <w:r>
        <w:instrText xml:space="preserve"> HYPERLINK \l _Toc9632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_Toc9632 \h </w:instrText>
      </w:r>
      <w:r>
        <w:fldChar w:fldCharType="separate"/>
      </w:r>
      <w:r>
        <w:t>6</w:t>
      </w:r>
      <w:r>
        <w:fldChar w:fldCharType="end"/>
      </w:r>
      <w:r>
        <w:fldChar w:fldCharType="end"/>
      </w:r>
    </w:p>
    <w:p>
      <w:pPr>
        <w:pStyle w:val="15"/>
        <w:tabs>
          <w:tab w:val="right" w:leader="dot" w:pos="8306"/>
          <w:tab w:val="clear" w:pos="8296"/>
        </w:tabs>
      </w:pPr>
      <w:r>
        <w:fldChar w:fldCharType="begin"/>
      </w:r>
      <w:r>
        <w:instrText xml:space="preserve"> HYPERLINK \l _Toc17466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_Toc17466 \h </w:instrText>
      </w:r>
      <w:r>
        <w:fldChar w:fldCharType="separate"/>
      </w:r>
      <w:r>
        <w:t>6</w:t>
      </w:r>
      <w:r>
        <w:fldChar w:fldCharType="end"/>
      </w:r>
      <w:r>
        <w:fldChar w:fldCharType="end"/>
      </w:r>
    </w:p>
    <w:p>
      <w:pPr>
        <w:pStyle w:val="15"/>
        <w:tabs>
          <w:tab w:val="right" w:leader="dot" w:pos="8306"/>
          <w:tab w:val="clear" w:pos="8296"/>
        </w:tabs>
      </w:pPr>
      <w:r>
        <w:fldChar w:fldCharType="begin"/>
      </w:r>
      <w:r>
        <w:instrText xml:space="preserve"> HYPERLINK \l _Toc21559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_Toc21559 \h </w:instrText>
      </w:r>
      <w:r>
        <w:fldChar w:fldCharType="separate"/>
      </w:r>
      <w:r>
        <w:t>8</w:t>
      </w:r>
      <w:r>
        <w:fldChar w:fldCharType="end"/>
      </w:r>
      <w:r>
        <w:fldChar w:fldCharType="end"/>
      </w:r>
    </w:p>
    <w:p>
      <w:pPr>
        <w:pStyle w:val="15"/>
        <w:tabs>
          <w:tab w:val="right" w:leader="dot" w:pos="8306"/>
          <w:tab w:val="clear" w:pos="8296"/>
        </w:tabs>
      </w:pPr>
      <w:r>
        <w:fldChar w:fldCharType="begin"/>
      </w:r>
      <w:r>
        <w:instrText xml:space="preserve"> HYPERLINK \l _Toc1616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_Toc1616 \h </w:instrText>
      </w:r>
      <w:r>
        <w:fldChar w:fldCharType="separate"/>
      </w:r>
      <w:r>
        <w:t>9</w:t>
      </w:r>
      <w:r>
        <w:fldChar w:fldCharType="end"/>
      </w:r>
      <w:r>
        <w:fldChar w:fldCharType="end"/>
      </w:r>
    </w:p>
    <w:p>
      <w:pPr>
        <w:pStyle w:val="15"/>
        <w:tabs>
          <w:tab w:val="right" w:leader="dot" w:pos="8306"/>
          <w:tab w:val="clear" w:pos="8296"/>
        </w:tabs>
      </w:pPr>
      <w:r>
        <w:fldChar w:fldCharType="begin"/>
      </w:r>
      <w:r>
        <w:instrText xml:space="preserve"> HYPERLINK \l _Toc6533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_Toc6533 \h </w:instrText>
      </w:r>
      <w:r>
        <w:fldChar w:fldCharType="separate"/>
      </w:r>
      <w:r>
        <w:t>9</w:t>
      </w:r>
      <w:r>
        <w:fldChar w:fldCharType="end"/>
      </w:r>
      <w:r>
        <w:fldChar w:fldCharType="end"/>
      </w:r>
    </w:p>
    <w:p>
      <w:pPr>
        <w:pStyle w:val="15"/>
        <w:tabs>
          <w:tab w:val="right" w:leader="dot" w:pos="8306"/>
          <w:tab w:val="clear" w:pos="8296"/>
        </w:tabs>
      </w:pPr>
      <w:r>
        <w:fldChar w:fldCharType="begin"/>
      </w:r>
      <w:r>
        <w:instrText xml:space="preserve"> HYPERLINK \l _Toc13401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_Toc13401 \h </w:instrText>
      </w:r>
      <w:r>
        <w:fldChar w:fldCharType="separate"/>
      </w:r>
      <w:r>
        <w:t>9</w:t>
      </w:r>
      <w:r>
        <w:fldChar w:fldCharType="end"/>
      </w:r>
      <w:r>
        <w:fldChar w:fldCharType="end"/>
      </w:r>
    </w:p>
    <w:p>
      <w:pPr>
        <w:pStyle w:val="15"/>
        <w:tabs>
          <w:tab w:val="right" w:leader="dot" w:pos="8306"/>
          <w:tab w:val="clear" w:pos="8296"/>
        </w:tabs>
      </w:pPr>
      <w:r>
        <w:fldChar w:fldCharType="begin"/>
      </w:r>
      <w:r>
        <w:instrText xml:space="preserve"> HYPERLINK \l _Toc13240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_Toc13240 \h </w:instrText>
      </w:r>
      <w:r>
        <w:fldChar w:fldCharType="separate"/>
      </w:r>
      <w:r>
        <w:t>9</w:t>
      </w:r>
      <w:r>
        <w:fldChar w:fldCharType="end"/>
      </w:r>
      <w:r>
        <w:fldChar w:fldCharType="end"/>
      </w:r>
    </w:p>
    <w:p>
      <w:pPr>
        <w:pStyle w:val="13"/>
        <w:tabs>
          <w:tab w:val="right" w:leader="dot" w:pos="8306"/>
          <w:tab w:val="clear" w:pos="8296"/>
        </w:tabs>
      </w:pPr>
      <w:r>
        <w:fldChar w:fldCharType="begin"/>
      </w:r>
      <w:r>
        <w:instrText xml:space="preserve"> HYPERLINK \l _Toc7801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_Toc7801 \h </w:instrText>
      </w:r>
      <w:r>
        <w:fldChar w:fldCharType="separate"/>
      </w:r>
      <w:r>
        <w:t>11</w:t>
      </w:r>
      <w:r>
        <w:fldChar w:fldCharType="end"/>
      </w:r>
      <w:r>
        <w:fldChar w:fldCharType="end"/>
      </w:r>
    </w:p>
    <w:p>
      <w:pPr>
        <w:pStyle w:val="13"/>
        <w:tabs>
          <w:tab w:val="right" w:leader="dot" w:pos="8306"/>
          <w:tab w:val="clear" w:pos="8296"/>
        </w:tabs>
      </w:pPr>
      <w:r>
        <w:fldChar w:fldCharType="begin"/>
      </w:r>
      <w:r>
        <w:instrText xml:space="preserve"> HYPERLINK \l _Toc23116 </w:instrText>
      </w:r>
      <w:r>
        <w:fldChar w:fldCharType="separate"/>
      </w:r>
      <w:r>
        <w:rPr>
          <w:rFonts w:hint="eastAsia"/>
        </w:rPr>
        <w:t>第四部分</w:t>
      </w:r>
      <w:r>
        <w:rPr>
          <w:rFonts w:hint="eastAsia"/>
          <w:lang w:val="en-US" w:eastAsia="zh-CN"/>
        </w:rPr>
        <w:t xml:space="preserve"> </w:t>
      </w:r>
      <w:r>
        <w:rPr>
          <w:rFonts w:hint="eastAsia"/>
        </w:rPr>
        <w:t xml:space="preserve"> 附件</w:t>
      </w:r>
      <w:r>
        <w:tab/>
      </w:r>
      <w:r>
        <w:fldChar w:fldCharType="begin"/>
      </w:r>
      <w:r>
        <w:instrText xml:space="preserve"> PAGEREF _Toc23116 \h </w:instrText>
      </w:r>
      <w:r>
        <w:fldChar w:fldCharType="separate"/>
      </w:r>
      <w:r>
        <w:t>13</w:t>
      </w:r>
      <w:r>
        <w:fldChar w:fldCharType="end"/>
      </w:r>
      <w:r>
        <w:fldChar w:fldCharType="end"/>
      </w:r>
    </w:p>
    <w:p>
      <w:pPr>
        <w:pStyle w:val="15"/>
        <w:tabs>
          <w:tab w:val="right" w:leader="dot" w:pos="8306"/>
          <w:tab w:val="clear" w:pos="8296"/>
        </w:tabs>
      </w:pPr>
      <w:r>
        <w:fldChar w:fldCharType="begin"/>
      </w:r>
      <w:r>
        <w:instrText xml:space="preserve"> HYPERLINK \l _Toc20097 </w:instrText>
      </w:r>
      <w:r>
        <w:fldChar w:fldCharType="separate"/>
      </w:r>
      <w:r>
        <w:rPr>
          <w:rFonts w:hint="eastAsia" w:ascii="Times New Roman" w:hAnsi="Times New Roman" w:eastAsia="黑体" w:cs="黑体"/>
          <w:szCs w:val="32"/>
          <w:highlight w:val="none"/>
        </w:rPr>
        <w:t>附件</w:t>
      </w:r>
      <w:r>
        <w:rPr>
          <w:rFonts w:hint="eastAsia" w:ascii="Times New Roman" w:hAnsi="Times New Roman" w:eastAsia="黑体" w:cs="黑体"/>
          <w:szCs w:val="32"/>
          <w:highlight w:val="none"/>
          <w:lang w:val="en-US" w:eastAsia="zh-CN"/>
        </w:rPr>
        <w:t>1</w:t>
      </w:r>
      <w:r>
        <w:tab/>
      </w:r>
      <w:r>
        <w:fldChar w:fldCharType="begin"/>
      </w:r>
      <w:r>
        <w:instrText xml:space="preserve"> PAGEREF _Toc20097 \h </w:instrText>
      </w:r>
      <w:r>
        <w:fldChar w:fldCharType="separate"/>
      </w:r>
      <w:r>
        <w:t>13</w:t>
      </w:r>
      <w:r>
        <w:fldChar w:fldCharType="end"/>
      </w:r>
      <w:r>
        <w:fldChar w:fldCharType="end"/>
      </w:r>
    </w:p>
    <w:p>
      <w:pPr>
        <w:pStyle w:val="15"/>
        <w:tabs>
          <w:tab w:val="right" w:leader="dot" w:pos="8306"/>
          <w:tab w:val="clear" w:pos="8296"/>
        </w:tabs>
      </w:pPr>
      <w:r>
        <w:fldChar w:fldCharType="begin"/>
      </w:r>
      <w:r>
        <w:instrText xml:space="preserve"> HYPERLINK \l _Toc26377 </w:instrText>
      </w:r>
      <w:r>
        <w:fldChar w:fldCharType="separate"/>
      </w:r>
      <w:r>
        <w:rPr>
          <w:rFonts w:hint="eastAsia" w:ascii="Times New Roman" w:hAnsi="Times New Roman" w:eastAsia="黑体" w:cs="黑体"/>
          <w:kern w:val="0"/>
          <w:szCs w:val="32"/>
          <w:highlight w:val="none"/>
          <w:shd w:val="clear" w:color="auto" w:fill="FFFFFF"/>
          <w:lang w:val="zh-CN"/>
        </w:rPr>
        <w:t>附件</w:t>
      </w:r>
      <w:r>
        <w:rPr>
          <w:rFonts w:hint="eastAsia" w:ascii="Times New Roman" w:hAnsi="Times New Roman" w:eastAsia="黑体" w:cs="黑体"/>
          <w:kern w:val="0"/>
          <w:szCs w:val="32"/>
          <w:highlight w:val="none"/>
          <w:shd w:val="clear" w:color="auto" w:fill="FFFFFF"/>
          <w:lang w:val="en-US" w:eastAsia="zh-CN"/>
        </w:rPr>
        <w:t>2</w:t>
      </w:r>
      <w:r>
        <w:tab/>
      </w:r>
      <w:r>
        <w:fldChar w:fldCharType="begin"/>
      </w:r>
      <w:r>
        <w:instrText xml:space="preserve"> PAGEREF _Toc26377 \h </w:instrText>
      </w:r>
      <w:r>
        <w:fldChar w:fldCharType="separate"/>
      </w:r>
      <w:r>
        <w:t>13</w:t>
      </w:r>
      <w:r>
        <w:fldChar w:fldCharType="end"/>
      </w:r>
      <w:r>
        <w:fldChar w:fldCharType="end"/>
      </w:r>
    </w:p>
    <w:p>
      <w:pPr>
        <w:pStyle w:val="13"/>
        <w:tabs>
          <w:tab w:val="right" w:leader="dot" w:pos="8306"/>
          <w:tab w:val="clear" w:pos="8296"/>
        </w:tabs>
      </w:pPr>
      <w:r>
        <w:fldChar w:fldCharType="begin"/>
      </w:r>
      <w:r>
        <w:instrText xml:space="preserve"> HYPERLINK \l _Toc14698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五</w:t>
      </w:r>
      <w:r>
        <w:rPr>
          <w:rFonts w:hint="eastAsia" w:ascii="Times New Roman" w:hAnsi="Times New Roman" w:eastAsia="黑体"/>
          <w:highlight w:val="none"/>
        </w:rPr>
        <w:t>部分 附表</w:t>
      </w:r>
      <w:r>
        <w:tab/>
      </w:r>
      <w:r>
        <w:fldChar w:fldCharType="begin"/>
      </w:r>
      <w:r>
        <w:instrText xml:space="preserve"> PAGEREF _Toc14698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_Toc15374 </w:instrText>
      </w:r>
      <w:r>
        <w:fldChar w:fldCharType="separate"/>
      </w:r>
      <w:r>
        <w:rPr>
          <w:rFonts w:hint="eastAsia" w:ascii="Times New Roman" w:hAnsi="Times New Roman" w:eastAsia="仿宋_GB2312" w:cs="仿宋_GB2312"/>
          <w:szCs w:val="32"/>
          <w:highlight w:val="none"/>
        </w:rPr>
        <w:t>一、收入支出决算总表</w:t>
      </w:r>
      <w:r>
        <w:tab/>
      </w:r>
      <w:r>
        <w:fldChar w:fldCharType="begin"/>
      </w:r>
      <w:r>
        <w:instrText xml:space="preserve"> PAGEREF _Toc15374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_Toc7606 </w:instrText>
      </w:r>
      <w:r>
        <w:fldChar w:fldCharType="separate"/>
      </w:r>
      <w:r>
        <w:rPr>
          <w:rFonts w:hint="eastAsia" w:ascii="Times New Roman" w:hAnsi="Times New Roman" w:eastAsia="仿宋_GB2312" w:cs="仿宋_GB2312"/>
          <w:szCs w:val="32"/>
          <w:highlight w:val="none"/>
        </w:rPr>
        <w:t>二、收入决算表</w:t>
      </w:r>
      <w:r>
        <w:tab/>
      </w:r>
      <w:r>
        <w:fldChar w:fldCharType="begin"/>
      </w:r>
      <w:r>
        <w:instrText xml:space="preserve"> PAGEREF _Toc7606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_Toc30512 </w:instrText>
      </w:r>
      <w:r>
        <w:fldChar w:fldCharType="separate"/>
      </w:r>
      <w:r>
        <w:rPr>
          <w:rFonts w:hint="eastAsia" w:ascii="Times New Roman" w:hAnsi="Times New Roman" w:eastAsia="仿宋_GB2312" w:cs="仿宋_GB2312"/>
          <w:szCs w:val="32"/>
          <w:highlight w:val="none"/>
        </w:rPr>
        <w:t>三、支出决算表</w:t>
      </w:r>
      <w:r>
        <w:tab/>
      </w:r>
      <w:r>
        <w:fldChar w:fldCharType="begin"/>
      </w:r>
      <w:r>
        <w:instrText xml:space="preserve"> PAGEREF _Toc30512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_Toc32225 </w:instrText>
      </w:r>
      <w:r>
        <w:fldChar w:fldCharType="separate"/>
      </w:r>
      <w:r>
        <w:rPr>
          <w:rFonts w:hint="eastAsia" w:ascii="Times New Roman" w:hAnsi="Times New Roman" w:eastAsia="仿宋_GB2312" w:cs="仿宋_GB2312"/>
          <w:szCs w:val="32"/>
          <w:highlight w:val="none"/>
        </w:rPr>
        <w:t>四、财政拨款收入支出决算总表</w:t>
      </w:r>
      <w:r>
        <w:tab/>
      </w:r>
      <w:r>
        <w:fldChar w:fldCharType="begin"/>
      </w:r>
      <w:r>
        <w:instrText xml:space="preserve"> PAGEREF _Toc32225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_Toc17701 </w:instrText>
      </w:r>
      <w:r>
        <w:fldChar w:fldCharType="separate"/>
      </w:r>
      <w:r>
        <w:rPr>
          <w:rFonts w:hint="eastAsia" w:ascii="Times New Roman" w:hAnsi="Times New Roman" w:eastAsia="仿宋_GB2312" w:cs="仿宋_GB2312"/>
          <w:szCs w:val="32"/>
          <w:highlight w:val="none"/>
        </w:rPr>
        <w:t>五、财政拨款支出决算明细表</w:t>
      </w:r>
      <w:r>
        <w:tab/>
      </w:r>
      <w:r>
        <w:fldChar w:fldCharType="begin"/>
      </w:r>
      <w:r>
        <w:instrText xml:space="preserve"> PAGEREF _Toc17701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_Toc24385 </w:instrText>
      </w:r>
      <w:r>
        <w:fldChar w:fldCharType="separate"/>
      </w:r>
      <w:r>
        <w:rPr>
          <w:rFonts w:hint="eastAsia" w:ascii="Times New Roman" w:hAnsi="Times New Roman" w:eastAsia="仿宋_GB2312" w:cs="仿宋_GB2312"/>
          <w:szCs w:val="32"/>
          <w:highlight w:val="none"/>
        </w:rPr>
        <w:t>六、一般公共预算财政拨款支出决算表</w:t>
      </w:r>
      <w:r>
        <w:tab/>
      </w:r>
      <w:r>
        <w:fldChar w:fldCharType="begin"/>
      </w:r>
      <w:r>
        <w:instrText xml:space="preserve"> PAGEREF _Toc24385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_Toc31588 </w:instrText>
      </w:r>
      <w:r>
        <w:fldChar w:fldCharType="separate"/>
      </w:r>
      <w:r>
        <w:rPr>
          <w:rFonts w:hint="eastAsia" w:ascii="Times New Roman" w:hAnsi="Times New Roman" w:eastAsia="仿宋_GB2312" w:cs="仿宋_GB2312"/>
          <w:szCs w:val="32"/>
          <w:highlight w:val="none"/>
        </w:rPr>
        <w:t>七、一般公共预算财政拨款支出决算明细表</w:t>
      </w:r>
      <w:r>
        <w:tab/>
      </w:r>
      <w:r>
        <w:fldChar w:fldCharType="begin"/>
      </w:r>
      <w:r>
        <w:instrText xml:space="preserve"> PAGEREF _Toc31588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_Toc30986 </w:instrText>
      </w:r>
      <w:r>
        <w:fldChar w:fldCharType="separate"/>
      </w:r>
      <w:r>
        <w:rPr>
          <w:rFonts w:hint="eastAsia" w:ascii="Times New Roman" w:hAnsi="Times New Roman" w:eastAsia="仿宋_GB2312" w:cs="仿宋_GB2312"/>
          <w:szCs w:val="32"/>
          <w:highlight w:val="none"/>
        </w:rPr>
        <w:t>八、一般公共预算财政拨款基本支出决算表</w:t>
      </w:r>
      <w:r>
        <w:tab/>
      </w:r>
      <w:r>
        <w:fldChar w:fldCharType="begin"/>
      </w:r>
      <w:r>
        <w:instrText xml:space="preserve"> PAGEREF _Toc30986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_Toc5530 </w:instrText>
      </w:r>
      <w:r>
        <w:fldChar w:fldCharType="separate"/>
      </w:r>
      <w:r>
        <w:rPr>
          <w:rFonts w:hint="eastAsia" w:ascii="Times New Roman" w:hAnsi="Times New Roman" w:eastAsia="仿宋_GB2312" w:cs="仿宋_GB2312"/>
          <w:szCs w:val="32"/>
          <w:highlight w:val="none"/>
        </w:rPr>
        <w:t>九、一般公共预算财政拨款项目支出决算表</w:t>
      </w:r>
      <w:r>
        <w:tab/>
      </w:r>
      <w:r>
        <w:fldChar w:fldCharType="begin"/>
      </w:r>
      <w:r>
        <w:instrText xml:space="preserve"> PAGEREF _Toc5530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_Toc7250 </w:instrText>
      </w:r>
      <w:r>
        <w:fldChar w:fldCharType="separate"/>
      </w:r>
      <w:r>
        <w:rPr>
          <w:rFonts w:hint="eastAsia" w:ascii="Times New Roman" w:hAnsi="Times New Roman" w:eastAsia="仿宋_GB2312" w:cs="仿宋_GB2312"/>
          <w:szCs w:val="32"/>
          <w:highlight w:val="none"/>
        </w:rPr>
        <w:t>十、政府性基金预算财政拨款收入支出决算表</w:t>
      </w:r>
      <w:r>
        <w:tab/>
      </w:r>
      <w:r>
        <w:fldChar w:fldCharType="begin"/>
      </w:r>
      <w:r>
        <w:instrText xml:space="preserve"> PAGEREF _Toc7250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_Toc23583 </w:instrText>
      </w:r>
      <w:r>
        <w:fldChar w:fldCharType="separate"/>
      </w:r>
      <w:r>
        <w:rPr>
          <w:rFonts w:hint="eastAsia" w:ascii="Times New Roman" w:hAnsi="Times New Roman" w:eastAsia="仿宋_GB2312" w:cs="仿宋_GB2312"/>
          <w:szCs w:val="32"/>
          <w:highlight w:val="none"/>
        </w:rPr>
        <w:t>十一、国有资本经营预算</w:t>
      </w:r>
      <w:r>
        <w:rPr>
          <w:rFonts w:hint="eastAsia" w:ascii="Times New Roman" w:hAnsi="Times New Roman" w:eastAsia="仿宋_GB2312" w:cs="仿宋_GB2312"/>
          <w:szCs w:val="32"/>
          <w:highlight w:val="none"/>
          <w:lang w:eastAsia="zh-CN"/>
        </w:rPr>
        <w:t>财政拨款收入</w:t>
      </w:r>
      <w:r>
        <w:rPr>
          <w:rFonts w:hint="eastAsia" w:ascii="Times New Roman" w:hAnsi="Times New Roman" w:eastAsia="仿宋_GB2312" w:cs="仿宋_GB2312"/>
          <w:szCs w:val="32"/>
          <w:highlight w:val="none"/>
        </w:rPr>
        <w:t>支出决算表</w:t>
      </w:r>
      <w:r>
        <w:tab/>
      </w:r>
      <w:r>
        <w:fldChar w:fldCharType="begin"/>
      </w:r>
      <w:r>
        <w:instrText xml:space="preserve"> PAGEREF _Toc23583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_Toc9541 </w:instrText>
      </w:r>
      <w:r>
        <w:fldChar w:fldCharType="separate"/>
      </w:r>
      <w:r>
        <w:rPr>
          <w:rFonts w:hint="eastAsia" w:ascii="Times New Roman" w:hAnsi="Times New Roman" w:eastAsia="仿宋_GB2312" w:cs="仿宋_GB2312"/>
          <w:szCs w:val="32"/>
          <w:highlight w:val="none"/>
        </w:rPr>
        <w:t>十二、</w:t>
      </w:r>
      <w:r>
        <w:rPr>
          <w:rFonts w:hint="eastAsia" w:ascii="Times New Roman" w:hAnsi="Times New Roman" w:eastAsia="仿宋_GB2312" w:cs="仿宋_GB2312"/>
          <w:szCs w:val="32"/>
          <w:highlight w:val="none"/>
          <w:lang w:eastAsia="zh-CN"/>
        </w:rPr>
        <w:t>国有资本经营预算财政拨款支出决算表</w:t>
      </w:r>
      <w:r>
        <w:tab/>
      </w:r>
      <w:r>
        <w:fldChar w:fldCharType="begin"/>
      </w:r>
      <w:r>
        <w:instrText xml:space="preserve"> PAGEREF _Toc9541 \h </w:instrText>
      </w:r>
      <w:r>
        <w:fldChar w:fldCharType="separate"/>
      </w:r>
      <w:r>
        <w:t>14</w:t>
      </w:r>
      <w:r>
        <w:fldChar w:fldCharType="end"/>
      </w:r>
      <w:r>
        <w:fldChar w:fldCharType="end"/>
      </w:r>
    </w:p>
    <w:p>
      <w:pPr>
        <w:pStyle w:val="15"/>
        <w:tabs>
          <w:tab w:val="right" w:leader="dot" w:pos="8306"/>
          <w:tab w:val="clear" w:pos="8296"/>
        </w:tabs>
      </w:pPr>
      <w:r>
        <w:fldChar w:fldCharType="begin"/>
      </w:r>
      <w:r>
        <w:instrText xml:space="preserve"> HYPERLINK \l _Toc25309 </w:instrText>
      </w:r>
      <w:r>
        <w:fldChar w:fldCharType="separate"/>
      </w:r>
      <w:r>
        <w:rPr>
          <w:rFonts w:hint="eastAsia" w:ascii="Times New Roman" w:hAnsi="Times New Roman" w:eastAsia="仿宋_GB2312" w:cs="仿宋_GB2312"/>
          <w:szCs w:val="32"/>
          <w:highlight w:val="none"/>
        </w:rPr>
        <w:t>十三、</w:t>
      </w:r>
      <w:r>
        <w:rPr>
          <w:rFonts w:hint="eastAsia" w:ascii="Times New Roman" w:hAnsi="Times New Roman" w:eastAsia="仿宋_GB2312" w:cs="仿宋_GB2312"/>
          <w:szCs w:val="32"/>
          <w:highlight w:val="none"/>
          <w:lang w:eastAsia="zh-CN"/>
        </w:rPr>
        <w:t>财政拨款“三公”经费支出决算表</w:t>
      </w:r>
      <w:r>
        <w:tab/>
      </w:r>
      <w:r>
        <w:fldChar w:fldCharType="begin"/>
      </w:r>
      <w:r>
        <w:instrText xml:space="preserve"> PAGEREF _Toc25309 \h </w:instrText>
      </w:r>
      <w:r>
        <w:fldChar w:fldCharType="separate"/>
      </w:r>
      <w:r>
        <w:t>14</w:t>
      </w:r>
      <w:r>
        <w:fldChar w:fldCharType="end"/>
      </w:r>
      <w:r>
        <w:fldChar w:fldCharType="end"/>
      </w:r>
    </w:p>
    <w:p>
      <w:r>
        <w:fldChar w:fldCharType="end"/>
      </w:r>
    </w:p>
    <w:p>
      <w:pP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br w:type="page"/>
      </w:r>
    </w:p>
    <w:p>
      <w:pPr>
        <w:pStyle w:val="3"/>
        <w:jc w:val="center"/>
        <w:outlineLvl w:val="0"/>
        <w:rPr>
          <w:rStyle w:val="29"/>
          <w:rFonts w:hint="eastAsia" w:ascii="Times New Roman" w:hAnsi="Times New Roman" w:eastAsia="方正小标宋简体" w:cs="方正小标宋简体"/>
          <w:b/>
          <w:bCs w:val="0"/>
          <w:color w:val="auto"/>
          <w:highlight w:val="none"/>
        </w:rPr>
      </w:pPr>
      <w:bookmarkStart w:id="8" w:name="_Toc3663"/>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bookmarkEnd w:id="8"/>
    </w:p>
    <w:p>
      <w:pPr>
        <w:widowControl/>
        <w:jc w:val="left"/>
        <w:rPr>
          <w:rFonts w:ascii="Times New Roman" w:hAnsi="Times New Roman" w:eastAsia="黑体"/>
          <w:color w:val="auto"/>
          <w:sz w:val="32"/>
          <w:szCs w:val="32"/>
          <w:highlight w:val="none"/>
        </w:rPr>
      </w:pPr>
    </w:p>
    <w:p>
      <w:pPr>
        <w:pStyle w:val="4"/>
        <w:numPr>
          <w:ilvl w:val="0"/>
          <w:numId w:val="1"/>
        </w:numPr>
        <w:outlineLvl w:val="1"/>
        <w:rPr>
          <w:rFonts w:hint="eastAsia" w:ascii="Times New Roman" w:hAnsi="Times New Roman" w:eastAsia="黑体"/>
          <w:b w:val="0"/>
          <w:color w:val="auto"/>
          <w:highlight w:val="none"/>
          <w:lang w:eastAsia="zh-CN"/>
        </w:rPr>
      </w:pPr>
      <w:bookmarkStart w:id="9" w:name="_Toc15559"/>
      <w:r>
        <w:rPr>
          <w:rFonts w:hint="eastAsia" w:ascii="Times New Roman" w:hAnsi="Times New Roman" w:eastAsia="黑体"/>
          <w:b w:val="0"/>
          <w:color w:val="auto"/>
          <w:highlight w:val="none"/>
          <w:lang w:eastAsia="zh-CN"/>
        </w:rPr>
        <w:t>部门职责</w:t>
      </w:r>
      <w:bookmarkEnd w:id="9"/>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lang w:eastAsia="zh-CN"/>
        </w:rPr>
      </w:pPr>
      <w:bookmarkStart w:id="10" w:name="_Toc18358"/>
      <w:bookmarkStart w:id="11" w:name="_Toc15396601"/>
      <w:bookmarkStart w:id="12" w:name="_Toc15377200"/>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贯彻落实国家、省(州)畜牧兽医工作方针、政策和法律、法规；研究草拟全县畜牧生产、兽医兽药、饲料发展、草种资源保护的中长期规划；组织实施动物防疫工作和重大疫情的扑灭工作，开展动物防疫和饲料等生产技术服务。</w:t>
      </w:r>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lang w:eastAsia="zh-CN"/>
        </w:rPr>
        <w:t>推进畜牧兽医产业化发展；推广畜禽优良品种和畜禽繁育、饲养新技术；制定畜牧业发展的技术措施和科技发展计划。</w:t>
      </w:r>
    </w:p>
    <w:p>
      <w:pPr>
        <w:pageBreakBefore w:val="0"/>
        <w:widowControl w:val="0"/>
        <w:kinsoku/>
        <w:wordWrap/>
        <w:overflowPunct/>
        <w:topLinePunct w:val="0"/>
        <w:autoSpaceDE/>
        <w:autoSpaceDN/>
        <w:bidi w:val="0"/>
        <w:adjustRightInd/>
        <w:snapToGrid/>
        <w:spacing w:line="560" w:lineRule="exact"/>
        <w:ind w:firstLine="800" w:firstLineChars="25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lang w:eastAsia="zh-CN"/>
        </w:rPr>
        <w:t>.督促检查指导全县畜牧科技项目的实施工作，负责标准化养殖、规模养殖场、养畜基础设施建设(棚圈)等方面的工作。负责全县畜、禽、蜂的保护和开发利用工作；负责全县畜(禽、蜂、奶)养殖实用技术培训新技术推广工作。</w:t>
      </w:r>
    </w:p>
    <w:p>
      <w:pPr>
        <w:pageBreakBefore w:val="0"/>
        <w:widowControl w:val="0"/>
        <w:kinsoku/>
        <w:wordWrap/>
        <w:overflowPunct/>
        <w:topLinePunct w:val="0"/>
        <w:autoSpaceDE/>
        <w:autoSpaceDN/>
        <w:bidi w:val="0"/>
        <w:adjustRightInd/>
        <w:snapToGrid/>
        <w:spacing w:line="560" w:lineRule="exact"/>
        <w:ind w:firstLine="800" w:firstLineChars="250"/>
        <w:jc w:val="both"/>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lang w:eastAsia="zh-CN"/>
        </w:rPr>
        <w:t xml:space="preserve">.完成县委、县政府和局机关及上级业务主管部门交办的其他工作。 </w:t>
      </w:r>
    </w:p>
    <w:p>
      <w:pPr>
        <w:pStyle w:val="4"/>
        <w:outlineLvl w:val="1"/>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0"/>
      <w:bookmarkEnd w:id="11"/>
      <w:bookmarkEnd w:id="12"/>
    </w:p>
    <w:p>
      <w:pPr>
        <w:ind w:firstLine="800" w:firstLineChars="250"/>
        <w:outlineLvl w:val="9"/>
        <w:rPr>
          <w:rFonts w:hint="eastAsia"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壤塘县畜牧兽医服务工作站</w:t>
      </w:r>
      <w:r>
        <w:rPr>
          <w:rFonts w:hint="eastAsia" w:eastAsia="仿宋_GB2312" w:cs="仿宋_GB2312"/>
          <w:color w:val="auto"/>
          <w:sz w:val="32"/>
          <w:szCs w:val="32"/>
          <w:highlight w:val="none"/>
          <w:lang w:eastAsia="zh-CN"/>
        </w:rPr>
        <w:t>为其他事业单位</w:t>
      </w:r>
    </w:p>
    <w:p>
      <w:pPr>
        <w:pStyle w:val="3"/>
        <w:jc w:val="center"/>
        <w:outlineLvl w:val="0"/>
        <w:rPr>
          <w:rFonts w:hint="eastAsia" w:ascii="Times New Roman" w:hAnsi="Times New Roman" w:eastAsia="方正小标宋简体" w:cs="方正小标宋简体"/>
          <w:b w:val="0"/>
          <w:color w:val="auto"/>
          <w:highlight w:val="none"/>
        </w:rPr>
      </w:pPr>
      <w:bookmarkStart w:id="13" w:name="_Toc15377204"/>
      <w:bookmarkStart w:id="14" w:name="_Toc30095"/>
      <w:bookmarkStart w:id="1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96603"/>
      <w:bookmarkStart w:id="17" w:name="_Toc2819"/>
      <w:bookmarkStart w:id="18"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6"/>
      <w:bookmarkEnd w:id="17"/>
      <w:bookmarkEnd w:id="18"/>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229.23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229.23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rPr>
        <w:t>%。主要变动原因是主要变动原因是</w:t>
      </w:r>
      <w:r>
        <w:rPr>
          <w:rFonts w:hint="default" w:ascii="Times New Roman" w:hAnsi="Times New Roman" w:eastAsia="仿宋_GB2312" w:cs="Times New Roman"/>
          <w:b w:val="0"/>
          <w:bCs w:val="0"/>
          <w:kern w:val="2"/>
          <w:sz w:val="32"/>
          <w:szCs w:val="32"/>
          <w:lang w:val="en-US" w:eastAsia="zh-CN" w:bidi="ar-SA"/>
        </w:rPr>
        <w:t>根据壤编发﹝2025﹞13号文件，畜牧兽医服务中心临时分设开展工作，项目增加，人员增加，费用增加。</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9"/>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201930</wp:posOffset>
            </wp:positionH>
            <wp:positionV relativeFrom="paragraph">
              <wp:posOffset>136525</wp:posOffset>
            </wp:positionV>
            <wp:extent cx="4572000" cy="2743200"/>
            <wp:effectExtent l="4445" t="4445" r="14605" b="14605"/>
            <wp:wrapTopAndBottom/>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9" w:name="_Toc3293"/>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19"/>
      <w:bookmarkEnd w:id="20"/>
      <w:bookmarkEnd w:id="21"/>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229.23</w:t>
      </w:r>
      <w:r>
        <w:rPr>
          <w:rFonts w:hint="eastAsia" w:ascii="Times New Roman" w:hAnsi="Times New Roman" w:eastAsia="仿宋_GB2312" w:cs="仿宋_GB2312"/>
          <w:color w:val="auto"/>
          <w:sz w:val="32"/>
          <w:szCs w:val="32"/>
          <w:highlight w:val="none"/>
          <w:lang w:eastAsia="zh-CN"/>
        </w:rPr>
        <w:t>万元，其中：一般公共</w:t>
      </w:r>
      <w:r>
        <w:drawing>
          <wp:anchor distT="0" distB="0" distL="114300" distR="114300" simplePos="0" relativeHeight="251660288" behindDoc="0" locked="0" layoutInCell="1" allowOverlap="1">
            <wp:simplePos x="0" y="0"/>
            <wp:positionH relativeFrom="column">
              <wp:posOffset>192405</wp:posOffset>
            </wp:positionH>
            <wp:positionV relativeFrom="paragraph">
              <wp:posOffset>466725</wp:posOffset>
            </wp:positionV>
            <wp:extent cx="4572000" cy="2743200"/>
            <wp:effectExtent l="4445" t="4445" r="14605" b="14605"/>
            <wp:wrapTopAndBottom/>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预算财政拨款收入</w:t>
      </w:r>
      <w:r>
        <w:rPr>
          <w:rFonts w:hint="eastAsia" w:ascii="仿宋_GB2312" w:hAnsi="仿宋_GB2312" w:eastAsia="仿宋_GB2312" w:cs="仿宋_GB2312"/>
          <w:sz w:val="32"/>
          <w:szCs w:val="32"/>
        </w:rPr>
        <w:t>229.23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黑体"/>
          <w:color w:val="auto"/>
          <w:sz w:val="32"/>
          <w:szCs w:val="32"/>
          <w:highlight w:val="none"/>
          <w:lang w:eastAsia="zh-CN"/>
        </w:rPr>
      </w:pPr>
      <w:bookmarkStart w:id="22" w:name="_Toc15396605"/>
      <w:bookmarkStart w:id="23" w:name="_Toc15377207"/>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8990"/>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bookmarkEnd w:id="24"/>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9"/>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305435</wp:posOffset>
            </wp:positionH>
            <wp:positionV relativeFrom="paragraph">
              <wp:posOffset>856615</wp:posOffset>
            </wp:positionV>
            <wp:extent cx="4572000" cy="2743200"/>
            <wp:effectExtent l="4445" t="4445" r="14605" b="14605"/>
            <wp:wrapTopAndBottom/>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229.23</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229.23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outlineLvl w:val="9"/>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0"/>
          <w:rFonts w:ascii="Times New Roman" w:hAnsi="Times New Roman" w:eastAsia="黑体"/>
          <w:b w:val="0"/>
          <w:color w:val="auto"/>
          <w:highlight w:val="none"/>
        </w:rPr>
      </w:pPr>
      <w:bookmarkStart w:id="25" w:name="_Toc15396606"/>
      <w:bookmarkStart w:id="26" w:name="_Toc15377208"/>
      <w:bookmarkStart w:id="27" w:name="_Toc9632"/>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5"/>
      <w:bookmarkEnd w:id="26"/>
      <w:bookmarkEnd w:id="27"/>
    </w:p>
    <w:p>
      <w:pPr>
        <w:spacing w:line="600" w:lineRule="exact"/>
        <w:ind w:firstLine="640"/>
        <w:outlineLvl w:val="9"/>
        <w:rPr>
          <w:rFonts w:hint="default" w:ascii="Times New Roman" w:hAnsi="Times New Roman" w:eastAsia="仿宋_GB2312" w:cs="Times New Roman"/>
          <w:b w:val="0"/>
          <w:bCs w:val="0"/>
          <w:kern w:val="2"/>
          <w:sz w:val="32"/>
          <w:szCs w:val="32"/>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229.23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229.23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default" w:ascii="Times New Roman" w:hAnsi="Times New Roman" w:eastAsia="仿宋_GB2312" w:cs="Times New Roman"/>
          <w:b w:val="0"/>
          <w:bCs w:val="0"/>
          <w:kern w:val="2"/>
          <w:sz w:val="32"/>
          <w:szCs w:val="32"/>
          <w:lang w:val="en-US" w:eastAsia="zh-CN" w:bidi="ar-SA"/>
        </w:rPr>
        <w:t>根据壤编发﹝2025﹞13号文件，畜牧兽医服务中心临时分设开展工作，项目增加，人员增加，费用增加。</w:t>
      </w:r>
    </w:p>
    <w:p>
      <w:pPr>
        <w:pStyle w:val="20"/>
        <w:jc w:val="both"/>
        <w:outlineLvl w:val="9"/>
        <w:rPr>
          <w:rFonts w:hint="eastAsia"/>
          <w:lang w:val="en-US" w:eastAsia="zh-CN"/>
        </w:rPr>
      </w:pPr>
      <w:r>
        <w:drawing>
          <wp:inline distT="0" distB="0" distL="114300" distR="114300">
            <wp:extent cx="5029200" cy="2314575"/>
            <wp:effectExtent l="5080" t="4445" r="13970" b="5080"/>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firstLineChars="20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30"/>
          <w:rFonts w:ascii="Times New Roman" w:hAnsi="Times New Roman" w:eastAsia="黑体"/>
          <w:b w:val="0"/>
          <w:color w:val="auto"/>
          <w:highlight w:val="none"/>
        </w:rPr>
      </w:pPr>
      <w:bookmarkStart w:id="28" w:name="_Toc15377209"/>
      <w:bookmarkStart w:id="29" w:name="_Toc17466"/>
      <w:bookmarkStart w:id="30"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8"/>
      <w:bookmarkEnd w:id="29"/>
      <w:bookmarkEnd w:id="30"/>
    </w:p>
    <w:p>
      <w:pPr>
        <w:spacing w:line="600" w:lineRule="exact"/>
        <w:ind w:firstLine="642" w:firstLineChars="200"/>
        <w:outlineLvl w:val="9"/>
        <w:rPr>
          <w:rFonts w:hint="eastAsia" w:ascii="Times New Roman" w:hAnsi="Times New Roman" w:eastAsia="楷体_GB2312" w:cs="楷体_GB2312"/>
          <w:b/>
          <w:color w:val="auto"/>
          <w:sz w:val="32"/>
          <w:szCs w:val="32"/>
          <w:highlight w:val="none"/>
        </w:rPr>
      </w:pPr>
      <w:bookmarkStart w:id="3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1"/>
    </w:p>
    <w:p>
      <w:pPr>
        <w:spacing w:line="600" w:lineRule="exact"/>
        <w:ind w:firstLine="640"/>
        <w:outlineLvl w:val="9"/>
        <w:rPr>
          <w:rFonts w:hint="default" w:ascii="Times New Roman" w:hAnsi="Times New Roman" w:eastAsia="仿宋_GB2312" w:cs="Times New Roman"/>
          <w:b w:val="0"/>
          <w:bCs w:val="0"/>
          <w:kern w:val="2"/>
          <w:sz w:val="32"/>
          <w:szCs w:val="32"/>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229.23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229.23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default" w:ascii="Times New Roman" w:hAnsi="Times New Roman" w:eastAsia="仿宋_GB2312" w:cs="Times New Roman"/>
          <w:b w:val="0"/>
          <w:bCs w:val="0"/>
          <w:kern w:val="2"/>
          <w:sz w:val="32"/>
          <w:szCs w:val="32"/>
          <w:lang w:val="en-US" w:eastAsia="zh-CN" w:bidi="ar-SA"/>
        </w:rPr>
        <w:t>根据壤编发﹝2025﹞13号文件，畜牧兽医服务中心临时分设开展工作，项目增加，人员增加，费用增加。</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401955</wp:posOffset>
            </wp:positionH>
            <wp:positionV relativeFrom="paragraph">
              <wp:posOffset>238760</wp:posOffset>
            </wp:positionV>
            <wp:extent cx="5019675" cy="2667000"/>
            <wp:effectExtent l="4445" t="4445" r="5080" b="14605"/>
            <wp:wrapTopAndBottom/>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2" w:firstLineChars="200"/>
        <w:outlineLvl w:val="9"/>
        <w:rPr>
          <w:rFonts w:hint="eastAsia" w:ascii="Times New Roman" w:hAnsi="Times New Roman" w:eastAsia="楷体_GB2312" w:cs="楷体_GB2312"/>
          <w:b/>
          <w:color w:val="auto"/>
          <w:sz w:val="32"/>
          <w:szCs w:val="32"/>
          <w:highlight w:val="none"/>
        </w:rPr>
      </w:pPr>
      <w:bookmarkStart w:id="3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2"/>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471170</wp:posOffset>
            </wp:positionH>
            <wp:positionV relativeFrom="paragraph">
              <wp:posOffset>1784350</wp:posOffset>
            </wp:positionV>
            <wp:extent cx="4572000" cy="1687195"/>
            <wp:effectExtent l="4445" t="4445" r="14605" b="22860"/>
            <wp:wrapTopAndBottom/>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229.23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25.73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10.02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%；农林水</w:t>
      </w:r>
      <w:r>
        <w:rPr>
          <w:rFonts w:hint="eastAsia" w:eastAsia="仿宋_GB2312" w:cs="仿宋_GB2312"/>
          <w:color w:val="auto"/>
          <w:kern w:val="2"/>
          <w:sz w:val="32"/>
          <w:szCs w:val="32"/>
          <w:highlight w:val="none"/>
          <w:lang w:val="en-US" w:eastAsia="zh-CN" w:bidi="ar-SA"/>
        </w:rPr>
        <w:t>支出179.38万元，占78%；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14.10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9"/>
        <w:rPr>
          <w:rFonts w:hint="eastAsia" w:ascii="Times New Roman" w:hAnsi="Times New Roman" w:eastAsia="楷体_GB2312" w:cs="楷体_GB2312"/>
          <w:b/>
          <w:color w:val="auto"/>
          <w:sz w:val="32"/>
          <w:szCs w:val="32"/>
          <w:highlight w:val="none"/>
        </w:rPr>
      </w:pPr>
      <w:bookmarkStart w:id="3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3"/>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bookmarkStart w:id="34" w:name="_Toc15377213"/>
      <w:bookmarkStart w:id="35" w:name="_Toc15378460"/>
      <w:bookmarkStart w:id="36"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229.23</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4"/>
      <w:bookmarkEnd w:id="35"/>
      <w:bookmarkEnd w:id="36"/>
    </w:p>
    <w:p>
      <w:pPr>
        <w:numPr>
          <w:ilvl w:val="0"/>
          <w:numId w:val="0"/>
        </w:numPr>
        <w:spacing w:line="600" w:lineRule="exact"/>
        <w:ind w:firstLine="640" w:firstLineChars="20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outlineLvl w:val="9"/>
        <w:rPr>
          <w:rFonts w:hint="eastAsia" w:ascii="Times New Roman" w:hAnsi="Times New Roman" w:eastAsia="仿宋_GB2312" w:cs="仿宋_GB2312"/>
          <w:b w:val="0"/>
          <w:color w:val="auto"/>
          <w:kern w:val="2"/>
          <w:sz w:val="32"/>
          <w:szCs w:val="32"/>
          <w:highlight w:val="none"/>
          <w:lang w:val="en-US" w:eastAsia="zh-CN" w:bidi="ar-SA"/>
        </w:rPr>
      </w:pPr>
      <w:r>
        <w:rPr>
          <w:rFonts w:hint="eastAsia" w:ascii="Times New Roman" w:hAnsi="Times New Roman" w:eastAsia="仿宋_GB2312" w:cs="仿宋_GB2312"/>
          <w:b w:val="0"/>
          <w:color w:val="auto"/>
          <w:kern w:val="2"/>
          <w:sz w:val="32"/>
          <w:szCs w:val="32"/>
          <w:highlight w:val="none"/>
          <w:lang w:val="en-US" w:eastAsia="zh-CN" w:bidi="ar-SA"/>
        </w:rPr>
        <w:t>社会保障和就业支出（类）行政事业单位养老支出（款）机关事业单位职业年金缴费支出（项）：支出决算为</w:t>
      </w:r>
      <w:r>
        <w:rPr>
          <w:rFonts w:hint="eastAsia" w:eastAsia="仿宋_GB2312" w:cs="仿宋_GB2312"/>
          <w:b w:val="0"/>
          <w:color w:val="auto"/>
          <w:kern w:val="2"/>
          <w:sz w:val="32"/>
          <w:szCs w:val="32"/>
          <w:highlight w:val="none"/>
          <w:lang w:val="en-US" w:eastAsia="zh-CN" w:bidi="ar-SA"/>
        </w:rPr>
        <w:t>万</w:t>
      </w:r>
      <w:r>
        <w:rPr>
          <w:rFonts w:hint="eastAsia" w:ascii="Times New Roman" w:hAnsi="Times New Roman" w:eastAsia="仿宋_GB2312" w:cs="仿宋_GB2312"/>
          <w:b w:val="0"/>
          <w:color w:val="auto"/>
          <w:kern w:val="2"/>
          <w:sz w:val="32"/>
          <w:szCs w:val="32"/>
          <w:highlight w:val="none"/>
          <w:lang w:val="en-US" w:eastAsia="zh-CN" w:bidi="ar-SA"/>
        </w:rPr>
        <w:t>8.58万元，完成预算100%。</w:t>
      </w:r>
    </w:p>
    <w:p>
      <w:pPr>
        <w:numPr>
          <w:ilvl w:val="0"/>
          <w:numId w:val="0"/>
        </w:numPr>
        <w:spacing w:line="600" w:lineRule="exact"/>
        <w:ind w:firstLine="640" w:firstLineChars="20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 支出决算为</w:t>
      </w:r>
      <w:r>
        <w:rPr>
          <w:rFonts w:hint="eastAsia" w:eastAsia="仿宋_GB2312" w:cs="仿宋_GB2312"/>
          <w:color w:val="auto"/>
          <w:kern w:val="2"/>
          <w:sz w:val="32"/>
          <w:szCs w:val="32"/>
          <w:highlight w:val="none"/>
          <w:lang w:val="en-US" w:eastAsia="zh-CN" w:bidi="ar-SA"/>
        </w:rPr>
        <w:t>7.50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outlineLvl w:val="9"/>
        <w:rPr>
          <w:rFonts w:hint="default"/>
          <w:lang w:val="en-US" w:eastAsia="zh-CN"/>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卫生健康支出（类）行政事业单位医疗（款）其他行政事业单位医疗支出（项）: 支出决算为</w:t>
      </w:r>
      <w:r>
        <w:rPr>
          <w:rFonts w:hint="eastAsia" w:eastAsia="仿宋_GB2312" w:cs="仿宋_GB2312"/>
          <w:color w:val="auto"/>
          <w:kern w:val="2"/>
          <w:sz w:val="32"/>
          <w:szCs w:val="32"/>
          <w:highlight w:val="none"/>
          <w:lang w:val="en-US" w:eastAsia="zh-CN" w:bidi="ar-SA"/>
        </w:rPr>
        <w:t>2.51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农林水支出（类）农业农村（款）事业运行（项）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179.38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14.10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30"/>
          <w:rFonts w:ascii="Times New Roman" w:hAnsi="Times New Roman"/>
          <w:color w:val="auto"/>
          <w:highlight w:val="none"/>
        </w:rPr>
      </w:pPr>
      <w:bookmarkStart w:id="37" w:name="_Toc15377214"/>
      <w:bookmarkStart w:id="38" w:name="_Toc21559"/>
      <w:bookmarkStart w:id="3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7"/>
      <w:bookmarkEnd w:id="38"/>
      <w:bookmarkEnd w:id="39"/>
      <w:r>
        <w:rPr>
          <w:rStyle w:val="30"/>
          <w:rFonts w:ascii="Times New Roman" w:hAnsi="Times New Roman" w:eastAsia="黑体"/>
          <w:b w:val="0"/>
          <w:color w:val="auto"/>
          <w:highlight w:val="none"/>
        </w:rPr>
        <w:tab/>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229.23</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206.47</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w:t>
      </w:r>
      <w:r>
        <w:rPr>
          <w:rFonts w:hint="eastAsia" w:eastAsia="仿宋_GB2312" w:cs="仿宋_GB2312"/>
          <w:color w:val="auto"/>
          <w:kern w:val="2"/>
          <w:sz w:val="32"/>
          <w:szCs w:val="32"/>
          <w:highlight w:val="none"/>
          <w:lang w:val="en-US" w:eastAsia="zh-CN" w:bidi="ar-SA"/>
        </w:rPr>
        <w:t>职工基本医疗补助缴费、公务员医疗补助缴费、其他社会保障缴费、住房公积金等</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22.76</w:t>
      </w:r>
      <w:r>
        <w:rPr>
          <w:rFonts w:hint="eastAsia" w:ascii="Times New Roman" w:hAnsi="Times New Roman" w:eastAsia="仿宋_GB2312" w:cs="仿宋_GB2312"/>
          <w:color w:val="auto"/>
          <w:kern w:val="2"/>
          <w:sz w:val="32"/>
          <w:szCs w:val="32"/>
          <w:highlight w:val="none"/>
          <w:lang w:val="en-US" w:eastAsia="zh-CN" w:bidi="ar-SA"/>
        </w:rPr>
        <w:t>万元，主要包括：办公费、印刷费、邮电费物业管理费、差旅费、维修（护）费、租赁费、劳务费、公务用车运行维护费等。</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30"/>
          <w:rFonts w:ascii="Times New Roman" w:hAnsi="Times New Roman" w:eastAsia="黑体"/>
          <w:b w:val="0"/>
          <w:color w:val="auto"/>
          <w:highlight w:val="none"/>
        </w:rPr>
      </w:pPr>
      <w:bookmarkStart w:id="40" w:name="_Toc15396609"/>
      <w:bookmarkStart w:id="41" w:name="_Toc15377215"/>
      <w:bookmarkStart w:id="42" w:name="_Toc1616"/>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0"/>
      <w:bookmarkEnd w:id="41"/>
      <w:bookmarkEnd w:id="42"/>
    </w:p>
    <w:p>
      <w:pPr>
        <w:spacing w:line="600" w:lineRule="exact"/>
        <w:ind w:firstLine="642" w:firstLineChars="200"/>
        <w:outlineLvl w:val="9"/>
        <w:rPr>
          <w:rFonts w:hint="eastAsia" w:ascii="Times New Roman" w:hAnsi="Times New Roman" w:eastAsia="楷体_GB2312" w:cs="楷体_GB2312"/>
          <w:b/>
          <w:color w:val="auto"/>
          <w:sz w:val="32"/>
          <w:szCs w:val="32"/>
          <w:highlight w:val="none"/>
        </w:rPr>
      </w:pPr>
      <w:bookmarkStart w:id="43"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3"/>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outlineLvl w:val="9"/>
        <w:rPr>
          <w:rFonts w:hint="eastAsia" w:ascii="Times New Roman" w:hAnsi="Times New Roman" w:eastAsia="楷体_GB2312" w:cs="楷体_GB2312"/>
          <w:b/>
          <w:color w:val="auto"/>
          <w:sz w:val="32"/>
          <w:szCs w:val="32"/>
          <w:highlight w:val="none"/>
        </w:rPr>
      </w:pPr>
      <w:bookmarkStart w:id="44"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4"/>
    </w:p>
    <w:p>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pPr>
        <w:spacing w:line="600" w:lineRule="exact"/>
        <w:ind w:firstLine="640"/>
        <w:outlineLvl w:val="9"/>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bookmarkStart w:id="45" w:name="_Toc15396610"/>
      <w:bookmarkStart w:id="46" w:name="_Toc15377218"/>
    </w:p>
    <w:p>
      <w:pPr>
        <w:spacing w:line="600" w:lineRule="exact"/>
        <w:ind w:firstLine="640"/>
        <w:outlineLvl w:val="1"/>
        <w:rPr>
          <w:rStyle w:val="30"/>
          <w:rFonts w:ascii="Times New Roman" w:hAnsi="Times New Roman" w:eastAsia="黑体"/>
          <w:color w:val="auto"/>
          <w:highlight w:val="none"/>
        </w:rPr>
      </w:pPr>
      <w:bookmarkStart w:id="47" w:name="_Toc6533"/>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5"/>
      <w:bookmarkEnd w:id="46"/>
      <w:bookmarkEnd w:id="47"/>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8" w:name="_Toc13401"/>
      <w:bookmarkStart w:id="49" w:name="_Toc15377219"/>
      <w:bookmarkStart w:id="50"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8"/>
      <w:bookmarkEnd w:id="49"/>
      <w:bookmarkEnd w:id="50"/>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1" w:name="_Toc15396612"/>
      <w:bookmarkStart w:id="52" w:name="_Toc15377221"/>
      <w:bookmarkStart w:id="53" w:name="_Toc13240"/>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1"/>
      <w:bookmarkEnd w:id="52"/>
      <w:bookmarkEnd w:id="53"/>
    </w:p>
    <w:p>
      <w:pPr>
        <w:spacing w:line="600" w:lineRule="exact"/>
        <w:ind w:firstLine="642" w:firstLineChars="200"/>
        <w:outlineLvl w:val="9"/>
        <w:rPr>
          <w:rFonts w:hint="eastAsia" w:ascii="Times New Roman" w:hAnsi="Times New Roman" w:eastAsia="楷体_GB2312" w:cs="楷体_GB2312"/>
          <w:b/>
          <w:color w:val="auto"/>
          <w:sz w:val="32"/>
          <w:szCs w:val="32"/>
          <w:highlight w:val="none"/>
        </w:rPr>
      </w:pPr>
      <w:bookmarkStart w:id="54" w:name="_Toc15377222"/>
      <w:r>
        <w:rPr>
          <w:rFonts w:hint="eastAsia" w:ascii="Times New Roman" w:hAnsi="Times New Roman" w:eastAsia="楷体_GB2312" w:cs="楷体_GB2312"/>
          <w:b/>
          <w:color w:val="auto"/>
          <w:sz w:val="32"/>
          <w:szCs w:val="32"/>
          <w:highlight w:val="none"/>
        </w:rPr>
        <w:t>（一）机关运行经费支出情况</w:t>
      </w:r>
      <w:bookmarkEnd w:id="54"/>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壤塘县畜牧兽医服务工作站</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2" w:firstLineChars="200"/>
        <w:outlineLvl w:val="9"/>
        <w:rPr>
          <w:rFonts w:hint="eastAsia" w:ascii="Times New Roman" w:hAnsi="Times New Roman" w:eastAsia="楷体_GB2312" w:cs="楷体_GB2312"/>
          <w:b/>
          <w:color w:val="auto"/>
          <w:sz w:val="32"/>
          <w:szCs w:val="32"/>
          <w:highlight w:val="none"/>
        </w:rPr>
      </w:pPr>
      <w:bookmarkStart w:id="55" w:name="_Toc15377223"/>
      <w:r>
        <w:rPr>
          <w:rFonts w:hint="eastAsia" w:ascii="Times New Roman" w:hAnsi="Times New Roman" w:eastAsia="楷体_GB2312" w:cs="楷体_GB2312"/>
          <w:b/>
          <w:color w:val="auto"/>
          <w:sz w:val="32"/>
          <w:szCs w:val="32"/>
          <w:highlight w:val="none"/>
        </w:rPr>
        <w:t>（二）政府采购支出情况</w:t>
      </w:r>
      <w:bookmarkEnd w:id="55"/>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壤塘县畜牧兽医服务工作站</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2" w:firstLineChars="200"/>
        <w:outlineLvl w:val="9"/>
        <w:rPr>
          <w:rFonts w:hint="eastAsia" w:ascii="Times New Roman" w:hAnsi="Times New Roman" w:eastAsia="楷体_GB2312" w:cs="楷体_GB2312"/>
          <w:b/>
          <w:color w:val="auto"/>
          <w:sz w:val="32"/>
          <w:szCs w:val="32"/>
          <w:highlight w:val="none"/>
        </w:rPr>
      </w:pPr>
      <w:bookmarkStart w:id="56" w:name="_Toc15377224"/>
      <w:r>
        <w:rPr>
          <w:rFonts w:hint="eastAsia" w:ascii="Times New Roman" w:hAnsi="Times New Roman" w:eastAsia="楷体_GB2312" w:cs="楷体_GB2312"/>
          <w:b/>
          <w:color w:val="auto"/>
          <w:sz w:val="32"/>
          <w:szCs w:val="32"/>
          <w:highlight w:val="none"/>
        </w:rPr>
        <w:t>（三）国有资产占有使用情况</w:t>
      </w:r>
      <w:bookmarkEnd w:id="56"/>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壤塘县畜牧兽医服务工作站</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pPr>
        <w:outlineLvl w:val="9"/>
        <w:rPr>
          <w:rFonts w:hint="eastAsia" w:ascii="Times New Roman" w:hAnsi="Times New Roman" w:eastAsia="黑体"/>
          <w:color w:val="auto"/>
          <w:sz w:val="44"/>
          <w:szCs w:val="44"/>
          <w:highlight w:val="none"/>
        </w:rPr>
      </w:pPr>
      <w:bookmarkStart w:id="57" w:name="_Toc15377225"/>
      <w:bookmarkStart w:id="58" w:name="_Toc15396613"/>
      <w:r>
        <w:rPr>
          <w:rFonts w:hint="eastAsia" w:ascii="Times New Roman" w:hAnsi="Times New Roman" w:eastAsia="黑体"/>
          <w:color w:val="auto"/>
          <w:sz w:val="44"/>
          <w:szCs w:val="44"/>
          <w:highlight w:val="none"/>
        </w:rPr>
        <w:br w:type="page"/>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9" w:name="_Toc780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7"/>
      <w:bookmarkEnd w:id="58"/>
      <w:bookmarkEnd w:id="59"/>
    </w:p>
    <w:p>
      <w:pPr>
        <w:spacing w:line="600" w:lineRule="exact"/>
        <w:jc w:val="left"/>
        <w:rPr>
          <w:rFonts w:ascii="Times New Roman" w:hAnsi="Times New Roman"/>
          <w:b/>
          <w:color w:val="auto"/>
          <w:sz w:val="44"/>
          <w:szCs w:val="44"/>
          <w:highlight w:val="none"/>
        </w:rPr>
      </w:pP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9.社会保障和就业（类）……（款）……（项）：指……</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.卫生健康（类）……（款）……（项）：指……</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.农林水（类）……（款）……（项）：指……</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住房保障（类）……（款）……（项）：指……</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.机关运行经费：为保障行政单位（含参照公务员法管理的事业单位）运行用于购买货物和服务的各项资金，包括办公及印刷费、差旅费、公务用车运行维护费以及其他费用。</w:t>
      </w:r>
    </w:p>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bookmarkStart w:id="60" w:name="_Toc15377226"/>
      <w:bookmarkStart w:id="61" w:name="_Toc15396618"/>
    </w:p>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pPr>
        <w:outlineLvl w:val="9"/>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br w:type="page"/>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Style w:val="29"/>
          <w:rFonts w:hint="eastAsia" w:ascii="Times New Roman" w:hAnsi="Times New Roman" w:eastAsia="黑体"/>
          <w:b w:val="0"/>
          <w:color w:val="auto"/>
          <w:highlight w:val="none"/>
          <w:lang w:eastAsia="zh-CN"/>
        </w:rPr>
      </w:pPr>
      <w:bookmarkStart w:id="62" w:name="_Toc23116"/>
      <w:r>
        <w:rPr>
          <w:rStyle w:val="29"/>
          <w:rFonts w:hint="eastAsia"/>
        </w:rPr>
        <w:t>第四部分</w:t>
      </w:r>
      <w:r>
        <w:rPr>
          <w:rStyle w:val="29"/>
          <w:rFonts w:hint="eastAsia"/>
          <w:lang w:val="en-US" w:eastAsia="zh-CN"/>
        </w:rPr>
        <w:t xml:space="preserve"> </w:t>
      </w:r>
      <w:r>
        <w:rPr>
          <w:rStyle w:val="29"/>
          <w:rFonts w:hint="eastAsia"/>
        </w:rPr>
        <w:t xml:space="preserve"> 附件</w:t>
      </w:r>
      <w:bookmarkEnd w:id="62"/>
    </w:p>
    <w:p>
      <w:pPr>
        <w:keepNext w:val="0"/>
        <w:keepLines w:val="0"/>
        <w:pageBreakBefore w:val="0"/>
        <w:kinsoku/>
        <w:wordWrap/>
        <w:overflowPunct/>
        <w:topLinePunct w:val="0"/>
        <w:autoSpaceDE/>
        <w:autoSpaceDN/>
        <w:bidi w:val="0"/>
        <w:spacing w:line="572" w:lineRule="exact"/>
        <w:jc w:val="both"/>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widowControl w:val="0"/>
        <w:kinsoku/>
        <w:wordWrap/>
        <w:overflowPunct/>
        <w:topLinePunct w:val="0"/>
        <w:autoSpaceDE/>
        <w:autoSpaceDN/>
        <w:bidi w:val="0"/>
        <w:adjustRightInd/>
        <w:snapToGrid/>
        <w:spacing w:line="572" w:lineRule="exact"/>
        <w:jc w:val="both"/>
        <w:textAlignment w:val="auto"/>
        <w:outlineLvl w:val="1"/>
        <w:rPr>
          <w:rFonts w:hint="eastAsia" w:ascii="Times New Roman" w:hAnsi="Times New Roman" w:eastAsia="黑体" w:cs="方正小标宋简体"/>
          <w:color w:val="auto"/>
          <w:sz w:val="44"/>
          <w:szCs w:val="44"/>
          <w:highlight w:val="none"/>
          <w:lang w:val="en-US" w:eastAsia="zh-CN"/>
        </w:rPr>
      </w:pPr>
      <w:bookmarkStart w:id="63" w:name="_Toc20097"/>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63"/>
    </w:p>
    <w:p>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adjustRightInd/>
        <w:snapToGrid/>
        <w:spacing w:line="578" w:lineRule="exact"/>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pStyle w:val="6"/>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壤塘县畜牧兽医服务工作站无项目实施，仅涉及日常公用经费。</w:t>
      </w:r>
      <w:bookmarkStart w:id="64" w:name="_Toc23418"/>
    </w:p>
    <w:p>
      <w:pPr>
        <w:pStyle w:val="6"/>
        <w:keepNext w:val="0"/>
        <w:keepLines w:val="0"/>
        <w:pageBreakBefore w:val="0"/>
        <w:widowControl w:val="0"/>
        <w:kinsoku/>
        <w:wordWrap/>
        <w:overflowPunct/>
        <w:topLinePunct w:val="0"/>
        <w:autoSpaceDE/>
        <w:autoSpaceDN/>
        <w:bidi w:val="0"/>
        <w:adjustRightInd/>
        <w:snapToGrid/>
        <w:jc w:val="both"/>
        <w:textAlignment w:val="auto"/>
        <w:outlineLvl w:val="1"/>
        <w:rPr>
          <w:rFonts w:hint="eastAsia" w:ascii="Times New Roman" w:hAnsi="Times New Roman" w:eastAsia="黑体" w:cs="黑体"/>
          <w:color w:val="auto"/>
          <w:sz w:val="32"/>
          <w:szCs w:val="32"/>
          <w:highlight w:val="none"/>
          <w:lang w:val="en-US" w:eastAsia="zh-CN"/>
        </w:rPr>
      </w:pPr>
      <w:bookmarkStart w:id="65" w:name="_Toc26377"/>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bookmarkEnd w:id="64"/>
      <w:bookmarkEnd w:id="65"/>
    </w:p>
    <w:p>
      <w:pPr>
        <w:pStyle w:val="6"/>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壤塘县畜牧兽医服务工作站无项目实施，仅涉及日常公用经费。</w:t>
      </w: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both"/>
        <w:textAlignment w:val="auto"/>
        <w:outlineLvl w:val="0"/>
        <w:rPr>
          <w:rStyle w:val="29"/>
          <w:rFonts w:hint="eastAsia" w:ascii="Times New Roman" w:hAnsi="Times New Roman" w:eastAsia="黑体"/>
          <w:b w:val="0"/>
          <w:color w:val="auto"/>
          <w:highlight w:val="none"/>
          <w:lang w:eastAsia="zh-CN"/>
        </w:rPr>
      </w:pPr>
    </w:p>
    <w:p>
      <w:pPr>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br w:type="page"/>
      </w:r>
    </w:p>
    <w:p>
      <w:pPr>
        <w:keepNext w:val="0"/>
        <w:keepLines w:val="0"/>
        <w:pageBreakBefore w:val="0"/>
        <w:widowControl w:val="0"/>
        <w:kinsoku/>
        <w:wordWrap/>
        <w:overflowPunct/>
        <w:topLinePunct w:val="0"/>
        <w:autoSpaceDE/>
        <w:autoSpaceDN/>
        <w:bidi w:val="0"/>
        <w:spacing w:line="578" w:lineRule="exact"/>
        <w:jc w:val="center"/>
        <w:textAlignment w:val="auto"/>
        <w:outlineLvl w:val="0"/>
        <w:rPr>
          <w:rFonts w:hint="eastAsia" w:ascii="Times New Roman" w:hAnsi="Times New Roman" w:eastAsia="仿宋"/>
          <w:b w:val="0"/>
          <w:color w:val="auto"/>
          <w:highlight w:val="none"/>
        </w:rPr>
      </w:pPr>
      <w:bookmarkStart w:id="66" w:name="_Toc14698"/>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五</w:t>
      </w:r>
      <w:r>
        <w:rPr>
          <w:rStyle w:val="29"/>
          <w:rFonts w:hint="eastAsia" w:ascii="Times New Roman" w:hAnsi="Times New Roman" w:eastAsia="黑体"/>
          <w:b w:val="0"/>
          <w:color w:val="auto"/>
          <w:highlight w:val="none"/>
        </w:rPr>
        <w:t>部分 附表</w:t>
      </w:r>
      <w:bookmarkEnd w:id="60"/>
      <w:bookmarkEnd w:id="61"/>
      <w:bookmarkEnd w:id="66"/>
      <w:bookmarkStart w:id="67"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68" w:name="_Toc15374"/>
      <w:r>
        <w:rPr>
          <w:rFonts w:hint="eastAsia" w:ascii="Times New Roman" w:hAnsi="Times New Roman" w:eastAsia="仿宋_GB2312" w:cs="仿宋_GB2312"/>
          <w:color w:val="auto"/>
          <w:sz w:val="32"/>
          <w:szCs w:val="32"/>
          <w:highlight w:val="none"/>
        </w:rPr>
        <w:t>一、收入支出决算总表</w:t>
      </w:r>
      <w:bookmarkEnd w:id="67"/>
      <w:bookmarkEnd w:id="6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69" w:name="_Toc15396620"/>
      <w:bookmarkStart w:id="70" w:name="_Toc7606"/>
      <w:r>
        <w:rPr>
          <w:rFonts w:hint="eastAsia" w:ascii="Times New Roman" w:hAnsi="Times New Roman" w:eastAsia="仿宋_GB2312" w:cs="仿宋_GB2312"/>
          <w:color w:val="auto"/>
          <w:sz w:val="32"/>
          <w:szCs w:val="32"/>
          <w:highlight w:val="none"/>
        </w:rPr>
        <w:t>二、收入决算表</w:t>
      </w:r>
      <w:bookmarkEnd w:id="69"/>
      <w:bookmarkEnd w:id="7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1" w:name="_Toc30512"/>
      <w:bookmarkStart w:id="72" w:name="_Toc15396621"/>
      <w:r>
        <w:rPr>
          <w:rFonts w:hint="eastAsia" w:ascii="Times New Roman" w:hAnsi="Times New Roman" w:eastAsia="仿宋_GB2312" w:cs="仿宋_GB2312"/>
          <w:color w:val="auto"/>
          <w:sz w:val="32"/>
          <w:szCs w:val="32"/>
          <w:highlight w:val="none"/>
        </w:rPr>
        <w:t>三、支出决算表</w:t>
      </w:r>
      <w:bookmarkEnd w:id="71"/>
      <w:bookmarkEnd w:id="7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3" w:name="_Toc15396622"/>
      <w:bookmarkStart w:id="74" w:name="_Toc32225"/>
      <w:r>
        <w:rPr>
          <w:rFonts w:hint="eastAsia" w:ascii="Times New Roman" w:hAnsi="Times New Roman" w:eastAsia="仿宋_GB2312" w:cs="仿宋_GB2312"/>
          <w:color w:val="auto"/>
          <w:sz w:val="32"/>
          <w:szCs w:val="32"/>
          <w:highlight w:val="none"/>
        </w:rPr>
        <w:t>四、财政拨款收入支出决算总表</w:t>
      </w:r>
      <w:bookmarkEnd w:id="73"/>
      <w:bookmarkEnd w:id="7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5" w:name="_Toc17701"/>
      <w:bookmarkStart w:id="76" w:name="_Toc15396623"/>
      <w:r>
        <w:rPr>
          <w:rFonts w:hint="eastAsia" w:ascii="Times New Roman" w:hAnsi="Times New Roman" w:eastAsia="仿宋_GB2312" w:cs="仿宋_GB2312"/>
          <w:color w:val="auto"/>
          <w:sz w:val="32"/>
          <w:szCs w:val="32"/>
          <w:highlight w:val="none"/>
        </w:rPr>
        <w:t>五、财政拨款支出决算明细表</w:t>
      </w:r>
      <w:bookmarkEnd w:id="75"/>
      <w:bookmarkEnd w:id="76"/>
      <w:bookmarkStart w:id="77"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8" w:name="_Toc24385"/>
      <w:r>
        <w:rPr>
          <w:rFonts w:hint="eastAsia" w:ascii="Times New Roman" w:hAnsi="Times New Roman" w:eastAsia="仿宋_GB2312" w:cs="仿宋_GB2312"/>
          <w:color w:val="auto"/>
          <w:sz w:val="32"/>
          <w:szCs w:val="32"/>
          <w:highlight w:val="none"/>
        </w:rPr>
        <w:t>六、一般公共预算财政拨款支出决算表</w:t>
      </w:r>
      <w:bookmarkEnd w:id="77"/>
      <w:bookmarkEnd w:id="7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9" w:name="_Toc15396625"/>
      <w:bookmarkStart w:id="80" w:name="_Toc31588"/>
      <w:r>
        <w:rPr>
          <w:rFonts w:hint="eastAsia" w:ascii="Times New Roman" w:hAnsi="Times New Roman" w:eastAsia="仿宋_GB2312" w:cs="仿宋_GB2312"/>
          <w:color w:val="auto"/>
          <w:sz w:val="32"/>
          <w:szCs w:val="32"/>
          <w:highlight w:val="none"/>
        </w:rPr>
        <w:t>七、一般公共预算财政拨款支出决算明细表</w:t>
      </w:r>
      <w:bookmarkEnd w:id="79"/>
      <w:bookmarkEnd w:id="8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1" w:name="_Toc15396626"/>
      <w:bookmarkStart w:id="82" w:name="_Toc30986"/>
      <w:r>
        <w:rPr>
          <w:rFonts w:hint="eastAsia" w:ascii="Times New Roman" w:hAnsi="Times New Roman" w:eastAsia="仿宋_GB2312" w:cs="仿宋_GB2312"/>
          <w:color w:val="auto"/>
          <w:sz w:val="32"/>
          <w:szCs w:val="32"/>
          <w:highlight w:val="none"/>
        </w:rPr>
        <w:t>八、一般公共预算财政拨款基本支出决算表</w:t>
      </w:r>
      <w:bookmarkEnd w:id="81"/>
      <w:bookmarkEnd w:id="8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3" w:name="_Toc5530"/>
      <w:bookmarkStart w:id="84" w:name="_Toc15396627"/>
      <w:r>
        <w:rPr>
          <w:rFonts w:hint="eastAsia" w:ascii="Times New Roman" w:hAnsi="Times New Roman" w:eastAsia="仿宋_GB2312" w:cs="仿宋_GB2312"/>
          <w:color w:val="auto"/>
          <w:sz w:val="32"/>
          <w:szCs w:val="32"/>
          <w:highlight w:val="none"/>
        </w:rPr>
        <w:t>九、一般公共预算财政拨款项目支出决算表</w:t>
      </w:r>
      <w:bookmarkEnd w:id="83"/>
      <w:bookmarkEnd w:id="8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5" w:name="_Toc15396628"/>
      <w:bookmarkStart w:id="86" w:name="_Toc7250"/>
      <w:r>
        <w:rPr>
          <w:rFonts w:hint="eastAsia" w:ascii="Times New Roman" w:hAnsi="Times New Roman" w:eastAsia="仿宋_GB2312" w:cs="仿宋_GB2312"/>
          <w:color w:val="auto"/>
          <w:sz w:val="32"/>
          <w:szCs w:val="32"/>
          <w:highlight w:val="none"/>
        </w:rPr>
        <w:t>十、</w:t>
      </w:r>
      <w:bookmarkEnd w:id="85"/>
      <w:r>
        <w:rPr>
          <w:rFonts w:hint="eastAsia" w:ascii="Times New Roman" w:hAnsi="Times New Roman" w:eastAsia="仿宋_GB2312" w:cs="仿宋_GB2312"/>
          <w:color w:val="auto"/>
          <w:sz w:val="32"/>
          <w:szCs w:val="32"/>
          <w:highlight w:val="none"/>
        </w:rPr>
        <w:t>政府性基金预算财政拨款收入支出决算表</w:t>
      </w:r>
      <w:bookmarkEnd w:id="8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7" w:name="_Toc15396629"/>
      <w:bookmarkStart w:id="88" w:name="_Toc23583"/>
      <w:r>
        <w:rPr>
          <w:rFonts w:hint="eastAsia" w:ascii="Times New Roman" w:hAnsi="Times New Roman" w:eastAsia="仿宋_GB2312" w:cs="仿宋_GB2312"/>
          <w:color w:val="auto"/>
          <w:sz w:val="32"/>
          <w:szCs w:val="32"/>
          <w:highlight w:val="none"/>
        </w:rPr>
        <w:t>十一、</w:t>
      </w:r>
      <w:bookmarkEnd w:id="8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8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9" w:name="_Toc15396630"/>
      <w:bookmarkStart w:id="90" w:name="_Toc9541"/>
      <w:r>
        <w:rPr>
          <w:rFonts w:hint="eastAsia" w:ascii="Times New Roman" w:hAnsi="Times New Roman" w:eastAsia="仿宋_GB2312" w:cs="仿宋_GB2312"/>
          <w:color w:val="auto"/>
          <w:sz w:val="32"/>
          <w:szCs w:val="32"/>
          <w:highlight w:val="none"/>
        </w:rPr>
        <w:t>十二、</w:t>
      </w:r>
      <w:bookmarkEnd w:id="89"/>
      <w:r>
        <w:rPr>
          <w:rFonts w:hint="eastAsia" w:ascii="Times New Roman" w:hAnsi="Times New Roman" w:eastAsia="仿宋_GB2312" w:cs="仿宋_GB2312"/>
          <w:color w:val="auto"/>
          <w:sz w:val="32"/>
          <w:szCs w:val="32"/>
          <w:highlight w:val="none"/>
          <w:lang w:eastAsia="zh-CN"/>
        </w:rPr>
        <w:t>国有资本经营预算财政拨款支出决算表</w:t>
      </w:r>
      <w:bookmarkEnd w:id="9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91" w:name="_Toc15396631"/>
      <w:bookmarkStart w:id="92" w:name="_Toc25309"/>
      <w:r>
        <w:rPr>
          <w:rFonts w:hint="eastAsia" w:ascii="Times New Roman" w:hAnsi="Times New Roman" w:eastAsia="仿宋_GB2312" w:cs="仿宋_GB2312"/>
          <w:color w:val="auto"/>
          <w:sz w:val="32"/>
          <w:szCs w:val="32"/>
          <w:highlight w:val="none"/>
        </w:rPr>
        <w:t>十三、</w:t>
      </w:r>
      <w:bookmarkEnd w:id="91"/>
      <w:r>
        <w:rPr>
          <w:rFonts w:hint="eastAsia" w:ascii="Times New Roman" w:hAnsi="Times New Roman" w:eastAsia="仿宋_GB2312" w:cs="仿宋_GB2312"/>
          <w:color w:val="auto"/>
          <w:sz w:val="32"/>
          <w:szCs w:val="32"/>
          <w:highlight w:val="none"/>
          <w:lang w:eastAsia="zh-CN"/>
        </w:rPr>
        <w:t>财政拨款“三公”经费支出决算表</w:t>
      </w:r>
      <w:bookmarkEnd w:id="92"/>
    </w:p>
    <w:p>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6F0E2B"/>
    <w:multiLevelType w:val="singleLevel"/>
    <w:tmpl w:val="966F0E2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5Y2EzZGQ1ZTg1MWZhNjY1YTE1OWY1YzBhOWI1OTk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3D0442C"/>
    <w:rsid w:val="061E35DE"/>
    <w:rsid w:val="066E0107"/>
    <w:rsid w:val="07996F6E"/>
    <w:rsid w:val="07DFD8BA"/>
    <w:rsid w:val="08DB07E4"/>
    <w:rsid w:val="09737C2C"/>
    <w:rsid w:val="09867E8F"/>
    <w:rsid w:val="0A2032A3"/>
    <w:rsid w:val="0AAD1DCC"/>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9C0226"/>
    <w:rsid w:val="2BFF7BC6"/>
    <w:rsid w:val="2C8A61B5"/>
    <w:rsid w:val="2D2E01CF"/>
    <w:rsid w:val="2DF04E50"/>
    <w:rsid w:val="2E9545B0"/>
    <w:rsid w:val="2F040D46"/>
    <w:rsid w:val="2FAE5751"/>
    <w:rsid w:val="2FB1A395"/>
    <w:rsid w:val="2FD9A7D8"/>
    <w:rsid w:val="2FF97085"/>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5F83C8A"/>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3905DD4"/>
    <w:rsid w:val="647F5392"/>
    <w:rsid w:val="64D84FE3"/>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EF8D29"/>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BE282E"/>
    <w:rsid w:val="DFFFA9E8"/>
    <w:rsid w:val="E5B397D9"/>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qFormat/>
    <w:uiPriority w:val="0"/>
    <w:pPr>
      <w:widowControl w:val="0"/>
      <w:kinsoku/>
      <w:wordWrap/>
      <w:overflowPunct/>
      <w:topLinePunct w:val="0"/>
      <w:autoSpaceDE/>
      <w:autoSpaceDN/>
      <w:bidi w:val="0"/>
      <w:adjustRightInd/>
      <w:spacing w:line="480" w:lineRule="auto"/>
      <w:ind w:left="200" w:leftChars="200" w:right="0"/>
      <w:jc w:val="both"/>
      <w:textAlignment w:val="auto"/>
    </w:pPr>
    <w:rPr>
      <w:rFonts w:ascii="Times New Roman" w:hAnsi="Times New Roman" w:eastAsia="宋体" w:cs="Times New Roman"/>
      <w:kern w:val="2"/>
      <w:sz w:val="21"/>
      <w:szCs w:val="21"/>
      <w:lang w:val="en-US" w:eastAsia="zh-CN" w:bidi="zh-CN"/>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黑体"/>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rPr>
      <w:rFonts w:ascii="Times New Roman" w:hAnsi="Times New Roman" w:eastAsia="黑体"/>
      <w:sz w:val="28"/>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收入、支出决算总计变动情况图</a:t>
            </a:r>
          </a:p>
          <a:p>
            <a:pPr defTabSz="914400">
              <a:defRPr lang="zh-CN" sz="1400" b="0" i="0" u="none" strike="noStrike" kern="1200" spc="0" baseline="0">
                <a:solidFill>
                  <a:schemeClr val="tx1">
                    <a:lumMod val="65000"/>
                    <a:lumOff val="35000"/>
                  </a:schemeClr>
                </a:solidFill>
                <a:latin typeface="+mn-lt"/>
                <a:ea typeface="+mn-ea"/>
                <a:cs typeface="+mn-cs"/>
              </a:defRPr>
            </a:pPr>
            <a:r>
              <a:t>单位：万元</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[工作簿1]Sheet1!$A$3:$D$3</c:f>
              <c:strCache>
                <c:ptCount val="4"/>
                <c:pt idx="0">
                  <c:v>2024年度收入</c:v>
                </c:pt>
                <c:pt idx="1">
                  <c:v>2025年度收入</c:v>
                </c:pt>
                <c:pt idx="2">
                  <c:v>2024年度支出</c:v>
                </c:pt>
                <c:pt idx="3">
                  <c:v>2025年度支出</c:v>
                </c:pt>
              </c:strCache>
            </c:strRef>
          </c:cat>
          <c:val>
            <c:numRef>
              <c:f>[工作簿1]Sheet1!$A$4:$D$4</c:f>
              <c:numCache>
                <c:formatCode>General</c:formatCode>
                <c:ptCount val="4"/>
                <c:pt idx="0">
                  <c:v>0</c:v>
                </c:pt>
                <c:pt idx="1">
                  <c:v>229.23</c:v>
                </c:pt>
                <c:pt idx="2">
                  <c:v>0</c:v>
                </c:pt>
                <c:pt idx="3">
                  <c:v>229.23</c:v>
                </c:pt>
              </c:numCache>
            </c:numRef>
          </c:val>
        </c:ser>
        <c:dLbls>
          <c:showLegendKey val="0"/>
          <c:showVal val="1"/>
          <c:showCatName val="0"/>
          <c:showSerName val="0"/>
          <c:showPercent val="0"/>
          <c:showBubbleSize val="0"/>
        </c:dLbls>
        <c:gapWidth val="219"/>
        <c:overlap val="-27"/>
        <c:axId val="906256528"/>
        <c:axId val="424680255"/>
      </c:barChart>
      <c:catAx>
        <c:axId val="9062565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4680255"/>
        <c:crosses val="autoZero"/>
        <c:auto val="1"/>
        <c:lblAlgn val="ctr"/>
        <c:lblOffset val="100"/>
        <c:noMultiLvlLbl val="0"/>
      </c:catAx>
      <c:valAx>
        <c:axId val="4246802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6256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[工作簿1]Sheet1!$A$9</c:f>
              <c:strCache>
                <c:ptCount val="1"/>
                <c:pt idx="0">
                  <c:v>一般公共预算财政拨款收入</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1"/>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[工作簿1]Sheet1!$B$9</c:f>
              <c:numCache>
                <c:formatCode>General</c:formatCode>
                <c:ptCount val="1"/>
                <c:pt idx="0">
                  <c:v>229.23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r>
              <a:rPr lang="en-US" altLang="zh-CN"/>
              <a:t>  </a:t>
            </a:r>
            <a:r>
              <a:rPr altLang="en-US"/>
              <a:t>万元</a:t>
            </a:r>
            <a:endParaRPr altLang="en-US"/>
          </a:p>
        </c:rich>
      </c:tx>
      <c:layout/>
      <c:overlay val="0"/>
      <c:spPr>
        <a:noFill/>
        <a:ln>
          <a:noFill/>
        </a:ln>
        <a:effectLst/>
      </c:spPr>
    </c:title>
    <c:autoTitleDeleted val="0"/>
    <c:plotArea>
      <c:layout/>
      <c:barChart>
        <c:barDir val="col"/>
        <c:grouping val="clustered"/>
        <c:varyColors val="0"/>
        <c:ser>
          <c:idx val="0"/>
          <c:order val="0"/>
          <c:tx>
            <c:strRef>
              <c:f>[工作簿1]Sheet1!$A$15</c:f>
              <c:strCache>
                <c:ptCount val="1"/>
                <c:pt idx="0">
                  <c:v>基本支出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[工作簿1]Sheet1!$B$15</c:f>
              <c:numCache>
                <c:formatCode>General</c:formatCode>
                <c:ptCount val="1"/>
                <c:pt idx="0">
                  <c:v>229.23</c:v>
                </c:pt>
              </c:numCache>
            </c:numRef>
          </c:val>
        </c:ser>
        <c:dLbls>
          <c:showLegendKey val="0"/>
          <c:showVal val="1"/>
          <c:showCatName val="0"/>
          <c:showSerName val="0"/>
          <c:showPercent val="0"/>
          <c:showBubbleSize val="0"/>
        </c:dLbls>
        <c:gapWidth val="219"/>
        <c:overlap val="-27"/>
        <c:axId val="138165290"/>
        <c:axId val="736429598"/>
      </c:barChart>
      <c:catAx>
        <c:axId val="13816529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6429598"/>
        <c:crosses val="autoZero"/>
        <c:auto val="1"/>
        <c:lblAlgn val="ctr"/>
        <c:lblOffset val="100"/>
        <c:noMultiLvlLbl val="0"/>
      </c:catAx>
      <c:valAx>
        <c:axId val="73642959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8165290"/>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r>
              <a:rPr lang="en-US" altLang="zh-CN"/>
              <a:t>  </a:t>
            </a:r>
            <a:r>
              <a:rPr altLang="en-US"/>
              <a:t>万元</a:t>
            </a:r>
            <a:endParaRPr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[工作簿1]Sheet1!$A$3:$D$3</c:f>
              <c:strCache>
                <c:ptCount val="4"/>
                <c:pt idx="0">
                  <c:v>2024年财政拨款收入</c:v>
                </c:pt>
                <c:pt idx="1">
                  <c:v>2025年财政拨款收入</c:v>
                </c:pt>
                <c:pt idx="2">
                  <c:v>2024年财政拨款支出</c:v>
                </c:pt>
                <c:pt idx="3">
                  <c:v>2025年财政拨款支出</c:v>
                </c:pt>
              </c:strCache>
            </c:strRef>
          </c:cat>
          <c:val>
            <c:numRef>
              <c:f>[工作簿1]Sheet1!$A$4:$D$4</c:f>
              <c:numCache>
                <c:formatCode>General</c:formatCode>
                <c:ptCount val="4"/>
                <c:pt idx="0">
                  <c:v>0</c:v>
                </c:pt>
                <c:pt idx="1">
                  <c:v>229.23</c:v>
                </c:pt>
                <c:pt idx="2">
                  <c:v>0</c:v>
                </c:pt>
                <c:pt idx="3">
                  <c:v>229.23</c:v>
                </c:pt>
              </c:numCache>
            </c:numRef>
          </c:val>
        </c:ser>
        <c:dLbls>
          <c:showLegendKey val="0"/>
          <c:showVal val="1"/>
          <c:showCatName val="0"/>
          <c:showSerName val="0"/>
          <c:showPercent val="0"/>
          <c:showBubbleSize val="0"/>
        </c:dLbls>
        <c:gapWidth val="219"/>
        <c:overlap val="-27"/>
        <c:axId val="405554285"/>
        <c:axId val="632160853"/>
      </c:barChart>
      <c:catAx>
        <c:axId val="40555428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2160853"/>
        <c:crosses val="autoZero"/>
        <c:auto val="1"/>
        <c:lblAlgn val="ctr"/>
        <c:lblOffset val="100"/>
        <c:noMultiLvlLbl val="0"/>
      </c:catAx>
      <c:valAx>
        <c:axId val="63216085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555428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r>
              <a:rPr lang="en-US" altLang="zh-CN"/>
              <a:t>  </a:t>
            </a:r>
            <a:endParaRPr lang="en-US" altLang="zh-CN"/>
          </a:p>
          <a:p>
            <a:pPr defTabSz="914400">
              <a:defRPr lang="zh-CN" sz="1400" b="0" i="0" u="none" strike="noStrike" kern="1200" spc="0" baseline="0">
                <a:solidFill>
                  <a:schemeClr val="tx1">
                    <a:lumMod val="65000"/>
                    <a:lumOff val="35000"/>
                  </a:schemeClr>
                </a:solidFill>
                <a:latin typeface="+mn-lt"/>
                <a:ea typeface="+mn-ea"/>
                <a:cs typeface="+mn-cs"/>
              </a:defRPr>
            </a:pPr>
            <a:r>
              <a:rPr altLang="en-US"/>
              <a:t>万元</a:t>
            </a:r>
            <a:endParaRPr altLang="en-US"/>
          </a:p>
        </c:rich>
      </c:tx>
      <c:layout>
        <c:manualLayout>
          <c:xMode val="edge"/>
          <c:yMode val="edge"/>
          <c:x val="0.174130297280202"/>
          <c:y val="0.0319047619047619"/>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[工作簿1]Sheet1!$A$3:$B$3</c:f>
              <c:strCache>
                <c:ptCount val="2"/>
                <c:pt idx="0">
                  <c:v>2024年一般公共预算财政拨款支出决算</c:v>
                </c:pt>
                <c:pt idx="1">
                  <c:v>2025年一般公共预算财政拨款支出决算</c:v>
                </c:pt>
              </c:strCache>
            </c:strRef>
          </c:cat>
          <c:val>
            <c:numRef>
              <c:f>[工作簿1]Sheet1!$A$4:$B$4</c:f>
              <c:numCache>
                <c:formatCode>General</c:formatCode>
                <c:ptCount val="2"/>
                <c:pt idx="0">
                  <c:v>0</c:v>
                </c:pt>
                <c:pt idx="1">
                  <c:v>229.23</c:v>
                </c:pt>
              </c:numCache>
            </c:numRef>
          </c:val>
        </c:ser>
        <c:dLbls>
          <c:showLegendKey val="0"/>
          <c:showVal val="1"/>
          <c:showCatName val="0"/>
          <c:showSerName val="0"/>
          <c:showPercent val="0"/>
          <c:showBubbleSize val="0"/>
        </c:dLbls>
        <c:gapWidth val="219"/>
        <c:overlap val="-27"/>
        <c:axId val="650777253"/>
        <c:axId val="315259801"/>
      </c:barChart>
      <c:catAx>
        <c:axId val="65077725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5259801"/>
        <c:crosses val="autoZero"/>
        <c:auto val="1"/>
        <c:lblAlgn val="ctr"/>
        <c:lblOffset val="100"/>
        <c:noMultiLvlLbl val="0"/>
      </c:catAx>
      <c:valAx>
        <c:axId val="31525980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077725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  万元</a:t>
            </a:r>
          </a:p>
        </c:rich>
      </c:tx>
      <c:layout>
        <c:manualLayout>
          <c:xMode val="edge"/>
          <c:yMode val="edge"/>
          <c:x val="0.147777777777778"/>
          <c:y val="0.0486111111111111"/>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[工作簿1]Sheet1!$B$26:$B$29</c:f>
              <c:strCache>
                <c:ptCount val="4"/>
                <c:pt idx="0" c:formatCode="0.00_ ">
                  <c:v>社会保障和就业支出</c:v>
                </c:pt>
                <c:pt idx="1" c:formatCode="0.00_ ">
                  <c:v>卫生健康支出</c:v>
                </c:pt>
                <c:pt idx="2" c:formatCode="0.00_ ">
                  <c:v>农林水支出</c:v>
                </c:pt>
                <c:pt idx="3" c:formatCode="0.00_ ">
                  <c:v>住房保障支出</c:v>
                </c:pt>
              </c:strCache>
            </c:strRef>
          </c:cat>
          <c:val>
            <c:numRef>
              <c:f>[工作簿1]Sheet1!$C$26:$C$29</c:f>
              <c:numCache>
                <c:formatCode>0.00_ </c:formatCode>
                <c:ptCount val="4"/>
                <c:pt idx="0">
                  <c:v>25.73</c:v>
                </c:pt>
                <c:pt idx="1">
                  <c:v>10.02</c:v>
                </c:pt>
                <c:pt idx="2">
                  <c:v>179.38</c:v>
                </c:pt>
                <c:pt idx="3">
                  <c:v>14.1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3744</Words>
  <Characters>4034</Characters>
  <Lines>61</Lines>
  <Paragraphs>17</Paragraphs>
  <TotalTime>4</TotalTime>
  <ScaleCrop>false</ScaleCrop>
  <LinksUpToDate>false</LinksUpToDate>
  <CharactersWithSpaces>4096</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2026-08-03T17:27:00Z</cp:lastPrinted>
  <dcterms:modified xsi:type="dcterms:W3CDTF">2026-10-28T14:50:27Z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EB59BF5644124CCD8C77F0CA652D6032</vt:lpwstr>
  </property>
</Properties>
</file>