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61" w:name="_GoBack"/>
      <w:bookmarkEnd w:id="61"/>
      <w:bookmarkStart w:id="0" w:name="_Toc15396475"/>
      <w:bookmarkStart w:id="1" w:name="_Toc15306267"/>
      <w:bookmarkStart w:id="2" w:name="_Toc15396597"/>
      <w:bookmarkStart w:id="3" w:name="_Toc15377425"/>
      <w:bookmarkStart w:id="4" w:name="_Toc15377193"/>
      <w:bookmarkStart w:id="5" w:name="_Toc15378441"/>
    </w:p>
    <w:bookmarkEnd w:id="0"/>
    <w:bookmarkEnd w:id="1"/>
    <w:bookmarkEnd w:id="2"/>
    <w:bookmarkEnd w:id="3"/>
    <w:bookmarkEnd w:id="4"/>
    <w:bookmarkEnd w:id="5"/>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农村合作经营管理站</w:t>
      </w:r>
      <w:r>
        <w:rPr>
          <w:rFonts w:hint="eastAsia" w:ascii="Times New Roman" w:hAnsi="Times New Roman" w:eastAsia="方正小标宋简体" w:cs="Times New Roman"/>
          <w:color w:val="auto"/>
          <w:kern w:val="2"/>
          <w:sz w:val="44"/>
          <w:szCs w:val="44"/>
          <w:highlight w:val="none"/>
          <w:lang w:val="en-US" w:eastAsia="zh-CN" w:bidi="ar-SA"/>
        </w:rPr>
        <w:t>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贯彻执行有关创新驱动发展战略以及科技发展、引进国外智力规划和政策，拟订全县有关科技发展的政策措施并组织实施。</w:t>
      </w:r>
    </w:p>
    <w:p>
      <w:pPr>
        <w:keepNext w:val="0"/>
        <w:keepLines w:val="0"/>
        <w:pageBreakBefore w:val="0"/>
        <w:widowControl w:val="0"/>
        <w:numPr>
          <w:ilvl w:val="0"/>
          <w:numId w:val="2"/>
        </w:numPr>
        <w:kinsoku/>
        <w:wordWrap/>
        <w:overflowPunct/>
        <w:topLinePunct w:val="0"/>
        <w:autoSpaceDE w:val="0"/>
        <w:autoSpaceDN w:val="0"/>
        <w:bidi w:val="0"/>
        <w:adjustRightInd/>
        <w:snapToGrid/>
        <w:spacing w:line="560" w:lineRule="exact"/>
        <w:ind w:left="0" w:leftChars="0"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rPr>
        <w:t>统筹研究和组织实施全县“三农”工作的发展</w:t>
      </w:r>
      <w:r>
        <w:rPr>
          <w:rFonts w:hint="eastAsia" w:ascii="仿宋" w:hAnsi="仿宋" w:eastAsia="仿宋" w:cs="仿宋"/>
          <w:sz w:val="30"/>
          <w:szCs w:val="30"/>
          <w:lang w:eastAsia="zh-CN"/>
        </w:rPr>
        <w:t>战略和中长期</w:t>
      </w:r>
      <w:r>
        <w:rPr>
          <w:rFonts w:hint="eastAsia" w:ascii="仿宋" w:hAnsi="仿宋" w:eastAsia="仿宋" w:cs="仿宋"/>
          <w:sz w:val="30"/>
          <w:szCs w:val="30"/>
        </w:rPr>
        <w:t>规划、重大政策。</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right="0" w:rightChars="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w:t>
      </w:r>
      <w:r>
        <w:rPr>
          <w:rFonts w:hint="eastAsia" w:ascii="仿宋" w:hAnsi="仿宋" w:eastAsia="仿宋" w:cs="仿宋"/>
          <w:sz w:val="30"/>
          <w:szCs w:val="30"/>
        </w:rPr>
        <w:t>统筹实施乡村振兴战略，牵头组织改善全县农村人居环境。</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w:t>
      </w:r>
      <w:r>
        <w:rPr>
          <w:rFonts w:hint="eastAsia" w:ascii="仿宋" w:hAnsi="仿宋" w:eastAsia="仿宋" w:cs="仿宋"/>
          <w:sz w:val="30"/>
          <w:szCs w:val="30"/>
        </w:rPr>
        <w:t>建立统一的科技管理平台和科研项目资金协调、实施评估、监管机制。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w:t>
      </w:r>
      <w:r>
        <w:rPr>
          <w:rFonts w:hint="eastAsia" w:ascii="仿宋" w:hAnsi="仿宋" w:eastAsia="仿宋" w:cs="仿宋"/>
          <w:sz w:val="30"/>
          <w:szCs w:val="30"/>
        </w:rPr>
        <w:t>拟订深化全县农村经济体制改革和</w:t>
      </w:r>
      <w:r>
        <w:rPr>
          <w:rFonts w:hint="eastAsia" w:ascii="仿宋" w:hAnsi="仿宋" w:eastAsia="仿宋" w:cs="仿宋"/>
          <w:sz w:val="30"/>
          <w:szCs w:val="30"/>
          <w:lang w:eastAsia="zh-CN"/>
        </w:rPr>
        <w:t>巩固和完善</w:t>
      </w:r>
      <w:r>
        <w:rPr>
          <w:rFonts w:hint="eastAsia" w:ascii="仿宋" w:hAnsi="仿宋" w:eastAsia="仿宋" w:cs="仿宋"/>
          <w:sz w:val="30"/>
          <w:szCs w:val="30"/>
        </w:rPr>
        <w:t>农村基本经营制度的政策措施。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6</w:t>
      </w:r>
      <w:r>
        <w:rPr>
          <w:rFonts w:hint="eastAsia" w:ascii="仿宋" w:hAnsi="仿宋" w:eastAsia="仿宋" w:cs="仿宋"/>
          <w:sz w:val="30"/>
          <w:szCs w:val="30"/>
          <w:lang w:eastAsia="zh-CN"/>
        </w:rPr>
        <w:t>）</w:t>
      </w:r>
      <w:r>
        <w:rPr>
          <w:rFonts w:hint="eastAsia" w:ascii="仿宋" w:hAnsi="仿宋" w:eastAsia="仿宋" w:cs="仿宋"/>
          <w:sz w:val="30"/>
          <w:szCs w:val="30"/>
        </w:rPr>
        <w:t>指导全县乡村特色产业、农产品加工业</w:t>
      </w:r>
      <w:r>
        <w:rPr>
          <w:rFonts w:hint="eastAsia" w:ascii="仿宋" w:hAnsi="仿宋" w:eastAsia="仿宋" w:cs="仿宋"/>
          <w:sz w:val="30"/>
          <w:szCs w:val="30"/>
          <w:lang w:eastAsia="zh-CN"/>
        </w:rPr>
        <w:t>（</w:t>
      </w:r>
      <w:r>
        <w:rPr>
          <w:rFonts w:hint="eastAsia" w:ascii="仿宋" w:hAnsi="仿宋" w:eastAsia="仿宋" w:cs="仿宋"/>
          <w:sz w:val="30"/>
          <w:szCs w:val="30"/>
        </w:rPr>
        <w:t>产地初加工</w:t>
      </w:r>
      <w:r>
        <w:rPr>
          <w:rFonts w:hint="eastAsia" w:ascii="仿宋" w:hAnsi="仿宋" w:eastAsia="仿宋" w:cs="仿宋"/>
          <w:sz w:val="30"/>
          <w:szCs w:val="30"/>
          <w:lang w:eastAsia="zh-CN"/>
        </w:rPr>
        <w:t>）</w:t>
      </w:r>
      <w:r>
        <w:rPr>
          <w:rFonts w:hint="eastAsia" w:ascii="仿宋" w:hAnsi="仿宋" w:eastAsia="仿宋" w:cs="仿宋"/>
          <w:sz w:val="30"/>
          <w:szCs w:val="30"/>
        </w:rPr>
        <w:t>、休闲农业和乡村涉农企业发展工作。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7</w:t>
      </w:r>
      <w:r>
        <w:rPr>
          <w:rFonts w:hint="eastAsia" w:ascii="仿宋" w:hAnsi="仿宋" w:eastAsia="仿宋" w:cs="仿宋"/>
          <w:sz w:val="30"/>
          <w:szCs w:val="30"/>
          <w:lang w:eastAsia="zh-CN"/>
        </w:rPr>
        <w:t>）</w:t>
      </w:r>
      <w:r>
        <w:rPr>
          <w:rFonts w:hint="eastAsia" w:ascii="仿宋" w:hAnsi="仿宋" w:eastAsia="仿宋" w:cs="仿宋"/>
          <w:sz w:val="30"/>
          <w:szCs w:val="30"/>
        </w:rPr>
        <w:t>组织实施重大科技专项，组织参与国家、省、州重大科技专项。</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8</w:t>
      </w:r>
      <w:r>
        <w:rPr>
          <w:rFonts w:hint="eastAsia" w:ascii="仿宋" w:hAnsi="仿宋" w:eastAsia="仿宋" w:cs="仿宋"/>
          <w:sz w:val="30"/>
          <w:szCs w:val="30"/>
          <w:lang w:eastAsia="zh-CN"/>
        </w:rPr>
        <w:t>）</w:t>
      </w:r>
      <w:r>
        <w:rPr>
          <w:rFonts w:hint="eastAsia" w:ascii="仿宋" w:hAnsi="仿宋" w:eastAsia="仿宋" w:cs="仿宋"/>
          <w:sz w:val="30"/>
          <w:szCs w:val="30"/>
        </w:rPr>
        <w:t>统筹区域科技创新体系建设，指导区域创新发展、科技资源合理布局和协同创新能力建设，推动科技园区、科技</w:t>
      </w:r>
      <w:r>
        <w:rPr>
          <w:rFonts w:hint="eastAsia" w:ascii="仿宋" w:hAnsi="仿宋" w:eastAsia="仿宋" w:cs="仿宋"/>
          <w:sz w:val="30"/>
          <w:szCs w:val="30"/>
          <w:lang w:eastAsia="zh-CN"/>
        </w:rPr>
        <w:t>小镇等</w:t>
      </w:r>
      <w:r>
        <w:rPr>
          <w:rFonts w:hint="eastAsia" w:ascii="仿宋" w:hAnsi="仿宋" w:eastAsia="仿宋" w:cs="仿宋"/>
          <w:sz w:val="30"/>
          <w:szCs w:val="30"/>
        </w:rPr>
        <w:t>科技平台建设。</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9</w:t>
      </w:r>
      <w:r>
        <w:rPr>
          <w:rFonts w:hint="eastAsia" w:ascii="仿宋" w:hAnsi="仿宋" w:eastAsia="仿宋" w:cs="仿宋"/>
          <w:sz w:val="30"/>
          <w:szCs w:val="30"/>
          <w:lang w:eastAsia="zh-CN"/>
        </w:rPr>
        <w:t>）</w:t>
      </w:r>
      <w:r>
        <w:rPr>
          <w:rFonts w:hint="eastAsia" w:ascii="仿宋" w:hAnsi="仿宋" w:eastAsia="仿宋" w:cs="仿宋"/>
          <w:sz w:val="30"/>
          <w:szCs w:val="30"/>
        </w:rPr>
        <w:t>负责引进国外智力工作，拟订全县重点引进外国专家总体规划、计划并组织实施，建立外国科学家、团队吸引集聚机制和外国专家联系服务机制。</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10</w:t>
      </w:r>
      <w:r>
        <w:rPr>
          <w:rFonts w:hint="eastAsia" w:ascii="仿宋" w:hAnsi="仿宋" w:eastAsia="仿宋" w:cs="仿宋"/>
          <w:sz w:val="30"/>
          <w:szCs w:val="30"/>
          <w:lang w:eastAsia="zh-CN"/>
        </w:rPr>
        <w:t>）</w:t>
      </w:r>
      <w:r>
        <w:rPr>
          <w:rFonts w:hint="eastAsia" w:ascii="仿宋" w:hAnsi="仿宋" w:eastAsia="仿宋" w:cs="仿宋"/>
          <w:sz w:val="30"/>
          <w:szCs w:val="30"/>
        </w:rPr>
        <w:t>负责全县种植业、畜牧业</w:t>
      </w:r>
      <w:r>
        <w:rPr>
          <w:rFonts w:hint="eastAsia" w:ascii="仿宋" w:hAnsi="仿宋" w:eastAsia="仿宋" w:cs="仿宋"/>
          <w:sz w:val="30"/>
          <w:szCs w:val="30"/>
          <w:lang w:eastAsia="zh-CN"/>
        </w:rPr>
        <w:t>（草原畜牧业）</w:t>
      </w:r>
      <w:r>
        <w:rPr>
          <w:rFonts w:hint="eastAsia" w:ascii="仿宋" w:hAnsi="仿宋" w:eastAsia="仿宋" w:cs="仿宋"/>
          <w:sz w:val="30"/>
          <w:szCs w:val="30"/>
        </w:rPr>
        <w:t>、渔业、农垦农业机械化等农业各产业的监督管理。</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11</w:t>
      </w:r>
      <w:r>
        <w:rPr>
          <w:rFonts w:hint="eastAsia" w:ascii="仿宋" w:hAnsi="仿宋" w:eastAsia="仿宋" w:cs="仿宋"/>
          <w:sz w:val="30"/>
          <w:szCs w:val="30"/>
          <w:lang w:eastAsia="zh-CN"/>
        </w:rPr>
        <w:t>）</w:t>
      </w:r>
      <w:r>
        <w:rPr>
          <w:rFonts w:hint="eastAsia" w:ascii="仿宋" w:hAnsi="仿宋" w:eastAsia="仿宋" w:cs="仿宋"/>
          <w:sz w:val="30"/>
          <w:szCs w:val="30"/>
        </w:rPr>
        <w:t>负责制定全县农业产业机械化、智能化、数字化发展规划并组织实施。</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12</w:t>
      </w:r>
      <w:r>
        <w:rPr>
          <w:rFonts w:hint="eastAsia" w:ascii="仿宋" w:hAnsi="仿宋" w:eastAsia="仿宋" w:cs="仿宋"/>
          <w:sz w:val="30"/>
          <w:szCs w:val="30"/>
          <w:lang w:eastAsia="zh-CN"/>
        </w:rPr>
        <w:t>）</w:t>
      </w:r>
      <w:r>
        <w:rPr>
          <w:rFonts w:hint="eastAsia" w:ascii="仿宋" w:hAnsi="仿宋" w:eastAsia="仿宋" w:cs="仿宋"/>
          <w:color w:val="auto"/>
          <w:sz w:val="30"/>
          <w:szCs w:val="30"/>
        </w:rPr>
        <w:t>负</w:t>
      </w:r>
      <w:r>
        <w:rPr>
          <w:rFonts w:hint="eastAsia" w:ascii="仿宋" w:hAnsi="仿宋" w:eastAsia="仿宋" w:cs="仿宋"/>
          <w:sz w:val="30"/>
          <w:szCs w:val="30"/>
        </w:rPr>
        <w:t>责全县农产品质量安全监督管理。组织开展农产品质量安全监测、追溯、风险评估。</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13</w:t>
      </w:r>
      <w:r>
        <w:rPr>
          <w:rFonts w:hint="eastAsia" w:ascii="仿宋" w:hAnsi="仿宋" w:eastAsia="仿宋" w:cs="仿宋"/>
          <w:sz w:val="30"/>
          <w:szCs w:val="30"/>
          <w:lang w:eastAsia="zh-CN"/>
        </w:rPr>
        <w:t>）</w:t>
      </w:r>
      <w:r>
        <w:rPr>
          <w:rFonts w:hint="eastAsia" w:ascii="仿宋" w:hAnsi="仿宋" w:eastAsia="仿宋" w:cs="仿宋"/>
          <w:sz w:val="30"/>
          <w:szCs w:val="30"/>
        </w:rPr>
        <w:t>组织开展全县农业资源区划和资源保护工作。指导农用地、渔业水域以及农业生物物种资源的保护与管理，负责水生野生动植物保护、耕地及永久基本农田质量保护工作。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14</w:t>
      </w:r>
      <w:r>
        <w:rPr>
          <w:rFonts w:hint="eastAsia" w:ascii="仿宋" w:hAnsi="仿宋" w:eastAsia="仿宋" w:cs="仿宋"/>
          <w:sz w:val="30"/>
          <w:szCs w:val="30"/>
          <w:lang w:eastAsia="zh-CN"/>
        </w:rPr>
        <w:t>）</w:t>
      </w:r>
      <w:r>
        <w:rPr>
          <w:rFonts w:hint="eastAsia" w:ascii="仿宋" w:hAnsi="仿宋" w:eastAsia="仿宋" w:cs="仿宋"/>
          <w:sz w:val="30"/>
          <w:szCs w:val="30"/>
        </w:rPr>
        <w:t>负责全县农业生产资料和农业投入品的监督管理组织农业生产资料市场体系建设，承担农作物种子</w:t>
      </w:r>
      <w:r>
        <w:rPr>
          <w:rFonts w:hint="eastAsia" w:ascii="仿宋" w:hAnsi="仿宋" w:eastAsia="仿宋" w:cs="仿宋"/>
          <w:sz w:val="30"/>
          <w:szCs w:val="30"/>
          <w:lang w:eastAsia="zh-CN"/>
        </w:rPr>
        <w:t>（</w:t>
      </w:r>
      <w:r>
        <w:rPr>
          <w:rFonts w:hint="eastAsia" w:ascii="仿宋" w:hAnsi="仿宋" w:eastAsia="仿宋" w:cs="仿宋"/>
          <w:sz w:val="30"/>
          <w:szCs w:val="30"/>
        </w:rPr>
        <w:t>种苗</w:t>
      </w:r>
      <w:r>
        <w:rPr>
          <w:rFonts w:hint="eastAsia" w:ascii="仿宋" w:hAnsi="仿宋" w:eastAsia="仿宋" w:cs="仿宋"/>
          <w:sz w:val="30"/>
          <w:szCs w:val="30"/>
          <w:lang w:eastAsia="zh-CN"/>
        </w:rPr>
        <w:t>）</w:t>
      </w:r>
      <w:r>
        <w:rPr>
          <w:rFonts w:hint="eastAsia" w:ascii="仿宋" w:hAnsi="仿宋" w:eastAsia="仿宋" w:cs="仿宋"/>
          <w:sz w:val="30"/>
          <w:szCs w:val="30"/>
        </w:rPr>
        <w:t>、食用菌种、饲草良种、种畜禽、水产苗种、农药、兽药</w:t>
      </w:r>
      <w:r>
        <w:rPr>
          <w:rFonts w:hint="eastAsia" w:ascii="仿宋" w:hAnsi="仿宋" w:eastAsia="仿宋" w:cs="仿宋"/>
          <w:sz w:val="30"/>
          <w:szCs w:val="30"/>
          <w:lang w:eastAsia="zh-CN"/>
        </w:rPr>
        <w:t>（</w:t>
      </w:r>
      <w:r>
        <w:rPr>
          <w:rFonts w:hint="eastAsia" w:ascii="仿宋" w:hAnsi="仿宋" w:eastAsia="仿宋" w:cs="仿宋"/>
          <w:sz w:val="30"/>
          <w:szCs w:val="30"/>
        </w:rPr>
        <w:t>渔药</w:t>
      </w:r>
      <w:r>
        <w:rPr>
          <w:rFonts w:hint="eastAsia" w:ascii="仿宋" w:hAnsi="仿宋" w:eastAsia="仿宋" w:cs="仿宋"/>
          <w:sz w:val="30"/>
          <w:szCs w:val="30"/>
          <w:lang w:eastAsia="zh-CN"/>
        </w:rPr>
        <w:t>）</w:t>
      </w:r>
      <w:r>
        <w:rPr>
          <w:rFonts w:hint="eastAsia" w:ascii="仿宋" w:hAnsi="仿宋" w:eastAsia="仿宋" w:cs="仿宋"/>
          <w:sz w:val="30"/>
          <w:szCs w:val="30"/>
        </w:rPr>
        <w:t>饲料、饲料添加剂等农业生产资料的监督管理，牵头负责“瘦肉精”监督管理工作。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color w:val="auto"/>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15</w:t>
      </w:r>
      <w:r>
        <w:rPr>
          <w:rFonts w:hint="eastAsia" w:ascii="仿宋" w:hAnsi="仿宋" w:eastAsia="仿宋" w:cs="仿宋"/>
          <w:sz w:val="30"/>
          <w:szCs w:val="30"/>
          <w:lang w:eastAsia="zh-CN"/>
        </w:rPr>
        <w:t>）</w:t>
      </w:r>
      <w:r>
        <w:rPr>
          <w:rFonts w:hint="eastAsia" w:ascii="仿宋" w:hAnsi="仿宋" w:eastAsia="仿宋" w:cs="仿宋"/>
          <w:color w:val="auto"/>
          <w:sz w:val="30"/>
          <w:szCs w:val="30"/>
        </w:rPr>
        <w:t>负责全县农业防灾减灾、农作物重大病虫害防治工作。会同有关部门制定动植物防疫检疫政策并指导实施。</w:t>
      </w:r>
    </w:p>
    <w:p>
      <w:pPr>
        <w:keepNext w:val="0"/>
        <w:keepLines w:val="0"/>
        <w:pageBreakBefore w:val="0"/>
        <w:widowControl w:val="0"/>
        <w:kinsoku/>
        <w:wordWrap/>
        <w:overflowPunct/>
        <w:topLinePunct w:val="0"/>
        <w:autoSpaceDE w:val="0"/>
        <w:autoSpaceDN w:val="0"/>
        <w:bidi w:val="0"/>
        <w:adjustRightInd/>
        <w:snapToGrid/>
        <w:spacing w:line="560" w:lineRule="exact"/>
        <w:ind w:left="596" w:leftChars="284" w:right="0" w:firstLine="0" w:firstLineChars="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16</w:t>
      </w:r>
      <w:r>
        <w:rPr>
          <w:rFonts w:hint="eastAsia" w:ascii="仿宋" w:hAnsi="仿宋" w:eastAsia="仿宋" w:cs="仿宋"/>
          <w:sz w:val="30"/>
          <w:szCs w:val="30"/>
          <w:lang w:eastAsia="zh-CN"/>
        </w:rPr>
        <w:t>）</w:t>
      </w:r>
      <w:r>
        <w:rPr>
          <w:rFonts w:hint="eastAsia" w:ascii="仿宋" w:hAnsi="仿宋" w:eastAsia="仿宋" w:cs="仿宋"/>
          <w:sz w:val="30"/>
          <w:szCs w:val="30"/>
        </w:rPr>
        <w:t>负责全县农田建设管理。组织拟订农田建设发展规划。</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17</w:t>
      </w:r>
      <w:r>
        <w:rPr>
          <w:rFonts w:hint="eastAsia" w:ascii="仿宋" w:hAnsi="仿宋" w:eastAsia="仿宋" w:cs="仿宋"/>
          <w:sz w:val="30"/>
          <w:szCs w:val="30"/>
          <w:lang w:eastAsia="zh-CN"/>
        </w:rPr>
        <w:t>）</w:t>
      </w:r>
      <w:r>
        <w:rPr>
          <w:rFonts w:hint="eastAsia" w:ascii="仿宋" w:hAnsi="仿宋" w:eastAsia="仿宋" w:cs="仿宋"/>
          <w:sz w:val="30"/>
          <w:szCs w:val="30"/>
        </w:rPr>
        <w:t>组织拟订全县农业科研、农技推广的规划、计划和有关政策并组织实施，牵头推动农业科技体制改革和农业科技创新体系建设。指导农业产业技术体系和农技推广体系建设，组织农作物、畜禽、水产养殖等新品种育种攻关和农业先进技术引进试验、转化、示范、推广。负责农业转基因生物安全监督管理和</w:t>
      </w:r>
      <w:r>
        <w:rPr>
          <w:rFonts w:hint="eastAsia" w:ascii="仿宋" w:hAnsi="仿宋" w:eastAsia="仿宋" w:cs="仿宋"/>
          <w:sz w:val="30"/>
          <w:szCs w:val="30"/>
          <w:lang w:eastAsia="zh-CN"/>
        </w:rPr>
        <w:t>农</w:t>
      </w:r>
      <w:r>
        <w:rPr>
          <w:rFonts w:hint="eastAsia" w:ascii="仿宋" w:hAnsi="仿宋" w:eastAsia="仿宋" w:cs="仿宋"/>
          <w:sz w:val="30"/>
          <w:szCs w:val="30"/>
        </w:rPr>
        <w:t>业植物新品种保护。</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18</w:t>
      </w:r>
      <w:r>
        <w:rPr>
          <w:rFonts w:hint="eastAsia" w:ascii="仿宋" w:hAnsi="仿宋" w:eastAsia="仿宋" w:cs="仿宋"/>
          <w:sz w:val="30"/>
          <w:szCs w:val="30"/>
          <w:lang w:eastAsia="zh-CN"/>
        </w:rPr>
        <w:t>）</w:t>
      </w:r>
      <w:r>
        <w:rPr>
          <w:rFonts w:hint="eastAsia" w:ascii="仿宋" w:hAnsi="仿宋" w:eastAsia="仿宋" w:cs="仿宋"/>
          <w:sz w:val="30"/>
          <w:szCs w:val="30"/>
        </w:rPr>
        <w:t>牵头开展全县农业对外合作工作</w:t>
      </w:r>
      <w:r>
        <w:rPr>
          <w:rFonts w:hint="eastAsia" w:ascii="仿宋" w:hAnsi="仿宋" w:eastAsia="仿宋" w:cs="仿宋"/>
          <w:sz w:val="30"/>
          <w:szCs w:val="30"/>
          <w:lang w:eastAsia="zh-CN"/>
        </w:rPr>
        <w:t>，</w:t>
      </w:r>
      <w:r>
        <w:rPr>
          <w:rFonts w:hint="eastAsia" w:ascii="仿宋" w:hAnsi="仿宋" w:eastAsia="仿宋" w:cs="仿宋"/>
          <w:sz w:val="30"/>
          <w:szCs w:val="30"/>
        </w:rPr>
        <w:t>承办县政府农业涉外事务，参与拟订农业对外开放政策和外向型农业发展规划，指导外向型农业发展。</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19</w:t>
      </w:r>
      <w:r>
        <w:rPr>
          <w:rFonts w:hint="eastAsia" w:ascii="仿宋" w:hAnsi="仿宋" w:eastAsia="仿宋" w:cs="仿宋"/>
          <w:sz w:val="30"/>
          <w:szCs w:val="30"/>
          <w:lang w:eastAsia="zh-CN"/>
        </w:rPr>
        <w:t>）</w:t>
      </w:r>
      <w:r>
        <w:rPr>
          <w:rFonts w:hint="eastAsia" w:ascii="仿宋" w:hAnsi="仿宋" w:eastAsia="仿宋" w:cs="仿宋"/>
          <w:sz w:val="30"/>
          <w:szCs w:val="30"/>
        </w:rPr>
        <w:t>制定科技人才队伍、农业农村人才队伍建设规划。</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20</w:t>
      </w:r>
      <w:r>
        <w:rPr>
          <w:rFonts w:hint="eastAsia" w:ascii="仿宋" w:hAnsi="仿宋" w:eastAsia="仿宋" w:cs="仿宋"/>
          <w:sz w:val="30"/>
          <w:szCs w:val="30"/>
          <w:lang w:eastAsia="zh-CN"/>
        </w:rPr>
        <w:t>）</w:t>
      </w:r>
      <w:r>
        <w:rPr>
          <w:rFonts w:hint="eastAsia" w:ascii="仿宋" w:hAnsi="仿宋" w:eastAsia="仿宋" w:cs="仿宋"/>
          <w:sz w:val="30"/>
          <w:szCs w:val="30"/>
        </w:rPr>
        <w:t>统筹协调和监督指导全县农业综合执法</w:t>
      </w:r>
      <w:r>
        <w:rPr>
          <w:rFonts w:hint="eastAsia" w:ascii="仿宋" w:hAnsi="仿宋" w:eastAsia="仿宋" w:cs="仿宋"/>
          <w:sz w:val="30"/>
          <w:szCs w:val="30"/>
          <w:lang w:eastAsia="zh-CN"/>
        </w:rPr>
        <w:t>，</w:t>
      </w:r>
      <w:r>
        <w:rPr>
          <w:rFonts w:hint="eastAsia" w:ascii="仿宋" w:hAnsi="仿宋" w:eastAsia="仿宋" w:cs="仿宋"/>
          <w:sz w:val="30"/>
          <w:szCs w:val="30"/>
        </w:rPr>
        <w:t>负责监督指导重大案件查处</w:t>
      </w:r>
      <w:r>
        <w:rPr>
          <w:rFonts w:hint="eastAsia" w:ascii="仿宋" w:hAnsi="仿宋" w:eastAsia="仿宋" w:cs="仿宋"/>
          <w:sz w:val="30"/>
          <w:szCs w:val="30"/>
          <w:lang w:eastAsia="zh-CN"/>
        </w:rPr>
        <w:t>和</w:t>
      </w:r>
      <w:r>
        <w:rPr>
          <w:rFonts w:hint="eastAsia" w:ascii="仿宋" w:hAnsi="仿宋" w:eastAsia="仿宋" w:cs="仿宋"/>
          <w:sz w:val="30"/>
          <w:szCs w:val="30"/>
        </w:rPr>
        <w:t>县本级办理的涉农违法案件</w:t>
      </w:r>
      <w:r>
        <w:rPr>
          <w:rFonts w:hint="eastAsia" w:ascii="仿宋" w:hAnsi="仿宋" w:eastAsia="仿宋" w:cs="仿宋"/>
          <w:sz w:val="30"/>
          <w:szCs w:val="30"/>
          <w:lang w:eastAsia="zh-CN"/>
        </w:rPr>
        <w:t>，</w:t>
      </w:r>
      <w:r>
        <w:rPr>
          <w:rFonts w:hint="eastAsia" w:ascii="仿宋" w:hAnsi="仿宋" w:eastAsia="仿宋" w:cs="仿宋"/>
          <w:sz w:val="30"/>
          <w:szCs w:val="30"/>
        </w:rPr>
        <w:t>推进农业依法行政。</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w:t>
      </w:r>
      <w:r>
        <w:rPr>
          <w:rFonts w:hint="eastAsia" w:ascii="仿宋" w:hAnsi="仿宋" w:eastAsia="仿宋" w:cs="仿宋"/>
          <w:sz w:val="30"/>
          <w:szCs w:val="30"/>
        </w:rPr>
        <w:t>负责全县农业投资项目、农业综合项目管理。提出农业投融资体制机制改革建议。</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w:t>
      </w:r>
      <w:r>
        <w:rPr>
          <w:rFonts w:hint="eastAsia" w:ascii="仿宋" w:hAnsi="仿宋" w:eastAsia="仿宋" w:cs="仿宋"/>
          <w:sz w:val="30"/>
          <w:szCs w:val="30"/>
        </w:rPr>
        <w:t>负责职责范围内的安全生产和职业健康、生态环境保护、公共机构节能减排、审批服务便民化等工作。</w:t>
      </w:r>
    </w:p>
    <w:p>
      <w:pPr>
        <w:keepNext w:val="0"/>
        <w:keepLines w:val="0"/>
        <w:pageBreakBefore w:val="0"/>
        <w:widowControl w:val="0"/>
        <w:kinsoku/>
        <w:wordWrap/>
        <w:overflowPunct/>
        <w:topLinePunct w:val="0"/>
        <w:autoSpaceDE w:val="0"/>
        <w:autoSpaceDN w:val="0"/>
        <w:bidi w:val="0"/>
        <w:adjustRightInd/>
        <w:snapToGrid/>
        <w:spacing w:line="560" w:lineRule="exact"/>
        <w:ind w:right="0" w:firstLine="600" w:firstLineChars="200"/>
        <w:jc w:val="both"/>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w:t>
      </w:r>
      <w:r>
        <w:rPr>
          <w:rFonts w:hint="eastAsia" w:ascii="仿宋" w:hAnsi="仿宋" w:eastAsia="仿宋" w:cs="仿宋"/>
          <w:sz w:val="30"/>
          <w:szCs w:val="30"/>
        </w:rPr>
        <w:t>完成县委和县政府交办的其他任务。</w:t>
      </w:r>
    </w:p>
    <w:p>
      <w:pPr>
        <w:rPr>
          <w:rFonts w:hint="eastAsia"/>
          <w:lang w:eastAsia="zh-CN"/>
        </w:rPr>
      </w:pPr>
    </w:p>
    <w:p>
      <w:pPr>
        <w:pStyle w:val="4"/>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Bdr>
          <w:bottom w:val="single" w:color="FFFFFF" w:sz="4" w:space="31"/>
        </w:pBdr>
        <w:tabs>
          <w:tab w:val="left" w:pos="1440"/>
        </w:tabs>
        <w:spacing w:line="560" w:lineRule="exact"/>
        <w:ind w:firstLine="600" w:firstLineChars="200"/>
        <w:jc w:val="both"/>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阿坝州壤塘县农村合作经营管理站独立编制机构1个，当年无变动。</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hint="eastAsia" w:ascii="仿宋" w:hAnsi="仿宋" w:eastAsia="仿宋" w:cs="仿宋"/>
          <w:sz w:val="30"/>
          <w:szCs w:val="30"/>
          <w:lang w:val="en-US" w:eastAsia="zh-CN"/>
        </w:rPr>
        <w:t>阿坝州壤塘县农村合作经营管理站事业人员34人，当年增加0人，减少6人。变动原因：人员调动，调离我县。</w:t>
      </w:r>
    </w:p>
    <w:p>
      <w:pPr>
        <w:pBdr>
          <w:bottom w:val="single" w:color="FFFFFF" w:sz="4" w:space="31"/>
        </w:pBdr>
        <w:tabs>
          <w:tab w:val="left" w:pos="1440"/>
        </w:tabs>
        <w:spacing w:line="560" w:lineRule="exact"/>
        <w:ind w:firstLine="640" w:firstLineChars="200"/>
        <w:jc w:val="both"/>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630" w:firstLineChars="300"/>
        <w:textAlignment w:val="auto"/>
        <w:rPr>
          <w:rFonts w:hint="eastAsia" w:ascii="仿宋" w:hAnsi="仿宋" w:eastAsia="仿宋" w:cs="仿宋"/>
          <w:color w:val="000000"/>
          <w:sz w:val="30"/>
          <w:szCs w:val="30"/>
          <w:lang w:val="en-US" w:eastAsia="zh-CN"/>
        </w:rPr>
      </w:pPr>
      <w:r>
        <w:drawing>
          <wp:anchor distT="0" distB="0" distL="114300" distR="114300" simplePos="0" relativeHeight="251659264" behindDoc="0" locked="0" layoutInCell="1" allowOverlap="1">
            <wp:simplePos x="0" y="0"/>
            <wp:positionH relativeFrom="column">
              <wp:posOffset>351155</wp:posOffset>
            </wp:positionH>
            <wp:positionV relativeFrom="paragraph">
              <wp:posOffset>2135505</wp:posOffset>
            </wp:positionV>
            <wp:extent cx="4572000" cy="2743200"/>
            <wp:effectExtent l="4445" t="4445" r="1460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1804.34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403.44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18.27</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w:t>
      </w:r>
      <w:r>
        <w:rPr>
          <w:rFonts w:hint="eastAsia" w:ascii="仿宋" w:hAnsi="仿宋" w:eastAsia="仿宋" w:cs="仿宋"/>
          <w:color w:val="000000"/>
          <w:sz w:val="30"/>
          <w:szCs w:val="30"/>
          <w:lang w:val="en-US" w:eastAsia="zh-CN"/>
        </w:rPr>
        <w:t>畜牧中心单独，人员调离较多，财政拨款收入减少。</w:t>
      </w: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
        <w:rPr>
          <w:rFonts w:hint="eastAsia" w:ascii="仿宋" w:hAnsi="仿宋" w:eastAsia="仿宋" w:cs="仿宋"/>
          <w:color w:val="000000"/>
          <w:sz w:val="30"/>
          <w:szCs w:val="30"/>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1804.34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1804.34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54610</wp:posOffset>
            </wp:positionH>
            <wp:positionV relativeFrom="paragraph">
              <wp:posOffset>294005</wp:posOffset>
            </wp:positionV>
            <wp:extent cx="4572000" cy="2743200"/>
            <wp:effectExtent l="4445" t="4445" r="14605"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1804.34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1804.34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393065</wp:posOffset>
            </wp:positionH>
            <wp:positionV relativeFrom="paragraph">
              <wp:posOffset>179070</wp:posOffset>
            </wp:positionV>
            <wp:extent cx="4572000" cy="1946910"/>
            <wp:effectExtent l="4445" t="4445" r="14605" b="10795"/>
            <wp:wrapSquare wrapText="bothSides"/>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630" w:firstLineChars="300"/>
        <w:textAlignment w:val="auto"/>
        <w:rPr>
          <w:rFonts w:hint="eastAsia" w:ascii="仿宋" w:hAnsi="仿宋" w:eastAsia="仿宋" w:cs="仿宋"/>
          <w:color w:val="000000"/>
          <w:sz w:val="30"/>
          <w:szCs w:val="30"/>
          <w:lang w:val="en-US" w:eastAsia="zh-CN"/>
        </w:rPr>
      </w:pPr>
      <w:r>
        <w:drawing>
          <wp:anchor distT="0" distB="0" distL="114300" distR="114300" simplePos="0" relativeHeight="251662336" behindDoc="0" locked="0" layoutInCell="1" allowOverlap="1">
            <wp:simplePos x="0" y="0"/>
            <wp:positionH relativeFrom="column">
              <wp:posOffset>350520</wp:posOffset>
            </wp:positionH>
            <wp:positionV relativeFrom="paragraph">
              <wp:posOffset>1889125</wp:posOffset>
            </wp:positionV>
            <wp:extent cx="4935220" cy="2691765"/>
            <wp:effectExtent l="4445" t="4445" r="13335" b="8890"/>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1804.34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年度相比，财政拨款收入、支出总计减少</w:t>
      </w:r>
      <w:r>
        <w:rPr>
          <w:rFonts w:hint="eastAsia" w:eastAsia="仿宋_GB2312" w:cs="仿宋_GB2312"/>
          <w:color w:val="auto"/>
          <w:kern w:val="2"/>
          <w:sz w:val="32"/>
          <w:szCs w:val="32"/>
          <w:highlight w:val="none"/>
          <w:lang w:val="en-US" w:eastAsia="zh-CN" w:bidi="ar-SA"/>
        </w:rPr>
        <w:t>403.44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18.27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s="仿宋"/>
          <w:color w:val="000000"/>
          <w:sz w:val="30"/>
          <w:szCs w:val="30"/>
          <w:lang w:val="en-US" w:eastAsia="zh-CN"/>
        </w:rPr>
        <w:t>畜牧中心单独，人员调离较多，财政拨款收入减少。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60" w:lineRule="exact"/>
        <w:ind w:firstLine="960" w:firstLineChars="300"/>
        <w:textAlignment w:val="auto"/>
        <w:rPr>
          <w:rFonts w:hint="eastAsia" w:ascii="仿宋" w:hAnsi="仿宋" w:eastAsia="仿宋" w:cs="仿宋"/>
          <w:color w:val="000000"/>
          <w:sz w:val="30"/>
          <w:szCs w:val="30"/>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1804.34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403.44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18.27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s="仿宋"/>
          <w:color w:val="000000"/>
          <w:sz w:val="30"/>
          <w:szCs w:val="30"/>
          <w:lang w:val="en-US" w:eastAsia="zh-CN"/>
        </w:rPr>
        <w:t>畜牧中心单独，人员调离较多，财政拨款收入减少。</w:t>
      </w:r>
    </w:p>
    <w:p>
      <w:pPr>
        <w:pStyle w:val="2"/>
        <w:rPr>
          <w:rFonts w:hint="eastAsia"/>
          <w:lang w:val="en-US" w:eastAsia="zh-CN"/>
        </w:rPr>
      </w:pPr>
      <w:r>
        <w:drawing>
          <wp:inline distT="0" distB="0" distL="114300" distR="114300">
            <wp:extent cx="5271135" cy="2752090"/>
            <wp:effectExtent l="4445" t="4445" r="20320" b="5715"/>
            <wp:docPr id="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1804.34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265.92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14.74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w:t>
      </w:r>
      <w:r>
        <w:rPr>
          <w:rFonts w:hint="eastAsia" w:ascii="Times New Roman" w:hAnsi="Times New Roman" w:eastAsia="仿宋_GB2312" w:cs="仿宋_GB2312"/>
          <w:color w:val="auto"/>
          <w:kern w:val="2"/>
          <w:sz w:val="32"/>
          <w:szCs w:val="32"/>
          <w:highlight w:val="none"/>
          <w:lang w:val="en-US" w:eastAsia="zh-CN" w:bidi="ar-SA"/>
        </w:rPr>
        <w:t>支出1301.72万元，占72.14%</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323850</wp:posOffset>
            </wp:positionH>
            <wp:positionV relativeFrom="paragraph">
              <wp:posOffset>285115</wp:posOffset>
            </wp:positionV>
            <wp:extent cx="4572000" cy="1686560"/>
            <wp:effectExtent l="4445" t="4445" r="14605" b="23495"/>
            <wp:wrapSquare wrapText="bothSides"/>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8460"/>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1804.34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177.14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88.79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.卫生健康（类）行政事业单位医疗（款）其他行政事业单位医疗支出（项）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18.6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w:t>
      </w:r>
      <w:r>
        <w:rPr>
          <w:rFonts w:hint="eastAsia" w:ascii="Times New Roman" w:hAnsi="Times New Roman" w:eastAsia="仿宋_GB2312" w:cs="仿宋_GB2312"/>
          <w:color w:val="auto"/>
          <w:kern w:val="2"/>
          <w:sz w:val="32"/>
          <w:szCs w:val="32"/>
          <w:highlight w:val="none"/>
          <w:lang w:val="en-US" w:eastAsia="zh-CN" w:bidi="ar-SA"/>
        </w:rPr>
        <w:t>（类）农业农村（款）事业运行（项）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1301.72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（类）住房改革支出（款）住房公积金（项）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预算准确。</w:t>
      </w: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1804.34</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1725.41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78.93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不变。</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ind w:firstLine="1280" w:firstLineChars="400"/>
        <w:rPr>
          <w:rFonts w:hint="default"/>
          <w:lang w:val="en-US" w:eastAsia="zh-CN"/>
        </w:rPr>
      </w:pPr>
      <w:r>
        <w:rPr>
          <w:rFonts w:hint="eastAsia" w:ascii="Times New Roman" w:cs="仿宋_GB2312"/>
          <w:color w:val="auto"/>
          <w:kern w:val="2"/>
          <w:sz w:val="32"/>
          <w:szCs w:val="32"/>
          <w:highlight w:val="none"/>
          <w:lang w:val="en-US" w:eastAsia="zh-CN" w:bidi="ar-SA"/>
        </w:rPr>
        <w:t>壤塘县农村合作经营管理站未支付“三公”经费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上年度持平。</w:t>
      </w:r>
    </w:p>
    <w:p>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bookmarkStart w:id="34" w:name="_Toc15396610"/>
      <w:bookmarkStart w:id="35"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壤塘县农村合作经营管理站</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78.93</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13.48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畜牧中心独立做账。</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壤塘县农村合作经营管理站</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壤塘县农村合作经营管理站</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8"/>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sz w:val="32"/>
          <w:szCs w:val="32"/>
          <w:highlight w:val="none"/>
          <w:lang w:val="en-US" w:eastAsia="zh-CN"/>
        </w:rPr>
      </w:pPr>
      <w:r>
        <w:rPr>
          <w:rFonts w:hint="eastAsia" w:ascii="Times New Roman" w:cs="Times New Roman"/>
          <w:sz w:val="32"/>
          <w:szCs w:val="32"/>
          <w:highlight w:val="none"/>
          <w:lang w:val="en-US" w:eastAsia="zh-CN"/>
        </w:rPr>
        <w:t>壤塘县农村合作经营管理站无项目实施，仅涉及日常公用经费及人员经费。</w:t>
      </w:r>
    </w:p>
    <w:p>
      <w:pPr>
        <w:pStyle w:val="2"/>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cs="Times New Roman"/>
          <w:sz w:val="32"/>
          <w:szCs w:val="32"/>
          <w:highlight w:val="none"/>
          <w:lang w:val="en-US" w:eastAsia="zh-CN"/>
        </w:rPr>
      </w:pPr>
      <w:bookmarkStart w:id="47" w:name="_Toc15396618"/>
      <w:r>
        <w:rPr>
          <w:rFonts w:hint="eastAsia" w:ascii="Times New Roman" w:cs="Times New Roman"/>
          <w:sz w:val="32"/>
          <w:szCs w:val="32"/>
          <w:highlight w:val="none"/>
          <w:lang w:val="en-US" w:eastAsia="zh-CN"/>
        </w:rPr>
        <w:t>壤塘县农村合作经营管理站无项目实施，仅涉及日常公用经费及人员经费。</w:t>
      </w: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84885"/>
    <w:multiLevelType w:val="singleLevel"/>
    <w:tmpl w:val="95684885"/>
    <w:lvl w:ilvl="0" w:tentative="0">
      <w:start w:val="1"/>
      <w:numFmt w:val="decimal"/>
      <w:suff w:val="nothing"/>
      <w:lvlText w:val="（%1）"/>
      <w:lvlJc w:val="left"/>
    </w:lvl>
  </w:abstractNum>
  <w:abstractNum w:abstractNumId="1">
    <w:nsid w:val="E3539B27"/>
    <w:multiLevelType w:val="singleLevel"/>
    <w:tmpl w:val="E3539B2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0MzJlOWZjNWNlZDZjYzU0NWIxOTE2MWQ2MzdmMz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B696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E0479B"/>
    <w:rsid w:val="02FEBE30"/>
    <w:rsid w:val="061E35DE"/>
    <w:rsid w:val="066E0107"/>
    <w:rsid w:val="06ED4932"/>
    <w:rsid w:val="07996F6E"/>
    <w:rsid w:val="07DFD8BA"/>
    <w:rsid w:val="08DB07E4"/>
    <w:rsid w:val="09867E8F"/>
    <w:rsid w:val="0A2032A3"/>
    <w:rsid w:val="0C4267D9"/>
    <w:rsid w:val="0C6C4794"/>
    <w:rsid w:val="0CA8290A"/>
    <w:rsid w:val="0D35B1ED"/>
    <w:rsid w:val="0DCC47A2"/>
    <w:rsid w:val="0DE07E2B"/>
    <w:rsid w:val="0F98263C"/>
    <w:rsid w:val="101860EC"/>
    <w:rsid w:val="10C055FF"/>
    <w:rsid w:val="11772AA4"/>
    <w:rsid w:val="118107EC"/>
    <w:rsid w:val="11CF39D0"/>
    <w:rsid w:val="12070D49"/>
    <w:rsid w:val="12962EDC"/>
    <w:rsid w:val="13D50BC4"/>
    <w:rsid w:val="14022904"/>
    <w:rsid w:val="14A208F2"/>
    <w:rsid w:val="152F2A07"/>
    <w:rsid w:val="165E0673"/>
    <w:rsid w:val="1660495A"/>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7FF7D4E"/>
    <w:rsid w:val="281408E2"/>
    <w:rsid w:val="29FD04D3"/>
    <w:rsid w:val="2BFF7BC6"/>
    <w:rsid w:val="2C8A61B5"/>
    <w:rsid w:val="2D2E01CF"/>
    <w:rsid w:val="2D8D274C"/>
    <w:rsid w:val="2DF04E50"/>
    <w:rsid w:val="2DFE7BC8"/>
    <w:rsid w:val="2E041DC5"/>
    <w:rsid w:val="2E9545B0"/>
    <w:rsid w:val="2F040D46"/>
    <w:rsid w:val="2FAE5751"/>
    <w:rsid w:val="2FB1A395"/>
    <w:rsid w:val="2FD9A7D8"/>
    <w:rsid w:val="319F7F4E"/>
    <w:rsid w:val="321B2544"/>
    <w:rsid w:val="3304709D"/>
    <w:rsid w:val="34281836"/>
    <w:rsid w:val="349D6851"/>
    <w:rsid w:val="34CB7A56"/>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C126D6"/>
    <w:rsid w:val="3DEE7CF3"/>
    <w:rsid w:val="3DF02244"/>
    <w:rsid w:val="3DF97B88"/>
    <w:rsid w:val="3E78745D"/>
    <w:rsid w:val="3FF4CAE0"/>
    <w:rsid w:val="3FF7B227"/>
    <w:rsid w:val="40E54C45"/>
    <w:rsid w:val="43203777"/>
    <w:rsid w:val="43A407DF"/>
    <w:rsid w:val="44515BEA"/>
    <w:rsid w:val="44E268DA"/>
    <w:rsid w:val="453F7E5B"/>
    <w:rsid w:val="486A6C7A"/>
    <w:rsid w:val="49176D9B"/>
    <w:rsid w:val="4A627F82"/>
    <w:rsid w:val="4A677CF0"/>
    <w:rsid w:val="4B0E749A"/>
    <w:rsid w:val="4B4F25DA"/>
    <w:rsid w:val="4BDA0CFB"/>
    <w:rsid w:val="4BE068DB"/>
    <w:rsid w:val="4D3C0CCC"/>
    <w:rsid w:val="4D577224"/>
    <w:rsid w:val="4DBF1CEB"/>
    <w:rsid w:val="4E027201"/>
    <w:rsid w:val="4E434405"/>
    <w:rsid w:val="4E4A0171"/>
    <w:rsid w:val="4EAB630A"/>
    <w:rsid w:val="4ECE2238"/>
    <w:rsid w:val="4F833267"/>
    <w:rsid w:val="4FE9BD67"/>
    <w:rsid w:val="4FFB052F"/>
    <w:rsid w:val="5151498B"/>
    <w:rsid w:val="53083A92"/>
    <w:rsid w:val="537E6D0A"/>
    <w:rsid w:val="53AE2320"/>
    <w:rsid w:val="53AF27A2"/>
    <w:rsid w:val="53F74C96"/>
    <w:rsid w:val="54EC429D"/>
    <w:rsid w:val="56E47B74"/>
    <w:rsid w:val="57BD3DD4"/>
    <w:rsid w:val="5814512D"/>
    <w:rsid w:val="59B76E2F"/>
    <w:rsid w:val="5A1F5038"/>
    <w:rsid w:val="5AF92295"/>
    <w:rsid w:val="5B3668F2"/>
    <w:rsid w:val="5BDD79E6"/>
    <w:rsid w:val="5BF561CA"/>
    <w:rsid w:val="5BFF5DFC"/>
    <w:rsid w:val="5CD71FC4"/>
    <w:rsid w:val="5D1F11B5"/>
    <w:rsid w:val="5DAE1B18"/>
    <w:rsid w:val="5DE7D9E5"/>
    <w:rsid w:val="5ECEC941"/>
    <w:rsid w:val="5F493CB7"/>
    <w:rsid w:val="5FBF9FF3"/>
    <w:rsid w:val="5FCD4E2C"/>
    <w:rsid w:val="5FD15F49"/>
    <w:rsid w:val="5FEF394A"/>
    <w:rsid w:val="5FF67715"/>
    <w:rsid w:val="5FFD7A56"/>
    <w:rsid w:val="62BF3928"/>
    <w:rsid w:val="647F5392"/>
    <w:rsid w:val="664B1D71"/>
    <w:rsid w:val="67AA3209"/>
    <w:rsid w:val="681C4F0D"/>
    <w:rsid w:val="69046D0F"/>
    <w:rsid w:val="690F6F65"/>
    <w:rsid w:val="698D0931"/>
    <w:rsid w:val="6A993CED"/>
    <w:rsid w:val="6B053271"/>
    <w:rsid w:val="6BCE6674"/>
    <w:rsid w:val="6C4A05C8"/>
    <w:rsid w:val="6C8742B8"/>
    <w:rsid w:val="6C8A170F"/>
    <w:rsid w:val="6CB54609"/>
    <w:rsid w:val="6DAF7977"/>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B86135"/>
    <w:rsid w:val="712A28F1"/>
    <w:rsid w:val="715C0E4B"/>
    <w:rsid w:val="71DC351E"/>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6A1282"/>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nyj\Desktop\&#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nyj\Desktop\&#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nyj\Desktop\&#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nyj\Desktop\&#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nyj\Desktop\&#26032;&#24314;%20XLS%20&#24037;&#20316;&#34920;.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nyj\Desktop\&#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年与</a:t>
            </a:r>
            <a:r>
              <a:rPr lang="en-US" altLang="zh-CN"/>
              <a:t>2024</a:t>
            </a:r>
            <a:r>
              <a:rPr altLang="en-US"/>
              <a:t>年收入、支出对比图（万元）</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2025年收入、支出总计数</c:v>
                </c:pt>
                <c:pt idx="1">
                  <c:v>2024年收入、支出总计数</c:v>
                </c:pt>
              </c:strCache>
            </c:strRef>
          </c:cat>
          <c:val>
            <c:numRef>
              <c:f>'[新建 XLS 工作表.xls]Sheet1'!$H$7:$H$8</c:f>
              <c:numCache>
                <c:formatCode>General</c:formatCode>
                <c:ptCount val="2"/>
                <c:pt idx="0">
                  <c:v>1804.34</c:v>
                </c:pt>
                <c:pt idx="1">
                  <c:v>2207.78</c:v>
                </c:pt>
              </c:numCache>
            </c:numRef>
          </c:val>
        </c:ser>
        <c:dLbls>
          <c:showLegendKey val="0"/>
          <c:showVal val="1"/>
          <c:showCatName val="0"/>
          <c:showSerName val="0"/>
          <c:showPercent val="0"/>
          <c:showBubbleSize val="0"/>
        </c:dLbls>
        <c:gapWidth val="219"/>
        <c:overlap val="-27"/>
        <c:axId val="762844301"/>
        <c:axId val="647443473"/>
      </c:barChart>
      <c:catAx>
        <c:axId val="76284430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7443473"/>
        <c:crosses val="autoZero"/>
        <c:auto val="1"/>
        <c:lblAlgn val="ctr"/>
        <c:lblOffset val="100"/>
        <c:noMultiLvlLbl val="0"/>
      </c:catAx>
      <c:valAx>
        <c:axId val="64744347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284430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本年收入结构图</a:t>
            </a:r>
          </a:p>
        </c:rich>
      </c:tx>
      <c:layout/>
      <c:overlay val="0"/>
      <c:spPr>
        <a:noFill/>
        <a:ln>
          <a:noFill/>
        </a:ln>
        <a:effectLst/>
      </c:spPr>
    </c:title>
    <c:autoTitleDeleted val="0"/>
    <c:plotArea>
      <c:layout/>
      <c:pieChart>
        <c:varyColors val="1"/>
        <c:ser>
          <c:idx val="0"/>
          <c:order val="0"/>
          <c:tx>
            <c:strRef>
              <c:f>'[新建 XLS 工作表.xls]Sheet1'!$G$7</c:f>
              <c:strCache>
                <c:ptCount val="1"/>
                <c:pt idx="0">
                  <c:v>一般公共预算财政拨款收入</c:v>
                </c:pt>
              </c:strCache>
            </c:strRef>
          </c:tx>
          <c:spPr/>
          <c:explosion val="0"/>
          <c:dPt>
            <c:idx val="0"/>
            <c:bubble3D val="0"/>
            <c:spPr>
              <a:solidFill>
                <a:schemeClr val="accent1"/>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一般公共预算财政拨付款收入1804.34</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'[新建 XLS 工作表.xls]Sheet1'!$H$7</c:f>
              <c:numCache>
                <c:formatCode>General</c:formatCode>
                <c:ptCount val="1"/>
                <c:pt idx="0">
                  <c:v>1804.34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本年支出结构图（万元）</a:t>
            </a:r>
            <a:endParaRPr lang="en-US" altLang="zh-CN"/>
          </a:p>
        </c:rich>
      </c:tx>
      <c:layout/>
      <c:overlay val="0"/>
      <c:spPr>
        <a:noFill/>
        <a:ln>
          <a:noFill/>
        </a:ln>
        <a:effectLst/>
      </c:spPr>
    </c:title>
    <c:autoTitleDeleted val="0"/>
    <c:plotArea>
      <c:layout/>
      <c:pieChart>
        <c:varyColors val="1"/>
        <c:ser>
          <c:idx val="0"/>
          <c:order val="0"/>
          <c:tx>
            <c:strRef>
              <c:f>'[新建 XLS 工作表.xls]Sheet1'!$G$7</c:f>
              <c:strCache>
                <c:ptCount val="1"/>
                <c:pt idx="0">
                  <c:v>一般公共预算财政拨款收入</c:v>
                </c:pt>
              </c:strCache>
            </c:strRef>
          </c:tx>
          <c:spPr/>
          <c:explosion val="0"/>
          <c:dPt>
            <c:idx val="0"/>
            <c:bubble3D val="0"/>
            <c:spPr>
              <a:solidFill>
                <a:schemeClr val="accent1"/>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基本支出1804.34</a:t>
                    </a:r>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'[新建 XLS 工作表.xls]Sheet1'!$H$7</c:f>
              <c:numCache>
                <c:formatCode>General</c:formatCode>
                <c:ptCount val="1"/>
                <c:pt idx="0">
                  <c:v>1804.34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年与</a:t>
            </a:r>
            <a:r>
              <a:rPr lang="en-US" altLang="zh-CN"/>
              <a:t>2024</a:t>
            </a:r>
            <a:r>
              <a:rPr altLang="en-US"/>
              <a:t>年财政拨款收入、支出对比图（万元）</a:t>
            </a:r>
            <a:endParaRPr lang="en-US" altLang="zh-CN"/>
          </a:p>
        </c:rich>
      </c:tx>
      <c:layout>
        <c:manualLayout>
          <c:xMode val="edge"/>
          <c:yMode val="edge"/>
          <c:x val="0.121666666666667"/>
          <c:y val="0.030787037037037"/>
        </c:manualLayout>
      </c:layout>
      <c:overlay val="0"/>
      <c:spPr>
        <a:noFill/>
        <a:ln>
          <a:noFill/>
        </a:ln>
        <a:effectLst/>
      </c:spPr>
    </c:title>
    <c:autoTitleDeleted val="0"/>
    <c:plotArea>
      <c:layout>
        <c:manualLayout>
          <c:layoutTarget val="inner"/>
          <c:xMode val="edge"/>
          <c:yMode val="edge"/>
          <c:x val="0.0777222222222222"/>
          <c:y val="0.20162037037037"/>
          <c:w val="0.882"/>
          <c:h val="0.633194444444445"/>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2025年财政拨款收入、支出总计数</c:v>
                </c:pt>
                <c:pt idx="1">
                  <c:v>2024年财政拨款收入、支出总计数</c:v>
                </c:pt>
              </c:strCache>
            </c:strRef>
          </c:cat>
          <c:val>
            <c:numRef>
              <c:f>'[新建 XLS 工作表.xls]Sheet1'!$H$7:$H$8</c:f>
              <c:numCache>
                <c:formatCode>General</c:formatCode>
                <c:ptCount val="2"/>
                <c:pt idx="0">
                  <c:v>1804.34</c:v>
                </c:pt>
                <c:pt idx="1">
                  <c:v>2207.78</c:v>
                </c:pt>
              </c:numCache>
            </c:numRef>
          </c:val>
        </c:ser>
        <c:dLbls>
          <c:showLegendKey val="0"/>
          <c:showVal val="1"/>
          <c:showCatName val="0"/>
          <c:showSerName val="0"/>
          <c:showPercent val="0"/>
          <c:showBubbleSize val="0"/>
        </c:dLbls>
        <c:gapWidth val="219"/>
        <c:overlap val="-27"/>
        <c:axId val="144026962"/>
        <c:axId val="812894678"/>
      </c:barChart>
      <c:catAx>
        <c:axId val="1440269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894678"/>
        <c:crosses val="autoZero"/>
        <c:auto val="1"/>
        <c:lblAlgn val="ctr"/>
        <c:lblOffset val="100"/>
        <c:noMultiLvlLbl val="0"/>
      </c:catAx>
      <c:valAx>
        <c:axId val="81289467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0269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2025</a:t>
            </a:r>
            <a:r>
              <a:rPr altLang="en-US"/>
              <a:t>年与</a:t>
            </a:r>
            <a:r>
              <a:rPr lang="en-US" altLang="zh-CN"/>
              <a:t>2024</a:t>
            </a:r>
            <a:r>
              <a:rPr altLang="en-US"/>
              <a:t>年2025年一般公共预算财政拨款支出决算数对比图（万元）</a:t>
            </a:r>
            <a:endParaRPr lang="en-US" altLang="zh-CN"/>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工作表.xls]Sheet1'!$G$7:$G$8</c:f>
              <c:strCache>
                <c:ptCount val="2"/>
                <c:pt idx="0">
                  <c:v>2025年一般公共预算财政拨款支出决算数</c:v>
                </c:pt>
                <c:pt idx="1">
                  <c:v>2024年一般公共预算财政拨款支出决算数</c:v>
                </c:pt>
              </c:strCache>
            </c:strRef>
          </c:cat>
          <c:val>
            <c:numRef>
              <c:f>'[新建 XLS 工作表.xls]Sheet1'!$H$7:$H$8</c:f>
              <c:numCache>
                <c:formatCode>General</c:formatCode>
                <c:ptCount val="2"/>
                <c:pt idx="0">
                  <c:v>1804.34</c:v>
                </c:pt>
                <c:pt idx="1">
                  <c:v>2207.78</c:v>
                </c:pt>
              </c:numCache>
            </c:numRef>
          </c:val>
        </c:ser>
        <c:dLbls>
          <c:showLegendKey val="0"/>
          <c:showVal val="1"/>
          <c:showCatName val="0"/>
          <c:showSerName val="0"/>
          <c:showPercent val="0"/>
          <c:showBubbleSize val="0"/>
        </c:dLbls>
        <c:gapWidth val="219"/>
        <c:overlap val="-27"/>
        <c:axId val="144026962"/>
        <c:axId val="812894678"/>
      </c:barChart>
      <c:catAx>
        <c:axId val="1440269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894678"/>
        <c:crosses val="autoZero"/>
        <c:auto val="1"/>
        <c:lblAlgn val="ctr"/>
        <c:lblOffset val="100"/>
        <c:noMultiLvlLbl val="0"/>
      </c:catAx>
      <c:valAx>
        <c:axId val="81289467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02696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一般公共预算财政拨款支出决算结构图（万元）</a:t>
            </a:r>
            <a:endParaRPr lang="en-US" altLang="zh-CN"/>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工作表.xls]Sheet1'!$G$7:$G$10</c:f>
              <c:strCache>
                <c:ptCount val="4"/>
                <c:pt idx="0">
                  <c:v>社会保障和就业支出</c:v>
                </c:pt>
                <c:pt idx="1">
                  <c:v>卫生健康支出</c:v>
                </c:pt>
                <c:pt idx="2">
                  <c:v>住房保障支出</c:v>
                </c:pt>
                <c:pt idx="3">
                  <c:v>农林水支出</c:v>
                </c:pt>
              </c:strCache>
            </c:strRef>
          </c:cat>
          <c:val>
            <c:numRef>
              <c:f>'[新建 XLS 工作表.xls]Sheet1'!$H$7:$H$10</c:f>
              <c:numCache>
                <c:formatCode>General</c:formatCode>
                <c:ptCount val="4"/>
                <c:pt idx="0">
                  <c:v>265.92</c:v>
                </c:pt>
                <c:pt idx="1">
                  <c:v>96.1</c:v>
                </c:pt>
                <c:pt idx="2">
                  <c:v>140.6</c:v>
                </c:pt>
                <c:pt idx="3">
                  <c:v>1301.72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5679</Words>
  <Characters>6051</Characters>
  <Lines>61</Lines>
  <Paragraphs>17</Paragraphs>
  <TotalTime>6</TotalTime>
  <ScaleCrop>false</ScaleCrop>
  <LinksUpToDate>false</LinksUpToDate>
  <CharactersWithSpaces>6076</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user</cp:lastModifiedBy>
  <cp:lastPrinted>2026-08-04T01:27:00Z</cp:lastPrinted>
  <dcterms:modified xsi:type="dcterms:W3CDTF">2026-10-27T15:09:57Z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EE9B52AB7D184CE3B7F5A50415013B18_13</vt:lpwstr>
  </property>
</Properties>
</file>