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24F32">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3120F829"/>
    <w:p w14:paraId="31437384"/>
    <w:p w14:paraId="09439274"/>
    <w:p w14:paraId="78D92E99">
      <w:pPr>
        <w:ind w:firstLine="1050" w:firstLineChars="500"/>
      </w:pPr>
    </w:p>
    <w:p w14:paraId="78C28DC4">
      <w:pPr>
        <w:ind w:firstLine="1050" w:firstLineChars="500"/>
      </w:pPr>
    </w:p>
    <w:p w14:paraId="1FDC4B43">
      <w:pPr>
        <w:ind w:firstLine="1760" w:firstLineChars="400"/>
        <w:rPr>
          <w:rFonts w:ascii="黑体" w:eastAsia="黑体"/>
          <w:sz w:val="44"/>
          <w:szCs w:val="44"/>
        </w:rPr>
      </w:pPr>
    </w:p>
    <w:p w14:paraId="4E2BB78A">
      <w:pPr>
        <w:ind w:firstLine="1760" w:firstLineChars="400"/>
        <w:rPr>
          <w:rFonts w:ascii="黑体" w:eastAsia="黑体"/>
          <w:sz w:val="44"/>
          <w:szCs w:val="44"/>
        </w:rPr>
      </w:pPr>
    </w:p>
    <w:p w14:paraId="5930B52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壤塘县科学技术和农业畜牧局</w:t>
      </w:r>
    </w:p>
    <w:p w14:paraId="66C60C1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2026</w:t>
      </w:r>
      <w:r>
        <w:rPr>
          <w:rFonts w:hint="eastAsia" w:ascii="方正小标宋_GBK" w:hAnsi="方正小标宋_GBK" w:eastAsia="方正小标宋_GBK" w:cs="方正小标宋_GBK"/>
          <w:sz w:val="44"/>
          <w:szCs w:val="44"/>
        </w:rPr>
        <w:t>年部门预算</w:t>
      </w:r>
    </w:p>
    <w:p w14:paraId="3E726A8F">
      <w:pPr>
        <w:ind w:firstLine="1760" w:firstLineChars="400"/>
        <w:rPr>
          <w:rFonts w:ascii="黑体" w:eastAsia="黑体"/>
          <w:sz w:val="44"/>
          <w:szCs w:val="44"/>
        </w:rPr>
      </w:pPr>
    </w:p>
    <w:p w14:paraId="40552C6D">
      <w:pPr>
        <w:ind w:firstLine="1760" w:firstLineChars="400"/>
        <w:rPr>
          <w:rFonts w:ascii="黑体" w:eastAsia="黑体"/>
          <w:sz w:val="44"/>
          <w:szCs w:val="44"/>
        </w:rPr>
      </w:pPr>
    </w:p>
    <w:p w14:paraId="3426A6D7">
      <w:pPr>
        <w:ind w:firstLine="1760" w:firstLineChars="400"/>
        <w:rPr>
          <w:rFonts w:ascii="黑体" w:eastAsia="黑体"/>
          <w:sz w:val="44"/>
          <w:szCs w:val="44"/>
        </w:rPr>
      </w:pPr>
    </w:p>
    <w:p w14:paraId="41023C9E">
      <w:pPr>
        <w:ind w:firstLine="1760" w:firstLineChars="400"/>
        <w:rPr>
          <w:rFonts w:ascii="黑体" w:eastAsia="黑体"/>
          <w:sz w:val="44"/>
          <w:szCs w:val="44"/>
        </w:rPr>
      </w:pPr>
    </w:p>
    <w:p w14:paraId="4A74EF7B">
      <w:pPr>
        <w:ind w:firstLine="1760" w:firstLineChars="400"/>
        <w:rPr>
          <w:rFonts w:ascii="黑体" w:eastAsia="黑体"/>
          <w:sz w:val="44"/>
          <w:szCs w:val="44"/>
        </w:rPr>
      </w:pPr>
    </w:p>
    <w:p w14:paraId="579BAB1A">
      <w:pPr>
        <w:ind w:firstLine="1760" w:firstLineChars="400"/>
        <w:rPr>
          <w:rFonts w:ascii="黑体" w:eastAsia="黑体"/>
          <w:sz w:val="44"/>
          <w:szCs w:val="44"/>
        </w:rPr>
      </w:pPr>
    </w:p>
    <w:p w14:paraId="237459F3">
      <w:pPr>
        <w:ind w:firstLine="1760" w:firstLineChars="400"/>
        <w:rPr>
          <w:rFonts w:ascii="黑体" w:eastAsia="黑体"/>
          <w:sz w:val="44"/>
          <w:szCs w:val="44"/>
        </w:rPr>
      </w:pPr>
    </w:p>
    <w:p w14:paraId="6308F6A7">
      <w:pPr>
        <w:ind w:firstLine="1760" w:firstLineChars="400"/>
        <w:rPr>
          <w:rFonts w:ascii="黑体" w:eastAsia="黑体"/>
          <w:sz w:val="44"/>
          <w:szCs w:val="44"/>
        </w:rPr>
      </w:pPr>
    </w:p>
    <w:p w14:paraId="6323F1EB">
      <w:pPr>
        <w:ind w:firstLine="1760" w:firstLineChars="400"/>
        <w:rPr>
          <w:rFonts w:ascii="黑体" w:eastAsia="黑体"/>
          <w:sz w:val="44"/>
          <w:szCs w:val="44"/>
        </w:rPr>
      </w:pPr>
    </w:p>
    <w:p w14:paraId="7A3E4F20">
      <w:pPr>
        <w:ind w:firstLine="1760" w:firstLineChars="400"/>
        <w:rPr>
          <w:rFonts w:ascii="黑体" w:eastAsia="黑体"/>
          <w:sz w:val="44"/>
          <w:szCs w:val="44"/>
        </w:rPr>
      </w:pPr>
    </w:p>
    <w:p w14:paraId="028801AE">
      <w:pPr>
        <w:ind w:firstLine="1760" w:firstLineChars="400"/>
        <w:rPr>
          <w:rFonts w:ascii="黑体" w:eastAsia="黑体"/>
          <w:sz w:val="44"/>
          <w:szCs w:val="44"/>
        </w:rPr>
      </w:pPr>
    </w:p>
    <w:p w14:paraId="5151933B">
      <w:pPr>
        <w:ind w:firstLine="1760" w:firstLineChars="400"/>
        <w:rPr>
          <w:rFonts w:ascii="黑体" w:eastAsia="黑体"/>
          <w:sz w:val="44"/>
          <w:szCs w:val="44"/>
        </w:rPr>
      </w:pPr>
    </w:p>
    <w:p w14:paraId="2684DBEA">
      <w:pPr>
        <w:ind w:firstLine="1760" w:firstLineChars="400"/>
        <w:rPr>
          <w:rFonts w:ascii="黑体" w:eastAsia="黑体"/>
          <w:sz w:val="44"/>
          <w:szCs w:val="44"/>
        </w:rPr>
      </w:pPr>
    </w:p>
    <w:p w14:paraId="398BB3AB">
      <w:pPr>
        <w:ind w:firstLine="1760" w:firstLineChars="400"/>
        <w:rPr>
          <w:rFonts w:ascii="黑体" w:eastAsia="黑体"/>
          <w:sz w:val="44"/>
          <w:szCs w:val="44"/>
        </w:rPr>
      </w:pPr>
    </w:p>
    <w:p w14:paraId="699E7796">
      <w:pPr>
        <w:rPr>
          <w:rFonts w:ascii="黑体" w:eastAsia="黑体"/>
          <w:sz w:val="44"/>
          <w:szCs w:val="44"/>
        </w:rPr>
      </w:pPr>
    </w:p>
    <w:p w14:paraId="5AA33E85">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目录</w:t>
      </w:r>
    </w:p>
    <w:p w14:paraId="2D2C8A09">
      <w:pPr>
        <w:ind w:firstLine="3080" w:firstLineChars="700"/>
        <w:rPr>
          <w:rFonts w:ascii="黑体" w:eastAsia="黑体"/>
          <w:sz w:val="44"/>
          <w:szCs w:val="44"/>
        </w:rPr>
      </w:pPr>
    </w:p>
    <w:p w14:paraId="73DFAC20">
      <w:pPr>
        <w:pStyle w:val="10"/>
        <w:ind w:firstLine="0" w:firstLineChars="0"/>
        <w:rPr>
          <w:rFonts w:ascii="黑体" w:eastAsia="黑体"/>
          <w:sz w:val="32"/>
          <w:szCs w:val="32"/>
        </w:rPr>
      </w:pPr>
      <w:r>
        <w:rPr>
          <w:rFonts w:hint="eastAsia" w:ascii="黑体" w:eastAsia="黑体"/>
          <w:sz w:val="32"/>
          <w:szCs w:val="32"/>
        </w:rPr>
        <w:t>一、基本职能及主要工作</w:t>
      </w:r>
    </w:p>
    <w:p w14:paraId="534033A3">
      <w:pPr>
        <w:rPr>
          <w:rFonts w:ascii="楷体" w:eastAsia="楷体"/>
          <w:sz w:val="32"/>
          <w:szCs w:val="32"/>
        </w:rPr>
      </w:pPr>
      <w:r>
        <w:rPr>
          <w:rFonts w:hint="eastAsia" w:ascii="楷体" w:eastAsia="楷体"/>
          <w:sz w:val="32"/>
          <w:szCs w:val="32"/>
        </w:rPr>
        <w:t>（一）部门职能简介</w:t>
      </w:r>
    </w:p>
    <w:p w14:paraId="68E54A84">
      <w:pPr>
        <w:rPr>
          <w:rFonts w:ascii="楷体" w:eastAsia="楷体"/>
          <w:sz w:val="32"/>
          <w:szCs w:val="32"/>
        </w:rPr>
      </w:pPr>
      <w:r>
        <w:rPr>
          <w:rFonts w:hint="eastAsia" w:ascii="楷体" w:eastAsia="楷体"/>
          <w:sz w:val="32"/>
          <w:szCs w:val="32"/>
        </w:rPr>
        <w:t>（二）</w:t>
      </w:r>
      <w:r>
        <w:rPr>
          <w:rFonts w:hint="eastAsia" w:ascii="楷体" w:eastAsia="楷体"/>
          <w:sz w:val="32"/>
          <w:szCs w:val="32"/>
          <w:lang w:eastAsia="zh-CN"/>
        </w:rPr>
        <w:t>2026</w:t>
      </w:r>
      <w:r>
        <w:rPr>
          <w:rFonts w:hint="eastAsia" w:ascii="楷体" w:eastAsia="楷体"/>
          <w:sz w:val="32"/>
          <w:szCs w:val="32"/>
        </w:rPr>
        <w:t>年重点工作</w:t>
      </w:r>
    </w:p>
    <w:p w14:paraId="3E67EA4E">
      <w:pPr>
        <w:pStyle w:val="10"/>
        <w:ind w:firstLine="0" w:firstLineChars="0"/>
        <w:rPr>
          <w:rFonts w:hint="eastAsia" w:ascii="黑体" w:eastAsia="黑体"/>
          <w:sz w:val="32"/>
          <w:szCs w:val="32"/>
        </w:rPr>
      </w:pPr>
      <w:r>
        <w:rPr>
          <w:rFonts w:hint="eastAsia" w:ascii="黑体" w:eastAsia="黑体"/>
          <w:sz w:val="32"/>
          <w:szCs w:val="32"/>
        </w:rPr>
        <w:t>二、部门预算单位构成</w:t>
      </w:r>
    </w:p>
    <w:p w14:paraId="37524E66">
      <w:pPr>
        <w:pStyle w:val="10"/>
        <w:ind w:firstLine="0" w:firstLineChars="0"/>
        <w:rPr>
          <w:rFonts w:hint="eastAsia" w:ascii="黑体" w:eastAsia="黑体"/>
          <w:sz w:val="32"/>
          <w:szCs w:val="32"/>
        </w:rPr>
      </w:pPr>
      <w:r>
        <w:rPr>
          <w:rFonts w:hint="eastAsia" w:ascii="黑体" w:eastAsia="黑体"/>
          <w:sz w:val="32"/>
          <w:szCs w:val="32"/>
        </w:rPr>
        <w:t>三、收支预算情况说明</w:t>
      </w:r>
    </w:p>
    <w:p w14:paraId="748EFA77">
      <w:pPr>
        <w:rPr>
          <w:rFonts w:ascii="楷体" w:eastAsia="楷体"/>
          <w:sz w:val="32"/>
          <w:szCs w:val="32"/>
        </w:rPr>
      </w:pPr>
      <w:r>
        <w:rPr>
          <w:rFonts w:hint="eastAsia" w:ascii="楷体" w:eastAsia="楷体"/>
          <w:sz w:val="32"/>
          <w:szCs w:val="32"/>
        </w:rPr>
        <w:t>（一）收入预算情况</w:t>
      </w:r>
    </w:p>
    <w:p w14:paraId="37A0B0CD">
      <w:pPr>
        <w:rPr>
          <w:rFonts w:ascii="楷体" w:eastAsia="楷体"/>
          <w:sz w:val="32"/>
          <w:szCs w:val="32"/>
        </w:rPr>
      </w:pPr>
      <w:r>
        <w:rPr>
          <w:rFonts w:hint="eastAsia" w:ascii="楷体" w:eastAsia="楷体"/>
          <w:sz w:val="32"/>
          <w:szCs w:val="32"/>
        </w:rPr>
        <w:t>（二）支出预算情况</w:t>
      </w:r>
    </w:p>
    <w:p w14:paraId="4BAB093F">
      <w:pPr>
        <w:pStyle w:val="10"/>
        <w:ind w:firstLine="0" w:firstLineChars="0"/>
        <w:rPr>
          <w:rFonts w:hint="eastAsia" w:ascii="黑体" w:eastAsia="黑体"/>
          <w:sz w:val="32"/>
          <w:szCs w:val="32"/>
        </w:rPr>
      </w:pPr>
      <w:r>
        <w:rPr>
          <w:rFonts w:hint="eastAsia" w:ascii="黑体" w:eastAsia="黑体"/>
          <w:sz w:val="32"/>
          <w:szCs w:val="32"/>
        </w:rPr>
        <w:t>四、财政拨款收支预算情况说明</w:t>
      </w:r>
    </w:p>
    <w:p w14:paraId="10B7B92F">
      <w:pPr>
        <w:pStyle w:val="10"/>
        <w:ind w:firstLine="0" w:firstLineChars="0"/>
        <w:rPr>
          <w:rFonts w:hint="eastAsia" w:ascii="黑体" w:eastAsia="黑体"/>
          <w:sz w:val="32"/>
          <w:szCs w:val="32"/>
        </w:rPr>
      </w:pPr>
      <w:r>
        <w:rPr>
          <w:rFonts w:hint="eastAsia" w:ascii="黑体" w:eastAsia="黑体"/>
          <w:sz w:val="32"/>
          <w:szCs w:val="32"/>
        </w:rPr>
        <w:t>五、一般公共预算当年拨款情况说明</w:t>
      </w:r>
    </w:p>
    <w:p w14:paraId="433FB21E">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hAnsi="Calibri" w:eastAsia="黑体" w:cs="Times New Roman"/>
          <w:kern w:val="2"/>
          <w:sz w:val="32"/>
          <w:szCs w:val="32"/>
          <w:lang w:val="en-US" w:eastAsia="zh-CN" w:bidi="ar-SA"/>
        </w:rPr>
        <w:t>六、一般公共预算基本支出情况说明</w:t>
      </w:r>
      <w:r>
        <w:rPr>
          <w:rFonts w:ascii="黑体" w:eastAsia="黑体"/>
          <w:sz w:val="32"/>
          <w:szCs w:val="32"/>
        </w:rPr>
        <w:br w:type="textWrapping"/>
      </w:r>
      <w:r>
        <w:rPr>
          <w:rFonts w:hint="eastAsia" w:ascii="黑体" w:hAnsi="Calibri" w:eastAsia="黑体" w:cs="Times New Roman"/>
          <w:kern w:val="2"/>
          <w:sz w:val="32"/>
          <w:szCs w:val="32"/>
          <w:lang w:val="en-US" w:eastAsia="zh-CN" w:bidi="ar-SA"/>
        </w:rPr>
        <w:t>七、“三公”经费财政拨款预算安排情况说明</w:t>
      </w:r>
      <w:r>
        <w:rPr>
          <w:rFonts w:ascii="黑体" w:eastAsia="黑体"/>
          <w:sz w:val="32"/>
          <w:szCs w:val="32"/>
        </w:rPr>
        <w:br w:type="textWrapping"/>
      </w:r>
      <w:r>
        <w:rPr>
          <w:rFonts w:hint="eastAsia" w:ascii="黑体" w:hAnsi="Calibri" w:eastAsia="黑体" w:cs="Times New Roman"/>
          <w:kern w:val="2"/>
          <w:sz w:val="32"/>
          <w:szCs w:val="32"/>
          <w:lang w:val="en-US" w:eastAsia="zh-CN" w:bidi="ar-SA"/>
        </w:rPr>
        <w:t>八、政府性基金预算支出情况说明</w:t>
      </w:r>
      <w:r>
        <w:rPr>
          <w:rFonts w:ascii="黑体" w:eastAsia="黑体"/>
          <w:sz w:val="32"/>
          <w:szCs w:val="32"/>
        </w:rPr>
        <w:br w:type="textWrapping"/>
      </w:r>
      <w:r>
        <w:rPr>
          <w:rFonts w:hint="eastAsia" w:ascii="黑体" w:hAnsi="Calibri" w:eastAsia="黑体" w:cs="Times New Roman"/>
          <w:kern w:val="2"/>
          <w:sz w:val="32"/>
          <w:szCs w:val="32"/>
          <w:lang w:val="en-US" w:eastAsia="zh-CN" w:bidi="ar-SA"/>
        </w:rPr>
        <w:t>九、其他重要事项的情况说明</w:t>
      </w:r>
      <w:r>
        <w:rPr>
          <w:rFonts w:ascii="黑体" w:eastAsia="黑体"/>
          <w:sz w:val="32"/>
          <w:szCs w:val="32"/>
        </w:rPr>
        <w:br w:type="textWrapping"/>
      </w:r>
      <w:r>
        <w:rPr>
          <w:rFonts w:hint="eastAsia" w:ascii="黑体" w:hAnsi="Calibri" w:eastAsia="黑体" w:cs="Times New Roman"/>
          <w:kern w:val="2"/>
          <w:sz w:val="32"/>
          <w:szCs w:val="32"/>
          <w:lang w:val="en-US" w:eastAsia="zh-CN" w:bidi="ar-SA"/>
        </w:rPr>
        <w:t>十、名称解释</w:t>
      </w:r>
    </w:p>
    <w:p w14:paraId="70B821B0">
      <w:pPr>
        <w:rPr>
          <w:rFonts w:ascii="黑体" w:eastAsia="黑体"/>
          <w:sz w:val="32"/>
          <w:szCs w:val="32"/>
        </w:rPr>
      </w:pPr>
    </w:p>
    <w:p w14:paraId="46BAC92A">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304197D">
      <w:pPr>
        <w:pStyle w:val="10"/>
        <w:rPr>
          <w:rFonts w:ascii="黑体" w:eastAsia="黑体"/>
          <w:sz w:val="32"/>
          <w:szCs w:val="32"/>
        </w:rPr>
      </w:pPr>
      <w:r>
        <w:rPr>
          <w:rFonts w:hint="eastAsia" w:ascii="黑体" w:eastAsia="黑体"/>
          <w:sz w:val="32"/>
          <w:szCs w:val="32"/>
        </w:rPr>
        <w:t>一、基本职能及主要工作</w:t>
      </w:r>
    </w:p>
    <w:p w14:paraId="719EA77E">
      <w:pPr>
        <w:ind w:firstLine="643" w:firstLineChars="200"/>
        <w:rPr>
          <w:rFonts w:hint="eastAsia" w:ascii="楷体" w:eastAsia="楷体"/>
          <w:b/>
          <w:bCs/>
          <w:sz w:val="32"/>
          <w:szCs w:val="32"/>
        </w:rPr>
      </w:pPr>
      <w:r>
        <w:rPr>
          <w:rFonts w:hint="eastAsia" w:ascii="楷体" w:eastAsia="楷体"/>
          <w:b/>
          <w:bCs/>
          <w:sz w:val="32"/>
          <w:szCs w:val="32"/>
        </w:rPr>
        <w:t>（一）部门职能简介</w:t>
      </w:r>
    </w:p>
    <w:p w14:paraId="679A2DC5">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贯彻执行有关创新驱动发展战略以及科技发展、引进国外智力规划和政策，拟订全县有关科技发展的政策措施并组织实施。统筹推进创新体系建设和科技体制改革，会同有关部门健全技术创新激励机制，推动企业科技创新能力建设，推进科技军民融合发展相关工作，推进重大科技决策咨询制度建设。</w:t>
      </w:r>
    </w:p>
    <w:p w14:paraId="0B54B4BE">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统筹研究和组织实施全县“三农”工作的发展战略中长期规划、重大政策。贯彻执行国家有关种植业、畜牧业（草原牧业）、渔业、农业机械化等农业领域工作的法律法规、政策以及省、州、县关于“三农”方面的决策部署。</w:t>
      </w:r>
    </w:p>
    <w:p w14:paraId="3907A1C9">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3）统筹实施乡村振兴战略，牵头组织改善全县农村人居环境。统筹推动发展农村社会事业、农村公共服务、农村文化、农村基础设施和乡村治理。指导农业遗产的保护传承和开发利用。指导农村精神文明和优秀农耕文化建设。</w:t>
      </w:r>
    </w:p>
    <w:p w14:paraId="17EAD243">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4）建立统一的科技管理平台和科研项目资金协调、实施评估、监管机制。会同有关部门提出优化配置科技资源的政策措施建议，推动多元化科技投入体系建设。拟订县级财政科技计划（专项、基金）并监督和实施。负责本部门预算中的科技经费预决算及经费使用的监督管理。组织实施全县基础研究规划、政策和标准，组织协调全县重大基础研究和应用基础研究。组织实施科技创新基地、科技基础设施建设规划。推动科研条件保障建设和科技资源开放共享。</w:t>
      </w:r>
    </w:p>
    <w:p w14:paraId="2CB595C1">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5）拟订深化全县农村经济体制改革和巩固完善农村基本经营制度的政策措施。负责农民承包地、农村宅基地管理和改革有关工作。负责农村集体产权制度改革，指导农村集体经济组织发展、集体资产和财务管理工作。拟订农业产业化经营的发展规划与政策并组织实施，指导农民合作经济组织、农业社会化服务体系、新型农业经营主体建设与发展。指导、监督减轻农民负担工作。</w:t>
      </w:r>
    </w:p>
    <w:p w14:paraId="055F2677">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6）指导全县乡村特色产业、农产品加工业（产地初加工）、休闲农业和乡村涉农企业发展工作。开展特色农产品优势区建设和管理工作。组织拟订并实施现代农（牧）业园区的政策与规划负责现代农业园区建设管理工作。培育、保护和发展农产品品牌负责农业信息体系建设，推动数字农业发展。发布农业农村经济信息，监测分析农业农村经济运行。承担农业统计工作。</w:t>
      </w:r>
    </w:p>
    <w:p w14:paraId="6772E464">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7）组织实施重大科技专项，组织参与国家、省、州重大科技专项。统筹关键共性技术、前沿引领技术、现代工程技术颠覆性技术研发和创新，组织重大技术攻关和成果应用示范。组织实施高新技术发展及产业化、科技促进农业农村和社会发展的规划、政策和措施。组织开展重点领域技术发展需求分析，提出重大任务并组织实施。组织实施技术转移体系建设、科技成果转移转化和促进产学研结合的相关政策措施。指导科技服务业、技术市场和科技中介组织发展。</w:t>
      </w:r>
    </w:p>
    <w:p w14:paraId="72B5A7CB">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8）统筹区域科技创新体系建设，指导区域创新发展、科技资源合理布局和协同创新能力建设，推动科技园区、科技小镇科技平台建设。负责科技监督评价体系建设和相关科技评估管理，指导科技评价机制改革，统筹科研诚信建设。组织实施全县创新调查和科技报告制度，指导全县科技保密相关工作。拟订科技对外交往与创新能力开放合作的规划、政策和措施，组织开展国际科技合作与科技人才交流。指导相关部门对外科技合作与科技人才交流工作。</w:t>
      </w:r>
    </w:p>
    <w:p w14:paraId="4E565005">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9）负责引进国外智力工作，拟订全县重点引进外国专家总体规划、计划并组织实施，建立外国科学家、团队吸引集聚机制和外国专家联系服务机制。组织实施出国（境）培训总体规划政策和年度计划。会同有关部门制定外国人来县工作政策、办理相关外国人工作许可。组织实施科学普及和科学传播规划、政策负责科学技术奖的申报。</w:t>
      </w:r>
    </w:p>
    <w:p w14:paraId="087E6215">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10）负责全县种植业、畜牧业（草原牧业）、渔业、农垦农业机械化等农业各产业的监督管理。指导农产品生产及生产功能区、保护区建设和管理工作。组织构建现代农业产业体系、生产体系、经营体系，指导农业标准化、规模化生产。落实促进粮油、畜禽、水产等初级农产品生产发展的相关政策措施，引导农业产业结构调整和产品品质改善，促进农业绿色发展。</w:t>
      </w:r>
    </w:p>
    <w:p w14:paraId="305A7DDF">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11）负责制定全县农业产业机械化、智能化、数字化发展规划并组织实施。组织开展农业机械重大技术攻关和关键技术开发，引进、示范和推广农业机械新技术、新机具，指导全县农业机械基础设施的规划建设和管理工作。指导设施农业、农机库棚、机电提灌、机耕道等基础设施建设。</w:t>
      </w:r>
    </w:p>
    <w:p w14:paraId="5F8362E2">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12）负责全县农产品质量安全监督管理。组织开展农产品质量安全监测、追溯、风险评估。发布有关农产品质量安全状况信息，提出技术性贸易措施建议。指导农业检验检测体系建设。依法组织实施符合安全标准的农产品生产基地认定、产品认证农产品地理标志登记保护和监督管理。</w:t>
      </w:r>
    </w:p>
    <w:p w14:paraId="1FA971D6">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13）组织开展全县农业资源区划和资源保护工作。指导农用地、渔业水域以及农业生物物种资源的保护与管理，负责水生野生动植物保护、耕地及永久基本农田质量保护工作。负责农村能源建设和资源环境工作。指导农产品产地环境管理和农业清洁生产，提出划定农产品禁止生产区域的政策建议，指导设施农业、生态循环农业、节水农业发展以及农村可再生能源综合开发利用、农业物质产业发展。</w:t>
      </w:r>
    </w:p>
    <w:p w14:paraId="39DF3093">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14）负责全县农业生产资料和农业投入品的监督管理组织农业生产资料市场体系建设，承担农作物种子（种苗）、食用菌种、饲草良种、种畜禽、水产苗种、农药、兽药（渔药）饲料、饲料添加剂等农业生产资料的监督管理，牵头负责“瘦肉精”监督管理工作。监督管理兽医医疗器械、肥料。会同有关部门按照国家标准开展农业生产资料监督管理。开展兽药（渔药）残留限量和残留检测监督管理。组织兽医医政、兽药（渔药）药政药检工作，负责执业兽医和畜禽屠宰行业管理。</w:t>
      </w:r>
    </w:p>
    <w:p w14:paraId="408E3E1B">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15）负责全县农业防灾减灾、农作物重大病虫害防治工作。会同有关部门制定动植物防疫检疫政策并指导实施。指导动植物防疫检疫体系建设，组织监督管理县内动植物防疫检疫工作。组织植物检疫性有害生物普查，牵头管理外来农业物种。监测、核查农业灾情，组织种子、种苗、化肥、兽药（渔药）等农业生产救灾物资的储备和调拨，提出生产救灾资金安排建议，指导救灾和灾后生产恢复。</w:t>
      </w:r>
    </w:p>
    <w:p w14:paraId="261884EE">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16）负责全县农田建设管理。组织拟订农田建设发展规划。负责全县农田建设管理、高标准农田建设和耕地质量管理、编制农业综合开发涉及农田建设项目、农田整治项目、农田水利建设项目的计划，并组织实施和管理</w:t>
      </w:r>
    </w:p>
    <w:p w14:paraId="49BBBCCE">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17）组织拟订全县农业科研、农技推广的规划、计划和有关政策并组织实施，牵头推动农业科技体制改革和农业科技创新体系建设。指导农业产业技术体系和农技推广体系建设，组织农作物、畜禽、水产养殖等新品种育种攻关和农业先进技术引进试验、转化、示范、推广。负责农业转基因生物安全监督管理和农业植物新品种保护。</w:t>
      </w:r>
    </w:p>
    <w:p w14:paraId="0CFCC664">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（18）牵头开展全县农业对外合作工作，承办县政府农业涉外事务，参与拟订农业对外开放政策和外向型农业发展规划，指导外向型农业发展。组织开展农业投资促进活动，推动农业开放合作。</w:t>
      </w:r>
    </w:p>
    <w:p w14:paraId="5C3C123A">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19）制定科技人才队伍、农业农村人才队伍建设规划。指导科技、农业、农村人才队伍建设。建立健全人才评价和激励机制，组织实施人才计划，推动创新人才队伍建设。指导农业教育和农业职业技能开发，指导科技、农业人才培养、新型职业农民培育和农村实用人才培训工作。</w:t>
      </w:r>
    </w:p>
    <w:p w14:paraId="69654F46">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（20）统筹协调和监督指导全县农业综合执法，负责监督指导重大案件查处和县本级办理的涉农违法案件，推进农业依法行政。</w:t>
      </w:r>
    </w:p>
    <w:p w14:paraId="059A0EF4">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21）负责全县农业投资项目、农业综合项目管理。提出农业投融资体制机制改革建议。编制中央和省级、州级、县级投资安排的农业投资及综合项目建设计划，提出农业投资规模和方向、扶持农业农村发展财政项目的建议。按国务院、省政府、州政府和县政府规定权限审批农业投资及综合项目，负责农业投资及综合项目资金安排和监督管理。</w:t>
      </w:r>
    </w:p>
    <w:p w14:paraId="66348E96">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（22）负责职责范围内的安全生产和职业健康、生态环境保护、公共机构节能减排、审批服务便民化等工作。</w:t>
      </w:r>
    </w:p>
    <w:p w14:paraId="245CF08B">
      <w:pPr>
        <w:spacing w:line="540" w:lineRule="exact"/>
        <w:ind w:firstLine="640" w:firstLineChars="200"/>
        <w:rPr>
          <w:rFonts w:ascii="仿宋_GB2312" w:eastAsia="仿宋_GB2312"/>
          <w:sz w:val="32"/>
          <w:szCs w:val="32"/>
        </w:rPr>
      </w:pPr>
      <w:r>
        <w:rPr>
          <w:rFonts w:hint="eastAsia" w:ascii="仿宋_GB2312" w:eastAsia="仿宋_GB2312"/>
          <w:sz w:val="32"/>
          <w:szCs w:val="32"/>
        </w:rPr>
        <w:t>（23）完成县委和县政府交办的其他任务。</w:t>
      </w:r>
    </w:p>
    <w:p w14:paraId="030A40A7">
      <w:pPr>
        <w:ind w:firstLine="640" w:firstLineChars="200"/>
        <w:rPr>
          <w:rFonts w:hint="eastAsia" w:ascii="楷体" w:eastAsia="楷体"/>
          <w:b/>
          <w:bCs/>
          <w:sz w:val="32"/>
          <w:szCs w:val="32"/>
        </w:rPr>
      </w:pPr>
      <w:r>
        <w:rPr>
          <w:rFonts w:hint="eastAsia" w:ascii="楷体" w:eastAsia="楷体"/>
          <w:sz w:val="32"/>
          <w:szCs w:val="32"/>
        </w:rPr>
        <w:t>（</w:t>
      </w:r>
      <w:r>
        <w:rPr>
          <w:rFonts w:hint="eastAsia" w:ascii="楷体" w:eastAsia="楷体"/>
          <w:b/>
          <w:bCs/>
          <w:sz w:val="32"/>
          <w:szCs w:val="32"/>
        </w:rPr>
        <w:t>二）</w:t>
      </w:r>
      <w:r>
        <w:rPr>
          <w:rFonts w:hint="eastAsia" w:ascii="楷体" w:eastAsia="楷体"/>
          <w:b/>
          <w:bCs/>
          <w:sz w:val="32"/>
          <w:szCs w:val="32"/>
          <w:lang w:eastAsia="zh-CN"/>
        </w:rPr>
        <w:t>2026</w:t>
      </w:r>
      <w:r>
        <w:rPr>
          <w:rFonts w:hint="eastAsia" w:ascii="楷体" w:eastAsia="楷体"/>
          <w:b/>
          <w:bCs/>
          <w:sz w:val="32"/>
          <w:szCs w:val="32"/>
        </w:rPr>
        <w:t>年重点工作</w:t>
      </w:r>
    </w:p>
    <w:p w14:paraId="7DEBFD21">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年我们将严格按照中央、省、州、县关于“三农”重要安排部署，认真贯彻落实“农牧立县”战略要求，全力以赴推进农牧产业发展。</w:t>
      </w:r>
    </w:p>
    <w:p w14:paraId="5B1029F2">
      <w:pPr>
        <w:spacing w:line="540" w:lineRule="exact"/>
        <w:ind w:firstLine="643" w:firstLineChars="200"/>
        <w:rPr>
          <w:rFonts w:hint="eastAsia" w:ascii="仿宋_GB2312" w:eastAsia="仿宋_GB2312"/>
          <w:sz w:val="32"/>
          <w:szCs w:val="32"/>
        </w:rPr>
      </w:pPr>
      <w:bookmarkStart w:id="0" w:name="_GoBack"/>
      <w:r>
        <w:rPr>
          <w:rFonts w:hint="eastAsia" w:ascii="仿宋_GB2312" w:eastAsia="仿宋_GB2312"/>
          <w:b/>
          <w:bCs/>
          <w:sz w:val="32"/>
          <w:szCs w:val="32"/>
        </w:rPr>
        <w:t>一是做强产业园区。</w:t>
      </w:r>
      <w:bookmarkEnd w:id="0"/>
      <w:r>
        <w:rPr>
          <w:rFonts w:hint="eastAsia" w:ascii="仿宋_GB2312" w:eastAsia="仿宋_GB2312"/>
          <w:sz w:val="32"/>
          <w:szCs w:val="32"/>
        </w:rPr>
        <w:t>进一步服务好高原蔬菜、双低油菜、牦牛、中峰、青稞</w:t>
      </w:r>
      <w:r>
        <w:rPr>
          <w:rFonts w:hint="eastAsia" w:ascii="仿宋_GB2312" w:eastAsia="仿宋_GB2312"/>
          <w:sz w:val="32"/>
          <w:szCs w:val="32"/>
          <w:lang w:eastAsia="zh-CN"/>
        </w:rPr>
        <w:t>、</w:t>
      </w:r>
      <w:r>
        <w:rPr>
          <w:rFonts w:hint="eastAsia" w:ascii="仿宋_GB2312" w:eastAsia="仿宋_GB2312"/>
          <w:sz w:val="32"/>
          <w:szCs w:val="32"/>
          <w:lang w:val="en-US" w:eastAsia="zh-CN"/>
        </w:rPr>
        <w:t>食用菌</w:t>
      </w:r>
      <w:r>
        <w:rPr>
          <w:rFonts w:hint="eastAsia" w:ascii="仿宋_GB2312" w:eastAsia="仿宋_GB2312"/>
          <w:sz w:val="32"/>
          <w:szCs w:val="32"/>
        </w:rPr>
        <w:t>等特色产业园区，通过项目建设来补齐短板，通过科技特派团来提高技术，着力提升园区科学化管理水平，积极打造规模连片成带的现代化产业园区，积极申报州、省级园区。</w:t>
      </w:r>
    </w:p>
    <w:p w14:paraId="65BAEFD1">
      <w:pPr>
        <w:spacing w:line="540" w:lineRule="exact"/>
        <w:ind w:firstLine="643" w:firstLineChars="200"/>
        <w:rPr>
          <w:rFonts w:hint="eastAsia" w:ascii="仿宋_GB2312" w:eastAsia="仿宋_GB2312"/>
          <w:sz w:val="32"/>
          <w:szCs w:val="32"/>
        </w:rPr>
      </w:pPr>
      <w:r>
        <w:rPr>
          <w:rFonts w:hint="eastAsia" w:ascii="仿宋_GB2312" w:eastAsia="仿宋_GB2312"/>
          <w:b/>
          <w:bCs/>
          <w:sz w:val="32"/>
          <w:szCs w:val="32"/>
        </w:rPr>
        <w:t>二是强化项目储备。</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年我局计划实施农业壤塘县高标准农田建设、</w:t>
      </w:r>
      <w:r>
        <w:rPr>
          <w:rFonts w:hint="eastAsia" w:ascii="仿宋_GB2312" w:eastAsia="仿宋_GB2312"/>
          <w:sz w:val="32"/>
          <w:szCs w:val="32"/>
          <w:lang w:val="en-US" w:eastAsia="zh-CN"/>
        </w:rPr>
        <w:t>壤塘县食用菌项目等，强化项目储备</w:t>
      </w:r>
      <w:r>
        <w:rPr>
          <w:rFonts w:hint="eastAsia" w:ascii="仿宋_GB2312" w:eastAsia="仿宋_GB2312"/>
          <w:sz w:val="32"/>
          <w:szCs w:val="32"/>
        </w:rPr>
        <w:t>。</w:t>
      </w:r>
    </w:p>
    <w:p w14:paraId="6132CD07">
      <w:pPr>
        <w:spacing w:line="540" w:lineRule="exact"/>
        <w:ind w:firstLine="643" w:firstLineChars="200"/>
        <w:rPr>
          <w:rFonts w:hint="eastAsia" w:ascii="仿宋_GB2312" w:eastAsia="仿宋_GB2312"/>
          <w:sz w:val="32"/>
          <w:szCs w:val="32"/>
        </w:rPr>
      </w:pPr>
      <w:r>
        <w:rPr>
          <w:rFonts w:hint="eastAsia" w:ascii="仿宋_GB2312" w:eastAsia="仿宋_GB2312"/>
          <w:b/>
          <w:bCs/>
          <w:sz w:val="32"/>
          <w:szCs w:val="32"/>
        </w:rPr>
        <w:t>三是做实经营主体。</w:t>
      </w:r>
      <w:r>
        <w:rPr>
          <w:rFonts w:hint="eastAsia" w:ascii="仿宋_GB2312" w:eastAsia="仿宋_GB2312"/>
          <w:sz w:val="32"/>
          <w:szCs w:val="32"/>
        </w:rPr>
        <w:t>大力引进龙头企业、培育专业合作社、家庭牧场、养殖大户等新型经营主体。县、乡、村三级思想高度统一，以为民增收、扶持企业、发展产业为中心，用心、用情、用力抓产业发展，让企业在壤塘留得住、可壮大、可发展。</w:t>
      </w:r>
    </w:p>
    <w:p w14:paraId="5759E247">
      <w:pPr>
        <w:spacing w:line="540" w:lineRule="exact"/>
        <w:ind w:firstLine="643" w:firstLineChars="200"/>
        <w:rPr>
          <w:rFonts w:hint="eastAsia" w:ascii="仿宋_GB2312" w:eastAsia="仿宋_GB2312"/>
          <w:sz w:val="32"/>
          <w:szCs w:val="32"/>
        </w:rPr>
      </w:pPr>
      <w:r>
        <w:rPr>
          <w:rFonts w:hint="eastAsia" w:ascii="仿宋_GB2312" w:eastAsia="仿宋_GB2312"/>
          <w:b/>
          <w:bCs/>
          <w:sz w:val="32"/>
          <w:szCs w:val="32"/>
        </w:rPr>
        <w:t>四是做大精深加工。</w:t>
      </w:r>
      <w:r>
        <w:rPr>
          <w:rFonts w:hint="eastAsia" w:ascii="仿宋_GB2312" w:eastAsia="仿宋_GB2312"/>
          <w:sz w:val="32"/>
          <w:szCs w:val="32"/>
        </w:rPr>
        <w:t>以南木达牦牛产业园区、上寨农副产品加工点为契机，积极与企业对接，强化农牧产品初加工、冷链、精细包装等环节，完成全产业机械化“耕、种、收”和“冷链加工、仓储、运输”，实现农牧产品深加工增值增效，促进产业发展向规模化、标准化、品牌化迈进，从源头上延长产业链条，更多地将资本转化为资产。</w:t>
      </w:r>
    </w:p>
    <w:p w14:paraId="59C4A5AF">
      <w:pPr>
        <w:spacing w:line="540" w:lineRule="exact"/>
        <w:ind w:firstLine="643" w:firstLineChars="200"/>
        <w:rPr>
          <w:rFonts w:hint="eastAsia" w:ascii="仿宋_GB2312" w:eastAsia="仿宋_GB2312"/>
          <w:sz w:val="32"/>
          <w:szCs w:val="32"/>
        </w:rPr>
      </w:pPr>
      <w:r>
        <w:rPr>
          <w:rFonts w:hint="eastAsia" w:ascii="仿宋_GB2312" w:eastAsia="仿宋_GB2312"/>
          <w:b/>
          <w:bCs/>
          <w:sz w:val="32"/>
          <w:szCs w:val="32"/>
        </w:rPr>
        <w:t>五是做精品牌建设。</w:t>
      </w:r>
      <w:r>
        <w:rPr>
          <w:rFonts w:hint="eastAsia" w:ascii="仿宋_GB2312" w:eastAsia="仿宋_GB2312"/>
          <w:sz w:val="32"/>
          <w:szCs w:val="32"/>
        </w:rPr>
        <w:t>储备一批牦牛肉、骨、血、皮、奶等加工业项目，着力实施市场化品牌战略，通过注册商标、申请地理标志，研发推广壤塘系列特色产品品牌。</w:t>
      </w:r>
    </w:p>
    <w:p w14:paraId="6A37CBF1">
      <w:pPr>
        <w:spacing w:line="540" w:lineRule="exact"/>
        <w:ind w:firstLine="643" w:firstLineChars="200"/>
        <w:rPr>
          <w:rFonts w:hint="eastAsia" w:ascii="仿宋_GB2312" w:eastAsia="仿宋_GB2312"/>
          <w:sz w:val="32"/>
          <w:szCs w:val="32"/>
        </w:rPr>
      </w:pPr>
      <w:r>
        <w:rPr>
          <w:rFonts w:hint="eastAsia" w:ascii="仿宋_GB2312" w:eastAsia="仿宋_GB2312"/>
          <w:b/>
          <w:bCs/>
          <w:sz w:val="32"/>
          <w:szCs w:val="32"/>
        </w:rPr>
        <w:t>六是拓宽销售渠道。</w:t>
      </w:r>
      <w:r>
        <w:rPr>
          <w:rFonts w:hint="eastAsia" w:ascii="仿宋_GB2312" w:eastAsia="仿宋_GB2312"/>
          <w:sz w:val="32"/>
          <w:szCs w:val="32"/>
        </w:rPr>
        <w:t>通过线上线下模式，建立网络与实体“旗舰店”，借力东西部协作、对口支援及农博会、西博会、展销会等平台，加大产品推介，提高牦牛肉制品等在高端消费市场占比，提升品牌影响力和美誉度。</w:t>
      </w:r>
    </w:p>
    <w:p w14:paraId="2E8AEDCA">
      <w:pPr>
        <w:spacing w:line="540" w:lineRule="exact"/>
        <w:ind w:firstLine="643" w:firstLineChars="200"/>
        <w:rPr>
          <w:rFonts w:hint="eastAsia" w:ascii="仿宋_GB2312" w:eastAsia="仿宋_GB2312"/>
          <w:sz w:val="32"/>
          <w:szCs w:val="32"/>
        </w:rPr>
      </w:pPr>
      <w:r>
        <w:rPr>
          <w:rFonts w:hint="eastAsia" w:ascii="仿宋_GB2312" w:eastAsia="仿宋_GB2312"/>
          <w:b/>
          <w:bCs/>
          <w:sz w:val="32"/>
          <w:szCs w:val="32"/>
        </w:rPr>
        <w:t>七是做好常规工作。</w:t>
      </w:r>
      <w:r>
        <w:rPr>
          <w:rFonts w:hint="eastAsia" w:ascii="仿宋_GB2312" w:eastAsia="仿宋_GB2312"/>
          <w:sz w:val="32"/>
          <w:szCs w:val="32"/>
        </w:rPr>
        <w:t>在持续发展壮大农牧产业，增加农牧民收入的同时，扎实做好农业相关知识科普宣传，深入开展农业综合执法，进一步规范市场秩序，加大监督检查力度，严厉打击违法违规行为，加大农产品质量安全、农机等农业安全监管，做好春秋两季动物疫病防控和非洲猪瘟疫情工作。坚持把增加农牧民收入作为全局工作的首要任务，强化服务意识，密切联系群众，增强群众幸福感、获得感。</w:t>
      </w:r>
    </w:p>
    <w:p w14:paraId="13B2304A">
      <w:pPr>
        <w:pStyle w:val="10"/>
        <w:numPr>
          <w:ilvl w:val="0"/>
          <w:numId w:val="1"/>
        </w:numPr>
        <w:ind w:firstLineChars="0"/>
        <w:rPr>
          <w:rFonts w:ascii="黑体" w:eastAsia="黑体"/>
          <w:sz w:val="32"/>
          <w:szCs w:val="32"/>
        </w:rPr>
      </w:pPr>
      <w:r>
        <w:rPr>
          <w:rFonts w:hint="eastAsia" w:ascii="黑体" w:eastAsia="黑体"/>
          <w:sz w:val="32"/>
          <w:szCs w:val="32"/>
        </w:rPr>
        <w:t>部门预算单位构成</w:t>
      </w:r>
    </w:p>
    <w:p w14:paraId="64C70EB9">
      <w:pPr>
        <w:spacing w:line="540" w:lineRule="exact"/>
        <w:ind w:firstLine="640" w:firstLineChars="200"/>
        <w:rPr>
          <w:rFonts w:ascii="仿宋_GB2312" w:eastAsia="仿宋_GB2312"/>
          <w:sz w:val="32"/>
          <w:szCs w:val="32"/>
        </w:rPr>
      </w:pPr>
      <w:r>
        <w:rPr>
          <w:rFonts w:hint="eastAsia" w:ascii="仿宋_GB2312" w:eastAsia="仿宋_GB2312" w:cs="Times New Roman"/>
          <w:sz w:val="32"/>
          <w:szCs w:val="32"/>
          <w:lang w:val="en-US" w:eastAsia="en-US"/>
        </w:rPr>
        <w:t>科技农牧局下属二级单位0个，其中行政单位0个，参照公务员法管理的事业单位0个，其他事业单位0个。</w:t>
      </w:r>
    </w:p>
    <w:p w14:paraId="42CDDF22">
      <w:pPr>
        <w:pStyle w:val="10"/>
        <w:ind w:left="720" w:firstLine="0" w:firstLineChars="0"/>
        <w:rPr>
          <w:rFonts w:ascii="黑体" w:eastAsia="黑体"/>
          <w:sz w:val="32"/>
          <w:szCs w:val="32"/>
        </w:rPr>
      </w:pPr>
      <w:r>
        <w:rPr>
          <w:rFonts w:hint="eastAsia" w:ascii="黑体" w:eastAsia="黑体"/>
          <w:sz w:val="32"/>
          <w:szCs w:val="32"/>
        </w:rPr>
        <w:t>三、收支预算情况说明</w:t>
      </w:r>
    </w:p>
    <w:p w14:paraId="0A32E441">
      <w:pPr>
        <w:ind w:firstLine="643" w:firstLineChars="200"/>
        <w:rPr>
          <w:rFonts w:hint="eastAsia" w:ascii="楷体" w:eastAsia="楷体"/>
          <w:b/>
          <w:bCs/>
          <w:sz w:val="32"/>
          <w:szCs w:val="32"/>
        </w:rPr>
      </w:pPr>
      <w:r>
        <w:rPr>
          <w:rFonts w:hint="eastAsia" w:ascii="楷体" w:eastAsia="楷体"/>
          <w:b/>
          <w:bCs/>
          <w:sz w:val="32"/>
          <w:szCs w:val="32"/>
        </w:rPr>
        <w:t>（一）收入预算情况</w:t>
      </w:r>
    </w:p>
    <w:p w14:paraId="5BB1440A">
      <w:pPr>
        <w:spacing w:line="54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本单位202</w:t>
      </w:r>
      <w:r>
        <w:rPr>
          <w:rFonts w:hint="eastAsia" w:ascii="仿宋_GB2312" w:eastAsia="仿宋_GB2312" w:cs="Times New Roman"/>
          <w:sz w:val="32"/>
          <w:szCs w:val="32"/>
          <w:lang w:val="en-US" w:eastAsia="zh-CN"/>
        </w:rPr>
        <w:t>6</w:t>
      </w:r>
      <w:r>
        <w:rPr>
          <w:rFonts w:hint="eastAsia" w:ascii="仿宋_GB2312" w:eastAsia="仿宋_GB2312" w:cs="Times New Roman"/>
          <w:sz w:val="32"/>
          <w:szCs w:val="32"/>
        </w:rPr>
        <w:t>年收入预算</w:t>
      </w:r>
      <w:r>
        <w:rPr>
          <w:rFonts w:hint="eastAsia" w:ascii="仿宋_GB2312" w:eastAsia="仿宋_GB2312" w:cs="Times New Roman"/>
          <w:sz w:val="32"/>
          <w:szCs w:val="32"/>
          <w:lang w:val="en-US" w:eastAsia="zh-CN"/>
        </w:rPr>
        <w:t>1554.59</w:t>
      </w:r>
      <w:r>
        <w:rPr>
          <w:rFonts w:hint="eastAsia" w:ascii="仿宋_GB2312" w:eastAsia="仿宋_GB2312" w:cs="Times New Roman"/>
          <w:sz w:val="32"/>
          <w:szCs w:val="32"/>
        </w:rPr>
        <w:t>万元，其中：上年结转0万元，占0%；一般公共预算拨款收入</w:t>
      </w:r>
      <w:r>
        <w:rPr>
          <w:rFonts w:hint="eastAsia" w:ascii="仿宋_GB2312" w:eastAsia="仿宋_GB2312" w:cs="Times New Roman"/>
          <w:sz w:val="32"/>
          <w:szCs w:val="32"/>
          <w:lang w:val="en-US" w:eastAsia="zh-CN"/>
        </w:rPr>
        <w:t>1554.59</w:t>
      </w:r>
      <w:r>
        <w:rPr>
          <w:rFonts w:hint="eastAsia" w:ascii="仿宋_GB2312" w:eastAsia="仿宋_GB2312" w:cs="Times New Roman"/>
          <w:sz w:val="32"/>
          <w:szCs w:val="32"/>
        </w:rPr>
        <w:t>万元，占100%；事业收入0万元，占0%；其他收入0万元，占0%。</w:t>
      </w:r>
    </w:p>
    <w:p w14:paraId="118AD5CB">
      <w:pPr>
        <w:spacing w:line="540" w:lineRule="exact"/>
        <w:ind w:firstLine="640" w:firstLineChars="200"/>
        <w:rPr>
          <w:rFonts w:hint="eastAsia" w:ascii="仿宋_GB2312" w:eastAsia="仿宋_GB2312" w:cs="Times New Roman"/>
          <w:sz w:val="32"/>
          <w:szCs w:val="32"/>
        </w:rPr>
      </w:pPr>
    </w:p>
    <w:p w14:paraId="31C9C2B0">
      <w:pPr>
        <w:numPr>
          <w:ilvl w:val="0"/>
          <w:numId w:val="2"/>
        </w:numPr>
        <w:spacing w:line="540" w:lineRule="exact"/>
        <w:ind w:firstLine="420" w:firstLineChars="200"/>
        <w:rPr>
          <w:rFonts w:hint="eastAsia" w:ascii="楷体" w:eastAsia="楷体" w:cs="仿宋_GB2312"/>
          <w:sz w:val="32"/>
          <w:szCs w:val="32"/>
        </w:rPr>
      </w:pPr>
      <w:r>
        <w:drawing>
          <wp:anchor distT="0" distB="0" distL="114300" distR="114300" simplePos="0" relativeHeight="251659264" behindDoc="0" locked="0" layoutInCell="1" allowOverlap="1">
            <wp:simplePos x="0" y="0"/>
            <wp:positionH relativeFrom="column">
              <wp:posOffset>168275</wp:posOffset>
            </wp:positionH>
            <wp:positionV relativeFrom="paragraph">
              <wp:posOffset>168275</wp:posOffset>
            </wp:positionV>
            <wp:extent cx="4866005" cy="2559050"/>
            <wp:effectExtent l="4445" t="5080" r="6350" b="7620"/>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ascii="楷体" w:eastAsia="楷体" w:cs="仿宋_GB2312"/>
          <w:sz w:val="32"/>
          <w:szCs w:val="32"/>
        </w:rPr>
        <w:t>支出预算情况</w:t>
      </w:r>
    </w:p>
    <w:p w14:paraId="712A9A9A">
      <w:pPr>
        <w:spacing w:line="54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一般公共服务支出0万元，教育支出0万元，文化体育与传媒支出0万元，科学技术支出0万元，社会保障和就业支出</w:t>
      </w:r>
      <w:r>
        <w:rPr>
          <w:rFonts w:hint="eastAsia" w:ascii="仿宋_GB2312" w:eastAsia="仿宋_GB2312" w:cs="Times New Roman"/>
          <w:sz w:val="32"/>
          <w:szCs w:val="32"/>
          <w:lang w:val="en-US" w:eastAsia="zh-CN"/>
        </w:rPr>
        <w:t>249.82</w:t>
      </w:r>
      <w:r>
        <w:rPr>
          <w:rFonts w:hint="eastAsia" w:ascii="仿宋_GB2312" w:eastAsia="仿宋_GB2312" w:cs="Times New Roman"/>
          <w:sz w:val="32"/>
          <w:szCs w:val="32"/>
        </w:rPr>
        <w:t>万元，卫生健康支出</w:t>
      </w:r>
      <w:r>
        <w:rPr>
          <w:rFonts w:hint="eastAsia" w:ascii="仿宋_GB2312" w:eastAsia="仿宋_GB2312" w:cs="Times New Roman"/>
          <w:sz w:val="32"/>
          <w:szCs w:val="32"/>
          <w:lang w:val="en-US" w:eastAsia="zh-CN"/>
        </w:rPr>
        <w:t>92.12</w:t>
      </w:r>
      <w:r>
        <w:rPr>
          <w:rFonts w:hint="eastAsia" w:ascii="仿宋_GB2312" w:eastAsia="仿宋_GB2312" w:cs="Times New Roman"/>
          <w:sz w:val="32"/>
          <w:szCs w:val="32"/>
        </w:rPr>
        <w:t>万元，农林水支出</w:t>
      </w:r>
      <w:r>
        <w:rPr>
          <w:rFonts w:hint="eastAsia" w:ascii="仿宋_GB2312" w:eastAsia="仿宋_GB2312" w:cs="Times New Roman"/>
          <w:sz w:val="32"/>
          <w:szCs w:val="32"/>
          <w:lang w:val="en-US" w:eastAsia="zh-CN"/>
        </w:rPr>
        <w:t>1087.37</w:t>
      </w:r>
      <w:r>
        <w:rPr>
          <w:rFonts w:hint="eastAsia" w:ascii="仿宋_GB2312" w:eastAsia="仿宋_GB2312" w:cs="Times New Roman"/>
          <w:sz w:val="32"/>
          <w:szCs w:val="32"/>
        </w:rPr>
        <w:t>万元，住房保障支出</w:t>
      </w:r>
      <w:r>
        <w:rPr>
          <w:rFonts w:hint="eastAsia" w:ascii="仿宋_GB2312" w:eastAsia="仿宋_GB2312" w:cs="Times New Roman"/>
          <w:sz w:val="32"/>
          <w:szCs w:val="32"/>
          <w:lang w:val="en-US" w:eastAsia="zh-CN"/>
        </w:rPr>
        <w:t>125.28</w:t>
      </w:r>
      <w:r>
        <w:rPr>
          <w:rFonts w:hint="eastAsia" w:ascii="仿宋_GB2312" w:eastAsia="仿宋_GB2312" w:cs="Times New Roman"/>
          <w:sz w:val="32"/>
          <w:szCs w:val="32"/>
        </w:rPr>
        <w:t>万元。</w:t>
      </w:r>
    </w:p>
    <w:p w14:paraId="46E49AB1">
      <w:pPr>
        <w:spacing w:line="540" w:lineRule="exact"/>
        <w:ind w:firstLine="640" w:firstLineChars="200"/>
        <w:rPr>
          <w:rFonts w:hint="eastAsia" w:ascii="仿宋_GB2312" w:eastAsia="仿宋_GB2312" w:cs="Times New Roman"/>
          <w:sz w:val="32"/>
          <w:szCs w:val="32"/>
        </w:rPr>
      </w:pPr>
    </w:p>
    <w:p w14:paraId="38ED1AF9">
      <w:pPr>
        <w:spacing w:line="540" w:lineRule="exact"/>
        <w:rPr>
          <w:rFonts w:hint="eastAsia" w:ascii="仿宋_GB2312" w:eastAsia="仿宋_GB2312" w:cs="Times New Roman"/>
          <w:sz w:val="32"/>
          <w:szCs w:val="32"/>
        </w:rPr>
      </w:pPr>
      <w:r>
        <w:drawing>
          <wp:anchor distT="0" distB="0" distL="114300" distR="114300" simplePos="0" relativeHeight="251660288" behindDoc="0" locked="0" layoutInCell="1" allowOverlap="1">
            <wp:simplePos x="0" y="0"/>
            <wp:positionH relativeFrom="column">
              <wp:posOffset>302895</wp:posOffset>
            </wp:positionH>
            <wp:positionV relativeFrom="paragraph">
              <wp:posOffset>81915</wp:posOffset>
            </wp:positionV>
            <wp:extent cx="4912360" cy="2751455"/>
            <wp:effectExtent l="4445" t="4445" r="17145" b="635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61C2DC55">
      <w:pPr>
        <w:spacing w:line="540" w:lineRule="exact"/>
        <w:ind w:firstLine="640" w:firstLineChars="200"/>
        <w:rPr>
          <w:rFonts w:hint="eastAsia" w:ascii="仿宋_GB2312" w:eastAsia="仿宋_GB2312" w:cs="Times New Roman"/>
          <w:sz w:val="32"/>
          <w:szCs w:val="32"/>
        </w:rPr>
      </w:pPr>
    </w:p>
    <w:p w14:paraId="4772E9D4">
      <w:pPr>
        <w:numPr>
          <w:ilvl w:val="0"/>
          <w:numId w:val="0"/>
        </w:numPr>
        <w:ind w:left="640" w:leftChars="0"/>
        <w:rPr>
          <w:rFonts w:hint="eastAsia" w:ascii="黑体" w:eastAsia="黑体"/>
          <w:sz w:val="32"/>
          <w:szCs w:val="32"/>
        </w:rPr>
      </w:pPr>
      <w:r>
        <w:rPr>
          <w:rFonts w:hint="eastAsia" w:ascii="黑体" w:eastAsia="黑体"/>
          <w:sz w:val="32"/>
          <w:szCs w:val="32"/>
          <w:lang w:val="en-US" w:eastAsia="zh-CN"/>
        </w:rPr>
        <w:t>四、</w:t>
      </w:r>
      <w:r>
        <w:rPr>
          <w:rFonts w:hint="eastAsia" w:ascii="黑体" w:eastAsia="黑体"/>
          <w:sz w:val="32"/>
          <w:szCs w:val="32"/>
        </w:rPr>
        <w:t>财政拨款收支预算情况说明</w:t>
      </w:r>
    </w:p>
    <w:p w14:paraId="2AF34D6C">
      <w:pPr>
        <w:numPr>
          <w:ilvl w:val="0"/>
          <w:numId w:val="0"/>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2026</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1554.59</w:t>
      </w:r>
      <w:r>
        <w:rPr>
          <w:rFonts w:hint="eastAsia" w:ascii="仿宋_GB2312" w:eastAsia="仿宋_GB2312"/>
          <w:sz w:val="32"/>
          <w:szCs w:val="32"/>
        </w:rPr>
        <w:t>万元,比</w:t>
      </w:r>
      <w:r>
        <w:rPr>
          <w:rFonts w:hint="eastAsia" w:ascii="仿宋_GB2312" w:eastAsia="仿宋_GB2312"/>
          <w:sz w:val="32"/>
          <w:szCs w:val="32"/>
          <w:lang w:eastAsia="zh-CN"/>
        </w:rPr>
        <w:t>2025</w:t>
      </w:r>
      <w:r>
        <w:rPr>
          <w:rFonts w:hint="eastAsia" w:ascii="仿宋_GB2312" w:eastAsia="仿宋_GB2312"/>
          <w:sz w:val="32"/>
          <w:szCs w:val="32"/>
        </w:rPr>
        <w:t>年财政拨款收支总预算减少</w:t>
      </w:r>
      <w:r>
        <w:rPr>
          <w:rFonts w:hint="eastAsia" w:ascii="仿宋_GB2312" w:eastAsia="仿宋_GB2312"/>
          <w:sz w:val="32"/>
          <w:szCs w:val="32"/>
          <w:lang w:val="en-US" w:eastAsia="zh-CN"/>
        </w:rPr>
        <w:t>1616.14</w:t>
      </w:r>
      <w:r>
        <w:rPr>
          <w:rFonts w:hint="eastAsia" w:ascii="仿宋_GB2312" w:eastAsia="仿宋_GB2312"/>
          <w:sz w:val="32"/>
          <w:szCs w:val="32"/>
        </w:rPr>
        <w:t>万元，主要原因</w:t>
      </w:r>
      <w:r>
        <w:rPr>
          <w:rFonts w:hint="eastAsia" w:ascii="仿宋_GB2312" w:eastAsia="仿宋_GB2312"/>
          <w:sz w:val="32"/>
          <w:szCs w:val="32"/>
          <w:lang w:eastAsia="zh-CN"/>
        </w:rPr>
        <w:t>：</w:t>
      </w:r>
      <w:r>
        <w:rPr>
          <w:rFonts w:hint="eastAsia" w:ascii="仿宋_GB2312" w:eastAsia="仿宋_GB2312"/>
          <w:sz w:val="32"/>
          <w:szCs w:val="32"/>
          <w:lang w:val="en-US" w:eastAsia="zh-CN"/>
        </w:rPr>
        <w:t>机构改革，畜牧中心独立。</w:t>
      </w:r>
    </w:p>
    <w:p w14:paraId="0773C24F">
      <w:pPr>
        <w:spacing w:line="540" w:lineRule="exact"/>
        <w:ind w:firstLine="640" w:firstLineChars="200"/>
        <w:rPr>
          <w:rFonts w:hint="eastAsia" w:ascii="仿宋_GB2312" w:eastAsia="仿宋_GB2312" w:cs="Times New Roman"/>
          <w:sz w:val="32"/>
          <w:szCs w:val="32"/>
        </w:rPr>
      </w:pPr>
      <w:r>
        <w:rPr>
          <w:rFonts w:hint="eastAsia" w:ascii="仿宋_GB2312" w:eastAsia="仿宋_GB2312" w:cs="仿宋_GB2312"/>
          <w:sz w:val="32"/>
          <w:szCs w:val="32"/>
        </w:rPr>
        <w:t>收入包括：</w:t>
      </w:r>
      <w:r>
        <w:rPr>
          <w:rFonts w:hint="eastAsia" w:ascii="仿宋_GB2312" w:eastAsia="仿宋_GB2312" w:cs="Times New Roman"/>
          <w:sz w:val="32"/>
          <w:szCs w:val="32"/>
        </w:rPr>
        <w:t>一般公共预算拨款收入</w:t>
      </w:r>
      <w:r>
        <w:rPr>
          <w:rFonts w:hint="eastAsia" w:ascii="仿宋_GB2312" w:eastAsia="仿宋_GB2312" w:cs="Times New Roman"/>
          <w:sz w:val="32"/>
          <w:szCs w:val="32"/>
          <w:lang w:val="en-US" w:eastAsia="zh-CN"/>
        </w:rPr>
        <w:t>1554.59</w:t>
      </w:r>
      <w:r>
        <w:rPr>
          <w:rFonts w:hint="eastAsia" w:ascii="仿宋_GB2312" w:eastAsia="仿宋_GB2312" w:cs="Times New Roman"/>
          <w:sz w:val="32"/>
          <w:szCs w:val="32"/>
        </w:rPr>
        <w:t>万元，占100%；事业收入0万元，占0%；其他收入0万元，占0%。</w:t>
      </w:r>
    </w:p>
    <w:p w14:paraId="17A401B1">
      <w:pPr>
        <w:spacing w:line="540" w:lineRule="exact"/>
        <w:ind w:firstLine="640" w:firstLineChars="200"/>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支出包括：</w:t>
      </w:r>
      <w:r>
        <w:rPr>
          <w:rFonts w:hint="eastAsia" w:ascii="仿宋_GB2312" w:eastAsia="仿宋_GB2312" w:cs="Times New Roman"/>
          <w:sz w:val="32"/>
          <w:szCs w:val="32"/>
        </w:rPr>
        <w:t>一般公共服务支出0万元，教育支出0万元，文化体育与传媒支出0万元，科学技术支出0万元，社会保障和就业支出</w:t>
      </w:r>
      <w:r>
        <w:rPr>
          <w:rFonts w:hint="eastAsia" w:ascii="仿宋_GB2312" w:eastAsia="仿宋_GB2312" w:cs="Times New Roman"/>
          <w:sz w:val="32"/>
          <w:szCs w:val="32"/>
          <w:lang w:val="en-US" w:eastAsia="zh-CN"/>
        </w:rPr>
        <w:t>249.82</w:t>
      </w:r>
      <w:r>
        <w:rPr>
          <w:rFonts w:hint="eastAsia" w:ascii="仿宋_GB2312" w:eastAsia="仿宋_GB2312" w:cs="Times New Roman"/>
          <w:sz w:val="32"/>
          <w:szCs w:val="32"/>
        </w:rPr>
        <w:t>万元，卫生健康支出</w:t>
      </w:r>
      <w:r>
        <w:rPr>
          <w:rFonts w:hint="eastAsia" w:ascii="仿宋_GB2312" w:eastAsia="仿宋_GB2312" w:cs="Times New Roman"/>
          <w:sz w:val="32"/>
          <w:szCs w:val="32"/>
          <w:lang w:val="en-US" w:eastAsia="zh-CN"/>
        </w:rPr>
        <w:t>92.12</w:t>
      </w:r>
      <w:r>
        <w:rPr>
          <w:rFonts w:hint="eastAsia" w:ascii="仿宋_GB2312" w:eastAsia="仿宋_GB2312" w:cs="Times New Roman"/>
          <w:sz w:val="32"/>
          <w:szCs w:val="32"/>
        </w:rPr>
        <w:t>万元，农林水支出</w:t>
      </w:r>
      <w:r>
        <w:rPr>
          <w:rFonts w:hint="eastAsia" w:ascii="仿宋_GB2312" w:eastAsia="仿宋_GB2312" w:cs="Times New Roman"/>
          <w:sz w:val="32"/>
          <w:szCs w:val="32"/>
          <w:lang w:val="en-US" w:eastAsia="zh-CN"/>
        </w:rPr>
        <w:t>1087.37</w:t>
      </w:r>
      <w:r>
        <w:rPr>
          <w:rFonts w:hint="eastAsia" w:ascii="仿宋_GB2312" w:eastAsia="仿宋_GB2312" w:cs="Times New Roman"/>
          <w:sz w:val="32"/>
          <w:szCs w:val="32"/>
        </w:rPr>
        <w:t>万元，住房保障支出</w:t>
      </w:r>
      <w:r>
        <w:rPr>
          <w:rFonts w:hint="eastAsia" w:ascii="仿宋_GB2312" w:eastAsia="仿宋_GB2312" w:cs="Times New Roman"/>
          <w:sz w:val="32"/>
          <w:szCs w:val="32"/>
          <w:lang w:val="en-US" w:eastAsia="zh-CN"/>
        </w:rPr>
        <w:t>125.28</w:t>
      </w:r>
      <w:r>
        <w:rPr>
          <w:rFonts w:hint="eastAsia" w:ascii="仿宋_GB2312" w:eastAsia="仿宋_GB2312" w:cs="Times New Roman"/>
          <w:sz w:val="32"/>
          <w:szCs w:val="32"/>
        </w:rPr>
        <w:t>万元。</w:t>
      </w:r>
    </w:p>
    <w:p w14:paraId="1B48C8FF">
      <w:pPr>
        <w:ind w:firstLine="640" w:firstLineChars="200"/>
        <w:rPr>
          <w:rFonts w:ascii="黑体" w:eastAsia="黑体"/>
          <w:sz w:val="32"/>
          <w:szCs w:val="32"/>
        </w:rPr>
      </w:pPr>
      <w:r>
        <w:rPr>
          <w:rFonts w:hint="eastAsia" w:ascii="黑体" w:eastAsia="黑体"/>
          <w:sz w:val="32"/>
          <w:szCs w:val="32"/>
        </w:rPr>
        <w:t>五、一般公共预算当年拨款情况说明</w:t>
      </w:r>
    </w:p>
    <w:p w14:paraId="20568A18">
      <w:pPr>
        <w:ind w:firstLine="643" w:firstLineChars="200"/>
        <w:rPr>
          <w:rFonts w:hint="eastAsia" w:ascii="楷体" w:eastAsia="楷体"/>
          <w:b/>
          <w:bCs/>
          <w:sz w:val="32"/>
          <w:szCs w:val="32"/>
        </w:rPr>
      </w:pPr>
      <w:r>
        <w:rPr>
          <w:rFonts w:hint="eastAsia" w:ascii="楷体" w:eastAsia="楷体"/>
          <w:b/>
          <w:bCs/>
          <w:sz w:val="32"/>
          <w:szCs w:val="32"/>
        </w:rPr>
        <w:t>（一）一般公共预算当年拨款规模变化情况</w:t>
      </w:r>
    </w:p>
    <w:p w14:paraId="3C63A6AD">
      <w:pPr>
        <w:spacing w:line="54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部门2026年一般公共预算当年拨款1554.59万元，比2025年预算数减少1616.14万元，主要原因:机构改革，畜牧中心独立。</w:t>
      </w:r>
    </w:p>
    <w:p w14:paraId="35CD3446">
      <w:pPr>
        <w:ind w:firstLine="643" w:firstLineChars="200"/>
        <w:rPr>
          <w:rFonts w:hint="eastAsia" w:ascii="楷体" w:eastAsia="楷体"/>
          <w:b/>
          <w:bCs/>
          <w:sz w:val="32"/>
          <w:szCs w:val="32"/>
        </w:rPr>
      </w:pPr>
      <w:r>
        <w:rPr>
          <w:rFonts w:hint="eastAsia" w:ascii="楷体" w:eastAsia="楷体"/>
          <w:b/>
          <w:bCs/>
          <w:sz w:val="32"/>
          <w:szCs w:val="32"/>
        </w:rPr>
        <w:t>（二）一般公共预算当年拨款结构情况</w:t>
      </w:r>
    </w:p>
    <w:p w14:paraId="4D9DE6F3">
      <w:pPr>
        <w:pStyle w:val="11"/>
        <w:numPr>
          <w:ilvl w:val="0"/>
          <w:numId w:val="0"/>
        </w:numPr>
        <w:spacing w:before="0" w:line="360" w:lineRule="auto"/>
        <w:ind w:leftChars="-200" w:firstLine="640" w:firstLineChars="200"/>
        <w:jc w:val="left"/>
        <w:rPr>
          <w:rFonts w:cs="仿宋_GB2312"/>
          <w:kern w:val="2"/>
          <w:sz w:val="32"/>
          <w:szCs w:val="32"/>
        </w:rPr>
      </w:pPr>
      <w:r>
        <w:rPr>
          <w:rFonts w:hint="eastAsia" w:ascii="仿宋_GB2312" w:hAnsi="仿宋_GB2312" w:eastAsia="仿宋_GB2312" w:cs="仿宋_GB2312"/>
          <w:kern w:val="2"/>
          <w:sz w:val="32"/>
          <w:szCs w:val="32"/>
          <w:lang w:val="en-US" w:eastAsia="zh-CN" w:bidi="ar-SA"/>
        </w:rPr>
        <w:t>一般公共服务支出0万元</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教育支出0万元，文化体育与传媒支出0万元，科学技术支出0万元，社会保障和就业支出</w:t>
      </w:r>
      <w:r>
        <w:rPr>
          <w:rFonts w:hint="eastAsia" w:hAnsi="仿宋_GB2312" w:cs="仿宋_GB2312"/>
          <w:kern w:val="2"/>
          <w:sz w:val="32"/>
          <w:szCs w:val="32"/>
          <w:lang w:val="en-US" w:eastAsia="zh-CN" w:bidi="ar-SA"/>
        </w:rPr>
        <w:t>249.82</w:t>
      </w:r>
      <w:r>
        <w:rPr>
          <w:rFonts w:hint="eastAsia" w:ascii="仿宋_GB2312" w:hAnsi="仿宋_GB2312" w:eastAsia="仿宋_GB2312" w:cs="仿宋_GB2312"/>
          <w:kern w:val="2"/>
          <w:sz w:val="32"/>
          <w:szCs w:val="32"/>
          <w:lang w:val="en-US" w:eastAsia="zh-CN" w:bidi="ar-SA"/>
        </w:rPr>
        <w:t>万元，</w:t>
      </w:r>
      <w:r>
        <w:rPr>
          <w:rFonts w:hint="eastAsia" w:hAnsi="仿宋_GB2312" w:cs="仿宋_GB2312"/>
          <w:kern w:val="2"/>
          <w:sz w:val="32"/>
          <w:szCs w:val="32"/>
          <w:lang w:val="en-US" w:eastAsia="zh-CN" w:bidi="ar-SA"/>
        </w:rPr>
        <w:t>占16.07%。</w:t>
      </w:r>
      <w:r>
        <w:rPr>
          <w:rFonts w:hint="eastAsia" w:ascii="仿宋_GB2312" w:hAnsi="仿宋_GB2312" w:eastAsia="仿宋_GB2312" w:cs="仿宋_GB2312"/>
          <w:kern w:val="2"/>
          <w:sz w:val="32"/>
          <w:szCs w:val="32"/>
          <w:lang w:val="en-US" w:eastAsia="zh-CN" w:bidi="ar-SA"/>
        </w:rPr>
        <w:t>卫生健康支出</w:t>
      </w:r>
      <w:r>
        <w:rPr>
          <w:rFonts w:hint="eastAsia" w:hAnsi="仿宋_GB2312" w:cs="仿宋_GB2312"/>
          <w:kern w:val="2"/>
          <w:sz w:val="32"/>
          <w:szCs w:val="32"/>
          <w:lang w:val="en-US" w:eastAsia="zh-CN" w:bidi="ar-SA"/>
        </w:rPr>
        <w:t>92.12</w:t>
      </w:r>
      <w:r>
        <w:rPr>
          <w:rFonts w:hint="eastAsia" w:ascii="仿宋_GB2312" w:hAnsi="仿宋_GB2312" w:eastAsia="仿宋_GB2312" w:cs="仿宋_GB2312"/>
          <w:kern w:val="2"/>
          <w:sz w:val="32"/>
          <w:szCs w:val="32"/>
          <w:lang w:val="en-US" w:eastAsia="zh-CN" w:bidi="ar-SA"/>
        </w:rPr>
        <w:t>万元，</w:t>
      </w:r>
      <w:r>
        <w:rPr>
          <w:rFonts w:hint="eastAsia" w:hAnsi="仿宋_GB2312" w:cs="仿宋_GB2312"/>
          <w:kern w:val="2"/>
          <w:sz w:val="32"/>
          <w:szCs w:val="32"/>
          <w:lang w:val="en-US" w:eastAsia="zh-CN" w:bidi="ar-SA"/>
        </w:rPr>
        <w:t>占5.93%</w:t>
      </w:r>
      <w:r>
        <w:rPr>
          <w:rFonts w:hint="eastAsia" w:ascii="仿宋_GB2312" w:hAnsi="仿宋_GB2312" w:eastAsia="仿宋_GB2312" w:cs="仿宋_GB2312"/>
          <w:kern w:val="2"/>
          <w:sz w:val="32"/>
          <w:szCs w:val="32"/>
          <w:lang w:val="en-US" w:eastAsia="zh-CN" w:bidi="ar-SA"/>
        </w:rPr>
        <w:t>农林水支出</w:t>
      </w:r>
      <w:r>
        <w:rPr>
          <w:rFonts w:hint="eastAsia" w:hAnsi="仿宋_GB2312" w:cs="仿宋_GB2312"/>
          <w:kern w:val="2"/>
          <w:sz w:val="32"/>
          <w:szCs w:val="32"/>
          <w:lang w:val="en-US" w:eastAsia="zh-CN" w:bidi="ar-SA"/>
        </w:rPr>
        <w:t>1087.37</w:t>
      </w:r>
      <w:r>
        <w:rPr>
          <w:rFonts w:hint="eastAsia" w:ascii="仿宋_GB2312" w:hAnsi="仿宋_GB2312" w:eastAsia="仿宋_GB2312" w:cs="仿宋_GB2312"/>
          <w:kern w:val="2"/>
          <w:sz w:val="32"/>
          <w:szCs w:val="32"/>
          <w:lang w:val="en-US" w:eastAsia="zh-CN" w:bidi="ar-SA"/>
        </w:rPr>
        <w:t>万元，</w:t>
      </w:r>
      <w:r>
        <w:rPr>
          <w:rFonts w:hint="eastAsia" w:hAnsi="仿宋_GB2312" w:cs="仿宋_GB2312"/>
          <w:kern w:val="2"/>
          <w:sz w:val="32"/>
          <w:szCs w:val="32"/>
          <w:lang w:val="en-US" w:eastAsia="zh-CN" w:bidi="ar-SA"/>
        </w:rPr>
        <w:t>占69.95%。</w:t>
      </w:r>
      <w:r>
        <w:rPr>
          <w:rFonts w:hint="eastAsia" w:ascii="仿宋_GB2312" w:hAnsi="仿宋_GB2312" w:eastAsia="仿宋_GB2312" w:cs="仿宋_GB2312"/>
          <w:kern w:val="2"/>
          <w:sz w:val="32"/>
          <w:szCs w:val="32"/>
          <w:lang w:val="en-US" w:eastAsia="zh-CN" w:bidi="ar-SA"/>
        </w:rPr>
        <w:t>住房保障支出</w:t>
      </w:r>
      <w:r>
        <w:rPr>
          <w:rFonts w:hint="eastAsia" w:hAnsi="仿宋_GB2312" w:cs="仿宋_GB2312"/>
          <w:kern w:val="2"/>
          <w:sz w:val="32"/>
          <w:szCs w:val="32"/>
          <w:lang w:val="en-US" w:eastAsia="zh-CN" w:bidi="ar-SA"/>
        </w:rPr>
        <w:t>125.28</w:t>
      </w:r>
      <w:r>
        <w:rPr>
          <w:rFonts w:hint="eastAsia" w:ascii="仿宋_GB2312" w:hAnsi="仿宋_GB2312" w:eastAsia="仿宋_GB2312" w:cs="仿宋_GB2312"/>
          <w:kern w:val="2"/>
          <w:sz w:val="32"/>
          <w:szCs w:val="32"/>
          <w:lang w:val="en-US" w:eastAsia="zh-CN" w:bidi="ar-SA"/>
        </w:rPr>
        <w:t>万元</w:t>
      </w:r>
      <w:r>
        <w:rPr>
          <w:rFonts w:hint="eastAsia" w:hAnsi="仿宋_GB2312" w:cs="仿宋_GB2312"/>
          <w:kern w:val="2"/>
          <w:sz w:val="32"/>
          <w:szCs w:val="32"/>
          <w:lang w:val="en-US" w:eastAsia="zh-CN" w:bidi="ar-SA"/>
        </w:rPr>
        <w:t>，占8.05%</w:t>
      </w:r>
      <w:r>
        <w:rPr>
          <w:rFonts w:hint="eastAsia" w:ascii="仿宋_GB2312" w:hAnsi="仿宋_GB2312" w:eastAsia="仿宋_GB2312" w:cs="仿宋_GB2312"/>
          <w:kern w:val="2"/>
          <w:sz w:val="32"/>
          <w:szCs w:val="32"/>
          <w:lang w:val="en-US" w:eastAsia="zh-CN" w:bidi="ar-SA"/>
        </w:rPr>
        <w:t>。</w:t>
      </w:r>
    </w:p>
    <w:p w14:paraId="27664285">
      <w:pPr>
        <w:ind w:firstLine="643" w:firstLineChars="200"/>
        <w:rPr>
          <w:rFonts w:hint="eastAsia" w:ascii="楷体" w:eastAsia="楷体"/>
          <w:b/>
          <w:bCs/>
          <w:sz w:val="32"/>
          <w:szCs w:val="32"/>
        </w:rPr>
      </w:pPr>
      <w:r>
        <w:rPr>
          <w:rFonts w:hint="eastAsia" w:ascii="楷体" w:eastAsia="楷体"/>
          <w:b/>
          <w:bCs/>
          <w:sz w:val="32"/>
          <w:szCs w:val="32"/>
          <w:lang w:eastAsia="zh-CN"/>
        </w:rPr>
        <w:t>（</w:t>
      </w:r>
      <w:r>
        <w:rPr>
          <w:rFonts w:hint="eastAsia" w:ascii="楷体" w:eastAsia="楷体"/>
          <w:b/>
          <w:bCs/>
          <w:sz w:val="32"/>
          <w:szCs w:val="32"/>
          <w:lang w:val="en-US" w:eastAsia="zh-CN"/>
        </w:rPr>
        <w:t>三</w:t>
      </w:r>
      <w:r>
        <w:rPr>
          <w:rFonts w:hint="eastAsia" w:ascii="楷体" w:eastAsia="楷体"/>
          <w:b/>
          <w:bCs/>
          <w:sz w:val="32"/>
          <w:szCs w:val="32"/>
          <w:lang w:eastAsia="zh-CN"/>
        </w:rPr>
        <w:t>）</w:t>
      </w:r>
      <w:r>
        <w:rPr>
          <w:rFonts w:hint="eastAsia" w:ascii="楷体" w:eastAsia="楷体"/>
          <w:b/>
          <w:bCs/>
          <w:sz w:val="32"/>
          <w:szCs w:val="32"/>
        </w:rPr>
        <w:t>一般公共预算当年拨款具体使用情况</w:t>
      </w:r>
    </w:p>
    <w:p w14:paraId="00C6F0B9">
      <w:pPr>
        <w:spacing w:line="540" w:lineRule="exact"/>
        <w:ind w:left="638" w:leftChars="304" w:firstLine="0" w:firstLineChars="0"/>
        <w:jc w:val="left"/>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1.社会保障和就业2026年预算数为249.82万元，主要用于工资福利支出。</w:t>
      </w:r>
    </w:p>
    <w:p w14:paraId="72231EF4">
      <w:pPr>
        <w:spacing w:line="540" w:lineRule="exact"/>
        <w:ind w:firstLine="640" w:firstLineChars="200"/>
        <w:jc w:val="left"/>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2.农林水2026年预算数为1087.37万元，主要用于工资福利支出、商品服务性支出、对个人和家庭补助支出和项目支出等。</w:t>
      </w:r>
    </w:p>
    <w:p w14:paraId="249BAD7A">
      <w:pPr>
        <w:spacing w:line="540" w:lineRule="exact"/>
        <w:ind w:firstLine="640" w:firstLineChars="200"/>
        <w:jc w:val="left"/>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3.住房保障2026年预算数为125.29万元，主要用于住房公积金支出。</w:t>
      </w:r>
    </w:p>
    <w:p w14:paraId="4DBFFD43">
      <w:pPr>
        <w:spacing w:line="540" w:lineRule="exact"/>
        <w:ind w:firstLine="640" w:firstLineChars="200"/>
        <w:jc w:val="left"/>
        <w:rPr>
          <w:rFonts w:hint="eastAsia" w:ascii="楷体" w:eastAsia="楷体" w:cs="仿宋_GB2312"/>
          <w:kern w:val="2"/>
          <w:sz w:val="32"/>
          <w:szCs w:val="32"/>
        </w:rPr>
      </w:pPr>
      <w:r>
        <w:rPr>
          <w:rFonts w:hint="eastAsia" w:ascii="仿宋_GB2312" w:eastAsia="仿宋_GB2312" w:cs="Times New Roman"/>
          <w:sz w:val="32"/>
          <w:szCs w:val="32"/>
          <w:lang w:val="en-US" w:eastAsia="zh-CN"/>
        </w:rPr>
        <w:t>4.卫生健康2026年预算数为92.12万元，主要用于医疗保险支出。</w:t>
      </w:r>
    </w:p>
    <w:p w14:paraId="3A5485AB">
      <w:pPr>
        <w:pStyle w:val="11"/>
        <w:spacing w:before="0" w:line="360" w:lineRule="auto"/>
        <w:ind w:firstLine="660"/>
        <w:rPr>
          <w:rFonts w:hint="eastAsia" w:ascii="黑体" w:eastAsia="黑体"/>
          <w:sz w:val="32"/>
          <w:szCs w:val="32"/>
        </w:rPr>
      </w:pPr>
      <w:r>
        <w:rPr>
          <w:rFonts w:hint="eastAsia" w:ascii="黑体" w:eastAsia="黑体"/>
          <w:sz w:val="32"/>
          <w:szCs w:val="32"/>
        </w:rPr>
        <w:t>六、一般公共预算基本支出情况说明</w:t>
      </w:r>
    </w:p>
    <w:p w14:paraId="2D15BAA4">
      <w:pPr>
        <w:pStyle w:val="11"/>
        <w:spacing w:before="0" w:line="360" w:lineRule="auto"/>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部</w:t>
      </w:r>
      <w:r>
        <w:rPr>
          <w:rFonts w:hint="eastAsia" w:cs="Times New Roman"/>
          <w:kern w:val="2"/>
          <w:sz w:val="32"/>
          <w:szCs w:val="32"/>
          <w:lang w:val="en-US" w:eastAsia="zh-CN" w:bidi="ar-SA"/>
        </w:rPr>
        <w:t>门</w:t>
      </w:r>
      <w:r>
        <w:rPr>
          <w:rFonts w:hint="eastAsia" w:ascii="仿宋_GB2312" w:hAnsi="Calibri" w:eastAsia="仿宋_GB2312" w:cs="Times New Roman"/>
          <w:kern w:val="2"/>
          <w:sz w:val="32"/>
          <w:szCs w:val="32"/>
          <w:lang w:val="en-US" w:eastAsia="zh-CN" w:bidi="ar-SA"/>
        </w:rPr>
        <w:t>202</w:t>
      </w:r>
      <w:r>
        <w:rPr>
          <w:rFonts w:hint="eastAsia" w:cs="Times New Roman"/>
          <w:kern w:val="2"/>
          <w:sz w:val="32"/>
          <w:szCs w:val="32"/>
          <w:lang w:val="en-US" w:eastAsia="zh-CN" w:bidi="ar-SA"/>
        </w:rPr>
        <w:t>6</w:t>
      </w:r>
      <w:r>
        <w:rPr>
          <w:rFonts w:hint="eastAsia" w:ascii="仿宋_GB2312" w:hAnsi="Calibri" w:eastAsia="仿宋_GB2312" w:cs="Times New Roman"/>
          <w:kern w:val="2"/>
          <w:sz w:val="32"/>
          <w:szCs w:val="32"/>
          <w:lang w:val="en-US" w:eastAsia="zh-CN" w:bidi="ar-SA"/>
        </w:rPr>
        <w:t>年一般公共预算基本支出</w:t>
      </w:r>
      <w:r>
        <w:rPr>
          <w:rFonts w:hint="eastAsia" w:cs="Times New Roman"/>
          <w:kern w:val="2"/>
          <w:sz w:val="32"/>
          <w:szCs w:val="32"/>
          <w:lang w:val="en-US" w:eastAsia="zh-CN" w:bidi="ar-SA"/>
        </w:rPr>
        <w:t>1554.69</w:t>
      </w:r>
      <w:r>
        <w:rPr>
          <w:rFonts w:hint="eastAsia" w:ascii="仿宋_GB2312" w:hAnsi="Calibri" w:eastAsia="仿宋_GB2312" w:cs="Times New Roman"/>
          <w:kern w:val="2"/>
          <w:sz w:val="32"/>
          <w:szCs w:val="32"/>
          <w:lang w:val="en-US" w:eastAsia="zh-CN" w:bidi="ar-SA"/>
        </w:rPr>
        <w:t>万元，其中：人员经费</w:t>
      </w:r>
      <w:r>
        <w:rPr>
          <w:rFonts w:hint="eastAsia" w:cs="Times New Roman"/>
          <w:kern w:val="2"/>
          <w:sz w:val="32"/>
          <w:szCs w:val="32"/>
          <w:lang w:val="en-US" w:eastAsia="zh-CN" w:bidi="ar-SA"/>
        </w:rPr>
        <w:t>1472.99</w:t>
      </w:r>
      <w:r>
        <w:rPr>
          <w:rFonts w:hint="eastAsia" w:ascii="仿宋_GB2312" w:hAnsi="Calibri" w:eastAsia="仿宋_GB2312" w:cs="Times New Roman"/>
          <w:kern w:val="2"/>
          <w:sz w:val="32"/>
          <w:szCs w:val="32"/>
          <w:lang w:val="en-US" w:eastAsia="zh-CN" w:bidi="ar-SA"/>
        </w:rPr>
        <w:t>万元，主要包括：基本工资、津贴补贴、奖金、其他社会保障缴费、绩效工资、机关事业单位基本养老保险缴费、职业年金缴费、其他工资福利支出、离休费、奖励金、住房公积金、其他对个人和家庭的补助支出。</w:t>
      </w:r>
    </w:p>
    <w:p w14:paraId="26EB6725">
      <w:pPr>
        <w:pStyle w:val="11"/>
        <w:spacing w:before="0" w:line="360" w:lineRule="auto"/>
        <w:ind w:firstLine="979" w:firstLineChars="306"/>
        <w:rPr>
          <w:rFonts w:ascii="黑体" w:eastAsia="黑体"/>
          <w:sz w:val="32"/>
          <w:szCs w:val="32"/>
        </w:rPr>
      </w:pPr>
      <w:r>
        <w:rPr>
          <w:rFonts w:hint="eastAsia" w:ascii="仿宋_GB2312" w:hAnsi="Calibri" w:eastAsia="仿宋_GB2312" w:cs="Times New Roman"/>
          <w:kern w:val="2"/>
          <w:sz w:val="32"/>
          <w:szCs w:val="32"/>
          <w:lang w:val="en-US" w:eastAsia="zh-CN" w:bidi="ar-SA"/>
        </w:rPr>
        <w:t>公用经费</w:t>
      </w:r>
      <w:r>
        <w:rPr>
          <w:rFonts w:hint="eastAsia" w:cs="Times New Roman"/>
          <w:kern w:val="2"/>
          <w:sz w:val="32"/>
          <w:szCs w:val="32"/>
          <w:lang w:val="en-US" w:eastAsia="zh-CN" w:bidi="ar-SA"/>
        </w:rPr>
        <w:t>81.6</w:t>
      </w:r>
      <w:r>
        <w:rPr>
          <w:rFonts w:hint="eastAsia" w:ascii="仿宋_GB2312" w:hAnsi="Calibri" w:eastAsia="仿宋_GB2312" w:cs="Times New Roman"/>
          <w:kern w:val="2"/>
          <w:sz w:val="32"/>
          <w:szCs w:val="32"/>
          <w:lang w:val="en-US" w:eastAsia="zh-CN" w:bidi="ar-SA"/>
        </w:rPr>
        <w:t>万元，主要包括：办公费、印刷费、手续费、水费、电费、邮电费、差旅费、维修（护）费、租赁费、会议费、培训费、劳务费、工会经费、福利费、其他交通工具运行维护费、其他商品和服务支出。</w:t>
      </w:r>
      <w:r>
        <w:rPr>
          <w:rFonts w:hint="eastAsia" w:ascii="仿宋_GB2312" w:hAnsi="Calibri" w:eastAsia="仿宋_GB2312" w:cs="Times New Roman"/>
          <w:kern w:val="2"/>
          <w:sz w:val="32"/>
          <w:szCs w:val="32"/>
          <w:lang w:val="en-US" w:eastAsia="zh-CN" w:bidi="ar-SA"/>
        </w:rPr>
        <w:br w:type="textWrapping"/>
      </w:r>
      <w:r>
        <w:rPr>
          <w:rFonts w:hint="eastAsia" w:cs="Times New Roman"/>
          <w:kern w:val="2"/>
          <w:sz w:val="32"/>
          <w:szCs w:val="32"/>
          <w:lang w:val="en-US" w:eastAsia="zh-CN" w:bidi="ar-SA"/>
        </w:rPr>
        <w:t xml:space="preserve">  </w:t>
      </w:r>
      <w:r>
        <w:rPr>
          <w:rFonts w:hint="eastAsia" w:ascii="黑体" w:eastAsia="黑体"/>
          <w:sz w:val="32"/>
          <w:szCs w:val="32"/>
        </w:rPr>
        <w:t xml:space="preserve">  七、“三公”经费财政拨款预算安排情况说明</w:t>
      </w:r>
    </w:p>
    <w:p w14:paraId="0A5BA113">
      <w:pPr>
        <w:pStyle w:val="11"/>
        <w:spacing w:before="0" w:line="360" w:lineRule="auto"/>
        <w:ind w:firstLine="640" w:firstLineChars="200"/>
        <w:rPr>
          <w:rFonts w:cs="仿宋_GB2312"/>
          <w:kern w:val="2"/>
          <w:sz w:val="32"/>
          <w:szCs w:val="32"/>
        </w:rPr>
      </w:pPr>
      <w:r>
        <w:rPr>
          <w:rFonts w:hint="eastAsia" w:cs="仿宋_GB2312"/>
          <w:kern w:val="2"/>
          <w:sz w:val="32"/>
          <w:szCs w:val="32"/>
        </w:rPr>
        <w:t>部门</w:t>
      </w:r>
      <w:r>
        <w:rPr>
          <w:rFonts w:hint="eastAsia" w:cs="仿宋_GB2312"/>
          <w:kern w:val="2"/>
          <w:sz w:val="32"/>
          <w:szCs w:val="32"/>
          <w:lang w:eastAsia="zh-CN"/>
        </w:rPr>
        <w:t>2026</w:t>
      </w:r>
      <w:r>
        <w:rPr>
          <w:rFonts w:hint="eastAsia" w:cs="仿宋_GB2312"/>
          <w:kern w:val="2"/>
          <w:sz w:val="32"/>
          <w:szCs w:val="32"/>
        </w:rPr>
        <w:t>年“三公”经费财政拨款预算数</w:t>
      </w:r>
      <w:r>
        <w:rPr>
          <w:rFonts w:hint="eastAsia" w:cs="仿宋_GB2312"/>
          <w:kern w:val="2"/>
          <w:sz w:val="32"/>
          <w:szCs w:val="32"/>
          <w:lang w:val="en-US" w:eastAsia="zh-CN"/>
        </w:rPr>
        <w:t>15</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1</w:t>
      </w:r>
      <w:r>
        <w:rPr>
          <w:rFonts w:hint="eastAsia" w:cs="仿宋_GB2312"/>
          <w:kern w:val="2"/>
          <w:sz w:val="32"/>
          <w:szCs w:val="32"/>
        </w:rPr>
        <w:t>万元，公务用车购置及运行维护费</w:t>
      </w:r>
      <w:r>
        <w:rPr>
          <w:rFonts w:hint="eastAsia" w:cs="仿宋_GB2312"/>
          <w:kern w:val="2"/>
          <w:sz w:val="32"/>
          <w:szCs w:val="32"/>
          <w:lang w:val="en-US" w:eastAsia="zh-CN"/>
        </w:rPr>
        <w:t>14</w:t>
      </w:r>
      <w:r>
        <w:rPr>
          <w:rFonts w:hint="eastAsia" w:cs="仿宋_GB2312"/>
          <w:kern w:val="2"/>
          <w:sz w:val="32"/>
          <w:szCs w:val="32"/>
        </w:rPr>
        <w:t>万元。</w:t>
      </w:r>
    </w:p>
    <w:p w14:paraId="770B4B60">
      <w:pPr>
        <w:ind w:firstLine="643" w:firstLineChars="200"/>
        <w:rPr>
          <w:rFonts w:hint="eastAsia" w:ascii="楷体" w:eastAsia="楷体"/>
          <w:b/>
          <w:bCs/>
          <w:sz w:val="32"/>
          <w:szCs w:val="32"/>
        </w:rPr>
      </w:pPr>
      <w:r>
        <w:rPr>
          <w:rFonts w:hint="eastAsia" w:ascii="楷体" w:eastAsia="楷体"/>
          <w:b/>
          <w:bCs/>
          <w:sz w:val="32"/>
          <w:szCs w:val="32"/>
        </w:rPr>
        <w:t>（一）</w:t>
      </w:r>
      <w:r>
        <w:rPr>
          <w:rFonts w:hint="eastAsia" w:ascii="楷体" w:eastAsia="楷体"/>
          <w:b/>
          <w:bCs/>
          <w:sz w:val="32"/>
          <w:szCs w:val="32"/>
          <w:lang w:eastAsia="zh-CN"/>
        </w:rPr>
        <w:t>2026</w:t>
      </w:r>
      <w:r>
        <w:rPr>
          <w:rFonts w:hint="eastAsia" w:ascii="楷体" w:eastAsia="楷体"/>
          <w:b/>
          <w:bCs/>
          <w:sz w:val="32"/>
          <w:szCs w:val="32"/>
        </w:rPr>
        <w:t>年因公出国（境）经费</w:t>
      </w:r>
      <w:r>
        <w:rPr>
          <w:rFonts w:hint="eastAsia" w:ascii="楷体" w:eastAsia="楷体"/>
          <w:b/>
          <w:bCs/>
          <w:sz w:val="32"/>
          <w:szCs w:val="32"/>
          <w:lang w:val="en-US" w:eastAsia="zh-CN"/>
        </w:rPr>
        <w:t>0</w:t>
      </w:r>
      <w:r>
        <w:rPr>
          <w:rFonts w:hint="eastAsia" w:ascii="楷体" w:eastAsia="楷体"/>
          <w:b/>
          <w:bCs/>
          <w:sz w:val="32"/>
          <w:szCs w:val="32"/>
        </w:rPr>
        <w:t>万元。</w:t>
      </w:r>
    </w:p>
    <w:p w14:paraId="48E8BC1F">
      <w:pPr>
        <w:pStyle w:val="11"/>
        <w:spacing w:before="0" w:line="360" w:lineRule="auto"/>
        <w:ind w:firstLine="643" w:firstLineChars="200"/>
        <w:rPr>
          <w:rFonts w:hint="eastAsia" w:cs="宋体"/>
          <w:sz w:val="32"/>
          <w:szCs w:val="32"/>
          <w:lang w:val="en-US" w:eastAsia="zh-CN"/>
        </w:rPr>
      </w:pPr>
      <w:r>
        <w:rPr>
          <w:rFonts w:hint="eastAsia" w:ascii="楷体" w:hAnsi="Calibri" w:eastAsia="楷体" w:cs="Times New Roman"/>
          <w:b/>
          <w:bCs/>
          <w:kern w:val="2"/>
          <w:sz w:val="32"/>
          <w:szCs w:val="32"/>
          <w:lang w:val="en-US" w:eastAsia="zh-CN" w:bidi="ar-SA"/>
        </w:rPr>
        <w:t>（二）2026年公务接待经费1万元。</w:t>
      </w:r>
      <w:r>
        <w:rPr>
          <w:rFonts w:hint="eastAsia" w:cs="仿宋_GB2312"/>
          <w:color w:val="000000"/>
          <w:kern w:val="2"/>
          <w:sz w:val="32"/>
          <w:szCs w:val="32"/>
        </w:rPr>
        <w:t>较</w:t>
      </w:r>
      <w:r>
        <w:rPr>
          <w:rFonts w:hint="eastAsia" w:cs="仿宋_GB2312"/>
          <w:color w:val="000000"/>
          <w:kern w:val="2"/>
          <w:sz w:val="32"/>
          <w:szCs w:val="32"/>
          <w:lang w:eastAsia="zh-CN"/>
        </w:rPr>
        <w:t>2025</w:t>
      </w:r>
      <w:r>
        <w:rPr>
          <w:rFonts w:hint="eastAsia" w:cs="仿宋_GB2312"/>
          <w:color w:val="000000"/>
          <w:kern w:val="2"/>
          <w:sz w:val="32"/>
          <w:szCs w:val="32"/>
        </w:rPr>
        <w:t>年预算经费</w:t>
      </w:r>
      <w:r>
        <w:rPr>
          <w:rFonts w:hint="eastAsia" w:cs="宋体"/>
          <w:sz w:val="32"/>
          <w:szCs w:val="32"/>
          <w:lang w:val="en-US" w:eastAsia="zh-CN"/>
        </w:rPr>
        <w:t>持平。</w:t>
      </w:r>
    </w:p>
    <w:p w14:paraId="52CF3C7D">
      <w:pPr>
        <w:pStyle w:val="11"/>
        <w:spacing w:before="0" w:line="360" w:lineRule="auto"/>
        <w:ind w:firstLine="643" w:firstLineChars="200"/>
        <w:rPr>
          <w:rFonts w:hint="default" w:cs="仿宋_GB2312"/>
          <w:color w:val="000000"/>
          <w:kern w:val="2"/>
          <w:sz w:val="32"/>
          <w:szCs w:val="32"/>
          <w:lang w:val="en-US" w:eastAsia="zh-CN"/>
        </w:rPr>
      </w:pPr>
      <w:r>
        <w:rPr>
          <w:rFonts w:hint="eastAsia" w:ascii="楷体" w:hAnsi="Calibri" w:eastAsia="楷体" w:cs="Times New Roman"/>
          <w:b/>
          <w:bCs/>
          <w:kern w:val="2"/>
          <w:sz w:val="32"/>
          <w:szCs w:val="32"/>
          <w:lang w:val="en-US" w:eastAsia="zh-CN" w:bidi="ar-SA"/>
        </w:rPr>
        <w:t>（三）2026年公务用车购置及运行维护费14万元。</w:t>
      </w:r>
      <w:r>
        <w:rPr>
          <w:rFonts w:hint="eastAsia" w:cs="仿宋_GB2312"/>
          <w:color w:val="000000"/>
          <w:kern w:val="2"/>
          <w:sz w:val="32"/>
          <w:szCs w:val="32"/>
        </w:rPr>
        <w:t>较</w:t>
      </w:r>
      <w:r>
        <w:rPr>
          <w:rFonts w:hint="eastAsia" w:cs="仿宋_GB2312"/>
          <w:color w:val="000000"/>
          <w:kern w:val="2"/>
          <w:sz w:val="32"/>
          <w:szCs w:val="32"/>
          <w:lang w:eastAsia="zh-CN"/>
        </w:rPr>
        <w:t>2025</w:t>
      </w:r>
      <w:r>
        <w:rPr>
          <w:rFonts w:hint="eastAsia" w:cs="仿宋_GB2312"/>
          <w:color w:val="000000"/>
          <w:kern w:val="2"/>
          <w:sz w:val="32"/>
          <w:szCs w:val="32"/>
        </w:rPr>
        <w:t>年预算经费减少</w:t>
      </w:r>
      <w:r>
        <w:rPr>
          <w:rFonts w:hint="eastAsia" w:cs="仿宋_GB2312"/>
          <w:color w:val="000000"/>
          <w:kern w:val="2"/>
          <w:sz w:val="32"/>
          <w:szCs w:val="32"/>
          <w:lang w:val="en-US" w:eastAsia="zh-CN"/>
        </w:rPr>
        <w:t>8</w:t>
      </w:r>
      <w:r>
        <w:rPr>
          <w:rFonts w:hint="eastAsia" w:cs="仿宋_GB2312"/>
          <w:color w:val="000000"/>
          <w:kern w:val="2"/>
          <w:sz w:val="32"/>
          <w:szCs w:val="32"/>
        </w:rPr>
        <w:t>万元，</w:t>
      </w:r>
      <w:r>
        <w:rPr>
          <w:rFonts w:hint="eastAsia" w:cs="仿宋_GB2312"/>
          <w:color w:val="000000"/>
          <w:kern w:val="2"/>
          <w:sz w:val="32"/>
          <w:szCs w:val="32"/>
          <w:lang w:val="en-US" w:eastAsia="zh-CN"/>
        </w:rPr>
        <w:t>减少36.36</w:t>
      </w:r>
      <w:r>
        <w:rPr>
          <w:rFonts w:hint="eastAsia" w:cs="仿宋_GB2312"/>
          <w:color w:val="000000"/>
          <w:kern w:val="2"/>
          <w:sz w:val="32"/>
          <w:szCs w:val="32"/>
        </w:rPr>
        <w:t>%，主要原因</w:t>
      </w:r>
      <w:r>
        <w:rPr>
          <w:rFonts w:hint="eastAsia" w:cs="仿宋_GB2312"/>
          <w:color w:val="000000"/>
          <w:kern w:val="2"/>
          <w:sz w:val="32"/>
          <w:szCs w:val="32"/>
          <w:lang w:val="en-US" w:eastAsia="zh-CN"/>
        </w:rPr>
        <w:t>机构改革,畜牧中心独立，经费减少。</w:t>
      </w:r>
    </w:p>
    <w:p w14:paraId="78E427A0">
      <w:pPr>
        <w:pStyle w:val="11"/>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0FF4BAE6">
      <w:pPr>
        <w:pStyle w:val="11"/>
        <w:spacing w:before="0" w:line="360" w:lineRule="auto"/>
        <w:ind w:firstLine="640" w:firstLineChars="200"/>
        <w:rPr>
          <w:rFonts w:hint="eastAsia" w:cs="仿宋_GB2312"/>
          <w:kern w:val="2"/>
          <w:sz w:val="32"/>
          <w:szCs w:val="32"/>
          <w:lang w:val="en-US" w:eastAsia="zh-CN"/>
        </w:rPr>
      </w:pPr>
      <w:r>
        <w:rPr>
          <w:rFonts w:hint="eastAsia" w:cs="仿宋_GB2312"/>
          <w:kern w:val="2"/>
          <w:sz w:val="32"/>
          <w:szCs w:val="32"/>
        </w:rPr>
        <w:t>部门</w:t>
      </w:r>
      <w:r>
        <w:rPr>
          <w:rFonts w:hint="eastAsia" w:cs="仿宋_GB2312"/>
          <w:kern w:val="2"/>
          <w:sz w:val="32"/>
          <w:szCs w:val="32"/>
          <w:lang w:eastAsia="zh-CN"/>
        </w:rPr>
        <w:t>2026</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万元。较</w:t>
      </w:r>
      <w:r>
        <w:rPr>
          <w:rFonts w:hint="eastAsia" w:cs="仿宋_GB2312"/>
          <w:kern w:val="2"/>
          <w:sz w:val="32"/>
          <w:szCs w:val="32"/>
          <w:lang w:eastAsia="zh-CN"/>
        </w:rPr>
        <w:t>2025</w:t>
      </w:r>
      <w:r>
        <w:rPr>
          <w:rFonts w:hint="eastAsia" w:cs="仿宋_GB2312"/>
          <w:kern w:val="2"/>
          <w:sz w:val="32"/>
          <w:szCs w:val="32"/>
        </w:rPr>
        <w:t>年预算经费</w:t>
      </w:r>
      <w:r>
        <w:rPr>
          <w:rFonts w:hint="eastAsia" w:cs="仿宋_GB2312"/>
          <w:kern w:val="2"/>
          <w:sz w:val="32"/>
          <w:szCs w:val="32"/>
          <w:lang w:val="en-US" w:eastAsia="zh-CN"/>
        </w:rPr>
        <w:t>持平</w:t>
      </w:r>
    </w:p>
    <w:p w14:paraId="6D3A6B5D">
      <w:pPr>
        <w:pStyle w:val="11"/>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55139742">
      <w:pPr>
        <w:pStyle w:val="11"/>
        <w:spacing w:before="0" w:line="360" w:lineRule="auto"/>
        <w:ind w:firstLine="643" w:firstLineChars="200"/>
        <w:rPr>
          <w:rFonts w:cs="仿宋_GB2312"/>
          <w:color w:val="FF0000"/>
          <w:kern w:val="2"/>
          <w:sz w:val="32"/>
          <w:szCs w:val="32"/>
        </w:rPr>
      </w:pPr>
      <w:r>
        <w:rPr>
          <w:rFonts w:hint="eastAsia" w:ascii="楷体" w:hAnsi="Calibri" w:eastAsia="楷体" w:cs="Times New Roman"/>
          <w:b/>
          <w:bCs/>
          <w:kern w:val="2"/>
          <w:sz w:val="32"/>
          <w:szCs w:val="32"/>
          <w:lang w:val="en-US" w:eastAsia="zh-CN" w:bidi="ar-SA"/>
        </w:rPr>
        <w:t>（一）机关运行经费</w:t>
      </w:r>
      <w:r>
        <w:rPr>
          <w:rFonts w:hint="eastAsia" w:cs="仿宋_GB2312"/>
          <w:kern w:val="2"/>
          <w:sz w:val="32"/>
          <w:szCs w:val="32"/>
        </w:rPr>
        <w:br w:type="textWrapping"/>
      </w:r>
      <w:r>
        <w:rPr>
          <w:rFonts w:hint="eastAsia" w:cs="仿宋_GB2312"/>
          <w:kern w:val="2"/>
          <w:sz w:val="32"/>
          <w:szCs w:val="32"/>
        </w:rPr>
        <w:t>　  部门</w:t>
      </w:r>
      <w:r>
        <w:rPr>
          <w:rFonts w:hint="eastAsia" w:cs="仿宋_GB2312"/>
          <w:kern w:val="2"/>
          <w:sz w:val="32"/>
          <w:szCs w:val="32"/>
          <w:lang w:eastAsia="zh-CN"/>
        </w:rPr>
        <w:t>2026</w:t>
      </w:r>
      <w:r>
        <w:rPr>
          <w:rFonts w:hint="eastAsia" w:cs="仿宋_GB2312"/>
          <w:kern w:val="2"/>
          <w:sz w:val="32"/>
          <w:szCs w:val="32"/>
        </w:rPr>
        <w:t>年机关运行经费财政拨款预算为</w:t>
      </w:r>
      <w:r>
        <w:rPr>
          <w:rFonts w:hint="eastAsia" w:cs="仿宋_GB2312"/>
          <w:kern w:val="2"/>
          <w:sz w:val="32"/>
          <w:szCs w:val="32"/>
          <w:lang w:val="en-US" w:eastAsia="zh-CN"/>
        </w:rPr>
        <w:t>81.6</w:t>
      </w:r>
      <w:r>
        <w:rPr>
          <w:rFonts w:hint="eastAsia" w:cs="仿宋_GB2312"/>
          <w:kern w:val="2"/>
          <w:sz w:val="32"/>
          <w:szCs w:val="32"/>
        </w:rPr>
        <w:t>万元，比</w:t>
      </w:r>
      <w:r>
        <w:rPr>
          <w:rFonts w:hint="eastAsia" w:cs="仿宋_GB2312"/>
          <w:kern w:val="2"/>
          <w:sz w:val="32"/>
          <w:szCs w:val="32"/>
          <w:lang w:eastAsia="zh-CN"/>
        </w:rPr>
        <w:t>2025</w:t>
      </w:r>
      <w:r>
        <w:rPr>
          <w:rFonts w:hint="eastAsia" w:cs="仿宋_GB2312"/>
          <w:kern w:val="2"/>
          <w:sz w:val="32"/>
          <w:szCs w:val="32"/>
        </w:rPr>
        <w:t>年预算</w:t>
      </w:r>
      <w:r>
        <w:rPr>
          <w:rFonts w:hint="eastAsia" w:cs="仿宋_GB2312"/>
          <w:color w:val="000000"/>
          <w:kern w:val="2"/>
          <w:sz w:val="32"/>
          <w:szCs w:val="32"/>
        </w:rPr>
        <w:t>减少</w:t>
      </w:r>
      <w:r>
        <w:rPr>
          <w:rFonts w:hint="eastAsia" w:cs="仿宋_GB2312"/>
          <w:color w:val="000000"/>
          <w:kern w:val="2"/>
          <w:sz w:val="32"/>
          <w:szCs w:val="32"/>
          <w:lang w:val="en-US" w:eastAsia="zh-CN"/>
        </w:rPr>
        <w:t>72.8</w:t>
      </w:r>
      <w:r>
        <w:rPr>
          <w:rFonts w:hint="eastAsia" w:cs="仿宋_GB2312"/>
          <w:color w:val="000000"/>
          <w:kern w:val="2"/>
          <w:sz w:val="32"/>
          <w:szCs w:val="32"/>
        </w:rPr>
        <w:t>万元，减少</w:t>
      </w:r>
      <w:r>
        <w:rPr>
          <w:rFonts w:hint="eastAsia" w:cs="仿宋_GB2312"/>
          <w:color w:val="000000"/>
          <w:kern w:val="2"/>
          <w:sz w:val="32"/>
          <w:szCs w:val="32"/>
          <w:lang w:val="en-US" w:eastAsia="zh-CN"/>
        </w:rPr>
        <w:t>47.15</w:t>
      </w:r>
      <w:r>
        <w:rPr>
          <w:rFonts w:hint="eastAsia" w:cs="仿宋_GB2312"/>
          <w:color w:val="000000"/>
          <w:kern w:val="2"/>
          <w:sz w:val="32"/>
          <w:szCs w:val="32"/>
        </w:rPr>
        <w:t xml:space="preserve">%。 </w:t>
      </w:r>
    </w:p>
    <w:p w14:paraId="745CAEDE">
      <w:pPr>
        <w:pStyle w:val="11"/>
        <w:spacing w:before="0" w:line="360" w:lineRule="auto"/>
        <w:ind w:firstLine="643" w:firstLineChars="200"/>
        <w:rPr>
          <w:rFonts w:hint="eastAsia" w:cs="仿宋_GB2312"/>
          <w:color w:val="000000"/>
          <w:kern w:val="2"/>
          <w:sz w:val="32"/>
          <w:szCs w:val="32"/>
          <w:lang w:eastAsia="zh-CN"/>
        </w:rPr>
      </w:pPr>
      <w:r>
        <w:rPr>
          <w:rFonts w:hint="eastAsia" w:ascii="楷体" w:hAnsi="Calibri" w:eastAsia="楷体" w:cs="Times New Roman"/>
          <w:b/>
          <w:bCs/>
          <w:kern w:val="2"/>
          <w:sz w:val="32"/>
          <w:szCs w:val="32"/>
          <w:lang w:val="en-US" w:eastAsia="zh-CN" w:bidi="ar-SA"/>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xml:space="preserve">　 </w:t>
      </w:r>
      <w:r>
        <w:rPr>
          <w:rFonts w:hint="eastAsia" w:cs="仿宋_GB2312"/>
          <w:color w:val="000000"/>
          <w:kern w:val="2"/>
          <w:sz w:val="32"/>
          <w:szCs w:val="32"/>
          <w:lang w:eastAsia="zh-CN"/>
        </w:rPr>
        <w:t>2026</w:t>
      </w:r>
      <w:r>
        <w:rPr>
          <w:rFonts w:hint="eastAsia" w:cs="仿宋_GB2312"/>
          <w:color w:val="000000"/>
          <w:kern w:val="2"/>
          <w:sz w:val="32"/>
          <w:szCs w:val="32"/>
        </w:rPr>
        <w:t>年</w:t>
      </w:r>
      <w:r>
        <w:rPr>
          <w:rFonts w:hint="eastAsia" w:cs="仿宋_GB2312"/>
          <w:kern w:val="2"/>
          <w:sz w:val="32"/>
          <w:szCs w:val="32"/>
        </w:rPr>
        <w:t>部门（单位）</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14:paraId="72490A61">
      <w:pPr>
        <w:ind w:firstLine="643" w:firstLineChars="200"/>
        <w:rPr>
          <w:rFonts w:hint="eastAsia" w:ascii="楷体" w:eastAsia="楷体"/>
          <w:b/>
          <w:bCs/>
          <w:sz w:val="32"/>
          <w:szCs w:val="32"/>
        </w:rPr>
      </w:pPr>
      <w:r>
        <w:rPr>
          <w:rFonts w:hint="eastAsia" w:ascii="楷体" w:eastAsia="楷体"/>
          <w:b/>
          <w:bCs/>
          <w:sz w:val="32"/>
          <w:szCs w:val="32"/>
        </w:rPr>
        <w:t>（三）国有资产占有使用情况</w:t>
      </w:r>
    </w:p>
    <w:p w14:paraId="0D822F5F">
      <w:pPr>
        <w:pStyle w:val="11"/>
        <w:spacing w:before="0" w:line="360" w:lineRule="auto"/>
        <w:ind w:firstLine="640" w:firstLineChars="200"/>
        <w:rPr>
          <w:rFonts w:cs="仿宋_GB2312"/>
          <w:kern w:val="2"/>
          <w:sz w:val="32"/>
          <w:szCs w:val="32"/>
        </w:rPr>
      </w:pPr>
      <w:r>
        <w:rPr>
          <w:rFonts w:hint="eastAsia" w:cs="仿宋_GB2312"/>
          <w:kern w:val="2"/>
          <w:sz w:val="32"/>
          <w:szCs w:val="32"/>
        </w:rPr>
        <w:t>截至</w:t>
      </w:r>
      <w:r>
        <w:rPr>
          <w:rFonts w:hint="eastAsia" w:cs="仿宋_GB2312"/>
          <w:kern w:val="2"/>
          <w:sz w:val="32"/>
          <w:szCs w:val="32"/>
          <w:lang w:eastAsia="zh-CN"/>
        </w:rPr>
        <w:t>202</w:t>
      </w:r>
      <w:r>
        <w:rPr>
          <w:rFonts w:hint="eastAsia" w:cs="仿宋_GB2312"/>
          <w:kern w:val="2"/>
          <w:sz w:val="32"/>
          <w:szCs w:val="32"/>
          <w:lang w:val="en-US" w:eastAsia="zh-CN"/>
        </w:rPr>
        <w:t>6</w:t>
      </w:r>
      <w:r>
        <w:rPr>
          <w:rFonts w:hint="eastAsia" w:cs="仿宋_GB2312"/>
          <w:kern w:val="2"/>
          <w:sz w:val="32"/>
          <w:szCs w:val="32"/>
        </w:rPr>
        <w:t>年12月31日，我单位固定资产</w:t>
      </w:r>
      <w:r>
        <w:rPr>
          <w:rFonts w:hint="eastAsia" w:cs="仿宋_GB2312"/>
          <w:kern w:val="2"/>
          <w:sz w:val="32"/>
          <w:szCs w:val="32"/>
          <w:lang w:val="en-US" w:eastAsia="zh-CN"/>
        </w:rPr>
        <w:t>3753.39</w:t>
      </w:r>
      <w:r>
        <w:rPr>
          <w:rFonts w:hint="eastAsia" w:cs="仿宋_GB2312"/>
          <w:kern w:val="2"/>
          <w:sz w:val="32"/>
          <w:szCs w:val="32"/>
        </w:rPr>
        <w:t>万元。</w:t>
      </w:r>
    </w:p>
    <w:p w14:paraId="0C6C1477">
      <w:pPr>
        <w:pStyle w:val="11"/>
        <w:spacing w:before="0" w:line="360" w:lineRule="auto"/>
        <w:ind w:firstLine="643" w:firstLineChars="200"/>
        <w:rPr>
          <w:rFonts w:ascii="黑体" w:eastAsia="黑体"/>
          <w:sz w:val="32"/>
          <w:szCs w:val="32"/>
        </w:rPr>
      </w:pPr>
      <w:r>
        <w:rPr>
          <w:rFonts w:hint="eastAsia" w:ascii="楷体" w:hAnsi="Calibri" w:eastAsia="楷体" w:cs="Times New Roman"/>
          <w:b/>
          <w:bCs/>
          <w:kern w:val="2"/>
          <w:sz w:val="32"/>
          <w:szCs w:val="32"/>
          <w:lang w:val="en-US" w:eastAsia="zh-CN" w:bidi="ar-SA"/>
        </w:rPr>
        <w:t>（四）绩效目标设置情况</w:t>
      </w:r>
      <w:r>
        <w:rPr>
          <w:rFonts w:hint="eastAsia" w:cs="仿宋_GB2312"/>
          <w:kern w:val="2"/>
          <w:sz w:val="32"/>
          <w:szCs w:val="32"/>
        </w:rPr>
        <w:br w:type="textWrapping"/>
      </w:r>
      <w:r>
        <w:rPr>
          <w:rFonts w:hint="eastAsia" w:cs="仿宋_GB2312"/>
          <w:kern w:val="2"/>
          <w:sz w:val="32"/>
          <w:szCs w:val="32"/>
        </w:rPr>
        <w:t>　　</w:t>
      </w:r>
      <w:r>
        <w:rPr>
          <w:rFonts w:hint="eastAsia" w:cs="仿宋_GB2312"/>
          <w:kern w:val="2"/>
          <w:sz w:val="32"/>
          <w:szCs w:val="32"/>
          <w:lang w:eastAsia="zh-CN"/>
        </w:rPr>
        <w:t>2026</w:t>
      </w:r>
      <w:r>
        <w:rPr>
          <w:rFonts w:hint="eastAsia" w:cs="仿宋_GB2312"/>
          <w:kern w:val="2"/>
          <w:sz w:val="32"/>
          <w:szCs w:val="32"/>
        </w:rPr>
        <w:t>年部门通用项目和专用项目均按要求实行绩效目标管理，涉及一般公共预算当年拨款</w:t>
      </w:r>
      <w:r>
        <w:rPr>
          <w:rFonts w:hint="eastAsia" w:cs="仿宋_GB2312"/>
          <w:kern w:val="2"/>
          <w:sz w:val="32"/>
          <w:szCs w:val="32"/>
          <w:lang w:val="en-US" w:eastAsia="zh-CN"/>
        </w:rPr>
        <w:t>1554.59</w:t>
      </w:r>
      <w:r>
        <w:rPr>
          <w:rFonts w:hint="eastAsia" w:cs="仿宋_GB2312"/>
          <w:kern w:val="2"/>
          <w:sz w:val="32"/>
          <w:szCs w:val="32"/>
        </w:rPr>
        <w:t>万元。</w:t>
      </w:r>
    </w:p>
    <w:p w14:paraId="084D7EAE">
      <w:pPr>
        <w:pStyle w:val="11"/>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hAnsi="Calibri" w:eastAsia="楷体" w:cs="Times New Roman"/>
          <w:b/>
          <w:bCs/>
          <w:kern w:val="2"/>
          <w:sz w:val="32"/>
          <w:szCs w:val="32"/>
          <w:lang w:val="en-US" w:eastAsia="zh-CN" w:bidi="ar-SA"/>
        </w:rPr>
        <w:t xml:space="preserve"> （一）财政拨款收入：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hAnsi="Calibri" w:eastAsia="楷体" w:cs="Times New Roman"/>
          <w:b/>
          <w:bCs/>
          <w:kern w:val="2"/>
          <w:sz w:val="32"/>
          <w:szCs w:val="32"/>
          <w:lang w:val="en-US" w:eastAsia="zh-CN" w:bidi="ar-SA"/>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hAnsi="Calibri" w:eastAsia="楷体" w:cs="Times New Roman"/>
          <w:b/>
          <w:bCs/>
          <w:kern w:val="2"/>
          <w:sz w:val="32"/>
          <w:szCs w:val="32"/>
          <w:lang w:val="en-US" w:eastAsia="zh-CN" w:bidi="ar-SA"/>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Calibri" w:eastAsia="楷体" w:cs="Times New Roman"/>
          <w:b/>
          <w:bCs/>
          <w:kern w:val="2"/>
          <w:sz w:val="32"/>
          <w:szCs w:val="32"/>
          <w:lang w:val="en-US" w:eastAsia="zh-CN" w:bidi="ar-SA"/>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 w:hAnsi="Calibri" w:eastAsia="楷体" w:cs="Times New Roman"/>
          <w:b/>
          <w:bCs/>
          <w:kern w:val="2"/>
          <w:sz w:val="32"/>
          <w:szCs w:val="32"/>
          <w:lang w:val="en-US" w:eastAsia="zh-CN" w:bidi="ar-SA"/>
        </w:rPr>
        <w:t>（五）用事业基金弥补收支差额：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 w:hAnsi="Calibri" w:eastAsia="楷体" w:cs="Times New Roman"/>
          <w:b/>
          <w:bCs/>
          <w:kern w:val="2"/>
          <w:sz w:val="32"/>
          <w:szCs w:val="32"/>
          <w:lang w:val="en-US" w:eastAsia="zh-CN" w:bidi="ar-SA"/>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57DE3120">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96503">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DC691"/>
    <w:multiLevelType w:val="singleLevel"/>
    <w:tmpl w:val="0D1DC691"/>
    <w:lvl w:ilvl="0" w:tentative="0">
      <w:start w:val="2"/>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0FF640C"/>
    <w:rsid w:val="05B262AB"/>
    <w:rsid w:val="0AF03D04"/>
    <w:rsid w:val="14946A61"/>
    <w:rsid w:val="1F1021B2"/>
    <w:rsid w:val="2439301B"/>
    <w:rsid w:val="2CBE0964"/>
    <w:rsid w:val="2DC1429E"/>
    <w:rsid w:val="351C625F"/>
    <w:rsid w:val="3555088B"/>
    <w:rsid w:val="3B9D532A"/>
    <w:rsid w:val="3DB76B21"/>
    <w:rsid w:val="3F7D224E"/>
    <w:rsid w:val="417B73E6"/>
    <w:rsid w:val="419A3DEC"/>
    <w:rsid w:val="41E3054B"/>
    <w:rsid w:val="4A02381D"/>
    <w:rsid w:val="50E02BC8"/>
    <w:rsid w:val="53890B0C"/>
    <w:rsid w:val="57FC15B6"/>
    <w:rsid w:val="5A2C258E"/>
    <w:rsid w:val="619B1A18"/>
    <w:rsid w:val="655C2C65"/>
    <w:rsid w:val="66092D19"/>
    <w:rsid w:val="670F7822"/>
    <w:rsid w:val="69EA5BC3"/>
    <w:rsid w:val="6B6E581F"/>
    <w:rsid w:val="6CB9759F"/>
    <w:rsid w:val="71A26F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table of figures"/>
    <w:basedOn w:val="1"/>
    <w:next w:val="1"/>
    <w:qFormat/>
    <w:uiPriority w:val="0"/>
    <w:pPr>
      <w:autoSpaceDE/>
      <w:autoSpaceDN/>
      <w:ind w:left="200" w:leftChars="200" w:hanging="200" w:hangingChars="200"/>
      <w:jc w:val="both"/>
    </w:pPr>
    <w:rPr>
      <w:rFonts w:ascii="Calibri" w:hAnsi="Calibri" w:eastAsia="宋体" w:cs="Times New Roman"/>
      <w:kern w:val="2"/>
      <w:sz w:val="21"/>
      <w:lang w:eastAsia="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nycw\Desktop\&#26032;&#24314;%20XLS%20&#24037;&#20316;&#34920;%20(3).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nycw\Desktop\&#26032;&#24314;%20XLS%20&#24037;&#20316;&#34920;%20(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'[新建 XLS 工作表 (3).xls]Sheet1'!$E$5</c:f>
              <c:strCache>
                <c:ptCount val="1"/>
                <c:pt idx="0">
                  <c:v>一般公共预算拨款收入1554.59万元</c:v>
                </c:pt>
              </c:strCache>
            </c:strRef>
          </c:tx>
          <c:spPr/>
          <c:explosion val="0"/>
          <c:dPt>
            <c:idx val="0"/>
            <c:bubble3D val="0"/>
            <c:explosion val="29"/>
            <c:spPr>
              <a:solidFill>
                <a:schemeClr val="accent1"/>
              </a:solidFill>
              <a:ln w="19050">
                <a:solidFill>
                  <a:schemeClr val="lt1"/>
                </a:solidFill>
              </a:ln>
              <a:effectLst/>
            </c:spPr>
          </c:dPt>
          <c:dLbls>
            <c:delete val="1"/>
          </c:dLbls>
          <c:val>
            <c:numRef>
              <c:f>'[新建 XLS 工作表 (3).xls]Sheet1'!$F$5</c:f>
              <c:numCache>
                <c:formatCode>General</c:formatCode>
                <c:ptCount val="1"/>
                <c:pt idx="0">
                  <c:v>1554.59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90f0a28-bbfb-4d86-a793-94a7948d018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一般公共服务支出预算</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 (3).xls]Sheet1'!$E$5:$E$8</c:f>
              <c:strCache>
                <c:ptCount val="4"/>
                <c:pt idx="0">
                  <c:v>社会保障和就业支出249.82万元</c:v>
                </c:pt>
                <c:pt idx="1">
                  <c:v>卫生健康支出92.12万元</c:v>
                </c:pt>
                <c:pt idx="2">
                  <c:v>农林水支出1087.37万元</c:v>
                </c:pt>
                <c:pt idx="3">
                  <c:v>住房保障支出125.28万元</c:v>
                </c:pt>
              </c:strCache>
            </c:strRef>
          </c:cat>
          <c:val>
            <c:numRef>
              <c:f>'[新建 XLS 工作表 (3).xls]Sheet1'!$F$5:$F$8</c:f>
              <c:numCache>
                <c:formatCode>General</c:formatCode>
                <c:ptCount val="4"/>
                <c:pt idx="0">
                  <c:v>249.82</c:v>
                </c:pt>
                <c:pt idx="1">
                  <c:v>92.12</c:v>
                </c:pt>
                <c:pt idx="2">
                  <c:v>1087.37</c:v>
                </c:pt>
                <c:pt idx="3">
                  <c:v>125.28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997916666666667"/>
          <c:y val="0.8513888888888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af571b2-8dda-47d4-b5e0-7466335bffa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14</Pages>
  <Words>503</Words>
  <Characters>509</Characters>
  <Lines>124</Lines>
  <Paragraphs>51</Paragraphs>
  <TotalTime>12</TotalTime>
  <ScaleCrop>false</ScaleCrop>
  <LinksUpToDate>false</LinksUpToDate>
  <CharactersWithSpaces>509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尔玛莉</cp:lastModifiedBy>
  <cp:lastPrinted>2018-01-30T09:39:00Z</cp:lastPrinted>
  <dcterms:modified xsi:type="dcterms:W3CDTF">2026-01-28T06:40:50Z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eyJoZGlkIjoiNzM1NTEzMjA1ZjNmNWM3Y2FlNjljOTgxMjFlMjc3M2QiLCJ1c2VySWQiOiIyMzIzNzI3NTgifQ==</vt:lpwstr>
  </property>
  <property fmtid="{D5CDD505-2E9C-101B-9397-08002B2CF9AE}" pid="4" name="ICV">
    <vt:lpwstr>984F82B90E654A9E8BB938ABB1A1BD1F_12</vt:lpwstr>
  </property>
</Properties>
</file>