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keepNext w:val="0"/>
        <w:keepLines w:val="0"/>
        <w:widowControl/>
        <w:suppressLineNumbers w:val="0"/>
        <w:spacing w:before="0" w:beforeAutospacing="0"/>
        <w:ind w:left="0"/>
        <w:jc w:val="center"/>
      </w:pPr>
      <w:r>
        <w:rPr>
          <w:shd w:val="clear" w:fill="FFFFFF"/>
        </w:rPr>
        <w:t> </w:t>
      </w:r>
    </w:p>
    <w:p>
      <w:pPr>
        <w:pStyle w:val="11"/>
        <w:keepNext w:val="0"/>
        <w:keepLines w:val="0"/>
        <w:widowControl/>
        <w:suppressLineNumbers w:val="0"/>
        <w:spacing w:before="0" w:beforeAutospacing="0"/>
        <w:ind w:left="0"/>
        <w:jc w:val="center"/>
        <w:rPr>
          <w:rStyle w:val="14"/>
          <w:rFonts w:hint="eastAsia" w:ascii="方正小标宋简体" w:hAnsi="方正小标宋简体" w:eastAsia="方正小标宋简体" w:cs="方正小标宋简体"/>
          <w:sz w:val="44"/>
          <w:szCs w:val="44"/>
          <w:shd w:val="clear" w:fill="FFFFFF"/>
        </w:rPr>
      </w:pPr>
      <w:r>
        <w:rPr>
          <w:rStyle w:val="14"/>
          <w:rFonts w:hint="eastAsia" w:ascii="方正小标宋简体" w:hAnsi="方正小标宋简体" w:eastAsia="方正小标宋简体" w:cs="方正小标宋简体"/>
          <w:sz w:val="44"/>
          <w:szCs w:val="44"/>
          <w:shd w:val="clear" w:fill="FFFFFF"/>
        </w:rPr>
        <w:t>阿坝州壤塘县科学技术和农业畜牧局</w:t>
      </w:r>
    </w:p>
    <w:p>
      <w:pPr>
        <w:pStyle w:val="11"/>
        <w:keepNext w:val="0"/>
        <w:keepLines w:val="0"/>
        <w:widowControl/>
        <w:suppressLineNumbers w:val="0"/>
        <w:spacing w:before="0" w:beforeAutospacing="0"/>
        <w:ind w:left="0"/>
        <w:jc w:val="center"/>
        <w:rPr>
          <w:rStyle w:val="14"/>
          <w:rFonts w:hint="eastAsia" w:ascii="方正小标宋简体" w:hAnsi="方正小标宋简体" w:eastAsia="方正小标宋简体" w:cs="方正小标宋简体"/>
          <w:sz w:val="44"/>
          <w:szCs w:val="44"/>
          <w:shd w:val="clear" w:fill="FFFFFF"/>
        </w:rPr>
      </w:pPr>
      <w:r>
        <w:rPr>
          <w:rStyle w:val="14"/>
          <w:rFonts w:hint="eastAsia" w:ascii="方正小标宋简体" w:hAnsi="方正小标宋简体" w:eastAsia="方正小标宋简体" w:cs="方正小标宋简体"/>
          <w:sz w:val="44"/>
          <w:szCs w:val="44"/>
          <w:shd w:val="clear" w:fill="FFFFFF"/>
        </w:rPr>
        <w:t>2022年度部门决算</w:t>
      </w:r>
    </w:p>
    <w:p>
      <w:pPr>
        <w:pStyle w:val="11"/>
        <w:keepNext w:val="0"/>
        <w:keepLines w:val="0"/>
        <w:widowControl/>
        <w:suppressLineNumbers w:val="0"/>
        <w:spacing w:before="0" w:beforeAutospacing="0"/>
        <w:ind w:left="0"/>
        <w:jc w:val="center"/>
        <w:rPr>
          <w:rStyle w:val="14"/>
          <w:rFonts w:hint="eastAsia" w:ascii="宋体" w:hAnsi="宋体" w:eastAsia="宋体" w:cs="宋体"/>
          <w:sz w:val="28"/>
          <w:szCs w:val="28"/>
          <w:shd w:val="clear" w:fill="FFFFFF"/>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一、单位情况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贯彻执行有关创新驱动发展战略以及科技发展、引进国外智力规划和政策，拟订全县有关科技发展的政策措施并组织实施。</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统筹研究和组织实施全县“三农”工作的发展战略中长期规划、重大政策。</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统筹实施乡村振兴战略，牵头组织改善全县农村人居环境。</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建立统一的科技管理平台和科研项目资金协调、实施评估、监管机制。会同有关部门提出优化配置科技资源的政策措施建议，推动多元化科技投入体系建设。</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拟订深化全县农村经济体制改革和巩固完善农村基本经营制度的政策措施。负责农民承包地、农村宅基地管理和</w:t>
      </w:r>
      <w:r>
        <w:rPr>
          <w:rFonts w:hint="default" w:ascii="Times New Roman" w:hAnsi="Times New Roman" w:eastAsia="仿宋_GB2312" w:cs="Times New Roman"/>
          <w:sz w:val="32"/>
          <w:szCs w:val="32"/>
          <w:lang w:eastAsia="zh-CN"/>
        </w:rPr>
        <w:t>改革</w:t>
      </w:r>
      <w:r>
        <w:rPr>
          <w:rFonts w:hint="default" w:ascii="Times New Roman" w:hAnsi="Times New Roman" w:eastAsia="仿宋_GB2312" w:cs="Times New Roman"/>
          <w:sz w:val="32"/>
          <w:szCs w:val="32"/>
        </w:rPr>
        <w:t>有关工作。</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指导全县乡村特色产业、农产品加工业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产地初加工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、休闲农业和乡村涉农企业发展工作。</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组织实施重大科技专项，组织参与国家、省、州重大科技专项。</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统筹区域科技创新体系建设，指导区域创新发展、科技资源合理布局和协同创新能力建设，推动科技园区、科技小镇科技平台建设。</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负责全县种植业、畜牧业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草原牧业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、渔业、农垦农业机械化等农业各产业的监督管理。指导农产品生产及生产功能区、保护区建设和管理工作。</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负责制定全县农业产业机械化、智能化、数字化发展规划并组织实施。</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负</w:t>
      </w:r>
      <w:r>
        <w:rPr>
          <w:rFonts w:hint="default" w:ascii="Times New Roman" w:hAnsi="Times New Roman" w:eastAsia="仿宋_GB2312" w:cs="Times New Roman"/>
          <w:sz w:val="32"/>
          <w:szCs w:val="32"/>
        </w:rPr>
        <w:t>责全县农产品质量安全监督管理。组织开展农产品质量安全监测、追溯、风险评估。</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组织开展全县农业资源区划和资源保护工作。指导农用地、渔业水域以及农业生物物种资源的保护与管理，负责水生野生动植物保护、耕地及永久基本农田质量保护工作。负责农村能源建设和资源环境工作。</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负责全县农业生产资料和农业投入品的监督管理组织农业生产资料市场体系建设，承担农作物种子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种苗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、食用菌种、饲草良种、种畜禽、水产苗种、农药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负责全县农业防灾减灾、农作物重大病虫害防治工作。会同有关部门制定动植物防疫检疫政策并指导实施。</w:t>
      </w: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负责全县农田建设管理。组织拟订农田建设发展规划。负责全县农田建设管理、高标准农田建设和耕地质量管理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编制农业综合开发涉及农田建设项目、农田整治项目、农田水利建设项目的计划，并组织实施和管</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组织拟订全县农业科研、农技推广的规划、计划和有关政策并组织实施，牵头推动农业科技体制改革和农业科技创新体系建设。</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牵头开展全县农业对外合作工作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承办县政府农业涉外事务，参与拟订农业对外开放政策和外向型农业发展规划，指导外向型农业发展。</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制定科技人才队伍、农业农村人才队伍建设规划。指导科技、农业、农村人才队伍建设。</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统筹协调和监督指导全县农业综合执法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负责监督指导重大案件查处</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县本级办理的涉农违法案件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推进农业依法行政。</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负责全县农业投资项目、农业综合项目管理。提出农业投融资体制机制改革建议。</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负责职责范围内的安全生产和职业健康、生态环境保护、公共机构节能减排、审批服务便民化等工作。</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完成县委和县政府交办的其他任务。</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2．机构情况。</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壤塘县科学技术和农业畜牧局独立编制机构1个，当年无变动。</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3.人员情况。</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壤塘县科学技术和农业畜牧局行政人员10人，当年增加2人，参照公务员法管理事业人员参照公务员法管理事业人员19人，当年减少7人。变动原因：参照公务员法管理事业人员1人转为公务员；调入机关党委书记1人，退休2人，调离4人。</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pPr>
        <w:spacing w:line="560" w:lineRule="exact"/>
        <w:ind w:firstLine="643" w:firstLineChars="200"/>
        <w:jc w:val="both"/>
        <w:rPr>
          <w:rFonts w:hint="default" w:ascii="Times New Roman" w:hAnsi="Times New Roman" w:eastAsia="楷体_GB2312" w:cs="Times New Roman"/>
          <w:b/>
          <w:bCs w:val="0"/>
          <w:kern w:val="0"/>
          <w:sz w:val="32"/>
          <w:szCs w:val="32"/>
          <w:lang w:val="en-US" w:eastAsia="en-US"/>
        </w:rPr>
      </w:pPr>
      <w:bookmarkStart w:id="0" w:name="YS060102"/>
      <w:r>
        <w:rPr>
          <w:rFonts w:hint="eastAsia" w:ascii="Times New Roman" w:hAnsi="Times New Roman" w:eastAsia="楷体_GB2312" w:cs="Times New Roman"/>
          <w:b/>
          <w:bCs w:val="0"/>
          <w:kern w:val="0"/>
          <w:sz w:val="32"/>
          <w:szCs w:val="32"/>
          <w:lang w:val="en-US" w:eastAsia="zh-CN"/>
        </w:rPr>
        <w:t>1.</w:t>
      </w:r>
      <w:r>
        <w:rPr>
          <w:rFonts w:hint="eastAsia" w:ascii="Times New Roman" w:hAnsi="Times New Roman" w:eastAsia="楷体_GB2312" w:cs="Times New Roman"/>
          <w:b/>
          <w:sz w:val="32"/>
          <w:szCs w:val="32"/>
          <w:lang w:eastAsia="zh-CN"/>
        </w:rPr>
        <w:t>夯实农业根底，增强农业综合生产能力</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遏制耕地撂荒，防止耕地“非粮化”，确保粮食作物播面，稳定粮食生产。2022年全县农作物播种面积36506亩，较上年增加341亩，增长0.94%。其中：粮食作物播种面积29611亩，较上年增加86亩；经济作物播种面积3532亩，较上年增加152亩；其他农作物播种面积3363亩，较上年增加103亩。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2022年我县粮食总产量4211吨，较上年增加34吨，增长0.81%；经济作物产量371.4吨；其它农作物产量4832吨。</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2022年预计年农村居民人均可支配收入16920元，</w:t>
      </w:r>
      <w:r>
        <w:rPr>
          <w:rFonts w:hint="default" w:ascii="Times New Roman" w:hAnsi="Times New Roman" w:eastAsia="仿宋_GB2312" w:cs="Times New Roman"/>
          <w:sz w:val="32"/>
          <w:szCs w:val="32"/>
          <w:lang w:val="en-US" w:eastAsia="zh-CN"/>
        </w:rPr>
        <w:t>同比增长10.1%。</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2.推进农牧业项目建设，增强现代农牧业后劲</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今年中央财政衔接资金安排用于发展产业的中央资金为7432.4万元，实施产业项目40个，占中央财政衔接推进乡村振兴补助总资金13276万元的55.98%，目前支出进度96.23%。重点支持种养殖基地、农畜产品加工、乡村文旅基础设施建设、现代农业园区建设、村集体经济发展等；重点实施牦牛、中蜂、山羊养殖，饲草、中药材、油菜、蔬菜种植，农作物品种更新更换、牦牛品种改良，棚圈、适度规模养殖场、冷链等产业设施建设，开展草原生态保护补助奖励、耕地地力保护、实际种粮农民补贴等政策奖补。</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3.抓基地、建园区，推动高原农牧产业体系建设</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依托资源禀赋，遵循绿色生态发展方向，</w:t>
      </w:r>
      <w:r>
        <w:rPr>
          <w:rFonts w:hint="default" w:ascii="Times New Roman" w:hAnsi="Times New Roman" w:eastAsia="仿宋_GB2312" w:cs="Times New Roman"/>
          <w:sz w:val="32"/>
          <w:szCs w:val="32"/>
          <w:lang w:val="en-US" w:eastAsia="zh-CN"/>
        </w:rPr>
        <w:t>坚持宜种则种、宜养则养</w:t>
      </w:r>
      <w:r>
        <w:rPr>
          <w:rFonts w:hint="eastAsia" w:ascii="Times New Roman" w:hAnsi="Times New Roman" w:eastAsia="仿宋_GB2312" w:cs="Times New Roman"/>
          <w:sz w:val="32"/>
          <w:szCs w:val="32"/>
          <w:lang w:val="en-US" w:eastAsia="zh-CN"/>
        </w:rPr>
        <w:t>要求，积极探索高原特色农牧产业发展新途径、新模式。为规范有序、高质量推进乡村农牧特色产业发展，制定出台《壤塘县农业产业结构调整扶持办法》、《壤塘县农业园区（基地）建设管理办法》和《壤塘县2022年减畜（牦牛）奖励暂行办法（试行）》等产业发展支持政策文件；编制完成了《阿坝壤塘省级农业科技园区规划》（油菜）、《壤塘县青稞产业发展规划》《壤塘县牦牛产业发展规划》等特色产业发展规划。</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壤巴拉高原双低油菜现代农业园区。2021年被认定为阿坝州三星级现代农业园区，2022年成功创建“阿坝壤塘省级农业科技园区”。高原绿色菜籽油、壤巴拉慧科菜籽仁油等产品获得国家地理标志证明产品和绿色、有机认证；品牌获得“四川扶贫”、“天府菜油”、“净土阿坝”等区域品牌的使用授权，壤巴拉慧科生态农业有限公司为州级龙头企业。我县高原双低油菜产业得到了国家油菜产业团队的充分认可，被列为长江上游油菜产业“双全万元”模式予以应用推广。种植高原双低油菜3000余亩，扶持惠科生态农业有限公司菜籽油加工，惠及农牧民群众1001户4492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壤巴拉高原生态蔬菜现代农业园区。该园区为县级园区，以尕多乡为核心区，辐射南木达镇、中壤塘镇、岗木达镇、上杜柯乡、茸木达乡。园区农牧民通过土地流转、基地务工亩收入1500余元，促进了蔬菜产业发展和农牧民群众增收。建设高原生态蔬菜种植基地5个，培养种植大户4个，种植露地蔬菜、大棚蔬菜4434.06亩，惠及农牧民群众513户2358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壤巴拉牦牛现代农业园区。牦牛产业是我县农牧生产的支柱产业，该园区为县级园区，以中壤塘片区为核心，辐射带动南木达镇、上杜柯乡、岗木达乡、吾依乡等乡镇。全县有奶源路1500余公里，牲畜暖棚2100余户，集体牧草种植示范点3个，多功能巷道圈26个，牦牛肉制品加工企业4个，奶产品合作社6个，牦牛适度规模标准化养殖场25个。本年度开展草畜平衡专项整治，组建51个调查队，全覆盖摸底排查牲畜存栏数量、饲草料储备、牦牛参保、基础设施建设等情况，彻底摸清了畜牧业家底，为后期畜牧产业结构调整、发展方向、草原生态保护等奠定了基础；积极推广牦牛标准化适度规模+科学补饲的“短期育肥”养殖模式；实施牦牛品种改良项目惠及5个乡7个村，救灾牧草发放惠及3463户，卧圈种草惠及1636户。</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壤巴拉林下经济产业园。林下经济主要以中药材、木耳、食用菌、蕨麻、中蜂、跑山鸡为主。今年种植蕨麻230亩，木耳4万余棒，试验种植芍药、百合、小叶羌、山莨菪、羌活等中药材660亩，皱皮木瓜、云木香、黄柏等，养殖中蜂3000余箱，跑山鸡500只。壤巴拉中蜂现代农业园区被认定为县级园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壤巴拉传统特色农作物产业园。通过大力引进青稞、马铃薯优良品种，实施农作物品种更新更换，稳步提升传统特色农作物品质、产量、效益和藏区粮食生产能力，壤巴拉青稞现代农业产业园被认定为县级现代农业产业园区。本年度种植马铃薯8942.4亩，青稞16571.5亩；实施马铃薯、青稞品种更新更换项目，推广种植黑青稞2000亩，青薯9号、陇薯10号马铃薯良种1000亩。</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4.狠抓安全生产，保障行业安全有序</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（1）推进综合执法检查。一是积极</w:t>
      </w:r>
      <w:r>
        <w:rPr>
          <w:rFonts w:hint="default" w:ascii="Times New Roman" w:hAnsi="Times New Roman" w:eastAsia="仿宋_GB2312" w:cs="Times New Roman"/>
          <w:sz w:val="32"/>
          <w:szCs w:val="32"/>
          <w:lang w:val="en-US" w:eastAsia="zh-CN"/>
        </w:rPr>
        <w:t>开展农产品质量安全监管及宣传工作</w:t>
      </w:r>
      <w:r>
        <w:rPr>
          <w:rFonts w:hint="eastAsia" w:ascii="Times New Roman" w:hAnsi="Times New Roman" w:eastAsia="仿宋_GB2312" w:cs="Times New Roman"/>
          <w:sz w:val="32"/>
          <w:szCs w:val="32"/>
          <w:lang w:val="en-US" w:eastAsia="zh-CN"/>
        </w:rPr>
        <w:t>，对蔬菜生产基地农业投入品、生产记录档案进行检查。</w:t>
      </w:r>
      <w:r>
        <w:rPr>
          <w:rFonts w:hint="default" w:ascii="Times New Roman" w:hAnsi="Times New Roman" w:eastAsia="仿宋_GB2312" w:cs="Times New Roman"/>
          <w:sz w:val="32"/>
          <w:szCs w:val="32"/>
          <w:lang w:val="en-US" w:eastAsia="zh-CN"/>
        </w:rPr>
        <w:t>检查种植合作社</w:t>
      </w: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lang w:val="en-US" w:eastAsia="zh-CN"/>
        </w:rPr>
        <w:t>家</w:t>
      </w:r>
      <w:r>
        <w:rPr>
          <w:rFonts w:hint="eastAsia"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lang w:val="en-US" w:eastAsia="zh-CN"/>
        </w:rPr>
        <w:t>，出动执法人员</w:t>
      </w:r>
      <w:r>
        <w:rPr>
          <w:rFonts w:hint="eastAsia" w:ascii="Times New Roman" w:hAnsi="Times New Roman" w:eastAsia="仿宋_GB2312" w:cs="Times New Roman"/>
          <w:sz w:val="32"/>
          <w:szCs w:val="32"/>
          <w:lang w:val="en-US" w:eastAsia="zh-CN"/>
        </w:rPr>
        <w:t>130余</w:t>
      </w:r>
      <w:r>
        <w:rPr>
          <w:rFonts w:hint="default" w:ascii="Times New Roman" w:hAnsi="Times New Roman" w:eastAsia="仿宋_GB2312" w:cs="Times New Roman"/>
          <w:sz w:val="32"/>
          <w:szCs w:val="32"/>
          <w:lang w:val="en-US" w:eastAsia="zh-CN"/>
        </w:rPr>
        <w:t>人次，发放宣传资料</w:t>
      </w:r>
      <w:r>
        <w:rPr>
          <w:rFonts w:hint="eastAsia" w:ascii="Times New Roman" w:hAnsi="Times New Roman" w:eastAsia="仿宋_GB2312" w:cs="Times New Roman"/>
          <w:sz w:val="32"/>
          <w:szCs w:val="32"/>
          <w:lang w:val="en-US" w:eastAsia="zh-CN"/>
        </w:rPr>
        <w:t>1200</w:t>
      </w:r>
      <w:r>
        <w:rPr>
          <w:rFonts w:hint="default" w:ascii="Times New Roman" w:hAnsi="Times New Roman" w:eastAsia="仿宋_GB2312" w:cs="Times New Roman"/>
          <w:sz w:val="32"/>
          <w:szCs w:val="32"/>
          <w:lang w:val="en-US" w:eastAsia="zh-CN"/>
        </w:rPr>
        <w:t>余份</w:t>
      </w:r>
      <w:r>
        <w:rPr>
          <w:rFonts w:hint="eastAsia" w:ascii="Times New Roman" w:hAnsi="Times New Roman" w:eastAsia="仿宋_GB2312" w:cs="Times New Roman"/>
          <w:sz w:val="32"/>
          <w:szCs w:val="32"/>
          <w:lang w:val="en-US" w:eastAsia="zh-CN"/>
        </w:rPr>
        <w:t>。二是深入乡镇开展农机安全宣传工作15次，</w:t>
      </w:r>
      <w:r>
        <w:rPr>
          <w:rFonts w:hint="eastAsia" w:ascii="Times New Roman" w:hAnsi="Times New Roman" w:eastAsia="仿宋_GB2312" w:cs="Times New Roman"/>
          <w:sz w:val="32"/>
          <w:szCs w:val="32"/>
          <w:lang w:val="zh-CN" w:eastAsia="zh-CN"/>
        </w:rPr>
        <w:t>在各乡镇路口、村机耕道、桥墩、电杆醒目处张贴农机安全标语</w:t>
      </w:r>
      <w:r>
        <w:rPr>
          <w:rFonts w:hint="eastAsia" w:ascii="Times New Roman" w:hAnsi="Times New Roman" w:eastAsia="仿宋_GB2312" w:cs="Times New Roman"/>
          <w:sz w:val="32"/>
          <w:szCs w:val="32"/>
          <w:lang w:val="en-US" w:eastAsia="zh-CN"/>
        </w:rPr>
        <w:t>800余条，</w:t>
      </w:r>
      <w:r>
        <w:rPr>
          <w:rFonts w:hint="eastAsia" w:ascii="Times New Roman" w:hAnsi="Times New Roman" w:eastAsia="仿宋_GB2312" w:cs="Times New Roman"/>
          <w:sz w:val="32"/>
          <w:szCs w:val="32"/>
          <w:lang w:val="zh-CN" w:eastAsia="zh-CN"/>
        </w:rPr>
        <w:t>发放藏汉双语宣传资料</w:t>
      </w:r>
      <w:r>
        <w:rPr>
          <w:rFonts w:hint="eastAsia"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lang w:val="zh-CN" w:eastAsia="zh-CN"/>
        </w:rPr>
        <w:t>余份。</w:t>
      </w:r>
      <w:r>
        <w:rPr>
          <w:rFonts w:hint="eastAsia" w:ascii="Times New Roman" w:hAnsi="Times New Roman" w:eastAsia="仿宋_GB2312" w:cs="Times New Roman"/>
          <w:sz w:val="32"/>
          <w:szCs w:val="32"/>
          <w:lang w:val="en-US" w:eastAsia="zh-CN"/>
        </w:rPr>
        <w:t>三是深入宣传农事用火相关知识。派出人员57人次，通过张贴宣传海报等方式，深入各个乡镇，走村入户向广大农户宣传秸秆禁烧、农事用火安全、森林防灭火等法律法规。四是</w:t>
      </w:r>
      <w:r>
        <w:rPr>
          <w:rFonts w:hint="default" w:ascii="Times New Roman" w:hAnsi="Times New Roman" w:eastAsia="仿宋_GB2312" w:cs="Times New Roman"/>
          <w:sz w:val="32"/>
          <w:szCs w:val="32"/>
          <w:lang w:val="en-US" w:eastAsia="zh-CN"/>
        </w:rPr>
        <w:t>开展202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年放心农资下乡进村宣传周活动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农业投入品专项整治等集中行动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共摸排检查畜禽养殖合作社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蔬菜种植合作社</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个，查处农产品安全违法案件3起，处罚人民币</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00元。</w:t>
      </w:r>
      <w:r>
        <w:rPr>
          <w:rFonts w:hint="eastAsia" w:ascii="Times New Roman" w:hAnsi="Times New Roman" w:eastAsia="仿宋_GB2312" w:cs="Times New Roman"/>
          <w:sz w:val="32"/>
          <w:szCs w:val="32"/>
          <w:lang w:val="en-US" w:eastAsia="zh-CN"/>
        </w:rPr>
        <w:t>五是积极开展“十年禁捕”宣传及专项整治行动。发放宣传资料900余份，与各餐馆、贩卖鱼类销售点签订承诺书60余份。开展专项联合执法行动30余次，出动执法人员69人（次），没收渔获物1公斤。</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加强畜禽及其产品质量安全监督。一是抓好春、秋重大动物疫病免疫密度和质量监督，全面完成春季重大动物疫病强制免疫监督工作。举办重大动物疫病防控培训会5期，共培训村防疫员、包虫病投药员60余人，发放各类宣传手册3800余本。二是实行官方兽医驻场24小时值班检疫制度，加强检疫档案的归档管理，入场生猪持证率达100%，未发现私屠滥宰和注水等违法行为。共完成生猪检疫669头，抽检生猪32批次、非洲猪瘟检测96头，瘦肉精检测32批次96头，结果均为阴性。完成生猪定点屠宰场的消毒和灭源工作，消毒面积达37万平方米，屠宰场运输车辆消毒约672余车次；完成无害化处理肉类230斤。完成畜禽产品检疫报检受理2500公斤，保证上市畜禽产品安全，确保全县人民群众“舌尖上的安全”。三是加强省级动物及其产品运输指定通道监管，做好非洲猪瘟防控，截至目前，茸木达检查站执法人员检查消毒运输畜禽及产品车辆共342辆，劝返证件不齐车辆26辆，无害化处理肉类0公斤。有效杜绝病害畜禽、疫区生猪及其产品入境。四是</w:t>
      </w:r>
      <w:r>
        <w:rPr>
          <w:rFonts w:hint="default" w:ascii="Times New Roman" w:hAnsi="Times New Roman" w:eastAsia="仿宋_GB2312" w:cs="Times New Roman"/>
          <w:sz w:val="32"/>
          <w:szCs w:val="32"/>
          <w:lang w:val="en-US" w:eastAsia="zh-CN"/>
        </w:rPr>
        <w:t>积极开展农产品质量安全监管及宣传工作</w:t>
      </w:r>
      <w:r>
        <w:rPr>
          <w:rFonts w:hint="eastAsia" w:ascii="Times New Roman" w:hAnsi="Times New Roman" w:eastAsia="仿宋_GB2312" w:cs="Times New Roman"/>
          <w:sz w:val="32"/>
          <w:szCs w:val="32"/>
          <w:lang w:val="en-US" w:eastAsia="zh-CN"/>
        </w:rPr>
        <w:t>，对蔬菜生产基地农业投入品、生产记录档案进行检查。截至目前，</w:t>
      </w:r>
      <w:r>
        <w:rPr>
          <w:rFonts w:hint="default" w:ascii="Times New Roman" w:hAnsi="Times New Roman" w:eastAsia="仿宋_GB2312" w:cs="Times New Roman"/>
          <w:sz w:val="32"/>
          <w:szCs w:val="32"/>
          <w:lang w:val="en-US" w:eastAsia="zh-CN"/>
        </w:rPr>
        <w:t>检查种植合作社</w:t>
      </w:r>
      <w:r>
        <w:rPr>
          <w:rFonts w:hint="eastAsia"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lang w:val="en-US" w:eastAsia="zh-CN"/>
        </w:rPr>
        <w:t>家次，出动执法人员</w:t>
      </w:r>
      <w:r>
        <w:rPr>
          <w:rFonts w:hint="eastAsia" w:ascii="Times New Roman" w:hAnsi="Times New Roman" w:eastAsia="仿宋_GB2312" w:cs="Times New Roman"/>
          <w:sz w:val="32"/>
          <w:szCs w:val="32"/>
          <w:lang w:val="en-US" w:eastAsia="zh-CN"/>
        </w:rPr>
        <w:t>130余</w:t>
      </w:r>
      <w:r>
        <w:rPr>
          <w:rFonts w:hint="default" w:ascii="Times New Roman" w:hAnsi="Times New Roman" w:eastAsia="仿宋_GB2312" w:cs="Times New Roman"/>
          <w:sz w:val="32"/>
          <w:szCs w:val="32"/>
          <w:lang w:val="en-US" w:eastAsia="zh-CN"/>
        </w:rPr>
        <w:t>人次，发放宣传资料</w:t>
      </w:r>
      <w:r>
        <w:rPr>
          <w:rFonts w:hint="eastAsia" w:ascii="Times New Roman" w:hAnsi="Times New Roman" w:eastAsia="仿宋_GB2312" w:cs="Times New Roman"/>
          <w:sz w:val="32"/>
          <w:szCs w:val="32"/>
          <w:lang w:val="en-US" w:eastAsia="zh-CN"/>
        </w:rPr>
        <w:t>1200</w:t>
      </w:r>
      <w:r>
        <w:rPr>
          <w:rFonts w:hint="default" w:ascii="Times New Roman" w:hAnsi="Times New Roman" w:eastAsia="仿宋_GB2312" w:cs="Times New Roman"/>
          <w:sz w:val="32"/>
          <w:szCs w:val="32"/>
          <w:lang w:val="en-US" w:eastAsia="zh-CN"/>
        </w:rPr>
        <w:t>余份</w:t>
      </w:r>
      <w:r>
        <w:rPr>
          <w:rFonts w:hint="eastAsia" w:ascii="Times New Roman" w:hAnsi="Times New Roman" w:eastAsia="仿宋_GB2312" w:cs="Times New Roman"/>
          <w:sz w:val="32"/>
          <w:szCs w:val="32"/>
          <w:lang w:val="en-US" w:eastAsia="zh-CN"/>
        </w:rPr>
        <w:t>。3月23日，壤塘县农产品质量安全监测中心取得了四川省农业厅颁发的《农产品质量安全检测机构考核合格证书（CATL证书）和四川省质量技术监督局颁发的《检验检测机构资质认定证书》（CMA证书）。从而将更高效地推进县农产品质量监管工作，确保县农产品质量检验检测出具结果数据合法、有效，全力助推农牧业高质量发展。</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en-US"/>
        </w:rPr>
        <w:t>全力开展草畜平衡工作。</w:t>
      </w:r>
      <w:r>
        <w:rPr>
          <w:rFonts w:hint="eastAsia" w:ascii="Times New Roman" w:hAnsi="Times New Roman" w:eastAsia="仿宋_GB2312" w:cs="Times New Roman"/>
          <w:sz w:val="32"/>
          <w:szCs w:val="32"/>
          <w:lang w:val="en-US" w:eastAsia="zh-CN"/>
        </w:rPr>
        <w:t>认真贯彻《四川省牧区禁牧管理办法（试行）》《四川省牧区草畜平衡管理实施办法（试行）》等规定，以乡（镇）或村、组为基本单元实行禁牧封育管理和管护。实施草原禁牧193万亩，实施草畜平衡314.75万亩。2022年全县完成草畜平衡减畜任务1.4万羊单位任务，采取减畜、增草等多项措施，确保牧民减畜不减收。</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5.聚焦群众关切，惠民政策稳步见效。</w:t>
      </w:r>
      <w:r>
        <w:rPr>
          <w:rFonts w:hint="default" w:ascii="Times New Roman" w:hAnsi="Times New Roman" w:eastAsia="仿宋_GB2312" w:cs="Times New Roman"/>
          <w:sz w:val="32"/>
          <w:szCs w:val="32"/>
          <w:lang w:val="en-US" w:eastAsia="zh-CN"/>
        </w:rPr>
        <w:t>把保险作为化解风险、增收致富的重要保障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支付县级财政补贴承保资金701373.4元</w:t>
      </w:r>
      <w:r>
        <w:rPr>
          <w:rFonts w:hint="eastAsia" w:ascii="Times New Roman" w:hAnsi="Times New Roman" w:eastAsia="仿宋_GB2312" w:cs="Times New Roman"/>
          <w:sz w:val="32"/>
          <w:szCs w:val="32"/>
          <w:lang w:val="en-US" w:eastAsia="zh-CN"/>
        </w:rPr>
        <w:t>完成2117户共计</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44672</w:t>
      </w:r>
      <w:r>
        <w:rPr>
          <w:rFonts w:hint="default" w:ascii="Times New Roman" w:hAnsi="Times New Roman" w:eastAsia="仿宋_GB2312" w:cs="Times New Roman"/>
          <w:sz w:val="32"/>
          <w:szCs w:val="32"/>
          <w:lang w:val="en-US" w:eastAsia="zh-CN"/>
        </w:rPr>
        <w:t>头牦牛投保</w:t>
      </w:r>
      <w:r>
        <w:rPr>
          <w:rFonts w:hint="eastAsia" w:ascii="Times New Roman" w:hAnsi="Times New Roman" w:eastAsia="仿宋_GB2312" w:cs="Times New Roman"/>
          <w:sz w:val="32"/>
          <w:szCs w:val="32"/>
          <w:lang w:val="en-US" w:eastAsia="zh-CN"/>
        </w:rPr>
        <w:t>工作，为8322户（次）农牧户支付赔款金额1651.33万元；种植业</w:t>
      </w:r>
      <w:r>
        <w:rPr>
          <w:rFonts w:hint="default" w:ascii="Times New Roman" w:hAnsi="Times New Roman" w:eastAsia="仿宋_GB2312" w:cs="Times New Roman"/>
          <w:sz w:val="32"/>
          <w:szCs w:val="32"/>
          <w:lang w:val="en-US" w:eastAsia="zh-CN"/>
        </w:rPr>
        <w:t>理赔108.5万元。积极兑现2022年草奖2263.325万元、耕地地力保护补贴202.26万元、实际种粮农民一次性补贴19万元、油菜奖补资金143969.4元</w:t>
      </w:r>
      <w:r>
        <w:rPr>
          <w:rFonts w:hint="eastAsia" w:ascii="Times New Roman" w:hAnsi="Times New Roman" w:eastAsia="仿宋_GB2312" w:cs="Times New Roman"/>
          <w:sz w:val="32"/>
          <w:szCs w:val="32"/>
          <w:lang w:val="en-US" w:eastAsia="zh-CN"/>
        </w:rPr>
        <w:t>、农机购置补贴24000元</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6.联系服务群众，优化提升服务水平</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一是扎实开展群众帮扶工作。</w:t>
      </w:r>
      <w:r>
        <w:rPr>
          <w:rFonts w:hint="default" w:ascii="Times New Roman" w:hAnsi="Times New Roman" w:eastAsia="仿宋_GB2312" w:cs="Times New Roman"/>
          <w:sz w:val="32"/>
          <w:szCs w:val="32"/>
          <w:lang w:val="en-US" w:eastAsia="zh-CN"/>
        </w:rPr>
        <w:t>利用“今冬明春”“三月群众工作月”“两联一进”，以“送上门活动”为主题，组织我局农业技术人员深入村镇、田间地头、养殖场等开展各类技术培训和指导服务，把政策、知识、技能落到一线、送上家门。积极参与脱贫成果与乡村振兴有效衔接考核评估，配合联系村完成了省、州考核检查。以“我为群众办实事”为抓手，组织全局干部职工常态化开展为民服务活动。</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二是坚持服务质量“零投诉”。认真做好窗口标准化建设工作，优化行政审批流程，对前来办事的群众做到热心待人、耐心倾听、工作细心，提升窗口形象，提高群众满意度，实现“零投诉”。</w:t>
      </w:r>
      <w:r>
        <w:rPr>
          <w:rFonts w:hint="eastAsia" w:ascii="Times New Roman" w:hAnsi="Times New Roman" w:eastAsia="仿宋_GB2312" w:cs="Times New Roman"/>
          <w:sz w:val="32"/>
          <w:szCs w:val="32"/>
          <w:lang w:val="en-US" w:eastAsia="zh-CN"/>
        </w:rPr>
        <w:t>截至目前</w:t>
      </w:r>
      <w:r>
        <w:rPr>
          <w:rFonts w:hint="eastAsia" w:ascii="Times New Roman" w:hAnsi="Times New Roman" w:eastAsia="仿宋_GB2312" w:cs="Times New Roman"/>
          <w:sz w:val="32"/>
          <w:szCs w:val="32"/>
          <w:lang w:val="zh-CN" w:eastAsia="zh-CN"/>
        </w:rPr>
        <w:t>，我局行政窗口</w:t>
      </w:r>
      <w:r>
        <w:rPr>
          <w:rFonts w:hint="eastAsia" w:ascii="Times New Roman" w:hAnsi="Times New Roman" w:eastAsia="仿宋_GB2312" w:cs="Times New Roman"/>
          <w:sz w:val="32"/>
          <w:szCs w:val="32"/>
          <w:lang w:val="en-US" w:eastAsia="zh-CN"/>
        </w:rPr>
        <w:t>全程网办85项，网办程度能达到100%；马上办事项54件，占比63.53%;为提高办事效率，事项办理时间缩减79.44%，办件材料缩减63.08%；办件主动评价数45813件，主动评价率99.53%，产生办件评价的事项数占比37.65%，满意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坚持培训赋能，科技服务成效明显。一是结合新时期农村人才发展形势，紧扣实施乡村振兴战略现实需要，统筹推进现代农业科技人才、高素质农民等人才队伍建设，完成高素质农民（经营管理型）培训58人、省级职业经理培训2人；完成州级调训2次33人，省级调训2次7人；乡村振兴畜牧人才技能提升培训80人，“四川省乡村振兴科技在线”在线平台培训100人，业务能力和依法履职水平得以强化。二是统筹国家科技特派团和3个省级科技下乡万里行专家服务团到我县开展科技服务，分片区组建4个农技服务队伍，开展农技服务；通过编印技术手册、技术培训、推广新技术、新品种为到户产业发展提供技术支持。</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8.发展壮大经济，</w:t>
      </w:r>
      <w:r>
        <w:rPr>
          <w:rFonts w:hint="eastAsia" w:ascii="Times New Roman" w:hAnsi="Times New Roman" w:eastAsia="仿宋_GB2312" w:cs="Times New Roman"/>
          <w:sz w:val="32"/>
          <w:szCs w:val="32"/>
          <w:lang w:val="zh-CN" w:eastAsia="zh-CN"/>
        </w:rPr>
        <w:t>培育新型经营主体。</w:t>
      </w:r>
      <w:r>
        <w:rPr>
          <w:rFonts w:hint="default" w:ascii="Times New Roman" w:hAnsi="Times New Roman" w:eastAsia="仿宋_GB2312" w:cs="Times New Roman"/>
          <w:sz w:val="32"/>
          <w:szCs w:val="32"/>
          <w:lang w:val="zh-CN" w:eastAsia="zh-CN"/>
        </w:rPr>
        <w:t>围绕现代农业发展需要，以龙头企业、种养大户为培育主体，大力培育创建现代农业示范园区、龙头企业、合作社和家庭农场等新型经营主体，有效促进农村一二三产业融合发展。截至目前，全县</w:t>
      </w:r>
      <w:r>
        <w:rPr>
          <w:rFonts w:hint="eastAsia" w:ascii="Times New Roman" w:hAnsi="Times New Roman" w:eastAsia="仿宋_GB2312" w:cs="Times New Roman"/>
          <w:sz w:val="32"/>
          <w:szCs w:val="32"/>
          <w:lang w:val="en-US" w:eastAsia="zh-CN"/>
        </w:rPr>
        <w:t>农民专业合作社共有150个，合作社从事种植业的36个，从事畜牧业的18个，从事林业的66个，其他30个（包括手工业、旅游业等），其中州级示范社6家、县级示范社3家。</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9.以人民为中心，做好建议提案办理工作。</w:t>
      </w:r>
      <w:r>
        <w:rPr>
          <w:rFonts w:hint="default" w:ascii="Times New Roman" w:hAnsi="Times New Roman" w:eastAsia="仿宋_GB2312" w:cs="Times New Roman"/>
          <w:sz w:val="32"/>
          <w:szCs w:val="32"/>
          <w:lang w:val="zh-CN" w:eastAsia="zh-CN"/>
        </w:rPr>
        <w:t>今年共承办建议</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件、提案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件。</w:t>
      </w:r>
    </w:p>
    <w:bookmarkEnd w:id="0"/>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本年度年末实有人数为112人，比上年增加-6人；年末实有离退休人数为53人，比上年增加53人；变动情况及</w:t>
      </w:r>
      <w:bookmarkStart w:id="1" w:name="_GoBack"/>
      <w:bookmarkEnd w:id="1"/>
      <w:r>
        <w:rPr>
          <w:rFonts w:hint="eastAsia" w:ascii="Times New Roman" w:hAnsi="Times New Roman" w:eastAsia="仿宋_GB2312" w:cs="Times New Roman"/>
          <w:sz w:val="32"/>
          <w:szCs w:val="32"/>
          <w:lang w:eastAsia="zh-CN"/>
        </w:rPr>
        <w:t>原因</w:t>
      </w:r>
      <w:r>
        <w:rPr>
          <w:rFonts w:hint="eastAsia" w:ascii="Times New Roman" w:hAnsi="Times New Roman" w:eastAsia="仿宋_GB2312" w:cs="Times New Roman"/>
          <w:sz w:val="32"/>
          <w:szCs w:val="32"/>
          <w:lang w:val="en-US" w:eastAsia="zh-CN"/>
        </w:rPr>
        <w:t>人员调动，上年未录入离退休人员</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 </w:t>
      </w:r>
    </w:p>
    <w:p>
      <w:pPr>
        <w:pStyle w:val="9"/>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二、收入支出预算执行情况分析。</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（一）收入支出预算安排情况。</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本年度收入的年初预算数为1,981.74万元，上年度收入的年初预算数为2,194.39万元，差异为-212.65万元；主要原因原因节约开支。</w:t>
      </w:r>
    </w:p>
    <w:p>
      <w:pPr>
        <w:pStyle w:val="11"/>
        <w:keepNext w:val="0"/>
        <w:keepLines w:val="0"/>
        <w:widowControl/>
        <w:suppressLineNumbers w:val="0"/>
        <w:spacing w:before="0" w:beforeAutospacing="0"/>
        <w:ind w:left="0"/>
        <w:jc w:val="left"/>
        <w:rPr>
          <w:rFonts w:hint="eastAsia" w:ascii="宋体" w:hAnsi="宋体" w:eastAsia="宋体" w:cs="宋体"/>
          <w:sz w:val="24"/>
          <w:szCs w:val="24"/>
          <w:shd w:val="clear" w:fill="FFFFFF"/>
        </w:rPr>
      </w:pPr>
      <w:r>
        <w:drawing>
          <wp:inline distT="0" distB="0" distL="114300" distR="114300">
            <wp:extent cx="5224145" cy="2753995"/>
            <wp:effectExtent l="4445" t="4445" r="10160" b="22860"/>
            <wp:docPr id="10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1"/>
        <w:keepNext w:val="0"/>
        <w:keepLines w:val="0"/>
        <w:widowControl/>
        <w:suppressLineNumbers w:val="0"/>
        <w:spacing w:before="0" w:beforeAutospacing="0"/>
        <w:ind w:left="0"/>
        <w:jc w:val="left"/>
        <w:rPr>
          <w:rFonts w:hint="eastAsia" w:ascii="宋体" w:hAnsi="宋体" w:eastAsia="宋体" w:cs="宋体"/>
          <w:sz w:val="24"/>
          <w:szCs w:val="24"/>
          <w:shd w:val="clear" w:fill="FFFFFF"/>
        </w:rPr>
      </w:pP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本年度支出的年初预算数为 1,981.74万元，上年度支出的年初预算数为3,227.89万元，差异为-1,246.15万元；主要原因原因项目减少。</w:t>
      </w:r>
    </w:p>
    <w:p>
      <w:pPr>
        <w:pStyle w:val="11"/>
        <w:keepNext w:val="0"/>
        <w:keepLines w:val="0"/>
        <w:widowControl/>
        <w:suppressLineNumbers w:val="0"/>
        <w:spacing w:before="0" w:beforeAutospacing="0"/>
        <w:ind w:left="0"/>
        <w:jc w:val="left"/>
        <w:rPr>
          <w:rStyle w:val="14"/>
          <w:rFonts w:hint="eastAsia" w:ascii="宋体" w:hAnsi="宋体" w:eastAsia="宋体" w:cs="宋体"/>
          <w:sz w:val="24"/>
          <w:szCs w:val="24"/>
          <w:shd w:val="clear" w:fill="FFFFFF"/>
        </w:rPr>
      </w:pPr>
      <w:r>
        <w:drawing>
          <wp:inline distT="0" distB="0" distL="114300" distR="114300">
            <wp:extent cx="5266055" cy="2792730"/>
            <wp:effectExtent l="4445" t="4445" r="6350" b="22225"/>
            <wp:docPr id="108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（二）收入支出预算执行情况。</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本年度收入全年预算数为6,600.60万元，收入决算数为6,600.60万元，预算完成度为100.00%，上年度预算完成度为100.00%。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本年度支出全年预算数为7,022.07万元，支出决算数为7,022.07万元，预算完成度为100.00%，上年度预算完成度为100.00%，</w:t>
      </w:r>
    </w:p>
    <w:p>
      <w:pPr>
        <w:pStyle w:val="11"/>
        <w:keepNext w:val="0"/>
        <w:keepLines w:val="0"/>
        <w:widowControl/>
        <w:suppressLineNumbers w:val="0"/>
        <w:spacing w:before="0" w:beforeAutospacing="0"/>
        <w:ind w:left="0"/>
        <w:jc w:val="left"/>
        <w:rPr>
          <w:rFonts w:hint="eastAsia" w:ascii="宋体" w:hAnsi="宋体" w:eastAsia="宋体" w:cs="宋体"/>
          <w:b/>
          <w:bCs/>
          <w:sz w:val="24"/>
          <w:szCs w:val="24"/>
          <w:shd w:val="clear" w:fill="FFFFFF"/>
        </w:rPr>
      </w:pPr>
      <w:r>
        <w:rPr>
          <w:rFonts w:hint="eastAsia" w:ascii="宋体" w:hAnsi="宋体" w:eastAsia="宋体" w:cs="宋体"/>
          <w:b/>
          <w:bCs/>
          <w:sz w:val="24"/>
          <w:szCs w:val="24"/>
          <w:shd w:val="clear" w:fill="FFFFFF"/>
          <w:lang w:val="en-US" w:eastAsia="zh-CN"/>
        </w:rPr>
        <w:t>1.</w:t>
      </w:r>
      <w:r>
        <w:rPr>
          <w:rFonts w:hint="eastAsia" w:ascii="宋体" w:hAnsi="宋体" w:eastAsia="宋体" w:cs="宋体"/>
          <w:b/>
          <w:bCs/>
          <w:sz w:val="24"/>
          <w:szCs w:val="24"/>
          <w:shd w:val="clear" w:fill="FFFFFF"/>
        </w:rPr>
        <w:t>收入支出与预算对比分析。</w:t>
      </w:r>
    </w:p>
    <w:tbl>
      <w:tblPr>
        <w:tblStyle w:val="12"/>
        <w:tblpPr w:leftFromText="180" w:rightFromText="180" w:vertAnchor="text" w:horzAnchor="page" w:tblpX="1603" w:tblpY="930"/>
        <w:tblOverlap w:val="never"/>
        <w:tblW w:w="95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6336"/>
        <w:gridCol w:w="117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44"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收入支出与预算对比分析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功能科目</w:t>
            </w:r>
          </w:p>
        </w:tc>
        <w:tc>
          <w:tcPr>
            <w:tcW w:w="63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单位名称（科目）</w:t>
            </w:r>
          </w:p>
        </w:tc>
        <w:tc>
          <w:tcPr>
            <w:tcW w:w="235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63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预算（万元）</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2060101</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4.00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188.76</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217.21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94.39</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108.61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2080801</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死亡抚恤</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行政单位医疗</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22.48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2101102</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8"/>
                <w:szCs w:val="18"/>
                <w:u w:val="none"/>
                <w:lang w:val="en-US" w:eastAsia="zh-CN" w:bidi="ar"/>
              </w:rPr>
              <w:t>事业单位医疗</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60.1</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9.14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2101199</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8"/>
                <w:szCs w:val="18"/>
                <w:u w:val="none"/>
                <w:lang w:val="en-US" w:eastAsia="zh-CN" w:bidi="ar"/>
              </w:rPr>
              <w:t>其他行政事业单位医疗支出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22.48</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185.8</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2210203</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购房补贴</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2130101</w:t>
            </w:r>
          </w:p>
        </w:tc>
        <w:tc>
          <w:tcPr>
            <w:tcW w:w="63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389.03 </w:t>
            </w:r>
          </w:p>
        </w:tc>
        <w:tc>
          <w:tcPr>
            <w:tcW w:w="1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677.36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2130134</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color w:val="000000"/>
                <w:kern w:val="0"/>
                <w:sz w:val="18"/>
                <w:szCs w:val="18"/>
                <w:u w:val="none"/>
                <w:lang w:val="en-US" w:eastAsia="zh-CN" w:bidi="ar"/>
              </w:rPr>
              <w:t>事业运行</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r>
              <w:rPr>
                <w:rFonts w:hint="eastAsia" w:ascii="宋体" w:hAnsi="宋体" w:eastAsia="宋体" w:cs="宋体"/>
                <w:i w:val="0"/>
                <w:color w:val="000000"/>
                <w:sz w:val="18"/>
                <w:szCs w:val="18"/>
                <w:u w:val="none"/>
                <w:lang w:val="en-US" w:eastAsia="zh-CN"/>
              </w:rPr>
              <w:t>1005.55</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2100409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重大传染病防控中央补助资金（第二批包虫病防治）</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壤塘县上杜柯乡集镇供水工程渔业资源补救措施项目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壤塘县产油大县示范县奖励资金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2130135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中央财政农业资源及生态保护补助资金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高原马铃薯品种更换更新</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农产品质量安全项目经费</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2069999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2022年第二批省级科技计划项目（科技扶贫服务补助）</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2130122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2022年中央财政农业发展资金（农业外来物种普查）</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扶贫项目资产管理服务服务项目经费</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四川省基层农技骨干人才培训资金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阿坝州推进乡村振兴战略实绩考核州级先进县（市）、先进乡镇、示范村州级奖补资金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2069999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2022年第二批省级科技计划项目壤塘县蔬菜产业扶贫技术培训及示范推广</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2070108</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2022年壤巴拉文化旅游“成都行”经费（科农局藏地花香工作人员相关经费）</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2130135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2022年省级财政农业公共安全与生态资源保护利用工程（动物疫病防控及屠宰检测）</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2060902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省级科技计划项目资金（人畜粪便的堆肥化利用研究30万元）</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动植物保护能力提升工程项目（四川省壤塘县牧区动物防疫专用设施建设项目）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中央财政农业生产发展资金（耕地地地力保护补贴资金）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中央财政农业生产和水利救灾资金项目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67.34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2100409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重大动物疫病防控中央卫生健康专项补助资金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2130135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2022年省级财政农业公共安全与生态资源保护利用工程共同财政事权转移支付资金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省级财政乡村振兴共同财政事权转移支付资金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2130153</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2022年省级财政农田建设共同财政事权转移支付资金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2021年脱贫县紧缺专业人才顶岗培训计划培养</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开展水生物资源保护费用</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壤塘县青稞品种更新更换项目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2130108</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重大动物疫病防控工作经费</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2130110</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动物检疫合格证明联网电子出证网络费、出证设备维护费</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2060902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省级科技计划项目资金（微波生香制取高原浓香菜籽油技术研究与集成示范</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2130122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2022年中央财政农业发展资金（基层农技推广体系24万、高素质农民培育24万）</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2130122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州级农机购置补贴</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2022年乡村畜牧人才振兴专业技能提升培训</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壤塘县实际种粮农民一次性补贴</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壤塘县实际种粮农民一次性补贴项目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2130135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省级财政公共安全与生态资源保护利用工程资金（牧区草牧业生产方式转型升级）</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阿坝州实施乡村振兴战略工作州级先进县（市）先进乡镇、示范村州奖补资金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阿坝州星级现代农业园区州级奖补资金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2060499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壤塘县应用技术研究与开发资金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突发牛结节性皮肤病防控应急物资采购</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2139999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中央财政农业资源及生态保护补助资金（草奖）</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2,263.32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壤塘县人工饲草基地建设及卧圈种草项目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2130122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中央财政农业生产发展资金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2060404</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省级科技计划项目资金(壤塘县布康木达芍药和百合示范种植与技术推广（示范基地）</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2060404</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省级科技计划项目资金（藏区牦牛产业发展技术推广应用助力脱贫项目（面上项目）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2060404</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省级科技计划项目资金（壤塘县小叶羌活种苗繁育关键技术研究与示范（面上项目）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2060404</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第一批省级科技计划项目资金（科技扶贫平台建设与运行维护）</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2130122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中央财政农业生产发展资金（壤塘县农机购置补贴项目）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2139999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中央财政农业生产发展资金（壤塘县农机购置补贴项目）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2022年农村综合改革转移支付资金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壤巴拉牦牛产业园区（卧圈种草示范建设质保金）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2022年乡村振兴农产品质量安全监管与应急管理能力培训资金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壤塘县阳光部落旅游服务有限公司资产评估费用</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2100409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中央、省级和州级财政卫生健康专项（第三批）补助资金（重大传染病防治包虫病）</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壤塘县乡村振兴农产品质量安全监测检验实验室建设项目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2130108</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重大动物疫病疫苗</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2130803</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农业保险</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2130803</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牦牛保险</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尕多蔬菜加工设施建设（预下达）</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2069999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2022年第二批省级科技计划项目科技扶贫平台建设与运行维护</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壤塘县马铃薯品种更新更换项目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2069999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2022年第二批省级科技计划项目壤塘县伊里村高原特色中药材生态种植技术集成与示范</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2060902</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省级科技计划项目资金（牦牛标准化养殖技术研究及应用示范）</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2130505</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壤塘县农业产业化项目</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2069999</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2022年第二批省级科技项目壤塘县山莨菪规范化种植示范与推广（示范基地）</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2130504</w:t>
            </w: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2022年牧道维修资金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3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1981.73</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7022.07</w:t>
            </w:r>
          </w:p>
        </w:tc>
      </w:tr>
    </w:tbl>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（2）差异原因分析。无</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2．收入支出结构分析。</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本年度总收入为6,600.60万元。其中：一般公共预算财政拨款收入为6,600.60万元，占比100.00%；政府性基金预算财政拨款收入为0.00万元，占比0.00%；国有资本经营预算财政拨款收入为0.00)万元，占比0.00%；上级补助收入为0.00万元，占比0.00%；事业收入为0.00万元，占比0.00%；经营收入为0.00万元，占比0.00%；附属单位上缴收入为0.00万元，占比0.00%；其他收入为0.00万元，占比0.00%。</w:t>
      </w:r>
    </w:p>
    <w:p>
      <w:pPr>
        <w:pStyle w:val="11"/>
        <w:keepNext w:val="0"/>
        <w:keepLines w:val="0"/>
        <w:widowControl/>
        <w:suppressLineNumbers w:val="0"/>
        <w:spacing w:before="0" w:beforeAutospacing="0"/>
        <w:ind w:left="0"/>
        <w:jc w:val="left"/>
        <w:rPr>
          <w:rFonts w:hint="eastAsia" w:ascii="宋体" w:hAnsi="宋体" w:eastAsia="宋体" w:cs="宋体"/>
          <w:sz w:val="24"/>
          <w:szCs w:val="24"/>
          <w:shd w:val="clear" w:fill="FFFFFF"/>
        </w:rPr>
      </w:pPr>
      <w:r>
        <w:drawing>
          <wp:inline distT="0" distB="0" distL="114300" distR="114300">
            <wp:extent cx="5328285" cy="2743200"/>
            <wp:effectExtent l="4445" t="4445" r="2032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年度总支出为7,022.07万元。其中：一般公共服务支出为0.00万元，占比0.00%；外交支出为0.00万元，占比0.00%；国防支出为0.00万元，占比0.00%；公共安全支出为0.00万元，占比0.00%；教育支出为0.00万元，占比0.00%；科学技术支出为338.54万元，占比4.82%；文化旅游体育与传媒支出为1.05万元，占比0.02%；社会保障和就业支出为373.05万元，占比5.31%；卫生健康支出为159.87万元，占比2.28%；节能环保支出为0.00万元，占比0.00%；城乡社区支出为0.00万元，占比0.00%；农林水支出为5,969.79万元，占比85.01%；交通运输支出为0.00万元，占比0.00%；资源勘探工业信息等支出为0.00万元，占比0.00%；商业服务业等支出为0.00万元，占比0.00%；金融支出为0.00万元，占比0.00%；援助其他地区支出为0.00万元，占比0.00%；自然资源海洋气象等支出为0.00万元，占比0.00%；住房保障支出为179.78万元，占比2.56%；粮油物资储备支出为0.00万元，占比0.00%；国有资本经营预算支出为0.00万元，占比0.00%；灾害防治及应急管理支出为0.00万元，占比0.00%；其他支出为0.00万元，占比0.00%；债务还本支出为0.00万元，占比0.00%；债务付息支出为0.00万元，占比0.00%；抗疫特别国债安排的支出为0.00万元，占比0.00%。</w:t>
      </w:r>
    </w:p>
    <w:p>
      <w:pPr>
        <w:pStyle w:val="11"/>
        <w:keepNext w:val="0"/>
        <w:keepLines w:val="0"/>
        <w:widowControl/>
        <w:suppressLineNumbers w:val="0"/>
        <w:spacing w:before="0" w:beforeAutospacing="0"/>
        <w:ind w:left="0"/>
        <w:jc w:val="left"/>
        <w:rPr>
          <w:rFonts w:hint="eastAsia" w:ascii="宋体" w:hAnsi="宋体" w:eastAsia="宋体" w:cs="宋体"/>
          <w:sz w:val="24"/>
          <w:szCs w:val="24"/>
          <w:shd w:val="clear" w:fill="FFFFFF"/>
        </w:rPr>
      </w:pPr>
      <w:r>
        <w:drawing>
          <wp:inline distT="0" distB="0" distL="114300" distR="114300">
            <wp:extent cx="5234305" cy="2681605"/>
            <wp:effectExtent l="4445" t="4445" r="19050" b="190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（2）本年度一般公共预算财政拨款收入相比上年度增加-2,798.39万元，主要原因乡村振兴项目划到乡村振兴局；</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年度一般公共服务支出相比上年度增加-46.45万元，主要原因节约开支。教育支出相比上年度增加-6.00万元，主要原因教育支出项目减少；科学技术支出相比上年度增加-98.38万元，主要原因科学技术支出项目减少；文化旅游体育与传媒支出相比上年度增加1.05万元，主要原因到成都参加文化宣传；社会保障和就业支出相比上年度增加87.00万元，主要原因为保险缴费基数提高；卫生健康支出相比上年度增加13.64万元，主要原因保险缴费基数提高；节能环保支出相比上年度增加-39.91万元，主要原因；农林水支出相比上年度增加-3,081.86万元，主要原因乡村振兴项目划到乡村振兴局；住房保障支出相比上年度增加-8.72万元，主要原因人员减少；</w:t>
      </w:r>
    </w:p>
    <w:p>
      <w:pPr>
        <w:rPr>
          <w:rFonts w:hint="eastAsia"/>
          <w:lang w:val="en-US" w:eastAsia="zh-CN"/>
        </w:rPr>
      </w:pPr>
    </w:p>
    <w:tbl>
      <w:tblPr>
        <w:tblStyle w:val="12"/>
        <w:tblpPr w:leftFromText="180" w:rightFromText="180" w:vertAnchor="text" w:horzAnchor="page" w:tblpX="1216" w:tblpY="555"/>
        <w:tblOverlap w:val="never"/>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8"/>
        <w:gridCol w:w="3861"/>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45"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2022年与2021年支出结构情况表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2022年财政拨款支出（万元）</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338.54 </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373.05 </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159.87 </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5,969.79 </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9,051.65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179.78 </w:t>
            </w:r>
          </w:p>
        </w:tc>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188.50 </w:t>
            </w:r>
          </w:p>
        </w:tc>
      </w:tr>
    </w:tbl>
    <w:p>
      <w:pPr>
        <w:pStyle w:val="11"/>
        <w:keepNext w:val="0"/>
        <w:keepLines w:val="0"/>
        <w:widowControl/>
        <w:numPr>
          <w:ilvl w:val="0"/>
          <w:numId w:val="0"/>
        </w:numPr>
        <w:suppressLineNumbers w:val="0"/>
        <w:spacing w:before="0" w:beforeAutospacing="0" w:after="0" w:afterAutospacing="1"/>
        <w:ind w:right="0" w:rightChars="0"/>
        <w:jc w:val="left"/>
        <w:rPr>
          <w:rFonts w:hint="eastAsia" w:ascii="宋体" w:hAnsi="宋体" w:eastAsia="宋体" w:cs="宋体"/>
          <w:sz w:val="24"/>
          <w:szCs w:val="24"/>
          <w:shd w:val="clear" w:fill="FFFFFF"/>
        </w:rPr>
      </w:pP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3．支出按经济分类科目分析。</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 “三公”经费支出情况：本年度“三公”经费支出决算数为12.43万元。其中:因公出国（境）费支出决算数为0.00万元，相比上年度增加0.00万元，主要原因节约开支；     </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公务用车购置及运行维护费支出决算数为12.43万元，相比上年度增加-4.44万元，主要原因节约开支；公务接待费支出决算数为0.00万元，相比上年度增加-0.05万元，主要原因节约开支。 本年度“三公”经费支出预算数为12.43万元，决算数为12.43万元，预算完成度为100.00%，主要原因预算编制合理。本年度因 公出国（境）费人均支出为0.00万元，公务用车购置及运行维护费人均支出为0.11万元，公务接待费人均支出为0.00万元。</w:t>
      </w:r>
    </w:p>
    <w:p>
      <w:pPr>
        <w:pStyle w:val="11"/>
        <w:keepNext w:val="0"/>
        <w:keepLines w:val="0"/>
        <w:widowControl/>
        <w:suppressLineNumbers w:val="0"/>
        <w:spacing w:before="0" w:beforeAutospacing="0"/>
        <w:ind w:left="0" w:firstLine="320" w:firstLineChars="100"/>
        <w:jc w:val="left"/>
        <w:rPr>
          <w:rFonts w:hint="eastAsia" w:ascii="宋体" w:hAnsi="宋体" w:eastAsia="宋体" w:cs="宋体"/>
          <w:sz w:val="24"/>
          <w:szCs w:val="24"/>
          <w:shd w:val="clear" w:fill="FFFFFF"/>
        </w:rPr>
      </w:pPr>
      <w:r>
        <w:rPr>
          <w:rFonts w:hint="eastAsia" w:ascii="Times New Roman" w:hAnsi="Times New Roman" w:eastAsia="仿宋_GB2312" w:cs="Times New Roman"/>
          <w:kern w:val="0"/>
          <w:sz w:val="32"/>
          <w:szCs w:val="32"/>
          <w:lang w:val="en-US" w:eastAsia="zh-CN" w:bidi="ar"/>
        </w:rPr>
        <w:t>（2）培训费支出情况：本年度培训费支出决算数为38.59万元，相比上年度增加-15.28万元，主要原因培训项目减少；培训费人均支出为0.34万元。</w:t>
      </w:r>
    </w:p>
    <w:tbl>
      <w:tblPr>
        <w:tblStyle w:val="12"/>
        <w:tblpPr w:leftFromText="180" w:rightFromText="180" w:vertAnchor="text" w:horzAnchor="page" w:tblpX="1199" w:tblpY="183"/>
        <w:tblOverlap w:val="never"/>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5"/>
        <w:gridCol w:w="3170"/>
        <w:gridCol w:w="3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45"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2022年与2021年“三公”支出结构情况表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2021年“三公”支出（万元）</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2021年“三公”支出（万元）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公务用车购置及运行维护费</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12.43 </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公务用车购置及运行维护费人均支出</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公务接待费人均支出</w:t>
            </w: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（3）会议费支出情况：无</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培训费支出情况：本年度培训费支出决算数为38.59万元，相比上年度增加-15.28万元，主要原因培训项目减少；培训费人均支出为0.34万元。</w:t>
      </w:r>
    </w:p>
    <w:p>
      <w:pPr>
        <w:pStyle w:val="11"/>
        <w:keepNext w:val="0"/>
        <w:keepLines w:val="0"/>
        <w:widowControl/>
        <w:suppressLineNumbers w:val="0"/>
        <w:spacing w:before="0" w:beforeAutospacing="0"/>
        <w:ind w:left="0"/>
        <w:jc w:val="left"/>
        <w:rPr>
          <w:rStyle w:val="14"/>
          <w:rFonts w:hint="eastAsia" w:ascii="宋体" w:hAnsi="宋体" w:eastAsia="宋体" w:cs="宋体"/>
          <w:sz w:val="24"/>
          <w:szCs w:val="24"/>
          <w:shd w:val="clear" w:fill="FFFFFF"/>
        </w:rPr>
      </w:pPr>
      <w:r>
        <w:drawing>
          <wp:inline distT="0" distB="0" distL="114300" distR="114300">
            <wp:extent cx="4984750" cy="2421890"/>
            <wp:effectExtent l="4445" t="4445" r="20955" b="12065"/>
            <wp:docPr id="1147"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1"/>
        <w:keepNext w:val="0"/>
        <w:keepLines w:val="0"/>
        <w:widowControl/>
        <w:numPr>
          <w:ilvl w:val="0"/>
          <w:numId w:val="1"/>
        </w:numPr>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其他对单位影响较大的支出情况。无</w:t>
      </w:r>
    </w:p>
    <w:p>
      <w:pPr>
        <w:pStyle w:val="11"/>
        <w:keepNext w:val="0"/>
        <w:keepLines w:val="0"/>
        <w:widowControl/>
        <w:numPr>
          <w:ilvl w:val="0"/>
          <w:numId w:val="0"/>
        </w:numPr>
        <w:suppressLineNumbers w:val="0"/>
        <w:spacing w:before="0" w:beforeAutospacing="0"/>
        <w:ind w:right="0" w:rightChars="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（5）重点经济分类支出中存在的问题及改进措施。无</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4.财政拨款收入、支出分析。</w:t>
      </w:r>
    </w:p>
    <w:p>
      <w:pPr>
        <w:pStyle w:val="11"/>
        <w:keepNext w:val="0"/>
        <w:keepLines w:val="0"/>
        <w:widowControl/>
        <w:suppressLineNumbers w:val="0"/>
        <w:spacing w:before="0" w:beforeAutospacing="0"/>
        <w:ind w:left="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本年度财政拨款收入为6,600.60万元，财政拨款支出为7,022.07万元，其中：基本支出中人员经费支出为2,640.02万元，公用经费支出为106.40万元。项目支出中基本建设类项目支出为629.99万元。</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（三）年末结转和结余情况。</w:t>
      </w:r>
    </w:p>
    <w:p>
      <w:pPr>
        <w:pStyle w:val="11"/>
        <w:keepNext w:val="0"/>
        <w:keepLines w:val="0"/>
        <w:widowControl/>
        <w:suppressLineNumbers w:val="0"/>
        <w:spacing w:before="0" w:beforeAutospacing="0"/>
        <w:ind w:left="0" w:firstLine="320" w:firstLineChars="1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1．分资金来源、资金性质结转和结余情况，特别是项目经费结转和结余情况。无</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2．结转和结余规模较大的原因分析及消化结转和结余的对策。无</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（四）与预算支出相关的其他指标分析。</w:t>
      </w:r>
    </w:p>
    <w:p>
      <w:pPr>
        <w:pStyle w:val="11"/>
        <w:keepNext w:val="0"/>
        <w:keepLines w:val="0"/>
        <w:widowControl/>
        <w:suppressLineNumbers w:val="0"/>
        <w:spacing w:before="0" w:beforeAutospacing="0"/>
        <w:ind w:left="0" w:firstLine="320" w:firstLineChars="1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对资产、负债信息进行分析，主要分析与上年度对比情况，包括增减绝对值与幅度，增减变动主要原因(可用柱形图或折线图)，对预算编制和执行的影响等。无</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（五）绩效目标完成情况。</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1.一级项目支出绩效目标预算执行情况。</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（1）壤塘县农产品质量安全项目经费项目，财政拨款1.00万元，支付0.84万元，支付率84%。</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（2）壤塘县乡村振兴农产品质量安全监测检验实验室建设项目。财政拨款11.7万元，支付11.7万元，支付率100%。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（3）重大传染病防控中央补助资金（第二批包虫病防治）。财政拨款5万元，支付4.22万元，支付率84.4%。</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（4）2020年中央、省级和州级财政卫生健康专项（第三批）补助资金（重大传染病防治包虫病）。财政拨款9.38万元，支付8.65万元，支付率92.23%。</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（5）科农局重大动物疫病防控中央卫生健康专项补助资金。财政拨款18.4万元，支付18.4万元，支付率100%。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（6）中央财政农业生产发展资金（壤塘县农机购置补贴项目）。财政拨款1.41万元，支付1.41万元，支付率100%。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（7）中央财政农业生产发展资金（壤塘县农机购置补贴项目）。财政拨款9.28万元，支付9.21万元，支付率99.25%。</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（8）壤塘县2022年人工饲草基地建设及卧圈种草项目。财政拨款51.84万元，支付51.84万元，支付率100%。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（9）壤塘县2022年中央财政农业生产和水利救灾资金项目。财政拨款73万元，支付0万元，支付率0%。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（10）2022年中央财政农业资源及生态保护补助资金（草奖）。财政拨款2263.33万元，支付2263.33万元，支付率100%。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（11）农业产业化项目。财政拨款159.65万元，支付159.65万元，支付率100%。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（12）科农局省级财政乡村振兴共同财政事权转移支付资金。财政拨款60万元，支付60万元，支付率100%。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（13）阿坝州推进乡村振兴战略实绩考核州级先进县（市）、先进乡镇、示范村州级奖补资金）。财政拨款129.93万元，支付129.93万元，支付率100%。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（14）中央产油大县项目县奖励资金(天府菜油产业融合发展暨产油大县项目)。财政拨款150万元，支付106.89万元，支付率71.26%。</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（15）科农局中央农田建设补助资金。财政拨款155.27万元，支付82.27万元，支付率52.99%。</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（16）壤塘县马铃薯品种更新更换项目。财政拨款41.55万元，支付41.55万元，支付率100%。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（17）壤塘县青稞品种更新更换项目。财政拨款27.3万元，支付27.3万元，支付率100%。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（18）实际种粮农民一次性补贴。财政拨款19万元，支付19万元，支付率100%。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（19）中央财政农业生产发展资金（耕地地地力保护补贴资金）。财政拨款202.26万元，支付202.26万元，支付率100%。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（20）科农局阿坝州星级现代农业园区州级奖补资金。财政拨款88.12万元，支付80.76万元，支付率91.65%。</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（21）科农局省级财政现代化农业发展工程共同财政事权转移支付资金。财政拨款93.55万元，支付93.55万元，支付率100%。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（22）科农局年第一批省级科技计划项目资金（科技扶贫平台建设与运行维护）。财政拨款5.44万元，支付5.44万元，支付率100%。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（23）2021年第一批省级科技计划项目资金（壤塘县小叶羌活种苗繁育关键技术研究与示范（面上项目）。  财政拨款9万元，支付9万元，支付率100%。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（24）2021年第一批省级科技计划项目资金（藏区牦牛产业发展技术推广应用助力脱贫项目（面上项目）。财政拨款12万元，支付12万元，支付率100%。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（25）2021年第一批省级科技计划项目资金（微波生香制取高原浓香菜籽油技术研究与集成示范（科技示范村）。财政拨款25.39万元，支付25.39万元，支付率100%。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（26）2021年第一批省级科技计划项目资金（牦牛标准化养殖技术研究与集成示范）。财政拨款100万元，支付70.96万元，支付率100%。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（27）科农局省级科技计划项目资金(壤塘县布康木达芍药和百合示范种植与技术推广（示范基地）。财政拨款35.91万元，支付35.9万元，支付率100%。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（28）省级科技计划项目资金（人畜粪便的堆肥化利用研究30万元）。财政拨款30万元，支付30万元，支付率100%。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（29）科农局中央财政农业生产发展资金。财政拨款20万元，支付20万元，支付率100%。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（30）尕多蔬菜加工设施建设项目。财政拨款40.44万元，支付32.06万元，支付率79.27%。</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（31）科农局阿坝州实施乡村振兴战略工作州级先进县（市）先进乡镇、示范村州奖补资金。财政拨款40万元，支付20万元，支付率50%。</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2.二级项目支出绩效目标预算执行情况。</w:t>
      </w:r>
    </w:p>
    <w:p>
      <w:pPr>
        <w:pStyle w:val="11"/>
        <w:keepNext w:val="0"/>
        <w:keepLines w:val="0"/>
        <w:widowControl/>
        <w:suppressLineNumbers w:val="0"/>
        <w:spacing w:before="0" w:beforeAutospacing="0"/>
        <w:ind w:left="0" w:firstLine="320" w:firstLineChars="1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（1）基本支出绩效目标完成情况。</w:t>
      </w:r>
    </w:p>
    <w:p>
      <w:pPr>
        <w:pStyle w:val="11"/>
        <w:keepNext w:val="0"/>
        <w:keepLines w:val="0"/>
        <w:widowControl/>
        <w:suppressLineNumbers w:val="0"/>
        <w:spacing w:before="0" w:beforeAutospacing="0"/>
        <w:ind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基本工资：预算数为433.59万元，支付473.09万元，支付率为109.11%。</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津贴补贴：预算数为451.08万元，支付438.59万元，支付率为97.23%。</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奖金：预算数为36.13万元，支付608.36万元，支付率为1683.81%。</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绩效工资：预算数为268.35万元，支付256.55万元，支付率为95.6%</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机关事业单位基本养老保险缴费：预算数为188.76万元，支付217.21万元，支付率为115.07%。</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职业年金缴费：预算数为94.39万元，支付108.61万元，支付率为115.07%。</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医疗保险缴费：预算数为114.2万元，支付106.32万元，支付率为93.1%。</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工伤、失业保险、残保金：预算数为21.25万元，支付20.85万元，支付率为98.12%。</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住房公积金：预算数为185.8万元，支付179.78万元，支付率为96.76%。</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奖励金：预算数0.03万元，支付0.03万元，支付率100%。</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医疗费：预算数0.00万元，支付21.64万元。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公用经费：预算数为172.58万元，支付113.36万元，支付率为65.69%。</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（2）项目支出绩效目标完成情况。</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2022年重大动物疫病防控经费。财政拨款6.74万元，支付6.74万元，支付率100%。</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重大动物疫病疫苗。财政拨款4.14万元，支付4.14万元，支付率100%。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壤塘县农产品质量安全项目经费。项目财政拨款0.84万元，支付0.84万元，支付率100%。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壤塘县政策性牦牛保险项目。财政拨款70.14万元，支付70.14万元，支付率100%。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三、目标实现情况</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（一）一级项目绩效目标（完成指标）实现情况。</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1.壤塘县乡村振兴农产品质量安全监测检验实验室建设项目。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数量指标：采购实验设备及耗材≥1924台（件）</w:t>
      </w:r>
      <w:r>
        <w:rPr>
          <w:rFonts w:hint="eastAsia" w:ascii="Times New Roman" w:hAnsi="Times New Roman" w:eastAsia="仿宋_GB2312" w:cs="Times New Roman"/>
          <w:kern w:val="0"/>
          <w:sz w:val="32"/>
          <w:szCs w:val="32"/>
          <w:lang w:val="en-US" w:eastAsia="zh-CN" w:bidi="ar"/>
        </w:rPr>
        <w:tab/>
      </w:r>
      <w:r>
        <w:rPr>
          <w:rFonts w:hint="eastAsia" w:ascii="Times New Roman" w:hAnsi="Times New Roman" w:eastAsia="仿宋_GB2312" w:cs="Times New Roman"/>
          <w:kern w:val="0"/>
          <w:sz w:val="32"/>
          <w:szCs w:val="32"/>
          <w:lang w:val="en-US" w:eastAsia="zh-CN" w:bidi="ar"/>
        </w:rPr>
        <w:t xml:space="preserve">     已采购1924台（件）；对现有仪器设备进行维修维护保养≥5台，已完成。对≥55台（件）仪器设备进行校准，已完成。</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质量指标：实验室“双认证”通过率达到100%，实验室改造合格率≥90%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成本指标：项目支出控制在资金投入范围内的比例≤100%</w:t>
      </w:r>
      <w:r>
        <w:rPr>
          <w:rFonts w:hint="eastAsia" w:ascii="Times New Roman" w:hAnsi="Times New Roman" w:eastAsia="仿宋_GB2312" w:cs="Times New Roman"/>
          <w:kern w:val="0"/>
          <w:sz w:val="32"/>
          <w:szCs w:val="32"/>
          <w:lang w:val="en-US" w:eastAsia="zh-CN" w:bidi="ar"/>
        </w:rPr>
        <w:tab/>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社会效益：保障全县农牧民群众食品安全。</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2.2021年重大传染病防控中央补助资金（第二批包虫病防治）</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数量指标：犬只驱虫数980只+犬只驱虫数980只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质量指标：家犬、野犬粪采集500份+已完成数家犬、野犬粪采集500份</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成本指标：5万元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3.2020年中央、省级和州级财政卫生健康专项（第三批）补助资金（重大传染病防治包虫病）</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数量指标：犬只驱虫数980只+980只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质量指标：驱虫次数12次，已完成数12次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成本指标：9.375万元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4.2022年重大传染病防控</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数量指标：犬只驱虫数980只+980只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质量指标：驱虫次数12次，已完成数12次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成本指标：19.05万元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5.阿坝州农业农村局壤结余原〔2022〕627号）资金数 92820 元，已支付92120元，支付率达99.2%。结余700元是因为年前预算农机购置补贴系统机具资金未调整，年初系统升级机具补贴调整下降，导致结余700元。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质量指标：阿坝州农业农村局壤结余原〔2022〕627号）资金数 92820 元，已支付92120元，支付率达99.2%。</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社会效益指标：充分调动和保护农民购买使用农机的积 极性，促进农机装备结构优化、农机化作业能力和水平提升，推进农业发展方式转变，切实保障主要农产品有效供给，最大限度 发挥农机购置补贴政策效应。 </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可持续影响指标：促进农机装备结构优化、农机化作业能力和水平提升，推进农业发展方式转变。</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6.2022年农机购置补贴中央14万元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数量指标：涉及项目 1 个，年初计划完成全县农机购置补贴15（台套）财政拨款14万元，财政拨款9.28万元，兑现完成补贴资金9.21万元。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全县未完成农机购置补贴，中央资金到位9.28万元。2020年，我州中央资金采取“县级申报、州级平衡（汇总）、省级下达”的方式，为了提高州级累加补贴资金使用效率，以各县（市）中央资金预计实施量为任务量，州资金按照1:1配套。</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社会效益指标：充分调动和保护农民购买使用农机的积 极性，促进农机装备结构优化、农机化作业能力和水平提升，推进农业发展方式转变，切实保障主要农产品有效供给，最大限度 发挥农机购置补贴政策效应。 </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可持续影响指标：促进农机装备结构优化、农机化作业能力和水平提升，推进农业发展方式转变。</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7.壤塘县2022年人工饲草基地建设及卧圈种草项目。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数量指标：采购燕麦种子吨，资金25.76万元，采购复混肥5.6吨，资金25.76万元；专家评审费0.16万元，已完成拨付资金51.68万元。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 成本指标：采购燕麦种子5.6吨，资金25.76万元，采购复混肥5.6吨，3500亩割草地当年可收获鲜草5250吨，计干草1590吨，折合经济价值318万元。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生态效益：项目实施区内草原防风固沙、涵养水分、固碳等生态功能也会随之加强。</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社会效益：项目最大限度减少因自然灾害造成牲畜死亡和掉膘带来的经济损失。缩短牲畜出栏周期，增加农牧民收入。</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8.壤塘县2022年中央财政农业生产和水利救灾资金项目。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数量指标：总投资72万元，用于越冬青干草。以每吨草0.25万元，72万元可以购买干草288吨，以每头牛每天饲补8公斤，以每年受灾20天计算，288吨干草可供1800头牛成功越灾，可带来经济效益720万元。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生态效益：可以为牲畜贮备越冬度春饲草料，对于增强畜牧业的防灾抗灾能力。减少自然灾害对牲畜造成掉膘和死亡。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社会效益：使壤塘县薄弱的冬季饲草料储备能力得到有效缓解增强畜牧业的防灾抗灾能力。极大减少自然灾害给畜牧业造成的损失。</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9.2022年草生态保护补助奖励政策</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数量指标：实施禁牧面积193万亩，实施平衡面积314.75万亩+禁牧面积193万亩，平衡面积314.75万亩，兑现补助2263.32万元。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质量指标：制定超载减畜任务，达到草畜动态平衡+制定超载减畜任务，达到草畜动态平衡。实施禁牧面积193万亩，实施平衡面积314.75万亩+禁牧面积193万亩，平衡面积314.75万亩，实际兑现补助2263.32万元。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生态指标：涵养水源，保持水土，保护草原资源，改善草原生态环境。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经济效益：促进农牧民收入增加，改善生活条件。</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10.尕多蔬菜加工设施建设项目。该项目为2021年建设项目，相关的绩效指标已经完成，因施工方原因，未能及时进行最终的竣工工程量结算；资金到位情况（40.44万元），已支付40.44万元，支付率达100%。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11.农业产业化项目财政拨款159.65万元，支付159.65万元，支付率100%。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数量指标：一是扶持新型农业经营主体数量预计数8，已完成数2；二是生态蔬菜种植面积预计数2050亩，已完成数1145亩；三是带动农牧民群众就近务工预计数5000人次，已完成数5000人次。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质量指标：一是生态蔬菜成活率预计数90%，实际成活率90%；二是设施大棚生态蔬菜种植面积预计数180亩，已完成134.85亩；三是无公害产品率预计数100%，实际调研数100%。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实效指标：扶持资金预计拨付率100%，1-6月实际到位资金1800000元，已拨付757700元，实际完成拨付率42.1%，拨付率100%。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成本指标：生态蔬菜生产补助标准大于等于500元/亩，实际补助为大于等于500元/亩。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生态效益指标：一是农药、化肥用量零增长，安装农药生态生产要求，全面禁止使用禁止使用的农业和化肥；二是农业面源污染，形成减少基础，已签订环保协议书，严格禁止农业面源污染源形成。</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可持续影响指标：农业生产与环境协调发展，通过不断宣传农业生态环境保护的相关知识和法规，并签订环保协议等形式活动。目前农业生产与环境保护已形成协调发展。</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服务对象满意度指标：一是受益群众满意度≧90%，当前满意度≧90%；二是受益乡、镇村满意度≧90%，当前满意度≧90%；新型农业经营主体满意度≧90%，当前满意度≧90%。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12.2020年阿坝州推进乡村振兴战略实绩考核先进县（市）、先进乡镇、示范村州级奖补资金129.93万元。财政拨款129.93万元，支付129.93万元，支付率100%。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数量指标：在加斯满村石波寨建设民宿用于旅游接待用于旅游接待。在斯跃武村老国道317旁购买民房一套发展民宿）用于旅游接待。</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质量指标：项目合格率达100%，项目验收合格率达100%。.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时效指标：实际完成数为3个月。</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成本指标：加斯满村预计数为总投资额等于20万元。斯跃武村预计数为总投资额等于20万。</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效益指标：预计数为建成后每年可实现收入情况大于等于6万元。斯跃武村预计数为建成后每年可实现收入情况大于等于1.5万元。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满意度指标：农牧民满意度达100%。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13.2021年四川省推进乡村振兴战略实绩考核先进县（市）、先进乡镇、示范村省级奖补资金60万元。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数量指标：预计数为在壤塘县城购置商铺1个。已完成数为100%。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质量指标：项目验收合格率达100%。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时效指标：预计数为工期4个月。实际完成数为100%。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成本指标：预计数为总投资额小于等于60万元。已完成数为60万元。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效益指标：预计建成后每年可实现收入情况大于等于5万元。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满意度指标：农牧民满意度达100%。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14.阿坝州推进乡村振兴战略实绩考核先进县（市）、先进乡镇、示范村州级奖补资金129.93万元。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数量指标：阿加村建架管扣件租赁公司1个，已完成数1个；修卡村巧妇新兴合作社文化建设1个，盖建阳光棚和外围粉刷1个；中壤塘镇室外发光广告字11个， 雨水篦子维修更换150套，雨污水井盖维修更换60套 ，排水沟铸铁篦子盖板维修更换200套，排污管道维修更换12米；伊里村：预计数为新建停车场1个，新建洗车场1个，已完成数为1个。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阿加村采购架管6米管6000米、架管3米管3000米、架管1.5米管1000米、架管1.2米管2000米、扣件10000个，已全部完成采购任务；修卡村巧妇新兴合作社文化建设，主要建设内容：室内外文化墙建设，标语粘贴，合作社制度，荣誉墙，门牌，预计费用共计11万元，由广告公司实施；盖建二楼阳光棚及外围粉刷，预计费用共计5万元；室内装修人工费，预计费用共计3万元；房屋租金，费用为1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效益指标：预计建成后每年可实现收入情况大于等于5万元；新增村内就业岗位2个，已完成村内就业岗位2个。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满意度指标：预计数为农牧民满意度达100%。15.2021年“天府菜油”暨产油大县项目县奖励资金项目（观光春油菜种植）</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数量指标：种植双低油菜2000亩以上，已完成2000亩。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质量指标：种植作物成活率85%以上。</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成本指标：统购、统配种子和肥料合计控制在150元/亩以下。</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16.壤塘县2021年高标准农田建设项目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数量指标：土壤改良1900亩、土地平整800亩、节水灌溉 300亩、拦水坝1座。</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质量指标：项目验收合格率100%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经济效益：建设土地平整、土壤改良、拦水坝后增加产业收入，促进农牧民经济增长。</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17.壤塘县马铃薯品种更新更换项目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数量指标：预计数：马铃薯品种更新更换品种推广种植面积≥1000亩；92马铃薯品种更新更换品种2个。已完成数：马铃薯品种更新更换品种推广种植面积≥1000亩；马铃薯品种更新更换品种2个。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质量指标：技术培训3次以上；种植作物成活率≥80%；推广示范新品种、新技术、新成果数量≥2项。</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时效指标：播种时间5月30日前；验收完成时间10月30日前。完成率100%。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成本指标：种薯亩均用量300斤；马铃薯规模种植补助≥150元/亩。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18.壤塘县青稞品种更新更换项目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数量指标：品种推广种植面积2000亩，已完成2000亩。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质量指标：技术培训3次，已完成3次。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成本指标：亩均用量15公斤，平均用种15公斤。</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社会效益：青稞品种更新更换，促进青稞增产，农牧民收入增多。</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19.实际种粮农民一次性补贴项目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数量指标：兑现资金户数预计兑现4802户，已完成兑现4802户；预计涉及乡镇11个，实际完成乡镇11个；全年预计完成实际种粮补贴亩数32258.06亩，实际已完成32258.06亩。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质量指标：一卡通到位100%，已完成100%。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成本指标：粮食作物种植预计补贴标准3.1元/亩，实际完成补贴标准3.1元/亩。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社会效益指标：无资金使用重大违规违纪问题，完成目标绩效。</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生态效益指标：绩效指标任务提高耕地地力，完成目标绩效。</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可持续影响指标：绩效指标任务对耕地改变影响，保障粮食安全，完成目标绩效。</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20.耕地地力保护性补贴项目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数量指标：兑现资金户数预计兑现4718户，已完成兑现4718户；预计涉及乡镇11个，实际完成乡镇11个，全年预计完成实际种粮补贴亩数35136.64亩，实际已完成35136.64亩。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质量指标：一卡通到位100%，已完成100%。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成本指标：粮食作物种植预计补贴标准57.56元/亩，实际完成补贴标准57.56元/亩。</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社会效益指标：无资金使用重大违规违纪问题，完成目标绩效。</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生态效益指标：绩效指标任务提高耕地地力，完成目标绩效。</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可持续影响指标：绩效指标任务对耕地改变影响，保障粮食安全，完成目标绩效。</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21.壤塘县2021年壤巴拉高原双低油菜现代农业园区提升建设项目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数量指标：对原有覆盖产业基地灌溉管道、设施设备进行维修400亩，已完成400亩；组织宜机产业道路硬化路面恢复2公里，已完成2公里；</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质量指标：在现代农业园区内建设专家工作站1个，完成1个。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22.省级财政现代化农业发展工程共同财政事权转移支付资金100万元，实际支付99.02万元，支付率99.02%</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数量指标：传习所货物采购计划7518个台套，实际完成7518个台套。完成率100%。</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质量指标：资金使用无重大违纪违规问题，项目建设期严格遵守财经纪律，无资金使用违纪违规现象发生。</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成本指标：项目建设总费用≤100万元，实际已列支93.55，货物质保金4.92万元，建设费用共99.02万元。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23.第一批省级科技计划项目资金（科技扶贫平台建设与运行维护）5.44万元，支付5.42万元，支付率99.63%。</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数量指标：年度咨询完成800条，已完成848条。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成本指标：项目为三年期项目，2022年资金5.44万元，已支付5.42万元。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满意度指标：服务农牧民满意度95%。</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24.2021年第一批省级科技计划项目资金（壤塘县小叶羌活种苗繁育关键技术研究与示范（面上项目）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数量指标：开展3场，150人次培训，已完成3场、150人次培训。</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质量指标：保质保量完成基地建设及田间管理，已完成基地建设及加强田间管理</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成本指标：总资金9万元，已支付9万元。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效益指标：带动10户贫困户户均增收1000元，已带动10户贫困户户均增收1000元。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满意度指标：服务农牧民满意度95%。</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25.2021年第一批省级科技计划项目资金（藏区牦牛产业发展技术推广应用助力脱贫项目（面上项目）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数量指标：培训推广牦牛规范养殖技术、牦牛疫病防治技术2项，已完成技术推广2项。</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社会效益指标：建立牦牛养殖科技扶贫工作站点，指导农户养殖，配套疫病防治，已建立牦牛养殖科技扶贫工作站点1个。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效益指标：带动10户贫困户户均增收0.1万元，已带动10户户增收0.1万元。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成本指标：总资金12万元，已支付12万元。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满意度指标：农牧民满意度95%</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26.2021年第一批省级科技计划项目资金（微波生香制取高原浓香菜籽油技术研究与集成示范（科技示范村）</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数量指标：完成技术培训90人次，已完成培训90人次。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效益指标：带动30户农牧民户均增收0.1万元，已完成带动30户农牧民户均增收0.1万元。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质量指标：完成推广菜籽油加工技术1项。</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成本指标：总资金25.4万元，已支付25.4万元。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社会效益指标：辐射带动300户农户增产增收，已完成。</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满意度指标：农牧民满意度95%</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27.2021年第一批省级科技计划项目资金（牦牛标准化养殖技术研究与集成示范）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数量指标：建立牦牛标准化养殖基地养殖牦牛100头。</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社会效益指标：增加牦牛年出栏量、提高养殖效益、保护草原生态。</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数量指标：形成1套适用于壤塘县牦牛标准化养殖技术体系。</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满意度指标：服务农牧民满意度95%</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28.科农局省级科技计划项目资金(壤塘县布康木达芍药和百合示范种植与技术推广（示范基地）</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数量指标：完成技术培训300人次。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社会效益指标：通过技术指导和培训技术辐射全县种植芍药等中药材，推动全县中药材产业发展。</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成本指标：项目为二年期项目，总资金35.1万元，已支付35.1万元。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满意度指标：农牧民满意度95%</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29.省级科技计划项目资金（人畜粪便的堆肥化利用研究30万元）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数量指标：完成技术培训30人次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经济效益指标：带动5户农户户均增收0.1万元。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生态效益指标：通过生物发酵措施转变成有机肥，改良土壤、提高农田肥力。</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2.二级项目绩效目标实现情况。</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（1）壤塘县农产品质量安全检测经费</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数量指标：检验检测农畜产品大于等于40个批次。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质量指标：促进农产品质量提升，保障农产品质量安全大于等于40个，完成40个。</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成本指标：检测经费控制在1万元以内小于等于1万元。</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（2）2022年重大动物疫病防控经费项目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数量指标：11个乡镇。</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质量指标：国家行业内标准98%。</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项目名称：2022年重大动物疫病强制免疫疫苗经费</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数量指标：全县11个乡镇。</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质量指标：国家行业内标准98%。</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（3）壤塘县政策性牦牛保险项目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数量指标：年初计划完成全县11个乡镇，实际承保牦牛17万头任务。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质量指标：年初计划完成承保牦牛17万头任务。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成本指标：保险金额为每头 0.2万元，保险费每头 130 元/年。</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社会效益：通过项目实施，保证了畜牧业生产，增强畜牧业的防灾抗灾能力，通过对农牧民牦牛死亡赔款，减少了灾害给农牧民带来的损失，全面释放惠农政策。</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生态效益：通过项目的实施，对牲畜尸体进行无害化处理，有效的减少了疫病在牲畜之间的传播流行，实现草地环境无疫化，生态系统良性循环，使畜牧业能够长期健康发展。</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三、本年度部门决算等财务工作开展情况</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（一）本单位财务管理、绩效管理、决算组织、编报、审核情况。</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    财务管理：完善了财务管理办法，提高了财务管理意识。核算是基础，管理是目的，在做好基础工作的同时提高管理意识，要求财务人员在思想上高度重视财务管理。如对每一笔经济业务在考虑核算的同时，还要考虑该笔业务对单位在管理上存在的问题。</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绩效管理：成立了绩效目标考核领导小组，落实了绩效考核具体管理人员，确定了事前绩效、事中绩效、事后绩效具体任务。</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决算组织、编报、审核：单位财务负责人组织财务人员编报、初审决算报表，并将初审后的决算报表交由单位负责人审核。</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本部门决算及绩效信息公开工作，主管部门对所属单位决算批复和组织公开决算工作开展情况。</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按照相关法律法规进行公开。</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（二）对部门决算管理工作的意见和建议。</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1.自行增加的审核公式和模板，请说明设置依据。</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本单位未自行增加审核公式和模板</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对部门决算报表修订设计的意见和建议，包括表样、指标设置、软件、审核公式、模板和编审问答等，请列出并说明修改意见。无</w:t>
      </w:r>
    </w:p>
    <w:p>
      <w:pPr>
        <w:pStyle w:val="11"/>
        <w:keepNext w:val="0"/>
        <w:keepLines w:val="0"/>
        <w:widowControl/>
        <w:suppressLineNumbers w:val="0"/>
        <w:spacing w:before="0" w:beforeAutospacing="0"/>
        <w:ind w:left="0" w:firstLine="640" w:firstLineChars="200"/>
        <w:jc w:val="left"/>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对部门决算其他管理工作的建议。例如对加强部门决算数据分析利用工作、部门决算信息化建设等建议。无</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（四）对加强部门决算数据分析利用工作的建议。</w:t>
      </w:r>
    </w:p>
    <w:p>
      <w:pPr>
        <w:pStyle w:val="11"/>
        <w:keepNext w:val="0"/>
        <w:keepLines w:val="0"/>
        <w:widowControl/>
        <w:suppressLineNumbers w:val="0"/>
        <w:spacing w:before="0" w:beforeAutospacing="0"/>
        <w:ind w:left="0" w:firstLine="640" w:firstLineChars="200"/>
        <w:jc w:val="lef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    提高对决算工作的认识，加强部门决算数据分析，充分发挥决算数据作用。加强账证相符的监督管理，让决算数据准确。</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注：收入支出预算执行情况分析可参考部门决算分析评价表（见软件查询模板）及行政事业单位财务分析指标（附后）。</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注：收入支出预算执行情况分析可参考部门决算分析评价表（见软件查询模板）及行政事业单位财务分析指标（附后）。</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行政事业单位财务分析指标</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一、行政单位财务分析指标</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1.支出增长率，衡量行政单位支出的增长水平。计算公式为：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支出增长率＝(本期支出总额÷上期支出总额-1)×100%=-31.17%</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2.当年预算支出完成率，衡量行政单位当年支出总预算及分项预算完成的程度。计算公式为：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当年预算支出完成率＝年终执行数÷调整预算数×100%=100.00%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3.人均开支，衡量行政单位人均年消耗经费水平。计算公式为：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人均开支＝本期支出数÷本期平均在职人员数=24.52</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4.项目支出占总支出的比率，衡量行政单位的支出结构。计算公式为：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项目支出比率=本期项目支出数÷本期支出总数×100%=60.89%</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5.人员支出、公用支出占总支出的比率，衡量行政单位的支出结构。计算公式为：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人员支出比率=本期人员支出数÷本期支出总数×100%=37.60%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公用支出比率=本期公用支出数÷本期支出总数×100%=1.52%</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6.人均办公使用面积，衡量行政单位办公用房配备情况。计算公式为：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人均办公使用面积=本期末单位办公用房使用面积÷本期末在职人员数=16.07</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7.人车比例，衡量行政单位公务用车配备情况。计算公式为：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人车比例=本期末在职人员数÷本期末公务用车实有数=16.00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二、事业单位财务分析指标</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1.预算收入和支出完成率，衡量事业单位收入和支出总预算及分项预算完成的程度。计算公式为：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预算收入完成率＝年终执行数÷调整预算数×100%=100.00%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预算支出完成率＝年终执行数÷调整预算数×100%=100.00%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2.人员支出、公用支出占事业支出的比率，衡量事业单位事业支出结构。计算公式为：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人员支出比率＝人员支出÷事业支出×100%=37.60%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公用支出比率＝公用支出÷事业支出×100%=1.52%</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3.人均基本支出，衡量事业单位按照实际在编人数平均的基本支出水平。计算公式为：</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人均基本支出＝（基本支出-离退休人员支出）÷实际在编人数=235,716.37</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此外，行业事业单位还可根据相关财务制度规定和分析需要增加相关分析指标，如：</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1.财政拨款依存度, 衡量部门（单位）对财政拨款的依赖程度。</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财政拨款依存度＝财政拨款收入÷收入总额×100%=100.00%</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D8E288"/>
    <w:multiLevelType w:val="singleLevel"/>
    <w:tmpl w:val="95D8E28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zJlOWZjNWNlZDZjYzU0NWIxOTE2MWQ2MzdmMzEifQ=="/>
  </w:docVars>
  <w:rsids>
    <w:rsidRoot w:val="00000000"/>
    <w:rsid w:val="0429107D"/>
    <w:rsid w:val="090611BD"/>
    <w:rsid w:val="0A8238B3"/>
    <w:rsid w:val="0C6A2581"/>
    <w:rsid w:val="0C7E427E"/>
    <w:rsid w:val="0D76565C"/>
    <w:rsid w:val="0EA455F3"/>
    <w:rsid w:val="13FB1FB3"/>
    <w:rsid w:val="14447FDA"/>
    <w:rsid w:val="14925CF3"/>
    <w:rsid w:val="170B2CCA"/>
    <w:rsid w:val="195D6C68"/>
    <w:rsid w:val="1983041E"/>
    <w:rsid w:val="1AB20EB3"/>
    <w:rsid w:val="1C91677A"/>
    <w:rsid w:val="1CC84A68"/>
    <w:rsid w:val="1E873650"/>
    <w:rsid w:val="1E8D1B76"/>
    <w:rsid w:val="21471BB1"/>
    <w:rsid w:val="21E67DD5"/>
    <w:rsid w:val="26E601EB"/>
    <w:rsid w:val="27BC0855"/>
    <w:rsid w:val="2A843A88"/>
    <w:rsid w:val="2A9450AB"/>
    <w:rsid w:val="2C72121C"/>
    <w:rsid w:val="2CEB2B60"/>
    <w:rsid w:val="2D482F12"/>
    <w:rsid w:val="2EAB4607"/>
    <w:rsid w:val="318E1161"/>
    <w:rsid w:val="323B0398"/>
    <w:rsid w:val="328C29A2"/>
    <w:rsid w:val="379B03D8"/>
    <w:rsid w:val="385D6F87"/>
    <w:rsid w:val="392B2E21"/>
    <w:rsid w:val="3BC26094"/>
    <w:rsid w:val="421965D6"/>
    <w:rsid w:val="43D951E6"/>
    <w:rsid w:val="46A15647"/>
    <w:rsid w:val="48DF2D06"/>
    <w:rsid w:val="4DFD4B0A"/>
    <w:rsid w:val="54597898"/>
    <w:rsid w:val="56E83761"/>
    <w:rsid w:val="5A3B3BF4"/>
    <w:rsid w:val="5C95546E"/>
    <w:rsid w:val="5E152518"/>
    <w:rsid w:val="5EE4753E"/>
    <w:rsid w:val="606F5ABB"/>
    <w:rsid w:val="63E206A0"/>
    <w:rsid w:val="64C00105"/>
    <w:rsid w:val="65043EE6"/>
    <w:rsid w:val="6627247B"/>
    <w:rsid w:val="690754B2"/>
    <w:rsid w:val="6BA771D0"/>
    <w:rsid w:val="6C193EC4"/>
    <w:rsid w:val="6CBC1B0B"/>
    <w:rsid w:val="6DA46816"/>
    <w:rsid w:val="6E475095"/>
    <w:rsid w:val="70DF3CA7"/>
    <w:rsid w:val="71525B64"/>
    <w:rsid w:val="73632933"/>
    <w:rsid w:val="74EB4A26"/>
    <w:rsid w:val="767F5920"/>
    <w:rsid w:val="78545C4C"/>
    <w:rsid w:val="7CD82D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lang w:val="zh-CN"/>
    </w:rPr>
  </w:style>
  <w:style w:type="paragraph" w:styleId="9">
    <w:name w:val="table of figures"/>
    <w:basedOn w:val="1"/>
    <w:next w:val="1"/>
    <w:qFormat/>
    <w:uiPriority w:val="0"/>
    <w:pPr>
      <w:autoSpaceDE/>
      <w:autoSpaceDN/>
      <w:ind w:left="200" w:leftChars="200" w:hanging="200" w:hangingChars="200"/>
      <w:jc w:val="both"/>
    </w:pPr>
    <w:rPr>
      <w:rFonts w:ascii="Calibri" w:hAnsi="Calibri" w:eastAsia="宋体" w:cs="Times New Roman"/>
      <w:kern w:val="2"/>
      <w:sz w:val="21"/>
      <w:lang w:eastAsia="zh-CN"/>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yj\Desktop\2022&#24180;&#20915;&#31639;&#19978;&#25253;&#36164;&#26009;\&#22270;&#24418;&#31034;&#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yj\Desktop\2022&#24180;&#20915;&#31639;&#19978;&#25253;&#36164;&#26009;\&#22270;&#24418;&#31034;&#2227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nyj\Desktop\2022&#24180;&#20915;&#31639;&#19978;&#25253;&#36164;&#26009;\&#22270;&#24418;&#31034;&#2227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nyj\Desktop\2022&#24180;&#20915;&#31639;&#19978;&#25253;&#36164;&#26009;\&#22270;&#24418;&#31034;&#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yj\Desktop\2022&#24180;&#20915;&#31639;&#19978;&#25253;&#36164;&#26009;\&#26032;&#24314;%20XLS%20&#24037;&#20316;&#349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2021</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年与</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年预算收入对比情况</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113817525343702"/>
          <c:y val="0.110416666666667"/>
          <c:w val="0.88201638661297"/>
          <c:h val="0.711666666666667"/>
        </c:manualLayout>
      </c:layout>
      <c:barChart>
        <c:barDir val="col"/>
        <c:grouping val="stack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[图形示图.xls]Sheet1!$D$15:$D$16</c:f>
              <c:strCache>
                <c:ptCount val="2"/>
                <c:pt idx="0">
                  <c:v>2021年年初预算收入（万元）</c:v>
                </c:pt>
                <c:pt idx="1">
                  <c:v>2022年年初预算收入（万元）</c:v>
                </c:pt>
              </c:strCache>
            </c:strRef>
          </c:cat>
          <c:val>
            <c:numRef>
              <c:f>[图形示图.xls]Sheet1!$E$15:$E$16</c:f>
              <c:numCache>
                <c:formatCode>General</c:formatCode>
                <c:ptCount val="2"/>
                <c:pt idx="0">
                  <c:v>2194.39</c:v>
                </c:pt>
                <c:pt idx="1">
                  <c:v>1981.74</c:v>
                </c:pt>
              </c:numCache>
            </c:numRef>
          </c:val>
        </c:ser>
        <c:dLbls>
          <c:showLegendKey val="0"/>
          <c:showVal val="0"/>
          <c:showCatName val="0"/>
          <c:showSerName val="0"/>
          <c:showPercent val="0"/>
          <c:showBubbleSize val="0"/>
        </c:dLbls>
        <c:gapWidth val="150"/>
        <c:overlap val="100"/>
        <c:axId val="603586671"/>
        <c:axId val="758497638"/>
      </c:barChart>
      <c:catAx>
        <c:axId val="6035866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497638"/>
        <c:crosses val="autoZero"/>
        <c:auto val="1"/>
        <c:lblAlgn val="ctr"/>
        <c:lblOffset val="100"/>
        <c:noMultiLvlLbl val="0"/>
      </c:catAx>
      <c:valAx>
        <c:axId val="7584976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586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2021</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年与</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年预算支出对比情况</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99444444444444"/>
          <c:y val="0.03125"/>
        </c:manualLayout>
      </c:layout>
      <c:overlay val="0"/>
      <c:spPr>
        <a:noFill/>
        <a:ln>
          <a:noFill/>
        </a:ln>
        <a:effectLst/>
      </c:spPr>
    </c:title>
    <c:autoTitleDeleted val="0"/>
    <c:plotArea>
      <c:layout>
        <c:manualLayout>
          <c:layoutTarget val="inner"/>
          <c:xMode val="edge"/>
          <c:yMode val="edge"/>
          <c:x val="0.101194444444444"/>
          <c:y val="0.22037037037037"/>
          <c:w val="0.894638888888889"/>
          <c:h val="0.711666666666667"/>
        </c:manualLayout>
      </c:layout>
      <c:barChart>
        <c:barDir val="col"/>
        <c:grouping val="stack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[图形示图.xls]Sheet1!$A$50:$A$51</c:f>
              <c:strCache>
                <c:ptCount val="2"/>
                <c:pt idx="0">
                  <c:v>2021年预算支出（万元）</c:v>
                </c:pt>
                <c:pt idx="1">
                  <c:v>2022年预算支出 （万元）</c:v>
                </c:pt>
              </c:strCache>
            </c:strRef>
          </c:cat>
          <c:val>
            <c:numRef>
              <c:f>[图形示图.xls]Sheet1!$B$50:$B$51</c:f>
              <c:numCache>
                <c:formatCode>General</c:formatCode>
                <c:ptCount val="2"/>
                <c:pt idx="0">
                  <c:v>807.94</c:v>
                </c:pt>
                <c:pt idx="1">
                  <c:v>549.96</c:v>
                </c:pt>
              </c:numCache>
            </c:numRef>
          </c:val>
        </c:ser>
        <c:dLbls>
          <c:showLegendKey val="0"/>
          <c:showVal val="0"/>
          <c:showCatName val="0"/>
          <c:showSerName val="0"/>
          <c:showPercent val="0"/>
          <c:showBubbleSize val="0"/>
        </c:dLbls>
        <c:gapWidth val="150"/>
        <c:overlap val="100"/>
        <c:axId val="416027253"/>
        <c:axId val="360776455"/>
      </c:barChart>
      <c:catAx>
        <c:axId val="41602725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0776455"/>
        <c:crosses val="autoZero"/>
        <c:auto val="1"/>
        <c:lblAlgn val="ctr"/>
        <c:lblOffset val="100"/>
        <c:noMultiLvlLbl val="0"/>
      </c:catAx>
      <c:valAx>
        <c:axId val="36077645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027253"/>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a:t>
            </a:r>
            <a:r>
              <a:t>收入结构图</a:t>
            </a:r>
          </a:p>
        </c:rich>
      </c:tx>
      <c:layout/>
      <c:overlay val="0"/>
      <c:spPr>
        <a:noFill/>
        <a:ln>
          <a:noFill/>
        </a:ln>
        <a:effectLst/>
      </c:spPr>
    </c:title>
    <c:autoTitleDeleted val="0"/>
    <c:plotArea>
      <c:layout>
        <c:manualLayout>
          <c:layoutTarget val="inner"/>
          <c:xMode val="edge"/>
          <c:yMode val="edge"/>
          <c:x val="0.0409722222222222"/>
          <c:y val="0.120833333333333"/>
          <c:w val="0.938888888888889"/>
          <c:h val="0.222222222222222"/>
        </c:manualLayout>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[图形示图.xls]Sheet1!$A$115:$A$122</c:f>
              <c:strCache>
                <c:ptCount val="8"/>
                <c:pt idx="0">
                  <c:v>一般公共预算财政拨款收入（万元）</c:v>
                </c:pt>
                <c:pt idx="1">
                  <c:v>政府性基金预算财政拨款收入（万元）</c:v>
                </c:pt>
                <c:pt idx="2">
                  <c:v>；国有资本经营预算财政拨款收入（万元）</c:v>
                </c:pt>
                <c:pt idx="3">
                  <c:v>上级补助收入（万元）</c:v>
                </c:pt>
                <c:pt idx="4">
                  <c:v>；事业收入（万元）</c:v>
                </c:pt>
                <c:pt idx="5">
                  <c:v>经营收入（万元）</c:v>
                </c:pt>
                <c:pt idx="6">
                  <c:v>附属单位上缴收入（万元）</c:v>
                </c:pt>
                <c:pt idx="7">
                  <c:v>其他收入（万元）</c:v>
                </c:pt>
              </c:strCache>
            </c:strRef>
          </c:cat>
          <c:val>
            <c:numRef>
              <c:f>[图形示图.xls]Sheet1!$B$115:$B$122</c:f>
              <c:numCache>
                <c:formatCode>#,##0.00</c:formatCode>
                <c:ptCount val="8"/>
                <c:pt idx="0">
                  <c:v>6600.6</c:v>
                </c:pt>
                <c:pt idx="1" c:formatCode="General">
                  <c:v>0</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年支出结构图</a:t>
            </a:r>
            <a:endParaRPr lang="en-US" altLang="zh-CN"/>
          </a:p>
        </c:rich>
      </c:tx>
      <c:layout/>
      <c:overlay val="0"/>
      <c:spPr>
        <a:noFill/>
        <a:ln>
          <a:noFill/>
        </a:ln>
        <a:effectLst/>
      </c:spPr>
    </c:title>
    <c:autoTitleDeleted val="0"/>
    <c:plotArea>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[图形示图.xls]Sheet1!$L$108:$L$113</c:f>
              <c:strCache>
                <c:ptCount val="6"/>
                <c:pt idx="0">
                  <c:v>科学技术支出为338.54万元</c:v>
                </c:pt>
                <c:pt idx="1">
                  <c:v>文化旅游体育与传媒支出为1.05万元</c:v>
                </c:pt>
                <c:pt idx="2">
                  <c:v>社会保障和就业支出373.05万元</c:v>
                </c:pt>
                <c:pt idx="3">
                  <c:v>卫生健康支出159.87万元</c:v>
                </c:pt>
                <c:pt idx="4">
                  <c:v>农林水支出5969.79万元</c:v>
                </c:pt>
                <c:pt idx="5">
                  <c:v>住房保障支出179.78万元</c:v>
                </c:pt>
              </c:strCache>
            </c:strRef>
          </c:cat>
          <c:val>
            <c:numRef>
              <c:f>[图形示图.xls]Sheet1!$M$108:$M$113</c:f>
              <c:numCache>
                <c:formatCode>General</c:formatCode>
                <c:ptCount val="6"/>
                <c:pt idx="0">
                  <c:v>338.54</c:v>
                </c:pt>
                <c:pt idx="1">
                  <c:v>1.05</c:v>
                </c:pt>
                <c:pt idx="2">
                  <c:v>373.05</c:v>
                </c:pt>
                <c:pt idx="3">
                  <c:v>159.87</c:v>
                </c:pt>
                <c:pt idx="4" c:formatCode="#,##0.00">
                  <c:v>5969.79</c:v>
                </c:pt>
                <c:pt idx="5">
                  <c:v>179.78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2021</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年与</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年培训费支出情况</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85555555555553"/>
          <c:y val="0.18569113220653"/>
          <c:w val="0.907277777777778"/>
          <c:h val="0.710905302153276"/>
        </c:manualLayout>
      </c:layout>
      <c:lineChart>
        <c:grouping val="standard"/>
        <c:varyColors val="0"/>
        <c:ser>
          <c:idx val="0"/>
          <c:order val="0"/>
          <c:spPr>
            <a:ln w="28575" cap="rnd" cmpd="sng" algn="ctr">
              <a:solidFill>
                <a:schemeClr val="accent1"/>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 (2).xls]Sheet1'!$E$88:$E$89</c:f>
              <c:strCache>
                <c:ptCount val="2"/>
                <c:pt idx="0">
                  <c:v>2022年培训费支出（万元）</c:v>
                </c:pt>
                <c:pt idx="1">
                  <c:v>2021年培训费支出（万元）</c:v>
                </c:pt>
              </c:strCache>
            </c:strRef>
          </c:cat>
          <c:val>
            <c:numRef>
              <c:f>'[新建 XLS 工作表 (2).xls]Sheet1'!$F$88:$F$89</c:f>
              <c:numCache>
                <c:formatCode>General</c:formatCode>
                <c:ptCount val="2"/>
                <c:pt idx="0">
                  <c:v>38.59</c:v>
                </c:pt>
                <c:pt idx="1">
                  <c:v>53.87</c:v>
                </c:pt>
              </c:numCache>
            </c:numRef>
          </c:val>
          <c:smooth val="0"/>
        </c:ser>
        <c:dLbls>
          <c:showLegendKey val="0"/>
          <c:showVal val="0"/>
          <c:showCatName val="0"/>
          <c:showSerName val="0"/>
          <c:showPercent val="0"/>
          <c:showBubbleSize val="0"/>
        </c:dLbls>
        <c:marker val="0"/>
        <c:smooth val="0"/>
        <c:axId val="752397431"/>
        <c:axId val="415062422"/>
      </c:lineChart>
      <c:catAx>
        <c:axId val="75239743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062422"/>
        <c:crosses val="autoZero"/>
        <c:auto val="1"/>
        <c:lblAlgn val="ctr"/>
        <c:lblOffset val="100"/>
        <c:noMultiLvlLbl val="0"/>
      </c:catAx>
      <c:valAx>
        <c:axId val="41506242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2397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9836</Words>
  <Characters>10942</Characters>
  <TotalTime>9</TotalTime>
  <ScaleCrop>false</ScaleCrop>
  <LinksUpToDate>false</LinksUpToDate>
  <CharactersWithSpaces>11012</CharactersWithSpaces>
  <Application>WPS Office_11.1.0.9999_F1E327BC-269C-435d-A152-05C5408002CA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2023-01-15T18:32:00Z</dcterms:created>
  <dc:creator>nycw</dc:creator>
  <cp:lastModifiedBy>nycw</cp:lastModifiedBy>
  <dcterms:modified xsi:type="dcterms:W3CDTF">2026-07-03T03:32:15Z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1CC0236FE08C41F5BA3761B5933261EC</vt:lpwstr>
  </property>
  <property fmtid="{D5CDD505-2E9C-101B-9397-08002B2CF9AE}" pid="4" name="KSOTemplateDocerSaveRecord">
    <vt:lpwstr>eyJoZGlkIjoiMzM5NDE4NjFjNWJhNzQ1MjZmYTg5ZjFkNDczODdiNmEiLCJ1c2VySWQiOiI0MTkzODAyNjQifQ==</vt:lpwstr>
  </property>
</Properties>
</file>