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8441"/>
      <w:bookmarkStart w:id="3" w:name="_Toc15396597"/>
      <w:bookmarkStart w:id="4" w:name="_Toc15377193"/>
      <w:bookmarkStart w:id="5" w:name="_Toc1539647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8442"/>
      <w:bookmarkStart w:id="7" w:name="_Toc15377426"/>
      <w:bookmarkStart w:id="8" w:name="_Toc15377194"/>
      <w:bookmarkStart w:id="9" w:name="_Toc15396476"/>
      <w:bookmarkStart w:id="10" w:name="_Toc15396598"/>
      <w:r>
        <w:rPr>
          <w:rFonts w:hint="eastAsia" w:ascii="方正小标宋简体" w:hAnsi="宋体" w:eastAsia="方正小标宋简体"/>
          <w:color w:val="000000"/>
          <w:sz w:val="72"/>
          <w:szCs w:val="72"/>
        </w:rPr>
        <w:t>四川省阿坝州</w:t>
      </w:r>
      <w:r>
        <w:rPr>
          <w:rFonts w:hint="eastAsia" w:ascii="方正小标宋简体" w:hAnsi="宋体" w:eastAsia="方正小标宋简体"/>
          <w:color w:val="000000"/>
          <w:sz w:val="72"/>
          <w:szCs w:val="72"/>
          <w:lang w:eastAsia="zh-CN"/>
        </w:rPr>
        <w:t>壤塘县</w:t>
      </w:r>
    </w:p>
    <w:bookmarkEnd w:id="0"/>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11" w:name="_Toc15306268"/>
      <w:r>
        <w:rPr>
          <w:rFonts w:hint="eastAsia" w:ascii="方正小标宋简体" w:hAnsi="宋体" w:eastAsia="方正小标宋简体"/>
          <w:color w:val="000000"/>
          <w:sz w:val="72"/>
          <w:szCs w:val="72"/>
        </w:rPr>
        <w:t>农村合作经营管理站决算</w:t>
      </w:r>
      <w:r>
        <w:rPr>
          <w:rFonts w:hint="eastAsia" w:ascii="方正小标宋简体" w:hAnsi="宋体" w:eastAsia="方正小标宋简体"/>
          <w:color w:val="000000"/>
          <w:sz w:val="72"/>
          <w:szCs w:val="72"/>
          <w:lang w:eastAsia="zh-CN"/>
        </w:rPr>
        <w:t>公开</w:t>
      </w:r>
    </w:p>
    <w:bookmarkEnd w:id="6"/>
    <w:bookmarkEnd w:id="7"/>
    <w:bookmarkEnd w:id="8"/>
    <w:bookmarkEnd w:id="9"/>
    <w:bookmarkEnd w:id="10"/>
    <w:bookmarkEnd w:id="11"/>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pStyle w:val="2"/>
        <w:rPr>
          <w:rFonts w:ascii="方正小标宋简体" w:hAnsi="宋体" w:eastAsia="方正小标宋简体"/>
          <w:sz w:val="36"/>
          <w:szCs w:val="36"/>
        </w:rPr>
      </w:pPr>
    </w:p>
    <w:p>
      <w:pPr>
        <w:pStyle w:val="2"/>
        <w:rPr>
          <w:rFonts w:ascii="方正小标宋简体" w:hAnsi="宋体" w:eastAsia="方正小标宋简体"/>
          <w:sz w:val="36"/>
          <w:szCs w:val="36"/>
        </w:rPr>
      </w:pPr>
    </w:p>
    <w:p>
      <w:pPr>
        <w:widowControl/>
        <w:ind w:firstLine="3360" w:firstLineChars="700"/>
        <w:jc w:val="both"/>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 xml:space="preserve"> 10 </w:t>
      </w:r>
      <w:r>
        <w:rPr>
          <w:rFonts w:hint="eastAsia"/>
        </w:rPr>
        <w:t>月</w:t>
      </w:r>
      <w:r>
        <w:rPr>
          <w:rFonts w:hint="eastAsia"/>
          <w:lang w:val="en-US" w:eastAsia="zh-CN"/>
        </w:rPr>
        <w:t xml:space="preserve"> 23</w:t>
      </w:r>
      <w:r>
        <w:rPr>
          <w:rFonts w:hint="eastAsia"/>
        </w:rPr>
        <w:t>日</w:t>
      </w:r>
    </w:p>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..........................................4</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....................................................................4</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........................................................................................6</w:t>
      </w:r>
    </w:p>
    <w:p>
      <w:pPr>
        <w:pStyle w:val="10"/>
        <w:adjustRightInd w:val="0"/>
        <w:snapToGrid w:val="0"/>
        <w:spacing w:before="0" w:line="440" w:lineRule="exact"/>
        <w:jc w:val="left"/>
        <w:rPr>
          <w:rFonts w:hint="default" w:eastAsia="仿宋"/>
          <w:sz w:val="24"/>
          <w:szCs w:val="24"/>
          <w:lang w:val="en-US" w:eastAsia="zh-CN"/>
        </w:rPr>
      </w:pPr>
      <w:r>
        <w:rPr>
          <w:rFonts w:hint="eastAsia"/>
          <w:sz w:val="24"/>
        </w:rPr>
        <w:t>第二部分度部门决算情况说明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.........................11</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...................................11</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.............................................12</w:t>
      </w:r>
    </w:p>
    <w:p>
      <w:pPr>
        <w:pStyle w:val="11"/>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.......................................12</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hint="eastAsia"/>
          <w:sz w:val="24"/>
          <w:lang w:val="en-US" w:eastAsia="zh-CN"/>
        </w:rPr>
        <w:t>............................................................12</w:t>
      </w:r>
      <w:r>
        <w:rPr>
          <w:rFonts w:ascii="仿宋" w:hAnsi="仿宋" w:eastAsia="仿宋"/>
          <w:sz w:val="24"/>
        </w:rPr>
        <w:tab/>
      </w:r>
    </w:p>
    <w:p>
      <w:pPr>
        <w:pStyle w:val="10"/>
        <w:adjustRightInd w:val="0"/>
        <w:snapToGrid w:val="0"/>
        <w:spacing w:before="0" w:line="440" w:lineRule="exact"/>
        <w:jc w:val="left"/>
        <w:rPr>
          <w:rFonts w:hint="default" w:cstheme="minorBidi"/>
          <w:sz w:val="24"/>
          <w:szCs w:val="24"/>
          <w:lang w:val="en-US"/>
        </w:rPr>
      </w:pPr>
      <w:r>
        <w:rPr>
          <w:rFonts w:hint="eastAsia"/>
          <w:sz w:val="24"/>
        </w:rPr>
        <w:t>第三部分</w:t>
      </w:r>
      <w:r>
        <w:rPr>
          <w:sz w:val="24"/>
        </w:rPr>
        <w:t xml:space="preserve"> </w:t>
      </w:r>
      <w:r>
        <w:rPr>
          <w:rFonts w:hint="eastAsia"/>
          <w:sz w:val="24"/>
        </w:rPr>
        <w:t>名词解释</w:t>
      </w:r>
      <w:r>
        <w:rPr>
          <w:rFonts w:hint="eastAsia" w:cstheme="minorBidi"/>
          <w:sz w:val="24"/>
          <w:szCs w:val="24"/>
          <w:lang w:val="en-US" w:eastAsia="zh-CN"/>
        </w:rPr>
        <w:t>...........................................13</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...............................................16</w:t>
      </w:r>
    </w:p>
    <w:p>
      <w:pPr>
        <w:pStyle w:val="11"/>
        <w:adjustRightInd w:val="0"/>
        <w:snapToGrid w:val="0"/>
        <w:spacing w:line="440" w:lineRule="exact"/>
        <w:jc w:val="left"/>
        <w:rPr>
          <w:rFonts w:hint="eastAsia"/>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...........................................................................16</w:t>
      </w:r>
    </w:p>
    <w:p>
      <w:pPr>
        <w:pStyle w:val="11"/>
        <w:adjustRightInd w:val="0"/>
        <w:snapToGrid w:val="0"/>
        <w:spacing w:line="440" w:lineRule="exact"/>
        <w:jc w:val="left"/>
        <w:rPr>
          <w:rFonts w:hint="eastAsia"/>
          <w:sz w:val="24"/>
          <w:lang w:val="en-US" w:eastAsia="zh-CN"/>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rFonts w:hint="eastAsia"/>
          <w:sz w:val="24"/>
          <w:lang w:val="en-US" w:eastAsia="zh-CN"/>
        </w:rPr>
        <w:t>.......................................................................................16</w:t>
      </w:r>
    </w:p>
    <w:p>
      <w:pPr>
        <w:pStyle w:val="11"/>
        <w:adjustRightInd w:val="0"/>
        <w:snapToGrid w:val="0"/>
        <w:spacing w:line="440" w:lineRule="exact"/>
        <w:jc w:val="left"/>
        <w:rPr>
          <w:rFonts w:hint="eastAsia"/>
          <w:sz w:val="24"/>
          <w:lang w:val="en-US" w:eastAsia="zh-CN"/>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rFonts w:hint="eastAsia"/>
          <w:sz w:val="24"/>
          <w:lang w:val="en-US" w:eastAsia="zh-CN"/>
        </w:rPr>
        <w:t>........................................................................................16</w:t>
      </w:r>
    </w:p>
    <w:p>
      <w:pPr>
        <w:pStyle w:val="11"/>
        <w:adjustRightInd w:val="0"/>
        <w:snapToGrid w:val="0"/>
        <w:spacing w:line="440" w:lineRule="exact"/>
        <w:jc w:val="left"/>
        <w:rPr>
          <w:rFonts w:hint="eastAsia"/>
          <w:sz w:val="24"/>
          <w:lang w:val="en-US" w:eastAsia="zh-CN"/>
        </w:rPr>
      </w:pPr>
      <w:r>
        <w:rPr>
          <w:rFonts w:hint="eastAsia" w:ascii="仿宋" w:hAnsi="仿宋" w:eastAsia="仿宋"/>
          <w:sz w:val="24"/>
        </w:rPr>
        <w:t>四、</w:t>
      </w:r>
      <w:r>
        <w:rPr>
          <w:rFonts w:hint="eastAsia"/>
          <w:sz w:val="24"/>
        </w:rPr>
        <w:t>财政拨款收入支出决算总表</w:t>
      </w:r>
      <w:r>
        <w:rPr>
          <w:rFonts w:hint="eastAsia"/>
          <w:sz w:val="24"/>
          <w:lang w:val="en-US" w:eastAsia="zh-CN"/>
        </w:rPr>
        <w:t>............................................................16</w:t>
      </w:r>
    </w:p>
    <w:p>
      <w:pPr>
        <w:pStyle w:val="11"/>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t>五、财政拨款支出决算明细表</w:t>
      </w:r>
      <w:r>
        <w:rPr>
          <w:rFonts w:hint="eastAsia" w:ascii="仿宋" w:hAnsi="仿宋" w:eastAsia="仿宋"/>
          <w:sz w:val="24"/>
          <w:lang w:val="en-US" w:eastAsia="zh-CN"/>
        </w:rPr>
        <w:t>................................16</w:t>
      </w:r>
    </w:p>
    <w:p>
      <w:pPr>
        <w:pStyle w:val="11"/>
        <w:adjustRightInd w:val="0"/>
        <w:snapToGrid w:val="0"/>
        <w:spacing w:line="440" w:lineRule="exact"/>
        <w:jc w:val="left"/>
        <w:rPr>
          <w:rFonts w:hint="eastAsia"/>
          <w:sz w:val="24"/>
          <w:lang w:val="en-US" w:eastAsia="zh-CN"/>
        </w:rPr>
      </w:pPr>
      <w:r>
        <w:rPr>
          <w:rFonts w:hint="eastAsia" w:ascii="仿宋" w:hAnsi="仿宋" w:eastAsia="仿宋"/>
          <w:sz w:val="24"/>
        </w:rPr>
        <w:t>六、</w:t>
      </w:r>
      <w:r>
        <w:rPr>
          <w:rFonts w:hint="eastAsia"/>
          <w:sz w:val="24"/>
        </w:rPr>
        <w:t>一般公共预算财政拨款支出决算表</w:t>
      </w:r>
      <w:r>
        <w:rPr>
          <w:rFonts w:hint="eastAsia"/>
          <w:sz w:val="24"/>
          <w:lang w:val="en-US" w:eastAsia="zh-CN"/>
        </w:rPr>
        <w:t>.................................................16</w:t>
      </w:r>
    </w:p>
    <w:p>
      <w:pPr>
        <w:pStyle w:val="11"/>
        <w:adjustRightInd w:val="0"/>
        <w:snapToGrid w:val="0"/>
        <w:spacing w:line="440" w:lineRule="exact"/>
        <w:jc w:val="left"/>
        <w:rPr>
          <w:rFonts w:hint="eastAsia"/>
          <w:sz w:val="24"/>
          <w:lang w:val="en-US" w:eastAsia="zh-CN"/>
        </w:rPr>
      </w:pPr>
      <w:r>
        <w:rPr>
          <w:rFonts w:hint="eastAsia" w:ascii="仿宋" w:hAnsi="仿宋" w:eastAsia="仿宋"/>
          <w:sz w:val="24"/>
        </w:rPr>
        <w:t>七、</w:t>
      </w:r>
      <w:r>
        <w:rPr>
          <w:rFonts w:hint="eastAsia"/>
          <w:sz w:val="24"/>
        </w:rPr>
        <w:t>一般公共预算财政拨款支出决算明细表</w:t>
      </w:r>
      <w:r>
        <w:rPr>
          <w:rFonts w:hint="eastAsia"/>
          <w:sz w:val="24"/>
          <w:lang w:val="en-US" w:eastAsia="zh-CN"/>
        </w:rPr>
        <w:t>.........................................16</w:t>
      </w:r>
    </w:p>
    <w:p>
      <w:pPr>
        <w:pStyle w:val="11"/>
        <w:adjustRightInd w:val="0"/>
        <w:snapToGrid w:val="0"/>
        <w:spacing w:line="440" w:lineRule="exact"/>
        <w:jc w:val="left"/>
        <w:rPr>
          <w:rFonts w:hint="eastAsia"/>
          <w:sz w:val="24"/>
          <w:lang w:val="en-US" w:eastAsia="zh-CN"/>
        </w:rPr>
      </w:pPr>
      <w:r>
        <w:rPr>
          <w:rFonts w:hint="eastAsia" w:ascii="仿宋" w:hAnsi="仿宋" w:eastAsia="仿宋"/>
          <w:sz w:val="24"/>
        </w:rPr>
        <w:t>八、</w:t>
      </w:r>
      <w:r>
        <w:rPr>
          <w:rFonts w:hint="eastAsia"/>
          <w:sz w:val="24"/>
        </w:rPr>
        <w:t>一般公共预算财政拨款基本支出决算表</w:t>
      </w:r>
      <w:r>
        <w:rPr>
          <w:rFonts w:hint="eastAsia"/>
          <w:sz w:val="24"/>
          <w:lang w:val="en-US" w:eastAsia="zh-CN"/>
        </w:rPr>
        <w:t>...............................................16</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rPr>
          <w:rFonts w:hint="eastAsia"/>
          <w:sz w:val="24"/>
          <w:lang w:val="en-US" w:eastAsia="zh-CN"/>
        </w:rPr>
        <w:t>................................................16</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rPr>
          <w:rFonts w:hint="eastAsia"/>
          <w:sz w:val="24"/>
          <w:lang w:val="en-US" w:eastAsia="zh-CN"/>
        </w:rPr>
        <w:t>.................................16</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rPr>
          <w:rFonts w:hint="eastAsia"/>
          <w:sz w:val="24"/>
          <w:lang w:val="en-US" w:eastAsia="zh-CN"/>
        </w:rPr>
        <w:t>.........................................16</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十二、</w:t>
      </w:r>
      <w:r>
        <w:rPr>
          <w:rFonts w:hint="eastAsia"/>
          <w:sz w:val="24"/>
        </w:rPr>
        <w:t>政府性基金预算财政拨款“三公”经费支出决算表</w:t>
      </w:r>
      <w:r>
        <w:rPr>
          <w:rFonts w:hint="eastAsia"/>
          <w:sz w:val="24"/>
          <w:lang w:val="en-US" w:eastAsia="zh-CN"/>
        </w:rPr>
        <w:t>..........................16</w:t>
      </w:r>
    </w:p>
    <w:p>
      <w:pPr>
        <w:pStyle w:val="11"/>
        <w:adjustRightInd w:val="0"/>
        <w:snapToGrid w:val="0"/>
        <w:spacing w:line="440" w:lineRule="exact"/>
        <w:jc w:val="left"/>
        <w:rPr>
          <w:rFonts w:hint="default"/>
          <w:sz w:val="24"/>
          <w:lang w:val="en-US" w:eastAsia="zh-CN"/>
        </w:rPr>
      </w:pPr>
      <w:r>
        <w:rPr>
          <w:rFonts w:hint="eastAsia" w:ascii="仿宋" w:hAnsi="仿宋" w:eastAsia="仿宋"/>
          <w:sz w:val="24"/>
        </w:rPr>
        <w:t>十三、</w:t>
      </w:r>
      <w:r>
        <w:rPr>
          <w:rFonts w:hint="eastAsia"/>
          <w:sz w:val="24"/>
        </w:rPr>
        <w:t>国有资本经营预算支出决算表</w:t>
      </w:r>
      <w:r>
        <w:rPr>
          <w:rFonts w:hint="eastAsia"/>
          <w:sz w:val="24"/>
          <w:lang w:val="en-US" w:eastAsia="zh-CN"/>
        </w:rPr>
        <w:t>..............................................................</w:t>
      </w:r>
      <w:bookmarkStart w:id="12" w:name="_Toc15396599"/>
      <w:bookmarkStart w:id="13" w:name="_Toc15377196"/>
      <w:r>
        <w:rPr>
          <w:rFonts w:hint="eastAsia"/>
          <w:sz w:val="24"/>
          <w:lang w:val="en-US" w:eastAsia="zh-CN"/>
        </w:rPr>
        <w:t>16</w:t>
      </w: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p>
    <w:p>
      <w:pPr>
        <w:pStyle w:val="3"/>
        <w:jc w:val="both"/>
        <w:rPr>
          <w:rFonts w:hint="eastAsia" w:ascii="黑体" w:hAnsi="黑体" w:eastAsia="黑体"/>
          <w:b w:val="0"/>
        </w:rPr>
      </w:pPr>
    </w:p>
    <w:p>
      <w:pPr>
        <w:pStyle w:val="3"/>
        <w:jc w:val="both"/>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pStyle w:val="3"/>
        <w:jc w:val="both"/>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pStyle w:val="3"/>
        <w:jc w:val="both"/>
        <w:rPr>
          <w:rFonts w:hint="eastAsia" w:ascii="黑体" w:hAnsi="黑体" w:eastAsia="黑体"/>
          <w:b w:val="0"/>
        </w:rPr>
      </w:pPr>
    </w:p>
    <w:p>
      <w:pPr>
        <w:rPr>
          <w:rFonts w:hint="eastAsia"/>
        </w:rPr>
      </w:pPr>
    </w:p>
    <w:p>
      <w:pPr>
        <w:pStyle w:val="2"/>
        <w:rPr>
          <w:rFonts w:hint="eastAsia"/>
        </w:rPr>
      </w:pPr>
      <w:bookmarkStart w:id="59" w:name="_GoBack"/>
      <w:bookmarkEnd w:id="59"/>
    </w:p>
    <w:p>
      <w:pPr>
        <w:pStyle w:val="3"/>
        <w:jc w:val="center"/>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4"/>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2"/>
        <w:adjustRightInd w:val="0"/>
        <w:snapToGrid w:val="0"/>
        <w:spacing w:before="93" w:line="600" w:lineRule="exact"/>
        <w:ind w:firstLine="675" w:firstLineChars="210"/>
        <w:outlineLvl w:val="2"/>
        <w:rPr>
          <w:rFonts w:hint="eastAsia" w:ascii="仿宋" w:hAnsi="仿宋" w:eastAsia="仿宋"/>
          <w:b/>
          <w:bCs w:val="0"/>
          <w:color w:val="000000"/>
          <w:sz w:val="32"/>
          <w:szCs w:val="32"/>
        </w:rPr>
      </w:pPr>
      <w:bookmarkStart w:id="16" w:name="_Toc15377198"/>
      <w:bookmarkStart w:id="17" w:name="_Toc15378445"/>
      <w:r>
        <w:rPr>
          <w:rFonts w:hint="eastAsia" w:ascii="仿宋" w:hAnsi="仿宋" w:eastAsia="仿宋"/>
          <w:b/>
          <w:bCs w:val="0"/>
          <w:color w:val="000000"/>
          <w:sz w:val="32"/>
          <w:szCs w:val="32"/>
        </w:rPr>
        <w:t>（一）主要职能</w:t>
      </w:r>
      <w:bookmarkEnd w:id="16"/>
      <w:bookmarkEnd w:id="17"/>
      <w:bookmarkStart w:id="18" w:name="_Toc15377199"/>
      <w:bookmarkStart w:id="19" w:name="_Toc15378446"/>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1.县农业局组织贯彻执行国家、省、州有关种植业、粮食流通管理和农村经济发展工作的方针、政策、法律、法规规章；</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2.提出全县种植业、粮食流通管理和农村经济发展战略、中长期发展规划，经批准后组织实施;</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3.承担农产品质量安全的监督管理工作；依法开展农作物种子（种苗）和有关肥料的监督管理;</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4.负责农作物重大病虫害防治；</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5.承担农业防灾减灾的责任；</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6.制定农业生态建设规划并组织实施；</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7.承办人民政府交办的其他事项。</w:t>
      </w:r>
    </w:p>
    <w:p>
      <w:pPr>
        <w:pStyle w:val="2"/>
        <w:adjustRightInd w:val="0"/>
        <w:snapToGrid w:val="0"/>
        <w:spacing w:before="93" w:line="600" w:lineRule="exact"/>
        <w:ind w:firstLine="643" w:firstLineChars="20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lang w:eastAsia="zh-CN"/>
        </w:rPr>
        <w:t>（</w:t>
      </w:r>
      <w:r>
        <w:rPr>
          <w:rFonts w:hint="eastAsia" w:ascii="仿宋" w:hAnsi="仿宋" w:eastAsia="仿宋"/>
          <w:b/>
          <w:bCs w:val="0"/>
          <w:color w:val="000000"/>
          <w:sz w:val="32"/>
          <w:szCs w:val="32"/>
        </w:rPr>
        <w:t>二）</w:t>
      </w:r>
      <w:r>
        <w:rPr>
          <w:rFonts w:ascii="仿宋" w:hAnsi="仿宋" w:eastAsia="仿宋"/>
          <w:b/>
          <w:bCs w:val="0"/>
          <w:color w:val="000000"/>
          <w:sz w:val="32"/>
          <w:szCs w:val="32"/>
        </w:rPr>
        <w:t>201</w:t>
      </w:r>
      <w:r>
        <w:rPr>
          <w:rFonts w:hint="eastAsia" w:ascii="仿宋" w:hAnsi="仿宋" w:eastAsia="仿宋"/>
          <w:b/>
          <w:bCs w:val="0"/>
          <w:color w:val="000000"/>
          <w:sz w:val="32"/>
          <w:szCs w:val="32"/>
        </w:rPr>
        <w:t>9年重点工作完成情况。</w:t>
      </w:r>
      <w:bookmarkEnd w:id="18"/>
      <w:bookmarkEnd w:id="19"/>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w:t>
      </w:r>
      <w:r>
        <w:rPr>
          <w:rFonts w:ascii="楷体_GB2312" w:hAnsi="楷体_GB2312" w:eastAsia="楷体_GB2312" w:cs="楷体_GB2312"/>
          <w:b/>
          <w:bCs/>
          <w:sz w:val="32"/>
          <w:szCs w:val="32"/>
        </w:rPr>
        <w:t>主要目标任务完成情况</w:t>
      </w:r>
    </w:p>
    <w:p>
      <w:pPr>
        <w:spacing w:line="560" w:lineRule="exact"/>
        <w:ind w:firstLine="645"/>
        <w:rPr>
          <w:rFonts w:ascii="Times New Roman" w:hAnsi="Times New Roman" w:eastAsia="仿宋_GB2312"/>
          <w:b/>
          <w:bCs/>
          <w:sz w:val="32"/>
          <w:szCs w:val="32"/>
        </w:rPr>
      </w:pPr>
      <w:r>
        <w:rPr>
          <w:rFonts w:hint="eastAsia" w:eastAsia="仿宋_GB2312"/>
          <w:b/>
          <w:bCs/>
          <w:sz w:val="32"/>
          <w:szCs w:val="32"/>
          <w:lang w:eastAsia="zh-CN"/>
        </w:rPr>
        <w:t>（</w:t>
      </w:r>
      <w:r>
        <w:rPr>
          <w:rFonts w:hint="eastAsia" w:eastAsia="仿宋_GB2312"/>
          <w:b/>
          <w:bCs/>
          <w:sz w:val="32"/>
          <w:szCs w:val="32"/>
          <w:lang w:val="en-US" w:eastAsia="zh-CN"/>
        </w:rPr>
        <w:t>1）</w:t>
      </w:r>
      <w:r>
        <w:rPr>
          <w:rFonts w:ascii="Times New Roman" w:hAnsi="Times New Roman" w:eastAsia="仿宋_GB2312"/>
          <w:b/>
          <w:bCs/>
          <w:sz w:val="32"/>
          <w:szCs w:val="32"/>
        </w:rPr>
        <w:t>农业目标任务完成情况。</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2019年全县农作物播面35967.34亩，较上年32755.76亩增加3211.58亩，增长</w:t>
      </w:r>
      <w:r>
        <w:rPr>
          <w:rFonts w:ascii="Times New Roman" w:hAnsi="Times New Roman" w:eastAsia="仿宋_GB2312"/>
          <w:color w:val="000000"/>
          <w:sz w:val="32"/>
          <w:szCs w:val="32"/>
        </w:rPr>
        <w:t>9.8%。粮食作物播面29011.54亩，较上年29090.78亩减少79.24亩，减少0.03%，其中：小麦344.57亩，较上年269亩增加75.57亩，增长28%；青稞15541.78亩，较上年15524.5亩增加17.28亩，增长0.11%；玉米120亩，与上年60亩增加60亩，增长50%；薯类9000.05亩，较上年8704.06亩增加295.99亩，增长3.4%；豌豆3086.6亩，较上年3059.79亩增加26.81亩，增长0.88%；胡豆918.54亩，较上年1473.45亩减少554.91亩，减少38%。经济作物播面</w:t>
      </w:r>
      <w:r>
        <w:rPr>
          <w:rFonts w:hint="eastAsia" w:ascii="Times New Roman" w:hAnsi="Times New Roman" w:eastAsia="仿宋_GB2312"/>
          <w:color w:val="000000"/>
          <w:sz w:val="32"/>
          <w:szCs w:val="32"/>
        </w:rPr>
        <w:t>3456.737</w:t>
      </w:r>
      <w:r>
        <w:rPr>
          <w:rFonts w:ascii="Times New Roman" w:hAnsi="Times New Roman" w:eastAsia="仿宋_GB2312"/>
          <w:color w:val="000000"/>
          <w:sz w:val="32"/>
          <w:szCs w:val="32"/>
        </w:rPr>
        <w:t>亩，其中：油菜</w:t>
      </w:r>
      <w:r>
        <w:rPr>
          <w:rFonts w:hint="eastAsia" w:ascii="Times New Roman" w:hAnsi="Times New Roman" w:eastAsia="仿宋_GB2312"/>
          <w:color w:val="000000"/>
          <w:sz w:val="32"/>
          <w:szCs w:val="32"/>
        </w:rPr>
        <w:t>3308.737</w:t>
      </w:r>
      <w:r>
        <w:rPr>
          <w:rFonts w:ascii="Times New Roman" w:hAnsi="Times New Roman" w:eastAsia="仿宋_GB2312"/>
          <w:color w:val="000000"/>
          <w:sz w:val="32"/>
          <w:szCs w:val="32"/>
        </w:rPr>
        <w:t>亩，较上年2813.25亩增加</w:t>
      </w:r>
      <w:r>
        <w:rPr>
          <w:rFonts w:hint="eastAsia" w:ascii="Times New Roman" w:hAnsi="Times New Roman" w:eastAsia="仿宋_GB2312"/>
          <w:color w:val="000000"/>
          <w:sz w:val="32"/>
          <w:szCs w:val="32"/>
        </w:rPr>
        <w:t>495.487</w:t>
      </w:r>
      <w:r>
        <w:rPr>
          <w:rFonts w:ascii="Times New Roman" w:hAnsi="Times New Roman" w:eastAsia="仿宋_GB2312"/>
          <w:color w:val="000000"/>
          <w:sz w:val="32"/>
          <w:szCs w:val="32"/>
        </w:rPr>
        <w:t>亩，增长</w:t>
      </w:r>
      <w:r>
        <w:rPr>
          <w:rFonts w:hint="eastAsia" w:ascii="Times New Roman" w:hAnsi="Times New Roman" w:eastAsia="仿宋_GB2312"/>
          <w:color w:val="000000"/>
          <w:sz w:val="32"/>
          <w:szCs w:val="32"/>
        </w:rPr>
        <w:t>17.61</w:t>
      </w:r>
      <w:r>
        <w:rPr>
          <w:rFonts w:ascii="Times New Roman" w:hAnsi="Times New Roman" w:eastAsia="仿宋_GB2312"/>
          <w:color w:val="000000"/>
          <w:sz w:val="32"/>
          <w:szCs w:val="32"/>
        </w:rPr>
        <w:t>%；药材148亩，较上年225亩减少77亩，减少34.2%。 其他农作物播面2975.3亩，其中：蔬菜2475.3亩，较上</w:t>
      </w:r>
      <w:r>
        <w:rPr>
          <w:rFonts w:ascii="Times New Roman" w:hAnsi="Times New Roman" w:eastAsia="仿宋_GB2312"/>
          <w:sz w:val="32"/>
          <w:szCs w:val="32"/>
        </w:rPr>
        <w:t>年1740亩增加735.3亩，增长42.3%；青饲料500亩与上年持平。</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全县粮食总产量预计3253吨，较上年增加32吨，增1%，其中：青稞产量预计1731吨，较上年增加16吨；小麦产量预计37吨，较上年增加1吨；玉米产量预计46吨，较上年增加13吨；洋芋产量预计1097吨，较上年增加40吨；豌豆产量预计271吨，较上年增加4吨；葫豆产量预计71吨，较上年减少6吨。主要原因是产业结构调整增加了青稞、马铃薯、油菜、蔬菜等播种面积。但由于今年我县上寨片区、杜柯片区及南木达片区等乡（镇）分别遭受暴雨、冰雹、泥石流和干旱等灾害，农作物受灾面积6018亩，成灾面积985.72亩，绝收面积60亩，预计损失粮食45吨，造成农业直接经济损失345万元。 全县经济作物产量预计473吨，其中，油菜产量预计456吨，较上年增加312吨。其它农作物产量预计4503吨，其中：蔬菜产量预计3712吨，较上年增加1021吨；青饲料产量预计750吨，与上年持平。</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预计全年农村经济纯收入总额49850.57万元, 较上年增加6158.46万元，增长14.1%；预计2019年全县农村居民人均纯收入12820元，比上年增加1474元，增长13%。</w:t>
      </w:r>
    </w:p>
    <w:p>
      <w:pPr>
        <w:spacing w:line="560" w:lineRule="exact"/>
        <w:ind w:firstLine="645"/>
        <w:rPr>
          <w:rFonts w:ascii="Times New Roman" w:hAnsi="Times New Roman" w:eastAsia="仿宋_GB2312"/>
          <w:b/>
          <w:bCs/>
          <w:sz w:val="32"/>
          <w:szCs w:val="32"/>
        </w:rPr>
      </w:pPr>
      <w:r>
        <w:rPr>
          <w:rFonts w:hint="eastAsia" w:eastAsia="仿宋_GB2312"/>
          <w:b/>
          <w:bCs/>
          <w:sz w:val="32"/>
          <w:szCs w:val="32"/>
          <w:lang w:eastAsia="zh-CN"/>
        </w:rPr>
        <w:t>（</w:t>
      </w:r>
      <w:r>
        <w:rPr>
          <w:rFonts w:hint="eastAsia" w:eastAsia="仿宋_GB2312"/>
          <w:b/>
          <w:bCs/>
          <w:sz w:val="32"/>
          <w:szCs w:val="32"/>
          <w:lang w:val="en-US" w:eastAsia="zh-CN"/>
        </w:rPr>
        <w:t>2）</w:t>
      </w:r>
      <w:r>
        <w:rPr>
          <w:rFonts w:ascii="Times New Roman" w:hAnsi="Times New Roman" w:eastAsia="仿宋_GB2312"/>
          <w:b/>
          <w:bCs/>
          <w:sz w:val="32"/>
          <w:szCs w:val="32"/>
        </w:rPr>
        <w:t>畜牧业目标任务完成情况。</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截止</w:t>
      </w:r>
      <w:r>
        <w:rPr>
          <w:rFonts w:hint="eastAsia" w:ascii="Times New Roman" w:hAnsi="Times New Roman" w:eastAsia="仿宋_GB2312"/>
          <w:sz w:val="32"/>
          <w:szCs w:val="32"/>
        </w:rPr>
        <w:t>目前</w:t>
      </w:r>
      <w:r>
        <w:rPr>
          <w:rFonts w:ascii="Times New Roman" w:hAnsi="Times New Roman" w:eastAsia="仿宋_GB2312"/>
          <w:sz w:val="32"/>
          <w:szCs w:val="32"/>
        </w:rPr>
        <w:t>，全县牲畜存栏23.34万混合头，其中：牛存栏17.2万头、同比减少7245头、减少4%，羊存栏5.3万只、同比减少7236只、减少11%；三个季度累计牲畜出栏50774混合头，其中：牛出栏30676头、同比增加3297头，增长15%，羊出栏19898只，同比增加2001只，增长16%。</w:t>
      </w:r>
    </w:p>
    <w:p>
      <w:pPr>
        <w:pStyle w:val="2"/>
        <w:adjustRightInd w:val="0"/>
        <w:snapToGrid w:val="0"/>
        <w:spacing w:before="93" w:line="600" w:lineRule="exact"/>
        <w:ind w:firstLine="640" w:firstLineChars="200"/>
        <w:outlineLvl w:val="2"/>
        <w:rPr>
          <w:rFonts w:hint="eastAsia" w:ascii="仿宋" w:hAnsi="仿宋" w:eastAsia="仿宋"/>
          <w:bCs/>
          <w:color w:val="000000"/>
          <w:sz w:val="32"/>
          <w:szCs w:val="32"/>
        </w:rPr>
      </w:pPr>
    </w:p>
    <w:p>
      <w:pPr>
        <w:pStyle w:val="4"/>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Style w:val="4"/>
        <w:numPr>
          <w:ilvl w:val="0"/>
          <w:numId w:val="0"/>
        </w:numPr>
        <w:ind w:firstLine="640" w:firstLineChars="200"/>
        <w:rPr>
          <w:rFonts w:hint="eastAsia" w:ascii="Times New Roman" w:hAnsi="Times New Roman" w:eastAsia="仿宋_GB2312" w:cs="Times New Roman"/>
          <w:b w:val="0"/>
          <w:bCs/>
          <w:color w:val="000000"/>
          <w:kern w:val="2"/>
          <w:sz w:val="32"/>
          <w:szCs w:val="32"/>
          <w:shd w:val="clear" w:color="auto" w:fill="FFFFFF"/>
          <w:lang w:val="en-US" w:eastAsia="zh-CN" w:bidi="ar-SA"/>
        </w:rPr>
      </w:pPr>
      <w:r>
        <w:rPr>
          <w:rFonts w:hint="eastAsia" w:ascii="Times New Roman" w:hAnsi="Times New Roman" w:eastAsia="仿宋_GB2312" w:cs="Times New Roman"/>
          <w:b w:val="0"/>
          <w:bCs/>
          <w:color w:val="000000"/>
          <w:kern w:val="2"/>
          <w:sz w:val="32"/>
          <w:szCs w:val="32"/>
          <w:shd w:val="clear" w:color="auto" w:fill="FFFFFF"/>
          <w:lang w:val="en-US" w:eastAsia="zh-CN" w:bidi="ar-SA"/>
        </w:rPr>
        <w:t>县农业畜牧和水务局（农业局）下设计财股、办公室、农安中心、行政审批法规股、产业发展指导股、农业行政执法大队、农机监理站、动检所、科教站、农技综合站、植保站、经作战、农经站等股室。</w:t>
      </w:r>
    </w:p>
    <w:p>
      <w:pPr>
        <w:ind w:firstLine="800" w:firstLineChars="250"/>
        <w:rPr>
          <w:rFonts w:ascii="仿宋" w:hAnsi="仿宋" w:eastAsia="仿宋"/>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2019年度收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1861.33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2297.6万元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因是新增单位，所以无上年数。</w:t>
      </w:r>
    </w:p>
    <w:p>
      <w:pPr>
        <w:spacing w:line="600" w:lineRule="exact"/>
        <w:ind w:firstLine="640" w:firstLineChars="200"/>
        <w:jc w:val="left"/>
        <w:rPr>
          <w:rFonts w:ascii="仿宋_GB2312" w:eastAsia="仿宋_GB2312"/>
          <w:color w:val="00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1861.33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1861.33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outlineLvl w:val="1"/>
        <w:rPr>
          <w:rFonts w:hint="eastAsia" w:ascii="仿宋" w:hAnsi="仿宋" w:eastAsia="仿宋"/>
          <w:color w:val="000000"/>
          <w:sz w:val="32"/>
          <w:szCs w:val="32"/>
          <w:lang w:eastAsia="zh-CN"/>
        </w:rPr>
      </w:pP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ind w:firstLine="420" w:firstLineChars="200"/>
        <w:outlineLvl w:val="1"/>
        <w:rPr>
          <w:rFonts w:hint="eastAsia" w:ascii="仿宋" w:hAnsi="仿宋" w:eastAsia="仿宋"/>
          <w:color w:val="000000"/>
          <w:sz w:val="32"/>
          <w:szCs w:val="32"/>
          <w:lang w:eastAsia="zh-CN"/>
        </w:rPr>
      </w:pPr>
      <w:r>
        <w:drawing>
          <wp:anchor distT="0" distB="0" distL="114300" distR="114300" simplePos="0" relativeHeight="251658240"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ascii="仿宋_GB2312" w:eastAsia="仿宋_GB2312"/>
          <w:color w:val="FF0000"/>
          <w:sz w:val="32"/>
          <w:szCs w:val="32"/>
        </w:rPr>
      </w:pPr>
    </w:p>
    <w:p>
      <w:pPr>
        <w:pStyle w:val="23"/>
        <w:numPr>
          <w:ilvl w:val="0"/>
          <w:numId w:val="1"/>
        </w:numPr>
        <w:tabs>
          <w:tab w:val="left" w:pos="501"/>
        </w:tabs>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2297.6</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2297.6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420" w:firstLineChars="200"/>
        <w:outlineLvl w:val="1"/>
        <w:rPr>
          <w:rFonts w:hint="eastAsia" w:ascii="仿宋" w:hAnsi="仿宋" w:eastAsia="仿宋"/>
          <w:color w:val="000000"/>
          <w:sz w:val="32"/>
          <w:szCs w:val="32"/>
        </w:rPr>
      </w:pPr>
      <w:r>
        <w:drawing>
          <wp:anchor distT="0" distB="0" distL="114300" distR="114300" simplePos="0" relativeHeight="251659264" behindDoc="0" locked="0" layoutInCell="1" allowOverlap="1">
            <wp:simplePos x="0" y="0"/>
            <wp:positionH relativeFrom="column">
              <wp:posOffset>271145</wp:posOffset>
            </wp:positionH>
            <wp:positionV relativeFrom="paragraph">
              <wp:posOffset>-2186305</wp:posOffset>
            </wp:positionV>
            <wp:extent cx="4572000" cy="2486025"/>
            <wp:effectExtent l="4445" t="4445" r="14605" b="5080"/>
            <wp:wrapSquare wrapText="bothSides"/>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9年财政拨款</w:t>
      </w:r>
      <w:r>
        <w:rPr>
          <w:rFonts w:hint="eastAsia" w:ascii="仿宋" w:hAnsi="仿宋" w:eastAsia="仿宋"/>
          <w:color w:val="000000"/>
          <w:sz w:val="32"/>
          <w:szCs w:val="32"/>
          <w:lang w:eastAsia="zh-CN"/>
        </w:rPr>
        <w:t>收入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1861.33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2297.6万元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主要变动原因是新增单位，所以无上年数。</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2297.6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62336" behindDoc="0" locked="0" layoutInCell="1" allowOverlap="1">
            <wp:simplePos x="0" y="0"/>
            <wp:positionH relativeFrom="column">
              <wp:posOffset>166370</wp:posOffset>
            </wp:positionH>
            <wp:positionV relativeFrom="paragraph">
              <wp:posOffset>-300355</wp:posOffset>
            </wp:positionV>
            <wp:extent cx="4572000" cy="2743200"/>
            <wp:effectExtent l="4445" t="4445" r="14605" b="14605"/>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2297.6</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278.18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12.11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61.47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2.68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168.51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7.33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农业水（类）支出</w:t>
      </w:r>
      <w:r>
        <w:rPr>
          <w:rFonts w:hint="eastAsia" w:ascii="仿宋" w:hAnsi="仿宋" w:eastAsia="仿宋"/>
          <w:color w:val="000000" w:themeColor="text1"/>
          <w:sz w:val="32"/>
          <w:szCs w:val="32"/>
          <w:lang w:val="en-US" w:eastAsia="zh-CN"/>
          <w14:textFill>
            <w14:solidFill>
              <w14:schemeClr w14:val="tx1"/>
            </w14:solidFill>
          </w14:textFill>
        </w:rPr>
        <w:t>1789.44万元，占77.88%。</w:t>
      </w:r>
    </w:p>
    <w:p>
      <w:pPr>
        <w:spacing w:line="600" w:lineRule="exact"/>
        <w:ind w:firstLine="64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rPr>
          <w:rFonts w:hint="default" w:ascii="仿宋" w:hAnsi="仿宋" w:eastAsia="仿宋"/>
          <w:color w:val="000000" w:themeColor="text1"/>
          <w:sz w:val="32"/>
          <w:szCs w:val="32"/>
          <w:lang w:val="en-US" w:eastAsia="zh-CN"/>
          <w14:textFill>
            <w14:solidFill>
              <w14:schemeClr w14:val="tx1"/>
            </w14:solidFill>
          </w14:textFill>
        </w:rPr>
      </w:pPr>
    </w:p>
    <w:p>
      <w:pPr>
        <w:spacing w:line="600" w:lineRule="exact"/>
        <w:ind w:firstLine="640"/>
        <w:rPr>
          <w:rFonts w:ascii="仿宋" w:hAnsi="仿宋" w:eastAsia="仿宋"/>
          <w:b/>
          <w:color w:val="000000" w:themeColor="text1"/>
          <w:sz w:val="32"/>
          <w:szCs w:val="32"/>
          <w14:textFill>
            <w14:solidFill>
              <w14:schemeClr w14:val="tx1"/>
            </w14:solidFill>
          </w14:textFill>
        </w:rPr>
      </w:pPr>
    </w:p>
    <w:p>
      <w:pPr>
        <w:spacing w:line="600" w:lineRule="exact"/>
        <w:ind w:firstLine="640"/>
        <w:rPr>
          <w:rFonts w:ascii="仿宋" w:hAnsi="仿宋" w:eastAsia="仿宋"/>
          <w:b/>
          <w:color w:val="000000" w:themeColor="text1"/>
          <w:sz w:val="32"/>
          <w:szCs w:val="32"/>
          <w14:textFill>
            <w14:solidFill>
              <w14:schemeClr w14:val="tx1"/>
            </w14:solidFill>
          </w14:textFill>
        </w:rPr>
      </w:pPr>
    </w:p>
    <w:p>
      <w:pPr>
        <w:spacing w:line="600" w:lineRule="exact"/>
        <w:ind w:firstLine="640"/>
        <w:rPr>
          <w:rFonts w:ascii="仿宋" w:hAnsi="仿宋" w:eastAsia="仿宋"/>
          <w:b/>
          <w:color w:val="000000" w:themeColor="text1"/>
          <w:sz w:val="32"/>
          <w:szCs w:val="32"/>
          <w14:textFill>
            <w14:solidFill>
              <w14:schemeClr w14:val="tx1"/>
            </w14:solidFill>
          </w14:textFill>
        </w:rPr>
      </w:pPr>
    </w:p>
    <w:p>
      <w:pPr>
        <w:spacing w:line="600" w:lineRule="exact"/>
        <w:ind w:firstLine="640"/>
        <w:rPr>
          <w:rFonts w:ascii="仿宋" w:hAnsi="仿宋" w:eastAsia="仿宋"/>
          <w:b/>
          <w:color w:val="000000" w:themeColor="text1"/>
          <w:sz w:val="32"/>
          <w:szCs w:val="32"/>
          <w14:textFill>
            <w14:solidFill>
              <w14:schemeClr w14:val="tx1"/>
            </w14:solidFill>
          </w14:textFill>
        </w:rPr>
      </w:pPr>
    </w:p>
    <w:p>
      <w:pPr>
        <w:spacing w:line="600" w:lineRule="exact"/>
        <w:ind w:firstLine="640"/>
        <w:rPr>
          <w:rFonts w:ascii="仿宋" w:hAnsi="仿宋" w:eastAsia="仿宋"/>
          <w:b/>
          <w:color w:val="000000" w:themeColor="text1"/>
          <w:sz w:val="32"/>
          <w:szCs w:val="32"/>
          <w14:textFill>
            <w14:solidFill>
              <w14:schemeClr w14:val="tx1"/>
            </w14:solidFill>
          </w14:textFill>
        </w:rPr>
      </w:pPr>
    </w:p>
    <w:p>
      <w:pPr>
        <w:spacing w:line="600" w:lineRule="exact"/>
        <w:ind w:firstLine="640"/>
        <w:rPr>
          <w:rFonts w:ascii="仿宋" w:hAnsi="仿宋" w:eastAsia="仿宋"/>
          <w:b/>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1312" behindDoc="0" locked="0" layoutInCell="1" allowOverlap="1">
            <wp:simplePos x="0" y="0"/>
            <wp:positionH relativeFrom="column">
              <wp:posOffset>429895</wp:posOffset>
            </wp:positionH>
            <wp:positionV relativeFrom="paragraph">
              <wp:posOffset>-452755</wp:posOffset>
            </wp:positionV>
            <wp:extent cx="4572000" cy="2743200"/>
            <wp:effectExtent l="4445" t="4445" r="14605" b="14605"/>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2297.6万元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hint="eastAsia" w:ascii="仿宋" w:hAnsi="仿宋" w:eastAsia="仿宋"/>
          <w:color w:val="000000"/>
          <w:sz w:val="32"/>
          <w:szCs w:val="32"/>
          <w:lang w:val="en-US" w:eastAsia="zh-CN"/>
        </w:rPr>
      </w:pPr>
      <w:r>
        <w:rPr>
          <w:rStyle w:val="14"/>
          <w:rFonts w:hint="eastAsia" w:ascii="仿宋" w:hAnsi="仿宋" w:eastAsia="仿宋"/>
          <w:bCs/>
          <w:color w:val="000000"/>
          <w:sz w:val="32"/>
          <w:szCs w:val="32"/>
          <w:lang w:val="en-US" w:eastAsia="zh-CN"/>
        </w:rPr>
        <w:t>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社会保障和就业（类）行政事业单位离退休（款）机关事业单位基本养老保险缴费支出（项）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278.18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Fonts w:hint="eastAsia" w:ascii="仿宋" w:hAnsi="仿宋" w:eastAsia="仿宋"/>
          <w:color w:val="000000"/>
          <w:sz w:val="32"/>
          <w:szCs w:val="32"/>
          <w:lang w:val="en-US" w:eastAsia="zh-CN"/>
        </w:rPr>
        <w:t>因是新增单位，所以无上年数。</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医疗卫生与计划生育（类）行政事业单位医疗（款）  事业单位医疗（项）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61.47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Fonts w:hint="eastAsia" w:ascii="仿宋" w:hAnsi="仿宋" w:eastAsia="仿宋"/>
          <w:color w:val="000000"/>
          <w:sz w:val="32"/>
          <w:szCs w:val="32"/>
          <w:lang w:val="en-US" w:eastAsia="zh-CN"/>
        </w:rPr>
        <w:t>因是新增单位，所以无上年数。</w:t>
      </w:r>
    </w:p>
    <w:p>
      <w:pPr>
        <w:spacing w:line="600" w:lineRule="exact"/>
        <w:ind w:firstLine="640" w:firstLineChars="200"/>
        <w:rPr>
          <w:rFonts w:hint="eastAsia" w:ascii="仿宋" w:hAnsi="仿宋" w:eastAsia="仿宋"/>
          <w:color w:val="000000"/>
          <w:sz w:val="32"/>
          <w:szCs w:val="32"/>
          <w:lang w:val="en-US" w:eastAsia="zh-CN"/>
        </w:rPr>
      </w:pPr>
      <w:r>
        <w:rPr>
          <w:rStyle w:val="14"/>
          <w:rFonts w:hint="eastAsia" w:ascii="仿宋" w:hAnsi="仿宋" w:eastAsia="仿宋"/>
          <w:b w:val="0"/>
          <w:bCs/>
          <w:color w:val="000000"/>
          <w:sz w:val="32"/>
          <w:szCs w:val="32"/>
          <w:lang w:val="en-US" w:eastAsia="zh-CN"/>
        </w:rPr>
        <w:t>3.农林水（类）农业（款）：支出决算为1789.44万元，完成预算100%。</w:t>
      </w:r>
      <w:r>
        <w:rPr>
          <w:rFonts w:hint="eastAsia" w:ascii="仿宋" w:hAnsi="仿宋" w:eastAsia="仿宋"/>
          <w:color w:val="000000"/>
          <w:sz w:val="32"/>
          <w:szCs w:val="32"/>
          <w:lang w:val="en-US" w:eastAsia="zh-CN"/>
        </w:rPr>
        <w:t>因是新增单位，所以无上年数。</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4.</w:t>
      </w:r>
      <w:r>
        <w:rPr>
          <w:rStyle w:val="14"/>
          <w:rFonts w:hint="eastAsia" w:ascii="仿宋" w:hAnsi="仿宋" w:eastAsia="仿宋"/>
          <w:b w:val="0"/>
          <w:bCs/>
          <w:color w:val="000000"/>
          <w:sz w:val="32"/>
          <w:szCs w:val="32"/>
          <w:lang w:val="en-US" w:eastAsia="zh-CN"/>
        </w:rPr>
        <w:t>住房保障（类）住房改革（款）住房公积金购房补贴（项）：支出决算为168.51万元，完成预算100%，</w:t>
      </w:r>
      <w:r>
        <w:rPr>
          <w:rFonts w:hint="eastAsia" w:ascii="仿宋" w:hAnsi="仿宋" w:eastAsia="仿宋"/>
          <w:color w:val="000000"/>
          <w:sz w:val="32"/>
          <w:szCs w:val="32"/>
          <w:lang w:val="en-US" w:eastAsia="zh-CN"/>
        </w:rPr>
        <w:t>因是新增单位，所以无上年数。</w:t>
      </w:r>
    </w:p>
    <w:p>
      <w:pPr>
        <w:spacing w:line="600" w:lineRule="exact"/>
        <w:rPr>
          <w:rFonts w:ascii="仿宋" w:hAnsi="仿宋" w:eastAsia="仿宋"/>
          <w:b/>
          <w:color w:val="000000"/>
          <w:sz w:val="32"/>
          <w:szCs w:val="32"/>
        </w:rPr>
      </w:pP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2297.6</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val="en-US"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2229.21</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297.75万元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694.05万元</w:t>
      </w:r>
      <w:r>
        <w:rPr>
          <w:rFonts w:hint="eastAsia" w:ascii="仿宋" w:hAnsi="仿宋" w:eastAsia="仿宋"/>
          <w:color w:val="000000"/>
          <w:sz w:val="32"/>
          <w:szCs w:val="32"/>
        </w:rPr>
        <w:t>、奖金</w:t>
      </w:r>
      <w:r>
        <w:rPr>
          <w:rFonts w:hint="eastAsia" w:ascii="仿宋" w:hAnsi="仿宋" w:eastAsia="仿宋"/>
          <w:color w:val="000000"/>
          <w:sz w:val="32"/>
          <w:szCs w:val="32"/>
          <w:lang w:val="en-US" w:eastAsia="zh-CN"/>
        </w:rPr>
        <w:t>398.89万元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295.52万元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190.54万元</w:t>
      </w:r>
      <w:r>
        <w:rPr>
          <w:rFonts w:hint="eastAsia" w:ascii="仿宋" w:hAnsi="仿宋" w:eastAsia="仿宋"/>
          <w:color w:val="000000"/>
          <w:sz w:val="32"/>
          <w:szCs w:val="32"/>
        </w:rPr>
        <w:t>、职业年金缴费</w:t>
      </w:r>
      <w:r>
        <w:rPr>
          <w:rFonts w:hint="eastAsia" w:ascii="仿宋" w:hAnsi="仿宋" w:eastAsia="仿宋"/>
          <w:color w:val="000000"/>
          <w:sz w:val="32"/>
          <w:szCs w:val="32"/>
          <w:lang w:val="en-US" w:eastAsia="zh-CN"/>
        </w:rPr>
        <w:t>87.64万元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职工基本医疗保险缴费</w:t>
      </w:r>
      <w:r>
        <w:rPr>
          <w:rFonts w:hint="eastAsia" w:ascii="仿宋" w:hAnsi="仿宋" w:eastAsia="仿宋"/>
          <w:color w:val="000000"/>
          <w:sz w:val="32"/>
          <w:szCs w:val="32"/>
          <w:lang w:val="en-US" w:eastAsia="zh-CN"/>
        </w:rPr>
        <w:t>61.47万元、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22.54万元</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167.18万元、</w:t>
      </w:r>
      <w:r>
        <w:rPr>
          <w:rFonts w:hint="eastAsia" w:ascii="仿宋" w:hAnsi="仿宋" w:eastAsia="仿宋"/>
          <w:color w:val="000000"/>
          <w:sz w:val="32"/>
          <w:szCs w:val="32"/>
        </w:rPr>
        <w:t>抚恤金</w:t>
      </w:r>
      <w:r>
        <w:rPr>
          <w:rFonts w:hint="eastAsia" w:ascii="仿宋" w:hAnsi="仿宋" w:eastAsia="仿宋"/>
          <w:color w:val="000000"/>
          <w:sz w:val="32"/>
          <w:szCs w:val="32"/>
          <w:lang w:val="en-US" w:eastAsia="zh-CN"/>
        </w:rPr>
        <w:t>3.29万元</w:t>
      </w:r>
      <w:r>
        <w:rPr>
          <w:rFonts w:hint="eastAsia" w:ascii="仿宋" w:hAnsi="仿宋" w:eastAsia="仿宋"/>
          <w:color w:val="000000"/>
          <w:sz w:val="32"/>
          <w:szCs w:val="32"/>
        </w:rPr>
        <w:t>、生活补助</w:t>
      </w:r>
      <w:r>
        <w:rPr>
          <w:rFonts w:hint="eastAsia" w:ascii="仿宋" w:hAnsi="仿宋" w:eastAsia="仿宋"/>
          <w:color w:val="000000"/>
          <w:sz w:val="32"/>
          <w:szCs w:val="32"/>
          <w:lang w:val="en-US" w:eastAsia="zh-CN"/>
        </w:rPr>
        <w:t>7.53万元</w:t>
      </w:r>
      <w:r>
        <w:rPr>
          <w:rFonts w:hint="eastAsia" w:ascii="仿宋" w:hAnsi="仿宋" w:eastAsia="仿宋"/>
          <w:color w:val="000000"/>
          <w:sz w:val="32"/>
          <w:szCs w:val="32"/>
        </w:rPr>
        <w:t>、医疗费补助</w:t>
      </w:r>
      <w:r>
        <w:rPr>
          <w:rFonts w:hint="eastAsia" w:ascii="仿宋" w:hAnsi="仿宋" w:eastAsia="仿宋"/>
          <w:color w:val="000000"/>
          <w:sz w:val="32"/>
          <w:szCs w:val="32"/>
          <w:lang w:val="en-US" w:eastAsia="zh-CN"/>
        </w:rPr>
        <w:t>2.78万元</w:t>
      </w:r>
      <w:r>
        <w:rPr>
          <w:rFonts w:hint="eastAsia" w:ascii="仿宋" w:hAnsi="仿宋" w:eastAsia="仿宋"/>
          <w:color w:val="000000"/>
          <w:sz w:val="32"/>
          <w:szCs w:val="32"/>
        </w:rPr>
        <w:t>、奖励金</w:t>
      </w:r>
      <w:r>
        <w:rPr>
          <w:rFonts w:hint="eastAsia" w:ascii="仿宋" w:hAnsi="仿宋" w:eastAsia="仿宋"/>
          <w:color w:val="000000"/>
          <w:sz w:val="32"/>
          <w:szCs w:val="32"/>
          <w:lang w:val="en-US" w:eastAsia="zh-CN"/>
        </w:rPr>
        <w:t>0.04万元等。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68.39</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5.82万元</w:t>
      </w:r>
      <w:r>
        <w:rPr>
          <w:rFonts w:hint="eastAsia" w:ascii="仿宋" w:hAnsi="仿宋" w:eastAsia="仿宋"/>
          <w:color w:val="000000"/>
          <w:sz w:val="32"/>
          <w:szCs w:val="32"/>
        </w:rPr>
        <w:t>、印刷费</w:t>
      </w:r>
      <w:r>
        <w:rPr>
          <w:rFonts w:hint="eastAsia" w:ascii="仿宋" w:hAnsi="仿宋" w:eastAsia="仿宋"/>
          <w:color w:val="000000"/>
          <w:sz w:val="32"/>
          <w:szCs w:val="32"/>
          <w:lang w:val="en-US" w:eastAsia="zh-CN"/>
        </w:rPr>
        <w:t>2.36万元</w:t>
      </w:r>
      <w:r>
        <w:rPr>
          <w:rFonts w:hint="eastAsia" w:ascii="仿宋" w:hAnsi="仿宋" w:eastAsia="仿宋"/>
          <w:color w:val="000000"/>
          <w:sz w:val="32"/>
          <w:szCs w:val="32"/>
        </w:rPr>
        <w:t>、水费</w:t>
      </w:r>
      <w:r>
        <w:rPr>
          <w:rFonts w:hint="eastAsia" w:ascii="仿宋" w:hAnsi="仿宋" w:eastAsia="仿宋"/>
          <w:color w:val="000000"/>
          <w:sz w:val="32"/>
          <w:szCs w:val="32"/>
          <w:lang w:val="en-US" w:eastAsia="zh-CN"/>
        </w:rPr>
        <w:t>0.07万元</w:t>
      </w:r>
      <w:r>
        <w:rPr>
          <w:rFonts w:hint="eastAsia" w:ascii="仿宋" w:hAnsi="仿宋" w:eastAsia="仿宋"/>
          <w:color w:val="000000"/>
          <w:sz w:val="32"/>
          <w:szCs w:val="32"/>
        </w:rPr>
        <w:t>、电费</w:t>
      </w:r>
      <w:r>
        <w:rPr>
          <w:rFonts w:hint="eastAsia" w:ascii="仿宋" w:hAnsi="仿宋" w:eastAsia="仿宋"/>
          <w:color w:val="000000"/>
          <w:sz w:val="32"/>
          <w:szCs w:val="32"/>
          <w:lang w:val="en-US" w:eastAsia="zh-CN"/>
        </w:rPr>
        <w:t>2万元</w:t>
      </w:r>
      <w:r>
        <w:rPr>
          <w:rFonts w:hint="eastAsia" w:ascii="仿宋" w:hAnsi="仿宋" w:eastAsia="仿宋"/>
          <w:color w:val="000000"/>
          <w:sz w:val="32"/>
          <w:szCs w:val="32"/>
        </w:rPr>
        <w:t>、邮电费</w:t>
      </w:r>
      <w:r>
        <w:rPr>
          <w:rFonts w:hint="eastAsia" w:ascii="仿宋" w:hAnsi="仿宋" w:eastAsia="仿宋"/>
          <w:color w:val="000000"/>
          <w:sz w:val="32"/>
          <w:szCs w:val="32"/>
          <w:lang w:val="en-US" w:eastAsia="zh-CN"/>
        </w:rPr>
        <w:t>0.89万元</w:t>
      </w:r>
      <w:r>
        <w:rPr>
          <w:rFonts w:hint="eastAsia" w:ascii="仿宋" w:hAnsi="仿宋" w:eastAsia="仿宋"/>
          <w:color w:val="000000"/>
          <w:sz w:val="32"/>
          <w:szCs w:val="32"/>
        </w:rPr>
        <w:t>、取暖费</w:t>
      </w:r>
      <w:r>
        <w:rPr>
          <w:rFonts w:hint="eastAsia" w:ascii="仿宋" w:hAnsi="仿宋" w:eastAsia="仿宋"/>
          <w:color w:val="000000"/>
          <w:sz w:val="32"/>
          <w:szCs w:val="32"/>
          <w:lang w:val="en-US" w:eastAsia="zh-CN"/>
        </w:rPr>
        <w:t>1.03万元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40.45万元</w:t>
      </w:r>
      <w:r>
        <w:rPr>
          <w:rFonts w:hint="eastAsia" w:ascii="仿宋" w:hAnsi="仿宋" w:eastAsia="仿宋"/>
          <w:color w:val="000000"/>
          <w:sz w:val="32"/>
          <w:szCs w:val="32"/>
        </w:rPr>
        <w:t>、维修（护）费</w:t>
      </w:r>
      <w:r>
        <w:rPr>
          <w:rFonts w:hint="eastAsia" w:ascii="仿宋" w:hAnsi="仿宋" w:eastAsia="仿宋"/>
          <w:color w:val="000000"/>
          <w:sz w:val="32"/>
          <w:szCs w:val="32"/>
          <w:lang w:val="en-US" w:eastAsia="zh-CN"/>
        </w:rPr>
        <w:t>0.45万元</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0.42万元</w:t>
      </w:r>
      <w:r>
        <w:rPr>
          <w:rFonts w:hint="eastAsia" w:ascii="仿宋" w:hAnsi="仿宋" w:eastAsia="仿宋"/>
          <w:color w:val="000000"/>
          <w:sz w:val="32"/>
          <w:szCs w:val="32"/>
        </w:rPr>
        <w:t>、劳务费</w:t>
      </w:r>
      <w:r>
        <w:rPr>
          <w:rFonts w:hint="eastAsia" w:ascii="仿宋" w:hAnsi="仿宋" w:eastAsia="仿宋"/>
          <w:color w:val="000000"/>
          <w:sz w:val="32"/>
          <w:szCs w:val="32"/>
          <w:lang w:val="en-US" w:eastAsia="zh-CN"/>
        </w:rPr>
        <w:t>11.79万元</w:t>
      </w:r>
      <w:r>
        <w:rPr>
          <w:rFonts w:hint="eastAsia" w:ascii="仿宋" w:hAnsi="仿宋" w:eastAsia="仿宋"/>
          <w:color w:val="000000"/>
          <w:sz w:val="32"/>
          <w:szCs w:val="32"/>
        </w:rPr>
        <w:t>、工会经费</w:t>
      </w:r>
      <w:r>
        <w:rPr>
          <w:rFonts w:hint="eastAsia" w:ascii="仿宋" w:hAnsi="仿宋" w:eastAsia="仿宋"/>
          <w:color w:val="000000"/>
          <w:sz w:val="32"/>
          <w:szCs w:val="32"/>
          <w:lang w:val="en-US" w:eastAsia="zh-CN"/>
        </w:rPr>
        <w:t>0.76万元</w:t>
      </w:r>
      <w:r>
        <w:rPr>
          <w:rFonts w:hint="eastAsia" w:ascii="仿宋" w:hAnsi="仿宋" w:eastAsia="仿宋"/>
          <w:color w:val="000000"/>
          <w:sz w:val="32"/>
          <w:szCs w:val="32"/>
        </w:rPr>
        <w:t>、其他交通费</w:t>
      </w:r>
      <w:r>
        <w:rPr>
          <w:rFonts w:hint="eastAsia" w:ascii="仿宋" w:hAnsi="仿宋" w:eastAsia="仿宋"/>
          <w:color w:val="000000"/>
          <w:sz w:val="32"/>
          <w:szCs w:val="32"/>
          <w:lang w:val="en-US" w:eastAsia="zh-CN"/>
        </w:rPr>
        <w:t>2.35万元等。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numPr>
          <w:ilvl w:val="0"/>
          <w:numId w:val="2"/>
        </w:numPr>
        <w:spacing w:line="600" w:lineRule="exact"/>
        <w:ind w:firstLine="640"/>
        <w:rPr>
          <w:rStyle w:val="14"/>
          <w:rFonts w:hint="eastAsia" w:ascii="仿宋" w:hAnsi="仿宋" w:eastAsia="仿宋"/>
          <w:b w:val="0"/>
          <w:bCs/>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2"/>
        </w:num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outlineLvl w:val="1"/>
        <w:rPr>
          <w:rFonts w:ascii="黑体" w:eastAsia="黑体"/>
          <w:color w:val="000000"/>
          <w:sz w:val="32"/>
          <w:szCs w:val="32"/>
        </w:rPr>
      </w:pPr>
      <w:bookmarkStart w:id="46" w:name="_Toc15396610"/>
      <w:bookmarkStart w:id="47"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 w:hAnsi="仿宋" w:eastAsia="仿宋"/>
          <w:color w:val="000000"/>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 w:hAnsi="仿宋" w:eastAsia="仿宋" w:cs="仿宋"/>
          <w:b w:val="0"/>
          <w:bCs w:val="0"/>
          <w:color w:val="000000"/>
          <w:sz w:val="32"/>
          <w:szCs w:val="32"/>
          <w:lang w:eastAsia="zh-CN"/>
        </w:rPr>
        <w:t>塘县</w:t>
      </w:r>
      <w:r>
        <w:rPr>
          <w:rFonts w:hint="eastAsia" w:ascii="仿宋" w:hAnsi="仿宋" w:eastAsia="仿宋" w:cs="仿宋"/>
          <w:b w:val="0"/>
          <w:bCs w:val="0"/>
          <w:color w:val="000000"/>
          <w:sz w:val="32"/>
          <w:szCs w:val="32"/>
        </w:rPr>
        <w:t>农村合作经营管理站</w:t>
      </w:r>
      <w:r>
        <w:rPr>
          <w:rFonts w:hint="eastAsia" w:ascii="仿宋_GB2312" w:eastAsia="仿宋_GB2312"/>
          <w:color w:val="000000"/>
          <w:sz w:val="32"/>
          <w:szCs w:val="32"/>
        </w:rPr>
        <w:t>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 w:hAnsi="仿宋" w:eastAsia="仿宋"/>
          <w:color w:val="000000"/>
          <w:sz w:val="32"/>
          <w:szCs w:val="32"/>
          <w:lang w:val="en-US" w:eastAsia="zh-CN"/>
        </w:rPr>
        <w:t>因是新增单位，所以无上年数。</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adjustRightInd w:val="0"/>
        <w:snapToGrid w:val="0"/>
        <w:spacing w:line="360" w:lineRule="auto"/>
        <w:jc w:val="both"/>
        <w:outlineLvl w:val="0"/>
        <w:rPr>
          <w:rFonts w:hint="eastAsia"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 w:hAnsi="仿宋" w:eastAsia="仿宋" w:cs="仿宋"/>
          <w:b w:val="0"/>
          <w:bCs w:val="0"/>
          <w:color w:val="000000"/>
          <w:sz w:val="32"/>
          <w:szCs w:val="32"/>
          <w:lang w:eastAsia="zh-CN"/>
        </w:rPr>
        <w:t>壤塘县</w:t>
      </w:r>
      <w:r>
        <w:rPr>
          <w:rFonts w:hint="eastAsia" w:ascii="仿宋" w:hAnsi="仿宋" w:eastAsia="仿宋" w:cs="仿宋"/>
          <w:b w:val="0"/>
          <w:bCs w:val="0"/>
          <w:color w:val="000000"/>
          <w:sz w:val="32"/>
          <w:szCs w:val="32"/>
        </w:rPr>
        <w:t>农村合作经营管理站</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bookmarkStart w:id="54" w:name="_Toc15377224"/>
    </w:p>
    <w:p>
      <w:pPr>
        <w:spacing w:line="600" w:lineRule="exact"/>
        <w:ind w:firstLine="640" w:firstLineChars="200"/>
        <w:rPr>
          <w:rFonts w:ascii="仿宋" w:hAnsi="仿宋" w:eastAsia="仿宋"/>
          <w:b w:val="0"/>
          <w:bCs/>
          <w:color w:val="000000"/>
          <w:sz w:val="32"/>
          <w:szCs w:val="32"/>
        </w:rPr>
      </w:pPr>
      <w:r>
        <w:rPr>
          <w:rFonts w:hint="eastAsia" w:ascii="仿宋" w:hAnsi="仿宋" w:eastAsia="仿宋"/>
          <w:b w:val="0"/>
          <w:bCs/>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其他用车主要是用于单价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numPr>
          <w:ilvl w:val="0"/>
          <w:numId w:val="4"/>
        </w:numPr>
        <w:spacing w:line="600" w:lineRule="exact"/>
        <w:ind w:firstLine="660" w:firstLineChars="150"/>
        <w:jc w:val="center"/>
        <w:outlineLvl w:val="0"/>
        <w:rPr>
          <w:rStyle w:val="24"/>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bookmarkStart w:id="57" w:name="_Toc15377226"/>
      <w:bookmarkStart w:id="58"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ind w:firstLine="2640" w:firstLineChars="600"/>
        <w:jc w:val="both"/>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r>
        <w:rPr>
          <w:rFonts w:hint="eastAsia" w:ascii="仿宋" w:hAnsi="仿宋" w:eastAsia="仿宋"/>
          <w:b w:val="0"/>
          <w:color w:val="000000"/>
        </w:rPr>
        <w:t>一、收</w:t>
      </w:r>
      <w:r>
        <w:rPr>
          <w:rStyle w:val="25"/>
          <w:rFonts w:hint="eastAsia" w:ascii="仿宋" w:hAnsi="仿宋" w:eastAsia="仿宋"/>
          <w:b w:val="0"/>
          <w:bCs w:val="0"/>
        </w:rPr>
        <w:t>入支出决算总表</w:t>
      </w:r>
    </w:p>
    <w:p>
      <w:pPr>
        <w:pStyle w:val="4"/>
        <w:rPr>
          <w:rFonts w:ascii="仿宋" w:hAnsi="仿宋" w:eastAsia="仿宋"/>
          <w:color w:val="000000"/>
        </w:rPr>
      </w:pPr>
      <w:r>
        <w:rPr>
          <w:rFonts w:hint="eastAsia" w:ascii="仿宋" w:hAnsi="仿宋" w:eastAsia="仿宋"/>
          <w:b w:val="0"/>
          <w:color w:val="000000"/>
        </w:rPr>
        <w:t>二、收</w:t>
      </w:r>
      <w:r>
        <w:rPr>
          <w:rStyle w:val="25"/>
          <w:rFonts w:hint="eastAsia" w:ascii="仿宋" w:hAnsi="仿宋" w:eastAsia="仿宋"/>
          <w:b w:val="0"/>
          <w:bCs w:val="0"/>
        </w:rPr>
        <w:t>入决算表</w:t>
      </w:r>
    </w:p>
    <w:p>
      <w:pPr>
        <w:pStyle w:val="4"/>
        <w:rPr>
          <w:rFonts w:ascii="仿宋" w:hAnsi="仿宋" w:eastAsia="仿宋"/>
          <w:color w:val="000000"/>
        </w:rPr>
      </w:pPr>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p>
    <w:p>
      <w:pPr>
        <w:pStyle w:val="4"/>
        <w:rPr>
          <w:rFonts w:ascii="仿宋" w:hAnsi="仿宋" w:eastAsia="仿宋"/>
          <w:b w:val="0"/>
          <w:color w:val="000000"/>
        </w:rPr>
      </w:pPr>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p>
    <w:p>
      <w:pPr>
        <w:pStyle w:val="4"/>
        <w:rPr>
          <w:rStyle w:val="25"/>
          <w:rFonts w:ascii="仿宋" w:hAnsi="仿宋" w:eastAsia="仿宋"/>
          <w:b w:val="0"/>
          <w:bCs w:val="0"/>
        </w:rPr>
      </w:pPr>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p>
    <w:p>
      <w:pPr>
        <w:pStyle w:val="4"/>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p>
    <w:p>
      <w:pPr>
        <w:pStyle w:val="4"/>
        <w:rPr>
          <w:rFonts w:ascii="仿宋" w:hAnsi="仿宋" w:eastAsia="仿宋"/>
          <w:color w:val="000000"/>
        </w:rPr>
      </w:pPr>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p>
    <w:p>
      <w:pPr>
        <w:pStyle w:val="4"/>
        <w:rPr>
          <w:rFonts w:ascii="仿宋" w:hAnsi="仿宋" w:eastAsia="仿宋"/>
          <w:color w:val="000000"/>
        </w:rPr>
      </w:pPr>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p>
    <w:p>
      <w:pPr>
        <w:pStyle w:val="4"/>
        <w:rPr>
          <w:rFonts w:ascii="仿宋" w:hAnsi="仿宋" w:eastAsia="仿宋"/>
          <w:color w:val="000000"/>
        </w:rPr>
      </w:pPr>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p>
    <w:p>
      <w:pPr>
        <w:pStyle w:val="4"/>
        <w:rPr>
          <w:rFonts w:ascii="仿宋" w:hAnsi="仿宋" w:eastAsia="仿宋"/>
          <w:color w:val="000000"/>
        </w:rPr>
      </w:pPr>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p>
    <w:p>
      <w:pPr>
        <w:pStyle w:val="4"/>
        <w:rPr>
          <w:rFonts w:ascii="仿宋" w:hAnsi="仿宋" w:eastAsia="仿宋"/>
          <w:color w:val="000000"/>
        </w:rPr>
      </w:pPr>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p>
    <w:p>
      <w:pPr>
        <w:pStyle w:val="4"/>
        <w:rPr>
          <w:rFonts w:ascii="仿宋" w:hAnsi="仿宋" w:eastAsia="仿宋"/>
          <w:color w:val="000000"/>
        </w:rPr>
      </w:pPr>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p>
    <w:p>
      <w:pPr>
        <w:pStyle w:val="4"/>
        <w:rPr>
          <w:rFonts w:ascii="仿宋" w:hAnsi="仿宋" w:eastAsia="仿宋"/>
          <w:color w:val="000000" w:themeColor="text1"/>
          <w14:textFill>
            <w14:solidFill>
              <w14:schemeClr w14:val="tx1"/>
            </w14:solidFill>
          </w14:textFill>
        </w:rPr>
      </w:pPr>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ind w:firstLine="1320" w:firstLineChars="300"/>
        <w:jc w:val="both"/>
        <w:outlineLvl w:val="0"/>
        <w:rPr>
          <w:rFonts w:hint="eastAsia" w:ascii="黑体" w:hAnsi="黑体" w:eastAsia="黑体"/>
          <w:color w:val="000000"/>
          <w:sz w:val="44"/>
          <w:szCs w:val="44"/>
        </w:rPr>
      </w:pPr>
    </w:p>
    <w:p>
      <w:pPr>
        <w:spacing w:line="600" w:lineRule="exact"/>
        <w:ind w:firstLine="1320" w:firstLineChars="300"/>
        <w:jc w:val="both"/>
        <w:outlineLvl w:val="0"/>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p>
      <w:pPr>
        <w:spacing w:line="600" w:lineRule="exact"/>
        <w:ind w:firstLine="2640" w:firstLineChars="600"/>
        <w:jc w:val="both"/>
        <w:outlineLvl w:val="0"/>
        <w:rPr>
          <w:rFonts w:hint="eastAsia" w:ascii="黑体" w:hAnsi="黑体" w:eastAsia="黑体"/>
          <w:color w:val="000000"/>
          <w:sz w:val="44"/>
          <w:szCs w:val="44"/>
        </w:rPr>
      </w:pPr>
    </w:p>
    <w:bookmarkEnd w:id="57"/>
    <w:bookmarkEnd w:id="58"/>
    <w:p>
      <w:pPr>
        <w:pStyle w:val="4"/>
        <w:rPr>
          <w:rFonts w:ascii="仿宋" w:hAnsi="仿宋" w:eastAsia="仿宋"/>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073A6DB"/>
    <w:multiLevelType w:val="singleLevel"/>
    <w:tmpl w:val="4073A6DB"/>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297F2C"/>
    <w:rsid w:val="05932956"/>
    <w:rsid w:val="05E416D4"/>
    <w:rsid w:val="07956CB5"/>
    <w:rsid w:val="088D620D"/>
    <w:rsid w:val="09201D71"/>
    <w:rsid w:val="09783895"/>
    <w:rsid w:val="0C1E0639"/>
    <w:rsid w:val="0C7931DC"/>
    <w:rsid w:val="0D750E08"/>
    <w:rsid w:val="0E396E51"/>
    <w:rsid w:val="0E8A49C1"/>
    <w:rsid w:val="0ED9331D"/>
    <w:rsid w:val="0F6640A4"/>
    <w:rsid w:val="0FFA5DAC"/>
    <w:rsid w:val="10C055FF"/>
    <w:rsid w:val="11552894"/>
    <w:rsid w:val="12E4515A"/>
    <w:rsid w:val="148344FA"/>
    <w:rsid w:val="1492414C"/>
    <w:rsid w:val="14CD28EF"/>
    <w:rsid w:val="16BB723D"/>
    <w:rsid w:val="177D4B0E"/>
    <w:rsid w:val="1A391FA7"/>
    <w:rsid w:val="1AF66C14"/>
    <w:rsid w:val="1B3B0D5F"/>
    <w:rsid w:val="1C455725"/>
    <w:rsid w:val="216876E5"/>
    <w:rsid w:val="240371BF"/>
    <w:rsid w:val="2510580D"/>
    <w:rsid w:val="292955A4"/>
    <w:rsid w:val="29FD04D3"/>
    <w:rsid w:val="2E3920F2"/>
    <w:rsid w:val="319F7F4E"/>
    <w:rsid w:val="330C606D"/>
    <w:rsid w:val="34F63A39"/>
    <w:rsid w:val="36895EBA"/>
    <w:rsid w:val="3D56219D"/>
    <w:rsid w:val="3D881370"/>
    <w:rsid w:val="3FB70691"/>
    <w:rsid w:val="406316DE"/>
    <w:rsid w:val="4A641859"/>
    <w:rsid w:val="4B021D58"/>
    <w:rsid w:val="4C7D7383"/>
    <w:rsid w:val="4E4B170B"/>
    <w:rsid w:val="4ECE2238"/>
    <w:rsid w:val="51051CB7"/>
    <w:rsid w:val="53FF0506"/>
    <w:rsid w:val="583D4416"/>
    <w:rsid w:val="58C87628"/>
    <w:rsid w:val="599F0E03"/>
    <w:rsid w:val="5AC16809"/>
    <w:rsid w:val="5C8728D2"/>
    <w:rsid w:val="5DB665F1"/>
    <w:rsid w:val="5F112DD2"/>
    <w:rsid w:val="5F663956"/>
    <w:rsid w:val="60AB5F0E"/>
    <w:rsid w:val="60E54EEC"/>
    <w:rsid w:val="61C05786"/>
    <w:rsid w:val="624219EE"/>
    <w:rsid w:val="63A73F5B"/>
    <w:rsid w:val="64BD383F"/>
    <w:rsid w:val="67206576"/>
    <w:rsid w:val="6D2908B8"/>
    <w:rsid w:val="6D941B1B"/>
    <w:rsid w:val="72734D90"/>
    <w:rsid w:val="73023D4D"/>
    <w:rsid w:val="74143D07"/>
    <w:rsid w:val="74824ADF"/>
    <w:rsid w:val="75FE0C76"/>
    <w:rsid w:val="7C434A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[Book1]Sheet1!$E$18</c:f>
              <c:strCache>
                <c:ptCount val="1"/>
                <c:pt idx="0">
                  <c:v>一般公共预算财政拨款收入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[Book1]Sheet1!$F$18</c:f>
              <c:numCache>
                <c:formatCode>General</c:formatCode>
                <c:ptCount val="1"/>
                <c:pt idx="0">
                  <c:v>1861.33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[Book1]Sheet1!$E$18</c:f>
              <c:strCache>
                <c:ptCount val="1"/>
                <c:pt idx="0">
                  <c:v>基本支出</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[Book1]Sheet1!$F$18</c:f>
              <c:numCache>
                <c:formatCode>General</c:formatCode>
                <c:ptCount val="1"/>
                <c:pt idx="0">
                  <c:v>2297.6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年度支出</a:t>
            </a:r>
            <a:endParaRPr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工作表.xls]Sheet1'!$H$19:$H$20</c:f>
              <c:strCache>
                <c:ptCount val="2"/>
                <c:pt idx="0">
                  <c:v>2018年支出</c:v>
                </c:pt>
                <c:pt idx="1">
                  <c:v>2019年支出</c:v>
                </c:pt>
              </c:strCache>
            </c:strRef>
          </c:cat>
          <c:val>
            <c:numRef>
              <c:f>'[新建 XLS 工作表.xls]Sheet1'!$I$19:$I$20</c:f>
              <c:numCache>
                <c:formatCode>General</c:formatCode>
                <c:ptCount val="2"/>
                <c:pt idx="0">
                  <c:v>0</c:v>
                </c:pt>
                <c:pt idx="1">
                  <c:v>2297.6</c:v>
                </c:pt>
              </c:numCache>
            </c:numRef>
          </c:val>
        </c:ser>
        <c:dLbls>
          <c:showLegendKey val="0"/>
          <c:showVal val="1"/>
          <c:showCatName val="0"/>
          <c:showSerName val="0"/>
          <c:showPercent val="0"/>
          <c:showBubbleSize val="0"/>
        </c:dLbls>
        <c:gapWidth val="219"/>
        <c:overlap val="-27"/>
        <c:axId val="40259546"/>
        <c:axId val="462211123"/>
      </c:barChart>
      <c:catAx>
        <c:axId val="4025954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211123"/>
        <c:crosses val="autoZero"/>
        <c:auto val="1"/>
        <c:lblAlgn val="ctr"/>
        <c:lblOffset val="100"/>
        <c:noMultiLvlLbl val="0"/>
      </c:catAx>
      <c:valAx>
        <c:axId val="4622111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25954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[Book1]Sheet1!$E$17:$E$20</c:f>
              <c:strCache>
                <c:ptCount val="4"/>
                <c:pt idx="0">
                  <c:v>社会保障和就业（类）支出</c:v>
                </c:pt>
                <c:pt idx="1">
                  <c:v>卫生健康支出</c:v>
                </c:pt>
                <c:pt idx="2">
                  <c:v>住房保障支出</c:v>
                </c:pt>
                <c:pt idx="3">
                  <c:v>农业水（类）支出</c:v>
                </c:pt>
              </c:strCache>
            </c:strRef>
          </c:cat>
          <c:val>
            <c:numRef>
              <c:f>[Book1]Sheet1!$F$17:$F$20</c:f>
              <c:numCache>
                <c:formatCode>General</c:formatCode>
                <c:ptCount val="4"/>
                <c:pt idx="0">
                  <c:v>278.18</c:v>
                </c:pt>
                <c:pt idx="1">
                  <c:v>61.47</c:v>
                </c:pt>
                <c:pt idx="2">
                  <c:v>168.51</c:v>
                </c:pt>
                <c:pt idx="3">
                  <c:v>1789.44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3</TotalTime>
  <ScaleCrop>false</ScaleCrop>
  <LinksUpToDate>false</LinksUpToDate>
  <CharactersWithSpaces>8587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群星闪耀</cp:lastModifiedBy>
  <cp:lastPrinted>2020-10-22T10:53:00Z</cp:lastPrinted>
  <dcterms:modified xsi:type="dcterms:W3CDTF">2020-10-23T09:28:59Z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