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597"/>
      <w:bookmarkStart w:id="2" w:name="_Toc15377425"/>
      <w:bookmarkStart w:id="3" w:name="_Toc15396475"/>
      <w:bookmarkStart w:id="4" w:name="_Toc15377193"/>
      <w:bookmarkStart w:id="5" w:name="_Toc15378441"/>
      <w:bookmarkStart w:id="6" w:name="_Toc22969"/>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7" w:name="_Toc15396598"/>
      <w:bookmarkStart w:id="8" w:name="_Toc15377194"/>
      <w:bookmarkStart w:id="9" w:name="_Toc15378442"/>
      <w:bookmarkStart w:id="10" w:name="_Toc15396476"/>
      <w:bookmarkStart w:id="11" w:name="_Toc15377426"/>
      <w:r>
        <w:rPr>
          <w:rFonts w:hint="eastAsia" w:ascii="方正小标宋简体" w:hAnsi="宋体" w:eastAsia="方正小标宋简体"/>
          <w:color w:val="000000"/>
          <w:sz w:val="72"/>
          <w:szCs w:val="72"/>
        </w:rPr>
        <w:t>四川省</w:t>
      </w:r>
      <w:bookmarkEnd w:id="6"/>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12" w:name="_Toc6715"/>
      <w:r>
        <w:rPr>
          <w:rFonts w:hint="eastAsia" w:ascii="方正小标宋简体" w:hAnsi="宋体" w:eastAsia="方正小标宋简体"/>
          <w:color w:val="000000"/>
          <w:sz w:val="72"/>
          <w:szCs w:val="72"/>
        </w:rPr>
        <w:t>阿坝州</w:t>
      </w:r>
      <w:r>
        <w:rPr>
          <w:rFonts w:hint="eastAsia" w:ascii="方正小标宋简体" w:hAnsi="宋体" w:eastAsia="方正小标宋简体"/>
          <w:color w:val="000000"/>
          <w:sz w:val="72"/>
          <w:szCs w:val="72"/>
          <w:lang w:eastAsia="zh-CN"/>
        </w:rPr>
        <w:t>壤塘县</w:t>
      </w:r>
      <w:bookmarkEnd w:id="0"/>
      <w:bookmarkStart w:id="13" w:name="_Toc15306268"/>
      <w:r>
        <w:rPr>
          <w:rFonts w:hint="eastAsia" w:ascii="方正小标宋简体" w:hAnsi="宋体" w:eastAsia="方正小标宋简体"/>
          <w:color w:val="000000"/>
          <w:sz w:val="72"/>
          <w:szCs w:val="72"/>
          <w:lang w:eastAsia="zh-CN"/>
        </w:rPr>
        <w:t>教育局</w:t>
      </w:r>
      <w:bookmarkEnd w:id="12"/>
      <w:bookmarkStart w:id="14" w:name="_Toc26425"/>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3"/>
      <w:bookmarkEnd w:id="14"/>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hint="eastAsia" w:ascii="仿宋_GB2312" w:hAnsi="Calibri" w:eastAsia="仿宋_GB2312" w:cs="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sdt>
      <w:sdtPr>
        <w:rPr>
          <w:rFonts w:ascii="宋体" w:hAnsi="宋体" w:eastAsia="宋体" w:cs="Times New Roman"/>
          <w:kern w:val="2"/>
          <w:sz w:val="21"/>
          <w:szCs w:val="24"/>
          <w:lang w:val="en-US" w:eastAsia="zh-CN" w:bidi="ar-SA"/>
        </w:rPr>
        <w:id w:val="147471654"/>
        <w15:color w:val="DBDBDB"/>
        <w:docPartObj>
          <w:docPartGallery w:val="Table of Contents"/>
          <w:docPartUnique/>
        </w:docPartObj>
      </w:sdtPr>
      <w:sdtEndPr>
        <w:rPr>
          <w:rFonts w:hint="eastAsia"/>
          <w:lang w:val="en-US" w:eastAsia="zh-CN"/>
        </w:rPr>
      </w:sdtEndPr>
      <w:sdtContent>
        <w:p>
          <w:pPr>
            <w:spacing w:before="0" w:beforeLines="0" w:after="0" w:afterLines="0" w:line="240" w:lineRule="auto"/>
            <w:ind w:left="0" w:leftChars="0" w:right="0" w:rightChars="0" w:firstLine="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目录</w:t>
          </w:r>
        </w:p>
        <w:p>
          <w:pPr>
            <w:pStyle w:val="10"/>
            <w:outlineLvl w:val="0"/>
          </w:pPr>
          <w:r>
            <w:rPr>
              <w:rFonts w:hint="eastAsia"/>
            </w:rPr>
            <w:t>公开时间：2020年</w:t>
          </w:r>
          <w:r>
            <w:rPr>
              <w:rFonts w:hint="eastAsia"/>
              <w:lang w:val="en-US" w:eastAsia="zh-CN"/>
            </w:rPr>
            <w:t xml:space="preserve">  10</w:t>
          </w:r>
          <w:r>
            <w:rPr>
              <w:rFonts w:hint="eastAsia"/>
            </w:rPr>
            <w:t>月</w:t>
          </w:r>
          <w:r>
            <w:rPr>
              <w:rFonts w:hint="eastAsia"/>
              <w:lang w:val="en-US" w:eastAsia="zh-CN"/>
            </w:rPr>
            <w:t xml:space="preserve">   27</w:t>
          </w:r>
          <w:r>
            <w:rPr>
              <w:rFonts w:hint="eastAsia"/>
            </w:rPr>
            <w:t>日</w:t>
          </w:r>
        </w:p>
        <w:p>
          <w:pPr>
            <w:spacing w:before="0" w:beforeLines="0" w:after="0" w:afterLines="0" w:line="240" w:lineRule="auto"/>
            <w:ind w:left="0" w:leftChars="0" w:right="0" w:rightChars="0" w:firstLine="0" w:firstLineChars="0"/>
            <w:jc w:val="center"/>
            <w:rPr>
              <w:rFonts w:ascii="宋体" w:hAnsi="宋体" w:eastAsia="宋体"/>
              <w:sz w:val="21"/>
            </w:rPr>
          </w:pPr>
        </w:p>
        <w:p>
          <w:pPr>
            <w:pStyle w:val="10"/>
            <w:outlineLvl w:val="0"/>
            <w:rPr>
              <w:rFonts w:hint="eastAsia"/>
            </w:rPr>
          </w:pPr>
          <w:r>
            <w:rPr>
              <w:rFonts w:hint="eastAsia"/>
            </w:rPr>
            <w:fldChar w:fldCharType="begin"/>
          </w:r>
          <w:r>
            <w:rPr>
              <w:rFonts w:hint="eastAsia"/>
            </w:rPr>
            <w:instrText xml:space="preserve">TOC \o "1-2" \h \u </w:instrText>
          </w:r>
          <w:r>
            <w:rPr>
              <w:rFonts w:hint="eastAsia"/>
            </w:rPr>
            <w:fldChar w:fldCharType="separate"/>
          </w:r>
        </w:p>
        <w:p>
          <w:pPr>
            <w:pStyle w:val="10"/>
            <w:outlineLvl w:val="0"/>
            <w:rPr>
              <w:rFonts w:hint="eastAsia"/>
            </w:rPr>
          </w:pPr>
          <w:r>
            <w:rPr>
              <w:rFonts w:hint="eastAsia"/>
            </w:rPr>
            <w:fldChar w:fldCharType="begin"/>
          </w:r>
          <w:r>
            <w:rPr>
              <w:rFonts w:hint="eastAsia"/>
            </w:rPr>
            <w:instrText xml:space="preserve"> HYPERLINK \l _Toc18748 </w:instrText>
          </w:r>
          <w:r>
            <w:rPr>
              <w:rFonts w:hint="eastAsia"/>
            </w:rPr>
            <w:fldChar w:fldCharType="separate"/>
          </w:r>
          <w:r>
            <w:rPr>
              <w:rFonts w:hint="eastAsia"/>
            </w:rPr>
            <w:t>第一部分 部门概况</w:t>
          </w:r>
          <w:r>
            <w:rPr>
              <w:rFonts w:hint="eastAsia"/>
            </w:rPr>
            <w:tab/>
          </w:r>
          <w:r>
            <w:rPr>
              <w:rFonts w:hint="eastAsia"/>
            </w:rPr>
            <w:fldChar w:fldCharType="begin"/>
          </w:r>
          <w:r>
            <w:rPr>
              <w:rFonts w:hint="eastAsia"/>
            </w:rPr>
            <w:instrText xml:space="preserve"> PAGEREF _Toc18748 </w:instrText>
          </w:r>
          <w:r>
            <w:rPr>
              <w:rFonts w:hint="eastAsia"/>
            </w:rPr>
            <w:fldChar w:fldCharType="separate"/>
          </w:r>
          <w:r>
            <w:rPr>
              <w:rFonts w:hint="eastAsia"/>
            </w:rPr>
            <w:t>8</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_Toc8882 </w:instrText>
          </w:r>
          <w:r>
            <w:rPr>
              <w:rFonts w:hint="eastAsia"/>
            </w:rPr>
            <w:fldChar w:fldCharType="separate"/>
          </w:r>
          <w:r>
            <w:rPr>
              <w:rFonts w:hint="eastAsia"/>
            </w:rPr>
            <w:t>一、 基本职能及主要工作</w:t>
          </w:r>
          <w:r>
            <w:rPr>
              <w:rFonts w:hint="eastAsia"/>
            </w:rPr>
            <w:tab/>
          </w:r>
          <w:r>
            <w:rPr>
              <w:rFonts w:hint="eastAsia"/>
            </w:rPr>
            <w:fldChar w:fldCharType="begin"/>
          </w:r>
          <w:r>
            <w:rPr>
              <w:rFonts w:hint="eastAsia"/>
            </w:rPr>
            <w:instrText xml:space="preserve"> PAGEREF _Toc8882 </w:instrText>
          </w:r>
          <w:r>
            <w:rPr>
              <w:rFonts w:hint="eastAsia"/>
            </w:rPr>
            <w:fldChar w:fldCharType="separate"/>
          </w:r>
          <w:r>
            <w:rPr>
              <w:rFonts w:hint="eastAsia"/>
            </w:rPr>
            <w:t>8</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_Toc25346 </w:instrText>
          </w:r>
          <w:r>
            <w:rPr>
              <w:rFonts w:hint="eastAsia"/>
            </w:rPr>
            <w:fldChar w:fldCharType="separate"/>
          </w:r>
          <w:r>
            <w:rPr>
              <w:rFonts w:hint="eastAsia"/>
            </w:rPr>
            <w:t>二、 主要职能</w:t>
          </w:r>
          <w:r>
            <w:rPr>
              <w:rFonts w:hint="eastAsia"/>
            </w:rPr>
            <w:tab/>
          </w:r>
          <w:r>
            <w:rPr>
              <w:rFonts w:hint="eastAsia"/>
            </w:rPr>
            <w:fldChar w:fldCharType="begin"/>
          </w:r>
          <w:r>
            <w:rPr>
              <w:rFonts w:hint="eastAsia"/>
            </w:rPr>
            <w:instrText xml:space="preserve"> PAGEREF _Toc25346 </w:instrText>
          </w:r>
          <w:r>
            <w:rPr>
              <w:rFonts w:hint="eastAsia"/>
            </w:rPr>
            <w:fldChar w:fldCharType="separate"/>
          </w:r>
          <w:r>
            <w:rPr>
              <w:rFonts w:hint="eastAsia"/>
            </w:rPr>
            <w:t>8</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_Toc2347 </w:instrText>
          </w:r>
          <w:r>
            <w:rPr>
              <w:rFonts w:hint="eastAsia"/>
            </w:rPr>
            <w:fldChar w:fldCharType="separate"/>
          </w:r>
          <w:r>
            <w:rPr>
              <w:rFonts w:hint="eastAsia"/>
            </w:rPr>
            <w:t>第二部分 2019年度部门决算情况说明</w:t>
          </w:r>
          <w:r>
            <w:rPr>
              <w:rFonts w:hint="eastAsia"/>
            </w:rPr>
            <w:tab/>
          </w:r>
          <w:r>
            <w:rPr>
              <w:rFonts w:hint="eastAsia"/>
            </w:rPr>
            <w:fldChar w:fldCharType="begin"/>
          </w:r>
          <w:r>
            <w:rPr>
              <w:rFonts w:hint="eastAsia"/>
            </w:rPr>
            <w:instrText xml:space="preserve"> PAGEREF _Toc2347 </w:instrText>
          </w:r>
          <w:r>
            <w:rPr>
              <w:rFonts w:hint="eastAsia"/>
            </w:rPr>
            <w:fldChar w:fldCharType="separate"/>
          </w:r>
          <w:r>
            <w:rPr>
              <w:rFonts w:hint="eastAsia"/>
            </w:rPr>
            <w:t>16</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_Toc14799 </w:instrText>
          </w:r>
          <w:r>
            <w:rPr>
              <w:rFonts w:hint="eastAsia"/>
            </w:rPr>
            <w:fldChar w:fldCharType="separate"/>
          </w:r>
          <w:r>
            <w:rPr>
              <w:rFonts w:hint="default"/>
            </w:rPr>
            <w:t xml:space="preserve">一、 </w:t>
          </w:r>
          <w:r>
            <w:rPr>
              <w:rFonts w:hint="eastAsia"/>
            </w:rPr>
            <w:t>收入支出决算总体情况说明</w:t>
          </w:r>
          <w:r>
            <w:rPr>
              <w:rFonts w:hint="eastAsia"/>
            </w:rPr>
            <w:tab/>
          </w:r>
          <w:r>
            <w:rPr>
              <w:rFonts w:hint="eastAsia"/>
            </w:rPr>
            <w:fldChar w:fldCharType="begin"/>
          </w:r>
          <w:r>
            <w:rPr>
              <w:rFonts w:hint="eastAsia"/>
            </w:rPr>
            <w:instrText xml:space="preserve"> PAGEREF _Toc14799 </w:instrText>
          </w:r>
          <w:r>
            <w:rPr>
              <w:rFonts w:hint="eastAsia"/>
            </w:rPr>
            <w:fldChar w:fldCharType="separate"/>
          </w:r>
          <w:r>
            <w:rPr>
              <w:rFonts w:hint="eastAsia"/>
            </w:rPr>
            <w:t>16</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_Toc30008 </w:instrText>
          </w:r>
          <w:r>
            <w:rPr>
              <w:rFonts w:hint="eastAsia"/>
            </w:rPr>
            <w:fldChar w:fldCharType="separate"/>
          </w:r>
          <w:r>
            <w:rPr>
              <w:rFonts w:hint="default"/>
            </w:rPr>
            <w:t xml:space="preserve">二、 </w:t>
          </w:r>
          <w:r>
            <w:rPr>
              <w:rFonts w:hint="eastAsia"/>
            </w:rPr>
            <w:t>收入决算情况说明</w:t>
          </w:r>
          <w:r>
            <w:rPr>
              <w:rFonts w:hint="eastAsia"/>
            </w:rPr>
            <w:tab/>
          </w:r>
          <w:r>
            <w:rPr>
              <w:rFonts w:hint="eastAsia"/>
            </w:rPr>
            <w:fldChar w:fldCharType="begin"/>
          </w:r>
          <w:r>
            <w:rPr>
              <w:rFonts w:hint="eastAsia"/>
            </w:rPr>
            <w:instrText xml:space="preserve"> PAGEREF _Toc30008 </w:instrText>
          </w:r>
          <w:r>
            <w:rPr>
              <w:rFonts w:hint="eastAsia"/>
            </w:rPr>
            <w:fldChar w:fldCharType="separate"/>
          </w:r>
          <w:r>
            <w:rPr>
              <w:rFonts w:hint="eastAsia"/>
            </w:rPr>
            <w:t>17</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_Toc16953 </w:instrText>
          </w:r>
          <w:r>
            <w:rPr>
              <w:rFonts w:hint="eastAsia"/>
            </w:rPr>
            <w:fldChar w:fldCharType="separate"/>
          </w:r>
          <w:r>
            <w:rPr>
              <w:rFonts w:hint="default"/>
            </w:rPr>
            <w:t xml:space="preserve">三、 </w:t>
          </w:r>
          <w:r>
            <w:rPr>
              <w:rFonts w:hint="eastAsia"/>
            </w:rPr>
            <w:t>支出决算情况说明</w:t>
          </w:r>
          <w:r>
            <w:rPr>
              <w:rFonts w:hint="eastAsia"/>
            </w:rPr>
            <w:tab/>
          </w:r>
          <w:r>
            <w:rPr>
              <w:rFonts w:hint="eastAsia"/>
            </w:rPr>
            <w:fldChar w:fldCharType="begin"/>
          </w:r>
          <w:r>
            <w:rPr>
              <w:rFonts w:hint="eastAsia"/>
            </w:rPr>
            <w:instrText xml:space="preserve"> PAGEREF _Toc16953 </w:instrText>
          </w:r>
          <w:r>
            <w:rPr>
              <w:rFonts w:hint="eastAsia"/>
            </w:rPr>
            <w:fldChar w:fldCharType="separate"/>
          </w:r>
          <w:r>
            <w:rPr>
              <w:rFonts w:hint="eastAsia"/>
            </w:rPr>
            <w:t>18</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_Toc8359 </w:instrText>
          </w:r>
          <w:r>
            <w:rPr>
              <w:rFonts w:hint="eastAsia"/>
            </w:rPr>
            <w:fldChar w:fldCharType="separate"/>
          </w:r>
          <w:r>
            <w:rPr>
              <w:rFonts w:hint="eastAsia"/>
            </w:rPr>
            <w:t>四、财政拨款收入支出决算总体情况说明</w:t>
          </w:r>
          <w:r>
            <w:rPr>
              <w:rFonts w:hint="eastAsia"/>
            </w:rPr>
            <w:tab/>
          </w:r>
          <w:r>
            <w:rPr>
              <w:rFonts w:hint="eastAsia"/>
            </w:rPr>
            <w:fldChar w:fldCharType="begin"/>
          </w:r>
          <w:r>
            <w:rPr>
              <w:rFonts w:hint="eastAsia"/>
            </w:rPr>
            <w:instrText xml:space="preserve"> PAGEREF _Toc8359 </w:instrText>
          </w:r>
          <w:r>
            <w:rPr>
              <w:rFonts w:hint="eastAsia"/>
            </w:rPr>
            <w:fldChar w:fldCharType="separate"/>
          </w:r>
          <w:r>
            <w:rPr>
              <w:rFonts w:hint="eastAsia"/>
            </w:rPr>
            <w:t>19</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_Toc18461 </w:instrText>
          </w:r>
          <w:r>
            <w:rPr>
              <w:rFonts w:hint="eastAsia"/>
            </w:rPr>
            <w:fldChar w:fldCharType="separate"/>
          </w:r>
          <w:r>
            <w:rPr>
              <w:rFonts w:hint="eastAsia"/>
            </w:rPr>
            <w:t>五、一般公共预算财政拨款支出决算情况说明</w:t>
          </w:r>
          <w:r>
            <w:rPr>
              <w:rFonts w:hint="eastAsia"/>
            </w:rPr>
            <w:tab/>
          </w:r>
          <w:r>
            <w:rPr>
              <w:rFonts w:hint="eastAsia"/>
            </w:rPr>
            <w:fldChar w:fldCharType="begin"/>
          </w:r>
          <w:r>
            <w:rPr>
              <w:rFonts w:hint="eastAsia"/>
            </w:rPr>
            <w:instrText xml:space="preserve"> PAGEREF _Toc18461 </w:instrText>
          </w:r>
          <w:r>
            <w:rPr>
              <w:rFonts w:hint="eastAsia"/>
            </w:rPr>
            <w:fldChar w:fldCharType="separate"/>
          </w:r>
          <w:r>
            <w:rPr>
              <w:rFonts w:hint="eastAsia"/>
            </w:rPr>
            <w:t>19</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_Toc12138 </w:instrText>
          </w:r>
          <w:r>
            <w:rPr>
              <w:rFonts w:hint="eastAsia"/>
            </w:rPr>
            <w:fldChar w:fldCharType="separate"/>
          </w:r>
          <w:r>
            <w:rPr>
              <w:rFonts w:hint="eastAsia"/>
            </w:rPr>
            <w:t>六、一般公共预算财政拨款基本支出决算情况说明</w:t>
          </w:r>
          <w:r>
            <w:rPr>
              <w:rFonts w:hint="eastAsia"/>
            </w:rPr>
            <w:tab/>
          </w:r>
          <w:r>
            <w:rPr>
              <w:rFonts w:hint="eastAsia"/>
            </w:rPr>
            <w:fldChar w:fldCharType="begin"/>
          </w:r>
          <w:r>
            <w:rPr>
              <w:rFonts w:hint="eastAsia"/>
            </w:rPr>
            <w:instrText xml:space="preserve"> PAGEREF _Toc12138 </w:instrText>
          </w:r>
          <w:r>
            <w:rPr>
              <w:rFonts w:hint="eastAsia"/>
            </w:rPr>
            <w:fldChar w:fldCharType="separate"/>
          </w:r>
          <w:r>
            <w:rPr>
              <w:rFonts w:hint="eastAsia"/>
            </w:rPr>
            <w:t>23</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_Toc28385 </w:instrText>
          </w:r>
          <w:r>
            <w:rPr>
              <w:rFonts w:hint="eastAsia"/>
            </w:rPr>
            <w:fldChar w:fldCharType="separate"/>
          </w:r>
          <w:r>
            <w:rPr>
              <w:rFonts w:hint="eastAsia"/>
            </w:rPr>
            <w:t>七、“三公”经费财政拨款支出决算情况说明</w:t>
          </w:r>
          <w:r>
            <w:rPr>
              <w:rFonts w:hint="eastAsia"/>
            </w:rPr>
            <w:tab/>
          </w:r>
          <w:r>
            <w:rPr>
              <w:rFonts w:hint="eastAsia"/>
            </w:rPr>
            <w:fldChar w:fldCharType="begin"/>
          </w:r>
          <w:r>
            <w:rPr>
              <w:rFonts w:hint="eastAsia"/>
            </w:rPr>
            <w:instrText xml:space="preserve"> PAGEREF _Toc28385 </w:instrText>
          </w:r>
          <w:r>
            <w:rPr>
              <w:rFonts w:hint="eastAsia"/>
            </w:rPr>
            <w:fldChar w:fldCharType="separate"/>
          </w:r>
          <w:r>
            <w:rPr>
              <w:rFonts w:hint="eastAsia"/>
            </w:rPr>
            <w:t>23</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_Toc25877 </w:instrText>
          </w:r>
          <w:r>
            <w:rPr>
              <w:rFonts w:hint="eastAsia"/>
            </w:rPr>
            <w:fldChar w:fldCharType="separate"/>
          </w:r>
          <w:r>
            <w:rPr>
              <w:rFonts w:hint="eastAsia"/>
            </w:rPr>
            <w:t>八、政府性基金预算支出决算情况说明</w:t>
          </w:r>
          <w:r>
            <w:rPr>
              <w:rFonts w:hint="eastAsia"/>
            </w:rPr>
            <w:tab/>
          </w:r>
          <w:r>
            <w:rPr>
              <w:rFonts w:hint="eastAsia"/>
            </w:rPr>
            <w:fldChar w:fldCharType="begin"/>
          </w:r>
          <w:r>
            <w:rPr>
              <w:rFonts w:hint="eastAsia"/>
            </w:rPr>
            <w:instrText xml:space="preserve"> PAGEREF _Toc25877 </w:instrText>
          </w:r>
          <w:r>
            <w:rPr>
              <w:rFonts w:hint="eastAsia"/>
            </w:rPr>
            <w:fldChar w:fldCharType="separate"/>
          </w:r>
          <w:r>
            <w:rPr>
              <w:rFonts w:hint="eastAsia"/>
            </w:rPr>
            <w:t>25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_Toc26273 </w:instrText>
          </w:r>
          <w:r>
            <w:rPr>
              <w:rFonts w:hint="eastAsia"/>
            </w:rPr>
            <w:fldChar w:fldCharType="separate"/>
          </w:r>
          <w:r>
            <w:rPr>
              <w:rFonts w:hint="eastAsia"/>
            </w:rPr>
            <w:t>九、 国有资本经营预算支出决算情况说明</w:t>
          </w:r>
          <w:r>
            <w:rPr>
              <w:rFonts w:hint="eastAsia"/>
            </w:rPr>
            <w:tab/>
          </w:r>
          <w:r>
            <w:rPr>
              <w:rFonts w:hint="eastAsia"/>
            </w:rPr>
            <w:fldChar w:fldCharType="begin"/>
          </w:r>
          <w:r>
            <w:rPr>
              <w:rFonts w:hint="eastAsia"/>
            </w:rPr>
            <w:instrText xml:space="preserve"> PAGEREF _Toc26273 </w:instrText>
          </w:r>
          <w:r>
            <w:rPr>
              <w:rFonts w:hint="eastAsia"/>
            </w:rPr>
            <w:fldChar w:fldCharType="separate"/>
          </w:r>
          <w:r>
            <w:rPr>
              <w:rFonts w:hint="eastAsia"/>
            </w:rPr>
            <w:t>25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_Toc28596 </w:instrText>
          </w:r>
          <w:r>
            <w:rPr>
              <w:rFonts w:hint="eastAsia"/>
            </w:rPr>
            <w:fldChar w:fldCharType="separate"/>
          </w:r>
          <w:r>
            <w:rPr>
              <w:rFonts w:hint="eastAsia"/>
            </w:rPr>
            <w:t>十、其他重要事项的情况说明</w:t>
          </w:r>
          <w:r>
            <w:rPr>
              <w:rFonts w:hint="eastAsia"/>
            </w:rPr>
            <w:tab/>
          </w:r>
          <w:r>
            <w:rPr>
              <w:rFonts w:hint="eastAsia"/>
            </w:rPr>
            <w:fldChar w:fldCharType="begin"/>
          </w:r>
          <w:r>
            <w:rPr>
              <w:rFonts w:hint="eastAsia"/>
            </w:rPr>
            <w:instrText xml:space="preserve"> PAGEREF _Toc28596 </w:instrText>
          </w:r>
          <w:r>
            <w:rPr>
              <w:rFonts w:hint="eastAsia"/>
            </w:rPr>
            <w:fldChar w:fldCharType="separate"/>
          </w:r>
          <w:r>
            <w:rPr>
              <w:rFonts w:hint="eastAsia"/>
            </w:rPr>
            <w:t>26</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_Toc15561 </w:instrText>
          </w:r>
          <w:r>
            <w:rPr>
              <w:rFonts w:hint="eastAsia"/>
            </w:rPr>
            <w:fldChar w:fldCharType="separate"/>
          </w:r>
          <w:r>
            <w:rPr>
              <w:rFonts w:hint="eastAsia"/>
            </w:rPr>
            <w:t>第三部分 名词解释</w:t>
          </w:r>
          <w:r>
            <w:rPr>
              <w:rFonts w:hint="eastAsia"/>
            </w:rPr>
            <w:tab/>
          </w:r>
          <w:r>
            <w:rPr>
              <w:rFonts w:hint="eastAsia"/>
            </w:rPr>
            <w:fldChar w:fldCharType="begin"/>
          </w:r>
          <w:r>
            <w:rPr>
              <w:rFonts w:hint="eastAsia"/>
            </w:rPr>
            <w:instrText xml:space="preserve"> PAGEREF _Toc15561 </w:instrText>
          </w:r>
          <w:r>
            <w:rPr>
              <w:rFonts w:hint="eastAsia"/>
            </w:rPr>
            <w:fldChar w:fldCharType="separate"/>
          </w:r>
          <w:r>
            <w:rPr>
              <w:rFonts w:hint="eastAsia"/>
            </w:rPr>
            <w:t>38</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_Toc10318 </w:instrText>
          </w:r>
          <w:r>
            <w:rPr>
              <w:rFonts w:hint="eastAsia"/>
            </w:rPr>
            <w:fldChar w:fldCharType="separate"/>
          </w:r>
          <w:r>
            <w:rPr>
              <w:rFonts w:hint="eastAsia"/>
            </w:rPr>
            <w:t>第四部分 附件</w:t>
          </w:r>
          <w:r>
            <w:rPr>
              <w:rFonts w:hint="eastAsia"/>
            </w:rPr>
            <w:tab/>
          </w:r>
          <w:r>
            <w:rPr>
              <w:rFonts w:hint="eastAsia"/>
            </w:rPr>
            <w:fldChar w:fldCharType="begin"/>
          </w:r>
          <w:r>
            <w:rPr>
              <w:rFonts w:hint="eastAsia"/>
            </w:rPr>
            <w:instrText xml:space="preserve"> PAGEREF _Toc10318 </w:instrText>
          </w:r>
          <w:r>
            <w:rPr>
              <w:rFonts w:hint="eastAsia"/>
            </w:rPr>
            <w:fldChar w:fldCharType="separate"/>
          </w:r>
          <w:r>
            <w:rPr>
              <w:rFonts w:hint="eastAsia"/>
            </w:rPr>
            <w:t>41</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_Toc2663 </w:instrText>
          </w:r>
          <w:r>
            <w:rPr>
              <w:rFonts w:hint="eastAsia"/>
            </w:rPr>
            <w:fldChar w:fldCharType="separate"/>
          </w:r>
          <w:r>
            <w:rPr>
              <w:rFonts w:hint="eastAsia"/>
            </w:rPr>
            <w:t>附件1</w:t>
          </w:r>
          <w:r>
            <w:rPr>
              <w:rFonts w:hint="eastAsia"/>
            </w:rPr>
            <w:tab/>
          </w:r>
          <w:r>
            <w:rPr>
              <w:rFonts w:hint="eastAsia"/>
            </w:rPr>
            <w:fldChar w:fldCharType="begin"/>
          </w:r>
          <w:r>
            <w:rPr>
              <w:rFonts w:hint="eastAsia"/>
            </w:rPr>
            <w:instrText xml:space="preserve"> PAGEREF _Toc2663 </w:instrText>
          </w:r>
          <w:r>
            <w:rPr>
              <w:rFonts w:hint="eastAsia"/>
            </w:rPr>
            <w:fldChar w:fldCharType="separate"/>
          </w:r>
          <w:r>
            <w:rPr>
              <w:rFonts w:hint="eastAsia"/>
            </w:rPr>
            <w:t>41</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_Toc24402 </w:instrText>
          </w:r>
          <w:r>
            <w:rPr>
              <w:rFonts w:hint="eastAsia"/>
            </w:rPr>
            <w:fldChar w:fldCharType="separate"/>
          </w:r>
          <w:r>
            <w:rPr>
              <w:rFonts w:hint="eastAsia"/>
              <w:lang w:eastAsia="zh-CN"/>
            </w:rPr>
            <w:t>壤塘县教育局</w:t>
          </w:r>
          <w:r>
            <w:rPr>
              <w:rFonts w:hint="eastAsia"/>
            </w:rPr>
            <w:t>部门2019年部门整体支出绩效评价报告</w:t>
          </w:r>
          <w:r>
            <w:rPr>
              <w:rFonts w:hint="eastAsia"/>
            </w:rPr>
            <w:tab/>
          </w:r>
          <w:r>
            <w:rPr>
              <w:rFonts w:hint="eastAsia"/>
            </w:rPr>
            <w:fldChar w:fldCharType="begin"/>
          </w:r>
          <w:r>
            <w:rPr>
              <w:rFonts w:hint="eastAsia"/>
            </w:rPr>
            <w:instrText xml:space="preserve"> PAGEREF _Toc24402 </w:instrText>
          </w:r>
          <w:r>
            <w:rPr>
              <w:rFonts w:hint="eastAsia"/>
            </w:rPr>
            <w:fldChar w:fldCharType="separate"/>
          </w:r>
          <w:r>
            <w:rPr>
              <w:rFonts w:hint="eastAsia"/>
            </w:rPr>
            <w:t>41</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_Toc12673 </w:instrText>
          </w:r>
          <w:r>
            <w:rPr>
              <w:rFonts w:hint="eastAsia"/>
            </w:rPr>
            <w:fldChar w:fldCharType="separate"/>
          </w:r>
          <w:r>
            <w:rPr>
              <w:rFonts w:hint="eastAsia"/>
            </w:rPr>
            <w:t>第五部分 附表</w:t>
          </w:r>
          <w:r>
            <w:rPr>
              <w:rFonts w:hint="eastAsia"/>
            </w:rPr>
            <w:tab/>
          </w:r>
          <w:r>
            <w:rPr>
              <w:rFonts w:hint="eastAsia"/>
            </w:rPr>
            <w:fldChar w:fldCharType="begin"/>
          </w:r>
          <w:r>
            <w:rPr>
              <w:rFonts w:hint="eastAsia"/>
            </w:rPr>
            <w:instrText xml:space="preserve"> PAGEREF _Toc12673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_Toc12336 </w:instrText>
          </w:r>
          <w:r>
            <w:rPr>
              <w:rFonts w:hint="eastAsia"/>
            </w:rPr>
            <w:fldChar w:fldCharType="separate"/>
          </w:r>
          <w:r>
            <w:rPr>
              <w:rFonts w:hint="eastAsia"/>
            </w:rPr>
            <w:t>一、收入支出决算总表</w:t>
          </w:r>
          <w:r>
            <w:rPr>
              <w:rFonts w:hint="eastAsia"/>
            </w:rPr>
            <w:tab/>
          </w:r>
          <w:r>
            <w:rPr>
              <w:rFonts w:hint="eastAsia"/>
            </w:rPr>
            <w:fldChar w:fldCharType="begin"/>
          </w:r>
          <w:r>
            <w:rPr>
              <w:rFonts w:hint="eastAsia"/>
            </w:rPr>
            <w:instrText xml:space="preserve"> PAGEREF _Toc12336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_Toc20758 </w:instrText>
          </w:r>
          <w:r>
            <w:rPr>
              <w:rFonts w:hint="eastAsia"/>
            </w:rPr>
            <w:fldChar w:fldCharType="separate"/>
          </w:r>
          <w:r>
            <w:rPr>
              <w:rFonts w:hint="eastAsia"/>
            </w:rPr>
            <w:t>二、收入决算表</w:t>
          </w:r>
          <w:r>
            <w:rPr>
              <w:rFonts w:hint="eastAsia"/>
            </w:rPr>
            <w:tab/>
          </w:r>
          <w:r>
            <w:rPr>
              <w:rFonts w:hint="eastAsia"/>
            </w:rPr>
            <w:fldChar w:fldCharType="begin"/>
          </w:r>
          <w:r>
            <w:rPr>
              <w:rFonts w:hint="eastAsia"/>
            </w:rPr>
            <w:instrText xml:space="preserve"> PAGEREF _Toc20758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_Toc32506 </w:instrText>
          </w:r>
          <w:r>
            <w:rPr>
              <w:rFonts w:hint="eastAsia"/>
            </w:rPr>
            <w:fldChar w:fldCharType="separate"/>
          </w:r>
          <w:r>
            <w:rPr>
              <w:rFonts w:hint="eastAsia"/>
            </w:rPr>
            <w:t>三、支出决算表</w:t>
          </w:r>
          <w:r>
            <w:rPr>
              <w:rFonts w:hint="eastAsia"/>
            </w:rPr>
            <w:tab/>
          </w:r>
          <w:r>
            <w:rPr>
              <w:rFonts w:hint="eastAsia"/>
            </w:rPr>
            <w:fldChar w:fldCharType="begin"/>
          </w:r>
          <w:r>
            <w:rPr>
              <w:rFonts w:hint="eastAsia"/>
            </w:rPr>
            <w:instrText xml:space="preserve"> PAGEREF _Toc32506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_Toc19768 </w:instrText>
          </w:r>
          <w:r>
            <w:rPr>
              <w:rFonts w:hint="eastAsia"/>
            </w:rPr>
            <w:fldChar w:fldCharType="separate"/>
          </w:r>
          <w:r>
            <w:rPr>
              <w:rFonts w:hint="eastAsia"/>
            </w:rPr>
            <w:t>四、财政拨款收入支出决算总表</w:t>
          </w:r>
          <w:r>
            <w:rPr>
              <w:rFonts w:hint="eastAsia"/>
            </w:rPr>
            <w:tab/>
          </w:r>
          <w:r>
            <w:rPr>
              <w:rFonts w:hint="eastAsia"/>
            </w:rPr>
            <w:fldChar w:fldCharType="begin"/>
          </w:r>
          <w:r>
            <w:rPr>
              <w:rFonts w:hint="eastAsia"/>
            </w:rPr>
            <w:instrText xml:space="preserve"> PAGEREF _Toc19768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_Toc32170 </w:instrText>
          </w:r>
          <w:r>
            <w:rPr>
              <w:rFonts w:hint="eastAsia"/>
            </w:rPr>
            <w:fldChar w:fldCharType="separate"/>
          </w:r>
          <w:r>
            <w:rPr>
              <w:rFonts w:hint="eastAsia"/>
            </w:rPr>
            <w:t>五、财政拨款支出决算明细表</w:t>
          </w:r>
          <w:r>
            <w:rPr>
              <w:rFonts w:hint="eastAsia"/>
            </w:rPr>
            <w:tab/>
          </w:r>
          <w:r>
            <w:rPr>
              <w:rFonts w:hint="eastAsia"/>
            </w:rPr>
            <w:fldChar w:fldCharType="begin"/>
          </w:r>
          <w:r>
            <w:rPr>
              <w:rFonts w:hint="eastAsia"/>
            </w:rPr>
            <w:instrText xml:space="preserve"> PAGEREF _Toc32170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_Toc29183 </w:instrText>
          </w:r>
          <w:r>
            <w:rPr>
              <w:rFonts w:hint="eastAsia"/>
            </w:rPr>
            <w:fldChar w:fldCharType="separate"/>
          </w:r>
          <w:r>
            <w:rPr>
              <w:rFonts w:hint="eastAsia"/>
            </w:rPr>
            <w:t>六、一般公共预算财政拨款支出决算表</w:t>
          </w:r>
          <w:r>
            <w:rPr>
              <w:rFonts w:hint="eastAsia"/>
            </w:rPr>
            <w:tab/>
          </w:r>
          <w:r>
            <w:rPr>
              <w:rFonts w:hint="eastAsia"/>
            </w:rPr>
            <w:fldChar w:fldCharType="begin"/>
          </w:r>
          <w:r>
            <w:rPr>
              <w:rFonts w:hint="eastAsia"/>
            </w:rPr>
            <w:instrText xml:space="preserve"> PAGEREF _Toc29183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_Toc15981 </w:instrText>
          </w:r>
          <w:r>
            <w:rPr>
              <w:rFonts w:hint="eastAsia"/>
            </w:rPr>
            <w:fldChar w:fldCharType="separate"/>
          </w:r>
          <w:r>
            <w:rPr>
              <w:rFonts w:hint="eastAsia"/>
            </w:rPr>
            <w:t>七、一般公共预算财政拨款支出决算明细表</w:t>
          </w:r>
          <w:r>
            <w:rPr>
              <w:rFonts w:hint="eastAsia"/>
            </w:rPr>
            <w:tab/>
          </w:r>
          <w:r>
            <w:rPr>
              <w:rFonts w:hint="eastAsia"/>
            </w:rPr>
            <w:fldChar w:fldCharType="begin"/>
          </w:r>
          <w:r>
            <w:rPr>
              <w:rFonts w:hint="eastAsia"/>
            </w:rPr>
            <w:instrText xml:space="preserve"> PAGEREF _Toc15981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_Toc28045 </w:instrText>
          </w:r>
          <w:r>
            <w:rPr>
              <w:rFonts w:hint="eastAsia"/>
            </w:rPr>
            <w:fldChar w:fldCharType="separate"/>
          </w:r>
          <w:r>
            <w:rPr>
              <w:rFonts w:hint="eastAsia"/>
            </w:rPr>
            <w:t>八、一般公共预算财政拨款基本支出决算表</w:t>
          </w:r>
          <w:r>
            <w:rPr>
              <w:rFonts w:hint="eastAsia"/>
            </w:rPr>
            <w:tab/>
          </w:r>
          <w:r>
            <w:rPr>
              <w:rFonts w:hint="eastAsia"/>
            </w:rPr>
            <w:fldChar w:fldCharType="begin"/>
          </w:r>
          <w:r>
            <w:rPr>
              <w:rFonts w:hint="eastAsia"/>
            </w:rPr>
            <w:instrText xml:space="preserve"> PAGEREF _Toc28045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_Toc12509 </w:instrText>
          </w:r>
          <w:r>
            <w:rPr>
              <w:rFonts w:hint="eastAsia"/>
            </w:rPr>
            <w:fldChar w:fldCharType="separate"/>
          </w:r>
          <w:r>
            <w:rPr>
              <w:rFonts w:hint="eastAsia"/>
            </w:rPr>
            <w:t>九、一般公共预算财政拨款项目支出决算表</w:t>
          </w:r>
          <w:r>
            <w:rPr>
              <w:rFonts w:hint="eastAsia"/>
            </w:rPr>
            <w:tab/>
          </w:r>
          <w:r>
            <w:rPr>
              <w:rFonts w:hint="eastAsia"/>
            </w:rPr>
            <w:fldChar w:fldCharType="begin"/>
          </w:r>
          <w:r>
            <w:rPr>
              <w:rFonts w:hint="eastAsia"/>
            </w:rPr>
            <w:instrText xml:space="preserve"> PAGEREF _Toc12509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_Toc2830 </w:instrText>
          </w:r>
          <w:r>
            <w:rPr>
              <w:rFonts w:hint="eastAsia"/>
            </w:rPr>
            <w:fldChar w:fldCharType="separate"/>
          </w:r>
          <w:r>
            <w:rPr>
              <w:rFonts w:hint="eastAsia"/>
            </w:rPr>
            <w:t>十、一般公共预算财政拨款“三公”经费支出决算表</w:t>
          </w:r>
          <w:r>
            <w:rPr>
              <w:rFonts w:hint="eastAsia"/>
            </w:rPr>
            <w:tab/>
          </w:r>
          <w:r>
            <w:rPr>
              <w:rFonts w:hint="eastAsia"/>
            </w:rPr>
            <w:fldChar w:fldCharType="begin"/>
          </w:r>
          <w:r>
            <w:rPr>
              <w:rFonts w:hint="eastAsia"/>
            </w:rPr>
            <w:instrText xml:space="preserve"> PAGEREF _Toc2830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_Toc3466 </w:instrText>
          </w:r>
          <w:r>
            <w:rPr>
              <w:rFonts w:hint="eastAsia"/>
            </w:rPr>
            <w:fldChar w:fldCharType="separate"/>
          </w:r>
          <w:r>
            <w:rPr>
              <w:rFonts w:hint="eastAsia"/>
            </w:rPr>
            <w:t>十一、政府性基金预算财政拨款收入支出决算表</w:t>
          </w:r>
          <w:r>
            <w:rPr>
              <w:rFonts w:hint="eastAsia"/>
            </w:rPr>
            <w:tab/>
          </w:r>
          <w:r>
            <w:rPr>
              <w:rFonts w:hint="eastAsia"/>
            </w:rPr>
            <w:fldChar w:fldCharType="begin"/>
          </w:r>
          <w:r>
            <w:rPr>
              <w:rFonts w:hint="eastAsia"/>
            </w:rPr>
            <w:instrText xml:space="preserve"> PAGEREF _Toc3466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_Toc6811 </w:instrText>
          </w:r>
          <w:r>
            <w:rPr>
              <w:rFonts w:hint="eastAsia"/>
            </w:rPr>
            <w:fldChar w:fldCharType="separate"/>
          </w:r>
          <w:r>
            <w:rPr>
              <w:rFonts w:hint="eastAsia"/>
            </w:rPr>
            <w:t>十二、政府性基金预算财政拨款“三公”经费支出决算表</w:t>
          </w:r>
          <w:r>
            <w:rPr>
              <w:rFonts w:hint="eastAsia"/>
            </w:rPr>
            <w:tab/>
          </w:r>
          <w:r>
            <w:rPr>
              <w:rFonts w:hint="eastAsia"/>
            </w:rPr>
            <w:fldChar w:fldCharType="begin"/>
          </w:r>
          <w:r>
            <w:rPr>
              <w:rFonts w:hint="eastAsia"/>
            </w:rPr>
            <w:instrText xml:space="preserve"> PAGEREF _Toc6811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r>
            <w:rPr>
              <w:rFonts w:hint="eastAsia"/>
            </w:rPr>
            <w:fldChar w:fldCharType="begin"/>
          </w:r>
          <w:r>
            <w:rPr>
              <w:rFonts w:hint="eastAsia"/>
            </w:rPr>
            <w:instrText xml:space="preserve"> HYPERLINK \l _Toc7879 </w:instrText>
          </w:r>
          <w:r>
            <w:rPr>
              <w:rFonts w:hint="eastAsia"/>
            </w:rPr>
            <w:fldChar w:fldCharType="separate"/>
          </w:r>
          <w:r>
            <w:rPr>
              <w:rFonts w:hint="eastAsia"/>
            </w:rPr>
            <w:t>十三、国有资本经营预算支出决算表</w:t>
          </w:r>
          <w:r>
            <w:rPr>
              <w:rFonts w:hint="eastAsia"/>
            </w:rPr>
            <w:tab/>
          </w:r>
          <w:r>
            <w:rPr>
              <w:rFonts w:hint="eastAsia"/>
            </w:rPr>
            <w:fldChar w:fldCharType="begin"/>
          </w:r>
          <w:r>
            <w:rPr>
              <w:rFonts w:hint="eastAsia"/>
            </w:rPr>
            <w:instrText xml:space="preserve"> PAGEREF _Toc7879 </w:instrText>
          </w:r>
          <w:r>
            <w:rPr>
              <w:rFonts w:hint="eastAsia"/>
            </w:rPr>
            <w:fldChar w:fldCharType="separate"/>
          </w:r>
          <w:r>
            <w:rPr>
              <w:rFonts w:hint="eastAsia"/>
            </w:rPr>
            <w:t>45</w:t>
          </w:r>
          <w:r>
            <w:rPr>
              <w:rFonts w:hint="eastAsia"/>
            </w:rPr>
            <w:fldChar w:fldCharType="end"/>
          </w:r>
          <w:r>
            <w:rPr>
              <w:rFonts w:hint="eastAsia"/>
            </w:rPr>
            <w:fldChar w:fldCharType="end"/>
          </w:r>
        </w:p>
        <w:p>
          <w:pPr>
            <w:pStyle w:val="10"/>
            <w:outlineLvl w:val="0"/>
            <w:rPr>
              <w:rFonts w:hint="eastAsia"/>
            </w:rPr>
          </w:pPr>
        </w:p>
        <w:p>
          <w:pPr>
            <w:pStyle w:val="10"/>
            <w:outlineLvl w:val="0"/>
            <w:rPr>
              <w:rFonts w:hint="eastAsia"/>
            </w:rPr>
          </w:pPr>
          <w:r>
            <w:rPr>
              <w:rFonts w:hint="eastAsia"/>
            </w:rPr>
            <w:fldChar w:fldCharType="end"/>
          </w:r>
        </w:p>
      </w:sdtContent>
    </w:sdt>
    <w:p>
      <w:pPr>
        <w:pStyle w:val="10"/>
        <w:outlineLvl w:val="0"/>
        <w:rPr>
          <w:rFonts w:hint="eastAsia"/>
        </w:rPr>
      </w:pPr>
    </w:p>
    <w:p>
      <w:pPr>
        <w:autoSpaceDE w:val="0"/>
        <w:autoSpaceDN w:val="0"/>
        <w:adjustRightInd w:val="0"/>
        <w:ind w:firstLine="1276"/>
        <w:jc w:val="left"/>
        <w:rPr>
          <w:rFonts w:hint="eastAsia" w:ascii="仿宋_GB2312" w:hAnsi="Calibri" w:eastAsia="仿宋_GB2312" w:cs="仿宋_GB2312"/>
          <w:sz w:val="32"/>
          <w:szCs w:val="32"/>
        </w:rPr>
      </w:pPr>
    </w:p>
    <w:p>
      <w:pPr>
        <w:pStyle w:val="2"/>
        <w:jc w:val="center"/>
        <w:rPr>
          <w:rStyle w:val="27"/>
          <w:rFonts w:ascii="黑体" w:hAnsi="黑体" w:eastAsia="黑体"/>
          <w:b/>
          <w:bCs w:val="0"/>
        </w:rPr>
      </w:pPr>
      <w:bookmarkStart w:id="15" w:name="_Toc15396599"/>
      <w:bookmarkStart w:id="16" w:name="_Toc15377196"/>
      <w:bookmarkStart w:id="17" w:name="_Toc18748"/>
      <w:r>
        <w:rPr>
          <w:rFonts w:hint="eastAsia" w:ascii="黑体" w:hAnsi="黑体" w:eastAsia="黑体"/>
          <w:b w:val="0"/>
        </w:rPr>
        <w:t xml:space="preserve">第一部分 </w:t>
      </w:r>
      <w:r>
        <w:rPr>
          <w:rStyle w:val="27"/>
          <w:rFonts w:hint="eastAsia" w:ascii="黑体" w:hAnsi="黑体" w:eastAsia="黑体"/>
          <w:b w:val="0"/>
          <w:bCs w:val="0"/>
        </w:rPr>
        <w:t>部门概况</w:t>
      </w:r>
      <w:bookmarkEnd w:id="15"/>
      <w:bookmarkEnd w:id="16"/>
      <w:bookmarkEnd w:id="17"/>
    </w:p>
    <w:p>
      <w:pPr>
        <w:widowControl/>
        <w:jc w:val="left"/>
        <w:rPr>
          <w:rFonts w:ascii="黑体" w:eastAsia="黑体"/>
          <w:color w:val="000000"/>
          <w:sz w:val="32"/>
          <w:szCs w:val="32"/>
        </w:rPr>
      </w:pPr>
    </w:p>
    <w:p>
      <w:pPr>
        <w:pStyle w:val="3"/>
        <w:numPr>
          <w:ilvl w:val="0"/>
          <w:numId w:val="1"/>
        </w:numPr>
        <w:rPr>
          <w:rStyle w:val="28"/>
          <w:rFonts w:hint="eastAsia" w:ascii="黑体" w:hAnsi="黑体" w:eastAsia="黑体"/>
          <w:b w:val="0"/>
          <w:bCs w:val="0"/>
        </w:rPr>
      </w:pPr>
      <w:bookmarkStart w:id="18" w:name="_Toc15396600"/>
      <w:bookmarkStart w:id="19" w:name="_Toc15377197"/>
      <w:bookmarkStart w:id="20" w:name="_Toc8882"/>
      <w:r>
        <w:rPr>
          <w:rFonts w:hint="eastAsia" w:ascii="黑体" w:hAnsi="黑体" w:eastAsia="黑体"/>
          <w:b w:val="0"/>
          <w:color w:val="000000"/>
        </w:rPr>
        <w:t>基</w:t>
      </w:r>
      <w:r>
        <w:rPr>
          <w:rStyle w:val="28"/>
          <w:rFonts w:hint="eastAsia" w:ascii="黑体" w:hAnsi="黑体" w:eastAsia="黑体"/>
          <w:b w:val="0"/>
          <w:bCs w:val="0"/>
        </w:rPr>
        <w:t>本职能及主要工作</w:t>
      </w:r>
      <w:bookmarkEnd w:id="18"/>
      <w:bookmarkEnd w:id="19"/>
      <w:bookmarkEnd w:id="20"/>
      <w:bookmarkStart w:id="21" w:name="_Toc15377198"/>
      <w:bookmarkStart w:id="22" w:name="_Toc15378445"/>
    </w:p>
    <w:p>
      <w:pPr>
        <w:pStyle w:val="3"/>
        <w:numPr>
          <w:numId w:val="0"/>
        </w:numPr>
        <w:ind w:firstLine="643" w:firstLineChars="200"/>
        <w:rPr>
          <w:rFonts w:hint="eastAsia" w:ascii="仿宋" w:hAnsi="仿宋" w:eastAsia="仿宋"/>
          <w:bCs/>
          <w:color w:val="000000"/>
          <w:sz w:val="32"/>
          <w:szCs w:val="32"/>
        </w:rPr>
      </w:pPr>
      <w:bookmarkStart w:id="23" w:name="_Toc25346"/>
      <w:r>
        <w:rPr>
          <w:rFonts w:hint="eastAsia" w:ascii="仿宋" w:hAnsi="仿宋" w:eastAsia="仿宋"/>
          <w:bCs/>
          <w:color w:val="000000"/>
          <w:sz w:val="32"/>
          <w:szCs w:val="32"/>
        </w:rPr>
        <w:t>（一）主要职能。（职能参照省政府批准的三定方案）</w:t>
      </w:r>
      <w:bookmarkEnd w:id="21"/>
      <w:bookmarkEnd w:id="22"/>
      <w:bookmarkEnd w:id="23"/>
    </w:p>
    <w:p>
      <w:pPr>
        <w:pStyle w:val="5"/>
        <w:adjustRightInd w:val="0"/>
        <w:snapToGrid w:val="0"/>
        <w:spacing w:before="72" w:line="600" w:lineRule="exact"/>
        <w:ind w:firstLine="672" w:firstLineChars="210"/>
        <w:rPr>
          <w:rFonts w:ascii="仿宋_GB2312" w:eastAsia="仿宋_GB2312"/>
          <w:color w:val="000000"/>
          <w:sz w:val="32"/>
          <w:szCs w:val="32"/>
        </w:rPr>
      </w:pPr>
      <w:bookmarkStart w:id="24" w:name="_Toc15396602"/>
      <w:bookmarkStart w:id="25" w:name="_Toc15377204"/>
      <w:r>
        <w:rPr>
          <w:rFonts w:hint="eastAsia" w:ascii="仿宋_GB2312" w:eastAsia="仿宋_GB2312"/>
          <w:color w:val="000000"/>
          <w:sz w:val="32"/>
          <w:szCs w:val="32"/>
        </w:rPr>
        <w:t>根据县委编委会的会议纪要和县教育局三定方案，我局内设3个行政职能股室和9个事业股室。</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办公室    综合协调机关重要政务、事务，负责各类文件的运转和管理工作；负责局党委会、局长碰头会、局长办公会、股长（主任）会和机关干部会等重要会议的组织安排并督办；负责机关档案管理，指导中小学图书室、文书档案室建设与管理；负责教育宣传、文秘工作；组织办理人大代表建议、政协委员提案和编写教育体育年鉴；负责机关干职工计划生育、报刊发行、图书征订工作；负责后勤服务工作；管理机关财产、财务；负责机关住房管理、办公和生活用品的供应及机关住房水电维修、卫生和绿化美化工作；负责机关车辆的调度、管理及文印工作；负责对外接待联络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计财基建规划股    制订全县教育体育经费管理有关规章制度及全县教育事业中长期发展规划，执行中小学收费政策；审批县直学校和各中心校的基本建设规划和预决算，并检查执行情况；指导全县各学校编制各学校和本级教育局经费的年度预决算；检查监控教育系统经费的筹集使用情况；负责全县中小学布局调整和校园建设规划；负责中小学危房改造、校安工程、校舍维修和教师周转房建设；监管教育育系统国有资产；负责本系统会计基础工作的规范化建设，负责教育债务审计化解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人事股    负责中小学校机构编制管理；指导、实施中小学教育人事制度改革；负责中小学教职工的招聘录用、考核奖惩、职务评聘、调配交流、劳资福利和档案管理；负责中小学校长的选拔、任用、培养、培训和考核考察，负责大中专毕业生就业管理、指导与服务；负责事业单位登记管理。</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以下为9个事业股室</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教育股  负责中等职业学校和普通高中的国家助学金的核实、审批、发放工作以及中等职业学校家庭经济困难学生和涉农专业学生免学费工作；负责大学生生源地信用助学贷款审核、报批工作；接受社会各界对学生的资助。</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教师进修校  负责全县教师师德教育；负责全县教师继续教育规划的制定、实施；负责全县教师学历培训；负责教师资格的考核、审查、认定、发证工作；负责全县骨干教师的培训和管理；负责县委、县政府“名师工程”“师德标兵工程”的实施工作；负责对县成人教育中心的业务指导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大中专招生办公室  负责三大国考和全国英语等级考试报考、信息采集及组考、建档工作；负责招生工作；负责普通高校招生、高教自考毕业和全国英语等级考试合格证的办证。</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成人与职工教育股  负责职业教育与成人教育管理；负责制定职成教育事业发展规划；负责农村教育综合改革和农科教统筹，负责职校招生和毕业生跟踪调查、扶持；负责农民工、职工培训和劳动力转移培训；负责公、民办职业学校教学业务管理。</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勤工俭学管理股  负责全县中小学校勤工俭学管理工作；负责全县校办企业的管理与协调工作；负责全县校方责任险投保与管理工作；负责全县中小学校劳动实践场所建设与管理工作。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教义电教站  负责全县教育技术事业发展规划和青少年科技教育规划的制定、实施和目标管理评价；负责全县教育技术装备、管理、运用、研究、指导工作；负责实验教学、信息技术教育、电化教育和农村现代远程教育的管理、指导、评价等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教研室 负责管理全县基础教育工作（幼儿教育、特殊教育、小学、初中、普通高中教育），负责全县教育教学研究工作，负责组织、协调、指导基础教育的教育教学研究和改革工作；负责中小学教材及相关配套用书的审订工作；负责基础教育质量检测和评价工作；负责组织实施中小学学业水平考试及学校的学籍管理工作；负责指导全县中小学的艺术教育、国防教育等工作；负责中小学的德育工作和学校少先队、共青团工作；负责普通高中及城区中小学招生管理工作；负责教育学会日常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安全股  负责全市教育系统各项安全稳定工作，制定各项工作计划、规章制度、工作方案、预案；组织开展学校安全工作大检查，指导学校开展师生安全教育，指导各校加强安全管理，指导各校及时整治各类安全隐患，指导学校法制副校长开展治安、禁毒等法制教育活动，指导学校开展“反邪教”教育活动；密切关注学校安全稳定工作态势，指导、处理校园安全事故及矛盾纠纷；协调各学校与公安、司法、法院、消防、交通、安监、技监、城管、信访等职能部门的关系；负责“安全文明校园”的创建，加强安全教育，狠抓安全管理，营造安全氛围，增强安全意识，确保师生平安，维护教育大局稳定。</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德育股   负责指导全县学校开展德育工作和精神文明建设工作；指导全县学校加强德育工作队伍建设和师德师风建设；负责学生的思想道德教育工作；负责全县乡村学校少年宫工作；开展各种德育评优活动，做好先进班集体、三好学生、优秀学生干部等推荐、审核工作；加强德育工作网络建设，是学校、家庭、社会教育紧密结合；负责指导全县学校校园文化建设工作；协助有关部门做好全县各级各类学校共青团、少先队工作。</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年重点工作完成情况。</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夯实基础教育。完成了把乡镇公办中心园12（所）80%以上达到省定标准。村级幼儿园20%达到省定标准。提高义务教育的整体办学条件和水平，加快义务教育均衡发展。优化普通高中教育资源，提升高中教育办学水平。初步完成壤塘特殊教育服务体系。认真落实国家课程方案，加强课程建设。严格按照国家课程方案组织教学，开齐课程，开足课时。加强校园文化建设，扎实推进特色学校建设工程。</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提高教学质量。做好“一师一优课，一课一名师”活动，推动信息技术和数字教育资源在中小学课堂教学中的合理有效应用和深度融合让其覆盖面更广，参与教师更多，教学水平更高。积极打造一支业务精湛的师资队伍。以“传帮带”的形式继续引领、帮扶、带动全县教师专业技能的提升，整体推进教师的自我专业化成长。强化课题研修。竭力营造一种新型浓郁的教研氛围。指导帮扶一大批教师参与到校本研修和课题研究中来，树立“质量为上，教研为重”的意识，让其由学习型教师向研究型教师转变，助推我县教育教学研究的发展。树立“质量为上”的理念。加强“质量为上”观念的宣传工作，以教学“六认真”为抓手，着力指导、规范、检查和督促该项工作，提高课堂教学实效。以研促教，以教带研，继续努力提升教育教学质量。注重拓展课外阅读。海量阅读不仅有利于学生语文基础知识的掌握和阅读、写作能力的提高，还能助推其它学科的学习，更让孩子终生受益。加强活动指引，提高学生公民素养。继续深入开展“国学诵读”活动、“小手牵大手，共走文明路”等社会实践活动，弘扬社会主义核心价值观，引导学生领悟民族优秀传统文化。</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加大教育投入。积极向上争取，筹措资金不断改善办学条件，加大设施设备投入及使用率。重点抓好寄宿制小学和寄宿制中学建设项目。新建一批了乡中心幼儿园和村级幼儿园。加强教师周转宿舍的建设。按照义务教育学校标准化建设要求，实现校舍均衡配置，全面改善义务教育学校基本办学条件，逐步达到国家基本标准，满足教育教学和生活的基本需要。建立信息化体系，建好“三通”、“两平台”，进一步提高优质教育资源利用率和教育管理信息化水平。为每所学校、幼儿园按照配备标准装备设备仪器。加大教师培训力度，建好师培中心；为保障终身教育，建设一个成人教育中心，促进再教育发展。</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（三）保障措施</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一是全面提高义务教育质量。促进城乡教育均衡发展。全面实施素质教育。加强教师队伍建设。完善教师教育体系，加大教师培训力度；完善教师管理制度，健全学校用人机制；加强“双语”教师的培训和提升。二是全面深化幼儿教育教学工作。创建民族地区幼儿教育教学新模式。加强教职工队伍建设。制定公办幼儿园机构编制和教师配备指导意见，配齐配足幼儿教师。切实加强幼儿教师的培养培训，严格幼儿教师资格标准，园长和教师持证上岗。按照后勤人员配置要求，配齐配足后勤人员，以保证学校后勤工作正常运转。三是全面规范标准化管理。强化寄宿制规范化管理，信息化管理及校园安全网络体系的建设。四是保证资金投入。充分利用好中央资金、国家扶贫连片攻坚计划资金、四川教育十年行动计划资金以及州级资金，在条件成熟时争取县财政自筹资金予以保障。</w:t>
      </w:r>
    </w:p>
    <w:p>
      <w:pPr>
        <w:spacing w:line="600" w:lineRule="exact"/>
        <w:ind w:firstLine="640" w:firstLineChars="200"/>
        <w:rPr>
          <w:rFonts w:hint="eastAsia" w:ascii="黑体" w:eastAsia="黑体"/>
          <w:color w:val="000000"/>
          <w:sz w:val="32"/>
          <w:szCs w:val="32"/>
        </w:rPr>
      </w:pPr>
      <w:r>
        <w:rPr>
          <w:rFonts w:hint="eastAsia" w:ascii="黑体" w:eastAsia="黑体"/>
          <w:color w:val="000000"/>
          <w:sz w:val="32"/>
          <w:szCs w:val="32"/>
        </w:rPr>
        <w:t>部门概况</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壤塘县教育局下属二级单位17个，其中行政单位1个，参照公务员法管理的事业单位0个，其他事业单位16个。</w:t>
      </w:r>
    </w:p>
    <w:p>
      <w:pPr>
        <w:pStyle w:val="2"/>
        <w:ind w:right="440"/>
        <w:jc w:val="right"/>
        <w:rPr>
          <w:rStyle w:val="27"/>
          <w:rFonts w:ascii="黑体" w:hAnsi="黑体" w:eastAsia="黑体"/>
          <w:b w:val="0"/>
          <w:bCs w:val="0"/>
        </w:rPr>
      </w:pPr>
      <w:bookmarkStart w:id="26" w:name="_Toc2347"/>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4"/>
      <w:bookmarkEnd w:id="25"/>
      <w:bookmarkEnd w:id="26"/>
    </w:p>
    <w:p/>
    <w:p>
      <w:pPr>
        <w:pStyle w:val="26"/>
        <w:numPr>
          <w:ilvl w:val="0"/>
          <w:numId w:val="2"/>
        </w:numPr>
        <w:spacing w:line="600" w:lineRule="exact"/>
        <w:ind w:firstLineChars="0"/>
        <w:outlineLvl w:val="1"/>
        <w:rPr>
          <w:rStyle w:val="28"/>
          <w:rFonts w:ascii="黑体" w:hAnsi="黑体" w:eastAsia="黑体"/>
          <w:b w:val="0"/>
        </w:rPr>
      </w:pPr>
      <w:bookmarkStart w:id="27" w:name="_Toc15377205"/>
      <w:bookmarkStart w:id="28" w:name="_Toc15396603"/>
      <w:bookmarkStart w:id="29" w:name="_Toc14799"/>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7"/>
      <w:bookmarkEnd w:id="28"/>
      <w:bookmarkEnd w:id="29"/>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总</w:t>
      </w:r>
      <w:r>
        <w:rPr>
          <w:rFonts w:hint="eastAsia" w:ascii="仿宋" w:hAnsi="仿宋" w:eastAsia="仿宋"/>
          <w:color w:val="000000"/>
          <w:sz w:val="32"/>
          <w:szCs w:val="32"/>
        </w:rPr>
        <w:t>收</w:t>
      </w:r>
      <w:r>
        <w:rPr>
          <w:rFonts w:hint="eastAsia" w:ascii="仿宋" w:hAnsi="仿宋" w:eastAsia="仿宋"/>
          <w:color w:val="000000"/>
          <w:sz w:val="32"/>
          <w:szCs w:val="32"/>
          <w:lang w:eastAsia="zh-CN"/>
        </w:rPr>
        <w:t>入7,547.03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，比</w:t>
      </w:r>
      <w:r>
        <w:rPr>
          <w:rFonts w:hint="eastAsia" w:ascii="仿宋" w:hAnsi="仿宋" w:eastAsia="仿宋"/>
          <w:color w:val="000000"/>
          <w:sz w:val="32"/>
          <w:szCs w:val="32"/>
        </w:rPr>
        <w:t>2018年</w:t>
      </w:r>
      <w:r>
        <w:rPr>
          <w:rFonts w:hint="eastAsia" w:ascii="仿宋" w:hAnsi="仿宋" w:eastAsia="仿宋"/>
          <w:color w:val="000000"/>
          <w:sz w:val="32"/>
          <w:szCs w:val="32"/>
          <w:lang w:eastAsia="zh-CN"/>
        </w:rPr>
        <w:t>收入减少</w:t>
      </w:r>
      <w:r>
        <w:rPr>
          <w:rFonts w:hint="eastAsia" w:ascii="仿宋" w:hAnsi="仿宋" w:eastAsia="仿宋"/>
          <w:color w:val="000000"/>
          <w:sz w:val="32"/>
          <w:szCs w:val="32"/>
          <w:lang w:val="en-US" w:eastAsia="zh-CN"/>
        </w:rPr>
        <w:t>3202.06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29.79</w:t>
      </w:r>
      <w:r>
        <w:rPr>
          <w:rFonts w:ascii="仿宋" w:hAnsi="仿宋" w:eastAsia="仿宋"/>
          <w:color w:val="000000"/>
          <w:sz w:val="32"/>
          <w:szCs w:val="32"/>
        </w:rPr>
        <w:t>%</w:t>
      </w:r>
      <w:r>
        <w:rPr>
          <w:rFonts w:hint="eastAsia" w:ascii="仿宋" w:hAnsi="仿宋" w:eastAsia="仿宋"/>
          <w:color w:val="000000"/>
          <w:sz w:val="32"/>
          <w:szCs w:val="32"/>
        </w:rPr>
        <w:t>。2019年度总</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万元9,318.82</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。与2018年</w:t>
      </w:r>
      <w:r>
        <w:rPr>
          <w:rFonts w:hint="eastAsia" w:ascii="仿宋" w:hAnsi="仿宋" w:eastAsia="仿宋"/>
          <w:color w:val="000000"/>
          <w:sz w:val="32"/>
          <w:szCs w:val="32"/>
          <w:lang w:eastAsia="zh-CN"/>
        </w:rPr>
        <w:t>总支出</w:t>
      </w:r>
      <w:r>
        <w:rPr>
          <w:rFonts w:hint="eastAsia" w:ascii="仿宋" w:hAnsi="仿宋" w:eastAsia="仿宋"/>
          <w:color w:val="000000"/>
          <w:sz w:val="32"/>
          <w:szCs w:val="32"/>
        </w:rPr>
        <w:t>480.25</w:t>
      </w:r>
      <w:r>
        <w:rPr>
          <w:rFonts w:hint="eastAsia" w:ascii="仿宋" w:hAnsi="仿宋" w:eastAsia="仿宋"/>
          <w:color w:val="000000"/>
          <w:sz w:val="32"/>
          <w:szCs w:val="32"/>
          <w:lang w:eastAsia="zh-CN"/>
        </w:rPr>
        <w:t>万元，支出减少</w:t>
      </w:r>
      <w:r>
        <w:rPr>
          <w:rFonts w:hint="eastAsia" w:ascii="仿宋" w:hAnsi="仿宋" w:eastAsia="仿宋"/>
          <w:color w:val="000000"/>
          <w:sz w:val="32"/>
          <w:szCs w:val="32"/>
          <w:lang w:val="en-US" w:eastAsia="zh-CN"/>
        </w:rPr>
        <w:t>794.86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部分专项资金在教育局大中专办公室中支出</w:t>
      </w:r>
      <w:r>
        <w:rPr>
          <w:rFonts w:hint="eastAsia" w:ascii="仿宋" w:hAnsi="仿宋" w:eastAsia="仿宋"/>
          <w:color w:val="000000" w:themeColor="text1"/>
          <w:sz w:val="32"/>
          <w:szCs w:val="32"/>
        </w:rPr>
        <w:t>（图收、支决算总计变动情况图）（柱状图）</w:t>
      </w:r>
    </w:p>
    <w:p>
      <w:pPr>
        <w:spacing w:line="600" w:lineRule="exact"/>
        <w:ind w:firstLine="640" w:firstLineChars="200"/>
        <w:rPr>
          <w:rFonts w:hint="eastAsia" w:ascii="仿宋" w:hAnsi="仿宋" w:eastAsia="仿宋"/>
          <w:color w:val="000000" w:themeColor="text1"/>
          <w:sz w:val="32"/>
          <w:szCs w:val="32"/>
        </w:rPr>
      </w:pPr>
      <w:r>
        <w:rPr>
          <w:rFonts w:hint="eastAsia" w:ascii="仿宋_GB2312" w:eastAsia="仿宋_GB2312"/>
          <w:color w:val="000000"/>
          <w:sz w:val="32"/>
          <w:szCs w:val="32"/>
          <w:lang w:eastAsia="zh-CN"/>
        </w:rPr>
        <w:drawing>
          <wp:anchor distT="0" distB="0" distL="114300" distR="114300" simplePos="0" relativeHeight="251658240" behindDoc="0" locked="0" layoutInCell="1" allowOverlap="1">
            <wp:simplePos x="0" y="0"/>
            <wp:positionH relativeFrom="column">
              <wp:posOffset>367030</wp:posOffset>
            </wp:positionH>
            <wp:positionV relativeFrom="paragraph">
              <wp:posOffset>334645</wp:posOffset>
            </wp:positionV>
            <wp:extent cx="5132070" cy="4467860"/>
            <wp:effectExtent l="4445" t="4445" r="6985" b="2349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pStyle w:val="26"/>
        <w:numPr>
          <w:ilvl w:val="0"/>
          <w:numId w:val="2"/>
        </w:numPr>
        <w:spacing w:line="600" w:lineRule="exact"/>
        <w:ind w:firstLineChars="0"/>
        <w:outlineLvl w:val="1"/>
        <w:rPr>
          <w:rStyle w:val="28"/>
          <w:rFonts w:ascii="黑体" w:hAnsi="黑体" w:eastAsia="黑体"/>
          <w:b w:val="0"/>
        </w:rPr>
      </w:pPr>
      <w:bookmarkStart w:id="30" w:name="_Toc15396604"/>
      <w:bookmarkStart w:id="31" w:name="_Toc15377206"/>
      <w:bookmarkStart w:id="32" w:name="_Toc30008"/>
      <w:r>
        <w:rPr>
          <w:rFonts w:hint="eastAsia" w:ascii="黑体" w:hAnsi="黑体" w:eastAsia="黑体"/>
          <w:color w:val="000000"/>
          <w:sz w:val="32"/>
          <w:szCs w:val="32"/>
        </w:rPr>
        <w:t>收</w:t>
      </w:r>
      <w:r>
        <w:rPr>
          <w:rStyle w:val="28"/>
          <w:rFonts w:hint="eastAsia" w:ascii="黑体" w:hAnsi="黑体" w:eastAsia="黑体"/>
          <w:b w:val="0"/>
        </w:rPr>
        <w:t>入决算情况说明</w:t>
      </w:r>
      <w:bookmarkEnd w:id="30"/>
      <w:bookmarkEnd w:id="31"/>
      <w:bookmarkEnd w:id="32"/>
    </w:p>
    <w:p>
      <w:pPr>
        <w:spacing w:line="600" w:lineRule="exact"/>
        <w:ind w:firstLine="640" w:firstLineChars="200"/>
        <w:outlineLvl w:val="1"/>
        <w:rPr>
          <w:rFonts w:ascii="仿宋" w:hAnsi="仿宋" w:eastAsia="仿宋"/>
          <w:color w:val="000000"/>
          <w:sz w:val="32"/>
          <w:szCs w:val="32"/>
        </w:rPr>
      </w:pPr>
      <w:bookmarkStart w:id="33" w:name="_Toc30443"/>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7547.03</w:t>
      </w:r>
      <w:r>
        <w:rPr>
          <w:rFonts w:hint="eastAsia" w:ascii="仿宋" w:hAnsi="仿宋" w:eastAsia="仿宋"/>
          <w:color w:val="000000"/>
          <w:sz w:val="32"/>
          <w:szCs w:val="32"/>
        </w:rPr>
        <w:t>万元，其中：一般公共预算财政拨款收入7,494.03万元，占</w:t>
      </w:r>
      <w:r>
        <w:rPr>
          <w:rFonts w:hint="eastAsia" w:ascii="仿宋" w:hAnsi="仿宋" w:eastAsia="仿宋"/>
          <w:color w:val="000000"/>
          <w:sz w:val="32"/>
          <w:szCs w:val="32"/>
          <w:lang w:val="en-US" w:eastAsia="zh-CN"/>
        </w:rPr>
        <w:t>99.3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33"/>
    </w:p>
    <w:p>
      <w:pPr>
        <w:spacing w:line="600" w:lineRule="exact"/>
        <w:ind w:firstLine="640" w:firstLineChars="200"/>
        <w:outlineLvl w:val="9"/>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lang w:eastAsia="zh-CN"/>
        </w:rPr>
        <w:drawing>
          <wp:anchor distT="0" distB="0" distL="114300" distR="114300" simplePos="0" relativeHeight="251665408" behindDoc="0" locked="0" layoutInCell="1" allowOverlap="1">
            <wp:simplePos x="0" y="0"/>
            <wp:positionH relativeFrom="column">
              <wp:posOffset>410845</wp:posOffset>
            </wp:positionH>
            <wp:positionV relativeFrom="paragraph">
              <wp:posOffset>281305</wp:posOffset>
            </wp:positionV>
            <wp:extent cx="5080000" cy="2658745"/>
            <wp:effectExtent l="4445" t="4445" r="20955" b="228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lang w:eastAsia="zh-CN"/>
        </w:rPr>
      </w:pPr>
    </w:p>
    <w:p>
      <w:pPr>
        <w:pStyle w:val="26"/>
        <w:numPr>
          <w:ilvl w:val="0"/>
          <w:numId w:val="2"/>
        </w:numPr>
        <w:spacing w:line="600" w:lineRule="exact"/>
        <w:ind w:firstLineChars="0"/>
        <w:outlineLvl w:val="1"/>
        <w:rPr>
          <w:rStyle w:val="28"/>
          <w:rFonts w:ascii="黑体" w:hAnsi="黑体" w:eastAsia="黑体"/>
          <w:b w:val="0"/>
        </w:rPr>
      </w:pPr>
      <w:bookmarkStart w:id="34" w:name="_Toc15377207"/>
      <w:bookmarkStart w:id="35" w:name="_Toc15396605"/>
      <w:bookmarkStart w:id="36" w:name="_Toc16953"/>
      <w:r>
        <w:rPr>
          <w:rFonts w:hint="eastAsia" w:ascii="黑体" w:hAnsi="黑体" w:eastAsia="黑体"/>
          <w:color w:val="000000"/>
          <w:sz w:val="32"/>
          <w:szCs w:val="32"/>
        </w:rPr>
        <w:t>支</w:t>
      </w:r>
      <w:r>
        <w:rPr>
          <w:rStyle w:val="28"/>
          <w:rFonts w:hint="eastAsia" w:ascii="黑体" w:hAnsi="黑体" w:eastAsia="黑体"/>
          <w:b w:val="0"/>
        </w:rPr>
        <w:t>出决算情况说明</w:t>
      </w:r>
      <w:bookmarkEnd w:id="34"/>
      <w:bookmarkEnd w:id="35"/>
      <w:bookmarkEnd w:id="36"/>
    </w:p>
    <w:p>
      <w:pPr>
        <w:spacing w:line="600" w:lineRule="exact"/>
        <w:ind w:firstLine="640" w:firstLineChars="200"/>
        <w:outlineLvl w:val="1"/>
        <w:rPr>
          <w:rFonts w:ascii="仿宋" w:hAnsi="仿宋" w:eastAsia="仿宋"/>
          <w:color w:val="000000"/>
          <w:sz w:val="32"/>
          <w:szCs w:val="32"/>
        </w:rPr>
      </w:pPr>
      <w:bookmarkStart w:id="37" w:name="_Toc27271"/>
      <w:r>
        <w:rPr>
          <w:rFonts w:ascii="仿宋" w:hAnsi="仿宋" w:eastAsia="仿宋"/>
          <w:color w:val="000000"/>
          <w:sz w:val="32"/>
          <w:szCs w:val="32"/>
        </w:rPr>
        <w:t>201</w:t>
      </w:r>
      <w:r>
        <w:rPr>
          <w:rFonts w:hint="eastAsia" w:ascii="仿宋" w:hAnsi="仿宋" w:eastAsia="仿宋"/>
          <w:color w:val="000000"/>
          <w:sz w:val="32"/>
          <w:szCs w:val="32"/>
        </w:rPr>
        <w:t>9年本年支出合计9,318.8</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238.31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2.56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9080.51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97.44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37"/>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lang w:eastAsia="zh-CN"/>
        </w:rPr>
        <w:drawing>
          <wp:anchor distT="0" distB="0" distL="114300" distR="114300" simplePos="0" relativeHeight="251660288" behindDoc="0" locked="0" layoutInCell="1" allowOverlap="1">
            <wp:simplePos x="0" y="0"/>
            <wp:positionH relativeFrom="column">
              <wp:posOffset>402590</wp:posOffset>
            </wp:positionH>
            <wp:positionV relativeFrom="paragraph">
              <wp:posOffset>327025</wp:posOffset>
            </wp:positionV>
            <wp:extent cx="5080000" cy="2900045"/>
            <wp:effectExtent l="4445" t="4445" r="20955" b="1016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8"/>
          <w:rFonts w:ascii="黑体" w:hAnsi="黑体" w:eastAsia="黑体"/>
          <w:b w:val="0"/>
        </w:rPr>
      </w:pPr>
      <w:bookmarkStart w:id="38" w:name="_Toc15396606"/>
      <w:bookmarkStart w:id="39" w:name="_Toc15377208"/>
      <w:bookmarkStart w:id="40" w:name="_Toc8359"/>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8"/>
      <w:bookmarkEnd w:id="39"/>
      <w:bookmarkEnd w:id="4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财政拨款收入</w:t>
      </w:r>
      <w:r>
        <w:rPr>
          <w:rFonts w:hint="eastAsia" w:ascii="仿宋" w:hAnsi="仿宋" w:eastAsia="仿宋"/>
          <w:color w:val="000000"/>
          <w:sz w:val="32"/>
          <w:szCs w:val="32"/>
          <w:lang w:val="en-US" w:eastAsia="zh-CN"/>
        </w:rPr>
        <w:t>7547.03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w:t>
      </w:r>
      <w:r>
        <w:rPr>
          <w:rFonts w:hint="eastAsia" w:ascii="仿宋" w:hAnsi="仿宋" w:eastAsia="仿宋"/>
          <w:color w:val="000000"/>
          <w:sz w:val="32"/>
          <w:szCs w:val="32"/>
          <w:lang w:eastAsia="zh-CN"/>
        </w:rPr>
        <w:t>，</w:t>
      </w:r>
      <w:r>
        <w:rPr>
          <w:rFonts w:hint="eastAsia" w:ascii="仿宋" w:hAnsi="仿宋" w:eastAsia="仿宋"/>
          <w:color w:val="000000"/>
          <w:sz w:val="32"/>
          <w:szCs w:val="32"/>
        </w:rPr>
        <w:t>财政拨款收</w:t>
      </w:r>
      <w:r>
        <w:rPr>
          <w:rFonts w:hint="eastAsia" w:ascii="仿宋" w:hAnsi="仿宋" w:eastAsia="仿宋"/>
          <w:color w:val="000000"/>
          <w:sz w:val="32"/>
          <w:szCs w:val="32"/>
          <w:lang w:eastAsia="zh-CN"/>
        </w:rPr>
        <w:t>入比</w:t>
      </w:r>
      <w:r>
        <w:rPr>
          <w:rFonts w:hint="eastAsia" w:ascii="仿宋" w:hAnsi="仿宋" w:eastAsia="仿宋"/>
          <w:color w:val="000000"/>
          <w:sz w:val="32"/>
          <w:szCs w:val="32"/>
          <w:lang w:val="en-US" w:eastAsia="zh-CN"/>
        </w:rPr>
        <w:t>2018年</w:t>
      </w:r>
      <w:r>
        <w:rPr>
          <w:rFonts w:hint="eastAsia" w:ascii="仿宋" w:hAnsi="仿宋" w:eastAsia="仿宋"/>
          <w:color w:val="000000"/>
          <w:sz w:val="32"/>
          <w:szCs w:val="32"/>
          <w:lang w:eastAsia="zh-CN"/>
        </w:rPr>
        <w:t>收入减少</w:t>
      </w:r>
      <w:r>
        <w:rPr>
          <w:rFonts w:hint="eastAsia" w:ascii="仿宋" w:hAnsi="仿宋" w:eastAsia="仿宋"/>
          <w:color w:val="000000"/>
          <w:sz w:val="32"/>
          <w:szCs w:val="32"/>
          <w:lang w:val="en-US" w:eastAsia="zh-CN"/>
        </w:rPr>
        <w:t>3199.2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财政拨款支出</w:t>
      </w:r>
      <w:r>
        <w:rPr>
          <w:rFonts w:hint="eastAsia" w:ascii="仿宋" w:hAnsi="仿宋" w:eastAsia="仿宋"/>
          <w:color w:val="000000"/>
          <w:sz w:val="32"/>
          <w:szCs w:val="32"/>
          <w:lang w:val="en-US" w:eastAsia="zh-CN"/>
        </w:rPr>
        <w:t>9308.38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805.3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7.96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当年部分项目指标在教育局大中专办公室中支付。</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财</w:t>
      </w:r>
      <w:r>
        <w:rPr>
          <w:rFonts w:hint="eastAsia" w:ascii="仿宋" w:hAnsi="仿宋" w:eastAsia="仿宋"/>
          <w:color w:val="000000" w:themeColor="text1"/>
          <w:sz w:val="32"/>
          <w:szCs w:val="32"/>
          <w:lang w:eastAsia="zh-CN"/>
        </w:rPr>
        <w:drawing>
          <wp:anchor distT="0" distB="0" distL="114300" distR="114300" simplePos="0" relativeHeight="251661312" behindDoc="0" locked="0" layoutInCell="1" allowOverlap="1">
            <wp:simplePos x="0" y="0"/>
            <wp:positionH relativeFrom="column">
              <wp:posOffset>402590</wp:posOffset>
            </wp:positionH>
            <wp:positionV relativeFrom="paragraph">
              <wp:posOffset>156845</wp:posOffset>
            </wp:positionV>
            <wp:extent cx="5156835" cy="2484120"/>
            <wp:effectExtent l="4445" t="4445" r="20320" b="698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41" w:name="_Toc15377209"/>
      <w:bookmarkStart w:id="42" w:name="_Toc15396607"/>
      <w:bookmarkStart w:id="43" w:name="_Toc18461"/>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1"/>
      <w:bookmarkEnd w:id="42"/>
      <w:bookmarkEnd w:id="43"/>
    </w:p>
    <w:p>
      <w:pPr>
        <w:spacing w:line="600" w:lineRule="exact"/>
        <w:ind w:firstLine="643" w:firstLineChars="200"/>
        <w:outlineLvl w:val="2"/>
        <w:rPr>
          <w:rFonts w:ascii="仿宋" w:hAnsi="仿宋" w:eastAsia="仿宋"/>
          <w:b/>
          <w:color w:val="000000"/>
          <w:sz w:val="32"/>
          <w:szCs w:val="32"/>
        </w:rPr>
      </w:pPr>
      <w:bookmarkStart w:id="44" w:name="_Toc15377210"/>
      <w:r>
        <w:rPr>
          <w:rFonts w:hint="eastAsia" w:ascii="仿宋" w:hAnsi="仿宋" w:eastAsia="仿宋"/>
          <w:b/>
          <w:color w:val="000000"/>
          <w:sz w:val="32"/>
          <w:szCs w:val="32"/>
        </w:rPr>
        <w:t>（一）一般公共预算财政拨款支出决算总体情况</w:t>
      </w:r>
      <w:bookmarkEnd w:id="4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9308.38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w:t>
      </w:r>
      <w:r>
        <w:rPr>
          <w:rFonts w:hint="eastAsia" w:ascii="仿宋" w:hAnsi="仿宋" w:eastAsia="仿宋"/>
          <w:color w:val="000000"/>
          <w:sz w:val="32"/>
          <w:szCs w:val="32"/>
          <w:lang w:val="en-US" w:eastAsia="zh-CN"/>
        </w:rPr>
        <w:t>805.3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8.65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当年部分项目指标在教育局大中专办公室中支付。</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lang w:eastAsia="zh-CN"/>
        </w:rPr>
        <w:drawing>
          <wp:anchor distT="0" distB="0" distL="114300" distR="114300" simplePos="0" relativeHeight="251662336" behindDoc="0" locked="0" layoutInCell="1" allowOverlap="1">
            <wp:simplePos x="0" y="0"/>
            <wp:positionH relativeFrom="column">
              <wp:posOffset>410845</wp:posOffset>
            </wp:positionH>
            <wp:positionV relativeFrom="paragraph">
              <wp:posOffset>282575</wp:posOffset>
            </wp:positionV>
            <wp:extent cx="4431665" cy="3065145"/>
            <wp:effectExtent l="4445" t="5080" r="21590" b="1587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45" w:name="_Toc15377211"/>
      <w:r>
        <w:rPr>
          <w:rFonts w:hint="eastAsia" w:ascii="仿宋" w:hAnsi="仿宋" w:eastAsia="仿宋"/>
          <w:b/>
          <w:color w:val="000000"/>
          <w:sz w:val="32"/>
          <w:szCs w:val="32"/>
        </w:rPr>
        <w:t>（二）一般公共预算财政拨款支出决算结构情况</w:t>
      </w:r>
      <w:bookmarkEnd w:id="4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9308.37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w:t>
      </w:r>
      <w:r>
        <w:rPr>
          <w:rFonts w:hint="eastAsia" w:ascii="仿宋" w:hAnsi="仿宋" w:eastAsia="仿宋"/>
          <w:b/>
          <w:color w:val="000000" w:themeColor="text1"/>
          <w:sz w:val="32"/>
          <w:szCs w:val="32"/>
          <w:lang w:val="en-US" w:eastAsia="zh-CN"/>
        </w:rPr>
        <w:t>201</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2.77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0.03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w:t>
      </w:r>
      <w:r>
        <w:rPr>
          <w:rFonts w:hint="eastAsia" w:ascii="仿宋" w:hAnsi="仿宋" w:eastAsia="仿宋"/>
          <w:b/>
          <w:color w:val="000000" w:themeColor="text1"/>
          <w:sz w:val="32"/>
          <w:szCs w:val="32"/>
          <w:lang w:val="en-US" w:eastAsia="zh-CN"/>
        </w:rPr>
        <w:t>205</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lang w:val="en-US" w:eastAsia="zh-CN"/>
        </w:rPr>
        <w:t>9007.32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96.77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w:t>
      </w:r>
      <w:r>
        <w:rPr>
          <w:rFonts w:hint="eastAsia" w:ascii="仿宋" w:hAnsi="仿宋" w:eastAsia="仿宋"/>
          <w:b/>
          <w:color w:val="000000" w:themeColor="text1"/>
          <w:sz w:val="32"/>
          <w:szCs w:val="32"/>
          <w:lang w:val="en-US" w:eastAsia="zh-CN"/>
        </w:rPr>
        <w:t>206</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w:t>
      </w:r>
      <w:r>
        <w:rPr>
          <w:rFonts w:hint="eastAsia" w:ascii="仿宋" w:hAnsi="仿宋" w:eastAsia="仿宋"/>
          <w:b/>
          <w:bCs/>
          <w:color w:val="000000" w:themeColor="text1"/>
          <w:sz w:val="32"/>
          <w:szCs w:val="32"/>
          <w:lang w:val="en-US" w:eastAsia="zh-CN"/>
        </w:rPr>
        <w:t>207</w:t>
      </w:r>
      <w:r>
        <w:rPr>
          <w:rFonts w:hint="eastAsia" w:ascii="仿宋" w:hAnsi="仿宋" w:eastAsia="仿宋"/>
          <w:b/>
          <w:bCs/>
          <w:color w:val="000000" w:themeColor="text1"/>
          <w:sz w:val="32"/>
          <w:szCs w:val="32"/>
        </w:rPr>
        <w:t>类）支出</w:t>
      </w:r>
      <w:r>
        <w:rPr>
          <w:rFonts w:hint="eastAsia" w:ascii="仿宋" w:hAnsi="仿宋" w:eastAsia="仿宋"/>
          <w:b/>
          <w:bCs/>
          <w:color w:val="000000" w:themeColor="text1"/>
          <w:sz w:val="32"/>
          <w:szCs w:val="32"/>
          <w:lang w:val="en-US" w:eastAsia="zh-CN"/>
        </w:rPr>
        <w:t>2.34</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0.03</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18.14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6.12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0.07</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出</w:t>
      </w:r>
      <w:r>
        <w:rPr>
          <w:rFonts w:hint="eastAsia" w:ascii="仿宋" w:hAnsi="仿宋" w:eastAsia="仿宋"/>
          <w:color w:val="000000" w:themeColor="text1"/>
          <w:sz w:val="32"/>
          <w:szCs w:val="32"/>
          <w:lang w:val="en-US" w:eastAsia="zh-CN"/>
        </w:rPr>
        <w:t>12.6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0.14</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农林水支出</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213</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出</w:t>
      </w:r>
      <w:r>
        <w:rPr>
          <w:rFonts w:hint="eastAsia" w:ascii="仿宋" w:hAnsi="仿宋" w:eastAsia="仿宋"/>
          <w:color w:val="000000" w:themeColor="text1"/>
          <w:sz w:val="32"/>
          <w:szCs w:val="32"/>
          <w:lang w:val="en-US" w:eastAsia="zh-CN"/>
        </w:rPr>
        <w:t>210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2.26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255905</wp:posOffset>
            </wp:positionH>
            <wp:positionV relativeFrom="paragraph">
              <wp:posOffset>3810</wp:posOffset>
            </wp:positionV>
            <wp:extent cx="4698365" cy="2962910"/>
            <wp:effectExtent l="4445" t="4445" r="21590" b="2349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46" w:name="_Toc15377212"/>
      <w:r>
        <w:rPr>
          <w:rFonts w:hint="eastAsia" w:ascii="仿宋" w:hAnsi="仿宋" w:eastAsia="仿宋"/>
          <w:b/>
          <w:color w:val="000000"/>
          <w:sz w:val="32"/>
          <w:szCs w:val="32"/>
        </w:rPr>
        <w:t>（三）一般公共预算财政拨款支出决算具体情况</w:t>
      </w:r>
      <w:bookmarkEnd w:id="46"/>
    </w:p>
    <w:p>
      <w:pPr>
        <w:spacing w:line="600" w:lineRule="exact"/>
        <w:ind w:firstLine="643" w:firstLineChars="200"/>
        <w:outlineLvl w:val="2"/>
        <w:rPr>
          <w:rFonts w:ascii="仿宋" w:hAnsi="仿宋" w:eastAsia="仿宋"/>
          <w:color w:val="FF0000"/>
          <w:sz w:val="32"/>
          <w:szCs w:val="32"/>
        </w:rPr>
      </w:pPr>
      <w:bookmarkStart w:id="47" w:name="_Toc15378460"/>
      <w:bookmarkStart w:id="48" w:name="_Toc15377213"/>
      <w:bookmarkStart w:id="49" w:name="_Toc15377444"/>
      <w:r>
        <w:rPr>
          <w:rFonts w:hint="eastAsia" w:ascii="仿宋" w:hAnsi="仿宋" w:eastAsia="仿宋"/>
          <w:b/>
          <w:color w:val="000000" w:themeColor="text1"/>
          <w:sz w:val="32"/>
          <w:szCs w:val="32"/>
        </w:rPr>
        <w:t>2019年般公共预算支出决算数为</w:t>
      </w:r>
      <w:r>
        <w:rPr>
          <w:rFonts w:hint="eastAsia" w:ascii="仿宋" w:hAnsi="仿宋" w:eastAsia="仿宋"/>
          <w:color w:val="000000" w:themeColor="text1"/>
          <w:sz w:val="32"/>
          <w:szCs w:val="32"/>
          <w:lang w:val="en-US" w:eastAsia="zh-CN"/>
        </w:rPr>
        <w:t>9308.37万元</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47"/>
      <w:bookmarkEnd w:id="48"/>
      <w:bookmarkEnd w:id="49"/>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32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2.77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3" w:firstLineChars="200"/>
        <w:rPr>
          <w:rStyle w:val="16"/>
          <w:rFonts w:hint="eastAsia" w:ascii="仿宋" w:hAnsi="仿宋" w:eastAsia="仿宋"/>
          <w:b w:val="0"/>
          <w:bCs/>
          <w:color w:val="000000"/>
          <w:sz w:val="32"/>
          <w:szCs w:val="32"/>
          <w:lang w:eastAsia="zh-CN"/>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w:t>
      </w:r>
      <w:r>
        <w:rPr>
          <w:rStyle w:val="16"/>
          <w:rFonts w:hint="eastAsia" w:ascii="仿宋" w:hAnsi="仿宋" w:eastAsia="仿宋"/>
          <w:bCs/>
          <w:color w:val="000000"/>
          <w:sz w:val="32"/>
          <w:szCs w:val="32"/>
          <w:lang w:val="en-US" w:eastAsia="zh-CN"/>
        </w:rPr>
        <w:t>1</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169.08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8.25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794.06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支出决算为369.54万元，完成预算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03</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321.67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04</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56.87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39.16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39.16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4883.44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03</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3.54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07</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61.35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1260.69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科学技术</w:t>
      </w:r>
      <w:r>
        <w:rPr>
          <w:rStyle w:val="16"/>
          <w:rFonts w:hint="eastAsia" w:ascii="仿宋" w:hAnsi="仿宋" w:eastAsia="仿宋"/>
          <w:bCs/>
          <w:color w:val="000000"/>
          <w:sz w:val="32"/>
          <w:szCs w:val="32"/>
          <w:lang w:val="en-US" w:eastAsia="zh-CN"/>
        </w:rPr>
        <w:t>206</w:t>
      </w:r>
      <w:r>
        <w:rPr>
          <w:rStyle w:val="16"/>
          <w:rFonts w:hint="eastAsia" w:ascii="仿宋" w:hAnsi="仿宋" w:eastAsia="仿宋"/>
          <w:bCs/>
          <w:color w:val="000000"/>
          <w:sz w:val="32"/>
          <w:szCs w:val="32"/>
        </w:rPr>
        <w:t>（类）（款）</w:t>
      </w:r>
      <w:r>
        <w:rPr>
          <w:rStyle w:val="16"/>
          <w:rFonts w:hint="eastAsia" w:ascii="仿宋" w:hAnsi="仿宋" w:eastAsia="仿宋"/>
          <w:bCs/>
          <w:color w:val="000000"/>
          <w:sz w:val="32"/>
          <w:szCs w:val="32"/>
          <w:lang w:eastAsia="zh-CN"/>
        </w:rPr>
        <w:t>（</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3" w:firstLineChars="200"/>
        <w:rPr>
          <w:rStyle w:val="16"/>
          <w:rFonts w:hint="eastAsia" w:ascii="仿宋" w:hAnsi="仿宋" w:eastAsia="仿宋"/>
          <w:b w:val="0"/>
          <w:bCs/>
          <w:color w:val="000000"/>
          <w:sz w:val="32"/>
          <w:szCs w:val="32"/>
          <w:lang w:val="en-US" w:eastAsia="zh-CN"/>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文化旅游体育与传媒</w:t>
      </w:r>
      <w:r>
        <w:rPr>
          <w:rStyle w:val="16"/>
          <w:rFonts w:hint="eastAsia" w:ascii="仿宋" w:hAnsi="仿宋" w:eastAsia="仿宋"/>
          <w:bCs/>
          <w:color w:val="000000"/>
          <w:sz w:val="32"/>
          <w:szCs w:val="32"/>
          <w:lang w:val="en-US" w:eastAsia="zh-CN"/>
        </w:rPr>
        <w:t>207</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lang w:eastAsia="zh-CN"/>
        </w:rPr>
        <w:t>（</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2.34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w:t>
      </w:r>
      <w:r>
        <w:rPr>
          <w:rStyle w:val="16"/>
          <w:rFonts w:hint="eastAsia" w:ascii="仿宋" w:hAnsi="仿宋" w:eastAsia="仿宋"/>
          <w:b w:val="0"/>
          <w:bCs/>
          <w:color w:val="000000"/>
          <w:sz w:val="32"/>
          <w:szCs w:val="32"/>
          <w:lang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p>
    <w:p>
      <w:pPr>
        <w:spacing w:line="600" w:lineRule="exact"/>
        <w:ind w:firstLine="643" w:firstLineChars="200"/>
        <w:rPr>
          <w:rFonts w:hint="eastAsia" w:ascii="仿宋" w:hAnsi="仿宋" w:eastAsia="仿宋"/>
          <w:b/>
          <w:color w:val="000000"/>
          <w:sz w:val="32"/>
          <w:szCs w:val="32"/>
          <w:lang w:eastAsia="zh-CN"/>
        </w:rPr>
      </w:pPr>
      <w:r>
        <w:rPr>
          <w:rStyle w:val="16"/>
          <w:rFonts w:ascii="仿宋" w:hAnsi="仿宋" w:eastAsia="仿宋"/>
          <w:bCs/>
          <w:color w:val="000000"/>
          <w:sz w:val="32"/>
          <w:szCs w:val="32"/>
        </w:rPr>
        <w:t>5.</w:t>
      </w:r>
      <w:r>
        <w:rPr>
          <w:rStyle w:val="16"/>
          <w:rFonts w:hint="eastAsia" w:ascii="仿宋" w:hAnsi="仿宋" w:eastAsia="仿宋"/>
          <w:bCs/>
          <w:color w:val="000000"/>
          <w:sz w:val="32"/>
          <w:szCs w:val="32"/>
        </w:rPr>
        <w:t>社会保障和就业</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0</w:t>
      </w:r>
      <w:r>
        <w:rPr>
          <w:rStyle w:val="16"/>
          <w:rFonts w:hint="eastAsia" w:ascii="仿宋" w:hAnsi="仿宋" w:eastAsia="仿宋"/>
          <w:bCs/>
          <w:color w:val="000000"/>
          <w:sz w:val="32"/>
          <w:szCs w:val="32"/>
          <w:lang w:val="en-US" w:eastAsia="zh-CN"/>
        </w:rPr>
        <w:t>5</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15.12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社会保障和就业</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0</w:t>
      </w:r>
      <w:r>
        <w:rPr>
          <w:rStyle w:val="16"/>
          <w:rFonts w:hint="eastAsia" w:ascii="仿宋" w:hAnsi="仿宋" w:eastAsia="仿宋"/>
          <w:bCs/>
          <w:color w:val="000000"/>
          <w:sz w:val="32"/>
          <w:szCs w:val="32"/>
          <w:lang w:val="en-US" w:eastAsia="zh-CN"/>
        </w:rPr>
        <w:t>6</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3.02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p>
    <w:p>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210</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0</w:t>
      </w:r>
      <w:r>
        <w:rPr>
          <w:rStyle w:val="16"/>
          <w:rFonts w:hint="eastAsia" w:ascii="仿宋" w:hAnsi="仿宋" w:eastAsia="仿宋"/>
          <w:bCs/>
          <w:color w:val="000000"/>
          <w:sz w:val="32"/>
          <w:szCs w:val="32"/>
          <w:lang w:val="en-US" w:eastAsia="zh-CN"/>
        </w:rPr>
        <w:t>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6.12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0" w:firstLineChars="200"/>
        <w:rPr>
          <w:rStyle w:val="16"/>
          <w:rFonts w:hint="eastAsia" w:ascii="仿宋" w:hAnsi="仿宋" w:eastAsia="仿宋"/>
          <w:b w:val="0"/>
          <w:bCs/>
          <w:color w:val="000000"/>
          <w:sz w:val="32"/>
          <w:szCs w:val="32"/>
          <w:lang w:val="en-US" w:eastAsia="zh-CN"/>
        </w:rPr>
      </w:pPr>
      <w:r>
        <w:rPr>
          <w:rStyle w:val="16"/>
          <w:rFonts w:hint="eastAsia" w:ascii="仿宋" w:hAnsi="仿宋" w:eastAsia="仿宋"/>
          <w:b w:val="0"/>
          <w:bCs/>
          <w:color w:val="000000"/>
          <w:sz w:val="32"/>
          <w:szCs w:val="32"/>
          <w:lang w:val="en-US" w:eastAsia="zh-CN"/>
        </w:rPr>
        <w:t>7.</w:t>
      </w:r>
      <w:r>
        <w:rPr>
          <w:rStyle w:val="16"/>
          <w:rFonts w:hint="eastAsia" w:ascii="仿宋" w:hAnsi="仿宋" w:eastAsia="仿宋"/>
          <w:b/>
          <w:bCs w:val="0"/>
          <w:color w:val="000000"/>
          <w:sz w:val="32"/>
          <w:szCs w:val="32"/>
          <w:lang w:val="en-US" w:eastAsia="zh-CN"/>
        </w:rPr>
        <w:t>农林水</w:t>
      </w:r>
      <w:r>
        <w:rPr>
          <w:rStyle w:val="16"/>
          <w:rFonts w:hint="eastAsia" w:ascii="仿宋" w:hAnsi="仿宋" w:eastAsia="仿宋"/>
          <w:bCs/>
          <w:color w:val="000000"/>
          <w:sz w:val="32"/>
          <w:szCs w:val="32"/>
          <w:lang w:val="en-US" w:eastAsia="zh-CN"/>
        </w:rPr>
        <w:t>213（</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210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8</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221</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8"/>
        </w:rPr>
      </w:pPr>
      <w:bookmarkStart w:id="50" w:name="_Toc15396608"/>
      <w:bookmarkStart w:id="51" w:name="_Toc15377214"/>
      <w:bookmarkStart w:id="52" w:name="_Toc1213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0"/>
      <w:bookmarkEnd w:id="51"/>
      <w:bookmarkEnd w:id="52"/>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9259.29</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217.36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20.96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w:t>
      </w:r>
      <w:bookmarkStart w:id="167" w:name="_GoBack"/>
      <w:bookmarkEnd w:id="167"/>
      <w:r>
        <w:rPr>
          <w:rFonts w:hint="eastAsia" w:ascii="仿宋" w:hAnsi="仿宋" w:eastAsia="仿宋"/>
          <w:color w:val="000000"/>
          <w:sz w:val="32"/>
          <w:szCs w:val="32"/>
        </w:rPr>
        <w:t>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rPr>
      </w:pPr>
      <w:bookmarkStart w:id="53" w:name="_Toc15396609"/>
      <w:bookmarkStart w:id="54" w:name="_Toc15377215"/>
      <w:bookmarkStart w:id="55" w:name="_Toc2838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53"/>
      <w:bookmarkEnd w:id="54"/>
      <w:bookmarkEnd w:id="55"/>
    </w:p>
    <w:p>
      <w:pPr>
        <w:spacing w:line="600" w:lineRule="exact"/>
        <w:ind w:firstLine="640"/>
        <w:outlineLvl w:val="2"/>
        <w:rPr>
          <w:rFonts w:ascii="仿宋" w:hAnsi="仿宋" w:eastAsia="仿宋"/>
          <w:b/>
          <w:color w:val="000000"/>
          <w:sz w:val="32"/>
          <w:szCs w:val="32"/>
        </w:rPr>
      </w:pPr>
      <w:bookmarkStart w:id="56" w:name="_Toc15377216"/>
      <w:r>
        <w:rPr>
          <w:rFonts w:hint="eastAsia" w:ascii="仿宋" w:hAnsi="仿宋" w:eastAsia="仿宋"/>
          <w:b/>
          <w:color w:val="000000"/>
          <w:sz w:val="32"/>
          <w:szCs w:val="32"/>
        </w:rPr>
        <w:t>（一）“三公”经费财政拨款支出决算总体情况说明</w:t>
      </w:r>
      <w:bookmarkEnd w:id="5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14.62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57" w:name="_Toc15377217"/>
      <w:r>
        <w:rPr>
          <w:rFonts w:hint="eastAsia" w:ascii="仿宋" w:hAnsi="仿宋" w:eastAsia="仿宋"/>
          <w:b/>
          <w:color w:val="000000"/>
          <w:sz w:val="32"/>
          <w:szCs w:val="32"/>
        </w:rPr>
        <w:t>（二）“三公”经费财政拨款支出决算具体情况说明</w:t>
      </w:r>
      <w:bookmarkEnd w:id="5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13.41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91.72</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8.28</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410845</wp:posOffset>
            </wp:positionH>
            <wp:positionV relativeFrom="paragraph">
              <wp:posOffset>-2186305</wp:posOffset>
            </wp:positionV>
            <wp:extent cx="3728720" cy="2468245"/>
            <wp:effectExtent l="4445" t="4445" r="19685" b="2286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13.41</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w:t>
      </w:r>
      <w:r>
        <w:rPr>
          <w:rStyle w:val="16"/>
          <w:rFonts w:hint="eastAsia" w:ascii="仿宋" w:hAnsi="仿宋" w:eastAsia="仿宋"/>
          <w:b w:val="0"/>
          <w:bCs/>
          <w:color w:val="000000"/>
          <w:sz w:val="32"/>
          <w:szCs w:val="32"/>
          <w:lang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12.29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100.97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当年车辆维修及出差和下乡次数增加。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13.41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下乡和出差</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1.12</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0.98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700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当年压缩当年公务接待费。</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1.21</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120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1.21</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9"/>
        <w:rPr>
          <w:rFonts w:ascii="黑体" w:eastAsia="黑体"/>
          <w:color w:val="000000"/>
          <w:sz w:val="32"/>
          <w:szCs w:val="32"/>
        </w:rPr>
      </w:pPr>
      <w:bookmarkStart w:id="58" w:name="_Toc15396610"/>
      <w:bookmarkStart w:id="59" w:name="_Toc15377218"/>
    </w:p>
    <w:p>
      <w:pPr>
        <w:spacing w:line="600" w:lineRule="exact"/>
        <w:ind w:firstLine="640"/>
        <w:outlineLvl w:val="1"/>
        <w:rPr>
          <w:rStyle w:val="28"/>
          <w:rFonts w:ascii="黑体" w:hAnsi="黑体" w:eastAsia="黑体"/>
        </w:rPr>
      </w:pPr>
      <w:bookmarkStart w:id="60" w:name="_Toc25877"/>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58"/>
      <w:bookmarkEnd w:id="59"/>
      <w:bookmarkEnd w:id="6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10.07</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8"/>
          <w:rFonts w:ascii="黑体" w:hAnsi="黑体" w:eastAsia="黑体"/>
          <w:b w:val="0"/>
        </w:rPr>
      </w:pPr>
      <w:bookmarkStart w:id="61" w:name="_Toc15396611"/>
      <w:bookmarkStart w:id="62" w:name="_Toc15377219"/>
      <w:bookmarkStart w:id="63" w:name="_Toc26273"/>
      <w:r>
        <w:rPr>
          <w:rStyle w:val="28"/>
          <w:rFonts w:hint="eastAsia" w:ascii="黑体" w:hAnsi="黑体" w:eastAsia="黑体"/>
          <w:b w:val="0"/>
        </w:rPr>
        <w:t>国有资本经营预算支出决算情况说明</w:t>
      </w:r>
      <w:bookmarkEnd w:id="61"/>
      <w:bookmarkEnd w:id="62"/>
      <w:bookmarkEnd w:id="6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8"/>
          <w:rFonts w:ascii="黑体" w:hAnsi="黑体" w:eastAsia="黑体"/>
        </w:rPr>
      </w:pPr>
      <w:bookmarkStart w:id="64" w:name="_Toc15396612"/>
      <w:bookmarkStart w:id="65" w:name="_Toc15377221"/>
      <w:bookmarkStart w:id="66" w:name="_Toc28596"/>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64"/>
      <w:bookmarkEnd w:id="65"/>
      <w:bookmarkEnd w:id="66"/>
    </w:p>
    <w:p>
      <w:pPr>
        <w:spacing w:line="600" w:lineRule="exact"/>
        <w:ind w:firstLine="643" w:firstLineChars="200"/>
        <w:outlineLvl w:val="2"/>
        <w:rPr>
          <w:rFonts w:ascii="仿宋" w:hAnsi="仿宋" w:eastAsia="仿宋"/>
          <w:color w:val="000000"/>
          <w:sz w:val="32"/>
          <w:szCs w:val="32"/>
        </w:rPr>
      </w:pPr>
      <w:bookmarkStart w:id="67" w:name="_Toc15377222"/>
      <w:r>
        <w:rPr>
          <w:rFonts w:hint="eastAsia" w:ascii="仿宋" w:hAnsi="仿宋" w:eastAsia="仿宋"/>
          <w:b/>
          <w:color w:val="000000"/>
          <w:sz w:val="32"/>
          <w:szCs w:val="32"/>
        </w:rPr>
        <w:t>（一）机关运行经费支出情况</w:t>
      </w:r>
      <w:bookmarkEnd w:id="67"/>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壤塘县教育局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20.96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3.68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压缩支出。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8" w:name="_Toc15377223"/>
      <w:r>
        <w:rPr>
          <w:rFonts w:hint="eastAsia" w:ascii="仿宋" w:hAnsi="仿宋" w:eastAsia="仿宋"/>
          <w:b/>
          <w:color w:val="000000"/>
          <w:sz w:val="32"/>
          <w:szCs w:val="32"/>
        </w:rPr>
        <w:t>（二）政府采购支出情况</w:t>
      </w:r>
      <w:bookmarkEnd w:id="6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壤塘县教育局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706.79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706.79</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FF0000"/>
          <w:sz w:val="32"/>
          <w:szCs w:val="32"/>
        </w:rPr>
      </w:pPr>
      <w:bookmarkStart w:id="69" w:name="_Toc15377224"/>
      <w:r>
        <w:rPr>
          <w:rFonts w:hint="eastAsia" w:ascii="仿宋" w:hAnsi="仿宋" w:eastAsia="仿宋"/>
          <w:b/>
          <w:color w:val="000000"/>
          <w:sz w:val="32"/>
          <w:szCs w:val="32"/>
        </w:rPr>
        <w:t>（三）国有资产占有使用情况</w:t>
      </w:r>
      <w:bookmarkEnd w:id="69"/>
    </w:p>
    <w:p>
      <w:pPr>
        <w:autoSpaceDE w:val="0"/>
        <w:autoSpaceDN w:val="0"/>
        <w:adjustRightInd w:val="0"/>
        <w:spacing w:line="600" w:lineRule="exact"/>
        <w:ind w:firstLine="640" w:firstLineChars="200"/>
        <w:jc w:val="left"/>
        <w:rPr>
          <w:rFonts w:ascii="仿宋" w:hAnsi="仿宋" w:eastAsia="仿宋"/>
          <w:b/>
          <w:color w:val="auto"/>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壤塘县教育局</w:t>
      </w:r>
      <w:r>
        <w:rPr>
          <w:rFonts w:hint="eastAsia" w:ascii="仿宋_GB2312" w:eastAsia="仿宋_GB2312"/>
          <w:color w:val="000000"/>
          <w:sz w:val="32"/>
          <w:szCs w:val="32"/>
        </w:rPr>
        <w:t>机关共有车辆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辆、其他用车辆……</w:t>
      </w:r>
      <w:r>
        <w:rPr>
          <w:rFonts w:hint="eastAsia" w:ascii="仿宋_GB2312" w:eastAsia="仿宋_GB2312"/>
          <w:color w:val="000000" w:themeColor="text1"/>
          <w:sz w:val="32"/>
          <w:szCs w:val="32"/>
        </w:rPr>
        <w:t>其他用车主要是用于</w:t>
      </w:r>
      <w:r>
        <w:rPr>
          <w:rFonts w:hint="eastAsia" w:ascii="仿宋_GB2312" w:eastAsia="仿宋_GB2312"/>
          <w:color w:val="000000"/>
          <w:sz w:val="32"/>
          <w:szCs w:val="32"/>
          <w:lang w:val="en-US" w:eastAsia="zh-CN"/>
        </w:rPr>
        <w:t>壤塘县教育局</w:t>
      </w:r>
      <w:r>
        <w:rPr>
          <w:rFonts w:hint="eastAsia" w:ascii="仿宋_GB2312" w:eastAsia="仿宋_GB2312"/>
          <w:color w:val="000000"/>
          <w:sz w:val="32"/>
          <w:szCs w:val="32"/>
        </w:rPr>
        <w:t>机关</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w:t>
      </w:r>
      <w:r>
        <w:rPr>
          <w:rFonts w:hint="eastAsia" w:ascii="仿宋_GB2312" w:eastAsia="仿宋_GB2312"/>
          <w:color w:val="auto"/>
          <w:sz w:val="32"/>
          <w:szCs w:val="32"/>
        </w:rPr>
        <w:t>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eastAsia="zh-CN"/>
        </w:rPr>
        <w:t>0</w:t>
      </w:r>
      <w:r>
        <w:rPr>
          <w:rFonts w:hint="eastAsia" w:ascii="仿宋_GB2312" w:eastAsia="仿宋_GB2312"/>
          <w:color w:val="auto"/>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0" w:name="_Toc54610971"/>
      <w:bookmarkStart w:id="71" w:name="_Toc15396618"/>
      <w:bookmarkStart w:id="72" w:name="_Toc15377226"/>
      <w:r>
        <w:rPr>
          <w:rFonts w:hint="eastAsia" w:ascii="仿宋" w:hAnsi="仿宋" w:eastAsia="仿宋"/>
          <w:b/>
          <w:color w:val="000000"/>
          <w:sz w:val="32"/>
          <w:szCs w:val="32"/>
        </w:rPr>
        <w:t>（四）预算绩效管理情况。</w:t>
      </w:r>
      <w:bookmarkEnd w:id="7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根据预算绩效管理要求，本部门（单位）在年初预算编制阶段，组织对农村义务教育学生营养改善项目</w:t>
      </w:r>
      <w:r>
        <w:rPr>
          <w:rFonts w:hint="eastAsia" w:ascii="仿宋_GB2312" w:hAnsi="仿宋_GB2312" w:eastAsia="仿宋_GB2312" w:cs="仿宋_GB2312"/>
          <w:sz w:val="32"/>
          <w:szCs w:val="32"/>
          <w:lang w:eastAsia="zh-CN"/>
        </w:rPr>
        <w:t>，义务教育寄宿生资助 ，壤塘县机关幼儿园校舍及附属工程，2019年行动计划教学仪器设备采购项目，壤塘县机关幼儿园校舍及附属工程，壤塘县上壤塘乡中心小学校和吾依乡中心小学校少年宫设备采购项目</w:t>
      </w:r>
      <w:r>
        <w:rPr>
          <w:rFonts w:hint="eastAsia" w:ascii="仿宋_GB2312" w:hAnsi="仿宋_GB2312" w:eastAsia="仿宋_GB2312" w:cs="仿宋_GB2312"/>
          <w:sz w:val="32"/>
          <w:szCs w:val="32"/>
        </w:rPr>
        <w:t>（项目名称）开展了预算事前绩效评估，对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我学校及时足额发放人员保障经费、严肃财经纪律，严格预算规定，落实好资金资助政策，保证资金安全，及时下达资金，督促相关部门按时落实学前减免午餐费资金、寄宿制阶段学生生活费资金等，使资金支付按预算目标进行。</w:t>
      </w:r>
    </w:p>
    <w:p>
      <w:p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1.项目绩效目标完成情况。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本部门在2019年度部门决算中反映组织对农村义务教育学生营养改善项目</w:t>
      </w:r>
      <w:r>
        <w:rPr>
          <w:rFonts w:hint="eastAsia" w:ascii="仿宋_GB2312" w:hAnsi="仿宋_GB2312" w:eastAsia="仿宋_GB2312" w:cs="仿宋_GB2312"/>
          <w:sz w:val="32"/>
          <w:szCs w:val="32"/>
          <w:lang w:eastAsia="zh-CN"/>
        </w:rPr>
        <w:t>，义务教育寄宿生资助 ，壤塘县机关幼儿园校舍及附属工程，2019年行动计划教学仪器设备采购项目，壤塘县机关幼儿园校舍及附属工程，壤塘县上壤塘乡中心小学校和吾依乡中心小学校少年宫设备采购项目</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（1）壤塘县教育局2019年行动计划教学仪器设备采购项目项目绩效目标完成情况综述。项目全年预算数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189.08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zh-CN"/>
        </w:rPr>
        <w:t>学校基础教育教学设备，装备学校1所</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本县地理位置偏远，学校分散，供货运输周期长。</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州上的资金批复到达本单位的时间后滞。下一步改进措施：</w:t>
      </w:r>
      <w:r>
        <w:rPr>
          <w:rFonts w:hint="eastAsia" w:ascii="仿宋_GB2312" w:hAnsi="仿宋_GB2312" w:eastAsia="仿宋_GB2312" w:cs="仿宋_GB2312"/>
          <w:sz w:val="32"/>
          <w:szCs w:val="32"/>
          <w:lang w:val="zh-CN"/>
        </w:rPr>
        <w:t>一是：本县地理位置偏远，学校分散，供货运输周期长。二是：州上的资金批复到达本单位的时间后滞。</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Times New Roman"/>
                <w:color w:val="auto"/>
                <w:kern w:val="2"/>
                <w:sz w:val="32"/>
                <w:szCs w:val="32"/>
              </w:rPr>
              <w:t>壤塘县教育局2019年行动计划教学仪器设备采购</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200" w:firstLineChars="500"/>
              <w:jc w:val="both"/>
              <w:textAlignment w:val="center"/>
              <w:rPr>
                <w:rFonts w:ascii="宋体" w:hAnsi="宋体" w:cs="宋体"/>
                <w:color w:val="000000"/>
                <w:sz w:val="24"/>
              </w:rPr>
            </w:pPr>
            <w:r>
              <w:rPr>
                <w:rFonts w:hint="eastAsia" w:ascii="宋体" w:hAnsi="宋体" w:eastAsia="宋体" w:cs="宋体"/>
                <w:color w:val="000000"/>
                <w:kern w:val="2"/>
                <w:sz w:val="24"/>
                <w:szCs w:val="24"/>
                <w:lang w:val="en-US" w:eastAsia="zh-CN" w:bidi="ar"/>
              </w:rPr>
              <w:t>教育局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189.08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189.08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楷体_GB2312" w:hAnsi="宋体" w:eastAsia="楷体_GB2312"/>
                <w:sz w:val="30"/>
                <w:szCs w:val="30"/>
                <w:lang w:val="zh-CN"/>
              </w:rPr>
              <w:t>学校基础教育教学设备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790"/>
              </w:tabs>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装备学校1所，2019年底完成。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装备学校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≥1所</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使用者培训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义务教育学生惠及人数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118</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提前或按期完成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培训按期完成率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提前或按期完成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覆盖全校学生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全覆盖</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使用者满意度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spacing w:line="580" w:lineRule="exact"/>
        <w:ind w:firstLine="640" w:firstLineChars="200"/>
        <w:rPr>
          <w:rFonts w:hint="eastAsia" w:ascii="仿宋_GB2312" w:hAnsi="仿宋_GB2312" w:eastAsia="仿宋_GB2312" w:cs="仿宋_GB2312"/>
          <w:sz w:val="32"/>
          <w:szCs w:val="32"/>
          <w:lang w:val="zh-CN"/>
        </w:rPr>
      </w:pPr>
    </w:p>
    <w:p>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壤塘县机关幼儿园校舍及附属工程项目绩效目标完成情况综述。项目全年预算数</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%。通过项目实施，用于机关幼儿园校舍及附属工程建设项目缺口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发现的主要问题：项目竣工后送审滞后。项目资金未能一次到位，资金支付缓慢。下一步改进措施：今后项目竣工后及时送审，及时支付资金。</w:t>
      </w:r>
    </w:p>
    <w:p>
      <w:pPr>
        <w:widowControl w:val="0"/>
        <w:numPr>
          <w:numId w:val="0"/>
        </w:numPr>
        <w:spacing w:line="580" w:lineRule="exact"/>
        <w:jc w:val="both"/>
        <w:rPr>
          <w:rFonts w:hint="eastAsia" w:ascii="仿宋_GB2312" w:hAnsi="仿宋_GB2312" w:eastAsia="仿宋_GB2312" w:cs="仿宋_GB2312"/>
          <w:sz w:val="32"/>
          <w:szCs w:val="32"/>
        </w:rPr>
      </w:pPr>
    </w:p>
    <w:p>
      <w:pPr>
        <w:widowControl w:val="0"/>
        <w:numPr>
          <w:numId w:val="0"/>
        </w:numPr>
        <w:spacing w:line="580" w:lineRule="exact"/>
        <w:jc w:val="both"/>
        <w:rPr>
          <w:rFonts w:hint="eastAsia" w:ascii="仿宋_GB2312" w:hAnsi="仿宋_GB2312" w:eastAsia="仿宋_GB2312" w:cs="仿宋_GB2312"/>
          <w:sz w:val="32"/>
          <w:szCs w:val="32"/>
        </w:rPr>
      </w:pPr>
    </w:p>
    <w:p>
      <w:pPr>
        <w:tabs>
          <w:tab w:val="left" w:pos="312"/>
        </w:tabs>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壤塘县机关幼儿园校舍及附属工程</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200" w:firstLineChars="500"/>
              <w:jc w:val="both"/>
              <w:textAlignment w:val="center"/>
              <w:rPr>
                <w:rFonts w:ascii="宋体" w:hAnsi="宋体" w:cs="宋体"/>
                <w:color w:val="000000"/>
                <w:sz w:val="24"/>
              </w:rPr>
            </w:pPr>
            <w:r>
              <w:rPr>
                <w:rFonts w:hint="eastAsia" w:ascii="宋体" w:hAnsi="宋体" w:eastAsia="宋体" w:cs="宋体"/>
                <w:color w:val="000000"/>
                <w:kern w:val="2"/>
                <w:sz w:val="24"/>
                <w:szCs w:val="24"/>
                <w:lang w:val="en-US" w:eastAsia="zh-CN" w:bidi="ar"/>
              </w:rPr>
              <w:t>教育局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cs="宋体"/>
                <w:color w:val="000000"/>
                <w:sz w:val="24"/>
              </w:rPr>
              <w:t>用于机关幼儿园校舍及附属工程建设项目缺口</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790"/>
              </w:tabs>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该项目于2017年9月审计完成，2018年资金支付完成。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涉及学校数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设计质量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合格</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设计时限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1个月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1个月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设计费用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财评控价80%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财评控价80%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项目覆盖范围义务教育阶段学生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267</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267</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设计使用年限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学生家长满意度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shd w:val="clear" w:color="auto" w:fill="auto"/>
          <w:tblCellMar>
            <w:top w:w="0" w:type="dxa"/>
            <w:left w:w="0" w:type="dxa"/>
            <w:bottom w:w="0" w:type="dxa"/>
            <w:right w:w="0" w:type="dxa"/>
          </w:tblCellMar>
        </w:tblPrEx>
        <w:trPr>
          <w:trHeight w:val="1034" w:hRule="atLeast"/>
          <w:jc w:val="center"/>
        </w:trPr>
        <w:tc>
          <w:tcPr>
            <w:tcW w:w="9960" w:type="dxa"/>
            <w:gridSpan w:val="6"/>
            <w:shd w:val="clear" w:color="auto" w:fill="auto"/>
            <w:tcMar>
              <w:top w:w="15" w:type="dxa"/>
              <w:left w:w="15" w:type="dxa"/>
              <w:right w:w="15" w:type="dxa"/>
            </w:tcMar>
            <w:vAlign w:val="center"/>
          </w:tcPr>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）义务教育寄宿生资助绩效目标完成情况综述。项目全年预算数</w:t>
            </w:r>
            <w:r>
              <w:rPr>
                <w:rFonts w:hint="eastAsia" w:ascii="仿宋_GB2312" w:hAnsi="仿宋_GB2312" w:eastAsia="仿宋_GB2312" w:cs="仿宋_GB2312"/>
                <w:sz w:val="32"/>
                <w:szCs w:val="32"/>
                <w:lang w:val="en-US" w:eastAsia="zh-CN"/>
              </w:rPr>
              <w:t>830.24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830.24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%。通过项目实施，提高我县义务教育实施水平，切实减轻寄宿制学生家庭经济负担，改善学生学习环境，促进学生健康成长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继续</w:t>
            </w:r>
            <w:r>
              <w:rPr>
                <w:rFonts w:hint="eastAsia" w:ascii="仿宋_GB2312" w:hAnsi="仿宋_GB2312" w:eastAsia="仿宋_GB2312" w:cs="仿宋_GB2312"/>
                <w:sz w:val="32"/>
                <w:szCs w:val="32"/>
              </w:rPr>
              <w:t>落实专项资金，加强资金监管</w:t>
            </w:r>
            <w:r>
              <w:rPr>
                <w:rFonts w:hint="eastAsia" w:ascii="仿宋_GB2312" w:hAnsi="仿宋_GB2312" w:eastAsia="仿宋_GB2312" w:cs="仿宋_GB2312"/>
                <w:sz w:val="32"/>
                <w:szCs w:val="32"/>
                <w:lang w:eastAsia="zh-CN"/>
              </w:rPr>
              <w:t>按时支付资金</w:t>
            </w:r>
            <w:r>
              <w:rPr>
                <w:rFonts w:hint="eastAsia" w:ascii="仿宋_GB2312" w:hAnsi="仿宋_GB2312" w:eastAsia="仿宋_GB2312" w:cs="仿宋_GB2312"/>
                <w:sz w:val="32"/>
                <w:szCs w:val="32"/>
              </w:rPr>
              <w:t>。</w:t>
            </w:r>
          </w:p>
          <w:p>
            <w:pPr>
              <w:pStyle w:val="35"/>
              <w:keepNext w:val="0"/>
              <w:keepLines w:val="0"/>
              <w:widowControl/>
              <w:suppressLineNumbers w:val="0"/>
              <w:spacing w:before="120" w:beforeLines="50" w:beforeAutospacing="0" w:after="120" w:afterLines="50" w:afterAutospacing="0" w:line="360" w:lineRule="auto"/>
              <w:ind w:left="4173" w:leftChars="1310" w:right="0" w:hanging="1422" w:hangingChars="395"/>
              <w:textAlignment w:val="center"/>
              <w:rPr>
                <w:rFonts w:hint="eastAsia" w:ascii="宋体" w:hAnsi="宋体" w:eastAsia="宋体" w:cs="宋体"/>
                <w:color w:val="000000"/>
                <w:sz w:val="36"/>
                <w:szCs w:val="36"/>
                <w:lang w:val="en-US"/>
              </w:rPr>
            </w:pPr>
            <w:r>
              <w:rPr>
                <w:rFonts w:hint="eastAsia" w:ascii="黑体" w:hAnsi="宋体" w:eastAsia="黑体" w:cs="宋体"/>
                <w:bCs/>
                <w:color w:val="000000"/>
                <w:kern w:val="0"/>
                <w:sz w:val="36"/>
                <w:szCs w:val="36"/>
              </w:rPr>
              <w:t>项目支出绩效目标完成情况表</w:t>
            </w:r>
            <w:r>
              <w:rPr>
                <w:rFonts w:hint="eastAsia" w:ascii="宋体" w:hAnsi="宋体" w:eastAsia="宋体" w:cs="宋体"/>
                <w:b/>
                <w:color w:val="000000"/>
                <w:kern w:val="0"/>
                <w:sz w:val="36"/>
                <w:szCs w:val="36"/>
                <w:lang w:val="en-US"/>
              </w:rPr>
              <w:br w:type="textWrapping"/>
            </w:r>
            <w:r>
              <w:rPr>
                <w:rFonts w:hint="eastAsia" w:ascii="宋体" w:hAnsi="宋体" w:eastAsia="宋体" w:cs="宋体"/>
                <w:color w:val="000000"/>
                <w:kern w:val="0"/>
                <w:sz w:val="36"/>
                <w:szCs w:val="36"/>
                <w:lang w:val="en-US"/>
              </w:rPr>
              <w:t>(201</w:t>
            </w:r>
            <w:r>
              <w:rPr>
                <w:rFonts w:hint="eastAsia" w:ascii="宋体" w:hAnsi="宋体" w:cs="宋体"/>
                <w:color w:val="000000"/>
                <w:kern w:val="0"/>
                <w:sz w:val="36"/>
                <w:szCs w:val="36"/>
                <w:lang w:val="en-US" w:eastAsia="zh-CN"/>
              </w:rPr>
              <w:t>9</w:t>
            </w:r>
            <w:r>
              <w:rPr>
                <w:rFonts w:hint="eastAsia" w:ascii="宋体" w:hAnsi="宋体" w:eastAsia="宋体" w:cs="宋体"/>
                <w:color w:val="000000"/>
                <w:kern w:val="0"/>
                <w:sz w:val="36"/>
                <w:szCs w:val="36"/>
                <w:lang w:val="en-US"/>
              </w:rPr>
              <w:t xml:space="preserve"> </w:t>
            </w:r>
            <w:r>
              <w:rPr>
                <w:rFonts w:hint="eastAsia" w:ascii="宋体" w:hAnsi="宋体" w:eastAsia="宋体" w:cs="宋体"/>
                <w:color w:val="000000"/>
                <w:kern w:val="0"/>
                <w:sz w:val="36"/>
                <w:szCs w:val="36"/>
              </w:rPr>
              <w:t>年度</w:t>
            </w:r>
            <w:r>
              <w:rPr>
                <w:rFonts w:hint="eastAsia" w:ascii="宋体" w:hAnsi="宋体" w:eastAsia="宋体" w:cs="宋体"/>
                <w:color w:val="000000"/>
                <w:kern w:val="0"/>
                <w:sz w:val="36"/>
                <w:szCs w:val="36"/>
                <w:lang w:val="en-US"/>
              </w:rPr>
              <w:t>)</w:t>
            </w:r>
          </w:p>
        </w:tc>
      </w:tr>
      <w:tr>
        <w:tblPrEx>
          <w:shd w:val="clear" w:color="auto" w:fill="auto"/>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方正小标宋简体" w:hAnsi="方正小标宋简体" w:eastAsia="方正小标宋简体" w:cs="方正小标宋简体"/>
                <w:b w:val="0"/>
                <w:bCs/>
                <w:sz w:val="44"/>
                <w:szCs w:val="44"/>
              </w:rPr>
              <w:t>义务教育寄宿生资助</w:t>
            </w:r>
          </w:p>
        </w:tc>
      </w:tr>
      <w:tr>
        <w:tblPrEx>
          <w:shd w:val="clear" w:color="auto" w:fill="auto"/>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教育局</w:t>
            </w:r>
          </w:p>
        </w:tc>
      </w:tr>
      <w:tr>
        <w:tblPrEx>
          <w:shd w:val="clear" w:color="auto" w:fill="auto"/>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830.24</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执行数: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830.24</w:t>
            </w:r>
          </w:p>
        </w:tc>
      </w:tr>
      <w:tr>
        <w:tblPrEx>
          <w:shd w:val="clear" w:color="auto" w:fill="auto"/>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830.24</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830.24</w:t>
            </w:r>
          </w:p>
        </w:tc>
      </w:tr>
      <w:tr>
        <w:tblPrEx>
          <w:shd w:val="clear" w:color="auto" w:fill="auto"/>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0</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120" w:beforeLines="50" w:beforeAutospacing="0" w:after="120" w:afterLines="5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0</w:t>
            </w:r>
          </w:p>
        </w:tc>
      </w:tr>
      <w:tr>
        <w:tblPrEx>
          <w:shd w:val="clear" w:color="auto" w:fill="auto"/>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实际完成目标</w:t>
            </w:r>
          </w:p>
        </w:tc>
      </w:tr>
      <w:tr>
        <w:tblPrEx>
          <w:shd w:val="clear" w:color="auto" w:fill="auto"/>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按年初计划完成了所有项目</w:t>
            </w:r>
          </w:p>
        </w:tc>
        <w:tc>
          <w:tcPr>
            <w:tcW w:w="4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p>
            <w:pPr>
              <w:keepNext w:val="0"/>
              <w:keepLines w:val="0"/>
              <w:widowControl/>
              <w:suppressLineNumbers w:val="0"/>
              <w:spacing w:before="120" w:beforeLines="50" w:beforeAutospacing="0" w:after="120" w:afterLines="50" w:afterAutospacing="0" w:line="360" w:lineRule="auto"/>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2019年春季资助学生6341人，秋季资助学生7460人，截止12月2日共计资助金额达830.24万元 </w:t>
            </w:r>
          </w:p>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shd w:val="clear" w:color="auto" w:fill="auto"/>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绩效指标完成情况</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二级指标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三级指标</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实际完成指标值(包含数字及文字描述)</w:t>
            </w:r>
          </w:p>
        </w:tc>
      </w:tr>
      <w:tr>
        <w:tblPrEx>
          <w:shd w:val="clear" w:color="auto" w:fill="auto"/>
          <w:tblCellMar>
            <w:top w:w="0" w:type="dxa"/>
            <w:left w:w="0" w:type="dxa"/>
            <w:bottom w:w="0" w:type="dxa"/>
            <w:right w:w="0" w:type="dxa"/>
          </w:tblCellMar>
        </w:tblPrEx>
        <w:trPr>
          <w:trHeight w:val="95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7460</w:t>
            </w:r>
            <w:r>
              <w:rPr>
                <w:rFonts w:hint="eastAsia" w:ascii="宋体" w:hAnsi="宋体" w:eastAsia="宋体" w:cs="宋体"/>
                <w:color w:val="000000"/>
                <w:kern w:val="2"/>
                <w:sz w:val="24"/>
                <w:szCs w:val="24"/>
                <w:lang w:val="en-US" w:eastAsia="zh-CN" w:bidi="ar"/>
              </w:rPr>
              <w:t>人</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7460</w:t>
            </w:r>
            <w:r>
              <w:rPr>
                <w:rFonts w:hint="eastAsia" w:ascii="宋体" w:hAnsi="宋体" w:eastAsia="宋体" w:cs="宋体"/>
                <w:color w:val="000000"/>
                <w:kern w:val="2"/>
                <w:sz w:val="24"/>
                <w:szCs w:val="24"/>
                <w:lang w:val="en-US" w:eastAsia="zh-CN" w:bidi="ar"/>
              </w:rPr>
              <w:t>人</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100%</w:t>
            </w:r>
          </w:p>
        </w:tc>
      </w:tr>
      <w:tr>
        <w:tblPrEx>
          <w:shd w:val="clear" w:color="auto" w:fill="auto"/>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both"/>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100%</w:t>
            </w:r>
          </w:p>
        </w:tc>
      </w:tr>
      <w:tr>
        <w:tblPrEx>
          <w:shd w:val="clear" w:color="auto" w:fill="auto"/>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shd w:val="clear" w:color="auto" w:fill="auto"/>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shd w:val="clear" w:color="auto" w:fill="auto"/>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shd w:val="clear" w:color="auto" w:fill="auto"/>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shd w:val="clear" w:color="auto" w:fill="auto"/>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201</w:t>
            </w:r>
            <w:r>
              <w:rPr>
                <w:rFonts w:hint="eastAsia" w:ascii="宋体" w:hAnsi="宋体" w:cs="宋体"/>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年12月完成</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201</w:t>
            </w:r>
            <w:r>
              <w:rPr>
                <w:rFonts w:hint="eastAsia" w:ascii="宋体" w:hAnsi="宋体" w:cs="宋体"/>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年12月完成</w:t>
            </w:r>
          </w:p>
        </w:tc>
      </w:tr>
      <w:tr>
        <w:tblPrEx>
          <w:shd w:val="clear" w:color="auto" w:fill="auto"/>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有</w:t>
            </w:r>
            <w:r>
              <w:rPr>
                <w:rFonts w:hint="eastAsia" w:ascii="宋体" w:hAnsi="宋体" w:cs="宋体"/>
                <w:color w:val="000000"/>
                <w:kern w:val="2"/>
                <w:sz w:val="24"/>
                <w:szCs w:val="24"/>
                <w:lang w:val="en-US" w:eastAsia="zh-CN" w:bidi="ar"/>
              </w:rPr>
              <w:t>7460</w:t>
            </w:r>
            <w:r>
              <w:rPr>
                <w:rFonts w:hint="eastAsia" w:ascii="宋体" w:hAnsi="宋体" w:eastAsia="宋体" w:cs="宋体"/>
                <w:color w:val="000000"/>
                <w:kern w:val="2"/>
                <w:sz w:val="24"/>
                <w:szCs w:val="24"/>
                <w:lang w:val="en-US" w:eastAsia="zh-CN" w:bidi="ar"/>
              </w:rPr>
              <w:t>人学生收益</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有</w:t>
            </w:r>
            <w:r>
              <w:rPr>
                <w:rFonts w:hint="eastAsia" w:ascii="宋体" w:hAnsi="宋体" w:cs="宋体"/>
                <w:color w:val="000000"/>
                <w:kern w:val="2"/>
                <w:sz w:val="24"/>
                <w:szCs w:val="24"/>
                <w:lang w:val="en-US" w:eastAsia="zh-CN" w:bidi="ar"/>
              </w:rPr>
              <w:t>7460</w:t>
            </w:r>
            <w:r>
              <w:rPr>
                <w:rFonts w:hint="eastAsia" w:ascii="宋体" w:hAnsi="宋体" w:eastAsia="宋体" w:cs="宋体"/>
                <w:color w:val="000000"/>
                <w:kern w:val="2"/>
                <w:sz w:val="24"/>
                <w:szCs w:val="24"/>
                <w:lang w:val="en-US" w:eastAsia="zh-CN" w:bidi="ar"/>
              </w:rPr>
              <w:t>人学生收益</w:t>
            </w:r>
          </w:p>
        </w:tc>
      </w:tr>
      <w:tr>
        <w:tblPrEx>
          <w:shd w:val="clear" w:color="auto" w:fill="auto"/>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shd w:val="clear" w:color="auto" w:fill="auto"/>
          <w:tblCellMar>
            <w:top w:w="0" w:type="dxa"/>
            <w:left w:w="0" w:type="dxa"/>
            <w:bottom w:w="0" w:type="dxa"/>
            <w:right w:w="0" w:type="dxa"/>
          </w:tblCellMar>
        </w:tblPrEx>
        <w:trPr>
          <w:trHeight w:val="105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100%</w:t>
            </w:r>
          </w:p>
        </w:tc>
      </w:tr>
    </w:tbl>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）农村义务教育学生营养改善绩效目标完成情况综述。项目全年预算数</w:t>
      </w:r>
      <w:r>
        <w:rPr>
          <w:rFonts w:hint="eastAsia" w:ascii="仿宋_GB2312" w:hAnsi="仿宋_GB2312" w:eastAsia="仿宋_GB2312" w:cs="仿宋_GB2312"/>
          <w:sz w:val="32"/>
          <w:szCs w:val="32"/>
          <w:lang w:val="en-US" w:eastAsia="zh-CN"/>
        </w:rPr>
        <w:t>541.76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482.24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89.01</w:t>
      </w:r>
      <w:r>
        <w:rPr>
          <w:rFonts w:hint="eastAsia" w:ascii="仿宋_GB2312" w:hAnsi="仿宋_GB2312" w:eastAsia="仿宋_GB2312" w:cs="仿宋_GB2312"/>
          <w:sz w:val="32"/>
          <w:szCs w:val="32"/>
        </w:rPr>
        <w:t>%。通过项目实施，提高我县义务教育实施水平，切实减轻寄宿制学生家庭经济负担，改善学生学习环境，促进学生健康成长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r>
        <w:rPr>
          <w:rFonts w:hint="eastAsia" w:ascii="仿宋_GB2312" w:hAnsi="宋体" w:eastAsia="仿宋_GB2312" w:cs="仿宋_GB2312"/>
          <w:color w:val="000000"/>
          <w:kern w:val="0"/>
          <w:sz w:val="30"/>
          <w:szCs w:val="30"/>
        </w:rPr>
        <w:t>遵循“专款专用、公开透明、及时结算”的原则，</w:t>
      </w:r>
      <w:r>
        <w:rPr>
          <w:rFonts w:hint="eastAsia" w:ascii="仿宋_GB2312" w:hAnsi="宋体" w:eastAsia="仿宋_GB2312"/>
          <w:sz w:val="30"/>
          <w:szCs w:val="30"/>
        </w:rPr>
        <w:t>壤塘教育局2018年城乡义务教育中央补助资金营养改善资金项目</w:t>
      </w:r>
      <w:r>
        <w:rPr>
          <w:rFonts w:hint="eastAsia" w:ascii="仿宋_GB2312" w:hAnsi="宋体" w:eastAsia="仿宋_GB2312" w:cs="仿宋_GB2312"/>
          <w:color w:val="000000"/>
          <w:kern w:val="0"/>
          <w:sz w:val="30"/>
          <w:szCs w:val="30"/>
        </w:rPr>
        <w:t>全部用于学生营养改善计划生活支出</w:t>
      </w:r>
      <w:r>
        <w:rPr>
          <w:rFonts w:hint="eastAsia" w:ascii="仿宋_GB2312" w:hAnsi="仿宋_GB2312" w:eastAsia="仿宋_GB2312" w:cs="仿宋_GB2312"/>
          <w:sz w:val="32"/>
          <w:szCs w:val="32"/>
        </w:rPr>
        <w:t>。</w:t>
      </w:r>
      <w:r>
        <w:rPr>
          <w:rFonts w:hint="eastAsia" w:ascii="仿宋_GB2312" w:hAnsi="宋体" w:eastAsia="仿宋_GB2312" w:cs="仿宋_GB2312"/>
          <w:color w:val="000000"/>
          <w:kern w:val="0"/>
          <w:sz w:val="30"/>
          <w:szCs w:val="30"/>
        </w:rPr>
        <w:t>严格遵照《项目资金管理办法》。在地方政府统筹下，积极开展各项项目，专项资金</w:t>
      </w:r>
      <w:r>
        <w:rPr>
          <w:rFonts w:hint="eastAsia" w:ascii="仿宋_GB2312" w:hAnsi="宋体" w:eastAsia="仿宋_GB2312" w:cs="仿宋"/>
          <w:color w:val="000000"/>
          <w:sz w:val="30"/>
          <w:szCs w:val="30"/>
          <w:shd w:val="clear" w:color="auto" w:fill="FFFFFF"/>
        </w:rPr>
        <w:t>管理制度完善，项目都能按计划执行。资金实行专人专户管理，设立了专门账户，实行专人负责，做到了专款专用</w:t>
      </w:r>
      <w:r>
        <w:rPr>
          <w:rFonts w:hint="eastAsia" w:ascii="仿宋_GB2312" w:hAnsi="宋体" w:eastAsia="仿宋_GB2312" w:cs="仿宋"/>
          <w:color w:val="000000"/>
          <w:sz w:val="30"/>
          <w:szCs w:val="30"/>
          <w:shd w:val="clear" w:color="auto" w:fill="FFFFFF"/>
          <w:lang w:eastAsia="zh-CN"/>
        </w:rPr>
        <w:t>。</w:t>
      </w:r>
    </w:p>
    <w:p>
      <w:pPr>
        <w:keepNext w:val="0"/>
        <w:keepLines w:val="0"/>
        <w:widowControl w:val="0"/>
        <w:suppressLineNumbers w:val="0"/>
        <w:spacing w:before="0" w:beforeAutospacing="0" w:after="0" w:afterAutospacing="0" w:line="540" w:lineRule="exact"/>
        <w:ind w:left="0" w:right="0" w:firstLine="630" w:firstLineChars="196"/>
        <w:jc w:val="both"/>
        <w:rPr>
          <w:rFonts w:hint="eastAsia" w:ascii="仿宋" w:hAnsi="仿宋" w:eastAsia="仿宋" w:cs="仿宋"/>
          <w:b/>
          <w:kern w:val="2"/>
          <w:sz w:val="32"/>
          <w:szCs w:val="32"/>
          <w:lang w:val="en-US" w:eastAsia="zh-CN" w:bidi="ar"/>
        </w:rPr>
      </w:pPr>
    </w:p>
    <w:tbl>
      <w:tblPr>
        <w:tblStyle w:val="13"/>
        <w:tblpPr w:leftFromText="180" w:rightFromText="180" w:vertAnchor="text" w:horzAnchor="page" w:tblpXSpec="center" w:tblpY="423"/>
        <w:tblOverlap w:val="never"/>
        <w:tblW w:w="9960" w:type="dxa"/>
        <w:tblInd w:w="0" w:type="dxa"/>
        <w:shd w:val="clear" w:color="auto" w:fill="auto"/>
        <w:tblLayout w:type="fixed"/>
        <w:tblCellMar>
          <w:top w:w="0" w:type="dxa"/>
          <w:left w:w="0" w:type="dxa"/>
          <w:bottom w:w="0" w:type="dxa"/>
          <w:right w:w="0" w:type="dxa"/>
        </w:tblCellMar>
      </w:tblPr>
      <w:tblGrid>
        <w:gridCol w:w="390"/>
        <w:gridCol w:w="1367"/>
        <w:gridCol w:w="1025"/>
        <w:gridCol w:w="2392"/>
        <w:gridCol w:w="2394"/>
        <w:gridCol w:w="2392"/>
      </w:tblGrid>
      <w:tr>
        <w:tblPrEx>
          <w:shd w:val="clear" w:color="auto" w:fill="auto"/>
          <w:tblCellMar>
            <w:top w:w="0" w:type="dxa"/>
            <w:left w:w="0" w:type="dxa"/>
            <w:bottom w:w="0" w:type="dxa"/>
            <w:right w:w="0" w:type="dxa"/>
          </w:tblCellMar>
        </w:tblPrEx>
        <w:trPr>
          <w:trHeight w:val="1034" w:hRule="atLeast"/>
        </w:trPr>
        <w:tc>
          <w:tcPr>
            <w:tcW w:w="9960" w:type="dxa"/>
            <w:gridSpan w:val="6"/>
            <w:shd w:val="clear" w:color="auto" w:fill="auto"/>
            <w:tcMar>
              <w:top w:w="15" w:type="dxa"/>
              <w:left w:w="15" w:type="dxa"/>
              <w:right w:w="15" w:type="dxa"/>
            </w:tcMar>
            <w:vAlign w:val="center"/>
          </w:tcPr>
          <w:p>
            <w:pPr>
              <w:pStyle w:val="35"/>
              <w:keepNext w:val="0"/>
              <w:keepLines w:val="0"/>
              <w:widowControl/>
              <w:suppressLineNumbers w:val="0"/>
              <w:spacing w:before="120" w:beforeLines="50" w:beforeAutospacing="0" w:after="120" w:afterLines="50" w:afterAutospacing="0" w:line="360" w:lineRule="auto"/>
              <w:ind w:left="4173" w:leftChars="1310" w:right="0" w:hanging="1422" w:hangingChars="395"/>
              <w:textAlignment w:val="center"/>
              <w:rPr>
                <w:rFonts w:hint="eastAsia" w:ascii="宋体" w:hAnsi="宋体" w:eastAsia="宋体" w:cs="宋体"/>
                <w:color w:val="000000"/>
                <w:sz w:val="36"/>
                <w:szCs w:val="36"/>
                <w:lang w:val="en-US"/>
              </w:rPr>
            </w:pPr>
            <w:r>
              <w:rPr>
                <w:rFonts w:hint="eastAsia" w:ascii="黑体" w:hAnsi="宋体" w:eastAsia="黑体" w:cs="宋体"/>
                <w:bCs/>
                <w:color w:val="000000"/>
                <w:kern w:val="0"/>
                <w:sz w:val="36"/>
                <w:szCs w:val="36"/>
              </w:rPr>
              <w:t>项目支出绩效目标完成情况表</w:t>
            </w:r>
            <w:r>
              <w:rPr>
                <w:rFonts w:hint="eastAsia" w:ascii="宋体" w:hAnsi="宋体" w:eastAsia="宋体" w:cs="宋体"/>
                <w:b/>
                <w:color w:val="000000"/>
                <w:kern w:val="0"/>
                <w:sz w:val="36"/>
                <w:szCs w:val="36"/>
                <w:lang w:val="en-US"/>
              </w:rPr>
              <w:br w:type="textWrapping"/>
            </w:r>
            <w:r>
              <w:rPr>
                <w:rFonts w:hint="eastAsia" w:ascii="宋体" w:hAnsi="宋体" w:eastAsia="宋体" w:cs="宋体"/>
                <w:color w:val="000000"/>
                <w:kern w:val="0"/>
                <w:sz w:val="36"/>
                <w:szCs w:val="36"/>
                <w:lang w:val="en-US"/>
              </w:rPr>
              <w:t>(201</w:t>
            </w:r>
            <w:r>
              <w:rPr>
                <w:rFonts w:hint="eastAsia" w:ascii="宋体" w:hAnsi="宋体" w:cs="宋体"/>
                <w:color w:val="000000"/>
                <w:kern w:val="0"/>
                <w:sz w:val="36"/>
                <w:szCs w:val="36"/>
                <w:lang w:val="en-US" w:eastAsia="zh-CN"/>
              </w:rPr>
              <w:t>9</w:t>
            </w:r>
            <w:r>
              <w:rPr>
                <w:rFonts w:hint="eastAsia" w:ascii="宋体" w:hAnsi="宋体" w:eastAsia="宋体" w:cs="宋体"/>
                <w:color w:val="000000"/>
                <w:kern w:val="0"/>
                <w:sz w:val="36"/>
                <w:szCs w:val="36"/>
                <w:lang w:val="en-US"/>
              </w:rPr>
              <w:t xml:space="preserve"> </w:t>
            </w:r>
            <w:r>
              <w:rPr>
                <w:rFonts w:hint="eastAsia" w:ascii="宋体" w:hAnsi="宋体" w:eastAsia="宋体" w:cs="宋体"/>
                <w:color w:val="000000"/>
                <w:kern w:val="0"/>
                <w:sz w:val="36"/>
                <w:szCs w:val="36"/>
              </w:rPr>
              <w:t>年度</w:t>
            </w:r>
            <w:r>
              <w:rPr>
                <w:rFonts w:hint="eastAsia" w:ascii="宋体" w:hAnsi="宋体" w:eastAsia="宋体" w:cs="宋体"/>
                <w:color w:val="000000"/>
                <w:kern w:val="0"/>
                <w:sz w:val="36"/>
                <w:szCs w:val="36"/>
                <w:lang w:val="en-US"/>
              </w:rPr>
              <w:t>)</w:t>
            </w:r>
          </w:p>
        </w:tc>
      </w:tr>
      <w:tr>
        <w:tblPrEx>
          <w:tblCellMar>
            <w:top w:w="0" w:type="dxa"/>
            <w:left w:w="0" w:type="dxa"/>
            <w:bottom w:w="0" w:type="dxa"/>
            <w:right w:w="0" w:type="dxa"/>
          </w:tblCellMar>
        </w:tblPrEx>
        <w:trPr>
          <w:trHeight w:val="530" w:hRule="atLeast"/>
        </w:trPr>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营养改善计划项目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教育局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541.76</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执行数: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541.76</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541.76</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541.76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0</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120" w:beforeLines="50" w:beforeAutospacing="0" w:after="120" w:afterLines="5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0</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绩效指标完成情况</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二级指标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三级指标</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7628</w:t>
            </w:r>
            <w:r>
              <w:rPr>
                <w:rFonts w:hint="eastAsia" w:ascii="宋体" w:hAnsi="宋体" w:eastAsia="宋体" w:cs="宋体"/>
                <w:color w:val="000000"/>
                <w:kern w:val="2"/>
                <w:sz w:val="24"/>
                <w:szCs w:val="24"/>
                <w:lang w:val="en-US" w:eastAsia="zh-CN" w:bidi="ar"/>
              </w:rPr>
              <w:t>人</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7628</w:t>
            </w:r>
            <w:r>
              <w:rPr>
                <w:rFonts w:hint="eastAsia" w:ascii="宋体" w:hAnsi="宋体" w:eastAsia="宋体" w:cs="宋体"/>
                <w:color w:val="000000"/>
                <w:kern w:val="2"/>
                <w:sz w:val="24"/>
                <w:szCs w:val="24"/>
                <w:lang w:val="en-US" w:eastAsia="zh-CN" w:bidi="ar"/>
              </w:rPr>
              <w:t>人</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both"/>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201</w:t>
            </w:r>
            <w:r>
              <w:rPr>
                <w:rFonts w:hint="eastAsia" w:ascii="宋体" w:hAnsi="宋体" w:cs="宋体"/>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年12月完成</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201</w:t>
            </w:r>
            <w:r>
              <w:rPr>
                <w:rFonts w:hint="eastAsia" w:ascii="宋体" w:hAnsi="宋体" w:cs="宋体"/>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年12月完成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有</w:t>
            </w:r>
            <w:r>
              <w:rPr>
                <w:rFonts w:hint="eastAsia" w:ascii="宋体" w:hAnsi="宋体" w:cs="宋体"/>
                <w:color w:val="000000"/>
                <w:kern w:val="2"/>
                <w:sz w:val="24"/>
                <w:szCs w:val="24"/>
                <w:lang w:val="en-US" w:eastAsia="zh-CN" w:bidi="ar"/>
              </w:rPr>
              <w:t>7628</w:t>
            </w:r>
            <w:r>
              <w:rPr>
                <w:rFonts w:hint="eastAsia" w:ascii="宋体" w:hAnsi="宋体" w:eastAsia="宋体" w:cs="宋体"/>
                <w:color w:val="000000"/>
                <w:kern w:val="2"/>
                <w:sz w:val="24"/>
                <w:szCs w:val="24"/>
                <w:lang w:val="en-US" w:eastAsia="zh-CN" w:bidi="ar"/>
              </w:rPr>
              <w:t>人学生收益</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有</w:t>
            </w:r>
            <w:r>
              <w:rPr>
                <w:rFonts w:hint="eastAsia" w:ascii="宋体" w:hAnsi="宋体" w:cs="宋体"/>
                <w:color w:val="000000"/>
                <w:kern w:val="2"/>
                <w:sz w:val="24"/>
                <w:szCs w:val="24"/>
                <w:lang w:val="en-US" w:eastAsia="zh-CN" w:bidi="ar"/>
              </w:rPr>
              <w:t>7628</w:t>
            </w:r>
            <w:r>
              <w:rPr>
                <w:rFonts w:hint="eastAsia" w:ascii="宋体" w:hAnsi="宋体" w:eastAsia="宋体" w:cs="宋体"/>
                <w:color w:val="000000"/>
                <w:kern w:val="2"/>
                <w:sz w:val="24"/>
                <w:szCs w:val="24"/>
                <w:lang w:val="en-US" w:eastAsia="zh-CN" w:bidi="ar"/>
              </w:rPr>
              <w:t>人学生收益</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100%</w:t>
            </w:r>
          </w:p>
        </w:tc>
      </w:tr>
    </w:tbl>
    <w:p>
      <w:pPr>
        <w:pStyle w:val="12"/>
        <w:widowControl/>
        <w:numPr>
          <w:ilvl w:val="0"/>
          <w:numId w:val="0"/>
        </w:numPr>
        <w:spacing w:before="0" w:beforeAutospacing="0" w:after="0" w:afterAutospacing="0" w:line="520" w:lineRule="exact"/>
        <w:ind w:leftChars="200" w:right="0" w:righ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（5）壤塘县上壤塘乡中心小学校和吾依乡中心小学校少年宫设备采购项目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23.62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22.44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%。通过项目实施，提高我县义务教育实施水平，切实减轻寄宿制学生家庭经济负担，改善学生学习环境，促进学生健康成长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p>
    <w:tbl>
      <w:tblPr>
        <w:tblStyle w:val="13"/>
        <w:tblpPr w:leftFromText="180" w:rightFromText="180" w:vertAnchor="text" w:horzAnchor="page" w:tblpXSpec="center" w:tblpY="423"/>
        <w:tblOverlap w:val="never"/>
        <w:tblW w:w="9960" w:type="dxa"/>
        <w:tblInd w:w="0" w:type="dxa"/>
        <w:shd w:val="clear" w:color="auto" w:fill="auto"/>
        <w:tblLayout w:type="fixed"/>
        <w:tblCellMar>
          <w:top w:w="0" w:type="dxa"/>
          <w:left w:w="0" w:type="dxa"/>
          <w:bottom w:w="0" w:type="dxa"/>
          <w:right w:w="0" w:type="dxa"/>
        </w:tblCellMar>
      </w:tblPr>
      <w:tblGrid>
        <w:gridCol w:w="390"/>
        <w:gridCol w:w="1367"/>
        <w:gridCol w:w="1025"/>
        <w:gridCol w:w="2392"/>
        <w:gridCol w:w="2394"/>
        <w:gridCol w:w="2392"/>
      </w:tblGrid>
      <w:tr>
        <w:tblPrEx>
          <w:shd w:val="clear" w:color="auto" w:fill="auto"/>
          <w:tblCellMar>
            <w:top w:w="0" w:type="dxa"/>
            <w:left w:w="0" w:type="dxa"/>
            <w:bottom w:w="0" w:type="dxa"/>
            <w:right w:w="0" w:type="dxa"/>
          </w:tblCellMar>
        </w:tblPrEx>
        <w:trPr>
          <w:trHeight w:val="1034" w:hRule="atLeast"/>
        </w:trPr>
        <w:tc>
          <w:tcPr>
            <w:tcW w:w="9960" w:type="dxa"/>
            <w:gridSpan w:val="6"/>
            <w:shd w:val="clear" w:color="auto" w:fill="auto"/>
            <w:tcMar>
              <w:top w:w="15" w:type="dxa"/>
              <w:left w:w="15" w:type="dxa"/>
              <w:right w:w="15" w:type="dxa"/>
            </w:tcMar>
            <w:vAlign w:val="center"/>
          </w:tcPr>
          <w:p>
            <w:pPr>
              <w:pStyle w:val="35"/>
              <w:keepNext w:val="0"/>
              <w:keepLines w:val="0"/>
              <w:widowControl/>
              <w:suppressLineNumbers w:val="0"/>
              <w:spacing w:before="120" w:beforeLines="50" w:beforeAutospacing="0" w:after="120" w:afterLines="50" w:afterAutospacing="0" w:line="360" w:lineRule="auto"/>
              <w:ind w:left="4173" w:leftChars="1310" w:right="0" w:hanging="1422" w:hangingChars="395"/>
              <w:textAlignment w:val="center"/>
              <w:rPr>
                <w:rFonts w:hint="eastAsia" w:ascii="宋体" w:hAnsi="宋体" w:eastAsia="宋体" w:cs="宋体"/>
                <w:color w:val="000000"/>
                <w:sz w:val="36"/>
                <w:szCs w:val="36"/>
                <w:lang w:val="en-US"/>
              </w:rPr>
            </w:pPr>
            <w:r>
              <w:rPr>
                <w:rFonts w:hint="eastAsia" w:ascii="黑体" w:hAnsi="宋体" w:eastAsia="黑体" w:cs="宋体"/>
                <w:bCs/>
                <w:color w:val="000000"/>
                <w:kern w:val="0"/>
                <w:sz w:val="36"/>
                <w:szCs w:val="36"/>
              </w:rPr>
              <w:t>项目支出绩效目标完成情况表</w:t>
            </w:r>
            <w:r>
              <w:rPr>
                <w:rFonts w:hint="eastAsia" w:ascii="宋体" w:hAnsi="宋体" w:eastAsia="宋体" w:cs="宋体"/>
                <w:b/>
                <w:color w:val="000000"/>
                <w:kern w:val="0"/>
                <w:sz w:val="36"/>
                <w:szCs w:val="36"/>
                <w:lang w:val="en-US"/>
              </w:rPr>
              <w:br w:type="textWrapping"/>
            </w:r>
            <w:r>
              <w:rPr>
                <w:rFonts w:hint="eastAsia" w:ascii="宋体" w:hAnsi="宋体" w:eastAsia="宋体" w:cs="宋体"/>
                <w:color w:val="000000"/>
                <w:kern w:val="0"/>
                <w:sz w:val="36"/>
                <w:szCs w:val="36"/>
                <w:lang w:val="en-US"/>
              </w:rPr>
              <w:t>(201</w:t>
            </w:r>
            <w:r>
              <w:rPr>
                <w:rFonts w:hint="eastAsia" w:ascii="宋体" w:hAnsi="宋体" w:cs="宋体"/>
                <w:color w:val="000000"/>
                <w:kern w:val="0"/>
                <w:sz w:val="36"/>
                <w:szCs w:val="36"/>
                <w:lang w:val="en-US" w:eastAsia="zh-CN"/>
              </w:rPr>
              <w:t>9</w:t>
            </w:r>
            <w:r>
              <w:rPr>
                <w:rFonts w:hint="eastAsia" w:ascii="宋体" w:hAnsi="宋体" w:eastAsia="宋体" w:cs="宋体"/>
                <w:color w:val="000000"/>
                <w:kern w:val="0"/>
                <w:sz w:val="36"/>
                <w:szCs w:val="36"/>
                <w:lang w:val="en-US"/>
              </w:rPr>
              <w:t xml:space="preserve"> </w:t>
            </w:r>
            <w:r>
              <w:rPr>
                <w:rFonts w:hint="eastAsia" w:ascii="宋体" w:hAnsi="宋体" w:eastAsia="宋体" w:cs="宋体"/>
                <w:color w:val="000000"/>
                <w:kern w:val="0"/>
                <w:sz w:val="36"/>
                <w:szCs w:val="36"/>
              </w:rPr>
              <w:t>年度</w:t>
            </w:r>
            <w:r>
              <w:rPr>
                <w:rFonts w:hint="eastAsia" w:ascii="宋体" w:hAnsi="宋体" w:eastAsia="宋体" w:cs="宋体"/>
                <w:color w:val="000000"/>
                <w:kern w:val="0"/>
                <w:sz w:val="36"/>
                <w:szCs w:val="36"/>
                <w:lang w:val="en-US"/>
              </w:rPr>
              <w:t>)</w:t>
            </w:r>
          </w:p>
        </w:tc>
      </w:tr>
      <w:tr>
        <w:tblPrEx>
          <w:tblCellMar>
            <w:top w:w="0" w:type="dxa"/>
            <w:left w:w="0" w:type="dxa"/>
            <w:bottom w:w="0" w:type="dxa"/>
            <w:right w:w="0" w:type="dxa"/>
          </w:tblCellMar>
        </w:tblPrEx>
        <w:trPr>
          <w:trHeight w:val="530" w:hRule="atLeast"/>
        </w:trPr>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黑体" w:hAnsi="宋体" w:eastAsia="黑体"/>
                <w:sz w:val="36"/>
                <w:szCs w:val="36"/>
                <w:lang w:val="zh-CN"/>
              </w:rPr>
              <w:t>壤塘县上壤塘乡中心小学校和吾依乡中心小学校少年宫设备采购项目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教育局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预算数: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23.62</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执行数: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22.44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23.62</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22.44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0</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120" w:beforeLines="50" w:beforeAutospacing="0" w:after="120" w:afterLines="5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0</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绩效指标完成情况</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二级指标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三级指标</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建设学校数量 </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both"/>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根据投标书等进行验收并合格 </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合格</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时效指标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2019年底完成</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完成</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社会效益</w:t>
            </w:r>
          </w:p>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覆盖两所学校的全部学生 </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全覆盖</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可持续影响</w:t>
            </w:r>
          </w:p>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电器设备可持续使用6年以上</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≥6年</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服务对象</w:t>
            </w:r>
          </w:p>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满意度指标</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使用者满意度</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≥90%</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120" w:beforeLines="50" w:beforeAutospacing="0" w:after="120" w:afterLines="50" w:afterAutospacing="0" w:line="360" w:lineRule="auto"/>
              <w:ind w:left="0" w:right="0"/>
              <w:jc w:val="center"/>
              <w:textAlignment w:val="center"/>
              <w:rPr>
                <w:rFonts w:hint="eastAsia" w:ascii="宋体" w:hAnsi="宋体" w:eastAsia="宋体" w:cs="宋体"/>
                <w:color w:val="000000"/>
                <w:sz w:val="24"/>
                <w:szCs w:val="24"/>
                <w:lang w:val="en-US"/>
              </w:rPr>
            </w:pP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keepNext w:val="0"/>
        <w:keepLines w:val="0"/>
        <w:widowControl w:val="0"/>
        <w:suppressLineNumbers w:val="0"/>
        <w:adjustRightInd w:val="0"/>
        <w:snapToGrid w:val="0"/>
        <w:spacing w:before="0" w:beforeAutospacing="0" w:after="0" w:afterAutospacing="0" w:line="580" w:lineRule="exact"/>
        <w:ind w:left="0" w:right="0" w:firstLine="720"/>
        <w:jc w:val="both"/>
        <w:rPr>
          <w:rFonts w:ascii="仿宋" w:hAnsi="仿宋" w:eastAsia="仿宋" w:cs="楷体_GB2312"/>
          <w:b/>
          <w:bCs/>
          <w:sz w:val="32"/>
          <w:szCs w:val="32"/>
        </w:rPr>
      </w:pPr>
      <w:r>
        <w:rPr>
          <w:rFonts w:hint="eastAsia" w:ascii="仿宋_GB2312" w:hAnsi="仿宋_GB2312" w:eastAsia="仿宋_GB2312" w:cs="仿宋_GB2312"/>
          <w:kern w:val="2"/>
          <w:sz w:val="32"/>
          <w:szCs w:val="32"/>
          <w:lang w:val="en-US" w:eastAsia="zh-CN" w:bidi="ar"/>
        </w:rPr>
        <w:t>本部门自行组织对5个项目其中：</w:t>
      </w:r>
      <w:r>
        <w:rPr>
          <w:rFonts w:hint="eastAsia" w:ascii="仿宋_GB2312" w:hAnsi="仿宋_GB2312" w:eastAsia="仿宋_GB2312" w:cs="仿宋_GB2312"/>
          <w:sz w:val="32"/>
          <w:szCs w:val="32"/>
        </w:rPr>
        <w:t>组织对农村义务教育学生营养改善项目</w:t>
      </w:r>
      <w:r>
        <w:rPr>
          <w:rFonts w:hint="eastAsia" w:ascii="仿宋_GB2312" w:hAnsi="仿宋_GB2312" w:eastAsia="仿宋_GB2312" w:cs="仿宋_GB2312"/>
          <w:sz w:val="32"/>
          <w:szCs w:val="32"/>
          <w:lang w:eastAsia="zh-CN"/>
        </w:rPr>
        <w:t>，义务教育寄宿生资助 ，壤塘县机关幼儿园校舍及附属工程，2019年行动计划教学仪器设备采购项目，壤塘县机关幼儿园校舍及附属工程，壤塘县上壤塘乡中心小学校和吾依乡中心小学校少年宫设备采购项目。</w:t>
      </w:r>
      <w:r>
        <w:rPr>
          <w:rFonts w:hint="eastAsia" w:ascii="仿宋_GB2312" w:hAnsi="仿宋_GB2312" w:eastAsia="仿宋_GB2312" w:cs="仿宋_GB2312"/>
          <w:kern w:val="2"/>
          <w:sz w:val="32"/>
          <w:szCs w:val="32"/>
          <w:lang w:val="en-US" w:eastAsia="zh-CN" w:bidi="ar"/>
        </w:rPr>
        <w:t>这些项目的实施推动了壤塘县十五年义务教育阶段学生的学习生活水平，</w:t>
      </w:r>
      <w:r>
        <w:rPr>
          <w:rFonts w:hint="eastAsia" w:ascii="仿宋" w:hAnsi="仿宋" w:eastAsia="仿宋" w:cs="仿宋"/>
          <w:kern w:val="2"/>
          <w:sz w:val="32"/>
          <w:szCs w:val="32"/>
          <w:lang w:val="en-US" w:eastAsia="zh-CN" w:bidi="ar"/>
        </w:rPr>
        <w:t>促进了我县教学质量不断提高，教育教学取得初步成效。不但极大地改善了我县办学条件，发挥了学校规模效益，加快了学校均衡发展，提高了教师素质，提高了教学质量，而且深得民心，促进了我县民族教育事业不断向前发展。</w:t>
      </w:r>
    </w:p>
    <w:p>
      <w:pPr>
        <w:numPr>
          <w:ilvl w:val="0"/>
          <w:numId w:val="5"/>
        </w:numPr>
        <w:spacing w:line="600" w:lineRule="exact"/>
        <w:ind w:firstLine="660" w:firstLineChars="150"/>
        <w:jc w:val="center"/>
        <w:outlineLvl w:val="0"/>
        <w:rPr>
          <w:rStyle w:val="27"/>
          <w:rFonts w:ascii="黑体" w:hAnsi="黑体" w:eastAsia="黑体"/>
          <w:b w:val="0"/>
        </w:rPr>
      </w:pPr>
      <w:bookmarkStart w:id="73" w:name="_Toc15396613"/>
      <w:bookmarkStart w:id="74" w:name="_Toc15377225"/>
      <w:bookmarkStart w:id="75" w:name="_Toc15561"/>
      <w:r>
        <w:rPr>
          <w:rFonts w:hint="eastAsia" w:ascii="黑体" w:hAnsi="黑体" w:eastAsia="黑体"/>
          <w:color w:val="000000"/>
          <w:sz w:val="44"/>
          <w:szCs w:val="44"/>
        </w:rPr>
        <w:t>名</w:t>
      </w:r>
      <w:r>
        <w:rPr>
          <w:rStyle w:val="27"/>
          <w:rFonts w:hint="eastAsia" w:ascii="黑体" w:hAnsi="黑体" w:eastAsia="黑体"/>
          <w:b w:val="0"/>
        </w:rPr>
        <w:t>词解释</w:t>
      </w:r>
      <w:bookmarkEnd w:id="73"/>
      <w:bookmarkEnd w:id="74"/>
      <w:bookmarkEnd w:id="75"/>
    </w:p>
    <w:p>
      <w:pPr>
        <w:pStyle w:val="25"/>
        <w:spacing w:line="560" w:lineRule="exact"/>
        <w:ind w:firstLine="640" w:firstLineChars="200"/>
        <w:rPr>
          <w:rFonts w:hint="eastAsia" w:ascii="仿宋_GB2312" w:hAnsi="仿宋_GB2312" w:eastAsia="仿宋_GB2312" w:cs="仿宋_GB2312"/>
          <w:sz w:val="32"/>
          <w:szCs w:val="32"/>
          <w:lang w:eastAsia="zh-CN"/>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5"/>
        <w:spacing w:line="560" w:lineRule="exact"/>
        <w:ind w:left="638" w:leftChars="304"/>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hint="eastAsia" w:ascii="仿宋_GB2312" w:eastAsia="仿宋_GB2312"/>
          <w:sz w:val="32"/>
          <w:szCs w:val="32"/>
        </w:rPr>
        <w:t>、</w:t>
      </w:r>
      <w:r>
        <w:rPr>
          <w:rFonts w:hint="eastAsia" w:ascii="仿宋_GB2312" w:eastAsia="仿宋_GB2312"/>
          <w:color w:val="000000"/>
          <w:sz w:val="32"/>
          <w:szCs w:val="32"/>
        </w:rPr>
        <w:t>教育205（类）02（款）01（项）：指反映各部门举办的学前教育支出。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10</w:t>
      </w:r>
      <w:r>
        <w:rPr>
          <w:rFonts w:hint="eastAsia" w:ascii="仿宋_GB2312" w:eastAsia="仿宋_GB2312"/>
          <w:sz w:val="32"/>
          <w:szCs w:val="32"/>
        </w:rPr>
        <w:t>、</w:t>
      </w:r>
      <w:r>
        <w:rPr>
          <w:rFonts w:hint="eastAsia" w:ascii="仿宋_GB2312" w:eastAsia="仿宋_GB2312"/>
          <w:color w:val="000000"/>
          <w:sz w:val="32"/>
          <w:szCs w:val="32"/>
        </w:rPr>
        <w:t>教育205（类）02（款）02（项）：指反映各部门举办的小学教育支出。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11</w:t>
      </w:r>
      <w:r>
        <w:rPr>
          <w:rFonts w:hint="eastAsia" w:ascii="仿宋_GB2312" w:eastAsia="仿宋_GB2312"/>
          <w:sz w:val="32"/>
          <w:szCs w:val="32"/>
        </w:rPr>
        <w:t>、</w:t>
      </w:r>
      <w:r>
        <w:rPr>
          <w:rFonts w:hint="eastAsia" w:ascii="仿宋_GB2312" w:eastAsia="仿宋_GB2312"/>
          <w:color w:val="000000"/>
          <w:sz w:val="32"/>
          <w:szCs w:val="32"/>
        </w:rPr>
        <w:t>教育205（类）02（款）03（项）：指反映各部门举办的初中教育支出。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12</w:t>
      </w:r>
      <w:r>
        <w:rPr>
          <w:rFonts w:hint="eastAsia" w:ascii="仿宋_GB2312" w:eastAsia="仿宋_GB2312"/>
          <w:sz w:val="32"/>
          <w:szCs w:val="32"/>
        </w:rPr>
        <w:t>、</w:t>
      </w:r>
      <w:r>
        <w:rPr>
          <w:rFonts w:hint="eastAsia" w:ascii="仿宋_GB2312" w:eastAsia="仿宋_GB2312"/>
          <w:color w:val="000000"/>
          <w:sz w:val="32"/>
          <w:szCs w:val="32"/>
        </w:rPr>
        <w:t>教育205（类）02（款）04（项）：指反映各部门举办的高中教育支出。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13、社会保障和就业208（类）05（款）05（项）：指反映机关事业单位实施养老保险制度由单位缴纳的基本养老保险费支出。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14、社会保障和就业208（类）05（款）06（项）：指反映机关事业单位实施养老保险制度由单位实际缴纳的职业年金支出。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15、医疗卫生与计划生育210（类）11（款）02（项）：指反映财政部门集中安排的事业单位基本医疗保险缴费经费，未参加医疗保险的事业单位的公费医疗经费，按国家规定享受离休人员待遇的医疗经费。</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16、住房保障221（类）02（款）01（项）：指反映行政事业单位按人力资源和社会保障部、财政部规定的基本工资和津贴补贴以及规定比例为职工缴纳的住房公积金。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19、经营支出：指事业单位在专业业务活动及其辅助活动之外开展非独立核算经营活动发生的支出。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hint="eastAsia" w:ascii="仿宋_GB2312" w:eastAsia="仿宋_GB2312"/>
          <w:sz w:val="32"/>
          <w:szCs w:val="32"/>
        </w:rPr>
      </w:pPr>
    </w:p>
    <w:p>
      <w:pPr>
        <w:pStyle w:val="25"/>
        <w:spacing w:line="560" w:lineRule="exact"/>
        <w:ind w:firstLine="640" w:firstLineChars="200"/>
        <w:rPr>
          <w:rFonts w:ascii="仿宋_GB2312" w:eastAsia="仿宋_GB2312" w:cs="黑体"/>
          <w:sz w:val="32"/>
          <w:szCs w:val="32"/>
        </w:rPr>
      </w:pPr>
    </w:p>
    <w:p>
      <w:pPr>
        <w:spacing w:line="600" w:lineRule="exact"/>
        <w:jc w:val="center"/>
        <w:outlineLvl w:val="9"/>
        <w:rPr>
          <w:rFonts w:ascii="黑体" w:hAnsi="黑体" w:eastAsia="黑体"/>
          <w:color w:val="000000"/>
          <w:sz w:val="44"/>
          <w:szCs w:val="44"/>
        </w:rPr>
      </w:pPr>
      <w:bookmarkStart w:id="76" w:name="_Toc15396614"/>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0"/>
        <w:rPr>
          <w:rStyle w:val="33"/>
        </w:rPr>
      </w:pPr>
      <w:bookmarkStart w:id="77" w:name="_Toc54610973"/>
      <w:bookmarkStart w:id="78" w:name="_Toc10318"/>
      <w:r>
        <w:rPr>
          <w:rStyle w:val="33"/>
          <w:rFonts w:hint="eastAsia"/>
        </w:rPr>
        <w:t>第四部分 附件</w:t>
      </w:r>
      <w:bookmarkEnd w:id="77"/>
      <w:bookmarkEnd w:id="78"/>
    </w:p>
    <w:p>
      <w:pPr>
        <w:pStyle w:val="3"/>
      </w:pPr>
      <w:bookmarkStart w:id="79" w:name="_Toc54610974"/>
      <w:bookmarkStart w:id="80" w:name="_Toc15396615"/>
      <w:bookmarkStart w:id="81" w:name="_Toc2663"/>
      <w:r>
        <w:rPr>
          <w:rFonts w:hint="eastAsia"/>
        </w:rPr>
        <w:t>附件1</w:t>
      </w:r>
      <w:bookmarkEnd w:id="79"/>
      <w:bookmarkEnd w:id="80"/>
      <w:bookmarkEnd w:id="81"/>
    </w:p>
    <w:p>
      <w:pPr>
        <w:spacing w:line="600" w:lineRule="exact"/>
        <w:jc w:val="center"/>
        <w:outlineLvl w:val="0"/>
        <w:rPr>
          <w:rFonts w:ascii="黑体" w:hAnsi="黑体" w:eastAsia="黑体" w:cs="方正小标宋简体"/>
          <w:sz w:val="36"/>
          <w:szCs w:val="36"/>
        </w:rPr>
      </w:pPr>
      <w:bookmarkStart w:id="82" w:name="_Toc54610975"/>
      <w:bookmarkStart w:id="83" w:name="_Toc15396616"/>
      <w:bookmarkStart w:id="84" w:name="_Toc24402"/>
      <w:r>
        <w:rPr>
          <w:rFonts w:hint="eastAsia" w:ascii="黑体" w:hAnsi="黑体" w:eastAsia="黑体" w:cs="方正小标宋简体"/>
          <w:sz w:val="36"/>
          <w:szCs w:val="36"/>
          <w:lang w:eastAsia="zh-CN"/>
        </w:rPr>
        <w:t>壤塘县教育局</w:t>
      </w:r>
      <w:r>
        <w:rPr>
          <w:rFonts w:hint="eastAsia" w:ascii="黑体" w:hAnsi="黑体" w:eastAsia="黑体" w:cs="方正小标宋简体"/>
          <w:sz w:val="36"/>
          <w:szCs w:val="36"/>
        </w:rPr>
        <w:t>部门2019年部门整体支出绩效评价报告</w:t>
      </w:r>
      <w:bookmarkEnd w:id="82"/>
      <w:bookmarkEnd w:id="83"/>
      <w:bookmarkEnd w:id="84"/>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ind w:firstLine="800" w:firstLineChars="250"/>
        <w:rPr>
          <w:rFonts w:ascii="仿宋" w:hAnsi="仿宋" w:eastAsia="仿宋"/>
          <w:sz w:val="32"/>
          <w:szCs w:val="32"/>
        </w:rPr>
      </w:pPr>
      <w:r>
        <w:rPr>
          <w:rFonts w:hint="eastAsia" w:ascii="仿宋" w:hAnsi="仿宋" w:eastAsia="仿宋"/>
          <w:sz w:val="32"/>
          <w:szCs w:val="32"/>
          <w:lang w:eastAsia="zh-CN"/>
        </w:rPr>
        <w:t>壤塘县教育局（本级）属</w:t>
      </w:r>
      <w:r>
        <w:rPr>
          <w:rFonts w:hint="eastAsia" w:ascii="仿宋" w:hAnsi="仿宋" w:eastAsia="仿宋"/>
          <w:sz w:val="32"/>
          <w:szCs w:val="32"/>
        </w:rPr>
        <w:t>二级单位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机构职能。</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贯彻落实党的教育方针及有关教育工作的政策、法律、法规、规章，实施义务教育，促进农村基础教育发展，</w:t>
      </w:r>
      <w:r>
        <w:rPr>
          <w:rFonts w:hint="eastAsia" w:ascii="仿宋" w:hAnsi="仿宋" w:eastAsia="仿宋" w:cs="仿宋_GB2312"/>
          <w:sz w:val="32"/>
          <w:szCs w:val="32"/>
        </w:rPr>
        <w:t>义务</w:t>
      </w:r>
      <w:r>
        <w:rPr>
          <w:rFonts w:ascii="仿宋" w:hAnsi="仿宋" w:eastAsia="仿宋" w:cs="仿宋_GB2312"/>
          <w:sz w:val="32"/>
          <w:szCs w:val="32"/>
        </w:rPr>
        <w:t>学历教育。</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截止2019年12月，我校有在职教师</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人，在校学生人数</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600" w:lineRule="exact"/>
        <w:ind w:firstLine="640" w:firstLineChars="200"/>
        <w:outlineLvl w:val="1"/>
        <w:rPr>
          <w:rFonts w:ascii="仿宋" w:hAnsi="仿宋" w:eastAsia="仿宋"/>
          <w:color w:val="000000"/>
          <w:sz w:val="32"/>
          <w:szCs w:val="32"/>
        </w:rPr>
      </w:pPr>
      <w:bookmarkStart w:id="85" w:name="_Toc54610976"/>
      <w:bookmarkStart w:id="86" w:name="_Toc29535"/>
      <w:r>
        <w:rPr>
          <w:rFonts w:ascii="仿宋" w:hAnsi="仿宋" w:eastAsia="仿宋"/>
          <w:color w:val="000000"/>
          <w:sz w:val="32"/>
          <w:szCs w:val="32"/>
        </w:rPr>
        <w:t>201</w:t>
      </w:r>
      <w:r>
        <w:rPr>
          <w:rFonts w:hint="eastAsia" w:ascii="仿宋" w:hAnsi="仿宋" w:eastAsia="仿宋"/>
          <w:color w:val="000000"/>
          <w:sz w:val="32"/>
          <w:szCs w:val="32"/>
        </w:rPr>
        <w:t>9年本年收入合计7,547.03万元，其中：一般公共预算财政拨款收入</w:t>
      </w:r>
      <w:r>
        <w:rPr>
          <w:rFonts w:hint="eastAsia" w:ascii="仿宋" w:hAnsi="仿宋" w:eastAsia="仿宋"/>
          <w:color w:val="000000"/>
          <w:sz w:val="32"/>
          <w:szCs w:val="32"/>
          <w:lang w:val="en-US" w:eastAsia="zh-CN"/>
        </w:rPr>
        <w:t>7494.03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99.30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0.7</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bookmarkEnd w:id="85"/>
      <w:bookmarkEnd w:id="86"/>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9318.83</w:t>
      </w:r>
      <w:r>
        <w:rPr>
          <w:rFonts w:hint="eastAsia" w:ascii="仿宋" w:hAnsi="仿宋" w:eastAsia="仿宋"/>
          <w:color w:val="000000"/>
          <w:sz w:val="32"/>
          <w:szCs w:val="32"/>
        </w:rPr>
        <w:t>万元，其中：基本支出238.32万元，占</w:t>
      </w:r>
      <w:r>
        <w:rPr>
          <w:rFonts w:hint="eastAsia" w:ascii="仿宋" w:hAnsi="仿宋" w:eastAsia="仿宋"/>
          <w:color w:val="000000"/>
          <w:sz w:val="32"/>
          <w:szCs w:val="32"/>
          <w:lang w:val="en-US" w:eastAsia="zh-CN"/>
        </w:rPr>
        <w:t>2.56</w:t>
      </w:r>
      <w:r>
        <w:rPr>
          <w:rFonts w:ascii="仿宋" w:hAnsi="仿宋" w:eastAsia="仿宋"/>
          <w:color w:val="000000"/>
          <w:sz w:val="32"/>
          <w:szCs w:val="32"/>
        </w:rPr>
        <w:t>%</w:t>
      </w:r>
      <w:r>
        <w:rPr>
          <w:rFonts w:hint="eastAsia" w:ascii="仿宋" w:hAnsi="仿宋" w:eastAsia="仿宋"/>
          <w:color w:val="000000"/>
          <w:sz w:val="32"/>
          <w:szCs w:val="32"/>
        </w:rPr>
        <w:t>；项目支出9,080.51万元，占</w:t>
      </w:r>
      <w:r>
        <w:rPr>
          <w:rFonts w:hint="eastAsia" w:ascii="仿宋" w:hAnsi="仿宋" w:eastAsia="仿宋"/>
          <w:color w:val="000000"/>
          <w:sz w:val="32"/>
          <w:szCs w:val="32"/>
          <w:lang w:val="en-US" w:eastAsia="zh-CN"/>
        </w:rPr>
        <w:t>97.44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们严格预算管理，切实按照相关管理制度要求，修改完善了《财务管理规定》《公务接待管理规定》《差旅费、会议费、培训费管理规定》《公务车辆管理办法》等工作制度，进一步明确了财政预算资金审批手续和拨付程序、机关行政经费审批手续和报销程序，加强了财务管理，规范了收支行为，保证了按预算执行方案，完成预算目标。</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根据学校预算金额，专款专用，无违规超范围使用情况。</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结果应用情况。</w:t>
      </w:r>
    </w:p>
    <w:p>
      <w:pPr>
        <w:spacing w:line="580" w:lineRule="exact"/>
        <w:ind w:firstLine="960" w:firstLineChars="300"/>
        <w:rPr>
          <w:rFonts w:ascii="仿宋" w:hAnsi="仿宋" w:eastAsia="仿宋" w:cs="仿宋_GB2312"/>
          <w:sz w:val="32"/>
          <w:szCs w:val="32"/>
        </w:rPr>
      </w:pPr>
      <w:r>
        <w:rPr>
          <w:rFonts w:hint="eastAsia" w:ascii="仿宋_GB2312" w:hAnsi="仿宋_GB2312" w:eastAsia="仿宋_GB2312" w:cs="仿宋_GB2312"/>
          <w:sz w:val="32"/>
          <w:szCs w:val="32"/>
        </w:rPr>
        <w:t>教育基本经费的使用，力保学校教育教学工作的有效开展以及学校工作的正常运行；足额发放人员保障经费、严肃财经纪律，落实好资助政策，保证资金安全，及时下达资金，督促学校按时落实学前减免午餐费资金、寄宿制阶段学生生活费资金等。</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积极履职，强化管理，较好的完成了年度工作目标。通过加强预算收支管理，不断建立健全内部管理制度，梳理内部管理流程，部门整体支出管理水平得到提升。</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1、预算编制工作有待细化。预算编制不够明确和细化，预算编制的合理性需要提高，预算执行力度还要进一步加强。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2、因单位全额编制少导致经费不足：绩效工资和日常公用经费不足。</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针对上述存在的问题，拟实施的改进措施如下：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3、对相关人员加强培训，特别是针对《预算法》、《行政事业单位会计制度》等学习培训，规范部门预算收支核算，切实提高部门预算收支管理水平。</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bookmarkEnd w:id="76"/>
    <w:p>
      <w:pPr>
        <w:spacing w:line="600" w:lineRule="exact"/>
        <w:jc w:val="center"/>
        <w:outlineLvl w:val="0"/>
        <w:rPr>
          <w:rStyle w:val="33"/>
          <w:rFonts w:ascii="黑体" w:hAnsi="黑体" w:eastAsia="黑体"/>
          <w:b w:val="0"/>
        </w:rPr>
      </w:pPr>
      <w:bookmarkStart w:id="87" w:name="_Toc54610977"/>
      <w:bookmarkStart w:id="88" w:name="_Toc12673"/>
      <w:r>
        <w:rPr>
          <w:rFonts w:hint="eastAsia" w:ascii="黑体" w:hAnsi="黑体" w:eastAsia="黑体"/>
          <w:color w:val="000000"/>
          <w:sz w:val="44"/>
          <w:szCs w:val="44"/>
        </w:rPr>
        <w:t>第</w:t>
      </w:r>
      <w:r>
        <w:rPr>
          <w:rStyle w:val="33"/>
          <w:rFonts w:hint="eastAsia" w:ascii="黑体" w:hAnsi="黑体" w:eastAsia="黑体"/>
          <w:b w:val="0"/>
        </w:rPr>
        <w:t>五部分 附表</w:t>
      </w:r>
      <w:bookmarkEnd w:id="87"/>
      <w:bookmarkEnd w:id="88"/>
    </w:p>
    <w:p>
      <w:pPr>
        <w:spacing w:line="600" w:lineRule="exact"/>
        <w:jc w:val="center"/>
        <w:outlineLvl w:val="9"/>
        <w:rPr>
          <w:rFonts w:ascii="仿宋" w:hAnsi="仿宋" w:eastAsia="仿宋"/>
          <w:b/>
          <w:color w:val="000000"/>
          <w:sz w:val="44"/>
          <w:szCs w:val="44"/>
        </w:rPr>
      </w:pPr>
    </w:p>
    <w:p>
      <w:pPr>
        <w:pStyle w:val="3"/>
        <w:rPr>
          <w:rFonts w:ascii="仿宋" w:hAnsi="仿宋" w:eastAsia="仿宋"/>
          <w:color w:val="000000"/>
        </w:rPr>
      </w:pPr>
      <w:bookmarkStart w:id="89" w:name="_Toc54610978"/>
      <w:bookmarkStart w:id="90" w:name="_Toc12336"/>
      <w:r>
        <w:rPr>
          <w:rFonts w:hint="eastAsia" w:ascii="仿宋" w:hAnsi="仿宋" w:eastAsia="仿宋"/>
          <w:b w:val="0"/>
          <w:color w:val="000000"/>
        </w:rPr>
        <w:t>一、收</w:t>
      </w:r>
      <w:r>
        <w:rPr>
          <w:rStyle w:val="34"/>
          <w:rFonts w:hint="eastAsia" w:ascii="仿宋" w:hAnsi="仿宋" w:eastAsia="仿宋"/>
          <w:b w:val="0"/>
          <w:bCs w:val="0"/>
        </w:rPr>
        <w:t>入支出决算总表</w:t>
      </w:r>
      <w:bookmarkEnd w:id="89"/>
      <w:bookmarkEnd w:id="90"/>
    </w:p>
    <w:p>
      <w:pPr>
        <w:pStyle w:val="3"/>
        <w:rPr>
          <w:rFonts w:ascii="仿宋" w:hAnsi="仿宋" w:eastAsia="仿宋"/>
          <w:color w:val="000000"/>
        </w:rPr>
      </w:pPr>
      <w:bookmarkStart w:id="91" w:name="_Toc54610979"/>
      <w:bookmarkStart w:id="92" w:name="_Toc20758"/>
      <w:r>
        <w:rPr>
          <w:rFonts w:hint="eastAsia" w:ascii="仿宋" w:hAnsi="仿宋" w:eastAsia="仿宋"/>
          <w:b w:val="0"/>
          <w:color w:val="000000"/>
        </w:rPr>
        <w:t>二、收</w:t>
      </w:r>
      <w:r>
        <w:rPr>
          <w:rStyle w:val="34"/>
          <w:rFonts w:hint="eastAsia" w:ascii="仿宋" w:hAnsi="仿宋" w:eastAsia="仿宋"/>
          <w:b w:val="0"/>
          <w:bCs w:val="0"/>
        </w:rPr>
        <w:t>入决算表</w:t>
      </w:r>
      <w:bookmarkEnd w:id="91"/>
      <w:bookmarkEnd w:id="92"/>
    </w:p>
    <w:p>
      <w:pPr>
        <w:pStyle w:val="3"/>
        <w:rPr>
          <w:rFonts w:ascii="仿宋" w:hAnsi="仿宋" w:eastAsia="仿宋"/>
          <w:color w:val="000000"/>
        </w:rPr>
      </w:pPr>
      <w:bookmarkStart w:id="93" w:name="_Toc54610980"/>
      <w:bookmarkStart w:id="94" w:name="_Toc32506"/>
      <w:r>
        <w:rPr>
          <w:rStyle w:val="34"/>
          <w:rFonts w:hint="eastAsia" w:ascii="仿宋" w:hAnsi="仿宋" w:eastAsia="仿宋"/>
          <w:b w:val="0"/>
          <w:bCs w:val="0"/>
        </w:rPr>
        <w:t>三、</w:t>
      </w:r>
      <w:r>
        <w:rPr>
          <w:rFonts w:hint="eastAsia" w:ascii="仿宋" w:hAnsi="仿宋" w:eastAsia="仿宋"/>
          <w:b w:val="0"/>
          <w:color w:val="000000"/>
        </w:rPr>
        <w:t>支</w:t>
      </w:r>
      <w:r>
        <w:rPr>
          <w:rStyle w:val="34"/>
          <w:rFonts w:hint="eastAsia" w:ascii="仿宋" w:hAnsi="仿宋" w:eastAsia="仿宋"/>
          <w:b w:val="0"/>
          <w:bCs w:val="0"/>
        </w:rPr>
        <w:t>出决算表</w:t>
      </w:r>
      <w:bookmarkEnd w:id="93"/>
      <w:bookmarkEnd w:id="94"/>
    </w:p>
    <w:p>
      <w:pPr>
        <w:pStyle w:val="3"/>
        <w:rPr>
          <w:rFonts w:ascii="仿宋" w:hAnsi="仿宋" w:eastAsia="仿宋"/>
          <w:b w:val="0"/>
          <w:color w:val="000000"/>
        </w:rPr>
      </w:pPr>
      <w:bookmarkStart w:id="95" w:name="_Toc54610981"/>
      <w:bookmarkStart w:id="96" w:name="_Toc19768"/>
      <w:r>
        <w:rPr>
          <w:rStyle w:val="34"/>
          <w:rFonts w:hint="eastAsia" w:ascii="仿宋" w:hAnsi="仿宋" w:eastAsia="仿宋"/>
          <w:b w:val="0"/>
          <w:bCs w:val="0"/>
        </w:rPr>
        <w:t>四、</w:t>
      </w:r>
      <w:r>
        <w:rPr>
          <w:rFonts w:hint="eastAsia" w:ascii="仿宋" w:hAnsi="仿宋" w:eastAsia="仿宋"/>
          <w:b w:val="0"/>
          <w:color w:val="000000"/>
        </w:rPr>
        <w:t>财</w:t>
      </w:r>
      <w:r>
        <w:rPr>
          <w:rStyle w:val="34"/>
          <w:rFonts w:hint="eastAsia" w:ascii="仿宋" w:hAnsi="仿宋" w:eastAsia="仿宋"/>
          <w:b w:val="0"/>
          <w:bCs w:val="0"/>
        </w:rPr>
        <w:t>政拨款收入支出决算总表</w:t>
      </w:r>
      <w:bookmarkEnd w:id="95"/>
      <w:bookmarkEnd w:id="96"/>
    </w:p>
    <w:p>
      <w:pPr>
        <w:pStyle w:val="3"/>
        <w:rPr>
          <w:rStyle w:val="34"/>
          <w:rFonts w:ascii="仿宋" w:hAnsi="仿宋" w:eastAsia="仿宋"/>
          <w:b w:val="0"/>
          <w:bCs w:val="0"/>
        </w:rPr>
      </w:pPr>
      <w:bookmarkStart w:id="97" w:name="_Toc54610982"/>
      <w:bookmarkStart w:id="98" w:name="_Toc32170"/>
      <w:r>
        <w:rPr>
          <w:rStyle w:val="34"/>
          <w:rFonts w:hint="eastAsia" w:ascii="仿宋" w:hAnsi="仿宋" w:eastAsia="仿宋"/>
          <w:b w:val="0"/>
          <w:bCs w:val="0"/>
        </w:rPr>
        <w:t>五、</w:t>
      </w:r>
      <w:r>
        <w:rPr>
          <w:rFonts w:hint="eastAsia" w:ascii="仿宋" w:hAnsi="仿宋" w:eastAsia="仿宋"/>
          <w:b w:val="0"/>
          <w:color w:val="000000"/>
        </w:rPr>
        <w:t>财</w:t>
      </w:r>
      <w:r>
        <w:rPr>
          <w:rStyle w:val="34"/>
          <w:rFonts w:hint="eastAsia" w:ascii="仿宋" w:hAnsi="仿宋" w:eastAsia="仿宋"/>
          <w:b w:val="0"/>
          <w:bCs w:val="0"/>
        </w:rPr>
        <w:t>政拨款支出决算明细表</w:t>
      </w:r>
      <w:bookmarkEnd w:id="97"/>
      <w:bookmarkEnd w:id="98"/>
    </w:p>
    <w:p>
      <w:pPr>
        <w:pStyle w:val="3"/>
        <w:rPr>
          <w:rFonts w:ascii="仿宋" w:hAnsi="仿宋" w:eastAsia="仿宋"/>
          <w:color w:val="000000"/>
        </w:rPr>
      </w:pPr>
      <w:bookmarkStart w:id="99" w:name="_Toc54610983"/>
      <w:bookmarkStart w:id="100" w:name="_Toc29183"/>
      <w:r>
        <w:rPr>
          <w:rStyle w:val="34"/>
          <w:rFonts w:hint="eastAsia" w:ascii="仿宋" w:hAnsi="仿宋" w:eastAsia="仿宋"/>
          <w:b w:val="0"/>
          <w:bCs w:val="0"/>
        </w:rPr>
        <w:t>六、</w:t>
      </w:r>
      <w:r>
        <w:rPr>
          <w:rFonts w:hint="eastAsia" w:ascii="仿宋" w:hAnsi="仿宋" w:eastAsia="仿宋"/>
          <w:b w:val="0"/>
          <w:color w:val="000000"/>
        </w:rPr>
        <w:t>一</w:t>
      </w:r>
      <w:r>
        <w:rPr>
          <w:rStyle w:val="34"/>
          <w:rFonts w:hint="eastAsia" w:ascii="仿宋" w:hAnsi="仿宋" w:eastAsia="仿宋"/>
          <w:b w:val="0"/>
          <w:bCs w:val="0"/>
        </w:rPr>
        <w:t>般公共预算财政拨款支出决算表</w:t>
      </w:r>
      <w:bookmarkEnd w:id="99"/>
      <w:bookmarkEnd w:id="100"/>
    </w:p>
    <w:p>
      <w:pPr>
        <w:pStyle w:val="3"/>
        <w:rPr>
          <w:rFonts w:ascii="仿宋" w:hAnsi="仿宋" w:eastAsia="仿宋"/>
          <w:color w:val="000000"/>
        </w:rPr>
      </w:pPr>
      <w:bookmarkStart w:id="101" w:name="_Toc54610984"/>
      <w:bookmarkStart w:id="102" w:name="_Toc15981"/>
      <w:r>
        <w:rPr>
          <w:rStyle w:val="34"/>
          <w:rFonts w:hint="eastAsia" w:ascii="仿宋" w:hAnsi="仿宋" w:eastAsia="仿宋"/>
          <w:b w:val="0"/>
          <w:bCs w:val="0"/>
        </w:rPr>
        <w:t>七、</w:t>
      </w:r>
      <w:r>
        <w:rPr>
          <w:rFonts w:hint="eastAsia" w:ascii="仿宋" w:hAnsi="仿宋" w:eastAsia="仿宋"/>
          <w:b w:val="0"/>
          <w:color w:val="000000"/>
        </w:rPr>
        <w:t>一</w:t>
      </w:r>
      <w:r>
        <w:rPr>
          <w:rStyle w:val="34"/>
          <w:rFonts w:hint="eastAsia" w:ascii="仿宋" w:hAnsi="仿宋" w:eastAsia="仿宋"/>
          <w:b w:val="0"/>
          <w:bCs w:val="0"/>
        </w:rPr>
        <w:t>般公共预算财政拨款支出决算明细表</w:t>
      </w:r>
      <w:bookmarkEnd w:id="101"/>
      <w:bookmarkEnd w:id="102"/>
    </w:p>
    <w:p>
      <w:pPr>
        <w:pStyle w:val="3"/>
        <w:rPr>
          <w:rFonts w:ascii="仿宋" w:hAnsi="仿宋" w:eastAsia="仿宋"/>
          <w:color w:val="000000"/>
        </w:rPr>
      </w:pPr>
      <w:bookmarkStart w:id="103" w:name="_Toc54610985"/>
      <w:bookmarkStart w:id="104" w:name="_Toc28045"/>
      <w:r>
        <w:rPr>
          <w:rStyle w:val="34"/>
          <w:rFonts w:hint="eastAsia" w:ascii="仿宋" w:hAnsi="仿宋" w:eastAsia="仿宋"/>
          <w:b w:val="0"/>
          <w:bCs w:val="0"/>
        </w:rPr>
        <w:t>八、</w:t>
      </w:r>
      <w:r>
        <w:rPr>
          <w:rFonts w:hint="eastAsia" w:ascii="仿宋" w:hAnsi="仿宋" w:eastAsia="仿宋"/>
          <w:b w:val="0"/>
          <w:color w:val="000000"/>
        </w:rPr>
        <w:t>一</w:t>
      </w:r>
      <w:r>
        <w:rPr>
          <w:rStyle w:val="34"/>
          <w:rFonts w:hint="eastAsia" w:ascii="仿宋" w:hAnsi="仿宋" w:eastAsia="仿宋"/>
          <w:b w:val="0"/>
          <w:bCs w:val="0"/>
        </w:rPr>
        <w:t>般公共预算财政拨款基本支出决算表</w:t>
      </w:r>
      <w:bookmarkEnd w:id="103"/>
      <w:bookmarkEnd w:id="104"/>
    </w:p>
    <w:p>
      <w:pPr>
        <w:pStyle w:val="3"/>
        <w:rPr>
          <w:rFonts w:ascii="仿宋" w:hAnsi="仿宋" w:eastAsia="仿宋"/>
          <w:color w:val="000000"/>
        </w:rPr>
      </w:pPr>
      <w:bookmarkStart w:id="105" w:name="_Toc54610986"/>
      <w:bookmarkStart w:id="106" w:name="_Toc12509"/>
      <w:r>
        <w:rPr>
          <w:rStyle w:val="34"/>
          <w:rFonts w:hint="eastAsia" w:ascii="仿宋" w:hAnsi="仿宋" w:eastAsia="仿宋"/>
          <w:b w:val="0"/>
          <w:bCs w:val="0"/>
        </w:rPr>
        <w:t>九、</w:t>
      </w:r>
      <w:r>
        <w:rPr>
          <w:rFonts w:hint="eastAsia" w:ascii="仿宋" w:hAnsi="仿宋" w:eastAsia="仿宋"/>
          <w:b w:val="0"/>
          <w:color w:val="000000"/>
        </w:rPr>
        <w:t>一</w:t>
      </w:r>
      <w:r>
        <w:rPr>
          <w:rStyle w:val="34"/>
          <w:rFonts w:hint="eastAsia" w:ascii="仿宋" w:hAnsi="仿宋" w:eastAsia="仿宋"/>
          <w:b w:val="0"/>
          <w:bCs w:val="0"/>
        </w:rPr>
        <w:t>般公共预算财政拨款项目支出决算表</w:t>
      </w:r>
      <w:bookmarkEnd w:id="105"/>
      <w:bookmarkEnd w:id="106"/>
    </w:p>
    <w:p>
      <w:pPr>
        <w:pStyle w:val="3"/>
        <w:rPr>
          <w:rFonts w:ascii="仿宋" w:hAnsi="仿宋" w:eastAsia="仿宋"/>
          <w:color w:val="000000"/>
        </w:rPr>
      </w:pPr>
      <w:bookmarkStart w:id="107" w:name="_Toc54610987"/>
      <w:bookmarkStart w:id="108" w:name="_Toc2830"/>
      <w:r>
        <w:rPr>
          <w:rStyle w:val="34"/>
          <w:rFonts w:hint="eastAsia" w:ascii="仿宋" w:hAnsi="仿宋" w:eastAsia="仿宋"/>
          <w:b w:val="0"/>
          <w:bCs w:val="0"/>
        </w:rPr>
        <w:t>十、</w:t>
      </w:r>
      <w:r>
        <w:rPr>
          <w:rFonts w:hint="eastAsia" w:ascii="仿宋" w:hAnsi="仿宋" w:eastAsia="仿宋"/>
          <w:b w:val="0"/>
          <w:color w:val="000000"/>
        </w:rPr>
        <w:t>一</w:t>
      </w:r>
      <w:r>
        <w:rPr>
          <w:rStyle w:val="34"/>
          <w:rFonts w:hint="eastAsia" w:ascii="仿宋" w:hAnsi="仿宋" w:eastAsia="仿宋"/>
          <w:b w:val="0"/>
          <w:bCs w:val="0"/>
        </w:rPr>
        <w:t>般公共预算财政拨款“三公”经费支出决算表</w:t>
      </w:r>
      <w:bookmarkEnd w:id="107"/>
      <w:bookmarkEnd w:id="108"/>
    </w:p>
    <w:p>
      <w:pPr>
        <w:pStyle w:val="3"/>
        <w:rPr>
          <w:rFonts w:ascii="仿宋" w:hAnsi="仿宋" w:eastAsia="仿宋"/>
          <w:color w:val="000000"/>
        </w:rPr>
      </w:pPr>
      <w:bookmarkStart w:id="109" w:name="_Toc54610988"/>
      <w:bookmarkStart w:id="110" w:name="_Toc3466"/>
      <w:r>
        <w:rPr>
          <w:rStyle w:val="34"/>
          <w:rFonts w:hint="eastAsia" w:ascii="仿宋" w:hAnsi="仿宋" w:eastAsia="仿宋"/>
          <w:b w:val="0"/>
          <w:bCs w:val="0"/>
        </w:rPr>
        <w:t>十一、</w:t>
      </w:r>
      <w:r>
        <w:rPr>
          <w:rFonts w:hint="eastAsia" w:ascii="仿宋" w:hAnsi="仿宋" w:eastAsia="仿宋"/>
          <w:b w:val="0"/>
          <w:color w:val="000000"/>
        </w:rPr>
        <w:t>政</w:t>
      </w:r>
      <w:r>
        <w:rPr>
          <w:rStyle w:val="34"/>
          <w:rFonts w:hint="eastAsia" w:ascii="仿宋" w:hAnsi="仿宋" w:eastAsia="仿宋"/>
          <w:b w:val="0"/>
          <w:bCs w:val="0"/>
        </w:rPr>
        <w:t>府性基金预算财政拨款收入支出决算表</w:t>
      </w:r>
      <w:bookmarkEnd w:id="109"/>
      <w:bookmarkEnd w:id="110"/>
    </w:p>
    <w:p>
      <w:pPr>
        <w:pStyle w:val="3"/>
        <w:rPr>
          <w:rFonts w:ascii="仿宋" w:hAnsi="仿宋" w:eastAsia="仿宋"/>
          <w:color w:val="000000"/>
        </w:rPr>
      </w:pPr>
      <w:bookmarkStart w:id="111" w:name="_Toc54610989"/>
      <w:bookmarkStart w:id="112" w:name="_Toc6811"/>
      <w:r>
        <w:rPr>
          <w:rStyle w:val="34"/>
          <w:rFonts w:hint="eastAsia" w:ascii="仿宋" w:hAnsi="仿宋" w:eastAsia="仿宋"/>
          <w:b w:val="0"/>
          <w:bCs w:val="0"/>
        </w:rPr>
        <w:t>十二、</w:t>
      </w:r>
      <w:r>
        <w:rPr>
          <w:rFonts w:hint="eastAsia" w:ascii="仿宋" w:hAnsi="仿宋" w:eastAsia="仿宋"/>
          <w:b w:val="0"/>
          <w:color w:val="000000"/>
        </w:rPr>
        <w:t>政</w:t>
      </w:r>
      <w:r>
        <w:rPr>
          <w:rStyle w:val="34"/>
          <w:rFonts w:hint="eastAsia" w:ascii="仿宋" w:hAnsi="仿宋" w:eastAsia="仿宋"/>
          <w:b w:val="0"/>
          <w:bCs w:val="0"/>
        </w:rPr>
        <w:t>府性基金预算财政拨款“三公”经费支出决算表</w:t>
      </w:r>
      <w:bookmarkEnd w:id="111"/>
      <w:bookmarkEnd w:id="112"/>
    </w:p>
    <w:p>
      <w:pPr>
        <w:pStyle w:val="3"/>
        <w:rPr>
          <w:rFonts w:ascii="仿宋" w:hAnsi="仿宋" w:eastAsia="仿宋"/>
          <w:color w:val="000000" w:themeColor="text1"/>
        </w:rPr>
      </w:pPr>
      <w:bookmarkStart w:id="113" w:name="_Toc54610990"/>
      <w:bookmarkStart w:id="114" w:name="_Toc7879"/>
      <w:r>
        <w:rPr>
          <w:rStyle w:val="34"/>
          <w:rFonts w:hint="eastAsia" w:ascii="仿宋" w:hAnsi="仿宋" w:eastAsia="仿宋"/>
          <w:b w:val="0"/>
          <w:bCs w:val="0"/>
        </w:rPr>
        <w:t>十三、</w:t>
      </w:r>
      <w:r>
        <w:rPr>
          <w:rFonts w:hint="eastAsia" w:ascii="仿宋" w:hAnsi="仿宋" w:eastAsia="仿宋"/>
          <w:b w:val="0"/>
          <w:color w:val="000000"/>
        </w:rPr>
        <w:t>国</w:t>
      </w:r>
      <w:r>
        <w:rPr>
          <w:rStyle w:val="34"/>
          <w:rFonts w:hint="eastAsia" w:ascii="仿宋" w:hAnsi="仿宋" w:eastAsia="仿宋"/>
          <w:b w:val="0"/>
          <w:bCs w:val="0"/>
        </w:rPr>
        <w:t>有资本经营预算支出决算表</w:t>
      </w:r>
      <w:bookmarkEnd w:id="113"/>
      <w:bookmarkEnd w:id="114"/>
    </w:p>
    <w:p>
      <w:pPr>
        <w:spacing w:line="600" w:lineRule="exact"/>
        <w:jc w:val="center"/>
        <w:outlineLvl w:val="0"/>
        <w:rPr>
          <w:rStyle w:val="27"/>
          <w:rFonts w:ascii="黑体" w:hAnsi="黑体" w:eastAsia="黑体"/>
          <w:b w:val="0"/>
        </w:rPr>
      </w:pPr>
      <w:bookmarkStart w:id="115" w:name="_Toc5462"/>
      <w:r>
        <w:rPr>
          <w:rFonts w:hint="eastAsia" w:ascii="黑体" w:hAnsi="黑体" w:eastAsia="黑体"/>
          <w:color w:val="000000"/>
          <w:sz w:val="44"/>
          <w:szCs w:val="44"/>
        </w:rPr>
        <w:t>第</w:t>
      </w:r>
      <w:r>
        <w:rPr>
          <w:rStyle w:val="27"/>
          <w:rFonts w:hint="eastAsia" w:ascii="黑体" w:hAnsi="黑体" w:eastAsia="黑体"/>
          <w:b w:val="0"/>
        </w:rPr>
        <w:t>五部分 附表</w:t>
      </w:r>
      <w:bookmarkEnd w:id="71"/>
      <w:bookmarkEnd w:id="72"/>
      <w:bookmarkEnd w:id="115"/>
    </w:p>
    <w:p>
      <w:pPr>
        <w:spacing w:line="600" w:lineRule="exact"/>
        <w:jc w:val="center"/>
        <w:outlineLvl w:val="9"/>
        <w:rPr>
          <w:rFonts w:ascii="仿宋" w:hAnsi="仿宋" w:eastAsia="仿宋"/>
          <w:b/>
          <w:color w:val="000000"/>
          <w:sz w:val="44"/>
          <w:szCs w:val="44"/>
        </w:rPr>
      </w:pPr>
    </w:p>
    <w:p>
      <w:pPr>
        <w:pStyle w:val="3"/>
        <w:rPr>
          <w:rFonts w:ascii="仿宋" w:hAnsi="仿宋" w:eastAsia="仿宋"/>
          <w:color w:val="000000"/>
        </w:rPr>
      </w:pPr>
      <w:bookmarkStart w:id="116" w:name="_Toc15396619"/>
      <w:bookmarkStart w:id="117" w:name="_Toc22757"/>
      <w:r>
        <w:rPr>
          <w:rFonts w:hint="eastAsia" w:ascii="仿宋" w:hAnsi="仿宋" w:eastAsia="仿宋"/>
          <w:b w:val="0"/>
          <w:color w:val="000000"/>
        </w:rPr>
        <w:t>一、收</w:t>
      </w:r>
      <w:r>
        <w:rPr>
          <w:rStyle w:val="28"/>
          <w:rFonts w:hint="eastAsia" w:ascii="仿宋" w:hAnsi="仿宋" w:eastAsia="仿宋"/>
          <w:b w:val="0"/>
          <w:bCs w:val="0"/>
        </w:rPr>
        <w:t>入支出决算总表</w:t>
      </w:r>
      <w:bookmarkEnd w:id="116"/>
      <w:bookmarkEnd w:id="117"/>
    </w:p>
    <w:p>
      <w:pPr>
        <w:pStyle w:val="3"/>
        <w:rPr>
          <w:rFonts w:ascii="仿宋" w:hAnsi="仿宋" w:eastAsia="仿宋"/>
          <w:color w:val="000000"/>
        </w:rPr>
      </w:pPr>
      <w:bookmarkStart w:id="118" w:name="_Toc15396620"/>
      <w:bookmarkStart w:id="119" w:name="_Toc18228"/>
      <w:r>
        <w:rPr>
          <w:rFonts w:hint="eastAsia" w:ascii="仿宋" w:hAnsi="仿宋" w:eastAsia="仿宋"/>
          <w:b w:val="0"/>
          <w:color w:val="000000"/>
        </w:rPr>
        <w:t>二、收</w:t>
      </w:r>
      <w:r>
        <w:rPr>
          <w:rStyle w:val="28"/>
          <w:rFonts w:hint="eastAsia" w:ascii="仿宋" w:hAnsi="仿宋" w:eastAsia="仿宋"/>
          <w:b w:val="0"/>
          <w:bCs w:val="0"/>
        </w:rPr>
        <w:t>入决算表</w:t>
      </w:r>
      <w:bookmarkEnd w:id="118"/>
      <w:bookmarkEnd w:id="119"/>
    </w:p>
    <w:p>
      <w:pPr>
        <w:pStyle w:val="3"/>
        <w:rPr>
          <w:rFonts w:ascii="仿宋" w:hAnsi="仿宋" w:eastAsia="仿宋"/>
          <w:color w:val="000000"/>
        </w:rPr>
      </w:pPr>
      <w:bookmarkStart w:id="120" w:name="_Toc15396621"/>
      <w:bookmarkStart w:id="121" w:name="_Toc1347"/>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20"/>
      <w:bookmarkEnd w:id="121"/>
    </w:p>
    <w:p>
      <w:pPr>
        <w:pStyle w:val="3"/>
        <w:rPr>
          <w:rFonts w:ascii="仿宋" w:hAnsi="仿宋" w:eastAsia="仿宋"/>
          <w:b w:val="0"/>
          <w:color w:val="000000"/>
        </w:rPr>
      </w:pPr>
      <w:bookmarkStart w:id="122" w:name="_Toc15396622"/>
      <w:bookmarkStart w:id="123" w:name="_Toc21587"/>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22"/>
      <w:bookmarkEnd w:id="123"/>
    </w:p>
    <w:p>
      <w:pPr>
        <w:pStyle w:val="3"/>
        <w:rPr>
          <w:rStyle w:val="28"/>
          <w:rFonts w:ascii="仿宋" w:hAnsi="仿宋" w:eastAsia="仿宋"/>
          <w:b w:val="0"/>
          <w:bCs w:val="0"/>
        </w:rPr>
      </w:pPr>
      <w:bookmarkStart w:id="124" w:name="_Toc15396623"/>
      <w:bookmarkStart w:id="125" w:name="_Toc7899"/>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24"/>
      <w:bookmarkEnd w:id="125"/>
      <w:bookmarkStart w:id="126" w:name="_Toc15396624"/>
    </w:p>
    <w:p>
      <w:pPr>
        <w:pStyle w:val="3"/>
        <w:rPr>
          <w:rFonts w:ascii="仿宋" w:hAnsi="仿宋" w:eastAsia="仿宋"/>
          <w:color w:val="000000"/>
        </w:rPr>
      </w:pPr>
      <w:bookmarkStart w:id="127" w:name="_Toc24018"/>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26"/>
      <w:bookmarkEnd w:id="127"/>
    </w:p>
    <w:p>
      <w:pPr>
        <w:pStyle w:val="3"/>
        <w:rPr>
          <w:rFonts w:ascii="仿宋" w:hAnsi="仿宋" w:eastAsia="仿宋"/>
          <w:color w:val="000000"/>
        </w:rPr>
      </w:pPr>
      <w:bookmarkStart w:id="128" w:name="_Toc15396625"/>
      <w:bookmarkStart w:id="129" w:name="_Toc13360"/>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28"/>
      <w:bookmarkEnd w:id="129"/>
    </w:p>
    <w:p>
      <w:pPr>
        <w:pStyle w:val="3"/>
        <w:rPr>
          <w:rFonts w:ascii="仿宋" w:hAnsi="仿宋" w:eastAsia="仿宋"/>
          <w:color w:val="000000"/>
        </w:rPr>
      </w:pPr>
      <w:bookmarkStart w:id="130" w:name="_Toc15396626"/>
      <w:bookmarkStart w:id="131" w:name="_Toc27260"/>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30"/>
      <w:bookmarkEnd w:id="131"/>
    </w:p>
    <w:p>
      <w:pPr>
        <w:pStyle w:val="3"/>
        <w:rPr>
          <w:rFonts w:ascii="仿宋" w:hAnsi="仿宋" w:eastAsia="仿宋"/>
          <w:color w:val="000000"/>
        </w:rPr>
      </w:pPr>
      <w:bookmarkStart w:id="132" w:name="_Toc15396627"/>
      <w:bookmarkStart w:id="133" w:name="_Toc466"/>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32"/>
      <w:bookmarkEnd w:id="133"/>
    </w:p>
    <w:p>
      <w:pPr>
        <w:pStyle w:val="3"/>
        <w:rPr>
          <w:rFonts w:ascii="仿宋" w:hAnsi="仿宋" w:eastAsia="仿宋"/>
          <w:color w:val="000000"/>
        </w:rPr>
      </w:pPr>
      <w:bookmarkStart w:id="134" w:name="_Toc15396628"/>
      <w:bookmarkStart w:id="135" w:name="_Toc6607"/>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34"/>
      <w:bookmarkEnd w:id="135"/>
    </w:p>
    <w:p>
      <w:pPr>
        <w:pStyle w:val="3"/>
        <w:rPr>
          <w:rFonts w:ascii="仿宋" w:hAnsi="仿宋" w:eastAsia="仿宋"/>
          <w:color w:val="000000"/>
        </w:rPr>
      </w:pPr>
      <w:bookmarkStart w:id="136" w:name="_Toc15396629"/>
      <w:bookmarkStart w:id="137" w:name="_Toc20942"/>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36"/>
      <w:bookmarkEnd w:id="137"/>
    </w:p>
    <w:p>
      <w:pPr>
        <w:pStyle w:val="3"/>
        <w:rPr>
          <w:rFonts w:ascii="仿宋" w:hAnsi="仿宋" w:eastAsia="仿宋"/>
          <w:color w:val="000000"/>
        </w:rPr>
      </w:pPr>
      <w:bookmarkStart w:id="138" w:name="_Toc15396630"/>
      <w:bookmarkStart w:id="139" w:name="_Toc7195"/>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38"/>
      <w:bookmarkEnd w:id="139"/>
    </w:p>
    <w:p>
      <w:pPr>
        <w:pStyle w:val="3"/>
        <w:rPr>
          <w:rStyle w:val="28"/>
          <w:rFonts w:hint="eastAsia" w:ascii="仿宋" w:hAnsi="仿宋" w:eastAsia="仿宋"/>
          <w:b w:val="0"/>
          <w:bCs w:val="0"/>
        </w:rPr>
      </w:pPr>
      <w:bookmarkStart w:id="140" w:name="_Toc15396631"/>
      <w:bookmarkStart w:id="141" w:name="_Toc20417"/>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140"/>
      <w:bookmarkEnd w:id="141"/>
    </w:p>
    <w:p>
      <w:pPr>
        <w:spacing w:line="58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80" w:lineRule="exact"/>
        <w:rPr>
          <w:rFonts w:hint="eastAsia" w:ascii="黑体" w:hAnsi="黑体" w:eastAsia="黑体" w:cs="黑体"/>
          <w:sz w:val="32"/>
          <w:szCs w:val="32"/>
        </w:rPr>
      </w:pPr>
    </w:p>
    <w:p>
      <w:pPr>
        <w:rPr>
          <w:rFonts w:hint="eastAsia"/>
        </w:rPr>
      </w:pP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壤塘县上壤塘乡中心小学校和吾依乡中心小学校少年宫设备采购项目绩效自评报告</w:t>
      </w:r>
    </w:p>
    <w:p>
      <w:pPr>
        <w:pStyle w:val="5"/>
        <w:adjustRightInd w:val="0"/>
        <w:snapToGrid w:val="0"/>
        <w:spacing w:before="72" w:line="600" w:lineRule="exact"/>
        <w:ind w:firstLine="672" w:firstLineChars="210"/>
        <w:rPr>
          <w:rFonts w:hint="eastAsia" w:ascii="仿宋_GB2312" w:eastAsia="仿宋_GB2312"/>
          <w:color w:val="000000"/>
          <w:sz w:val="32"/>
          <w:szCs w:val="32"/>
        </w:rPr>
      </w:pP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项目概况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根据《州财政局州文明办州教育局关于下达2019年中央专项彩票公益金支持乡村学校少年宫项目资金预算指标的通知》（阿州财教〔2019〕25号），为我县划拨新建少年宫资金30万元,建设学校2所(上壤塘乡中心小学校和吾依乡中心小学校)。采购小组根据有关要求扣除运转经费3万元/所学校后,按照12万元/所学校进行设备采购。严格按照省上下发的相关要求和通知，建设一所达标一所的原则,将该资金用于新建少年宫的设备购置,根据学校实际情况制定实施计划和采购方案，报同级财政部门备案，采用竞争性谈判的招标方式进行采购，在采购计划备案后即启动采购程序。实际为两所学校采购设备23.6204万元，项目名称：壤塘县上壤塘乡中心小学校和吾依乡中心小学校少年宫设备采购项目，项目编号：5132302019000094，四川炎圭鑫科技有限公司中标。2019年8月2日签订政府采购供货合同,合同按照相关规定已在四川省政府采购网上备案。</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项目申报内容与具体实施内容相符、申报目标合理可行。</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二、评价工作开展情况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（一）成立评价小组情况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成立由教育局于福副局长为组长,项目学校校长、项目实施部门为成员的项目绩效评价小组</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（二）绩效评价表中的绩效评价因素的评价情况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该项目的绩效评价因素有1、项目采购需求编制情况，2、采购数量指标，3、成本指标、满意度指标、4、时效指标5、采购程序及公告和备案等。</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（三）政府采购合同公告与备案情况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2019年7月9对采购招标予以公示，8月2日对采购合同进行了网上备案。9月20日对验收结果进行了公示。</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（四）采购预算执行情况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2019年7月22日该项目委托县交易中心组织开标，8月2日与中标商签订政府采购合同，中标价23.6204万元。9月20日对验收结果进行公示。</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（五）采购履约验收情况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2019年9月20日,教育局邀请壤塘县质监局及项目学校负责人参加项目验收,合格并交付学校使用。</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ab/>
      </w:r>
      <w:r>
        <w:rPr>
          <w:rFonts w:hint="eastAsia" w:ascii="仿宋_GB2312" w:eastAsia="仿宋_GB2312"/>
          <w:color w:val="000000"/>
          <w:sz w:val="32"/>
          <w:szCs w:val="32"/>
          <w:lang w:val="zh-CN"/>
        </w:rPr>
        <w:t>（一）资金计划、到位及使用情况。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1、资金计划及到位。该项目资金截止评价时点已到位，</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2、资金使用。截止评价时点项目资金已支出95%,22.43938万元，扣留5%的质保金1.18102万元。</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（二）项目财务管理情况。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该项目严格执行财务管理制度、财务处理及时、会计核算规范。</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（三）项目组织实施情况。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该项目严格按照招投标法、政府采购法等执行相关管理制度。</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rPr>
        <w:t>三、目标完成情况</w:t>
      </w:r>
      <w:r>
        <w:rPr>
          <w:rFonts w:hint="eastAsia" w:ascii="仿宋_GB2312" w:eastAsia="仿宋_GB2312"/>
          <w:color w:val="000000"/>
          <w:sz w:val="32"/>
          <w:szCs w:val="32"/>
          <w:lang w:val="zh-CN"/>
        </w:rPr>
        <w:tab/>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（一）目标任务量完成情况。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rPr>
        <w:t>2019年7月22日该项目委托县交易中心组织开标，8月2日与中标商签订政府采购合同。</w:t>
      </w:r>
      <w:r>
        <w:rPr>
          <w:rFonts w:hint="eastAsia" w:ascii="仿宋_GB2312" w:eastAsia="仿宋_GB2312"/>
          <w:color w:val="000000"/>
          <w:sz w:val="32"/>
          <w:szCs w:val="32"/>
          <w:lang w:val="zh-CN"/>
        </w:rPr>
        <w:t>2019年9月20日,教育局邀请壤塘县质监局及项目学校负责人参加项目验收,合格并交付学校使用。</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（二）目标质量完成情况。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该项目验收合格。</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（三）目标进度完成情况。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该项目已全面完成。</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四、项目效益情况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根据该项目具体情况进行分析，项目节约资金</w:t>
      </w:r>
      <w:r>
        <w:rPr>
          <w:rFonts w:hint="eastAsia" w:ascii="仿宋_GB2312" w:eastAsia="仿宋_GB2312"/>
          <w:color w:val="000000"/>
          <w:sz w:val="32"/>
          <w:szCs w:val="32"/>
        </w:rPr>
        <w:t>0.3796万元</w:t>
      </w:r>
      <w:r>
        <w:rPr>
          <w:rFonts w:hint="eastAsia" w:ascii="仿宋_GB2312" w:eastAsia="仿宋_GB2312"/>
          <w:color w:val="000000"/>
          <w:sz w:val="32"/>
          <w:szCs w:val="32"/>
          <w:lang w:val="zh-CN"/>
        </w:rPr>
        <w:t>。</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五、采购项目评价内容的情况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该项目为教学仪器设备采购安装，在项目的实施中严格按照《中华人民共和国政府采购法》《中华人民共和国合同法》等法律法规实施。项目前期决策、实施中的项目管理、项目延后项目完成交付使用、项目效果等都良好。</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所采购的货物有所值，项目使用人或者受益者满意度；</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政府采购合同各方当事人诚实信用。</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六、绩效评价结果</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该项目政府采购执行情况绩效评价自评得分为100分;</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七、采购存在问题</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1、本县地理位置偏远，学校分散，供货运输周期长。</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2、州上的资金批复到达本单位的时间滞后。</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八、采购相关建议</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加强投标企业的诚信管理，制定《招标投标机构诚信管理暂行办法》，加强招标机构和投标企业诚信档案建设，建立部门信息沟通及共享机制，建立完整的招投标企业诚信档案。通过健全诚信信息申报、采集、提供等制度，定期收集诚信信息或失信信息，及时进行诚信评定。对失信企业和严重失信企业要严厉查处。</w:t>
      </w:r>
    </w:p>
    <w:p>
      <w:pPr>
        <w:pStyle w:val="5"/>
        <w:adjustRightInd w:val="0"/>
        <w:snapToGrid w:val="0"/>
        <w:spacing w:before="72" w:line="600" w:lineRule="exact"/>
        <w:ind w:firstLine="672" w:firstLineChars="210"/>
        <w:rPr>
          <w:rFonts w:hint="eastAsia" w:ascii="仿宋_GB2312" w:eastAsia="仿宋_GB2312"/>
          <w:color w:val="000000"/>
          <w:sz w:val="32"/>
          <w:szCs w:val="32"/>
        </w:rPr>
      </w:pPr>
    </w:p>
    <w:p>
      <w:pPr>
        <w:pStyle w:val="5"/>
        <w:adjustRightInd w:val="0"/>
        <w:snapToGrid w:val="0"/>
        <w:spacing w:before="72" w:line="600" w:lineRule="exact"/>
        <w:ind w:firstLine="672" w:firstLineChars="210"/>
        <w:rPr>
          <w:rFonts w:hint="eastAsia" w:ascii="仿宋_GB2312" w:eastAsia="仿宋_GB2312"/>
          <w:color w:val="000000"/>
          <w:sz w:val="32"/>
          <w:szCs w:val="32"/>
        </w:rPr>
      </w:pPr>
    </w:p>
    <w:p>
      <w:pPr>
        <w:pStyle w:val="5"/>
        <w:adjustRightInd w:val="0"/>
        <w:snapToGrid w:val="0"/>
        <w:spacing w:before="72" w:line="600" w:lineRule="exact"/>
        <w:ind w:firstLine="5788" w:firstLineChars="1809"/>
        <w:rPr>
          <w:rFonts w:hint="eastAsia" w:ascii="仿宋_GB2312" w:eastAsia="仿宋_GB2312"/>
          <w:color w:val="000000"/>
          <w:sz w:val="32"/>
          <w:szCs w:val="32"/>
        </w:rPr>
      </w:pPr>
      <w:r>
        <w:rPr>
          <w:rFonts w:hint="eastAsia" w:ascii="仿宋_GB2312" w:eastAsia="仿宋_GB2312"/>
          <w:color w:val="000000"/>
          <w:sz w:val="32"/>
          <w:szCs w:val="32"/>
        </w:rPr>
        <w:t>壤塘县教育局</w:t>
      </w:r>
    </w:p>
    <w:p>
      <w:pPr>
        <w:pStyle w:val="5"/>
        <w:adjustRightInd w:val="0"/>
        <w:snapToGrid w:val="0"/>
        <w:spacing w:before="72" w:line="600" w:lineRule="exact"/>
        <w:ind w:firstLine="5468" w:firstLineChars="1709"/>
        <w:rPr>
          <w:rFonts w:hint="eastAsia" w:ascii="仿宋_GB2312" w:eastAsia="仿宋_GB2312"/>
          <w:color w:val="000000"/>
          <w:sz w:val="32"/>
          <w:szCs w:val="32"/>
        </w:rPr>
      </w:pPr>
      <w:r>
        <w:rPr>
          <w:rFonts w:hint="eastAsia" w:ascii="仿宋_GB2312" w:eastAsia="仿宋_GB2312"/>
          <w:color w:val="000000"/>
          <w:sz w:val="32"/>
          <w:szCs w:val="32"/>
        </w:rPr>
        <w:t>2020年5月14日</w:t>
      </w:r>
    </w:p>
    <w:p>
      <w:pPr>
        <w:pStyle w:val="5"/>
        <w:adjustRightInd w:val="0"/>
        <w:snapToGrid w:val="0"/>
        <w:spacing w:before="72" w:line="600" w:lineRule="exact"/>
        <w:ind w:firstLine="672" w:firstLineChars="210"/>
        <w:jc w:val="center"/>
        <w:outlineLvl w:val="0"/>
        <w:rPr>
          <w:rFonts w:hint="eastAsia" w:ascii="仿宋_GB2312" w:eastAsia="仿宋_GB2312"/>
          <w:color w:val="000000"/>
          <w:sz w:val="32"/>
          <w:szCs w:val="32"/>
        </w:rPr>
      </w:pPr>
      <w:bookmarkStart w:id="142" w:name="_Toc216"/>
      <w:r>
        <w:rPr>
          <w:rFonts w:hint="eastAsia" w:ascii="仿宋_GB2312" w:eastAsia="仿宋_GB2312"/>
          <w:color w:val="000000"/>
          <w:sz w:val="32"/>
          <w:szCs w:val="32"/>
        </w:rPr>
        <w:t>壤塘县机关幼儿园校舍及附属工程2019年</w:t>
      </w:r>
      <w:bookmarkEnd w:id="142"/>
    </w:p>
    <w:p>
      <w:pPr>
        <w:pStyle w:val="5"/>
        <w:adjustRightInd w:val="0"/>
        <w:snapToGrid w:val="0"/>
        <w:spacing w:before="72" w:line="600" w:lineRule="exact"/>
        <w:ind w:firstLine="672" w:firstLineChars="210"/>
        <w:jc w:val="center"/>
        <w:outlineLvl w:val="0"/>
        <w:rPr>
          <w:rFonts w:hint="eastAsia" w:ascii="仿宋_GB2312" w:eastAsia="仿宋_GB2312"/>
          <w:color w:val="000000"/>
          <w:sz w:val="32"/>
          <w:szCs w:val="32"/>
        </w:rPr>
      </w:pPr>
      <w:bookmarkStart w:id="143" w:name="_Toc15979"/>
      <w:r>
        <w:rPr>
          <w:rFonts w:hint="eastAsia" w:ascii="仿宋_GB2312" w:eastAsia="仿宋_GB2312"/>
          <w:color w:val="000000"/>
          <w:sz w:val="32"/>
          <w:szCs w:val="32"/>
        </w:rPr>
        <w:t>绩效评价报告</w:t>
      </w:r>
      <w:bookmarkEnd w:id="143"/>
    </w:p>
    <w:p>
      <w:pPr>
        <w:pStyle w:val="5"/>
        <w:adjustRightInd w:val="0"/>
        <w:snapToGrid w:val="0"/>
        <w:spacing w:before="72" w:line="600" w:lineRule="exact"/>
        <w:ind w:firstLine="672" w:firstLineChars="210"/>
        <w:rPr>
          <w:rFonts w:hint="eastAsia" w:ascii="仿宋_GB2312" w:eastAsia="仿宋_GB2312"/>
          <w:color w:val="000000"/>
          <w:sz w:val="32"/>
          <w:szCs w:val="32"/>
        </w:rPr>
      </w:pPr>
    </w:p>
    <w:p>
      <w:pPr>
        <w:pStyle w:val="5"/>
        <w:adjustRightInd w:val="0"/>
        <w:snapToGrid w:val="0"/>
        <w:spacing w:before="72" w:line="600" w:lineRule="exact"/>
        <w:ind w:firstLine="672" w:firstLineChars="210"/>
        <w:outlineLvl w:val="0"/>
        <w:rPr>
          <w:rFonts w:hint="eastAsia" w:ascii="仿宋_GB2312" w:eastAsia="仿宋_GB2312"/>
          <w:color w:val="000000"/>
          <w:sz w:val="32"/>
          <w:szCs w:val="32"/>
          <w:lang w:val="zh-CN"/>
        </w:rPr>
      </w:pPr>
      <w:bookmarkStart w:id="144" w:name="_Toc13405"/>
      <w:r>
        <w:rPr>
          <w:rFonts w:hint="eastAsia" w:ascii="仿宋_GB2312" w:eastAsia="仿宋_GB2312"/>
          <w:color w:val="000000"/>
          <w:sz w:val="32"/>
          <w:szCs w:val="32"/>
        </w:rPr>
        <w:t>一、</w:t>
      </w:r>
      <w:r>
        <w:rPr>
          <w:rFonts w:hint="eastAsia" w:ascii="仿宋_GB2312" w:eastAsia="仿宋_GB2312"/>
          <w:color w:val="000000"/>
          <w:sz w:val="32"/>
          <w:szCs w:val="32"/>
          <w:lang w:val="zh-CN"/>
        </w:rPr>
        <w:t>项目概况</w:t>
      </w:r>
      <w:bookmarkEnd w:id="144"/>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45" w:name="_Toc8948"/>
      <w:r>
        <w:rPr>
          <w:rFonts w:hint="eastAsia" w:ascii="仿宋_GB2312" w:eastAsia="仿宋_GB2312"/>
          <w:color w:val="000000"/>
          <w:sz w:val="32"/>
          <w:szCs w:val="32"/>
          <w:lang w:val="zh-CN"/>
        </w:rPr>
        <w:t>（一）项目基本情况。</w:t>
      </w:r>
      <w:bookmarkEnd w:id="145"/>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1．说明项目主管部门（单位）在该项目管理中的职能。</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规划、申报、组织、实施、监督。</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2．项目立项、资金申报的依据。</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2016-2018年革命老区转移支付区转移支付资金。阿州财预〔2016〕38号。</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3．制定了资金管理办法，资金支持的具体条件、范围与支持方式。</w:t>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46" w:name="_Toc4255"/>
      <w:r>
        <w:rPr>
          <w:rFonts w:hint="eastAsia" w:ascii="仿宋_GB2312" w:eastAsia="仿宋_GB2312"/>
          <w:color w:val="000000"/>
          <w:sz w:val="32"/>
          <w:szCs w:val="32"/>
          <w:lang w:val="zh-CN"/>
        </w:rPr>
        <w:t>（二）项目绩效目标。</w:t>
      </w:r>
      <w:bookmarkEnd w:id="146"/>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1．项目主要内容。</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rPr>
        <w:t>用于机关幼儿园校舍及附属工程建设项目缺口。</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2．项目在保证质量安全前提下推进。</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3．申报内容与实际相符，申报目标合理可行。</w:t>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47" w:name="_Toc23360"/>
      <w:r>
        <w:rPr>
          <w:rFonts w:hint="eastAsia" w:ascii="仿宋_GB2312" w:eastAsia="仿宋_GB2312"/>
          <w:color w:val="000000"/>
          <w:sz w:val="32"/>
          <w:szCs w:val="32"/>
          <w:lang w:val="zh-CN"/>
        </w:rPr>
        <w:t>（三）项目自评步骤及方法。</w:t>
      </w:r>
      <w:bookmarkEnd w:id="147"/>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说明项目绩效自评采用的组织实施步骤及方法。</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查阅资料，现场实地查验。</w:t>
      </w:r>
    </w:p>
    <w:p>
      <w:pPr>
        <w:pStyle w:val="5"/>
        <w:adjustRightInd w:val="0"/>
        <w:snapToGrid w:val="0"/>
        <w:spacing w:before="72" w:line="600" w:lineRule="exact"/>
        <w:ind w:firstLine="672" w:firstLineChars="210"/>
        <w:outlineLvl w:val="0"/>
        <w:rPr>
          <w:rFonts w:hint="eastAsia" w:ascii="仿宋_GB2312" w:eastAsia="仿宋_GB2312"/>
          <w:color w:val="000000"/>
          <w:sz w:val="32"/>
          <w:szCs w:val="32"/>
        </w:rPr>
      </w:pPr>
      <w:bookmarkStart w:id="148" w:name="_Toc16549"/>
      <w:r>
        <w:rPr>
          <w:rFonts w:hint="eastAsia" w:ascii="仿宋_GB2312" w:eastAsia="仿宋_GB2312"/>
          <w:color w:val="000000"/>
          <w:sz w:val="32"/>
          <w:szCs w:val="32"/>
        </w:rPr>
        <w:t>二、项目资金申报及使用情况</w:t>
      </w:r>
      <w:bookmarkEnd w:id="148"/>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49" w:name="_Toc9"/>
      <w:r>
        <w:rPr>
          <w:rFonts w:hint="eastAsia" w:ascii="仿宋_GB2312" w:eastAsia="仿宋_GB2312"/>
          <w:color w:val="000000"/>
          <w:sz w:val="32"/>
          <w:szCs w:val="32"/>
          <w:lang w:val="zh-CN"/>
        </w:rPr>
        <w:t>（一）项目资金申报及批复情况。</w:t>
      </w:r>
      <w:bookmarkEnd w:id="149"/>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申报省级资金120万元，实际到位120万元。</w:t>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50" w:name="_Toc29904"/>
      <w:r>
        <w:rPr>
          <w:rFonts w:hint="eastAsia" w:ascii="仿宋_GB2312" w:eastAsia="仿宋_GB2312"/>
          <w:color w:val="000000"/>
          <w:sz w:val="32"/>
          <w:szCs w:val="32"/>
          <w:lang w:val="zh-CN"/>
        </w:rPr>
        <w:t>（二）资金计划、到位及使用情况（可用表格形式反映）。</w:t>
      </w:r>
      <w:bookmarkEnd w:id="150"/>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1．资金计划。申报省级资金120万元。</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2．资金到位。实际到位120万元。</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3．资金使用。遵循“专款专用、公开透明、及时结算”的原则。该项目于2017年9月审计完成，2018年资金支付完成。</w:t>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51" w:name="_Toc14486"/>
      <w:r>
        <w:rPr>
          <w:rFonts w:hint="eastAsia" w:ascii="仿宋_GB2312" w:eastAsia="仿宋_GB2312"/>
          <w:color w:val="000000"/>
          <w:sz w:val="32"/>
          <w:szCs w:val="32"/>
          <w:lang w:val="zh-CN"/>
        </w:rPr>
        <w:t>（三）项目财务管理情况。</w:t>
      </w:r>
      <w:bookmarkEnd w:id="151"/>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项目实施单位财务管理制度健全，严格执行财务管理制度，账务处理及时，会计核算规范等。</w:t>
      </w:r>
    </w:p>
    <w:p>
      <w:pPr>
        <w:pStyle w:val="5"/>
        <w:adjustRightInd w:val="0"/>
        <w:snapToGrid w:val="0"/>
        <w:spacing w:before="72" w:line="600" w:lineRule="exact"/>
        <w:ind w:firstLine="672" w:firstLineChars="210"/>
        <w:outlineLvl w:val="0"/>
        <w:rPr>
          <w:rFonts w:hint="eastAsia" w:ascii="仿宋_GB2312" w:eastAsia="仿宋_GB2312"/>
          <w:color w:val="000000"/>
          <w:sz w:val="32"/>
          <w:szCs w:val="32"/>
        </w:rPr>
      </w:pPr>
      <w:bookmarkStart w:id="152" w:name="_Toc5670"/>
      <w:r>
        <w:rPr>
          <w:rFonts w:hint="eastAsia" w:ascii="仿宋_GB2312" w:eastAsia="仿宋_GB2312"/>
          <w:color w:val="000000"/>
          <w:sz w:val="32"/>
          <w:szCs w:val="32"/>
        </w:rPr>
        <w:t>三、项目实施及管理情况</w:t>
      </w:r>
      <w:bookmarkEnd w:id="152"/>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项目组织架构及实施流程。</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项目于2012年9月21日由州发改委以阿州发改﹝2012﹞997号批复可研，</w:t>
      </w:r>
      <w:r>
        <w:rPr>
          <w:rFonts w:hint="eastAsia" w:ascii="仿宋_GB2312" w:eastAsia="仿宋_GB2312"/>
          <w:color w:val="000000"/>
          <w:sz w:val="32"/>
          <w:szCs w:val="32"/>
        </w:rPr>
        <w:t>2013年4月9日</w:t>
      </w:r>
      <w:r>
        <w:rPr>
          <w:rFonts w:hint="eastAsia" w:ascii="仿宋_GB2312" w:eastAsia="仿宋_GB2312"/>
          <w:color w:val="000000"/>
          <w:sz w:val="32"/>
          <w:szCs w:val="32"/>
          <w:lang w:val="zh-CN"/>
        </w:rPr>
        <w:t>施工开标，由</w:t>
      </w:r>
      <w:r>
        <w:rPr>
          <w:rFonts w:hint="eastAsia" w:ascii="仿宋_GB2312" w:eastAsia="仿宋_GB2312"/>
          <w:color w:val="000000"/>
          <w:sz w:val="32"/>
          <w:szCs w:val="32"/>
        </w:rPr>
        <w:t>陕西盛鑫建筑安装工程有限公司中标，项目于2013年5月开工建设（10月15日冬季停工次年4月恢复续建），2014年9月竣工验收，</w:t>
      </w:r>
      <w:r>
        <w:rPr>
          <w:rFonts w:hint="eastAsia" w:ascii="仿宋_GB2312" w:eastAsia="仿宋_GB2312"/>
          <w:color w:val="000000"/>
          <w:sz w:val="32"/>
          <w:szCs w:val="32"/>
          <w:lang w:val="zh-CN"/>
        </w:rPr>
        <w:t>2017年9月审计完成</w:t>
      </w:r>
      <w:r>
        <w:rPr>
          <w:rFonts w:hint="eastAsia" w:ascii="仿宋_GB2312" w:eastAsia="仿宋_GB2312"/>
          <w:color w:val="000000"/>
          <w:sz w:val="32"/>
          <w:szCs w:val="32"/>
        </w:rPr>
        <w:t>。</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lang w:val="zh-CN"/>
        </w:rPr>
        <w:t>（二）项目管理情况。</w:t>
      </w:r>
      <w:r>
        <w:rPr>
          <w:rFonts w:hint="eastAsia" w:ascii="仿宋_GB2312" w:eastAsia="仿宋_GB2312"/>
          <w:color w:val="000000"/>
          <w:sz w:val="32"/>
          <w:szCs w:val="32"/>
        </w:rPr>
        <w:t>所有项目严格按照工程项目基本建设管理程序，编制了项目的可行性研究报告并通过专家评审、项目立项批复、勘察设计、审查勘察报告、审查施工图、财评、招标、监理、施工、竣工验收决算、建筑资料归档等。所有的</w:t>
      </w:r>
      <w:r>
        <w:rPr>
          <w:rFonts w:hint="eastAsia" w:ascii="仿宋_GB2312" w:eastAsia="仿宋_GB2312"/>
          <w:color w:val="000000"/>
          <w:sz w:val="32"/>
          <w:szCs w:val="32"/>
          <w:lang w:val="zh-CN"/>
        </w:rPr>
        <w:t>基建项目工程严格按照建筑规范进行了设计，有</w:t>
      </w:r>
      <w:r>
        <w:rPr>
          <w:rFonts w:hint="eastAsia" w:ascii="仿宋_GB2312" w:eastAsia="仿宋_GB2312"/>
          <w:color w:val="000000"/>
          <w:sz w:val="32"/>
          <w:szCs w:val="32"/>
        </w:rPr>
        <w:t>正式的施工</w:t>
      </w:r>
      <w:r>
        <w:rPr>
          <w:rFonts w:hint="eastAsia" w:ascii="仿宋_GB2312" w:eastAsia="仿宋_GB2312"/>
          <w:color w:val="000000"/>
          <w:sz w:val="32"/>
          <w:szCs w:val="32"/>
          <w:lang w:val="zh-CN"/>
        </w:rPr>
        <w:t>图纸，按照国家相关法律法规进行了招投标，建立了质量监管制度，有工程监理。</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rPr>
        <w:t>在具体的基建过程中，建设的五大主体互相配合，缺一不可，确保修建质量。严格按照国家建设强制要求进行建设，落实工程建设管理各项制度，依法依规执行工程质量标准。派专人专管，做好各种修建记录，备齐各种修建资料。对基建项目工程实行个人终身负责制、监理制，把质量安全落实到每个细节，确保整体工程质量。</w:t>
      </w:r>
      <w:r>
        <w:rPr>
          <w:rFonts w:hint="eastAsia" w:ascii="仿宋_GB2312" w:eastAsia="仿宋_GB2312"/>
          <w:color w:val="000000"/>
          <w:sz w:val="32"/>
          <w:szCs w:val="32"/>
          <w:lang w:val="zh-CN"/>
        </w:rPr>
        <w:t>。</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（三）项目监管情况。</w:t>
      </w:r>
      <w:r>
        <w:rPr>
          <w:rFonts w:hint="eastAsia" w:ascii="仿宋_GB2312" w:eastAsia="仿宋_GB2312"/>
          <w:color w:val="000000"/>
          <w:sz w:val="32"/>
          <w:szCs w:val="32"/>
        </w:rPr>
        <w:t>强化督管，确保项目规范实施。组织监察、审计、教育等部门对项目实施情况进行严格督查，采取经常性督查和专项督查相结合的方式，推动项目开展。同时，由分管县长组织各相关部门定期召开协调会，分析形势，及时研究解决工作中出现的新问题，确保建设项目规范有序推进。实行倒排工期进度管理制，推行旬、月、季的项目推进责任体系，明确阶段性推进进度，并实行一月一督查和通报制度，督促施工企业在保证质量的前提下，千方百计加快实施进度，确保了项目实施过程的规范、迅速。</w:t>
      </w:r>
    </w:p>
    <w:p>
      <w:pPr>
        <w:pStyle w:val="5"/>
        <w:adjustRightInd w:val="0"/>
        <w:snapToGrid w:val="0"/>
        <w:spacing w:before="72" w:line="600" w:lineRule="exact"/>
        <w:ind w:firstLine="672" w:firstLineChars="210"/>
        <w:outlineLvl w:val="0"/>
        <w:rPr>
          <w:rFonts w:hint="eastAsia" w:ascii="仿宋_GB2312" w:eastAsia="仿宋_GB2312"/>
          <w:color w:val="000000"/>
          <w:sz w:val="32"/>
          <w:szCs w:val="32"/>
          <w:lang w:val="zh-CN"/>
        </w:rPr>
      </w:pPr>
      <w:bookmarkStart w:id="153" w:name="_Toc5439"/>
      <w:r>
        <w:rPr>
          <w:rFonts w:hint="eastAsia" w:ascii="仿宋_GB2312" w:eastAsia="仿宋_GB2312"/>
          <w:color w:val="000000"/>
          <w:sz w:val="32"/>
          <w:szCs w:val="32"/>
        </w:rPr>
        <w:t>四、项目绩效情况</w:t>
      </w:r>
      <w:bookmarkEnd w:id="153"/>
      <w:r>
        <w:rPr>
          <w:rFonts w:hint="eastAsia" w:ascii="仿宋_GB2312" w:eastAsia="仿宋_GB2312"/>
          <w:color w:val="000000"/>
          <w:sz w:val="32"/>
          <w:szCs w:val="32"/>
          <w:lang w:val="zh-CN"/>
        </w:rPr>
        <w:tab/>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54" w:name="_Toc22855"/>
      <w:r>
        <w:rPr>
          <w:rFonts w:hint="eastAsia" w:ascii="仿宋_GB2312" w:eastAsia="仿宋_GB2312"/>
          <w:color w:val="000000"/>
          <w:sz w:val="32"/>
          <w:szCs w:val="32"/>
          <w:lang w:val="zh-CN"/>
        </w:rPr>
        <w:t>（一）项目完成情况。</w:t>
      </w:r>
      <w:bookmarkEnd w:id="154"/>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按照批复完成了项目建设，项目资金使用合理规范，对照项目计划目标，我局按时按量完成了预期目标。</w:t>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55" w:name="_Toc28461"/>
      <w:r>
        <w:rPr>
          <w:rFonts w:hint="eastAsia" w:ascii="仿宋_GB2312" w:eastAsia="仿宋_GB2312"/>
          <w:color w:val="000000"/>
          <w:sz w:val="32"/>
          <w:szCs w:val="32"/>
          <w:lang w:val="zh-CN"/>
        </w:rPr>
        <w:t>（二）项目效益情况。</w:t>
      </w:r>
      <w:bookmarkEnd w:id="155"/>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项目的实施完成，结束了我县无一所标准幼儿园的现状，为县城幼儿上学提供了标准的就学环境。</w:t>
      </w:r>
    </w:p>
    <w:p>
      <w:pPr>
        <w:pStyle w:val="5"/>
        <w:adjustRightInd w:val="0"/>
        <w:snapToGrid w:val="0"/>
        <w:spacing w:before="72" w:line="600" w:lineRule="exact"/>
        <w:ind w:firstLine="672" w:firstLineChars="210"/>
        <w:outlineLvl w:val="0"/>
        <w:rPr>
          <w:rFonts w:hint="eastAsia" w:ascii="仿宋_GB2312" w:eastAsia="仿宋_GB2312"/>
          <w:color w:val="000000"/>
          <w:sz w:val="32"/>
          <w:szCs w:val="32"/>
        </w:rPr>
      </w:pPr>
      <w:bookmarkStart w:id="156" w:name="_Toc21937"/>
      <w:r>
        <w:rPr>
          <w:rFonts w:hint="eastAsia" w:ascii="仿宋_GB2312" w:eastAsia="仿宋_GB2312"/>
          <w:color w:val="000000"/>
          <w:sz w:val="32"/>
          <w:szCs w:val="32"/>
        </w:rPr>
        <w:t>五、评价结论及建议</w:t>
      </w:r>
      <w:bookmarkEnd w:id="156"/>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57" w:name="_Toc32496"/>
      <w:r>
        <w:rPr>
          <w:rFonts w:hint="eastAsia" w:ascii="仿宋_GB2312" w:eastAsia="仿宋_GB2312"/>
          <w:color w:val="000000"/>
          <w:sz w:val="32"/>
          <w:szCs w:val="32"/>
          <w:lang w:val="zh-CN"/>
        </w:rPr>
        <w:t>（一）评价结论。</w:t>
      </w:r>
      <w:bookmarkEnd w:id="157"/>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该项目决策合理、项目管理规范、落实了日常监管责任，压实了主体责任。项目达到了预期的效果。专项资金的规范管理和安全使用，做到让社会满意，让家长放心，促进了幼儿教育发展。</w:t>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58" w:name="_Toc11392"/>
      <w:r>
        <w:rPr>
          <w:rFonts w:hint="eastAsia" w:ascii="仿宋_GB2312" w:eastAsia="仿宋_GB2312"/>
          <w:color w:val="000000"/>
          <w:sz w:val="32"/>
          <w:szCs w:val="32"/>
          <w:lang w:val="zh-CN"/>
        </w:rPr>
        <w:t>（二）存在的问题。</w:t>
      </w:r>
      <w:bookmarkEnd w:id="158"/>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项目竣工后送审滞后。项目资金未能一次到位，资金支付缓慢。</w:t>
      </w:r>
      <w:r>
        <w:rPr>
          <w:rFonts w:hint="eastAsia" w:ascii="仿宋_GB2312" w:eastAsia="仿宋_GB2312"/>
          <w:color w:val="000000"/>
          <w:sz w:val="32"/>
          <w:szCs w:val="32"/>
          <w:lang w:val="zh-CN"/>
        </w:rPr>
        <w:tab/>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lang w:val="zh-CN"/>
        </w:rPr>
      </w:pPr>
      <w:bookmarkStart w:id="159" w:name="_Toc10461"/>
      <w:r>
        <w:rPr>
          <w:rFonts w:hint="eastAsia" w:ascii="仿宋_GB2312" w:eastAsia="仿宋_GB2312"/>
          <w:color w:val="000000"/>
          <w:sz w:val="32"/>
          <w:szCs w:val="32"/>
          <w:lang w:val="zh-CN"/>
        </w:rPr>
        <w:t>（三）相关建议。</w:t>
      </w:r>
      <w:bookmarkEnd w:id="159"/>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今后项目竣工后及时送审，及时支付资金。</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p>
    <w:p>
      <w:pPr>
        <w:pStyle w:val="5"/>
        <w:adjustRightInd w:val="0"/>
        <w:snapToGrid w:val="0"/>
        <w:spacing w:before="72" w:line="600" w:lineRule="exact"/>
        <w:ind w:firstLine="672" w:firstLineChars="210"/>
        <w:jc w:val="right"/>
        <w:rPr>
          <w:rFonts w:hint="eastAsia" w:ascii="仿宋_GB2312" w:eastAsia="仿宋_GB2312"/>
          <w:color w:val="000000"/>
          <w:sz w:val="32"/>
          <w:szCs w:val="32"/>
          <w:lang w:val="zh-CN"/>
        </w:rPr>
      </w:pPr>
      <w:r>
        <w:rPr>
          <w:rFonts w:hint="eastAsia" w:ascii="仿宋_GB2312" w:eastAsia="仿宋_GB2312"/>
          <w:color w:val="000000"/>
          <w:sz w:val="32"/>
          <w:szCs w:val="32"/>
          <w:lang w:val="zh-CN"/>
        </w:rPr>
        <w:t>壤塘县教育局</w:t>
      </w:r>
    </w:p>
    <w:p>
      <w:pPr>
        <w:pStyle w:val="5"/>
        <w:adjustRightInd w:val="0"/>
        <w:snapToGrid w:val="0"/>
        <w:spacing w:before="72" w:line="600" w:lineRule="exact"/>
        <w:ind w:firstLine="672" w:firstLineChars="210"/>
        <w:jc w:val="right"/>
        <w:rPr>
          <w:rFonts w:hint="eastAsia" w:ascii="仿宋_GB2312" w:eastAsia="仿宋_GB2312"/>
          <w:color w:val="000000"/>
          <w:sz w:val="32"/>
          <w:szCs w:val="32"/>
          <w:lang w:val="zh-CN"/>
        </w:rPr>
      </w:pPr>
      <w:r>
        <w:rPr>
          <w:rFonts w:hint="eastAsia" w:ascii="仿宋_GB2312" w:eastAsia="仿宋_GB2312"/>
          <w:color w:val="000000"/>
          <w:sz w:val="32"/>
          <w:szCs w:val="32"/>
          <w:lang w:val="zh-CN"/>
        </w:rPr>
        <w:t>2019年8月1日</w:t>
      </w:r>
    </w:p>
    <w:p>
      <w:pPr>
        <w:pStyle w:val="5"/>
        <w:adjustRightInd w:val="0"/>
        <w:snapToGrid w:val="0"/>
        <w:spacing w:before="72" w:line="600" w:lineRule="exact"/>
        <w:ind w:firstLine="672" w:firstLineChars="210"/>
        <w:rPr>
          <w:rFonts w:hint="eastAsia" w:ascii="仿宋_GB2312" w:eastAsia="仿宋_GB2312"/>
          <w:color w:val="000000"/>
          <w:sz w:val="32"/>
          <w:szCs w:val="32"/>
        </w:rPr>
      </w:pPr>
    </w:p>
    <w:p>
      <w:pPr>
        <w:pStyle w:val="5"/>
        <w:adjustRightInd w:val="0"/>
        <w:snapToGrid w:val="0"/>
        <w:spacing w:before="72" w:line="600" w:lineRule="exact"/>
        <w:ind w:firstLine="672" w:firstLineChars="210"/>
        <w:jc w:val="center"/>
        <w:outlineLvl w:val="0"/>
        <w:rPr>
          <w:rFonts w:hint="eastAsia"/>
          <w:color w:val="000000"/>
          <w:sz w:val="32"/>
          <w:szCs w:val="32"/>
          <w:lang w:val="en-US" w:eastAsia="zh-CN"/>
        </w:rPr>
      </w:pPr>
      <w:bookmarkStart w:id="160" w:name="_Toc25035"/>
      <w:r>
        <w:rPr>
          <w:rFonts w:hint="eastAsia" w:ascii="仿宋_GB2312" w:eastAsia="仿宋_GB2312"/>
          <w:color w:val="000000"/>
          <w:sz w:val="32"/>
          <w:szCs w:val="32"/>
        </w:rPr>
        <w:t>农村义务教育学生营养改善情况报告</w:t>
      </w:r>
      <w:r>
        <w:rPr>
          <w:rFonts w:hint="eastAsia"/>
          <w:color w:val="000000"/>
          <w:sz w:val="32"/>
          <w:szCs w:val="32"/>
          <w:lang w:val="en-US" w:eastAsia="zh-CN"/>
        </w:rPr>
        <w:t>2019年</w:t>
      </w:r>
      <w:bookmarkEnd w:id="160"/>
    </w:p>
    <w:p>
      <w:pPr>
        <w:pStyle w:val="5"/>
        <w:adjustRightInd w:val="0"/>
        <w:snapToGrid w:val="0"/>
        <w:spacing w:before="72" w:line="600" w:lineRule="exact"/>
        <w:ind w:firstLine="672" w:firstLineChars="210"/>
        <w:jc w:val="center"/>
        <w:outlineLvl w:val="0"/>
        <w:rPr>
          <w:rFonts w:hint="eastAsia" w:ascii="仿宋_GB2312" w:eastAsia="仿宋_GB2312"/>
          <w:color w:val="000000"/>
          <w:sz w:val="32"/>
          <w:szCs w:val="32"/>
        </w:rPr>
      </w:pPr>
      <w:bookmarkStart w:id="161" w:name="_Toc13659"/>
      <w:r>
        <w:rPr>
          <w:rFonts w:hint="default"/>
          <w:color w:val="000000"/>
          <w:sz w:val="32"/>
          <w:szCs w:val="32"/>
          <w:lang w:val="en-US" w:eastAsia="zh-CN"/>
        </w:rPr>
        <w:t>绩效评价报告</w:t>
      </w:r>
      <w:bookmarkEnd w:id="161"/>
    </w:p>
    <w:p>
      <w:pPr>
        <w:pStyle w:val="5"/>
        <w:adjustRightInd w:val="0"/>
        <w:snapToGrid w:val="0"/>
        <w:spacing w:before="72" w:line="600" w:lineRule="exact"/>
        <w:ind w:firstLine="672" w:firstLineChars="210"/>
        <w:outlineLvl w:val="1"/>
        <w:rPr>
          <w:rFonts w:hint="eastAsia" w:ascii="仿宋_GB2312" w:eastAsia="仿宋_GB2312"/>
          <w:color w:val="000000"/>
          <w:sz w:val="32"/>
          <w:szCs w:val="32"/>
        </w:rPr>
      </w:pPr>
      <w:r>
        <w:rPr>
          <w:rFonts w:hint="eastAsia" w:ascii="仿宋_GB2312" w:eastAsia="仿宋_GB2312"/>
          <w:color w:val="000000"/>
          <w:sz w:val="32"/>
          <w:szCs w:val="32"/>
        </w:rPr>
        <w:t xml:space="preserve">   </w:t>
      </w:r>
      <w:bookmarkStart w:id="162" w:name="_Toc26190"/>
      <w:r>
        <w:rPr>
          <w:rFonts w:hint="eastAsia" w:ascii="仿宋_GB2312" w:eastAsia="仿宋_GB2312"/>
          <w:color w:val="000000"/>
          <w:sz w:val="32"/>
          <w:szCs w:val="32"/>
        </w:rPr>
        <w:t>一、农村义务教育阶段营养膳食补助基本情况</w:t>
      </w:r>
      <w:bookmarkEnd w:id="162"/>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我县实施农村义务教育学生营养改善计划的农村义务教育阶段有学校13所，其中初级中学1所，九年一贯制学校2所，小学10所。2019年春季全县义务教育阶段学生</w:t>
      </w:r>
      <w:r>
        <w:rPr>
          <w:rFonts w:hint="eastAsia" w:ascii="仿宋_GB2312" w:eastAsia="仿宋_GB2312"/>
          <w:color w:val="000000"/>
          <w:sz w:val="32"/>
          <w:szCs w:val="32"/>
        </w:rPr>
        <w:t>6591</w:t>
      </w:r>
      <w:r>
        <w:rPr>
          <w:rFonts w:hint="eastAsia" w:ascii="仿宋_GB2312" w:eastAsia="仿宋_GB2312"/>
          <w:color w:val="000000"/>
          <w:sz w:val="32"/>
          <w:szCs w:val="32"/>
          <w:lang w:val="zh-CN"/>
        </w:rPr>
        <w:t>人, 2019年秋季全县义务教育阶段学生</w:t>
      </w:r>
      <w:r>
        <w:rPr>
          <w:rFonts w:hint="eastAsia" w:ascii="仿宋_GB2312" w:eastAsia="仿宋_GB2312"/>
          <w:color w:val="000000"/>
          <w:sz w:val="32"/>
          <w:szCs w:val="32"/>
        </w:rPr>
        <w:t>7628</w:t>
      </w:r>
      <w:r>
        <w:rPr>
          <w:rFonts w:hint="eastAsia" w:ascii="仿宋_GB2312" w:eastAsia="仿宋_GB2312"/>
          <w:color w:val="000000"/>
          <w:sz w:val="32"/>
          <w:szCs w:val="32"/>
          <w:lang w:val="zh-CN"/>
        </w:rPr>
        <w:t>人,从开学的第一天学生就吃上了营养、安全的“营养餐”。标准是</w:t>
      </w:r>
      <w:r>
        <w:rPr>
          <w:rFonts w:hint="eastAsia" w:ascii="仿宋_GB2312" w:eastAsia="仿宋_GB2312"/>
          <w:color w:val="000000"/>
          <w:sz w:val="32"/>
          <w:szCs w:val="32"/>
        </w:rPr>
        <w:t>每人每天补助4元，每学年按190天计算，每年每生共计760元。我县所有学校均采用食堂供餐，以牛肉或鸡蛋作为菜谱模式外加水果。所有寄宿制学校每天向学生免费食堂供餐。</w:t>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rPr>
      </w:pPr>
      <w:bookmarkStart w:id="163" w:name="_Toc7294"/>
      <w:r>
        <w:rPr>
          <w:rFonts w:hint="eastAsia" w:ascii="仿宋_GB2312" w:eastAsia="仿宋_GB2312"/>
          <w:color w:val="000000"/>
          <w:sz w:val="32"/>
          <w:szCs w:val="32"/>
        </w:rPr>
        <w:t>二、供餐管理情况</w:t>
      </w:r>
      <w:bookmarkEnd w:id="163"/>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1、食品供应准入标准</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lang w:val="zh-CN"/>
        </w:rPr>
        <w:t>学生营养改善计划食品牛肉、鸡蛋、苹果通过政府公开招标采购，</w:t>
      </w:r>
      <w:r>
        <w:rPr>
          <w:rFonts w:hint="eastAsia" w:ascii="仿宋_GB2312" w:eastAsia="仿宋_GB2312"/>
          <w:color w:val="000000"/>
          <w:sz w:val="32"/>
          <w:szCs w:val="32"/>
        </w:rPr>
        <w:t>实行“四统一”，即统一招标、统一采购、统一分配、统一运送。保证了学生</w:t>
      </w:r>
      <w:r>
        <w:rPr>
          <w:rFonts w:hint="eastAsia" w:ascii="仿宋_GB2312" w:eastAsia="仿宋_GB2312"/>
          <w:color w:val="000000"/>
          <w:sz w:val="32"/>
          <w:szCs w:val="32"/>
          <w:lang w:val="zh-CN"/>
        </w:rPr>
        <w:t>营养改善计划</w:t>
      </w:r>
      <w:r>
        <w:rPr>
          <w:rFonts w:hint="eastAsia" w:ascii="仿宋_GB2312" w:eastAsia="仿宋_GB2312"/>
          <w:color w:val="000000"/>
          <w:sz w:val="32"/>
          <w:szCs w:val="32"/>
        </w:rPr>
        <w:t>食品的安全、质量。</w:t>
      </w:r>
      <w:r>
        <w:rPr>
          <w:rFonts w:hint="eastAsia" w:ascii="仿宋_GB2312" w:eastAsia="仿宋_GB2312"/>
          <w:color w:val="000000"/>
          <w:sz w:val="32"/>
          <w:szCs w:val="32"/>
          <w:lang w:val="zh-CN"/>
        </w:rPr>
        <w:t>食品采购都有产品合格证明、</w:t>
      </w:r>
      <w:r>
        <w:rPr>
          <w:rFonts w:hint="eastAsia" w:ascii="仿宋_GB2312" w:eastAsia="仿宋_GB2312"/>
          <w:color w:val="000000"/>
          <w:sz w:val="32"/>
          <w:szCs w:val="32"/>
        </w:rPr>
        <w:t>供货清单等凭证，采购的包装食品必须在保质期内。</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2、学校食堂供餐、管理、操作情况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学校食堂都取得了餐饮服务许可证，我县学校食堂全部自营、从业人员全部持证上岗并定期健康体检，从业人员都有健康证。营养改善计划实施中，各校校长是第一责任人，分管副校长是直接责任人，</w:t>
      </w:r>
      <w:r>
        <w:rPr>
          <w:rFonts w:hint="eastAsia" w:ascii="仿宋_GB2312" w:eastAsia="仿宋_GB2312"/>
          <w:color w:val="000000"/>
          <w:sz w:val="32"/>
          <w:szCs w:val="32"/>
          <w:lang w:val="zh-CN"/>
        </w:rPr>
        <w:t>学校指定专人负责接收供应商运到的营养改善计划食品，现场对营养改善计划食品进行生产日期、保质期、有无破损、数量等进行抽检核查。并由学校负责人和营养改善计划食品供应商共同在营养改善计划食品供应单上签字。</w:t>
      </w:r>
      <w:r>
        <w:rPr>
          <w:rFonts w:hint="eastAsia" w:ascii="仿宋_GB2312" w:eastAsia="仿宋_GB2312"/>
          <w:color w:val="000000"/>
          <w:sz w:val="32"/>
          <w:szCs w:val="32"/>
        </w:rPr>
        <w:t>各校设立专门的储藏室，配备相应的储存设备，分类存放，确保食品干净卫生，按照操作规范加工食品,对食品进行48小时的留样封存，以备待查。</w:t>
      </w:r>
      <w:r>
        <w:rPr>
          <w:rFonts w:hint="eastAsia" w:ascii="仿宋_GB2312" w:eastAsia="仿宋_GB2312"/>
          <w:color w:val="000000"/>
          <w:sz w:val="32"/>
          <w:szCs w:val="32"/>
          <w:lang w:val="zh-CN"/>
        </w:rPr>
        <w:t>用餐时建立了尝试制、学校行政领导陪餐制，倡议学校进行“光盘行动”。</w:t>
      </w:r>
      <w:r>
        <w:rPr>
          <w:rFonts w:hint="eastAsia" w:ascii="仿宋_GB2312" w:eastAsia="仿宋_GB2312"/>
          <w:color w:val="000000"/>
          <w:sz w:val="32"/>
          <w:szCs w:val="32"/>
        </w:rPr>
        <w:t>建立了学生营养改善计划发放台帐，台帐包括供应商每次配送情况、发放情况、学生食用情况、库存情况、留样记录等，并有相关人员签字，每月集结成册入档，备查。</w:t>
      </w:r>
    </w:p>
    <w:p>
      <w:pPr>
        <w:pStyle w:val="5"/>
        <w:adjustRightInd w:val="0"/>
        <w:snapToGrid w:val="0"/>
        <w:spacing w:before="72" w:line="600" w:lineRule="exact"/>
        <w:ind w:firstLine="672" w:firstLineChars="210"/>
        <w:outlineLvl w:val="1"/>
        <w:rPr>
          <w:rFonts w:hint="eastAsia" w:ascii="仿宋_GB2312" w:eastAsia="仿宋_GB2312"/>
          <w:color w:val="000000"/>
          <w:sz w:val="32"/>
          <w:szCs w:val="32"/>
        </w:rPr>
      </w:pPr>
      <w:bookmarkStart w:id="164" w:name="_Toc31491"/>
      <w:r>
        <w:rPr>
          <w:rFonts w:hint="eastAsia" w:ascii="仿宋_GB2312" w:eastAsia="仿宋_GB2312"/>
          <w:color w:val="000000"/>
          <w:sz w:val="32"/>
          <w:szCs w:val="32"/>
        </w:rPr>
        <w:t>三、资金使用管理情况</w:t>
      </w:r>
      <w:bookmarkEnd w:id="164"/>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rPr>
        <w:t>《壤塘县教育局营养改善计划实施方案》明确规定，营养改善计划专项资金应专款专用。由财政局落实专项资金，加强资金监管，将营养改善计划专项资金纳入国库管理，实行分账核算，按照财政国库管理制度有关规定及时支付。我县营养膳食补助按照国家规定的标准核定，地方试点学校纳入县财政预算，国家试点学校所需资金由中央财政专项资金支持。</w:t>
      </w:r>
      <w:r>
        <w:rPr>
          <w:rFonts w:hint="eastAsia" w:ascii="仿宋_GB2312" w:eastAsia="仿宋_GB2312"/>
          <w:color w:val="000000"/>
          <w:sz w:val="32"/>
          <w:szCs w:val="32"/>
          <w:lang w:val="zh-CN"/>
        </w:rPr>
        <w:t>足额用于为学生提供等值优质的食品。</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rPr>
        <w:t>在实施营养改善计划的同时，继续落实好农村义务教育家庭经济困难寄宿生生活费补助(简称“一补”)政策，不得用中央专项资金抵减“一补”资金。学校食堂聘用人员开支全部由县财政支付，食品配送费用由教育局保障，不存在挤占营养改善计划经费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资金计划及到位</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壤塘县教育局财务管理办法》明确，专项资金应专款专用。由财政局落实专项资金，加强资金监管，将壤塘教育局2019年城乡义务教育中央补助资金营养改善资金项目纳入国库管理，按照财政国库管理制度及有关规定及时支付。</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 xml:space="preserve">  2019年收到阿州财教【2019】6号423万元、阿州财教【2019】36号19万元、阿州财教【2019】39号5.03万元、阿州财教【2019】83-5号88万、壤财预3073号11.7317万元、共计541.7617万元。</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 xml:space="preserve">   2、资金使用情况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遵循“专款专用、公开透明、及时结算”的原则，壤塘教育局2018年城乡义务教育中央补助资金营养改善资金项目全部用于学生营养改善计划生活支出, 截止目前2019年城乡义务教育中央补助资金营养改善资金已支付482.24万元。</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3、项目财务管理情况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严格遵照《项目资金管理办法》。在地方政府统筹下，积极开展各项项目，专项资金管理制度完善，项目都能按计划执行。资金实行专人专户管理，设立了专门账户，实行专人负责，做到了专款专用，营养改善计划项目于今年4月接受了省级审计部门的审计。 </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五、食品安全问题</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1、高度重视学校食品安全工作</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我局始终坚持“以人为本、安全第一，强化管理、预防为主”的方针，深入贯彻落实国家、省、州、县关于学校食品安全工作的各项法律法规和国家农村义务教育学生营养改善计划的要求，把保障学生食品安全当作基础性、先导性工作来抓紧抓实。</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2、切实加强学校食品安全责任落实</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全县13所中小学和城关幼儿园已完成“明厨亮灶”工作；年初，根据全局的工作部署及时调整充实了学校食品安全工作领导小组成员，进一步明确了学校食品安全工作领导小组办公室人员和具体职责，层层签订了责任书，将学校食品安全工作的目标任务进行了细化分解，形成“一把手”亲自抓，分管领导具体抓、各司其职，齐抓共管，相互配合的工作局面，全力做好了学校食品安全工作。</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3、深入开展学校食品安全宣传教育</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全县教育系统采取各种形式，充分利用各类宣传媒体及学生会、少先队等渠道，广泛开展食堂食品安全宣传教育活动，在“食品安全宣传周”期间向社会及家长发放宣传资料200余份。通过健康教育课、主题班会、讲座等形式开展食品卫生营养方面的教育，督促学生吃饱正餐，积极引导学生远离街头小食品，养成良好的饮食习惯。教育学生养成勤洗手、爱锻炼等个人健康行为习惯。同时要求全县中小学要严格按照国家的有关规定，将食品安全教育内入相关课程，落实健康教育的时间，积极开展食品安全和营养健康教育，增强青少年学生科学的营养观念和食品安全意识。通过开展校园食品安全宣传教育活动，进一步提高了师生的食品安全意识和广大师生员工的食品安全维权意识、识别假冒伪劣及有毒有害食品的能力</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4、积极开展校园食品安全专项整治</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制定了《壤塘县教育局关于开展学校食品安全集中整治工作方案》，在3月期间，联合县工质食药局开展了校园食品安全专项整治工作。对食品卫生管理差、存在食品安全隐患的学校进行了通报，并提出了整改要求，责令学校及时进行了整改。</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与此同时，我局在这次专项整治活动中，通过检查情况来看，绝大多数学校执行了各种规章制度，把好了食品采购关、验货关、加工关，坚持执行了食品试尝、48小时留样制度。</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5、全面加强学校食品从业人员培训</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制订了《学校食品安全培训方案》，利用寒暑假或节假日，对学校食品安全管理人员和从业人员进行食品安全相关的法律、法规、专业知识、操作技能、新《餐饮服务食品安全操作规范》等方面的培训。2018年县教育局组织召开学校安全教育信息化平台应用操作培训会，邀请县工质食药局分管领导参加，并就《餐饮服务食品安全操作规范》和阿坝州教育局、阿坝州食品药品监督管理局9月11日召开的“全州2018年秋季学期学校食品安全工作视频会议”精神做了解读和强调。全县14所学校及幼儿园分管安全负责人、工作人员共34人参加了此次培训会。各学校也积极开展了学校食堂食品从业人员的专业知识、操作规范培训和职业道德培训。通过培训提高了从业人员的食品安全意识、责任意识、服务意识和技能水平，全面提升学校食堂的服务水平和服务质量。2019年预计在假期对后勤人员进行《四川省学校食品安全管理办法（征求意见稿）》进行学习。</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六、信息公开公示情况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lang w:val="zh-CN"/>
        </w:rPr>
        <w:t>各学校建立了由学生、家长、教师、村代表组成的膳食委员会，并把膳食委员会相关人员、工作制度和工作职责进行了公示。各校在醒目位置悬挂了统一设置的营养改善计划标志牌。</w:t>
      </w:r>
      <w:r>
        <w:rPr>
          <w:rFonts w:hint="eastAsia" w:ascii="仿宋_GB2312" w:eastAsia="仿宋_GB2312"/>
          <w:color w:val="000000"/>
          <w:sz w:val="32"/>
          <w:szCs w:val="32"/>
        </w:rPr>
        <w:t>由县疾控中心指导各校建立营养监测与评估制度，填报了《学生营养健康状况检测表》。我县营养改善计划实名制学生信息管理系统数据、“双月通报”数据填报真实准确，各学校在显著位置公开受益学生人数等情况。主动接受监督。国家补助的寄宿制学生生活补助、农村义务教育阶段营养改善计划资金全部用于了学生，各学校按照《壤塘县教育局寄宿制经费管理办法》、《壤塘县农村义务教育学生营养改善计划食堂供餐实施方案》做好了寄宿制学生生活补助公开栏，营养改善计划公开栏，每学期如实公布了学生生活补助的收支帐目。并定期和不定期的接受上级和审计部门的监督审计。</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p>
    <w:p>
      <w:pPr>
        <w:pStyle w:val="5"/>
        <w:adjustRightInd w:val="0"/>
        <w:snapToGrid w:val="0"/>
        <w:spacing w:before="72" w:line="600" w:lineRule="exact"/>
        <w:ind w:firstLine="672" w:firstLineChars="210"/>
        <w:rPr>
          <w:rFonts w:hint="eastAsia" w:ascii="仿宋_GB2312" w:eastAsia="仿宋_GB2312"/>
          <w:color w:val="000000"/>
          <w:sz w:val="32"/>
          <w:szCs w:val="32"/>
        </w:rPr>
      </w:pPr>
    </w:p>
    <w:p>
      <w:pPr>
        <w:pStyle w:val="5"/>
        <w:adjustRightInd w:val="0"/>
        <w:snapToGrid w:val="0"/>
        <w:spacing w:before="72" w:line="600" w:lineRule="exact"/>
        <w:ind w:firstLine="6108" w:firstLineChars="1909"/>
        <w:rPr>
          <w:rFonts w:hint="eastAsia" w:ascii="仿宋_GB2312" w:eastAsia="仿宋_GB2312"/>
          <w:color w:val="000000"/>
          <w:sz w:val="32"/>
          <w:szCs w:val="32"/>
        </w:rPr>
      </w:pPr>
      <w:r>
        <w:rPr>
          <w:rFonts w:hint="eastAsia" w:ascii="仿宋_GB2312" w:eastAsia="仿宋_GB2312"/>
          <w:color w:val="000000"/>
          <w:sz w:val="32"/>
          <w:szCs w:val="32"/>
        </w:rPr>
        <w:t>壤塘县教育局</w:t>
      </w:r>
    </w:p>
    <w:p>
      <w:pPr>
        <w:pStyle w:val="5"/>
        <w:adjustRightInd w:val="0"/>
        <w:snapToGrid w:val="0"/>
        <w:spacing w:before="72" w:line="600" w:lineRule="exact"/>
        <w:ind w:firstLine="5788" w:firstLineChars="1809"/>
        <w:rPr>
          <w:rFonts w:hint="eastAsia" w:ascii="仿宋_GB2312" w:eastAsia="仿宋_GB2312"/>
          <w:color w:val="000000"/>
          <w:sz w:val="32"/>
          <w:szCs w:val="32"/>
        </w:rPr>
      </w:pPr>
      <w:r>
        <w:rPr>
          <w:rFonts w:hint="eastAsia" w:ascii="仿宋_GB2312" w:eastAsia="仿宋_GB2312"/>
          <w:color w:val="000000"/>
          <w:sz w:val="32"/>
          <w:szCs w:val="32"/>
        </w:rPr>
        <w:t>2019年12月2日</w:t>
      </w: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rPr>
          <w:rFonts w:hint="eastAsia" w:ascii="仿宋_GB2312" w:eastAsia="仿宋_GB2312"/>
          <w:color w:val="000000"/>
          <w:sz w:val="32"/>
          <w:szCs w:val="32"/>
        </w:rPr>
      </w:pPr>
      <w:r>
        <w:rPr>
          <w:rFonts w:hint="eastAsia" w:ascii="仿宋_GB2312" w:eastAsia="仿宋_GB2312"/>
          <w:color w:val="000000"/>
          <w:sz w:val="32"/>
          <w:szCs w:val="32"/>
        </w:rPr>
        <w:t>壤塘教育局义务教育寄宿生资助项目2019年</w:t>
      </w:r>
      <w:r>
        <w:rPr>
          <w:rFonts w:hint="eastAsia" w:ascii="仿宋_GB2312" w:eastAsia="仿宋_GB2312"/>
          <w:color w:val="000000"/>
          <w:sz w:val="32"/>
          <w:szCs w:val="32"/>
          <w:lang w:val="zh-CN"/>
        </w:rPr>
        <w:t>绩效评价报告</w:t>
      </w: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rPr>
          <w:rFonts w:hint="eastAsia" w:ascii="仿宋_GB2312" w:eastAsia="仿宋_GB2312"/>
          <w:color w:val="000000"/>
          <w:sz w:val="32"/>
          <w:szCs w:val="32"/>
          <w:lang w:val="zh-CN"/>
        </w:rPr>
      </w:pPr>
      <w:r>
        <w:rPr>
          <w:rFonts w:hint="eastAsia" w:ascii="仿宋_GB2312" w:eastAsia="仿宋_GB2312"/>
          <w:color w:val="000000"/>
          <w:sz w:val="32"/>
          <w:szCs w:val="32"/>
        </w:rPr>
        <w:t>一、</w:t>
      </w:r>
      <w:r>
        <w:rPr>
          <w:rFonts w:hint="eastAsia" w:ascii="仿宋_GB2312" w:eastAsia="仿宋_GB2312"/>
          <w:color w:val="000000"/>
          <w:sz w:val="32"/>
          <w:szCs w:val="32"/>
          <w:lang w:val="zh-CN"/>
        </w:rPr>
        <w:t>项目概况</w:t>
      </w:r>
    </w:p>
    <w:p>
      <w:pPr>
        <w:pStyle w:val="5"/>
        <w:adjustRightInd w:val="0"/>
        <w:snapToGrid w:val="0"/>
        <w:spacing w:before="72" w:line="600" w:lineRule="exact"/>
        <w:ind w:firstLine="960" w:firstLineChars="300"/>
        <w:rPr>
          <w:rFonts w:hint="eastAsia" w:ascii="仿宋_GB2312" w:eastAsia="仿宋_GB2312"/>
          <w:color w:val="000000"/>
          <w:sz w:val="32"/>
          <w:szCs w:val="32"/>
        </w:rPr>
      </w:pPr>
      <w:r>
        <w:rPr>
          <w:rFonts w:hint="eastAsia" w:ascii="仿宋_GB2312" w:eastAsia="仿宋_GB2312"/>
          <w:color w:val="000000"/>
          <w:sz w:val="32"/>
          <w:szCs w:val="32"/>
        </w:rPr>
        <w:t>为提高我县义务教育实施水平，切实减轻寄宿</w:t>
      </w:r>
      <w:r>
        <w:rPr>
          <w:rFonts w:hint="eastAsia" w:ascii="仿宋_GB2312" w:eastAsia="仿宋_GB2312"/>
          <w:color w:val="000000"/>
          <w:sz w:val="32"/>
          <w:szCs w:val="32"/>
          <w:lang w:val="en-US" w:eastAsia="zh-CN"/>
        </w:rPr>
        <w:t>制学</w:t>
      </w:r>
      <w:r>
        <w:rPr>
          <w:rFonts w:hint="eastAsia" w:ascii="仿宋_GB2312" w:eastAsia="仿宋_GB2312"/>
          <w:color w:val="000000"/>
          <w:sz w:val="32"/>
          <w:szCs w:val="32"/>
        </w:rPr>
        <w:t>生家庭经济负担，改善学生学习环境，促进学生健康成长，</w:t>
      </w:r>
      <w:r>
        <w:rPr>
          <w:rFonts w:hint="eastAsia" w:ascii="仿宋_GB2312" w:eastAsia="仿宋_GB2312"/>
          <w:color w:val="000000"/>
          <w:sz w:val="32"/>
          <w:szCs w:val="32"/>
          <w:lang w:val="en-US" w:eastAsia="zh-CN"/>
        </w:rPr>
        <w:t>根据上级下达资金实施</w:t>
      </w:r>
      <w:r>
        <w:rPr>
          <w:rFonts w:hint="eastAsia" w:ascii="仿宋_GB2312" w:eastAsia="仿宋_GB2312"/>
          <w:color w:val="000000"/>
          <w:sz w:val="32"/>
          <w:szCs w:val="32"/>
        </w:rPr>
        <w:t xml:space="preserve">2019年义务教育寄宿制学生生活补助资金项目。在项目实施中，成立由县教育局局长任组长、分管副局长为副组长，相关股室为成员的专项工作领导小组。领导小组办公室设在教育局后勤服务中心处理日常事务。各校也成立相应的组织机构，为顺利开展各项工作奠定了坚实的基础。2019年春季我县有中小学13所，其中：小学5228人，初中1363人，寄宿制学生小学4988人，初中1353人。应享受寄宿制学生生活补助的6341人，标准每生每年1700元。2019年秋季我县有中小学14所，其中：小学5801人，初中1827人，寄宿制学生小学5652人，初中1808人。应享受寄宿制学生生活补助的7460人，标准每生每年1700元。2019年春季资助学生6341人，秋季资助学生7460人，截止12月2日共计资助金额达830.24万元 </w:t>
      </w:r>
    </w:p>
    <w:p>
      <w:pPr>
        <w:pStyle w:val="5"/>
        <w:adjustRightInd w:val="0"/>
        <w:snapToGrid w:val="0"/>
        <w:spacing w:before="72"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二、项目实施及管理情况</w:t>
      </w:r>
    </w:p>
    <w:p>
      <w:pPr>
        <w:pStyle w:val="5"/>
        <w:adjustRightInd w:val="0"/>
        <w:snapToGrid w:val="0"/>
        <w:spacing w:before="72"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（一）资金计划、到位及使用情况</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资金计划及到位情况《壤塘县教育局财务管理办法》明确，专项资金应专款专用。由财政局落实专项资金，加强资金监管，将2019年义务教育寄宿制学生生活补助资金纳入国库管理，按照财政国库管理制度及有关规定及时支付。</w:t>
      </w:r>
    </w:p>
    <w:p>
      <w:pPr>
        <w:pStyle w:val="5"/>
        <w:adjustRightInd w:val="0"/>
        <w:snapToGrid w:val="0"/>
        <w:spacing w:before="72"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2019年下达义务教育寄宿制学生生活补助资金情况如下：阿州财教【6-2号】200万，阿州财教【36-2号】159万，壤财小学【3072号】52.28万，壤财初中【3071号】13.63万，阿州财教【83-2号】136万，阿州财教【83-1号】1万，阿州财预【[2018]95号】1359万中611.175万，共计1173.085万元。</w:t>
      </w:r>
    </w:p>
    <w:p>
      <w:pPr>
        <w:pStyle w:val="5"/>
        <w:adjustRightInd w:val="0"/>
        <w:snapToGrid w:val="0"/>
        <w:spacing w:before="72"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资金使用情况遵循“专款专用、公开透明、及时结算”的原则，2019年义务教育中央补助资金寄宿制学生生活补助资金全部用于寄宿制学生生活,截止12月2日 支出资助资金830.24万元。2019年秋季学期现未完，待本学期结束，该项目预计支出将达到支付进度要求，实现应助尽助。</w:t>
      </w:r>
    </w:p>
    <w:p>
      <w:pPr>
        <w:pStyle w:val="5"/>
        <w:adjustRightInd w:val="0"/>
        <w:snapToGrid w:val="0"/>
        <w:spacing w:before="72" w:line="600" w:lineRule="exac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项目财务管理情况</w:t>
      </w:r>
      <w:r>
        <w:rPr>
          <w:rFonts w:hint="eastAsia"/>
          <w:color w:val="000000"/>
          <w:sz w:val="32"/>
          <w:szCs w:val="32"/>
          <w:lang w:val="en-US" w:eastAsia="zh-CN"/>
        </w:rPr>
        <w:t xml:space="preserve"> </w:t>
      </w:r>
      <w:r>
        <w:rPr>
          <w:rFonts w:hint="eastAsia" w:ascii="仿宋_GB2312" w:eastAsia="仿宋_GB2312"/>
          <w:color w:val="000000"/>
          <w:sz w:val="32"/>
          <w:szCs w:val="32"/>
        </w:rPr>
        <w:t>严格遵照《项目资金管理办法》。在地方政府统筹下，积极开展实施项目，专项资金管理制度完善，项目都能按计划执行。资金实行专人专户管理，设立了专门账户，实行专人负责，做到了专款专用，并定期和不定期接受了上级和审计部门的监督和审计。 </w:t>
      </w:r>
    </w:p>
    <w:p>
      <w:pPr>
        <w:pStyle w:val="5"/>
        <w:adjustRightInd w:val="0"/>
        <w:snapToGrid w:val="0"/>
        <w:spacing w:before="72"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(二)项目组织实施情况</w:t>
      </w:r>
      <w:r>
        <w:rPr>
          <w:rFonts w:hint="eastAsia"/>
          <w:color w:val="000000"/>
          <w:sz w:val="32"/>
          <w:szCs w:val="32"/>
          <w:lang w:val="en-US" w:eastAsia="zh-CN"/>
        </w:rPr>
        <w:t xml:space="preserve"> </w:t>
      </w:r>
      <w:r>
        <w:rPr>
          <w:rFonts w:hint="eastAsia" w:ascii="仿宋_GB2312" w:eastAsia="仿宋_GB2312"/>
          <w:color w:val="000000"/>
          <w:sz w:val="32"/>
          <w:szCs w:val="32"/>
        </w:rPr>
        <w:t>为认真贯彻落实中共中央《建立健全教育、制度、监督并重的惩治和预防腐败体系实施纲要》精神，切实按照州委、州人民政府和州教育局工作安排，县教育局立足实际，坚持创新，建立符合壤塘实际的学校学生食堂食品定点集中采购工作机制，大宗物品全部实行政府采购，实行“四统一”，即统一招标、统一采购、统一分配、统一运送。保证了学生食品的安全、质量。将学校食品安全工作等纳入有序、规范的操作轨道，使学生食堂食品采购过程实现公开化、透明化，保证采购质量和采购价格的合理化，确保资金安全、高效，各学校按照《壤塘县教育局寄宿制经费管理办法》、做好了寄宿制学生生活补助公开栏，做到让社会满意，让家长放心，让广大学生吃得安全、吃得放心，吃得健康有营养，并让学生生活补助发挥最大效益。　</w:t>
      </w:r>
    </w:p>
    <w:p>
      <w:pPr>
        <w:pStyle w:val="5"/>
        <w:adjustRightInd w:val="0"/>
        <w:snapToGrid w:val="0"/>
        <w:spacing w:before="72"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三、项目效益情况</w:t>
      </w:r>
      <w:r>
        <w:rPr>
          <w:rFonts w:hint="eastAsia"/>
          <w:color w:val="000000"/>
          <w:sz w:val="32"/>
          <w:szCs w:val="32"/>
          <w:lang w:val="en-US" w:eastAsia="zh-CN"/>
        </w:rPr>
        <w:t xml:space="preserve"> </w:t>
      </w:r>
      <w:r>
        <w:rPr>
          <w:rFonts w:hint="eastAsia" w:ascii="仿宋_GB2312" w:eastAsia="仿宋_GB2312"/>
          <w:color w:val="000000"/>
          <w:sz w:val="32"/>
          <w:szCs w:val="32"/>
        </w:rPr>
        <w:t>寄宿制生活补助的实施，解决了我县寄宿制学生的生活费问题，有力地缓解了学校与家长关于生活问题的压力；营养改善计划实施我县学生的体质得到了明显改善，专项资金的规范管理和安全使用，做到让社会满意，让家长放心，让所有寄宿制学生不用为了自己的生活费而浪费精力，能在学校专心学习，没有后顾之忧。学校住宿、生活条件的改善使教师和学生的工作、学习积极性得到了极大的提高，学校的教育教学质量也得到提升。</w:t>
      </w:r>
    </w:p>
    <w:p>
      <w:pPr>
        <w:pStyle w:val="5"/>
        <w:adjustRightInd w:val="0"/>
        <w:snapToGrid w:val="0"/>
        <w:spacing w:before="72" w:line="600" w:lineRule="exact"/>
        <w:ind w:left="6362" w:leftChars="2888" w:hanging="297" w:hangingChars="93"/>
        <w:rPr>
          <w:rFonts w:hint="eastAsia" w:ascii="仿宋_GB2312" w:eastAsia="仿宋_GB2312"/>
          <w:color w:val="000000"/>
          <w:sz w:val="32"/>
          <w:szCs w:val="32"/>
          <w:lang w:val="en-US" w:eastAsia="zh-CN"/>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壤塘县教育局</w:t>
      </w:r>
    </w:p>
    <w:p>
      <w:pPr>
        <w:pStyle w:val="5"/>
        <w:adjustRightInd w:val="0"/>
        <w:snapToGrid w:val="0"/>
        <w:spacing w:before="72" w:line="600" w:lineRule="exact"/>
        <w:ind w:left="4150" w:leftChars="1976" w:firstLine="1628" w:firstLineChars="50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2019年12月14日</w:t>
      </w:r>
    </w:p>
    <w:p>
      <w:pPr>
        <w:pStyle w:val="5"/>
        <w:adjustRightInd w:val="0"/>
        <w:snapToGrid w:val="0"/>
        <w:spacing w:before="72" w:line="600" w:lineRule="exact"/>
        <w:ind w:left="4150" w:leftChars="1976" w:firstLine="1628" w:firstLineChars="509"/>
        <w:rPr>
          <w:rFonts w:hint="eastAsia" w:ascii="仿宋_GB2312" w:eastAsia="仿宋_GB2312"/>
          <w:color w:val="000000"/>
          <w:sz w:val="32"/>
          <w:szCs w:val="32"/>
        </w:rPr>
      </w:pPr>
    </w:p>
    <w:p>
      <w:pPr>
        <w:pStyle w:val="5"/>
        <w:adjustRightInd w:val="0"/>
        <w:snapToGrid w:val="0"/>
        <w:spacing w:before="72" w:line="600" w:lineRule="exact"/>
        <w:ind w:left="4150" w:leftChars="1976" w:firstLine="1628" w:firstLineChars="509"/>
        <w:rPr>
          <w:rFonts w:hint="eastAsia" w:ascii="仿宋_GB2312" w:eastAsia="仿宋_GB2312"/>
          <w:color w:val="000000"/>
          <w:sz w:val="32"/>
          <w:szCs w:val="32"/>
        </w:rPr>
      </w:pPr>
    </w:p>
    <w:p>
      <w:pPr>
        <w:pStyle w:val="5"/>
        <w:adjustRightInd w:val="0"/>
        <w:snapToGrid w:val="0"/>
        <w:spacing w:before="72" w:line="600" w:lineRule="exact"/>
        <w:ind w:firstLine="5788" w:firstLineChars="1809"/>
        <w:rPr>
          <w:rFonts w:hint="eastAsia" w:ascii="仿宋_GB2312" w:eastAsia="仿宋_GB2312"/>
          <w:color w:val="000000"/>
          <w:sz w:val="32"/>
          <w:szCs w:val="32"/>
        </w:rPr>
      </w:pPr>
    </w:p>
    <w:p>
      <w:pPr>
        <w:pStyle w:val="5"/>
        <w:adjustRightInd w:val="0"/>
        <w:snapToGrid w:val="0"/>
        <w:spacing w:before="72" w:line="600" w:lineRule="exact"/>
        <w:ind w:firstLine="672" w:firstLineChars="210"/>
        <w:jc w:val="center"/>
        <w:outlineLvl w:val="0"/>
        <w:rPr>
          <w:rFonts w:hint="eastAsia" w:ascii="仿宋_GB2312" w:eastAsia="仿宋_GB2312"/>
          <w:color w:val="000000"/>
          <w:sz w:val="32"/>
          <w:szCs w:val="32"/>
          <w:lang w:val="zh-CN"/>
        </w:rPr>
      </w:pPr>
      <w:bookmarkStart w:id="165" w:name="_Toc1959"/>
      <w:r>
        <w:rPr>
          <w:rFonts w:hint="eastAsia" w:ascii="仿宋_GB2312" w:eastAsia="仿宋_GB2312"/>
          <w:color w:val="000000"/>
          <w:sz w:val="32"/>
          <w:szCs w:val="32"/>
          <w:lang w:val="zh-CN"/>
        </w:rPr>
        <w:t>壤塘县上壤塘乡中心小学校和吾依乡中心小</w:t>
      </w:r>
      <w:bookmarkEnd w:id="165"/>
    </w:p>
    <w:p>
      <w:pPr>
        <w:pStyle w:val="5"/>
        <w:adjustRightInd w:val="0"/>
        <w:snapToGrid w:val="0"/>
        <w:spacing w:before="72" w:line="600" w:lineRule="exact"/>
        <w:ind w:firstLine="672" w:firstLineChars="210"/>
        <w:jc w:val="center"/>
        <w:outlineLvl w:val="0"/>
        <w:rPr>
          <w:rFonts w:hint="eastAsia" w:ascii="仿宋_GB2312" w:eastAsia="仿宋_GB2312"/>
          <w:color w:val="000000"/>
          <w:sz w:val="32"/>
          <w:szCs w:val="32"/>
          <w:lang w:val="zh-CN"/>
        </w:rPr>
      </w:pPr>
      <w:bookmarkStart w:id="166" w:name="_Toc9936"/>
      <w:r>
        <w:rPr>
          <w:rFonts w:hint="eastAsia" w:ascii="仿宋_GB2312" w:eastAsia="仿宋_GB2312"/>
          <w:color w:val="000000"/>
          <w:sz w:val="32"/>
          <w:szCs w:val="32"/>
          <w:lang w:val="zh-CN"/>
        </w:rPr>
        <w:t>学校少年宫设备采购项目2019年绩效评价报告</w:t>
      </w:r>
      <w:bookmarkEnd w:id="166"/>
    </w:p>
    <w:p>
      <w:pPr>
        <w:pStyle w:val="5"/>
        <w:adjustRightInd w:val="0"/>
        <w:snapToGrid w:val="0"/>
        <w:spacing w:before="72" w:line="600" w:lineRule="exact"/>
        <w:ind w:firstLine="672" w:firstLineChars="210"/>
        <w:rPr>
          <w:rFonts w:hint="eastAsia" w:ascii="仿宋_GB2312" w:eastAsia="仿宋_GB2312"/>
          <w:color w:val="000000"/>
          <w:sz w:val="32"/>
          <w:szCs w:val="32"/>
        </w:rPr>
      </w:pP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项目概况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根据《州财政局州文明办州教育局关于下达2019年中央专项彩票公益金支持乡村学校少年宫项目资金预算指标的通知》（阿州财教〔2019〕25号），为我县划拨新建少年宫资金30万元,建设学校2所(上壤塘乡中心小学校和吾依乡中心小学校)。采购小组根据有关要求扣除运转经费3万元/所学校后,按照12万元/所学校进行设备采购。严格按照省上下发的相关要求和通知，建设一所达标一所的原则,将该资金用于新建少年宫的设备购置,根据学校实际情况制定实施计划和采购方案，报同级财政部门备案，采用竞争性谈判的招标方式进行采购，在采购计划备案后即启动采购程序。实际为两所学校采购设备23.6204万元，项目名称：壤塘县上壤塘乡中心小学校和吾依乡中心小学校少年宫设备采购项目，项目编号：5132302019000094，四川炎圭鑫科技有限公司中标。2019年8月2日签订政府采购供货合同,合同按照相关规定已在四川省政府采购网上备案。</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项目申报内容与具体实施内容相符、申报目标合理可行。</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二、评价工作开展情况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（一）成立评价小组情况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成立由教育局于福副局长为组长,项目学校校长、项目实施部门为成员的项目绩效评价小组</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（二）绩效评价表中的绩效评价因素的评价情况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该项目的绩效评价因素有1、项目采购需求编制情况，2、采购数量指标，3、成本指标、满意度指标、4、时效指标5、采购程序及公告和备案等。</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（三）政府采购合同公告与备案情况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2019年7月9对采购招标予以公示，8月2日对采购合同进行了网上备案。9月20日对验收结果进行了公示。</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（四）采购预算执行情况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2019年7月22日该项目委托县交易中心组织开标，8月2日与中标商签订政府采购合同，中标价23.6204万元。9月20日对验收结果进行公示。</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（五）采购履约验收情况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2019年9月20日,教育局邀请壤塘县质监局及项目学校负责人参加项目验收,合格并交付学校使用。</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ab/>
      </w:r>
      <w:r>
        <w:rPr>
          <w:rFonts w:hint="eastAsia" w:ascii="仿宋_GB2312" w:eastAsia="仿宋_GB2312"/>
          <w:color w:val="000000"/>
          <w:sz w:val="32"/>
          <w:szCs w:val="32"/>
          <w:lang w:val="zh-CN"/>
        </w:rPr>
        <w:t>（一）资金计划、到位及使用情况。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1、资金计划及到位。该项目资金截止评价时点已到位，</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2、资金使用。截止评价时点项目资金已支出95%,22.43938万元，扣留5%的质保金1.18102万元。</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（二）项目财务管理情况。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该项目严格执行财务管理制度、财务处理及时、会计核算规范。</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（三）项目组织实施情况。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该项目严格按照招投标法、政府采购法等执行相关管理制度。</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rPr>
        <w:t>三、目标完成情况</w:t>
      </w:r>
      <w:r>
        <w:rPr>
          <w:rFonts w:hint="eastAsia" w:ascii="仿宋_GB2312" w:eastAsia="仿宋_GB2312"/>
          <w:color w:val="000000"/>
          <w:sz w:val="32"/>
          <w:szCs w:val="32"/>
          <w:lang w:val="zh-CN"/>
        </w:rPr>
        <w:tab/>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（一）目标任务量完成情况。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rPr>
        <w:t>2019年7月22日该项目委托县交易中心组织开标，8月2日与中标商签订政府采购合同。</w:t>
      </w:r>
      <w:r>
        <w:rPr>
          <w:rFonts w:hint="eastAsia" w:ascii="仿宋_GB2312" w:eastAsia="仿宋_GB2312"/>
          <w:color w:val="000000"/>
          <w:sz w:val="32"/>
          <w:szCs w:val="32"/>
          <w:lang w:val="zh-CN"/>
        </w:rPr>
        <w:t>2019年9月20日,教育局邀请壤塘县质监局及项目学校负责人参加项目验收,合格并交付学校使用。</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（二）目标质量完成情况。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该项目验收合格。</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（三）目标进度完成情况。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该项目已全面完成。</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四、项目效益情况</w:t>
      </w:r>
    </w:p>
    <w:p>
      <w:pPr>
        <w:pStyle w:val="5"/>
        <w:adjustRightInd w:val="0"/>
        <w:snapToGrid w:val="0"/>
        <w:spacing w:before="72" w:line="600" w:lineRule="exact"/>
        <w:ind w:firstLine="672" w:firstLineChars="210"/>
        <w:rPr>
          <w:rFonts w:hint="eastAsia" w:ascii="仿宋_GB2312" w:eastAsia="仿宋_GB2312"/>
          <w:color w:val="000000"/>
          <w:sz w:val="32"/>
          <w:szCs w:val="32"/>
          <w:lang w:val="zh-CN"/>
        </w:rPr>
      </w:pPr>
      <w:r>
        <w:rPr>
          <w:rFonts w:hint="eastAsia" w:ascii="仿宋_GB2312" w:eastAsia="仿宋_GB2312"/>
          <w:color w:val="000000"/>
          <w:sz w:val="32"/>
          <w:szCs w:val="32"/>
          <w:lang w:val="zh-CN"/>
        </w:rPr>
        <w:t>根据该项目具体情况进行分析，项目节约资金</w:t>
      </w:r>
      <w:r>
        <w:rPr>
          <w:rFonts w:hint="eastAsia" w:ascii="仿宋_GB2312" w:eastAsia="仿宋_GB2312"/>
          <w:color w:val="000000"/>
          <w:sz w:val="32"/>
          <w:szCs w:val="32"/>
        </w:rPr>
        <w:t>0.3796万元</w:t>
      </w:r>
      <w:r>
        <w:rPr>
          <w:rFonts w:hint="eastAsia" w:ascii="仿宋_GB2312" w:eastAsia="仿宋_GB2312"/>
          <w:color w:val="000000"/>
          <w:sz w:val="32"/>
          <w:szCs w:val="32"/>
          <w:lang w:val="zh-CN"/>
        </w:rPr>
        <w:t>。</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五、采购项目评价内容的情况</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该项目为教学仪器设备采购安装，在项目的实施中严格按照《中华人民共和国政府采购法》《中华人民共和国合同法》等法律法规实施。项目前期决策、实施中的项目管理、项目延后项目完成交付使用、项目效果等都良好。</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所采购的货物有所值，项目使用人或者受益者满意度；</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政府采购合同各方当事人诚实信用。</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六、绩效评价结果</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该项目政府采购执行情况绩效评价自评得分为100分;</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七、采购存在问题</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1、本县地理位置偏远，学校分散，供货运输周期长。</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2、州上的资金批复到达本单位的时间滞后。</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八、采购相关建议</w:t>
      </w:r>
    </w:p>
    <w:p>
      <w:pPr>
        <w:pStyle w:val="5"/>
        <w:adjustRightInd w:val="0"/>
        <w:snapToGrid w:val="0"/>
        <w:spacing w:before="72" w:line="600" w:lineRule="exact"/>
        <w:ind w:firstLine="672" w:firstLineChars="210"/>
        <w:rPr>
          <w:rFonts w:hint="eastAsia" w:ascii="仿宋_GB2312" w:eastAsia="仿宋_GB2312"/>
          <w:color w:val="000000"/>
          <w:sz w:val="32"/>
          <w:szCs w:val="32"/>
        </w:rPr>
      </w:pPr>
      <w:r>
        <w:rPr>
          <w:rFonts w:hint="eastAsia" w:ascii="仿宋_GB2312" w:eastAsia="仿宋_GB2312"/>
          <w:color w:val="000000"/>
          <w:sz w:val="32"/>
          <w:szCs w:val="32"/>
        </w:rPr>
        <w:t>加强投标企业的诚信管理，制定《招标投标机构诚信管理暂行办法》，加强招标机构和投标企业诚信档案建设，建立部门信息沟通及共享机制，建立完整的招投标企业诚信档案。通过健全诚信信息申报、采集、提供等制度，定期收集诚信信息或失信信息，及时进行诚信评定。对失信企业和严重失信企业要严厉查处。</w:t>
      </w:r>
    </w:p>
    <w:p>
      <w:pPr>
        <w:pStyle w:val="5"/>
        <w:adjustRightInd w:val="0"/>
        <w:snapToGrid w:val="0"/>
        <w:spacing w:before="72" w:line="600" w:lineRule="exact"/>
        <w:ind w:firstLine="672" w:firstLineChars="210"/>
        <w:rPr>
          <w:rFonts w:hint="eastAsia" w:ascii="仿宋_GB2312" w:eastAsia="仿宋_GB2312"/>
          <w:color w:val="000000"/>
          <w:sz w:val="32"/>
          <w:szCs w:val="32"/>
        </w:rPr>
      </w:pPr>
    </w:p>
    <w:p>
      <w:pPr>
        <w:pStyle w:val="5"/>
        <w:adjustRightInd w:val="0"/>
        <w:snapToGrid w:val="0"/>
        <w:spacing w:before="72" w:line="600" w:lineRule="exact"/>
        <w:ind w:firstLine="672" w:firstLineChars="210"/>
        <w:jc w:val="right"/>
        <w:rPr>
          <w:rFonts w:hint="eastAsia" w:ascii="仿宋_GB2312" w:eastAsia="仿宋_GB2312"/>
          <w:color w:val="000000"/>
          <w:sz w:val="32"/>
          <w:szCs w:val="32"/>
        </w:rPr>
      </w:pPr>
      <w:r>
        <w:rPr>
          <w:rFonts w:hint="eastAsia" w:ascii="仿宋_GB2312" w:eastAsia="仿宋_GB2312"/>
          <w:color w:val="000000"/>
          <w:sz w:val="32"/>
          <w:szCs w:val="32"/>
        </w:rPr>
        <w:t>壤塘县教育局</w:t>
      </w:r>
    </w:p>
    <w:p>
      <w:pPr>
        <w:pStyle w:val="5"/>
        <w:adjustRightInd w:val="0"/>
        <w:snapToGrid w:val="0"/>
        <w:spacing w:before="72" w:line="600" w:lineRule="exact"/>
        <w:ind w:firstLine="672" w:firstLineChars="210"/>
        <w:jc w:val="right"/>
        <w:rPr>
          <w:rFonts w:hint="eastAsia" w:ascii="仿宋_GB2312" w:eastAsia="仿宋_GB2312"/>
          <w:color w:val="000000"/>
          <w:sz w:val="32"/>
          <w:szCs w:val="32"/>
        </w:rPr>
      </w:pPr>
      <w:r>
        <w:rPr>
          <w:rFonts w:hint="eastAsia"/>
          <w:color w:val="000000"/>
          <w:sz w:val="32"/>
          <w:szCs w:val="32"/>
          <w:lang w:val="en-US" w:eastAsia="zh-CN"/>
        </w:rPr>
        <w:t>2019</w:t>
      </w:r>
      <w:r>
        <w:rPr>
          <w:rFonts w:hint="eastAsia" w:ascii="仿宋_GB2312" w:eastAsia="仿宋_GB2312"/>
          <w:color w:val="000000"/>
          <w:sz w:val="32"/>
          <w:szCs w:val="32"/>
        </w:rPr>
        <w:t>年</w:t>
      </w:r>
      <w:r>
        <w:rPr>
          <w:rFonts w:hint="eastAsia"/>
          <w:color w:val="000000"/>
          <w:sz w:val="32"/>
          <w:szCs w:val="32"/>
          <w:lang w:val="en-US" w:eastAsia="zh-CN"/>
        </w:rPr>
        <w:t>12</w:t>
      </w:r>
      <w:r>
        <w:rPr>
          <w:rFonts w:hint="eastAsia" w:ascii="仿宋_GB2312" w:eastAsia="仿宋_GB2312"/>
          <w:color w:val="000000"/>
          <w:sz w:val="32"/>
          <w:szCs w:val="32"/>
        </w:rPr>
        <w:t>月14日</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swiss"/>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9737F2C"/>
    <w:multiLevelType w:val="singleLevel"/>
    <w:tmpl w:val="E9737F2C"/>
    <w:lvl w:ilvl="0" w:tentative="0">
      <w:start w:val="2"/>
      <w:numFmt w:val="chineseCounting"/>
      <w:suff w:val="nothing"/>
      <w:lvlText w:val="（%1）"/>
      <w:lvlJc w:val="left"/>
      <w:rPr>
        <w:rFonts w:hint="eastAsia"/>
      </w:rPr>
    </w:lvl>
  </w:abstractNum>
  <w:abstractNum w:abstractNumId="3">
    <w:nsid w:val="FD28371C"/>
    <w:multiLevelType w:val="singleLevel"/>
    <w:tmpl w:val="FD28371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E2017C4"/>
    <w:multiLevelType w:val="singleLevel"/>
    <w:tmpl w:val="5E2017C4"/>
    <w:lvl w:ilvl="0" w:tentative="0">
      <w:start w:val="2"/>
      <w:numFmt w:val="decimal"/>
      <w:suff w:val="nothing"/>
      <w:lvlText w:val="（%1）"/>
      <w:lvlJc w:val="left"/>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D3C77"/>
    <w:rsid w:val="0147131E"/>
    <w:rsid w:val="02851099"/>
    <w:rsid w:val="047516B5"/>
    <w:rsid w:val="0707252A"/>
    <w:rsid w:val="085B2B78"/>
    <w:rsid w:val="09783895"/>
    <w:rsid w:val="09F233B9"/>
    <w:rsid w:val="0D650094"/>
    <w:rsid w:val="0D801CEC"/>
    <w:rsid w:val="0E396E51"/>
    <w:rsid w:val="0E4060FE"/>
    <w:rsid w:val="0E520035"/>
    <w:rsid w:val="0E9B5573"/>
    <w:rsid w:val="0ED672FF"/>
    <w:rsid w:val="0EDB59F2"/>
    <w:rsid w:val="10101627"/>
    <w:rsid w:val="10C055FF"/>
    <w:rsid w:val="10C67E83"/>
    <w:rsid w:val="11374CF7"/>
    <w:rsid w:val="11552894"/>
    <w:rsid w:val="14860A9F"/>
    <w:rsid w:val="16736F43"/>
    <w:rsid w:val="168045BA"/>
    <w:rsid w:val="16BB723D"/>
    <w:rsid w:val="19834C82"/>
    <w:rsid w:val="1B3B0D5F"/>
    <w:rsid w:val="1D2F5F40"/>
    <w:rsid w:val="1D8716F2"/>
    <w:rsid w:val="1DF21CA7"/>
    <w:rsid w:val="1E5E17D4"/>
    <w:rsid w:val="1F5C549C"/>
    <w:rsid w:val="20791839"/>
    <w:rsid w:val="21487010"/>
    <w:rsid w:val="216876E5"/>
    <w:rsid w:val="21D1046F"/>
    <w:rsid w:val="22AD416F"/>
    <w:rsid w:val="231962B4"/>
    <w:rsid w:val="240371BF"/>
    <w:rsid w:val="2510580D"/>
    <w:rsid w:val="25F4521C"/>
    <w:rsid w:val="271F1C88"/>
    <w:rsid w:val="27C84349"/>
    <w:rsid w:val="27FA21CC"/>
    <w:rsid w:val="27FD6D5F"/>
    <w:rsid w:val="28353F09"/>
    <w:rsid w:val="28EE4B49"/>
    <w:rsid w:val="292955A4"/>
    <w:rsid w:val="29FD04D3"/>
    <w:rsid w:val="2BE02A2F"/>
    <w:rsid w:val="2CAB6E53"/>
    <w:rsid w:val="2CBB0C93"/>
    <w:rsid w:val="2CBC79F5"/>
    <w:rsid w:val="2CC57BEC"/>
    <w:rsid w:val="2DE5790D"/>
    <w:rsid w:val="2E3920F2"/>
    <w:rsid w:val="2F58036B"/>
    <w:rsid w:val="319F7F4E"/>
    <w:rsid w:val="31CE0F24"/>
    <w:rsid w:val="325029DF"/>
    <w:rsid w:val="32596796"/>
    <w:rsid w:val="32D2055E"/>
    <w:rsid w:val="32E901D8"/>
    <w:rsid w:val="32F73681"/>
    <w:rsid w:val="337536AE"/>
    <w:rsid w:val="34D16FFD"/>
    <w:rsid w:val="3607149F"/>
    <w:rsid w:val="36984B8C"/>
    <w:rsid w:val="36F65CB3"/>
    <w:rsid w:val="395948DF"/>
    <w:rsid w:val="399C13FB"/>
    <w:rsid w:val="39C205EF"/>
    <w:rsid w:val="3B475084"/>
    <w:rsid w:val="3CCC7526"/>
    <w:rsid w:val="40FB254A"/>
    <w:rsid w:val="42174AA7"/>
    <w:rsid w:val="42873D2B"/>
    <w:rsid w:val="434376A3"/>
    <w:rsid w:val="438B6625"/>
    <w:rsid w:val="46341CFA"/>
    <w:rsid w:val="47097653"/>
    <w:rsid w:val="4A4F1157"/>
    <w:rsid w:val="4C104565"/>
    <w:rsid w:val="4D934C04"/>
    <w:rsid w:val="4ECE2238"/>
    <w:rsid w:val="4F3823C0"/>
    <w:rsid w:val="4FED7FFB"/>
    <w:rsid w:val="50D442FA"/>
    <w:rsid w:val="513258A2"/>
    <w:rsid w:val="51C70856"/>
    <w:rsid w:val="53A128AF"/>
    <w:rsid w:val="58C87628"/>
    <w:rsid w:val="59057DC1"/>
    <w:rsid w:val="59C75318"/>
    <w:rsid w:val="5AB362CB"/>
    <w:rsid w:val="5BE26241"/>
    <w:rsid w:val="5C8728D2"/>
    <w:rsid w:val="5F112DD2"/>
    <w:rsid w:val="5F656510"/>
    <w:rsid w:val="5F663956"/>
    <w:rsid w:val="608F075D"/>
    <w:rsid w:val="60AB5F0E"/>
    <w:rsid w:val="63A73F5B"/>
    <w:rsid w:val="656A31D6"/>
    <w:rsid w:val="657604CC"/>
    <w:rsid w:val="65A906DA"/>
    <w:rsid w:val="69AA63F3"/>
    <w:rsid w:val="6B9F3CFA"/>
    <w:rsid w:val="6BC02658"/>
    <w:rsid w:val="6C1A5A03"/>
    <w:rsid w:val="6C9121E9"/>
    <w:rsid w:val="6D941B1B"/>
    <w:rsid w:val="6DBB26B3"/>
    <w:rsid w:val="6E1E1963"/>
    <w:rsid w:val="715870B7"/>
    <w:rsid w:val="72734D90"/>
    <w:rsid w:val="740D78FE"/>
    <w:rsid w:val="792A005A"/>
    <w:rsid w:val="79A342BF"/>
    <w:rsid w:val="7A521474"/>
    <w:rsid w:val="7A6F21BC"/>
    <w:rsid w:val="7BCE4C52"/>
    <w:rsid w:val="7C434A70"/>
    <w:rsid w:val="7D3050E6"/>
    <w:rsid w:val="7F1235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link w:val="15"/>
    <w:semiHidden/>
    <w:unhideWhenUsed/>
    <w:uiPriority w:val="1"/>
    <w:rPr>
      <w:rFonts w:eastAsia="宋体"/>
      <w:sz w:val="21"/>
    </w:rPr>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5">
    <w:name w:val="Char Char Char Char Char Char Char"/>
    <w:basedOn w:val="1"/>
    <w:link w:val="14"/>
    <w:qFormat/>
    <w:uiPriority w:val="0"/>
    <w:pPr>
      <w:spacing w:before="300" w:after="300" w:line="560" w:lineRule="exact"/>
    </w:pPr>
    <w:rPr>
      <w:rFonts w:eastAsia="宋体"/>
      <w:sz w:val="21"/>
    </w:rPr>
  </w:style>
  <w:style w:type="character" w:styleId="16">
    <w:name w:val="Strong"/>
    <w:basedOn w:val="14"/>
    <w:qFormat/>
    <w:uiPriority w:val="99"/>
    <w:rPr>
      <w:b/>
    </w:rPr>
  </w:style>
  <w:style w:type="character" w:styleId="17">
    <w:name w:val="page number"/>
    <w:basedOn w:val="14"/>
    <w:qFormat/>
    <w:uiPriority w:val="0"/>
  </w:style>
  <w:style w:type="character" w:styleId="18">
    <w:name w:val="Hyperlink"/>
    <w:basedOn w:val="14"/>
    <w:unhideWhenUsed/>
    <w:qFormat/>
    <w:uiPriority w:val="99"/>
    <w:rPr>
      <w:color w:val="0000FF" w:themeColor="hyperlink"/>
      <w:u w:val="single"/>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字符"/>
    <w:link w:val="9"/>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字符"/>
    <w:link w:val="8"/>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4"/>
    <w:link w:val="2"/>
    <w:qFormat/>
    <w:uiPriority w:val="9"/>
    <w:rPr>
      <w:rFonts w:ascii="Times New Roman" w:hAnsi="Times New Roman"/>
      <w:b/>
      <w:bCs/>
      <w:kern w:val="44"/>
      <w:sz w:val="44"/>
      <w:szCs w:val="44"/>
    </w:rPr>
  </w:style>
  <w:style w:type="character" w:customStyle="1" w:styleId="28">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4"/>
    <w:link w:val="7"/>
    <w:semiHidden/>
    <w:qFormat/>
    <w:uiPriority w:val="99"/>
    <w:rPr>
      <w:rFonts w:ascii="Times New Roman" w:hAnsi="Times New Roman"/>
      <w:kern w:val="2"/>
      <w:sz w:val="18"/>
      <w:szCs w:val="18"/>
    </w:rPr>
  </w:style>
  <w:style w:type="character" w:customStyle="1" w:styleId="31">
    <w:name w:val="标题 3 字符"/>
    <w:basedOn w:val="14"/>
    <w:link w:val="4"/>
    <w:qFormat/>
    <w:uiPriority w:val="9"/>
    <w:rPr>
      <w:rFonts w:ascii="Times New Roman" w:hAnsi="Times New Roman"/>
      <w:b/>
      <w:bCs/>
      <w:kern w:val="2"/>
      <w:sz w:val="32"/>
      <w:szCs w:val="32"/>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标题 1 Char"/>
    <w:basedOn w:val="14"/>
    <w:link w:val="2"/>
    <w:qFormat/>
    <w:uiPriority w:val="9"/>
    <w:rPr>
      <w:rFonts w:ascii="Times New Roman" w:hAnsi="Times New Roman"/>
      <w:b/>
      <w:bCs/>
      <w:kern w:val="44"/>
      <w:sz w:val="44"/>
      <w:szCs w:val="44"/>
    </w:rPr>
  </w:style>
  <w:style w:type="character" w:customStyle="1" w:styleId="34">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3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6">
    <w:name w:val="四号正文"/>
    <w:basedOn w:val="1"/>
    <w:qFormat/>
    <w:uiPriority w:val="0"/>
    <w:pPr>
      <w:spacing w:line="360" w:lineRule="auto"/>
    </w:pPr>
    <w:rPr>
      <w:rFonts w:ascii="??" w:hAnsi="??" w:eastAsia="宋体" w:cs="宋体"/>
      <w:color w:val="000000"/>
      <w:kern w:val="0"/>
      <w:sz w:val="28"/>
      <w:szCs w:val="21"/>
    </w:rPr>
  </w:style>
  <w:style w:type="paragraph" w:customStyle="1" w:styleId="37">
    <w:name w:val="WPSOffice手动目录 1"/>
    <w:uiPriority w:val="0"/>
    <w:pPr>
      <w:ind w:leftChars="0"/>
    </w:pPr>
    <w:rPr>
      <w:sz w:val="20"/>
      <w:szCs w:val="20"/>
    </w:rPr>
  </w:style>
  <w:style w:type="paragraph" w:customStyle="1" w:styleId="38">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收、支决算总计变动情况表（万元）</a:t>
            </a:r>
            <a:endParaRPr altLang="en-US"/>
          </a:p>
        </c:rich>
      </c:tx>
      <c:layout/>
      <c:overlay val="0"/>
      <c:spPr>
        <a:noFill/>
        <a:ln>
          <a:noFill/>
        </a:ln>
        <a:effectLst/>
      </c:spPr>
    </c:title>
    <c:autoTitleDeleted val="0"/>
    <c:plotArea>
      <c:layout>
        <c:manualLayout>
          <c:layoutTarget val="inner"/>
          <c:xMode val="edge"/>
          <c:yMode val="edge"/>
          <c:x val="0.0804998762682504"/>
          <c:y val="0.0233200368211108"/>
          <c:w val="0.952675"/>
          <c:h val="0.8425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2019年收入</c:v>
                </c:pt>
                <c:pt idx="1">
                  <c:v>2018年收入</c:v>
                </c:pt>
                <c:pt idx="2">
                  <c:v>2019年支出</c:v>
                </c:pt>
                <c:pt idx="3">
                  <c:v>2018年支出</c:v>
                </c:pt>
              </c:strCache>
            </c:strRef>
          </c:cat>
          <c:val>
            <c:numRef>
              <c:f>Sheet1!$B$2:$B$5</c:f>
              <c:numCache>
                <c:formatCode>General</c:formatCode>
                <c:ptCount val="4"/>
                <c:pt idx="0">
                  <c:v>7547.03</c:v>
                </c:pt>
                <c:pt idx="1">
                  <c:v>10749.09</c:v>
                </c:pt>
                <c:pt idx="2">
                  <c:v>9318.82</c:v>
                </c:pt>
                <c:pt idx="3">
                  <c:v>10123.23</c:v>
                </c:pt>
              </c:numCache>
            </c:numRef>
          </c:val>
        </c:ser>
        <c:dLbls>
          <c:showLegendKey val="0"/>
          <c:showVal val="1"/>
          <c:showCatName val="0"/>
          <c:showSerName val="0"/>
          <c:showPercent val="0"/>
          <c:showBubbleSize val="0"/>
        </c:dLbls>
        <c:gapWidth val="219"/>
        <c:overlap val="-27"/>
        <c:axId val="280880327"/>
        <c:axId val="294712135"/>
        <c:extLst>
          <c:ext xmlns:c15="http://schemas.microsoft.com/office/drawing/2012/chart" uri="{02D57815-91ED-43cb-92C2-25804820EDAC}">
            <c15:filteredBarSeries>
              <c15:ser>
                <c:idx val="1"/>
                <c:order val="1"/>
                <c:tx>
                  <c:strRef>
                    <c:extLst>
                      <c:ext uri="{02D57815-91ED-43cb-92C2-25804820EDAC}">
                        <c15:formulaRef>
                          <c15:sqref>"收、支决算总计变动情况图"</c15:sqref>
                        </c15:formulaRef>
                      </c:ext>
                    </c:extLst>
                    <c:strCache>
                      <c:ptCount val="1"/>
                      <c:pt idx="0">
                        <c:v>收、支决算总计变动情况图</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Sheet1!$A$2:$A$5</c15:sqref>
                        </c15:formulaRef>
                      </c:ext>
                    </c:extLst>
                    <c:strCache>
                      <c:ptCount val="4"/>
                      <c:pt idx="0">
                        <c:v>2019年收入</c:v>
                      </c:pt>
                      <c:pt idx="1">
                        <c:v>2018年收入</c:v>
                      </c:pt>
                      <c:pt idx="2">
                        <c:v>2019年支出</c:v>
                      </c:pt>
                      <c:pt idx="3">
                        <c:v>2018年支出</c:v>
                      </c:pt>
                    </c:strCache>
                  </c:strRef>
                </c:cat>
                <c:val>
                  <c:numRef>
                    <c:extLst>
                      <c:ext uri="{02D57815-91ED-43cb-92C2-25804820EDAC}">
                        <c15:formulaRef>
                          <c15:sqref>{1}</c15:sqref>
                        </c15:formulaRef>
                      </c:ext>
                    </c:extLst>
                    <c:numCache>
                      <c:formatCode>General</c:formatCode>
                      <c:ptCount val="1"/>
                      <c:pt idx="0">
                        <c:v>1</c:v>
                      </c:pt>
                    </c:numCache>
                  </c:numRef>
                </c:val>
              </c15:ser>
            </c15:filteredBarSeries>
          </c:ext>
        </c:extLst>
      </c:barChart>
      <c:catAx>
        <c:axId val="28088032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712135"/>
        <c:crosses val="autoZero"/>
        <c:auto val="1"/>
        <c:lblAlgn val="ctr"/>
        <c:lblOffset val="100"/>
        <c:noMultiLvlLbl val="0"/>
      </c:catAx>
      <c:valAx>
        <c:axId val="294712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0880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收入决算结构图（万元）</a:t>
            </a:r>
          </a:p>
        </c:rich>
      </c:tx>
      <c:layout/>
      <c:overlay val="0"/>
      <c:spPr>
        <a:noFill/>
        <a:ln>
          <a:noFill/>
        </a:ln>
        <a:effectLst/>
      </c:spPr>
    </c:title>
    <c:autoTitleDeleted val="0"/>
    <c:plotArea>
      <c:layout/>
      <c:pieChart>
        <c:varyColors val="1"/>
        <c:ser>
          <c:idx val="0"/>
          <c:order val="0"/>
          <c:tx>
            <c:strRef>
              <c:f>"收入决算结构图（万元）"</c:f>
              <c:strCache>
                <c:ptCount val="1"/>
                <c:pt idx="0">
                  <c:v>收入决算结构图（万元）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c:v>
                </c:pt>
              </c:strCache>
            </c:strRef>
          </c:cat>
          <c:val>
            <c:numRef>
              <c:f>Sheet1!$B$2:$B$3</c:f>
              <c:numCache>
                <c:formatCode>General</c:formatCode>
                <c:ptCount val="2"/>
                <c:pt idx="0">
                  <c:v>7494.03</c:v>
                </c:pt>
                <c:pt idx="1">
                  <c:v>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支出决算结构图（万元）</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基本支出</c:v>
                </c:pt>
                <c:pt idx="1">
                  <c:v>项目支出</c:v>
                </c:pt>
              </c:strCache>
            </c:strRef>
          </c:cat>
          <c:val>
            <c:numRef>
              <c:f>Sheet1!$B$3:$B$4</c:f>
              <c:numCache>
                <c:formatCode>General</c:formatCode>
                <c:ptCount val="2"/>
                <c:pt idx="0">
                  <c:v>238.31</c:v>
                </c:pt>
                <c:pt idx="1">
                  <c:v>9080.51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"财政拨款收、支决算总计变动情况（万元）"</c:f>
              <c:strCache>
                <c:ptCount val="1"/>
                <c:pt idx="0">
                  <c:v>财政拨款收、支决算总计变动情况（万元）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2019年财政拨款收入</c:v>
                </c:pt>
                <c:pt idx="1">
                  <c:v>2018年财政拨款收入</c:v>
                </c:pt>
                <c:pt idx="2">
                  <c:v>2019年财政拨款支出</c:v>
                </c:pt>
                <c:pt idx="3">
                  <c:v>2018年财政拨款支出</c:v>
                </c:pt>
              </c:strCache>
            </c:strRef>
          </c:cat>
          <c:val>
            <c:numRef>
              <c:f>Sheet1!$B$1:$B$4</c:f>
              <c:numCache>
                <c:formatCode>General</c:formatCode>
                <c:ptCount val="4"/>
                <c:pt idx="0">
                  <c:v>7547.03</c:v>
                </c:pt>
                <c:pt idx="1">
                  <c:v>10749.09</c:v>
                </c:pt>
                <c:pt idx="2">
                  <c:v>9318.82</c:v>
                </c:pt>
                <c:pt idx="3" c:formatCode="#,##0.00">
                  <c:v>10113.68</c:v>
                </c:pt>
              </c:numCache>
            </c:numRef>
          </c:val>
        </c:ser>
        <c:dLbls>
          <c:showLegendKey val="0"/>
          <c:showVal val="1"/>
          <c:showCatName val="0"/>
          <c:showSerName val="0"/>
          <c:showPercent val="0"/>
          <c:showBubbleSize val="0"/>
        </c:dLbls>
        <c:gapWidth val="219"/>
        <c:overlap val="-27"/>
        <c:axId val="73591487"/>
        <c:axId val="987089515"/>
      </c:barChart>
      <c:catAx>
        <c:axId val="735914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7089515"/>
        <c:crosses val="autoZero"/>
        <c:auto val="1"/>
        <c:lblAlgn val="ctr"/>
        <c:lblOffset val="100"/>
        <c:noMultiLvlLbl val="0"/>
      </c:catAx>
      <c:valAx>
        <c:axId val="9870895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5914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"一般公共预算财政拨款支出决算变动情况（万元）"</c:f>
              <c:strCache>
                <c:ptCount val="1"/>
                <c:pt idx="0">
                  <c:v>一般公共预算财政拨款支出决算变动情况（万元）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2019年支出</c:v>
                </c:pt>
                <c:pt idx="1">
                  <c:v>2018年支出</c:v>
                </c:pt>
              </c:strCache>
            </c:strRef>
          </c:cat>
          <c:val>
            <c:numRef>
              <c:f>Sheet1!$B$2:$B$3</c:f>
              <c:numCache>
                <c:formatCode>#,##0.00</c:formatCode>
                <c:ptCount val="2"/>
                <c:pt idx="0">
                  <c:v>9308.4</c:v>
                </c:pt>
                <c:pt idx="1" c:formatCode="General">
                  <c:v>10113.68</c:v>
                </c:pt>
              </c:numCache>
            </c:numRef>
          </c:val>
        </c:ser>
        <c:dLbls>
          <c:showLegendKey val="0"/>
          <c:showVal val="1"/>
          <c:showCatName val="0"/>
          <c:showSerName val="0"/>
          <c:showPercent val="0"/>
          <c:showBubbleSize val="0"/>
        </c:dLbls>
        <c:gapWidth val="219"/>
        <c:overlap val="-27"/>
        <c:axId val="406335954"/>
        <c:axId val="127140933"/>
      </c:barChart>
      <c:catAx>
        <c:axId val="4063359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140933"/>
        <c:crosses val="autoZero"/>
        <c:auto val="1"/>
        <c:lblAlgn val="ctr"/>
        <c:lblOffset val="100"/>
        <c:noMultiLvlLbl val="0"/>
      </c:catAx>
      <c:valAx>
        <c:axId val="12714093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33595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一般公共预算财政拨款支出决算结构（万元）</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一般公共服务支出201</c:v>
                </c:pt>
                <c:pt idx="1">
                  <c:v>教育支出205</c:v>
                </c:pt>
                <c:pt idx="2">
                  <c:v>文化旅游体育与传媒支出207</c:v>
                </c:pt>
                <c:pt idx="3">
                  <c:v>社会保障和就业支出208</c:v>
                </c:pt>
                <c:pt idx="4">
                  <c:v>卫生健康支出210</c:v>
                </c:pt>
                <c:pt idx="5">
                  <c:v>农林水支出213</c:v>
                </c:pt>
                <c:pt idx="6">
                  <c:v>住房保障支出221</c:v>
                </c:pt>
                <c:pt idx="7">
                  <c:v>其他支出229</c:v>
                </c:pt>
              </c:strCache>
            </c:strRef>
          </c:cat>
          <c:val>
            <c:numRef>
              <c:f>Sheet1!$B$2:$B$9</c:f>
              <c:numCache>
                <c:formatCode>General</c:formatCode>
                <c:ptCount val="8"/>
                <c:pt idx="0">
                  <c:v>2.77</c:v>
                </c:pt>
                <c:pt idx="1" c:formatCode="#,##0.00">
                  <c:v>9007.32</c:v>
                </c:pt>
                <c:pt idx="2">
                  <c:v>2.34</c:v>
                </c:pt>
                <c:pt idx="3">
                  <c:v>18.14</c:v>
                </c:pt>
                <c:pt idx="4">
                  <c:v>6.12</c:v>
                </c:pt>
                <c:pt idx="5">
                  <c:v>210</c:v>
                </c:pt>
                <c:pt idx="6">
                  <c:v>32.44</c:v>
                </c:pt>
                <c:pt idx="7">
                  <c:v>49.08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"三公”经费财政拨款支出结构（万元）"</c:f>
              <c:strCache>
                <c:ptCount val="1"/>
                <c:pt idx="0">
                  <c:v>三公”经费财政拨款支出结构（万元）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1">
                  <c:v>13.41</c:v>
                </c:pt>
                <c:pt idx="2">
                  <c:v>1.21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27</TotalTime>
  <ScaleCrop>false</ScaleCrop>
  <LinksUpToDate>false</LinksUpToDate>
  <CharactersWithSpaces>8587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悠然</cp:lastModifiedBy>
  <cp:lastPrinted>2020-07-23T02:58:00Z</cp:lastPrinted>
  <dcterms:modified xsi:type="dcterms:W3CDTF">2020-10-27T03:38:04Z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