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96475"/>
      <w:bookmarkStart w:id="5" w:name="_Toc15377193"/>
      <w:bookmarkStart w:id="73" w:name="_GoBack"/>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96476"/>
      <w:bookmarkStart w:id="9" w:name="_Toc15396598"/>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阿坝州壤塘县</w:t>
      </w:r>
      <w:r>
        <w:rPr>
          <w:rFonts w:hint="eastAsia" w:ascii="方正小标宋简体" w:hAnsi="宋体" w:eastAsia="方正小标宋简体"/>
          <w:color w:val="000000"/>
          <w:sz w:val="72"/>
          <w:szCs w:val="72"/>
          <w:lang w:eastAsia="zh-CN"/>
        </w:rPr>
        <w:t>大学中专招生办公室</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bookmarkEnd w:id="7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3</w:t>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22</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25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0"/>
        <w:jc w:val="both"/>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
        </w:rPr>
      </w:pPr>
      <w:bookmarkStart w:id="12" w:name="_Toc15396599"/>
      <w:bookmarkStart w:id="13" w:name="_Toc15377196"/>
      <w:r>
        <w:rPr>
          <w:rFonts w:ascii="黑体" w:hAnsi="黑体" w:eastAsia="黑体"/>
          <w:b/>
        </w:rPr>
        <w:br w:type="page"/>
      </w:r>
    </w:p>
    <w:p>
      <w:pPr>
        <w:widowControl/>
        <w:jc w:val="left"/>
        <w:rPr>
          <w:rFonts w:ascii="黑体" w:hAnsi="黑体" w:eastAsia="黑体"/>
          <w:b/>
        </w:rPr>
      </w:pPr>
    </w:p>
    <w:p>
      <w:pPr>
        <w:pStyle w:val="2"/>
      </w:pPr>
      <w:r>
        <w:rPr>
          <w:rFonts w:hint="eastAsia"/>
        </w:rPr>
        <w:t>第一部分 部门概况</w:t>
      </w:r>
      <w:bookmarkEnd w:id="12"/>
      <w:bookmarkEnd w:id="13"/>
    </w:p>
    <w:p>
      <w:pPr>
        <w:widowControl/>
        <w:jc w:val="left"/>
        <w:rPr>
          <w:rFonts w:ascii="黑体" w:eastAsia="黑体"/>
          <w:color w:val="000000"/>
          <w:sz w:val="32"/>
          <w:szCs w:val="32"/>
        </w:rPr>
      </w:pPr>
    </w:p>
    <w:p>
      <w:pPr>
        <w:pStyle w:val="3"/>
      </w:pPr>
      <w:bookmarkStart w:id="14" w:name="_Toc15377197"/>
      <w:bookmarkStart w:id="15" w:name="_Toc15396600"/>
      <w:r>
        <w:rPr>
          <w:rFonts w:hint="eastAsia"/>
        </w:rPr>
        <w:t>一、基本职能及主要工作</w:t>
      </w:r>
      <w:bookmarkEnd w:id="14"/>
      <w:bookmarkEnd w:id="15"/>
    </w:p>
    <w:p>
      <w:pPr>
        <w:pStyle w:val="5"/>
        <w:adjustRightInd w:val="0"/>
        <w:snapToGrid w:val="0"/>
        <w:spacing w:before="93" w:line="600" w:lineRule="exact"/>
        <w:ind w:firstLine="672" w:firstLineChars="210"/>
        <w:outlineLvl w:val="2"/>
        <w:rPr>
          <w:color w:val="000000"/>
          <w:kern w:val="2"/>
          <w:sz w:val="32"/>
          <w:szCs w:val="32"/>
        </w:rPr>
      </w:pPr>
      <w:bookmarkStart w:id="16" w:name="_Toc15377198"/>
      <w:bookmarkStart w:id="17" w:name="_Toc15378445"/>
      <w:r>
        <w:rPr>
          <w:rFonts w:hint="eastAsia"/>
          <w:color w:val="000000"/>
          <w:kern w:val="2"/>
          <w:sz w:val="32"/>
          <w:szCs w:val="32"/>
        </w:rPr>
        <w:t>（一）主要职能。</w:t>
      </w:r>
      <w:bookmarkEnd w:id="16"/>
      <w:bookmarkEnd w:id="17"/>
    </w:p>
    <w:p>
      <w:pPr>
        <w:ind w:firstLine="640" w:firstLineChars="200"/>
        <w:rPr>
          <w:rFonts w:hint="eastAsia" w:ascii="仿宋" w:hAnsi="仿宋" w:eastAsia="仿宋" w:cs="仿宋"/>
          <w:sz w:val="32"/>
          <w:szCs w:val="32"/>
        </w:rPr>
      </w:pPr>
      <w:bookmarkStart w:id="18" w:name="_Toc15378446"/>
      <w:bookmarkStart w:id="19" w:name="_Toc15377199"/>
      <w:r>
        <w:rPr>
          <w:rFonts w:hint="eastAsia" w:ascii="仿宋" w:hAnsi="仿宋" w:eastAsia="仿宋" w:cs="仿宋"/>
          <w:sz w:val="32"/>
          <w:szCs w:val="32"/>
        </w:rPr>
        <w:t>贯彻执行国家关于招生考试工作的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"http://www.so.com/s?q=%E6%96%B9%E9%92%88&amp;ie=utf-8&amp;src=internal_wenda_recommend_textn"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方针</w:t>
      </w:r>
      <w:r>
        <w:rPr>
          <w:rFonts w:hint="eastAsia"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"http://www.so.com/s?q=%E6%94%BF%E7%AD%96&amp;ie=utf-8&amp;src=internal_wenda_recommend_textn"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政策</w:t>
      </w:r>
      <w:r>
        <w:rPr>
          <w:rFonts w:hint="eastAsia"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lang w:eastAsia="zh-CN"/>
        </w:rPr>
        <w:t>参与</w:t>
      </w:r>
      <w:r>
        <w:rPr>
          <w:rFonts w:hint="eastAsia" w:ascii="仿宋" w:hAnsi="仿宋" w:eastAsia="仿宋" w:cs="仿宋"/>
          <w:sz w:val="32"/>
          <w:szCs w:val="32"/>
        </w:rPr>
        <w:t>普通高校(含专升本及</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"http://www.so.com/s?q=%E8%81%8C%E4%B8%9A%E4%B8%AD%E4%B8%93&amp;ie=utf-8&amp;src=internal_wenda_recommend_textn"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职业中专</w: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"http://www.so.com/s?q=%E6%AF%95%E4%B8%9A%E7%94%9F&amp;ie=utf-8&amp;src=internal_wenda_recommend_textn"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毕业生</w:t>
      </w:r>
      <w:r>
        <w:rPr>
          <w:rFonts w:hint="eastAsia" w:ascii="仿宋" w:hAnsi="仿宋" w:eastAsia="仿宋" w:cs="仿宋"/>
          <w:sz w:val="32"/>
          <w:szCs w:val="32"/>
        </w:rPr>
        <w:fldChar w:fldCharType="end"/>
      </w:r>
      <w:r>
        <w:rPr>
          <w:rFonts w:hint="eastAsia" w:ascii="仿宋" w:hAnsi="仿宋" w:eastAsia="仿宋" w:cs="仿宋"/>
          <w:sz w:val="32"/>
          <w:szCs w:val="32"/>
        </w:rPr>
        <w:t>升入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"http://www.so.com/s?q=%E6%99%AE%E9%80%9A%E4%B8%93%E7%A7%91&amp;ie=utf-8&amp;src=internal_wenda_recommend_textn"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普通专科</w:t>
      </w:r>
      <w:r>
        <w:rPr>
          <w:rFonts w:hint="eastAsia" w:ascii="仿宋" w:hAnsi="仿宋" w:eastAsia="仿宋" w:cs="仿宋"/>
          <w:sz w:val="32"/>
          <w:szCs w:val="32"/>
        </w:rPr>
        <w:fldChar w:fldCharType="end"/>
      </w:r>
      <w:r>
        <w:rPr>
          <w:rFonts w:hint="eastAsia" w:ascii="仿宋" w:hAnsi="仿宋" w:eastAsia="仿宋" w:cs="仿宋"/>
          <w:sz w:val="32"/>
          <w:szCs w:val="32"/>
        </w:rPr>
        <w:t>)、成人高校和省部属</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"http://www.so.com/s?q=%E6%99%AE%E9%80%9A%E4%B8%AD%E4%B8%93&amp;ie=utf-8&amp;src=internal_wenda_recommend_textn"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普通中专</w:t>
      </w:r>
      <w:r>
        <w:rPr>
          <w:rFonts w:hint="eastAsia" w:ascii="仿宋" w:hAnsi="仿宋" w:eastAsia="仿宋" w:cs="仿宋"/>
          <w:sz w:val="32"/>
          <w:szCs w:val="32"/>
        </w:rPr>
        <w:fldChar w:fldCharType="end"/>
      </w:r>
      <w:r>
        <w:rPr>
          <w:rFonts w:hint="eastAsia" w:ascii="仿宋" w:hAnsi="仿宋" w:eastAsia="仿宋" w:cs="仿宋"/>
          <w:sz w:val="32"/>
          <w:szCs w:val="32"/>
        </w:rPr>
        <w:t>、成人中专招生考试和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"http://www.so.com/s?q=%E6%96%B0%E7%94%9F&amp;ie=utf-8&amp;src=internal_wenda_recommend_textn"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新生</w:t>
      </w:r>
      <w:r>
        <w:rPr>
          <w:rFonts w:hint="eastAsia" w:ascii="仿宋" w:hAnsi="仿宋" w:eastAsia="仿宋" w:cs="仿宋"/>
          <w:sz w:val="32"/>
          <w:szCs w:val="32"/>
        </w:rPr>
        <w:fldChar w:fldCharType="end"/>
      </w:r>
      <w:r>
        <w:rPr>
          <w:rFonts w:hint="eastAsia" w:ascii="仿宋" w:hAnsi="仿宋" w:eastAsia="仿宋" w:cs="仿宋"/>
          <w:sz w:val="32"/>
          <w:szCs w:val="32"/>
        </w:rPr>
        <w:t>录取工作</w:t>
      </w:r>
      <w:r>
        <w:rPr>
          <w:rFonts w:hint="eastAsia" w:ascii="仿宋" w:hAnsi="仿宋" w:eastAsia="仿宋" w:cs="仿宋"/>
          <w:sz w:val="32"/>
          <w:szCs w:val="32"/>
          <w:lang w:eastAsia="zh-CN"/>
        </w:rPr>
        <w:t>，</w:t>
      </w:r>
      <w:r>
        <w:rPr>
          <w:rFonts w:hint="eastAsia" w:ascii="仿宋" w:hAnsi="仿宋" w:eastAsia="仿宋" w:cs="仿宋"/>
          <w:sz w:val="32"/>
          <w:szCs w:val="32"/>
        </w:rPr>
        <w:t>负责高等教育、中等专业教育自学考试工作，承担学历文凭考试及全国其它考试工作，负责</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"http://www.so.com/s?q=%E6%99%AE%E9%80%9A%E9%AB%98%E4%B8%AD&amp;ie=utf-8&amp;src=internal_wenda_recommend_textn"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普通高中</w:t>
      </w:r>
      <w:r>
        <w:rPr>
          <w:rFonts w:hint="eastAsia" w:ascii="仿宋" w:hAnsi="仿宋" w:eastAsia="仿宋" w:cs="仿宋"/>
          <w:sz w:val="32"/>
          <w:szCs w:val="32"/>
        </w:rPr>
        <w:fldChar w:fldCharType="end"/>
      </w:r>
      <w:r>
        <w:rPr>
          <w:rFonts w:hint="eastAsia" w:ascii="仿宋" w:hAnsi="仿宋" w:eastAsia="仿宋" w:cs="仿宋"/>
          <w:sz w:val="32"/>
          <w:szCs w:val="32"/>
        </w:rPr>
        <w:t>会考考务工作</w:t>
      </w:r>
      <w:r>
        <w:rPr>
          <w:rFonts w:hint="eastAsia" w:ascii="仿宋" w:hAnsi="仿宋" w:eastAsia="仿宋" w:cs="仿宋"/>
          <w:sz w:val="32"/>
          <w:szCs w:val="32"/>
          <w:lang w:eastAsia="zh-CN"/>
        </w:rPr>
        <w:t>，</w:t>
      </w:r>
      <w:r>
        <w:rPr>
          <w:rFonts w:hint="eastAsia" w:ascii="仿宋" w:hAnsi="仿宋" w:eastAsia="仿宋" w:cs="仿宋"/>
          <w:sz w:val="32"/>
          <w:szCs w:val="32"/>
        </w:rPr>
        <w:t>承担电大注册视听生考试等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"http://www.so.com/s?q=%E5%AD%A6%E5%8E%86&amp;ie=utf-8&amp;src=internal_wenda_recommend_textn"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学历</w:t>
      </w:r>
      <w:r>
        <w:rPr>
          <w:rFonts w:hint="eastAsia" w:ascii="仿宋" w:hAnsi="仿宋" w:eastAsia="仿宋" w:cs="仿宋"/>
          <w:sz w:val="32"/>
          <w:szCs w:val="32"/>
        </w:rPr>
        <w:fldChar w:fldCharType="end"/>
      </w:r>
      <w:r>
        <w:rPr>
          <w:rFonts w:hint="eastAsia" w:ascii="仿宋" w:hAnsi="仿宋" w:eastAsia="仿宋" w:cs="仿宋"/>
          <w:sz w:val="32"/>
          <w:szCs w:val="32"/>
        </w:rPr>
        <w:t>达标考试和计算机、英语等级考试及各类专业证书考试的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"http://www.so.com/s?q=%E5%91%BD%E9%A2%98&amp;ie=utf-8&amp;src=internal_wenda_recommend_textn"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命题</w:t>
      </w:r>
      <w:r>
        <w:rPr>
          <w:rFonts w:hint="eastAsia" w:ascii="仿宋" w:hAnsi="仿宋" w:eastAsia="仿宋" w:cs="仿宋"/>
          <w:sz w:val="32"/>
          <w:szCs w:val="32"/>
        </w:rPr>
        <w:fldChar w:fldCharType="end"/>
      </w:r>
      <w:r>
        <w:rPr>
          <w:rFonts w:hint="eastAsia" w:ascii="仿宋" w:hAnsi="仿宋" w:eastAsia="仿宋" w:cs="仿宋"/>
          <w:sz w:val="32"/>
          <w:szCs w:val="32"/>
        </w:rPr>
        <w:t>、考试、评卷工作</w:t>
      </w:r>
      <w:r>
        <w:rPr>
          <w:rFonts w:hint="eastAsia" w:ascii="仿宋" w:hAnsi="仿宋" w:eastAsia="仿宋" w:cs="仿宋"/>
          <w:sz w:val="32"/>
          <w:szCs w:val="32"/>
          <w:lang w:eastAsia="zh-CN"/>
        </w:rPr>
        <w:t>，</w:t>
      </w:r>
      <w:r>
        <w:rPr>
          <w:rFonts w:hint="eastAsia" w:ascii="仿宋" w:hAnsi="仿宋" w:eastAsia="仿宋" w:cs="仿宋"/>
          <w:sz w:val="32"/>
          <w:szCs w:val="32"/>
        </w:rPr>
        <w:t>负责高校远程</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"http://www.so.com/s?q=%E7%BD%91%E4%B8%8A%E5%BD%95%E5%8F%96&amp;ie=utf-8&amp;src=internal_wenda_recommend_textn"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网上录取</w:t>
      </w:r>
      <w:r>
        <w:rPr>
          <w:rFonts w:hint="eastAsia" w:ascii="仿宋" w:hAnsi="仿宋" w:eastAsia="仿宋" w:cs="仿宋"/>
          <w:sz w:val="32"/>
          <w:szCs w:val="32"/>
        </w:rPr>
        <w:fldChar w:fldCharType="end"/>
      </w:r>
      <w:r>
        <w:rPr>
          <w:rFonts w:hint="eastAsia" w:ascii="仿宋" w:hAnsi="仿宋" w:eastAsia="仿宋" w:cs="仿宋"/>
          <w:sz w:val="32"/>
          <w:szCs w:val="32"/>
        </w:rPr>
        <w:t>的管理和实施普通高校招生考试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"http://www.so.com/s?q=%E7%A7%91%E7%9B%AE&amp;ie=utf-8&amp;src=internal_wenda_recommend_textn"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科目</w:t>
      </w:r>
      <w:r>
        <w:rPr>
          <w:rFonts w:hint="eastAsia" w:ascii="仿宋" w:hAnsi="仿宋" w:eastAsia="仿宋" w:cs="仿宋"/>
          <w:sz w:val="32"/>
          <w:szCs w:val="32"/>
        </w:rPr>
        <w:fldChar w:fldCharType="end"/>
      </w:r>
      <w:r>
        <w:rPr>
          <w:rFonts w:hint="eastAsia" w:ascii="仿宋" w:hAnsi="仿宋" w:eastAsia="仿宋" w:cs="仿宋"/>
          <w:sz w:val="32"/>
          <w:szCs w:val="32"/>
        </w:rPr>
        <w:t xml:space="preserve">改革工作 </w:t>
      </w:r>
      <w:r>
        <w:rPr>
          <w:rFonts w:hint="eastAsia" w:ascii="仿宋" w:hAnsi="仿宋" w:eastAsia="仿宋" w:cs="仿宋"/>
          <w:sz w:val="32"/>
          <w:szCs w:val="32"/>
          <w:lang w:eastAsia="zh-CN"/>
        </w:rPr>
        <w:t>。</w:t>
      </w:r>
      <w:r>
        <w:rPr>
          <w:rFonts w:hint="eastAsia" w:ascii="仿宋" w:hAnsi="仿宋" w:eastAsia="仿宋" w:cs="仿宋"/>
          <w:sz w:val="32"/>
          <w:szCs w:val="32"/>
        </w:rPr>
        <w:t>负责三大国考和全国英语等级考试报考、信息采集及组考、建档工作；负责招生工作；负责普通高校招生、高教自考毕业和全国英语等级考试合格证的办证</w:t>
      </w:r>
      <w:r>
        <w:rPr>
          <w:rFonts w:hint="eastAsia" w:ascii="仿宋" w:hAnsi="仿宋" w:eastAsia="仿宋" w:cs="仿宋"/>
          <w:sz w:val="32"/>
          <w:szCs w:val="32"/>
          <w:lang w:eastAsia="zh-CN"/>
        </w:rPr>
        <w:t>等</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p>
    <w:p>
      <w:pPr>
        <w:pStyle w:val="5"/>
        <w:adjustRightInd w:val="0"/>
        <w:snapToGrid w:val="0"/>
        <w:spacing w:before="93" w:line="600" w:lineRule="exact"/>
        <w:ind w:firstLine="672" w:firstLineChars="210"/>
        <w:outlineLvl w:val="2"/>
        <w:rPr>
          <w:rFonts w:hint="eastAsia"/>
          <w:color w:val="000000"/>
          <w:kern w:val="2"/>
          <w:sz w:val="32"/>
          <w:szCs w:val="32"/>
        </w:rPr>
      </w:pPr>
      <w:r>
        <w:rPr>
          <w:rFonts w:hint="eastAsia"/>
          <w:color w:val="000000"/>
          <w:kern w:val="2"/>
          <w:sz w:val="32"/>
          <w:szCs w:val="32"/>
        </w:rPr>
        <w:t>（二）2018年重点工作完成情况。</w:t>
      </w:r>
      <w:bookmarkEnd w:id="18"/>
      <w:bookmarkEnd w:id="19"/>
    </w:p>
    <w:p>
      <w:pPr>
        <w:ind w:firstLine="640" w:firstLineChars="200"/>
        <w:rPr>
          <w:rFonts w:hint="eastAsia" w:ascii="仿宋" w:hAnsi="仿宋" w:eastAsia="仿宋" w:cs="仿宋"/>
          <w:sz w:val="32"/>
          <w:szCs w:val="32"/>
        </w:rPr>
      </w:pPr>
      <w:r>
        <w:rPr>
          <w:rFonts w:hint="eastAsia" w:ascii="仿宋" w:hAnsi="仿宋" w:eastAsia="仿宋" w:cs="仿宋"/>
          <w:sz w:val="32"/>
          <w:szCs w:val="32"/>
        </w:rPr>
        <w:t>1、普高报名录取情况：今年壤塘县普通高考报名人数为266人（“9+3”高职单招考生198人，普通类68人），其中普通类文科考生154人，理科考生25人；一类模式文科18人；职教类69人。在“9+3”高职单招后，有197名“9+3”高职单招考生放弃普通高考，今年实际参加高考人数为54人。经过四川省教育考试院统一招生录取，共录取新生68人（普通类66人，“9+3”高职单招录取2人），普通类录取率达97.1%。</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中考报名录取情况：我县参加报名考试人数有105人，其中普通类考生75人（县中47人，伊中28人），一类模式考生30人（县中）。全县普通类中加试藏文71人。提前批、示范性高中录取17人，一般高中（包括县中录取的考生）48人，五年制高职专科共录取21人，“9+3”录取11人，中专3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3、成人高考：今年参加各类成人高校招生考试注册报名的考生82人，现场确认77人。高起专文科11人，高起专理科7人，专升本59人。录取工作预计在12月中旬结束；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4、电大工作：2018年春季和秋季招生工作(春季招生65人，秋季招省26人，共计91人，本科71人，专科20人。) 2018年中开、成人教育毕业学员53人。</w:t>
      </w:r>
    </w:p>
    <w:p>
      <w:pPr>
        <w:rPr>
          <w:rFonts w:hint="eastAsia" w:ascii="仿宋_GB2312" w:eastAsia="仿宋_GB2312"/>
          <w:color w:val="000000"/>
          <w:sz w:val="28"/>
          <w:szCs w:val="28"/>
        </w:rPr>
      </w:pPr>
    </w:p>
    <w:p>
      <w:pPr>
        <w:pStyle w:val="3"/>
        <w:ind w:firstLine="643" w:firstLineChars="200"/>
        <w:rPr>
          <w:rFonts w:hint="eastAsia"/>
        </w:rPr>
      </w:pPr>
    </w:p>
    <w:p>
      <w:pPr>
        <w:pStyle w:val="3"/>
        <w:ind w:firstLine="643" w:firstLineChars="200"/>
      </w:pPr>
      <w:r>
        <w:rPr>
          <w:rFonts w:hint="eastAsia"/>
        </w:rPr>
        <w:t>二、机构设置</w:t>
      </w:r>
    </w:p>
    <w:p>
      <w:pPr>
        <w:ind w:firstLine="640" w:firstLineChars="200"/>
        <w:rPr>
          <w:rFonts w:ascii="仿宋" w:hAnsi="仿宋" w:eastAsia="仿宋"/>
          <w:sz w:val="32"/>
          <w:szCs w:val="32"/>
        </w:rPr>
      </w:pPr>
      <w:r>
        <w:rPr>
          <w:rFonts w:hint="eastAsia" w:ascii="仿宋" w:hAnsi="仿宋" w:eastAsia="仿宋"/>
          <w:sz w:val="32"/>
          <w:szCs w:val="32"/>
        </w:rPr>
        <w:t>壤塘县</w:t>
      </w:r>
      <w:r>
        <w:rPr>
          <w:rFonts w:hint="eastAsia" w:ascii="仿宋" w:hAnsi="仿宋" w:eastAsia="仿宋"/>
          <w:sz w:val="32"/>
          <w:szCs w:val="32"/>
          <w:lang w:eastAsia="zh-CN"/>
        </w:rPr>
        <w:t>大学中专招生办公室</w:t>
      </w:r>
      <w:r>
        <w:rPr>
          <w:rFonts w:hint="eastAsia" w:ascii="仿宋" w:hAnsi="仿宋" w:eastAsia="仿宋"/>
          <w:sz w:val="32"/>
          <w:szCs w:val="32"/>
        </w:rPr>
        <w:t>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rPr>
        <w:t>壤塘县</w:t>
      </w:r>
      <w:r>
        <w:rPr>
          <w:rFonts w:hint="eastAsia" w:ascii="仿宋" w:hAnsi="仿宋" w:eastAsia="仿宋"/>
          <w:sz w:val="32"/>
          <w:szCs w:val="32"/>
          <w:lang w:eastAsia="zh-CN"/>
        </w:rPr>
        <w:t>大学中专招生办公室</w:t>
      </w:r>
      <w:r>
        <w:rPr>
          <w:rFonts w:hint="eastAsia" w:ascii="仿宋" w:hAnsi="仿宋" w:eastAsia="仿宋"/>
          <w:color w:val="000000"/>
          <w:sz w:val="32"/>
          <w:szCs w:val="32"/>
        </w:rPr>
        <w:t>2018年度部门决算编制范围的二级预算单位包括：无</w:t>
      </w:r>
    </w:p>
    <w:p>
      <w:pPr>
        <w:pStyle w:val="5"/>
        <w:adjustRightInd w:val="0"/>
        <w:snapToGrid w:val="0"/>
        <w:spacing w:before="93" w:line="600" w:lineRule="exact"/>
        <w:outlineLvl w:val="2"/>
        <w:rPr>
          <w:rFonts w:ascii="仿宋" w:hAnsi="仿宋" w:eastAsia="仿宋"/>
          <w:color w:val="000000"/>
          <w:sz w:val="32"/>
          <w:szCs w:val="32"/>
        </w:rPr>
      </w:pPr>
    </w:p>
    <w:p>
      <w:pPr>
        <w:pStyle w:val="2"/>
        <w:ind w:firstLine="883" w:firstLineChars="200"/>
      </w:pPr>
      <w:bookmarkStart w:id="20" w:name="_Toc15396602"/>
      <w:bookmarkStart w:id="21" w:name="_Toc15377204"/>
      <w:r>
        <w:rPr>
          <w:rFonts w:hint="eastAsia"/>
        </w:rPr>
        <w:t>第二部分2018年度部门决算情况说明</w:t>
      </w:r>
      <w:bookmarkEnd w:id="20"/>
      <w:bookmarkEnd w:id="21"/>
    </w:p>
    <w:p/>
    <w:p>
      <w:pPr>
        <w:pStyle w:val="3"/>
        <w:numPr>
          <w:ilvl w:val="0"/>
          <w:numId w:val="1"/>
        </w:numPr>
      </w:pPr>
      <w:bookmarkStart w:id="22" w:name="_Toc15377205"/>
      <w:bookmarkStart w:id="23" w:name="_Toc15396603"/>
      <w:r>
        <w:rPr>
          <w:rFonts w:hint="eastAsia"/>
        </w:rPr>
        <w:t>收入支出决算总体情况说明</w:t>
      </w:r>
      <w:bookmarkEnd w:id="22"/>
      <w:bookmarkEnd w:id="23"/>
    </w:p>
    <w:p>
      <w:pPr>
        <w:spacing w:line="600" w:lineRule="exact"/>
        <w:ind w:firstLine="960" w:firstLineChars="300"/>
        <w:rPr>
          <w:rFonts w:hint="default" w:ascii="仿宋" w:hAnsi="仿宋" w:eastAsia="仿宋"/>
          <w:color w:val="000000"/>
          <w:sz w:val="32"/>
          <w:szCs w:val="32"/>
          <w:lang w:val="en-US" w:eastAsia="zh-CN"/>
        </w:rPr>
      </w:pPr>
      <w:r>
        <w:rPr>
          <w:rFonts w:hint="eastAsia" w:ascii="仿宋" w:hAnsi="仿宋" w:eastAsia="仿宋"/>
          <w:color w:val="000000"/>
          <w:sz w:val="32"/>
          <w:szCs w:val="32"/>
        </w:rPr>
        <w:t>2018年度收入总计915.26万元、支出总计1021.98万元。与2017年</w:t>
      </w:r>
      <w:r>
        <w:rPr>
          <w:rFonts w:hint="eastAsia" w:ascii="仿宋" w:hAnsi="仿宋" w:eastAsia="仿宋"/>
          <w:color w:val="000000"/>
          <w:sz w:val="32"/>
          <w:szCs w:val="32"/>
          <w:lang w:eastAsia="zh-CN"/>
        </w:rPr>
        <w:t>无法</w:t>
      </w:r>
      <w:r>
        <w:rPr>
          <w:rFonts w:hint="eastAsia" w:ascii="仿宋" w:hAnsi="仿宋" w:eastAsia="仿宋"/>
          <w:color w:val="000000"/>
          <w:sz w:val="32"/>
          <w:szCs w:val="32"/>
        </w:rPr>
        <w:t>相比，</w:t>
      </w:r>
      <w:r>
        <w:rPr>
          <w:rFonts w:hint="eastAsia" w:ascii="仿宋" w:hAnsi="仿宋" w:eastAsia="仿宋"/>
          <w:color w:val="000000"/>
          <w:sz w:val="32"/>
          <w:szCs w:val="32"/>
          <w:lang w:eastAsia="zh-CN"/>
        </w:rPr>
        <w:t>因为</w:t>
      </w:r>
      <w:r>
        <w:rPr>
          <w:rFonts w:hint="eastAsia" w:ascii="仿宋" w:hAnsi="仿宋" w:eastAsia="仿宋"/>
          <w:sz w:val="32"/>
          <w:szCs w:val="32"/>
          <w:lang w:eastAsia="zh-CN"/>
        </w:rPr>
        <w:t>大学中专招生办公室为</w:t>
      </w:r>
      <w:r>
        <w:rPr>
          <w:rFonts w:hint="eastAsia" w:ascii="仿宋" w:hAnsi="仿宋" w:eastAsia="仿宋"/>
          <w:sz w:val="32"/>
          <w:szCs w:val="32"/>
          <w:lang w:val="en-US" w:eastAsia="zh-CN"/>
        </w:rPr>
        <w:t>2018年财务制度改革新增填报单位。</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65408" behindDoc="0" locked="0" layoutInCell="1" allowOverlap="1">
            <wp:simplePos x="0" y="0"/>
            <wp:positionH relativeFrom="column">
              <wp:posOffset>108585</wp:posOffset>
            </wp:positionH>
            <wp:positionV relativeFrom="paragraph">
              <wp:posOffset>43180</wp:posOffset>
            </wp:positionV>
            <wp:extent cx="4848225" cy="2743200"/>
            <wp:effectExtent l="4445" t="4445" r="5080"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5"/>
        <w:spacing w:line="600" w:lineRule="exact"/>
        <w:ind w:left="640" w:firstLine="0" w:firstLineChars="0"/>
        <w:outlineLvl w:val="1"/>
        <w:rPr>
          <w:rStyle w:val="27"/>
          <w:rFonts w:ascii="黑体" w:hAnsi="黑体" w:eastAsia="黑体"/>
          <w:b w:val="0"/>
        </w:rPr>
      </w:pPr>
      <w:bookmarkStart w:id="24" w:name="_Toc15396604"/>
      <w:bookmarkStart w:id="25" w:name="_Toc15377206"/>
    </w:p>
    <w:p>
      <w:pPr>
        <w:pStyle w:val="25"/>
        <w:spacing w:line="600" w:lineRule="exact"/>
        <w:ind w:left="640" w:firstLine="0" w:firstLineChars="0"/>
        <w:outlineLvl w:val="1"/>
        <w:rPr>
          <w:rStyle w:val="27"/>
          <w:rFonts w:ascii="黑体" w:hAnsi="黑体" w:eastAsia="黑体"/>
          <w:b w:val="0"/>
        </w:rPr>
      </w:pPr>
    </w:p>
    <w:p>
      <w:pPr>
        <w:pStyle w:val="25"/>
        <w:spacing w:line="600" w:lineRule="exact"/>
        <w:ind w:left="640" w:firstLine="0" w:firstLineChars="0"/>
        <w:outlineLvl w:val="1"/>
        <w:rPr>
          <w:rStyle w:val="27"/>
          <w:rFonts w:ascii="黑体" w:hAnsi="黑体" w:eastAsia="黑体"/>
          <w:b w:val="0"/>
        </w:rPr>
      </w:pPr>
    </w:p>
    <w:p>
      <w:pPr>
        <w:pStyle w:val="3"/>
        <w:numPr>
          <w:ilvl w:val="0"/>
          <w:numId w:val="0"/>
        </w:numPr>
        <w:ind w:left="640" w:leftChars="0"/>
      </w:pPr>
    </w:p>
    <w:p>
      <w:pPr>
        <w:pStyle w:val="3"/>
        <w:numPr>
          <w:ilvl w:val="0"/>
          <w:numId w:val="1"/>
        </w:numPr>
      </w:pPr>
      <w:r>
        <w:rPr>
          <w:rFonts w:hint="eastAsia"/>
        </w:rPr>
        <w:t>收入决算情况说明</w:t>
      </w:r>
      <w:bookmarkEnd w:id="24"/>
      <w:bookmarkEnd w:id="25"/>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8年本年收入合计915.26万元，其中：一般公共预算财政拨款收入875.89万元，占100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；事业收入39.37万元，占0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6432" behindDoc="0" locked="0" layoutInCell="1" allowOverlap="1">
            <wp:simplePos x="0" y="0"/>
            <wp:positionH relativeFrom="column">
              <wp:posOffset>116205</wp:posOffset>
            </wp:positionH>
            <wp:positionV relativeFrom="paragraph">
              <wp:posOffset>131445</wp:posOffset>
            </wp:positionV>
            <wp:extent cx="4760595" cy="3003550"/>
            <wp:effectExtent l="4445" t="4445" r="16510" b="20955"/>
            <wp:wrapNone/>
            <wp:docPr id="148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pStyle w:val="25"/>
        <w:spacing w:line="600" w:lineRule="exact"/>
        <w:ind w:left="640" w:firstLine="0" w:firstLineChars="0"/>
        <w:outlineLvl w:val="1"/>
        <w:rPr>
          <w:rStyle w:val="27"/>
          <w:rFonts w:ascii="黑体" w:hAnsi="黑体" w:eastAsia="黑体"/>
          <w:b w:val="0"/>
        </w:rPr>
      </w:pPr>
      <w:bookmarkStart w:id="26" w:name="_Toc15396605"/>
      <w:bookmarkStart w:id="27" w:name="_Toc15377207"/>
    </w:p>
    <w:p>
      <w:pPr>
        <w:pStyle w:val="25"/>
        <w:spacing w:line="600" w:lineRule="exact"/>
        <w:ind w:left="640" w:firstLine="0" w:firstLineChars="0"/>
        <w:outlineLvl w:val="1"/>
        <w:rPr>
          <w:rStyle w:val="27"/>
          <w:rFonts w:ascii="黑体" w:hAnsi="黑体" w:eastAsia="黑体"/>
          <w:b w:val="0"/>
        </w:rPr>
      </w:pPr>
    </w:p>
    <w:p>
      <w:pPr>
        <w:pStyle w:val="3"/>
        <w:numPr>
          <w:ilvl w:val="0"/>
          <w:numId w:val="0"/>
        </w:numPr>
        <w:ind w:left="640" w:leftChars="0"/>
      </w:pPr>
    </w:p>
    <w:p>
      <w:pPr>
        <w:pStyle w:val="3"/>
        <w:numPr>
          <w:ilvl w:val="0"/>
          <w:numId w:val="1"/>
        </w:numPr>
      </w:pPr>
      <w:r>
        <w:rPr>
          <w:rFonts w:hint="eastAsia"/>
        </w:rPr>
        <w:t>支出决算情况说明</w:t>
      </w:r>
      <w:bookmarkEnd w:id="26"/>
      <w:bookmarkEnd w:id="27"/>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8年本年支出合计1021.98万元，其中：基本支出1021.98万元，占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7456" behindDoc="0" locked="0" layoutInCell="1" allowOverlap="1">
            <wp:simplePos x="0" y="0"/>
            <wp:positionH relativeFrom="column">
              <wp:posOffset>234315</wp:posOffset>
            </wp:positionH>
            <wp:positionV relativeFrom="paragraph">
              <wp:posOffset>144145</wp:posOffset>
            </wp:positionV>
            <wp:extent cx="4572635" cy="2780030"/>
            <wp:effectExtent l="4445" t="4445" r="13970" b="15875"/>
            <wp:wrapNone/>
            <wp:docPr id="148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ascii="黑体" w:hAnsi="黑体" w:eastAsia="黑体"/>
          <w:color w:val="000000"/>
          <w:sz w:val="32"/>
          <w:szCs w:val="32"/>
        </w:rPr>
      </w:pPr>
      <w:bookmarkStart w:id="28" w:name="_Toc15396606"/>
      <w:bookmarkStart w:id="29" w:name="_Toc15377208"/>
    </w:p>
    <w:p>
      <w:pPr>
        <w:spacing w:line="600" w:lineRule="exact"/>
        <w:ind w:firstLine="640" w:firstLineChars="200"/>
        <w:outlineLvl w:val="1"/>
        <w:rPr>
          <w:rFonts w:ascii="黑体" w:hAnsi="黑体" w:eastAsia="黑体"/>
          <w:color w:val="000000"/>
          <w:sz w:val="32"/>
          <w:szCs w:val="32"/>
        </w:rPr>
      </w:pPr>
    </w:p>
    <w:p>
      <w:pPr>
        <w:pStyle w:val="3"/>
        <w:ind w:firstLine="643" w:firstLineChars="200"/>
      </w:pPr>
      <w:r>
        <w:rPr>
          <w:rFonts w:hint="eastAsia"/>
        </w:rPr>
        <w:t>四、财政拨款收入支出决算总体情况说明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8年财政拨款收入总计875.89万元、支出总计982.61万元。与</w:t>
      </w:r>
      <w:r>
        <w:rPr>
          <w:rFonts w:ascii="仿宋" w:hAnsi="仿宋" w:eastAsia="仿宋"/>
          <w:color w:val="000000"/>
          <w:sz w:val="32"/>
          <w:szCs w:val="32"/>
        </w:rPr>
        <w:t>201</w:t>
      </w:r>
      <w:r>
        <w:rPr>
          <w:rFonts w:hint="eastAsia" w:ascii="仿宋" w:hAnsi="仿宋" w:eastAsia="仿宋"/>
          <w:color w:val="000000"/>
          <w:sz w:val="32"/>
          <w:szCs w:val="32"/>
        </w:rPr>
        <w:t>7年</w:t>
      </w:r>
      <w:r>
        <w:rPr>
          <w:rFonts w:hint="eastAsia" w:ascii="仿宋" w:hAnsi="仿宋" w:eastAsia="仿宋"/>
          <w:color w:val="000000"/>
          <w:sz w:val="32"/>
          <w:szCs w:val="32"/>
          <w:lang w:eastAsia="zh-CN"/>
        </w:rPr>
        <w:t>无法</w:t>
      </w:r>
      <w:r>
        <w:rPr>
          <w:rFonts w:hint="eastAsia" w:ascii="仿宋" w:hAnsi="仿宋" w:eastAsia="仿宋"/>
          <w:color w:val="000000"/>
          <w:sz w:val="32"/>
          <w:szCs w:val="32"/>
        </w:rPr>
        <w:t>相比，因为大学中专招生办公室为2018年财务制度改革新增填报单位。</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8480" behindDoc="0" locked="0" layoutInCell="1" allowOverlap="1">
            <wp:simplePos x="0" y="0"/>
            <wp:positionH relativeFrom="column">
              <wp:posOffset>411480</wp:posOffset>
            </wp:positionH>
            <wp:positionV relativeFrom="paragraph">
              <wp:posOffset>201295</wp:posOffset>
            </wp:positionV>
            <wp:extent cx="4848225" cy="2743200"/>
            <wp:effectExtent l="4445" t="4445" r="5080" b="1460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640"/>
        <w:rPr>
          <w:rFonts w:ascii="仿宋" w:hAnsi="仿宋" w:eastAsia="仿宋"/>
          <w:b/>
          <w:color w:val="00B050"/>
          <w:sz w:val="32"/>
          <w:szCs w:val="32"/>
        </w:rPr>
      </w:pPr>
    </w:p>
    <w:p>
      <w:pPr>
        <w:pStyle w:val="3"/>
      </w:pPr>
      <w:bookmarkStart w:id="30" w:name="_Toc15396607"/>
      <w:bookmarkStart w:id="31" w:name="_Toc15377209"/>
      <w:r>
        <w:rPr>
          <w:rFonts w:hint="eastAsia"/>
        </w:rPr>
        <w:t>五、一般公共预算财政拨款支出决算情况说明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8年一般公共预算财政拨款支出982.61万元，占本年支出合计的</w:t>
      </w:r>
      <w:r>
        <w:rPr>
          <w:rFonts w:hint="eastAsia" w:ascii="仿宋" w:hAnsi="仿宋" w:eastAsia="仿宋"/>
          <w:color w:val="000000"/>
          <w:sz w:val="32"/>
          <w:szCs w:val="32"/>
          <w:lang w:val="en-US" w:eastAsia="zh-CN"/>
        </w:rPr>
        <w:t>96.15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w:t>
      </w:r>
      <w:r>
        <w:rPr>
          <w:rFonts w:hint="eastAsia" w:ascii="仿宋" w:hAnsi="仿宋" w:eastAsia="仿宋"/>
          <w:color w:val="000000"/>
          <w:sz w:val="32"/>
          <w:szCs w:val="32"/>
          <w:lang w:eastAsia="zh-CN"/>
        </w:rPr>
        <w:t>无法相比</w:t>
      </w:r>
      <w:r>
        <w:rPr>
          <w:rFonts w:hint="eastAsia" w:ascii="仿宋" w:hAnsi="仿宋" w:eastAsia="仿宋"/>
          <w:color w:val="000000"/>
          <w:sz w:val="32"/>
          <w:szCs w:val="32"/>
        </w:rPr>
        <w:t>，因为大学中专招生办公室为2018年财务制度改革新增填报单位</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9504" behindDoc="0" locked="0" layoutInCell="1" allowOverlap="1">
            <wp:simplePos x="0" y="0"/>
            <wp:positionH relativeFrom="column">
              <wp:posOffset>412115</wp:posOffset>
            </wp:positionH>
            <wp:positionV relativeFrom="paragraph">
              <wp:posOffset>80010</wp:posOffset>
            </wp:positionV>
            <wp:extent cx="4715510" cy="3194050"/>
            <wp:effectExtent l="4445" t="4445" r="23495" b="20955"/>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982.61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教育支出205（类）</w:t>
      </w:r>
      <w:r>
        <w:rPr>
          <w:rFonts w:hint="eastAsia" w:ascii="仿宋" w:hAnsi="仿宋" w:eastAsia="仿宋"/>
          <w:color w:val="000000" w:themeColor="text1"/>
          <w:sz w:val="32"/>
          <w:szCs w:val="32"/>
        </w:rPr>
        <w:t>713.08万元，占</w:t>
      </w:r>
      <w:r>
        <w:rPr>
          <w:rFonts w:hint="eastAsia" w:ascii="仿宋" w:hAnsi="仿宋" w:eastAsia="仿宋"/>
          <w:color w:val="000000" w:themeColor="text1"/>
          <w:sz w:val="32"/>
          <w:szCs w:val="32"/>
          <w:lang w:val="en-US" w:eastAsia="zh-CN"/>
        </w:rPr>
        <w:t>73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社会保障和就业208（类）</w:t>
      </w:r>
      <w:r>
        <w:rPr>
          <w:rFonts w:hint="eastAsia" w:ascii="仿宋" w:hAnsi="仿宋" w:eastAsia="仿宋"/>
          <w:color w:val="000000" w:themeColor="text1"/>
          <w:sz w:val="32"/>
          <w:szCs w:val="32"/>
        </w:rPr>
        <w:t>支出149.41万元，占</w:t>
      </w:r>
      <w:r>
        <w:rPr>
          <w:rFonts w:hint="eastAsia" w:ascii="仿宋" w:hAnsi="仿宋" w:eastAsia="仿宋"/>
          <w:color w:val="000000" w:themeColor="text1"/>
          <w:sz w:val="32"/>
          <w:szCs w:val="32"/>
          <w:lang w:val="en-US" w:eastAsia="zh-CN"/>
        </w:rPr>
        <w:t>15</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；医疗卫生支出35.09万元，占</w:t>
      </w:r>
      <w:r>
        <w:rPr>
          <w:rFonts w:hint="eastAsia" w:ascii="仿宋" w:hAnsi="仿宋" w:eastAsia="仿宋"/>
          <w:color w:val="000000" w:themeColor="text1"/>
          <w:sz w:val="32"/>
          <w:szCs w:val="32"/>
          <w:lang w:val="en-US" w:eastAsia="zh-CN"/>
        </w:rPr>
        <w:t>4</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；住房保障支出85.03万元，占</w:t>
      </w:r>
      <w:r>
        <w:rPr>
          <w:rFonts w:hint="eastAsia" w:ascii="仿宋" w:hAnsi="仿宋" w:eastAsia="仿宋"/>
          <w:color w:val="000000" w:themeColor="text1"/>
          <w:sz w:val="32"/>
          <w:szCs w:val="32"/>
          <w:lang w:val="en-US" w:eastAsia="zh-CN"/>
        </w:rPr>
        <w:t>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70528" behindDoc="0" locked="0" layoutInCell="1" allowOverlap="1">
            <wp:simplePos x="0" y="0"/>
            <wp:positionH relativeFrom="column">
              <wp:posOffset>448310</wp:posOffset>
            </wp:positionH>
            <wp:positionV relativeFrom="paragraph">
              <wp:posOffset>-207645</wp:posOffset>
            </wp:positionV>
            <wp:extent cx="4676140" cy="3140710"/>
            <wp:effectExtent l="4445" t="4445" r="5715" b="17145"/>
            <wp:wrapNone/>
            <wp:docPr id="158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8460"/>
      <w:bookmarkStart w:id="36" w:name="_Toc15377444"/>
      <w:bookmarkStart w:id="37" w:name="_Toc15377213"/>
      <w:r>
        <w:rPr>
          <w:rFonts w:hint="eastAsia" w:ascii="仿宋" w:hAnsi="仿宋" w:eastAsia="仿宋"/>
          <w:b/>
          <w:color w:val="000000" w:themeColor="text1"/>
          <w:sz w:val="32"/>
          <w:szCs w:val="32"/>
        </w:rPr>
        <w:t>2018年般公共预算支出决算数为</w:t>
      </w:r>
      <w:r>
        <w:rPr>
          <w:rFonts w:hint="eastAsia" w:ascii="仿宋" w:hAnsi="仿宋" w:eastAsia="仿宋"/>
          <w:color w:val="000000"/>
          <w:sz w:val="32"/>
          <w:szCs w:val="32"/>
        </w:rPr>
        <w:t>982.61</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5"/>
      <w:bookmarkEnd w:id="36"/>
      <w:bookmarkEnd w:id="37"/>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教育205（类）02（款）</w:t>
      </w:r>
      <w:r>
        <w:rPr>
          <w:rStyle w:val="15"/>
          <w:rFonts w:hint="eastAsia" w:ascii="仿宋" w:hAnsi="仿宋" w:eastAsia="仿宋"/>
          <w:bCs/>
          <w:color w:val="000000"/>
          <w:sz w:val="32"/>
          <w:szCs w:val="32"/>
          <w:lang w:val="en-US" w:eastAsia="zh-CN"/>
        </w:rPr>
        <w:t>99</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支出决算为533.32万元，完成预算100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Cs/>
          <w:color w:val="000000"/>
          <w:sz w:val="32"/>
          <w:szCs w:val="32"/>
        </w:rPr>
        <w:t>教育205（类）</w:t>
      </w:r>
      <w:r>
        <w:rPr>
          <w:rStyle w:val="15"/>
          <w:rFonts w:hint="eastAsia" w:ascii="仿宋" w:hAnsi="仿宋" w:eastAsia="仿宋"/>
          <w:bCs/>
          <w:color w:val="000000"/>
          <w:sz w:val="32"/>
          <w:szCs w:val="32"/>
          <w:lang w:val="en-US" w:eastAsia="zh-CN"/>
        </w:rPr>
        <w:t>04</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支出决算为44.33万元，完成预算100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 w:val="0"/>
          <w:bCs/>
          <w:color w:val="000000"/>
          <w:sz w:val="32"/>
          <w:szCs w:val="32"/>
          <w:lang w:val="en-US" w:eastAsia="zh-CN"/>
        </w:rPr>
        <w:t>,</w:t>
      </w:r>
      <w:r>
        <w:rPr>
          <w:rStyle w:val="15"/>
          <w:rFonts w:hint="eastAsia" w:ascii="仿宋" w:hAnsi="仿宋" w:eastAsia="仿宋"/>
          <w:bCs/>
          <w:color w:val="000000"/>
          <w:sz w:val="32"/>
          <w:szCs w:val="32"/>
        </w:rPr>
        <w:t>教育205（类）</w:t>
      </w:r>
      <w:r>
        <w:rPr>
          <w:rStyle w:val="15"/>
          <w:rFonts w:hint="eastAsia" w:ascii="仿宋" w:hAnsi="仿宋" w:eastAsia="仿宋"/>
          <w:bCs/>
          <w:color w:val="000000"/>
          <w:sz w:val="32"/>
          <w:szCs w:val="32"/>
          <w:lang w:val="en-US" w:eastAsia="zh-CN"/>
        </w:rPr>
        <w:t>08</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支出决算为135.44万元，完成预算100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社会保障和就业208（类）05（款）05（项）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支出决算为106.72万元，完成预算100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Cs/>
          <w:color w:val="000000"/>
          <w:sz w:val="32"/>
          <w:szCs w:val="32"/>
        </w:rPr>
        <w:t>社会保障和就业208（类）05（款）06（项）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支出决算为42.69万元，完成预算100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医疗卫生与计划生育210（类）11（款）02（项）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支出决算为35.09万元，完成预算100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住房保障支出221（类）02（款）01（项）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支出决算为83万元，完成预算100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 w:val="0"/>
          <w:bCs/>
          <w:color w:val="000000"/>
          <w:sz w:val="32"/>
          <w:szCs w:val="32"/>
          <w:lang w:val="en-US" w:eastAsia="zh-CN"/>
        </w:rPr>
        <w:t>;</w:t>
      </w:r>
      <w:r>
        <w:rPr>
          <w:rStyle w:val="15"/>
          <w:rFonts w:hint="eastAsia" w:ascii="仿宋" w:hAnsi="仿宋" w:eastAsia="仿宋"/>
          <w:bCs/>
          <w:color w:val="000000"/>
          <w:sz w:val="32"/>
          <w:szCs w:val="32"/>
        </w:rPr>
        <w:t>住房保障支出221（类）02（款）</w:t>
      </w:r>
      <w:r>
        <w:rPr>
          <w:rStyle w:val="15"/>
          <w:rFonts w:hint="eastAsia" w:ascii="仿宋" w:hAnsi="仿宋" w:eastAsia="仿宋"/>
          <w:bCs/>
          <w:color w:val="000000"/>
          <w:sz w:val="32"/>
          <w:szCs w:val="32"/>
          <w:lang w:val="en-US" w:eastAsia="zh-CN"/>
        </w:rPr>
        <w:t>03</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支出决算为2.03万元，完成预算100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（数据来源财决07表，罗列全部功能分类科目至项级。上述“预算”口径为调整预算数。增减变动原因为决算数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7"/>
        </w:rPr>
      </w:pPr>
      <w:bookmarkStart w:id="38" w:name="_Toc15396608"/>
      <w:bookmarkStart w:id="39" w:name="_Toc15377214"/>
      <w:r>
        <w:rPr>
          <w:rStyle w:val="27"/>
          <w:rFonts w:hint="eastAsia"/>
        </w:rPr>
        <w:t>六、一般公共预算财政拨款基本支出决算情况说明</w:t>
      </w:r>
      <w:bookmarkEnd w:id="38"/>
      <w:bookmarkEnd w:id="39"/>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8年一般公共预算财政拨款基本支出982.61万元，其中：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922.22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60.39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（数据来源财决08表，根据本部门实际支出情况罗列全部经济分类科目。）</w:t>
      </w:r>
    </w:p>
    <w:p>
      <w:pPr>
        <w:spacing w:line="600" w:lineRule="exact"/>
        <w:ind w:firstLine="640"/>
        <w:rPr>
          <w:rFonts w:hint="eastAsia" w:ascii="仿宋" w:hAnsi="仿宋" w:eastAsia="仿宋"/>
          <w:b/>
          <w:color w:val="000000" w:themeColor="text1"/>
          <w:sz w:val="32"/>
          <w:szCs w:val="32"/>
        </w:rPr>
      </w:pPr>
    </w:p>
    <w:tbl>
      <w:tblPr>
        <w:tblStyle w:val="17"/>
        <w:tblW w:w="8261" w:type="dxa"/>
        <w:tblInd w:w="0" w:type="dxa"/>
        <w:shd w:val="clear" w:color="auto" w:fill="auto"/>
        <w:tblLayout w:type="fixed"/>
        <w:tblCellMar>
          <w:top w:w="0" w:type="dxa"/>
          <w:left w:w="0" w:type="dxa"/>
          <w:bottom w:w="0" w:type="dxa"/>
          <w:right w:w="0" w:type="dxa"/>
        </w:tblCellMar>
      </w:tblPr>
      <w:tblGrid>
        <w:gridCol w:w="735"/>
        <w:gridCol w:w="3660"/>
        <w:gridCol w:w="3866"/>
      </w:tblGrid>
      <w:tr>
        <w:tblPrEx>
          <w:shd w:val="clear" w:color="auto" w:fill="auto"/>
          <w:tblLayout w:type="fixed"/>
          <w:tblCellMar>
            <w:top w:w="0" w:type="dxa"/>
            <w:left w:w="0" w:type="dxa"/>
            <w:bottom w:w="0" w:type="dxa"/>
            <w:right w:w="0" w:type="dxa"/>
          </w:tblCellMar>
        </w:tblPrEx>
        <w:trPr>
          <w:trHeight w:val="308" w:hRule="atLeast"/>
        </w:trPr>
        <w:tc>
          <w:tcPr>
            <w:tcW w:w="8261"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r>
      <w:tr>
        <w:tblPrEx>
          <w:tblLayout w:type="fixed"/>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86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6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867.52</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177.98</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173.91</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106.72</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42.69</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35.09</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13.24</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3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其他个人和家庭的补助支出</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43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3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922.22</w:t>
            </w:r>
          </w:p>
        </w:tc>
      </w:tr>
    </w:tbl>
    <w:p>
      <w:pPr>
        <w:spacing w:line="600" w:lineRule="exact"/>
        <w:ind w:firstLine="640"/>
        <w:rPr>
          <w:rFonts w:ascii="仿宋" w:hAnsi="仿宋" w:eastAsia="仿宋"/>
          <w:b/>
          <w:color w:val="000000" w:themeColor="text1"/>
          <w:sz w:val="32"/>
          <w:szCs w:val="32"/>
        </w:rPr>
      </w:pPr>
    </w:p>
    <w:p>
      <w:pPr>
        <w:spacing w:line="600" w:lineRule="exact"/>
        <w:ind w:firstLine="640"/>
        <w:rPr>
          <w:rFonts w:ascii="仿宋" w:hAnsi="仿宋" w:eastAsia="仿宋"/>
          <w:b/>
          <w:color w:val="000000" w:themeColor="text1"/>
          <w:sz w:val="32"/>
          <w:szCs w:val="32"/>
        </w:rPr>
      </w:pPr>
    </w:p>
    <w:tbl>
      <w:tblPr>
        <w:tblStyle w:val="17"/>
        <w:tblW w:w="8285" w:type="dxa"/>
        <w:tblInd w:w="0" w:type="dxa"/>
        <w:shd w:val="clear" w:color="auto" w:fill="auto"/>
        <w:tblLayout w:type="fixed"/>
        <w:tblCellMar>
          <w:top w:w="0" w:type="dxa"/>
          <w:left w:w="0" w:type="dxa"/>
          <w:bottom w:w="0" w:type="dxa"/>
          <w:right w:w="0" w:type="dxa"/>
        </w:tblCellMar>
      </w:tblPr>
      <w:tblGrid>
        <w:gridCol w:w="602"/>
        <w:gridCol w:w="2256"/>
        <w:gridCol w:w="762"/>
        <w:gridCol w:w="697"/>
        <w:gridCol w:w="2584"/>
        <w:gridCol w:w="1384"/>
      </w:tblGrid>
      <w:tr>
        <w:tblPrEx>
          <w:shd w:val="clear" w:color="auto" w:fill="auto"/>
          <w:tblLayout w:type="fixed"/>
          <w:tblCellMar>
            <w:top w:w="0" w:type="dxa"/>
            <w:left w:w="0" w:type="dxa"/>
            <w:bottom w:w="0" w:type="dxa"/>
            <w:right w:w="0" w:type="dxa"/>
          </w:tblCellMar>
        </w:tblPrEx>
        <w:trPr>
          <w:trHeight w:val="308" w:hRule="atLeast"/>
        </w:trPr>
        <w:tc>
          <w:tcPr>
            <w:tcW w:w="8285"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Layout w:type="fixed"/>
          <w:tblCellMar>
            <w:top w:w="0" w:type="dxa"/>
            <w:left w:w="0" w:type="dxa"/>
            <w:bottom w:w="0" w:type="dxa"/>
            <w:right w:w="0" w:type="dxa"/>
          </w:tblCellMar>
        </w:tblPrEx>
        <w:trPr>
          <w:trHeight w:val="308" w:hRule="atLeast"/>
        </w:trPr>
        <w:tc>
          <w:tcPr>
            <w:tcW w:w="60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5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6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8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8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shd w:val="clear" w:color="auto" w:fill="auto"/>
          <w:tblLayout w:type="fixed"/>
          <w:tblCellMar>
            <w:top w:w="0" w:type="dxa"/>
            <w:left w:w="0" w:type="dxa"/>
            <w:bottom w:w="0" w:type="dxa"/>
            <w:right w:w="0" w:type="dxa"/>
          </w:tblCellMar>
        </w:tblPrEx>
        <w:trPr>
          <w:trHeight w:val="308" w:hRule="atLeast"/>
        </w:trPr>
        <w:tc>
          <w:tcPr>
            <w:tcW w:w="6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8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60.39</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6"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0.13</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11.78</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0.57</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14.44</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0.67</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3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31018</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费用补贴</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312099</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399</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5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5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8" w:hRule="atLeast"/>
        </w:trPr>
        <w:tc>
          <w:tcPr>
            <w:tcW w:w="6901"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60.39</w:t>
            </w:r>
          </w:p>
        </w:tc>
      </w:tr>
    </w:tbl>
    <w:p>
      <w:pPr>
        <w:pStyle w:val="3"/>
        <w:rPr>
          <w:rFonts w:hint="eastAsia"/>
        </w:rPr>
      </w:pPr>
      <w:bookmarkStart w:id="40" w:name="_Toc15377215"/>
      <w:bookmarkStart w:id="41" w:name="_Toc15396609"/>
    </w:p>
    <w:p>
      <w:pPr>
        <w:pStyle w:val="3"/>
        <w:rPr>
          <w:rFonts w:hint="eastAsia"/>
        </w:rPr>
      </w:pPr>
    </w:p>
    <w:p>
      <w:pPr>
        <w:pStyle w:val="3"/>
        <w:ind w:firstLine="964" w:firstLineChars="300"/>
      </w:pPr>
      <w:r>
        <w:rPr>
          <w:rFonts w:hint="eastAsia"/>
        </w:rPr>
        <w:t>七、“三公”经费财政拨款支出决算情况说明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0.67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等于</w:t>
      </w:r>
      <w:r>
        <w:rPr>
          <w:rFonts w:hint="eastAsia" w:ascii="仿宋" w:hAnsi="仿宋" w:eastAsia="仿宋"/>
          <w:color w:val="000000"/>
          <w:sz w:val="32"/>
          <w:szCs w:val="32"/>
        </w:rPr>
        <w:t>预算数。</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0.67</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437515</wp:posOffset>
            </wp:positionH>
            <wp:positionV relativeFrom="paragraph">
              <wp:posOffset>172720</wp:posOffset>
            </wp:positionV>
            <wp:extent cx="4450715" cy="2672715"/>
            <wp:effectExtent l="4445" t="4445" r="21590" b="8890"/>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7年增加0万元，增长0</w:t>
      </w:r>
      <w:r>
        <w:rPr>
          <w:rFonts w:ascii="仿宋_GB2312" w:eastAsia="仿宋_GB2312"/>
          <w:color w:val="000000"/>
          <w:sz w:val="32"/>
          <w:szCs w:val="32"/>
        </w:rPr>
        <w:t>%</w:t>
      </w:r>
      <w:r>
        <w:rPr>
          <w:rFonts w:hint="eastAsia" w:ascii="仿宋_GB2312" w:eastAsia="仿宋_GB2312"/>
          <w:color w:val="000000"/>
          <w:sz w:val="32"/>
          <w:szCs w:val="32"/>
        </w:rPr>
        <w:t>。主要原因是无此项支出。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7年增加0万元，增长0</w:t>
      </w:r>
      <w:r>
        <w:rPr>
          <w:rFonts w:ascii="仿宋_GB2312" w:eastAsia="仿宋_GB2312"/>
          <w:color w:val="000000"/>
          <w:sz w:val="32"/>
          <w:szCs w:val="32"/>
        </w:rPr>
        <w:t>%</w:t>
      </w:r>
      <w:r>
        <w:rPr>
          <w:rFonts w:hint="eastAsia" w:ascii="仿宋_GB2312" w:eastAsia="仿宋_GB2312"/>
          <w:color w:val="000000"/>
          <w:sz w:val="32"/>
          <w:szCs w:val="32"/>
        </w:rPr>
        <w:t>。主要原因是无此项支出。</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（具体工作）等所需的公务用车燃料费、维修费、过路过桥费、保险费等支出。（无）</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67</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无法相比</w:t>
      </w:r>
      <w:r>
        <w:rPr>
          <w:rFonts w:hint="eastAsia" w:ascii="仿宋_GB2312" w:eastAsia="仿宋_GB2312"/>
          <w:color w:val="000000"/>
          <w:sz w:val="32"/>
          <w:szCs w:val="32"/>
        </w:rPr>
        <w:t>，主要原因是大学中专招生办公室为2018年财务制度改革新增填报单位。主要用于执行公务、开展业务活动开支的交通费、住宿费、用餐费等。国内公务接待</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0.67</w:t>
      </w:r>
      <w:r>
        <w:rPr>
          <w:rFonts w:hint="eastAsia" w:ascii="仿宋_GB2312" w:eastAsia="仿宋_GB2312"/>
          <w:color w:val="000000"/>
          <w:sz w:val="32"/>
          <w:szCs w:val="32"/>
        </w:rPr>
        <w:t>万元，其中：</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其他国内公务接待支出</w:t>
      </w:r>
      <w:r>
        <w:rPr>
          <w:rFonts w:hint="eastAsia" w:ascii="仿宋_GB2312" w:eastAsia="仿宋_GB2312"/>
          <w:color w:val="000000"/>
          <w:sz w:val="32"/>
          <w:szCs w:val="32"/>
          <w:lang w:val="en-US" w:eastAsia="zh-CN"/>
        </w:rPr>
        <w:t>0.67</w:t>
      </w:r>
      <w:r>
        <w:rPr>
          <w:rFonts w:hint="eastAsia" w:ascii="仿宋_GB2312" w:eastAsia="仿宋_GB2312"/>
          <w:color w:val="000000"/>
          <w:sz w:val="32"/>
          <w:szCs w:val="32"/>
        </w:rPr>
        <w:t>万元，主要用于办公接待。</w:t>
      </w:r>
    </w:p>
    <w:p>
      <w:pPr>
        <w:spacing w:line="600" w:lineRule="exact"/>
        <w:ind w:firstLine="640"/>
        <w:rPr>
          <w:rFonts w:hint="eastAsia" w:ascii="仿宋_GB2312" w:eastAsia="仿宋_GB2312"/>
          <w:color w:val="000000"/>
          <w:sz w:val="32"/>
          <w:szCs w:val="32"/>
        </w:rPr>
      </w:pPr>
      <w:bookmarkStart w:id="44" w:name="_Toc15377218"/>
      <w:bookmarkStart w:id="45" w:name="_Toc15396610"/>
    </w:p>
    <w:p>
      <w:pPr>
        <w:pStyle w:val="3"/>
        <w:ind w:firstLine="643" w:firstLineChars="200"/>
      </w:pPr>
      <w:r>
        <w:rPr>
          <w:rFonts w:hint="eastAsia"/>
        </w:rPr>
        <w:t>八、政府性基金预算支出决算情况说明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spacing w:line="600" w:lineRule="exact"/>
        <w:ind w:firstLine="640"/>
        <w:rPr>
          <w:rFonts w:ascii="仿宋_GB2312" w:eastAsia="仿宋_GB2312"/>
          <w:color w:val="000000"/>
          <w:sz w:val="32"/>
          <w:szCs w:val="32"/>
        </w:rPr>
      </w:pPr>
    </w:p>
    <w:p>
      <w:pPr>
        <w:pStyle w:val="3"/>
        <w:ind w:firstLine="643" w:firstLineChars="200"/>
      </w:pPr>
      <w:bookmarkStart w:id="46" w:name="_Toc15377219"/>
      <w:bookmarkStart w:id="47" w:name="_Toc15396611"/>
      <w:r>
        <w:rPr>
          <w:rFonts w:hint="eastAsia"/>
        </w:rPr>
        <w:t>九、国有资本经营预算支出决算情况说明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3"/>
        <w:numPr>
          <w:ilvl w:val="0"/>
          <w:numId w:val="2"/>
        </w:numPr>
      </w:pPr>
      <w:r>
        <w:rPr>
          <w:rFonts w:hint="eastAsia"/>
        </w:rPr>
        <w:t>预算绩效情况说明</w:t>
      </w:r>
    </w:p>
    <w:p>
      <w:pPr>
        <w:numPr>
          <w:ilvl w:val="0"/>
          <w:numId w:val="3"/>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（注：大学中专招生办公室</w:t>
      </w:r>
      <w:r>
        <w:rPr>
          <w:rFonts w:hint="eastAsia" w:ascii="仿宋_GB2312" w:hAnsi="仿宋_GB2312" w:eastAsia="仿宋_GB2312" w:cs="仿宋_GB2312"/>
          <w:sz w:val="32"/>
          <w:szCs w:val="32"/>
          <w:lang w:eastAsia="zh-CN"/>
        </w:rPr>
        <w:t>项目在教育局项目统一填报，故无</w:t>
      </w:r>
      <w:r>
        <w:rPr>
          <w:rFonts w:hint="eastAsia" w:ascii="仿宋_GB2312" w:hAnsi="仿宋_GB2312" w:eastAsia="仿宋_GB2312" w:cs="仿宋_GB2312"/>
          <w:sz w:val="32"/>
          <w:szCs w:val="32"/>
        </w:rPr>
        <w:t>单独的项目绩效目标评价）根据预算绩效管理要求，本部门（单位）在年初预算编制阶段，组织对0个项目开展了预算事前绩效评估，对0个项目编制了绩效目标，预算执行过程中，选取0个项目开展绩效监控，年终执行完毕后，对0个项目开展了绩效目标完成情况梳理填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及时足额发放人员保障经费、严肃财经纪律，严格预算规定，落实好资金资助政策，保证资金安全，及时下达资金，使资金支付按预算目标进行。</w:t>
      </w:r>
    </w:p>
    <w:p>
      <w:pPr>
        <w:numPr>
          <w:ilvl w:val="0"/>
          <w:numId w:val="3"/>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（注：大学中专招生办公室</w:t>
      </w:r>
      <w:r>
        <w:rPr>
          <w:rFonts w:hint="eastAsia" w:ascii="仿宋_GB2312" w:hAnsi="仿宋_GB2312" w:eastAsia="仿宋_GB2312" w:cs="仿宋_GB2312"/>
          <w:sz w:val="32"/>
          <w:szCs w:val="32"/>
          <w:lang w:eastAsia="zh-CN"/>
        </w:rPr>
        <w:t>项目在教育局项目统一填报，故无</w:t>
      </w:r>
      <w:r>
        <w:rPr>
          <w:rFonts w:hint="eastAsia" w:ascii="仿宋_GB2312" w:hAnsi="仿宋_GB2312" w:eastAsia="仿宋_GB2312" w:cs="仿宋_GB2312"/>
          <w:sz w:val="32"/>
          <w:szCs w:val="32"/>
        </w:rPr>
        <w:t>单独的项目绩效目标评价）本部门在2018年度部门决算中反映0个项目绩效目标实际完成情况。（本单位部门项目绩效目标个数在5个以上的，选取5个项目进行公开，目标个数在5个以下的，全部进行公开，公开内容包括完成情况综述和完成情况表）。</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0个项目绩效目标完成情况综述。项目全年预算数0万元，执行数为0万元，完成预算的100%。</w:t>
      </w:r>
    </w:p>
    <w:p>
      <w:pPr>
        <w:tabs>
          <w:tab w:val="left" w:pos="312"/>
        </w:tabs>
        <w:spacing w:line="580" w:lineRule="exact"/>
        <w:rPr>
          <w:rFonts w:ascii="仿宋_GB2312" w:hAnsi="仿宋_GB2312" w:eastAsia="仿宋_GB2312" w:cs="仿宋_GB2312"/>
          <w:sz w:val="32"/>
          <w:szCs w:val="32"/>
        </w:rPr>
      </w:pPr>
    </w:p>
    <w:tbl>
      <w:tblPr>
        <w:tblStyle w:val="1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3"/>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eastAsia="仿宋_GB2312"/>
          <w:color w:val="000000"/>
          <w:sz w:val="32"/>
          <w:szCs w:val="32"/>
        </w:rPr>
        <w:t>壤塘县</w:t>
      </w:r>
      <w:r>
        <w:rPr>
          <w:rFonts w:hint="eastAsia" w:ascii="仿宋_GB2312" w:eastAsia="仿宋_GB2312"/>
          <w:color w:val="000000"/>
          <w:sz w:val="32"/>
          <w:szCs w:val="32"/>
          <w:lang w:eastAsia="zh-CN"/>
        </w:rPr>
        <w:t>大学中专招生办公室</w:t>
      </w:r>
      <w:r>
        <w:rPr>
          <w:rFonts w:hint="eastAsia" w:ascii="仿宋_GB2312" w:hAnsi="仿宋_GB2312" w:eastAsia="仿宋_GB2312" w:cs="仿宋_GB2312"/>
          <w:sz w:val="32"/>
          <w:szCs w:val="32"/>
        </w:rPr>
        <w:t>部门2018年部门整体支出绩效评价报告》见附件。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（注：大学中专招生办公室</w:t>
      </w:r>
      <w:r>
        <w:rPr>
          <w:rFonts w:hint="eastAsia" w:ascii="仿宋_GB2312" w:hAnsi="仿宋_GB2312" w:eastAsia="仿宋_GB2312" w:cs="仿宋_GB2312"/>
          <w:sz w:val="32"/>
          <w:szCs w:val="32"/>
          <w:lang w:eastAsia="zh-CN"/>
        </w:rPr>
        <w:t>项目在教育局项目统一填报，故无</w:t>
      </w:r>
      <w:r>
        <w:rPr>
          <w:rFonts w:hint="eastAsia" w:ascii="仿宋_GB2312" w:hAnsi="仿宋_GB2312" w:eastAsia="仿宋_GB2312" w:cs="仿宋_GB2312"/>
          <w:sz w:val="32"/>
          <w:szCs w:val="32"/>
        </w:rPr>
        <w:t>单独的项目绩效目标评价）本部门自行组织对0个项目、0个项目开展了绩效评价。（非涉密部门均需公开部门整体支出评价报告，部门自行组织的绩效评价情况根据部门实际公开）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pStyle w:val="3"/>
        <w:ind w:firstLine="643" w:firstLineChars="200"/>
      </w:pPr>
      <w:bookmarkStart w:id="48" w:name="_Toc15377221"/>
      <w:bookmarkStart w:id="49" w:name="_Toc15396612"/>
      <w:r>
        <w:rPr>
          <w:rFonts w:hint="eastAsia"/>
        </w:rPr>
        <w:t>十一、其他重要事项的情况说明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w:t>
      </w:r>
      <w:r>
        <w:rPr>
          <w:rFonts w:hint="eastAsia" w:ascii="仿宋_GB2312" w:eastAsia="仿宋_GB2312"/>
          <w:color w:val="000000"/>
          <w:sz w:val="32"/>
          <w:szCs w:val="32"/>
          <w:lang w:eastAsia="zh-CN"/>
        </w:rPr>
        <w:t>大学中专招生办公室</w:t>
      </w:r>
      <w:r>
        <w:rPr>
          <w:rFonts w:hint="eastAsia" w:ascii="仿宋_GB2312" w:eastAsia="仿宋_GB2312"/>
          <w:color w:val="000000"/>
          <w:sz w:val="32"/>
          <w:szCs w:val="32"/>
        </w:rPr>
        <w:t>机关运行经费支出0万元，比</w:t>
      </w:r>
      <w:r>
        <w:rPr>
          <w:rFonts w:ascii="仿宋_GB2312" w:eastAsia="仿宋_GB2312"/>
          <w:color w:val="000000"/>
          <w:sz w:val="32"/>
          <w:szCs w:val="32"/>
        </w:rPr>
        <w:t>201</w:t>
      </w:r>
      <w:r>
        <w:rPr>
          <w:rFonts w:hint="eastAsia" w:ascii="仿宋_GB2312" w:eastAsia="仿宋_GB2312"/>
          <w:color w:val="000000"/>
          <w:sz w:val="32"/>
          <w:szCs w:val="32"/>
        </w:rPr>
        <w:t>7年增加0万元，增长0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7年决算数持平）。</w:t>
      </w:r>
      <w:r>
        <w:rPr>
          <w:rFonts w:hint="eastAsia" w:ascii="仿宋_GB2312" w:eastAsia="仿宋_GB2312"/>
          <w:color w:val="000000" w:themeColor="text1"/>
          <w:sz w:val="32"/>
          <w:szCs w:val="32"/>
        </w:rPr>
        <w:t>主要原因是无此项支出。</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w:t>
      </w:r>
      <w:r>
        <w:rPr>
          <w:rFonts w:hint="eastAsia" w:ascii="仿宋_GB2312" w:eastAsia="仿宋_GB2312"/>
          <w:color w:val="000000"/>
          <w:sz w:val="32"/>
          <w:szCs w:val="32"/>
          <w:lang w:eastAsia="zh-CN"/>
        </w:rPr>
        <w:t>大学中专招生办公室</w:t>
      </w:r>
      <w:r>
        <w:rPr>
          <w:rFonts w:hint="eastAsia" w:ascii="仿宋_GB2312" w:eastAsia="仿宋_GB2312"/>
          <w:color w:val="000000"/>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日，壤塘县</w:t>
      </w:r>
      <w:r>
        <w:rPr>
          <w:rFonts w:hint="eastAsia" w:ascii="仿宋_GB2312" w:eastAsia="仿宋_GB2312"/>
          <w:color w:val="000000"/>
          <w:sz w:val="32"/>
          <w:szCs w:val="32"/>
          <w:lang w:eastAsia="zh-CN"/>
        </w:rPr>
        <w:t>大学中专招生办公室</w:t>
      </w:r>
      <w:r>
        <w:rPr>
          <w:rFonts w:hint="eastAsia" w:ascii="仿宋_GB2312" w:eastAsia="仿宋_GB2312"/>
          <w:color w:val="000000"/>
          <w:sz w:val="32"/>
          <w:szCs w:val="32"/>
        </w:rPr>
        <w:t>共有车辆0辆，其中：部级领导干部用车0辆、一般公务用车0辆、一般执法执勤用车0辆、特种专业技术用车0辆、其他用车0辆，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Style w:val="26"/>
        </w:rPr>
      </w:pPr>
      <w:r>
        <w:rPr>
          <w:rFonts w:ascii="仿宋_GB2312" w:eastAsia="仿宋_GB2312"/>
          <w:b/>
          <w:color w:val="000000"/>
          <w:sz w:val="32"/>
          <w:szCs w:val="32"/>
        </w:rPr>
        <w:br w:type="page"/>
      </w:r>
      <w:bookmarkStart w:id="53" w:name="_Toc15377225"/>
      <w:bookmarkStart w:id="54" w:name="_Toc15396613"/>
      <w:r>
        <w:rPr>
          <w:rStyle w:val="26"/>
          <w:rFonts w:hint="eastAsia"/>
        </w:rPr>
        <w:t xml:space="preserve">         第三部分 名词解释</w:t>
      </w:r>
      <w:bookmarkEnd w:id="53"/>
      <w:bookmarkEnd w:id="54"/>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教育205（类）02（款）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反映除上述项目以外其他用于普通教育方面的支出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6.教育205（类）</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反映各部门举办各类成人初等教育的支出。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.教育205（类）</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反映教师进修、师资培训支出。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社会保障和就业208（类）05（款）05（项）：指反映机关事业单位实施养老保险制度由单位缴纳的基本养老保险费支出。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.社会保障和就业208（类）05（款）06（项）：指反映机关事业单位实施养老保险制度由单位实际缴纳的职业年金支出。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医疗卫生与计划生育210（类）11（款）02（项）：指反映财政部门集中安排的事业单位基本医疗保险缴费经费，未参加医疗保险的事业单位的公费医疗经费，按国家规定享受离休人员待遇的医疗经费。</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住房保障221（类）02（款）01（项）：指反映行政事业单位按人力资源和社会保障部、财政部规定的基本工资和津贴补贴以及规定比例为职工缴纳的住房公积金。</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住房保障221（类）02（款）</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（项）：指反映</w:t>
      </w:r>
      <w:r>
        <w:rPr>
          <w:rFonts w:hint="eastAsia" w:ascii="仿宋_GB2312" w:eastAsia="仿宋_GB2312"/>
          <w:color w:val="000000"/>
          <w:sz w:val="32"/>
          <w:szCs w:val="32"/>
          <w:lang w:eastAsia="zh-CN"/>
        </w:rPr>
        <w:t>按房改政策规定，行政事业单位向符合条件职工（含离退休人员）等发放的用于购买住房的补贴</w:t>
      </w: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6"/>
          <w:rFonts w:ascii="黑体" w:hAnsi="黑体" w:eastAsia="黑体"/>
          <w:b w:val="0"/>
        </w:rPr>
      </w:pPr>
      <w:bookmarkStart w:id="55" w:name="_Toc15377226"/>
      <w:r>
        <w:rPr>
          <w:rFonts w:ascii="宋体"/>
          <w:b/>
          <w:color w:val="000000"/>
          <w:sz w:val="44"/>
          <w:szCs w:val="44"/>
        </w:rPr>
        <w:br w:type="page"/>
      </w:r>
      <w:bookmarkStart w:id="56" w:name="_Toc15396614"/>
      <w:r>
        <w:rPr>
          <w:rStyle w:val="26"/>
          <w:rFonts w:hint="eastAsia"/>
        </w:rPr>
        <w:t>第四部分 附件</w:t>
      </w:r>
      <w:bookmarkEnd w:id="56"/>
    </w:p>
    <w:p>
      <w:pPr>
        <w:spacing w:line="600" w:lineRule="exact"/>
        <w:jc w:val="center"/>
        <w:outlineLvl w:val="0"/>
        <w:rPr>
          <w:rStyle w:val="26"/>
        </w:rPr>
      </w:pPr>
    </w:p>
    <w:p>
      <w:pPr>
        <w:pStyle w:val="3"/>
      </w:pPr>
      <w:bookmarkStart w:id="57" w:name="_Toc15396615"/>
      <w:r>
        <w:rPr>
          <w:rFonts w:hint="eastAsia"/>
        </w:rPr>
        <w:t>附件1</w:t>
      </w:r>
      <w:bookmarkEnd w:id="57"/>
    </w:p>
    <w:p>
      <w:pPr>
        <w:spacing w:line="60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壤塘县</w:t>
      </w:r>
      <w:r>
        <w:rPr>
          <w:rFonts w:hint="eastAsia" w:ascii="黑体" w:hAnsi="黑体" w:eastAsia="黑体" w:cs="方正小标宋简体"/>
          <w:sz w:val="36"/>
          <w:szCs w:val="36"/>
          <w:lang w:eastAsia="zh-CN"/>
        </w:rPr>
        <w:t>大学中专招生办公室</w:t>
      </w:r>
      <w:r>
        <w:rPr>
          <w:rFonts w:hint="eastAsia" w:ascii="黑体" w:hAnsi="黑体" w:eastAsia="黑体" w:cs="方正小标宋简体"/>
          <w:sz w:val="36"/>
          <w:szCs w:val="36"/>
        </w:rPr>
        <w:t>部门2018年部门整体支出绩效评价报告</w:t>
      </w:r>
      <w:bookmarkEnd w:id="58"/>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ind w:firstLine="800" w:firstLineChars="250"/>
        <w:rPr>
          <w:rFonts w:ascii="仿宋" w:hAnsi="仿宋" w:eastAsia="仿宋"/>
          <w:sz w:val="32"/>
          <w:szCs w:val="32"/>
        </w:rPr>
      </w:pPr>
      <w:r>
        <w:rPr>
          <w:rFonts w:hint="eastAsia" w:ascii="仿宋" w:hAnsi="仿宋" w:eastAsia="仿宋"/>
          <w:sz w:val="32"/>
          <w:szCs w:val="32"/>
        </w:rPr>
        <w:t>壤塘县</w:t>
      </w:r>
      <w:r>
        <w:rPr>
          <w:rFonts w:hint="eastAsia" w:ascii="仿宋" w:hAnsi="仿宋" w:eastAsia="仿宋"/>
          <w:sz w:val="32"/>
          <w:szCs w:val="32"/>
          <w:lang w:eastAsia="zh-CN"/>
        </w:rPr>
        <w:t>大学中专招生办公室</w:t>
      </w:r>
      <w:r>
        <w:rPr>
          <w:rFonts w:hint="eastAsia" w:ascii="仿宋" w:hAnsi="仿宋" w:eastAsia="仿宋"/>
          <w:sz w:val="32"/>
          <w:szCs w:val="32"/>
        </w:rPr>
        <w:t>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pStyle w:val="13"/>
        <w:ind w:firstLine="640" w:firstLineChars="200"/>
        <w:jc w:val="left"/>
        <w:rPr>
          <w:rFonts w:hint="eastAsia" w:ascii="宋体" w:hAnsi="宋体"/>
          <w:b w:val="0"/>
          <w:kern w:val="0"/>
        </w:rPr>
      </w:pPr>
      <w:r>
        <w:rPr>
          <w:rFonts w:hint="eastAsia" w:ascii="仿宋" w:hAnsi="仿宋" w:eastAsia="仿宋" w:cs="Times New Roman"/>
          <w:b w:val="0"/>
          <w:bCs w:val="0"/>
          <w:kern w:val="2"/>
          <w:sz w:val="32"/>
          <w:szCs w:val="32"/>
          <w:lang w:val="en-US" w:eastAsia="zh-CN" w:bidi="ar-SA"/>
        </w:rPr>
        <w:t>负责三大国考和全国英语等级考试报考、信息采集及组考、建档工作；负责招生工作；负责普通高校招生、高教自考毕业和全国英语等级考试合格证的办证等。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截止2018年12月，我</w:t>
      </w:r>
      <w:r>
        <w:rPr>
          <w:rFonts w:hint="eastAsia" w:ascii="仿宋" w:hAnsi="仿宋" w:eastAsia="仿宋" w:cs="仿宋_GB2312"/>
          <w:sz w:val="32"/>
          <w:szCs w:val="32"/>
          <w:lang w:eastAsia="zh-CN"/>
        </w:rPr>
        <w:t>单位</w:t>
      </w:r>
      <w:r>
        <w:rPr>
          <w:rFonts w:hint="eastAsia" w:ascii="仿宋" w:hAnsi="仿宋" w:eastAsia="仿宋" w:cs="仿宋_GB2312"/>
          <w:sz w:val="32"/>
          <w:szCs w:val="32"/>
        </w:rPr>
        <w:t>有在职</w:t>
      </w:r>
      <w:r>
        <w:rPr>
          <w:rFonts w:hint="eastAsia" w:ascii="仿宋" w:hAnsi="仿宋" w:eastAsia="仿宋" w:cs="仿宋_GB2312"/>
          <w:sz w:val="32"/>
          <w:szCs w:val="32"/>
          <w:lang w:eastAsia="zh-CN"/>
        </w:rPr>
        <w:t>员工</w:t>
      </w:r>
      <w:r>
        <w:rPr>
          <w:rFonts w:hint="eastAsia" w:ascii="仿宋" w:hAnsi="仿宋" w:eastAsia="仿宋" w:cs="仿宋_GB2312"/>
          <w:sz w:val="32"/>
          <w:szCs w:val="32"/>
          <w:lang w:val="en-US" w:eastAsia="zh-CN"/>
        </w:rPr>
        <w:t>53</w:t>
      </w:r>
      <w:r>
        <w:rPr>
          <w:rFonts w:hint="eastAsia" w:ascii="仿宋" w:hAnsi="仿宋" w:eastAsia="仿宋" w:cs="仿宋_GB2312"/>
          <w:sz w:val="32"/>
          <w:szCs w:val="32"/>
        </w:rPr>
        <w:t>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8年本年收入合计915.26万元，其中：一般公共预算财政拨款收入875.89万元，占100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；事业收入39.37万元，占0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8年本年支出合计1021.98万元，其中：基本支出1021.98万元，占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320" w:firstLineChars="100"/>
        <w:rPr>
          <w:rFonts w:ascii="仿宋" w:hAnsi="仿宋" w:eastAsia="仿宋" w:cs="仿宋_GB2312"/>
          <w:sz w:val="32"/>
          <w:szCs w:val="32"/>
        </w:rPr>
      </w:pPr>
      <w:r>
        <w:rPr>
          <w:rFonts w:ascii="仿宋" w:hAnsi="仿宋" w:eastAsia="仿宋" w:cs="仿宋_GB2312"/>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们严格预算管理，切实按照相关管理制度要求，修改完善了《财务管理规定》《公务接待管理规定》《差旅费、会议费、培训费管理规定》《公务车辆管理办法》等工作制度，进一步明确了财政预算资金审批手续和拨付程序、机关行政经费审批手续和报销程序，加强了财务管理，规范了收支行为，保证了按预算执行方案，完成预算目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根据</w:t>
      </w:r>
      <w:r>
        <w:rPr>
          <w:rFonts w:hint="eastAsia" w:ascii="仿宋" w:hAnsi="仿宋" w:eastAsia="仿宋" w:cs="仿宋_GB2312"/>
          <w:sz w:val="32"/>
          <w:szCs w:val="32"/>
          <w:lang w:eastAsia="zh-CN"/>
        </w:rPr>
        <w:t>单位</w:t>
      </w:r>
      <w:r>
        <w:rPr>
          <w:rFonts w:ascii="仿宋" w:hAnsi="仿宋" w:eastAsia="仿宋" w:cs="仿宋_GB2312"/>
          <w:sz w:val="32"/>
          <w:szCs w:val="32"/>
        </w:rPr>
        <w:t>预算金额，专款专用，无违规超范围使用情况。</w:t>
      </w: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结果应用情况。</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教育基本经费的使用，力保</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教育教学工作的有效开展以及</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工作的正常运行；足额发放人员保障经费、严肃财经纪律，落实好资助政策，保证资金安全，及时下达资金，使资金支付按预算目标进行。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积极履职，强化管理，较好的完成了年度工作目标。通过加强预算收支管理，不断建立健全内部管理制度，梳理内部管理流程，部门整体支出管理水平得到提升。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1、预算编制工作有待细化。预算编制不够明确和细化，预算编制的合理性需要提高，预算执行力度还要进一步加强。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2、因单位全额编制少导致经费不足：绩效工资和日常公用经费不足。</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针对上述存在的问题，拟实施的改进措施如下：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3、对相关人员加强培训，特别是针对《预算法》、《行政事业单位会计制度》等学习培训，规范部门预算收支核算，切实提高部门预算收支管理水平。</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6"/>
          <w:rFonts w:ascii="黑体" w:hAnsi="黑体" w:eastAsia="黑体"/>
          <w:b w:val="0"/>
        </w:rPr>
      </w:pPr>
      <w:bookmarkStart w:id="59"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5"/>
      <w:bookmarkEnd w:id="59"/>
    </w:p>
    <w:p>
      <w:pPr>
        <w:pStyle w:val="3"/>
        <w:jc w:val="center"/>
        <w:rPr>
          <w:rFonts w:ascii="仿宋" w:hAnsi="仿宋" w:eastAsia="仿宋"/>
          <w:b w:val="0"/>
          <w:color w:val="000000"/>
          <w:sz w:val="44"/>
          <w:szCs w:val="44"/>
        </w:rPr>
      </w:pPr>
      <w:r>
        <w:rPr>
          <w:rStyle w:val="27"/>
          <w:rFonts w:hint="eastAsia" w:ascii="仿宋" w:hAnsi="仿宋" w:eastAsia="仿宋"/>
          <w:b w:val="0"/>
          <w:bCs w:val="0"/>
        </w:rPr>
        <w:t>（附表见壤塘县</w:t>
      </w:r>
      <w:r>
        <w:rPr>
          <w:rStyle w:val="27"/>
          <w:rFonts w:hint="eastAsia" w:ascii="仿宋" w:hAnsi="仿宋" w:eastAsia="仿宋"/>
          <w:b w:val="0"/>
          <w:bCs w:val="0"/>
          <w:lang w:eastAsia="zh-CN"/>
        </w:rPr>
        <w:t>大学中专招生办公室</w:t>
      </w:r>
      <w:r>
        <w:rPr>
          <w:rStyle w:val="27"/>
          <w:rFonts w:hint="eastAsia" w:ascii="仿宋" w:hAnsi="仿宋" w:eastAsia="仿宋"/>
          <w:b w:val="0"/>
          <w:bCs w:val="0"/>
        </w:rPr>
        <w:t>决算公开表）</w:t>
      </w:r>
    </w:p>
    <w:p>
      <w:pPr>
        <w:pStyle w:val="3"/>
        <w:rPr>
          <w:rStyle w:val="27"/>
          <w:rFonts w:hint="eastAsia" w:ascii="仿宋" w:hAnsi="仿宋" w:eastAsia="仿宋"/>
          <w:b w:val="0"/>
          <w:bCs w:val="0"/>
        </w:rPr>
      </w:pPr>
      <w:bookmarkStart w:id="60"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bookmarkStart w:id="61" w:name="_Toc15396620"/>
    </w:p>
    <w:p>
      <w:pPr>
        <w:pStyle w:val="3"/>
        <w:rPr>
          <w:rFonts w:ascii="仿宋" w:hAnsi="仿宋" w:eastAsia="仿宋"/>
          <w:color w:val="000000"/>
        </w:rPr>
      </w:pPr>
      <w:r>
        <w:rPr>
          <w:rFonts w:hint="eastAsia" w:ascii="仿宋" w:hAnsi="仿宋" w:eastAsia="仿宋"/>
          <w:b w:val="0"/>
          <w:color w:val="000000"/>
        </w:rPr>
        <w:t>二、收</w:t>
      </w:r>
      <w:r>
        <w:rPr>
          <w:rStyle w:val="27"/>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E9737F2C"/>
    <w:multiLevelType w:val="singleLevel"/>
    <w:tmpl w:val="E9737F2C"/>
    <w:lvl w:ilvl="0" w:tentative="0">
      <w:start w:val="2"/>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3433D"/>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17956"/>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5F71AD"/>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6D37"/>
    <w:rsid w:val="00946945"/>
    <w:rsid w:val="00951248"/>
    <w:rsid w:val="0095152F"/>
    <w:rsid w:val="00954C49"/>
    <w:rsid w:val="0097099F"/>
    <w:rsid w:val="00971997"/>
    <w:rsid w:val="00971FFC"/>
    <w:rsid w:val="0098660A"/>
    <w:rsid w:val="009931C3"/>
    <w:rsid w:val="009A1A75"/>
    <w:rsid w:val="009B2C43"/>
    <w:rsid w:val="009B4EAE"/>
    <w:rsid w:val="009B7573"/>
    <w:rsid w:val="009C22F4"/>
    <w:rsid w:val="009C2E98"/>
    <w:rsid w:val="009D1250"/>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D5210"/>
    <w:rsid w:val="00CE054E"/>
    <w:rsid w:val="00CE44F6"/>
    <w:rsid w:val="00CE49DA"/>
    <w:rsid w:val="00CE7B61"/>
    <w:rsid w:val="00D00095"/>
    <w:rsid w:val="00D20620"/>
    <w:rsid w:val="00D26091"/>
    <w:rsid w:val="00D34A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90263"/>
    <w:rsid w:val="00FA23E8"/>
    <w:rsid w:val="00FD3CC1"/>
    <w:rsid w:val="00FF1E02"/>
    <w:rsid w:val="00FF30B4"/>
    <w:rsid w:val="010D795E"/>
    <w:rsid w:val="02A00FC2"/>
    <w:rsid w:val="02F9049C"/>
    <w:rsid w:val="03647651"/>
    <w:rsid w:val="04563A01"/>
    <w:rsid w:val="04BB0CB7"/>
    <w:rsid w:val="04DE6B82"/>
    <w:rsid w:val="067F56B3"/>
    <w:rsid w:val="070431E9"/>
    <w:rsid w:val="073B091D"/>
    <w:rsid w:val="07784B3B"/>
    <w:rsid w:val="081F33C7"/>
    <w:rsid w:val="08AF15EF"/>
    <w:rsid w:val="08D1185D"/>
    <w:rsid w:val="08F0790C"/>
    <w:rsid w:val="09EE7A89"/>
    <w:rsid w:val="0A331C5C"/>
    <w:rsid w:val="0AC75291"/>
    <w:rsid w:val="0B0F6447"/>
    <w:rsid w:val="0B422E14"/>
    <w:rsid w:val="0C2012A8"/>
    <w:rsid w:val="0CD111AB"/>
    <w:rsid w:val="0CF571C7"/>
    <w:rsid w:val="0D75515E"/>
    <w:rsid w:val="0D870C2F"/>
    <w:rsid w:val="0E8A5543"/>
    <w:rsid w:val="0F0F10FC"/>
    <w:rsid w:val="0FFE7F4F"/>
    <w:rsid w:val="10BB5AFC"/>
    <w:rsid w:val="10C055FF"/>
    <w:rsid w:val="10C175C6"/>
    <w:rsid w:val="114B68B8"/>
    <w:rsid w:val="119D416B"/>
    <w:rsid w:val="11C1497B"/>
    <w:rsid w:val="126F4AEE"/>
    <w:rsid w:val="12A66067"/>
    <w:rsid w:val="132C6062"/>
    <w:rsid w:val="14080EF8"/>
    <w:rsid w:val="14170554"/>
    <w:rsid w:val="14481E99"/>
    <w:rsid w:val="1582683B"/>
    <w:rsid w:val="15D84304"/>
    <w:rsid w:val="167411A8"/>
    <w:rsid w:val="167750DB"/>
    <w:rsid w:val="169A3692"/>
    <w:rsid w:val="16BB723D"/>
    <w:rsid w:val="171E6821"/>
    <w:rsid w:val="17F71BD0"/>
    <w:rsid w:val="18161CFE"/>
    <w:rsid w:val="194147C4"/>
    <w:rsid w:val="1A6B3D23"/>
    <w:rsid w:val="1C74529B"/>
    <w:rsid w:val="1D3E35C5"/>
    <w:rsid w:val="1DFC5B2B"/>
    <w:rsid w:val="1E4A04D9"/>
    <w:rsid w:val="1E586D8A"/>
    <w:rsid w:val="1E72223E"/>
    <w:rsid w:val="1E8D30EA"/>
    <w:rsid w:val="1EB06628"/>
    <w:rsid w:val="1EE92547"/>
    <w:rsid w:val="1F1E68E5"/>
    <w:rsid w:val="1F980043"/>
    <w:rsid w:val="207A649B"/>
    <w:rsid w:val="20BD6031"/>
    <w:rsid w:val="20F070A4"/>
    <w:rsid w:val="21346136"/>
    <w:rsid w:val="22190D56"/>
    <w:rsid w:val="22662DC3"/>
    <w:rsid w:val="22D41C21"/>
    <w:rsid w:val="23D1146A"/>
    <w:rsid w:val="240371BF"/>
    <w:rsid w:val="24B15E8C"/>
    <w:rsid w:val="25834B78"/>
    <w:rsid w:val="259461A2"/>
    <w:rsid w:val="25F9142E"/>
    <w:rsid w:val="260F414D"/>
    <w:rsid w:val="26394CA2"/>
    <w:rsid w:val="26BE2DB9"/>
    <w:rsid w:val="27CB7706"/>
    <w:rsid w:val="27EE0757"/>
    <w:rsid w:val="28130F69"/>
    <w:rsid w:val="28AC6E87"/>
    <w:rsid w:val="29FD04D3"/>
    <w:rsid w:val="2A010A65"/>
    <w:rsid w:val="2A425F2C"/>
    <w:rsid w:val="2AE91AC9"/>
    <w:rsid w:val="2B1E5F70"/>
    <w:rsid w:val="2B634810"/>
    <w:rsid w:val="2B696685"/>
    <w:rsid w:val="2B9D720E"/>
    <w:rsid w:val="2CB23C7A"/>
    <w:rsid w:val="2D4D1BB3"/>
    <w:rsid w:val="2E2C0E19"/>
    <w:rsid w:val="2E53491A"/>
    <w:rsid w:val="2EA47F0F"/>
    <w:rsid w:val="2F35653D"/>
    <w:rsid w:val="2F4C6318"/>
    <w:rsid w:val="2F745D58"/>
    <w:rsid w:val="2F923DDB"/>
    <w:rsid w:val="2FD00DAA"/>
    <w:rsid w:val="303F7DCB"/>
    <w:rsid w:val="31134E00"/>
    <w:rsid w:val="314B78A2"/>
    <w:rsid w:val="315327B2"/>
    <w:rsid w:val="316C03CE"/>
    <w:rsid w:val="319F7F4E"/>
    <w:rsid w:val="31D844C6"/>
    <w:rsid w:val="31EF0476"/>
    <w:rsid w:val="328C4C8B"/>
    <w:rsid w:val="330B02ED"/>
    <w:rsid w:val="33F37724"/>
    <w:rsid w:val="348A4276"/>
    <w:rsid w:val="34D044FF"/>
    <w:rsid w:val="350A23F9"/>
    <w:rsid w:val="3574285E"/>
    <w:rsid w:val="363542E3"/>
    <w:rsid w:val="369350C1"/>
    <w:rsid w:val="36B6161D"/>
    <w:rsid w:val="388F4624"/>
    <w:rsid w:val="38BA0AB1"/>
    <w:rsid w:val="38CD24BD"/>
    <w:rsid w:val="38E54111"/>
    <w:rsid w:val="39B0025D"/>
    <w:rsid w:val="3AD951E4"/>
    <w:rsid w:val="3AF74D08"/>
    <w:rsid w:val="3BAA62A4"/>
    <w:rsid w:val="3BDC7051"/>
    <w:rsid w:val="3C6C43B9"/>
    <w:rsid w:val="3DFE50A8"/>
    <w:rsid w:val="3E843911"/>
    <w:rsid w:val="3EAD3EDC"/>
    <w:rsid w:val="3EF8639B"/>
    <w:rsid w:val="3F4040AB"/>
    <w:rsid w:val="4035334A"/>
    <w:rsid w:val="41CD7709"/>
    <w:rsid w:val="424D20A0"/>
    <w:rsid w:val="42C657B4"/>
    <w:rsid w:val="433B7AFE"/>
    <w:rsid w:val="435856CF"/>
    <w:rsid w:val="43917DEF"/>
    <w:rsid w:val="443A2B2C"/>
    <w:rsid w:val="45A22E87"/>
    <w:rsid w:val="45FD464C"/>
    <w:rsid w:val="461354B5"/>
    <w:rsid w:val="463666E4"/>
    <w:rsid w:val="4699240A"/>
    <w:rsid w:val="46B2128E"/>
    <w:rsid w:val="46D51C4E"/>
    <w:rsid w:val="47870B59"/>
    <w:rsid w:val="47C335F1"/>
    <w:rsid w:val="48091215"/>
    <w:rsid w:val="487B3658"/>
    <w:rsid w:val="48991686"/>
    <w:rsid w:val="4B1B132B"/>
    <w:rsid w:val="4B51021E"/>
    <w:rsid w:val="4BDA11F1"/>
    <w:rsid w:val="4C0D04ED"/>
    <w:rsid w:val="4C617DAD"/>
    <w:rsid w:val="4CCC2354"/>
    <w:rsid w:val="4CCF3C37"/>
    <w:rsid w:val="4D596147"/>
    <w:rsid w:val="4E34065D"/>
    <w:rsid w:val="4E466E77"/>
    <w:rsid w:val="4F87570A"/>
    <w:rsid w:val="4F8B4DE6"/>
    <w:rsid w:val="4FB7617D"/>
    <w:rsid w:val="4FCA7425"/>
    <w:rsid w:val="507B7D24"/>
    <w:rsid w:val="50FF73EA"/>
    <w:rsid w:val="5201082C"/>
    <w:rsid w:val="527900FF"/>
    <w:rsid w:val="533B0608"/>
    <w:rsid w:val="535A3D09"/>
    <w:rsid w:val="538A4725"/>
    <w:rsid w:val="538C2522"/>
    <w:rsid w:val="541803A2"/>
    <w:rsid w:val="543A6832"/>
    <w:rsid w:val="54BA51E2"/>
    <w:rsid w:val="552D3C55"/>
    <w:rsid w:val="56821C5F"/>
    <w:rsid w:val="57B908D9"/>
    <w:rsid w:val="58464185"/>
    <w:rsid w:val="587A10BA"/>
    <w:rsid w:val="588E0E0D"/>
    <w:rsid w:val="58C629AC"/>
    <w:rsid w:val="597E275E"/>
    <w:rsid w:val="59D0015B"/>
    <w:rsid w:val="5A4A6B41"/>
    <w:rsid w:val="5A951F61"/>
    <w:rsid w:val="5BAC105C"/>
    <w:rsid w:val="5C600920"/>
    <w:rsid w:val="5DAF7D4A"/>
    <w:rsid w:val="5E2F348E"/>
    <w:rsid w:val="5E4A25C9"/>
    <w:rsid w:val="5F3232B9"/>
    <w:rsid w:val="5F3511EC"/>
    <w:rsid w:val="5F631196"/>
    <w:rsid w:val="600E384B"/>
    <w:rsid w:val="602F3F7A"/>
    <w:rsid w:val="60E55906"/>
    <w:rsid w:val="618A725E"/>
    <w:rsid w:val="62E21DFD"/>
    <w:rsid w:val="6326742A"/>
    <w:rsid w:val="636230E3"/>
    <w:rsid w:val="637660E0"/>
    <w:rsid w:val="63BC2ABC"/>
    <w:rsid w:val="64870A91"/>
    <w:rsid w:val="64F74D92"/>
    <w:rsid w:val="651560BE"/>
    <w:rsid w:val="6562445C"/>
    <w:rsid w:val="65766ECA"/>
    <w:rsid w:val="674C5C9E"/>
    <w:rsid w:val="67656334"/>
    <w:rsid w:val="679668C0"/>
    <w:rsid w:val="67A004A5"/>
    <w:rsid w:val="67BA2AF4"/>
    <w:rsid w:val="67D528BF"/>
    <w:rsid w:val="67E83495"/>
    <w:rsid w:val="68CE7A89"/>
    <w:rsid w:val="68D84A3C"/>
    <w:rsid w:val="69012ECF"/>
    <w:rsid w:val="693D4AE2"/>
    <w:rsid w:val="6A452E55"/>
    <w:rsid w:val="6AEA1843"/>
    <w:rsid w:val="6B202DB9"/>
    <w:rsid w:val="6B3E6992"/>
    <w:rsid w:val="6B831962"/>
    <w:rsid w:val="6DB707CC"/>
    <w:rsid w:val="6E4958B6"/>
    <w:rsid w:val="6FA636E5"/>
    <w:rsid w:val="6FE05B2A"/>
    <w:rsid w:val="70C86C21"/>
    <w:rsid w:val="712119FC"/>
    <w:rsid w:val="721D5408"/>
    <w:rsid w:val="728C085B"/>
    <w:rsid w:val="7336621C"/>
    <w:rsid w:val="73D941AD"/>
    <w:rsid w:val="74E474FB"/>
    <w:rsid w:val="75BA2D38"/>
    <w:rsid w:val="75EE469A"/>
    <w:rsid w:val="7893527F"/>
    <w:rsid w:val="789E40BF"/>
    <w:rsid w:val="797A7D4A"/>
    <w:rsid w:val="7A256166"/>
    <w:rsid w:val="7AA30753"/>
    <w:rsid w:val="7ADA268A"/>
    <w:rsid w:val="7BC82FD8"/>
    <w:rsid w:val="7BEA727B"/>
    <w:rsid w:val="7C307CCA"/>
    <w:rsid w:val="7C5D4EA9"/>
    <w:rsid w:val="7C64174A"/>
    <w:rsid w:val="7CE45058"/>
    <w:rsid w:val="7D837C49"/>
    <w:rsid w:val="7E151DB5"/>
    <w:rsid w:val="7E7D3098"/>
    <w:rsid w:val="7E960ABA"/>
    <w:rsid w:val="7EFD15AD"/>
    <w:rsid w:val="7F652A3E"/>
    <w:rsid w:val="7FAD09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next w:val="1"/>
    <w:qFormat/>
    <w:uiPriority w:val="10"/>
    <w:pPr>
      <w:spacing w:before="240" w:after="60"/>
      <w:jc w:val="center"/>
      <w:outlineLvl w:val="0"/>
    </w:pPr>
    <w:rPr>
      <w:rFonts w:ascii="Cambria" w:hAnsi="Cambria"/>
      <w:b/>
      <w:bCs/>
      <w:sz w:val="32"/>
      <w:szCs w:val="32"/>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收、支决算总计变动情况（单位：万元）</a:t>
            </a:r>
          </a:p>
        </c:rich>
      </c:tx>
      <c:layout/>
      <c:overlay val="0"/>
      <c:spPr>
        <a:noFill/>
        <a:ln>
          <a:noFill/>
        </a:ln>
        <a:effectLst/>
      </c:spPr>
    </c:title>
    <c:autoTitleDeleted val="0"/>
    <c:plotArea>
      <c:layout/>
      <c:barChart>
        <c:barDir val="col"/>
        <c:grouping val="clustered"/>
        <c:varyColors val="0"/>
        <c:ser>
          <c:idx val="0"/>
          <c:order val="0"/>
          <c:tx>
            <c:strRef>
              <c:f>'[新建 XLSX 工作表.xlsx]Sheet1'!$D$4</c:f>
              <c:strCache>
                <c:ptCount val="1"/>
                <c:pt idx="0">
                  <c:v/>
                </c:pt>
              </c:strCache>
            </c:strRef>
          </c:tx>
          <c:spPr>
            <a:solidFill>
              <a:schemeClr val="accent1"/>
            </a:solidFill>
            <a:ln>
              <a:noFill/>
            </a:ln>
            <a:effectLst/>
          </c:spPr>
          <c:invertIfNegative val="0"/>
          <c:dLbls>
            <c:delete val="1"/>
          </c:dLbls>
          <c:cat>
            <c:numRef>
              <c:f>'[新建 XLSX 工作表.xlsx]Sheet1'!$E$3:$F$3</c:f>
              <c:numCache>
                <c:formatCode>General</c:formatCode>
                <c:ptCount val="2"/>
              </c:numCache>
            </c:numRef>
          </c:cat>
          <c:val>
            <c:numRef>
              <c:f>'[新建 XLSX 工作表.xlsx]Sheet1'!$E$4:$F$4</c:f>
              <c:numCache>
                <c:formatCode>General</c:formatCode>
                <c:ptCount val="2"/>
                <c:pt idx="0">
                  <c:v>0</c:v>
                </c:pt>
                <c:pt idx="1">
                  <c:v>0</c:v>
                </c:pt>
              </c:numCache>
            </c:numRef>
          </c:val>
        </c:ser>
        <c:ser>
          <c:idx val="1"/>
          <c:order val="1"/>
          <c:tx>
            <c:strRef>
              <c:f>'[新建 XLSX 工作表.xlsx]Sheet1'!$D$5</c:f>
              <c:strCache>
                <c:ptCount val="1"/>
                <c:pt idx="0">
                  <c:v>2018年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工作表.xlsx]Sheet1'!$E$3:$F$3</c:f>
              <c:numCache>
                <c:formatCode>General</c:formatCode>
                <c:ptCount val="2"/>
              </c:numCache>
            </c:numRef>
          </c:cat>
          <c:val>
            <c:numRef>
              <c:f>'[新建 XLSX 工作表.xlsx]Sheet1'!$E$5:$F$5</c:f>
              <c:numCache>
                <c:formatCode>#,##0.00</c:formatCode>
                <c:ptCount val="2"/>
                <c:pt idx="0">
                  <c:v>915.26</c:v>
                </c:pt>
                <c:pt idx="1" c:formatCode="General">
                  <c:v>1021.98</c:v>
                </c:pt>
              </c:numCache>
            </c:numRef>
          </c:val>
        </c:ser>
        <c:dLbls>
          <c:showLegendKey val="0"/>
          <c:showVal val="1"/>
          <c:showCatName val="0"/>
          <c:showSerName val="0"/>
          <c:showPercent val="0"/>
          <c:showBubbleSize val="0"/>
        </c:dLbls>
        <c:gapWidth val="219"/>
        <c:overlap val="-27"/>
        <c:axId val="796605749"/>
        <c:axId val="816386215"/>
      </c:barChart>
      <c:catAx>
        <c:axId val="79660574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386215"/>
        <c:crosses val="autoZero"/>
        <c:auto val="1"/>
        <c:lblAlgn val="ctr"/>
        <c:lblOffset val="100"/>
        <c:noMultiLvlLbl val="0"/>
      </c:catAx>
      <c:valAx>
        <c:axId val="816386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605749"/>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8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收入决算结构图(单位：万元）</a:t>
            </a:r>
            <a:endParaRPr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explosion val="0"/>
          </c:dPt>
          <c:dPt>
            <c:idx val="1"/>
            <c:bubble3D val="0"/>
            <c:explosion val="0"/>
          </c:dPt>
          <c:dPt>
            <c:idx val="2"/>
            <c:bubble3D val="0"/>
            <c:explosion val="0"/>
          </c:dPt>
          <c:dPt>
            <c:idx val="3"/>
            <c:bubble3D val="0"/>
            <c:explosion val="0"/>
          </c:dPt>
          <c:dPt>
            <c:idx val="4"/>
            <c:bubble3D val="0"/>
            <c:explosion val="0"/>
          </c:dPt>
          <c:dPt>
            <c:idx val="5"/>
            <c:bubble3D val="0"/>
            <c:explosion val="0"/>
          </c:dPt>
          <c:dPt>
            <c:idx val="6"/>
            <c:bubble3D val="0"/>
            <c:explosion val="0"/>
          </c:dPt>
          <c:dPt>
            <c:idx val="7"/>
            <c:bubble3D val="0"/>
            <c:explosion val="0"/>
          </c:dPt>
          <c:dLbls>
            <c:dLbl>
              <c:idx val="1"/>
              <c:delete val="1"/>
            </c:dLbl>
            <c:dLbl>
              <c:idx val="2"/>
              <c:delete val="1"/>
            </c:dLbl>
            <c:dLbl>
              <c:idx val="3"/>
              <c:layout/>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00572259000406418"/>
                  <c:y val="0.03911439947329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284702011894217"/>
                  <c:y val="-0.0539772727272727"/>
                </c:manualLayout>
              </c:layout>
              <c:dLblPos val="bestFit"/>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0.0752876555197328"/>
                  <c:y val="0.0190833333354523"/>
                </c:manualLayout>
              </c:layout>
              <c:dLblPos val="bestFit"/>
              <c:showLegendKey val="0"/>
              <c:showVal val="0"/>
              <c:showCatName val="0"/>
              <c:showSerName val="0"/>
              <c:showPercent val="0"/>
              <c:showBubbleSize val="0"/>
              <c:extLst>
                <c:ext xmlns:c15="http://schemas.microsoft.com/office/drawing/2012/chart" uri="{CE6537A1-D6FC-4f65-9D91-7224C49458BB}">
                  <c15:layout/>
                </c:ext>
              </c:extLst>
            </c:dLbl>
            <c:dLbl>
              <c:idx val="7"/>
              <c:layout/>
              <c:dLblPos val="bestFit"/>
              <c:showLegendKey val="0"/>
              <c:showVal val="0"/>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[1.xls]Sheet1!$C$18:$C$25</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[1.xls]Sheet1!$D$18:$D$25</c:f>
              <c:numCache>
                <c:formatCode>General</c:formatCode>
                <c:ptCount val="8"/>
                <c:pt idx="0">
                  <c:v>875.89</c:v>
                </c:pt>
                <c:pt idx="1">
                  <c:v>0</c:v>
                </c:pt>
                <c:pt idx="2">
                  <c:v>0</c:v>
                </c:pt>
                <c:pt idx="3">
                  <c:v>0</c:v>
                </c:pt>
                <c:pt idx="4">
                  <c:v>39.37</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8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支出决算结构图（单位：万元）</a:t>
            </a:r>
            <a:endParaRPr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explosion val="0"/>
          </c:dPt>
          <c:dPt>
            <c:idx val="1"/>
            <c:bubble3D val="0"/>
            <c:explosion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[1.xls]Sheet1!$L$4:$L$5</c:f>
              <c:strCache>
                <c:ptCount val="2"/>
                <c:pt idx="0">
                  <c:v>基本支出</c:v>
                </c:pt>
                <c:pt idx="1">
                  <c:v>项目支出</c:v>
                </c:pt>
              </c:strCache>
            </c:strRef>
          </c:cat>
          <c:val>
            <c:numRef>
              <c:f>[1.xls]Sheet1!$M$4:$M$5</c:f>
              <c:numCache>
                <c:formatCode>General</c:formatCode>
                <c:ptCount val="2"/>
                <c:pt idx="0">
                  <c:v>1021.98</c:v>
                </c:pt>
                <c:pt idx="1" c:formatCode="#,##0.00">
                  <c:v>0</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财政拨款收、支决算总计变动情况（单位：万元）</a:t>
            </a:r>
          </a:p>
        </c:rich>
      </c:tx>
      <c:layout/>
      <c:overlay val="0"/>
      <c:spPr>
        <a:noFill/>
        <a:ln>
          <a:noFill/>
        </a:ln>
        <a:effectLst/>
      </c:spPr>
    </c:title>
    <c:autoTitleDeleted val="0"/>
    <c:plotArea>
      <c:layout/>
      <c:barChart>
        <c:barDir val="col"/>
        <c:grouping val="clustered"/>
        <c:varyColors val="0"/>
        <c:ser>
          <c:idx val="0"/>
          <c:order val="0"/>
          <c:tx>
            <c:strRef>
              <c:f>'[新建 XLSX 工作表.xlsx]Sheet1'!$D$4</c:f>
              <c:strCache>
                <c:ptCount val="1"/>
                <c:pt idx="0">
                  <c:v/>
                </c:pt>
              </c:strCache>
            </c:strRef>
          </c:tx>
          <c:spPr>
            <a:solidFill>
              <a:schemeClr val="accent1"/>
            </a:solidFill>
            <a:ln>
              <a:noFill/>
            </a:ln>
            <a:effectLst/>
          </c:spPr>
          <c:invertIfNegative val="0"/>
          <c:dLbls>
            <c:delete val="1"/>
          </c:dLbls>
          <c:cat>
            <c:numRef>
              <c:f>'[新建 XLSX 工作表.xlsx]Sheet1'!$E$3:$F$3</c:f>
              <c:numCache>
                <c:formatCode>General</c:formatCode>
                <c:ptCount val="2"/>
              </c:numCache>
            </c:numRef>
          </c:cat>
          <c:val>
            <c:numRef>
              <c:f>'[新建 XLSX 工作表.xlsx]Sheet1'!$E$4:$F$4</c:f>
              <c:numCache>
                <c:formatCode>General</c:formatCode>
                <c:ptCount val="2"/>
                <c:pt idx="0">
                  <c:v>0</c:v>
                </c:pt>
                <c:pt idx="1">
                  <c:v>0</c:v>
                </c:pt>
              </c:numCache>
            </c:numRef>
          </c:val>
        </c:ser>
        <c:ser>
          <c:idx val="1"/>
          <c:order val="1"/>
          <c:tx>
            <c:strRef>
              <c:f>'[新建 XLSX 工作表.xlsx]Sheet1'!$D$5</c:f>
              <c:strCache>
                <c:ptCount val="1"/>
                <c:pt idx="0">
                  <c:v>2018年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工作表.xlsx]Sheet1'!$E$3:$F$3</c:f>
              <c:numCache>
                <c:formatCode>General</c:formatCode>
                <c:ptCount val="2"/>
              </c:numCache>
            </c:numRef>
          </c:cat>
          <c:val>
            <c:numRef>
              <c:f>'[新建 XLSX 工作表.xlsx]Sheet1'!$E$5:$F$5</c:f>
              <c:numCache>
                <c:formatCode>#,##0.00</c:formatCode>
                <c:ptCount val="2"/>
                <c:pt idx="0">
                  <c:v>875.89</c:v>
                </c:pt>
                <c:pt idx="1" c:formatCode="General">
                  <c:v>982.61</c:v>
                </c:pt>
              </c:numCache>
            </c:numRef>
          </c:val>
        </c:ser>
        <c:dLbls>
          <c:showLegendKey val="0"/>
          <c:showVal val="1"/>
          <c:showCatName val="0"/>
          <c:showSerName val="0"/>
          <c:showPercent val="0"/>
          <c:showBubbleSize val="0"/>
        </c:dLbls>
        <c:gapWidth val="219"/>
        <c:overlap val="-27"/>
        <c:axId val="796605749"/>
        <c:axId val="816386215"/>
      </c:barChart>
      <c:catAx>
        <c:axId val="79660574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386215"/>
        <c:crosses val="autoZero"/>
        <c:auto val="1"/>
        <c:lblAlgn val="ctr"/>
        <c:lblOffset val="100"/>
        <c:noMultiLvlLbl val="0"/>
      </c:catAx>
      <c:valAx>
        <c:axId val="816386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6057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一般公共预算财政拨款支出决算变动情况（单位：万元）</a:t>
            </a:r>
          </a:p>
        </c:rich>
      </c:tx>
      <c:layout>
        <c:manualLayout>
          <c:xMode val="edge"/>
          <c:yMode val="edge"/>
          <c:x val="0.0949934123847167"/>
          <c:y val="0.0330208777162335"/>
        </c:manualLayout>
      </c:layout>
      <c:overlay val="0"/>
      <c:spPr>
        <a:noFill/>
        <a:ln>
          <a:noFill/>
        </a:ln>
        <a:effectLst/>
      </c:spPr>
    </c:title>
    <c:autoTitleDeleted val="0"/>
    <c:plotArea>
      <c:layout>
        <c:manualLayout>
          <c:layoutTarget val="inner"/>
          <c:xMode val="edge"/>
          <c:yMode val="edge"/>
          <c:x val="0.0664734299516908"/>
          <c:y val="0.223476778866638"/>
          <c:w val="0.887287784679089"/>
          <c:h val="0.68841073711120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工作表.xlsx]Sheet1'!$D$11:$D$12</c:f>
              <c:strCache>
                <c:ptCount val="2"/>
                <c:pt idx="1">
                  <c:v>2018年</c:v>
                </c:pt>
              </c:strCache>
            </c:strRef>
          </c:cat>
          <c:val>
            <c:numRef>
              <c:f>'[新建 XLSX 工作表.xlsx]Sheet1'!$E$11:$E$12</c:f>
              <c:numCache>
                <c:formatCode>General</c:formatCode>
                <c:ptCount val="2"/>
                <c:pt idx="1">
                  <c:v>982.61</c:v>
                </c:pt>
              </c:numCache>
            </c:numRef>
          </c:val>
        </c:ser>
        <c:dLbls>
          <c:showLegendKey val="0"/>
          <c:showVal val="1"/>
          <c:showCatName val="0"/>
          <c:showSerName val="0"/>
          <c:showPercent val="0"/>
          <c:showBubbleSize val="0"/>
        </c:dLbls>
        <c:gapWidth val="219"/>
        <c:overlap val="-27"/>
        <c:axId val="206060988"/>
        <c:axId val="415029976"/>
      </c:barChart>
      <c:catAx>
        <c:axId val="2060609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5029976"/>
        <c:crosses val="autoZero"/>
        <c:auto val="1"/>
        <c:lblAlgn val="ctr"/>
        <c:lblOffset val="100"/>
        <c:noMultiLvlLbl val="0"/>
      </c:catAx>
      <c:valAx>
        <c:axId val="4150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0609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defRPr>
            </a:pPr>
            <a:r>
              <a:t>一般公共预算财政拨款支出决算结构图（单位：万元）</a:t>
            </a:r>
            <a:endParaRPr sz="1800" b="1" i="0" u="none" strike="noStrike"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endParaRPr>
          </a:p>
        </c:rich>
      </c:tx>
      <c:layout>
        <c:manualLayout>
          <c:xMode val="edge"/>
          <c:yMode val="edge"/>
          <c:x val="0.0309810671256454"/>
          <c:y val="0.0766650810375364"/>
        </c:manualLayout>
      </c:layout>
      <c:overlay val="0"/>
    </c:title>
    <c:autoTitleDeleted val="0"/>
    <c:plotArea>
      <c:layout>
        <c:manualLayout>
          <c:layoutTarget val="inner"/>
          <c:xMode val="edge"/>
          <c:yMode val="edge"/>
          <c:x val="0.12736660929432"/>
          <c:y val="0.299287758044182"/>
          <c:w val="0.413080895008606"/>
          <c:h val="0.570071920084156"/>
        </c:manualLayout>
      </c:layout>
      <c:pieChart>
        <c:varyColors val="1"/>
        <c:ser>
          <c:idx val="0"/>
          <c:order val="0"/>
          <c:explosion val="0"/>
          <c:dPt>
            <c:idx val="0"/>
            <c:bubble3D val="0"/>
            <c:explosion val="0"/>
          </c:dPt>
          <c:dPt>
            <c:idx val="1"/>
            <c:bubble3D val="0"/>
            <c:explosion val="0"/>
          </c:dPt>
          <c:dPt>
            <c:idx val="2"/>
            <c:bubble3D val="0"/>
            <c:explosion val="0"/>
          </c:dPt>
          <c:dPt>
            <c:idx val="3"/>
            <c:bubble3D val="0"/>
            <c:explosion val="0"/>
          </c:dPt>
          <c:dPt>
            <c:idx val="4"/>
            <c:bubble3D val="0"/>
            <c:explosion val="0"/>
          </c:dPt>
          <c:dPt>
            <c:idx val="5"/>
            <c:bubble3D val="0"/>
            <c:explosion val="0"/>
          </c:dPt>
          <c:dLbls>
            <c:dLbl>
              <c:idx val="0"/>
              <c:delete val="1"/>
            </c:dLbl>
            <c:dLbl>
              <c:idx val="4"/>
              <c:layout>
                <c:manualLayout>
                  <c:x val="0.0130668930962352"/>
                  <c:y val="0.027879706046193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[1.xls]Sheet1!$F$18:$F$23</c:f>
              <c:strCache>
                <c:ptCount val="6"/>
                <c:pt idx="0">
                  <c:v>一般公共服务支出</c:v>
                </c:pt>
                <c:pt idx="1">
                  <c:v>教育支出</c:v>
                </c:pt>
                <c:pt idx="2">
                  <c:v>科学技术支出</c:v>
                </c:pt>
                <c:pt idx="3">
                  <c:v>社会保障和就业支出</c:v>
                </c:pt>
                <c:pt idx="4">
                  <c:v>医疗卫生与计划生育支出</c:v>
                </c:pt>
                <c:pt idx="5">
                  <c:v>住房保障支出</c:v>
                </c:pt>
              </c:strCache>
            </c:strRef>
          </c:cat>
          <c:val>
            <c:numRef>
              <c:f>[1.xls]Sheet1!$G$18:$G$23</c:f>
              <c:numCache>
                <c:formatCode>0.00_ </c:formatCode>
                <c:ptCount val="6"/>
                <c:pt idx="0">
                  <c:v>0</c:v>
                </c:pt>
                <c:pt idx="1">
                  <c:v>713.08</c:v>
                </c:pt>
                <c:pt idx="2">
                  <c:v>0</c:v>
                </c:pt>
                <c:pt idx="3">
                  <c:v>149.41</c:v>
                </c:pt>
                <c:pt idx="4">
                  <c:v>35.09</c:v>
                </c:pt>
                <c:pt idx="5">
                  <c:v>85.03</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“三公”经费财政拨款支出结构图（单位：万元）</a:t>
            </a:r>
            <a:endParaRPr lang="en-US" altLang="zh-CN"/>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[1.xls]Sheet1!$B$30:$B$32</c:f>
              <c:strCache>
                <c:ptCount val="3"/>
                <c:pt idx="0">
                  <c:v>因公出国（境）费支出</c:v>
                </c:pt>
                <c:pt idx="1">
                  <c:v>公务用车购置及运行维护费支出</c:v>
                </c:pt>
                <c:pt idx="2">
                  <c:v>公务接待费支出</c:v>
                </c:pt>
              </c:strCache>
            </c:strRef>
          </c:cat>
          <c:val>
            <c:numRef>
              <c:f>[1.xls]Sheet1!$C$30:$C$32</c:f>
              <c:numCache>
                <c:formatCode>General</c:formatCode>
                <c:ptCount val="3"/>
                <c:pt idx="0">
                  <c:v>0</c:v>
                </c:pt>
                <c:pt idx="1">
                  <c:v>0</c:v>
                </c:pt>
                <c:pt idx="2" c:formatCode="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D9DCF-28BC-4106-ADC4-9470C7AC58F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2747</Words>
  <Characters>15661</Characters>
  <Lines>130</Lines>
  <Paragraphs>36</Paragraphs>
  <TotalTime>9</TotalTime>
  <ScaleCrop>false</ScaleCrop>
  <LinksUpToDate>false</LinksUpToDate>
  <CharactersWithSpaces>18372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2019-10-15T02:37:00Z</cp:lastPrinted>
  <dcterms:modified xsi:type="dcterms:W3CDTF">2019-10-25T03:09:35Z</dcterms:modified>
  <dc:title>四川省***</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