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7425"/>
      <w:bookmarkStart w:id="1" w:name="_Toc15377193"/>
      <w:bookmarkStart w:id="2" w:name="_Toc15396597"/>
      <w:bookmarkStart w:id="3" w:name="_Toc15306267"/>
      <w:bookmarkStart w:id="4" w:name="_Toc15378441"/>
      <w:bookmarkStart w:id="5" w:name="_Toc15396475"/>
    </w:p>
    <w:bookmarkEnd w:id="0"/>
    <w:bookmarkEnd w:id="1"/>
    <w:bookmarkEnd w:id="2"/>
    <w:bookmarkEnd w:id="3"/>
    <w:bookmarkEnd w:id="4"/>
    <w:bookmarkEnd w:id="5"/>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方正小标宋简体" w:hAnsi="宋体" w:eastAsia="方正小标宋简体" w:cs="Times New Roman"/>
          <w:color w:val="auto"/>
          <w:kern w:val="2"/>
          <w:sz w:val="44"/>
          <w:szCs w:val="44"/>
          <w:highlight w:val="none"/>
          <w:lang w:val="en-US" w:eastAsia="zh-CN" w:bidi="ar-SA"/>
        </w:rPr>
        <w:t>壤塘县粮食和物资储备中心部门决算公开</w:t>
      </w:r>
    </w:p>
    <w:p>
      <w:pPr>
        <w:widowControl/>
        <w:jc w:val="center"/>
        <w:rPr>
          <w:rFonts w:hint="eastAsia" w:eastAsia="黑体"/>
          <w:color w:val="auto"/>
          <w:sz w:val="48"/>
          <w:szCs w:val="48"/>
          <w:highlight w:val="none"/>
          <w:lang w:val="en-US" w:eastAsia="zh-CN"/>
        </w:rPr>
      </w:pPr>
      <w:r>
        <w:rPr>
          <w:rFonts w:hint="eastAsia" w:eastAsia="黑体"/>
          <w:color w:val="auto"/>
          <w:sz w:val="48"/>
          <w:szCs w:val="48"/>
          <w:highlight w:val="none"/>
          <w:lang w:val="en-US" w:eastAsia="zh-CN"/>
        </w:rPr>
        <w:t xml:space="preserve"> </w:t>
      </w: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hint="eastAsia" w:eastAsia="黑体"/>
          <w:color w:val="auto"/>
          <w:sz w:val="48"/>
          <w:szCs w:val="48"/>
          <w:highlight w:val="none"/>
          <w:lang w:val="en-US" w:eastAsia="zh-CN"/>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27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3"/>
        <w:numPr>
          <w:ilvl w:val="0"/>
          <w:numId w:val="1"/>
        </w:numPr>
        <w:bidi w:val="0"/>
        <w:rPr>
          <w:rFonts w:hint="eastAsia"/>
          <w:lang w:eastAsia="zh-CN"/>
        </w:rPr>
      </w:pPr>
      <w:bookmarkStart w:id="8" w:name="_Toc2205"/>
      <w:bookmarkStart w:id="9" w:name="_Toc22615"/>
      <w:bookmarkStart w:id="10" w:name="_Toc27469"/>
      <w:bookmarkStart w:id="11" w:name="_Toc3021"/>
      <w:bookmarkStart w:id="12" w:name="_Toc15621"/>
      <w:bookmarkStart w:id="13" w:name="_Toc23027"/>
      <w:bookmarkStart w:id="14" w:name="_Toc17633"/>
      <w:bookmarkStart w:id="15" w:name="_Toc32399"/>
      <w:r>
        <w:rPr>
          <w:rFonts w:hint="eastAsia"/>
          <w:lang w:eastAsia="zh-CN"/>
        </w:rPr>
        <w:t>部门职责</w:t>
      </w:r>
      <w:bookmarkEnd w:id="8"/>
      <w:bookmarkEnd w:id="9"/>
      <w:bookmarkEnd w:id="10"/>
      <w:bookmarkEnd w:id="11"/>
      <w:bookmarkEnd w:id="12"/>
      <w:bookmarkEnd w:id="13"/>
      <w:bookmarkEnd w:id="14"/>
      <w:bookmarkEnd w:id="15"/>
    </w:p>
    <w:p>
      <w:pPr>
        <w:spacing w:line="600" w:lineRule="exact"/>
        <w:ind w:firstLine="640" w:firstLineChars="200"/>
        <w:rPr>
          <w:rFonts w:hint="eastAsia" w:ascii="仿宋" w:hAnsi="仿宋" w:eastAsia="仿宋" w:cs="Times New Roman"/>
          <w:color w:val="auto"/>
          <w:sz w:val="32"/>
          <w:szCs w:val="32"/>
          <w:highlight w:val="none"/>
          <w:lang w:val="en-US" w:eastAsia="zh-CN"/>
        </w:rPr>
      </w:pPr>
      <w:bookmarkStart w:id="16" w:name="_Toc15377200"/>
      <w:bookmarkStart w:id="17" w:name="_Toc15396601"/>
      <w:r>
        <w:rPr>
          <w:rFonts w:hint="eastAsia" w:ascii="仿宋" w:hAnsi="仿宋" w:eastAsia="仿宋" w:cs="Times New Roman"/>
          <w:color w:val="auto"/>
          <w:sz w:val="32"/>
          <w:szCs w:val="32"/>
          <w:highlight w:val="none"/>
          <w:lang w:val="en-US"/>
        </w:rPr>
        <w:t>壤塘县粮食和物资储备中心负责省、州、县储备粮管理，指导全县粮食储备体系建设；制定县级储备粮管理的技术规范并监督执行；监督检查州、县储备粮库存数量和质量；研究提出县级储备粮的收购、轮换、抛售计划，并组织实施。管理社会粮食流通，保障军队、城镇居民、救灾和国家重点建设项目的粮食供应。负责全县粮食余缺调剂，组织和协调县内粮油调剂工作和对外经济技术合作交流。协助做好救灾物资储备规划、品种目录和标准、年度购置计划，负责州级救灾物资的收储、轮换和日常管理，根据动用指令按程序组织调拨</w:t>
      </w:r>
      <w:r>
        <w:rPr>
          <w:rFonts w:hint="eastAsia" w:ascii="仿宋" w:hAnsi="仿宋" w:eastAsia="仿宋" w:cs="Times New Roman"/>
          <w:color w:val="auto"/>
          <w:sz w:val="32"/>
          <w:szCs w:val="32"/>
          <w:highlight w:val="none"/>
        </w:rPr>
        <w:t>。</w:t>
      </w:r>
    </w:p>
    <w:p>
      <w:pPr>
        <w:pStyle w:val="3"/>
        <w:bidi w:val="0"/>
      </w:pPr>
      <w:bookmarkStart w:id="18" w:name="_Toc1116"/>
      <w:bookmarkStart w:id="19" w:name="_Toc5923"/>
      <w:bookmarkStart w:id="20" w:name="_Toc22687"/>
      <w:bookmarkStart w:id="21" w:name="_Toc12504"/>
      <w:bookmarkStart w:id="22" w:name="_Toc17903"/>
      <w:bookmarkStart w:id="23" w:name="_Toc10979"/>
      <w:bookmarkStart w:id="24" w:name="_Toc31700"/>
      <w:bookmarkStart w:id="25" w:name="_Toc13639"/>
      <w:bookmarkStart w:id="26" w:name="_Toc9518"/>
      <w:r>
        <w:rPr>
          <w:rFonts w:hint="eastAsia"/>
        </w:rPr>
        <w:t>二、机构设置</w:t>
      </w:r>
      <w:bookmarkEnd w:id="16"/>
      <w:bookmarkEnd w:id="17"/>
      <w:bookmarkEnd w:id="18"/>
      <w:bookmarkEnd w:id="19"/>
      <w:bookmarkEnd w:id="20"/>
      <w:bookmarkEnd w:id="21"/>
      <w:bookmarkEnd w:id="22"/>
      <w:bookmarkEnd w:id="23"/>
      <w:bookmarkEnd w:id="24"/>
      <w:bookmarkEnd w:id="25"/>
      <w:bookmarkEnd w:id="26"/>
    </w:p>
    <w:p>
      <w:pPr>
        <w:widowControl/>
        <w:ind w:firstLine="640" w:firstLineChars="200"/>
        <w:jc w:val="left"/>
        <w:rPr>
          <w:rFonts w:ascii="Times New Roman" w:hAnsi="Times New Roman" w:eastAsia="仿宋"/>
          <w:color w:val="auto"/>
          <w:kern w:val="0"/>
          <w:sz w:val="32"/>
          <w:szCs w:val="32"/>
          <w:highlight w:val="none"/>
        </w:rPr>
      </w:pPr>
      <w:r>
        <w:rPr>
          <w:rFonts w:hint="eastAsia" w:ascii="仿宋" w:hAnsi="仿宋" w:eastAsia="仿宋" w:cs="Times New Roman"/>
          <w:color w:val="auto"/>
          <w:sz w:val="32"/>
          <w:szCs w:val="32"/>
          <w:highlight w:val="none"/>
          <w:lang w:val="en-US"/>
        </w:rPr>
        <w:t>壤塘县</w:t>
      </w:r>
      <w:r>
        <w:rPr>
          <w:rFonts w:hint="eastAsia" w:ascii="仿宋" w:hAnsi="仿宋" w:eastAsia="仿宋" w:cs="Times New Roman"/>
          <w:color w:val="auto"/>
          <w:sz w:val="32"/>
          <w:szCs w:val="32"/>
          <w:highlight w:val="none"/>
          <w:lang w:val="en-US" w:eastAsia="zh-CN"/>
        </w:rPr>
        <w:t>粮食和物资储备中心</w:t>
      </w:r>
      <w:r>
        <w:rPr>
          <w:rFonts w:hint="eastAsia" w:ascii="仿宋" w:hAnsi="仿宋" w:eastAsia="仿宋" w:cs="Times New Roman"/>
          <w:color w:val="auto"/>
          <w:sz w:val="32"/>
          <w:szCs w:val="32"/>
          <w:highlight w:val="none"/>
          <w:lang w:val="en-US"/>
        </w:rPr>
        <w:t>无下属二级单位，本单位</w:t>
      </w:r>
      <w:r>
        <w:rPr>
          <w:rFonts w:hint="eastAsia" w:ascii="仿宋" w:hAnsi="仿宋" w:eastAsia="仿宋" w:cs="Times New Roman"/>
          <w:color w:val="auto"/>
          <w:sz w:val="32"/>
          <w:szCs w:val="32"/>
          <w:highlight w:val="none"/>
          <w:lang w:val="zh-CN"/>
        </w:rPr>
        <w:t>由办公室、业务股及财会统计股组成。</w:t>
      </w:r>
      <w:r>
        <w:rPr>
          <w:rFonts w:ascii="仿宋" w:hAnsi="仿宋"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27" w:name="_Toc15377204"/>
      <w:bookmarkStart w:id="28"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7"/>
      <w:bookmarkEnd w:id="28"/>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9" w:name="_Toc15396603"/>
      <w:bookmarkStart w:id="3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9"/>
      <w:bookmarkEnd w:id="3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392.43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664.59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62.87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2025年项目减少，收入支出也相对减少。</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156845</wp:posOffset>
            </wp:positionV>
            <wp:extent cx="4826000" cy="2743200"/>
            <wp:effectExtent l="4445" t="4445" r="8255" b="14605"/>
            <wp:wrapNone/>
            <wp:docPr id="2" name="图表 1"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1" w:name="_Toc15377206"/>
      <w:bookmarkStart w:id="32" w:name="_Toc15396604"/>
      <w:r>
        <w:rPr>
          <w:rFonts w:hint="eastAsia" w:ascii="Times New Roman" w:hAnsi="Times New Roman" w:eastAsia="黑体"/>
          <w:color w:val="auto"/>
          <w:sz w:val="32"/>
          <w:szCs w:val="32"/>
          <w:highlight w:val="none"/>
          <w:lang w:eastAsia="zh-CN"/>
        </w:rPr>
        <w:t>二、收入决算情况说明</w:t>
      </w:r>
      <w:bookmarkEnd w:id="31"/>
      <w:bookmarkEnd w:id="32"/>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392.43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392.43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黑体"/>
          <w:color w:val="auto"/>
          <w:sz w:val="32"/>
          <w:szCs w:val="32"/>
          <w:highlight w:val="none"/>
          <w:lang w:eastAsia="zh-CN"/>
        </w:rPr>
      </w:pPr>
      <w:bookmarkStart w:id="33" w:name="_Toc15396605"/>
      <w:bookmarkStart w:id="34" w:name="_Toc15377207"/>
      <w:r>
        <w:drawing>
          <wp:anchor distT="0" distB="0" distL="114300" distR="114300" simplePos="0" relativeHeight="251660288" behindDoc="0" locked="0" layoutInCell="1" allowOverlap="1">
            <wp:simplePos x="0" y="0"/>
            <wp:positionH relativeFrom="column">
              <wp:posOffset>347345</wp:posOffset>
            </wp:positionH>
            <wp:positionV relativeFrom="paragraph">
              <wp:posOffset>374015</wp:posOffset>
            </wp:positionV>
            <wp:extent cx="4826000" cy="2743200"/>
            <wp:effectExtent l="4445" t="4445" r="8255" b="14605"/>
            <wp:wrapNone/>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3"/>
      <w:bookmarkEnd w:id="3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392.43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232.07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59.13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160.36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40.87</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 xml:space="preserve">   </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61312" behindDoc="0" locked="0" layoutInCell="1" allowOverlap="1">
            <wp:simplePos x="0" y="0"/>
            <wp:positionH relativeFrom="column">
              <wp:posOffset>242570</wp:posOffset>
            </wp:positionH>
            <wp:positionV relativeFrom="paragraph">
              <wp:posOffset>13970</wp:posOffset>
            </wp:positionV>
            <wp:extent cx="4826000" cy="2743200"/>
            <wp:effectExtent l="4445" t="4445" r="8255" b="14605"/>
            <wp:wrapNone/>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spacing w:line="600" w:lineRule="exact"/>
        <w:ind w:firstLine="640" w:firstLineChars="200"/>
        <w:outlineLvl w:val="1"/>
        <w:rPr>
          <w:rStyle w:val="30"/>
          <w:rFonts w:ascii="Times New Roman" w:hAnsi="Times New Roman" w:eastAsia="黑体"/>
          <w:b w:val="0"/>
          <w:color w:val="auto"/>
          <w:highlight w:val="none"/>
        </w:rPr>
      </w:pPr>
      <w:bookmarkStart w:id="35" w:name="_Toc15377208"/>
      <w:bookmarkStart w:id="36"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5"/>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392.43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664.59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62.87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2025年项目减少，收入支出也相对减少。</w:t>
      </w:r>
    </w:p>
    <w:p>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372745</wp:posOffset>
            </wp:positionH>
            <wp:positionV relativeFrom="paragraph">
              <wp:posOffset>128270</wp:posOffset>
            </wp:positionV>
            <wp:extent cx="4826000" cy="2743200"/>
            <wp:effectExtent l="4445" t="4445" r="8255" b="14605"/>
            <wp:wrapNone/>
            <wp:docPr id="8" name="图表 5"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0"/>
          <w:rFonts w:ascii="Times New Roman" w:hAnsi="Times New Roman" w:eastAsia="黑体"/>
          <w:b w:val="0"/>
          <w:color w:val="auto"/>
          <w:highlight w:val="none"/>
        </w:rPr>
      </w:pPr>
      <w:bookmarkStart w:id="37" w:name="_Toc15377209"/>
      <w:bookmarkStart w:id="3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7"/>
      <w:bookmarkEnd w:id="3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392.43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664.59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62.87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2025年项目减少，收入支出也相对减少。</w:t>
      </w: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429895</wp:posOffset>
            </wp:positionH>
            <wp:positionV relativeFrom="paragraph">
              <wp:posOffset>61595</wp:posOffset>
            </wp:positionV>
            <wp:extent cx="4826000" cy="2371725"/>
            <wp:effectExtent l="4445" t="4445" r="8255" b="5080"/>
            <wp:wrapNone/>
            <wp:docPr id="5" name="图表 4"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0"/>
    </w:p>
    <w:p>
      <w:pPr>
        <w:spacing w:line="600" w:lineRule="exact"/>
        <w:ind w:firstLine="640"/>
        <w:rPr>
          <w:rFonts w:hint="default" w:ascii="Times New Roman" w:hAnsi="Times New Roman" w:eastAsia="仿宋"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392.43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32.35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3.09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15.23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3.88</w:t>
      </w:r>
      <w:r>
        <w:rPr>
          <w:rFonts w:hint="eastAsia" w:ascii="Times New Roman" w:hAnsi="Times New Roman" w:eastAsia="仿宋_GB2312" w:cs="仿宋_GB2312"/>
          <w:color w:val="auto"/>
          <w:kern w:val="2"/>
          <w:sz w:val="32"/>
          <w:szCs w:val="32"/>
          <w:highlight w:val="none"/>
          <w:lang w:val="en-US" w:eastAsia="zh-CN" w:bidi="ar-SA"/>
        </w:rPr>
        <w:t>%；粮油物资储备支出</w:t>
      </w:r>
      <w:r>
        <w:rPr>
          <w:rFonts w:hint="eastAsia" w:ascii="仿宋" w:hAnsi="仿宋" w:eastAsia="仿宋"/>
          <w:color w:val="auto"/>
          <w:sz w:val="32"/>
          <w:szCs w:val="32"/>
          <w:highlight w:val="none"/>
          <w:lang w:val="en-US" w:eastAsia="zh-CN"/>
        </w:rPr>
        <w:t>322.87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82.27</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；农林水支出</w:t>
      </w:r>
      <w:r>
        <w:rPr>
          <w:rFonts w:hint="eastAsia" w:ascii="仿宋" w:hAnsi="仿宋" w:eastAsia="仿宋"/>
          <w:color w:val="auto"/>
          <w:sz w:val="32"/>
          <w:szCs w:val="32"/>
          <w:highlight w:val="none"/>
          <w:lang w:val="en-US" w:eastAsia="zh-CN"/>
        </w:rPr>
        <w:t>9.9万元，占2.52%。</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363220</wp:posOffset>
            </wp:positionH>
            <wp:positionV relativeFrom="paragraph">
              <wp:posOffset>13970</wp:posOffset>
            </wp:positionV>
            <wp:extent cx="4826000" cy="2743200"/>
            <wp:effectExtent l="4445" t="4445" r="8255" b="14605"/>
            <wp:wrapNone/>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78460"/>
      <w:bookmarkStart w:id="43" w:name="_Toc15377444"/>
      <w:bookmarkStart w:id="44"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392.43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2"/>
      <w:bookmarkEnd w:id="43"/>
      <w:bookmarkEnd w:id="44"/>
    </w:p>
    <w:p>
      <w:pPr>
        <w:pStyle w:val="27"/>
        <w:ind w:firstLine="562" w:firstLineChars="200"/>
        <w:outlineLvl w:val="9"/>
        <w:rPr>
          <w:rStyle w:val="18"/>
          <w:rFonts w:hint="eastAsia" w:ascii="仿宋" w:hAnsi="仿宋" w:eastAsia="仿宋"/>
          <w:b w:val="0"/>
          <w:bCs w:val="0"/>
          <w:sz w:val="32"/>
          <w:szCs w:val="32"/>
        </w:rPr>
      </w:pPr>
      <w:r>
        <w:rPr>
          <w:rStyle w:val="18"/>
          <w:rFonts w:hint="eastAsia" w:ascii="仿宋" w:hAnsi="仿宋" w:eastAsia="仿宋"/>
          <w:bCs/>
          <w:sz w:val="28"/>
          <w:szCs w:val="28"/>
        </w:rPr>
        <w:t>1、</w:t>
      </w:r>
      <w:r>
        <w:rPr>
          <w:rStyle w:val="18"/>
          <w:rFonts w:hint="eastAsia" w:ascii="仿宋" w:hAnsi="仿宋" w:eastAsia="仿宋"/>
          <w:bCs/>
          <w:sz w:val="32"/>
          <w:szCs w:val="32"/>
        </w:rPr>
        <w:t>社会保障和就业支出（</w:t>
      </w:r>
      <w:r>
        <w:rPr>
          <w:rStyle w:val="18"/>
          <w:rFonts w:hint="eastAsia" w:hAnsi="仿宋"/>
          <w:bCs/>
          <w:sz w:val="32"/>
          <w:szCs w:val="32"/>
          <w:lang w:val="en-US" w:eastAsia="zh-CN"/>
        </w:rPr>
        <w:t>类</w:t>
      </w:r>
      <w:r>
        <w:rPr>
          <w:rStyle w:val="18"/>
          <w:rFonts w:hint="eastAsia" w:ascii="仿宋" w:hAnsi="仿宋" w:eastAsia="仿宋"/>
          <w:bCs/>
          <w:sz w:val="32"/>
          <w:szCs w:val="32"/>
        </w:rPr>
        <w:t>）行政事业单位养老支出（</w:t>
      </w:r>
      <w:r>
        <w:rPr>
          <w:rStyle w:val="18"/>
          <w:rFonts w:hint="eastAsia" w:hAnsi="仿宋"/>
          <w:bCs/>
          <w:sz w:val="32"/>
          <w:szCs w:val="32"/>
          <w:lang w:val="en-US" w:eastAsia="zh-CN"/>
        </w:rPr>
        <w:t>款</w:t>
      </w:r>
      <w:r>
        <w:rPr>
          <w:rStyle w:val="18"/>
          <w:rFonts w:hint="eastAsia" w:ascii="仿宋" w:hAnsi="仿宋" w:eastAsia="仿宋"/>
          <w:bCs/>
          <w:sz w:val="32"/>
          <w:szCs w:val="32"/>
        </w:rPr>
        <w:t>）机关事业单位基本养老保险缴费支出（</w:t>
      </w:r>
      <w:r>
        <w:rPr>
          <w:rStyle w:val="18"/>
          <w:rFonts w:hint="eastAsia" w:hAnsi="仿宋"/>
          <w:bCs/>
          <w:sz w:val="32"/>
          <w:szCs w:val="32"/>
          <w:lang w:val="en-US" w:eastAsia="zh-CN"/>
        </w:rPr>
        <w:t>项</w:t>
      </w:r>
      <w:r>
        <w:rPr>
          <w:rStyle w:val="18"/>
          <w:rFonts w:hint="eastAsia" w:ascii="仿宋" w:hAnsi="仿宋" w:eastAsia="仿宋"/>
          <w:bCs/>
          <w:sz w:val="32"/>
          <w:szCs w:val="32"/>
        </w:rPr>
        <w:t>）</w:t>
      </w:r>
      <w:r>
        <w:rPr>
          <w:rStyle w:val="18"/>
          <w:rFonts w:hint="eastAsia" w:ascii="仿宋" w:hAnsi="仿宋" w:eastAsia="仿宋"/>
          <w:bCs/>
          <w:sz w:val="28"/>
          <w:szCs w:val="28"/>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21.71</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Cs/>
          <w:sz w:val="32"/>
          <w:szCs w:val="32"/>
        </w:rPr>
      </w:pPr>
      <w:r>
        <w:rPr>
          <w:rStyle w:val="18"/>
          <w:rFonts w:hint="eastAsia" w:ascii="仿宋" w:hAnsi="仿宋" w:eastAsia="仿宋"/>
          <w:bCs/>
          <w:sz w:val="32"/>
          <w:szCs w:val="32"/>
        </w:rPr>
        <w:t>2、社会保障和就业支出（</w:t>
      </w:r>
      <w:r>
        <w:rPr>
          <w:rStyle w:val="18"/>
          <w:rFonts w:hint="eastAsia" w:hAnsi="仿宋"/>
          <w:bCs/>
          <w:sz w:val="32"/>
          <w:szCs w:val="32"/>
          <w:lang w:val="en-US" w:eastAsia="zh-CN"/>
        </w:rPr>
        <w:t>类</w:t>
      </w:r>
      <w:r>
        <w:rPr>
          <w:rStyle w:val="18"/>
          <w:rFonts w:hint="eastAsia" w:ascii="仿宋" w:hAnsi="仿宋" w:eastAsia="仿宋"/>
          <w:bCs/>
          <w:sz w:val="32"/>
          <w:szCs w:val="32"/>
        </w:rPr>
        <w:t>）行政事业单位养老支出（</w:t>
      </w:r>
      <w:r>
        <w:rPr>
          <w:rStyle w:val="18"/>
          <w:rFonts w:hint="eastAsia" w:hAnsi="仿宋"/>
          <w:bCs/>
          <w:sz w:val="32"/>
          <w:szCs w:val="32"/>
          <w:lang w:val="en-US" w:eastAsia="zh-CN"/>
        </w:rPr>
        <w:t>款</w:t>
      </w:r>
      <w:r>
        <w:rPr>
          <w:rStyle w:val="18"/>
          <w:rFonts w:hint="eastAsia" w:ascii="仿宋" w:hAnsi="仿宋" w:eastAsia="仿宋"/>
          <w:bCs/>
          <w:sz w:val="32"/>
          <w:szCs w:val="32"/>
        </w:rPr>
        <w:t>）机关事业单位职业年金缴费支出（</w:t>
      </w:r>
      <w:r>
        <w:rPr>
          <w:rStyle w:val="18"/>
          <w:rFonts w:hint="eastAsia" w:hAnsi="仿宋"/>
          <w:bCs/>
          <w:sz w:val="32"/>
          <w:szCs w:val="32"/>
          <w:lang w:val="en-US" w:eastAsia="zh-CN"/>
        </w:rPr>
        <w:t>项</w:t>
      </w:r>
      <w:r>
        <w:rPr>
          <w:rStyle w:val="18"/>
          <w:rFonts w:hint="eastAsia" w:ascii="仿宋" w:hAnsi="仿宋" w:eastAsia="仿宋"/>
          <w:bCs/>
          <w:sz w:val="32"/>
          <w:szCs w:val="32"/>
        </w:rPr>
        <w:t>）</w:t>
      </w:r>
      <w:r>
        <w:rPr>
          <w:rStyle w:val="18"/>
          <w:rFonts w:hint="eastAsia" w:ascii="仿宋" w:hAnsi="仿宋" w:eastAsia="仿宋"/>
          <w:bCs/>
          <w:sz w:val="28"/>
          <w:szCs w:val="28"/>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10.64</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Cs/>
          <w:sz w:val="32"/>
          <w:szCs w:val="32"/>
        </w:rPr>
      </w:pPr>
      <w:r>
        <w:rPr>
          <w:rStyle w:val="18"/>
          <w:rFonts w:hint="eastAsia" w:ascii="仿宋" w:hAnsi="仿宋" w:eastAsia="仿宋"/>
          <w:bCs/>
          <w:sz w:val="32"/>
          <w:szCs w:val="32"/>
        </w:rPr>
        <w:t>3、卫生健康支出（</w:t>
      </w:r>
      <w:r>
        <w:rPr>
          <w:rStyle w:val="18"/>
          <w:rFonts w:hint="eastAsia" w:hAnsi="仿宋"/>
          <w:bCs/>
          <w:sz w:val="32"/>
          <w:szCs w:val="32"/>
          <w:lang w:val="en-US" w:eastAsia="zh-CN"/>
        </w:rPr>
        <w:t>类</w:t>
      </w:r>
      <w:r>
        <w:rPr>
          <w:rStyle w:val="18"/>
          <w:rFonts w:hint="eastAsia" w:ascii="仿宋" w:hAnsi="仿宋" w:eastAsia="仿宋"/>
          <w:bCs/>
          <w:sz w:val="32"/>
          <w:szCs w:val="32"/>
        </w:rPr>
        <w:t>）行政事业单位医疗（</w:t>
      </w:r>
      <w:r>
        <w:rPr>
          <w:rStyle w:val="18"/>
          <w:rFonts w:hint="eastAsia" w:hAnsi="仿宋"/>
          <w:bCs/>
          <w:sz w:val="32"/>
          <w:szCs w:val="32"/>
          <w:lang w:val="en-US" w:eastAsia="zh-CN"/>
        </w:rPr>
        <w:t>款</w:t>
      </w:r>
      <w:r>
        <w:rPr>
          <w:rStyle w:val="18"/>
          <w:rFonts w:hint="eastAsia" w:ascii="仿宋" w:hAnsi="仿宋" w:eastAsia="仿宋"/>
          <w:bCs/>
          <w:sz w:val="32"/>
          <w:szCs w:val="32"/>
        </w:rPr>
        <w:t>）行政单位医疗（</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8.65</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Cs/>
          <w:sz w:val="32"/>
          <w:szCs w:val="32"/>
        </w:rPr>
      </w:pPr>
      <w:r>
        <w:rPr>
          <w:rStyle w:val="18"/>
          <w:rFonts w:hint="eastAsia" w:ascii="仿宋" w:hAnsi="仿宋" w:eastAsia="仿宋"/>
          <w:bCs/>
          <w:sz w:val="32"/>
          <w:szCs w:val="32"/>
        </w:rPr>
        <w:t>4、卫生健康支出（</w:t>
      </w:r>
      <w:r>
        <w:rPr>
          <w:rStyle w:val="18"/>
          <w:rFonts w:hint="eastAsia" w:hAnsi="仿宋"/>
          <w:bCs/>
          <w:sz w:val="32"/>
          <w:szCs w:val="32"/>
          <w:lang w:val="en-US" w:eastAsia="zh-CN"/>
        </w:rPr>
        <w:t>类</w:t>
      </w:r>
      <w:r>
        <w:rPr>
          <w:rStyle w:val="18"/>
          <w:rFonts w:hint="eastAsia" w:ascii="仿宋" w:hAnsi="仿宋" w:eastAsia="仿宋"/>
          <w:bCs/>
          <w:sz w:val="32"/>
          <w:szCs w:val="32"/>
        </w:rPr>
        <w:t>）行政事业单位医疗（</w:t>
      </w:r>
      <w:r>
        <w:rPr>
          <w:rStyle w:val="18"/>
          <w:rFonts w:hint="eastAsia" w:hAnsi="仿宋"/>
          <w:bCs/>
          <w:sz w:val="32"/>
          <w:szCs w:val="32"/>
          <w:lang w:val="en-US" w:eastAsia="zh-CN"/>
        </w:rPr>
        <w:t>款</w:t>
      </w:r>
      <w:r>
        <w:rPr>
          <w:rStyle w:val="18"/>
          <w:rFonts w:hint="eastAsia" w:ascii="仿宋" w:hAnsi="仿宋" w:eastAsia="仿宋"/>
          <w:bCs/>
          <w:sz w:val="32"/>
          <w:szCs w:val="32"/>
        </w:rPr>
        <w:t>）公务员医疗补助（</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3.44</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Cs/>
          <w:sz w:val="32"/>
          <w:szCs w:val="32"/>
          <w:lang w:val="en-US" w:eastAsia="zh-CN"/>
        </w:rPr>
      </w:pPr>
      <w:r>
        <w:rPr>
          <w:rStyle w:val="18"/>
          <w:rFonts w:hint="eastAsia" w:ascii="仿宋" w:hAnsi="仿宋" w:eastAsia="仿宋"/>
          <w:bCs/>
          <w:sz w:val="32"/>
          <w:szCs w:val="32"/>
        </w:rPr>
        <w:t>5、农林水支出（</w:t>
      </w:r>
      <w:r>
        <w:rPr>
          <w:rStyle w:val="18"/>
          <w:rFonts w:hint="eastAsia" w:hAnsi="仿宋"/>
          <w:bCs/>
          <w:sz w:val="32"/>
          <w:szCs w:val="32"/>
          <w:lang w:val="en-US" w:eastAsia="zh-CN"/>
        </w:rPr>
        <w:t>类</w:t>
      </w:r>
      <w:r>
        <w:rPr>
          <w:rStyle w:val="18"/>
          <w:rFonts w:hint="eastAsia" w:ascii="仿宋" w:hAnsi="仿宋" w:eastAsia="仿宋"/>
          <w:bCs/>
          <w:sz w:val="32"/>
          <w:szCs w:val="32"/>
        </w:rPr>
        <w:t>）巩固脱贫衔接乡村振兴（</w:t>
      </w:r>
      <w:r>
        <w:rPr>
          <w:rStyle w:val="18"/>
          <w:rFonts w:hint="eastAsia" w:hAnsi="仿宋"/>
          <w:bCs/>
          <w:sz w:val="32"/>
          <w:szCs w:val="32"/>
          <w:lang w:val="en-US" w:eastAsia="zh-CN"/>
        </w:rPr>
        <w:t>款</w:t>
      </w:r>
      <w:r>
        <w:rPr>
          <w:rStyle w:val="18"/>
          <w:rFonts w:hint="eastAsia" w:ascii="仿宋" w:hAnsi="仿宋" w:eastAsia="仿宋"/>
          <w:bCs/>
          <w:sz w:val="32"/>
          <w:szCs w:val="32"/>
        </w:rPr>
        <w:t>）生产发展（</w:t>
      </w:r>
      <w:r>
        <w:rPr>
          <w:rStyle w:val="18"/>
          <w:rFonts w:hint="eastAsia" w:hAnsi="仿宋"/>
          <w:bCs/>
          <w:sz w:val="32"/>
          <w:szCs w:val="32"/>
          <w:lang w:val="en-US" w:eastAsia="zh-CN"/>
        </w:rPr>
        <w:t>项</w:t>
      </w:r>
      <w:r>
        <w:rPr>
          <w:rStyle w:val="18"/>
          <w:rFonts w:hint="eastAsia" w:ascii="仿宋" w:hAnsi="仿宋" w:eastAsia="仿宋"/>
          <w:bCs/>
          <w:sz w:val="32"/>
          <w:szCs w:val="32"/>
        </w:rPr>
        <w:t>）:</w:t>
      </w:r>
      <w:r>
        <w:rPr>
          <w:rStyle w:val="18"/>
          <w:rFonts w:hint="eastAsia" w:ascii="仿宋" w:hAnsi="仿宋" w:eastAsia="仿宋"/>
          <w:bCs/>
          <w:sz w:val="36"/>
          <w:szCs w:val="36"/>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9.9</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 w:val="0"/>
          <w:bCs w:val="0"/>
          <w:sz w:val="32"/>
          <w:szCs w:val="32"/>
        </w:rPr>
      </w:pPr>
      <w:r>
        <w:rPr>
          <w:rStyle w:val="18"/>
          <w:rFonts w:hint="eastAsia" w:ascii="仿宋" w:hAnsi="仿宋" w:eastAsia="仿宋"/>
          <w:bCs/>
          <w:sz w:val="32"/>
          <w:szCs w:val="32"/>
        </w:rPr>
        <w:t>6、住房保障支出（</w:t>
      </w:r>
      <w:r>
        <w:rPr>
          <w:rStyle w:val="18"/>
          <w:rFonts w:hint="eastAsia" w:hAnsi="仿宋"/>
          <w:bCs/>
          <w:sz w:val="32"/>
          <w:szCs w:val="32"/>
          <w:lang w:val="en-US" w:eastAsia="zh-CN"/>
        </w:rPr>
        <w:t>类</w:t>
      </w:r>
      <w:r>
        <w:rPr>
          <w:rStyle w:val="18"/>
          <w:rFonts w:hint="eastAsia" w:ascii="仿宋" w:hAnsi="仿宋" w:eastAsia="仿宋"/>
          <w:bCs/>
          <w:sz w:val="32"/>
          <w:szCs w:val="32"/>
        </w:rPr>
        <w:t>）住房改革支出（</w:t>
      </w:r>
      <w:r>
        <w:rPr>
          <w:rStyle w:val="18"/>
          <w:rFonts w:hint="eastAsia" w:hAnsi="仿宋"/>
          <w:bCs/>
          <w:sz w:val="32"/>
          <w:szCs w:val="32"/>
          <w:lang w:val="en-US" w:eastAsia="zh-CN"/>
        </w:rPr>
        <w:t>款</w:t>
      </w:r>
      <w:r>
        <w:rPr>
          <w:rStyle w:val="18"/>
          <w:rFonts w:hint="eastAsia" w:ascii="仿宋" w:hAnsi="仿宋" w:eastAsia="仿宋"/>
          <w:bCs/>
          <w:sz w:val="32"/>
          <w:szCs w:val="32"/>
        </w:rPr>
        <w:t>）住房公积金（</w:t>
      </w:r>
      <w:r>
        <w:rPr>
          <w:rStyle w:val="18"/>
          <w:rFonts w:hint="eastAsia" w:hAnsi="仿宋"/>
          <w:bCs/>
          <w:sz w:val="32"/>
          <w:szCs w:val="32"/>
          <w:lang w:val="en-US" w:eastAsia="zh-CN"/>
        </w:rPr>
        <w:t>项</w:t>
      </w:r>
      <w:r>
        <w:rPr>
          <w:rStyle w:val="18"/>
          <w:rFonts w:hint="eastAsia" w:ascii="仿宋" w:hAnsi="仿宋" w:eastAsia="仿宋"/>
          <w:bCs/>
          <w:sz w:val="32"/>
          <w:szCs w:val="32"/>
        </w:rPr>
        <w:t>）</w:t>
      </w:r>
      <w:r>
        <w:rPr>
          <w:rStyle w:val="18"/>
          <w:rFonts w:hint="eastAsia" w:ascii="仿宋" w:hAnsi="仿宋" w:eastAsia="仿宋"/>
          <w:bCs/>
          <w:sz w:val="28"/>
          <w:szCs w:val="28"/>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15.23</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Cs/>
          <w:sz w:val="32"/>
          <w:szCs w:val="32"/>
        </w:rPr>
      </w:pPr>
      <w:r>
        <w:rPr>
          <w:rStyle w:val="18"/>
          <w:rFonts w:hint="eastAsia" w:hAnsi="仿宋"/>
          <w:bCs/>
          <w:sz w:val="32"/>
          <w:szCs w:val="32"/>
          <w:lang w:val="en-US" w:eastAsia="zh-CN"/>
        </w:rPr>
        <w:t>7</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）粮油物资事务（</w:t>
      </w:r>
      <w:r>
        <w:rPr>
          <w:rStyle w:val="18"/>
          <w:rFonts w:hint="eastAsia" w:hAnsi="仿宋"/>
          <w:bCs/>
          <w:sz w:val="32"/>
          <w:szCs w:val="32"/>
          <w:lang w:val="en-US" w:eastAsia="zh-CN"/>
        </w:rPr>
        <w:t>款</w:t>
      </w:r>
      <w:r>
        <w:rPr>
          <w:rStyle w:val="18"/>
          <w:rFonts w:hint="eastAsia" w:ascii="仿宋" w:hAnsi="仿宋" w:eastAsia="仿宋"/>
          <w:bCs/>
          <w:sz w:val="32"/>
          <w:szCs w:val="32"/>
        </w:rPr>
        <w:t>）行政运行（</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172.41</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Cs/>
          <w:sz w:val="32"/>
          <w:szCs w:val="32"/>
        </w:rPr>
      </w:pPr>
      <w:r>
        <w:rPr>
          <w:rStyle w:val="18"/>
          <w:rFonts w:hint="eastAsia" w:hAnsi="仿宋"/>
          <w:bCs/>
          <w:sz w:val="32"/>
          <w:szCs w:val="32"/>
          <w:lang w:val="en-US" w:eastAsia="zh-CN"/>
        </w:rPr>
        <w:t>9</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）粮油物资事务（</w:t>
      </w:r>
      <w:r>
        <w:rPr>
          <w:rStyle w:val="18"/>
          <w:rFonts w:hint="eastAsia" w:hAnsi="仿宋"/>
          <w:bCs/>
          <w:sz w:val="32"/>
          <w:szCs w:val="32"/>
          <w:lang w:val="en-US" w:eastAsia="zh-CN"/>
        </w:rPr>
        <w:t>款</w:t>
      </w:r>
      <w:r>
        <w:rPr>
          <w:rStyle w:val="18"/>
          <w:rFonts w:hint="eastAsia" w:ascii="仿宋" w:hAnsi="仿宋" w:eastAsia="仿宋"/>
          <w:bCs/>
          <w:sz w:val="32"/>
          <w:szCs w:val="32"/>
        </w:rPr>
        <w:t>）一般行政管理事务（</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1</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 w:val="0"/>
          <w:bCs w:val="0"/>
          <w:sz w:val="32"/>
          <w:szCs w:val="32"/>
        </w:rPr>
      </w:pPr>
      <w:r>
        <w:rPr>
          <w:rStyle w:val="18"/>
          <w:rFonts w:hint="eastAsia" w:hAnsi="仿宋"/>
          <w:bCs/>
          <w:sz w:val="32"/>
          <w:szCs w:val="32"/>
          <w:lang w:val="en-US" w:eastAsia="zh-CN"/>
        </w:rPr>
        <w:t>10</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）粮油物资事务（</w:t>
      </w:r>
      <w:r>
        <w:rPr>
          <w:rStyle w:val="18"/>
          <w:rFonts w:hint="eastAsia" w:hAnsi="仿宋"/>
          <w:bCs/>
          <w:sz w:val="32"/>
          <w:szCs w:val="32"/>
          <w:lang w:val="en-US" w:eastAsia="zh-CN"/>
        </w:rPr>
        <w:t>款</w:t>
      </w:r>
      <w:r>
        <w:rPr>
          <w:rStyle w:val="18"/>
          <w:rFonts w:hint="eastAsia" w:ascii="仿宋" w:hAnsi="仿宋" w:eastAsia="仿宋"/>
          <w:bCs/>
          <w:sz w:val="32"/>
          <w:szCs w:val="32"/>
        </w:rPr>
        <w:t>）</w:t>
      </w:r>
      <w:r>
        <w:rPr>
          <w:rStyle w:val="18"/>
          <w:rFonts w:hint="eastAsia" w:hAnsi="仿宋"/>
          <w:bCs/>
          <w:sz w:val="32"/>
          <w:szCs w:val="32"/>
          <w:lang w:eastAsia="zh-CN"/>
        </w:rPr>
        <w:t>专项业务活动</w:t>
      </w:r>
      <w:r>
        <w:rPr>
          <w:rStyle w:val="18"/>
          <w:rFonts w:hint="eastAsia" w:ascii="仿宋" w:hAnsi="仿宋" w:eastAsia="仿宋"/>
          <w:bCs/>
          <w:sz w:val="32"/>
          <w:szCs w:val="32"/>
        </w:rPr>
        <w:t>（</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0.3</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 w:val="0"/>
          <w:bCs w:val="0"/>
          <w:sz w:val="32"/>
          <w:szCs w:val="32"/>
        </w:rPr>
      </w:pPr>
      <w:r>
        <w:rPr>
          <w:rStyle w:val="18"/>
          <w:rFonts w:hint="eastAsia" w:hAnsi="仿宋"/>
          <w:bCs/>
          <w:sz w:val="32"/>
          <w:szCs w:val="32"/>
          <w:lang w:val="en-US" w:eastAsia="zh-CN"/>
        </w:rPr>
        <w:t>11</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）粮油物资事务（</w:t>
      </w:r>
      <w:r>
        <w:rPr>
          <w:rStyle w:val="18"/>
          <w:rFonts w:hint="eastAsia" w:hAnsi="仿宋"/>
          <w:bCs/>
          <w:sz w:val="32"/>
          <w:szCs w:val="32"/>
          <w:lang w:val="en-US" w:eastAsia="zh-CN"/>
        </w:rPr>
        <w:t>款</w:t>
      </w:r>
      <w:r>
        <w:rPr>
          <w:rStyle w:val="18"/>
          <w:rFonts w:hint="eastAsia" w:ascii="仿宋" w:hAnsi="仿宋" w:eastAsia="仿宋"/>
          <w:bCs/>
          <w:sz w:val="32"/>
          <w:szCs w:val="32"/>
        </w:rPr>
        <w:t>）设施建设（</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17.66</w:t>
      </w:r>
      <w:r>
        <w:rPr>
          <w:rStyle w:val="18"/>
          <w:rFonts w:hint="eastAsia" w:ascii="仿宋" w:hAnsi="仿宋" w:eastAsia="仿宋"/>
          <w:b w:val="0"/>
          <w:bCs w:val="0"/>
          <w:sz w:val="32"/>
          <w:szCs w:val="32"/>
        </w:rPr>
        <w:t>万元，完成预算100%，与预算数持平。</w:t>
      </w:r>
    </w:p>
    <w:p>
      <w:pPr>
        <w:pStyle w:val="27"/>
        <w:ind w:firstLine="642" w:firstLineChars="200"/>
        <w:outlineLvl w:val="9"/>
        <w:rPr>
          <w:rFonts w:hint="default"/>
          <w:b/>
          <w:bCs w:val="0"/>
          <w:sz w:val="32"/>
          <w:szCs w:val="32"/>
          <w:lang w:val="en-US" w:eastAsia="zh-CN"/>
        </w:rPr>
      </w:pPr>
      <w:r>
        <w:rPr>
          <w:rStyle w:val="18"/>
          <w:rFonts w:hint="eastAsia" w:hAnsi="仿宋"/>
          <w:bCs/>
          <w:sz w:val="32"/>
          <w:szCs w:val="32"/>
          <w:lang w:val="en-US" w:eastAsia="zh-CN"/>
        </w:rPr>
        <w:t>12</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）粮油物资事务（</w:t>
      </w:r>
      <w:r>
        <w:rPr>
          <w:rStyle w:val="18"/>
          <w:rFonts w:hint="eastAsia" w:hAnsi="仿宋"/>
          <w:bCs/>
          <w:sz w:val="32"/>
          <w:szCs w:val="32"/>
          <w:lang w:val="en-US" w:eastAsia="zh-CN"/>
        </w:rPr>
        <w:t>款</w:t>
      </w:r>
      <w:r>
        <w:rPr>
          <w:rStyle w:val="18"/>
          <w:rFonts w:hint="eastAsia" w:ascii="仿宋" w:hAnsi="仿宋" w:eastAsia="仿宋"/>
          <w:bCs/>
          <w:sz w:val="32"/>
          <w:szCs w:val="32"/>
        </w:rPr>
        <w:t>）其他粮油物资事务支出（</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18.02</w:t>
      </w:r>
      <w:r>
        <w:rPr>
          <w:rStyle w:val="18"/>
          <w:rFonts w:hint="eastAsia" w:ascii="仿宋" w:hAnsi="仿宋" w:eastAsia="仿宋"/>
          <w:b w:val="0"/>
          <w:bCs w:val="0"/>
          <w:sz w:val="32"/>
          <w:szCs w:val="32"/>
        </w:rPr>
        <w:t>万元，完成预算100%，与预算数持平。</w:t>
      </w:r>
    </w:p>
    <w:p>
      <w:pPr>
        <w:pStyle w:val="27"/>
        <w:ind w:firstLine="642" w:firstLineChars="200"/>
        <w:outlineLvl w:val="9"/>
        <w:rPr>
          <w:rStyle w:val="18"/>
          <w:rFonts w:hint="eastAsia" w:ascii="仿宋" w:hAnsi="仿宋" w:eastAsia="仿宋"/>
          <w:b w:val="0"/>
          <w:bCs w:val="0"/>
          <w:sz w:val="32"/>
          <w:szCs w:val="32"/>
        </w:rPr>
      </w:pPr>
      <w:r>
        <w:rPr>
          <w:rStyle w:val="18"/>
          <w:rFonts w:hint="eastAsia" w:hAnsi="仿宋"/>
          <w:bCs/>
          <w:sz w:val="32"/>
          <w:szCs w:val="32"/>
          <w:lang w:val="en-US" w:eastAsia="zh-CN"/>
        </w:rPr>
        <w:t>13</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）粮油储备（</w:t>
      </w:r>
      <w:r>
        <w:rPr>
          <w:rStyle w:val="18"/>
          <w:rFonts w:hint="eastAsia" w:hAnsi="仿宋"/>
          <w:bCs/>
          <w:sz w:val="32"/>
          <w:szCs w:val="32"/>
          <w:lang w:val="en-US" w:eastAsia="zh-CN"/>
        </w:rPr>
        <w:t>款</w:t>
      </w:r>
      <w:r>
        <w:rPr>
          <w:rStyle w:val="18"/>
          <w:rFonts w:hint="eastAsia" w:ascii="仿宋" w:hAnsi="仿宋" w:eastAsia="仿宋"/>
          <w:bCs/>
          <w:sz w:val="32"/>
          <w:szCs w:val="32"/>
        </w:rPr>
        <w:t>）储备粮油补贴（</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87.86</w:t>
      </w:r>
      <w:r>
        <w:rPr>
          <w:rStyle w:val="18"/>
          <w:rFonts w:hint="eastAsia" w:ascii="仿宋" w:hAnsi="仿宋" w:eastAsia="仿宋"/>
          <w:b w:val="0"/>
          <w:bCs w:val="0"/>
          <w:sz w:val="32"/>
          <w:szCs w:val="32"/>
        </w:rPr>
        <w:t>万元，完成预算100%，与预算数持平。</w:t>
      </w:r>
    </w:p>
    <w:p>
      <w:pPr>
        <w:pStyle w:val="27"/>
        <w:ind w:firstLine="642"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Style w:val="18"/>
          <w:rFonts w:hint="eastAsia" w:hAnsi="仿宋"/>
          <w:bCs/>
          <w:sz w:val="32"/>
          <w:szCs w:val="32"/>
          <w:lang w:val="en-US" w:eastAsia="zh-CN"/>
        </w:rPr>
        <w:t>14</w:t>
      </w:r>
      <w:r>
        <w:rPr>
          <w:rStyle w:val="18"/>
          <w:rFonts w:hint="eastAsia" w:ascii="仿宋" w:hAnsi="仿宋" w:eastAsia="仿宋"/>
          <w:bCs/>
          <w:sz w:val="32"/>
          <w:szCs w:val="32"/>
        </w:rPr>
        <w:t>、粮油物资储备支出（</w:t>
      </w:r>
      <w:r>
        <w:rPr>
          <w:rStyle w:val="18"/>
          <w:rFonts w:hint="eastAsia" w:hAnsi="仿宋"/>
          <w:bCs/>
          <w:sz w:val="32"/>
          <w:szCs w:val="32"/>
          <w:lang w:val="en-US" w:eastAsia="zh-CN"/>
        </w:rPr>
        <w:t>类</w:t>
      </w:r>
      <w:r>
        <w:rPr>
          <w:rStyle w:val="18"/>
          <w:rFonts w:hint="eastAsia" w:ascii="仿宋" w:hAnsi="仿宋" w:eastAsia="仿宋"/>
          <w:bCs/>
          <w:sz w:val="32"/>
          <w:szCs w:val="32"/>
        </w:rPr>
        <w:t>）粮油储备（</w:t>
      </w:r>
      <w:r>
        <w:rPr>
          <w:rStyle w:val="18"/>
          <w:rFonts w:hint="eastAsia" w:hAnsi="仿宋"/>
          <w:bCs/>
          <w:sz w:val="32"/>
          <w:szCs w:val="32"/>
          <w:lang w:val="en-US" w:eastAsia="zh-CN"/>
        </w:rPr>
        <w:t>款</w:t>
      </w:r>
      <w:r>
        <w:rPr>
          <w:rStyle w:val="18"/>
          <w:rFonts w:hint="eastAsia" w:ascii="仿宋" w:hAnsi="仿宋" w:eastAsia="仿宋"/>
          <w:bCs/>
          <w:sz w:val="32"/>
          <w:szCs w:val="32"/>
        </w:rPr>
        <w:t>）储备粮</w:t>
      </w:r>
      <w:r>
        <w:rPr>
          <w:rStyle w:val="18"/>
          <w:rFonts w:hint="eastAsia" w:hAnsi="仿宋"/>
          <w:bCs/>
          <w:sz w:val="32"/>
          <w:szCs w:val="32"/>
          <w:lang w:eastAsia="zh-CN"/>
        </w:rPr>
        <w:t>（</w:t>
      </w:r>
      <w:r>
        <w:rPr>
          <w:rStyle w:val="18"/>
          <w:rFonts w:hint="eastAsia" w:hAnsi="仿宋"/>
          <w:bCs/>
          <w:sz w:val="32"/>
          <w:szCs w:val="32"/>
          <w:lang w:val="en-US" w:eastAsia="zh-CN"/>
        </w:rPr>
        <w:t>油</w:t>
      </w:r>
      <w:r>
        <w:rPr>
          <w:rStyle w:val="18"/>
          <w:rFonts w:hint="eastAsia" w:hAnsi="仿宋"/>
          <w:bCs/>
          <w:sz w:val="32"/>
          <w:szCs w:val="32"/>
          <w:lang w:eastAsia="zh-CN"/>
        </w:rPr>
        <w:t>）</w:t>
      </w:r>
      <w:r>
        <w:rPr>
          <w:rStyle w:val="18"/>
          <w:rFonts w:hint="eastAsia" w:hAnsi="仿宋"/>
          <w:bCs/>
          <w:sz w:val="32"/>
          <w:szCs w:val="32"/>
          <w:lang w:val="en-US" w:eastAsia="zh-CN"/>
        </w:rPr>
        <w:t>库建设</w:t>
      </w:r>
      <w:r>
        <w:rPr>
          <w:rStyle w:val="18"/>
          <w:rFonts w:hint="eastAsia" w:ascii="仿宋" w:hAnsi="仿宋" w:eastAsia="仿宋"/>
          <w:bCs/>
          <w:sz w:val="32"/>
          <w:szCs w:val="32"/>
        </w:rPr>
        <w:t>（</w:t>
      </w:r>
      <w:r>
        <w:rPr>
          <w:rStyle w:val="18"/>
          <w:rFonts w:hint="eastAsia" w:hAnsi="仿宋"/>
          <w:bCs/>
          <w:sz w:val="32"/>
          <w:szCs w:val="32"/>
          <w:lang w:val="en-US" w:eastAsia="zh-CN"/>
        </w:rPr>
        <w:t>项</w:t>
      </w:r>
      <w:r>
        <w:rPr>
          <w:rStyle w:val="18"/>
          <w:rFonts w:hint="eastAsia" w:ascii="仿宋" w:hAnsi="仿宋" w:eastAsia="仿宋"/>
          <w:bCs/>
          <w:sz w:val="32"/>
          <w:szCs w:val="32"/>
        </w:rPr>
        <w:t xml:space="preserve">）: </w:t>
      </w:r>
      <w:r>
        <w:rPr>
          <w:rStyle w:val="18"/>
          <w:rFonts w:hint="eastAsia" w:ascii="仿宋" w:hAnsi="仿宋" w:eastAsia="仿宋"/>
          <w:b w:val="0"/>
          <w:bCs w:val="0"/>
          <w:sz w:val="32"/>
          <w:szCs w:val="32"/>
        </w:rPr>
        <w:t>支出决算为</w:t>
      </w:r>
      <w:r>
        <w:rPr>
          <w:rStyle w:val="18"/>
          <w:rFonts w:hint="eastAsia" w:hAnsi="仿宋"/>
          <w:b w:val="0"/>
          <w:bCs w:val="0"/>
          <w:sz w:val="32"/>
          <w:szCs w:val="32"/>
          <w:lang w:val="en-US" w:eastAsia="zh-CN"/>
        </w:rPr>
        <w:t>25.62</w:t>
      </w:r>
      <w:r>
        <w:rPr>
          <w:rStyle w:val="18"/>
          <w:rFonts w:hint="eastAsia" w:ascii="仿宋" w:hAnsi="仿宋" w:eastAsia="仿宋"/>
          <w:b w:val="0"/>
          <w:bCs w:val="0"/>
          <w:sz w:val="32"/>
          <w:szCs w:val="32"/>
        </w:rPr>
        <w:t>万元，完成预算100%，与预算数持平。</w:t>
      </w:r>
    </w:p>
    <w:p>
      <w:pPr>
        <w:tabs>
          <w:tab w:val="right" w:pos="8306"/>
        </w:tabs>
        <w:spacing w:line="600" w:lineRule="exact"/>
        <w:ind w:firstLine="640"/>
        <w:outlineLvl w:val="1"/>
        <w:rPr>
          <w:rStyle w:val="30"/>
          <w:rFonts w:ascii="Times New Roman" w:hAnsi="Times New Roman"/>
          <w:color w:val="auto"/>
          <w:highlight w:val="none"/>
        </w:rPr>
      </w:pPr>
      <w:bookmarkStart w:id="45" w:name="_Toc15377214"/>
      <w:bookmarkStart w:id="4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5"/>
      <w:bookmarkEnd w:id="46"/>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232.07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223.09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万元，主要包括：基本工资、津贴补贴、绩效工资、机关事业单位基本养老保险缴费、职业年金缴费、其他社会保障缴费、住房公积金</w:t>
      </w:r>
      <w:r>
        <w:rPr>
          <w:rFonts w:hint="eastAsia"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8.98</w:t>
      </w:r>
      <w:r>
        <w:rPr>
          <w:rFonts w:hint="eastAsia" w:ascii="Times New Roman" w:hAnsi="Times New Roman" w:eastAsia="仿宋_GB2312" w:cs="仿宋_GB2312"/>
          <w:color w:val="auto"/>
          <w:kern w:val="2"/>
          <w:sz w:val="32"/>
          <w:szCs w:val="32"/>
          <w:highlight w:val="none"/>
          <w:lang w:val="en-US" w:eastAsia="zh-CN" w:bidi="ar-SA"/>
        </w:rPr>
        <w:t>万元，主要包括：办公费、印刷费、水费、电费、邮电费、取暖费、物业管理费、差旅费等。</w:t>
      </w:r>
    </w:p>
    <w:p>
      <w:pPr>
        <w:spacing w:line="600" w:lineRule="exact"/>
        <w:ind w:firstLine="640"/>
        <w:outlineLvl w:val="1"/>
        <w:rPr>
          <w:rStyle w:val="30"/>
          <w:rFonts w:ascii="Times New Roman" w:hAnsi="Times New Roman" w:eastAsia="黑体"/>
          <w:b w:val="0"/>
          <w:color w:val="auto"/>
          <w:highlight w:val="none"/>
        </w:rPr>
      </w:pPr>
      <w:bookmarkStart w:id="47" w:name="_Toc15377215"/>
      <w:bookmarkStart w:id="48"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7"/>
      <w:bookmarkEnd w:id="4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9"/>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Start w:id="51" w:name="_Toc15377218"/>
      <w:bookmarkStart w:id="52" w:name="_Toc15396610"/>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1"/>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3" w:name="_Toc15377219"/>
      <w:bookmarkStart w:id="54"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3"/>
      <w:bookmarkEnd w:id="5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5" w:name="_Toc15396612"/>
      <w:bookmarkStart w:id="56"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5"/>
      <w:bookmarkEnd w:id="5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8.98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1.99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28.45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单位业务增加，支出相对增加。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23"/>
      <w:r>
        <w:rPr>
          <w:rFonts w:hint="eastAsia" w:ascii="Times New Roman" w:hAnsi="Times New Roman" w:eastAsia="楷体_GB2312" w:cs="楷体_GB2312"/>
          <w:b/>
          <w:color w:val="auto"/>
          <w:sz w:val="32"/>
          <w:szCs w:val="32"/>
          <w:highlight w:val="none"/>
        </w:rPr>
        <w:t>（二）政府采购支出情况</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仿宋_GB2312"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根据预算绩效管理要求，2025年度组织对粮食质量安全检查和监测经费和县级储备粮利息及费用补贴2个项目开展了预算事前绩效评估，对2个项目编制了绩效目标，预算执行</w:t>
      </w:r>
      <w:r>
        <w:rPr>
          <w:rFonts w:hint="eastAsia" w:ascii="仿宋_GB2312" w:hAnsi="Times New Roman" w:eastAsia="仿宋_GB2312" w:cs="Times New Roman"/>
          <w:color w:val="auto"/>
          <w:sz w:val="32"/>
          <w:szCs w:val="32"/>
          <w:highlight w:val="none"/>
          <w:lang w:eastAsia="zh-CN"/>
        </w:rPr>
        <w:t>过程中，选取</w:t>
      </w:r>
      <w:r>
        <w:rPr>
          <w:rFonts w:hint="eastAsia" w:ascii="仿宋_GB2312" w:hAnsi="Times New Roman" w:eastAsia="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2个项目开展绩效自评，绩效自评表详见第四部分附件。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0" w:name="_Toc15377225"/>
      <w:bookmarkStart w:id="61"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0"/>
      <w:bookmarkEnd w:id="61"/>
    </w:p>
    <w:p>
      <w:pPr>
        <w:spacing w:line="600" w:lineRule="exact"/>
        <w:jc w:val="left"/>
        <w:rPr>
          <w:rFonts w:ascii="Times New Roman" w:hAnsi="Times New Roman"/>
          <w:b/>
          <w:color w:val="auto"/>
          <w:sz w:val="44"/>
          <w:szCs w:val="44"/>
          <w:highlight w:val="none"/>
        </w:rPr>
      </w:pPr>
    </w:p>
    <w:p>
      <w:pPr>
        <w:pStyle w:val="27"/>
        <w:spacing w:line="560" w:lineRule="exact"/>
        <w:ind w:firstLine="640" w:firstLineChars="200"/>
        <w:outlineLvl w:val="9"/>
        <w:rPr>
          <w:rFonts w:ascii="仿宋_GB2312" w:eastAsia="仿宋_GB2312"/>
          <w:color w:val="auto"/>
          <w:sz w:val="32"/>
          <w:szCs w:val="32"/>
          <w:highlight w:val="none"/>
        </w:rPr>
      </w:pPr>
      <w:bookmarkStart w:id="62" w:name="_Toc30549"/>
      <w:bookmarkStart w:id="63" w:name="_Toc15396614"/>
      <w:bookmarkStart w:id="64" w:name="_Toc15377226"/>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bookmarkEnd w:id="62"/>
    </w:p>
    <w:p>
      <w:pPr>
        <w:pStyle w:val="27"/>
        <w:spacing w:line="560" w:lineRule="exact"/>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pPr>
        <w:pStyle w:val="27"/>
        <w:spacing w:line="560" w:lineRule="exact"/>
        <w:ind w:firstLine="640" w:firstLineChars="200"/>
        <w:outlineLvl w:val="9"/>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pPr>
        <w:pStyle w:val="27"/>
        <w:spacing w:line="560" w:lineRule="exact"/>
        <w:ind w:firstLine="640" w:firstLineChars="200"/>
        <w:outlineLvl w:val="9"/>
        <w:rPr>
          <w:rFonts w:ascii="仿宋_GB2312" w:eastAsia="仿宋_GB2312"/>
          <w:color w:val="auto"/>
          <w:sz w:val="32"/>
          <w:szCs w:val="32"/>
          <w:highlight w:val="none"/>
        </w:rPr>
      </w:pPr>
      <w:bookmarkStart w:id="65" w:name="_Toc27382"/>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bookmarkEnd w:id="65"/>
      <w:r>
        <w:rPr>
          <w:rFonts w:ascii="仿宋_GB2312" w:eastAsia="仿宋_GB2312"/>
          <w:color w:val="auto"/>
          <w:sz w:val="32"/>
          <w:szCs w:val="32"/>
          <w:highlight w:val="none"/>
        </w:rPr>
        <w:t xml:space="preserve"> </w:t>
      </w:r>
    </w:p>
    <w:p>
      <w:pPr>
        <w:pStyle w:val="27"/>
        <w:spacing w:line="560" w:lineRule="exact"/>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pPr>
        <w:pStyle w:val="27"/>
        <w:spacing w:line="560" w:lineRule="exact"/>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pPr>
        <w:pStyle w:val="27"/>
        <w:spacing w:line="560" w:lineRule="exact"/>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pPr>
        <w:pStyle w:val="27"/>
        <w:spacing w:line="560" w:lineRule="exact"/>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9</w:t>
      </w:r>
      <w:r>
        <w:rPr>
          <w:rFonts w:hint="eastAsia" w:ascii="仿宋_GB2312" w:hAnsi="Calibri" w:eastAsia="仿宋_GB2312" w:cs="仿宋"/>
          <w:color w:val="auto"/>
          <w:kern w:val="0"/>
          <w:sz w:val="32"/>
          <w:szCs w:val="32"/>
          <w:highlight w:val="none"/>
          <w:lang w:val="en-US" w:eastAsia="zh-CN" w:bidi="ar-SA"/>
        </w:rPr>
        <w:t>、社会保障和就业支出（类）行政事业单位养老支出（款）机关事业单位基本养老保险缴费支出（项）：指机关事业单位实施养老保险制度由单位缴纳的基本养老保险费支出。</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10</w:t>
      </w:r>
      <w:r>
        <w:rPr>
          <w:rFonts w:hint="eastAsia" w:ascii="仿宋_GB2312" w:hAnsi="Calibri" w:eastAsia="仿宋_GB2312" w:cs="仿宋"/>
          <w:color w:val="auto"/>
          <w:kern w:val="0"/>
          <w:sz w:val="32"/>
          <w:szCs w:val="32"/>
          <w:highlight w:val="none"/>
          <w:lang w:val="en-US" w:eastAsia="zh-CN" w:bidi="ar-SA"/>
        </w:rPr>
        <w:t>、社会保障和就业支出（类）行政事业单位养老支出（款）机关事业单位职业年金缴费支出（项）：指机关事业单位实施养老保险制度由单位实际缴纳的职业年金。</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ascii="仿宋_GB2312" w:eastAsia="仿宋_GB2312" w:cs="仿宋"/>
          <w:color w:val="auto"/>
          <w:kern w:val="0"/>
          <w:sz w:val="32"/>
          <w:szCs w:val="32"/>
          <w:highlight w:val="none"/>
          <w:lang w:val="en-US" w:eastAsia="zh-CN" w:bidi="ar-SA"/>
        </w:rPr>
        <w:t>1</w:t>
      </w:r>
      <w:r>
        <w:rPr>
          <w:rFonts w:hint="eastAsia" w:ascii="仿宋_GB2312" w:hAnsi="Calibri" w:eastAsia="仿宋_GB2312" w:cs="仿宋"/>
          <w:color w:val="auto"/>
          <w:kern w:val="0"/>
          <w:sz w:val="32"/>
          <w:szCs w:val="32"/>
          <w:highlight w:val="none"/>
          <w:lang w:val="en-US" w:eastAsia="zh-CN" w:bidi="ar-SA"/>
        </w:rPr>
        <w:t>、卫生健康支出（类）行政事业单位医疗（款）行政单位医疗（项）：指财政部门集中安排的行政单位基本医疗保险缴费经费。</w:t>
      </w:r>
    </w:p>
    <w:p>
      <w:pPr>
        <w:pStyle w:val="13"/>
        <w:keepNext w:val="0"/>
        <w:keepLines w:val="0"/>
        <w:pageBreakBefore w:val="0"/>
        <w:widowControl w:val="0"/>
        <w:kinsoku/>
        <w:wordWrap/>
        <w:overflowPunct/>
        <w:topLinePunct w:val="0"/>
        <w:autoSpaceDE/>
        <w:autoSpaceDN/>
        <w:bidi w:val="0"/>
        <w:adjustRightInd/>
        <w:snapToGrid/>
        <w:ind w:leftChars="0"/>
        <w:textAlignment w:val="auto"/>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eastAsia="仿宋_GB2312" w:cs="仿宋"/>
          <w:color w:val="auto"/>
          <w:kern w:val="0"/>
          <w:sz w:val="32"/>
          <w:szCs w:val="32"/>
          <w:highlight w:val="none"/>
          <w:lang w:val="en-US" w:eastAsia="zh-CN" w:bidi="ar-SA"/>
        </w:rPr>
        <w:t>2</w:t>
      </w:r>
      <w:r>
        <w:rPr>
          <w:rFonts w:hint="eastAsia" w:ascii="仿宋_GB2312" w:hAnsi="Calibri" w:eastAsia="仿宋_GB2312" w:cs="仿宋"/>
          <w:color w:val="auto"/>
          <w:kern w:val="0"/>
          <w:sz w:val="32"/>
          <w:szCs w:val="32"/>
          <w:highlight w:val="none"/>
          <w:lang w:val="en-US" w:eastAsia="zh-CN" w:bidi="ar-SA"/>
        </w:rPr>
        <w:t>、卫生健康支出（类）行政事业单位医疗（款）公务员医疗补助（项）：指反映财政部门安排的公务员医疗补助经费。</w:t>
      </w:r>
    </w:p>
    <w:p>
      <w:pPr>
        <w:pStyle w:val="13"/>
        <w:ind w:left="0" w:leftChars="0"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eastAsia="仿宋_GB2312" w:cs="仿宋"/>
          <w:color w:val="auto"/>
          <w:kern w:val="0"/>
          <w:sz w:val="32"/>
          <w:szCs w:val="32"/>
          <w:highlight w:val="none"/>
          <w:lang w:val="en-US" w:eastAsia="zh-CN" w:bidi="ar-SA"/>
        </w:rPr>
        <w:t>3</w:t>
      </w:r>
      <w:r>
        <w:rPr>
          <w:rFonts w:hint="eastAsia" w:ascii="仿宋_GB2312" w:hAnsi="Calibri" w:eastAsia="仿宋_GB2312" w:cs="仿宋"/>
          <w:color w:val="auto"/>
          <w:kern w:val="0"/>
          <w:sz w:val="32"/>
          <w:szCs w:val="32"/>
          <w:highlight w:val="none"/>
          <w:lang w:val="en-US" w:eastAsia="zh-CN" w:bidi="ar-SA"/>
        </w:rPr>
        <w:t>、住房保障支出（类）住房改革支出（款）住房公积金（项）：指行政事业单位</w:t>
      </w:r>
      <w:r>
        <w:rPr>
          <w:rFonts w:hint="eastAsia" w:hAnsi="Calibri" w:eastAsia="仿宋_GB2312" w:cs="仿宋"/>
          <w:color w:val="auto"/>
          <w:kern w:val="0"/>
          <w:sz w:val="32"/>
          <w:szCs w:val="32"/>
          <w:highlight w:val="none"/>
          <w:lang w:val="en-US" w:eastAsia="zh-CN" w:bidi="ar-SA"/>
        </w:rPr>
        <w:t>按</w:t>
      </w:r>
      <w:r>
        <w:rPr>
          <w:rFonts w:hint="eastAsia" w:ascii="仿宋_GB2312" w:hAnsi="Calibri" w:eastAsia="仿宋_GB2312" w:cs="仿宋"/>
          <w:color w:val="auto"/>
          <w:kern w:val="0"/>
          <w:sz w:val="32"/>
          <w:szCs w:val="32"/>
          <w:highlight w:val="none"/>
          <w:lang w:val="en-US" w:eastAsia="zh-CN" w:bidi="ar-SA"/>
        </w:rPr>
        <w:t>工资</w:t>
      </w:r>
      <w:bookmarkStart w:id="81" w:name="_GoBack"/>
      <w:bookmarkEnd w:id="81"/>
      <w:r>
        <w:rPr>
          <w:rFonts w:hint="eastAsia" w:ascii="仿宋_GB2312" w:hAnsi="Calibri" w:eastAsia="仿宋_GB2312" w:cs="仿宋"/>
          <w:color w:val="auto"/>
          <w:kern w:val="0"/>
          <w:sz w:val="32"/>
          <w:szCs w:val="32"/>
          <w:highlight w:val="none"/>
          <w:lang w:val="en-US" w:eastAsia="zh-CN" w:bidi="ar-SA"/>
        </w:rPr>
        <w:t>比例为职工缴纳的住房公积金。</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ascii="仿宋_GB2312" w:eastAsia="仿宋_GB2312" w:cs="仿宋"/>
          <w:color w:val="auto"/>
          <w:kern w:val="0"/>
          <w:sz w:val="32"/>
          <w:szCs w:val="32"/>
          <w:highlight w:val="none"/>
          <w:lang w:val="en-US" w:eastAsia="zh-CN" w:bidi="ar-SA"/>
        </w:rPr>
        <w:t>4</w:t>
      </w:r>
      <w:r>
        <w:rPr>
          <w:rFonts w:hint="eastAsia" w:ascii="仿宋_GB2312" w:hAnsi="Calibri" w:eastAsia="仿宋_GB2312" w:cs="仿宋"/>
          <w:color w:val="auto"/>
          <w:kern w:val="0"/>
          <w:sz w:val="32"/>
          <w:szCs w:val="32"/>
          <w:highlight w:val="none"/>
          <w:lang w:val="en-US" w:eastAsia="zh-CN" w:bidi="ar-SA"/>
        </w:rPr>
        <w:t>、住房保障支出（类）住房改革支出（款）购房补贴（项）：指反映按房改政策的标准，行政事业单位符合条件职工发放的用于购买住房的补贴。</w:t>
      </w:r>
    </w:p>
    <w:p>
      <w:pPr>
        <w:spacing w:line="600" w:lineRule="exact"/>
        <w:ind w:firstLine="64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15、</w:t>
      </w:r>
      <w:r>
        <w:rPr>
          <w:rFonts w:hint="eastAsia" w:ascii="仿宋_GB2312" w:hAnsi="Calibri" w:eastAsia="仿宋_GB2312" w:cs="仿宋"/>
          <w:color w:val="auto"/>
          <w:kern w:val="0"/>
          <w:sz w:val="32"/>
          <w:szCs w:val="32"/>
          <w:highlight w:val="none"/>
          <w:lang w:val="en-US" w:eastAsia="zh-CN" w:bidi="ar-SA"/>
        </w:rPr>
        <w:t>粮油物资储备支出（类）粮油物资事务（款）行政运行（项）：指反映行政单位的基本支出。</w:t>
      </w:r>
    </w:p>
    <w:p>
      <w:pPr>
        <w:pStyle w:val="13"/>
        <w:keepNext w:val="0"/>
        <w:keepLines w:val="0"/>
        <w:pageBreakBefore w:val="0"/>
        <w:widowControl w:val="0"/>
        <w:kinsoku/>
        <w:wordWrap/>
        <w:overflowPunct/>
        <w:topLinePunct w:val="0"/>
        <w:autoSpaceDE/>
        <w:autoSpaceDN/>
        <w:bidi w:val="0"/>
        <w:adjustRightInd/>
        <w:snapToGrid/>
        <w:ind w:leftChars="0"/>
        <w:jc w:val="left"/>
        <w:textAlignment w:val="auto"/>
        <w:outlineLvl w:val="9"/>
        <w:rPr>
          <w:rFonts w:hint="eastAsia" w:ascii="仿宋_GB2312" w:hAnsi="Calibri" w:eastAsia="仿宋_GB2312" w:cs="仿宋"/>
          <w:color w:val="auto"/>
          <w:kern w:val="0"/>
          <w:sz w:val="32"/>
          <w:szCs w:val="32"/>
          <w:highlight w:val="none"/>
          <w:lang w:val="en-US" w:eastAsia="zh-CN" w:bidi="ar-SA"/>
        </w:rPr>
      </w:pPr>
      <w:r>
        <w:rPr>
          <w:rFonts w:hint="eastAsia" w:eastAsia="仿宋_GB2312" w:cs="仿宋"/>
          <w:color w:val="auto"/>
          <w:kern w:val="0"/>
          <w:sz w:val="32"/>
          <w:szCs w:val="32"/>
          <w:highlight w:val="none"/>
          <w:lang w:val="en-US" w:eastAsia="zh-CN" w:bidi="ar-SA"/>
        </w:rPr>
        <w:t>16、</w:t>
      </w:r>
      <w:r>
        <w:rPr>
          <w:rFonts w:hint="eastAsia" w:ascii="仿宋_GB2312" w:hAnsi="Calibri" w:eastAsia="仿宋_GB2312" w:cs="仿宋"/>
          <w:color w:val="auto"/>
          <w:kern w:val="0"/>
          <w:sz w:val="32"/>
          <w:szCs w:val="32"/>
          <w:highlight w:val="none"/>
          <w:lang w:val="en-US" w:eastAsia="zh-CN" w:bidi="ar-SA"/>
        </w:rPr>
        <w:t>粮油物资储备支出（类）粮油物资事务（款）一般行政管理事务（项）：指反映行政单位未单独设置顶级科目的其他项目支出。</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17、</w:t>
      </w:r>
      <w:r>
        <w:rPr>
          <w:rFonts w:hint="eastAsia" w:ascii="仿宋_GB2312" w:hAnsi="Calibri" w:eastAsia="仿宋_GB2312" w:cs="仿宋"/>
          <w:color w:val="auto"/>
          <w:kern w:val="0"/>
          <w:sz w:val="32"/>
          <w:szCs w:val="32"/>
          <w:highlight w:val="none"/>
          <w:lang w:val="en-US" w:eastAsia="zh-CN" w:bidi="ar-SA"/>
        </w:rPr>
        <w:t>粮油物资储备支出（类）粮油物资事务（款）设施建设（项）：指反映粮食和储备部门各类仓库基础设施建设和设备购置等支出。</w:t>
      </w:r>
    </w:p>
    <w:p>
      <w:pPr>
        <w:pStyle w:val="13"/>
        <w:keepNext w:val="0"/>
        <w:keepLines w:val="0"/>
        <w:pageBreakBefore w:val="0"/>
        <w:widowControl w:val="0"/>
        <w:kinsoku/>
        <w:wordWrap/>
        <w:overflowPunct/>
        <w:topLinePunct w:val="0"/>
        <w:autoSpaceDE/>
        <w:autoSpaceDN/>
        <w:bidi w:val="0"/>
        <w:adjustRightInd/>
        <w:snapToGrid/>
        <w:ind w:leftChars="0"/>
        <w:textAlignment w:val="auto"/>
        <w:outlineLvl w:val="9"/>
        <w:rPr>
          <w:rFonts w:hint="eastAsia" w:ascii="仿宋_GB2312" w:hAnsi="Calibri" w:eastAsia="仿宋_GB2312" w:cs="仿宋"/>
          <w:color w:val="auto"/>
          <w:kern w:val="0"/>
          <w:sz w:val="32"/>
          <w:szCs w:val="32"/>
          <w:highlight w:val="none"/>
          <w:lang w:val="en-US" w:eastAsia="zh-CN" w:bidi="ar-SA"/>
        </w:rPr>
      </w:pPr>
      <w:r>
        <w:rPr>
          <w:rFonts w:hint="eastAsia" w:eastAsia="仿宋_GB2312" w:cs="仿宋"/>
          <w:color w:val="auto"/>
          <w:kern w:val="0"/>
          <w:sz w:val="32"/>
          <w:szCs w:val="32"/>
          <w:highlight w:val="none"/>
          <w:lang w:val="en-US" w:eastAsia="zh-CN" w:bidi="ar-SA"/>
        </w:rPr>
        <w:t>18、</w:t>
      </w:r>
      <w:r>
        <w:rPr>
          <w:rFonts w:hint="eastAsia" w:ascii="仿宋_GB2312" w:hAnsi="Calibri" w:eastAsia="仿宋_GB2312" w:cs="仿宋"/>
          <w:color w:val="auto"/>
          <w:kern w:val="0"/>
          <w:sz w:val="32"/>
          <w:szCs w:val="32"/>
          <w:highlight w:val="none"/>
          <w:lang w:val="en-US" w:eastAsia="zh-CN" w:bidi="ar-SA"/>
        </w:rPr>
        <w:t>粮油物资储备支出（类）粮油物资事务（款）其他粮油物资事务支出（项）：指反映除上述项目以外其他用于粮油和物资事务方面的支出。</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19、</w:t>
      </w:r>
      <w:r>
        <w:rPr>
          <w:rFonts w:hint="eastAsia" w:ascii="仿宋_GB2312" w:hAnsi="Calibri" w:eastAsia="仿宋_GB2312" w:cs="仿宋"/>
          <w:color w:val="auto"/>
          <w:kern w:val="0"/>
          <w:sz w:val="32"/>
          <w:szCs w:val="32"/>
          <w:highlight w:val="none"/>
          <w:lang w:val="en-US" w:eastAsia="zh-CN" w:bidi="ar-SA"/>
        </w:rPr>
        <w:t>粮油物资储备支出（类）粮油储备（款）储备粮油补贴（项）：指反映用于储备粮油和临时储存粮油的补贴支出。</w:t>
      </w:r>
    </w:p>
    <w:p>
      <w:pPr>
        <w:ind w:firstLine="640" w:firstLineChars="200"/>
        <w:outlineLvl w:val="9"/>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20、</w:t>
      </w:r>
      <w:r>
        <w:rPr>
          <w:rFonts w:hint="eastAsia" w:ascii="仿宋_GB2312" w:hAnsi="Calibri" w:eastAsia="仿宋_GB2312" w:cs="仿宋"/>
          <w:color w:val="auto"/>
          <w:kern w:val="0"/>
          <w:sz w:val="32"/>
          <w:szCs w:val="32"/>
          <w:highlight w:val="none"/>
          <w:lang w:val="en-US" w:eastAsia="zh-CN" w:bidi="ar-SA"/>
        </w:rPr>
        <w:t>粮油物资储备支出（类）粮油储备（款）储备粮（油）库建设（项）：指反映储备粮油仓储设施建设方面的支出。</w:t>
      </w:r>
    </w:p>
    <w:p>
      <w:pPr>
        <w:ind w:firstLine="640" w:firstLineChars="200"/>
        <w:outlineLvl w:val="9"/>
        <w:rPr>
          <w:rFonts w:hint="default"/>
          <w:lang w:val="en-US" w:eastAsia="zh-CN"/>
        </w:rPr>
      </w:pPr>
      <w:r>
        <w:rPr>
          <w:rFonts w:hint="eastAsia" w:ascii="仿宋_GB2312" w:hAnsi="Calibri" w:eastAsia="仿宋_GB2312" w:cs="仿宋"/>
          <w:color w:val="auto"/>
          <w:kern w:val="0"/>
          <w:sz w:val="32"/>
          <w:szCs w:val="32"/>
          <w:highlight w:val="none"/>
          <w:lang w:val="en-US" w:eastAsia="zh-CN" w:bidi="ar-SA"/>
        </w:rPr>
        <w:t>2</w:t>
      </w:r>
      <w:r>
        <w:rPr>
          <w:rFonts w:hint="eastAsia" w:ascii="仿宋_GB2312" w:eastAsia="仿宋_GB2312" w:cs="仿宋"/>
          <w:color w:val="auto"/>
          <w:kern w:val="0"/>
          <w:sz w:val="32"/>
          <w:szCs w:val="32"/>
          <w:highlight w:val="none"/>
          <w:lang w:val="en-US" w:eastAsia="zh-CN" w:bidi="ar-SA"/>
        </w:rPr>
        <w:t>1、</w:t>
      </w:r>
      <w:r>
        <w:rPr>
          <w:rFonts w:hint="eastAsia" w:ascii="仿宋_GB2312" w:hAnsi="Calibri" w:eastAsia="仿宋_GB2312" w:cs="仿宋"/>
          <w:color w:val="auto"/>
          <w:kern w:val="0"/>
          <w:sz w:val="32"/>
          <w:szCs w:val="32"/>
          <w:highlight w:val="none"/>
          <w:lang w:val="en-US" w:eastAsia="zh-CN" w:bidi="ar-SA"/>
        </w:rPr>
        <w:t>粮油物资储备支出（类）粮油储备（款）其他粮油储备支出（项）：指反映除上述项目外的其他国家粮油储备支出。</w:t>
      </w:r>
    </w:p>
    <w:p>
      <w:pPr>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基本支出：指为保障机构正常运转、完成日常工作任务而发生的人员支出和公用支出。</w:t>
      </w:r>
    </w:p>
    <w:p>
      <w:pPr>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ind w:firstLine="640" w:firstLineChars="200"/>
        <w:outlineLvl w:val="9"/>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经营支出：指事业单位在专业业务活动及其辅助活动之外开展非独立核算经营活动发生的支出。</w:t>
      </w:r>
    </w:p>
    <w:p>
      <w:pPr>
        <w:pStyle w:val="27"/>
        <w:spacing w:line="560" w:lineRule="exact"/>
        <w:ind w:firstLine="640" w:firstLineChars="200"/>
        <w:outlineLvl w:val="9"/>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spacing w:line="560" w:lineRule="exact"/>
        <w:ind w:firstLine="640" w:firstLineChars="200"/>
        <w:outlineLvl w:val="9"/>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hint="eastAsia" w:ascii="Times New Roman" w:hAnsi="Times New Roman" w:eastAsia="黑体"/>
          <w:b w:val="0"/>
          <w:color w:val="auto"/>
          <w:highlight w:val="none"/>
          <w:lang w:eastAsia="zh-CN"/>
        </w:rPr>
      </w:pPr>
      <w:r>
        <w:rPr>
          <w:rFonts w:ascii="宋体"/>
          <w:b/>
          <w:color w:val="auto"/>
          <w:sz w:val="44"/>
          <w:szCs w:val="44"/>
          <w:highlight w:val="none"/>
        </w:rPr>
        <w:br w:type="page"/>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uppressAutoHyphens/>
        <w:bidi w:val="0"/>
        <w:spacing w:before="105" w:beforeAutospacing="0" w:after="105" w:afterAutospacing="0" w:line="24" w:lineRule="atLeast"/>
        <w:ind w:left="0" w:right="0" w:firstLine="420"/>
        <w:jc w:val="center"/>
        <w:outlineLvl w:val="9"/>
        <w:rPr>
          <w:rFonts w:hint="eastAsia" w:ascii="方正小标宋_GBK" w:hAnsi="Calibri" w:eastAsia="方正小标宋_GBK"/>
          <w:b/>
          <w:bCs/>
          <w:color w:val="auto"/>
          <w:kern w:val="2"/>
          <w:sz w:val="44"/>
          <w:szCs w:val="44"/>
          <w:lang w:val="en-US" w:eastAsia="zh-CN" w:bidi="ar-SA"/>
        </w:rPr>
      </w:pPr>
      <w:r>
        <w:rPr>
          <w:rFonts w:hint="eastAsia" w:ascii="方正小标宋_GBK" w:hAnsi="Calibri" w:eastAsia="方正小标宋_GBK"/>
          <w:b/>
          <w:bCs/>
          <w:color w:val="auto"/>
          <w:kern w:val="2"/>
          <w:sz w:val="44"/>
          <w:szCs w:val="44"/>
          <w:lang w:val="en-US" w:eastAsia="zh-CN" w:bidi="ar-SA"/>
        </w:rPr>
        <w:t>2025年度壤塘县粮食和物资储备中心</w:t>
      </w:r>
    </w:p>
    <w:p>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uppressAutoHyphens/>
        <w:bidi w:val="0"/>
        <w:spacing w:before="105" w:beforeAutospacing="0" w:after="105" w:afterAutospacing="0" w:line="24" w:lineRule="atLeast"/>
        <w:ind w:left="0" w:right="0" w:firstLine="420"/>
        <w:jc w:val="center"/>
        <w:outlineLvl w:val="9"/>
        <w:rPr>
          <w:rFonts w:hint="eastAsia" w:ascii="方正小标宋_GBK" w:hAnsi="Calibri" w:eastAsia="方正小标宋_GBK"/>
          <w:b/>
          <w:bCs/>
          <w:color w:val="auto"/>
          <w:kern w:val="2"/>
          <w:sz w:val="44"/>
          <w:szCs w:val="44"/>
          <w:lang w:val="en-US" w:eastAsia="zh-CN" w:bidi="ar-SA"/>
        </w:rPr>
      </w:pPr>
      <w:r>
        <w:rPr>
          <w:rFonts w:hint="eastAsia" w:ascii="方正小标宋_GBK" w:hAnsi="Calibri" w:eastAsia="方正小标宋_GBK"/>
          <w:b/>
          <w:bCs/>
          <w:color w:val="auto"/>
          <w:kern w:val="2"/>
          <w:sz w:val="44"/>
          <w:szCs w:val="44"/>
          <w:lang w:val="en-US" w:eastAsia="zh-CN" w:bidi="ar-SA"/>
        </w:rPr>
        <w:t>部门整体支出绩效评价</w:t>
      </w:r>
    </w:p>
    <w:p>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24" w:lineRule="atLeast"/>
        <w:ind w:left="0" w:right="0" w:firstLine="420"/>
        <w:jc w:val="center"/>
        <w:rPr>
          <w:rFonts w:hint="eastAsia" w:ascii="Times New Roman" w:hAnsi="Times New Roman" w:eastAsia="方正小标宋简体" w:cs="Times New Roman"/>
          <w:bCs/>
          <w:sz w:val="44"/>
          <w:szCs w:val="44"/>
          <w:shd w:val="clear" w:color="auto" w:fill="FFFFFF"/>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sz w:val="32"/>
          <w:szCs w:val="32"/>
        </w:rPr>
      </w:pPr>
      <w:r>
        <w:rPr>
          <w:rFonts w:eastAsia="黑体"/>
          <w:color w:val="000000"/>
          <w:kern w:val="0"/>
          <w:sz w:val="32"/>
          <w:szCs w:val="32"/>
          <w:shd w:val="clear" w:color="auto" w:fill="FFFFFF"/>
          <w:lang w:val="zh-CN"/>
        </w:rPr>
        <w:t>一、部门（单位）基本情况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eastAsia="楷体_GB2312"/>
          <w:b/>
          <w:bCs/>
          <w:color w:val="000000"/>
          <w:kern w:val="0"/>
          <w:sz w:val="32"/>
          <w:szCs w:val="32"/>
          <w:shd w:val="clear" w:color="auto" w:fill="FFFFFF"/>
          <w:lang w:val="zh-CN"/>
        </w:rPr>
        <w:t>（一）机构组成。</w:t>
      </w:r>
      <w:r>
        <w:rPr>
          <w:rFonts w:hint="eastAsia" w:ascii="Times New Roman" w:hAnsi="Times New Roman" w:eastAsia="仿宋_GB2312" w:cs="Times New Roman"/>
          <w:kern w:val="2"/>
          <w:sz w:val="32"/>
          <w:szCs w:val="32"/>
          <w:lang w:val="en-US" w:eastAsia="zh-CN" w:bidi="ar-SA"/>
        </w:rPr>
        <w:t>壤塘县粮食和物资储备中心由办公室、业务股及财会统计股组成。</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（二）机构职能。</w:t>
      </w:r>
      <w:r>
        <w:rPr>
          <w:rFonts w:hint="eastAsia" w:ascii="Times New Roman" w:hAnsi="Times New Roman" w:eastAsia="仿宋_GB2312" w:cs="Times New Roman"/>
          <w:kern w:val="2"/>
          <w:sz w:val="32"/>
          <w:szCs w:val="32"/>
          <w:lang w:val="en-US" w:eastAsia="zh-CN" w:bidi="ar-SA"/>
        </w:rPr>
        <w:t>壤塘县粮食和物资储备中心负责省、州、县储备粮管理，指导全县粮食储备体系建设；制定县级储备粮管理的技术规范并监督执行；监督检查州、县储备粮库存数量和质量；研究提出县级储备粮的收购、轮换、抛售计划，并组织实施。管理社会粮食流通，保障军队、城镇居民、救济粮和国家重点建设项目的粮食供应。负责全县粮食余缺调剂，组织和协调县内粮油调剂工作和对外经济技术合作交流。协助做好救灾物资储备规划、品种目录和标准、年度购置计划，负责州级救灾物资的收储、轮换和日常管理，根据动用指令按程序组织调拨。</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（三）人员概况。</w:t>
      </w:r>
      <w:r>
        <w:rPr>
          <w:rFonts w:hint="eastAsia" w:ascii="Times New Roman" w:hAnsi="Times New Roman" w:eastAsia="仿宋_GB2312" w:cs="Times New Roman"/>
          <w:color w:val="auto"/>
          <w:kern w:val="2"/>
          <w:sz w:val="32"/>
          <w:szCs w:val="32"/>
          <w:lang w:val="en-US" w:eastAsia="zh-CN" w:bidi="ar-SA"/>
        </w:rPr>
        <w:t>2025年末，参公事业编制</w:t>
      </w:r>
      <w:r>
        <w:rPr>
          <w:rFonts w:hint="eastAsia" w:cs="Times New Roman"/>
          <w:color w:val="auto"/>
          <w:kern w:val="2"/>
          <w:sz w:val="32"/>
          <w:szCs w:val="32"/>
          <w:lang w:val="en-US" w:eastAsia="zh-CN" w:bidi="ar-SA"/>
        </w:rPr>
        <w:t>12</w:t>
      </w:r>
      <w:r>
        <w:rPr>
          <w:rFonts w:hint="eastAsia" w:ascii="Times New Roman" w:hAnsi="Times New Roman" w:eastAsia="仿宋_GB2312" w:cs="Times New Roman"/>
          <w:color w:val="auto"/>
          <w:kern w:val="2"/>
          <w:sz w:val="32"/>
          <w:szCs w:val="32"/>
          <w:lang w:val="en-US" w:eastAsia="zh-CN" w:bidi="ar-SA"/>
        </w:rPr>
        <w:t>名。</w:t>
      </w:r>
      <w:r>
        <w:rPr>
          <w:rFonts w:hint="eastAsia" w:cs="Times New Roman"/>
          <w:color w:val="auto"/>
          <w:kern w:val="2"/>
          <w:sz w:val="32"/>
          <w:szCs w:val="32"/>
          <w:lang w:val="en-US" w:eastAsia="zh-CN" w:bidi="ar-SA"/>
        </w:rPr>
        <w:t>在编在岗8人，</w:t>
      </w:r>
      <w:r>
        <w:rPr>
          <w:rFonts w:hint="eastAsia" w:ascii="Times New Roman" w:hAnsi="Times New Roman" w:eastAsia="仿宋_GB2312" w:cs="Times New Roman"/>
          <w:color w:val="auto"/>
          <w:kern w:val="2"/>
          <w:sz w:val="32"/>
          <w:szCs w:val="32"/>
          <w:lang w:val="en-US" w:eastAsia="zh-CN" w:bidi="ar-SA"/>
        </w:rPr>
        <w:t>其中：主任1名，副主任1名，一般干部</w:t>
      </w:r>
      <w:r>
        <w:rPr>
          <w:rFonts w:hint="eastAsia" w:cs="Times New Roman"/>
          <w:color w:val="auto"/>
          <w:kern w:val="2"/>
          <w:sz w:val="32"/>
          <w:szCs w:val="32"/>
          <w:lang w:val="en-US" w:eastAsia="zh-CN" w:bidi="ar-SA"/>
        </w:rPr>
        <w:t>6</w:t>
      </w:r>
      <w:r>
        <w:rPr>
          <w:rFonts w:hint="eastAsia" w:ascii="Times New Roman" w:hAnsi="Times New Roman" w:eastAsia="仿宋_GB2312" w:cs="Times New Roman"/>
          <w:color w:val="auto"/>
          <w:kern w:val="2"/>
          <w:sz w:val="32"/>
          <w:szCs w:val="32"/>
          <w:lang w:val="en-US" w:eastAsia="zh-CN" w:bidi="ar-SA"/>
        </w:rPr>
        <w:t>名。下设办公室、业务股、会计统筹股。</w:t>
      </w:r>
    </w:p>
    <w:p>
      <w:pPr>
        <w:keepNext w:val="0"/>
        <w:keepLines w:val="0"/>
        <w:pageBreakBefore w:val="0"/>
        <w:kinsoku/>
        <w:wordWrap/>
        <w:overflowPunct/>
        <w:topLinePunct w:val="0"/>
        <w:autoSpaceDE/>
        <w:autoSpaceDN/>
        <w:bidi w:val="0"/>
        <w:spacing w:line="560" w:lineRule="exact"/>
        <w:ind w:firstLine="420" w:firstLineChars="200"/>
        <w:jc w:val="left"/>
        <w:textAlignment w:val="auto"/>
        <w:rPr>
          <w:szCs w:val="32"/>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二、部门资金收支情况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（一）收入情况。</w:t>
      </w:r>
      <w:r>
        <w:rPr>
          <w:rFonts w:hint="eastAsia" w:ascii="Times New Roman" w:hAnsi="Times New Roman" w:eastAsia="仿宋_GB2312" w:cs="Times New Roman"/>
          <w:kern w:val="2"/>
          <w:sz w:val="32"/>
          <w:szCs w:val="32"/>
          <w:lang w:val="en-US" w:eastAsia="zh-CN" w:bidi="ar-SA"/>
        </w:rPr>
        <w:t>壤塘县粮食和物资储备中心2025年年初预算收入为284.52万元，当年追加收入共计107.91万元，年末收入总计为392.43万元。</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（二）支出情况。</w:t>
      </w:r>
      <w:r>
        <w:rPr>
          <w:rFonts w:hint="eastAsia" w:ascii="Times New Roman" w:hAnsi="Times New Roman" w:eastAsia="仿宋_GB2312" w:cs="Times New Roman"/>
          <w:kern w:val="2"/>
          <w:sz w:val="32"/>
          <w:szCs w:val="32"/>
          <w:lang w:val="en-US" w:eastAsia="zh-CN" w:bidi="ar-SA"/>
        </w:rPr>
        <w:t>壤塘县粮食和物资储备中心2025年度支出总计392.43万元，其中基本支出232.07万元，项目支出160.36万元。</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color w:val="auto"/>
          <w:kern w:val="0"/>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eastAsia="zh-CN" w:bidi="ar-SA"/>
        </w:rPr>
        <w:t>（三）结余分配和结转结余情况。</w:t>
      </w:r>
      <w:r>
        <w:rPr>
          <w:rFonts w:hint="eastAsia" w:ascii="Times New Roman" w:hAnsi="Times New Roman" w:eastAsia="仿宋_GB2312" w:cs="Times New Roman"/>
          <w:color w:val="auto"/>
          <w:kern w:val="2"/>
          <w:sz w:val="32"/>
          <w:szCs w:val="32"/>
          <w:lang w:val="en-US" w:eastAsia="zh-CN" w:bidi="ar-SA"/>
        </w:rPr>
        <w:t>壤塘县粮食和物资储备中心</w:t>
      </w:r>
      <w:r>
        <w:rPr>
          <w:rFonts w:hint="eastAsia" w:eastAsia="仿宋_GB2312" w:cs="Times New Roman"/>
          <w:color w:val="auto"/>
          <w:kern w:val="2"/>
          <w:sz w:val="32"/>
          <w:szCs w:val="32"/>
          <w:lang w:val="en-US" w:eastAsia="zh-CN" w:bidi="ar-SA"/>
        </w:rPr>
        <w:t>2025年</w:t>
      </w:r>
      <w:r>
        <w:rPr>
          <w:rFonts w:hint="eastAsia" w:ascii="Times New Roman" w:hAnsi="Times New Roman" w:eastAsia="仿宋_GB2312" w:cs="Times New Roman"/>
          <w:color w:val="auto"/>
          <w:kern w:val="2"/>
          <w:sz w:val="32"/>
          <w:szCs w:val="32"/>
          <w:lang w:val="en-US" w:eastAsia="zh-CN" w:bidi="ar-SA"/>
        </w:rPr>
        <w:t>结转结余资金共计0万元</w:t>
      </w:r>
      <w:r>
        <w:rPr>
          <w:color w:val="auto"/>
          <w:kern w:val="0"/>
          <w:szCs w:val="32"/>
          <w:shd w:val="clear" w:color="auto" w:fill="FFFFFF"/>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三、部门预算绩效分析</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（一）部门预算总体绩效分析。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1.预算管理。2025年年初预算收入284.52万元，执行期中追加收入107.91万元，全年收入总计392.43万元。</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2.预算绩效管理。均按照要求进行预算项目绩效管理，并进行预算项目绩效自评报告。已按要求开展事前绩效评估、目标编制、运行监控和事后评价，绩效管理意识逐步增强，全过程预算绩效管理框架基本建立。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3.财务管理。本年度资金使用过程中严格按照单位财务管理制度要求执行，资金使用的合规性体现在：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（1）所有经费开支坚持财务审批制度，重大资金支出（日常公用经费在1万元及以上）由</w:t>
      </w:r>
      <w:r>
        <w:rPr>
          <w:rFonts w:hint="eastAsia" w:cs="Times New Roman"/>
          <w:kern w:val="2"/>
          <w:sz w:val="32"/>
          <w:szCs w:val="32"/>
          <w:lang w:val="en-US" w:eastAsia="zh-CN" w:bidi="ar-SA"/>
        </w:rPr>
        <w:t>中心班子</w:t>
      </w:r>
      <w:r>
        <w:rPr>
          <w:rFonts w:hint="eastAsia" w:ascii="Times New Roman" w:hAnsi="Times New Roman" w:eastAsia="仿宋_GB2312" w:cs="Times New Roman"/>
          <w:kern w:val="2"/>
          <w:sz w:val="32"/>
          <w:szCs w:val="32"/>
          <w:lang w:val="en-US" w:eastAsia="zh-CN" w:bidi="ar-SA"/>
        </w:rPr>
        <w:t>研究决定。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（2）在报销经费时，经办人使用统一规范的审批单，在审批单上写明用途、经办人员、股室负责人、财务负责人、单位领导、金额、报销日期等内容。</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（3）费用报销审批程序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经办人填写报销单→由业务股室负责人确认签字→财务人员审核签字→财务分管领导确认签字→领导（主任）批准后，到财务室出纳处办理支付手续。</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各个审批环节的具体职责：</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业务股室负责人及其分管领导对其发生的支出用途及金额的真实性、准确性负责，并对其股室填写的支出审批单内容、大小写金额、票据张数进行审核。经济业务发生后，原则上在30天之内报账完毕。不得将几个经济事项的票据合并填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财务室对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室有权拒绝受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审批领导审查财务收支的真实性、合法性、必要性，并在报销凭证上明确签署报销意见。所有费用报销实行单位负责人“一支笔”签批制度。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w:t>
      </w:r>
      <w:r>
        <w:rPr>
          <w:rFonts w:hint="eastAsia" w:ascii="Times New Roman" w:hAnsi="Times New Roman" w:eastAsia="仿宋_GB2312" w:cs="Times New Roman"/>
          <w:kern w:val="2"/>
          <w:sz w:val="32"/>
          <w:szCs w:val="32"/>
          <w:lang w:val="zh-CN" w:eastAsia="zh-CN" w:bidi="ar-SA"/>
        </w:rPr>
        <w:t>资产管理。</w:t>
      </w:r>
      <w:r>
        <w:rPr>
          <w:rFonts w:hint="eastAsia" w:ascii="Times New Roman" w:hAnsi="Times New Roman" w:eastAsia="仿宋_GB2312" w:cs="Times New Roman"/>
          <w:kern w:val="2"/>
          <w:sz w:val="32"/>
          <w:szCs w:val="32"/>
          <w:lang w:val="en-US" w:eastAsia="zh-CN" w:bidi="ar-SA"/>
        </w:rPr>
        <w:t>固定资产在用率。</w:t>
      </w:r>
      <w:r>
        <w:rPr>
          <w:rFonts w:hint="eastAsia" w:eastAsia="仿宋_GB2312" w:cs="Times New Roman"/>
          <w:kern w:val="2"/>
          <w:sz w:val="32"/>
          <w:szCs w:val="32"/>
          <w:lang w:val="en-US" w:eastAsia="zh-CN" w:bidi="ar-SA"/>
        </w:rPr>
        <w:t>截至</w:t>
      </w:r>
      <w:r>
        <w:rPr>
          <w:rFonts w:hint="eastAsia" w:ascii="Times New Roman" w:hAnsi="Times New Roman" w:eastAsia="仿宋_GB2312" w:cs="Times New Roman"/>
          <w:kern w:val="2"/>
          <w:sz w:val="32"/>
          <w:szCs w:val="32"/>
          <w:lang w:val="en-US" w:eastAsia="zh-CN" w:bidi="ar-SA"/>
        </w:rPr>
        <w:t>2025年12月31日，壤塘县粮食和物资储备中心《行政单位资产管理系统》固定资产总计13.04万元，在用的固定资产总计13.04万元，固定资产在用率达100%。</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采购管理。</w:t>
      </w:r>
      <w:r>
        <w:rPr>
          <w:rFonts w:hint="eastAsia" w:ascii="Times New Roman" w:hAnsi="Times New Roman" w:eastAsia="仿宋_GB2312" w:cs="Times New Roman"/>
          <w:kern w:val="2"/>
          <w:sz w:val="32"/>
          <w:szCs w:val="32"/>
          <w:lang w:val="en-US" w:eastAsia="zh-CN" w:bidi="ar-SA"/>
        </w:rPr>
        <w:t>2025年粮食和物资储备中心采购支出共计0万元。</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2" w:firstLineChars="200"/>
        <w:jc w:val="left"/>
        <w:textAlignment w:val="auto"/>
        <w:rPr>
          <w:rFonts w:hint="eastAsia" w:ascii="Times New Roman" w:hAnsi="Times New Roman" w:eastAsia="楷体_GB2312" w:cs="Times New Roman"/>
          <w:b/>
          <w:bCs/>
          <w:color w:val="auto"/>
          <w:kern w:val="0"/>
          <w:sz w:val="32"/>
          <w:szCs w:val="32"/>
          <w:shd w:val="clear" w:color="auto" w:fill="FFFFFF"/>
          <w:lang w:val="en-US" w:eastAsia="zh-CN" w:bidi="ar-SA"/>
        </w:rPr>
      </w:pPr>
      <w:r>
        <w:rPr>
          <w:rFonts w:hint="eastAsia" w:ascii="Times New Roman" w:hAnsi="Times New Roman" w:eastAsia="楷体_GB2312" w:cs="Times New Roman"/>
          <w:b/>
          <w:bCs/>
          <w:color w:val="auto"/>
          <w:kern w:val="0"/>
          <w:sz w:val="32"/>
          <w:szCs w:val="32"/>
          <w:shd w:val="clear" w:color="auto" w:fill="FFFFFF"/>
          <w:lang w:val="en-US" w:eastAsia="zh-CN" w:bidi="ar-SA"/>
        </w:rPr>
        <w:t>（二）部门预算管理</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1.绩效目标制定</w:t>
      </w:r>
      <w:r>
        <w:rPr>
          <w:rFonts w:hint="eastAsia" w:ascii="Times New Roman" w:hAnsi="Times New Roman"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制定了2025年整体目标：</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今年，我中心在县委、县政府和上级主管部门的领导下，坚持以习近平新时代中国特色社会主义思想为指导，紧紧围绕工作重点和主要目标，以高度的政治自觉性统领粮食工作。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2.2025年重点工作完成情况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政策性储备粮规范管理。一是充实完善应急储备。按照省、州下达的地方粮食储备计划，确保州级储备粮油1114吨、县级储备1292吨规模不减，库存充足，为县政府应对突发事件、保供稳价奠定坚实的物质基础。二是严格执行轮换制度。严格执行《壤塘县级储备粮轮换管理办法》。2025年，我县轮换州级储备粮油517吨，县级储备粮油220吨，确保了储备规模不变。三是加强仓储规范化管理。大力推广应用绿色生态储粮技术，延缓粮食品质劣变，减少储存损耗。强化仓储设施维护和改造，提升科学储粮水平。定期开展库存检查和质量普查，确保储粮安全。建立严格的库存核查机制，综合运用日常检查、定期巡查、随机抽查、年度考核以及信息化监管手段，加强对县承储企业库存情况的监督检查。</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扎实推进粮食信息化监管。推进信息化平台应用。按照统一部署，加快升级覆盖政策性粮食承储企业的智能化管理平台。推动粮食库存、购销、质量等数据互联互通，实现信息动态采集、实时监控和综合分析，推动粮食仓储管理向精细化、智能化转型。</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加强流通环节监管。一是开展粮食流通“综合查一次”联合执法检查。组织市场监管、科农等部门对超市、粮油门市及粮油企业开展联合执法，严防不合格粮油流入市场；督促相关企业严格落实国家粮食收购政策，督促慧科公司完善秋粮收购合同和价格公开公示，进一步保障老百姓的消费权益；督促粮油收储公司用好用活粮食收购信贷基金，二是加快“壤巴拉菜籽油”产业厂房建设。</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2" w:firstLineChars="200"/>
        <w:jc w:val="left"/>
        <w:textAlignment w:val="auto"/>
        <w:rPr>
          <w:rFonts w:hint="eastAsia" w:ascii="Times New Roman" w:hAnsi="Times New Roman" w:eastAsia="仿宋_GB2312" w:cs="Times New Roman"/>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（一）评价结论。</w:t>
      </w:r>
      <w:r>
        <w:rPr>
          <w:rFonts w:hint="eastAsia" w:ascii="Times New Roman" w:hAnsi="Times New Roman" w:eastAsia="仿宋_GB2312" w:cs="Times New Roman"/>
          <w:kern w:val="2"/>
          <w:sz w:val="32"/>
          <w:szCs w:val="32"/>
          <w:lang w:val="en-US" w:eastAsia="zh-CN" w:bidi="ar-SA"/>
        </w:rPr>
        <w:t>根据考核评分细则，严格按照相关财务管理制度规定，财务制度健全、会计核算规范，依照计划管理使用。按照部门整体支出绩效评价指标体系对照打分得出结果，分数为</w:t>
      </w:r>
      <w:r>
        <w:rPr>
          <w:rFonts w:hint="eastAsia" w:cs="Times New Roman"/>
          <w:kern w:val="2"/>
          <w:sz w:val="32"/>
          <w:szCs w:val="32"/>
          <w:lang w:val="en-US" w:eastAsia="zh-CN" w:bidi="ar-SA"/>
        </w:rPr>
        <w:t>90</w:t>
      </w:r>
      <w:r>
        <w:rPr>
          <w:rFonts w:hint="eastAsia" w:ascii="Times New Roman" w:hAnsi="Times New Roman" w:eastAsia="仿宋_GB2312" w:cs="Times New Roman"/>
          <w:kern w:val="2"/>
          <w:sz w:val="32"/>
          <w:szCs w:val="32"/>
          <w:lang w:val="en-US" w:eastAsia="zh-CN" w:bidi="ar-SA"/>
        </w:rPr>
        <w:t>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2" w:firstLineChars="200"/>
        <w:jc w:val="left"/>
        <w:textAlignment w:val="auto"/>
        <w:rPr>
          <w:rFonts w:hint="eastAsia" w:ascii="Times New Roman" w:hAnsi="Times New Roman" w:eastAsia="仿宋_GB2312" w:cs="Times New Roman"/>
          <w:kern w:val="2"/>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eastAsia="zh-CN" w:bidi="ar-SA"/>
        </w:rPr>
        <w:t>（二）存在问题。</w:t>
      </w:r>
      <w:r>
        <w:rPr>
          <w:rFonts w:hint="eastAsia" w:ascii="Times New Roman" w:hAnsi="Times New Roman" w:eastAsia="仿宋_GB2312" w:cs="Times New Roman"/>
          <w:b/>
          <w:bCs/>
          <w:kern w:val="2"/>
          <w:sz w:val="32"/>
          <w:szCs w:val="32"/>
          <w:lang w:val="en-US" w:eastAsia="zh-CN" w:bidi="ar-SA"/>
        </w:rPr>
        <w:t>一是</w:t>
      </w:r>
      <w:r>
        <w:rPr>
          <w:rFonts w:hint="eastAsia" w:ascii="Times New Roman" w:hAnsi="Times New Roman" w:eastAsia="仿宋_GB2312" w:cs="Times New Roman"/>
          <w:kern w:val="2"/>
          <w:sz w:val="32"/>
          <w:szCs w:val="32"/>
          <w:lang w:val="en-US" w:eastAsia="zh-CN" w:bidi="ar-SA"/>
        </w:rPr>
        <w:t>预算编制有待更严格执行，预算编制与实际支出项目有的存在差异。</w:t>
      </w:r>
      <w:r>
        <w:rPr>
          <w:rFonts w:hint="eastAsia" w:ascii="Times New Roman" w:hAnsi="Times New Roman" w:eastAsia="仿宋_GB2312" w:cs="Times New Roman"/>
          <w:b/>
          <w:bCs/>
          <w:kern w:val="2"/>
          <w:sz w:val="32"/>
          <w:szCs w:val="32"/>
          <w:lang w:val="en-US" w:eastAsia="zh-CN" w:bidi="ar-SA"/>
        </w:rPr>
        <w:t>二是</w:t>
      </w:r>
      <w:r>
        <w:rPr>
          <w:rFonts w:hint="eastAsia" w:ascii="Times New Roman" w:hAnsi="Times New Roman" w:eastAsia="仿宋_GB2312" w:cs="Times New Roman"/>
          <w:kern w:val="2"/>
          <w:sz w:val="32"/>
          <w:szCs w:val="32"/>
          <w:lang w:val="en-US" w:eastAsia="zh-CN" w:bidi="ar-SA"/>
        </w:rPr>
        <w:t>制度执行力度有待加强</w:t>
      </w:r>
      <w:r>
        <w:rPr>
          <w:rFonts w:hint="eastAsia" w:ascii="Times New Roman" w:hAnsi="Times New Roman" w:cs="Times New Roman"/>
          <w:kern w:val="2"/>
          <w:sz w:val="32"/>
          <w:szCs w:val="32"/>
          <w:lang w:val="en-US" w:eastAsia="zh-CN" w:bidi="ar-SA"/>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60" w:lineRule="exact"/>
        <w:ind w:left="0" w:right="0" w:firstLine="642" w:firstLineChars="200"/>
        <w:jc w:val="left"/>
        <w:textAlignment w:val="auto"/>
        <w:rPr>
          <w:rFonts w:eastAsia="黑体"/>
          <w:szCs w:val="32"/>
        </w:rPr>
      </w:pPr>
      <w:r>
        <w:rPr>
          <w:rFonts w:ascii="Times New Roman" w:hAnsi="Times New Roman" w:eastAsia="楷体_GB2312" w:cs="Times New Roman"/>
          <w:b/>
          <w:bCs/>
          <w:color w:val="000000"/>
          <w:kern w:val="0"/>
          <w:sz w:val="32"/>
          <w:szCs w:val="32"/>
          <w:shd w:val="clear" w:color="auto" w:fill="FFFFFF"/>
          <w:lang w:val="zh-CN" w:eastAsia="zh-CN" w:bidi="ar-SA"/>
        </w:rPr>
        <w:t>（三）改进建议。</w:t>
      </w:r>
      <w:bookmarkStart w:id="66" w:name="_Hlk110546638"/>
      <w:r>
        <w:rPr>
          <w:rFonts w:hint="eastAsia" w:ascii="Times New Roman" w:hAnsi="Times New Roman" w:eastAsia="仿宋_GB2312" w:cs="Times New Roman"/>
          <w:b/>
          <w:bCs/>
          <w:kern w:val="2"/>
          <w:sz w:val="32"/>
          <w:szCs w:val="32"/>
          <w:lang w:val="en-US" w:eastAsia="zh-CN" w:bidi="ar-SA"/>
        </w:rPr>
        <w:t>一是</w:t>
      </w:r>
      <w:r>
        <w:rPr>
          <w:rFonts w:hint="eastAsia" w:ascii="Times New Roman" w:hAnsi="Times New Roman" w:eastAsia="仿宋_GB2312" w:cs="Times New Roman"/>
          <w:kern w:val="2"/>
          <w:sz w:val="32"/>
          <w:szCs w:val="32"/>
          <w:lang w:val="en-US" w:eastAsia="zh-CN" w:bidi="ar-SA"/>
        </w:rPr>
        <w:t>按照预算规定的项目和用途严格财务审核，经费支出严格按预算规定项目的财务支出内容进行财务核算，在预算金额内严格控制费用的支出。</w:t>
      </w:r>
      <w:r>
        <w:rPr>
          <w:rFonts w:hint="eastAsia" w:ascii="Times New Roman" w:hAnsi="Times New Roman" w:eastAsia="仿宋_GB2312" w:cs="Times New Roman"/>
          <w:b/>
          <w:bCs/>
          <w:kern w:val="2"/>
          <w:sz w:val="32"/>
          <w:szCs w:val="32"/>
          <w:lang w:val="en-US" w:eastAsia="zh-CN" w:bidi="ar-SA"/>
        </w:rPr>
        <w:t>二是</w:t>
      </w:r>
      <w:r>
        <w:rPr>
          <w:rFonts w:hint="eastAsia" w:ascii="仿宋_GB2312" w:hAnsi="仿宋_GB2312" w:eastAsia="仿宋_GB2312" w:cs="仿宋_GB2312"/>
          <w:color w:val="000000"/>
          <w:kern w:val="2"/>
          <w:sz w:val="32"/>
          <w:szCs w:val="32"/>
          <w:lang w:val="en-US" w:eastAsia="zh-CN" w:bidi="ar-SA"/>
        </w:rPr>
        <w:t>预算财务分析常态化，定期做好预算支出财务分析，做好部门整体支出预算评价工作，完善各项制度，提升执行力。</w:t>
      </w:r>
      <w:bookmarkEnd w:id="66"/>
    </w:p>
    <w:p>
      <w:pPr>
        <w:ind w:firstLine="640" w:firstLineChars="200"/>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W w:w="9416" w:type="dxa"/>
        <w:tblInd w:w="0" w:type="dxa"/>
        <w:tblLayout w:type="autofit"/>
        <w:tblCellMar>
          <w:top w:w="0" w:type="dxa"/>
          <w:left w:w="0" w:type="dxa"/>
          <w:bottom w:w="0" w:type="dxa"/>
          <w:right w:w="0" w:type="dxa"/>
        </w:tblCellMar>
      </w:tblPr>
      <w:tblGrid>
        <w:gridCol w:w="490"/>
        <w:gridCol w:w="677"/>
        <w:gridCol w:w="919"/>
        <w:gridCol w:w="2216"/>
        <w:gridCol w:w="543"/>
        <w:gridCol w:w="531"/>
        <w:gridCol w:w="1154"/>
        <w:gridCol w:w="1267"/>
        <w:gridCol w:w="609"/>
        <w:gridCol w:w="729"/>
        <w:gridCol w:w="281"/>
      </w:tblGrid>
      <w:tr>
        <w:tblPrEx>
          <w:tblCellMar>
            <w:top w:w="0" w:type="dxa"/>
            <w:left w:w="0" w:type="dxa"/>
            <w:bottom w:w="0" w:type="dxa"/>
            <w:right w:w="0" w:type="dxa"/>
          </w:tblCellMar>
        </w:tblPrEx>
        <w:trPr>
          <w:trHeight w:val="617" w:hRule="atLeast"/>
        </w:trPr>
        <w:tc>
          <w:tcPr>
            <w:tcW w:w="9416" w:type="dxa"/>
            <w:gridSpan w:val="11"/>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w:t>
            </w:r>
          </w:p>
        </w:tc>
      </w:tr>
      <w:tr>
        <w:tblPrEx>
          <w:tblCellMar>
            <w:top w:w="0" w:type="dxa"/>
            <w:left w:w="0" w:type="dxa"/>
            <w:bottom w:w="0" w:type="dxa"/>
            <w:right w:w="0" w:type="dxa"/>
          </w:tblCellMar>
        </w:tblPrEx>
        <w:trPr>
          <w:trHeight w:val="420" w:hRule="atLeast"/>
        </w:trPr>
        <w:tc>
          <w:tcPr>
            <w:tcW w:w="9416" w:type="dxa"/>
            <w:gridSpan w:val="11"/>
            <w:tcBorders>
              <w:top w:val="nil"/>
              <w:left w:val="nil"/>
              <w:bottom w:val="single" w:color="000000" w:sz="4" w:space="0"/>
              <w:right w:val="nil"/>
            </w:tcBorders>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（2025年度）</w:t>
            </w:r>
          </w:p>
        </w:tc>
      </w:tr>
      <w:tr>
        <w:tblPrEx>
          <w:tblCellMar>
            <w:top w:w="0" w:type="dxa"/>
            <w:left w:w="0" w:type="dxa"/>
            <w:bottom w:w="0" w:type="dxa"/>
            <w:right w:w="0" w:type="dxa"/>
          </w:tblCellMar>
        </w:tblPrEx>
        <w:trPr>
          <w:trHeight w:val="1008" w:hRule="atLeast"/>
        </w:trPr>
        <w:tc>
          <w:tcPr>
            <w:tcW w:w="208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2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51323023T000007689556-粮食质量安全检查和监测经费</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项目负责人及电话</w:t>
            </w:r>
          </w:p>
        </w:tc>
        <w:tc>
          <w:tcPr>
            <w:tcW w:w="288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陈刚13541567983</w:t>
            </w:r>
          </w:p>
        </w:tc>
      </w:tr>
      <w:tr>
        <w:tblPrEx>
          <w:tblCellMar>
            <w:top w:w="0" w:type="dxa"/>
            <w:left w:w="0" w:type="dxa"/>
            <w:bottom w:w="0" w:type="dxa"/>
            <w:right w:w="0" w:type="dxa"/>
          </w:tblCellMar>
        </w:tblPrEx>
        <w:trPr>
          <w:trHeight w:val="325" w:hRule="atLeast"/>
        </w:trPr>
        <w:tc>
          <w:tcPr>
            <w:tcW w:w="208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w:t>
            </w:r>
          </w:p>
        </w:tc>
        <w:tc>
          <w:tcPr>
            <w:tcW w:w="329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壤塘县粮食和物资储备中心</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288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壤塘县粮食和物资储备中心</w:t>
            </w:r>
          </w:p>
        </w:tc>
      </w:tr>
      <w:tr>
        <w:tblPrEx>
          <w:tblCellMar>
            <w:top w:w="0" w:type="dxa"/>
            <w:left w:w="0" w:type="dxa"/>
            <w:bottom w:w="0" w:type="dxa"/>
            <w:right w:w="0" w:type="dxa"/>
          </w:tblCellMar>
        </w:tblPrEx>
        <w:trPr>
          <w:trHeight w:val="626" w:hRule="atLeast"/>
        </w:trPr>
        <w:tc>
          <w:tcPr>
            <w:tcW w:w="2086"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（万元）</w:t>
            </w:r>
          </w:p>
        </w:tc>
        <w:tc>
          <w:tcPr>
            <w:tcW w:w="22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全年预算数（A）</w:t>
            </w:r>
          </w:p>
        </w:tc>
        <w:tc>
          <w:tcPr>
            <w:tcW w:w="2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全年执行数（B）</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分值</w:t>
            </w:r>
          </w:p>
        </w:tc>
        <w:tc>
          <w:tcPr>
            <w:tcW w:w="7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执行率（B/A)</w:t>
            </w:r>
          </w:p>
        </w:tc>
        <w:tc>
          <w:tcPr>
            <w:tcW w:w="2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得分</w:t>
            </w:r>
          </w:p>
        </w:tc>
      </w:tr>
      <w:tr>
        <w:tblPrEx>
          <w:tblCellMar>
            <w:top w:w="0" w:type="dxa"/>
            <w:left w:w="0" w:type="dxa"/>
            <w:bottom w:w="0" w:type="dxa"/>
            <w:right w:w="0" w:type="dxa"/>
          </w:tblCellMar>
        </w:tblPrEx>
        <w:trPr>
          <w:trHeight w:val="325" w:hRule="atLeast"/>
        </w:trPr>
        <w:tc>
          <w:tcPr>
            <w:tcW w:w="2086"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年度资金总额：</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 </w:t>
            </w:r>
          </w:p>
        </w:tc>
        <w:tc>
          <w:tcPr>
            <w:tcW w:w="2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 </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2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CellMar>
            <w:top w:w="0" w:type="dxa"/>
            <w:left w:w="0" w:type="dxa"/>
            <w:bottom w:w="0" w:type="dxa"/>
            <w:right w:w="0" w:type="dxa"/>
          </w:tblCellMar>
        </w:tblPrEx>
        <w:trPr>
          <w:trHeight w:val="325" w:hRule="atLeast"/>
        </w:trPr>
        <w:tc>
          <w:tcPr>
            <w:tcW w:w="2086"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8"/>
                <w:lang w:val="en-US" w:eastAsia="zh-CN" w:bidi="ar"/>
              </w:rPr>
              <w:t xml:space="preserve"> </w:t>
            </w:r>
            <w:r>
              <w:rPr>
                <w:rStyle w:val="39"/>
                <w:lang w:val="en-US" w:eastAsia="zh-CN" w:bidi="ar"/>
              </w:rPr>
              <w:t>其中：本年财政拨款</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 </w:t>
            </w:r>
          </w:p>
        </w:tc>
        <w:tc>
          <w:tcPr>
            <w:tcW w:w="2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 </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25" w:hRule="atLeast"/>
        </w:trPr>
        <w:tc>
          <w:tcPr>
            <w:tcW w:w="2086"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8"/>
                <w:lang w:val="en-US" w:eastAsia="zh-CN" w:bidi="ar"/>
              </w:rPr>
              <w:t xml:space="preserve"> </w:t>
            </w:r>
            <w:r>
              <w:rPr>
                <w:rStyle w:val="39"/>
                <w:lang w:val="en-US" w:eastAsia="zh-CN" w:bidi="ar"/>
              </w:rPr>
              <w:t xml:space="preserve">      其他资金</w:t>
            </w:r>
          </w:p>
        </w:tc>
        <w:tc>
          <w:tcPr>
            <w:tcW w:w="107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25" w:hRule="atLeast"/>
        </w:trPr>
        <w:tc>
          <w:tcPr>
            <w:tcW w:w="4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w:t>
            </w:r>
          </w:p>
        </w:tc>
        <w:tc>
          <w:tcPr>
            <w:tcW w:w="488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年初设定目标</w:t>
            </w:r>
          </w:p>
        </w:tc>
        <w:tc>
          <w:tcPr>
            <w:tcW w:w="404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年度总体目标完成情况综述</w:t>
            </w:r>
          </w:p>
        </w:tc>
      </w:tr>
      <w:tr>
        <w:tblPrEx>
          <w:tblCellMar>
            <w:top w:w="0" w:type="dxa"/>
            <w:left w:w="0" w:type="dxa"/>
            <w:bottom w:w="0" w:type="dxa"/>
            <w:right w:w="0" w:type="dxa"/>
          </w:tblCellMar>
        </w:tblPrEx>
        <w:trPr>
          <w:trHeight w:val="135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8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用于加强粮食生产质量安全的监督监管，采取措施加强对粮食质量的保证，提升粮食安全系数。</w:t>
            </w:r>
          </w:p>
        </w:tc>
        <w:tc>
          <w:tcPr>
            <w:tcW w:w="404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加强了粮食生产质量安全的监督监管，采取措施加强对粮食质量的保证，提升粮食安全系数。</w:t>
            </w:r>
          </w:p>
        </w:tc>
      </w:tr>
      <w:tr>
        <w:tblPrEx>
          <w:tblCellMar>
            <w:top w:w="0" w:type="dxa"/>
            <w:left w:w="0" w:type="dxa"/>
            <w:bottom w:w="0" w:type="dxa"/>
            <w:right w:w="0" w:type="dxa"/>
          </w:tblCellMar>
        </w:tblPrEx>
        <w:trPr>
          <w:trHeight w:val="927" w:hRule="atLeast"/>
        </w:trPr>
        <w:tc>
          <w:tcPr>
            <w:tcW w:w="4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6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9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分值</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年度指标值</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全年实际值</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得分</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未完成原因及拟采取的改进措施</w:t>
            </w: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(50分)</w:t>
            </w: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粮油检测次数</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≥6次</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4次</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各类粮油抽查覆盖率</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14.2</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检查工作完成所需时间</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≤10个月</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10个月</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20</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全年粮食安全监测花费资金</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≤1万元</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1万元</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(30分)</w:t>
            </w: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26"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加强对粮油质量的抽检，为粮油安全和群众食品安全提供制度保障</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8.1</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26"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粮食安全监测对群众食品安全的影响率</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7.4</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1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满意度指标</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群众对食品安全的满意度</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8.2</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2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5" w:hRule="atLeast"/>
        </w:trPr>
        <w:tc>
          <w:tcPr>
            <w:tcW w:w="484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总分</w:t>
            </w:r>
          </w:p>
        </w:tc>
        <w:tc>
          <w:tcPr>
            <w:tcW w:w="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100</w:t>
            </w:r>
          </w:p>
        </w:tc>
        <w:tc>
          <w:tcPr>
            <w:tcW w:w="2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83.9</w:t>
            </w:r>
          </w:p>
        </w:tc>
        <w:tc>
          <w:tcPr>
            <w:tcW w:w="10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737" w:hRule="atLeast"/>
        </w:trPr>
        <w:tc>
          <w:tcPr>
            <w:tcW w:w="9416" w:type="dxa"/>
            <w:gridSpan w:val="11"/>
            <w:tcBorders>
              <w:top w:val="single" w:color="000000" w:sz="4" w:space="0"/>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Style w:val="40"/>
                <w:lang w:val="en-US" w:eastAsia="zh-CN" w:bidi="ar"/>
              </w:rPr>
              <w:t>注：1</w:t>
            </w:r>
            <w:r>
              <w:rPr>
                <w:rStyle w:val="41"/>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tblPrEx>
          <w:tblCellMar>
            <w:top w:w="0" w:type="dxa"/>
            <w:left w:w="0" w:type="dxa"/>
            <w:bottom w:w="0" w:type="dxa"/>
            <w:right w:w="0" w:type="dxa"/>
          </w:tblCellMar>
        </w:tblPrEx>
        <w:trPr>
          <w:trHeight w:val="617" w:hRule="atLeast"/>
        </w:trPr>
        <w:tc>
          <w:tcPr>
            <w:tcW w:w="9416" w:type="dxa"/>
            <w:gridSpan w:val="11"/>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tblPrEx>
          <w:tblCellMar>
            <w:top w:w="0" w:type="dxa"/>
            <w:left w:w="0" w:type="dxa"/>
            <w:bottom w:w="0" w:type="dxa"/>
            <w:right w:w="0" w:type="dxa"/>
          </w:tblCellMar>
        </w:tblPrEx>
        <w:trPr>
          <w:trHeight w:val="709" w:hRule="atLeast"/>
        </w:trPr>
        <w:tc>
          <w:tcPr>
            <w:tcW w:w="9416" w:type="dxa"/>
            <w:gridSpan w:val="11"/>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Style w:val="40"/>
                <w:lang w:val="en-US" w:eastAsia="zh-CN" w:bidi="ar"/>
              </w:rPr>
              <w:t xml:space="preserve">    3.定量指标若为正向指标（即指标值为</w:t>
            </w:r>
            <w:r>
              <w:rPr>
                <w:rStyle w:val="42"/>
                <w:lang w:val="en-US" w:eastAsia="zh-CN" w:bidi="ar"/>
              </w:rPr>
              <w:t>≥*），则得分计算方法应用全年实际值/年度指标值</w:t>
            </w:r>
            <w:r>
              <w:rPr>
                <w:rStyle w:val="43"/>
                <w:lang w:val="en-US" w:eastAsia="zh-CN" w:bidi="ar"/>
              </w:rPr>
              <w:t>╳</w:t>
            </w:r>
            <w:r>
              <w:rPr>
                <w:rStyle w:val="42"/>
                <w:lang w:val="en-US" w:eastAsia="zh-CN" w:bidi="ar"/>
              </w:rPr>
              <w:t>该指标分值；若定量指标为反向指标（即指标值为≤*），则得分计算方法应用年度指标值/全年实际值</w:t>
            </w:r>
            <w:r>
              <w:rPr>
                <w:rStyle w:val="43"/>
                <w:lang w:val="en-US" w:eastAsia="zh-CN" w:bidi="ar"/>
              </w:rPr>
              <w:t>╳</w:t>
            </w:r>
            <w:r>
              <w:rPr>
                <w:rStyle w:val="42"/>
                <w:lang w:val="en-US" w:eastAsia="zh-CN" w:bidi="ar"/>
              </w:rPr>
              <w:t>该指标分值；定量指标得分最高不得超过该指标分值上限。</w:t>
            </w:r>
          </w:p>
        </w:tc>
      </w:tr>
    </w:tbl>
    <w:p>
      <w:pPr>
        <w:pStyle w:val="13"/>
        <w:keepNext w:val="0"/>
        <w:keepLines w:val="0"/>
        <w:pageBreakBefore w:val="0"/>
        <w:widowControl w:val="0"/>
        <w:kinsoku/>
        <w:wordWrap/>
        <w:overflowPunct/>
        <w:topLinePunct w:val="0"/>
        <w:autoSpaceDE/>
        <w:autoSpaceDN/>
        <w:bidi w:val="0"/>
        <w:adjustRightInd/>
        <w:snapToGrid/>
        <w:spacing w:after="0" w:line="20" w:lineRule="exact"/>
        <w:ind w:left="0" w:leftChars="0" w:firstLine="0" w:firstLineChars="0"/>
        <w:textAlignment w:val="auto"/>
        <w:rPr>
          <w:rFonts w:hint="default" w:ascii="Times New Roman" w:hAnsi="Times New Roman" w:eastAsia="黑体" w:cs="Times New Roman"/>
          <w:sz w:val="24"/>
          <w:szCs w:val="24"/>
          <w:highlight w:val="none"/>
          <w:lang w:val="en-US" w:eastAsia="zh-CN"/>
        </w:rPr>
      </w:pPr>
    </w:p>
    <w:p>
      <w:pPr>
        <w:rPr>
          <w:rFonts w:hint="eastAsia" w:ascii="Times New Roman" w:hAnsi="Times New Roman" w:eastAsia="仿宋_GB2312" w:cs="Times New Roman"/>
          <w:kern w:val="2"/>
          <w:sz w:val="32"/>
          <w:szCs w:val="32"/>
          <w:u w:val="none"/>
          <w:lang w:val="en-US" w:eastAsia="zh-CN" w:bidi="ar"/>
        </w:rPr>
      </w:pPr>
    </w:p>
    <w:p/>
    <w:p>
      <w:pPr>
        <w:pStyle w:val="9"/>
        <w:rPr>
          <w:rFonts w:hint="eastAsia"/>
          <w:lang w:val="zh-CN" w:eastAsia="zh-CN"/>
        </w:rPr>
      </w:pPr>
    </w:p>
    <w:tbl>
      <w:tblPr>
        <w:tblStyle w:val="16"/>
        <w:tblW w:w="9616" w:type="dxa"/>
        <w:tblInd w:w="0" w:type="dxa"/>
        <w:tblLayout w:type="autofit"/>
        <w:tblCellMar>
          <w:top w:w="0" w:type="dxa"/>
          <w:left w:w="0" w:type="dxa"/>
          <w:bottom w:w="0" w:type="dxa"/>
          <w:right w:w="0" w:type="dxa"/>
        </w:tblCellMar>
      </w:tblPr>
      <w:tblGrid>
        <w:gridCol w:w="495"/>
        <w:gridCol w:w="682"/>
        <w:gridCol w:w="923"/>
        <w:gridCol w:w="2231"/>
        <w:gridCol w:w="547"/>
        <w:gridCol w:w="535"/>
        <w:gridCol w:w="1162"/>
        <w:gridCol w:w="1275"/>
        <w:gridCol w:w="614"/>
        <w:gridCol w:w="734"/>
        <w:gridCol w:w="418"/>
      </w:tblGrid>
      <w:tr>
        <w:tblPrEx>
          <w:tblCellMar>
            <w:top w:w="0" w:type="dxa"/>
            <w:left w:w="0" w:type="dxa"/>
            <w:bottom w:w="0" w:type="dxa"/>
            <w:right w:w="0" w:type="dxa"/>
          </w:tblCellMar>
        </w:tblPrEx>
        <w:trPr>
          <w:trHeight w:val="606" w:hRule="atLeast"/>
        </w:trPr>
        <w:tc>
          <w:tcPr>
            <w:tcW w:w="9616" w:type="dxa"/>
            <w:gridSpan w:val="11"/>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w:t>
            </w:r>
          </w:p>
        </w:tc>
      </w:tr>
      <w:tr>
        <w:tblPrEx>
          <w:tblCellMar>
            <w:top w:w="0" w:type="dxa"/>
            <w:left w:w="0" w:type="dxa"/>
            <w:bottom w:w="0" w:type="dxa"/>
            <w:right w:w="0" w:type="dxa"/>
          </w:tblCellMar>
        </w:tblPrEx>
        <w:trPr>
          <w:trHeight w:val="413" w:hRule="atLeast"/>
        </w:trPr>
        <w:tc>
          <w:tcPr>
            <w:tcW w:w="9616" w:type="dxa"/>
            <w:gridSpan w:val="11"/>
            <w:tcBorders>
              <w:top w:val="nil"/>
              <w:left w:val="nil"/>
              <w:bottom w:val="single" w:color="000000" w:sz="4" w:space="0"/>
              <w:right w:val="nil"/>
            </w:tcBorders>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（2025年度）</w:t>
            </w:r>
          </w:p>
        </w:tc>
      </w:tr>
      <w:tr>
        <w:tblPrEx>
          <w:tblCellMar>
            <w:top w:w="0" w:type="dxa"/>
            <w:left w:w="0" w:type="dxa"/>
            <w:bottom w:w="0" w:type="dxa"/>
            <w:right w:w="0" w:type="dxa"/>
          </w:tblCellMar>
        </w:tblPrEx>
        <w:trPr>
          <w:trHeight w:val="991" w:hRule="atLeast"/>
        </w:trPr>
        <w:tc>
          <w:tcPr>
            <w:tcW w:w="210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31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51323024T000010960273-县级储备粮利息及费用补贴</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项目负责人及电话</w:t>
            </w:r>
          </w:p>
        </w:tc>
        <w:tc>
          <w:tcPr>
            <w:tcW w:w="3041"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陈刚13541567983</w:t>
            </w:r>
          </w:p>
        </w:tc>
      </w:tr>
      <w:tr>
        <w:tblPrEx>
          <w:tblCellMar>
            <w:top w:w="0" w:type="dxa"/>
            <w:left w:w="0" w:type="dxa"/>
            <w:bottom w:w="0" w:type="dxa"/>
            <w:right w:w="0" w:type="dxa"/>
          </w:tblCellMar>
        </w:tblPrEx>
        <w:trPr>
          <w:trHeight w:val="320" w:hRule="atLeast"/>
        </w:trPr>
        <w:tc>
          <w:tcPr>
            <w:tcW w:w="210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w:t>
            </w:r>
          </w:p>
        </w:tc>
        <w:tc>
          <w:tcPr>
            <w:tcW w:w="331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壤塘县粮食和物资储备中心</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3041"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壤塘县粮食和物资储备中心</w:t>
            </w:r>
          </w:p>
        </w:tc>
      </w:tr>
      <w:tr>
        <w:tblPrEx>
          <w:tblCellMar>
            <w:top w:w="0" w:type="dxa"/>
            <w:left w:w="0" w:type="dxa"/>
            <w:bottom w:w="0" w:type="dxa"/>
            <w:right w:w="0" w:type="dxa"/>
          </w:tblCellMar>
        </w:tblPrEx>
        <w:trPr>
          <w:trHeight w:val="615" w:hRule="atLeast"/>
        </w:trPr>
        <w:tc>
          <w:tcPr>
            <w:tcW w:w="210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（万元）</w:t>
            </w:r>
          </w:p>
        </w:tc>
        <w:tc>
          <w:tcPr>
            <w:tcW w:w="22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全年预算数（A）</w:t>
            </w:r>
          </w:p>
        </w:tc>
        <w:tc>
          <w:tcPr>
            <w:tcW w:w="24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全年执行数（B）</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分值</w:t>
            </w:r>
          </w:p>
        </w:tc>
        <w:tc>
          <w:tcPr>
            <w:tcW w:w="7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执行率（B/A)</w:t>
            </w:r>
          </w:p>
        </w:tc>
        <w:tc>
          <w:tcPr>
            <w:tcW w:w="4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得分</w:t>
            </w:r>
          </w:p>
        </w:tc>
      </w:tr>
      <w:tr>
        <w:tblPrEx>
          <w:tblCellMar>
            <w:top w:w="0" w:type="dxa"/>
            <w:left w:w="0" w:type="dxa"/>
            <w:bottom w:w="0" w:type="dxa"/>
            <w:right w:w="0" w:type="dxa"/>
          </w:tblCellMar>
        </w:tblPrEx>
        <w:trPr>
          <w:trHeight w:val="320" w:hRule="atLeast"/>
        </w:trPr>
        <w:tc>
          <w:tcPr>
            <w:tcW w:w="210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年度资金总额：</w:t>
            </w:r>
          </w:p>
        </w:tc>
        <w:tc>
          <w:tcPr>
            <w:tcW w:w="10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105.80 </w:t>
            </w:r>
          </w:p>
        </w:tc>
        <w:tc>
          <w:tcPr>
            <w:tcW w:w="24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87.86 </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83.04%</w:t>
            </w:r>
          </w:p>
        </w:tc>
        <w:tc>
          <w:tcPr>
            <w:tcW w:w="4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r>
      <w:tr>
        <w:tblPrEx>
          <w:tblCellMar>
            <w:top w:w="0" w:type="dxa"/>
            <w:left w:w="0" w:type="dxa"/>
            <w:bottom w:w="0" w:type="dxa"/>
            <w:right w:w="0" w:type="dxa"/>
          </w:tblCellMar>
        </w:tblPrEx>
        <w:trPr>
          <w:trHeight w:val="320" w:hRule="atLeast"/>
        </w:trPr>
        <w:tc>
          <w:tcPr>
            <w:tcW w:w="210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46"/>
                <w:lang w:val="en-US" w:eastAsia="zh-CN" w:bidi="ar"/>
              </w:rPr>
              <w:t xml:space="preserve"> </w:t>
            </w:r>
            <w:r>
              <w:rPr>
                <w:rStyle w:val="43"/>
                <w:lang w:val="en-US" w:eastAsia="zh-CN" w:bidi="ar"/>
              </w:rPr>
              <w:t>其中：本年财政拨款</w:t>
            </w:r>
          </w:p>
        </w:tc>
        <w:tc>
          <w:tcPr>
            <w:tcW w:w="10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105.80 </w:t>
            </w:r>
          </w:p>
        </w:tc>
        <w:tc>
          <w:tcPr>
            <w:tcW w:w="24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87.86 </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20" w:hRule="atLeast"/>
        </w:trPr>
        <w:tc>
          <w:tcPr>
            <w:tcW w:w="210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46"/>
                <w:lang w:val="en-US" w:eastAsia="zh-CN" w:bidi="ar"/>
              </w:rPr>
              <w:t xml:space="preserve"> </w:t>
            </w:r>
            <w:r>
              <w:rPr>
                <w:rStyle w:val="43"/>
                <w:lang w:val="en-US" w:eastAsia="zh-CN" w:bidi="ar"/>
              </w:rPr>
              <w:t xml:space="preserve">      其他资金</w:t>
            </w:r>
          </w:p>
        </w:tc>
        <w:tc>
          <w:tcPr>
            <w:tcW w:w="10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20" w:hRule="atLeast"/>
        </w:trPr>
        <w:tc>
          <w:tcPr>
            <w:tcW w:w="49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w:t>
            </w:r>
          </w:p>
        </w:tc>
        <w:tc>
          <w:tcPr>
            <w:tcW w:w="491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年初设定目标</w:t>
            </w:r>
          </w:p>
        </w:tc>
        <w:tc>
          <w:tcPr>
            <w:tcW w:w="420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年度总体目标完成情况综述</w:t>
            </w:r>
          </w:p>
        </w:tc>
      </w:tr>
      <w:tr>
        <w:tblPrEx>
          <w:tblCellMar>
            <w:top w:w="0" w:type="dxa"/>
            <w:left w:w="0" w:type="dxa"/>
            <w:bottom w:w="0" w:type="dxa"/>
            <w:right w:w="0" w:type="dxa"/>
          </w:tblCellMar>
        </w:tblPrEx>
        <w:trPr>
          <w:trHeight w:val="1332"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1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完成对下属粮油公司的县级储备量费用补贴，保证粮油市场稳定供应，稳定粮价。</w:t>
            </w:r>
          </w:p>
        </w:tc>
        <w:tc>
          <w:tcPr>
            <w:tcW w:w="420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完成了对下属粮油公司的县级储备量费用补贴，保证粮油市场稳定供应，稳定粮价。</w:t>
            </w:r>
          </w:p>
        </w:tc>
      </w:tr>
      <w:tr>
        <w:tblPrEx>
          <w:tblCellMar>
            <w:top w:w="0" w:type="dxa"/>
            <w:left w:w="0" w:type="dxa"/>
            <w:bottom w:w="0" w:type="dxa"/>
            <w:right w:w="0" w:type="dxa"/>
          </w:tblCellMar>
        </w:tblPrEx>
        <w:trPr>
          <w:trHeight w:val="650" w:hRule="atLeast"/>
        </w:trPr>
        <w:tc>
          <w:tcPr>
            <w:tcW w:w="49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9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分值</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年度指标值</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全年实际值</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得分</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未完成原因及拟采取的改进措施</w:t>
            </w: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(50分)</w:t>
            </w: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补贴次数</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≥4次</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4次</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粮油收储的质量率</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≥95%</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r>
              <w:rPr>
                <w:rFonts w:ascii="宋体" w:hAnsi="宋体" w:eastAsia="宋体" w:cs="宋体"/>
                <w:i w:val="0"/>
                <w:color w:val="000000"/>
                <w:kern w:val="0"/>
                <w:sz w:val="20"/>
                <w:szCs w:val="20"/>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8.4</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完成费用补贴时限</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Arial" w:hAnsi="Arial" w:eastAsia="宋体" w:cs="Arial"/>
                <w:i w:val="0"/>
                <w:color w:val="000000"/>
                <w:sz w:val="20"/>
                <w:szCs w:val="20"/>
                <w:u w:val="none"/>
              </w:rPr>
            </w:pPr>
            <w:r>
              <w:rPr>
                <w:rStyle w:val="47"/>
                <w:rFonts w:eastAsia="宋体"/>
                <w:lang w:val="en-US" w:eastAsia="zh-CN" w:bidi="ar"/>
              </w:rPr>
              <w:t>≤</w:t>
            </w:r>
            <w:r>
              <w:rPr>
                <w:rStyle w:val="46"/>
                <w:lang w:val="en-US" w:eastAsia="zh-CN" w:bidi="ar"/>
              </w:rPr>
              <w:t>12个月</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12个月</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15</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全年粮油补贴费用</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≥105.8万元</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87.9万元</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(30分)</w:t>
            </w: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15"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保证粮油收储正常进行，提升市场稳定性</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≥90%</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r>
              <w:rPr>
                <w:rFonts w:ascii="宋体" w:hAnsi="宋体" w:eastAsia="宋体" w:cs="宋体"/>
                <w:i w:val="0"/>
                <w:color w:val="000000"/>
                <w:kern w:val="0"/>
                <w:sz w:val="20"/>
                <w:szCs w:val="20"/>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7.8</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15"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保证粮油市场价格和供应相对稳定，保证群众基本生活</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≥3年</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3年</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2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满意度指标</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群众满意度</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8.4</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9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jc w:val="center"/>
              <w:rPr>
                <w:rFonts w:hint="eastAsia" w:ascii="宋体" w:hAnsi="宋体" w:eastAsia="宋体" w:cs="宋体"/>
                <w:i w:val="0"/>
                <w:color w:val="000000"/>
                <w:sz w:val="20"/>
                <w:szCs w:val="20"/>
                <w:u w:val="none"/>
              </w:rPr>
            </w:pPr>
          </w:p>
        </w:tc>
        <w:tc>
          <w:tcPr>
            <w:tcW w:w="68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27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20" w:hRule="atLeast"/>
        </w:trPr>
        <w:tc>
          <w:tcPr>
            <w:tcW w:w="487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总分</w:t>
            </w:r>
          </w:p>
        </w:tc>
        <w:tc>
          <w:tcPr>
            <w:tcW w:w="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100</w:t>
            </w:r>
          </w:p>
        </w:tc>
        <w:tc>
          <w:tcPr>
            <w:tcW w:w="24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86.2</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724" w:hRule="atLeast"/>
        </w:trPr>
        <w:tc>
          <w:tcPr>
            <w:tcW w:w="9616" w:type="dxa"/>
            <w:gridSpan w:val="11"/>
            <w:tcBorders>
              <w:top w:val="single" w:color="000000" w:sz="4" w:space="0"/>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Style w:val="48"/>
                <w:lang w:val="en-US" w:eastAsia="zh-CN" w:bidi="ar"/>
              </w:rPr>
              <w:t>注：1</w:t>
            </w:r>
            <w:r>
              <w:rPr>
                <w:rStyle w:val="49"/>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tblPrEx>
          <w:tblCellMar>
            <w:top w:w="0" w:type="dxa"/>
            <w:left w:w="0" w:type="dxa"/>
            <w:bottom w:w="0" w:type="dxa"/>
            <w:right w:w="0" w:type="dxa"/>
          </w:tblCellMar>
        </w:tblPrEx>
        <w:trPr>
          <w:trHeight w:val="606" w:hRule="atLeast"/>
        </w:trPr>
        <w:tc>
          <w:tcPr>
            <w:tcW w:w="9616" w:type="dxa"/>
            <w:gridSpan w:val="11"/>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tblPrEx>
          <w:tblCellMar>
            <w:top w:w="0" w:type="dxa"/>
            <w:left w:w="0" w:type="dxa"/>
            <w:bottom w:w="0" w:type="dxa"/>
            <w:right w:w="0" w:type="dxa"/>
          </w:tblCellMar>
        </w:tblPrEx>
        <w:trPr>
          <w:trHeight w:val="902" w:hRule="atLeast"/>
        </w:trPr>
        <w:tc>
          <w:tcPr>
            <w:tcW w:w="9616" w:type="dxa"/>
            <w:gridSpan w:val="11"/>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Style w:val="48"/>
                <w:lang w:val="en-US" w:eastAsia="zh-CN" w:bidi="ar"/>
              </w:rPr>
              <w:t xml:space="preserve">    3.定量指标若为正向指标（即指标值为</w:t>
            </w:r>
            <w:r>
              <w:rPr>
                <w:rStyle w:val="50"/>
                <w:rFonts w:ascii="宋体" w:hAnsi="宋体" w:eastAsia="宋体" w:cs="宋体"/>
                <w:sz w:val="24"/>
                <w:szCs w:val="24"/>
                <w:lang w:val="en-US" w:eastAsia="zh-CN" w:bidi="ar"/>
              </w:rPr>
              <w:t>≥*），则得分计算方法应用全年实际值/年度指标值</w:t>
            </w:r>
            <w:r>
              <w:rPr>
                <w:rStyle w:val="51"/>
                <w:lang w:val="en-US" w:eastAsia="zh-CN" w:bidi="ar"/>
              </w:rPr>
              <w:t>╳</w:t>
            </w:r>
            <w:r>
              <w:rPr>
                <w:rStyle w:val="50"/>
                <w:rFonts w:ascii="宋体" w:hAnsi="宋体" w:eastAsia="宋体" w:cs="宋体"/>
                <w:sz w:val="24"/>
                <w:szCs w:val="24"/>
                <w:lang w:val="en-US" w:eastAsia="zh-CN" w:bidi="ar"/>
              </w:rPr>
              <w:t>该指标分值；若定量指标为反向指标（即指标值为≤*），则得分计算方法应用年度指标值/全年实际值</w:t>
            </w:r>
            <w:r>
              <w:rPr>
                <w:rStyle w:val="51"/>
                <w:lang w:val="en-US" w:eastAsia="zh-CN" w:bidi="ar"/>
              </w:rPr>
              <w:t>╳</w:t>
            </w:r>
            <w:r>
              <w:rPr>
                <w:rStyle w:val="50"/>
                <w:rFonts w:ascii="宋体" w:hAnsi="宋体" w:eastAsia="宋体" w:cs="宋体"/>
                <w:sz w:val="24"/>
                <w:szCs w:val="24"/>
                <w:lang w:val="en-US" w:eastAsia="zh-CN" w:bidi="ar"/>
              </w:rPr>
              <w:t>该指标分值；定量指标得分最高不得超过该指标分值上限。</w:t>
            </w:r>
          </w:p>
        </w:tc>
      </w:tr>
    </w:tbl>
    <w:p>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2312" w:hAnsi="方正仿宋_GB2312" w:eastAsia="方正仿宋_GB2312" w:cs="方正仿宋_GB2312"/>
          <w:sz w:val="32"/>
          <w:szCs w:val="32"/>
          <w:highlight w:val="none"/>
          <w:lang w:val="en-US" w:eastAsia="zh-CN"/>
        </w:rPr>
      </w:pPr>
    </w:p>
    <w:p>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2312" w:hAnsi="方正仿宋_GB2312" w:eastAsia="方正仿宋_GB2312" w:cs="方正仿宋_GB2312"/>
          <w:sz w:val="32"/>
          <w:szCs w:val="32"/>
          <w:highlight w:val="none"/>
          <w:lang w:val="en-US" w:eastAsia="zh-CN"/>
        </w:rPr>
      </w:pPr>
    </w:p>
    <w:p>
      <w:pPr>
        <w:pStyle w:val="9"/>
        <w:rPr>
          <w:rFonts w:hint="eastAsia" w:ascii="Times New Roman" w:hAnsi="Times New Roman" w:eastAsia="黑体" w:cs="黑体"/>
          <w:color w:val="auto"/>
          <w:kern w:val="0"/>
          <w:sz w:val="32"/>
          <w:szCs w:val="32"/>
          <w:highlight w:val="none"/>
          <w:shd w:val="clear" w:color="auto" w:fill="FFFFFF"/>
          <w:lang w:val="zh-CN"/>
        </w:rPr>
      </w:pPr>
    </w:p>
    <w:p>
      <w:pPr>
        <w:pStyle w:val="9"/>
        <w:rPr>
          <w:rFonts w:hint="eastAsia" w:ascii="Times New Roman" w:hAnsi="Times New Roman" w:eastAsia="黑体" w:cs="黑体"/>
          <w:color w:val="auto"/>
          <w:kern w:val="0"/>
          <w:sz w:val="32"/>
          <w:szCs w:val="32"/>
          <w:highlight w:val="none"/>
          <w:shd w:val="clear" w:color="auto" w:fill="FFFFFF"/>
          <w:lang w:val="zh-CN"/>
        </w:rPr>
      </w:pPr>
    </w:p>
    <w:p>
      <w:pPr>
        <w:pStyle w:val="9"/>
        <w:rPr>
          <w:rFonts w:hint="eastAsia" w:ascii="Times New Roman" w:hAnsi="Times New Roman" w:eastAsia="黑体" w:cs="黑体"/>
          <w:color w:val="auto"/>
          <w:kern w:val="0"/>
          <w:sz w:val="32"/>
          <w:szCs w:val="32"/>
          <w:highlight w:val="none"/>
          <w:shd w:val="clear" w:color="auto" w:fill="FFFFFF"/>
          <w:lang w:val="zh-CN"/>
        </w:rPr>
      </w:pPr>
    </w:p>
    <w:p>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bookmarkStart w:id="67" w:name="_Toc15396618"/>
      <w:r>
        <w:rPr>
          <w:rFonts w:hint="default" w:ascii="Times New Roman" w:hAnsi="Times New Roman" w:eastAsia="方正小标宋简体" w:cs="Times New Roman"/>
          <w:color w:val="auto"/>
          <w:kern w:val="2"/>
          <w:sz w:val="44"/>
          <w:szCs w:val="44"/>
          <w:highlight w:val="none"/>
          <w:lang w:val="en-US" w:eastAsia="zh-CN"/>
        </w:rPr>
        <w:t>粮食质量安全检查和监测经费</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预算绩效自评报告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420" w:firstLineChars="200"/>
        <w:textAlignment w:val="auto"/>
        <w:rPr>
          <w:rFonts w:hint="default" w:ascii="Times New Roman" w:hAnsi="Times New Roman" w:eastAsia="黑体" w:cs="Times New Roman"/>
          <w:highlight w:val="none"/>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32"/>
          <w:szCs w:val="32"/>
          <w:highlight w:val="none"/>
          <w:lang w:val="en-US" w:eastAsia="zh-CN" w:bidi="ar-SA"/>
        </w:rPr>
      </w:pPr>
      <w:r>
        <w:rPr>
          <w:rFonts w:hint="default" w:ascii="Times New Roman" w:hAnsi="Times New Roman" w:eastAsia="方正小标宋简体" w:cs="Times New Roman"/>
          <w:b w:val="0"/>
          <w:bCs w:val="0"/>
          <w:color w:val="auto"/>
          <w:kern w:val="2"/>
          <w:sz w:val="32"/>
          <w:szCs w:val="32"/>
          <w:highlight w:val="none"/>
          <w:lang w:val="en-US" w:eastAsia="zh-CN" w:bidi="ar-SA"/>
        </w:rPr>
        <w:t>一、项目概况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（一）设立背景及基本情况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rFonts w:hint="default" w:ascii="Times New Roman" w:hAnsi="Times New Roman" w:eastAsia="方正小标宋简体" w:cs="Times New Roman"/>
          <w:b w:val="0"/>
          <w:bCs w:val="0"/>
          <w:color w:val="auto"/>
          <w:kern w:val="2"/>
          <w:sz w:val="24"/>
          <w:szCs w:val="24"/>
          <w:highlight w:val="none"/>
          <w:lang w:val="en-US" w:eastAsia="zh-CN" w:bidi="ar-SA"/>
        </w:rPr>
      </w:pPr>
      <w:r>
        <w:rPr>
          <w:rFonts w:hint="default" w:ascii="宋体" w:hAnsi="宋体" w:eastAsia="宋体" w:cs="宋体"/>
          <w:color w:val="000000"/>
          <w:kern w:val="0"/>
          <w:sz w:val="28"/>
          <w:szCs w:val="28"/>
          <w:lang w:val="en-US" w:eastAsia="zh-CN" w:bidi="ar"/>
        </w:rPr>
        <w:t>为切实保障县域粮食质量安全，落实粮食安全责任制，加强粮油收购、储存、流通环节质量监测与监督检查，依据粮食安全保障相关政策及财政专项资金管理要求设立本项目。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（二）实施目的及支持方向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单位已建立专项资金使用管理和财务内控制度，确保专款专用、规范运行。项目实施目的：强化粮食质量安全监管，防范粮食安全风险，保障群众粮油消费安全。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（三）预算安排及分配管理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19"/>
          <w:szCs w:val="19"/>
        </w:rPr>
      </w:pPr>
      <w:r>
        <w:rPr>
          <w:rFonts w:ascii="宋体" w:hAnsi="宋体" w:eastAsia="宋体" w:cs="宋体"/>
          <w:color w:val="000000"/>
          <w:kern w:val="0"/>
          <w:sz w:val="28"/>
          <w:szCs w:val="28"/>
          <w:lang w:val="en-US" w:eastAsia="zh-CN" w:bidi="ar"/>
        </w:rPr>
        <w:t>项目调整后预算1万元，全部为财政资金。按照保障重点、专款专用、厉行节约原则分配资金，严格执行国库集中支付和审批流程。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（四）项目绩效目标设置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19"/>
          <w:szCs w:val="19"/>
        </w:rPr>
      </w:pPr>
      <w:r>
        <w:rPr>
          <w:rFonts w:ascii="宋体" w:hAnsi="宋体" w:eastAsia="宋体" w:cs="宋体"/>
          <w:color w:val="000000"/>
          <w:kern w:val="0"/>
          <w:sz w:val="28"/>
          <w:szCs w:val="28"/>
          <w:lang w:val="en-US" w:eastAsia="zh-CN" w:bidi="ar"/>
        </w:rPr>
        <w:t>整体目标：强化粮食质量监管，提升安全保障能力。区域目标：实现县域粮油经营、储存主体监管全覆盖。具体目标：抽查覆盖率≥98%、检查时限≤10 个月、检测次数≥6 次、群众满意度≥98% 等。单位按规定开展绩效自评，数据真实、程序规范。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32"/>
          <w:szCs w:val="32"/>
          <w:highlight w:val="none"/>
          <w:lang w:val="en-US" w:eastAsia="zh-CN" w:bidi="ar-SA"/>
        </w:rPr>
      </w:pPr>
      <w:r>
        <w:rPr>
          <w:rFonts w:hint="default" w:ascii="Times New Roman" w:hAnsi="Times New Roman" w:eastAsia="方正小标宋简体" w:cs="Times New Roman"/>
          <w:b w:val="0"/>
          <w:bCs w:val="0"/>
          <w:color w:val="auto"/>
          <w:kern w:val="2"/>
          <w:sz w:val="32"/>
          <w:szCs w:val="32"/>
          <w:highlight w:val="none"/>
          <w:lang w:val="en-US" w:eastAsia="zh-CN" w:bidi="ar-SA"/>
        </w:rPr>
        <w:t>二、评价实施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（一）评价目的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19"/>
          <w:szCs w:val="19"/>
        </w:rPr>
      </w:pPr>
      <w:r>
        <w:rPr>
          <w:rFonts w:ascii="宋体" w:hAnsi="宋体" w:eastAsia="宋体" w:cs="宋体"/>
          <w:color w:val="000000"/>
          <w:kern w:val="0"/>
          <w:sz w:val="28"/>
          <w:szCs w:val="28"/>
          <w:lang w:val="en-US" w:eastAsia="zh-CN" w:bidi="ar"/>
        </w:rPr>
        <w:t>全面核查预算执行、资金使用、任务完成及实施成效，规范资金管理，提高使用效益，为粮食安全监管工作和预算安排提供依据。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（二）预设问题及评价重点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围绕预算执行、资金合规、产出数量质量、社会效益、群众满意度、成本控制等，对项目实施全过程进行综合评价。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（三）评价选点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19"/>
          <w:szCs w:val="19"/>
        </w:rPr>
      </w:pPr>
      <w:r>
        <w:rPr>
          <w:rFonts w:hint="eastAsia" w:ascii="宋体" w:hAnsi="宋体" w:eastAsia="宋体" w:cs="宋体"/>
          <w:color w:val="000000"/>
          <w:kern w:val="0"/>
          <w:sz w:val="28"/>
          <w:szCs w:val="28"/>
          <w:lang w:val="en-US" w:eastAsia="zh-CN" w:bidi="ar"/>
        </w:rPr>
        <w:t>无</w:t>
      </w:r>
      <w:r>
        <w:rPr>
          <w:rFonts w:ascii="宋体" w:hAnsi="宋体" w:eastAsia="宋体" w:cs="宋体"/>
          <w:color w:val="000000"/>
          <w:kern w:val="0"/>
          <w:sz w:val="28"/>
          <w:szCs w:val="28"/>
          <w:lang w:val="en-US" w:eastAsia="zh-CN" w:bidi="ar"/>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color w:val="000000"/>
          <w:sz w:val="19"/>
          <w:szCs w:val="19"/>
        </w:rPr>
      </w:pPr>
      <w:r>
        <w:rPr>
          <w:rFonts w:hint="default" w:ascii="Times New Roman" w:hAnsi="Times New Roman" w:eastAsia="方正小标宋简体" w:cs="Times New Roman"/>
          <w:b w:val="0"/>
          <w:bCs w:val="0"/>
          <w:color w:val="auto"/>
          <w:kern w:val="2"/>
          <w:sz w:val="28"/>
          <w:szCs w:val="28"/>
          <w:highlight w:val="none"/>
          <w:lang w:val="en-US" w:eastAsia="zh-CN" w:bidi="ar-SA"/>
        </w:rPr>
        <w:t>（四）评价方法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28"/>
          <w:szCs w:val="28"/>
        </w:rPr>
      </w:pPr>
      <w:r>
        <w:rPr>
          <w:rFonts w:ascii="宋体" w:hAnsi="宋体" w:eastAsia="宋体" w:cs="宋体"/>
          <w:color w:val="000000"/>
          <w:kern w:val="0"/>
          <w:sz w:val="28"/>
          <w:szCs w:val="28"/>
          <w:lang w:val="en-US" w:eastAsia="zh-CN" w:bidi="ar"/>
        </w:rPr>
        <w:t>采用单位自评法</w:t>
      </w:r>
      <w:r>
        <w:rPr>
          <w:rFonts w:hint="eastAsia" w:ascii="宋体" w:hAnsi="宋体" w:eastAsia="宋体" w:cs="宋体"/>
          <w:color w:val="000000"/>
          <w:kern w:val="0"/>
          <w:sz w:val="28"/>
          <w:szCs w:val="28"/>
          <w:lang w:val="en-US" w:eastAsia="zh-CN" w:bidi="ar"/>
        </w:rPr>
        <w:t>和</w:t>
      </w:r>
      <w:r>
        <w:rPr>
          <w:rFonts w:ascii="宋体" w:hAnsi="宋体" w:eastAsia="宋体" w:cs="宋体"/>
          <w:color w:val="000000"/>
          <w:kern w:val="0"/>
          <w:sz w:val="28"/>
          <w:szCs w:val="28"/>
          <w:lang w:val="en-US" w:eastAsia="zh-CN" w:bidi="ar"/>
        </w:rPr>
        <w:t>实地勘察法，定量与定性相结合开展评价。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（五）评价组织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19"/>
          <w:szCs w:val="19"/>
        </w:rPr>
      </w:pPr>
      <w:r>
        <w:rPr>
          <w:rFonts w:ascii="宋体" w:hAnsi="宋体" w:eastAsia="宋体" w:cs="宋体"/>
          <w:color w:val="000000"/>
          <w:kern w:val="0"/>
          <w:sz w:val="28"/>
          <w:szCs w:val="28"/>
          <w:lang w:val="en-US" w:eastAsia="zh-CN" w:bidi="ar"/>
        </w:rPr>
        <w:t>成立由单位负责人、财务及业务人员组成的自评小组，财务负责资金执行核算，业务负责任务完成核实，综合负责报告汇总。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32"/>
          <w:szCs w:val="32"/>
          <w:highlight w:val="none"/>
          <w:lang w:val="en-US" w:eastAsia="zh-CN" w:bidi="ar-SA"/>
        </w:rPr>
      </w:pPr>
      <w:r>
        <w:rPr>
          <w:rFonts w:hint="default" w:ascii="Times New Roman" w:hAnsi="Times New Roman" w:eastAsia="方正小标宋简体" w:cs="Times New Roman"/>
          <w:b w:val="0"/>
          <w:bCs w:val="0"/>
          <w:color w:val="auto"/>
          <w:kern w:val="2"/>
          <w:sz w:val="32"/>
          <w:szCs w:val="32"/>
          <w:highlight w:val="none"/>
          <w:lang w:val="en-US" w:eastAsia="zh-CN" w:bidi="ar-SA"/>
        </w:rPr>
        <w:t>三、绩效分析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（一）通用指标绩效分析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 项目决策：立项依据充分，程序规范，资金投向符合粮食安全保障政策要求。 2. 项目管理：制度健全，资金分配规范，绩效监管到位，资料台账完整。 3. 项目实施：预算执行率 100%，资金使用合规，无挤占挪用、超范围支出。 4. 项目结果：总体目标按期完成，实施时效、质量、成本控制均达标。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（二）专用指标绩效分析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color w:val="000000"/>
          <w:sz w:val="19"/>
          <w:szCs w:val="19"/>
        </w:rPr>
      </w:pPr>
      <w:r>
        <w:rPr>
          <w:rFonts w:ascii="宋体" w:hAnsi="宋体" w:eastAsia="宋体" w:cs="宋体"/>
          <w:color w:val="000000"/>
          <w:kern w:val="0"/>
          <w:sz w:val="28"/>
          <w:szCs w:val="28"/>
          <w:lang w:val="en-US" w:eastAsia="zh-CN" w:bidi="ar"/>
        </w:rPr>
        <w:t>围绕区域均衡、对象精准、标准合理、群众满意开展评价。执行标准规范，群众满意度达标，民生安全保障成效明显。</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28"/>
          <w:szCs w:val="28"/>
          <w:highlight w:val="none"/>
          <w:lang w:val="en-US" w:eastAsia="zh-CN" w:bidi="ar-SA"/>
        </w:rPr>
      </w:pPr>
      <w:r>
        <w:rPr>
          <w:rFonts w:hint="default" w:ascii="Times New Roman" w:hAnsi="Times New Roman" w:eastAsia="方正小标宋简体" w:cs="Times New Roman"/>
          <w:b w:val="0"/>
          <w:bCs w:val="0"/>
          <w:color w:val="auto"/>
          <w:kern w:val="2"/>
          <w:sz w:val="28"/>
          <w:szCs w:val="28"/>
          <w:highlight w:val="none"/>
          <w:lang w:val="en-US" w:eastAsia="zh-CN" w:bidi="ar-SA"/>
        </w:rPr>
        <w:t>（三）个性指标绩效分析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粮油抽查覆盖率、完成时限、安全影响率、制度保障、群众满意度、成本控制均完成目标。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32"/>
          <w:szCs w:val="32"/>
          <w:highlight w:val="none"/>
          <w:lang w:val="en-US" w:eastAsia="zh-CN" w:bidi="ar-SA"/>
        </w:rPr>
      </w:pPr>
      <w:r>
        <w:rPr>
          <w:rFonts w:hint="default" w:ascii="Times New Roman" w:hAnsi="Times New Roman" w:eastAsia="方正小标宋简体" w:cs="Times New Roman"/>
          <w:b w:val="0"/>
          <w:bCs w:val="0"/>
          <w:color w:val="auto"/>
          <w:kern w:val="2"/>
          <w:sz w:val="32"/>
          <w:szCs w:val="32"/>
          <w:highlight w:val="none"/>
          <w:lang w:val="en-US" w:eastAsia="zh-CN" w:bidi="ar-SA"/>
        </w:rPr>
        <w:t>四、评价结论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本项目预算执行率 100%，资金使用规范；质量、时效、效益、满意度、成本指标全部完成；有效保障了县域粮食质量安全。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32"/>
          <w:szCs w:val="32"/>
          <w:highlight w:val="none"/>
          <w:lang w:val="en-US" w:eastAsia="zh-CN" w:bidi="ar-SA"/>
        </w:rPr>
      </w:pPr>
      <w:r>
        <w:rPr>
          <w:rFonts w:hint="default" w:ascii="Times New Roman" w:hAnsi="Times New Roman" w:eastAsia="方正小标宋简体" w:cs="Times New Roman"/>
          <w:b w:val="0"/>
          <w:bCs w:val="0"/>
          <w:color w:val="auto"/>
          <w:kern w:val="2"/>
          <w:sz w:val="32"/>
          <w:szCs w:val="32"/>
          <w:highlight w:val="none"/>
          <w:lang w:val="en-US" w:eastAsia="zh-CN" w:bidi="ar-SA"/>
        </w:rPr>
        <w:t>五、存在主要问题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粮食质量监测频次不足，常态化检测机制不够完善。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default" w:ascii="Times New Roman" w:hAnsi="Times New Roman" w:eastAsia="方正小标宋简体" w:cs="Times New Roman"/>
          <w:b w:val="0"/>
          <w:bCs w:val="0"/>
          <w:color w:val="auto"/>
          <w:kern w:val="2"/>
          <w:sz w:val="32"/>
          <w:szCs w:val="32"/>
          <w:highlight w:val="none"/>
          <w:lang w:val="en-US" w:eastAsia="zh-CN" w:bidi="ar-SA"/>
        </w:rPr>
      </w:pPr>
      <w:r>
        <w:rPr>
          <w:rFonts w:hint="default" w:ascii="Times New Roman" w:hAnsi="Times New Roman" w:eastAsia="方正小标宋简体" w:cs="Times New Roman"/>
          <w:b w:val="0"/>
          <w:bCs w:val="0"/>
          <w:color w:val="auto"/>
          <w:kern w:val="2"/>
          <w:sz w:val="32"/>
          <w:szCs w:val="32"/>
          <w:highlight w:val="none"/>
          <w:lang w:val="en-US" w:eastAsia="zh-CN" w:bidi="ar-SA"/>
        </w:rPr>
        <w:t>六、改进建议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560" w:firstLineChars="200"/>
        <w:jc w:val="left"/>
        <w:textAlignment w:val="auto"/>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针对监测频次不足：建立常态化巡查监测制度，分季度开展抽检，提高监管频次和时效性。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right="0"/>
        <w:jc w:val="left"/>
        <w:textAlignment w:val="auto"/>
        <w:rPr>
          <w:rFonts w:ascii="宋体" w:hAnsi="宋体" w:eastAsia="宋体" w:cs="宋体"/>
          <w:color w:val="000000"/>
          <w:kern w:val="0"/>
          <w:sz w:val="28"/>
          <w:szCs w:val="28"/>
          <w:lang w:val="en-US" w:eastAsia="zh-CN" w:bidi="ar"/>
        </w:rPr>
      </w:pPr>
    </w:p>
    <w:p>
      <w:pPr>
        <w:widowControl/>
        <w:jc w:val="center"/>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9"/>
        <w:rPr>
          <w:rFonts w:hint="eastAsia" w:ascii="Times New Roman" w:hAnsi="Times New Roman" w:eastAsia="黑体"/>
          <w:color w:val="auto"/>
          <w:sz w:val="44"/>
          <w:szCs w:val="44"/>
          <w:highlight w:val="none"/>
        </w:rPr>
      </w:pPr>
    </w:p>
    <w:p>
      <w:pPr>
        <w:pStyle w:val="5"/>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3</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i w:val="0"/>
          <w:iCs w:val="0"/>
          <w:caps w:val="0"/>
          <w:spacing w:val="0"/>
          <w:sz w:val="44"/>
          <w:szCs w:val="44"/>
        </w:rPr>
      </w:pPr>
      <w:r>
        <w:rPr>
          <w:rFonts w:hint="eastAsia" w:ascii="方正小标宋_GBK" w:hAnsi="方正小标宋_GBK" w:eastAsia="方正小标宋_GBK" w:cs="方正小标宋_GBK"/>
          <w:i w:val="0"/>
          <w:iCs w:val="0"/>
          <w:caps w:val="0"/>
          <w:spacing w:val="0"/>
          <w:sz w:val="44"/>
          <w:szCs w:val="44"/>
        </w:rPr>
        <w:t>县级储备粮利息及费用补贴</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color w:val="auto"/>
          <w:kern w:val="2"/>
          <w:sz w:val="44"/>
          <w:szCs w:val="44"/>
          <w:highlight w:val="none"/>
          <w:lang w:val="en-US" w:eastAsia="zh-CN"/>
        </w:rPr>
        <w:t>预算绩效自评报告</w:t>
      </w:r>
    </w:p>
    <w:p>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textAlignment w:val="auto"/>
        <w:rPr>
          <w:rFonts w:hint="eastAsia" w:ascii="方正小标宋_GBK" w:hAnsi="方正小标宋_GBK" w:eastAsia="方正小标宋_GBK" w:cs="方正小标宋_GBK"/>
          <w:sz w:val="44"/>
          <w:szCs w:val="44"/>
          <w:highlight w:val="none"/>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一、项目概况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（一）设立背景及基本情况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 xml:space="preserve">为严格落实粮食安全党政同责，筑牢县域粮食安全防线，切实保障县级储备粮收储、保管、轮换工作有序开展，足额保障储备粮运营经费需求，依据《四川省县级储备粮管理办法》及地方财政专项资金管理相关文件要求，申报实施本县级储备粮利息及费用补贴项目。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（二）实施目的及支持方向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我中心已制定完善储备粮补贴资金使用管理细则、财务内控管理制度及资金拨付监管机制，严格规范资金使用范围与拨付流程。本项目实施旨在足额保障下属粮油经营主体储备粮运营成本，稳定县域粮油收购与储备秩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（三）预算安排及分配管理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2025 年度本项目年初预算资金 105.80 万元，年度内无预算调整，调整后预算总额 105.80 万元，全年实际财政资金执行拨付 87.86 万元。项目资金分配严格遵循</w:t>
      </w:r>
      <w:r>
        <w:rPr>
          <w:rStyle w:val="18"/>
          <w:rFonts w:hint="eastAsia" w:ascii="方正仿宋_GB2312" w:hAnsi="方正仿宋_GB2312" w:eastAsia="方正仿宋_GB2312" w:cs="方正仿宋_GB2312"/>
          <w:b w:val="0"/>
          <w:bCs/>
          <w:color w:val="000000"/>
          <w:kern w:val="0"/>
          <w:sz w:val="32"/>
          <w:szCs w:val="32"/>
          <w:lang w:val="en-US" w:eastAsia="zh-CN" w:bidi="ar"/>
        </w:rPr>
        <w:t>保障刚需、专款专用</w:t>
      </w:r>
      <w:r>
        <w:rPr>
          <w:rFonts w:hint="eastAsia" w:ascii="方正仿宋_GB2312" w:hAnsi="方正仿宋_GB2312" w:eastAsia="方正仿宋_GB2312" w:cs="方正仿宋_GB2312"/>
          <w:color w:val="000000"/>
          <w:kern w:val="0"/>
          <w:sz w:val="32"/>
          <w:szCs w:val="32"/>
          <w:lang w:val="en-US" w:eastAsia="zh-CN" w:bidi="ar"/>
        </w:rPr>
        <w:t>原则，结合年度粮食储备规模、轮换计划、实际发生情况核定补贴金额。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（四）项目绩效目标设置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项目整体绩效目标为健全县级粮食储备保障体系，充分发挥储备粮市场调控作用，守住区域粮食安全底线。本年度严格按照财政绩效评价工作要求，组织开展全覆盖绩效自评工作，自评数据真实准确。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二、评价实施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楷体" w:hAnsi="楷体" w:eastAsia="楷体" w:cs="楷体"/>
          <w:b/>
          <w:bCs/>
          <w:color w:val="000000"/>
          <w:sz w:val="32"/>
          <w:szCs w:val="32"/>
        </w:rPr>
        <w:t>（一）评价目的</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通过开展项目绩效自评工作，全面摸清本年度储备粮补贴项目资金拨付使用、项目落地实施、绩效目标完成整体情况，进一步规范财政专项资金使用流程，持续提升财政资金使用效能，为下一年度粮食储备经费预算编制、补贴政策优化调整提供坚实依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楷体" w:hAnsi="楷体" w:eastAsia="楷体" w:cs="楷体"/>
          <w:b/>
          <w:bCs/>
          <w:color w:val="000000"/>
          <w:sz w:val="32"/>
          <w:szCs w:val="32"/>
        </w:rPr>
        <w:t>（二）预设问题及评价重点</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严格对照财政预算绩效评价指标体系，重点围绕项目预算执行进度、财政资金使用合规性、群众满意度及项目成本管控等核心内容，对项目资金使用全流程、业务工作开展全过程开展全方位综合研判评价。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楷体" w:hAnsi="楷体" w:eastAsia="楷体" w:cs="楷体"/>
          <w:b/>
          <w:bCs/>
          <w:color w:val="000000"/>
          <w:sz w:val="32"/>
          <w:szCs w:val="32"/>
        </w:rPr>
        <w:t>（三）评价选点</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本次绩效自评实地核查选取县域内县级储备粮存储库点、下属粮油运营企业等实地点位开展现场核查。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color w:val="000000"/>
          <w:sz w:val="32"/>
          <w:szCs w:val="32"/>
        </w:rPr>
      </w:pPr>
      <w:r>
        <w:rPr>
          <w:rFonts w:hint="eastAsia" w:ascii="楷体" w:hAnsi="楷体" w:eastAsia="楷体" w:cs="楷体"/>
          <w:b/>
          <w:bCs/>
          <w:color w:val="000000"/>
          <w:sz w:val="32"/>
          <w:szCs w:val="32"/>
        </w:rPr>
        <w:t>（四）评价方法</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本次绩效自评综合运用单位内部自查自评法、现场实地核查法，坚持定量指标核查与定性成效研判相结合，全面客观开展绩效评价工作。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color w:val="000000"/>
          <w:sz w:val="32"/>
          <w:szCs w:val="32"/>
        </w:rPr>
      </w:pPr>
      <w:r>
        <w:rPr>
          <w:rFonts w:hint="eastAsia" w:ascii="楷体" w:hAnsi="楷体" w:eastAsia="楷体" w:cs="楷体"/>
          <w:b/>
          <w:bCs/>
          <w:color w:val="000000"/>
          <w:sz w:val="32"/>
          <w:szCs w:val="32"/>
        </w:rPr>
        <w:t>（五）评价组织</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我中心成立 2025 年度储备粮补贴项目绩效自评工作领导小组，由中心主要领导任组长，分管领导任副组长，财务股、业务股全体工作人员为工作组成员。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三、绩效分析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楷体" w:hAnsi="楷体" w:eastAsia="楷体" w:cs="楷体"/>
          <w:b/>
          <w:bCs/>
          <w:color w:val="000000"/>
          <w:sz w:val="32"/>
          <w:szCs w:val="32"/>
        </w:rPr>
        <w:t>（一）通用指标绩效分析</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一是项目决策层面，本项目立项依据充分合规，项目申报、审批、立项全流程程序严谨规范，资金使用投向完全贴合地方粮食安全保障核心工作，符合上级财政专项资金投放政策导向。二是项目管理层面，单位内部财务管理制度、储备粮补贴管理机制健全完善，资金分配公开透明，项目全过程绩效动态监管落实到位，业务档案、财务凭证整理规范齐全。三是项目实施层面，本年度项目整体运行平稳，资金全部用于储备粮保障相关支出，无截留、挤占、挪用、违规列支等违纪违规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楷体" w:hAnsi="楷体" w:eastAsia="楷体" w:cs="楷体"/>
          <w:b/>
          <w:bCs/>
          <w:color w:val="000000"/>
          <w:sz w:val="32"/>
          <w:szCs w:val="32"/>
        </w:rPr>
        <w:t>（二）专用指标绩效分析</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本项目重点围绕保障范围区域均衡性、补贴发放对象精准性、经费补贴执行标准合理性、群众满意度四大维度开展绩效分析。切实惠及粮油经营企业与广大群众，民生保障实效突出。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2" w:firstLineChars="200"/>
        <w:jc w:val="left"/>
        <w:textAlignment w:val="auto"/>
        <w:rPr>
          <w:rFonts w:hint="eastAsia" w:ascii="方正仿宋_GB2312" w:hAnsi="方正仿宋_GB2312" w:eastAsia="方正仿宋_GB2312" w:cs="方正仿宋_GB2312"/>
          <w:b w:val="0"/>
          <w:bCs w:val="0"/>
          <w:color w:val="000000"/>
          <w:kern w:val="0"/>
          <w:sz w:val="32"/>
          <w:szCs w:val="32"/>
          <w:lang w:val="en-US" w:eastAsia="zh-CN" w:bidi="ar"/>
        </w:rPr>
      </w:pPr>
      <w:r>
        <w:rPr>
          <w:rFonts w:hint="eastAsia" w:ascii="楷体" w:hAnsi="楷体" w:eastAsia="楷体" w:cs="楷体"/>
          <w:b/>
          <w:bCs/>
          <w:color w:val="000000"/>
          <w:sz w:val="32"/>
          <w:szCs w:val="32"/>
        </w:rPr>
        <w:t>（三）个性指标绩效分析</w:t>
      </w:r>
      <w:r>
        <w:rPr>
          <w:rFonts w:hint="eastAsia" w:ascii="楷体" w:hAnsi="楷体" w:eastAsia="楷体" w:cs="楷体"/>
          <w:b/>
          <w:bCs/>
          <w:color w:val="000000"/>
          <w:sz w:val="32"/>
          <w:szCs w:val="32"/>
          <w:lang w:eastAsia="zh-CN"/>
        </w:rPr>
        <w:t>。</w:t>
      </w:r>
      <w:r>
        <w:rPr>
          <w:rFonts w:hint="eastAsia" w:ascii="方正仿宋_GB2312" w:hAnsi="方正仿宋_GB2312" w:eastAsia="方正仿宋_GB2312" w:cs="方正仿宋_GB2312"/>
          <w:b w:val="0"/>
          <w:bCs w:val="0"/>
          <w:color w:val="000000"/>
          <w:kern w:val="0"/>
          <w:sz w:val="32"/>
          <w:szCs w:val="32"/>
          <w:lang w:val="en-US" w:eastAsia="zh-CN" w:bidi="ar"/>
        </w:rPr>
        <w:t>本年度设定的补贴发放次数、粮油收储质量、补贴完成时限、市场稳定成效、长期保障作用、群众满意度等各项个性绩效指标均圆满完成既定目标。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四、评价结论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本年度项目各项业务工作推进有序，补贴资金发放及时规范，有效保障县级储备粮正常收储、群众粮油消费满意度合格。项目整体实施成效良好，社会效益显著。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五、存在主要问题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一是项目预算编制精准度不足，年初预算资金额度与年度实际储备粮运营产生的利息、保管费用存在偏差，造成预算执行率偏低。二是预算执行动态管控力度不足，未能根据年内储备粮运行实际情况及时调整资金使用计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六、改进建议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firstLineChars="200"/>
        <w:jc w:val="left"/>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val="en-US" w:eastAsia="zh-CN" w:bidi="ar"/>
        </w:rPr>
        <w:t xml:space="preserve">一是精准优化年度预算编制。结合近三年储备粮运营数据、粮食轮换计划、金融贷款利息变动趋势，科学测算年度补贴资金需求，提升预算编制精准性，缩小预算金额与实际支出差额，稳步提高项目预算执行率。 二是强化预算执行动态管控。建立季度预算执行分析研判机制，实时跟踪储备粮运营经费支出情况，及时梳理资金使用缺口与结余情况，合理统筹调度财政资金，提升资金使用匹配度。 </w:t>
      </w:r>
    </w:p>
    <w:p>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2312" w:hAnsi="方正仿宋_GB2312" w:eastAsia="方正仿宋_GB2312" w:cs="方正仿宋_GB2312"/>
          <w:sz w:val="32"/>
          <w:szCs w:val="32"/>
          <w:highlight w:val="none"/>
          <w:lang w:val="en-US" w:eastAsia="zh-CN"/>
        </w:rPr>
      </w:pPr>
    </w:p>
    <w:p>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2312" w:hAnsi="方正仿宋_GB2312" w:eastAsia="方正仿宋_GB2312" w:cs="方正仿宋_GB2312"/>
          <w:sz w:val="32"/>
          <w:szCs w:val="32"/>
          <w:highlight w:val="none"/>
          <w:lang w:val="en-US" w:eastAsia="zh-CN"/>
        </w:rPr>
      </w:pPr>
    </w:p>
    <w:p>
      <w:pPr>
        <w:pStyle w:val="5"/>
        <w:rPr>
          <w:rFonts w:hint="eastAsia" w:ascii="Times New Roman" w:hAnsi="Times New Roman" w:eastAsia="黑体" w:cs="黑体"/>
          <w:color w:val="auto"/>
          <w:kern w:val="0"/>
          <w:sz w:val="32"/>
          <w:szCs w:val="32"/>
          <w:highlight w:val="none"/>
          <w:shd w:val="clear" w:color="auto" w:fill="FFFFFF"/>
          <w:lang w:val="en-US" w:eastAsia="zh-CN"/>
        </w:rPr>
      </w:pPr>
    </w:p>
    <w:p>
      <w:pPr>
        <w:pStyle w:val="5"/>
        <w:rPr>
          <w:rFonts w:hint="eastAsia" w:ascii="Times New Roman" w:hAnsi="Times New Roman" w:eastAsia="黑体" w:cs="黑体"/>
          <w:color w:val="auto"/>
          <w:kern w:val="0"/>
          <w:sz w:val="32"/>
          <w:szCs w:val="32"/>
          <w:highlight w:val="none"/>
          <w:shd w:val="clear" w:color="auto" w:fill="FFFFFF"/>
          <w:lang w:val="en-US" w:eastAsia="zh-CN"/>
        </w:rPr>
      </w:pPr>
    </w:p>
    <w:p>
      <w:pPr>
        <w:pStyle w:val="5"/>
        <w:rPr>
          <w:rFonts w:hint="eastAsia" w:ascii="Times New Roman" w:hAnsi="Times New Roman" w:eastAsia="黑体" w:cs="黑体"/>
          <w:color w:val="auto"/>
          <w:kern w:val="0"/>
          <w:sz w:val="32"/>
          <w:szCs w:val="32"/>
          <w:highlight w:val="none"/>
          <w:shd w:val="clear" w:color="auto" w:fill="FFFFFF"/>
          <w:lang w:val="en-US" w:eastAsia="zh-CN"/>
        </w:rPr>
      </w:pPr>
    </w:p>
    <w:p>
      <w:pPr>
        <w:pStyle w:val="9"/>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4"/>
      <w:bookmarkEnd w:id="67"/>
      <w:bookmarkStart w:id="6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0"/>
      <w:r>
        <w:rPr>
          <w:rFonts w:hint="eastAsia" w:ascii="Times New Roman" w:hAnsi="Times New Roman" w:eastAsia="仿宋_GB2312" w:cs="仿宋_GB2312"/>
          <w:color w:val="auto"/>
          <w:sz w:val="32"/>
          <w:szCs w:val="32"/>
          <w:highlight w:val="none"/>
        </w:rPr>
        <w:t>二、收入决算表</w:t>
      </w:r>
      <w:bookmarkEnd w:id="6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1"/>
      <w:r>
        <w:rPr>
          <w:rFonts w:hint="eastAsia" w:ascii="Times New Roman" w:hAnsi="Times New Roman" w:eastAsia="仿宋_GB2312" w:cs="仿宋_GB2312"/>
          <w:color w:val="auto"/>
          <w:sz w:val="32"/>
          <w:szCs w:val="32"/>
          <w:highlight w:val="none"/>
        </w:rPr>
        <w:t>三、支出决算表</w:t>
      </w:r>
      <w:bookmarkEnd w:id="7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2"/>
      <w:r>
        <w:rPr>
          <w:rFonts w:hint="eastAsia" w:ascii="Times New Roman" w:hAnsi="Times New Roman" w:eastAsia="仿宋_GB2312" w:cs="仿宋_GB2312"/>
          <w:color w:val="auto"/>
          <w:sz w:val="32"/>
          <w:szCs w:val="32"/>
          <w:highlight w:val="none"/>
        </w:rPr>
        <w:t>四、财政拨款收入支出决算总表</w:t>
      </w:r>
      <w:bookmarkEnd w:id="7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3"/>
      <w:r>
        <w:rPr>
          <w:rFonts w:hint="eastAsia" w:ascii="Times New Roman" w:hAnsi="Times New Roman" w:eastAsia="仿宋_GB2312" w:cs="仿宋_GB2312"/>
          <w:color w:val="auto"/>
          <w:sz w:val="32"/>
          <w:szCs w:val="32"/>
          <w:highlight w:val="none"/>
        </w:rPr>
        <w:t>五、财政拨款支出决算明细表</w:t>
      </w:r>
      <w:bookmarkEnd w:id="72"/>
      <w:bookmarkStart w:id="7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5"/>
      <w:r>
        <w:rPr>
          <w:rFonts w:hint="eastAsia" w:ascii="Times New Roman" w:hAnsi="Times New Roman" w:eastAsia="仿宋_GB2312" w:cs="仿宋_GB2312"/>
          <w:color w:val="auto"/>
          <w:sz w:val="32"/>
          <w:szCs w:val="32"/>
          <w:highlight w:val="none"/>
        </w:rPr>
        <w:t>七、一般公共预算财政拨款支出决算明细表</w:t>
      </w:r>
      <w:bookmarkEnd w:id="7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6"/>
      <w:r>
        <w:rPr>
          <w:rFonts w:hint="eastAsia" w:ascii="Times New Roman" w:hAnsi="Times New Roman" w:eastAsia="仿宋_GB2312" w:cs="仿宋_GB2312"/>
          <w:color w:val="auto"/>
          <w:sz w:val="32"/>
          <w:szCs w:val="32"/>
          <w:highlight w:val="none"/>
        </w:rPr>
        <w:t>八、一般公共预算财政拨款基本支出决算表</w:t>
      </w:r>
      <w:bookmarkEnd w:id="7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7"/>
      <w:r>
        <w:rPr>
          <w:rFonts w:hint="eastAsia" w:ascii="Times New Roman" w:hAnsi="Times New Roman" w:eastAsia="仿宋_GB2312" w:cs="仿宋_GB2312"/>
          <w:color w:val="auto"/>
          <w:sz w:val="32"/>
          <w:szCs w:val="32"/>
          <w:highlight w:val="none"/>
        </w:rPr>
        <w:t>九、一般公共预算财政拨款项目支出决算表</w:t>
      </w:r>
      <w:bookmarkEnd w:id="7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8"/>
      <w:r>
        <w:rPr>
          <w:rFonts w:hint="eastAsia" w:ascii="Times New Roman" w:hAnsi="Times New Roman" w:eastAsia="仿宋_GB2312" w:cs="仿宋_GB2312"/>
          <w:color w:val="auto"/>
          <w:sz w:val="32"/>
          <w:szCs w:val="32"/>
          <w:highlight w:val="none"/>
        </w:rPr>
        <w:t>十、</w:t>
      </w:r>
      <w:bookmarkEnd w:id="77"/>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9"/>
      <w:r>
        <w:rPr>
          <w:rFonts w:hint="eastAsia" w:ascii="Times New Roman" w:hAnsi="Times New Roman" w:eastAsia="仿宋_GB2312" w:cs="仿宋_GB2312"/>
          <w:color w:val="auto"/>
          <w:sz w:val="32"/>
          <w:szCs w:val="32"/>
          <w:highlight w:val="none"/>
        </w:rPr>
        <w:t>十一、</w:t>
      </w:r>
      <w:bookmarkEnd w:id="7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30"/>
      <w:r>
        <w:rPr>
          <w:rFonts w:hint="eastAsia" w:ascii="Times New Roman" w:hAnsi="Times New Roman" w:eastAsia="仿宋_GB2312" w:cs="仿宋_GB2312"/>
          <w:color w:val="auto"/>
          <w:sz w:val="32"/>
          <w:szCs w:val="32"/>
          <w:highlight w:val="none"/>
        </w:rPr>
        <w:t>十二、</w:t>
      </w:r>
      <w:bookmarkEnd w:id="7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0" w:name="_Toc15396631"/>
      <w:r>
        <w:rPr>
          <w:rFonts w:hint="eastAsia" w:ascii="Times New Roman" w:hAnsi="Times New Roman" w:eastAsia="仿宋_GB2312" w:cs="仿宋_GB2312"/>
          <w:color w:val="auto"/>
          <w:sz w:val="32"/>
          <w:szCs w:val="32"/>
          <w:highlight w:val="none"/>
        </w:rPr>
        <w:t>十三、</w:t>
      </w:r>
      <w:bookmarkEnd w:id="8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panose1 w:val="03000502000000000000"/>
    <w:charset w:val="86"/>
    <w:family w:val="script"/>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F1984C"/>
    <w:multiLevelType w:val="singleLevel"/>
    <w:tmpl w:val="D4F198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115C79"/>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0670FDD"/>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584230"/>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BF2704"/>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F9D9E2"/>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91"/>
    <w:basedOn w:val="17"/>
    <w:qFormat/>
    <w:uiPriority w:val="0"/>
    <w:rPr>
      <w:rFonts w:hint="eastAsia" w:ascii="宋体" w:hAnsi="宋体" w:eastAsia="宋体" w:cs="宋体"/>
      <w:b/>
      <w:color w:val="000000"/>
      <w:sz w:val="32"/>
      <w:szCs w:val="32"/>
      <w:u w:val="none"/>
    </w:rPr>
  </w:style>
  <w:style w:type="character" w:customStyle="1" w:styleId="37">
    <w:name w:val="font141"/>
    <w:basedOn w:val="17"/>
    <w:qFormat/>
    <w:uiPriority w:val="0"/>
    <w:rPr>
      <w:rFonts w:hint="eastAsia" w:ascii="宋体" w:hAnsi="宋体" w:eastAsia="宋体" w:cs="宋体"/>
      <w:color w:val="000000"/>
      <w:sz w:val="32"/>
      <w:szCs w:val="32"/>
      <w:u w:val="none"/>
    </w:rPr>
  </w:style>
  <w:style w:type="character" w:customStyle="1" w:styleId="38">
    <w:name w:val="font41"/>
    <w:basedOn w:val="17"/>
    <w:qFormat/>
    <w:uiPriority w:val="0"/>
    <w:rPr>
      <w:rFonts w:hint="eastAsia" w:ascii="宋体" w:hAnsi="宋体" w:eastAsia="宋体" w:cs="宋体"/>
      <w:color w:val="000000"/>
      <w:sz w:val="20"/>
      <w:szCs w:val="20"/>
      <w:u w:val="none"/>
    </w:rPr>
  </w:style>
  <w:style w:type="character" w:customStyle="1" w:styleId="39">
    <w:name w:val="font81"/>
    <w:basedOn w:val="17"/>
    <w:qFormat/>
    <w:uiPriority w:val="0"/>
    <w:rPr>
      <w:rFonts w:hint="eastAsia" w:ascii="宋体" w:hAnsi="宋体" w:eastAsia="宋体" w:cs="宋体"/>
      <w:color w:val="000000"/>
      <w:sz w:val="20"/>
      <w:szCs w:val="20"/>
      <w:u w:val="none"/>
    </w:rPr>
  </w:style>
  <w:style w:type="character" w:customStyle="1" w:styleId="40">
    <w:name w:val="font101"/>
    <w:basedOn w:val="17"/>
    <w:qFormat/>
    <w:uiPriority w:val="0"/>
    <w:rPr>
      <w:rFonts w:hint="eastAsia" w:ascii="宋体" w:hAnsi="宋体" w:eastAsia="宋体" w:cs="宋体"/>
      <w:color w:val="000000"/>
      <w:sz w:val="18"/>
      <w:szCs w:val="18"/>
      <w:u w:val="none"/>
    </w:rPr>
  </w:style>
  <w:style w:type="character" w:customStyle="1" w:styleId="41">
    <w:name w:val="font11"/>
    <w:basedOn w:val="17"/>
    <w:qFormat/>
    <w:uiPriority w:val="0"/>
    <w:rPr>
      <w:rFonts w:hint="eastAsia" w:ascii="宋体" w:hAnsi="宋体" w:eastAsia="宋体" w:cs="宋体"/>
      <w:color w:val="000000"/>
      <w:sz w:val="18"/>
      <w:szCs w:val="18"/>
      <w:u w:val="none"/>
    </w:rPr>
  </w:style>
  <w:style w:type="character" w:customStyle="1" w:styleId="42">
    <w:name w:val="font71"/>
    <w:basedOn w:val="17"/>
    <w:qFormat/>
    <w:uiPriority w:val="0"/>
    <w:rPr>
      <w:rFonts w:hint="eastAsia" w:ascii="宋体" w:hAnsi="宋体" w:eastAsia="宋体" w:cs="宋体"/>
      <w:color w:val="000000"/>
      <w:sz w:val="18"/>
      <w:szCs w:val="18"/>
      <w:u w:val="none"/>
    </w:rPr>
  </w:style>
  <w:style w:type="character" w:customStyle="1" w:styleId="43">
    <w:name w:val="font01"/>
    <w:basedOn w:val="17"/>
    <w:qFormat/>
    <w:uiPriority w:val="0"/>
    <w:rPr>
      <w:rFonts w:hint="eastAsia" w:ascii="宋体" w:hAnsi="宋体" w:eastAsia="宋体" w:cs="宋体"/>
      <w:color w:val="000000"/>
      <w:sz w:val="12"/>
      <w:szCs w:val="12"/>
      <w:u w:val="none"/>
    </w:rPr>
  </w:style>
  <w:style w:type="character" w:customStyle="1" w:styleId="44">
    <w:name w:val="font12"/>
    <w:basedOn w:val="17"/>
    <w:qFormat/>
    <w:uiPriority w:val="0"/>
    <w:rPr>
      <w:rFonts w:hint="eastAsia" w:ascii="宋体" w:hAnsi="宋体" w:eastAsia="宋体" w:cs="宋体"/>
      <w:b/>
      <w:color w:val="000000"/>
      <w:sz w:val="32"/>
      <w:szCs w:val="32"/>
      <w:u w:val="none"/>
    </w:rPr>
  </w:style>
  <w:style w:type="character" w:customStyle="1" w:styleId="45">
    <w:name w:val="font191"/>
    <w:basedOn w:val="17"/>
    <w:qFormat/>
    <w:uiPriority w:val="0"/>
    <w:rPr>
      <w:rFonts w:hint="eastAsia" w:ascii="宋体" w:hAnsi="宋体" w:eastAsia="宋体" w:cs="宋体"/>
      <w:color w:val="000000"/>
      <w:sz w:val="32"/>
      <w:szCs w:val="32"/>
      <w:u w:val="none"/>
    </w:rPr>
  </w:style>
  <w:style w:type="character" w:customStyle="1" w:styleId="46">
    <w:name w:val="font51"/>
    <w:basedOn w:val="17"/>
    <w:qFormat/>
    <w:uiPriority w:val="0"/>
    <w:rPr>
      <w:rFonts w:hint="eastAsia" w:ascii="宋体" w:hAnsi="宋体" w:eastAsia="宋体" w:cs="宋体"/>
      <w:color w:val="000000"/>
      <w:sz w:val="20"/>
      <w:szCs w:val="20"/>
      <w:u w:val="none"/>
    </w:rPr>
  </w:style>
  <w:style w:type="character" w:customStyle="1" w:styleId="47">
    <w:name w:val="font171"/>
    <w:basedOn w:val="17"/>
    <w:qFormat/>
    <w:uiPriority w:val="0"/>
    <w:rPr>
      <w:rFonts w:hint="default" w:ascii="Arial" w:hAnsi="Arial" w:cs="Arial"/>
      <w:color w:val="000000"/>
      <w:sz w:val="20"/>
      <w:szCs w:val="20"/>
      <w:u w:val="none"/>
    </w:rPr>
  </w:style>
  <w:style w:type="character" w:customStyle="1" w:styleId="48">
    <w:name w:val="font31"/>
    <w:basedOn w:val="17"/>
    <w:qFormat/>
    <w:uiPriority w:val="0"/>
    <w:rPr>
      <w:rFonts w:hint="eastAsia" w:ascii="宋体" w:hAnsi="宋体" w:eastAsia="宋体" w:cs="宋体"/>
      <w:color w:val="000000"/>
      <w:sz w:val="18"/>
      <w:szCs w:val="18"/>
      <w:u w:val="none"/>
    </w:rPr>
  </w:style>
  <w:style w:type="character" w:customStyle="1" w:styleId="49">
    <w:name w:val="font131"/>
    <w:basedOn w:val="17"/>
    <w:qFormat/>
    <w:uiPriority w:val="0"/>
    <w:rPr>
      <w:rFonts w:hint="eastAsia" w:ascii="宋体" w:hAnsi="宋体" w:eastAsia="宋体" w:cs="宋体"/>
      <w:color w:val="000000"/>
      <w:sz w:val="18"/>
      <w:szCs w:val="18"/>
      <w:u w:val="none"/>
    </w:rPr>
  </w:style>
  <w:style w:type="character" w:customStyle="1" w:styleId="50">
    <w:name w:val="font122"/>
    <w:basedOn w:val="17"/>
    <w:qFormat/>
    <w:uiPriority w:val="0"/>
    <w:rPr>
      <w:rFonts w:hint="eastAsia" w:ascii="宋体" w:hAnsi="宋体" w:eastAsia="宋体" w:cs="宋体"/>
      <w:color w:val="000000"/>
      <w:sz w:val="18"/>
      <w:szCs w:val="18"/>
      <w:u w:val="none"/>
    </w:rPr>
  </w:style>
  <w:style w:type="character" w:customStyle="1" w:styleId="51">
    <w:name w:val="font111"/>
    <w:basedOn w:val="17"/>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3.xml"/><Relationship Id="rId1" Type="http://schemas.openxmlformats.org/officeDocument/2006/relationships/oleObject" Target="file:///C:\Users\Administrator\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20&#24037;&#20316;&#34920;.xls"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Administrator\Desktop\&#26032;&#24314;%20XLS%20&#24037;&#20316;&#34920;.xls"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file:///C:\Users\Administrator\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工作表.xls]Sheet1'!$A$1:$C$1</c:f>
              <c:strCache>
                <c:ptCount val="3"/>
                <c:pt idx="0">
                  <c:v>年度</c:v>
                </c:pt>
                <c:pt idx="1">
                  <c:v>收入</c:v>
                </c:pt>
                <c:pt idx="2">
                  <c:v>支出</c:v>
                </c:pt>
              </c:strCache>
            </c:strRef>
          </c:cat>
          <c:val>
            <c:numRef>
              <c:f>'[新建 XLS 工作表.xls]Sheet1'!$A$2:$C$2</c:f>
              <c:numCache>
                <c:formatCode>General</c:formatCode>
                <c:ptCount val="3"/>
                <c:pt idx="0">
                  <c:v>2024</c:v>
                </c:pt>
                <c:pt idx="1">
                  <c:v>1057.02</c:v>
                </c:pt>
                <c:pt idx="2">
                  <c:v>1057.02</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工作表.xls]Sheet1'!$A$1:$C$1</c:f>
              <c:strCache>
                <c:ptCount val="3"/>
                <c:pt idx="0">
                  <c:v>年度</c:v>
                </c:pt>
                <c:pt idx="1">
                  <c:v>收入</c:v>
                </c:pt>
                <c:pt idx="2">
                  <c:v>支出</c:v>
                </c:pt>
              </c:strCache>
            </c:strRef>
          </c:cat>
          <c:val>
            <c:numRef>
              <c:f>'[新建 XLS 工作表.xls]Sheet1'!$A$3:$C$3</c:f>
              <c:numCache>
                <c:formatCode>General</c:formatCode>
                <c:ptCount val="3"/>
                <c:pt idx="0">
                  <c:v>2025</c:v>
                </c:pt>
                <c:pt idx="1">
                  <c:v>392.43</c:v>
                </c:pt>
                <c:pt idx="2">
                  <c:v>392.43</c:v>
                </c:pt>
              </c:numCache>
            </c:numRef>
          </c:val>
        </c:ser>
        <c:dLbls>
          <c:showLegendKey val="0"/>
          <c:showVal val="1"/>
          <c:showCatName val="0"/>
          <c:showSerName val="0"/>
          <c:showPercent val="0"/>
          <c:showBubbleSize val="0"/>
        </c:dLbls>
        <c:gapWidth val="216"/>
        <c:overlap val="-32"/>
        <c:axId val="477799488"/>
        <c:axId val="381398506"/>
      </c:barChart>
      <c:catAx>
        <c:axId val="4777994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81398506"/>
        <c:crosses val="autoZero"/>
        <c:auto val="1"/>
        <c:lblAlgn val="ctr"/>
        <c:lblOffset val="100"/>
        <c:noMultiLvlLbl val="0"/>
      </c:catAx>
      <c:valAx>
        <c:axId val="381398506"/>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77799488"/>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 工作表.xls]Sheet1'!$E$1</c:f>
              <c:strCache>
                <c:ptCount val="1"/>
                <c:pt idx="0">
                  <c:v>一般公共预算财政拨款收入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'[新建 XLS 工作表.xls]Sheet1'!$F$1</c:f>
              <c:numCache>
                <c:formatCode>General</c:formatCode>
                <c:ptCount val="1"/>
                <c:pt idx="0">
                  <c:v>392.43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工作表.xls]Sheet1'!$H$1:$H$2</c:f>
              <c:strCache>
                <c:ptCount val="2"/>
                <c:pt idx="0">
                  <c:v>基本支出</c:v>
                </c:pt>
                <c:pt idx="1">
                  <c:v>项目支出</c:v>
                </c:pt>
              </c:strCache>
            </c:strRef>
          </c:cat>
          <c:val>
            <c:numRef>
              <c:f>'[新建 XLS 工作表.xls]Sheet1'!$I$1:$I$2</c:f>
              <c:numCache>
                <c:formatCode>General</c:formatCode>
                <c:ptCount val="2"/>
                <c:pt idx="0">
                  <c:v>232.07</c:v>
                </c:pt>
                <c:pt idx="1">
                  <c:v>160.36</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一般公共预算财政拨款收入</c:v>
                </c:pt>
                <c:pt idx="2">
                  <c:v>一般公共预算财政拨款支出</c:v>
                </c:pt>
              </c:strCache>
            </c:strRef>
          </c:cat>
          <c:val>
            <c:numRef>
              <c:f>'[新建 XLS 工作表.xls]Sheet1'!$A$11:$C$11</c:f>
              <c:numCache>
                <c:formatCode>General</c:formatCode>
                <c:ptCount val="3"/>
                <c:pt idx="0">
                  <c:v>2024</c:v>
                </c:pt>
                <c:pt idx="1">
                  <c:v>1057.02</c:v>
                </c:pt>
                <c:pt idx="2">
                  <c:v>1057.02</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一般公共预算财政拨款收入</c:v>
                </c:pt>
                <c:pt idx="2">
                  <c:v>一般公共预算财政拨款支出</c:v>
                </c:pt>
              </c:strCache>
            </c:strRef>
          </c:cat>
          <c:val>
            <c:numRef>
              <c:f>'[新建 XLS 工作表.xls]Sheet1'!$A$12:$C$12</c:f>
              <c:numCache>
                <c:formatCode>General</c:formatCode>
                <c:ptCount val="3"/>
                <c:pt idx="0">
                  <c:v>2025</c:v>
                </c:pt>
                <c:pt idx="1">
                  <c:v>392.43</c:v>
                </c:pt>
                <c:pt idx="2">
                  <c:v>392.43</c:v>
                </c:pt>
              </c:numCache>
            </c:numRef>
          </c:val>
        </c:ser>
        <c:dLbls>
          <c:showLegendKey val="0"/>
          <c:showVal val="1"/>
          <c:showCatName val="0"/>
          <c:showSerName val="0"/>
          <c:showPercent val="0"/>
          <c:showBubbleSize val="0"/>
        </c:dLbls>
        <c:gapWidth val="216"/>
        <c:overlap val="-32"/>
        <c:axId val="659085260"/>
        <c:axId val="371503878"/>
      </c:barChart>
      <c:catAx>
        <c:axId val="65908526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71503878"/>
        <c:crosses val="autoZero"/>
        <c:auto val="1"/>
        <c:lblAlgn val="ctr"/>
        <c:lblOffset val="100"/>
        <c:noMultiLvlLbl val="0"/>
      </c:catAx>
      <c:valAx>
        <c:axId val="371503878"/>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59085260"/>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一般公共预算财政拨款支出</c:v>
                </c:pt>
                <c:pt idx="2">
                  <c:v>一般公共预算财政拨款支出</c:v>
                </c:pt>
              </c:strCache>
            </c:strRef>
          </c:cat>
          <c:val>
            <c:numRef>
              <c:f>'[新建 XLS 工作表.xls]Sheet1'!$A$11:$C$11</c:f>
              <c:numCache>
                <c:formatCode>General</c:formatCode>
                <c:ptCount val="3"/>
                <c:pt idx="0">
                  <c:v>2024</c:v>
                </c:pt>
                <c:pt idx="1">
                  <c:v>1057.02</c:v>
                </c:pt>
                <c:pt idx="2">
                  <c:v>1057.02</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一般公共预算财政拨款支出</c:v>
                </c:pt>
                <c:pt idx="2">
                  <c:v>一般公共预算财政拨款支出</c:v>
                </c:pt>
              </c:strCache>
            </c:strRef>
          </c:cat>
          <c:val>
            <c:numRef>
              <c:f>'[新建 XLS 工作表.xls]Sheet1'!$A$12:$C$12</c:f>
              <c:numCache>
                <c:formatCode>General</c:formatCode>
                <c:ptCount val="3"/>
                <c:pt idx="0">
                  <c:v>2025</c:v>
                </c:pt>
                <c:pt idx="1">
                  <c:v>392.43</c:v>
                </c:pt>
                <c:pt idx="2">
                  <c:v>392.43</c:v>
                </c:pt>
              </c:numCache>
            </c:numRef>
          </c:val>
        </c:ser>
        <c:dLbls>
          <c:showLegendKey val="0"/>
          <c:showVal val="1"/>
          <c:showCatName val="0"/>
          <c:showSerName val="0"/>
          <c:showPercent val="0"/>
          <c:showBubbleSize val="0"/>
        </c:dLbls>
        <c:gapWidth val="216"/>
        <c:overlap val="-32"/>
        <c:axId val="896714943"/>
        <c:axId val="953908380"/>
      </c:barChart>
      <c:catAx>
        <c:axId val="89671494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53908380"/>
        <c:crosses val="autoZero"/>
        <c:auto val="1"/>
        <c:lblAlgn val="ctr"/>
        <c:lblOffset val="100"/>
        <c:noMultiLvlLbl val="0"/>
      </c:catAx>
      <c:valAx>
        <c:axId val="953908380"/>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96714943"/>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'[新建 XLS 工作表.xls]Sheet1'!$G$10:$G$14</c:f>
              <c:strCache>
                <c:ptCount val="5"/>
                <c:pt idx="0">
                  <c:v>粮油物资储备支出</c:v>
                </c:pt>
                <c:pt idx="1">
                  <c:v>社会保障和就业支出</c:v>
                </c:pt>
                <c:pt idx="2">
                  <c:v>卫生健康支出</c:v>
                </c:pt>
                <c:pt idx="3">
                  <c:v>住房保障支出</c:v>
                </c:pt>
                <c:pt idx="4">
                  <c:v>农林水支出</c:v>
                </c:pt>
              </c:strCache>
            </c:strRef>
          </c:cat>
          <c:val>
            <c:numRef>
              <c:f>'[新建 XLS 工作表.xls]Sheet1'!$H$10:$H$14</c:f>
              <c:numCache>
                <c:formatCode>General</c:formatCode>
                <c:ptCount val="5"/>
                <c:pt idx="0">
                  <c:v>322.86</c:v>
                </c:pt>
                <c:pt idx="1">
                  <c:v>32.35</c:v>
                </c:pt>
                <c:pt idx="2">
                  <c:v>12.09</c:v>
                </c:pt>
                <c:pt idx="3">
                  <c:v>15.23</c:v>
                </c:pt>
                <c:pt idx="4">
                  <c:v>9.9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6963</Words>
  <Characters>7424</Characters>
  <Lines>61</Lines>
  <Paragraphs>17</Paragraphs>
  <TotalTime>20</TotalTime>
  <ScaleCrop>false</ScaleCrop>
  <LinksUpToDate>false</LinksUpToDate>
  <CharactersWithSpaces>7467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2026-10-28T19:02:03Z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AC1B89785A074E88BD5B8C382EBD4C66_13</vt:lpwstr>
  </property>
  <property fmtid="{D5CDD505-2E9C-101B-9397-08002B2CF9AE}" pid="4" name="KSOTemplateDocerSaveRecord">
    <vt:lpwstr>eyJoZGlkIjoiYmUyM2MyMTY4YTY3Nzc3ZWZkOGEzOGQxOWQ1ZTc5OTMiLCJ1c2VySWQiOiIxNjc1NDIzMzM4In0=</vt:lpwstr>
  </property>
</Properties>
</file>