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EE34E">
      <w:pPr>
        <w:rPr>
          <w:rFonts w:hint="default" w:ascii="Times New Roman" w:hAnsi="Times New Roman" w:cs="Times New Roman"/>
        </w:rPr>
      </w:pPr>
    </w:p>
    <w:p w14:paraId="38834738">
      <w:pPr>
        <w:rPr>
          <w:rFonts w:hint="default" w:ascii="Times New Roman" w:hAnsi="Times New Roman" w:cs="Times New Roman"/>
        </w:rPr>
      </w:pPr>
    </w:p>
    <w:p w14:paraId="7DE44019">
      <w:pPr>
        <w:rPr>
          <w:rFonts w:hint="default" w:ascii="Times New Roman" w:hAnsi="Times New Roman" w:cs="Times New Roman"/>
        </w:rPr>
      </w:pPr>
    </w:p>
    <w:p w14:paraId="5DF4A0ED">
      <w:pPr>
        <w:ind w:firstLine="1050" w:firstLineChars="500"/>
        <w:rPr>
          <w:rFonts w:hint="default" w:ascii="Times New Roman" w:hAnsi="Times New Roman" w:cs="Times New Roman"/>
        </w:rPr>
      </w:pPr>
    </w:p>
    <w:p w14:paraId="02D81715">
      <w:pPr>
        <w:ind w:firstLine="1050" w:firstLineChars="500"/>
        <w:rPr>
          <w:rFonts w:hint="default" w:ascii="Times New Roman" w:hAnsi="Times New Roman" w:cs="Times New Roman"/>
        </w:rPr>
      </w:pPr>
    </w:p>
    <w:p w14:paraId="14E2C83B">
      <w:pPr>
        <w:ind w:firstLine="1760" w:firstLineChars="400"/>
        <w:rPr>
          <w:rFonts w:hint="default" w:ascii="Times New Roman" w:hAnsi="Times New Roman" w:eastAsia="黑体" w:cs="Times New Roman"/>
          <w:sz w:val="44"/>
          <w:szCs w:val="44"/>
        </w:rPr>
      </w:pPr>
    </w:p>
    <w:p w14:paraId="6B00F504">
      <w:pPr>
        <w:keepNext w:val="0"/>
        <w:keepLines w:val="0"/>
        <w:pageBreakBefore w:val="0"/>
        <w:widowControl w:val="0"/>
        <w:kinsoku/>
        <w:wordWrap/>
        <w:overflowPunct/>
        <w:topLinePunct w:val="0"/>
        <w:autoSpaceDE/>
        <w:autoSpaceDN/>
        <w:bidi w:val="0"/>
        <w:adjustRightInd/>
        <w:snapToGrid/>
        <w:spacing w:line="700" w:lineRule="exact"/>
        <w:ind w:firstLine="1760" w:firstLineChars="400"/>
        <w:textAlignment w:val="auto"/>
        <w:rPr>
          <w:rFonts w:hint="default" w:ascii="Times New Roman" w:hAnsi="Times New Roman" w:eastAsia="黑体" w:cs="Times New Roman"/>
          <w:sz w:val="44"/>
          <w:szCs w:val="44"/>
        </w:rPr>
      </w:pPr>
    </w:p>
    <w:p w14:paraId="52565B4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sz w:val="72"/>
          <w:szCs w:val="72"/>
          <w:lang w:val="en-US" w:eastAsia="zh-CN"/>
        </w:rPr>
      </w:pPr>
      <w:r>
        <w:rPr>
          <w:rFonts w:hint="default" w:ascii="Times New Roman" w:hAnsi="Times New Roman" w:eastAsia="黑体" w:cs="Times New Roman"/>
          <w:sz w:val="72"/>
          <w:szCs w:val="72"/>
          <w:lang w:val="en-US" w:eastAsia="zh-CN"/>
        </w:rPr>
        <w:t>壤塘县发展和改革局</w:t>
      </w:r>
    </w:p>
    <w:p w14:paraId="46C238D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sz w:val="72"/>
          <w:szCs w:val="72"/>
          <w:lang w:eastAsia="zh-CN"/>
        </w:rPr>
      </w:pPr>
      <w:r>
        <w:rPr>
          <w:rFonts w:hint="default" w:ascii="Times New Roman" w:hAnsi="Times New Roman" w:eastAsia="黑体" w:cs="Times New Roman"/>
          <w:sz w:val="72"/>
          <w:szCs w:val="72"/>
          <w:lang w:eastAsia="zh-CN"/>
        </w:rPr>
        <w:t>2025年部门预算</w:t>
      </w:r>
    </w:p>
    <w:p w14:paraId="51ABF21C">
      <w:pPr>
        <w:ind w:firstLine="1760" w:firstLineChars="400"/>
        <w:rPr>
          <w:rFonts w:hint="default" w:ascii="Times New Roman" w:hAnsi="Times New Roman" w:eastAsia="黑体" w:cs="Times New Roman"/>
          <w:sz w:val="44"/>
          <w:szCs w:val="44"/>
        </w:rPr>
      </w:pPr>
    </w:p>
    <w:p w14:paraId="2234DDF0">
      <w:pPr>
        <w:ind w:firstLine="1760" w:firstLineChars="400"/>
        <w:rPr>
          <w:rFonts w:hint="default" w:ascii="Times New Roman" w:hAnsi="Times New Roman" w:eastAsia="黑体" w:cs="Times New Roman"/>
          <w:sz w:val="44"/>
          <w:szCs w:val="44"/>
        </w:rPr>
      </w:pPr>
    </w:p>
    <w:p w14:paraId="73ABB03D">
      <w:pPr>
        <w:ind w:firstLine="1760" w:firstLineChars="400"/>
        <w:rPr>
          <w:rFonts w:hint="default" w:ascii="Times New Roman" w:hAnsi="Times New Roman" w:eastAsia="黑体" w:cs="Times New Roman"/>
          <w:sz w:val="44"/>
          <w:szCs w:val="44"/>
        </w:rPr>
      </w:pPr>
    </w:p>
    <w:p w14:paraId="20F53FFC">
      <w:pPr>
        <w:ind w:firstLine="1760" w:firstLineChars="400"/>
        <w:rPr>
          <w:rFonts w:hint="default" w:ascii="Times New Roman" w:hAnsi="Times New Roman" w:eastAsia="黑体" w:cs="Times New Roman"/>
          <w:sz w:val="44"/>
          <w:szCs w:val="44"/>
        </w:rPr>
      </w:pPr>
    </w:p>
    <w:p w14:paraId="13C167D7">
      <w:pPr>
        <w:ind w:firstLine="1760" w:firstLineChars="400"/>
        <w:rPr>
          <w:rFonts w:hint="default" w:ascii="Times New Roman" w:hAnsi="Times New Roman" w:eastAsia="黑体" w:cs="Times New Roman"/>
          <w:sz w:val="44"/>
          <w:szCs w:val="44"/>
        </w:rPr>
      </w:pPr>
    </w:p>
    <w:p w14:paraId="7D3768AD">
      <w:pPr>
        <w:ind w:firstLine="1760" w:firstLineChars="400"/>
        <w:rPr>
          <w:rFonts w:hint="default" w:ascii="Times New Roman" w:hAnsi="Times New Roman" w:eastAsia="黑体" w:cs="Times New Roman"/>
          <w:sz w:val="44"/>
          <w:szCs w:val="44"/>
        </w:rPr>
      </w:pPr>
    </w:p>
    <w:p w14:paraId="3D48AF9E">
      <w:pPr>
        <w:ind w:firstLine="1760" w:firstLineChars="400"/>
        <w:rPr>
          <w:rFonts w:hint="default" w:ascii="Times New Roman" w:hAnsi="Times New Roman" w:eastAsia="黑体" w:cs="Times New Roman"/>
          <w:sz w:val="44"/>
          <w:szCs w:val="44"/>
        </w:rPr>
      </w:pPr>
    </w:p>
    <w:p w14:paraId="3B0B6875">
      <w:pPr>
        <w:ind w:firstLine="1760" w:firstLineChars="400"/>
        <w:rPr>
          <w:rFonts w:hint="default" w:ascii="Times New Roman" w:hAnsi="Times New Roman" w:eastAsia="黑体" w:cs="Times New Roman"/>
          <w:sz w:val="44"/>
          <w:szCs w:val="44"/>
        </w:rPr>
      </w:pPr>
    </w:p>
    <w:p w14:paraId="408A0FD5">
      <w:pPr>
        <w:ind w:firstLine="1760" w:firstLineChars="400"/>
        <w:rPr>
          <w:rFonts w:hint="default" w:ascii="Times New Roman" w:hAnsi="Times New Roman" w:eastAsia="黑体" w:cs="Times New Roman"/>
          <w:sz w:val="44"/>
          <w:szCs w:val="44"/>
        </w:rPr>
      </w:pPr>
    </w:p>
    <w:p w14:paraId="5F1E7A98">
      <w:pPr>
        <w:ind w:firstLine="1760" w:firstLineChars="400"/>
        <w:rPr>
          <w:rFonts w:hint="default" w:ascii="Times New Roman" w:hAnsi="Times New Roman" w:eastAsia="黑体" w:cs="Times New Roman"/>
          <w:sz w:val="44"/>
          <w:szCs w:val="44"/>
        </w:rPr>
      </w:pPr>
    </w:p>
    <w:p w14:paraId="01A683A2">
      <w:pPr>
        <w:ind w:firstLine="1760" w:firstLineChars="400"/>
        <w:rPr>
          <w:rFonts w:hint="default" w:ascii="Times New Roman" w:hAnsi="Times New Roman" w:eastAsia="黑体" w:cs="Times New Roman"/>
          <w:sz w:val="44"/>
          <w:szCs w:val="44"/>
        </w:rPr>
      </w:pPr>
    </w:p>
    <w:p w14:paraId="74563598">
      <w:pPr>
        <w:ind w:firstLine="1760" w:firstLineChars="400"/>
        <w:rPr>
          <w:rFonts w:hint="default" w:ascii="Times New Roman" w:hAnsi="Times New Roman" w:eastAsia="黑体" w:cs="Times New Roman"/>
          <w:sz w:val="44"/>
          <w:szCs w:val="44"/>
        </w:rPr>
      </w:pPr>
    </w:p>
    <w:p w14:paraId="786742B0">
      <w:pPr>
        <w:ind w:firstLine="2640" w:firstLineChars="600"/>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2025年3月</w:t>
      </w:r>
      <w:r>
        <w:rPr>
          <w:rFonts w:hint="default" w:ascii="Times New Roman" w:hAnsi="Times New Roman" w:eastAsia="黑体" w:cs="Times New Roman"/>
          <w:sz w:val="44"/>
          <w:szCs w:val="44"/>
          <w:lang w:val="en-US" w:eastAsia="zh-CN"/>
        </w:rPr>
        <w:t>6</w:t>
      </w:r>
      <w:r>
        <w:rPr>
          <w:rFonts w:hint="default" w:ascii="Times New Roman" w:hAnsi="Times New Roman" w:eastAsia="黑体" w:cs="Times New Roman"/>
          <w:sz w:val="44"/>
          <w:szCs w:val="44"/>
          <w:lang w:val="en-US" w:eastAsia="zh-CN"/>
        </w:rPr>
        <w:t>日</w:t>
      </w:r>
    </w:p>
    <w:p w14:paraId="4FD8D835">
      <w:pPr>
        <w:ind w:firstLine="1760" w:firstLineChars="400"/>
        <w:rPr>
          <w:rFonts w:hint="default" w:ascii="Times New Roman" w:hAnsi="Times New Roman" w:eastAsia="黑体" w:cs="Times New Roman"/>
          <w:sz w:val="44"/>
          <w:szCs w:val="44"/>
        </w:rPr>
      </w:pPr>
    </w:p>
    <w:p w14:paraId="080B77BD">
      <w:pPr>
        <w:rPr>
          <w:rFonts w:hint="default" w:ascii="Times New Roman" w:hAnsi="Times New Roman" w:eastAsia="黑体" w:cs="Times New Roman"/>
          <w:sz w:val="44"/>
          <w:szCs w:val="44"/>
        </w:rPr>
      </w:pPr>
    </w:p>
    <w:p w14:paraId="6BEC93D6">
      <w:pPr>
        <w:keepNext w:val="0"/>
        <w:keepLines w:val="0"/>
        <w:pageBreakBefore w:val="0"/>
        <w:kinsoku/>
        <w:wordWrap/>
        <w:overflowPunct/>
        <w:topLinePunct w:val="0"/>
        <w:autoSpaceDE/>
        <w:autoSpaceDN/>
        <w:bidi w:val="0"/>
        <w:adjustRightInd/>
        <w:spacing w:line="560" w:lineRule="exact"/>
        <w:ind w:firstLine="3120" w:firstLineChars="600"/>
        <w:textAlignment w:val="auto"/>
        <w:rPr>
          <w:rFonts w:hint="default" w:ascii="Times New Roman" w:hAnsi="Times New Roman" w:eastAsia="黑体" w:cs="Times New Roman"/>
          <w:sz w:val="52"/>
          <w:szCs w:val="52"/>
        </w:rPr>
      </w:pPr>
    </w:p>
    <w:p w14:paraId="61A54A26">
      <w:pPr>
        <w:keepNext w:val="0"/>
        <w:keepLines w:val="0"/>
        <w:pageBreakBefore w:val="0"/>
        <w:kinsoku/>
        <w:wordWrap/>
        <w:overflowPunct/>
        <w:topLinePunct w:val="0"/>
        <w:autoSpaceDE/>
        <w:autoSpaceDN/>
        <w:bidi w:val="0"/>
        <w:adjustRightInd/>
        <w:spacing w:line="560" w:lineRule="exact"/>
        <w:ind w:firstLine="2640" w:firstLineChars="600"/>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录</w:t>
      </w:r>
    </w:p>
    <w:p w14:paraId="42FEE62D">
      <w:pPr>
        <w:keepNext w:val="0"/>
        <w:keepLines w:val="0"/>
        <w:pageBreakBefore w:val="0"/>
        <w:kinsoku/>
        <w:wordWrap/>
        <w:overflowPunct/>
        <w:topLinePunct w:val="0"/>
        <w:autoSpaceDE/>
        <w:autoSpaceDN/>
        <w:bidi w:val="0"/>
        <w:adjustRightInd/>
        <w:spacing w:line="560" w:lineRule="exact"/>
        <w:ind w:firstLine="3080" w:firstLineChars="700"/>
        <w:textAlignment w:val="auto"/>
        <w:rPr>
          <w:rFonts w:hint="default" w:ascii="Times New Roman" w:hAnsi="Times New Roman" w:eastAsia="黑体" w:cs="Times New Roman"/>
          <w:sz w:val="44"/>
          <w:szCs w:val="44"/>
        </w:rPr>
      </w:pPr>
    </w:p>
    <w:p w14:paraId="14CE0FB9">
      <w:pPr>
        <w:pStyle w:val="11"/>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bookmarkStart w:id="0" w:name="_Toc31213"/>
      <w:r>
        <w:rPr>
          <w:rFonts w:hint="default" w:ascii="Times New Roman" w:hAnsi="Times New Roman" w:eastAsia="方正黑体_GBK" w:cs="Times New Roman"/>
          <w:b w:val="0"/>
          <w:bCs w:val="0"/>
          <w:sz w:val="32"/>
          <w:szCs w:val="32"/>
        </w:rPr>
        <w:t>一、基本职能及主要工作</w:t>
      </w:r>
      <w:bookmarkEnd w:id="0"/>
    </w:p>
    <w:p w14:paraId="67A3E30A">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（一）部门职能简介</w:t>
      </w:r>
    </w:p>
    <w:p w14:paraId="618B20E3">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（二）2025年重点工作</w:t>
      </w:r>
    </w:p>
    <w:p w14:paraId="6024780E">
      <w:pPr>
        <w:pStyle w:val="11"/>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二、部门预算单位构成</w:t>
      </w:r>
    </w:p>
    <w:p w14:paraId="0579D328">
      <w:pPr>
        <w:pStyle w:val="11"/>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三、收支预算情况说明</w:t>
      </w:r>
    </w:p>
    <w:p w14:paraId="400D530C">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（一）收入预算情况</w:t>
      </w:r>
    </w:p>
    <w:p w14:paraId="5D7D2C8C">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（二）支出预算情况</w:t>
      </w:r>
    </w:p>
    <w:p w14:paraId="5BD08E9A">
      <w:pPr>
        <w:pStyle w:val="11"/>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四、财政拨款收支预算情况说明</w:t>
      </w:r>
    </w:p>
    <w:p w14:paraId="4F3DFE25">
      <w:pPr>
        <w:pStyle w:val="11"/>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五、一般公共预算当年拨款情况说明</w:t>
      </w:r>
    </w:p>
    <w:p w14:paraId="7188947D">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楷体_GBK" w:cs="Times New Roman"/>
          <w:sz w:val="32"/>
          <w:szCs w:val="32"/>
        </w:rPr>
        <w:t>（一）一般公共预算当年拨款规模变化情况</w:t>
      </w:r>
      <w:r>
        <w:rPr>
          <w:rFonts w:hint="default" w:ascii="Times New Roman" w:hAnsi="Times New Roman" w:eastAsia="方正楷体_GBK" w:cs="Times New Roman"/>
          <w:sz w:val="32"/>
          <w:szCs w:val="32"/>
        </w:rPr>
        <w:br w:type="textWrapping"/>
      </w:r>
      <w:r>
        <w:rPr>
          <w:rFonts w:hint="default" w:ascii="Times New Roman" w:hAnsi="Times New Roman" w:eastAsia="方正楷体_GBK" w:cs="Times New Roman"/>
          <w:sz w:val="32"/>
          <w:szCs w:val="32"/>
        </w:rPr>
        <w:t>（二）一般公共预算当年拨款结构情况</w:t>
      </w:r>
      <w:r>
        <w:rPr>
          <w:rFonts w:hint="default" w:ascii="Times New Roman" w:hAnsi="Times New Roman" w:eastAsia="方正楷体_GBK" w:cs="Times New Roman"/>
          <w:sz w:val="32"/>
          <w:szCs w:val="32"/>
        </w:rPr>
        <w:br w:type="textWrapping"/>
      </w:r>
      <w:r>
        <w:rPr>
          <w:rFonts w:hint="default" w:ascii="Times New Roman" w:hAnsi="Times New Roman" w:eastAsia="方正楷体_GBK" w:cs="Times New Roman"/>
          <w:sz w:val="32"/>
          <w:szCs w:val="32"/>
        </w:rPr>
        <w:t>（三）一般公共预算当年拨款具体使用情况</w:t>
      </w:r>
      <w:r>
        <w:rPr>
          <w:rFonts w:hint="default" w:ascii="Times New Roman" w:hAnsi="Times New Roman" w:eastAsia="方正楷体_GBK" w:cs="Times New Roman"/>
          <w:sz w:val="32"/>
          <w:szCs w:val="32"/>
        </w:rPr>
        <w:br w:type="textWrapping"/>
      </w:r>
      <w:r>
        <w:rPr>
          <w:rFonts w:hint="default" w:ascii="Times New Roman" w:hAnsi="Times New Roman" w:eastAsia="方正黑体_GBK" w:cs="Times New Roman"/>
          <w:b w:val="0"/>
          <w:bCs w:val="0"/>
          <w:kern w:val="2"/>
          <w:sz w:val="32"/>
          <w:szCs w:val="32"/>
          <w:lang w:val="en-US" w:eastAsia="zh-CN" w:bidi="ar-SA"/>
        </w:rPr>
        <w:t>六、一般公共预算基本支出情况说明</w:t>
      </w:r>
      <w:r>
        <w:rPr>
          <w:rFonts w:hint="default" w:ascii="Times New Roman" w:hAnsi="Times New Roman" w:eastAsia="方正黑体_GBK" w:cs="Times New Roman"/>
          <w:b w:val="0"/>
          <w:bCs w:val="0"/>
          <w:kern w:val="2"/>
          <w:sz w:val="32"/>
          <w:szCs w:val="32"/>
          <w:lang w:val="en-US" w:eastAsia="zh-CN" w:bidi="ar-SA"/>
        </w:rPr>
        <w:br w:type="textWrapping"/>
      </w:r>
      <w:r>
        <w:rPr>
          <w:rFonts w:hint="default" w:ascii="Times New Roman" w:hAnsi="Times New Roman" w:eastAsia="方正黑体_GBK" w:cs="Times New Roman"/>
          <w:b w:val="0"/>
          <w:bCs w:val="0"/>
          <w:kern w:val="2"/>
          <w:sz w:val="32"/>
          <w:szCs w:val="32"/>
          <w:lang w:val="en-US" w:eastAsia="zh-CN" w:bidi="ar-SA"/>
        </w:rPr>
        <w:t>七、“三公”经费财政拨款预算安排情况说明</w:t>
      </w:r>
      <w:r>
        <w:rPr>
          <w:rFonts w:hint="default" w:ascii="Times New Roman" w:hAnsi="Times New Roman" w:eastAsia="方正黑体_GBK" w:cs="Times New Roman"/>
          <w:b w:val="0"/>
          <w:bCs w:val="0"/>
          <w:kern w:val="2"/>
          <w:sz w:val="32"/>
          <w:szCs w:val="32"/>
          <w:lang w:val="en-US" w:eastAsia="zh-CN" w:bidi="ar-SA"/>
        </w:rPr>
        <w:br w:type="textWrapping"/>
      </w:r>
      <w:r>
        <w:rPr>
          <w:rFonts w:hint="default" w:ascii="Times New Roman" w:hAnsi="Times New Roman" w:eastAsia="方正黑体_GBK" w:cs="Times New Roman"/>
          <w:b w:val="0"/>
          <w:bCs w:val="0"/>
          <w:kern w:val="2"/>
          <w:sz w:val="32"/>
          <w:szCs w:val="32"/>
          <w:lang w:val="en-US" w:eastAsia="zh-CN" w:bidi="ar-SA"/>
        </w:rPr>
        <w:t>八、政府性基金预算支出情况说明</w:t>
      </w:r>
      <w:r>
        <w:rPr>
          <w:rFonts w:hint="default" w:ascii="Times New Roman" w:hAnsi="Times New Roman" w:eastAsia="方正黑体_GBK" w:cs="Times New Roman"/>
          <w:b w:val="0"/>
          <w:bCs w:val="0"/>
          <w:kern w:val="2"/>
          <w:sz w:val="32"/>
          <w:szCs w:val="32"/>
          <w:lang w:val="en-US" w:eastAsia="zh-CN" w:bidi="ar-SA"/>
        </w:rPr>
        <w:br w:type="textWrapping"/>
      </w:r>
      <w:r>
        <w:rPr>
          <w:rFonts w:hint="default" w:ascii="Times New Roman" w:hAnsi="Times New Roman" w:eastAsia="方正黑体_GBK" w:cs="Times New Roman"/>
          <w:b w:val="0"/>
          <w:bCs w:val="0"/>
          <w:kern w:val="2"/>
          <w:sz w:val="32"/>
          <w:szCs w:val="32"/>
          <w:lang w:val="en-US" w:eastAsia="zh-CN" w:bidi="ar-SA"/>
        </w:rPr>
        <w:t>九、其他重要事项的情况说明</w:t>
      </w:r>
      <w:r>
        <w:rPr>
          <w:rFonts w:hint="default" w:ascii="Times New Roman" w:hAnsi="Times New Roman" w:eastAsia="方正黑体_GBK" w:cs="Times New Roman"/>
          <w:b w:val="0"/>
          <w:bCs w:val="0"/>
          <w:kern w:val="2"/>
          <w:sz w:val="32"/>
          <w:szCs w:val="32"/>
          <w:lang w:val="en-US" w:eastAsia="zh-CN" w:bidi="ar-SA"/>
        </w:rPr>
        <w:br w:type="textWrapping"/>
      </w:r>
      <w:r>
        <w:rPr>
          <w:rFonts w:hint="default" w:ascii="Times New Roman" w:hAnsi="Times New Roman" w:eastAsia="方正黑体_GBK" w:cs="Times New Roman"/>
          <w:b w:val="0"/>
          <w:bCs w:val="0"/>
          <w:kern w:val="2"/>
          <w:sz w:val="32"/>
          <w:szCs w:val="32"/>
          <w:lang w:val="en-US" w:eastAsia="zh-CN" w:bidi="ar-SA"/>
        </w:rPr>
        <w:t>十、名称解释</w:t>
      </w:r>
    </w:p>
    <w:p w14:paraId="0E383173">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560" w:lineRule="exact"/>
        <w:ind w:right="300"/>
        <w:jc w:val="left"/>
        <w:textAlignment w:val="auto"/>
        <w:rPr>
          <w:rFonts w:hint="default" w:ascii="Times New Roman" w:hAnsi="Times New Roman" w:cs="Times New Roman"/>
          <w:kern w:val="0"/>
          <w:sz w:val="12"/>
          <w:szCs w:val="12"/>
        </w:rPr>
      </w:pPr>
    </w:p>
    <w:p w14:paraId="2B4D6680">
      <w:pPr>
        <w:pStyle w:val="2"/>
        <w:rPr>
          <w:rFonts w:hint="default" w:ascii="Times New Roman" w:hAnsi="Times New Roman" w:cs="Times New Roman"/>
        </w:rPr>
      </w:pPr>
    </w:p>
    <w:p w14:paraId="702FDEE8">
      <w:pPr>
        <w:pStyle w:val="11"/>
        <w:keepNext w:val="0"/>
        <w:keepLines w:val="0"/>
        <w:pageBreakBefore w:val="0"/>
        <w:kinsoku/>
        <w:wordWrap/>
        <w:overflowPunct/>
        <w:topLinePunct w:val="0"/>
        <w:autoSpaceDE/>
        <w:autoSpaceDN/>
        <w:bidi w:val="0"/>
        <w:adjustRightInd/>
        <w:spacing w:line="560" w:lineRule="exact"/>
        <w:ind w:left="0" w:leftChars="0" w:firstLine="0" w:firstLineChars="0"/>
        <w:textAlignment w:val="auto"/>
        <w:outlineLvl w:val="0"/>
        <w:rPr>
          <w:rFonts w:hint="default" w:ascii="Times New Roman" w:hAnsi="Times New Roman" w:eastAsia="黑体" w:cs="Times New Roman"/>
          <w:sz w:val="32"/>
          <w:szCs w:val="32"/>
        </w:rPr>
      </w:pPr>
      <w:bookmarkStart w:id="1" w:name="_Toc24827"/>
    </w:p>
    <w:p w14:paraId="48D89B66">
      <w:pPr>
        <w:pStyle w:val="11"/>
        <w:keepNext w:val="0"/>
        <w:keepLines w:val="0"/>
        <w:pageBreakBefore w:val="0"/>
        <w:kinsoku/>
        <w:wordWrap/>
        <w:overflowPunct/>
        <w:topLinePunct w:val="0"/>
        <w:autoSpaceDE/>
        <w:autoSpaceDN/>
        <w:bidi w:val="0"/>
        <w:adjustRightInd/>
        <w:spacing w:line="560" w:lineRule="exact"/>
        <w:ind w:left="0" w:leftChars="0" w:firstLine="0" w:firstLineChars="0"/>
        <w:textAlignment w:val="auto"/>
        <w:outlineLvl w:val="0"/>
        <w:rPr>
          <w:rFonts w:hint="default" w:ascii="Times New Roman" w:hAnsi="Times New Roman" w:eastAsia="黑体" w:cs="Times New Roman"/>
          <w:sz w:val="32"/>
          <w:szCs w:val="32"/>
        </w:rPr>
      </w:pPr>
    </w:p>
    <w:p w14:paraId="3846367B">
      <w:pPr>
        <w:pStyle w:val="11"/>
        <w:keepNext w:val="0"/>
        <w:keepLines w:val="0"/>
        <w:pageBreakBefore w:val="0"/>
        <w:widowControl w:val="0"/>
        <w:kinsoku/>
        <w:wordWrap/>
        <w:overflowPunct/>
        <w:topLinePunct w:val="0"/>
        <w:autoSpaceDE/>
        <w:autoSpaceDN/>
        <w:bidi w:val="0"/>
        <w:adjustRightInd/>
        <w:spacing w:line="560" w:lineRule="exact"/>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一、基本职能及主要工作</w:t>
      </w:r>
      <w:bookmarkEnd w:id="1"/>
    </w:p>
    <w:p w14:paraId="47297576">
      <w:pPr>
        <w:pStyle w:val="12"/>
        <w:keepNext w:val="0"/>
        <w:keepLines w:val="0"/>
        <w:pageBreakBefore w:val="0"/>
        <w:widowControl w:val="0"/>
        <w:numPr>
          <w:ilvl w:val="0"/>
          <w:numId w:val="0"/>
        </w:numPr>
        <w:kinsoku/>
        <w:wordWrap/>
        <w:overflowPunct/>
        <w:topLinePunct w:val="0"/>
        <w:autoSpaceDE/>
        <w:autoSpaceDN/>
        <w:bidi w:val="0"/>
        <w:adjustRightInd/>
        <w:spacing w:before="0" w:line="560" w:lineRule="exact"/>
        <w:ind w:left="0" w:leftChars="0" w:firstLine="643" w:firstLineChars="200"/>
        <w:textAlignment w:val="auto"/>
        <w:outlineLvl w:val="1"/>
        <w:rPr>
          <w:rFonts w:hint="default" w:ascii="Times New Roman" w:hAnsi="Times New Roman" w:eastAsia="方正楷体_GBK" w:cs="Times New Roman"/>
          <w:b/>
          <w:bCs/>
          <w:kern w:val="2"/>
          <w:sz w:val="32"/>
          <w:szCs w:val="32"/>
        </w:rPr>
      </w:pPr>
      <w:r>
        <w:rPr>
          <w:rFonts w:hint="default" w:ascii="Times New Roman" w:hAnsi="Times New Roman" w:eastAsia="方正楷体_GBK" w:cs="Times New Roman"/>
          <w:b/>
          <w:bCs/>
          <w:kern w:val="2"/>
          <w:sz w:val="32"/>
          <w:szCs w:val="32"/>
        </w:rPr>
        <w:t>（一）</w:t>
      </w:r>
      <w:r>
        <w:rPr>
          <w:rFonts w:hint="default" w:ascii="Times New Roman" w:hAnsi="Times New Roman" w:eastAsia="方正楷体_GBK" w:cs="Times New Roman"/>
          <w:b/>
          <w:bCs/>
          <w:kern w:val="2"/>
          <w:sz w:val="32"/>
          <w:szCs w:val="32"/>
          <w:lang w:eastAsia="zh-CN"/>
        </w:rPr>
        <w:t>壤塘县发展和改革局</w:t>
      </w:r>
      <w:r>
        <w:rPr>
          <w:rFonts w:hint="default" w:ascii="Times New Roman" w:hAnsi="Times New Roman" w:eastAsia="方正楷体_GBK" w:cs="Times New Roman"/>
          <w:b/>
          <w:bCs/>
          <w:kern w:val="2"/>
          <w:sz w:val="32"/>
          <w:szCs w:val="32"/>
        </w:rPr>
        <w:t>职能简介</w:t>
      </w:r>
    </w:p>
    <w:p w14:paraId="642B77D1">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val="0"/>
          <w:bCs w:val="0"/>
          <w:sz w:val="32"/>
          <w:szCs w:val="32"/>
          <w:lang w:val="en-US" w:eastAsia="zh-CN"/>
        </w:rPr>
        <w:t>贯</w:t>
      </w:r>
      <w:r>
        <w:rPr>
          <w:rFonts w:hint="default" w:ascii="Times New Roman" w:hAnsi="Times New Roman" w:eastAsia="方正仿宋_GBK" w:cs="Times New Roman"/>
          <w:sz w:val="32"/>
          <w:szCs w:val="32"/>
        </w:rPr>
        <w:t>彻实施国家、省、州有关国民经济和社会发展、经济体制改革的方针、政策和</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。拟订全县有关国民经济和社会发展、经济体制改革方案，落实行政执法责任制。</w:t>
      </w:r>
    </w:p>
    <w:p w14:paraId="2462292A">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sz w:val="32"/>
          <w:szCs w:val="32"/>
        </w:rPr>
        <w:t>负责拟订并组织实施全县国民经济和社会发展的中长期规划和年度综合计划。研究提出总量平衡，发展速度和结构调整比例的调控目标和调控政策，研究提出社会事业发展的重大问题和政策措施，协调经济发展和社会发展的相互关系。衔接平衡主要行业的行业规划，加强实施过程中的宏观调控。研究提出全县国民经济和社会发展的战略目标和重大方针政策，加强对全县经济运行态势的预测监测、信息收集和分析研究，组织对全县国民经济和社会发展中的重大问题和热点难点问题的调查研究，及时向</w:t>
      </w:r>
      <w:r>
        <w:rPr>
          <w:rFonts w:hint="default" w:ascii="Times New Roman" w:hAnsi="Times New Roman" w:eastAsia="方正仿宋_GBK" w:cs="Times New Roman"/>
          <w:sz w:val="32"/>
          <w:szCs w:val="32"/>
          <w:lang w:eastAsia="zh-CN"/>
        </w:rPr>
        <w:t>县委、县政府</w:t>
      </w:r>
      <w:r>
        <w:rPr>
          <w:rFonts w:hint="default" w:ascii="Times New Roman" w:hAnsi="Times New Roman" w:eastAsia="方正仿宋_GBK" w:cs="Times New Roman"/>
          <w:sz w:val="32"/>
          <w:szCs w:val="32"/>
        </w:rPr>
        <w:t>提出建议。</w:t>
      </w:r>
    </w:p>
    <w:p w14:paraId="682C12C7">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sz w:val="32"/>
          <w:szCs w:val="32"/>
        </w:rPr>
        <w:t>负责组织编制全县实施</w:t>
      </w:r>
      <w:r>
        <w:rPr>
          <w:rFonts w:hint="default" w:ascii="Times New Roman" w:hAnsi="Times New Roman" w:eastAsia="方正仿宋_GBK" w:cs="Times New Roman"/>
          <w:sz w:val="32"/>
          <w:szCs w:val="32"/>
          <w:lang w:val="en-US" w:eastAsia="zh-CN"/>
        </w:rPr>
        <w:t>藏</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跨越式发展西部大开发战略的规划，使之与国民经济和社会发展中长期规划相衔接，提出有关政策建议。组织协调全县实施</w:t>
      </w:r>
      <w:r>
        <w:rPr>
          <w:rFonts w:hint="default" w:ascii="Times New Roman" w:hAnsi="Times New Roman" w:eastAsia="方正仿宋_GBK" w:cs="Times New Roman"/>
          <w:sz w:val="32"/>
          <w:szCs w:val="32"/>
          <w:lang w:val="en-US" w:eastAsia="zh-CN"/>
        </w:rPr>
        <w:t>藏</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跨越式发展西部大开发战略的政策措施，提出全县重大生产力布局和资源开发的对策建议，引导和促进全县经济结构合理化和县域经济协调发展。负责研究、指导和促进全县市场体系的建立，制定县内重要商品市场、生产要素市场的发展规划、总体布局和重大调控政策。</w:t>
      </w:r>
    </w:p>
    <w:p w14:paraId="3F41D93B">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负责提出全县全社会固定资产投资总规模，结构和资金来源建议。提出有关重大投资政策，规划重大项目布局，安排重大项目计划建议。申报安排财政性建设资金，指导和监督政策性资金的使用。申报限额以上和审批权限以内的基本建设项目。按照基本建设程序负责全县基本建设项目立项、信息、产业等项目的初步设计审查，开工报告审批或转报审查、审批工作。</w:t>
      </w:r>
    </w:p>
    <w:p w14:paraId="18BD446D">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val="0"/>
          <w:bCs w:val="0"/>
          <w:sz w:val="32"/>
          <w:szCs w:val="32"/>
          <w:lang w:val="en-US" w:eastAsia="zh-CN"/>
        </w:rPr>
        <w:t>根</w:t>
      </w:r>
      <w:r>
        <w:rPr>
          <w:rFonts w:hint="default" w:ascii="Times New Roman" w:hAnsi="Times New Roman" w:eastAsia="方正仿宋_GBK" w:cs="Times New Roman"/>
          <w:sz w:val="32"/>
          <w:szCs w:val="32"/>
        </w:rPr>
        <w:t>据《</w:t>
      </w:r>
      <w:r>
        <w:rPr>
          <w:rFonts w:hint="default"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招</w:t>
      </w:r>
      <w:r>
        <w:rPr>
          <w:rFonts w:hint="default" w:ascii="Times New Roman" w:hAnsi="Times New Roman" w:eastAsia="方正仿宋_GBK" w:cs="Times New Roman"/>
          <w:sz w:val="32"/>
          <w:szCs w:val="32"/>
          <w:lang w:val="en-US" w:eastAsia="zh-CN"/>
        </w:rPr>
        <w:t>标</w:t>
      </w:r>
      <w:r>
        <w:rPr>
          <w:rFonts w:hint="default" w:ascii="Times New Roman" w:hAnsi="Times New Roman" w:eastAsia="方正仿宋_GBK" w:cs="Times New Roman"/>
          <w:sz w:val="32"/>
          <w:szCs w:val="32"/>
        </w:rPr>
        <w:t>投标法》的规定，负责指导和协调全县招投标工作，会同有关行政主管部门共同做好全县招标、投标行政监督管理工作，依法查处招标、投标活动中的违法行为，确保全县招标、投标工作做到公开、公平、公正。</w:t>
      </w:r>
      <w:r>
        <w:rPr>
          <w:rFonts w:hint="default" w:ascii="Times New Roman" w:hAnsi="Times New Roman" w:eastAsia="方正仿宋_GBK" w:cs="Times New Roman"/>
          <w:color w:val="000000"/>
          <w:sz w:val="32"/>
          <w:szCs w:val="32"/>
        </w:rPr>
        <w:t>承担县招标投标领导小组办公室具体工作。</w:t>
      </w:r>
      <w:r>
        <w:rPr>
          <w:rFonts w:hint="default" w:ascii="Times New Roman" w:hAnsi="Times New Roman" w:eastAsia="方正仿宋_GBK" w:cs="Times New Roman"/>
          <w:sz w:val="32"/>
          <w:szCs w:val="32"/>
        </w:rPr>
        <w:t>综合管理招标投标（比选）活动。负责重大建设项目招标文件的审查和备案，监督招标投标活动，受理相关投诉，调查违规行为。统筹监督国家投资建设项目招标投标合同的执行情况并组</w:t>
      </w:r>
      <w:r>
        <w:rPr>
          <w:rFonts w:hint="default" w:ascii="Times New Roman" w:hAnsi="Times New Roman" w:eastAsia="方正仿宋_GBK" w:cs="Times New Roman"/>
          <w:color w:val="000000"/>
          <w:sz w:val="32"/>
          <w:szCs w:val="32"/>
        </w:rPr>
        <w:t>织后评</w:t>
      </w:r>
      <w:r>
        <w:rPr>
          <w:rFonts w:hint="default" w:ascii="Times New Roman" w:hAnsi="Times New Roman" w:eastAsia="方正仿宋_GBK" w:cs="Times New Roman"/>
          <w:sz w:val="32"/>
          <w:szCs w:val="32"/>
        </w:rPr>
        <w:t>估工作。负责协调招标投标平台的建设和管理，管理综合性评标专家库。</w:t>
      </w:r>
    </w:p>
    <w:p w14:paraId="2EB60C59">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sz w:val="32"/>
          <w:szCs w:val="32"/>
        </w:rPr>
        <w:t>负责组织研究、审查、编制、上报、衔接项目的资金计划，并综合平衡项目、资金计划。会同有关部门监督、检查计划执行情况。根据我县区域发展规划和产业发展规划，储备、包装重大项目，积极向上申报、争取协调加快推进前期工作。落实项目推进的政策措施，组织要素支持和资源配置，促进项目开工。汇总分析项目前期推进中存在的问题，研究解决方案，落实解决问题责任，并跟踪督导。</w:t>
      </w:r>
    </w:p>
    <w:p w14:paraId="2CCF4635">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sz w:val="32"/>
          <w:szCs w:val="32"/>
        </w:rPr>
        <w:t>统筹国民经济和社会发展对能源的需求，拟订能源发展战略、发展规划和年度指导性计划，提出能源发展的目标和措施。研究分析、预测预警能源供需和能源应急对策及计划管理，提出促进能源发展、能源节约、能源安</w:t>
      </w:r>
      <w:r>
        <w:rPr>
          <w:rFonts w:hint="default" w:ascii="Times New Roman" w:hAnsi="Times New Roman" w:eastAsia="方正仿宋_GBK" w:cs="Times New Roman"/>
          <w:sz w:val="32"/>
          <w:szCs w:val="32"/>
          <w:lang w:eastAsia="zh-CN"/>
        </w:rPr>
        <w:t>全等</w:t>
      </w:r>
      <w:r>
        <w:rPr>
          <w:rFonts w:hint="default" w:ascii="Times New Roman" w:hAnsi="Times New Roman" w:eastAsia="方正仿宋_GBK" w:cs="Times New Roman"/>
          <w:sz w:val="32"/>
          <w:szCs w:val="32"/>
        </w:rPr>
        <w:t>政策意见。</w:t>
      </w:r>
    </w:p>
    <w:p w14:paraId="4CDFA644">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sz w:val="32"/>
          <w:szCs w:val="32"/>
        </w:rPr>
        <w:t>负责收集、汇总全县的经济运行情况。负责全县经济信息资源的开发管理，信息的收集、整理和发布。负责全县经济运行的预测与分析，为各级领导和部门提供</w:t>
      </w:r>
      <w:r>
        <w:rPr>
          <w:rFonts w:hint="default" w:ascii="Times New Roman" w:hAnsi="Times New Roman" w:eastAsia="方正仿宋_GBK" w:cs="Times New Roman"/>
          <w:sz w:val="32"/>
          <w:szCs w:val="32"/>
          <w:lang w:eastAsia="zh-CN"/>
        </w:rPr>
        <w:t>决策</w:t>
      </w:r>
      <w:r>
        <w:rPr>
          <w:rFonts w:hint="default" w:ascii="Times New Roman" w:hAnsi="Times New Roman" w:eastAsia="方正仿宋_GBK" w:cs="Times New Roman"/>
          <w:sz w:val="32"/>
          <w:szCs w:val="32"/>
        </w:rPr>
        <w:t>依据。</w:t>
      </w:r>
    </w:p>
    <w:p w14:paraId="546F773B">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sz w:val="32"/>
          <w:szCs w:val="32"/>
        </w:rPr>
        <w:t>负责对国家和省安排资金项目的审批程序、建设资金使用、工程招标投标、开工建设条件、建设进度、工程质量、投资概算控制以及工程竣工验收等建设活动进行全过程的监督检查。协调、督促有关项目建设单位进行整改。</w:t>
      </w:r>
    </w:p>
    <w:p w14:paraId="5A538DE7">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kern w:val="0"/>
          <w:sz w:val="32"/>
          <w:szCs w:val="32"/>
        </w:rPr>
        <w:t>编制以工代赈规划，以工代赈项目的实施、检查监督、验收和总结等工作。</w:t>
      </w:r>
    </w:p>
    <w:p w14:paraId="17F44DC6">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11.</w:t>
      </w:r>
      <w:r>
        <w:rPr>
          <w:rFonts w:hint="default" w:ascii="Times New Roman" w:hAnsi="Times New Roman" w:eastAsia="方正仿宋_GBK" w:cs="Times New Roman"/>
          <w:sz w:val="32"/>
          <w:szCs w:val="32"/>
        </w:rPr>
        <w:t>承担指导推进和综合协调全县经济体制改革的责任。研究经济体制改革和对外开放的重大问题，组织拟订综合性经济体制改革方案，协调有关专项经济体制改革方案，指导和推进总体经济体制改革，组织、指导和协调综合配套改革试点和重大专项经济体制改革试点。</w:t>
      </w:r>
    </w:p>
    <w:p w14:paraId="5B7E2450">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sz w:val="32"/>
          <w:szCs w:val="32"/>
        </w:rPr>
        <w:t>贯彻执行国家、省、州价格法律法规、规章和政策规定，草拟相关的地方性规章、政策并组织实施。负责全县价格总水平的宏观调控和综合平衡。研究提出控制物价总水平的相关措施。参与调控价格总水平相关决策方案，提供给党委和政府决策。负责监测、分析、预报全县市场价格动态和变化趋势，并提出政策建议。负责全县境内的旅游市场价格监管工作。申报景区门票价格调整方案。指导和监管涉旅购物市场价格行为。指导和规范宾馆酒店以及各类娱乐场所的价格行为。监管营业性演艺团体价格行为。</w:t>
      </w:r>
    </w:p>
    <w:p w14:paraId="66A95C0F">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13.</w:t>
      </w:r>
      <w:r>
        <w:rPr>
          <w:rFonts w:hint="default" w:ascii="Times New Roman" w:hAnsi="Times New Roman" w:eastAsia="方正仿宋_GBK" w:cs="Times New Roman"/>
          <w:sz w:val="32"/>
          <w:szCs w:val="32"/>
        </w:rPr>
        <w:t>按照价格管理权限，研究制定县管价格和收费目录及管理办法，制定并公布政府定价和政府指导价。审定、调整列入管理的商品价格和服务价格。贯彻执行国家行政事业性收费项目和标准，会同财政部审定、调整列管的收费项目和收费标准。组织实施行政事业性收费、经营性收费许可证制度和年度审验工作。对开放的商品价格和服务价格实施指导价，合理安排各种差价和比价关系。引导和规范经营者自主定价行为，指导行业价格自律。当市场商品价格和服务价格出现异常波动时。提出干预措施，待批准后组织实施。负责全县境内的各类商品价格和服务价格的明码标价工作，负责价格</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和价格（收费）标准的公示。负责价格</w:t>
      </w:r>
      <w:r>
        <w:rPr>
          <w:rFonts w:hint="default" w:ascii="Times New Roman" w:hAnsi="Times New Roman" w:eastAsia="方正仿宋_GBK" w:cs="Times New Roman"/>
          <w:sz w:val="32"/>
          <w:szCs w:val="32"/>
          <w:lang w:eastAsia="zh-CN"/>
        </w:rPr>
        <w:t>法治宣传教育</w:t>
      </w:r>
      <w:r>
        <w:rPr>
          <w:rFonts w:hint="default" w:ascii="Times New Roman" w:hAnsi="Times New Roman" w:eastAsia="方正仿宋_GBK" w:cs="Times New Roman"/>
          <w:sz w:val="32"/>
          <w:szCs w:val="32"/>
        </w:rPr>
        <w:t>工作。承办或实施列入听证目录商品价格和服务价格听证工作。负责仲裁相关价格和收费的纠纷或争议。负责全县工业品、农副产品、公用事业成本监审和流通费用的调查分析。负责全县各类罚没物、赃物、拍卖物、抵押物、车辆物损等的价格鉴定认证，参与国有资产和房地产价格评估。承办县委、县政府和州物价局交办的其他事项。</w:t>
      </w:r>
    </w:p>
    <w:p w14:paraId="6BBF5C4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14.</w:t>
      </w:r>
      <w:r>
        <w:rPr>
          <w:rFonts w:hint="default" w:ascii="Times New Roman" w:hAnsi="Times New Roman" w:eastAsia="方正仿宋_GBK" w:cs="Times New Roman"/>
          <w:sz w:val="32"/>
          <w:szCs w:val="32"/>
        </w:rPr>
        <w:t>贯彻执行国家、省、州粮食流通和储备粮管理的方针政策和法律法规，拟订全县粮食流通和县级储备粮管理的有关法规草案、规章制度和有关政策，并组织执行。承担粮食行政执法、行政调解、行政复议、行政应诉工作，监督检查县级储备粮库存数量、质量和安全，</w:t>
      </w:r>
      <w:r>
        <w:rPr>
          <w:rFonts w:hint="default" w:ascii="Times New Roman" w:hAnsi="Times New Roman" w:eastAsia="方正仿宋_GBK" w:cs="Times New Roman"/>
          <w:sz w:val="32"/>
          <w:szCs w:val="32"/>
          <w:lang w:eastAsia="zh-CN"/>
        </w:rPr>
        <w:t>做好</w:t>
      </w:r>
      <w:r>
        <w:rPr>
          <w:rFonts w:hint="default" w:ascii="Times New Roman" w:hAnsi="Times New Roman" w:eastAsia="方正仿宋_GBK" w:cs="Times New Roman"/>
          <w:sz w:val="32"/>
          <w:szCs w:val="32"/>
        </w:rPr>
        <w:t>县级储备粮的监督管理工作。研究提出县级储备粮的收购、轮换、抛售计划，并组织实施。承担粮食预警监测和应急责任，负责全县粮食宏观调控具体工作，组织指导全县粮食系统统计工作。研究提出全县粮食宏观调控、总量平衡以及粮食流通的中长期规划。研究提出收储、动用县级储备粮的建议，并组织实施。负责国家粮食收购任务的落实，根据上级安排部署，提出全县粮食收购价格和销售限价的实施方案，并监督执行。</w:t>
      </w:r>
    </w:p>
    <w:p w14:paraId="5EEC7428">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15.</w:t>
      </w:r>
      <w:r>
        <w:rPr>
          <w:rFonts w:hint="default" w:ascii="Times New Roman" w:hAnsi="Times New Roman" w:eastAsia="方正仿宋_GBK" w:cs="Times New Roman"/>
          <w:sz w:val="32"/>
          <w:szCs w:val="32"/>
        </w:rPr>
        <w:t>贯彻实施国家粮食质量标准，执行有关粮油、饲料的质量法规、质量（卫生）标准，承担全县粮油产品质量的监督检验，协同质量技术监督部门做好粮食质量标准的管理工作，贯彻落实好粮食储存、运输的技术规定，并监督执行。制定县级储备粮管理的技术规范并监督执行，负责县级储备粮管理，指导全县粮食储备体系建设。负责全县粮食收购、储存环节和政策性用粮质量安全，负责库存原粮卫生监督管理，指导粮食行业安全生产和抢险救灾，指导全县农村科学储粮工作。指导和协调全县粮食流通基础设施建设，编制全县粮食仓储、加工设施建设计划并组织实施。负责全县粮食仓储设施的报废、占用、拆迁的审核上报工作。制定粮食流通产业发展规划，提出促进粮食流通产业发展的政策性建议并督促落实。指导全县粮食流通市场的行业管理，会同有关部门搞好县级粮食批发市场体系建设，加强粮油市场的监管，指导并推动行业的技术改造、新技术推广运用工作。承担行业统计工作。</w:t>
      </w:r>
    </w:p>
    <w:p w14:paraId="77CB1A89">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16.</w:t>
      </w:r>
      <w:r>
        <w:rPr>
          <w:rFonts w:hint="default" w:ascii="Times New Roman" w:hAnsi="Times New Roman" w:eastAsia="方正仿宋_GBK" w:cs="Times New Roman"/>
          <w:sz w:val="32"/>
          <w:szCs w:val="32"/>
        </w:rPr>
        <w:t>指导全县国有粮食企业的财务管理和会计报告工作。贯彻国家粮食流通财政财务政策和会计制度，组织编报全县国有粮食企业会计报表及会计决算。负责国家和省、州、县预算拨付的粮食政策性补贴资金和专项资金的使用管理。会同有关部门管理粮食风险基金、政策性粮食财务挂账，参与粮食收购资金的贷款管理。指导粮食直属事业单位管理好国有资产。</w:t>
      </w:r>
    </w:p>
    <w:p w14:paraId="21AA752A">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17.</w:t>
      </w:r>
      <w:r>
        <w:rPr>
          <w:rFonts w:hint="default" w:ascii="Times New Roman" w:hAnsi="Times New Roman" w:eastAsia="方正仿宋_GBK" w:cs="Times New Roman"/>
          <w:sz w:val="32"/>
          <w:szCs w:val="32"/>
        </w:rPr>
        <w:t>贯彻国家军粮供应政策，做好军供粮差价款的拨付工作，保障军队（含武警）政策性粮食供应。指导粮食系统对外经济技术合作与交流，指导全县粮食行业的职业教育培训工作。</w:t>
      </w:r>
    </w:p>
    <w:p w14:paraId="4B1B277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负责组织实施粮食等重要物资和应急储备物资收储、轮换和日常管理工作。</w:t>
      </w:r>
    </w:p>
    <w:p w14:paraId="156D03C6">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sz w:val="32"/>
          <w:szCs w:val="32"/>
          <w:lang w:val="en-US" w:eastAsia="zh-CN"/>
        </w:rPr>
        <w:t>18.</w:t>
      </w:r>
      <w:r>
        <w:rPr>
          <w:rFonts w:hint="default" w:ascii="Times New Roman" w:hAnsi="Times New Roman" w:eastAsia="方正仿宋_GBK" w:cs="Times New Roman"/>
          <w:sz w:val="32"/>
          <w:szCs w:val="32"/>
        </w:rPr>
        <w:t>负责职责范围内的安全生产和职业健康、生态环境保护、审批服务便民化等工作。</w:t>
      </w:r>
    </w:p>
    <w:p w14:paraId="2C46FDF0">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19.</w:t>
      </w:r>
      <w:r>
        <w:rPr>
          <w:rFonts w:hint="default" w:ascii="Times New Roman" w:hAnsi="Times New Roman" w:eastAsia="方正仿宋_GBK" w:cs="Times New Roman"/>
          <w:sz w:val="32"/>
          <w:szCs w:val="32"/>
        </w:rPr>
        <w:t>完成县委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县政府交办的其他任务。</w:t>
      </w:r>
    </w:p>
    <w:p w14:paraId="4A614158">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1"/>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（二）2025年重点工作</w:t>
      </w:r>
    </w:p>
    <w:p w14:paraId="5EE1750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b/>
          <w:bCs w:val="0"/>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1.2025年经济社会发展主要预期目标</w:t>
      </w:r>
    </w:p>
    <w:p w14:paraId="3A106CE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2025年主要预期目标：地区生产总值同比增长6%，固定资产投资增长10.5%；规模以上工业增长8%；全县建筑业总产值增长9.5%；社会消费品零售总额增速6.5%；地方一般公共预算收入增长6%。城镇居民人均可支配收入增长5.6%；农村居民人均可支配收入增长7.5%。城镇调查失业率控制在3.5%左右。</w:t>
      </w:r>
    </w:p>
    <w:p w14:paraId="1BD46C6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b/>
          <w:bCs w:val="0"/>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2.增质提效项目推进投资工作</w:t>
      </w:r>
    </w:p>
    <w:p w14:paraId="5635039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一是</w:t>
      </w:r>
      <w:r>
        <w:rPr>
          <w:rFonts w:hint="default" w:ascii="Times New Roman" w:hAnsi="Times New Roman" w:eastAsia="方正仿宋_GBK" w:cs="Times New Roman"/>
          <w:color w:val="auto"/>
          <w:kern w:val="0"/>
          <w:sz w:val="32"/>
          <w:szCs w:val="32"/>
          <w:lang w:val="en-US" w:eastAsia="zh-CN"/>
        </w:rPr>
        <w:t>强化指导服务。会同统计</w:t>
      </w:r>
      <w:r>
        <w:rPr>
          <w:rFonts w:hint="eastAsia"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lang w:val="en-US" w:eastAsia="zh-CN"/>
        </w:rPr>
        <w:t>为项目入库</w:t>
      </w:r>
      <w:r>
        <w:rPr>
          <w:rFonts w:hint="eastAsia" w:ascii="Times New Roman" w:hAnsi="Times New Roman" w:eastAsia="方正仿宋_GBK" w:cs="Times New Roman"/>
          <w:color w:val="auto"/>
          <w:kern w:val="0"/>
          <w:sz w:val="32"/>
          <w:szCs w:val="32"/>
          <w:lang w:val="en-US" w:eastAsia="zh-CN"/>
        </w:rPr>
        <w:t>进行</w:t>
      </w:r>
      <w:r>
        <w:rPr>
          <w:rFonts w:hint="default" w:ascii="Times New Roman" w:hAnsi="Times New Roman" w:eastAsia="方正仿宋_GBK" w:cs="Times New Roman"/>
          <w:color w:val="auto"/>
          <w:kern w:val="0"/>
          <w:sz w:val="32"/>
          <w:szCs w:val="32"/>
          <w:lang w:val="en-US" w:eastAsia="zh-CN"/>
        </w:rPr>
        <w:t>指导，并建立问题清单，协助解决好存在的问题。</w:t>
      </w: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二是</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推动项目开工。坚持提升项目用地报批效率，强化土地要素保障。深化县级领导包抓责任制，继续实行每月开工、督查考核、观摩点评，统筹好项目建设与投资、投产时序进度，力促36个续建项目投产投用、79个新建项目全部开工，突出抓好58个县级重点项目，带动全年完成投资26亿元以上。</w:t>
      </w:r>
      <w:r>
        <w:rPr>
          <w:rFonts w:hint="default" w:ascii="Times New Roman" w:hAnsi="Times New Roman" w:eastAsia="方正仿宋_GBK" w:cs="Times New Roman"/>
          <w:b/>
          <w:bCs/>
          <w:color w:val="auto"/>
          <w:kern w:val="0"/>
          <w:sz w:val="32"/>
          <w:szCs w:val="32"/>
          <w:lang w:val="en-US" w:eastAsia="zh-CN"/>
        </w:rPr>
        <w:t>三是</w:t>
      </w:r>
      <w:r>
        <w:rPr>
          <w:rFonts w:hint="default" w:ascii="Times New Roman" w:hAnsi="Times New Roman" w:eastAsia="方正仿宋_GBK" w:cs="Times New Roman"/>
          <w:color w:val="auto"/>
          <w:kern w:val="0"/>
          <w:sz w:val="32"/>
          <w:szCs w:val="32"/>
          <w:lang w:val="en-US" w:eastAsia="zh-CN"/>
        </w:rPr>
        <w:t>进一步加强项目申报谋划。深化与第三方合作，精准</w:t>
      </w:r>
      <w:r>
        <w:rPr>
          <w:rFonts w:hint="eastAsia" w:ascii="Times New Roman" w:hAnsi="Times New Roman" w:eastAsia="方正仿宋_GBK" w:cs="Times New Roman"/>
          <w:color w:val="auto"/>
          <w:kern w:val="0"/>
          <w:sz w:val="32"/>
          <w:szCs w:val="32"/>
          <w:lang w:val="en-US" w:eastAsia="zh-CN"/>
        </w:rPr>
        <w:t>加强</w:t>
      </w:r>
      <w:r>
        <w:rPr>
          <w:rFonts w:hint="default" w:ascii="Times New Roman" w:hAnsi="Times New Roman" w:eastAsia="方正仿宋_GBK" w:cs="Times New Roman"/>
          <w:color w:val="auto"/>
          <w:kern w:val="0"/>
          <w:sz w:val="32"/>
          <w:szCs w:val="32"/>
          <w:lang w:val="en-US" w:eastAsia="zh-CN"/>
        </w:rPr>
        <w:t>项目谋划包装力度</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紧盯超长期国债、</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两重</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“两新”项目等重点政策导向</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提高项目前期成熟度，努力在项目争取方面抢占先机，继续压茬推进项目前期工作；围绕基础设施、特色农牧业、文旅产业和能源项目等重点领域，积极谋划储备一批质量高、拉动力大的重点项目</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积极向上对接争取项目，主动加强与省、州发改的汇报对接，把项目的迫切性、可行性汇报充分，最大限度地争取上级部门的支持帮助。</w:t>
      </w:r>
    </w:p>
    <w:p w14:paraId="795ECF4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b/>
          <w:bCs w:val="0"/>
          <w:color w:val="auto"/>
          <w:sz w:val="32"/>
          <w:szCs w:val="32"/>
          <w:highlight w:val="none"/>
          <w:lang w:val="en-US" w:eastAsia="zh-CN"/>
        </w:rPr>
      </w:pPr>
      <w:r>
        <w:rPr>
          <w:rFonts w:hint="default" w:ascii="Times New Roman" w:hAnsi="Times New Roman" w:eastAsia="方正仿宋_GBK" w:cs="Times New Roman"/>
          <w:b/>
          <w:bCs w:val="0"/>
          <w:color w:val="auto"/>
          <w:kern w:val="2"/>
          <w:sz w:val="32"/>
          <w:szCs w:val="32"/>
          <w:lang w:val="en-US" w:eastAsia="zh-CN" w:bidi="ar-SA"/>
        </w:rPr>
        <w:t>3.</w:t>
      </w:r>
      <w:r>
        <w:rPr>
          <w:rFonts w:hint="default" w:ascii="Times New Roman" w:hAnsi="Times New Roman" w:eastAsia="方正仿宋_GBK" w:cs="Times New Roman"/>
          <w:b/>
          <w:bCs w:val="0"/>
          <w:color w:val="auto"/>
          <w:sz w:val="32"/>
          <w:szCs w:val="32"/>
          <w:highlight w:val="none"/>
          <w:lang w:val="en-US" w:eastAsia="zh-CN"/>
        </w:rPr>
        <w:t>严谨开展审计工作</w:t>
      </w:r>
    </w:p>
    <w:p w14:paraId="1E9F708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val="0"/>
          <w:color w:val="000000"/>
          <w:kern w:val="2"/>
          <w:sz w:val="32"/>
          <w:szCs w:val="32"/>
          <w:lang w:val="en-US" w:eastAsia="zh-CN" w:bidi="ar-SA"/>
        </w:rPr>
        <w:t>一是</w:t>
      </w:r>
      <w:r>
        <w:rPr>
          <w:rFonts w:hint="default" w:ascii="Times New Roman" w:hAnsi="Times New Roman" w:eastAsia="方正仿宋_GBK" w:cs="Times New Roman"/>
          <w:bCs/>
          <w:color w:val="000000"/>
          <w:kern w:val="2"/>
          <w:sz w:val="32"/>
          <w:szCs w:val="32"/>
          <w:lang w:val="en-US" w:eastAsia="zh-CN" w:bidi="ar-SA"/>
        </w:rPr>
        <w:t>加快工作进度，督促各审核公司按照合同约定落实工作责任</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加快审核。</w:t>
      </w:r>
      <w:r>
        <w:rPr>
          <w:rFonts w:hint="default" w:ascii="Times New Roman" w:hAnsi="Times New Roman" w:eastAsia="方正仿宋_GBK" w:cs="Times New Roman"/>
          <w:b/>
          <w:bCs w:val="0"/>
          <w:color w:val="000000"/>
          <w:kern w:val="2"/>
          <w:sz w:val="32"/>
          <w:szCs w:val="32"/>
          <w:lang w:val="en-US" w:eastAsia="zh-CN" w:bidi="ar-SA"/>
        </w:rPr>
        <w:t>二是</w:t>
      </w:r>
      <w:r>
        <w:rPr>
          <w:rFonts w:hint="default" w:ascii="Times New Roman" w:hAnsi="Times New Roman" w:eastAsia="方正仿宋_GBK" w:cs="Times New Roman"/>
          <w:bCs/>
          <w:color w:val="000000"/>
          <w:kern w:val="2"/>
          <w:sz w:val="32"/>
          <w:szCs w:val="32"/>
          <w:lang w:val="en-US" w:eastAsia="zh-CN" w:bidi="ar-SA"/>
        </w:rPr>
        <w:t>加强送审资料核实，严格把关项目送审资料，从源头上减少资料的频繁补充。</w:t>
      </w:r>
      <w:r>
        <w:rPr>
          <w:rFonts w:hint="default" w:ascii="Times New Roman" w:hAnsi="Times New Roman" w:eastAsia="方正仿宋_GBK" w:cs="Times New Roman"/>
          <w:b/>
          <w:bCs w:val="0"/>
          <w:color w:val="000000"/>
          <w:kern w:val="2"/>
          <w:sz w:val="32"/>
          <w:szCs w:val="32"/>
          <w:lang w:val="en-US" w:eastAsia="zh-CN" w:bidi="ar-SA"/>
        </w:rPr>
        <w:t>三是</w:t>
      </w:r>
      <w:r>
        <w:rPr>
          <w:rFonts w:hint="default" w:ascii="Times New Roman" w:hAnsi="Times New Roman" w:eastAsia="方正仿宋_GBK" w:cs="Times New Roman"/>
          <w:bCs/>
          <w:color w:val="000000"/>
          <w:kern w:val="2"/>
          <w:sz w:val="32"/>
          <w:szCs w:val="32"/>
          <w:lang w:val="en-US" w:eastAsia="zh-CN" w:bidi="ar-SA"/>
        </w:rPr>
        <w:t>严格现场踏勘工程量，严格落实政府投资项目工程量变更管理办法</w:t>
      </w:r>
      <w:r>
        <w:rPr>
          <w:rFonts w:hint="eastAsia" w:ascii="Times New Roman" w:hAnsi="Times New Roman" w:eastAsia="方正仿宋_GBK" w:cs="Times New Roman"/>
          <w:bCs/>
          <w:color w:val="000000"/>
          <w:kern w:val="2"/>
          <w:sz w:val="32"/>
          <w:szCs w:val="32"/>
          <w:lang w:val="en-US" w:eastAsia="zh-CN" w:bidi="ar-SA"/>
        </w:rPr>
        <w:t>有关</w:t>
      </w:r>
      <w:r>
        <w:rPr>
          <w:rFonts w:hint="default" w:ascii="Times New Roman" w:hAnsi="Times New Roman" w:eastAsia="方正仿宋_GBK" w:cs="Times New Roman"/>
          <w:bCs/>
          <w:color w:val="000000"/>
          <w:kern w:val="2"/>
          <w:sz w:val="32"/>
          <w:szCs w:val="32"/>
          <w:lang w:val="en-US" w:eastAsia="zh-CN" w:bidi="ar-SA"/>
        </w:rPr>
        <w:t>文件规定，督促业主单位严格把关工程的质和量。</w:t>
      </w:r>
    </w:p>
    <w:p w14:paraId="7460581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b/>
          <w:bCs w:val="0"/>
          <w:color w:val="auto"/>
          <w:sz w:val="32"/>
          <w:szCs w:val="32"/>
          <w:highlight w:val="none"/>
          <w:lang w:val="en-US" w:eastAsia="zh-CN"/>
        </w:rPr>
      </w:pPr>
      <w:r>
        <w:rPr>
          <w:rFonts w:hint="default" w:ascii="Times New Roman" w:hAnsi="Times New Roman" w:eastAsia="方正仿宋_GBK" w:cs="Times New Roman"/>
          <w:b/>
          <w:bCs w:val="0"/>
          <w:color w:val="auto"/>
          <w:kern w:val="2"/>
          <w:sz w:val="32"/>
          <w:szCs w:val="32"/>
          <w:lang w:val="en-US" w:eastAsia="zh-CN" w:bidi="ar-SA"/>
        </w:rPr>
        <w:t>4.</w:t>
      </w:r>
      <w:r>
        <w:rPr>
          <w:rFonts w:hint="eastAsia" w:ascii="Times New Roman" w:hAnsi="Times New Roman" w:eastAsia="方正仿宋_GBK" w:cs="Times New Roman"/>
          <w:b/>
          <w:bCs w:val="0"/>
          <w:color w:val="auto"/>
          <w:sz w:val="32"/>
          <w:szCs w:val="32"/>
          <w:highlight w:val="none"/>
          <w:lang w:val="en-US" w:eastAsia="zh-CN"/>
        </w:rPr>
        <w:t>扎实推进能源工作</w:t>
      </w:r>
    </w:p>
    <w:p w14:paraId="6E1AEA3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both"/>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2"/>
          <w:sz w:val="32"/>
          <w:szCs w:val="32"/>
          <w:lang w:val="en-US" w:eastAsia="zh-CN" w:bidi="ar-SA"/>
        </w:rPr>
        <w:t>一是</w:t>
      </w:r>
      <w:r>
        <w:rPr>
          <w:rFonts w:hint="default" w:ascii="Times New Roman" w:hAnsi="Times New Roman" w:eastAsia="方正仿宋_GBK" w:cs="Times New Roman"/>
          <w:b w:val="0"/>
          <w:bCs w:val="0"/>
          <w:color w:val="auto"/>
          <w:kern w:val="2"/>
          <w:sz w:val="32"/>
          <w:szCs w:val="32"/>
          <w:lang w:val="en-US" w:eastAsia="zh-CN" w:bidi="ar-SA"/>
        </w:rPr>
        <w:t>加快建设蒲西乡65万千瓦“光伏+N”项目，力争今年</w:t>
      </w:r>
      <w:r>
        <w:rPr>
          <w:rFonts w:hint="eastAsia" w:ascii="Times New Roman" w:hAnsi="Times New Roman" w:eastAsia="方正仿宋_GBK" w:cs="Times New Roman"/>
          <w:b w:val="0"/>
          <w:bCs w:val="0"/>
          <w:color w:val="auto"/>
          <w:kern w:val="2"/>
          <w:sz w:val="32"/>
          <w:szCs w:val="32"/>
          <w:lang w:val="en-US" w:eastAsia="zh-CN" w:bidi="ar-SA"/>
        </w:rPr>
        <w:t>II标</w:t>
      </w:r>
      <w:r>
        <w:rPr>
          <w:rFonts w:hint="default" w:ascii="Times New Roman" w:hAnsi="Times New Roman" w:eastAsia="方正仿宋_GBK" w:cs="Times New Roman"/>
          <w:b w:val="0"/>
          <w:bCs w:val="0"/>
          <w:color w:val="auto"/>
          <w:kern w:val="2"/>
          <w:sz w:val="32"/>
          <w:szCs w:val="32"/>
          <w:lang w:val="en-US" w:eastAsia="zh-CN" w:bidi="ar-SA"/>
        </w:rPr>
        <w:t>全面建成投产。</w:t>
      </w:r>
      <w:r>
        <w:rPr>
          <w:rFonts w:hint="default" w:ascii="Times New Roman" w:hAnsi="Times New Roman" w:eastAsia="方正仿宋_GBK" w:cs="Times New Roman"/>
          <w:b/>
          <w:bCs/>
          <w:color w:val="auto"/>
          <w:kern w:val="2"/>
          <w:sz w:val="32"/>
          <w:szCs w:val="32"/>
          <w:lang w:val="en-US" w:eastAsia="zh-CN" w:bidi="ar-SA"/>
        </w:rPr>
        <w:t>二是</w:t>
      </w:r>
      <w:r>
        <w:rPr>
          <w:rFonts w:hint="eastAsia" w:ascii="Times New Roman" w:hAnsi="Times New Roman" w:eastAsia="方正仿宋_GBK" w:cs="Times New Roman"/>
          <w:b w:val="0"/>
          <w:bCs w:val="0"/>
          <w:color w:val="auto"/>
          <w:kern w:val="2"/>
          <w:sz w:val="32"/>
          <w:szCs w:val="32"/>
          <w:lang w:val="en-US" w:eastAsia="zh-CN" w:bidi="ar-SA"/>
        </w:rPr>
        <w:t>得到</w:t>
      </w:r>
      <w:r>
        <w:rPr>
          <w:rFonts w:hint="default" w:ascii="Times New Roman" w:hAnsi="Times New Roman" w:eastAsia="方正仿宋_GBK" w:cs="Times New Roman"/>
          <w:b w:val="0"/>
          <w:bCs w:val="0"/>
          <w:color w:val="auto"/>
          <w:kern w:val="2"/>
          <w:sz w:val="32"/>
          <w:szCs w:val="32"/>
          <w:lang w:val="en-US" w:eastAsia="zh-CN" w:bidi="ar-SA"/>
        </w:rPr>
        <w:t>阿坝州壤塘县宗科乡光伏项目实施方案的批复</w:t>
      </w:r>
      <w:r>
        <w:rPr>
          <w:rFonts w:hint="eastAsia" w:ascii="Times New Roman" w:hAnsi="Times New Roman" w:eastAsia="方正仿宋_GBK" w:cs="Times New Roman"/>
          <w:b w:val="0"/>
          <w:bCs w:val="0"/>
          <w:color w:val="auto"/>
          <w:kern w:val="2"/>
          <w:sz w:val="32"/>
          <w:szCs w:val="32"/>
          <w:lang w:val="en-US" w:eastAsia="zh-CN" w:bidi="ar-SA"/>
        </w:rPr>
        <w:t>，完成</w:t>
      </w:r>
      <w:r>
        <w:rPr>
          <w:rFonts w:hint="default" w:ascii="Times New Roman" w:hAnsi="Times New Roman" w:eastAsia="方正仿宋_GBK" w:cs="Times New Roman"/>
          <w:b w:val="0"/>
          <w:bCs w:val="0"/>
          <w:color w:val="auto"/>
          <w:kern w:val="2"/>
          <w:sz w:val="32"/>
          <w:szCs w:val="32"/>
          <w:lang w:val="en-US" w:eastAsia="zh-CN" w:bidi="ar-SA"/>
        </w:rPr>
        <w:t>风电项目测风数据收集，启动测风方案编制，力争省能源局尽快将我县风电场开发纳入2025年国家、省级开发规划，并完成风电场核准工作。</w:t>
      </w:r>
      <w:r>
        <w:rPr>
          <w:rFonts w:hint="default" w:ascii="Times New Roman" w:hAnsi="Times New Roman" w:eastAsia="方正仿宋_GBK" w:cs="Times New Roman"/>
          <w:b/>
          <w:bCs/>
          <w:color w:val="auto"/>
          <w:kern w:val="2"/>
          <w:sz w:val="32"/>
          <w:szCs w:val="32"/>
          <w:lang w:val="en-US" w:eastAsia="zh-CN" w:bidi="ar-SA"/>
        </w:rPr>
        <w:t>三是</w:t>
      </w:r>
      <w:r>
        <w:rPr>
          <w:rFonts w:hint="default" w:ascii="Times New Roman" w:hAnsi="Times New Roman" w:eastAsia="方正仿宋_GBK" w:cs="Times New Roman"/>
          <w:b w:val="0"/>
          <w:bCs w:val="0"/>
          <w:color w:val="auto"/>
          <w:kern w:val="2"/>
          <w:sz w:val="32"/>
          <w:szCs w:val="32"/>
          <w:lang w:val="en-US" w:eastAsia="zh-CN" w:bidi="ar-SA"/>
        </w:rPr>
        <w:t>绰斯甲水电站洞室压缩空气储能建设项目已完成可行性研究报告的初稿编制，将尽快完成项目备案并开工建设。</w:t>
      </w:r>
      <w:r>
        <w:rPr>
          <w:rFonts w:hint="default" w:ascii="Times New Roman" w:hAnsi="Times New Roman" w:eastAsia="方正仿宋_GBK" w:cs="Times New Roman"/>
          <w:b/>
          <w:bCs/>
          <w:color w:val="auto"/>
          <w:kern w:val="2"/>
          <w:sz w:val="32"/>
          <w:szCs w:val="32"/>
          <w:lang w:val="en-US" w:eastAsia="zh-CN" w:bidi="ar-SA"/>
        </w:rPr>
        <w:t>四是</w:t>
      </w:r>
      <w:r>
        <w:rPr>
          <w:rFonts w:hint="default" w:ascii="Times New Roman" w:hAnsi="Times New Roman" w:eastAsia="方正仿宋_GBK" w:cs="Times New Roman"/>
          <w:b w:val="0"/>
          <w:bCs w:val="0"/>
          <w:color w:val="auto"/>
          <w:kern w:val="2"/>
          <w:sz w:val="32"/>
          <w:szCs w:val="32"/>
          <w:lang w:val="en-US" w:eastAsia="zh-CN" w:bidi="ar-SA"/>
        </w:rPr>
        <w:t>力争今年完成壤塘县新能源充电桩建设项目14个点位的建设工作。</w:t>
      </w:r>
      <w:r>
        <w:rPr>
          <w:rFonts w:hint="default" w:ascii="Times New Roman" w:hAnsi="Times New Roman" w:eastAsia="方正仿宋_GBK" w:cs="Times New Roman"/>
          <w:b/>
          <w:bCs/>
          <w:color w:val="auto"/>
          <w:kern w:val="2"/>
          <w:sz w:val="32"/>
          <w:szCs w:val="32"/>
          <w:lang w:val="en-US" w:eastAsia="zh-CN" w:bidi="ar-SA"/>
        </w:rPr>
        <w:t>五是</w:t>
      </w:r>
      <w:r>
        <w:rPr>
          <w:rFonts w:hint="default" w:ascii="Times New Roman" w:hAnsi="Times New Roman" w:eastAsia="方正仿宋_GBK" w:cs="Times New Roman"/>
          <w:b w:val="0"/>
          <w:bCs w:val="0"/>
          <w:color w:val="auto"/>
          <w:kern w:val="2"/>
          <w:sz w:val="32"/>
          <w:szCs w:val="32"/>
          <w:lang w:val="en-US" w:eastAsia="zh-CN" w:bidi="ar-SA"/>
        </w:rPr>
        <w:t>力争今年完成上寨水电站装机容量选择专题报告以及枢纽布置格局专题报告的编制及评审工作，尽早完成项目核准。</w:t>
      </w:r>
      <w:r>
        <w:rPr>
          <w:rFonts w:hint="default" w:ascii="Times New Roman" w:hAnsi="Times New Roman" w:eastAsia="方正仿宋_GBK" w:cs="Times New Roman"/>
          <w:b/>
          <w:bCs/>
          <w:color w:val="auto"/>
          <w:kern w:val="2"/>
          <w:sz w:val="32"/>
          <w:szCs w:val="32"/>
          <w:lang w:val="en-US" w:eastAsia="zh-CN" w:bidi="ar-SA"/>
        </w:rPr>
        <w:t>六是</w:t>
      </w:r>
      <w:r>
        <w:rPr>
          <w:rFonts w:hint="default" w:ascii="Times New Roman" w:hAnsi="Times New Roman" w:eastAsia="方正仿宋_GBK" w:cs="Times New Roman"/>
          <w:b w:val="0"/>
          <w:bCs w:val="0"/>
          <w:color w:val="auto"/>
          <w:kern w:val="2"/>
          <w:sz w:val="32"/>
          <w:szCs w:val="32"/>
          <w:lang w:val="en-US" w:eastAsia="zh-CN" w:bidi="ar-SA"/>
        </w:rPr>
        <w:t>积极争取电力通道建设，对接</w:t>
      </w:r>
      <w:r>
        <w:rPr>
          <w:rFonts w:hint="default" w:ascii="Times New Roman" w:hAnsi="Times New Roman" w:eastAsia="方正仿宋_GBK" w:cs="Times New Roman"/>
          <w:b w:val="0"/>
          <w:bCs w:val="0"/>
          <w:sz w:val="32"/>
          <w:szCs w:val="32"/>
          <w:lang w:val="en-US" w:eastAsia="zh-CN"/>
        </w:rPr>
        <w:t>州发改委能源科协调</w:t>
      </w:r>
      <w:r>
        <w:rPr>
          <w:rFonts w:hint="default" w:ascii="Times New Roman" w:hAnsi="Times New Roman" w:eastAsia="方正仿宋_GBK" w:cs="Times New Roman"/>
          <w:b w:val="0"/>
          <w:bCs w:val="0"/>
          <w:sz w:val="32"/>
          <w:szCs w:val="32"/>
        </w:rPr>
        <w:t>省能源局将壤塘县500千伏变电站及输变线路纳入国家和省级规划</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并启动项目实施</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bCs/>
          <w:sz w:val="32"/>
          <w:szCs w:val="32"/>
          <w:lang w:val="en-US" w:eastAsia="zh-CN"/>
        </w:rPr>
        <w:t>七是</w:t>
      </w:r>
      <w:r>
        <w:rPr>
          <w:rFonts w:hint="default" w:ascii="Times New Roman" w:hAnsi="Times New Roman" w:eastAsia="方正仿宋_GBK" w:cs="Times New Roman"/>
          <w:b w:val="0"/>
          <w:bCs w:val="0"/>
          <w:sz w:val="32"/>
          <w:szCs w:val="32"/>
          <w:lang w:val="en-US" w:eastAsia="zh-CN"/>
        </w:rPr>
        <w:t>加快阿坝壤塘至阿坝110KV线路工程前期工作，</w:t>
      </w:r>
      <w:r>
        <w:rPr>
          <w:rFonts w:hint="default" w:ascii="Times New Roman" w:hAnsi="Times New Roman" w:eastAsia="方正仿宋_GBK" w:cs="Times New Roman"/>
          <w:b w:val="0"/>
          <w:bCs w:val="0"/>
          <w:color w:val="auto"/>
          <w:kern w:val="2"/>
          <w:sz w:val="32"/>
          <w:szCs w:val="32"/>
          <w:lang w:val="en-US" w:eastAsia="zh-CN" w:bidi="ar-SA"/>
        </w:rPr>
        <w:t>进一步增强电力输出综合保障能力，</w:t>
      </w:r>
      <w:r>
        <w:rPr>
          <w:rFonts w:hint="default" w:ascii="Times New Roman" w:hAnsi="Times New Roman" w:eastAsia="方正仿宋_GBK" w:cs="Times New Roman"/>
          <w:b w:val="0"/>
          <w:bCs w:val="0"/>
          <w:color w:val="000000"/>
          <w:kern w:val="2"/>
          <w:sz w:val="32"/>
          <w:szCs w:val="32"/>
          <w:lang w:val="en-US" w:eastAsia="zh-CN" w:bidi="ar-SA"/>
        </w:rPr>
        <w:t>助推“能源富县”高质量发展。</w:t>
      </w:r>
    </w:p>
    <w:p w14:paraId="2FD64FB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b/>
          <w:bCs w:val="0"/>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5.加强交流交往交融</w:t>
      </w:r>
    </w:p>
    <w:p w14:paraId="65A0499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both"/>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多举措抓实考核落地</w:t>
      </w:r>
      <w:r>
        <w:rPr>
          <w:rFonts w:hint="default" w:ascii="Times New Roman" w:hAnsi="Times New Roman" w:eastAsia="方正仿宋_GBK" w:cs="Times New Roman"/>
          <w:color w:val="auto"/>
          <w:kern w:val="0"/>
          <w:sz w:val="32"/>
          <w:szCs w:val="32"/>
          <w:lang w:val="en-US" w:eastAsia="zh-CN"/>
        </w:rPr>
        <w:t>。强化温壤数字化项目管理平台运用，做实专班化运营、周期研判督查、三色预警通报等系列制度，力保2025年援建项目开工率、拨付率、完工率全州前列。</w:t>
      </w:r>
    </w:p>
    <w:p w14:paraId="166CF40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多方位改善民生福祉</w:t>
      </w:r>
      <w:r>
        <w:rPr>
          <w:rFonts w:hint="default" w:ascii="Times New Roman" w:hAnsi="Times New Roman" w:eastAsia="方正仿宋_GBK" w:cs="Times New Roman"/>
          <w:color w:val="auto"/>
          <w:kern w:val="0"/>
          <w:sz w:val="32"/>
          <w:szCs w:val="32"/>
          <w:lang w:val="en-US" w:eastAsia="zh-CN"/>
        </w:rPr>
        <w:t>。做好教育“组团式”帮扶，实施县中明眸工程、数字化改造、赴温、绵研学、教师激励等系列项目，全方位提升教学质量。完善就业保障机制，以脱贫群众、致富带头人和村干部为重点，加强能力素养培训，带动就业创业；加大来料车间和公益岗设置，助力农牧民“不离乡、不离土、不离牧”就近就业致富。</w:t>
      </w:r>
    </w:p>
    <w:p w14:paraId="73C0EDF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多维度强化铁军队伍。</w:t>
      </w:r>
      <w:r>
        <w:rPr>
          <w:rFonts w:hint="default" w:ascii="Times New Roman" w:hAnsi="Times New Roman" w:eastAsia="方正仿宋_GBK" w:cs="Times New Roman"/>
          <w:color w:val="auto"/>
          <w:kern w:val="0"/>
          <w:sz w:val="32"/>
          <w:szCs w:val="32"/>
          <w:lang w:val="en-US" w:eastAsia="zh-CN"/>
        </w:rPr>
        <w:t>带动形成“观念互通、思路互动、技术互学、作风互鉴”的良好氛围，打造带不走的壤塘专技干部团队。</w:t>
      </w:r>
    </w:p>
    <w:p w14:paraId="496F8DB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b/>
          <w:bCs w:val="0"/>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6.欠发达县域托底性帮扶工作方面</w:t>
      </w:r>
    </w:p>
    <w:p w14:paraId="236F273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Style w:val="13"/>
          <w:rFonts w:hint="default" w:ascii="Times New Roman" w:hAnsi="Times New Roman" w:eastAsia="方正仿宋_GBK" w:cs="Times New Roman"/>
          <w:b w:val="0"/>
          <w:bCs w:val="0"/>
          <w:color w:val="000000"/>
          <w:sz w:val="32"/>
          <w:szCs w:val="32"/>
          <w:lang w:val="en-US" w:eastAsia="zh-CN"/>
        </w:rPr>
      </w:pPr>
      <w:r>
        <w:rPr>
          <w:rStyle w:val="13"/>
          <w:rFonts w:hint="default" w:ascii="Times New Roman" w:hAnsi="Times New Roman" w:eastAsia="方正仿宋_GBK" w:cs="Times New Roman"/>
          <w:b/>
          <w:bCs/>
          <w:color w:val="000000"/>
          <w:sz w:val="32"/>
          <w:szCs w:val="32"/>
          <w:lang w:val="en-US" w:eastAsia="zh-CN"/>
        </w:rPr>
        <w:t>托底性帮扶</w:t>
      </w:r>
      <w:r>
        <w:rPr>
          <w:rStyle w:val="13"/>
          <w:rFonts w:hint="eastAsia" w:ascii="Times New Roman" w:hAnsi="Times New Roman" w:eastAsia="方正仿宋_GBK" w:cs="Times New Roman"/>
          <w:b/>
          <w:bCs/>
          <w:color w:val="000000"/>
          <w:sz w:val="32"/>
          <w:szCs w:val="32"/>
          <w:lang w:val="en-US" w:eastAsia="zh-CN"/>
        </w:rPr>
        <w:t>重点</w:t>
      </w:r>
      <w:r>
        <w:rPr>
          <w:rStyle w:val="13"/>
          <w:rFonts w:hint="default" w:ascii="Times New Roman" w:hAnsi="Times New Roman" w:eastAsia="方正仿宋_GBK" w:cs="Times New Roman"/>
          <w:b/>
          <w:bCs/>
          <w:color w:val="000000"/>
          <w:sz w:val="32"/>
          <w:szCs w:val="32"/>
          <w:lang w:val="en-US" w:eastAsia="zh-CN"/>
        </w:rPr>
        <w:t>工作承接情况：</w:t>
      </w:r>
      <w:r>
        <w:rPr>
          <w:rStyle w:val="13"/>
          <w:rFonts w:hint="default" w:ascii="Times New Roman" w:hAnsi="Times New Roman" w:eastAsia="方正仿宋_GBK" w:cs="Times New Roman"/>
          <w:b w:val="0"/>
          <w:bCs w:val="0"/>
          <w:color w:val="000000"/>
          <w:sz w:val="32"/>
          <w:szCs w:val="32"/>
          <w:lang w:val="en-US" w:eastAsia="zh-CN"/>
        </w:rPr>
        <w:t>持续围绕特色产业壮大、市场主体培育、帮扶资源整合、清单任务落地等方面重点发力，不断增强内生动力，提速振兴发展，争取早日摘掉欠发达县域“帽子”。</w:t>
      </w:r>
      <w:r>
        <w:rPr>
          <w:rStyle w:val="13"/>
          <w:rFonts w:hint="default" w:ascii="Times New Roman" w:hAnsi="Times New Roman" w:eastAsia="方正仿宋_GBK" w:cs="Times New Roman"/>
          <w:b/>
          <w:bCs/>
          <w:color w:val="000000"/>
          <w:sz w:val="32"/>
          <w:szCs w:val="32"/>
          <w:lang w:val="en-US" w:eastAsia="zh-CN"/>
        </w:rPr>
        <w:t>一是稳步推进“十项指标”。</w:t>
      </w:r>
      <w:r>
        <w:rPr>
          <w:rStyle w:val="13"/>
          <w:rFonts w:hint="default" w:ascii="Times New Roman" w:hAnsi="Times New Roman" w:eastAsia="方正仿宋_GBK" w:cs="Times New Roman"/>
          <w:b w:val="0"/>
          <w:bCs w:val="0"/>
          <w:color w:val="000000"/>
          <w:sz w:val="32"/>
          <w:szCs w:val="32"/>
          <w:lang w:val="en-US" w:eastAsia="zh-CN"/>
        </w:rPr>
        <w:t>聚焦我县2027年摆脱欠发达县域目标要求，以“1+4”攻坚行动计划为抓手，通过大抓项目建设、产业带动就业等具体载体，推动人均GDP等“3+7”支撑指标稳步提升。</w:t>
      </w:r>
      <w:r>
        <w:rPr>
          <w:rStyle w:val="13"/>
          <w:rFonts w:hint="default" w:ascii="Times New Roman" w:hAnsi="Times New Roman" w:eastAsia="方正仿宋_GBK" w:cs="Times New Roman"/>
          <w:b/>
          <w:bCs/>
          <w:color w:val="000000"/>
          <w:sz w:val="32"/>
          <w:szCs w:val="32"/>
          <w:lang w:val="en-US" w:eastAsia="zh-CN"/>
        </w:rPr>
        <w:t>二是有序推进“四张清单”。</w:t>
      </w:r>
      <w:r>
        <w:rPr>
          <w:rStyle w:val="13"/>
          <w:rFonts w:hint="default" w:ascii="Times New Roman" w:hAnsi="Times New Roman" w:eastAsia="方正仿宋_GBK" w:cs="Times New Roman"/>
          <w:b w:val="0"/>
          <w:bCs w:val="0"/>
          <w:color w:val="000000"/>
          <w:sz w:val="32"/>
          <w:szCs w:val="32"/>
          <w:lang w:val="en-US" w:eastAsia="zh-CN"/>
        </w:rPr>
        <w:t>紧紧围绕2025年“四张清单”重点支持指导事项，强化对接交流，凿实工作举措，做好任务分解落实，紧扣时序节点推动各项清单任务落实。</w:t>
      </w:r>
      <w:r>
        <w:rPr>
          <w:rStyle w:val="13"/>
          <w:rFonts w:hint="default" w:ascii="Times New Roman" w:hAnsi="Times New Roman" w:eastAsia="方正仿宋_GBK" w:cs="Times New Roman"/>
          <w:b/>
          <w:bCs/>
          <w:color w:val="000000"/>
          <w:sz w:val="32"/>
          <w:szCs w:val="32"/>
          <w:lang w:val="en-US" w:eastAsia="zh-CN"/>
        </w:rPr>
        <w:t>三是全面培育特色产业。</w:t>
      </w:r>
      <w:r>
        <w:rPr>
          <w:rStyle w:val="13"/>
          <w:rFonts w:hint="default" w:ascii="Times New Roman" w:hAnsi="Times New Roman" w:eastAsia="方正仿宋_GBK" w:cs="Times New Roman"/>
          <w:b w:val="0"/>
          <w:bCs w:val="0"/>
          <w:color w:val="000000"/>
          <w:sz w:val="32"/>
          <w:szCs w:val="32"/>
          <w:lang w:val="en-US" w:eastAsia="zh-CN"/>
        </w:rPr>
        <w:t>加快推动壤巴拉矿泉水有限公司落地壤塘，引进都江堰新联水产养殖有限公司、成都蓝田创意景观农业公司，稳步发展矿泉水、冷鱼养殖、农畜产品加工等产业。争取壤塘县72万千瓦风电开发项目（1号、4号、5号、6号、7号和8+9号场址）今年核准，6月完成测风，2027年6月投产，实现产值2.01亿元，支撑GDP增长1.3亿元。全力推动“绰斯甲水电站+宗科乡‘光伏+N’800MW+风电20kW+空气压缩储能”</w:t>
      </w:r>
      <w:r>
        <w:rPr>
          <w:rFonts w:hint="default" w:ascii="Times New Roman" w:hAnsi="Times New Roman" w:eastAsia="方正仿宋_GBK" w:cs="Times New Roman"/>
          <w:kern w:val="2"/>
          <w:sz w:val="32"/>
          <w:szCs w:val="32"/>
          <w:lang w:val="en-US" w:eastAsia="zh-CN" w:bidi="ar-SA"/>
        </w:rPr>
        <w:t>水、风、光、压储多能互补示范项目，总计投资57亿元，力争年内开工建设，其中，</w:t>
      </w:r>
      <w:r>
        <w:rPr>
          <w:rStyle w:val="13"/>
          <w:rFonts w:hint="default" w:ascii="Times New Roman" w:hAnsi="Times New Roman" w:eastAsia="方正仿宋_GBK" w:cs="Times New Roman"/>
          <w:b w:val="0"/>
          <w:bCs w:val="0"/>
          <w:color w:val="000000"/>
          <w:sz w:val="32"/>
          <w:szCs w:val="32"/>
          <w:lang w:val="en-US" w:eastAsia="zh-CN"/>
        </w:rPr>
        <w:t>宗科乡‘光伏+N’800MW项目已完成实施方案，风电20kW项目已完成7个月测风数据，预计2025年6月完成全部测风数据，</w:t>
      </w:r>
      <w:r>
        <w:rPr>
          <w:rFonts w:hint="default" w:ascii="Times New Roman" w:hAnsi="Times New Roman" w:eastAsia="方正仿宋_GBK" w:cs="Times New Roman"/>
          <w:kern w:val="2"/>
          <w:sz w:val="32"/>
          <w:szCs w:val="32"/>
          <w:lang w:val="en-US" w:eastAsia="zh-CN" w:bidi="ar-SA"/>
        </w:rPr>
        <w:t>空气压缩储能项目已完成科研，正在准备申报“两重”项目。</w:t>
      </w:r>
      <w:r>
        <w:rPr>
          <w:rStyle w:val="13"/>
          <w:rFonts w:hint="default" w:ascii="Times New Roman" w:hAnsi="Times New Roman" w:eastAsia="方正仿宋_GBK" w:cs="Times New Roman"/>
          <w:b/>
          <w:bCs/>
          <w:color w:val="000000"/>
          <w:sz w:val="32"/>
          <w:szCs w:val="32"/>
          <w:lang w:val="en-US" w:eastAsia="zh-CN"/>
        </w:rPr>
        <w:t>四是全力整合帮扶资源。</w:t>
      </w:r>
      <w:r>
        <w:rPr>
          <w:rStyle w:val="13"/>
          <w:rFonts w:hint="default" w:ascii="Times New Roman" w:hAnsi="Times New Roman" w:eastAsia="方正仿宋_GBK" w:cs="Times New Roman"/>
          <w:b w:val="0"/>
          <w:bCs w:val="0"/>
          <w:color w:val="000000"/>
          <w:sz w:val="32"/>
          <w:szCs w:val="32"/>
          <w:lang w:val="en-US" w:eastAsia="zh-CN"/>
        </w:rPr>
        <w:t>着力引进物业管理、批发零售业等相关企业入驻，填补服务行业区域空白，并加大久富农业菌包生产、高原食用菌加工、牦牛屠宰加工等中小企业培育，实现新增规上企业10家，产值达5.5亿元。</w:t>
      </w:r>
    </w:p>
    <w:p w14:paraId="4F83CB0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Style w:val="13"/>
          <w:rFonts w:hint="default" w:ascii="Times New Roman" w:hAnsi="Times New Roman" w:eastAsia="方正仿宋_GBK" w:cs="Times New Roman"/>
          <w:b/>
          <w:bCs/>
          <w:color w:val="000000"/>
          <w:sz w:val="32"/>
          <w:szCs w:val="32"/>
          <w:lang w:val="en-US" w:eastAsia="zh-CN"/>
        </w:rPr>
        <w:t>帮扶指导方、省机制等层面重点解决支持事项及诉求推进情况。一是</w:t>
      </w:r>
      <w:r>
        <w:rPr>
          <w:rStyle w:val="13"/>
          <w:rFonts w:hint="default" w:ascii="Times New Roman" w:hAnsi="Times New Roman" w:eastAsia="方正仿宋_GBK" w:cs="Times New Roman"/>
          <w:b w:val="0"/>
          <w:bCs w:val="0"/>
          <w:color w:val="000000"/>
          <w:sz w:val="32"/>
          <w:szCs w:val="32"/>
          <w:lang w:val="en-US" w:eastAsia="zh-CN"/>
        </w:rPr>
        <w:t>我县部分村庄虽然存在农业用地链结，但已具备一定城镇化特征，如南木达镇泽祥村、阿甲村，中壤塘镇布康木达村、查托村等，共计4340人，</w:t>
      </w:r>
      <w:r>
        <w:rPr>
          <w:rStyle w:val="13"/>
          <w:rFonts w:hint="eastAsia" w:ascii="Times New Roman" w:hAnsi="Times New Roman" w:eastAsia="方正仿宋_GBK" w:cs="Times New Roman"/>
          <w:b w:val="0"/>
          <w:bCs w:val="0"/>
          <w:color w:val="000000"/>
          <w:sz w:val="32"/>
          <w:szCs w:val="32"/>
          <w:lang w:val="en-US" w:eastAsia="zh-CN"/>
        </w:rPr>
        <w:t>积极与省机制办对接争取</w:t>
      </w:r>
      <w:r>
        <w:rPr>
          <w:rStyle w:val="13"/>
          <w:rFonts w:hint="default" w:ascii="Times New Roman" w:hAnsi="Times New Roman" w:eastAsia="方正仿宋_GBK" w:cs="Times New Roman"/>
          <w:b w:val="0"/>
          <w:bCs w:val="0"/>
          <w:color w:val="000000"/>
          <w:sz w:val="32"/>
          <w:szCs w:val="32"/>
          <w:lang w:val="en-US" w:eastAsia="zh-CN"/>
        </w:rPr>
        <w:t>适当放宽撤乡建镇的政策将部分村庄纳入城镇化率的统计范围，从而更准确地反映城镇化进程，并促进农村地区的城镇化进程，从根本上提高城镇化率</w:t>
      </w:r>
      <w:r>
        <w:rPr>
          <w:rStyle w:val="13"/>
          <w:rFonts w:hint="eastAsia" w:ascii="Times New Roman" w:hAnsi="Times New Roman" w:eastAsia="方正仿宋_GBK" w:cs="Times New Roman"/>
          <w:b w:val="0"/>
          <w:bCs w:val="0"/>
          <w:color w:val="000000"/>
          <w:sz w:val="32"/>
          <w:szCs w:val="32"/>
          <w:lang w:val="en-US" w:eastAsia="zh-CN"/>
        </w:rPr>
        <w:t>；争取</w:t>
      </w:r>
      <w:r>
        <w:rPr>
          <w:rStyle w:val="13"/>
          <w:rFonts w:hint="default" w:ascii="Times New Roman" w:hAnsi="Times New Roman" w:eastAsia="方正仿宋_GBK" w:cs="Times New Roman"/>
          <w:b w:val="0"/>
          <w:bCs w:val="0"/>
          <w:color w:val="000000"/>
          <w:sz w:val="32"/>
          <w:szCs w:val="32"/>
          <w:lang w:val="en-US" w:eastAsia="zh-CN"/>
        </w:rPr>
        <w:t>适当降低摆脱欠发达县域城镇化率标准</w:t>
      </w:r>
      <w:r>
        <w:rPr>
          <w:rStyle w:val="13"/>
          <w:rFonts w:hint="default" w:ascii="Times New Roman" w:hAnsi="Times New Roman" w:eastAsia="方正仿宋_GBK" w:cs="Times New Roman"/>
          <w:b w:val="0"/>
          <w:bCs w:val="0"/>
          <w:color w:val="000000"/>
          <w:sz w:val="32"/>
          <w:szCs w:val="32"/>
          <w:lang w:val="en-US" w:eastAsia="zh-CN"/>
        </w:rPr>
        <w:t>。</w:t>
      </w:r>
      <w:r>
        <w:rPr>
          <w:rStyle w:val="13"/>
          <w:rFonts w:hint="default" w:ascii="Times New Roman" w:hAnsi="Times New Roman" w:eastAsia="方正仿宋_GBK" w:cs="Times New Roman"/>
          <w:b/>
          <w:bCs/>
          <w:color w:val="000000"/>
          <w:sz w:val="32"/>
          <w:szCs w:val="32"/>
          <w:lang w:val="en-US" w:eastAsia="zh-CN"/>
        </w:rPr>
        <w:t>二是</w:t>
      </w:r>
      <w:r>
        <w:rPr>
          <w:rStyle w:val="13"/>
          <w:rFonts w:hint="default" w:ascii="Times New Roman" w:hAnsi="Times New Roman" w:eastAsia="方正仿宋_GBK" w:cs="Times New Roman"/>
          <w:b w:val="0"/>
          <w:bCs w:val="0"/>
          <w:color w:val="000000"/>
          <w:sz w:val="32"/>
          <w:szCs w:val="32"/>
          <w:lang w:val="en-US" w:eastAsia="zh-CN"/>
        </w:rPr>
        <w:t>我县目前正在全力打造“绰斯甲水电站+宗科乡‘光伏+N’800MW光伏项目+风电20kW+空气压缩储能”互补一体化的全国首个水、风、光、压储多能互补示范项目，</w:t>
      </w:r>
      <w:r>
        <w:rPr>
          <w:rStyle w:val="13"/>
          <w:rFonts w:hint="eastAsia" w:ascii="Times New Roman" w:hAnsi="Times New Roman" w:eastAsia="方正仿宋_GBK" w:cs="Times New Roman"/>
          <w:b w:val="0"/>
          <w:bCs w:val="0"/>
          <w:color w:val="000000"/>
          <w:sz w:val="32"/>
          <w:szCs w:val="32"/>
          <w:lang w:val="en-US" w:eastAsia="zh-CN"/>
        </w:rPr>
        <w:t>积极与</w:t>
      </w:r>
      <w:r>
        <w:rPr>
          <w:rStyle w:val="13"/>
          <w:rFonts w:hint="default" w:ascii="Times New Roman" w:hAnsi="Times New Roman" w:eastAsia="方正仿宋_GBK" w:cs="Times New Roman"/>
          <w:b w:val="0"/>
          <w:bCs w:val="0"/>
          <w:color w:val="000000"/>
          <w:sz w:val="32"/>
          <w:szCs w:val="32"/>
          <w:lang w:val="en-US" w:eastAsia="zh-CN"/>
        </w:rPr>
        <w:t>省能源局和省电网公司</w:t>
      </w:r>
      <w:r>
        <w:rPr>
          <w:rStyle w:val="13"/>
          <w:rFonts w:hint="eastAsia" w:ascii="Times New Roman" w:hAnsi="Times New Roman" w:eastAsia="方正仿宋_GBK" w:cs="Times New Roman"/>
          <w:b w:val="0"/>
          <w:bCs w:val="0"/>
          <w:color w:val="000000"/>
          <w:sz w:val="32"/>
          <w:szCs w:val="32"/>
          <w:lang w:val="en-US" w:eastAsia="zh-CN"/>
        </w:rPr>
        <w:t>对接，争取尽早得到</w:t>
      </w:r>
      <w:r>
        <w:rPr>
          <w:rStyle w:val="13"/>
          <w:rFonts w:hint="default" w:ascii="Times New Roman" w:hAnsi="Times New Roman" w:eastAsia="方正仿宋_GBK" w:cs="Times New Roman"/>
          <w:b w:val="0"/>
          <w:bCs w:val="0"/>
          <w:color w:val="000000"/>
          <w:sz w:val="32"/>
          <w:szCs w:val="32"/>
          <w:lang w:val="en-US" w:eastAsia="zh-CN"/>
        </w:rPr>
        <w:t>多能互补示范项目实施方案</w:t>
      </w:r>
      <w:r>
        <w:rPr>
          <w:rStyle w:val="13"/>
          <w:rFonts w:hint="eastAsia" w:ascii="Times New Roman" w:hAnsi="Times New Roman" w:eastAsia="方正仿宋_GBK" w:cs="Times New Roman"/>
          <w:b w:val="0"/>
          <w:bCs w:val="0"/>
          <w:color w:val="000000"/>
          <w:sz w:val="32"/>
          <w:szCs w:val="32"/>
          <w:lang w:val="en-US" w:eastAsia="zh-CN"/>
        </w:rPr>
        <w:t>的</w:t>
      </w:r>
      <w:r>
        <w:rPr>
          <w:rStyle w:val="13"/>
          <w:rFonts w:hint="default" w:ascii="Times New Roman" w:hAnsi="Times New Roman" w:eastAsia="方正仿宋_GBK" w:cs="Times New Roman"/>
          <w:b w:val="0"/>
          <w:bCs w:val="0"/>
          <w:color w:val="000000"/>
          <w:sz w:val="32"/>
          <w:szCs w:val="32"/>
          <w:lang w:val="en-US" w:eastAsia="zh-CN"/>
        </w:rPr>
        <w:t>批复</w:t>
      </w:r>
      <w:r>
        <w:rPr>
          <w:rStyle w:val="13"/>
          <w:rFonts w:hint="eastAsia" w:ascii="Times New Roman" w:hAnsi="Times New Roman" w:eastAsia="方正仿宋_GBK" w:cs="Times New Roman"/>
          <w:b w:val="0"/>
          <w:bCs w:val="0"/>
          <w:color w:val="000000"/>
          <w:sz w:val="32"/>
          <w:szCs w:val="32"/>
          <w:lang w:val="en-US" w:eastAsia="zh-CN"/>
        </w:rPr>
        <w:t>；积极与</w:t>
      </w:r>
      <w:r>
        <w:rPr>
          <w:rStyle w:val="13"/>
          <w:rFonts w:hint="default" w:ascii="Times New Roman" w:hAnsi="Times New Roman" w:eastAsia="方正仿宋_GBK" w:cs="Times New Roman"/>
          <w:b w:val="0"/>
          <w:bCs w:val="0"/>
          <w:color w:val="000000"/>
          <w:sz w:val="32"/>
          <w:szCs w:val="32"/>
          <w:lang w:val="en-US" w:eastAsia="zh-CN"/>
        </w:rPr>
        <w:t>省发改委和省能源局</w:t>
      </w:r>
      <w:r>
        <w:rPr>
          <w:rStyle w:val="13"/>
          <w:rFonts w:hint="eastAsia" w:ascii="Times New Roman" w:hAnsi="Times New Roman" w:eastAsia="方正仿宋_GBK" w:cs="Times New Roman"/>
          <w:b w:val="0"/>
          <w:bCs w:val="0"/>
          <w:color w:val="000000"/>
          <w:sz w:val="32"/>
          <w:szCs w:val="32"/>
          <w:lang w:val="en-US" w:eastAsia="zh-CN"/>
        </w:rPr>
        <w:t>对接，争取</w:t>
      </w:r>
      <w:r>
        <w:rPr>
          <w:rStyle w:val="13"/>
          <w:rFonts w:hint="default" w:ascii="Times New Roman" w:hAnsi="Times New Roman" w:eastAsia="方正仿宋_GBK" w:cs="Times New Roman"/>
          <w:b w:val="0"/>
          <w:bCs w:val="0"/>
          <w:color w:val="000000"/>
          <w:sz w:val="32"/>
          <w:szCs w:val="32"/>
          <w:lang w:val="en-US" w:eastAsia="zh-CN"/>
        </w:rPr>
        <w:t>将空气压缩储能纳入“两重”项目申报，且在2025年9月前实现开工。</w:t>
      </w:r>
    </w:p>
    <w:p w14:paraId="65A1BA6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b/>
          <w:bCs w:val="0"/>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7.稳中求进，保障粮食安全</w:t>
      </w:r>
    </w:p>
    <w:p w14:paraId="72AB417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持续加强政策性粮油储备监管。</w:t>
      </w:r>
      <w:r>
        <w:rPr>
          <w:rFonts w:hint="default" w:ascii="Times New Roman" w:hAnsi="Times New Roman" w:eastAsia="方正仿宋_GBK" w:cs="Times New Roman"/>
          <w:color w:val="auto"/>
          <w:kern w:val="0"/>
          <w:sz w:val="32"/>
          <w:szCs w:val="32"/>
          <w:lang w:val="en-US" w:eastAsia="zh-CN"/>
        </w:rPr>
        <w:t>切实履行好属地监管责任，做好政策性粮食库存管理、销售出库、出库监管工作，监督承储企业建立健全质量档案，严格执行粮食出入库质量检验制度，规范检验程序，确保检验手续齐全，并定期对辖区内政策性粮食承储企业开展巡查。</w:t>
      </w:r>
    </w:p>
    <w:p w14:paraId="6FFC9D8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狠抓粮食系统安全生产工作</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
          <w:bCs/>
          <w:color w:val="auto"/>
          <w:kern w:val="0"/>
          <w:sz w:val="32"/>
          <w:szCs w:val="32"/>
          <w:lang w:val="en-US" w:eastAsia="zh-CN"/>
        </w:rPr>
        <w:t>一是</w:t>
      </w:r>
      <w:r>
        <w:rPr>
          <w:rFonts w:hint="default" w:ascii="Times New Roman" w:hAnsi="Times New Roman" w:eastAsia="方正仿宋_GBK" w:cs="Times New Roman"/>
          <w:color w:val="auto"/>
          <w:kern w:val="0"/>
          <w:sz w:val="32"/>
          <w:szCs w:val="32"/>
          <w:lang w:val="en-US" w:eastAsia="zh-CN"/>
        </w:rPr>
        <w:t>落实好安全生产责任制，切实提高对安全生产工作的思想认识。</w:t>
      </w:r>
      <w:r>
        <w:rPr>
          <w:rFonts w:hint="default" w:ascii="Times New Roman" w:hAnsi="Times New Roman" w:eastAsia="方正仿宋_GBK" w:cs="Times New Roman"/>
          <w:b/>
          <w:bCs/>
          <w:color w:val="auto"/>
          <w:kern w:val="0"/>
          <w:sz w:val="32"/>
          <w:szCs w:val="32"/>
          <w:lang w:val="en-US" w:eastAsia="zh-CN"/>
        </w:rPr>
        <w:t>二是</w:t>
      </w:r>
      <w:r>
        <w:rPr>
          <w:rFonts w:hint="default" w:ascii="Times New Roman" w:hAnsi="Times New Roman" w:eastAsia="方正仿宋_GBK" w:cs="Times New Roman"/>
          <w:color w:val="auto"/>
          <w:kern w:val="0"/>
          <w:sz w:val="32"/>
          <w:szCs w:val="32"/>
          <w:lang w:val="en-US" w:eastAsia="zh-CN"/>
        </w:rPr>
        <w:t>强化储粮储物安全管理。</w:t>
      </w:r>
    </w:p>
    <w:p w14:paraId="42B88FF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加强法律法规学习</w:t>
      </w:r>
      <w:r>
        <w:rPr>
          <w:rFonts w:hint="default" w:ascii="Times New Roman" w:hAnsi="Times New Roman" w:eastAsia="方正仿宋_GBK" w:cs="Times New Roman"/>
          <w:color w:val="auto"/>
          <w:kern w:val="0"/>
          <w:sz w:val="32"/>
          <w:szCs w:val="32"/>
          <w:lang w:val="en-US" w:eastAsia="zh-CN"/>
        </w:rPr>
        <w:t>。定期开展学法培训，认真组织学习《中华人民共和国粮食安全保障法》《中华人民共和国安全生产法》《粮食流通管理条例》《四川省粮食安全保障条例》</w:t>
      </w:r>
      <w:r>
        <w:rPr>
          <w:rFonts w:hint="default" w:ascii="Times New Roman" w:hAnsi="Times New Roman" w:eastAsia="方正仿宋_GBK" w:cs="Times New Roman"/>
          <w:color w:val="auto"/>
          <w:kern w:val="0"/>
          <w:sz w:val="32"/>
          <w:szCs w:val="32"/>
          <w:lang w:val="en-US" w:eastAsia="zh-CN"/>
        </w:rPr>
        <w:t>等</w:t>
      </w:r>
      <w:r>
        <w:rPr>
          <w:rFonts w:hint="default" w:ascii="Times New Roman" w:hAnsi="Times New Roman" w:eastAsia="方正仿宋_GBK" w:cs="Times New Roman"/>
          <w:color w:val="auto"/>
          <w:kern w:val="0"/>
          <w:sz w:val="32"/>
          <w:szCs w:val="32"/>
          <w:lang w:val="en-US" w:eastAsia="zh-CN"/>
        </w:rPr>
        <w:t>相关规章制度、政策规定，利用多种媒介、手段推进法治文化建设，加大对粮食行业相关法规制度的宣传普及力度，大力营造学法、懂法、用法、守法的良好氛围，筑牢不敢违规、不想违规的</w:t>
      </w:r>
      <w:r>
        <w:rPr>
          <w:rFonts w:hint="eastAsia" w:ascii="Times New Roman" w:hAnsi="Times New Roman" w:eastAsia="方正仿宋_GBK" w:cs="Times New Roman"/>
          <w:color w:val="auto"/>
          <w:kern w:val="0"/>
          <w:sz w:val="32"/>
          <w:szCs w:val="32"/>
          <w:lang w:val="en-US" w:eastAsia="zh-CN"/>
        </w:rPr>
        <w:t>思想</w:t>
      </w:r>
      <w:r>
        <w:rPr>
          <w:rFonts w:hint="default" w:ascii="Times New Roman" w:hAnsi="Times New Roman" w:eastAsia="方正仿宋_GBK" w:cs="Times New Roman"/>
          <w:color w:val="auto"/>
          <w:kern w:val="0"/>
          <w:sz w:val="32"/>
          <w:szCs w:val="32"/>
          <w:lang w:val="en-US" w:eastAsia="zh-CN"/>
        </w:rPr>
        <w:t>堤坝。</w:t>
      </w:r>
    </w:p>
    <w:p w14:paraId="24BD2C0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contextualSpacing/>
        <w:jc w:val="left"/>
        <w:textAlignment w:val="auto"/>
        <w:outlineLvl w:val="2"/>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推动城关粮站搬迁工作。</w:t>
      </w:r>
      <w:r>
        <w:rPr>
          <w:rFonts w:hint="default" w:ascii="Times New Roman" w:hAnsi="Times New Roman" w:eastAsia="方正仿宋_GBK" w:cs="Times New Roman"/>
          <w:color w:val="auto"/>
          <w:kern w:val="0"/>
          <w:sz w:val="32"/>
          <w:szCs w:val="32"/>
          <w:lang w:val="en-US" w:eastAsia="zh-CN"/>
        </w:rPr>
        <w:t>督促县粮油收储公司对城关粮站进行搬迁，并做好固定资产统计工作。</w:t>
      </w:r>
    </w:p>
    <w:p w14:paraId="2172558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方正黑体_GBK" w:cs="Times New Roman"/>
          <w:color w:val="auto"/>
          <w:sz w:val="32"/>
          <w:szCs w:val="32"/>
        </w:rPr>
      </w:pPr>
      <w:bookmarkStart w:id="2" w:name="_Toc14716"/>
      <w:r>
        <w:rPr>
          <w:rFonts w:hint="default" w:ascii="Times New Roman" w:hAnsi="Times New Roman" w:eastAsia="方正黑体_GBK" w:cs="Times New Roman"/>
          <w:color w:val="auto"/>
          <w:kern w:val="0"/>
          <w:sz w:val="32"/>
          <w:szCs w:val="32"/>
          <w:lang w:val="en-US" w:eastAsia="zh-CN"/>
        </w:rPr>
        <w:t>二、</w:t>
      </w:r>
      <w:r>
        <w:rPr>
          <w:rFonts w:hint="default" w:ascii="Times New Roman" w:hAnsi="Times New Roman" w:eastAsia="方正黑体_GBK" w:cs="Times New Roman"/>
          <w:color w:val="auto"/>
          <w:sz w:val="32"/>
          <w:szCs w:val="32"/>
        </w:rPr>
        <w:t>部门预算单位构成</w:t>
      </w:r>
      <w:bookmarkEnd w:id="2"/>
    </w:p>
    <w:p w14:paraId="3F041BA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contextualSpacing/>
        <w:textAlignment w:val="auto"/>
        <w:outlineLvl w:val="1"/>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壤塘县发展和改革局</w:t>
      </w:r>
      <w:r>
        <w:rPr>
          <w:rFonts w:hint="default" w:ascii="Times New Roman" w:hAnsi="Times New Roman" w:eastAsia="仿宋_GB2312" w:cs="Times New Roman"/>
          <w:kern w:val="2"/>
          <w:sz w:val="32"/>
          <w:szCs w:val="32"/>
        </w:rPr>
        <w:t>属一级预算单位，</w:t>
      </w:r>
      <w:r>
        <w:rPr>
          <w:rFonts w:hint="default" w:ascii="Times New Roman" w:hAnsi="Times New Roman" w:eastAsia="仿宋_GB2312" w:cs="Times New Roman"/>
          <w:kern w:val="2"/>
          <w:sz w:val="32"/>
          <w:szCs w:val="32"/>
          <w:lang w:eastAsia="zh-CN"/>
        </w:rPr>
        <w:t>无</w:t>
      </w:r>
      <w:r>
        <w:rPr>
          <w:rFonts w:hint="default" w:ascii="Times New Roman" w:hAnsi="Times New Roman" w:eastAsia="仿宋_GB2312" w:cs="Times New Roman"/>
          <w:kern w:val="2"/>
          <w:sz w:val="32"/>
          <w:szCs w:val="32"/>
        </w:rPr>
        <w:t>下属二级预算单位</w:t>
      </w:r>
      <w:r>
        <w:rPr>
          <w:rFonts w:hint="default" w:ascii="Times New Roman" w:hAnsi="Times New Roman" w:eastAsia="仿宋_GB2312" w:cs="Times New Roman"/>
          <w:kern w:val="2"/>
          <w:sz w:val="32"/>
          <w:szCs w:val="32"/>
          <w:lang w:eastAsia="zh-CN"/>
        </w:rPr>
        <w:t>。</w:t>
      </w:r>
    </w:p>
    <w:p w14:paraId="64DA332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方正黑体_GBK" w:cs="Times New Roman"/>
          <w:color w:val="auto"/>
          <w:sz w:val="32"/>
          <w:szCs w:val="32"/>
        </w:rPr>
      </w:pPr>
      <w:bookmarkStart w:id="3" w:name="_Toc2667"/>
      <w:r>
        <w:rPr>
          <w:rFonts w:hint="default"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rPr>
        <w:t>收支预算情况说明</w:t>
      </w:r>
      <w:bookmarkEnd w:id="3"/>
    </w:p>
    <w:p w14:paraId="35788AD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收入预算情况</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kern w:val="2"/>
          <w:sz w:val="32"/>
          <w:szCs w:val="32"/>
        </w:rPr>
        <w:t>按照综合预算的原则，</w:t>
      </w:r>
      <w:r>
        <w:rPr>
          <w:rFonts w:hint="default" w:ascii="Times New Roman" w:hAnsi="Times New Roman" w:eastAsia="方正仿宋_GBK" w:cs="Times New Roman"/>
          <w:kern w:val="2"/>
          <w:sz w:val="32"/>
          <w:szCs w:val="32"/>
          <w:lang w:eastAsia="zh-CN"/>
        </w:rPr>
        <w:t>壤塘县发展和改革局</w:t>
      </w:r>
      <w:r>
        <w:rPr>
          <w:rFonts w:hint="default" w:ascii="Times New Roman" w:hAnsi="Times New Roman" w:eastAsia="方正仿宋_GBK" w:cs="Times New Roman"/>
          <w:kern w:val="2"/>
          <w:sz w:val="32"/>
          <w:szCs w:val="32"/>
        </w:rPr>
        <w:t>所有收入和支出均纳入部门预算管理。收入包括：一般公共预算拨款收入</w:t>
      </w:r>
      <w:r>
        <w:rPr>
          <w:rFonts w:hint="default" w:ascii="Times New Roman" w:hAnsi="Times New Roman" w:eastAsia="方正仿宋_GBK" w:cs="Times New Roman"/>
          <w:kern w:val="2"/>
          <w:sz w:val="32"/>
          <w:szCs w:val="32"/>
          <w:lang w:val="en-US" w:eastAsia="zh-CN"/>
        </w:rPr>
        <w:t>691.31</w:t>
      </w:r>
      <w:r>
        <w:rPr>
          <w:rFonts w:hint="default" w:ascii="Times New Roman" w:hAnsi="Times New Roman" w:eastAsia="方正仿宋_GBK" w:cs="Times New Roman"/>
          <w:kern w:val="2"/>
          <w:sz w:val="32"/>
          <w:szCs w:val="32"/>
        </w:rPr>
        <w:t>万元，事业收</w:t>
      </w:r>
      <w:r>
        <w:rPr>
          <w:rFonts w:hint="default" w:ascii="Times New Roman" w:hAnsi="Times New Roman" w:eastAsia="方正仿宋_GBK" w:cs="Times New Roman"/>
          <w:kern w:val="2"/>
          <w:sz w:val="32"/>
          <w:szCs w:val="32"/>
          <w:lang w:eastAsia="zh-CN"/>
        </w:rPr>
        <w:t>入</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万元，其他收入</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万元，上年结转</w:t>
      </w:r>
      <w:r>
        <w:rPr>
          <w:rFonts w:hint="default" w:ascii="Times New Roman" w:hAnsi="Times New Roman" w:eastAsia="方正仿宋_GBK" w:cs="Times New Roman"/>
          <w:kern w:val="2"/>
          <w:sz w:val="32"/>
          <w:szCs w:val="32"/>
          <w:lang w:val="en-US" w:eastAsia="zh-CN"/>
        </w:rPr>
        <w:t>1240</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本年收入1931.31万元</w:t>
      </w:r>
      <w:r>
        <w:rPr>
          <w:rFonts w:hint="default" w:ascii="Times New Roman" w:hAnsi="Times New Roman" w:eastAsia="方正仿宋_GBK" w:cs="Times New Roman"/>
          <w:kern w:val="2"/>
          <w:sz w:val="32"/>
          <w:szCs w:val="32"/>
          <w:lang w:eastAsia="zh-CN"/>
        </w:rPr>
        <w:t>。</w:t>
      </w:r>
    </w:p>
    <w:p w14:paraId="0690C2E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b/>
          <w:bCs/>
          <w:sz w:val="32"/>
          <w:szCs w:val="32"/>
          <w:lang w:eastAsia="zh-CN"/>
        </w:rPr>
        <w:t>（二）支出预算情况</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kern w:val="2"/>
          <w:sz w:val="32"/>
          <w:szCs w:val="32"/>
        </w:rPr>
        <w:t>支出包括：一般公共服务支出</w:t>
      </w:r>
      <w:r>
        <w:rPr>
          <w:rFonts w:hint="default" w:ascii="Times New Roman" w:hAnsi="Times New Roman" w:eastAsia="方正仿宋_GBK" w:cs="Times New Roman"/>
          <w:kern w:val="2"/>
          <w:sz w:val="32"/>
          <w:szCs w:val="32"/>
          <w:lang w:val="en-US" w:eastAsia="zh-CN"/>
        </w:rPr>
        <w:t>483.19</w:t>
      </w:r>
      <w:r>
        <w:rPr>
          <w:rFonts w:hint="default" w:ascii="Times New Roman" w:hAnsi="Times New Roman" w:eastAsia="方正仿宋_GBK" w:cs="Times New Roman"/>
          <w:kern w:val="2"/>
          <w:sz w:val="32"/>
          <w:szCs w:val="32"/>
        </w:rPr>
        <w:t>万元，社会保障和就业支出</w:t>
      </w:r>
      <w:r>
        <w:rPr>
          <w:rFonts w:hint="default" w:ascii="Times New Roman" w:hAnsi="Times New Roman" w:eastAsia="方正仿宋_GBK" w:cs="Times New Roman"/>
          <w:kern w:val="2"/>
          <w:sz w:val="32"/>
          <w:szCs w:val="32"/>
          <w:lang w:val="en-US" w:eastAsia="zh-CN"/>
        </w:rPr>
        <w:t>111.08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卫生和健康</w:t>
      </w:r>
      <w:r>
        <w:rPr>
          <w:rFonts w:hint="default" w:ascii="Times New Roman" w:hAnsi="Times New Roman" w:eastAsia="方正仿宋_GBK" w:cs="Times New Roman"/>
          <w:kern w:val="2"/>
          <w:sz w:val="32"/>
          <w:szCs w:val="32"/>
        </w:rPr>
        <w:t>支出</w:t>
      </w:r>
      <w:r>
        <w:rPr>
          <w:rFonts w:hint="default" w:ascii="Times New Roman" w:hAnsi="Times New Roman" w:eastAsia="方正仿宋_GBK" w:cs="Times New Roman"/>
          <w:kern w:val="2"/>
          <w:sz w:val="32"/>
          <w:szCs w:val="32"/>
          <w:lang w:val="en-US" w:eastAsia="zh-CN"/>
        </w:rPr>
        <w:t>41.27</w:t>
      </w:r>
      <w:r>
        <w:rPr>
          <w:rFonts w:hint="default" w:ascii="Times New Roman" w:hAnsi="Times New Roman" w:eastAsia="方正仿宋_GBK" w:cs="Times New Roman"/>
          <w:kern w:val="2"/>
          <w:sz w:val="32"/>
          <w:szCs w:val="32"/>
        </w:rPr>
        <w:t>万元，住房保障支出</w:t>
      </w:r>
      <w:r>
        <w:rPr>
          <w:rFonts w:hint="default" w:ascii="Times New Roman" w:hAnsi="Times New Roman" w:eastAsia="方正仿宋_GBK" w:cs="Times New Roman"/>
          <w:kern w:val="2"/>
          <w:sz w:val="32"/>
          <w:szCs w:val="32"/>
          <w:lang w:val="en-US" w:eastAsia="zh-CN"/>
        </w:rPr>
        <w:t>55.77</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，节能环保支出</w:t>
      </w:r>
      <w:r>
        <w:rPr>
          <w:rFonts w:hint="default" w:ascii="Times New Roman" w:hAnsi="Times New Roman" w:eastAsia="方正仿宋_GBK" w:cs="Times New Roman"/>
          <w:kern w:val="2"/>
          <w:sz w:val="32"/>
          <w:szCs w:val="32"/>
          <w:lang w:val="en-US" w:eastAsia="zh-CN"/>
        </w:rPr>
        <w:t>1240万元，本年支出1931.31万元。</w:t>
      </w:r>
    </w:p>
    <w:p w14:paraId="1A21D17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rPr>
      </w:pPr>
      <w:bookmarkStart w:id="4" w:name="_Toc15864"/>
      <w:r>
        <w:rPr>
          <w:rFonts w:hint="default" w:ascii="Times New Roman" w:hAnsi="Times New Roman" w:eastAsia="方正黑体_GBK" w:cs="Times New Roman"/>
          <w:sz w:val="32"/>
          <w:szCs w:val="32"/>
        </w:rPr>
        <w:t>四、财政拨款收支预算情况说明</w:t>
      </w:r>
      <w:bookmarkEnd w:id="4"/>
    </w:p>
    <w:p w14:paraId="5F579B2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sz w:val="32"/>
          <w:szCs w:val="32"/>
          <w:lang w:val="en-US" w:eastAsia="zh-CN"/>
        </w:rPr>
        <w:t>壤塘县发展和改革局</w:t>
      </w:r>
      <w:r>
        <w:rPr>
          <w:rFonts w:hint="default" w:ascii="Times New Roman" w:hAnsi="Times New Roman" w:eastAsia="方正仿宋_GBK" w:cs="Times New Roman"/>
          <w:sz w:val="32"/>
          <w:szCs w:val="32"/>
        </w:rPr>
        <w:t>2025年财政拨款收支总预算</w:t>
      </w:r>
      <w:r>
        <w:rPr>
          <w:rFonts w:hint="default" w:ascii="Times New Roman" w:hAnsi="Times New Roman" w:eastAsia="方正仿宋_GBK" w:cs="Times New Roman"/>
          <w:sz w:val="32"/>
          <w:szCs w:val="32"/>
          <w:lang w:val="en-US" w:eastAsia="zh-CN"/>
        </w:rPr>
        <w:t>691.31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比2024年财政拨款收支总预算增加</w:t>
      </w:r>
      <w:r>
        <w:rPr>
          <w:rFonts w:hint="default" w:ascii="Times New Roman" w:hAnsi="Times New Roman" w:eastAsia="方正仿宋_GBK" w:cs="Times New Roman"/>
          <w:sz w:val="32"/>
          <w:szCs w:val="32"/>
          <w:lang w:val="en-US" w:eastAsia="zh-CN"/>
        </w:rPr>
        <w:t>81.14</w:t>
      </w:r>
      <w:r>
        <w:rPr>
          <w:rFonts w:hint="default" w:ascii="Times New Roman" w:hAnsi="Times New Roman" w:eastAsia="方正仿宋_GBK" w:cs="Times New Roman"/>
          <w:sz w:val="32"/>
          <w:szCs w:val="32"/>
        </w:rPr>
        <w:t>万元，主要原因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lang w:eastAsia="zh-CN"/>
        </w:rPr>
        <w:t>人员变动及人员保险变动。</w:t>
      </w:r>
    </w:p>
    <w:p w14:paraId="7F80D60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b/>
          <w:bCs/>
          <w:sz w:val="32"/>
          <w:szCs w:val="32"/>
        </w:rPr>
        <w:t>收入包括：</w:t>
      </w:r>
      <w:r>
        <w:rPr>
          <w:rFonts w:hint="default" w:ascii="Times New Roman" w:hAnsi="Times New Roman" w:eastAsia="方正仿宋_GBK" w:cs="Times New Roman"/>
          <w:kern w:val="2"/>
          <w:sz w:val="32"/>
          <w:szCs w:val="32"/>
        </w:rPr>
        <w:t>一般公共预算拨款收入</w:t>
      </w:r>
      <w:r>
        <w:rPr>
          <w:rFonts w:hint="default" w:ascii="Times New Roman" w:hAnsi="Times New Roman" w:eastAsia="方正仿宋_GBK" w:cs="Times New Roman"/>
          <w:kern w:val="2"/>
          <w:sz w:val="32"/>
          <w:szCs w:val="32"/>
          <w:lang w:val="en-US" w:eastAsia="zh-CN"/>
        </w:rPr>
        <w:t>691.31</w:t>
      </w:r>
      <w:r>
        <w:rPr>
          <w:rFonts w:hint="default" w:ascii="Times New Roman" w:hAnsi="Times New Roman" w:eastAsia="方正仿宋_GBK" w:cs="Times New Roman"/>
          <w:kern w:val="2"/>
          <w:sz w:val="32"/>
          <w:szCs w:val="32"/>
        </w:rPr>
        <w:t>万元，事业收</w:t>
      </w:r>
      <w:r>
        <w:rPr>
          <w:rFonts w:hint="default" w:ascii="Times New Roman" w:hAnsi="Times New Roman" w:eastAsia="方正仿宋_GBK" w:cs="Times New Roman"/>
          <w:kern w:val="2"/>
          <w:sz w:val="32"/>
          <w:szCs w:val="32"/>
          <w:lang w:eastAsia="zh-CN"/>
        </w:rPr>
        <w:t>入</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万元，其他收入</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万元，上年结转</w:t>
      </w:r>
      <w:r>
        <w:rPr>
          <w:rFonts w:hint="default" w:ascii="Times New Roman" w:hAnsi="Times New Roman" w:eastAsia="方正仿宋_GBK" w:cs="Times New Roman"/>
          <w:kern w:val="2"/>
          <w:sz w:val="32"/>
          <w:szCs w:val="32"/>
          <w:lang w:val="en-US" w:eastAsia="zh-CN"/>
        </w:rPr>
        <w:t>1240</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p>
    <w:p w14:paraId="431EDDD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b/>
          <w:bCs/>
          <w:sz w:val="32"/>
          <w:szCs w:val="32"/>
        </w:rPr>
        <w:t>支出包括：</w:t>
      </w:r>
      <w:r>
        <w:rPr>
          <w:rFonts w:hint="default" w:ascii="Times New Roman" w:hAnsi="Times New Roman" w:eastAsia="方正仿宋_GBK" w:cs="Times New Roman"/>
          <w:kern w:val="2"/>
          <w:sz w:val="32"/>
          <w:szCs w:val="32"/>
        </w:rPr>
        <w:t>一般公共服务支出</w:t>
      </w:r>
      <w:r>
        <w:rPr>
          <w:rFonts w:hint="default" w:ascii="Times New Roman" w:hAnsi="Times New Roman" w:eastAsia="方正仿宋_GBK" w:cs="Times New Roman"/>
          <w:kern w:val="2"/>
          <w:sz w:val="32"/>
          <w:szCs w:val="32"/>
          <w:lang w:val="en-US" w:eastAsia="zh-CN"/>
        </w:rPr>
        <w:t>483.19</w:t>
      </w:r>
      <w:r>
        <w:rPr>
          <w:rFonts w:hint="default" w:ascii="Times New Roman" w:hAnsi="Times New Roman" w:eastAsia="方正仿宋_GBK" w:cs="Times New Roman"/>
          <w:kern w:val="2"/>
          <w:sz w:val="32"/>
          <w:szCs w:val="32"/>
        </w:rPr>
        <w:t>万元，社会保障和就业支出</w:t>
      </w:r>
      <w:r>
        <w:rPr>
          <w:rFonts w:hint="default" w:ascii="Times New Roman" w:hAnsi="Times New Roman" w:eastAsia="方正仿宋_GBK" w:cs="Times New Roman"/>
          <w:kern w:val="2"/>
          <w:sz w:val="32"/>
          <w:szCs w:val="32"/>
          <w:lang w:val="en-US" w:eastAsia="zh-CN"/>
        </w:rPr>
        <w:t>111.08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卫生和健康</w:t>
      </w:r>
      <w:r>
        <w:rPr>
          <w:rFonts w:hint="default" w:ascii="Times New Roman" w:hAnsi="Times New Roman" w:eastAsia="方正仿宋_GBK" w:cs="Times New Roman"/>
          <w:kern w:val="2"/>
          <w:sz w:val="32"/>
          <w:szCs w:val="32"/>
        </w:rPr>
        <w:t>支出</w:t>
      </w:r>
      <w:r>
        <w:rPr>
          <w:rFonts w:hint="default" w:ascii="Times New Roman" w:hAnsi="Times New Roman" w:eastAsia="方正仿宋_GBK" w:cs="Times New Roman"/>
          <w:kern w:val="2"/>
          <w:sz w:val="32"/>
          <w:szCs w:val="32"/>
          <w:lang w:val="en-US" w:eastAsia="zh-CN"/>
        </w:rPr>
        <w:t>41.27</w:t>
      </w:r>
      <w:r>
        <w:rPr>
          <w:rFonts w:hint="default" w:ascii="Times New Roman" w:hAnsi="Times New Roman" w:eastAsia="方正仿宋_GBK" w:cs="Times New Roman"/>
          <w:kern w:val="2"/>
          <w:sz w:val="32"/>
          <w:szCs w:val="32"/>
        </w:rPr>
        <w:t>万元，住房保障支出</w:t>
      </w:r>
      <w:r>
        <w:rPr>
          <w:rFonts w:hint="default" w:ascii="Times New Roman" w:hAnsi="Times New Roman" w:eastAsia="方正仿宋_GBK" w:cs="Times New Roman"/>
          <w:kern w:val="2"/>
          <w:sz w:val="32"/>
          <w:szCs w:val="32"/>
          <w:lang w:val="en-US" w:eastAsia="zh-CN"/>
        </w:rPr>
        <w:t>55.77</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，节能环保支出</w:t>
      </w:r>
      <w:r>
        <w:rPr>
          <w:rFonts w:hint="default" w:ascii="Times New Roman" w:hAnsi="Times New Roman" w:eastAsia="方正仿宋_GBK" w:cs="Times New Roman"/>
          <w:kern w:val="2"/>
          <w:sz w:val="32"/>
          <w:szCs w:val="32"/>
          <w:lang w:val="en-US" w:eastAsia="zh-CN"/>
        </w:rPr>
        <w:t>1240万元。</w:t>
      </w:r>
    </w:p>
    <w:p w14:paraId="0B4A08C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rPr>
      </w:pPr>
      <w:bookmarkStart w:id="5" w:name="_Toc20274"/>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一般公共预算当年拨款情况说明</w:t>
      </w:r>
      <w:bookmarkEnd w:id="5"/>
    </w:p>
    <w:p w14:paraId="6E45A8D7">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1"/>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一般公共预算当年拨款规模变化情况</w:t>
      </w:r>
    </w:p>
    <w:p w14:paraId="74D0C36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壤塘县发展和改革局2025年一般公共预算当年拨款691.31万元，比2024年预算数增加81.14万元，主要原因：</w:t>
      </w:r>
      <w:r>
        <w:rPr>
          <w:rFonts w:hint="default" w:ascii="Times New Roman" w:hAnsi="Times New Roman" w:eastAsia="方正仿宋_GBK" w:cs="Times New Roman"/>
          <w:kern w:val="2"/>
          <w:sz w:val="32"/>
          <w:szCs w:val="32"/>
          <w:lang w:eastAsia="zh-CN"/>
        </w:rPr>
        <w:t>人员变动及人员保险变动。</w:t>
      </w:r>
    </w:p>
    <w:p w14:paraId="51E67462">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1"/>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一般公共预算当年拨款结构情况</w:t>
      </w:r>
    </w:p>
    <w:p w14:paraId="5A44381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rPr>
        <w:t>一般公共服务支出</w:t>
      </w:r>
      <w:r>
        <w:rPr>
          <w:rFonts w:hint="default" w:ascii="Times New Roman" w:hAnsi="Times New Roman" w:eastAsia="方正仿宋_GBK" w:cs="Times New Roman"/>
          <w:kern w:val="2"/>
          <w:sz w:val="32"/>
          <w:szCs w:val="32"/>
          <w:lang w:val="en-US" w:eastAsia="zh-CN"/>
        </w:rPr>
        <w:t>483.19</w:t>
      </w:r>
      <w:r>
        <w:rPr>
          <w:rFonts w:hint="default" w:ascii="Times New Roman" w:hAnsi="Times New Roman" w:eastAsia="方正仿宋_GBK" w:cs="Times New Roman"/>
          <w:kern w:val="2"/>
          <w:sz w:val="32"/>
          <w:szCs w:val="32"/>
        </w:rPr>
        <w:t>万元，占</w:t>
      </w:r>
      <w:r>
        <w:rPr>
          <w:rFonts w:hint="default" w:ascii="Times New Roman" w:hAnsi="Times New Roman" w:eastAsia="方正仿宋_GBK" w:cs="Times New Roman"/>
          <w:kern w:val="2"/>
          <w:sz w:val="32"/>
          <w:szCs w:val="32"/>
          <w:lang w:val="en-US" w:eastAsia="zh-CN"/>
        </w:rPr>
        <w:t>69.9</w:t>
      </w:r>
      <w:r>
        <w:rPr>
          <w:rFonts w:hint="default" w:ascii="Times New Roman" w:hAnsi="Times New Roman" w:eastAsia="方正仿宋_GBK" w:cs="Times New Roman"/>
          <w:kern w:val="2"/>
          <w:sz w:val="32"/>
          <w:szCs w:val="32"/>
        </w:rPr>
        <w:t>%；社会保障和就业支出</w:t>
      </w:r>
      <w:r>
        <w:rPr>
          <w:rFonts w:hint="default" w:ascii="Times New Roman" w:hAnsi="Times New Roman" w:eastAsia="方正仿宋_GBK" w:cs="Times New Roman"/>
          <w:kern w:val="2"/>
          <w:sz w:val="32"/>
          <w:szCs w:val="32"/>
          <w:lang w:val="en-US" w:eastAsia="zh-CN"/>
        </w:rPr>
        <w:t>111.08</w:t>
      </w:r>
      <w:r>
        <w:rPr>
          <w:rFonts w:hint="default" w:ascii="Times New Roman" w:hAnsi="Times New Roman" w:eastAsia="方正仿宋_GBK" w:cs="Times New Roman"/>
          <w:kern w:val="2"/>
          <w:sz w:val="32"/>
          <w:szCs w:val="32"/>
        </w:rPr>
        <w:t>万元，占</w:t>
      </w:r>
      <w:r>
        <w:rPr>
          <w:rFonts w:hint="default" w:ascii="Times New Roman" w:hAnsi="Times New Roman" w:eastAsia="方正仿宋_GBK" w:cs="Times New Roman"/>
          <w:kern w:val="2"/>
          <w:sz w:val="32"/>
          <w:szCs w:val="32"/>
          <w:lang w:val="en-US" w:eastAsia="zh-CN"/>
        </w:rPr>
        <w:t>16.07</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卫生和健康</w:t>
      </w:r>
      <w:r>
        <w:rPr>
          <w:rFonts w:hint="default" w:ascii="Times New Roman" w:hAnsi="Times New Roman" w:eastAsia="方正仿宋_GBK" w:cs="Times New Roman"/>
          <w:kern w:val="2"/>
          <w:sz w:val="32"/>
          <w:szCs w:val="32"/>
        </w:rPr>
        <w:t>支出</w:t>
      </w:r>
      <w:r>
        <w:rPr>
          <w:rFonts w:hint="default" w:ascii="Times New Roman" w:hAnsi="Times New Roman" w:eastAsia="方正仿宋_GBK" w:cs="Times New Roman"/>
          <w:kern w:val="2"/>
          <w:sz w:val="32"/>
          <w:szCs w:val="32"/>
          <w:lang w:val="en-US" w:eastAsia="zh-CN"/>
        </w:rPr>
        <w:t>41.27</w:t>
      </w:r>
      <w:r>
        <w:rPr>
          <w:rFonts w:hint="default" w:ascii="Times New Roman" w:hAnsi="Times New Roman" w:eastAsia="方正仿宋_GBK" w:cs="Times New Roman"/>
          <w:kern w:val="2"/>
          <w:sz w:val="32"/>
          <w:szCs w:val="32"/>
        </w:rPr>
        <w:t>万元，占</w:t>
      </w:r>
      <w:r>
        <w:rPr>
          <w:rFonts w:hint="default" w:ascii="Times New Roman" w:hAnsi="Times New Roman" w:eastAsia="方正仿宋_GBK" w:cs="Times New Roman"/>
          <w:kern w:val="2"/>
          <w:sz w:val="32"/>
          <w:szCs w:val="32"/>
          <w:lang w:val="en-US" w:eastAsia="zh-CN"/>
        </w:rPr>
        <w:t>5.96</w:t>
      </w:r>
      <w:r>
        <w:rPr>
          <w:rFonts w:hint="default" w:ascii="Times New Roman" w:hAnsi="Times New Roman" w:eastAsia="方正仿宋_GBK" w:cs="Times New Roman"/>
          <w:kern w:val="2"/>
          <w:sz w:val="32"/>
          <w:szCs w:val="32"/>
        </w:rPr>
        <w:t>%；住房保障支出</w:t>
      </w:r>
      <w:r>
        <w:rPr>
          <w:rFonts w:hint="default" w:ascii="Times New Roman" w:hAnsi="Times New Roman" w:eastAsia="方正仿宋_GBK" w:cs="Times New Roman"/>
          <w:kern w:val="2"/>
          <w:sz w:val="32"/>
          <w:szCs w:val="32"/>
          <w:lang w:val="en-US" w:eastAsia="zh-CN"/>
        </w:rPr>
        <w:t>55.77</w:t>
      </w:r>
      <w:r>
        <w:rPr>
          <w:rFonts w:hint="default" w:ascii="Times New Roman" w:hAnsi="Times New Roman" w:eastAsia="方正仿宋_GBK" w:cs="Times New Roman"/>
          <w:kern w:val="2"/>
          <w:sz w:val="32"/>
          <w:szCs w:val="32"/>
        </w:rPr>
        <w:t>万元，占</w:t>
      </w:r>
      <w:r>
        <w:rPr>
          <w:rFonts w:hint="default" w:ascii="Times New Roman" w:hAnsi="Times New Roman" w:eastAsia="方正仿宋_GBK" w:cs="Times New Roman"/>
          <w:kern w:val="2"/>
          <w:sz w:val="32"/>
          <w:szCs w:val="32"/>
          <w:lang w:val="en-US" w:eastAsia="zh-CN"/>
        </w:rPr>
        <w:t>8.07</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w:t>
      </w:r>
    </w:p>
    <w:p w14:paraId="6B01C52A">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1"/>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一般公共预算当年拨款具体使用情况</w:t>
      </w:r>
    </w:p>
    <w:p w14:paraId="53D1CD6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1.一般公共服务483.19万元，主要用于行政运行252.3万元，事业运行230.88万元。</w:t>
      </w:r>
    </w:p>
    <w:p w14:paraId="59A1B18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w:t>
      </w:r>
      <w:r>
        <w:rPr>
          <w:rFonts w:hint="default" w:ascii="Times New Roman" w:hAnsi="Times New Roman" w:eastAsia="方正仿宋_GBK" w:cs="Times New Roman"/>
          <w:kern w:val="2"/>
          <w:sz w:val="32"/>
          <w:szCs w:val="32"/>
        </w:rPr>
        <w:t>社会保障和就业支出</w:t>
      </w:r>
      <w:r>
        <w:rPr>
          <w:rFonts w:hint="default" w:ascii="Times New Roman" w:hAnsi="Times New Roman" w:eastAsia="方正仿宋_GBK" w:cs="Times New Roman"/>
          <w:kern w:val="2"/>
          <w:sz w:val="32"/>
          <w:szCs w:val="32"/>
          <w:lang w:val="en-US" w:eastAsia="zh-CN"/>
        </w:rPr>
        <w:t>111.08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，主要用于</w:t>
      </w:r>
      <w:r>
        <w:rPr>
          <w:rFonts w:hint="default" w:ascii="Times New Roman" w:hAnsi="Times New Roman" w:eastAsia="方正仿宋_GBK" w:cs="Times New Roman"/>
          <w:kern w:val="2"/>
          <w:sz w:val="32"/>
          <w:szCs w:val="32"/>
          <w:lang w:val="en-US" w:eastAsia="zh-CN"/>
        </w:rPr>
        <w:t>机关事业单位基本养老保险缴费支出74.05万元；机关事业单位职业年金缴费支出37.03万元。</w:t>
      </w:r>
    </w:p>
    <w:p w14:paraId="04FA324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lang w:eastAsia="zh-CN"/>
        </w:rPr>
        <w:t>住房保障支出</w:t>
      </w:r>
      <w:r>
        <w:rPr>
          <w:rFonts w:hint="default" w:ascii="Times New Roman" w:hAnsi="Times New Roman" w:eastAsia="方正仿宋_GBK" w:cs="Times New Roman"/>
          <w:kern w:val="2"/>
          <w:sz w:val="32"/>
          <w:szCs w:val="32"/>
          <w:lang w:val="en-US" w:eastAsia="zh-CN"/>
        </w:rPr>
        <w:t>55.77万元，主要用于住房公积金55.77万元。</w:t>
      </w:r>
    </w:p>
    <w:p w14:paraId="07A015E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lang w:eastAsia="zh-CN"/>
        </w:rPr>
        <w:t>卫生健康支出</w:t>
      </w:r>
      <w:r>
        <w:rPr>
          <w:rFonts w:hint="default" w:ascii="Times New Roman" w:hAnsi="Times New Roman" w:eastAsia="方正仿宋_GBK" w:cs="Times New Roman"/>
          <w:kern w:val="2"/>
          <w:sz w:val="32"/>
          <w:szCs w:val="32"/>
          <w:lang w:val="en-US" w:eastAsia="zh-CN"/>
        </w:rPr>
        <w:t>41.07万元，</w:t>
      </w:r>
      <w:r>
        <w:rPr>
          <w:rFonts w:hint="default" w:ascii="Times New Roman" w:hAnsi="Times New Roman" w:eastAsia="方正仿宋_GBK" w:cs="Times New Roman"/>
          <w:kern w:val="2"/>
          <w:sz w:val="32"/>
          <w:szCs w:val="32"/>
          <w:lang w:eastAsia="zh-CN"/>
        </w:rPr>
        <w:t>主要用于行政单位医疗</w:t>
      </w:r>
      <w:r>
        <w:rPr>
          <w:rFonts w:hint="default" w:ascii="Times New Roman" w:hAnsi="Times New Roman" w:eastAsia="方正仿宋_GBK" w:cs="Times New Roman"/>
          <w:kern w:val="2"/>
          <w:sz w:val="32"/>
          <w:szCs w:val="32"/>
          <w:lang w:val="en-US" w:eastAsia="zh-CN"/>
        </w:rPr>
        <w:t>16.62万元</w:t>
      </w:r>
      <w:r>
        <w:rPr>
          <w:rFonts w:hint="default" w:ascii="Times New Roman" w:hAnsi="Times New Roman" w:eastAsia="方正仿宋_GBK" w:cs="Times New Roman"/>
          <w:kern w:val="2"/>
          <w:sz w:val="32"/>
          <w:szCs w:val="32"/>
          <w:lang w:eastAsia="zh-CN"/>
        </w:rPr>
        <w:t>，事业单位医疗</w:t>
      </w:r>
      <w:r>
        <w:rPr>
          <w:rFonts w:hint="default" w:ascii="Times New Roman" w:hAnsi="Times New Roman" w:eastAsia="方正仿宋_GBK" w:cs="Times New Roman"/>
          <w:kern w:val="2"/>
          <w:sz w:val="32"/>
          <w:szCs w:val="32"/>
          <w:lang w:val="en-US" w:eastAsia="zh-CN"/>
        </w:rPr>
        <w:t>15.78万元，公务员医疗补助5.41万元，其他行政事业单位医疗支出3.26万元。</w:t>
      </w:r>
    </w:p>
    <w:p w14:paraId="2F20BB5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lang w:val="en-US" w:eastAsia="zh-CN"/>
        </w:rPr>
      </w:pPr>
      <w:bookmarkStart w:id="6" w:name="_Toc31511"/>
      <w:r>
        <w:rPr>
          <w:rFonts w:hint="default" w:ascii="Times New Roman" w:hAnsi="Times New Roman" w:eastAsia="方正黑体_GBK" w:cs="Times New Roman"/>
          <w:sz w:val="32"/>
          <w:szCs w:val="32"/>
          <w:lang w:val="en-US" w:eastAsia="zh-CN"/>
        </w:rPr>
        <w:t>六、一般公共预算基本支出情况说明</w:t>
      </w:r>
      <w:bookmarkEnd w:id="6"/>
    </w:p>
    <w:p w14:paraId="23475F0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壤塘县发展和改革局2025年一般公共预算基本支出691.31万元，其中：人员经费634.74万元，主要包括：基本工资、津贴补贴、奖金、其他社会保障缴费、绩效工资、机关事业单位基本养老保险缴费、职业年金缴费、其他工资福利支出、离休费、奖励金、住房公积金、其他对个人和家庭的补助支出。</w:t>
      </w:r>
    </w:p>
    <w:p w14:paraId="5BCDEB0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公用经费56.56万元，主要包括：办公费、印刷费、手续费、水费、电费、邮电费、差旅费、维修（护）费、租赁费、会议费、培训费、劳务费、工会经费、福利费、其他交通工具运行维护费、其他商品和服务支出。</w:t>
      </w:r>
    </w:p>
    <w:p w14:paraId="729D7EE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七、“三公”经费财政拨款预算安排情况说明</w:t>
      </w:r>
    </w:p>
    <w:p w14:paraId="4FCE776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壤塘县发展和改革局2025年“三公”经费财政拨款预算数8万元，其中：因公出国（境）经费0万元，公务接待费0万元，公务用车购置及运行维护费8万元，公务用车购置费0万元，公务用车运行维护费8万元。</w:t>
      </w:r>
    </w:p>
    <w:p w14:paraId="4371FEC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（一）2025年因公出国（境）经费0万元。</w:t>
      </w:r>
    </w:p>
    <w:p w14:paraId="23C98AE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（二）2025年公务接待经费0万元。较2024年预算经费增加/减少0万元，增长0%，主要原因无公务接待费产生。</w:t>
      </w:r>
    </w:p>
    <w:p w14:paraId="6368BF8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（三）2025年公务用车购置费0万元，公务用车运行维护费8万元。较2024年预算经费减少2万元，</w:t>
      </w:r>
      <w:r>
        <w:rPr>
          <w:rFonts w:hint="eastAsia" w:ascii="Times New Roman" w:hAnsi="Times New Roman" w:eastAsia="方正仿宋_GBK" w:cs="Times New Roman"/>
          <w:kern w:val="2"/>
          <w:sz w:val="32"/>
          <w:szCs w:val="32"/>
          <w:lang w:val="en-US" w:eastAsia="zh-CN"/>
        </w:rPr>
        <w:t>下降</w:t>
      </w:r>
      <w:r>
        <w:rPr>
          <w:rFonts w:hint="default" w:ascii="Times New Roman" w:hAnsi="Times New Roman" w:eastAsia="方正仿宋_GBK" w:cs="Times New Roman"/>
          <w:kern w:val="2"/>
          <w:sz w:val="32"/>
          <w:szCs w:val="32"/>
          <w:lang w:val="en-US" w:eastAsia="zh-CN"/>
        </w:rPr>
        <w:t>0.2%，主要原因</w:t>
      </w:r>
      <w:r>
        <w:rPr>
          <w:rFonts w:hint="eastAsia" w:ascii="Times New Roman" w:hAnsi="Times New Roman" w:eastAsia="方正仿宋_GBK" w:cs="Times New Roman"/>
          <w:kern w:val="2"/>
          <w:sz w:val="32"/>
          <w:szCs w:val="32"/>
          <w:lang w:val="en-US" w:eastAsia="zh-CN"/>
        </w:rPr>
        <w:t>是</w:t>
      </w:r>
      <w:r>
        <w:rPr>
          <w:rFonts w:hint="default" w:ascii="Times New Roman" w:hAnsi="Times New Roman" w:eastAsia="方正仿宋_GBK" w:cs="Times New Roman"/>
          <w:kern w:val="2"/>
          <w:sz w:val="32"/>
          <w:szCs w:val="32"/>
          <w:lang w:val="en-US" w:eastAsia="zh-CN"/>
        </w:rPr>
        <w:t>厉行勤俭节约。</w:t>
      </w:r>
    </w:p>
    <w:p w14:paraId="05F1299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lang w:val="en-US" w:eastAsia="zh-CN"/>
        </w:rPr>
      </w:pPr>
      <w:bookmarkStart w:id="7" w:name="_Toc28445"/>
      <w:r>
        <w:rPr>
          <w:rFonts w:hint="default"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lang w:val="en-US" w:eastAsia="zh-CN"/>
        </w:rPr>
        <w:t>政府性基金预算支出情况说明</w:t>
      </w:r>
      <w:bookmarkEnd w:id="7"/>
    </w:p>
    <w:p w14:paraId="057A2B0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壤塘县发展和改革局2025年政府性基金预算拨款安排的支出0万元。较2024年预算经费增加/减少0万元，增长0%。</w:t>
      </w:r>
    </w:p>
    <w:p w14:paraId="21C590E7">
      <w:pPr>
        <w:keepNext w:val="0"/>
        <w:keepLines w:val="0"/>
        <w:pageBreakBefore w:val="0"/>
        <w:widowControl w:val="0"/>
        <w:numPr>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rPr>
      </w:pPr>
      <w:bookmarkStart w:id="8" w:name="_Toc10389"/>
      <w:r>
        <w:rPr>
          <w:rFonts w:hint="default" w:ascii="Times New Roman" w:hAnsi="Times New Roman" w:eastAsia="方正黑体_GBK" w:cs="Times New Roman"/>
          <w:sz w:val="32"/>
          <w:szCs w:val="32"/>
          <w:lang w:eastAsia="zh-CN"/>
        </w:rPr>
        <w:t>九、</w:t>
      </w:r>
      <w:r>
        <w:rPr>
          <w:rFonts w:hint="default" w:ascii="Times New Roman" w:hAnsi="Times New Roman" w:eastAsia="方正黑体_GBK" w:cs="Times New Roman"/>
          <w:sz w:val="32"/>
          <w:szCs w:val="32"/>
        </w:rPr>
        <w:t>其他重要事项的情况说明</w:t>
      </w:r>
      <w:bookmarkEnd w:id="8"/>
    </w:p>
    <w:p w14:paraId="77EB9E9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contextualSpacing/>
        <w:textAlignment w:val="auto"/>
        <w:outlineLvl w:val="2"/>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（一）机关运行经费</w:t>
      </w:r>
    </w:p>
    <w:p w14:paraId="7EF567F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壤塘县发展和改革局202</w:t>
      </w:r>
      <w:r>
        <w:rPr>
          <w:rFonts w:hint="default"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机关运行经费财政拨款预算为</w:t>
      </w:r>
      <w:r>
        <w:rPr>
          <w:rFonts w:hint="default" w:ascii="Times New Roman" w:hAnsi="Times New Roman" w:eastAsia="方正仿宋_GBK" w:cs="Times New Roman"/>
          <w:kern w:val="2"/>
          <w:sz w:val="32"/>
          <w:szCs w:val="32"/>
          <w:lang w:val="en-US" w:eastAsia="zh-CN"/>
        </w:rPr>
        <w:t>56.56</w:t>
      </w:r>
      <w:r>
        <w:rPr>
          <w:rFonts w:hint="default" w:ascii="Times New Roman" w:hAnsi="Times New Roman" w:eastAsia="方正仿宋_GBK" w:cs="Times New Roman"/>
          <w:kern w:val="2"/>
          <w:sz w:val="32"/>
          <w:szCs w:val="32"/>
        </w:rPr>
        <w:t>万元，比</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预算增加</w:t>
      </w:r>
      <w:r>
        <w:rPr>
          <w:rFonts w:hint="default" w:ascii="Times New Roman" w:hAnsi="Times New Roman" w:eastAsia="方正仿宋_GBK" w:cs="Times New Roman"/>
          <w:kern w:val="2"/>
          <w:sz w:val="32"/>
          <w:szCs w:val="32"/>
          <w:lang w:val="en-US" w:eastAsia="zh-CN"/>
        </w:rPr>
        <w:t>4.68</w:t>
      </w:r>
      <w:r>
        <w:rPr>
          <w:rFonts w:hint="default" w:ascii="Times New Roman" w:hAnsi="Times New Roman" w:eastAsia="方正仿宋_GBK" w:cs="Times New Roman"/>
          <w:kern w:val="2"/>
          <w:sz w:val="32"/>
          <w:szCs w:val="32"/>
        </w:rPr>
        <w:t>万元，增长</w:t>
      </w:r>
      <w:r>
        <w:rPr>
          <w:rFonts w:hint="default" w:ascii="Times New Roman" w:hAnsi="Times New Roman" w:eastAsia="方正仿宋_GBK" w:cs="Times New Roman"/>
          <w:kern w:val="2"/>
          <w:sz w:val="32"/>
          <w:szCs w:val="32"/>
          <w:lang w:val="en-US" w:eastAsia="zh-CN"/>
        </w:rPr>
        <w:t>9.02</w:t>
      </w:r>
      <w:r>
        <w:rPr>
          <w:rFonts w:hint="default" w:ascii="Times New Roman" w:hAnsi="Times New Roman" w:eastAsia="方正仿宋_GBK" w:cs="Times New Roman"/>
          <w:kern w:val="2"/>
          <w:sz w:val="32"/>
          <w:szCs w:val="32"/>
        </w:rPr>
        <w:t>%。</w:t>
      </w:r>
    </w:p>
    <w:p w14:paraId="0A6FF24E">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val="0"/>
        <w:spacing w:line="560" w:lineRule="exact"/>
        <w:ind w:right="0" w:rightChars="0" w:firstLine="643" w:firstLineChars="200"/>
        <w:contextualSpacing/>
        <w:textAlignment w:val="auto"/>
        <w:outlineLvl w:val="2"/>
        <w:rPr>
          <w:rFonts w:hint="default" w:ascii="Times New Roman" w:hAnsi="Times New Roman" w:eastAsia="楷体" w:cs="Times New Roman"/>
          <w:kern w:val="2"/>
          <w:sz w:val="32"/>
          <w:szCs w:val="32"/>
        </w:rPr>
      </w:pPr>
      <w:r>
        <w:rPr>
          <w:rFonts w:hint="default" w:ascii="Times New Roman" w:hAnsi="Times New Roman" w:eastAsia="楷体_GB2312" w:cs="Times New Roman"/>
          <w:b/>
          <w:bCs/>
          <w:color w:val="000000"/>
          <w:kern w:val="2"/>
          <w:sz w:val="32"/>
          <w:szCs w:val="32"/>
          <w:lang w:val="en-US" w:eastAsia="zh-CN" w:bidi="ar-SA"/>
        </w:rPr>
        <w:t>（二）政府采购情况</w:t>
      </w:r>
    </w:p>
    <w:p w14:paraId="09FEFED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rPr>
        <w:t>2025年</w:t>
      </w:r>
      <w:r>
        <w:rPr>
          <w:rFonts w:hint="default" w:ascii="Times New Roman" w:hAnsi="Times New Roman" w:eastAsia="方正仿宋_GBK" w:cs="Times New Roman"/>
          <w:kern w:val="2"/>
          <w:sz w:val="32"/>
          <w:szCs w:val="32"/>
          <w:lang w:val="en-US" w:eastAsia="zh-CN"/>
        </w:rPr>
        <w:t>壤塘县发展和改革局安排政府采购预算0万元。</w:t>
      </w:r>
    </w:p>
    <w:p w14:paraId="7F8E0DB0">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val="0"/>
        <w:spacing w:line="560" w:lineRule="exact"/>
        <w:ind w:right="0" w:rightChars="0" w:firstLine="643" w:firstLineChars="200"/>
        <w:contextualSpacing/>
        <w:textAlignment w:val="auto"/>
        <w:outlineLvl w:val="1"/>
        <w:rPr>
          <w:rFonts w:hint="default" w:ascii="Times New Roman" w:hAnsi="Times New Roman" w:eastAsia="黑体" w:cs="Times New Roman"/>
          <w:sz w:val="32"/>
          <w:szCs w:val="32"/>
        </w:rPr>
      </w:pPr>
      <w:r>
        <w:rPr>
          <w:rFonts w:hint="default" w:ascii="Times New Roman" w:hAnsi="Times New Roman" w:eastAsia="楷体_GB2312" w:cs="Times New Roman"/>
          <w:b/>
          <w:bCs/>
          <w:color w:val="000000"/>
          <w:kern w:val="2"/>
          <w:sz w:val="32"/>
          <w:szCs w:val="32"/>
          <w:lang w:val="en-US" w:eastAsia="zh-CN" w:bidi="ar-SA"/>
        </w:rPr>
        <w:t>（三）国有资产占有使用情况</w:t>
      </w:r>
    </w:p>
    <w:p w14:paraId="657EE3D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16" w:firstLineChars="200"/>
        <w:contextualSpacing/>
        <w:textAlignment w:val="auto"/>
        <w:outlineLvl w:val="2"/>
        <w:rPr>
          <w:rFonts w:hint="default" w:ascii="Times New Roman" w:hAnsi="Times New Roman" w:eastAsia="方正仿宋_GBK" w:cs="Times New Roman"/>
          <w:spacing w:val="-6"/>
          <w:kern w:val="2"/>
          <w:sz w:val="32"/>
          <w:szCs w:val="32"/>
          <w:lang w:val="en-US" w:eastAsia="zh-CN"/>
        </w:rPr>
      </w:pPr>
      <w:bookmarkStart w:id="9" w:name="_Toc1409"/>
      <w:r>
        <w:rPr>
          <w:rFonts w:hint="default" w:ascii="Times New Roman" w:hAnsi="Times New Roman" w:eastAsia="方正仿宋_GBK" w:cs="Times New Roman"/>
          <w:spacing w:val="-6"/>
          <w:kern w:val="2"/>
          <w:sz w:val="32"/>
          <w:szCs w:val="32"/>
        </w:rPr>
        <w:t>截至2024年12月31日，我单位固定资产</w:t>
      </w:r>
      <w:r>
        <w:rPr>
          <w:rFonts w:hint="eastAsia" w:ascii="Times New Roman" w:hAnsi="Times New Roman" w:eastAsia="方正仿宋_GBK" w:cs="Times New Roman"/>
          <w:spacing w:val="-6"/>
          <w:kern w:val="2"/>
          <w:sz w:val="32"/>
          <w:szCs w:val="32"/>
          <w:lang w:eastAsia="zh-CN"/>
        </w:rPr>
        <w:t>为</w:t>
      </w:r>
      <w:r>
        <w:rPr>
          <w:rFonts w:hint="default" w:ascii="Times New Roman" w:hAnsi="Times New Roman" w:eastAsia="方正仿宋_GBK" w:cs="Times New Roman"/>
          <w:spacing w:val="-6"/>
          <w:kern w:val="2"/>
          <w:sz w:val="32"/>
          <w:szCs w:val="32"/>
          <w:lang w:val="en-US" w:eastAsia="zh-CN"/>
        </w:rPr>
        <w:t>245.88</w:t>
      </w:r>
      <w:r>
        <w:rPr>
          <w:rFonts w:hint="default" w:ascii="Times New Roman" w:hAnsi="Times New Roman" w:eastAsia="方正仿宋_GBK" w:cs="Times New Roman"/>
          <w:spacing w:val="-6"/>
          <w:kern w:val="2"/>
          <w:sz w:val="32"/>
          <w:szCs w:val="32"/>
        </w:rPr>
        <w:t>万</w:t>
      </w:r>
      <w:r>
        <w:rPr>
          <w:rFonts w:hint="default" w:ascii="Times New Roman" w:hAnsi="Times New Roman" w:eastAsia="方正仿宋_GBK" w:cs="Times New Roman"/>
          <w:spacing w:val="-6"/>
          <w:kern w:val="2"/>
          <w:sz w:val="32"/>
          <w:szCs w:val="32"/>
          <w:lang w:val="en-US" w:eastAsia="zh-CN"/>
        </w:rPr>
        <w:t>元。</w:t>
      </w:r>
      <w:bookmarkEnd w:id="9"/>
    </w:p>
    <w:p w14:paraId="00F82969">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contextualSpacing/>
        <w:textAlignment w:val="auto"/>
        <w:outlineLvl w:val="2"/>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绩效目标设置情况</w:t>
      </w:r>
    </w:p>
    <w:p w14:paraId="6C49E824">
      <w:pPr>
        <w:keepNext w:val="0"/>
        <w:keepLines w:val="0"/>
        <w:pageBreakBefore w:val="0"/>
        <w:widowControl w:val="0"/>
        <w:numPr>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2025年</w:t>
      </w:r>
      <w:r>
        <w:rPr>
          <w:rFonts w:hint="eastAsia" w:ascii="Times New Roman" w:hAnsi="Times New Roman" w:eastAsia="方正仿宋_GBK" w:cs="Times New Roman"/>
          <w:kern w:val="2"/>
          <w:sz w:val="32"/>
          <w:szCs w:val="32"/>
          <w:lang w:val="en-US" w:eastAsia="zh-CN"/>
        </w:rPr>
        <w:t>壤塘县发展和改革局</w:t>
      </w:r>
      <w:r>
        <w:rPr>
          <w:rFonts w:hint="default" w:ascii="Times New Roman" w:hAnsi="Times New Roman" w:eastAsia="方正仿宋_GBK" w:cs="Times New Roman"/>
          <w:kern w:val="2"/>
          <w:sz w:val="32"/>
          <w:szCs w:val="32"/>
          <w:lang w:val="en-US" w:eastAsia="zh-CN"/>
        </w:rPr>
        <w:t>通用项目和专用项目均按要求实行绩效目标管理，涉及一般公共预算当年拨款1931.31万元。</w:t>
      </w:r>
      <w:bookmarkStart w:id="10" w:name="_GoBack"/>
      <w:bookmarkEnd w:id="10"/>
    </w:p>
    <w:p w14:paraId="788ADE45">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名称解释</w:t>
      </w:r>
    </w:p>
    <w:p w14:paraId="2A471418">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（一）财政拨款收入。</w:t>
      </w:r>
      <w:r>
        <w:rPr>
          <w:rFonts w:hint="default" w:ascii="Times New Roman" w:hAnsi="Times New Roman" w:eastAsia="方正仿宋_GBK" w:cs="Times New Roman"/>
          <w:kern w:val="2"/>
          <w:sz w:val="32"/>
          <w:szCs w:val="32"/>
          <w:lang w:val="en-US" w:eastAsia="zh-CN"/>
        </w:rPr>
        <w:t>指由财政拨款形成的部门收入。按现行管理制度，部门预算中反映的财政拨款仅包括一般公共预算拨款和政府性基金预算拨款。</w:t>
      </w:r>
    </w:p>
    <w:p w14:paraId="7C88A4C4">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（二）事业收入</w:t>
      </w:r>
      <w:r>
        <w:rPr>
          <w:rFonts w:hint="default" w:ascii="Times New Roman" w:hAnsi="Times New Roman" w:eastAsia="方正楷体_GBK" w:cs="Times New Roman"/>
          <w:b/>
          <w:bCs/>
          <w:color w:val="000000"/>
          <w:kern w:val="2"/>
          <w:sz w:val="32"/>
          <w:szCs w:val="32"/>
          <w:lang w:val="en-US" w:eastAsia="zh-CN" w:bidi="ar-SA"/>
        </w:rPr>
        <w:t>。</w:t>
      </w:r>
      <w:r>
        <w:rPr>
          <w:rFonts w:hint="default" w:ascii="Times New Roman" w:hAnsi="Times New Roman" w:eastAsia="方正仿宋_GBK" w:cs="Times New Roman"/>
          <w:kern w:val="2"/>
          <w:sz w:val="32"/>
          <w:szCs w:val="32"/>
          <w:lang w:val="en-US" w:eastAsia="zh-CN"/>
        </w:rPr>
        <w:t>指所属事业单位开展专业业务活动及辅助活动所取得的收入。</w:t>
      </w:r>
    </w:p>
    <w:p w14:paraId="474D8669">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（三）事业单位经营收入</w:t>
      </w:r>
      <w:r>
        <w:rPr>
          <w:rFonts w:hint="default" w:ascii="Times New Roman" w:hAnsi="Times New Roman" w:eastAsia="方正楷体_GBK" w:cs="Times New Roman"/>
          <w:b/>
          <w:bCs/>
          <w:color w:val="000000"/>
          <w:kern w:val="2"/>
          <w:sz w:val="32"/>
          <w:szCs w:val="32"/>
          <w:lang w:val="en-US" w:eastAsia="zh-CN" w:bidi="ar-SA"/>
        </w:rPr>
        <w:t>。</w:t>
      </w:r>
      <w:r>
        <w:rPr>
          <w:rFonts w:hint="default" w:ascii="Times New Roman" w:hAnsi="Times New Roman" w:eastAsia="方正仿宋_GBK" w:cs="Times New Roman"/>
          <w:kern w:val="2"/>
          <w:sz w:val="32"/>
          <w:szCs w:val="32"/>
          <w:lang w:val="en-US" w:eastAsia="zh-CN"/>
        </w:rPr>
        <w:t>指所属事业单位在专业业务活动及其辅助活动之外开展非独立核算经营活动取得的收入。</w:t>
      </w:r>
    </w:p>
    <w:p w14:paraId="787FEE1F">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（四）其他收入</w:t>
      </w:r>
      <w:r>
        <w:rPr>
          <w:rFonts w:hint="default" w:ascii="Times New Roman" w:hAnsi="Times New Roman" w:eastAsia="方正楷体_GBK" w:cs="Times New Roman"/>
          <w:b/>
          <w:bCs/>
          <w:color w:val="000000"/>
          <w:kern w:val="2"/>
          <w:sz w:val="32"/>
          <w:szCs w:val="32"/>
          <w:lang w:val="en-US" w:eastAsia="zh-CN" w:bidi="ar-SA"/>
        </w:rPr>
        <w:t>。</w:t>
      </w:r>
      <w:r>
        <w:rPr>
          <w:rFonts w:hint="default" w:ascii="Times New Roman" w:hAnsi="Times New Roman" w:eastAsia="方正仿宋_GBK" w:cs="Times New Roman"/>
          <w:kern w:val="2"/>
          <w:sz w:val="32"/>
          <w:szCs w:val="32"/>
          <w:lang w:val="en-US" w:eastAsia="zh-CN"/>
        </w:rPr>
        <w:t>指除上述“财政拨款收入”“事业收入”“事业单位经营收入”等以外的收入，主要是所属行政事业单位按规定动用的售房收入、存款利息收入等。</w:t>
      </w:r>
    </w:p>
    <w:p w14:paraId="5F3EBD5E">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（五）用事业基金弥补收支差额</w:t>
      </w:r>
      <w:r>
        <w:rPr>
          <w:rFonts w:hint="default" w:ascii="Times New Roman" w:hAnsi="Times New Roman" w:eastAsia="方正楷体_GBK" w:cs="Times New Roman"/>
          <w:b/>
          <w:bCs/>
          <w:color w:val="000000"/>
          <w:kern w:val="2"/>
          <w:sz w:val="32"/>
          <w:szCs w:val="32"/>
          <w:lang w:val="en-US" w:eastAsia="zh-CN" w:bidi="ar-SA"/>
        </w:rPr>
        <w:t>。</w:t>
      </w:r>
      <w:r>
        <w:rPr>
          <w:rFonts w:hint="default" w:ascii="Times New Roman" w:hAnsi="Times New Roman" w:eastAsia="方正仿宋_GBK" w:cs="Times New Roman"/>
          <w:kern w:val="2"/>
          <w:sz w:val="32"/>
          <w:szCs w:val="32"/>
          <w:lang w:val="en-US" w:eastAsia="zh-CN"/>
        </w:rPr>
        <w:t>指所属事业单位在预计使用当年的“财政拨款收入”“事业收入”“事业单位经营收入”“其他收入”不足以安排当年支出的情况下，使用以前年度积累的事业基金弥补本年度收支缺口的资金。</w:t>
      </w:r>
    </w:p>
    <w:p w14:paraId="71F58E57">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2"/>
          <w:sz w:val="32"/>
          <w:szCs w:val="32"/>
          <w:lang w:val="en-US" w:eastAsia="zh-CN" w:bidi="ar-SA"/>
        </w:rPr>
        <w:t>（六）上年结转</w:t>
      </w:r>
      <w:r>
        <w:rPr>
          <w:rFonts w:hint="default" w:ascii="Times New Roman" w:hAnsi="Times New Roman" w:eastAsia="方正楷体_GBK" w:cs="Times New Roman"/>
          <w:b/>
          <w:bCs/>
          <w:color w:val="000000"/>
          <w:kern w:val="2"/>
          <w:sz w:val="32"/>
          <w:szCs w:val="32"/>
          <w:lang w:val="en-US" w:eastAsia="zh-CN" w:bidi="ar-SA"/>
        </w:rPr>
        <w:t>。</w:t>
      </w:r>
      <w:r>
        <w:rPr>
          <w:rFonts w:hint="default" w:ascii="Times New Roman" w:hAnsi="Times New Roman" w:eastAsia="方正仿宋_GBK" w:cs="Times New Roman"/>
          <w:kern w:val="2"/>
          <w:sz w:val="32"/>
          <w:szCs w:val="32"/>
          <w:lang w:val="en-US" w:eastAsia="zh-CN"/>
        </w:rPr>
        <w:t>指所属行政事业单位以前年度尚未完成、结转至本年按原规定用途继续使用的资金和以前年度已完成项目剩余资金经批准用于新用途使用的资金。</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B77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6D868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6D868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D192C">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40AE5"/>
    <w:multiLevelType w:val="singleLevel"/>
    <w:tmpl w:val="A2340A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19"/>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973037"/>
    <w:rsid w:val="01B97F5E"/>
    <w:rsid w:val="04360CF0"/>
    <w:rsid w:val="04E672BC"/>
    <w:rsid w:val="07375BAD"/>
    <w:rsid w:val="0C0D15D3"/>
    <w:rsid w:val="0C4C20FB"/>
    <w:rsid w:val="0CCE2B10"/>
    <w:rsid w:val="0DC61A39"/>
    <w:rsid w:val="0DF7618A"/>
    <w:rsid w:val="0F7A6F7F"/>
    <w:rsid w:val="10901E27"/>
    <w:rsid w:val="11660CBD"/>
    <w:rsid w:val="117933FC"/>
    <w:rsid w:val="138C54D3"/>
    <w:rsid w:val="1A4E34E2"/>
    <w:rsid w:val="1D4E37F9"/>
    <w:rsid w:val="1DDD61BF"/>
    <w:rsid w:val="20945314"/>
    <w:rsid w:val="218E68BA"/>
    <w:rsid w:val="24331BC1"/>
    <w:rsid w:val="26172F29"/>
    <w:rsid w:val="28A6273B"/>
    <w:rsid w:val="28D80EC2"/>
    <w:rsid w:val="2FB22995"/>
    <w:rsid w:val="32D819D7"/>
    <w:rsid w:val="35AF0E81"/>
    <w:rsid w:val="368476C2"/>
    <w:rsid w:val="3C8841DA"/>
    <w:rsid w:val="3FCF2EDC"/>
    <w:rsid w:val="4A1744E6"/>
    <w:rsid w:val="4A5B3BF0"/>
    <w:rsid w:val="4A8F2BD7"/>
    <w:rsid w:val="4D447EE3"/>
    <w:rsid w:val="4FAB358E"/>
    <w:rsid w:val="52854FEC"/>
    <w:rsid w:val="52B92EE7"/>
    <w:rsid w:val="59CA7716"/>
    <w:rsid w:val="61137C66"/>
    <w:rsid w:val="615F1F6E"/>
    <w:rsid w:val="61DA69D6"/>
    <w:rsid w:val="63825E84"/>
    <w:rsid w:val="65352CE7"/>
    <w:rsid w:val="66AD24F1"/>
    <w:rsid w:val="6740552D"/>
    <w:rsid w:val="68330BEE"/>
    <w:rsid w:val="69E623BC"/>
    <w:rsid w:val="6BC009EB"/>
    <w:rsid w:val="756273EE"/>
    <w:rsid w:val="76F0487A"/>
    <w:rsid w:val="79507852"/>
    <w:rsid w:val="7AB931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黑体" w:hAnsi="Times New Roman" w:eastAsia="黑体" w:cs="Times New Roman"/>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character" w:customStyle="1" w:styleId="13">
    <w:name w:val="UserStyle_2"/>
    <w:qFormat/>
    <w:uiPriority w:val="0"/>
    <w:rPr>
      <w:rFonts w:ascii="Calibri" w:hAnsi="Calibri" w:eastAsia="宋体" w:cs="Times New Roman"/>
      <w:kern w:val="2"/>
      <w:sz w:val="21"/>
      <w:szCs w:val="22"/>
      <w:lang w:val="en-US" w:eastAsia="zh-CN" w:bidi="ar-SA"/>
    </w:rPr>
  </w:style>
  <w:style w:type="character" w:customStyle="1" w:styleId="14">
    <w:name w:val="标题 1 Char"/>
    <w:link w:val="3"/>
    <w:qFormat/>
    <w:uiPriority w:val="0"/>
    <w:rPr>
      <w:b/>
      <w:bCs/>
      <w:kern w:val="44"/>
      <w:sz w:val="4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52</Words>
  <Characters>61</Characters>
  <Lines>124</Lines>
  <Paragraphs>51</Paragraphs>
  <TotalTime>33</TotalTime>
  <ScaleCrop>false</ScaleCrop>
  <LinksUpToDate>false</LinksUpToDate>
  <CharactersWithSpaces>61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8198308762</cp:lastModifiedBy>
  <cp:lastPrinted>2018-01-30T09:39:00Z</cp:lastPrinted>
  <dcterms:modified xsi:type="dcterms:W3CDTF">2025-04-11T03:50:33Z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EAFEBC55A0864CA8A15A9704FDD41238_13</vt:lpwstr>
  </property>
  <property fmtid="{D5CDD505-2E9C-101B-9397-08002B2CF9AE}" pid="4" name="KSOTemplateDocerSaveRecord">
    <vt:lpwstr>eyJoZGlkIjoiYmU5MmQ1ZTJiNWI3ZWY0ZjQwOTFiYzBlNzg5ZGQ3MGMiLCJ1c2VySWQiOiIxNjU4NzU4ODU4In0=</vt:lpwstr>
  </property>
</Properties>
</file>