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3465">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77193"/>
      <w:bookmarkStart w:id="2" w:name="_Toc15396475"/>
      <w:bookmarkStart w:id="3" w:name="_Toc15306267"/>
      <w:bookmarkStart w:id="4" w:name="_Toc15378441"/>
      <w:bookmarkStart w:id="5" w:name="_Toc15396597"/>
    </w:p>
    <w:p w14:paraId="314E72AE">
      <w:pPr>
        <w:spacing w:line="600" w:lineRule="exact"/>
        <w:jc w:val="center"/>
        <w:outlineLvl w:val="9"/>
        <w:rPr>
          <w:rFonts w:ascii="方正小标宋简体" w:hAnsi="宋体" w:eastAsia="方正小标宋简体"/>
          <w:color w:val="auto"/>
          <w:sz w:val="72"/>
          <w:szCs w:val="72"/>
          <w:highlight w:val="none"/>
        </w:rPr>
      </w:pPr>
    </w:p>
    <w:p w14:paraId="7394F67A">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14:paraId="5886C438">
      <w:pPr>
        <w:jc w:val="center"/>
        <w:rPr>
          <w:rFonts w:hint="eastAsia" w:ascii="Times New Roman" w:hAnsi="Times New Roman" w:eastAsia="方正小标宋简体" w:cs="Times New Roman"/>
          <w:sz w:val="72"/>
          <w:szCs w:val="72"/>
          <w:lang w:eastAsia="zh-CN"/>
        </w:rPr>
      </w:pPr>
      <w:bookmarkStart w:id="6" w:name="_Toc15396476"/>
      <w:bookmarkStart w:id="7" w:name="_Toc15377426"/>
      <w:bookmarkStart w:id="8" w:name="_Toc15377194"/>
      <w:bookmarkStart w:id="9" w:name="_Toc15378442"/>
      <w:bookmarkStart w:id="10" w:name="_Toc15396598"/>
      <w:r>
        <w:rPr>
          <w:rFonts w:hint="default" w:ascii="Times New Roman" w:hAnsi="Times New Roman" w:eastAsia="方正小标宋简体" w:cs="Times New Roman"/>
          <w:sz w:val="72"/>
          <w:szCs w:val="72"/>
        </w:rPr>
        <w:t>阿坝州</w:t>
      </w:r>
      <w:bookmarkStart w:id="11" w:name="_Toc15306268"/>
      <w:r>
        <w:rPr>
          <w:rFonts w:hint="default" w:ascii="Times New Roman" w:hAnsi="Times New Roman" w:eastAsia="方正小标宋简体" w:cs="Times New Roman"/>
          <w:sz w:val="72"/>
          <w:szCs w:val="72"/>
          <w:lang w:eastAsia="zh-CN"/>
        </w:rPr>
        <w:t>壤塘县</w:t>
      </w:r>
      <w:r>
        <w:rPr>
          <w:rFonts w:hint="eastAsia" w:eastAsia="方正小标宋简体" w:cs="Times New Roman"/>
          <w:sz w:val="72"/>
          <w:szCs w:val="72"/>
          <w:lang w:val="en-US" w:eastAsia="zh-CN"/>
        </w:rPr>
        <w:t>2022年度</w:t>
      </w:r>
      <w:r>
        <w:rPr>
          <w:rFonts w:hint="default" w:ascii="Times New Roman" w:hAnsi="Times New Roman" w:eastAsia="方正小标宋简体" w:cs="Times New Roman"/>
          <w:sz w:val="72"/>
          <w:szCs w:val="72"/>
          <w:lang w:eastAsia="zh-CN"/>
        </w:rPr>
        <w:t>发展和改革局</w:t>
      </w:r>
      <w:r>
        <w:rPr>
          <w:rFonts w:hint="default" w:ascii="Times New Roman" w:hAnsi="Times New Roman" w:eastAsia="方正小标宋简体" w:cs="Times New Roman"/>
          <w:sz w:val="72"/>
          <w:szCs w:val="72"/>
        </w:rPr>
        <w:t>部门决算</w:t>
      </w:r>
      <w:bookmarkEnd w:id="6"/>
      <w:bookmarkEnd w:id="7"/>
      <w:bookmarkEnd w:id="8"/>
      <w:bookmarkEnd w:id="9"/>
      <w:bookmarkEnd w:id="10"/>
      <w:bookmarkEnd w:id="11"/>
      <w:r>
        <w:rPr>
          <w:rFonts w:hint="eastAsia" w:eastAsia="方正小标宋简体" w:cs="Times New Roman"/>
          <w:sz w:val="72"/>
          <w:szCs w:val="72"/>
          <w:lang w:eastAsia="zh-CN"/>
        </w:rPr>
        <w:t>公开</w:t>
      </w:r>
    </w:p>
    <w:p w14:paraId="4C424F12">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490F9F62">
      <w:pPr>
        <w:widowControl/>
        <w:jc w:val="center"/>
        <w:rPr>
          <w:rFonts w:ascii="黑体" w:hAnsi="黑体" w:eastAsia="黑体" w:cstheme="minorBidi"/>
          <w:color w:val="auto"/>
          <w:sz w:val="28"/>
          <w:szCs w:val="28"/>
          <w:highlight w:val="none"/>
        </w:rPr>
      </w:pPr>
    </w:p>
    <w:p w14:paraId="60F150B2">
      <w:pPr>
        <w:pStyle w:val="13"/>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18</w:t>
      </w:r>
      <w:r>
        <w:rPr>
          <w:rFonts w:hint="eastAsia"/>
          <w:color w:val="auto"/>
          <w:highlight w:val="none"/>
        </w:rPr>
        <w:t>日</w:t>
      </w:r>
    </w:p>
    <w:p w14:paraId="0671F107">
      <w:pPr>
        <w:rPr>
          <w:color w:val="auto"/>
          <w:highlight w:val="none"/>
        </w:rPr>
      </w:pPr>
    </w:p>
    <w:sdt>
      <w:sdtPr>
        <w:rPr>
          <w:rFonts w:ascii="宋体" w:hAnsi="宋体" w:eastAsia="宋体" w:cs="Times New Roman"/>
          <w:kern w:val="2"/>
          <w:sz w:val="21"/>
          <w:szCs w:val="24"/>
          <w:lang w:val="en-US" w:eastAsia="zh-CN" w:bidi="ar-SA"/>
        </w:rPr>
        <w:id w:val="147459095"/>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7C2CB2CE">
          <w:pPr>
            <w:spacing w:before="0" w:beforeLines="0" w:after="0" w:afterLines="0" w:line="240" w:lineRule="auto"/>
            <w:ind w:left="0" w:leftChars="0" w:right="0" w:rightChars="0" w:firstLine="0" w:firstLineChars="0"/>
            <w:jc w:val="center"/>
          </w:pPr>
        </w:p>
        <w:p w14:paraId="1ED0577C">
          <w:pPr>
            <w:pStyle w:val="13"/>
            <w:tabs>
              <w:tab w:val="right" w:leader="dot" w:pos="8306"/>
              <w:tab w:val="clear" w:pos="8296"/>
            </w:tabs>
          </w:pPr>
          <w:bookmarkStart w:id="164" w:name="_GoBack"/>
          <w:bookmarkEnd w:id="164"/>
          <w:r>
            <w:fldChar w:fldCharType="begin"/>
          </w:r>
          <w:r>
            <w:instrText xml:space="preserve">TOC \o "1-2" \h \u </w:instrText>
          </w:r>
          <w:r>
            <w:fldChar w:fldCharType="separate"/>
          </w:r>
          <w:r>
            <w:fldChar w:fldCharType="begin"/>
          </w:r>
          <w:r>
            <w:instrText xml:space="preserve"> HYPERLINK \l _Toc26257 </w:instrText>
          </w:r>
          <w:r>
            <w:fldChar w:fldCharType="separate"/>
          </w:r>
          <w:r>
            <w:rPr>
              <w:rFonts w:hint="eastAsia" w:ascii="Times New Roman" w:hAnsi="Times New Roman" w:eastAsia="黑体" w:cs="Times New Roman"/>
            </w:rPr>
            <w:t>第一部分 部门概况</w:t>
          </w:r>
          <w:r>
            <w:tab/>
          </w:r>
          <w:r>
            <w:fldChar w:fldCharType="begin"/>
          </w:r>
          <w:r>
            <w:instrText xml:space="preserve"> PAGEREF _Toc26257 \h </w:instrText>
          </w:r>
          <w:r>
            <w:fldChar w:fldCharType="separate"/>
          </w:r>
          <w:r>
            <w:t>4</w:t>
          </w:r>
          <w:r>
            <w:fldChar w:fldCharType="end"/>
          </w:r>
          <w:r>
            <w:fldChar w:fldCharType="end"/>
          </w:r>
        </w:p>
        <w:p w14:paraId="0CDCCB6E">
          <w:pPr>
            <w:pStyle w:val="15"/>
            <w:tabs>
              <w:tab w:val="right" w:leader="dot" w:pos="8306"/>
              <w:tab w:val="clear" w:pos="8296"/>
            </w:tabs>
          </w:pPr>
          <w:r>
            <w:fldChar w:fldCharType="begin"/>
          </w:r>
          <w:r>
            <w:instrText xml:space="preserve"> HYPERLINK \l _Toc28140 </w:instrText>
          </w:r>
          <w:r>
            <w:fldChar w:fldCharType="separate"/>
          </w:r>
          <w:r>
            <w:rPr>
              <w:rFonts w:hint="eastAsia" w:ascii="Times New Roman" w:hAnsi="Times New Roman" w:eastAsia="黑体" w:cs="Times New Roman"/>
              <w:lang w:val="en-US" w:eastAsia="zh-CN"/>
            </w:rPr>
            <w:t>一、部门职责</w:t>
          </w:r>
          <w:r>
            <w:tab/>
          </w:r>
          <w:r>
            <w:fldChar w:fldCharType="begin"/>
          </w:r>
          <w:r>
            <w:instrText xml:space="preserve"> PAGEREF _Toc28140 \h </w:instrText>
          </w:r>
          <w:r>
            <w:fldChar w:fldCharType="separate"/>
          </w:r>
          <w:r>
            <w:t>4</w:t>
          </w:r>
          <w:r>
            <w:fldChar w:fldCharType="end"/>
          </w:r>
          <w:r>
            <w:fldChar w:fldCharType="end"/>
          </w:r>
        </w:p>
        <w:p w14:paraId="2B3AC2D2">
          <w:pPr>
            <w:pStyle w:val="15"/>
            <w:tabs>
              <w:tab w:val="right" w:leader="dot" w:pos="8306"/>
              <w:tab w:val="clear" w:pos="8296"/>
            </w:tabs>
          </w:pPr>
          <w:r>
            <w:fldChar w:fldCharType="begin"/>
          </w:r>
          <w:r>
            <w:instrText xml:space="preserve"> HYPERLINK \l _Toc29979 </w:instrText>
          </w:r>
          <w:r>
            <w:fldChar w:fldCharType="separate"/>
          </w:r>
          <w:r>
            <w:rPr>
              <w:rFonts w:hint="eastAsia" w:ascii="Times New Roman" w:hAnsi="Times New Roman" w:eastAsia="黑体" w:cs="Times New Roman"/>
              <w:lang w:val="zh-CN" w:eastAsia="zh-CN"/>
            </w:rPr>
            <w:t>二、机构设置</w:t>
          </w:r>
          <w:r>
            <w:tab/>
          </w:r>
          <w:r>
            <w:fldChar w:fldCharType="begin"/>
          </w:r>
          <w:r>
            <w:instrText xml:space="preserve"> PAGEREF _Toc29979 \h </w:instrText>
          </w:r>
          <w:r>
            <w:fldChar w:fldCharType="separate"/>
          </w:r>
          <w:r>
            <w:t>6</w:t>
          </w:r>
          <w:r>
            <w:fldChar w:fldCharType="end"/>
          </w:r>
          <w:r>
            <w:fldChar w:fldCharType="end"/>
          </w:r>
        </w:p>
        <w:p w14:paraId="19709B68">
          <w:pPr>
            <w:pStyle w:val="13"/>
            <w:tabs>
              <w:tab w:val="right" w:leader="dot" w:pos="8306"/>
              <w:tab w:val="clear" w:pos="8296"/>
            </w:tabs>
          </w:pPr>
          <w:r>
            <w:fldChar w:fldCharType="begin"/>
          </w:r>
          <w:r>
            <w:instrText xml:space="preserve"> HYPERLINK \l _Toc8000 </w:instrText>
          </w:r>
          <w:r>
            <w:fldChar w:fldCharType="separate"/>
          </w:r>
          <w:r>
            <w:rPr>
              <w:rFonts w:hint="eastAsia" w:eastAsia="黑体"/>
              <w:bCs w:val="0"/>
              <w:lang w:val="zh-CN" w:eastAsia="zh-CN" w:bidi="ar-SA"/>
            </w:rPr>
            <w:t xml:space="preserve">第二部分 </w:t>
          </w:r>
          <w:r>
            <w:rPr>
              <w:rFonts w:hint="eastAsia" w:eastAsia="黑体"/>
              <w:bCs w:val="0"/>
              <w:lang w:val="en-US" w:eastAsia="zh-CN" w:bidi="ar-SA"/>
            </w:rPr>
            <w:t>2022年度</w:t>
          </w:r>
          <w:r>
            <w:rPr>
              <w:rFonts w:hint="eastAsia" w:eastAsia="黑体"/>
              <w:bCs w:val="0"/>
              <w:lang w:val="zh-CN" w:eastAsia="zh-CN" w:bidi="ar-SA"/>
            </w:rPr>
            <w:t>部门决算情况说明</w:t>
          </w:r>
          <w:r>
            <w:tab/>
          </w:r>
          <w:r>
            <w:fldChar w:fldCharType="begin"/>
          </w:r>
          <w:r>
            <w:instrText xml:space="preserve"> PAGEREF _Toc8000 \h </w:instrText>
          </w:r>
          <w:r>
            <w:fldChar w:fldCharType="separate"/>
          </w:r>
          <w:r>
            <w:t>7</w:t>
          </w:r>
          <w:r>
            <w:fldChar w:fldCharType="end"/>
          </w:r>
          <w:r>
            <w:fldChar w:fldCharType="end"/>
          </w:r>
        </w:p>
        <w:p w14:paraId="1E36F72F">
          <w:pPr>
            <w:pStyle w:val="15"/>
            <w:tabs>
              <w:tab w:val="right" w:leader="dot" w:pos="8306"/>
              <w:tab w:val="clear" w:pos="8296"/>
            </w:tabs>
          </w:pPr>
          <w:r>
            <w:fldChar w:fldCharType="begin"/>
          </w:r>
          <w:r>
            <w:instrText xml:space="preserve"> HYPERLINK \l _Toc23400 </w:instrText>
          </w:r>
          <w:r>
            <w:fldChar w:fldCharType="separate"/>
          </w:r>
          <w:r>
            <w:rPr>
              <w:rFonts w:hint="default" w:ascii="Times New Roman" w:hAnsi="Times New Roman" w:eastAsia="黑体" w:cs="Times New Roman"/>
              <w:szCs w:val="32"/>
            </w:rPr>
            <w:t xml:space="preserve">一、 </w:t>
          </w:r>
          <w:r>
            <w:rPr>
              <w:rFonts w:hint="eastAsia" w:ascii="Times New Roman" w:hAnsi="Times New Roman" w:eastAsia="黑体" w:cs="Times New Roman"/>
              <w:szCs w:val="32"/>
            </w:rPr>
            <w:t>收入支出决算总体情况说明</w:t>
          </w:r>
          <w:r>
            <w:tab/>
          </w:r>
          <w:r>
            <w:fldChar w:fldCharType="begin"/>
          </w:r>
          <w:r>
            <w:instrText xml:space="preserve"> PAGEREF _Toc23400 \h </w:instrText>
          </w:r>
          <w:r>
            <w:fldChar w:fldCharType="separate"/>
          </w:r>
          <w:r>
            <w:t>7</w:t>
          </w:r>
          <w:r>
            <w:fldChar w:fldCharType="end"/>
          </w:r>
          <w:r>
            <w:fldChar w:fldCharType="end"/>
          </w:r>
        </w:p>
        <w:p w14:paraId="50DF99A7">
          <w:pPr>
            <w:pStyle w:val="15"/>
            <w:tabs>
              <w:tab w:val="right" w:leader="dot" w:pos="8306"/>
              <w:tab w:val="clear" w:pos="8296"/>
            </w:tabs>
          </w:pPr>
          <w:r>
            <w:fldChar w:fldCharType="begin"/>
          </w:r>
          <w:r>
            <w:instrText xml:space="preserve"> HYPERLINK \l _Toc18969 </w:instrText>
          </w:r>
          <w: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_Toc18969 \h </w:instrText>
          </w:r>
          <w:r>
            <w:fldChar w:fldCharType="separate"/>
          </w:r>
          <w:r>
            <w:t>7</w:t>
          </w:r>
          <w:r>
            <w:fldChar w:fldCharType="end"/>
          </w:r>
          <w:r>
            <w:fldChar w:fldCharType="end"/>
          </w:r>
        </w:p>
        <w:p w14:paraId="04985CEE">
          <w:pPr>
            <w:pStyle w:val="15"/>
            <w:tabs>
              <w:tab w:val="right" w:leader="dot" w:pos="8306"/>
              <w:tab w:val="clear" w:pos="8296"/>
            </w:tabs>
          </w:pPr>
          <w:r>
            <w:fldChar w:fldCharType="begin"/>
          </w:r>
          <w:r>
            <w:instrText xml:space="preserve"> HYPERLINK \l _Toc23486 </w:instrText>
          </w:r>
          <w:r>
            <w:fldChar w:fldCharType="separate"/>
          </w:r>
          <w:r>
            <w:rPr>
              <w:rFonts w:hint="eastAsia" w:ascii="黑体" w:hAnsi="黑体" w:eastAsia="黑体" w:cs="Times New Roman"/>
              <w:szCs w:val="32"/>
              <w:highlight w:val="none"/>
              <w:lang w:eastAsia="zh-CN"/>
            </w:rPr>
            <w:t>三、</w:t>
          </w:r>
          <w:r>
            <w:rPr>
              <w:rFonts w:hint="eastAsia" w:ascii="黑体" w:hAnsi="黑体" w:eastAsia="黑体" w:cs="Times New Roman"/>
              <w:szCs w:val="32"/>
              <w:highlight w:val="none"/>
            </w:rPr>
            <w:t>支出决算情况说明</w:t>
          </w:r>
          <w:r>
            <w:tab/>
          </w:r>
          <w:r>
            <w:fldChar w:fldCharType="begin"/>
          </w:r>
          <w:r>
            <w:instrText xml:space="preserve"> PAGEREF _Toc23486 \h </w:instrText>
          </w:r>
          <w:r>
            <w:fldChar w:fldCharType="separate"/>
          </w:r>
          <w:r>
            <w:t>8</w:t>
          </w:r>
          <w:r>
            <w:fldChar w:fldCharType="end"/>
          </w:r>
          <w:r>
            <w:fldChar w:fldCharType="end"/>
          </w:r>
        </w:p>
        <w:p w14:paraId="51A589FE">
          <w:pPr>
            <w:pStyle w:val="15"/>
            <w:tabs>
              <w:tab w:val="right" w:leader="dot" w:pos="8306"/>
              <w:tab w:val="clear" w:pos="8296"/>
            </w:tabs>
          </w:pPr>
          <w:r>
            <w:fldChar w:fldCharType="begin"/>
          </w:r>
          <w:r>
            <w:instrText xml:space="preserve"> HYPERLINK \l _Toc30743 </w:instrText>
          </w:r>
          <w:r>
            <w:fldChar w:fldCharType="separate"/>
          </w:r>
          <w:r>
            <w:rPr>
              <w:rFonts w:hint="eastAsia" w:ascii="黑体" w:hAnsi="黑体" w:eastAsia="黑体" w:cs="Times New Roman"/>
              <w:szCs w:val="32"/>
              <w:highlight w:val="none"/>
            </w:rPr>
            <w:t>四、财政拨款收入支出决算总体情况说明</w:t>
          </w:r>
          <w:r>
            <w:tab/>
          </w:r>
          <w:r>
            <w:fldChar w:fldCharType="begin"/>
          </w:r>
          <w:r>
            <w:instrText xml:space="preserve"> PAGEREF _Toc30743 \h </w:instrText>
          </w:r>
          <w:r>
            <w:fldChar w:fldCharType="separate"/>
          </w:r>
          <w:r>
            <w:t>9</w:t>
          </w:r>
          <w:r>
            <w:fldChar w:fldCharType="end"/>
          </w:r>
          <w:r>
            <w:fldChar w:fldCharType="end"/>
          </w:r>
        </w:p>
        <w:p w14:paraId="09A41FB9">
          <w:pPr>
            <w:pStyle w:val="15"/>
            <w:tabs>
              <w:tab w:val="right" w:leader="dot" w:pos="8306"/>
              <w:tab w:val="clear" w:pos="8296"/>
            </w:tabs>
          </w:pPr>
          <w:r>
            <w:fldChar w:fldCharType="begin"/>
          </w:r>
          <w:r>
            <w:instrText xml:space="preserve"> HYPERLINK \l _Toc12258 </w:instrText>
          </w:r>
          <w:r>
            <w:fldChar w:fldCharType="separate"/>
          </w:r>
          <w:r>
            <w:rPr>
              <w:rFonts w:hint="eastAsia" w:ascii="黑体" w:hAnsi="黑体" w:eastAsia="黑体" w:cs="Times New Roman"/>
              <w:szCs w:val="32"/>
              <w:highlight w:val="none"/>
            </w:rPr>
            <w:t>五、一般公共预算财政拨款支出决算情况说明</w:t>
          </w:r>
          <w:r>
            <w:tab/>
          </w:r>
          <w:r>
            <w:fldChar w:fldCharType="begin"/>
          </w:r>
          <w:r>
            <w:instrText xml:space="preserve"> PAGEREF _Toc12258 \h </w:instrText>
          </w:r>
          <w:r>
            <w:fldChar w:fldCharType="separate"/>
          </w:r>
          <w:r>
            <w:t>9</w:t>
          </w:r>
          <w:r>
            <w:fldChar w:fldCharType="end"/>
          </w:r>
          <w:r>
            <w:fldChar w:fldCharType="end"/>
          </w:r>
        </w:p>
        <w:p w14:paraId="04E5A1C2">
          <w:pPr>
            <w:pStyle w:val="15"/>
            <w:tabs>
              <w:tab w:val="right" w:leader="dot" w:pos="8306"/>
              <w:tab w:val="clear" w:pos="8296"/>
            </w:tabs>
          </w:pPr>
          <w:r>
            <w:fldChar w:fldCharType="begin"/>
          </w:r>
          <w:r>
            <w:instrText xml:space="preserve"> HYPERLINK \l _Toc8174 </w:instrText>
          </w:r>
          <w:r>
            <w:fldChar w:fldCharType="separate"/>
          </w:r>
          <w:r>
            <w:rPr>
              <w:rFonts w:hint="eastAsia" w:ascii="Times New Roman" w:hAnsi="Times New Roman" w:eastAsia="黑体" w:cs="Times New Roman"/>
            </w:rPr>
            <w:t>六、一般公共预算财政拨款基本支出决算情况说明</w:t>
          </w:r>
          <w:r>
            <w:tab/>
          </w:r>
          <w:r>
            <w:fldChar w:fldCharType="begin"/>
          </w:r>
          <w:r>
            <w:instrText xml:space="preserve"> PAGEREF _Toc8174 \h </w:instrText>
          </w:r>
          <w:r>
            <w:fldChar w:fldCharType="separate"/>
          </w:r>
          <w:r>
            <w:t>13</w:t>
          </w:r>
          <w:r>
            <w:fldChar w:fldCharType="end"/>
          </w:r>
          <w:r>
            <w:fldChar w:fldCharType="end"/>
          </w:r>
        </w:p>
        <w:p w14:paraId="3ACBCCD4">
          <w:pPr>
            <w:pStyle w:val="15"/>
            <w:tabs>
              <w:tab w:val="right" w:leader="dot" w:pos="8306"/>
              <w:tab w:val="clear" w:pos="8296"/>
            </w:tabs>
          </w:pPr>
          <w:r>
            <w:fldChar w:fldCharType="begin"/>
          </w:r>
          <w:r>
            <w:instrText xml:space="preserve"> HYPERLINK \l _Toc4021 </w:instrText>
          </w:r>
          <w:r>
            <w:fldChar w:fldCharType="separate"/>
          </w:r>
          <w:r>
            <w:rPr>
              <w:rFonts w:hint="eastAsia" w:ascii="Times New Roman" w:hAnsi="Times New Roman" w:eastAsia="黑体" w:cs="Times New Roman"/>
            </w:rPr>
            <w:t>七、财政拨款“三公”经费支出决算情况说明</w:t>
          </w:r>
          <w:r>
            <w:tab/>
          </w:r>
          <w:r>
            <w:fldChar w:fldCharType="begin"/>
          </w:r>
          <w:r>
            <w:instrText xml:space="preserve"> PAGEREF _Toc4021 \h </w:instrText>
          </w:r>
          <w:r>
            <w:fldChar w:fldCharType="separate"/>
          </w:r>
          <w:r>
            <w:t>13</w:t>
          </w:r>
          <w:r>
            <w:fldChar w:fldCharType="end"/>
          </w:r>
          <w:r>
            <w:fldChar w:fldCharType="end"/>
          </w:r>
        </w:p>
        <w:p w14:paraId="7FCC6B7A">
          <w:pPr>
            <w:pStyle w:val="15"/>
            <w:tabs>
              <w:tab w:val="right" w:leader="dot" w:pos="8306"/>
              <w:tab w:val="clear" w:pos="8296"/>
            </w:tabs>
          </w:pPr>
          <w:r>
            <w:fldChar w:fldCharType="begin"/>
          </w:r>
          <w:r>
            <w:instrText xml:space="preserve"> HYPERLINK \l _Toc11786 </w:instrText>
          </w:r>
          <w:r>
            <w:fldChar w:fldCharType="separate"/>
          </w:r>
          <w:r>
            <w:rPr>
              <w:rFonts w:hint="eastAsia" w:ascii="Times New Roman" w:hAnsi="Times New Roman" w:eastAsia="黑体" w:cs="Times New Roman"/>
            </w:rPr>
            <w:t>八、政府性基金预算支出决算情况说明</w:t>
          </w:r>
          <w:r>
            <w:tab/>
          </w:r>
          <w:r>
            <w:fldChar w:fldCharType="begin"/>
          </w:r>
          <w:r>
            <w:instrText xml:space="preserve"> PAGEREF _Toc11786 \h </w:instrText>
          </w:r>
          <w:r>
            <w:fldChar w:fldCharType="separate"/>
          </w:r>
          <w:r>
            <w:t>15</w:t>
          </w:r>
          <w:r>
            <w:fldChar w:fldCharType="end"/>
          </w:r>
          <w:r>
            <w:fldChar w:fldCharType="end"/>
          </w:r>
        </w:p>
        <w:p w14:paraId="57726CEF">
          <w:pPr>
            <w:pStyle w:val="15"/>
            <w:tabs>
              <w:tab w:val="right" w:leader="dot" w:pos="8306"/>
              <w:tab w:val="clear" w:pos="8296"/>
            </w:tabs>
          </w:pPr>
          <w:r>
            <w:fldChar w:fldCharType="begin"/>
          </w:r>
          <w:r>
            <w:instrText xml:space="preserve"> HYPERLINK \l _Toc16829 </w:instrText>
          </w:r>
          <w:r>
            <w:fldChar w:fldCharType="separate"/>
          </w:r>
          <w:r>
            <w:rPr>
              <w:rFonts w:hint="eastAsia" w:ascii="Times New Roman" w:hAnsi="Times New Roman" w:eastAsia="黑体" w:cs="Times New Roman"/>
              <w:lang w:eastAsia="zh-CN"/>
            </w:rPr>
            <w:t>九、</w:t>
          </w:r>
          <w:r>
            <w:rPr>
              <w:rFonts w:hint="eastAsia" w:ascii="Times New Roman" w:hAnsi="Times New Roman" w:eastAsia="黑体" w:cs="Times New Roman"/>
            </w:rPr>
            <w:t>国有资本经营预算支出决算情况说明</w:t>
          </w:r>
          <w:r>
            <w:tab/>
          </w:r>
          <w:r>
            <w:fldChar w:fldCharType="begin"/>
          </w:r>
          <w:r>
            <w:instrText xml:space="preserve"> PAGEREF _Toc16829 \h </w:instrText>
          </w:r>
          <w:r>
            <w:fldChar w:fldCharType="separate"/>
          </w:r>
          <w:r>
            <w:t>15</w:t>
          </w:r>
          <w:r>
            <w:fldChar w:fldCharType="end"/>
          </w:r>
          <w:r>
            <w:fldChar w:fldCharType="end"/>
          </w:r>
        </w:p>
        <w:p w14:paraId="4E2372C1">
          <w:pPr>
            <w:pStyle w:val="15"/>
            <w:tabs>
              <w:tab w:val="right" w:leader="dot" w:pos="8306"/>
              <w:tab w:val="clear" w:pos="8296"/>
            </w:tabs>
          </w:pPr>
          <w:r>
            <w:fldChar w:fldCharType="begin"/>
          </w:r>
          <w:r>
            <w:instrText xml:space="preserve"> HYPERLINK \l _Toc21374 </w:instrText>
          </w:r>
          <w:r>
            <w:fldChar w:fldCharType="separate"/>
          </w:r>
          <w:r>
            <w:rPr>
              <w:rFonts w:hint="eastAsia" w:ascii="Times New Roman" w:hAnsi="Times New Roman" w:eastAsia="黑体" w:cs="Times New Roman"/>
              <w:lang w:eastAsia="zh-CN"/>
            </w:rPr>
            <w:t>十、其他重要事项的情况说明</w:t>
          </w:r>
          <w:r>
            <w:tab/>
          </w:r>
          <w:r>
            <w:fldChar w:fldCharType="begin"/>
          </w:r>
          <w:r>
            <w:instrText xml:space="preserve"> PAGEREF _Toc21374 \h </w:instrText>
          </w:r>
          <w:r>
            <w:fldChar w:fldCharType="separate"/>
          </w:r>
          <w:r>
            <w:t>16</w:t>
          </w:r>
          <w:r>
            <w:fldChar w:fldCharType="end"/>
          </w:r>
          <w:r>
            <w:fldChar w:fldCharType="end"/>
          </w:r>
        </w:p>
        <w:p w14:paraId="59F87DF0">
          <w:pPr>
            <w:pStyle w:val="13"/>
            <w:tabs>
              <w:tab w:val="right" w:leader="dot" w:pos="8306"/>
              <w:tab w:val="clear" w:pos="8296"/>
            </w:tabs>
          </w:pPr>
          <w:r>
            <w:fldChar w:fldCharType="begin"/>
          </w:r>
          <w:r>
            <w:instrText xml:space="preserve"> HYPERLINK \l _Toc11481 </w:instrText>
          </w:r>
          <w:r>
            <w:fldChar w:fldCharType="separate"/>
          </w:r>
          <w:r>
            <w:rPr>
              <w:rFonts w:hint="eastAsia" w:eastAsia="黑体" w:cs="Times New Roman"/>
              <w:szCs w:val="44"/>
              <w:lang w:val="en-US" w:eastAsia="zh-CN"/>
            </w:rPr>
            <w:t xml:space="preserve">第三部分  </w:t>
          </w:r>
          <w:r>
            <w:rPr>
              <w:rFonts w:hint="eastAsia" w:ascii="Times New Roman" w:hAnsi="Times New Roman" w:eastAsia="黑体" w:cs="Times New Roman"/>
              <w:szCs w:val="44"/>
            </w:rPr>
            <w:t>名词解释</w:t>
          </w:r>
          <w:r>
            <w:tab/>
          </w:r>
          <w:r>
            <w:fldChar w:fldCharType="begin"/>
          </w:r>
          <w:r>
            <w:instrText xml:space="preserve"> PAGEREF _Toc11481 \h </w:instrText>
          </w:r>
          <w:r>
            <w:fldChar w:fldCharType="separate"/>
          </w:r>
          <w:r>
            <w:t>17</w:t>
          </w:r>
          <w:r>
            <w:fldChar w:fldCharType="end"/>
          </w:r>
          <w:r>
            <w:fldChar w:fldCharType="end"/>
          </w:r>
        </w:p>
        <w:p w14:paraId="1135FB84">
          <w:pPr>
            <w:pStyle w:val="15"/>
            <w:tabs>
              <w:tab w:val="right" w:leader="dot" w:pos="8306"/>
              <w:tab w:val="clear" w:pos="8296"/>
            </w:tabs>
          </w:pPr>
          <w:r>
            <w:fldChar w:fldCharType="begin"/>
          </w:r>
          <w:r>
            <w:instrText xml:space="preserve"> HYPERLINK \l _Toc21857 </w:instrText>
          </w:r>
          <w:r>
            <w:fldChar w:fldCharType="separate"/>
          </w:r>
          <w:r>
            <w:rPr>
              <w:rFonts w:hint="default" w:ascii="Times New Roman" w:hAnsi="Times New Roman" w:eastAsia="仿宋_GB2312" w:cs="Times New Roman"/>
              <w:szCs w:val="32"/>
            </w:rPr>
            <w:t>1.财政拨款收入：指单位从同级财政部门取得的财政预算资金。</w:t>
          </w:r>
          <w:r>
            <w:tab/>
          </w:r>
          <w:r>
            <w:fldChar w:fldCharType="begin"/>
          </w:r>
          <w:r>
            <w:instrText xml:space="preserve"> PAGEREF _Toc21857 \h </w:instrText>
          </w:r>
          <w:r>
            <w:fldChar w:fldCharType="separate"/>
          </w:r>
          <w:r>
            <w:t>17</w:t>
          </w:r>
          <w:r>
            <w:fldChar w:fldCharType="end"/>
          </w:r>
          <w:r>
            <w:fldChar w:fldCharType="end"/>
          </w:r>
        </w:p>
        <w:p w14:paraId="1BF54EA7">
          <w:pPr>
            <w:pStyle w:val="15"/>
            <w:tabs>
              <w:tab w:val="right" w:leader="dot" w:pos="8306"/>
              <w:tab w:val="clear" w:pos="8296"/>
            </w:tabs>
          </w:pPr>
          <w:r>
            <w:fldChar w:fldCharType="begin"/>
          </w:r>
          <w:r>
            <w:instrText xml:space="preserve"> HYPERLINK \l _Toc23729 </w:instrText>
          </w:r>
          <w:r>
            <w:fldChar w:fldCharType="separate"/>
          </w:r>
          <w:r>
            <w:rPr>
              <w:rFonts w:hint="default" w:ascii="Times New Roman" w:hAnsi="Times New Roman" w:eastAsia="仿宋_GB2312" w:cs="Times New Roman"/>
              <w:szCs w:val="32"/>
            </w:rPr>
            <w:t>4.其他收入：指单位取得的除上述收入以外的各项收入。</w:t>
          </w:r>
          <w:r>
            <w:tab/>
          </w:r>
          <w:r>
            <w:fldChar w:fldCharType="begin"/>
          </w:r>
          <w:r>
            <w:instrText xml:space="preserve"> PAGEREF _Toc23729 \h </w:instrText>
          </w:r>
          <w:r>
            <w:fldChar w:fldCharType="separate"/>
          </w:r>
          <w:r>
            <w:t>17</w:t>
          </w:r>
          <w:r>
            <w:fldChar w:fldCharType="end"/>
          </w:r>
          <w:r>
            <w:fldChar w:fldCharType="end"/>
          </w:r>
        </w:p>
        <w:p w14:paraId="5E57763A">
          <w:pPr>
            <w:pStyle w:val="13"/>
            <w:tabs>
              <w:tab w:val="right" w:leader="dot" w:pos="8306"/>
              <w:tab w:val="clear" w:pos="8296"/>
            </w:tabs>
          </w:pPr>
          <w:r>
            <w:fldChar w:fldCharType="begin"/>
          </w:r>
          <w:r>
            <w:instrText xml:space="preserve"> HYPERLINK \l _Toc10234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_Toc10234 \h </w:instrText>
          </w:r>
          <w:r>
            <w:fldChar w:fldCharType="separate"/>
          </w:r>
          <w:r>
            <w:t>20</w:t>
          </w:r>
          <w:r>
            <w:fldChar w:fldCharType="end"/>
          </w:r>
          <w:r>
            <w:fldChar w:fldCharType="end"/>
          </w:r>
        </w:p>
        <w:p w14:paraId="682C91B3">
          <w:pPr>
            <w:pStyle w:val="15"/>
            <w:tabs>
              <w:tab w:val="right" w:leader="dot" w:pos="8306"/>
              <w:tab w:val="clear" w:pos="8296"/>
            </w:tabs>
          </w:pPr>
          <w:r>
            <w:fldChar w:fldCharType="begin"/>
          </w:r>
          <w:r>
            <w:instrText xml:space="preserve"> HYPERLINK \l _Toc13993 </w:instrText>
          </w:r>
          <w:r>
            <w:fldChar w:fldCharType="separate"/>
          </w:r>
          <w:r>
            <w:rPr>
              <w:rFonts w:hint="eastAsia" w:hAnsi="宋体" w:cs="宋体"/>
              <w:kern w:val="0"/>
              <w:szCs w:val="32"/>
              <w:highlight w:val="none"/>
              <w:shd w:val="clear" w:color="auto" w:fill="FFFFFF"/>
              <w:lang w:val="zh-CN"/>
            </w:rPr>
            <w:t>附件</w:t>
          </w:r>
          <w:r>
            <w:rPr>
              <w:rFonts w:hint="eastAsia" w:hAnsi="宋体" w:cs="宋体"/>
              <w:kern w:val="0"/>
              <w:szCs w:val="32"/>
              <w:highlight w:val="none"/>
              <w:shd w:val="clear" w:color="auto" w:fill="FFFFFF"/>
              <w:lang w:val="en-US" w:eastAsia="zh-CN"/>
            </w:rPr>
            <w:t>1</w:t>
          </w:r>
          <w:r>
            <w:tab/>
          </w:r>
          <w:r>
            <w:fldChar w:fldCharType="begin"/>
          </w:r>
          <w:r>
            <w:instrText xml:space="preserve"> PAGEREF _Toc13993 \h </w:instrText>
          </w:r>
          <w:r>
            <w:fldChar w:fldCharType="separate"/>
          </w:r>
          <w:r>
            <w:t>20</w:t>
          </w:r>
          <w:r>
            <w:fldChar w:fldCharType="end"/>
          </w:r>
          <w:r>
            <w:fldChar w:fldCharType="end"/>
          </w:r>
        </w:p>
        <w:p w14:paraId="736AA2CD">
          <w:pPr>
            <w:pStyle w:val="13"/>
            <w:tabs>
              <w:tab w:val="right" w:leader="dot" w:pos="8306"/>
              <w:tab w:val="clear" w:pos="8296"/>
            </w:tabs>
          </w:pPr>
          <w:r>
            <w:fldChar w:fldCharType="begin"/>
          </w:r>
          <w:r>
            <w:instrText xml:space="preserve"> HYPERLINK \l _Toc15469 </w:instrText>
          </w:r>
          <w:r>
            <w:fldChar w:fldCharType="separate"/>
          </w:r>
          <w:r>
            <w:rPr>
              <w:rFonts w:hint="default" w:ascii="Times New Roman" w:hAnsi="Times New Roman" w:eastAsia="方正小标宋简体" w:cs="Times New Roman"/>
              <w:szCs w:val="44"/>
              <w:lang w:eastAsia="zh-CN"/>
            </w:rPr>
            <w:t>壤塘县发展和改革局</w:t>
          </w:r>
          <w:r>
            <w:rPr>
              <w:rFonts w:hint="default" w:ascii="Times New Roman" w:hAnsi="Times New Roman" w:eastAsia="方正小标宋简体" w:cs="Times New Roman"/>
              <w:szCs w:val="44"/>
            </w:rPr>
            <w:t>部门202</w:t>
          </w:r>
          <w:r>
            <w:rPr>
              <w:rFonts w:hint="default" w:ascii="Times New Roman" w:hAnsi="Times New Roman" w:eastAsia="方正小标宋简体" w:cs="Times New Roman"/>
              <w:szCs w:val="44"/>
              <w:lang w:val="en-US" w:eastAsia="zh-CN"/>
            </w:rPr>
            <w:t>1</w:t>
          </w:r>
          <w:r>
            <w:rPr>
              <w:rFonts w:hint="default" w:ascii="Times New Roman" w:hAnsi="Times New Roman" w:eastAsia="方正小标宋简体" w:cs="Times New Roman"/>
              <w:szCs w:val="44"/>
            </w:rPr>
            <w:t>年部门整体支出绩效评价报告</w:t>
          </w:r>
          <w:r>
            <w:tab/>
          </w:r>
          <w:r>
            <w:fldChar w:fldCharType="begin"/>
          </w:r>
          <w:r>
            <w:instrText xml:space="preserve"> PAGEREF _Toc15469 \h </w:instrText>
          </w:r>
          <w:r>
            <w:fldChar w:fldCharType="separate"/>
          </w:r>
          <w:r>
            <w:t>20</w:t>
          </w:r>
          <w:r>
            <w:fldChar w:fldCharType="end"/>
          </w:r>
          <w:r>
            <w:fldChar w:fldCharType="end"/>
          </w:r>
        </w:p>
        <w:p w14:paraId="40369A72">
          <w:pPr>
            <w:pStyle w:val="15"/>
            <w:tabs>
              <w:tab w:val="right" w:leader="dot" w:pos="8306"/>
              <w:tab w:val="clear" w:pos="8296"/>
            </w:tabs>
          </w:pPr>
          <w:r>
            <w:fldChar w:fldCharType="begin"/>
          </w:r>
          <w:r>
            <w:instrText xml:space="preserve"> HYPERLINK \l _Toc19291 </w:instrText>
          </w:r>
          <w:r>
            <w:fldChar w:fldCharType="separate"/>
          </w:r>
          <w:r>
            <w:rPr>
              <w:rFonts w:hint="eastAsia" w:ascii="黑体" w:hAnsi="宋体" w:eastAsia="黑体" w:cs="宋体"/>
              <w:kern w:val="0"/>
              <w:szCs w:val="32"/>
              <w:highlight w:val="none"/>
              <w:shd w:val="clear" w:color="auto" w:fill="FFFFFF"/>
              <w:lang w:val="zh-CN"/>
            </w:rPr>
            <w:t>一、部门（单位）基本情况</w:t>
          </w:r>
          <w:r>
            <w:tab/>
          </w:r>
          <w:r>
            <w:fldChar w:fldCharType="begin"/>
          </w:r>
          <w:r>
            <w:instrText xml:space="preserve"> PAGEREF _Toc19291 \h </w:instrText>
          </w:r>
          <w:r>
            <w:fldChar w:fldCharType="separate"/>
          </w:r>
          <w:r>
            <w:t>20</w:t>
          </w:r>
          <w:r>
            <w:fldChar w:fldCharType="end"/>
          </w:r>
          <w:r>
            <w:fldChar w:fldCharType="end"/>
          </w:r>
        </w:p>
        <w:p w14:paraId="4B59BB43">
          <w:pPr>
            <w:pStyle w:val="15"/>
            <w:tabs>
              <w:tab w:val="right" w:leader="dot" w:pos="8306"/>
              <w:tab w:val="clear" w:pos="8296"/>
            </w:tabs>
          </w:pPr>
          <w:r>
            <w:fldChar w:fldCharType="begin"/>
          </w:r>
          <w:r>
            <w:instrText xml:space="preserve"> HYPERLINK \l _Toc23761 </w:instrText>
          </w:r>
          <w:r>
            <w:fldChar w:fldCharType="separate"/>
          </w:r>
          <w:r>
            <w:rPr>
              <w:rFonts w:hint="eastAsia" w:ascii="黑体" w:hAnsi="宋体" w:eastAsia="黑体" w:cs="宋体"/>
              <w:kern w:val="0"/>
              <w:szCs w:val="32"/>
              <w:shd w:val="clear" w:fill="FFFFFF"/>
            </w:rPr>
            <w:t xml:space="preserve">一、 </w:t>
          </w:r>
          <w:r>
            <w:rPr>
              <w:rFonts w:hint="eastAsia" w:ascii="黑体" w:hAnsi="宋体" w:eastAsia="黑体" w:cs="宋体"/>
              <w:kern w:val="0"/>
              <w:szCs w:val="32"/>
              <w:highlight w:val="none"/>
              <w:shd w:val="clear" w:color="auto" w:fill="FFFFFF"/>
              <w:lang w:eastAsia="zh-CN"/>
            </w:rPr>
            <w:t>部门</w:t>
          </w:r>
          <w:r>
            <w:rPr>
              <w:rFonts w:hint="eastAsia" w:ascii="黑体" w:hAnsi="宋体" w:eastAsia="黑体" w:cs="宋体"/>
              <w:kern w:val="0"/>
              <w:szCs w:val="32"/>
              <w:highlight w:val="none"/>
              <w:shd w:val="clear" w:color="auto" w:fill="FFFFFF"/>
            </w:rPr>
            <w:t>资金收支情况</w:t>
          </w:r>
          <w:r>
            <w:tab/>
          </w:r>
          <w:r>
            <w:fldChar w:fldCharType="begin"/>
          </w:r>
          <w:r>
            <w:instrText xml:space="preserve"> PAGEREF _Toc23761 \h </w:instrText>
          </w:r>
          <w:r>
            <w:fldChar w:fldCharType="separate"/>
          </w:r>
          <w:r>
            <w:t>24</w:t>
          </w:r>
          <w:r>
            <w:fldChar w:fldCharType="end"/>
          </w:r>
          <w:r>
            <w:fldChar w:fldCharType="end"/>
          </w:r>
        </w:p>
        <w:p w14:paraId="0734AFD6">
          <w:pPr>
            <w:pStyle w:val="15"/>
            <w:tabs>
              <w:tab w:val="right" w:leader="dot" w:pos="8306"/>
              <w:tab w:val="clear" w:pos="8296"/>
            </w:tabs>
          </w:pPr>
          <w:r>
            <w:fldChar w:fldCharType="begin"/>
          </w:r>
          <w:r>
            <w:instrText xml:space="preserve"> HYPERLINK \l _Toc20705 </w:instrText>
          </w:r>
          <w:r>
            <w:fldChar w:fldCharType="separate"/>
          </w:r>
          <w:r>
            <w:rPr>
              <w:rFonts w:hint="eastAsia" w:ascii="黑体" w:hAnsi="宋体" w:eastAsia="黑体" w:cs="宋体"/>
              <w:kern w:val="0"/>
              <w:szCs w:val="32"/>
              <w:shd w:val="clear" w:fill="FFFFFF"/>
              <w:lang w:eastAsia="zh-CN"/>
            </w:rPr>
            <w:t xml:space="preserve">二、 </w:t>
          </w:r>
          <w:r>
            <w:rPr>
              <w:rFonts w:hint="eastAsia" w:ascii="黑体" w:hAnsi="宋体" w:eastAsia="黑体" w:cs="宋体"/>
              <w:kern w:val="0"/>
              <w:szCs w:val="32"/>
              <w:highlight w:val="none"/>
              <w:shd w:val="clear" w:color="auto" w:fill="FFFFFF"/>
            </w:rPr>
            <w:t>部门整体绩效</w:t>
          </w:r>
          <w:r>
            <w:rPr>
              <w:rFonts w:hint="eastAsia" w:ascii="黑体" w:hAnsi="宋体" w:eastAsia="黑体" w:cs="宋体"/>
              <w:kern w:val="0"/>
              <w:szCs w:val="32"/>
              <w:highlight w:val="none"/>
              <w:shd w:val="clear" w:color="auto" w:fill="FFFFFF"/>
              <w:lang w:eastAsia="zh-CN"/>
            </w:rPr>
            <w:t>分析</w:t>
          </w:r>
          <w:r>
            <w:tab/>
          </w:r>
          <w:r>
            <w:fldChar w:fldCharType="begin"/>
          </w:r>
          <w:r>
            <w:instrText xml:space="preserve"> PAGEREF _Toc20705 \h </w:instrText>
          </w:r>
          <w:r>
            <w:fldChar w:fldCharType="separate"/>
          </w:r>
          <w:r>
            <w:t>24</w:t>
          </w:r>
          <w:r>
            <w:fldChar w:fldCharType="end"/>
          </w:r>
          <w:r>
            <w:fldChar w:fldCharType="end"/>
          </w:r>
        </w:p>
        <w:p w14:paraId="0A7C4B54">
          <w:pPr>
            <w:pStyle w:val="15"/>
            <w:tabs>
              <w:tab w:val="right" w:leader="dot" w:pos="8306"/>
              <w:tab w:val="clear" w:pos="8296"/>
            </w:tabs>
          </w:pPr>
          <w:r>
            <w:fldChar w:fldCharType="begin"/>
          </w:r>
          <w:r>
            <w:instrText xml:space="preserve"> HYPERLINK \l _Toc4553 </w:instrText>
          </w:r>
          <w:r>
            <w:fldChar w:fldCharType="separate"/>
          </w:r>
          <w:r>
            <w:rPr>
              <w:rFonts w:hint="eastAsia" w:ascii="楷体_GB2312" w:hAnsi="楷体_GB2312" w:eastAsia="楷体_GB2312" w:cs="楷体_GB2312"/>
              <w:bCs/>
              <w:kern w:val="0"/>
              <w:szCs w:val="32"/>
              <w:shd w:val="clear" w:fill="FFFFFF"/>
              <w:lang w:val="zh-CN"/>
            </w:rPr>
            <w:t xml:space="preserve">三、 </w:t>
          </w:r>
          <w:r>
            <w:rPr>
              <w:rFonts w:hint="eastAsia" w:ascii="黑体" w:hAnsi="宋体" w:eastAsia="黑体" w:cs="宋体"/>
              <w:kern w:val="0"/>
              <w:szCs w:val="32"/>
              <w:highlight w:val="none"/>
              <w:shd w:val="clear" w:color="auto" w:fill="FFFFFF"/>
            </w:rPr>
            <w:t>评价结论及建议</w:t>
          </w:r>
          <w:r>
            <w:tab/>
          </w:r>
          <w:r>
            <w:fldChar w:fldCharType="begin"/>
          </w:r>
          <w:r>
            <w:instrText xml:space="preserve"> PAGEREF _Toc4553 \h </w:instrText>
          </w:r>
          <w:r>
            <w:fldChar w:fldCharType="separate"/>
          </w:r>
          <w:r>
            <w:t>28</w:t>
          </w:r>
          <w:r>
            <w:fldChar w:fldCharType="end"/>
          </w:r>
          <w:r>
            <w:fldChar w:fldCharType="end"/>
          </w:r>
        </w:p>
        <w:p w14:paraId="3D7DF4D1">
          <w:pPr>
            <w:pStyle w:val="15"/>
            <w:tabs>
              <w:tab w:val="right" w:leader="dot" w:pos="8306"/>
              <w:tab w:val="clear" w:pos="8296"/>
            </w:tabs>
          </w:pPr>
          <w:r>
            <w:fldChar w:fldCharType="begin"/>
          </w:r>
          <w:r>
            <w:instrText xml:space="preserve"> HYPERLINK \l _Toc29818 </w:instrText>
          </w:r>
          <w:r>
            <w:fldChar w:fldCharType="separate"/>
          </w:r>
          <w:r>
            <w:rPr>
              <w:rFonts w:hint="eastAsia" w:ascii="仿宋_GB2312" w:hAnsi="仿宋_GB2312" w:eastAsia="仿宋_GB2312" w:cs="仿宋_GB2312"/>
              <w:szCs w:val="32"/>
              <w:highlight w:val="none"/>
              <w:lang w:val="zh-CN" w:eastAsia="zh-CN"/>
            </w:rPr>
            <w:t>附表：</w:t>
          </w:r>
          <w:r>
            <w:rPr>
              <w:rFonts w:hint="eastAsia" w:ascii="仿宋_GB2312" w:hAnsi="仿宋_GB2312" w:eastAsia="仿宋_GB2312" w:cs="仿宋_GB2312"/>
              <w:szCs w:val="32"/>
              <w:highlight w:val="none"/>
              <w:lang w:val="en-US" w:eastAsia="zh-CN"/>
            </w:rPr>
            <w:t>部门预算项目支出绩效自评表（2022年度）</w:t>
          </w:r>
          <w:r>
            <w:tab/>
          </w:r>
          <w:r>
            <w:fldChar w:fldCharType="begin"/>
          </w:r>
          <w:r>
            <w:instrText xml:space="preserve"> PAGEREF _Toc29818 \h </w:instrText>
          </w:r>
          <w:r>
            <w:fldChar w:fldCharType="separate"/>
          </w:r>
          <w:r>
            <w:t>29</w:t>
          </w:r>
          <w:r>
            <w:fldChar w:fldCharType="end"/>
          </w:r>
          <w:r>
            <w:fldChar w:fldCharType="end"/>
          </w:r>
        </w:p>
        <w:p w14:paraId="52527C01">
          <w:pPr>
            <w:pStyle w:val="15"/>
            <w:tabs>
              <w:tab w:val="right" w:leader="dot" w:pos="8306"/>
              <w:tab w:val="clear" w:pos="8296"/>
            </w:tabs>
          </w:pPr>
          <w:r>
            <w:fldChar w:fldCharType="begin"/>
          </w:r>
          <w:r>
            <w:instrText xml:space="preserve"> HYPERLINK \l _Toc9755 </w:instrText>
          </w:r>
          <w:r>
            <w:fldChar w:fldCharType="separate"/>
          </w:r>
          <w:r>
            <w:rPr>
              <w:rFonts w:hint="eastAsia" w:hAnsi="宋体" w:cs="宋体"/>
              <w:kern w:val="0"/>
              <w:szCs w:val="32"/>
              <w:highlight w:val="none"/>
              <w:shd w:val="clear" w:color="auto" w:fill="FFFFFF"/>
              <w:lang w:val="zh-CN"/>
            </w:rPr>
            <w:t>附件</w:t>
          </w:r>
          <w:r>
            <w:rPr>
              <w:rFonts w:hint="eastAsia" w:hAnsi="宋体" w:cs="宋体"/>
              <w:kern w:val="0"/>
              <w:szCs w:val="32"/>
              <w:highlight w:val="none"/>
              <w:shd w:val="clear" w:color="auto" w:fill="FFFFFF"/>
              <w:lang w:val="en-US" w:eastAsia="zh-CN"/>
            </w:rPr>
            <w:t>2</w:t>
          </w:r>
          <w:r>
            <w:tab/>
          </w:r>
          <w:r>
            <w:fldChar w:fldCharType="begin"/>
          </w:r>
          <w:r>
            <w:instrText xml:space="preserve"> PAGEREF _Toc9755 \h </w:instrText>
          </w:r>
          <w:r>
            <w:fldChar w:fldCharType="separate"/>
          </w:r>
          <w:r>
            <w:t>61</w:t>
          </w:r>
          <w:r>
            <w:fldChar w:fldCharType="end"/>
          </w:r>
          <w:r>
            <w:fldChar w:fldCharType="end"/>
          </w:r>
        </w:p>
        <w:p w14:paraId="26968A90">
          <w:pPr>
            <w:pStyle w:val="15"/>
            <w:tabs>
              <w:tab w:val="right" w:leader="dot" w:pos="8306"/>
              <w:tab w:val="clear" w:pos="8296"/>
            </w:tabs>
          </w:pPr>
          <w:r>
            <w:fldChar w:fldCharType="begin"/>
          </w:r>
          <w:r>
            <w:instrText xml:space="preserve"> HYPERLINK \l _Toc26190 </w:instrText>
          </w:r>
          <w:r>
            <w:fldChar w:fldCharType="separate"/>
          </w:r>
          <w:r>
            <w:rPr>
              <w:rFonts w:hint="default" w:ascii="黑体" w:hAnsi="宋体" w:eastAsia="黑体"/>
              <w:szCs w:val="32"/>
              <w:highlight w:val="none"/>
            </w:rPr>
            <w:t>一、</w:t>
          </w:r>
          <w:r>
            <w:rPr>
              <w:rFonts w:hint="default" w:ascii="黑体" w:hAnsi="宋体" w:eastAsia="黑体"/>
              <w:szCs w:val="32"/>
              <w:highlight w:val="none"/>
              <w:lang w:val="zh-CN"/>
            </w:rPr>
            <w:t>项目概况</w:t>
          </w:r>
          <w:r>
            <w:tab/>
          </w:r>
          <w:r>
            <w:fldChar w:fldCharType="begin"/>
          </w:r>
          <w:r>
            <w:instrText xml:space="preserve"> PAGEREF _Toc26190 \h </w:instrText>
          </w:r>
          <w:r>
            <w:fldChar w:fldCharType="separate"/>
          </w:r>
          <w:r>
            <w:t>61</w:t>
          </w:r>
          <w:r>
            <w:fldChar w:fldCharType="end"/>
          </w:r>
          <w:r>
            <w:fldChar w:fldCharType="end"/>
          </w:r>
        </w:p>
        <w:p w14:paraId="2582EA5C">
          <w:pPr>
            <w:pStyle w:val="15"/>
            <w:tabs>
              <w:tab w:val="right" w:leader="dot" w:pos="8306"/>
              <w:tab w:val="clear" w:pos="8296"/>
            </w:tabs>
          </w:pPr>
          <w:r>
            <w:fldChar w:fldCharType="begin"/>
          </w:r>
          <w:r>
            <w:instrText xml:space="preserve"> HYPERLINK \l _Toc16352 </w:instrText>
          </w:r>
          <w:r>
            <w:fldChar w:fldCharType="separate"/>
          </w:r>
          <w:r>
            <w:rPr>
              <w:rFonts w:hint="default" w:ascii="黑体" w:hAnsi="宋体" w:eastAsia="黑体"/>
              <w:szCs w:val="32"/>
              <w:highlight w:val="none"/>
            </w:rPr>
            <w:t>二、项目实施及管理情况</w:t>
          </w:r>
          <w:r>
            <w:tab/>
          </w:r>
          <w:r>
            <w:fldChar w:fldCharType="begin"/>
          </w:r>
          <w:r>
            <w:instrText xml:space="preserve"> PAGEREF _Toc16352 \h </w:instrText>
          </w:r>
          <w:r>
            <w:fldChar w:fldCharType="separate"/>
          </w:r>
          <w:r>
            <w:t>61</w:t>
          </w:r>
          <w:r>
            <w:fldChar w:fldCharType="end"/>
          </w:r>
          <w:r>
            <w:fldChar w:fldCharType="end"/>
          </w:r>
        </w:p>
        <w:p w14:paraId="5BA0B86E">
          <w:pPr>
            <w:pStyle w:val="15"/>
            <w:tabs>
              <w:tab w:val="right" w:leader="dot" w:pos="8306"/>
              <w:tab w:val="clear" w:pos="8296"/>
            </w:tabs>
          </w:pPr>
          <w:r>
            <w:fldChar w:fldCharType="begin"/>
          </w:r>
          <w:r>
            <w:instrText xml:space="preserve"> HYPERLINK \l _Toc22621 </w:instrText>
          </w:r>
          <w:r>
            <w:fldChar w:fldCharType="separate"/>
          </w:r>
          <w:r>
            <w:rPr>
              <w:rFonts w:hint="default" w:ascii="黑体" w:hAnsi="宋体" w:eastAsia="黑体"/>
              <w:szCs w:val="32"/>
              <w:highlight w:val="none"/>
            </w:rPr>
            <w:t>三、目标完成情况</w:t>
          </w:r>
          <w:r>
            <w:tab/>
          </w:r>
          <w:r>
            <w:fldChar w:fldCharType="begin"/>
          </w:r>
          <w:r>
            <w:instrText xml:space="preserve"> PAGEREF _Toc22621 \h </w:instrText>
          </w:r>
          <w:r>
            <w:fldChar w:fldCharType="separate"/>
          </w:r>
          <w:r>
            <w:t>62</w:t>
          </w:r>
          <w:r>
            <w:fldChar w:fldCharType="end"/>
          </w:r>
          <w:r>
            <w:fldChar w:fldCharType="end"/>
          </w:r>
        </w:p>
        <w:p w14:paraId="5FE2F2FC">
          <w:pPr>
            <w:pStyle w:val="15"/>
            <w:tabs>
              <w:tab w:val="right" w:leader="dot" w:pos="8306"/>
              <w:tab w:val="clear" w:pos="8296"/>
            </w:tabs>
          </w:pPr>
          <w:r>
            <w:fldChar w:fldCharType="begin"/>
          </w:r>
          <w:r>
            <w:instrText xml:space="preserve"> HYPERLINK \l _Toc1080 </w:instrText>
          </w:r>
          <w:r>
            <w:fldChar w:fldCharType="separate"/>
          </w:r>
          <w:r>
            <w:rPr>
              <w:rFonts w:hint="default" w:ascii="黑体" w:hAnsi="宋体" w:eastAsia="黑体"/>
              <w:szCs w:val="32"/>
              <w:highlight w:val="none"/>
            </w:rPr>
            <w:t>四、项目效益情况</w:t>
          </w:r>
          <w:r>
            <w:tab/>
          </w:r>
          <w:r>
            <w:fldChar w:fldCharType="begin"/>
          </w:r>
          <w:r>
            <w:instrText xml:space="preserve"> PAGEREF _Toc1080 \h </w:instrText>
          </w:r>
          <w:r>
            <w:fldChar w:fldCharType="separate"/>
          </w:r>
          <w:r>
            <w:t>62</w:t>
          </w:r>
          <w:r>
            <w:fldChar w:fldCharType="end"/>
          </w:r>
          <w:r>
            <w:fldChar w:fldCharType="end"/>
          </w:r>
        </w:p>
        <w:p w14:paraId="14A08E7E">
          <w:pPr>
            <w:pStyle w:val="13"/>
            <w:tabs>
              <w:tab w:val="right" w:leader="dot" w:pos="8306"/>
              <w:tab w:val="clear" w:pos="8296"/>
            </w:tabs>
          </w:pPr>
          <w:r>
            <w:fldChar w:fldCharType="begin"/>
          </w:r>
          <w:r>
            <w:instrText xml:space="preserve"> HYPERLINK \l _Toc12768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_Toc12768 \h </w:instrText>
          </w:r>
          <w:r>
            <w:fldChar w:fldCharType="separate"/>
          </w:r>
          <w:r>
            <w:t>63</w:t>
          </w:r>
          <w:r>
            <w:fldChar w:fldCharType="end"/>
          </w:r>
          <w:r>
            <w:fldChar w:fldCharType="end"/>
          </w:r>
        </w:p>
        <w:p w14:paraId="49DD8CE8">
          <w:pPr>
            <w:pStyle w:val="15"/>
            <w:tabs>
              <w:tab w:val="right" w:leader="dot" w:pos="8306"/>
              <w:tab w:val="clear" w:pos="8296"/>
            </w:tabs>
          </w:pPr>
          <w:r>
            <w:fldChar w:fldCharType="begin"/>
          </w:r>
          <w:r>
            <w:instrText xml:space="preserve"> HYPERLINK \l _Toc8623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_Toc8623 \h </w:instrText>
          </w:r>
          <w:r>
            <w:fldChar w:fldCharType="separate"/>
          </w:r>
          <w:r>
            <w:t>63</w:t>
          </w:r>
          <w:r>
            <w:fldChar w:fldCharType="end"/>
          </w:r>
          <w:r>
            <w:fldChar w:fldCharType="end"/>
          </w:r>
        </w:p>
        <w:p w14:paraId="76BC3DEB">
          <w:pPr>
            <w:pStyle w:val="15"/>
            <w:tabs>
              <w:tab w:val="right" w:leader="dot" w:pos="8306"/>
              <w:tab w:val="clear" w:pos="8296"/>
            </w:tabs>
          </w:pPr>
          <w:r>
            <w:fldChar w:fldCharType="begin"/>
          </w:r>
          <w:r>
            <w:instrText xml:space="preserve"> HYPERLINK \l _Toc668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_Toc668 \h </w:instrText>
          </w:r>
          <w:r>
            <w:fldChar w:fldCharType="separate"/>
          </w:r>
          <w:r>
            <w:t>63</w:t>
          </w:r>
          <w:r>
            <w:fldChar w:fldCharType="end"/>
          </w:r>
          <w:r>
            <w:fldChar w:fldCharType="end"/>
          </w:r>
        </w:p>
        <w:p w14:paraId="547C9050">
          <w:pPr>
            <w:pStyle w:val="15"/>
            <w:tabs>
              <w:tab w:val="right" w:leader="dot" w:pos="8306"/>
              <w:tab w:val="clear" w:pos="8296"/>
            </w:tabs>
          </w:pPr>
          <w:r>
            <w:fldChar w:fldCharType="begin"/>
          </w:r>
          <w:r>
            <w:instrText xml:space="preserve"> HYPERLINK \l _Toc16052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_Toc16052 \h </w:instrText>
          </w:r>
          <w:r>
            <w:fldChar w:fldCharType="separate"/>
          </w:r>
          <w:r>
            <w:t>63</w:t>
          </w:r>
          <w:r>
            <w:fldChar w:fldCharType="end"/>
          </w:r>
          <w:r>
            <w:fldChar w:fldCharType="end"/>
          </w:r>
        </w:p>
        <w:p w14:paraId="349F9249">
          <w:pPr>
            <w:pStyle w:val="15"/>
            <w:tabs>
              <w:tab w:val="right" w:leader="dot" w:pos="8306"/>
              <w:tab w:val="clear" w:pos="8296"/>
            </w:tabs>
          </w:pPr>
          <w:r>
            <w:fldChar w:fldCharType="begin"/>
          </w:r>
          <w:r>
            <w:instrText xml:space="preserve"> HYPERLINK \l _Toc24065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_Toc24065 \h </w:instrText>
          </w:r>
          <w:r>
            <w:fldChar w:fldCharType="separate"/>
          </w:r>
          <w:r>
            <w:t>63</w:t>
          </w:r>
          <w:r>
            <w:fldChar w:fldCharType="end"/>
          </w:r>
          <w:r>
            <w:fldChar w:fldCharType="end"/>
          </w:r>
        </w:p>
        <w:p w14:paraId="279F20DD">
          <w:pPr>
            <w:pStyle w:val="15"/>
            <w:tabs>
              <w:tab w:val="right" w:leader="dot" w:pos="8306"/>
              <w:tab w:val="clear" w:pos="8296"/>
            </w:tabs>
          </w:pPr>
          <w:r>
            <w:fldChar w:fldCharType="begin"/>
          </w:r>
          <w:r>
            <w:instrText xml:space="preserve"> HYPERLINK \l _Toc29901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_Toc29901 \h </w:instrText>
          </w:r>
          <w:r>
            <w:fldChar w:fldCharType="separate"/>
          </w:r>
          <w:r>
            <w:t>63</w:t>
          </w:r>
          <w:r>
            <w:fldChar w:fldCharType="end"/>
          </w:r>
          <w:r>
            <w:fldChar w:fldCharType="end"/>
          </w:r>
        </w:p>
        <w:p w14:paraId="2FAF2161">
          <w:pPr>
            <w:pStyle w:val="15"/>
            <w:tabs>
              <w:tab w:val="right" w:leader="dot" w:pos="8306"/>
              <w:tab w:val="clear" w:pos="8296"/>
            </w:tabs>
          </w:pPr>
          <w:r>
            <w:fldChar w:fldCharType="begin"/>
          </w:r>
          <w:r>
            <w:instrText xml:space="preserve"> HYPERLINK \l _Toc17415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_Toc17415 \h </w:instrText>
          </w:r>
          <w:r>
            <w:fldChar w:fldCharType="separate"/>
          </w:r>
          <w:r>
            <w:t>63</w:t>
          </w:r>
          <w:r>
            <w:fldChar w:fldCharType="end"/>
          </w:r>
          <w:r>
            <w:fldChar w:fldCharType="end"/>
          </w:r>
        </w:p>
        <w:p w14:paraId="1EF3A9AD">
          <w:pPr>
            <w:pStyle w:val="15"/>
            <w:tabs>
              <w:tab w:val="right" w:leader="dot" w:pos="8306"/>
              <w:tab w:val="clear" w:pos="8296"/>
            </w:tabs>
          </w:pPr>
          <w:r>
            <w:fldChar w:fldCharType="begin"/>
          </w:r>
          <w:r>
            <w:instrText xml:space="preserve"> HYPERLINK \l _Toc1646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_Toc1646 \h </w:instrText>
          </w:r>
          <w:r>
            <w:fldChar w:fldCharType="separate"/>
          </w:r>
          <w:r>
            <w:t>63</w:t>
          </w:r>
          <w:r>
            <w:fldChar w:fldCharType="end"/>
          </w:r>
          <w:r>
            <w:fldChar w:fldCharType="end"/>
          </w:r>
        </w:p>
        <w:p w14:paraId="31215A74">
          <w:pPr>
            <w:pStyle w:val="15"/>
            <w:tabs>
              <w:tab w:val="right" w:leader="dot" w:pos="8306"/>
              <w:tab w:val="clear" w:pos="8296"/>
            </w:tabs>
          </w:pPr>
          <w:r>
            <w:fldChar w:fldCharType="begin"/>
          </w:r>
          <w:r>
            <w:instrText xml:space="preserve"> HYPERLINK \l _Toc11813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_Toc11813 \h </w:instrText>
          </w:r>
          <w:r>
            <w:fldChar w:fldCharType="separate"/>
          </w:r>
          <w:r>
            <w:t>63</w:t>
          </w:r>
          <w:r>
            <w:fldChar w:fldCharType="end"/>
          </w:r>
          <w:r>
            <w:fldChar w:fldCharType="end"/>
          </w:r>
        </w:p>
        <w:p w14:paraId="74791509">
          <w:pPr>
            <w:pStyle w:val="15"/>
            <w:tabs>
              <w:tab w:val="right" w:leader="dot" w:pos="8306"/>
              <w:tab w:val="clear" w:pos="8296"/>
            </w:tabs>
          </w:pPr>
          <w:r>
            <w:fldChar w:fldCharType="begin"/>
          </w:r>
          <w:r>
            <w:instrText xml:space="preserve"> HYPERLINK \l _Toc11432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_Toc11432 \h </w:instrText>
          </w:r>
          <w:r>
            <w:fldChar w:fldCharType="separate"/>
          </w:r>
          <w:r>
            <w:t>63</w:t>
          </w:r>
          <w:r>
            <w:fldChar w:fldCharType="end"/>
          </w:r>
          <w:r>
            <w:fldChar w:fldCharType="end"/>
          </w:r>
        </w:p>
        <w:p w14:paraId="0935265E">
          <w:pPr>
            <w:pStyle w:val="15"/>
            <w:tabs>
              <w:tab w:val="right" w:leader="dot" w:pos="8306"/>
              <w:tab w:val="clear" w:pos="8296"/>
            </w:tabs>
          </w:pPr>
          <w:r>
            <w:fldChar w:fldCharType="begin"/>
          </w:r>
          <w:r>
            <w:instrText xml:space="preserve"> HYPERLINK \l _Toc18652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_Toc18652 \h </w:instrText>
          </w:r>
          <w:r>
            <w:fldChar w:fldCharType="separate"/>
          </w:r>
          <w:r>
            <w:t>63</w:t>
          </w:r>
          <w:r>
            <w:fldChar w:fldCharType="end"/>
          </w:r>
          <w:r>
            <w:fldChar w:fldCharType="end"/>
          </w:r>
        </w:p>
        <w:p w14:paraId="31D7E844">
          <w:pPr>
            <w:pStyle w:val="15"/>
            <w:tabs>
              <w:tab w:val="right" w:leader="dot" w:pos="8306"/>
              <w:tab w:val="clear" w:pos="8296"/>
            </w:tabs>
          </w:pPr>
          <w:r>
            <w:fldChar w:fldCharType="begin"/>
          </w:r>
          <w:r>
            <w:instrText xml:space="preserve"> HYPERLINK \l _Toc762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_Toc762 \h </w:instrText>
          </w:r>
          <w:r>
            <w:fldChar w:fldCharType="separate"/>
          </w:r>
          <w:r>
            <w:t>63</w:t>
          </w:r>
          <w:r>
            <w:fldChar w:fldCharType="end"/>
          </w:r>
          <w:r>
            <w:fldChar w:fldCharType="end"/>
          </w:r>
        </w:p>
        <w:p w14:paraId="714DD369">
          <w:pPr>
            <w:pStyle w:val="15"/>
            <w:tabs>
              <w:tab w:val="right" w:leader="dot" w:pos="8306"/>
              <w:tab w:val="clear" w:pos="8296"/>
            </w:tabs>
          </w:pPr>
          <w:r>
            <w:fldChar w:fldCharType="begin"/>
          </w:r>
          <w:r>
            <w:instrText xml:space="preserve"> HYPERLINK \l _Toc26274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_Toc26274 \h </w:instrText>
          </w:r>
          <w:r>
            <w:fldChar w:fldCharType="separate"/>
          </w:r>
          <w:r>
            <w:t>63</w:t>
          </w:r>
          <w:r>
            <w:fldChar w:fldCharType="end"/>
          </w:r>
          <w:r>
            <w:fldChar w:fldCharType="end"/>
          </w:r>
        </w:p>
        <w:p w14:paraId="7A70957A">
          <w:pPr>
            <w:pStyle w:val="15"/>
            <w:tabs>
              <w:tab w:val="right" w:leader="dot" w:pos="8306"/>
              <w:tab w:val="clear" w:pos="8296"/>
            </w:tabs>
          </w:pPr>
          <w:r>
            <w:fldChar w:fldCharType="begin"/>
          </w:r>
          <w:r>
            <w:instrText xml:space="preserve"> HYPERLINK \l _Toc2833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_Toc2833 \h </w:instrText>
          </w:r>
          <w:r>
            <w:fldChar w:fldCharType="separate"/>
          </w:r>
          <w:r>
            <w:t>63</w:t>
          </w:r>
          <w:r>
            <w:fldChar w:fldCharType="end"/>
          </w:r>
          <w:r>
            <w:fldChar w:fldCharType="end"/>
          </w:r>
        </w:p>
        <w:p w14:paraId="0EB81C21">
          <w:pPr>
            <w:pStyle w:val="15"/>
            <w:tabs>
              <w:tab w:val="right" w:leader="dot" w:pos="8306"/>
              <w:tab w:val="clear" w:pos="8296"/>
            </w:tabs>
          </w:pPr>
          <w:r>
            <w:fldChar w:fldCharType="begin"/>
          </w:r>
          <w:r>
            <w:instrText xml:space="preserve"> HYPERLINK \l _Toc24381 </w:instrText>
          </w:r>
          <w:r>
            <w:fldChar w:fldCharType="separate"/>
          </w:r>
          <w:r>
            <w:rPr>
              <w:rFonts w:hint="default" w:ascii="Times New Roman" w:hAnsi="Times New Roman" w:eastAsia="仿宋" w:cs="Times New Roman"/>
              <w:bCs w:val="0"/>
            </w:rPr>
            <w:t>十四、国有资本经营预算财政拨款支出决算表</w:t>
          </w:r>
          <w:r>
            <w:tab/>
          </w:r>
          <w:r>
            <w:fldChar w:fldCharType="begin"/>
          </w:r>
          <w:r>
            <w:instrText xml:space="preserve"> PAGEREF _Toc24381 \h </w:instrText>
          </w:r>
          <w:r>
            <w:fldChar w:fldCharType="separate"/>
          </w:r>
          <w:r>
            <w:t>63</w:t>
          </w:r>
          <w:r>
            <w:fldChar w:fldCharType="end"/>
          </w:r>
          <w:r>
            <w:fldChar w:fldCharType="end"/>
          </w:r>
        </w:p>
        <w:p w14:paraId="4884499E">
          <w:r>
            <w:fldChar w:fldCharType="end"/>
          </w:r>
        </w:p>
      </w:sdtContent>
    </w:sdt>
    <w:p w14:paraId="09BE0180">
      <w:pPr>
        <w:widowControl/>
        <w:spacing w:line="440" w:lineRule="exact"/>
        <w:jc w:val="left"/>
        <w:outlineLvl w:val="9"/>
        <w:rPr>
          <w:rFonts w:ascii="仿宋" w:hAnsi="仿宋" w:eastAsia="仿宋"/>
          <w:bCs/>
          <w:color w:val="auto"/>
          <w:kern w:val="44"/>
          <w:sz w:val="24"/>
          <w:highlight w:val="none"/>
        </w:rPr>
      </w:pPr>
      <w:r>
        <w:rPr>
          <w:rFonts w:ascii="仿宋" w:hAnsi="仿宋" w:eastAsia="仿宋"/>
          <w:b/>
          <w:color w:val="auto"/>
          <w:sz w:val="24"/>
          <w:highlight w:val="none"/>
        </w:rPr>
        <w:br w:type="page"/>
      </w:r>
    </w:p>
    <w:p w14:paraId="61D6BC86">
      <w:pPr>
        <w:pStyle w:val="3"/>
        <w:jc w:val="center"/>
        <w:rPr>
          <w:rFonts w:hint="default" w:ascii="Times New Roman" w:hAnsi="Times New Roman" w:eastAsia="黑体" w:cs="Times New Roman"/>
          <w:b w:val="0"/>
        </w:rPr>
      </w:pPr>
      <w:bookmarkStart w:id="12" w:name="_Toc3890"/>
      <w:bookmarkStart w:id="13" w:name="_Toc26257"/>
      <w:r>
        <w:rPr>
          <w:rFonts w:hint="eastAsia" w:ascii="Times New Roman" w:hAnsi="Times New Roman" w:eastAsia="黑体" w:cs="Times New Roman"/>
          <w:b w:val="0"/>
        </w:rPr>
        <w:t>第一部分 部门概况</w:t>
      </w:r>
      <w:bookmarkEnd w:id="12"/>
      <w:bookmarkEnd w:id="13"/>
    </w:p>
    <w:p w14:paraId="63D41BF5">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color w:val="000000"/>
          <w:lang w:val="en-US" w:eastAsia="zh-CN"/>
        </w:rPr>
      </w:pPr>
      <w:bookmarkStart w:id="14" w:name="_Toc28140"/>
      <w:r>
        <w:rPr>
          <w:rFonts w:hint="eastAsia" w:ascii="Times New Roman" w:hAnsi="Times New Roman" w:eastAsia="黑体" w:cs="Times New Roman"/>
          <w:b w:val="0"/>
          <w:color w:val="000000"/>
          <w:lang w:val="en-US" w:eastAsia="zh-CN"/>
        </w:rPr>
        <w:t>一、部门职责</w:t>
      </w:r>
      <w:bookmarkEnd w:id="14"/>
    </w:p>
    <w:p w14:paraId="6189D2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1.贯彻实施国家、省、州有关国民经济和社会发展、经济体制改革的方针、政策和法律法规。拟定全县有关国民经济和社会发展、经济体制改革方案，落实行政执法责任制。</w:t>
      </w:r>
    </w:p>
    <w:p w14:paraId="26CF6A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2.负责拟订并组织实施全县国民经济和社会发展的中长期规划和年度综合计划。</w:t>
      </w:r>
    </w:p>
    <w:p w14:paraId="3C441D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3.负责组织编制全县实施藏区跨越式发</w:t>
      </w:r>
      <w:r>
        <w:rPr>
          <w:rFonts w:hint="eastAsia" w:eastAsia="仿宋_GB2312" w:cs="Times New Roman"/>
          <w:kern w:val="2"/>
          <w:sz w:val="32"/>
          <w:szCs w:val="32"/>
          <w:lang w:val="en-US" w:eastAsia="zh-CN" w:bidi="ar-SA"/>
        </w:rPr>
        <w:t>展</w:t>
      </w:r>
      <w:r>
        <w:rPr>
          <w:rFonts w:hint="default" w:ascii="Times New Roman" w:hAnsi="Times New Roman" w:eastAsia="仿宋_GB2312" w:cs="Times New Roman"/>
          <w:kern w:val="2"/>
          <w:sz w:val="32"/>
          <w:szCs w:val="32"/>
          <w:lang w:val="en-US" w:eastAsia="zh-CN" w:bidi="ar-SA"/>
        </w:rPr>
        <w:t>西部大开发战略的规划，使之与国民经济和社会发展中长期规划相衔接，提出有关政策建议。</w:t>
      </w:r>
    </w:p>
    <w:p w14:paraId="407EFC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4.负责提出全县全社会固定资产投资总规模，结构和资金来源建议。</w:t>
      </w:r>
    </w:p>
    <w:p w14:paraId="4F1CBE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5.根据国家</w:t>
      </w:r>
      <w:r>
        <w:rPr>
          <w:rFonts w:hint="eastAsia" w:eastAsia="仿宋_GB2312" w:cs="Times New Roman"/>
          <w:kern w:val="2"/>
          <w:sz w:val="32"/>
          <w:szCs w:val="32"/>
          <w:lang w:val="en-US" w:eastAsia="zh-CN" w:bidi="ar-SA"/>
        </w:rPr>
        <w:t>《中华人民共和国招标投标法》</w:t>
      </w:r>
      <w:r>
        <w:rPr>
          <w:rFonts w:hint="default" w:ascii="Times New Roman" w:hAnsi="Times New Roman" w:eastAsia="仿宋_GB2312" w:cs="Times New Roman"/>
          <w:kern w:val="2"/>
          <w:sz w:val="32"/>
          <w:szCs w:val="32"/>
          <w:lang w:val="en-US" w:eastAsia="zh-CN" w:bidi="ar-SA"/>
        </w:rPr>
        <w:t>的规定，负责指导和协调全县招投标工作，会同有关行政主管部门共同做好全县招标、投标行政监督管理工作，依法查处招标、投标活动中的违法行为，确保全县招标、投标工作做到公开、公平、公正。</w:t>
      </w:r>
    </w:p>
    <w:p w14:paraId="4EC2B0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6.负责组织研究、审查、编制、上报、衔接项目的资金计划，并综合平衡项目、资金计划。会同有关部门监督、检查计划执行情况。</w:t>
      </w:r>
    </w:p>
    <w:p w14:paraId="71D45D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统筹国民经济和社会发展对能源的需求，拟订能源发展战略、发展规划和年度指导性计划，提出能源发展的目标和措施。研究分析、预测预警能源供需和能源应急对策及计划管理，提出促进能源发展、能源节约、能源安全政策意见。</w:t>
      </w:r>
    </w:p>
    <w:p w14:paraId="412E09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8.负责收集、汇总全县的经济运行情况。负责全县经济信息资源的开发管理，信息的收集、整理和发布。负责全县经济运行的预测与分析，为各级领导和部门提供</w:t>
      </w:r>
      <w:r>
        <w:rPr>
          <w:rFonts w:hint="eastAsia" w:eastAsia="仿宋_GB2312" w:cs="Times New Roman"/>
          <w:kern w:val="2"/>
          <w:sz w:val="32"/>
          <w:szCs w:val="32"/>
          <w:lang w:val="en-US" w:eastAsia="zh-CN" w:bidi="ar-SA"/>
        </w:rPr>
        <w:t>决策</w:t>
      </w:r>
      <w:r>
        <w:rPr>
          <w:rFonts w:hint="default" w:ascii="Times New Roman" w:hAnsi="Times New Roman" w:eastAsia="仿宋_GB2312" w:cs="Times New Roman"/>
          <w:kern w:val="2"/>
          <w:sz w:val="32"/>
          <w:szCs w:val="32"/>
          <w:lang w:val="en-US" w:eastAsia="zh-CN" w:bidi="ar-SA"/>
        </w:rPr>
        <w:t>依据。</w:t>
      </w:r>
    </w:p>
    <w:p w14:paraId="04F6F8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负责对国家和省安排资金项目的审批程序、建设资金使用、工程招标投标、开工建设条件、建设进度、工程质量、投资概算控制以及工程竣工验收等建设活动进行全过程的监督检查。协调、督促有关项目建设单位进行整改。</w:t>
      </w:r>
    </w:p>
    <w:p w14:paraId="698229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10.负责编制以工代赈规划，以工代赈项目的实施、检查监督、验收和总结等工作。</w:t>
      </w:r>
    </w:p>
    <w:p w14:paraId="586E95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11.承担指导推进和综合协调全县经济体制改革的责任。研究经济体制改革和对外开放的重大问题，组织拟订综合性经济体制改革方案，协调有关专项经济体制改革方案，指导和推进总体经济体制改革，组织、指导和协调综合配套改革试点和重大专项经济体制改革试点。</w:t>
      </w:r>
    </w:p>
    <w:p w14:paraId="40AEE8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12.贯彻执行国家、省、州价格法律法规、规章和政策规定，草拟相关的地方性规章、政策并组织实施。负责全县价格总水平的宏观调控和综合平衡。</w:t>
      </w:r>
    </w:p>
    <w:p w14:paraId="3A2E3E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13.按照价格管理权限，研究制定县管价格和收费目录及管理办法，制定并公布政府定价和政府指导价。审定、调整列入管理的商品价格和服务价格。</w:t>
      </w:r>
    </w:p>
    <w:p w14:paraId="03FEE5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14.贯彻执行国家、省、州粮食流通和储备粮管理的方针政策和法律法规，拟订全县粮食流通和县级储备粮管理的有关法规草案、规章制度和有关政策，并组织执行。承担粮食行政执法、行政调解、行政复议、行政应诉工作，监督检查县级储备粮库存数量、质量和安全，</w:t>
      </w:r>
      <w:r>
        <w:rPr>
          <w:rFonts w:hint="eastAsia" w:eastAsia="仿宋_GB2312" w:cs="Times New Roman"/>
          <w:kern w:val="2"/>
          <w:sz w:val="32"/>
          <w:szCs w:val="32"/>
          <w:lang w:val="en-US" w:eastAsia="zh-CN" w:bidi="ar-SA"/>
        </w:rPr>
        <w:t>做好</w:t>
      </w:r>
      <w:r>
        <w:rPr>
          <w:rFonts w:hint="default" w:ascii="Times New Roman" w:hAnsi="Times New Roman" w:eastAsia="仿宋_GB2312" w:cs="Times New Roman"/>
          <w:kern w:val="2"/>
          <w:sz w:val="32"/>
          <w:szCs w:val="32"/>
          <w:lang w:val="en-US" w:eastAsia="zh-CN" w:bidi="ar-SA"/>
        </w:rPr>
        <w:t>县级储备粮的监督管理工作。</w:t>
      </w:r>
    </w:p>
    <w:p w14:paraId="72E5CE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15.贯彻实施国家粮食质量标准，执行有关粮油、饲料的质量法规、质量（卫生）标准，承担全县粮油产品质量的监督检验，协同质量技术监督部门做好粮食质量标准的管理工作，贯彻落实好粮食储存、运输的技术规定，并监督执行</w:t>
      </w:r>
      <w:r>
        <w:rPr>
          <w:rFonts w:hint="eastAsia" w:eastAsia="仿宋_GB2312" w:cs="Times New Roman"/>
          <w:kern w:val="2"/>
          <w:sz w:val="32"/>
          <w:szCs w:val="32"/>
          <w:lang w:val="en-US" w:eastAsia="zh-CN" w:bidi="ar-SA"/>
        </w:rPr>
        <w:t>。</w:t>
      </w:r>
    </w:p>
    <w:p w14:paraId="4253C3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16.指导全县国有粮食企业的财务管理和会计报告工作。贯彻国家粮食流通财政财务政策和会计制度，组织编报全县国有粮食企业会计报表及会计决算。</w:t>
      </w:r>
    </w:p>
    <w:p w14:paraId="7154CA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17.贯彻国家军粮供应政策，做好军供粮差价款的拨付工作，保障军队（含武警）政策性粮食供应。</w:t>
      </w:r>
    </w:p>
    <w:p w14:paraId="4718CC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18.负责职责范围内的安全生产和职业健康、生态环境保护、审批服务便民化等工作。</w:t>
      </w:r>
    </w:p>
    <w:p w14:paraId="65A71F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19.完成县委</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县政府交办的其他任务。</w:t>
      </w:r>
      <w:bookmarkStart w:id="15" w:name="_Toc15377200"/>
      <w:bookmarkStart w:id="16" w:name="_Toc15396601"/>
      <w:bookmarkStart w:id="17" w:name="_Toc21632"/>
    </w:p>
    <w:p w14:paraId="218324A0">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cs="Times New Roman"/>
          <w:b w:val="0"/>
          <w:color w:val="000000"/>
          <w:lang w:val="zh-CN" w:eastAsia="zh-CN"/>
        </w:rPr>
      </w:pPr>
      <w:bookmarkStart w:id="18" w:name="_Toc29979"/>
      <w:r>
        <w:rPr>
          <w:rFonts w:hint="eastAsia" w:ascii="Times New Roman" w:hAnsi="Times New Roman" w:eastAsia="黑体" w:cs="Times New Roman"/>
          <w:b w:val="0"/>
          <w:color w:val="000000"/>
          <w:lang w:val="zh-CN" w:eastAsia="zh-CN"/>
        </w:rPr>
        <w:t>二、机构设置</w:t>
      </w:r>
      <w:bookmarkEnd w:id="15"/>
      <w:bookmarkEnd w:id="16"/>
      <w:bookmarkEnd w:id="17"/>
      <w:bookmarkEnd w:id="18"/>
    </w:p>
    <w:p w14:paraId="6DF25D6D">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bookmarkStart w:id="19" w:name="_Toc15377201"/>
      <w:bookmarkStart w:id="20" w:name="_Toc15378448"/>
      <w:bookmarkStart w:id="21" w:name="_Toc15306275"/>
      <w:bookmarkStart w:id="22" w:name="_Toc15377432"/>
      <w:r>
        <w:rPr>
          <w:rFonts w:hint="default" w:ascii="Times New Roman" w:hAnsi="Times New Roman" w:eastAsia="仿宋_GB2312" w:cs="Times New Roman"/>
          <w:sz w:val="32"/>
          <w:szCs w:val="32"/>
          <w:lang w:val="en-US" w:eastAsia="zh-CN"/>
        </w:rPr>
        <w:t>壤塘县发展和改革局无下属单位，其中行政单位0个，参照公务员法管理的事业单位</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个，其他事业单位0个。</w:t>
      </w:r>
    </w:p>
    <w:p w14:paraId="2A842630">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纳入壤塘县发展和改革局202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年度部门决算编制范围的二级预算单位包括：</w:t>
      </w:r>
      <w:bookmarkStart w:id="23" w:name="_Toc79163857"/>
      <w:bookmarkStart w:id="24" w:name="_Toc79163607"/>
      <w:r>
        <w:rPr>
          <w:rFonts w:hint="eastAsia" w:eastAsia="仿宋_GB2312" w:cs="Times New Roman"/>
          <w:sz w:val="32"/>
          <w:szCs w:val="32"/>
          <w:lang w:val="en-US" w:eastAsia="zh-CN"/>
        </w:rPr>
        <w:t>壤塘县发展和改革局及</w:t>
      </w:r>
      <w:r>
        <w:rPr>
          <w:rFonts w:hint="default" w:ascii="Times New Roman" w:hAnsi="Times New Roman" w:eastAsia="仿宋_GB2312" w:cs="Times New Roman"/>
          <w:sz w:val="32"/>
          <w:szCs w:val="32"/>
          <w:lang w:val="en-US" w:eastAsia="zh-CN"/>
        </w:rPr>
        <w:t>壤塘县</w:t>
      </w:r>
      <w:bookmarkEnd w:id="23"/>
      <w:bookmarkEnd w:id="24"/>
      <w:r>
        <w:rPr>
          <w:rFonts w:hint="eastAsia" w:eastAsia="仿宋_GB2312" w:cs="Times New Roman"/>
          <w:sz w:val="32"/>
          <w:szCs w:val="32"/>
          <w:lang w:val="en-US" w:eastAsia="zh-CN"/>
        </w:rPr>
        <w:t>项目推进中心</w:t>
      </w:r>
      <w:r>
        <w:rPr>
          <w:rFonts w:hint="default" w:ascii="Times New Roman" w:hAnsi="Times New Roman" w:eastAsia="仿宋_GB2312" w:cs="Times New Roman"/>
          <w:sz w:val="32"/>
          <w:szCs w:val="32"/>
          <w:lang w:val="en-US" w:eastAsia="zh-CN"/>
        </w:rPr>
        <w:t>。</w:t>
      </w:r>
    </w:p>
    <w:bookmarkEnd w:id="19"/>
    <w:bookmarkEnd w:id="20"/>
    <w:bookmarkEnd w:id="21"/>
    <w:bookmarkEnd w:id="22"/>
    <w:p w14:paraId="24B8148E">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69DFCD3C">
      <w:pPr>
        <w:pStyle w:val="3"/>
        <w:ind w:right="440"/>
        <w:jc w:val="center"/>
        <w:rPr>
          <w:rStyle w:val="41"/>
          <w:rFonts w:hint="default" w:eastAsia="黑体"/>
          <w:b w:val="0"/>
          <w:bCs w:val="0"/>
          <w:lang w:val="zh-CN" w:eastAsia="zh-CN" w:bidi="ar-SA"/>
        </w:rPr>
      </w:pPr>
      <w:bookmarkStart w:id="25" w:name="_Toc15396602"/>
      <w:bookmarkStart w:id="26" w:name="_Toc31591"/>
      <w:bookmarkStart w:id="27" w:name="_Toc15377204"/>
      <w:bookmarkStart w:id="28" w:name="_Toc8000"/>
      <w:r>
        <w:rPr>
          <w:rStyle w:val="41"/>
          <w:rFonts w:hint="eastAsia" w:eastAsia="黑体"/>
          <w:b w:val="0"/>
          <w:bCs w:val="0"/>
          <w:lang w:val="zh-CN" w:eastAsia="zh-CN" w:bidi="ar-SA"/>
        </w:rPr>
        <w:t xml:space="preserve">第二部分 </w:t>
      </w:r>
      <w:r>
        <w:rPr>
          <w:rStyle w:val="41"/>
          <w:rFonts w:hint="eastAsia" w:eastAsia="黑体"/>
          <w:b w:val="0"/>
          <w:bCs w:val="0"/>
          <w:lang w:val="en-US" w:eastAsia="zh-CN" w:bidi="ar-SA"/>
        </w:rPr>
        <w:t>2022年度</w:t>
      </w:r>
      <w:r>
        <w:rPr>
          <w:rStyle w:val="41"/>
          <w:rFonts w:hint="eastAsia" w:eastAsia="黑体"/>
          <w:b w:val="0"/>
          <w:bCs w:val="0"/>
          <w:lang w:val="zh-CN" w:eastAsia="zh-CN" w:bidi="ar-SA"/>
        </w:rPr>
        <w:t>部门决算情况说明</w:t>
      </w:r>
      <w:bookmarkEnd w:id="25"/>
      <w:bookmarkEnd w:id="26"/>
      <w:bookmarkEnd w:id="27"/>
      <w:bookmarkEnd w:id="28"/>
    </w:p>
    <w:p w14:paraId="75DCE0B4">
      <w:pPr>
        <w:pStyle w:val="4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rPr>
      </w:pPr>
      <w:bookmarkStart w:id="29" w:name="_Toc15396603"/>
      <w:bookmarkStart w:id="30" w:name="_Toc3598"/>
      <w:bookmarkStart w:id="31" w:name="_Toc15377205"/>
      <w:bookmarkStart w:id="32" w:name="_Toc23400"/>
      <w:r>
        <w:rPr>
          <w:rFonts w:hint="eastAsia" w:ascii="Times New Roman" w:hAnsi="Times New Roman" w:eastAsia="黑体" w:cs="Times New Roman"/>
          <w:color w:val="000000"/>
          <w:sz w:val="32"/>
          <w:szCs w:val="32"/>
        </w:rPr>
        <w:t>收入支出决算总体情况说明</w:t>
      </w:r>
      <w:bookmarkEnd w:id="29"/>
      <w:bookmarkEnd w:id="30"/>
      <w:bookmarkEnd w:id="31"/>
      <w:bookmarkEnd w:id="32"/>
    </w:p>
    <w:p w14:paraId="1EBE0889">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年度收、支总计</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lang w:val="en-US" w:eastAsia="zh-CN"/>
        </w:rPr>
        <w:t>万元。与202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年相比，收、支总计各</w:t>
      </w:r>
      <w:r>
        <w:rPr>
          <w:rFonts w:hint="eastAsia" w:eastAsia="仿宋_GB2312" w:cs="Times New Roman"/>
          <w:sz w:val="32"/>
          <w:szCs w:val="32"/>
          <w:lang w:val="en-US" w:eastAsia="zh-CN"/>
        </w:rPr>
        <w:t>增加207.11</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增长17</w:t>
      </w:r>
      <w:r>
        <w:rPr>
          <w:rFonts w:hint="default" w:ascii="Times New Roman" w:hAnsi="Times New Roman" w:eastAsia="仿宋_GB2312" w:cs="Times New Roman"/>
          <w:sz w:val="32"/>
          <w:szCs w:val="32"/>
          <w:lang w:val="en-US" w:eastAsia="zh-CN"/>
        </w:rPr>
        <w:t>%。主要变动原因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及人员调动。</w:t>
      </w:r>
    </w:p>
    <w:p w14:paraId="6093A001">
      <w:pPr>
        <w:pStyle w:val="38"/>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FCD10A">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48736C4B">
      <w:pPr>
        <w:pStyle w:val="30"/>
        <w:numPr>
          <w:ilvl w:val="0"/>
          <w:numId w:val="0"/>
        </w:numPr>
        <w:spacing w:line="600" w:lineRule="exact"/>
        <w:ind w:firstLine="640" w:firstLineChars="200"/>
        <w:outlineLvl w:val="1"/>
        <w:rPr>
          <w:rStyle w:val="32"/>
          <w:rFonts w:ascii="黑体" w:hAnsi="黑体" w:eastAsia="黑体"/>
          <w:b w:val="0"/>
          <w:color w:val="auto"/>
          <w:highlight w:val="none"/>
        </w:rPr>
      </w:pPr>
      <w:bookmarkStart w:id="33" w:name="_Toc15377206"/>
      <w:bookmarkStart w:id="34" w:name="_Toc14966"/>
      <w:bookmarkStart w:id="35" w:name="_Toc15396604"/>
      <w:bookmarkStart w:id="36" w:name="_Toc1896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3"/>
      <w:bookmarkEnd w:id="34"/>
      <w:bookmarkEnd w:id="35"/>
      <w:bookmarkEnd w:id="36"/>
    </w:p>
    <w:p w14:paraId="79F0BAA9">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年度收入合计</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lang w:val="en-US" w:eastAsia="zh-CN"/>
        </w:rPr>
        <w:t>万元，其中：一般公共预算财政拨款收入</w:t>
      </w:r>
      <w:r>
        <w:rPr>
          <w:rFonts w:hint="eastAsia" w:eastAsia="仿宋_GB2312" w:cs="Times New Roman"/>
          <w:sz w:val="32"/>
          <w:szCs w:val="32"/>
          <w:lang w:val="en-US" w:eastAsia="zh-CN"/>
        </w:rPr>
        <w:t>1288.44</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90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，年初结转结余150.52万元，占10%</w:t>
      </w:r>
      <w:r>
        <w:rPr>
          <w:rFonts w:hint="default" w:ascii="Times New Roman" w:hAnsi="Times New Roman" w:eastAsia="仿宋_GB2312" w:cs="Times New Roman"/>
          <w:sz w:val="32"/>
          <w:szCs w:val="32"/>
          <w:lang w:val="en-US" w:eastAsia="zh-CN"/>
        </w:rPr>
        <w:t>。主要变动原因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及人员调动。</w:t>
      </w:r>
      <w:r>
        <w:rPr>
          <w:rFonts w:hint="eastAsia" w:ascii="Times New Roman" w:hAnsi="Times New Roman" w:eastAsia="仿宋_GB2312" w:cs="Times New Roman"/>
          <w:sz w:val="32"/>
          <w:szCs w:val="32"/>
          <w:lang w:val="en-US" w:eastAsia="zh-CN"/>
        </w:rPr>
        <w:t>（注：数据来源于财决</w:t>
      </w:r>
      <w:r>
        <w:rPr>
          <w:rFonts w:hint="default" w:ascii="Times New Roman" w:hAnsi="Times New Roman" w:eastAsia="仿宋_GB2312" w:cs="Times New Roman"/>
          <w:sz w:val="32"/>
          <w:szCs w:val="32"/>
          <w:lang w:val="en-US" w:eastAsia="zh-CN"/>
        </w:rPr>
        <w:t>01表</w:t>
      </w:r>
      <w:r>
        <w:rPr>
          <w:rFonts w:hint="eastAsia" w:ascii="Times New Roman" w:hAnsi="Times New Roman" w:eastAsia="仿宋_GB2312" w:cs="Times New Roman"/>
          <w:sz w:val="32"/>
          <w:szCs w:val="32"/>
          <w:lang w:val="en-US" w:eastAsia="zh-CN"/>
        </w:rPr>
        <w:t>，仅罗列本部门涉及的收入。</w:t>
      </w:r>
      <w:r>
        <w:rPr>
          <w:rFonts w:hint="default" w:ascii="Times New Roman" w:hAnsi="Times New Roman" w:eastAsia="仿宋_GB2312" w:cs="Times New Roman"/>
          <w:sz w:val="32"/>
          <w:szCs w:val="32"/>
          <w:lang w:val="en-US" w:eastAsia="zh-CN"/>
        </w:rPr>
        <w:t>）</w:t>
      </w:r>
    </w:p>
    <w:p w14:paraId="202F9E5E">
      <w:pPr>
        <w:pStyle w:val="2"/>
        <w:rPr>
          <w:rFonts w:hint="eastAsia" w:eastAsia="仿宋"/>
          <w:lang w:eastAsia="zh-CN"/>
        </w:rPr>
      </w:pPr>
      <w:r>
        <w:rPr>
          <w:rFonts w:hint="eastAsia" w:eastAsia="仿宋"/>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61AE4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105C480E">
      <w:pPr>
        <w:pStyle w:val="30"/>
        <w:numPr>
          <w:ilvl w:val="0"/>
          <w:numId w:val="0"/>
        </w:numPr>
        <w:spacing w:line="600" w:lineRule="exact"/>
        <w:ind w:firstLine="640" w:firstLineChars="200"/>
        <w:outlineLvl w:val="1"/>
        <w:rPr>
          <w:rFonts w:hint="eastAsia" w:ascii="黑体" w:hAnsi="黑体" w:eastAsia="黑体" w:cs="Times New Roman"/>
          <w:color w:val="auto"/>
          <w:sz w:val="32"/>
          <w:szCs w:val="32"/>
          <w:highlight w:val="none"/>
        </w:rPr>
      </w:pPr>
      <w:bookmarkStart w:id="37" w:name="_Toc22744"/>
      <w:bookmarkStart w:id="38" w:name="_Toc15377207"/>
      <w:bookmarkStart w:id="39" w:name="_Toc15396605"/>
      <w:bookmarkStart w:id="40" w:name="_Toc23486"/>
      <w:r>
        <w:rPr>
          <w:rFonts w:hint="eastAsia" w:ascii="黑体" w:hAnsi="黑体" w:eastAsia="黑体" w:cs="Times New Roman"/>
          <w:color w:val="auto"/>
          <w:sz w:val="32"/>
          <w:szCs w:val="32"/>
          <w:highlight w:val="none"/>
          <w:lang w:eastAsia="zh-CN"/>
        </w:rPr>
        <w:t>三、</w:t>
      </w:r>
      <w:r>
        <w:rPr>
          <w:rFonts w:hint="eastAsia" w:ascii="黑体" w:hAnsi="黑体" w:eastAsia="黑体" w:cs="Times New Roman"/>
          <w:color w:val="auto"/>
          <w:sz w:val="32"/>
          <w:szCs w:val="32"/>
          <w:highlight w:val="none"/>
        </w:rPr>
        <w:t>支出决算情况说明</w:t>
      </w:r>
      <w:bookmarkEnd w:id="37"/>
      <w:bookmarkEnd w:id="38"/>
      <w:bookmarkEnd w:id="39"/>
      <w:bookmarkEnd w:id="40"/>
    </w:p>
    <w:p w14:paraId="22F8B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年度</w:t>
      </w:r>
      <w:r>
        <w:rPr>
          <w:rFonts w:hint="default" w:ascii="Times New Roman" w:hAnsi="Times New Roman" w:eastAsia="仿宋_GB2312" w:cs="Times New Roman"/>
          <w:sz w:val="32"/>
          <w:szCs w:val="32"/>
        </w:rPr>
        <w:t>支出合计</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rPr>
        <w:t>万元，其中：基本支出</w:t>
      </w:r>
      <w:r>
        <w:rPr>
          <w:rFonts w:hint="eastAsia" w:eastAsia="仿宋_GB2312" w:cs="Times New Roman"/>
          <w:sz w:val="32"/>
          <w:szCs w:val="32"/>
          <w:lang w:val="en-US" w:eastAsia="zh-CN"/>
        </w:rPr>
        <w:t>712.84</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726.12</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%。（注：数据来源于财决04表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仅罗列本部门涉及的收入。</w:t>
      </w:r>
      <w:r>
        <w:rPr>
          <w:rFonts w:hint="default" w:ascii="Times New Roman" w:hAnsi="Times New Roman" w:eastAsia="仿宋_GB2312" w:cs="Times New Roman"/>
          <w:sz w:val="32"/>
          <w:szCs w:val="32"/>
        </w:rPr>
        <w:t>）</w:t>
      </w:r>
    </w:p>
    <w:p w14:paraId="3D535F07">
      <w:pPr>
        <w:pStyle w:val="38"/>
        <w:rPr>
          <w:rFonts w:ascii="仿宋" w:hAnsi="仿宋" w:eastAsia="仿宋"/>
          <w:color w:val="auto"/>
          <w:sz w:val="32"/>
          <w:szCs w:val="32"/>
          <w:highlight w:val="none"/>
        </w:rPr>
      </w:pPr>
      <w:r>
        <w:rPr>
          <w:rFonts w:hint="eastAsia" w:ascii="Times New Roman" w:hAnsi="Times New Roman" w:eastAsia="宋体" w:cs="Times New Roman"/>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Times New Roman" w:hAnsi="Times New Roman" w:cs="Times New Roman"/>
          <w:lang w:val="en-US" w:eastAsia="zh-CN"/>
        </w:rPr>
        <w:t xml:space="preserve">        </w:t>
      </w:r>
      <w:r>
        <w:rPr>
          <w:rFonts w:hint="eastAsia" w:ascii="仿宋" w:hAnsi="仿宋" w:eastAsia="仿宋"/>
          <w:color w:val="auto"/>
          <w:sz w:val="32"/>
          <w:szCs w:val="32"/>
          <w:highlight w:val="none"/>
        </w:rPr>
        <w:t>（图3：支出决算结构图）（饼状图）</w:t>
      </w:r>
    </w:p>
    <w:p w14:paraId="5D449063">
      <w:pPr>
        <w:spacing w:line="600" w:lineRule="exact"/>
        <w:ind w:firstLine="640" w:firstLineChars="200"/>
        <w:outlineLvl w:val="1"/>
        <w:rPr>
          <w:rFonts w:hint="eastAsia" w:ascii="黑体" w:hAnsi="黑体" w:eastAsia="黑体" w:cs="Times New Roman"/>
          <w:color w:val="auto"/>
          <w:sz w:val="32"/>
          <w:szCs w:val="32"/>
          <w:highlight w:val="none"/>
        </w:rPr>
      </w:pPr>
      <w:bookmarkStart w:id="41" w:name="_Toc24786"/>
      <w:bookmarkStart w:id="42" w:name="_Toc15396606"/>
      <w:bookmarkStart w:id="43" w:name="_Toc15377208"/>
      <w:bookmarkStart w:id="44" w:name="_Toc30743"/>
      <w:r>
        <w:rPr>
          <w:rFonts w:hint="eastAsia" w:ascii="黑体" w:hAnsi="黑体" w:eastAsia="黑体" w:cs="Times New Roman"/>
          <w:color w:val="auto"/>
          <w:sz w:val="32"/>
          <w:szCs w:val="32"/>
          <w:highlight w:val="none"/>
        </w:rPr>
        <w:t>四、财政拨款收入支出决算总体情况说明</w:t>
      </w:r>
      <w:bookmarkEnd w:id="41"/>
      <w:bookmarkEnd w:id="42"/>
      <w:bookmarkEnd w:id="43"/>
      <w:bookmarkEnd w:id="44"/>
    </w:p>
    <w:p w14:paraId="0A3CA3CD">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年度收、支总计</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lang w:val="en-US" w:eastAsia="zh-CN"/>
        </w:rPr>
        <w:t>万元。与202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年相比，收、支总计各</w:t>
      </w:r>
      <w:r>
        <w:rPr>
          <w:rFonts w:hint="eastAsia" w:eastAsia="仿宋_GB2312" w:cs="Times New Roman"/>
          <w:sz w:val="32"/>
          <w:szCs w:val="32"/>
          <w:lang w:val="en-US" w:eastAsia="zh-CN"/>
        </w:rPr>
        <w:t>增加207.11</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增长17</w:t>
      </w:r>
      <w:r>
        <w:rPr>
          <w:rFonts w:hint="default" w:ascii="Times New Roman" w:hAnsi="Times New Roman" w:eastAsia="仿宋_GB2312" w:cs="Times New Roman"/>
          <w:sz w:val="32"/>
          <w:szCs w:val="32"/>
          <w:lang w:val="en-US" w:eastAsia="zh-CN"/>
        </w:rPr>
        <w:t>%。主要变动原因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及人员调动。</w:t>
      </w:r>
      <w:r>
        <w:rPr>
          <w:rFonts w:hint="eastAsia" w:ascii="Times New Roman" w:hAnsi="Times New Roman" w:eastAsia="仿宋_GB2312" w:cs="Times New Roman"/>
          <w:sz w:val="32"/>
          <w:szCs w:val="32"/>
          <w:lang w:val="en-US" w:eastAsia="zh-CN"/>
        </w:rPr>
        <w:t>（注：数据来源于财决</w:t>
      </w:r>
      <w:r>
        <w:rPr>
          <w:rFonts w:hint="default" w:ascii="Times New Roman" w:hAnsi="Times New Roman" w:eastAsia="仿宋_GB2312" w:cs="Times New Roman"/>
          <w:sz w:val="32"/>
          <w:szCs w:val="32"/>
          <w:lang w:val="en-US" w:eastAsia="zh-CN"/>
        </w:rPr>
        <w:t>01-1</w:t>
      </w:r>
      <w:r>
        <w:rPr>
          <w:rFonts w:hint="eastAsia"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lang w:val="en-US" w:eastAsia="zh-CN"/>
        </w:rPr>
        <w:t>）</w:t>
      </w:r>
    </w:p>
    <w:p w14:paraId="2DABBA67">
      <w:pPr>
        <w:pStyle w:val="38"/>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88284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56568576">
      <w:pPr>
        <w:spacing w:line="600" w:lineRule="exact"/>
        <w:ind w:firstLine="640" w:firstLineChars="200"/>
        <w:outlineLvl w:val="1"/>
        <w:rPr>
          <w:rFonts w:hint="eastAsia" w:ascii="黑体" w:hAnsi="黑体" w:eastAsia="黑体" w:cs="Times New Roman"/>
          <w:color w:val="auto"/>
          <w:sz w:val="32"/>
          <w:szCs w:val="32"/>
          <w:highlight w:val="none"/>
        </w:rPr>
      </w:pPr>
      <w:bookmarkStart w:id="45" w:name="_Toc15377209"/>
      <w:bookmarkStart w:id="46" w:name="_Toc30132"/>
      <w:bookmarkStart w:id="47" w:name="_Toc15396607"/>
      <w:bookmarkStart w:id="48" w:name="_Toc12258"/>
      <w:r>
        <w:rPr>
          <w:rFonts w:hint="eastAsia" w:ascii="黑体" w:hAnsi="黑体" w:eastAsia="黑体" w:cs="Times New Roman"/>
          <w:color w:val="auto"/>
          <w:sz w:val="32"/>
          <w:szCs w:val="32"/>
          <w:highlight w:val="none"/>
        </w:rPr>
        <w:t>五、一般公共预算财政拨款支出决算情况说明</w:t>
      </w:r>
      <w:bookmarkEnd w:id="45"/>
      <w:bookmarkEnd w:id="46"/>
      <w:bookmarkEnd w:id="47"/>
      <w:bookmarkEnd w:id="48"/>
    </w:p>
    <w:p w14:paraId="6503E1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49" w:name="_Toc15377210"/>
      <w:r>
        <w:rPr>
          <w:rFonts w:hint="eastAsia" w:ascii="Times New Roman" w:hAnsi="Times New Roman" w:eastAsia="楷体_GB2312" w:cs="Times New Roman"/>
          <w:b/>
          <w:color w:val="000000"/>
          <w:sz w:val="32"/>
          <w:szCs w:val="32"/>
        </w:rPr>
        <w:t>（一）一般公共预算财政拨款支出决算总体情况</w:t>
      </w:r>
      <w:bookmarkEnd w:id="49"/>
    </w:p>
    <w:p w14:paraId="20E684B1">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年一般公共预算财政拨款支出</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lang w:val="en-US" w:eastAsia="zh-CN"/>
        </w:rPr>
        <w:t>万元，占本年支出合计的100%。与202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年相比，一般公共预算财政拨款</w:t>
      </w:r>
      <w:r>
        <w:rPr>
          <w:rFonts w:hint="eastAsia" w:eastAsia="仿宋_GB2312" w:cs="Times New Roman"/>
          <w:sz w:val="32"/>
          <w:szCs w:val="32"/>
          <w:lang w:val="en-US" w:eastAsia="zh-CN"/>
        </w:rPr>
        <w:t>增加207.11</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增长17</w:t>
      </w:r>
      <w:r>
        <w:rPr>
          <w:rFonts w:hint="default" w:ascii="Times New Roman" w:hAnsi="Times New Roman" w:eastAsia="仿宋_GB2312" w:cs="Times New Roman"/>
          <w:sz w:val="32"/>
          <w:szCs w:val="32"/>
          <w:lang w:val="en-US" w:eastAsia="zh-CN"/>
        </w:rPr>
        <w:t>%。主要变动原因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及人员调动。</w:t>
      </w:r>
    </w:p>
    <w:p w14:paraId="1C9A7E74">
      <w:pPr>
        <w:pStyle w:val="38"/>
        <w:rPr>
          <w:rFonts w:hint="default" w:ascii="Times New Roman" w:hAnsi="Times New Roman" w:cs="Times New Roman"/>
          <w:lang w:eastAsia="zh-CN"/>
        </w:rPr>
      </w:pPr>
      <w:r>
        <w:rPr>
          <w:rFonts w:hint="eastAsia" w:ascii="Times New Roman" w:hAnsi="Times New Roman" w:eastAsia="宋体" w:cs="Times New Roman"/>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5DAA9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30C0D17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color w:val="000000"/>
          <w:sz w:val="32"/>
          <w:szCs w:val="32"/>
        </w:rPr>
      </w:pPr>
      <w:bookmarkStart w:id="50" w:name="_Toc15377211"/>
      <w:r>
        <w:rPr>
          <w:rFonts w:hint="eastAsia" w:ascii="Times New Roman" w:hAnsi="Times New Roman" w:eastAsia="楷体_GB2312" w:cs="Times New Roman"/>
          <w:b/>
          <w:color w:val="000000"/>
          <w:sz w:val="32"/>
          <w:szCs w:val="32"/>
        </w:rPr>
        <w:t>（二）一般公共预算财政拨款支出决算结构情况</w:t>
      </w:r>
      <w:bookmarkEnd w:id="50"/>
    </w:p>
    <w:p w14:paraId="10E49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年一般公共预算财政拨款支出</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lang w:val="en-US" w:eastAsia="zh-CN"/>
        </w:rPr>
        <w:t>万元，主要用于以下方面：</w:t>
      </w:r>
      <w:r>
        <w:rPr>
          <w:rFonts w:hint="default" w:ascii="Times New Roman" w:hAnsi="Times New Roman" w:eastAsia="仿宋" w:cs="Times New Roman"/>
          <w:b/>
          <w:color w:val="000000"/>
          <w:sz w:val="32"/>
          <w:szCs w:val="32"/>
        </w:rPr>
        <w:t>一般公共服务（类）</w:t>
      </w:r>
      <w:r>
        <w:rPr>
          <w:rFonts w:hint="default" w:ascii="Times New Roman" w:hAnsi="Times New Roman" w:eastAsia="仿宋_GB2312" w:cs="Times New Roman"/>
          <w:sz w:val="32"/>
          <w:szCs w:val="32"/>
          <w:lang w:val="en-US" w:eastAsia="zh-CN"/>
        </w:rPr>
        <w:t>支出</w:t>
      </w:r>
      <w:r>
        <w:rPr>
          <w:rFonts w:hint="eastAsia" w:eastAsia="仿宋_GB2312" w:cs="Times New Roman"/>
          <w:sz w:val="32"/>
          <w:szCs w:val="32"/>
          <w:lang w:val="en-US" w:eastAsia="zh-CN"/>
        </w:rPr>
        <w:t>634.84</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44</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b/>
          <w:color w:val="000000"/>
          <w:sz w:val="32"/>
          <w:szCs w:val="32"/>
          <w:lang w:val="en-US" w:eastAsia="zh-CN"/>
        </w:rPr>
        <w:t>社会保障和就业支出</w:t>
      </w:r>
      <w:r>
        <w:rPr>
          <w:rFonts w:hint="default" w:ascii="Times New Roman" w:hAnsi="Times New Roman" w:eastAsia="仿宋" w:cs="Times New Roman"/>
          <w:b/>
          <w:color w:val="000000"/>
          <w:sz w:val="32"/>
          <w:szCs w:val="32"/>
        </w:rPr>
        <w:t>（类）</w:t>
      </w:r>
      <w:r>
        <w:rPr>
          <w:rFonts w:hint="eastAsia" w:eastAsia="仿宋_GB2312" w:cs="Times New Roman"/>
          <w:sz w:val="32"/>
          <w:szCs w:val="32"/>
          <w:lang w:val="en-US" w:eastAsia="zh-CN"/>
        </w:rPr>
        <w:t>97.79</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b/>
          <w:bCs/>
          <w:color w:val="000000"/>
          <w:sz w:val="32"/>
          <w:szCs w:val="32"/>
        </w:rPr>
        <w:t>卫生健康支出</w:t>
      </w:r>
      <w:r>
        <w:rPr>
          <w:rFonts w:hint="eastAsia" w:eastAsia="仿宋_GB2312" w:cs="Times New Roman"/>
          <w:sz w:val="32"/>
          <w:szCs w:val="32"/>
          <w:lang w:val="en-US" w:eastAsia="zh-CN"/>
        </w:rPr>
        <w:t>76.08</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default" w:ascii="Times New Roman" w:hAnsi="Times New Roman" w:eastAsia="仿宋" w:cs="Times New Roman"/>
          <w:b/>
          <w:bCs/>
          <w:color w:val="000000"/>
          <w:sz w:val="32"/>
          <w:szCs w:val="32"/>
          <w:lang w:eastAsia="zh-CN"/>
        </w:rPr>
        <w:t>农林水支出</w:t>
      </w:r>
      <w:r>
        <w:rPr>
          <w:rFonts w:hint="eastAsia" w:eastAsia="仿宋_GB2312" w:cs="Times New Roman"/>
          <w:sz w:val="32"/>
          <w:szCs w:val="32"/>
          <w:lang w:val="en-US" w:eastAsia="zh-CN"/>
        </w:rPr>
        <w:t>530.42</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37</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b/>
          <w:bCs/>
          <w:color w:val="000000"/>
          <w:sz w:val="32"/>
          <w:szCs w:val="32"/>
        </w:rPr>
        <w:t>住房保障支出</w:t>
      </w:r>
      <w:r>
        <w:rPr>
          <w:rFonts w:hint="eastAsia" w:eastAsia="仿宋_GB2312" w:cs="Times New Roman"/>
          <w:sz w:val="32"/>
          <w:szCs w:val="32"/>
          <w:lang w:val="en-US" w:eastAsia="zh-CN"/>
        </w:rPr>
        <w:t>45.57</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lang w:eastAsia="zh-CN"/>
        </w:rPr>
        <w:t>灾害防治及应急管理支出</w:t>
      </w:r>
      <w:r>
        <w:rPr>
          <w:rFonts w:hint="eastAsia" w:eastAsia="仿宋_GB2312" w:cs="Times New Roman"/>
          <w:sz w:val="32"/>
          <w:szCs w:val="32"/>
          <w:lang w:val="en-US" w:eastAsia="zh-CN"/>
        </w:rPr>
        <w:t>41.85</w:t>
      </w:r>
      <w:r>
        <w:rPr>
          <w:rFonts w:hint="default"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 w:cs="Times New Roman"/>
          <w:b/>
          <w:bCs/>
          <w:color w:val="000000"/>
          <w:sz w:val="32"/>
          <w:szCs w:val="32"/>
          <w:lang w:val="en-US" w:eastAsia="zh-CN"/>
        </w:rPr>
        <w:t>其他支出</w:t>
      </w:r>
      <w:r>
        <w:rPr>
          <w:rFonts w:hint="eastAsia" w:ascii="Times New Roman" w:hAnsi="Times New Roman" w:eastAsia="仿宋" w:cs="Times New Roman"/>
          <w:b w:val="0"/>
          <w:bCs w:val="0"/>
          <w:color w:val="000000"/>
          <w:sz w:val="32"/>
          <w:szCs w:val="32"/>
          <w:lang w:val="en-US" w:eastAsia="zh-CN"/>
        </w:rPr>
        <w:t>12.42</w:t>
      </w:r>
      <w:r>
        <w:rPr>
          <w:rFonts w:hint="eastAsia" w:eastAsia="仿宋_GB2312" w:cs="Times New Roman"/>
          <w:sz w:val="32"/>
          <w:szCs w:val="32"/>
          <w:lang w:val="en-US" w:eastAsia="zh-CN"/>
        </w:rPr>
        <w:t>万元，占1%。</w:t>
      </w:r>
      <w:r>
        <w:rPr>
          <w:rFonts w:hint="eastAsia" w:ascii="Times New Roman" w:hAnsi="Times New Roman" w:eastAsia="仿宋_GB2312" w:cs="Times New Roman"/>
          <w:sz w:val="32"/>
          <w:szCs w:val="32"/>
          <w:lang w:val="en-US" w:eastAsia="zh-CN"/>
        </w:rPr>
        <w:t>（注：数据来源于财决01-1表，仅罗列本部门涉及的全部功能分类科目，至类级。）</w:t>
      </w:r>
    </w:p>
    <w:p w14:paraId="0937809F">
      <w:pPr>
        <w:pStyle w:val="38"/>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5D650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6FA2F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51" w:name="_Toc15377212"/>
      <w:r>
        <w:rPr>
          <w:rFonts w:hint="eastAsia" w:ascii="Times New Roman" w:hAnsi="Times New Roman" w:eastAsia="楷体_GB2312" w:cs="Times New Roman"/>
          <w:b/>
          <w:color w:val="000000"/>
          <w:sz w:val="32"/>
          <w:szCs w:val="32"/>
        </w:rPr>
        <w:t>（三）一般公共预算财政拨款支出决算具体情况</w:t>
      </w:r>
      <w:bookmarkEnd w:id="51"/>
    </w:p>
    <w:p w14:paraId="4AF8D8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bookmarkStart w:id="52" w:name="_Toc15377213"/>
      <w:bookmarkStart w:id="53" w:name="_Toc15378460"/>
      <w:bookmarkStart w:id="54" w:name="_Toc15377444"/>
      <w:r>
        <w:rPr>
          <w:rFonts w:hint="default" w:ascii="Times New Roman" w:hAnsi="Times New Roman" w:eastAsia="仿宋_GB2312" w:cs="Times New Roman"/>
          <w:b/>
          <w:bCs/>
          <w:sz w:val="32"/>
          <w:szCs w:val="32"/>
        </w:rPr>
        <w:t>202</w:t>
      </w:r>
      <w:r>
        <w:rPr>
          <w:rFonts w:hint="eastAsia" w:eastAsia="仿宋_GB2312" w:cs="Times New Roman"/>
          <w:b/>
          <w:bCs/>
          <w:sz w:val="32"/>
          <w:szCs w:val="32"/>
          <w:lang w:val="en-US" w:eastAsia="zh-CN"/>
        </w:rPr>
        <w:t>2</w:t>
      </w:r>
      <w:r>
        <w:rPr>
          <w:rFonts w:hint="default" w:ascii="Times New Roman" w:hAnsi="Times New Roman" w:eastAsia="仿宋_GB2312" w:cs="Times New Roman"/>
          <w:b/>
          <w:bCs/>
          <w:sz w:val="32"/>
          <w:szCs w:val="32"/>
        </w:rPr>
        <w:t>年一般公共预算支出决算数为</w:t>
      </w:r>
      <w:r>
        <w:rPr>
          <w:rFonts w:hint="eastAsia" w:eastAsia="仿宋_GB2312" w:cs="Times New Roman"/>
          <w:b/>
          <w:bCs/>
          <w:sz w:val="32"/>
          <w:szCs w:val="32"/>
          <w:lang w:val="en-US" w:eastAsia="zh-CN"/>
        </w:rPr>
        <w:t>1161.27</w:t>
      </w:r>
      <w:r>
        <w:rPr>
          <w:rFonts w:hint="default" w:ascii="Times New Roman" w:hAnsi="Times New Roman" w:eastAsia="仿宋_GB2312" w:cs="Times New Roman"/>
          <w:b/>
          <w:bCs/>
          <w:sz w:val="32"/>
          <w:szCs w:val="32"/>
        </w:rPr>
        <w:t>，完成预算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%。其中：</w:t>
      </w:r>
      <w:bookmarkEnd w:id="52"/>
      <w:bookmarkEnd w:id="53"/>
      <w:bookmarkEnd w:id="54"/>
    </w:p>
    <w:p w14:paraId="18F146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default" w:ascii="Times New Roman" w:hAnsi="Times New Roman" w:eastAsia="仿宋" w:cs="Times New Roman"/>
          <w:bCs/>
          <w:color w:val="000000"/>
          <w:sz w:val="32"/>
          <w:szCs w:val="32"/>
        </w:rPr>
        <w:t>1.一般公共服务（类）</w:t>
      </w:r>
      <w:r>
        <w:rPr>
          <w:rStyle w:val="20"/>
          <w:rFonts w:hint="default" w:ascii="Times New Roman" w:hAnsi="Times New Roman" w:eastAsia="仿宋" w:cs="Times New Roman"/>
          <w:bCs/>
          <w:color w:val="000000"/>
          <w:sz w:val="32"/>
          <w:szCs w:val="32"/>
          <w:lang w:val="en-US" w:eastAsia="zh-CN"/>
        </w:rPr>
        <w:t>201</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04</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01</w:t>
      </w:r>
      <w:r>
        <w:rPr>
          <w:rStyle w:val="20"/>
          <w:rFonts w:hint="eastAsia" w:eastAsia="仿宋"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344.8</w:t>
      </w:r>
      <w:r>
        <w:rPr>
          <w:rFonts w:hint="default" w:ascii="Times New Roman" w:hAnsi="Times New Roman" w:eastAsia="仿宋_GB2312" w:cs="Times New Roman"/>
          <w:sz w:val="32"/>
          <w:szCs w:val="32"/>
          <w:lang w:val="en-US" w:eastAsia="zh-CN"/>
        </w:rPr>
        <w:t>万元，完成预算100%，决算数等于预算数。</w:t>
      </w:r>
    </w:p>
    <w:p w14:paraId="15D3F4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default" w:ascii="Times New Roman" w:hAnsi="Times New Roman" w:eastAsia="仿宋" w:cs="Times New Roman"/>
          <w:bCs/>
          <w:color w:val="000000"/>
          <w:sz w:val="32"/>
          <w:szCs w:val="32"/>
        </w:rPr>
        <w:t>2.一般公共服务（类）</w:t>
      </w:r>
      <w:r>
        <w:rPr>
          <w:rStyle w:val="20"/>
          <w:rFonts w:hint="default" w:ascii="Times New Roman" w:hAnsi="Times New Roman" w:eastAsia="仿宋" w:cs="Times New Roman"/>
          <w:bCs/>
          <w:color w:val="000000"/>
          <w:sz w:val="32"/>
          <w:szCs w:val="32"/>
          <w:lang w:val="en-US" w:eastAsia="zh-CN"/>
        </w:rPr>
        <w:t>201</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04</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02</w:t>
      </w:r>
      <w:r>
        <w:rPr>
          <w:rStyle w:val="20"/>
          <w:rFonts w:hint="eastAsia" w:eastAsia="仿宋"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79.4</w:t>
      </w:r>
      <w:r>
        <w:rPr>
          <w:rFonts w:hint="default" w:ascii="Times New Roman" w:hAnsi="Times New Roman" w:eastAsia="仿宋_GB2312" w:cs="Times New Roman"/>
          <w:sz w:val="32"/>
          <w:szCs w:val="32"/>
          <w:lang w:val="en-US" w:eastAsia="zh-CN"/>
        </w:rPr>
        <w:t>万元，完成预算100%，决算数等于预算数。</w:t>
      </w:r>
    </w:p>
    <w:p w14:paraId="68F769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3</w:t>
      </w:r>
      <w:r>
        <w:rPr>
          <w:rStyle w:val="20"/>
          <w:rFonts w:hint="default" w:ascii="Times New Roman" w:hAnsi="Times New Roman" w:eastAsia="仿宋" w:cs="Times New Roman"/>
          <w:bCs/>
          <w:color w:val="000000"/>
          <w:sz w:val="32"/>
          <w:szCs w:val="32"/>
        </w:rPr>
        <w:t>.一般公共服务（类）</w:t>
      </w:r>
      <w:r>
        <w:rPr>
          <w:rStyle w:val="20"/>
          <w:rFonts w:hint="default" w:ascii="Times New Roman" w:hAnsi="Times New Roman" w:eastAsia="仿宋" w:cs="Times New Roman"/>
          <w:bCs/>
          <w:color w:val="000000"/>
          <w:sz w:val="32"/>
          <w:szCs w:val="32"/>
          <w:lang w:val="en-US" w:eastAsia="zh-CN"/>
        </w:rPr>
        <w:t>201</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04</w:t>
      </w:r>
      <w:r>
        <w:rPr>
          <w:rStyle w:val="20"/>
          <w:rFonts w:hint="default" w:ascii="Times New Roman" w:hAnsi="Times New Roman" w:eastAsia="仿宋" w:cs="Times New Roman"/>
          <w:bCs/>
          <w:color w:val="000000"/>
          <w:sz w:val="32"/>
          <w:szCs w:val="32"/>
        </w:rPr>
        <w:t>（项）</w:t>
      </w:r>
      <w:r>
        <w:rPr>
          <w:rStyle w:val="20"/>
          <w:rFonts w:hint="eastAsia" w:eastAsia="仿宋" w:cs="Times New Roman"/>
          <w:bCs/>
          <w:color w:val="000000"/>
          <w:sz w:val="32"/>
          <w:szCs w:val="32"/>
          <w:lang w:val="en-US" w:eastAsia="zh-CN"/>
        </w:rPr>
        <w:t>50：</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210.64</w:t>
      </w:r>
      <w:r>
        <w:rPr>
          <w:rFonts w:hint="default" w:ascii="Times New Roman" w:hAnsi="Times New Roman" w:eastAsia="仿宋_GB2312" w:cs="Times New Roman"/>
          <w:sz w:val="32"/>
          <w:szCs w:val="32"/>
          <w:lang w:val="en-US" w:eastAsia="zh-CN"/>
        </w:rPr>
        <w:t>万元，完成预算100%，决算数等于预算数。</w:t>
      </w:r>
    </w:p>
    <w:p w14:paraId="481FE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color w:val="000000"/>
          <w:sz w:val="32"/>
          <w:szCs w:val="32"/>
        </w:rPr>
      </w:pPr>
      <w:r>
        <w:rPr>
          <w:rStyle w:val="20"/>
          <w:rFonts w:hint="eastAsia" w:eastAsia="仿宋" w:cs="Times New Roman"/>
          <w:bCs/>
          <w:color w:val="000000"/>
          <w:sz w:val="32"/>
          <w:szCs w:val="32"/>
          <w:lang w:val="en-US" w:eastAsia="zh-CN"/>
        </w:rPr>
        <w:t>4</w:t>
      </w:r>
      <w:r>
        <w:rPr>
          <w:rStyle w:val="20"/>
          <w:rFonts w:hint="default" w:ascii="Times New Roman" w:hAnsi="Times New Roman" w:eastAsia="仿宋" w:cs="Times New Roman"/>
          <w:bCs/>
          <w:color w:val="000000"/>
          <w:sz w:val="32"/>
          <w:szCs w:val="32"/>
        </w:rPr>
        <w:t>.</w:t>
      </w:r>
      <w:r>
        <w:rPr>
          <w:rStyle w:val="20"/>
          <w:rFonts w:hint="default" w:ascii="Times New Roman" w:hAnsi="Times New Roman" w:eastAsia="仿宋" w:cs="Times New Roman"/>
          <w:bCs/>
          <w:color w:val="000000"/>
          <w:sz w:val="32"/>
          <w:szCs w:val="32"/>
          <w:lang w:eastAsia="zh-CN"/>
        </w:rPr>
        <w:t>社会保障和就业</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208</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05</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05</w:t>
      </w:r>
      <w:r>
        <w:rPr>
          <w:rStyle w:val="20"/>
          <w:rFonts w:hint="eastAsia" w:eastAsia="仿宋"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53.10</w:t>
      </w:r>
      <w:r>
        <w:rPr>
          <w:rFonts w:hint="default" w:ascii="Times New Roman" w:hAnsi="Times New Roman" w:eastAsia="仿宋_GB2312" w:cs="Times New Roman"/>
          <w:sz w:val="32"/>
          <w:szCs w:val="32"/>
          <w:lang w:val="en-US" w:eastAsia="zh-CN"/>
        </w:rPr>
        <w:t>万元，完成预算100%，决算数等于预算数。</w:t>
      </w:r>
    </w:p>
    <w:p w14:paraId="5DEFB1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5</w:t>
      </w:r>
      <w:r>
        <w:rPr>
          <w:rStyle w:val="20"/>
          <w:rFonts w:hint="default" w:ascii="Times New Roman" w:hAnsi="Times New Roman" w:eastAsia="仿宋" w:cs="Times New Roman"/>
          <w:bCs/>
          <w:color w:val="000000"/>
          <w:sz w:val="32"/>
          <w:szCs w:val="32"/>
        </w:rPr>
        <w:t>.</w:t>
      </w:r>
      <w:r>
        <w:rPr>
          <w:rStyle w:val="20"/>
          <w:rFonts w:hint="default" w:ascii="Times New Roman" w:hAnsi="Times New Roman" w:eastAsia="仿宋" w:cs="Times New Roman"/>
          <w:bCs/>
          <w:color w:val="000000"/>
          <w:sz w:val="32"/>
          <w:szCs w:val="32"/>
          <w:lang w:eastAsia="zh-CN"/>
        </w:rPr>
        <w:t>社会保障和就业</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208</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05</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06：</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26.55</w:t>
      </w:r>
      <w:r>
        <w:rPr>
          <w:rFonts w:hint="default" w:ascii="Times New Roman" w:hAnsi="Times New Roman" w:eastAsia="仿宋_GB2312" w:cs="Times New Roman"/>
          <w:sz w:val="32"/>
          <w:szCs w:val="32"/>
          <w:lang w:val="en-US" w:eastAsia="zh-CN"/>
        </w:rPr>
        <w:t>万元，完成预算100%，决算数等于预算数。</w:t>
      </w:r>
    </w:p>
    <w:p w14:paraId="05E981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6</w:t>
      </w:r>
      <w:r>
        <w:rPr>
          <w:rStyle w:val="20"/>
          <w:rFonts w:hint="default" w:ascii="Times New Roman" w:hAnsi="Times New Roman" w:eastAsia="仿宋" w:cs="Times New Roman"/>
          <w:bCs/>
          <w:color w:val="000000"/>
          <w:sz w:val="32"/>
          <w:szCs w:val="32"/>
        </w:rPr>
        <w:t>.</w:t>
      </w:r>
      <w:r>
        <w:rPr>
          <w:rStyle w:val="20"/>
          <w:rFonts w:hint="default" w:ascii="Times New Roman" w:hAnsi="Times New Roman" w:eastAsia="仿宋" w:cs="Times New Roman"/>
          <w:bCs/>
          <w:color w:val="000000"/>
          <w:sz w:val="32"/>
          <w:szCs w:val="32"/>
          <w:lang w:eastAsia="zh-CN"/>
        </w:rPr>
        <w:t>社会保障和就业</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208</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08</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01：</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18.13</w:t>
      </w:r>
      <w:r>
        <w:rPr>
          <w:rFonts w:hint="default" w:ascii="Times New Roman" w:hAnsi="Times New Roman" w:eastAsia="仿宋_GB2312" w:cs="Times New Roman"/>
          <w:sz w:val="32"/>
          <w:szCs w:val="32"/>
          <w:lang w:val="en-US" w:eastAsia="zh-CN"/>
        </w:rPr>
        <w:t>万元，完成预算100%，决算数等于预算数。</w:t>
      </w:r>
    </w:p>
    <w:p w14:paraId="35DDB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7</w:t>
      </w:r>
      <w:r>
        <w:rPr>
          <w:rStyle w:val="20"/>
          <w:rFonts w:hint="default" w:ascii="Times New Roman" w:hAnsi="Times New Roman" w:eastAsia="仿宋" w:cs="Times New Roman"/>
          <w:bCs/>
          <w:color w:val="000000"/>
          <w:sz w:val="32"/>
          <w:szCs w:val="32"/>
        </w:rPr>
        <w:t>.</w:t>
      </w:r>
      <w:r>
        <w:rPr>
          <w:rStyle w:val="20"/>
          <w:rFonts w:hint="default" w:ascii="Times New Roman" w:hAnsi="Times New Roman" w:eastAsia="仿宋" w:cs="Times New Roman"/>
          <w:bCs/>
          <w:color w:val="000000"/>
          <w:sz w:val="32"/>
          <w:szCs w:val="32"/>
          <w:lang w:eastAsia="zh-CN"/>
        </w:rPr>
        <w:t>卫生健康支出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210</w:t>
      </w:r>
      <w:r>
        <w:rPr>
          <w:rStyle w:val="20"/>
          <w:rFonts w:hint="default" w:ascii="Times New Roman" w:hAnsi="Times New Roman" w:eastAsia="仿宋" w:cs="Times New Roman"/>
          <w:bCs/>
          <w:color w:val="000000"/>
          <w:sz w:val="32"/>
          <w:szCs w:val="32"/>
        </w:rPr>
        <w:t>（款）</w:t>
      </w:r>
      <w:r>
        <w:rPr>
          <w:rStyle w:val="20"/>
          <w:rFonts w:hint="eastAsia" w:eastAsia="仿宋" w:cs="Times New Roman"/>
          <w:bCs/>
          <w:color w:val="000000"/>
          <w:sz w:val="32"/>
          <w:szCs w:val="32"/>
          <w:lang w:val="en-US" w:eastAsia="zh-CN"/>
        </w:rPr>
        <w:t>04</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w:t>
      </w:r>
      <w:r>
        <w:rPr>
          <w:rStyle w:val="20"/>
          <w:rFonts w:hint="eastAsia" w:eastAsia="仿宋" w:cs="Times New Roman"/>
          <w:bCs/>
          <w:color w:val="000000"/>
          <w:sz w:val="32"/>
          <w:szCs w:val="32"/>
          <w:lang w:val="en-US" w:eastAsia="zh-CN"/>
        </w:rPr>
        <w:t>9</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43.91</w:t>
      </w:r>
      <w:r>
        <w:rPr>
          <w:rFonts w:hint="default" w:ascii="Times New Roman" w:hAnsi="Times New Roman" w:eastAsia="仿宋_GB2312" w:cs="Times New Roman"/>
          <w:sz w:val="32"/>
          <w:szCs w:val="32"/>
          <w:lang w:val="en-US" w:eastAsia="zh-CN"/>
        </w:rPr>
        <w:t>万元，完成预算100%，决算数等于预算数。</w:t>
      </w:r>
    </w:p>
    <w:p w14:paraId="5BF8604B">
      <w:pPr>
        <w:pStyle w:val="3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Style w:val="20"/>
          <w:rFonts w:hint="eastAsia" w:ascii="Times New Roman" w:hAnsi="Times New Roman" w:eastAsia="仿宋" w:cs="Times New Roman"/>
          <w:bCs/>
          <w:color w:val="000000"/>
          <w:sz w:val="32"/>
          <w:szCs w:val="32"/>
          <w:lang w:val="en-US" w:eastAsia="zh-CN"/>
        </w:rPr>
        <w:t>8</w:t>
      </w:r>
      <w:r>
        <w:rPr>
          <w:rStyle w:val="20"/>
          <w:rFonts w:hint="default" w:ascii="Times New Roman" w:hAnsi="Times New Roman" w:eastAsia="仿宋" w:cs="Times New Roman"/>
          <w:bCs/>
          <w:color w:val="000000"/>
          <w:sz w:val="32"/>
          <w:szCs w:val="32"/>
          <w:lang w:val="en-US" w:eastAsia="zh-CN"/>
        </w:rPr>
        <w:t>.</w:t>
      </w:r>
      <w:r>
        <w:rPr>
          <w:rStyle w:val="20"/>
          <w:rFonts w:hint="default" w:ascii="Times New Roman" w:hAnsi="Times New Roman" w:eastAsia="仿宋" w:cs="Times New Roman"/>
          <w:bCs/>
          <w:color w:val="000000"/>
          <w:sz w:val="32"/>
          <w:szCs w:val="32"/>
          <w:lang w:eastAsia="zh-CN"/>
        </w:rPr>
        <w:t>卫生健康支出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210</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11</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w:t>
      </w:r>
      <w:r>
        <w:rPr>
          <w:rStyle w:val="20"/>
          <w:rFonts w:hint="eastAsia" w:ascii="Times New Roman" w:hAnsi="Times New Roman" w:eastAsia="仿宋" w:cs="Times New Roman"/>
          <w:bCs/>
          <w:color w:val="000000"/>
          <w:sz w:val="32"/>
          <w:szCs w:val="32"/>
          <w:lang w:val="en-US" w:eastAsia="zh-CN"/>
        </w:rPr>
        <w:t>1</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14.16</w:t>
      </w:r>
      <w:r>
        <w:rPr>
          <w:rFonts w:hint="default" w:ascii="Times New Roman" w:hAnsi="Times New Roman" w:eastAsia="仿宋_GB2312" w:cs="Times New Roman"/>
          <w:kern w:val="2"/>
          <w:sz w:val="32"/>
          <w:szCs w:val="32"/>
          <w:lang w:val="en-US" w:eastAsia="zh-CN" w:bidi="ar-SA"/>
        </w:rPr>
        <w:t>万元，完成预算100%，决算数等于预算数。</w:t>
      </w:r>
    </w:p>
    <w:p w14:paraId="462E3D46">
      <w:pPr>
        <w:pStyle w:val="3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Style w:val="20"/>
          <w:rFonts w:hint="eastAsia" w:ascii="Times New Roman" w:hAnsi="Times New Roman" w:eastAsia="仿宋" w:cs="Times New Roman"/>
          <w:bCs/>
          <w:color w:val="000000"/>
          <w:sz w:val="32"/>
          <w:szCs w:val="32"/>
          <w:lang w:val="en-US" w:eastAsia="zh-CN"/>
        </w:rPr>
        <w:t>9</w:t>
      </w:r>
      <w:r>
        <w:rPr>
          <w:rStyle w:val="20"/>
          <w:rFonts w:hint="default" w:ascii="Times New Roman" w:hAnsi="Times New Roman" w:eastAsia="仿宋" w:cs="Times New Roman"/>
          <w:bCs/>
          <w:color w:val="000000"/>
          <w:sz w:val="32"/>
          <w:szCs w:val="32"/>
          <w:lang w:val="en-US" w:eastAsia="zh-CN"/>
        </w:rPr>
        <w:t>.</w:t>
      </w:r>
      <w:r>
        <w:rPr>
          <w:rStyle w:val="20"/>
          <w:rFonts w:hint="default" w:ascii="Times New Roman" w:hAnsi="Times New Roman" w:eastAsia="仿宋" w:cs="Times New Roman"/>
          <w:bCs/>
          <w:color w:val="000000"/>
          <w:sz w:val="32"/>
          <w:szCs w:val="32"/>
          <w:lang w:eastAsia="zh-CN"/>
        </w:rPr>
        <w:t>卫生健康支出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210</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11</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w:t>
      </w:r>
      <w:r>
        <w:rPr>
          <w:rStyle w:val="20"/>
          <w:rFonts w:hint="eastAsia" w:ascii="Times New Roman" w:hAnsi="Times New Roman" w:eastAsia="仿宋" w:cs="Times New Roman"/>
          <w:bCs/>
          <w:color w:val="000000"/>
          <w:sz w:val="32"/>
          <w:szCs w:val="32"/>
          <w:lang w:val="en-US" w:eastAsia="zh-CN"/>
        </w:rPr>
        <w:t>2</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10.91</w:t>
      </w:r>
      <w:r>
        <w:rPr>
          <w:rFonts w:hint="default" w:ascii="Times New Roman" w:hAnsi="Times New Roman" w:eastAsia="仿宋_GB2312" w:cs="Times New Roman"/>
          <w:kern w:val="2"/>
          <w:sz w:val="32"/>
          <w:szCs w:val="32"/>
          <w:lang w:val="en-US" w:eastAsia="zh-CN" w:bidi="ar-SA"/>
        </w:rPr>
        <w:t>万元，完成预算100%，决算数等于预算数。</w:t>
      </w:r>
    </w:p>
    <w:p w14:paraId="3D613426">
      <w:pPr>
        <w:pStyle w:val="3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Style w:val="20"/>
          <w:rFonts w:hint="eastAsia" w:ascii="Times New Roman" w:hAnsi="Times New Roman" w:eastAsia="仿宋" w:cs="Times New Roman"/>
          <w:bCs/>
          <w:color w:val="000000"/>
          <w:sz w:val="32"/>
          <w:szCs w:val="32"/>
          <w:lang w:val="en-US" w:eastAsia="zh-CN"/>
        </w:rPr>
        <w:t>10.</w:t>
      </w:r>
      <w:r>
        <w:rPr>
          <w:rStyle w:val="20"/>
          <w:rFonts w:hint="default" w:ascii="Times New Roman" w:hAnsi="Times New Roman" w:eastAsia="仿宋" w:cs="Times New Roman"/>
          <w:bCs/>
          <w:color w:val="000000"/>
          <w:sz w:val="32"/>
          <w:szCs w:val="32"/>
          <w:lang w:eastAsia="zh-CN"/>
        </w:rPr>
        <w:t>卫生健康支出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210</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11</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w:t>
      </w:r>
      <w:r>
        <w:rPr>
          <w:rStyle w:val="20"/>
          <w:rFonts w:hint="eastAsia" w:ascii="Times New Roman" w:hAnsi="Times New Roman" w:eastAsia="仿宋" w:cs="Times New Roman"/>
          <w:bCs/>
          <w:color w:val="000000"/>
          <w:sz w:val="32"/>
          <w:szCs w:val="32"/>
          <w:lang w:val="en-US" w:eastAsia="zh-CN"/>
        </w:rPr>
        <w:t>3</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4.45</w:t>
      </w:r>
      <w:r>
        <w:rPr>
          <w:rFonts w:hint="default" w:ascii="Times New Roman" w:hAnsi="Times New Roman" w:eastAsia="仿宋_GB2312" w:cs="Times New Roman"/>
          <w:kern w:val="2"/>
          <w:sz w:val="32"/>
          <w:szCs w:val="32"/>
          <w:lang w:val="en-US" w:eastAsia="zh-CN" w:bidi="ar-SA"/>
        </w:rPr>
        <w:t>万元，完成预算100%，决算数等于预算数。</w:t>
      </w:r>
    </w:p>
    <w:p w14:paraId="19B72DFA">
      <w:pPr>
        <w:pStyle w:val="3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Style w:val="20"/>
          <w:rFonts w:hint="eastAsia" w:ascii="Times New Roman" w:hAnsi="Times New Roman" w:eastAsia="仿宋" w:cs="Times New Roman"/>
          <w:bCs/>
          <w:color w:val="000000"/>
          <w:sz w:val="32"/>
          <w:szCs w:val="32"/>
          <w:lang w:val="en-US" w:eastAsia="zh-CN"/>
        </w:rPr>
        <w:t>11</w:t>
      </w:r>
      <w:r>
        <w:rPr>
          <w:rStyle w:val="20"/>
          <w:rFonts w:hint="default" w:ascii="Times New Roman" w:hAnsi="Times New Roman" w:eastAsia="仿宋" w:cs="Times New Roman"/>
          <w:bCs/>
          <w:color w:val="000000"/>
          <w:sz w:val="32"/>
          <w:szCs w:val="32"/>
          <w:lang w:val="en-US" w:eastAsia="zh-CN"/>
        </w:rPr>
        <w:t>.</w:t>
      </w:r>
      <w:r>
        <w:rPr>
          <w:rStyle w:val="20"/>
          <w:rFonts w:hint="default" w:ascii="Times New Roman" w:hAnsi="Times New Roman" w:eastAsia="仿宋" w:cs="Times New Roman"/>
          <w:bCs/>
          <w:color w:val="000000"/>
          <w:sz w:val="32"/>
          <w:szCs w:val="32"/>
          <w:lang w:eastAsia="zh-CN"/>
        </w:rPr>
        <w:t>卫生健康支出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210</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11</w:t>
      </w:r>
      <w:r>
        <w:rPr>
          <w:rStyle w:val="20"/>
          <w:rFonts w:hint="default" w:ascii="Times New Roman" w:hAnsi="Times New Roman" w:eastAsia="仿宋" w:cs="Times New Roman"/>
          <w:bCs/>
          <w:color w:val="000000"/>
          <w:sz w:val="32"/>
          <w:szCs w:val="32"/>
        </w:rPr>
        <w:t>（项）</w:t>
      </w:r>
      <w:r>
        <w:rPr>
          <w:rStyle w:val="20"/>
          <w:rFonts w:hint="eastAsia" w:ascii="Times New Roman" w:hAnsi="Times New Roman" w:eastAsia="仿宋" w:cs="Times New Roman"/>
          <w:bCs/>
          <w:color w:val="000000"/>
          <w:sz w:val="32"/>
          <w:szCs w:val="32"/>
          <w:lang w:val="en-US" w:eastAsia="zh-CN"/>
        </w:rPr>
        <w:t>99</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2.65</w:t>
      </w:r>
      <w:r>
        <w:rPr>
          <w:rFonts w:hint="default" w:ascii="Times New Roman" w:hAnsi="Times New Roman" w:eastAsia="仿宋_GB2312" w:cs="Times New Roman"/>
          <w:kern w:val="2"/>
          <w:sz w:val="32"/>
          <w:szCs w:val="32"/>
          <w:lang w:val="en-US" w:eastAsia="zh-CN" w:bidi="ar-SA"/>
        </w:rPr>
        <w:t>万元，完成预算100%，决算数等于预算数。</w:t>
      </w:r>
    </w:p>
    <w:p w14:paraId="6681A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12.</w:t>
      </w:r>
      <w:r>
        <w:rPr>
          <w:rStyle w:val="20"/>
          <w:rFonts w:hint="default" w:ascii="Times New Roman" w:hAnsi="Times New Roman" w:eastAsia="仿宋" w:cs="Times New Roman"/>
          <w:bCs/>
          <w:color w:val="000000"/>
          <w:sz w:val="32"/>
          <w:szCs w:val="32"/>
          <w:lang w:eastAsia="zh-CN"/>
        </w:rPr>
        <w:t>农林水支出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213</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05</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04：</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14.20</w:t>
      </w:r>
      <w:r>
        <w:rPr>
          <w:rFonts w:hint="default" w:ascii="Times New Roman" w:hAnsi="Times New Roman" w:eastAsia="仿宋_GB2312" w:cs="Times New Roman"/>
          <w:sz w:val="32"/>
          <w:szCs w:val="32"/>
          <w:lang w:val="en-US" w:eastAsia="zh-CN"/>
        </w:rPr>
        <w:t>万元，完成预算100%，决算数等于预算数。</w:t>
      </w:r>
    </w:p>
    <w:p w14:paraId="6A6C1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13.</w:t>
      </w:r>
      <w:r>
        <w:rPr>
          <w:rStyle w:val="20"/>
          <w:rFonts w:hint="default" w:ascii="Times New Roman" w:hAnsi="Times New Roman" w:eastAsia="仿宋" w:cs="Times New Roman"/>
          <w:bCs/>
          <w:color w:val="000000"/>
          <w:sz w:val="32"/>
          <w:szCs w:val="32"/>
          <w:lang w:eastAsia="zh-CN"/>
        </w:rPr>
        <w:t>农林水支出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213</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05</w:t>
      </w:r>
      <w:r>
        <w:rPr>
          <w:rStyle w:val="20"/>
          <w:rFonts w:hint="default" w:ascii="Times New Roman" w:hAnsi="Times New Roman" w:eastAsia="仿宋" w:cs="Times New Roman"/>
          <w:bCs/>
          <w:color w:val="000000"/>
          <w:sz w:val="32"/>
          <w:szCs w:val="32"/>
        </w:rPr>
        <w:t>（项）</w:t>
      </w:r>
      <w:r>
        <w:rPr>
          <w:rStyle w:val="20"/>
          <w:rFonts w:hint="eastAsia" w:eastAsia="仿宋" w:cs="Times New Roman"/>
          <w:bCs/>
          <w:color w:val="000000"/>
          <w:sz w:val="32"/>
          <w:szCs w:val="32"/>
          <w:lang w:val="en-US" w:eastAsia="zh-CN"/>
        </w:rPr>
        <w:t>99</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316.22</w:t>
      </w:r>
      <w:r>
        <w:rPr>
          <w:rFonts w:hint="default" w:ascii="Times New Roman" w:hAnsi="Times New Roman" w:eastAsia="仿宋_GB2312" w:cs="Times New Roman"/>
          <w:sz w:val="32"/>
          <w:szCs w:val="32"/>
          <w:lang w:val="en-US" w:eastAsia="zh-CN"/>
        </w:rPr>
        <w:t>万元，完成预算100%，决算数等于预算数。</w:t>
      </w:r>
    </w:p>
    <w:p w14:paraId="7E062A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14.</w:t>
      </w:r>
      <w:r>
        <w:rPr>
          <w:rStyle w:val="20"/>
          <w:rFonts w:hint="default" w:ascii="Times New Roman" w:hAnsi="Times New Roman" w:eastAsia="仿宋" w:cs="Times New Roman"/>
          <w:bCs/>
          <w:color w:val="000000"/>
          <w:sz w:val="32"/>
          <w:szCs w:val="32"/>
          <w:lang w:eastAsia="zh-CN"/>
        </w:rPr>
        <w:t>农林水支出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213</w:t>
      </w:r>
      <w:r>
        <w:rPr>
          <w:rStyle w:val="20"/>
          <w:rFonts w:hint="default" w:ascii="Times New Roman" w:hAnsi="Times New Roman" w:eastAsia="仿宋" w:cs="Times New Roman"/>
          <w:bCs/>
          <w:color w:val="000000"/>
          <w:sz w:val="32"/>
          <w:szCs w:val="32"/>
        </w:rPr>
        <w:t>（款）</w:t>
      </w:r>
      <w:r>
        <w:rPr>
          <w:rStyle w:val="20"/>
          <w:rFonts w:hint="eastAsia" w:eastAsia="仿宋" w:cs="Times New Roman"/>
          <w:bCs/>
          <w:color w:val="000000"/>
          <w:sz w:val="32"/>
          <w:szCs w:val="32"/>
          <w:lang w:val="en-US" w:eastAsia="zh-CN"/>
        </w:rPr>
        <w:t>99</w:t>
      </w:r>
      <w:r>
        <w:rPr>
          <w:rStyle w:val="20"/>
          <w:rFonts w:hint="default" w:ascii="Times New Roman" w:hAnsi="Times New Roman" w:eastAsia="仿宋" w:cs="Times New Roman"/>
          <w:bCs/>
          <w:color w:val="000000"/>
          <w:sz w:val="32"/>
          <w:szCs w:val="32"/>
        </w:rPr>
        <w:t>（项）</w:t>
      </w:r>
      <w:r>
        <w:rPr>
          <w:rStyle w:val="20"/>
          <w:rFonts w:hint="eastAsia" w:eastAsia="仿宋" w:cs="Times New Roman"/>
          <w:bCs/>
          <w:color w:val="000000"/>
          <w:sz w:val="32"/>
          <w:szCs w:val="32"/>
          <w:lang w:val="en-US" w:eastAsia="zh-CN"/>
        </w:rPr>
        <w:t>99</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200</w:t>
      </w:r>
      <w:r>
        <w:rPr>
          <w:rFonts w:hint="default" w:ascii="Times New Roman" w:hAnsi="Times New Roman" w:eastAsia="仿宋_GB2312" w:cs="Times New Roman"/>
          <w:sz w:val="32"/>
          <w:szCs w:val="32"/>
          <w:lang w:val="en-US" w:eastAsia="zh-CN"/>
        </w:rPr>
        <w:t>万元，完成预算100%，决算数等于预算数。</w:t>
      </w:r>
    </w:p>
    <w:p w14:paraId="638BF4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20"/>
          <w:rFonts w:hint="eastAsia" w:eastAsia="仿宋" w:cs="Times New Roman"/>
          <w:bCs/>
          <w:color w:val="000000"/>
          <w:sz w:val="32"/>
          <w:szCs w:val="32"/>
          <w:lang w:val="en-US" w:eastAsia="zh-CN"/>
        </w:rPr>
        <w:t>15</w:t>
      </w:r>
      <w:r>
        <w:rPr>
          <w:rStyle w:val="20"/>
          <w:rFonts w:hint="default" w:eastAsia="仿宋" w:cs="Times New Roman"/>
          <w:bCs/>
          <w:color w:val="000000"/>
          <w:sz w:val="32"/>
          <w:szCs w:val="32"/>
          <w:lang w:val="en-US" w:eastAsia="zh-CN"/>
        </w:rPr>
        <w:t>.</w:t>
      </w:r>
      <w:r>
        <w:rPr>
          <w:rStyle w:val="20"/>
          <w:rFonts w:hint="default" w:ascii="Times New Roman" w:hAnsi="Times New Roman" w:eastAsia="仿宋" w:cs="Times New Roman"/>
          <w:bCs/>
          <w:color w:val="000000"/>
          <w:sz w:val="32"/>
          <w:szCs w:val="32"/>
          <w:lang w:eastAsia="zh-CN"/>
        </w:rPr>
        <w:t>住房保障支出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221</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02</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01：</w:t>
      </w:r>
      <w:r>
        <w:rPr>
          <w:rFonts w:hint="default" w:ascii="Times New Roman" w:hAnsi="Times New Roman" w:eastAsia="仿宋_GB2312" w:cs="Times New Roman"/>
          <w:sz w:val="32"/>
          <w:szCs w:val="32"/>
          <w:lang w:val="en-US" w:eastAsia="zh-CN"/>
        </w:rPr>
        <w:t>支出决算为</w:t>
      </w:r>
      <w:r>
        <w:rPr>
          <w:rFonts w:hint="eastAsia" w:eastAsia="仿宋_GB2312" w:cs="Times New Roman"/>
          <w:sz w:val="32"/>
          <w:szCs w:val="32"/>
          <w:lang w:val="en-US" w:eastAsia="zh-CN"/>
        </w:rPr>
        <w:t>45.57</w:t>
      </w:r>
      <w:r>
        <w:rPr>
          <w:rFonts w:hint="default" w:ascii="Times New Roman" w:hAnsi="Times New Roman" w:eastAsia="仿宋_GB2312" w:cs="Times New Roman"/>
          <w:sz w:val="32"/>
          <w:szCs w:val="32"/>
          <w:lang w:val="en-US" w:eastAsia="zh-CN"/>
        </w:rPr>
        <w:t>万元，完成预算100%。决算数等于预算数。</w:t>
      </w:r>
    </w:p>
    <w:p w14:paraId="6911579C">
      <w:pPr>
        <w:pStyle w:val="3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Style w:val="20"/>
          <w:rFonts w:hint="eastAsia" w:ascii="Times New Roman" w:hAnsi="Times New Roman" w:eastAsia="仿宋"/>
          <w:bCs/>
          <w:color w:val="000000"/>
          <w:kern w:val="2"/>
          <w:sz w:val="32"/>
          <w:szCs w:val="32"/>
          <w:lang w:val="en-US" w:eastAsia="zh-CN" w:bidi="ar-SA"/>
        </w:rPr>
        <w:t>16</w:t>
      </w:r>
      <w:r>
        <w:rPr>
          <w:rStyle w:val="20"/>
          <w:rFonts w:hint="default" w:ascii="Times New Roman" w:hAnsi="Times New Roman" w:eastAsia="仿宋"/>
          <w:bCs/>
          <w:color w:val="000000"/>
          <w:kern w:val="2"/>
          <w:sz w:val="32"/>
          <w:szCs w:val="32"/>
          <w:lang w:val="en-US" w:eastAsia="zh-CN" w:bidi="ar-SA"/>
        </w:rPr>
        <w:t>.</w:t>
      </w:r>
      <w:r>
        <w:rPr>
          <w:rStyle w:val="20"/>
          <w:rFonts w:hint="default" w:ascii="Times New Roman" w:hAnsi="Times New Roman" w:eastAsia="仿宋" w:cs="Times New Roman"/>
          <w:bCs/>
          <w:color w:val="000000"/>
          <w:sz w:val="32"/>
          <w:szCs w:val="32"/>
          <w:lang w:eastAsia="zh-CN"/>
        </w:rPr>
        <w:t>灾害防治及应急管理支出</w:t>
      </w:r>
      <w:r>
        <w:rPr>
          <w:rStyle w:val="20"/>
          <w:rFonts w:hint="default" w:ascii="Times New Roman" w:hAnsi="Times New Roman" w:eastAsia="仿宋" w:cs="Times New Roman"/>
          <w:bCs/>
          <w:color w:val="000000"/>
          <w:sz w:val="32"/>
          <w:szCs w:val="32"/>
        </w:rPr>
        <w:t>（类）</w:t>
      </w:r>
      <w:r>
        <w:rPr>
          <w:rStyle w:val="20"/>
          <w:rFonts w:hint="default" w:ascii="Times New Roman" w:hAnsi="Times New Roman" w:eastAsia="仿宋" w:cs="Times New Roman"/>
          <w:bCs/>
          <w:color w:val="000000"/>
          <w:sz w:val="32"/>
          <w:szCs w:val="32"/>
          <w:lang w:val="en-US" w:eastAsia="zh-CN"/>
        </w:rPr>
        <w:t>2</w:t>
      </w:r>
      <w:r>
        <w:rPr>
          <w:rStyle w:val="20"/>
          <w:rFonts w:hint="eastAsia" w:ascii="Times New Roman" w:hAnsi="Times New Roman" w:eastAsia="仿宋" w:cs="Times New Roman"/>
          <w:bCs/>
          <w:color w:val="000000"/>
          <w:sz w:val="32"/>
          <w:szCs w:val="32"/>
          <w:lang w:val="en-US" w:eastAsia="zh-CN"/>
        </w:rPr>
        <w:t>24</w:t>
      </w:r>
      <w:r>
        <w:rPr>
          <w:rStyle w:val="20"/>
          <w:rFonts w:hint="default" w:ascii="Times New Roman" w:hAnsi="Times New Roman" w:eastAsia="仿宋" w:cs="Times New Roman"/>
          <w:bCs/>
          <w:color w:val="000000"/>
          <w:sz w:val="32"/>
          <w:szCs w:val="32"/>
        </w:rPr>
        <w:t>（款）</w:t>
      </w:r>
      <w:r>
        <w:rPr>
          <w:rStyle w:val="20"/>
          <w:rFonts w:hint="default" w:ascii="Times New Roman" w:hAnsi="Times New Roman" w:eastAsia="仿宋" w:cs="Times New Roman"/>
          <w:bCs/>
          <w:color w:val="000000"/>
          <w:sz w:val="32"/>
          <w:szCs w:val="32"/>
          <w:lang w:val="en-US" w:eastAsia="zh-CN"/>
        </w:rPr>
        <w:t>01</w:t>
      </w:r>
      <w:r>
        <w:rPr>
          <w:rStyle w:val="20"/>
          <w:rFonts w:hint="default" w:ascii="Times New Roman" w:hAnsi="Times New Roman" w:eastAsia="仿宋" w:cs="Times New Roman"/>
          <w:bCs/>
          <w:color w:val="000000"/>
          <w:sz w:val="32"/>
          <w:szCs w:val="32"/>
        </w:rPr>
        <w:t>（项）</w:t>
      </w:r>
      <w:r>
        <w:rPr>
          <w:rStyle w:val="20"/>
          <w:rFonts w:hint="default" w:ascii="Times New Roman" w:hAnsi="Times New Roman" w:eastAsia="仿宋" w:cs="Times New Roman"/>
          <w:bCs/>
          <w:color w:val="000000"/>
          <w:sz w:val="32"/>
          <w:szCs w:val="32"/>
          <w:lang w:val="en-US" w:eastAsia="zh-CN"/>
        </w:rPr>
        <w:t>0</w:t>
      </w:r>
      <w:r>
        <w:rPr>
          <w:rStyle w:val="20"/>
          <w:rFonts w:hint="eastAsia" w:ascii="Times New Roman" w:hAnsi="Times New Roman" w:eastAsia="仿宋" w:cs="Times New Roman"/>
          <w:bCs/>
          <w:color w:val="000000"/>
          <w:sz w:val="32"/>
          <w:szCs w:val="32"/>
          <w:lang w:val="en-US" w:eastAsia="zh-CN"/>
        </w:rPr>
        <w:t>8</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41.85</w:t>
      </w:r>
      <w:r>
        <w:rPr>
          <w:rFonts w:hint="default" w:ascii="Times New Roman" w:hAnsi="Times New Roman" w:eastAsia="仿宋_GB2312" w:cs="Times New Roman"/>
          <w:kern w:val="2"/>
          <w:sz w:val="32"/>
          <w:szCs w:val="32"/>
          <w:lang w:val="en-US" w:eastAsia="zh-CN" w:bidi="ar-SA"/>
        </w:rPr>
        <w:t>万元，完成预算100%。</w:t>
      </w:r>
    </w:p>
    <w:p w14:paraId="4E68FD80">
      <w:pPr>
        <w:pStyle w:val="3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Style w:val="20"/>
          <w:rFonts w:hint="eastAsia" w:ascii="Times New Roman" w:hAnsi="Times New Roman" w:eastAsia="仿宋" w:cs="Times New Roman"/>
          <w:bCs/>
          <w:color w:val="000000"/>
          <w:sz w:val="32"/>
          <w:szCs w:val="32"/>
          <w:lang w:val="en-US" w:eastAsia="zh-CN"/>
        </w:rPr>
        <w:t>17</w:t>
      </w:r>
      <w:r>
        <w:rPr>
          <w:rStyle w:val="20"/>
          <w:rFonts w:hint="default" w:ascii="Times New Roman" w:hAnsi="Times New Roman" w:eastAsia="仿宋" w:cs="Times New Roman"/>
          <w:bCs/>
          <w:color w:val="000000"/>
          <w:sz w:val="32"/>
          <w:szCs w:val="32"/>
          <w:lang w:val="en-US" w:eastAsia="zh-CN"/>
        </w:rPr>
        <w:t>.</w:t>
      </w:r>
      <w:r>
        <w:rPr>
          <w:rStyle w:val="20"/>
          <w:rFonts w:hint="eastAsia" w:ascii="Times New Roman" w:hAnsi="Times New Roman" w:eastAsia="仿宋" w:cs="Times New Roman"/>
          <w:bCs/>
          <w:color w:val="000000"/>
          <w:sz w:val="32"/>
          <w:szCs w:val="32"/>
          <w:lang w:val="en-US" w:eastAsia="zh-CN"/>
        </w:rPr>
        <w:t>其他支出</w:t>
      </w:r>
      <w:r>
        <w:rPr>
          <w:rStyle w:val="20"/>
          <w:rFonts w:hint="default" w:ascii="Times New Roman" w:hAnsi="Times New Roman" w:eastAsia="仿宋" w:cs="Times New Roman"/>
          <w:bCs/>
          <w:color w:val="000000"/>
          <w:sz w:val="32"/>
          <w:szCs w:val="32"/>
        </w:rPr>
        <w:t>（类）</w:t>
      </w:r>
      <w:r>
        <w:rPr>
          <w:rStyle w:val="20"/>
          <w:rFonts w:hint="eastAsia" w:ascii="Times New Roman" w:hAnsi="Times New Roman" w:eastAsia="仿宋" w:cs="Times New Roman"/>
          <w:bCs/>
          <w:color w:val="000000"/>
          <w:sz w:val="32"/>
          <w:szCs w:val="32"/>
          <w:lang w:val="en-US" w:eastAsia="zh-CN"/>
        </w:rPr>
        <w:t>222</w:t>
      </w:r>
      <w:r>
        <w:rPr>
          <w:rStyle w:val="20"/>
          <w:rFonts w:hint="default" w:ascii="Times New Roman" w:hAnsi="Times New Roman" w:eastAsia="仿宋" w:cs="Times New Roman"/>
          <w:bCs/>
          <w:color w:val="000000"/>
          <w:sz w:val="32"/>
          <w:szCs w:val="32"/>
        </w:rPr>
        <w:t>（款）</w:t>
      </w:r>
      <w:r>
        <w:rPr>
          <w:rStyle w:val="20"/>
          <w:rFonts w:hint="eastAsia" w:ascii="Times New Roman" w:hAnsi="Times New Roman" w:eastAsia="仿宋" w:cs="Times New Roman"/>
          <w:bCs/>
          <w:color w:val="000000"/>
          <w:sz w:val="32"/>
          <w:szCs w:val="32"/>
          <w:lang w:val="en-US" w:eastAsia="zh-CN"/>
        </w:rPr>
        <w:t>99</w:t>
      </w:r>
      <w:r>
        <w:rPr>
          <w:rStyle w:val="20"/>
          <w:rFonts w:hint="default" w:ascii="Times New Roman" w:hAnsi="Times New Roman" w:eastAsia="仿宋" w:cs="Times New Roman"/>
          <w:bCs/>
          <w:color w:val="000000"/>
          <w:sz w:val="32"/>
          <w:szCs w:val="32"/>
        </w:rPr>
        <w:t>（项）</w:t>
      </w:r>
      <w:r>
        <w:rPr>
          <w:rStyle w:val="20"/>
          <w:rFonts w:hint="eastAsia" w:ascii="Times New Roman" w:hAnsi="Times New Roman" w:eastAsia="仿宋" w:cs="Times New Roman"/>
          <w:bCs/>
          <w:color w:val="000000"/>
          <w:sz w:val="32"/>
          <w:szCs w:val="32"/>
          <w:lang w:val="en-US" w:eastAsia="zh-CN"/>
        </w:rPr>
        <w:t>99</w:t>
      </w:r>
      <w:r>
        <w:rPr>
          <w:rStyle w:val="20"/>
          <w:rFonts w:hint="default" w:ascii="Times New Roman" w:hAnsi="Times New Roman" w:eastAsia="仿宋" w:cs="Times New Roman"/>
          <w:bCs/>
          <w:color w:val="000000"/>
          <w:sz w:val="32"/>
          <w:szCs w:val="32"/>
          <w:lang w:val="en-US" w:eastAsia="zh-CN"/>
        </w:rPr>
        <w:t>：</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12.42</w:t>
      </w:r>
      <w:r>
        <w:rPr>
          <w:rFonts w:hint="default" w:ascii="Times New Roman" w:hAnsi="Times New Roman" w:eastAsia="仿宋_GB2312" w:cs="Times New Roman"/>
          <w:kern w:val="2"/>
          <w:sz w:val="32"/>
          <w:szCs w:val="32"/>
          <w:lang w:val="en-US" w:eastAsia="zh-CN" w:bidi="ar-SA"/>
        </w:rPr>
        <w:t>万元，完成预算100%，决算数等于预算数。</w:t>
      </w:r>
    </w:p>
    <w:p w14:paraId="282DA231">
      <w:pPr>
        <w:pStyle w:val="3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14:paraId="06277679">
      <w:pPr>
        <w:pStyle w:val="3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决算数等于预算数。</w:t>
      </w:r>
      <w:r>
        <w:rPr>
          <w:rFonts w:hint="eastAsia" w:ascii="Times New Roman" w:hAnsi="Times New Roman" w:eastAsia="仿宋_GB2312" w:cs="Times New Roman"/>
          <w:kern w:val="2"/>
          <w:sz w:val="32"/>
          <w:szCs w:val="32"/>
          <w:lang w:val="en-US" w:eastAsia="zh-CN" w:bidi="ar-SA"/>
        </w:rPr>
        <w:t>（注：数据来源于财决</w:t>
      </w:r>
      <w:r>
        <w:rPr>
          <w:rFonts w:hint="default"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1-1表和财决08表，仅罗列本部门涉及的全部功能分类科目，至项级。上述“预算”口径为全年预算数。增减变动原因为决算数〈项级〉和全年预算数〈项级〉比较，与预算数持平可以不写原因。）</w:t>
      </w:r>
    </w:p>
    <w:p w14:paraId="1C33BBDB">
      <w:pPr>
        <w:tabs>
          <w:tab w:val="right" w:pos="8306"/>
        </w:tabs>
        <w:spacing w:line="600" w:lineRule="exact"/>
        <w:ind w:firstLine="640" w:firstLineChars="200"/>
        <w:outlineLvl w:val="1"/>
        <w:rPr>
          <w:rStyle w:val="32"/>
          <w:color w:val="auto"/>
          <w:highlight w:val="none"/>
        </w:rPr>
      </w:pPr>
      <w:bookmarkStart w:id="55" w:name="_Toc28173"/>
      <w:bookmarkStart w:id="56" w:name="_Toc15396608"/>
      <w:bookmarkStart w:id="57" w:name="_Toc15377214"/>
      <w:bookmarkStart w:id="58" w:name="_Toc8174"/>
      <w:r>
        <w:rPr>
          <w:rStyle w:val="43"/>
          <w:rFonts w:hint="eastAsia" w:ascii="Times New Roman" w:hAnsi="Times New Roman" w:eastAsia="黑体" w:cs="Times New Roman"/>
          <w:b w:val="0"/>
        </w:rPr>
        <w:t>六、一般公共预算财政拨款基本支出决算情况说明</w:t>
      </w:r>
      <w:bookmarkEnd w:id="55"/>
      <w:bookmarkEnd w:id="56"/>
      <w:bookmarkEnd w:id="57"/>
      <w:bookmarkEnd w:id="58"/>
      <w:r>
        <w:rPr>
          <w:rStyle w:val="32"/>
          <w:rFonts w:ascii="黑体" w:hAnsi="黑体" w:eastAsia="黑体"/>
          <w:b w:val="0"/>
          <w:color w:val="auto"/>
          <w:highlight w:val="none"/>
        </w:rPr>
        <w:tab/>
      </w:r>
    </w:p>
    <w:p w14:paraId="1D030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年一般公共预算财政拨款基本支出</w:t>
      </w:r>
      <w:r>
        <w:rPr>
          <w:rFonts w:hint="eastAsia" w:eastAsia="仿宋_GB2312" w:cs="Times New Roman"/>
          <w:sz w:val="32"/>
          <w:szCs w:val="32"/>
          <w:lang w:val="en-US" w:eastAsia="zh-CN"/>
        </w:rPr>
        <w:t>712.84</w:t>
      </w:r>
      <w:r>
        <w:rPr>
          <w:rFonts w:hint="default" w:ascii="Times New Roman" w:hAnsi="Times New Roman" w:eastAsia="仿宋_GB2312" w:cs="Times New Roman"/>
          <w:sz w:val="32"/>
          <w:szCs w:val="32"/>
          <w:lang w:val="en-US" w:eastAsia="zh-CN"/>
        </w:rPr>
        <w:t>万元，其中：</w:t>
      </w:r>
    </w:p>
    <w:p w14:paraId="36AEF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人员经费</w:t>
      </w:r>
      <w:r>
        <w:rPr>
          <w:rFonts w:hint="eastAsia" w:eastAsia="仿宋_GB2312" w:cs="Times New Roman"/>
          <w:sz w:val="32"/>
          <w:szCs w:val="32"/>
          <w:lang w:val="en-US" w:eastAsia="zh-CN"/>
        </w:rPr>
        <w:t>638.35</w:t>
      </w:r>
      <w:r>
        <w:rPr>
          <w:rFonts w:hint="default" w:ascii="Times New Roman" w:hAnsi="Times New Roman" w:eastAsia="仿宋_GB2312" w:cs="Times New Roman"/>
          <w:sz w:val="32"/>
          <w:szCs w:val="32"/>
          <w:lang w:val="en-US" w:eastAsia="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CEC8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日常公用经</w:t>
      </w:r>
      <w:r>
        <w:rPr>
          <w:rFonts w:hint="eastAsia" w:eastAsia="仿宋_GB2312" w:cs="Times New Roman"/>
          <w:sz w:val="32"/>
          <w:szCs w:val="32"/>
          <w:lang w:val="en-US" w:eastAsia="zh-CN"/>
        </w:rPr>
        <w:t>费74.49</w:t>
      </w:r>
      <w:r>
        <w:rPr>
          <w:rFonts w:hint="default" w:ascii="Times New Roman" w:hAnsi="Times New Roman" w:eastAsia="仿宋_GB2312" w:cs="Times New Roman"/>
          <w:sz w:val="32"/>
          <w:szCs w:val="32"/>
          <w:lang w:val="en-US" w:eastAsia="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Times New Roman" w:hAnsi="Times New Roman" w:eastAsia="仿宋_GB2312" w:cs="Times New Roman"/>
          <w:sz w:val="32"/>
          <w:szCs w:val="32"/>
          <w:lang w:val="en-US" w:eastAsia="zh-CN"/>
        </w:rPr>
        <w:t>（注：数据来源于财决</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7表和财决08-1表，仅罗列本部门实际支出涉及的经济分类科目。）</w:t>
      </w:r>
    </w:p>
    <w:p w14:paraId="37BD6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43"/>
          <w:rFonts w:hint="default" w:ascii="Times New Roman" w:hAnsi="Times New Roman" w:eastAsia="黑体" w:cs="Times New Roman"/>
          <w:b w:val="0"/>
        </w:rPr>
      </w:pPr>
      <w:bookmarkStart w:id="59" w:name="_Toc26549"/>
      <w:bookmarkStart w:id="60" w:name="_Toc15396609"/>
      <w:bookmarkStart w:id="61" w:name="_Toc15377215"/>
      <w:bookmarkStart w:id="62" w:name="_Toc4021"/>
      <w:r>
        <w:rPr>
          <w:rStyle w:val="43"/>
          <w:rFonts w:hint="eastAsia" w:ascii="Times New Roman" w:hAnsi="Times New Roman" w:eastAsia="黑体" w:cs="Times New Roman"/>
          <w:b w:val="0"/>
        </w:rPr>
        <w:t>七、财政拨款“三公”经费支出决算情况说明</w:t>
      </w:r>
      <w:bookmarkEnd w:id="59"/>
      <w:bookmarkEnd w:id="60"/>
      <w:bookmarkEnd w:id="61"/>
      <w:bookmarkEnd w:id="62"/>
    </w:p>
    <w:p w14:paraId="070B65A9">
      <w:pPr>
        <w:spacing w:line="600" w:lineRule="exact"/>
        <w:ind w:firstLine="640"/>
        <w:outlineLvl w:val="2"/>
        <w:rPr>
          <w:rFonts w:ascii="仿宋" w:hAnsi="仿宋" w:eastAsia="仿宋"/>
          <w:b/>
          <w:color w:val="auto"/>
          <w:sz w:val="32"/>
          <w:szCs w:val="32"/>
          <w:highlight w:val="none"/>
        </w:rPr>
      </w:pPr>
      <w:bookmarkStart w:id="63" w:name="_Toc15377216"/>
      <w:r>
        <w:rPr>
          <w:rFonts w:hint="eastAsia" w:ascii="仿宋" w:hAnsi="仿宋" w:eastAsia="仿宋"/>
          <w:b/>
          <w:color w:val="auto"/>
          <w:sz w:val="32"/>
          <w:szCs w:val="32"/>
          <w:highlight w:val="none"/>
        </w:rPr>
        <w:t>（一）“三公”经费财政拨款支出决算总体情况说明</w:t>
      </w:r>
      <w:bookmarkEnd w:id="63"/>
    </w:p>
    <w:p w14:paraId="19A7E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年“三公”经费财政拨款支出决算为</w:t>
      </w:r>
      <w:r>
        <w:rPr>
          <w:rFonts w:hint="eastAsia" w:eastAsia="仿宋_GB2312" w:cs="Times New Roman"/>
          <w:sz w:val="32"/>
          <w:szCs w:val="32"/>
          <w:lang w:val="en-US" w:eastAsia="zh-CN"/>
        </w:rPr>
        <w:t>16.5</w:t>
      </w:r>
      <w:r>
        <w:rPr>
          <w:rFonts w:hint="default" w:ascii="Times New Roman" w:hAnsi="Times New Roman" w:eastAsia="仿宋_GB2312" w:cs="Times New Roman"/>
          <w:sz w:val="32"/>
          <w:szCs w:val="32"/>
          <w:lang w:val="en-US" w:eastAsia="zh-CN"/>
        </w:rPr>
        <w:t>万元，完成预算100%，决算数与预算数持平。</w:t>
      </w:r>
      <w:r>
        <w:rPr>
          <w:rFonts w:hint="eastAsia" w:ascii="Times New Roman" w:hAnsi="Times New Roman" w:eastAsia="仿宋_GB2312" w:cs="Times New Roman"/>
          <w:sz w:val="32"/>
          <w:szCs w:val="32"/>
          <w:lang w:val="en-US" w:eastAsia="zh-CN"/>
        </w:rPr>
        <w:t>（注：上述“预算”口径为全年预算数，包括一般公共预算和政府性基金预算财政拨款支出决算情况。）</w:t>
      </w:r>
    </w:p>
    <w:p w14:paraId="608642DA">
      <w:pPr>
        <w:spacing w:line="600" w:lineRule="exact"/>
        <w:ind w:firstLine="640"/>
        <w:outlineLvl w:val="2"/>
        <w:rPr>
          <w:rFonts w:ascii="仿宋" w:hAnsi="仿宋" w:eastAsia="仿宋"/>
          <w:b/>
          <w:color w:val="auto"/>
          <w:sz w:val="32"/>
          <w:szCs w:val="32"/>
          <w:highlight w:val="none"/>
        </w:rPr>
      </w:pPr>
      <w:bookmarkStart w:id="64" w:name="_Toc15377217"/>
      <w:r>
        <w:rPr>
          <w:rFonts w:hint="eastAsia" w:ascii="仿宋" w:hAnsi="仿宋" w:eastAsia="仿宋" w:cs="Times New Roman"/>
          <w:b/>
          <w:color w:val="auto"/>
          <w:sz w:val="32"/>
          <w:szCs w:val="32"/>
          <w:highlight w:val="none"/>
        </w:rPr>
        <w:t>（二）“三公”经费财政拨款支出决算具体情况说明</w:t>
      </w:r>
      <w:bookmarkEnd w:id="64"/>
    </w:p>
    <w:p w14:paraId="0A939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年“三公”经费财政拨款支出决算中，因公出国（境）费支出决算0万元，占0%；公务用车购置</w:t>
      </w:r>
      <w:r>
        <w:rPr>
          <w:rFonts w:hint="eastAsia" w:eastAsia="仿宋_GB2312" w:cs="Times New Roman"/>
          <w:sz w:val="32"/>
          <w:szCs w:val="32"/>
          <w:lang w:val="en-US" w:eastAsia="zh-CN"/>
        </w:rPr>
        <w:t>费支出决算0万元，公务用车</w:t>
      </w:r>
      <w:r>
        <w:rPr>
          <w:rFonts w:hint="default" w:ascii="Times New Roman" w:hAnsi="Times New Roman" w:eastAsia="仿宋_GB2312" w:cs="Times New Roman"/>
          <w:sz w:val="32"/>
          <w:szCs w:val="32"/>
          <w:lang w:val="en-US" w:eastAsia="zh-CN"/>
        </w:rPr>
        <w:t>运行维护费支出决算</w:t>
      </w:r>
      <w:r>
        <w:rPr>
          <w:rFonts w:hint="eastAsia" w:eastAsia="仿宋_GB2312" w:cs="Times New Roman"/>
          <w:sz w:val="32"/>
          <w:szCs w:val="32"/>
          <w:lang w:val="en-US" w:eastAsia="zh-CN"/>
        </w:rPr>
        <w:t>16.5</w:t>
      </w:r>
      <w:r>
        <w:rPr>
          <w:rFonts w:hint="default" w:ascii="Times New Roman" w:hAnsi="Times New Roman" w:eastAsia="仿宋_GB2312" w:cs="Times New Roman"/>
          <w:sz w:val="32"/>
          <w:szCs w:val="32"/>
          <w:lang w:val="en-US" w:eastAsia="zh-CN"/>
        </w:rPr>
        <w:t>万元，占100%；公务接待费支出决算0万元，占0%。具体情况如下：</w:t>
      </w:r>
    </w:p>
    <w:p w14:paraId="72235B8A">
      <w:pPr>
        <w:pStyle w:val="38"/>
        <w:rPr>
          <w:rFonts w:hint="default" w:ascii="Times New Roman" w:hAnsi="Times New Roman" w:cs="Times New Roman"/>
        </w:rPr>
      </w:pPr>
      <w:r>
        <w:rPr>
          <w:rFonts w:hint="default" w:ascii="Times New Roman" w:hAnsi="Times New Roman" w:cs="Times New Roman"/>
        </w:rPr>
        <w:drawing>
          <wp:inline distT="0" distB="0" distL="114300" distR="114300">
            <wp:extent cx="4773930" cy="2832100"/>
            <wp:effectExtent l="4445" t="4445" r="22225" b="20955"/>
            <wp:docPr id="148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77668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24CF8005">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sz w:val="32"/>
          <w:szCs w:val="32"/>
          <w:lang w:val="en-US" w:eastAsia="zh-CN"/>
        </w:rPr>
      </w:pPr>
      <w:bookmarkStart w:id="65" w:name="_Toc15396610"/>
      <w:bookmarkStart w:id="66" w:name="_Toc15377218"/>
      <w:r>
        <w:rPr>
          <w:rFonts w:hint="default" w:ascii="Times New Roman" w:hAnsi="Times New Roman" w:eastAsia="仿宋_GB2312" w:cs="Times New Roman"/>
          <w:b/>
          <w:color w:val="000000"/>
          <w:sz w:val="32"/>
          <w:szCs w:val="32"/>
        </w:rPr>
        <w:t>1.因公出国（境）经费支出</w:t>
      </w:r>
      <w:r>
        <w:rPr>
          <w:rFonts w:hint="default" w:ascii="Times New Roman" w:hAnsi="Times New Roman" w:eastAsia="仿宋_GB2312" w:cs="Times New Roman"/>
          <w:sz w:val="32"/>
          <w:szCs w:val="32"/>
          <w:lang w:val="en-US" w:eastAsia="zh-CN"/>
        </w:rPr>
        <w:t>0万元，完成预算0%。全年安排因公出国（境）团组0次，出国（境）0人。因公出国（境）支出决算比202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年增加/减少0万元，增长/下降0%。主要原因是无因公出国（境）的人。</w:t>
      </w:r>
    </w:p>
    <w:p w14:paraId="72EC59F8">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2.公务用车购置</w:t>
      </w:r>
      <w:r>
        <w:rPr>
          <w:rFonts w:hint="eastAsia" w:eastAsia="仿宋_GB2312" w:cs="Times New Roman"/>
          <w:b/>
          <w:color w:val="000000"/>
          <w:sz w:val="32"/>
          <w:szCs w:val="32"/>
          <w:lang w:val="en-US" w:eastAsia="zh-CN"/>
        </w:rPr>
        <w:t>费</w:t>
      </w:r>
      <w:r>
        <w:rPr>
          <w:rFonts w:hint="eastAsia" w:ascii="Times New Roman" w:hAnsi="Times New Roman" w:eastAsia="仿宋_GB2312" w:cs="Times New Roman"/>
          <w:sz w:val="32"/>
          <w:szCs w:val="32"/>
          <w:lang w:val="en-US" w:eastAsia="zh-CN"/>
        </w:rPr>
        <w:t>0万元。</w:t>
      </w:r>
    </w:p>
    <w:p w14:paraId="6E79DC29">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b/>
          <w:color w:val="000000"/>
          <w:sz w:val="32"/>
          <w:szCs w:val="32"/>
          <w:lang w:val="en-US" w:eastAsia="zh-CN"/>
        </w:rPr>
        <w:t>3.公务用车</w:t>
      </w:r>
      <w:r>
        <w:rPr>
          <w:rFonts w:hint="default" w:ascii="Times New Roman" w:hAnsi="Times New Roman" w:eastAsia="仿宋_GB2312" w:cs="Times New Roman"/>
          <w:b/>
          <w:color w:val="000000"/>
          <w:sz w:val="32"/>
          <w:szCs w:val="32"/>
        </w:rPr>
        <w:t>运行维护费支出</w:t>
      </w:r>
      <w:r>
        <w:rPr>
          <w:rFonts w:hint="eastAsia" w:ascii="Times New Roman" w:hAnsi="Times New Roman" w:eastAsia="仿宋_GB2312" w:cs="Times New Roman"/>
          <w:sz w:val="32"/>
          <w:szCs w:val="32"/>
          <w:lang w:val="en-US" w:eastAsia="zh-CN"/>
        </w:rPr>
        <w:t>16.5</w:t>
      </w:r>
      <w:r>
        <w:rPr>
          <w:rFonts w:hint="default" w:ascii="Times New Roman" w:hAnsi="Times New Roman" w:eastAsia="仿宋_GB2312" w:cs="Times New Roman"/>
          <w:sz w:val="32"/>
          <w:szCs w:val="32"/>
          <w:lang w:val="en-US" w:eastAsia="zh-CN"/>
        </w:rPr>
        <w:t>万元，完成预算100%。公务用车运行维护费支出决算比20</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增加8.08</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增加95.96%</w:t>
      </w:r>
      <w:r>
        <w:rPr>
          <w:rFonts w:hint="default" w:ascii="Times New Roman" w:hAnsi="Times New Roman" w:eastAsia="仿宋_GB2312" w:cs="Times New Roman"/>
          <w:sz w:val="32"/>
          <w:szCs w:val="32"/>
          <w:lang w:val="en-US" w:eastAsia="zh-CN"/>
        </w:rPr>
        <w:t>。主要原因</w:t>
      </w:r>
      <w:r>
        <w:rPr>
          <w:rFonts w:hint="eastAsia" w:eastAsia="仿宋_GB2312" w:cs="Times New Roman"/>
          <w:sz w:val="32"/>
          <w:szCs w:val="32"/>
          <w:lang w:val="en-US" w:eastAsia="zh-CN"/>
        </w:rPr>
        <w:t>：项目增加，下乡及出差次数较多</w:t>
      </w:r>
      <w:r>
        <w:rPr>
          <w:rFonts w:hint="default" w:ascii="Times New Roman" w:hAnsi="Times New Roman" w:eastAsia="仿宋_GB2312" w:cs="Times New Roman"/>
          <w:sz w:val="32"/>
          <w:szCs w:val="32"/>
          <w:lang w:val="en-US" w:eastAsia="zh-CN"/>
        </w:rPr>
        <w:t>。</w:t>
      </w:r>
    </w:p>
    <w:p w14:paraId="518C2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其中：公务用车购置支出0万元。全年按规定更新购置公务用车0辆，其中：轿车0辆、金额0万元，越野车0辆、金额0万元，载客汽车0辆、金额0万元，202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年12月底，单位共有公务用车3辆，其中：轿车0辆、越野车3辆、载客汽车0辆。</w:t>
      </w:r>
      <w:r>
        <w:rPr>
          <w:rFonts w:hint="eastAsia" w:eastAsia="仿宋_GB2312" w:cs="Times New Roman"/>
          <w:sz w:val="32"/>
          <w:szCs w:val="32"/>
          <w:lang w:val="en-US" w:eastAsia="zh-CN"/>
        </w:rPr>
        <w:t>有两辆车子</w:t>
      </w:r>
      <w:r>
        <w:rPr>
          <w:rFonts w:hint="default" w:ascii="Times New Roman" w:hAnsi="Times New Roman" w:eastAsia="仿宋_GB2312" w:cs="Times New Roman"/>
          <w:sz w:val="32"/>
          <w:szCs w:val="32"/>
          <w:lang w:val="en-US" w:eastAsia="zh-CN"/>
        </w:rPr>
        <w:t>正在走报废程序。</w:t>
      </w:r>
    </w:p>
    <w:p w14:paraId="4D481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公务用车运行维护费支出</w:t>
      </w:r>
      <w:r>
        <w:rPr>
          <w:rFonts w:hint="eastAsia" w:eastAsia="仿宋_GB2312" w:cs="Times New Roman"/>
          <w:sz w:val="32"/>
          <w:szCs w:val="32"/>
          <w:lang w:val="en-US" w:eastAsia="zh-CN"/>
        </w:rPr>
        <w:t>16.5</w:t>
      </w:r>
      <w:r>
        <w:rPr>
          <w:rFonts w:hint="default" w:ascii="Times New Roman" w:hAnsi="Times New Roman" w:eastAsia="仿宋_GB2312" w:cs="Times New Roman"/>
          <w:sz w:val="32"/>
          <w:szCs w:val="32"/>
          <w:lang w:val="en-US" w:eastAsia="zh-CN"/>
        </w:rPr>
        <w:t>万元。主要用于下乡</w:t>
      </w:r>
      <w:r>
        <w:rPr>
          <w:rFonts w:hint="eastAsia" w:eastAsia="仿宋_GB2312" w:cs="Times New Roman"/>
          <w:sz w:val="32"/>
          <w:szCs w:val="32"/>
          <w:lang w:val="en-US" w:eastAsia="zh-CN"/>
        </w:rPr>
        <w:t>、出差</w:t>
      </w:r>
      <w:r>
        <w:rPr>
          <w:rFonts w:hint="default" w:ascii="Times New Roman" w:hAnsi="Times New Roman" w:eastAsia="仿宋_GB2312" w:cs="Times New Roman"/>
          <w:sz w:val="32"/>
          <w:szCs w:val="32"/>
          <w:lang w:val="en-US" w:eastAsia="zh-CN"/>
        </w:rPr>
        <w:t>所需的公务用车燃料费、维修费、过路过桥费、保险费等支出。</w:t>
      </w:r>
    </w:p>
    <w:p w14:paraId="7B69903B">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sz w:val="32"/>
          <w:szCs w:val="32"/>
          <w:lang w:val="en-US" w:eastAsia="zh-CN"/>
        </w:rPr>
        <w:t>0万元，完成预算0%。公务接待费支出决算比202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年增加/减少0万元，增长/下降0%。主要原因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无公务接待费。</w:t>
      </w:r>
    </w:p>
    <w:p w14:paraId="6CCD550F">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国内公务接待支出</w:t>
      </w:r>
      <w:r>
        <w:rPr>
          <w:rFonts w:hint="default" w:ascii="Times New Roman" w:hAnsi="Times New Roman" w:eastAsia="仿宋_GB2312" w:cs="Times New Roman"/>
          <w:sz w:val="32"/>
          <w:szCs w:val="32"/>
          <w:lang w:val="en-US" w:eastAsia="zh-CN"/>
        </w:rPr>
        <w:t>0万元，主要用于执行公务、开展业务活动开支的交通费、住宿费、用餐费等。国内公务接待0批次，0人次（不包括陪同人员），共计支出0万元，具体内容包括接待具体项目、金额。</w:t>
      </w:r>
    </w:p>
    <w:p w14:paraId="751EE483">
      <w:pPr>
        <w:keepNext w:val="0"/>
        <w:keepLines w:val="0"/>
        <w:pageBreakBefore w:val="0"/>
        <w:widowControl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lang w:val="en-US" w:eastAsia="zh-CN"/>
        </w:rPr>
        <w:t>外事接待支出</w:t>
      </w:r>
      <w:r>
        <w:rPr>
          <w:rFonts w:hint="default" w:ascii="Times New Roman" w:hAnsi="Times New Roman" w:eastAsia="仿宋_GB2312" w:cs="Times New Roman"/>
          <w:sz w:val="32"/>
          <w:szCs w:val="32"/>
          <w:lang w:val="en-US" w:eastAsia="zh-CN"/>
        </w:rPr>
        <w:t>0万元，外事接待0批次，0人，共计支出0万元，无外事接待。</w:t>
      </w:r>
    </w:p>
    <w:p w14:paraId="1388035D">
      <w:pPr>
        <w:keepNext w:val="0"/>
        <w:keepLines w:val="0"/>
        <w:pageBreakBefore w:val="0"/>
        <w:widowControl w:val="0"/>
        <w:kinsoku/>
        <w:wordWrap/>
        <w:overflowPunct/>
        <w:topLinePunct w:val="0"/>
        <w:bidi w:val="0"/>
        <w:snapToGrid/>
        <w:spacing w:line="560" w:lineRule="exact"/>
        <w:ind w:left="0" w:firstLine="640" w:firstLineChars="200"/>
        <w:textAlignment w:val="auto"/>
        <w:outlineLvl w:val="1"/>
        <w:rPr>
          <w:rStyle w:val="43"/>
          <w:rFonts w:hint="default" w:ascii="Times New Roman" w:hAnsi="Times New Roman" w:eastAsia="黑体" w:cs="Times New Roman"/>
          <w:b w:val="0"/>
        </w:rPr>
      </w:pPr>
      <w:bookmarkStart w:id="67" w:name="_Toc31629"/>
      <w:bookmarkStart w:id="68" w:name="_Toc11786"/>
      <w:r>
        <w:rPr>
          <w:rStyle w:val="43"/>
          <w:rFonts w:hint="eastAsia" w:ascii="Times New Roman" w:hAnsi="Times New Roman" w:eastAsia="黑体" w:cs="Times New Roman"/>
          <w:b w:val="0"/>
        </w:rPr>
        <w:t>八、政府性基金预算支出决算情况说明</w:t>
      </w:r>
      <w:bookmarkEnd w:id="65"/>
      <w:bookmarkEnd w:id="66"/>
      <w:bookmarkEnd w:id="67"/>
      <w:bookmarkEnd w:id="68"/>
    </w:p>
    <w:p w14:paraId="56C2D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年政府性基金预算拨款支出0万元。</w:t>
      </w:r>
    </w:p>
    <w:p w14:paraId="7BF379E8">
      <w:pPr>
        <w:keepNext w:val="0"/>
        <w:keepLines w:val="0"/>
        <w:pageBreakBefore w:val="0"/>
        <w:widowControl w:val="0"/>
        <w:kinsoku/>
        <w:wordWrap/>
        <w:overflowPunct/>
        <w:topLinePunct w:val="0"/>
        <w:bidi w:val="0"/>
        <w:snapToGrid/>
        <w:spacing w:line="560" w:lineRule="exact"/>
        <w:ind w:left="0" w:firstLine="640" w:firstLineChars="200"/>
        <w:textAlignment w:val="auto"/>
        <w:outlineLvl w:val="1"/>
        <w:rPr>
          <w:rStyle w:val="43"/>
          <w:rFonts w:hint="eastAsia" w:ascii="Times New Roman" w:hAnsi="Times New Roman" w:eastAsia="黑体" w:cs="Times New Roman"/>
          <w:b w:val="0"/>
        </w:rPr>
      </w:pPr>
      <w:bookmarkStart w:id="69" w:name="_Toc15396611"/>
      <w:bookmarkStart w:id="70" w:name="_Toc711"/>
      <w:bookmarkStart w:id="71" w:name="_Toc15377219"/>
      <w:bookmarkStart w:id="72" w:name="_Toc16829"/>
      <w:r>
        <w:rPr>
          <w:rStyle w:val="43"/>
          <w:rFonts w:hint="eastAsia" w:ascii="Times New Roman" w:hAnsi="Times New Roman" w:eastAsia="黑体" w:cs="Times New Roman"/>
          <w:b w:val="0"/>
          <w:lang w:eastAsia="zh-CN"/>
        </w:rPr>
        <w:t>九、</w:t>
      </w:r>
      <w:r>
        <w:rPr>
          <w:rStyle w:val="43"/>
          <w:rFonts w:hint="eastAsia" w:ascii="Times New Roman" w:hAnsi="Times New Roman" w:eastAsia="黑体" w:cs="Times New Roman"/>
          <w:b w:val="0"/>
        </w:rPr>
        <w:t>国有资本经营预算支出决算情况说明</w:t>
      </w:r>
      <w:bookmarkEnd w:id="69"/>
      <w:bookmarkEnd w:id="70"/>
      <w:bookmarkEnd w:id="71"/>
      <w:bookmarkEnd w:id="72"/>
    </w:p>
    <w:p w14:paraId="51A0F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年国有资本经营预算拨款支出0万元。</w:t>
      </w:r>
    </w:p>
    <w:p w14:paraId="4C490A5C">
      <w:pPr>
        <w:keepNext w:val="0"/>
        <w:keepLines w:val="0"/>
        <w:pageBreakBefore w:val="0"/>
        <w:widowControl w:val="0"/>
        <w:kinsoku/>
        <w:wordWrap/>
        <w:overflowPunct/>
        <w:topLinePunct w:val="0"/>
        <w:bidi w:val="0"/>
        <w:snapToGrid/>
        <w:spacing w:line="560" w:lineRule="exact"/>
        <w:ind w:left="0" w:firstLine="640" w:firstLineChars="200"/>
        <w:textAlignment w:val="auto"/>
        <w:outlineLvl w:val="1"/>
        <w:rPr>
          <w:rStyle w:val="43"/>
          <w:rFonts w:hint="eastAsia" w:ascii="Times New Roman" w:hAnsi="Times New Roman" w:eastAsia="黑体" w:cs="Times New Roman"/>
          <w:b w:val="0"/>
          <w:lang w:eastAsia="zh-CN"/>
        </w:rPr>
      </w:pPr>
      <w:bookmarkStart w:id="73" w:name="_Toc15396612"/>
      <w:bookmarkStart w:id="74" w:name="_Toc5444"/>
      <w:bookmarkStart w:id="75" w:name="_Toc15377221"/>
      <w:bookmarkStart w:id="76" w:name="_Toc21374"/>
      <w:r>
        <w:rPr>
          <w:rStyle w:val="43"/>
          <w:rFonts w:hint="eastAsia" w:ascii="Times New Roman" w:hAnsi="Times New Roman" w:eastAsia="黑体" w:cs="Times New Roman"/>
          <w:b w:val="0"/>
          <w:lang w:eastAsia="zh-CN"/>
        </w:rPr>
        <w:t>十、其他重要事项的情况说明</w:t>
      </w:r>
      <w:bookmarkEnd w:id="73"/>
      <w:bookmarkEnd w:id="74"/>
      <w:bookmarkEnd w:id="75"/>
      <w:bookmarkEnd w:id="76"/>
    </w:p>
    <w:p w14:paraId="4242350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eastAsia" w:ascii="Times New Roman" w:hAnsi="Times New Roman" w:eastAsia="楷体_GB2312" w:cs="Times New Roman"/>
          <w:b/>
          <w:color w:val="000000"/>
          <w:sz w:val="32"/>
          <w:szCs w:val="32"/>
          <w:lang w:eastAsia="zh-CN"/>
        </w:rPr>
      </w:pPr>
      <w:bookmarkStart w:id="77" w:name="_Toc15377222"/>
      <w:r>
        <w:rPr>
          <w:rFonts w:hint="eastAsia" w:ascii="Times New Roman" w:hAnsi="Times New Roman" w:eastAsia="楷体_GB2312" w:cs="Times New Roman"/>
          <w:b/>
          <w:color w:val="000000"/>
          <w:sz w:val="32"/>
          <w:szCs w:val="32"/>
          <w:lang w:eastAsia="zh-CN"/>
        </w:rPr>
        <w:t>（一）机关运行经费支出情况</w:t>
      </w:r>
      <w:bookmarkEnd w:id="77"/>
    </w:p>
    <w:p w14:paraId="7C33F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年，壤塘县发展改革局机关运行经费支出</w:t>
      </w:r>
      <w:r>
        <w:rPr>
          <w:rFonts w:hint="eastAsia" w:eastAsia="仿宋_GB2312" w:cs="Times New Roman"/>
          <w:sz w:val="32"/>
          <w:szCs w:val="32"/>
          <w:lang w:val="en-US" w:eastAsia="zh-CN"/>
        </w:rPr>
        <w:t>74.49</w:t>
      </w:r>
      <w:r>
        <w:rPr>
          <w:rFonts w:hint="default" w:ascii="Times New Roman" w:hAnsi="Times New Roman" w:eastAsia="仿宋_GB2312" w:cs="Times New Roman"/>
          <w:sz w:val="32"/>
          <w:szCs w:val="32"/>
          <w:lang w:val="en-US" w:eastAsia="zh-CN"/>
        </w:rPr>
        <w:t>万元，比202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减少14.66</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减少20%</w:t>
      </w:r>
      <w:r>
        <w:rPr>
          <w:rFonts w:hint="default" w:ascii="Times New Roman" w:hAnsi="Times New Roman" w:eastAsia="仿宋_GB2312" w:cs="Times New Roman"/>
          <w:sz w:val="32"/>
          <w:szCs w:val="32"/>
          <w:lang w:val="en-US" w:eastAsia="zh-CN"/>
        </w:rPr>
        <w:t>。主要原因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人员</w:t>
      </w:r>
      <w:r>
        <w:rPr>
          <w:rFonts w:hint="eastAsia" w:eastAsia="仿宋_GB2312" w:cs="Times New Roman"/>
          <w:sz w:val="32"/>
          <w:szCs w:val="32"/>
          <w:lang w:val="en-US" w:eastAsia="zh-CN"/>
        </w:rPr>
        <w:t>减少以及厉行节约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（注：数据来源于财决附03表）</w:t>
      </w:r>
    </w:p>
    <w:p w14:paraId="71CFBB5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eastAsia" w:ascii="Times New Roman" w:hAnsi="Times New Roman" w:eastAsia="楷体_GB2312" w:cs="Times New Roman"/>
          <w:b/>
          <w:color w:val="000000"/>
          <w:sz w:val="32"/>
          <w:szCs w:val="32"/>
          <w:lang w:eastAsia="zh-CN"/>
        </w:rPr>
      </w:pPr>
      <w:bookmarkStart w:id="78" w:name="_Toc15377223"/>
      <w:r>
        <w:rPr>
          <w:rFonts w:hint="eastAsia" w:ascii="Times New Roman" w:hAnsi="Times New Roman" w:eastAsia="楷体_GB2312" w:cs="Times New Roman"/>
          <w:b/>
          <w:color w:val="000000"/>
          <w:sz w:val="32"/>
          <w:szCs w:val="32"/>
          <w:lang w:eastAsia="zh-CN"/>
        </w:rPr>
        <w:t>（二）政府采购支出情况</w:t>
      </w:r>
      <w:bookmarkEnd w:id="78"/>
    </w:p>
    <w:p w14:paraId="1F46086E">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年，壤塘县发展和改革局政府采购支出总额</w:t>
      </w:r>
      <w:r>
        <w:rPr>
          <w:rFonts w:hint="eastAsia" w:eastAsia="仿宋_GB2312" w:cs="Times New Roman"/>
          <w:sz w:val="32"/>
          <w:szCs w:val="32"/>
          <w:lang w:val="en-US" w:eastAsia="zh-CN"/>
        </w:rPr>
        <w:t>275.56</w:t>
      </w:r>
      <w:r>
        <w:rPr>
          <w:rFonts w:hint="default" w:ascii="Times New Roman" w:hAnsi="Times New Roman" w:eastAsia="仿宋_GB2312" w:cs="Times New Roman"/>
          <w:sz w:val="32"/>
          <w:szCs w:val="32"/>
          <w:lang w:val="en-US" w:eastAsia="zh-CN"/>
        </w:rPr>
        <w:t>万元，其中：政府采购货物支出</w:t>
      </w:r>
      <w:r>
        <w:rPr>
          <w:rFonts w:hint="eastAsia" w:eastAsia="仿宋_GB2312" w:cs="Times New Roman"/>
          <w:sz w:val="32"/>
          <w:szCs w:val="32"/>
          <w:lang w:val="en-US" w:eastAsia="zh-CN"/>
        </w:rPr>
        <w:t>41.85</w:t>
      </w:r>
      <w:r>
        <w:rPr>
          <w:rFonts w:hint="default" w:ascii="Times New Roman" w:hAnsi="Times New Roman" w:eastAsia="仿宋_GB2312" w:cs="Times New Roman"/>
          <w:sz w:val="32"/>
          <w:szCs w:val="32"/>
          <w:lang w:val="en-US" w:eastAsia="zh-CN"/>
        </w:rPr>
        <w:t>万元、政府采购工程支出</w:t>
      </w:r>
      <w:r>
        <w:rPr>
          <w:rFonts w:hint="eastAsia" w:eastAsia="仿宋_GB2312" w:cs="Times New Roman"/>
          <w:sz w:val="32"/>
          <w:szCs w:val="32"/>
          <w:lang w:val="en-US" w:eastAsia="zh-CN"/>
        </w:rPr>
        <w:t>233.71</w:t>
      </w:r>
      <w:r>
        <w:rPr>
          <w:rFonts w:hint="default" w:ascii="Times New Roman" w:hAnsi="Times New Roman" w:eastAsia="仿宋_GB2312" w:cs="Times New Roman"/>
          <w:sz w:val="32"/>
          <w:szCs w:val="32"/>
          <w:lang w:val="en-US" w:eastAsia="zh-CN"/>
        </w:rPr>
        <w:t>万元、政府采购服务支出0万元。</w:t>
      </w:r>
      <w:r>
        <w:rPr>
          <w:rFonts w:hint="eastAsia" w:ascii="Times New Roman" w:hAnsi="Times New Roman" w:eastAsia="仿宋_GB2312" w:cs="Times New Roman"/>
          <w:sz w:val="32"/>
          <w:szCs w:val="32"/>
          <w:lang w:val="en-US" w:eastAsia="zh-CN"/>
        </w:rPr>
        <w:t>（注：数据来源于财决附</w:t>
      </w:r>
      <w:r>
        <w:rPr>
          <w:rFonts w:hint="default"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lang w:val="en-US" w:eastAsia="zh-CN"/>
        </w:rPr>
        <w:t>表）</w:t>
      </w:r>
    </w:p>
    <w:p w14:paraId="2C0641C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eastAsia" w:ascii="Times New Roman" w:hAnsi="Times New Roman" w:eastAsia="楷体_GB2312" w:cs="Times New Roman"/>
          <w:b/>
          <w:color w:val="000000"/>
          <w:sz w:val="32"/>
          <w:szCs w:val="32"/>
          <w:lang w:eastAsia="zh-CN"/>
        </w:rPr>
      </w:pPr>
      <w:bookmarkStart w:id="79" w:name="_Toc15377224"/>
      <w:r>
        <w:rPr>
          <w:rFonts w:hint="eastAsia" w:ascii="Times New Roman" w:hAnsi="Times New Roman" w:eastAsia="楷体_GB2312" w:cs="Times New Roman"/>
          <w:b/>
          <w:color w:val="000000"/>
          <w:sz w:val="32"/>
          <w:szCs w:val="32"/>
          <w:lang w:eastAsia="zh-CN"/>
        </w:rPr>
        <w:t>（三）国有资产占有使用情况</w:t>
      </w:r>
      <w:bookmarkEnd w:id="79"/>
    </w:p>
    <w:p w14:paraId="0106977B">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年12月31日，壤塘县发展和改革局共有车辆3辆，其中：主要领导干部用车0辆、机要通信用车0辆、应急保障用车0辆、其他用车3辆。单价50万元以上通用设备0台（套），单价100万元以上专用设备0台（套）</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（注：数据来源于财决附</w:t>
      </w:r>
      <w:r>
        <w:rPr>
          <w:rFonts w:hint="default"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lang w:val="en-US" w:eastAsia="zh-CN"/>
        </w:rPr>
        <w:t>表，按部门决算报表填报数据罗列车辆情况。）</w:t>
      </w:r>
    </w:p>
    <w:p w14:paraId="0D2FCC1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eastAsia" w:ascii="Times New Roman" w:hAnsi="Times New Roman" w:eastAsia="楷体_GB2312" w:cs="Times New Roman"/>
          <w:b/>
          <w:color w:val="000000"/>
          <w:sz w:val="32"/>
          <w:szCs w:val="32"/>
          <w:lang w:eastAsia="zh-CN"/>
        </w:rPr>
      </w:pPr>
      <w:r>
        <w:rPr>
          <w:rFonts w:hint="eastAsia" w:ascii="Times New Roman" w:hAnsi="Times New Roman" w:eastAsia="楷体_GB2312" w:cs="Times New Roman"/>
          <w:b/>
          <w:color w:val="000000"/>
          <w:sz w:val="32"/>
          <w:szCs w:val="32"/>
          <w:lang w:eastAsia="zh-CN"/>
        </w:rPr>
        <w:t>（四）预算绩效管理情况</w:t>
      </w:r>
    </w:p>
    <w:p w14:paraId="1E09C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80" w:name="_Toc15377225"/>
      <w:bookmarkStart w:id="81" w:name="_Toc15396613"/>
      <w:r>
        <w:rPr>
          <w:rFonts w:hint="default" w:ascii="Times New Roman" w:hAnsi="Times New Roman" w:eastAsia="仿宋_GB2312" w:cs="Times New Roman"/>
          <w:sz w:val="32"/>
          <w:szCs w:val="32"/>
          <w:lang w:val="en-US" w:eastAsia="zh-CN"/>
        </w:rPr>
        <w:t>根据预算绩效管理要求，本单位在年初预算编制阶段，组织对12个项目开展了预算事前绩效评估，对12个项目编制了绩效目标</w:t>
      </w:r>
      <w:r>
        <w:rPr>
          <w:rFonts w:hint="eastAsia"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预算执行过程中，选取5个项目开展绩效监控。年终执行完毕后，对1个项目开展了绩效目标完成情况梳理填报。</w:t>
      </w:r>
    </w:p>
    <w:p w14:paraId="594F1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lang w:val="en-US" w:eastAsia="zh-CN"/>
        </w:rPr>
        <w:t>按要求对202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年部门整体支出开展绩效自评，从评价情况来看严格按照预算进行部门整体支出，始终坚持先有预算、后有执行、监督贯穿</w:t>
      </w:r>
      <w:r>
        <w:rPr>
          <w:rFonts w:hint="eastAsia" w:eastAsia="仿宋_GB2312" w:cs="Times New Roman"/>
          <w:sz w:val="32"/>
          <w:szCs w:val="32"/>
          <w:lang w:val="en-US" w:eastAsia="zh-CN"/>
        </w:rPr>
        <w:t>全过</w:t>
      </w:r>
      <w:r>
        <w:rPr>
          <w:rFonts w:hint="default" w:ascii="Times New Roman" w:hAnsi="Times New Roman" w:eastAsia="仿宋_GB2312" w:cs="Times New Roman"/>
          <w:sz w:val="32"/>
          <w:szCs w:val="32"/>
          <w:lang w:val="en-US" w:eastAsia="zh-CN"/>
        </w:rPr>
        <w:t>程、“用钱必问效、无效必问责”的原则。通过项目立项情况、资金使用情况、项目实施管理情况、项目绩效表现情况自我评价，了解资金使用是否</w:t>
      </w:r>
      <w:r>
        <w:rPr>
          <w:rFonts w:hint="eastAsia" w:eastAsia="仿宋_GB2312" w:cs="Times New Roman"/>
          <w:sz w:val="32"/>
          <w:szCs w:val="32"/>
          <w:lang w:val="en-US" w:eastAsia="zh-CN"/>
        </w:rPr>
        <w:t>达到</w:t>
      </w:r>
      <w:r>
        <w:rPr>
          <w:rFonts w:hint="default" w:ascii="Times New Roman" w:hAnsi="Times New Roman" w:eastAsia="仿宋_GB2312" w:cs="Times New Roman"/>
          <w:sz w:val="32"/>
          <w:szCs w:val="32"/>
          <w:lang w:val="en-US" w:eastAsia="zh-CN"/>
        </w:rPr>
        <w:t>预期目标、资金管理是否规范、资金使用是否有效，检验资金支出率和效果，分析存在问题及原因，及时总结经验，改进管理措施，不断增强和落实绩效管理责任，完善工作机制，有效提高资金管理水平和使用效益。</w:t>
      </w:r>
    </w:p>
    <w:p w14:paraId="353B4048">
      <w:pPr>
        <w:numPr>
          <w:ilvl w:val="0"/>
          <w:numId w:val="0"/>
        </w:numPr>
        <w:spacing w:line="600" w:lineRule="exact"/>
        <w:jc w:val="both"/>
        <w:outlineLvl w:val="0"/>
        <w:rPr>
          <w:rFonts w:hint="eastAsia" w:ascii="Times New Roman" w:hAnsi="Times New Roman" w:eastAsia="黑体" w:cs="Times New Roman"/>
          <w:color w:val="000000"/>
          <w:sz w:val="44"/>
          <w:szCs w:val="44"/>
        </w:rPr>
      </w:pPr>
      <w:bookmarkStart w:id="82" w:name="_Toc21498"/>
    </w:p>
    <w:p w14:paraId="555CEEE8">
      <w:pPr>
        <w:numPr>
          <w:ilvl w:val="0"/>
          <w:numId w:val="0"/>
        </w:numPr>
        <w:spacing w:line="600" w:lineRule="exact"/>
        <w:jc w:val="center"/>
        <w:outlineLvl w:val="0"/>
        <w:rPr>
          <w:rFonts w:hint="default" w:ascii="Times New Roman" w:hAnsi="Times New Roman" w:eastAsia="黑体" w:cs="Times New Roman"/>
          <w:color w:val="000000"/>
          <w:sz w:val="44"/>
          <w:szCs w:val="44"/>
        </w:rPr>
      </w:pPr>
      <w:bookmarkStart w:id="83" w:name="_Toc11481"/>
      <w:r>
        <w:rPr>
          <w:rFonts w:hint="eastAsia" w:eastAsia="黑体" w:cs="Times New Roman"/>
          <w:color w:val="000000"/>
          <w:sz w:val="44"/>
          <w:szCs w:val="44"/>
          <w:lang w:val="en-US" w:eastAsia="zh-CN"/>
        </w:rPr>
        <w:t xml:space="preserve">第三部分  </w:t>
      </w:r>
      <w:r>
        <w:rPr>
          <w:rFonts w:hint="eastAsia" w:ascii="Times New Roman" w:hAnsi="Times New Roman" w:eastAsia="黑体" w:cs="Times New Roman"/>
          <w:color w:val="000000"/>
          <w:sz w:val="44"/>
          <w:szCs w:val="44"/>
        </w:rPr>
        <w:t>名词解释</w:t>
      </w:r>
      <w:bookmarkEnd w:id="80"/>
      <w:bookmarkEnd w:id="81"/>
      <w:bookmarkEnd w:id="82"/>
      <w:bookmarkEnd w:id="83"/>
    </w:p>
    <w:p w14:paraId="5B3F4CB8">
      <w:pPr>
        <w:pStyle w:val="2"/>
      </w:pPr>
    </w:p>
    <w:p w14:paraId="04FE6649">
      <w:pPr>
        <w:pStyle w:val="29"/>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default" w:ascii="Times New Roman" w:hAnsi="Times New Roman" w:eastAsia="仿宋_GB2312" w:cs="Times New Roman"/>
          <w:sz w:val="32"/>
          <w:szCs w:val="32"/>
        </w:rPr>
      </w:pPr>
      <w:bookmarkStart w:id="84" w:name="_Toc10564"/>
      <w:bookmarkStart w:id="85" w:name="_Toc21857"/>
      <w:bookmarkStart w:id="86" w:name="_Toc15396614"/>
      <w:bookmarkStart w:id="87" w:name="_Toc15377226"/>
      <w:r>
        <w:rPr>
          <w:rFonts w:hint="default" w:ascii="Times New Roman" w:hAnsi="Times New Roman" w:eastAsia="仿宋_GB2312" w:cs="Times New Roman"/>
          <w:sz w:val="32"/>
          <w:szCs w:val="32"/>
        </w:rPr>
        <w:t>1.财政拨款收入：指单位从同级财政部门取得的财政预算资金。</w:t>
      </w:r>
      <w:bookmarkEnd w:id="84"/>
      <w:bookmarkEnd w:id="85"/>
    </w:p>
    <w:p w14:paraId="33310511">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2.事业收入：指事业单位开展专业业务活动及辅助活动取得的收入。二级预算单位事业收入情况等。</w:t>
      </w:r>
    </w:p>
    <w:p w14:paraId="5B2CFEC4">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3.经营收入：指事业单位在专业业务活动及其辅助活动之外开展非独立核算经营活动取得的收入。二级预算单位经营收入情况等。</w:t>
      </w:r>
    </w:p>
    <w:p w14:paraId="7992F8E3">
      <w:pPr>
        <w:pStyle w:val="29"/>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default" w:ascii="Times New Roman" w:hAnsi="Times New Roman" w:eastAsia="仿宋_GB2312" w:cs="Times New Roman"/>
          <w:sz w:val="32"/>
          <w:szCs w:val="32"/>
        </w:rPr>
      </w:pPr>
      <w:bookmarkStart w:id="88" w:name="_Toc22869"/>
      <w:bookmarkStart w:id="89" w:name="_Toc23729"/>
      <w:r>
        <w:rPr>
          <w:rFonts w:hint="default" w:ascii="Times New Roman" w:hAnsi="Times New Roman" w:eastAsia="仿宋_GB2312" w:cs="Times New Roman"/>
          <w:sz w:val="32"/>
          <w:szCs w:val="32"/>
        </w:rPr>
        <w:t>4.其他收入：指单位取得的除上述收入以外的各项收入。</w:t>
      </w:r>
      <w:bookmarkEnd w:id="88"/>
      <w:bookmarkEnd w:id="89"/>
    </w:p>
    <w:p w14:paraId="602F5B9D">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5.使用非财政拨款结余：指事业单位使用以前年度积累的非财政拨款结余弥补当年收支差额的金额。 </w:t>
      </w:r>
    </w:p>
    <w:p w14:paraId="4BF65EF9">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565BE4C4">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12B7CAA5">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8.</w:t>
      </w:r>
      <w:r>
        <w:rPr>
          <w:rFonts w:hint="default" w:ascii="Times New Roman" w:hAnsi="Times New Roman" w:eastAsia="仿宋_GB2312" w:cs="Times New Roman"/>
          <w:sz w:val="32"/>
          <w:szCs w:val="32"/>
        </w:rPr>
        <w:t>年末结转和结余：指单位按有关规定结转到下年或以后年度继续使用的资金。</w:t>
      </w:r>
    </w:p>
    <w:p w14:paraId="428EAE5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9.一般公共服务（类）</w:t>
      </w:r>
      <w:r>
        <w:rPr>
          <w:rFonts w:hint="default" w:ascii="Times New Roman" w:hAnsi="Times New Roman" w:eastAsia="仿宋_GB2312" w:cs="Times New Roman"/>
          <w:color w:val="000000"/>
          <w:sz w:val="32"/>
          <w:szCs w:val="32"/>
          <w:lang w:val="en-US" w:eastAsia="zh-CN"/>
        </w:rPr>
        <w:t>发展与改革事务</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val="en-US" w:eastAsia="zh-CN"/>
        </w:rPr>
        <w:t>行政运行</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行政单位的基本支出</w:t>
      </w:r>
      <w:r>
        <w:rPr>
          <w:rFonts w:hint="default" w:ascii="Times New Roman" w:hAnsi="Times New Roman" w:eastAsia="仿宋_GB2312" w:cs="Times New Roman"/>
          <w:color w:val="000000"/>
          <w:sz w:val="32"/>
          <w:szCs w:val="32"/>
        </w:rPr>
        <w:t>。</w:t>
      </w:r>
    </w:p>
    <w:p w14:paraId="10A3321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10.一般公共服务（类）</w:t>
      </w:r>
      <w:r>
        <w:rPr>
          <w:rFonts w:hint="default" w:ascii="Times New Roman" w:hAnsi="Times New Roman" w:eastAsia="仿宋_GB2312" w:cs="Times New Roman"/>
          <w:color w:val="000000"/>
          <w:sz w:val="32"/>
          <w:szCs w:val="32"/>
          <w:lang w:val="en-US" w:eastAsia="zh-CN"/>
        </w:rPr>
        <w:t>发展与改革事务</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一般行政管理事务</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部分基础设施建设支出</w:t>
      </w:r>
      <w:r>
        <w:rPr>
          <w:rFonts w:hint="default" w:ascii="Times New Roman" w:hAnsi="Times New Roman" w:eastAsia="仿宋_GB2312" w:cs="Times New Roman"/>
          <w:color w:val="000000"/>
          <w:sz w:val="32"/>
          <w:szCs w:val="32"/>
        </w:rPr>
        <w:t>。</w:t>
      </w:r>
    </w:p>
    <w:p w14:paraId="511FF4B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11.一般公共服务（类）</w:t>
      </w:r>
      <w:r>
        <w:rPr>
          <w:rFonts w:hint="default" w:ascii="Times New Roman" w:hAnsi="Times New Roman" w:eastAsia="仿宋_GB2312" w:cs="Times New Roman"/>
          <w:color w:val="000000"/>
          <w:sz w:val="32"/>
          <w:szCs w:val="32"/>
          <w:lang w:val="en-US" w:eastAsia="zh-CN"/>
        </w:rPr>
        <w:t>发展与改革事务</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val="en-US" w:eastAsia="zh-CN"/>
        </w:rPr>
        <w:t>其他发展和改革事务支出</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部分基础设施建设支出</w:t>
      </w:r>
      <w:r>
        <w:rPr>
          <w:rFonts w:hint="default" w:ascii="Times New Roman" w:hAnsi="Times New Roman" w:eastAsia="仿宋_GB2312" w:cs="Times New Roman"/>
          <w:color w:val="000000"/>
          <w:sz w:val="32"/>
          <w:szCs w:val="32"/>
        </w:rPr>
        <w:t>。</w:t>
      </w:r>
    </w:p>
    <w:p w14:paraId="303C8B5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12.一般公共服务（类）</w:t>
      </w:r>
      <w:r>
        <w:rPr>
          <w:rFonts w:hint="default" w:ascii="Times New Roman" w:hAnsi="Times New Roman" w:eastAsia="仿宋_GB2312" w:cs="Times New Roman"/>
          <w:color w:val="000000"/>
          <w:sz w:val="32"/>
          <w:szCs w:val="32"/>
          <w:lang w:eastAsia="zh-CN"/>
        </w:rPr>
        <w:t>人力资源事务</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引进人才费用</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val="en-US" w:eastAsia="zh-CN"/>
        </w:rPr>
        <w:t>202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年度引进研究生支出</w:t>
      </w:r>
      <w:r>
        <w:rPr>
          <w:rFonts w:hint="default" w:ascii="Times New Roman" w:hAnsi="Times New Roman" w:eastAsia="仿宋_GB2312" w:cs="Times New Roman"/>
          <w:color w:val="000000"/>
          <w:sz w:val="32"/>
          <w:szCs w:val="32"/>
        </w:rPr>
        <w:t>。</w:t>
      </w:r>
    </w:p>
    <w:p w14:paraId="4A42DDA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w:t>
      </w:r>
      <w:r>
        <w:rPr>
          <w:rFonts w:hint="default" w:ascii="Times New Roman" w:hAnsi="Times New Roman" w:eastAsia="仿宋_GB2312" w:cs="Times New Roman"/>
          <w:color w:val="000000"/>
          <w:sz w:val="32"/>
          <w:szCs w:val="32"/>
          <w:lang w:eastAsia="zh-CN"/>
        </w:rPr>
        <w:t>社会保障和就业</w:t>
      </w:r>
      <w:r>
        <w:rPr>
          <w:rFonts w:hint="default" w:ascii="Times New Roman" w:hAnsi="Times New Roman" w:eastAsia="仿宋_GB2312" w:cs="Times New Roman"/>
          <w:color w:val="000000"/>
          <w:sz w:val="32"/>
          <w:szCs w:val="32"/>
        </w:rPr>
        <w:t>（类）</w:t>
      </w:r>
      <w:r>
        <w:rPr>
          <w:rFonts w:hint="default" w:ascii="Times New Roman" w:hAnsi="Times New Roman" w:eastAsia="仿宋_GB2312" w:cs="Times New Roman"/>
          <w:color w:val="000000"/>
          <w:sz w:val="32"/>
          <w:szCs w:val="32"/>
          <w:lang w:eastAsia="zh-CN"/>
        </w:rPr>
        <w:t>行政事业单位养老支出</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机关事业单位基本养老保险缴费支出</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单位缴纳的基本养老保险费支出</w:t>
      </w:r>
      <w:r>
        <w:rPr>
          <w:rFonts w:hint="default" w:ascii="Times New Roman" w:hAnsi="Times New Roman" w:eastAsia="仿宋_GB2312" w:cs="Times New Roman"/>
          <w:color w:val="000000"/>
          <w:sz w:val="32"/>
          <w:szCs w:val="32"/>
        </w:rPr>
        <w:t>。</w:t>
      </w:r>
    </w:p>
    <w:p w14:paraId="5DCE5B3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14.</w:t>
      </w:r>
      <w:r>
        <w:rPr>
          <w:rFonts w:hint="default" w:ascii="Times New Roman" w:hAnsi="Times New Roman" w:eastAsia="仿宋_GB2312" w:cs="Times New Roman"/>
          <w:color w:val="000000"/>
          <w:sz w:val="32"/>
          <w:szCs w:val="32"/>
          <w:lang w:eastAsia="zh-CN"/>
        </w:rPr>
        <w:t>社会保障和就业</w:t>
      </w:r>
      <w:r>
        <w:rPr>
          <w:rFonts w:hint="default" w:ascii="Times New Roman" w:hAnsi="Times New Roman" w:eastAsia="仿宋_GB2312" w:cs="Times New Roman"/>
          <w:color w:val="000000"/>
          <w:sz w:val="32"/>
          <w:szCs w:val="32"/>
        </w:rPr>
        <w:t>（类）</w:t>
      </w:r>
      <w:r>
        <w:rPr>
          <w:rFonts w:hint="default" w:ascii="Times New Roman" w:hAnsi="Times New Roman" w:eastAsia="仿宋_GB2312" w:cs="Times New Roman"/>
          <w:color w:val="000000"/>
          <w:sz w:val="32"/>
          <w:szCs w:val="32"/>
          <w:lang w:eastAsia="zh-CN"/>
        </w:rPr>
        <w:t>行政事业单位养老支出</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机关事业单位职业年金缴费支出</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单位实际缴纳的职业年金支出</w:t>
      </w:r>
      <w:r>
        <w:rPr>
          <w:rFonts w:hint="default" w:ascii="Times New Roman" w:hAnsi="Times New Roman" w:eastAsia="仿宋_GB2312" w:cs="Times New Roman"/>
          <w:color w:val="000000"/>
          <w:sz w:val="32"/>
          <w:szCs w:val="32"/>
        </w:rPr>
        <w:t>。</w:t>
      </w:r>
    </w:p>
    <w:p w14:paraId="01025A9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15.</w:t>
      </w:r>
      <w:r>
        <w:rPr>
          <w:rFonts w:hint="default" w:ascii="Times New Roman" w:hAnsi="Times New Roman" w:eastAsia="仿宋_GB2312" w:cs="Times New Roman"/>
          <w:color w:val="000000"/>
          <w:sz w:val="32"/>
          <w:szCs w:val="32"/>
          <w:lang w:eastAsia="zh-CN"/>
        </w:rPr>
        <w:t>卫生健康支出</w:t>
      </w:r>
      <w:r>
        <w:rPr>
          <w:rFonts w:hint="default" w:ascii="Times New Roman" w:hAnsi="Times New Roman" w:eastAsia="仿宋_GB2312" w:cs="Times New Roman"/>
          <w:color w:val="000000"/>
          <w:sz w:val="32"/>
          <w:szCs w:val="32"/>
        </w:rPr>
        <w:t>（类）</w:t>
      </w:r>
      <w:r>
        <w:rPr>
          <w:rFonts w:hint="default" w:ascii="Times New Roman" w:hAnsi="Times New Roman" w:eastAsia="仿宋_GB2312" w:cs="Times New Roman"/>
          <w:color w:val="000000"/>
          <w:sz w:val="32"/>
          <w:szCs w:val="32"/>
          <w:lang w:eastAsia="zh-CN"/>
        </w:rPr>
        <w:t>行政事业单位医疗</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行政单位医疗</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单位实际缴纳的医疗保险支出</w:t>
      </w:r>
      <w:r>
        <w:rPr>
          <w:rFonts w:hint="default" w:ascii="Times New Roman" w:hAnsi="Times New Roman" w:eastAsia="仿宋_GB2312" w:cs="Times New Roman"/>
          <w:color w:val="000000"/>
          <w:sz w:val="32"/>
          <w:szCs w:val="32"/>
        </w:rPr>
        <w:t>。</w:t>
      </w:r>
    </w:p>
    <w:p w14:paraId="6B17012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w:t>
      </w:r>
      <w:r>
        <w:rPr>
          <w:rFonts w:hint="default" w:ascii="Times New Roman" w:hAnsi="Times New Roman" w:eastAsia="仿宋_GB2312" w:cs="Times New Roman"/>
          <w:color w:val="000000"/>
          <w:sz w:val="32"/>
          <w:szCs w:val="32"/>
          <w:lang w:eastAsia="zh-CN"/>
        </w:rPr>
        <w:t>农林水支出</w:t>
      </w:r>
      <w:r>
        <w:rPr>
          <w:rFonts w:hint="default" w:ascii="Times New Roman" w:hAnsi="Times New Roman" w:eastAsia="仿宋_GB2312" w:cs="Times New Roman"/>
          <w:color w:val="000000"/>
          <w:sz w:val="32"/>
          <w:szCs w:val="32"/>
        </w:rPr>
        <w:t>（类）</w:t>
      </w:r>
      <w:r>
        <w:rPr>
          <w:rFonts w:hint="default" w:ascii="Times New Roman" w:hAnsi="Times New Roman" w:eastAsia="仿宋_GB2312" w:cs="Times New Roman"/>
          <w:color w:val="000000"/>
          <w:sz w:val="32"/>
          <w:szCs w:val="32"/>
          <w:lang w:eastAsia="zh-CN"/>
        </w:rPr>
        <w:t>扶贫</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农村基础设施建设</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农村贫困地区乡村道路、住房等生产生活条件改善方面的支出</w:t>
      </w:r>
      <w:r>
        <w:rPr>
          <w:rFonts w:hint="default" w:ascii="Times New Roman" w:hAnsi="Times New Roman" w:eastAsia="仿宋_GB2312" w:cs="Times New Roman"/>
          <w:color w:val="000000"/>
          <w:sz w:val="32"/>
          <w:szCs w:val="32"/>
        </w:rPr>
        <w:t>。</w:t>
      </w:r>
    </w:p>
    <w:p w14:paraId="0CFBCFF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w:t>
      </w:r>
      <w:r>
        <w:rPr>
          <w:rFonts w:hint="default" w:ascii="Times New Roman" w:hAnsi="Times New Roman" w:eastAsia="仿宋_GB2312" w:cs="Times New Roman"/>
          <w:color w:val="000000"/>
          <w:sz w:val="32"/>
          <w:szCs w:val="32"/>
          <w:lang w:eastAsia="zh-CN"/>
        </w:rPr>
        <w:t>农林水支出</w:t>
      </w:r>
      <w:r>
        <w:rPr>
          <w:rFonts w:hint="default" w:ascii="Times New Roman" w:hAnsi="Times New Roman" w:eastAsia="仿宋_GB2312" w:cs="Times New Roman"/>
          <w:color w:val="000000"/>
          <w:sz w:val="32"/>
          <w:szCs w:val="32"/>
        </w:rPr>
        <w:t>（类）</w:t>
      </w:r>
      <w:r>
        <w:rPr>
          <w:rFonts w:hint="default" w:ascii="Times New Roman" w:hAnsi="Times New Roman" w:eastAsia="仿宋_GB2312" w:cs="Times New Roman"/>
          <w:color w:val="000000"/>
          <w:sz w:val="32"/>
          <w:szCs w:val="32"/>
          <w:lang w:eastAsia="zh-CN"/>
        </w:rPr>
        <w:t>扶贫</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其他扶贫支出</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易地扶贫搬迁贴息支出</w:t>
      </w:r>
      <w:r>
        <w:rPr>
          <w:rFonts w:hint="default" w:ascii="Times New Roman" w:hAnsi="Times New Roman" w:eastAsia="仿宋_GB2312" w:cs="Times New Roman"/>
          <w:color w:val="000000"/>
          <w:sz w:val="32"/>
          <w:szCs w:val="32"/>
        </w:rPr>
        <w:t>。</w:t>
      </w:r>
    </w:p>
    <w:p w14:paraId="2BFC20F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w:t>
      </w:r>
      <w:r>
        <w:rPr>
          <w:rFonts w:hint="default" w:ascii="Times New Roman" w:hAnsi="Times New Roman" w:eastAsia="仿宋_GB2312" w:cs="Times New Roman"/>
          <w:color w:val="000000"/>
          <w:sz w:val="32"/>
          <w:szCs w:val="32"/>
          <w:lang w:eastAsia="zh-CN"/>
        </w:rPr>
        <w:t>住房保障支出</w:t>
      </w:r>
      <w:r>
        <w:rPr>
          <w:rFonts w:hint="default" w:ascii="Times New Roman" w:hAnsi="Times New Roman" w:eastAsia="仿宋_GB2312" w:cs="Times New Roman"/>
          <w:color w:val="000000"/>
          <w:sz w:val="32"/>
          <w:szCs w:val="32"/>
        </w:rPr>
        <w:t>（类）</w:t>
      </w:r>
      <w:r>
        <w:rPr>
          <w:rFonts w:hint="default" w:ascii="Times New Roman" w:hAnsi="Times New Roman" w:eastAsia="仿宋_GB2312" w:cs="Times New Roman"/>
          <w:color w:val="000000"/>
          <w:sz w:val="32"/>
          <w:szCs w:val="32"/>
          <w:lang w:eastAsia="zh-CN"/>
        </w:rPr>
        <w:t>住房改革支出</w:t>
      </w:r>
      <w:r>
        <w:rPr>
          <w:rFonts w:hint="default" w:ascii="Times New Roman" w:hAnsi="Times New Roman" w:eastAsia="仿宋_GB2312" w:cs="Times New Roman"/>
          <w:color w:val="000000"/>
          <w:sz w:val="32"/>
          <w:szCs w:val="32"/>
        </w:rPr>
        <w:t>（款）</w:t>
      </w:r>
      <w:r>
        <w:rPr>
          <w:rFonts w:hint="default" w:ascii="Times New Roman" w:hAnsi="Times New Roman" w:eastAsia="仿宋_GB2312" w:cs="Times New Roman"/>
          <w:color w:val="000000"/>
          <w:sz w:val="32"/>
          <w:szCs w:val="32"/>
          <w:lang w:eastAsia="zh-CN"/>
        </w:rPr>
        <w:t>住房公积金</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eastAsia="zh-CN"/>
        </w:rPr>
        <w:t>行政事业单位按照工资比例为职工缴纳的住房公积金</w:t>
      </w:r>
      <w:r>
        <w:rPr>
          <w:rFonts w:hint="default" w:ascii="Times New Roman" w:hAnsi="Times New Roman" w:eastAsia="仿宋_GB2312" w:cs="Times New Roman"/>
          <w:color w:val="000000"/>
          <w:sz w:val="32"/>
          <w:szCs w:val="32"/>
        </w:rPr>
        <w:t>。</w:t>
      </w:r>
    </w:p>
    <w:p w14:paraId="4504ACF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14:paraId="5540844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14:paraId="134491D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.经营支出：指事业单位在专业业务活动及其辅助活动之外开展非独立核算经营活动发生的支出。</w:t>
      </w:r>
    </w:p>
    <w:p w14:paraId="74D9B8F2">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443C7B">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D9B2A4">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p>
    <w:p w14:paraId="2A5BA1DE">
      <w:pPr>
        <w:spacing w:line="600" w:lineRule="exact"/>
        <w:jc w:val="both"/>
        <w:outlineLvl w:val="0"/>
        <w:rPr>
          <w:rFonts w:hint="eastAsia" w:ascii="黑体" w:hAnsi="黑体" w:eastAsia="黑体"/>
          <w:color w:val="auto"/>
          <w:sz w:val="44"/>
          <w:szCs w:val="44"/>
          <w:highlight w:val="none"/>
        </w:rPr>
      </w:pPr>
      <w:bookmarkStart w:id="90" w:name="_Toc19654"/>
    </w:p>
    <w:p w14:paraId="4436F140">
      <w:pPr>
        <w:spacing w:line="600" w:lineRule="exact"/>
        <w:jc w:val="center"/>
        <w:outlineLvl w:val="0"/>
        <w:rPr>
          <w:rStyle w:val="31"/>
          <w:rFonts w:hint="eastAsia" w:ascii="黑体" w:hAnsi="黑体" w:eastAsia="黑体"/>
          <w:b w:val="0"/>
          <w:color w:val="auto"/>
          <w:highlight w:val="none"/>
          <w:lang w:eastAsia="zh-CN"/>
        </w:rPr>
      </w:pPr>
      <w:bookmarkStart w:id="91" w:name="_Toc1023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86"/>
      <w:bookmarkEnd w:id="90"/>
      <w:bookmarkEnd w:id="91"/>
    </w:p>
    <w:p w14:paraId="58334CD9">
      <w:pPr>
        <w:pStyle w:val="7"/>
        <w:outlineLvl w:val="1"/>
        <w:rPr>
          <w:rFonts w:hint="eastAsia" w:hAnsi="宋体" w:cs="宋体"/>
          <w:color w:val="auto"/>
          <w:kern w:val="0"/>
          <w:sz w:val="32"/>
          <w:szCs w:val="32"/>
          <w:highlight w:val="none"/>
          <w:shd w:val="clear" w:color="auto" w:fill="FFFFFF"/>
          <w:lang w:val="en-US" w:eastAsia="zh-CN"/>
        </w:rPr>
      </w:pPr>
      <w:bookmarkStart w:id="92" w:name="_Toc27954"/>
      <w:bookmarkStart w:id="93" w:name="_Toc13993"/>
      <w:r>
        <w:rPr>
          <w:rFonts w:hint="eastAsia" w:hAnsi="宋体" w:cs="宋体"/>
          <w:color w:val="auto"/>
          <w:kern w:val="0"/>
          <w:sz w:val="32"/>
          <w:szCs w:val="32"/>
          <w:highlight w:val="none"/>
          <w:shd w:val="clear" w:color="auto" w:fill="FFFFFF"/>
          <w:lang w:val="zh-CN"/>
        </w:rPr>
        <w:t>附件</w:t>
      </w:r>
      <w:bookmarkEnd w:id="92"/>
      <w:r>
        <w:rPr>
          <w:rFonts w:hint="eastAsia" w:hAnsi="宋体" w:cs="宋体"/>
          <w:color w:val="auto"/>
          <w:kern w:val="0"/>
          <w:sz w:val="32"/>
          <w:szCs w:val="32"/>
          <w:highlight w:val="none"/>
          <w:shd w:val="clear" w:color="auto" w:fill="FFFFFF"/>
          <w:lang w:val="en-US" w:eastAsia="zh-CN"/>
        </w:rPr>
        <w:t>1</w:t>
      </w:r>
      <w:bookmarkEnd w:id="93"/>
    </w:p>
    <w:p w14:paraId="534756FB">
      <w:pPr>
        <w:pStyle w:val="2"/>
      </w:pPr>
    </w:p>
    <w:p w14:paraId="4C3BC90B">
      <w:pPr>
        <w:spacing w:line="600" w:lineRule="exact"/>
        <w:jc w:val="center"/>
        <w:outlineLvl w:val="0"/>
        <w:rPr>
          <w:rFonts w:hint="default" w:ascii="Times New Roman" w:hAnsi="Times New Roman" w:eastAsia="方正小标宋简体" w:cs="Times New Roman"/>
          <w:sz w:val="44"/>
          <w:szCs w:val="44"/>
        </w:rPr>
      </w:pPr>
      <w:bookmarkStart w:id="94" w:name="_Toc79163882"/>
      <w:bookmarkStart w:id="95" w:name="_Toc19107"/>
      <w:bookmarkStart w:id="96" w:name="_Toc79163632"/>
      <w:bookmarkStart w:id="97" w:name="_Toc29735"/>
      <w:bookmarkStart w:id="98" w:name="_Toc15469"/>
      <w:r>
        <w:rPr>
          <w:rFonts w:hint="default" w:ascii="Times New Roman" w:hAnsi="Times New Roman" w:eastAsia="方正小标宋简体" w:cs="Times New Roman"/>
          <w:sz w:val="44"/>
          <w:szCs w:val="44"/>
          <w:lang w:eastAsia="zh-CN"/>
        </w:rPr>
        <w:t>壤塘县发展和改革局</w:t>
      </w:r>
      <w:r>
        <w:rPr>
          <w:rFonts w:hint="default" w:ascii="Times New Roman" w:hAnsi="Times New Roman" w:eastAsia="方正小标宋简体" w:cs="Times New Roman"/>
          <w:sz w:val="44"/>
          <w:szCs w:val="44"/>
        </w:rPr>
        <w:t>部门202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年部门整体支出绩效评价报告</w:t>
      </w:r>
      <w:bookmarkEnd w:id="94"/>
      <w:bookmarkEnd w:id="95"/>
      <w:bookmarkEnd w:id="96"/>
      <w:bookmarkEnd w:id="97"/>
      <w:bookmarkEnd w:id="98"/>
    </w:p>
    <w:p w14:paraId="1ED3605B">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14:paraId="76CFB4C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741DAD6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960" w:firstLineChars="3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99" w:name="_Toc10597"/>
      <w:bookmarkStart w:id="100" w:name="_Toc19291"/>
      <w:r>
        <w:rPr>
          <w:rFonts w:hint="eastAsia" w:ascii="黑体" w:hAnsi="宋体" w:eastAsia="黑体" w:cs="宋体"/>
          <w:color w:val="auto"/>
          <w:kern w:val="0"/>
          <w:sz w:val="32"/>
          <w:szCs w:val="32"/>
          <w:highlight w:val="none"/>
          <w:shd w:val="clear" w:color="auto" w:fill="FFFFFF"/>
          <w:lang w:val="zh-CN"/>
        </w:rPr>
        <w:t>一、部门（单位）基本情况</w:t>
      </w:r>
      <w:bookmarkEnd w:id="99"/>
      <w:bookmarkEnd w:id="100"/>
    </w:p>
    <w:p w14:paraId="3EC2499E">
      <w:pPr>
        <w:keepNext w:val="0"/>
        <w:keepLines w:val="0"/>
        <w:pageBreakBefore w:val="0"/>
        <w:widowControl/>
        <w:kinsoku/>
        <w:wordWrap/>
        <w:overflowPunct/>
        <w:topLinePunct w:val="0"/>
        <w:autoSpaceDE/>
        <w:autoSpaceDN/>
        <w:bidi w:val="0"/>
        <w:adjustRightInd w:val="0"/>
        <w:snapToGrid w:val="0"/>
        <w:spacing w:line="560" w:lineRule="exact"/>
        <w:ind w:leftChars="0" w:firstLine="643" w:firstLineChars="200"/>
        <w:contextualSpacing/>
        <w:jc w:val="left"/>
        <w:textAlignment w:val="auto"/>
        <w:outlineLvl w:val="2"/>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（一）机构组成</w:t>
      </w:r>
    </w:p>
    <w:p w14:paraId="14D826A4">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壤</w:t>
      </w:r>
      <w:r>
        <w:rPr>
          <w:rFonts w:hint="default" w:ascii="Times New Roman" w:hAnsi="Times New Roman" w:eastAsia="仿宋_GB2312" w:cs="Times New Roman"/>
          <w:kern w:val="2"/>
          <w:sz w:val="32"/>
          <w:szCs w:val="32"/>
          <w:lang w:val="en-US" w:eastAsia="zh-CN" w:bidi="ar-SA"/>
        </w:rPr>
        <w:t>塘县发展和改革局共有8个股室，办公室、国民经济综合股、固定资产投资股、项目管理股、能源股、粮食和物资储备管理股、价格认证和收费管理股、价格监测和调</w:t>
      </w:r>
      <w:r>
        <w:rPr>
          <w:rFonts w:hint="default" w:ascii="Times New Roman" w:hAnsi="Times New Roman" w:eastAsia="仿宋_GB2312" w:cs="Times New Roman"/>
          <w:color w:val="000000"/>
          <w:kern w:val="0"/>
          <w:sz w:val="32"/>
          <w:szCs w:val="32"/>
          <w:lang w:val="en-US" w:eastAsia="zh-CN" w:bidi="ar-SA"/>
        </w:rPr>
        <w:t>控股。</w:t>
      </w:r>
    </w:p>
    <w:p w14:paraId="0ADA955F">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spacing w:line="560" w:lineRule="exact"/>
        <w:ind w:firstLine="643" w:firstLineChars="200"/>
        <w:contextualSpacing/>
        <w:textAlignment w:val="auto"/>
        <w:outlineLvl w:val="2"/>
        <w:rPr>
          <w:rFonts w:hint="default"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en-US" w:eastAsia="zh-CN"/>
        </w:rPr>
        <w:t>（二）</w:t>
      </w:r>
      <w:r>
        <w:rPr>
          <w:rFonts w:hint="default" w:ascii="方正楷体_GBK" w:hAnsi="方正楷体_GBK" w:eastAsia="方正楷体_GBK" w:cs="方正楷体_GBK"/>
          <w:b/>
          <w:bCs/>
          <w:color w:val="000000"/>
          <w:kern w:val="0"/>
          <w:sz w:val="32"/>
          <w:szCs w:val="32"/>
          <w:shd w:val="clear" w:color="auto" w:fill="FFFFFF"/>
          <w:lang w:val="zh-CN"/>
        </w:rPr>
        <w:t>机构职能</w:t>
      </w:r>
    </w:p>
    <w:p w14:paraId="75864B9D">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县发改局贯彻落实党中央关于发展改革工作的方针政策和省委、州委、县委的决策部署，在履行职责过程中坚持和加强党对发展改革工作的集中统一领导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主要职责是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贯彻实施国家、省、州有关国民经济和社会发展、经济体制改革的方针、政策和</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负责拟订并组织实施全县国民经济和社会发展的中长期规划和年度综合计划。</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负责组织编制全县实施藏区跨越式发展西部大开发战略的规划，使之与国民经济和社会发展中长期规划相衔接，提出有关政策建议。</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负责提出全县全社会固定资产投资总规模，结构和资金来源建议。</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根据国家</w:t>
      </w:r>
      <w:r>
        <w:rPr>
          <w:rFonts w:hint="eastAsia" w:eastAsia="仿宋_GB2312" w:cs="Times New Roman"/>
          <w:sz w:val="32"/>
          <w:szCs w:val="32"/>
          <w:lang w:eastAsia="zh-CN"/>
        </w:rPr>
        <w:t>《中华人民共和国招标投标法》</w:t>
      </w:r>
      <w:r>
        <w:rPr>
          <w:rFonts w:hint="default" w:ascii="Times New Roman" w:hAnsi="Times New Roman" w:eastAsia="仿宋_GB2312" w:cs="Times New Roman"/>
          <w:sz w:val="32"/>
          <w:szCs w:val="32"/>
        </w:rPr>
        <w:t>的规定，负责指导和协调全县招投标工作，会同有关行政主管部门共同做好全县招标、投标行政监督管理工作，依法查处招标、投标活动中的违法行为，确保全县招标、投标工作做到公开、公平、公正。</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负责组织研究、审查、编制、上报、衔接项目的资金计划，并综合平衡项目、资金计划。</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统筹国民经济和社会发展对能源的需求，拟订能源发展战略、发展规划和年度指导性计划，提出能源发展的目标和措施。</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负责收集、汇总全县的经济运行情况。负责全县经济信息资源的开发管理，信息的收集、整理和发布。负责全县经济运行的预测与分析，为各级领导和部门提供</w:t>
      </w:r>
      <w:r>
        <w:rPr>
          <w:rFonts w:hint="eastAsia" w:eastAsia="仿宋_GB2312" w:cs="Times New Roman"/>
          <w:sz w:val="32"/>
          <w:szCs w:val="32"/>
          <w:lang w:eastAsia="zh-CN"/>
        </w:rPr>
        <w:t>决策</w:t>
      </w:r>
      <w:r>
        <w:rPr>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负责对国家和省安排资金项目的审批程序、建设资金使用、工程招标投标、开工建设条件、建设进度、工程质量、投资概算控制以及工程竣工验收等建设活动进行全过程的监督检查</w:t>
      </w:r>
      <w:r>
        <w:rPr>
          <w:rFonts w:hint="default" w:ascii="Times New Roman" w:hAnsi="Times New Roman" w:eastAsia="仿宋_GB2312" w:cs="Times New Roman"/>
          <w:sz w:val="32"/>
          <w:szCs w:val="32"/>
          <w:lang w:eastAsia="zh-CN"/>
        </w:rPr>
        <w:t>等。</w:t>
      </w:r>
    </w:p>
    <w:p w14:paraId="57B5EF24">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spacing w:line="560" w:lineRule="exact"/>
        <w:ind w:firstLine="643" w:firstLineChars="200"/>
        <w:contextualSpacing/>
        <w:textAlignment w:val="auto"/>
        <w:outlineLvl w:val="2"/>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（三）人员概括</w:t>
      </w:r>
    </w:p>
    <w:p w14:paraId="465D7C51">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壤塘县发展和改革局</w:t>
      </w:r>
      <w:r>
        <w:rPr>
          <w:rFonts w:hint="default" w:ascii="Times New Roman" w:hAnsi="Times New Roman" w:eastAsia="仿宋_GB2312" w:cs="Times New Roman"/>
          <w:kern w:val="0"/>
          <w:sz w:val="32"/>
          <w:szCs w:val="32"/>
        </w:rPr>
        <w:t>总编制</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31</w:t>
      </w:r>
      <w:r>
        <w:rPr>
          <w:rFonts w:hint="default" w:ascii="Times New Roman" w:hAnsi="Times New Roman" w:eastAsia="仿宋_GB2312" w:cs="Times New Roman"/>
          <w:kern w:val="0"/>
          <w:sz w:val="32"/>
          <w:szCs w:val="32"/>
        </w:rPr>
        <w:t>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其中</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行政编制</w:t>
      </w:r>
      <w:r>
        <w:rPr>
          <w:rFonts w:hint="default" w:ascii="Times New Roman" w:hAnsi="Times New Roman" w:eastAsia="仿宋_GB2312" w:cs="Times New Roman"/>
          <w:kern w:val="0"/>
          <w:sz w:val="32"/>
          <w:szCs w:val="32"/>
          <w:u w:val="single"/>
          <w:lang w:val="en-US" w:eastAsia="zh-CN"/>
        </w:rPr>
        <w:t>11</w:t>
      </w:r>
      <w:r>
        <w:rPr>
          <w:rFonts w:hint="default" w:ascii="Times New Roman" w:hAnsi="Times New Roman" w:eastAsia="仿宋_GB2312" w:cs="Times New Roman"/>
          <w:kern w:val="0"/>
          <w:sz w:val="32"/>
          <w:szCs w:val="32"/>
        </w:rPr>
        <w:t>名。在职人员总数</w:t>
      </w:r>
      <w:r>
        <w:rPr>
          <w:rFonts w:hint="eastAsia" w:ascii="Times New Roman" w:hAnsi="Times New Roman" w:eastAsia="仿宋_GB2312" w:cs="Times New Roman"/>
          <w:kern w:val="0"/>
          <w:sz w:val="32"/>
          <w:szCs w:val="32"/>
          <w:u w:val="single"/>
          <w:lang w:val="en-US" w:eastAsia="zh-CN"/>
        </w:rPr>
        <w:t>30</w:t>
      </w:r>
      <w:r>
        <w:rPr>
          <w:rFonts w:hint="default" w:ascii="Times New Roman" w:hAnsi="Times New Roman" w:eastAsia="仿宋_GB2312" w:cs="Times New Roman"/>
          <w:kern w:val="0"/>
          <w:sz w:val="32"/>
          <w:szCs w:val="32"/>
        </w:rPr>
        <w:t>名，其中：行政人员</w:t>
      </w:r>
      <w:r>
        <w:rPr>
          <w:rFonts w:hint="eastAsia" w:ascii="Times New Roman" w:hAnsi="Times New Roman" w:eastAsia="仿宋_GB2312" w:cs="Times New Roman"/>
          <w:kern w:val="0"/>
          <w:sz w:val="32"/>
          <w:szCs w:val="32"/>
          <w:u w:val="single"/>
          <w:lang w:val="en-US" w:eastAsia="zh-CN"/>
        </w:rPr>
        <w:t>9</w:t>
      </w:r>
      <w:r>
        <w:rPr>
          <w:rFonts w:hint="default" w:ascii="Times New Roman" w:hAnsi="Times New Roman" w:eastAsia="仿宋_GB2312" w:cs="Times New Roman"/>
          <w:kern w:val="0"/>
          <w:sz w:val="32"/>
          <w:szCs w:val="32"/>
        </w:rPr>
        <w:t>名，其他事业人员</w:t>
      </w:r>
      <w:r>
        <w:rPr>
          <w:rFonts w:hint="default" w:ascii="Times New Roman" w:hAnsi="Times New Roman" w:eastAsia="仿宋_GB2312" w:cs="Times New Roman"/>
          <w:kern w:val="0"/>
          <w:sz w:val="32"/>
          <w:szCs w:val="32"/>
          <w:u w:val="single"/>
          <w:lang w:val="en-US" w:eastAsia="zh-CN"/>
        </w:rPr>
        <w:t>1</w:t>
      </w:r>
      <w:r>
        <w:rPr>
          <w:rFonts w:hint="eastAsia" w:ascii="Times New Roman" w:hAnsi="Times New Roman" w:eastAsia="仿宋_GB2312" w:cs="Times New Roman"/>
          <w:kern w:val="0"/>
          <w:sz w:val="32"/>
          <w:szCs w:val="32"/>
          <w:u w:val="single"/>
          <w:lang w:val="en-US" w:eastAsia="zh-CN"/>
        </w:rPr>
        <w:t>6</w:t>
      </w:r>
      <w:r>
        <w:rPr>
          <w:rFonts w:hint="default" w:ascii="Times New Roman" w:hAnsi="Times New Roman" w:eastAsia="仿宋_GB2312" w:cs="Times New Roman"/>
          <w:kern w:val="0"/>
          <w:sz w:val="32"/>
          <w:szCs w:val="32"/>
        </w:rPr>
        <w:t>名；</w:t>
      </w:r>
      <w:r>
        <w:rPr>
          <w:rFonts w:hint="default" w:ascii="Times New Roman" w:hAnsi="Times New Roman" w:eastAsia="仿宋_GB2312" w:cs="Times New Roman"/>
          <w:kern w:val="0"/>
          <w:sz w:val="32"/>
          <w:szCs w:val="32"/>
          <w:lang w:eastAsia="zh-CN"/>
        </w:rPr>
        <w:t>工勤人员</w:t>
      </w:r>
      <w:r>
        <w:rPr>
          <w:rFonts w:hint="default" w:ascii="Times New Roman" w:hAnsi="Times New Roman" w:eastAsia="仿宋_GB2312" w:cs="Times New Roman"/>
          <w:kern w:val="0"/>
          <w:sz w:val="32"/>
          <w:szCs w:val="32"/>
          <w:u w:val="single"/>
          <w:lang w:val="en-US" w:eastAsia="zh-CN"/>
        </w:rPr>
        <w:t>5</w:t>
      </w:r>
      <w:r>
        <w:rPr>
          <w:rFonts w:hint="default" w:ascii="Times New Roman" w:hAnsi="Times New Roman" w:eastAsia="仿宋_GB2312" w:cs="Times New Roman"/>
          <w:kern w:val="0"/>
          <w:sz w:val="32"/>
          <w:szCs w:val="32"/>
          <w:lang w:val="en-US" w:eastAsia="zh-CN"/>
        </w:rPr>
        <w:t>名</w:t>
      </w:r>
      <w:r>
        <w:rPr>
          <w:rFonts w:hint="default" w:ascii="Times New Roman" w:hAnsi="Times New Roman" w:eastAsia="仿宋_GB2312" w:cs="Times New Roman"/>
          <w:kern w:val="0"/>
          <w:sz w:val="32"/>
          <w:szCs w:val="32"/>
        </w:rPr>
        <w:t>。</w:t>
      </w:r>
    </w:p>
    <w:p w14:paraId="663854EE">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spacing w:line="560" w:lineRule="exact"/>
        <w:ind w:firstLine="643" w:firstLineChars="200"/>
        <w:contextualSpacing/>
        <w:textAlignment w:val="auto"/>
        <w:outlineLvl w:val="2"/>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（四）年度主要工作任务</w:t>
      </w:r>
    </w:p>
    <w:p w14:paraId="0631FE32">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投资保持逆势增长</w:t>
      </w:r>
    </w:p>
    <w:p w14:paraId="4AA4A1A1">
      <w:pPr>
        <w:pBdr>
          <w:bottom w:val="single" w:color="FFFFFF" w:sz="4" w:space="31"/>
        </w:pBdr>
        <w:tabs>
          <w:tab w:val="left" w:pos="1440"/>
        </w:tabs>
        <w:spacing w:line="560" w:lineRule="exact"/>
        <w:ind w:firstLine="643" w:firstLineChars="200"/>
        <w:contextualSpacing/>
        <w:outlineLvl w:val="2"/>
        <w:rPr>
          <w:rFonts w:hint="eastAsia" w:ascii="Times New Roman" w:hAnsi="Times New Roman" w:eastAsia="仿宋_GB2312" w:cs="Times New Roman"/>
          <w:color w:val="auto"/>
          <w:sz w:val="32"/>
          <w:szCs w:val="32"/>
          <w:lang w:eastAsia="zh-CN"/>
        </w:rPr>
      </w:pPr>
      <w:r>
        <w:rPr>
          <w:rFonts w:ascii="Times New Roman" w:hAnsi="Times New Roman" w:eastAsia="仿宋_GB2312"/>
          <w:b/>
          <w:bCs/>
          <w:kern w:val="0"/>
          <w:sz w:val="32"/>
          <w:szCs w:val="32"/>
        </w:rPr>
        <w:t>行政审批及招投标：</w:t>
      </w:r>
      <w:r>
        <w:rPr>
          <w:rFonts w:hint="eastAsia" w:ascii="Times New Roman" w:hAnsi="Times New Roman" w:eastAsia="仿宋_GB2312" w:cs="Times New Roman"/>
          <w:color w:val="auto"/>
          <w:sz w:val="32"/>
          <w:szCs w:val="32"/>
        </w:rPr>
        <w:t>完成项目可行性研究报告</w:t>
      </w:r>
      <w:r>
        <w:rPr>
          <w:rFonts w:hint="eastAsia" w:ascii="Times New Roman" w:hAnsi="Times New Roman" w:eastAsia="仿宋_GB2312" w:cs="Times New Roman"/>
          <w:color w:val="auto"/>
          <w:sz w:val="32"/>
          <w:szCs w:val="32"/>
          <w:lang w:val="en-US" w:eastAsia="zh-CN"/>
        </w:rPr>
        <w:t>59</w:t>
      </w:r>
      <w:r>
        <w:rPr>
          <w:rFonts w:hint="eastAsia" w:ascii="Times New Roman" w:hAnsi="Times New Roman" w:eastAsia="仿宋_GB2312" w:cs="Times New Roman"/>
          <w:color w:val="auto"/>
          <w:sz w:val="32"/>
          <w:szCs w:val="32"/>
        </w:rPr>
        <w:t>件，实施方案</w:t>
      </w:r>
      <w:r>
        <w:rPr>
          <w:rFonts w:hint="eastAsia" w:ascii="Times New Roman" w:hAnsi="Times New Roman" w:eastAsia="仿宋_GB2312" w:cs="Times New Roman"/>
          <w:color w:val="auto"/>
          <w:sz w:val="32"/>
          <w:szCs w:val="32"/>
          <w:lang w:val="en-US" w:eastAsia="zh-CN"/>
        </w:rPr>
        <w:t>152</w:t>
      </w:r>
      <w:r>
        <w:rPr>
          <w:rFonts w:hint="eastAsia" w:ascii="Times New Roman" w:hAnsi="Times New Roman" w:eastAsia="仿宋_GB2312" w:cs="Times New Roman"/>
          <w:color w:val="auto"/>
          <w:sz w:val="32"/>
          <w:szCs w:val="32"/>
        </w:rPr>
        <w:t>件，项目建议书审批</w:t>
      </w:r>
      <w:r>
        <w:rPr>
          <w:rFonts w:hint="eastAsia" w:ascii="Times New Roman" w:hAnsi="Times New Roman" w:eastAsia="仿宋_GB2312" w:cs="Times New Roman"/>
          <w:color w:val="auto"/>
          <w:sz w:val="32"/>
          <w:szCs w:val="32"/>
          <w:lang w:val="en-US" w:eastAsia="zh-CN"/>
        </w:rPr>
        <w:t>184</w:t>
      </w:r>
      <w:r>
        <w:rPr>
          <w:rFonts w:hint="eastAsia" w:ascii="Times New Roman" w:hAnsi="Times New Roman" w:eastAsia="仿宋_GB2312" w:cs="Times New Roman"/>
          <w:color w:val="auto"/>
          <w:sz w:val="32"/>
          <w:szCs w:val="32"/>
        </w:rPr>
        <w:t>件，企业投资项目</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件，全部通过全国投资项目在线监管平台录入办理</w:t>
      </w:r>
      <w:r>
        <w:rPr>
          <w:rFonts w:hint="eastAsia" w:ascii="Times New Roman" w:hAnsi="Times New Roman" w:eastAsia="仿宋_GB2312" w:cs="Times New Roman"/>
          <w:color w:val="auto"/>
          <w:sz w:val="32"/>
          <w:szCs w:val="32"/>
          <w:lang w:val="en-US" w:eastAsia="zh-CN"/>
        </w:rPr>
        <w:t>109</w:t>
      </w:r>
      <w:r>
        <w:rPr>
          <w:rFonts w:hint="eastAsia" w:ascii="Times New Roman" w:hAnsi="Times New Roman" w:eastAsia="仿宋_GB2312" w:cs="Times New Roman"/>
          <w:color w:val="auto"/>
          <w:sz w:val="32"/>
          <w:szCs w:val="32"/>
        </w:rPr>
        <w:t>件；</w:t>
      </w:r>
      <w:r>
        <w:rPr>
          <w:rFonts w:ascii="Times New Roman" w:hAnsi="Times New Roman" w:eastAsia="仿宋_GB2312" w:cs="Times New Roman"/>
          <w:color w:val="auto"/>
          <w:sz w:val="32"/>
          <w:szCs w:val="32"/>
        </w:rPr>
        <w:t>公开招投标项目</w:t>
      </w:r>
      <w:r>
        <w:rPr>
          <w:rFonts w:hint="eastAsia" w:ascii="Times New Roman" w:hAnsi="Times New Roman" w:eastAsia="仿宋_GB2312" w:cs="Times New Roman"/>
          <w:color w:val="auto"/>
          <w:sz w:val="32"/>
          <w:szCs w:val="32"/>
          <w:lang w:val="en-US" w:eastAsia="zh-CN"/>
        </w:rPr>
        <w:t>38</w:t>
      </w:r>
      <w:r>
        <w:rPr>
          <w:rFonts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eastAsia="zh-CN"/>
        </w:rPr>
        <w:t>，接到实名举报</w:t>
      </w:r>
      <w:r>
        <w:rPr>
          <w:rFonts w:hint="eastAsia" w:ascii="Times New Roman" w:hAnsi="Times New Roman" w:eastAsia="仿宋_GB2312" w:cs="Times New Roman"/>
          <w:color w:val="auto"/>
          <w:sz w:val="32"/>
          <w:szCs w:val="32"/>
          <w:lang w:val="en-US" w:eastAsia="zh-CN"/>
        </w:rPr>
        <w:t>7起</w:t>
      </w:r>
      <w:r>
        <w:rPr>
          <w:rFonts w:hint="eastAsia" w:ascii="Times New Roman" w:hAnsi="Times New Roman" w:eastAsia="仿宋_GB2312" w:cs="Times New Roman"/>
          <w:color w:val="auto"/>
          <w:sz w:val="32"/>
          <w:szCs w:val="32"/>
          <w:lang w:eastAsia="zh-CN"/>
        </w:rPr>
        <w:t>，经查属实的已按相关规定处理。</w:t>
      </w:r>
    </w:p>
    <w:p w14:paraId="3C0FEC42">
      <w:pPr>
        <w:numPr>
          <w:ilvl w:val="0"/>
          <w:numId w:val="0"/>
        </w:numPr>
        <w:pBdr>
          <w:bottom w:val="single" w:color="FFFFFF" w:sz="4" w:space="31"/>
        </w:pBdr>
        <w:tabs>
          <w:tab w:val="left" w:pos="1440"/>
        </w:tabs>
        <w:spacing w:line="596" w:lineRule="exact"/>
        <w:ind w:firstLine="640" w:firstLineChars="200"/>
        <w:contextualSpacing/>
        <w:outlineLvl w:val="2"/>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重点工作成效明显。</w:t>
      </w:r>
    </w:p>
    <w:p w14:paraId="0D344560">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20" w:lineRule="exact"/>
        <w:ind w:firstLine="643" w:firstLineChars="200"/>
        <w:contextualSpacing/>
        <w:textAlignment w:val="auto"/>
        <w:outlineLvl w:val="2"/>
        <w:rPr>
          <w:rFonts w:hint="eastAsia" w:ascii="仿宋_GB2312" w:hAnsi="仿宋_GB2312" w:eastAsia="仿宋_GB2312" w:cs="仿宋_GB2312"/>
          <w:b w:val="0"/>
          <w:bCs w:val="0"/>
          <w:kern w:val="2"/>
          <w:sz w:val="32"/>
          <w:szCs w:val="32"/>
          <w:lang w:val="en-US" w:eastAsia="zh-CN" w:bidi="ar-SA"/>
        </w:rPr>
      </w:pPr>
      <w:r>
        <w:rPr>
          <w:rFonts w:ascii="Times New Roman" w:hAnsi="Times New Roman" w:eastAsia="仿宋_GB2312"/>
          <w:b/>
          <w:color w:val="auto"/>
          <w:sz w:val="32"/>
          <w:szCs w:val="32"/>
        </w:rPr>
        <w:t>一是以工代赈工作。</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参加全省遴选共争取以工代赈项目</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个，共投入</w:t>
      </w:r>
      <w:r>
        <w:rPr>
          <w:rFonts w:hint="eastAsia" w:ascii="Times New Roman" w:hAnsi="Times New Roman" w:eastAsia="仿宋_GB2312" w:cs="Times New Roman"/>
          <w:color w:val="auto"/>
          <w:kern w:val="2"/>
          <w:sz w:val="32"/>
          <w:szCs w:val="32"/>
          <w:lang w:val="en-US" w:eastAsia="zh-CN" w:bidi="ar-SA"/>
        </w:rPr>
        <w:t>中央财政</w:t>
      </w:r>
      <w:r>
        <w:rPr>
          <w:rFonts w:hint="default" w:ascii="Times New Roman" w:hAnsi="Times New Roman" w:eastAsia="仿宋_GB2312" w:cs="Times New Roman"/>
          <w:color w:val="auto"/>
          <w:kern w:val="2"/>
          <w:sz w:val="32"/>
          <w:szCs w:val="32"/>
          <w:lang w:val="en-US" w:eastAsia="zh-CN" w:bidi="ar-SA"/>
        </w:rPr>
        <w:t>以工代赈资金</w:t>
      </w:r>
      <w:r>
        <w:rPr>
          <w:rFonts w:hint="eastAsia" w:ascii="Times New Roman" w:hAnsi="Times New Roman" w:eastAsia="仿宋_GB2312" w:cs="Times New Roman"/>
          <w:color w:val="auto"/>
          <w:kern w:val="2"/>
          <w:sz w:val="32"/>
          <w:szCs w:val="32"/>
          <w:lang w:val="en-US" w:eastAsia="zh-CN" w:bidi="ar-SA"/>
        </w:rPr>
        <w:t>747</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截至目前</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个</w:t>
      </w:r>
      <w:r>
        <w:rPr>
          <w:rFonts w:hint="eastAsia" w:ascii="Times New Roman" w:hAnsi="Times New Roman" w:eastAsia="仿宋_GB2312"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en-US" w:eastAsia="zh-CN" w:bidi="ar-SA"/>
        </w:rPr>
        <w:t>已完工，</w:t>
      </w:r>
      <w:r>
        <w:rPr>
          <w:rFonts w:hint="eastAsia" w:ascii="Times New Roman" w:hAnsi="Times New Roman" w:eastAsia="仿宋_GB2312" w:cs="Times New Roman"/>
          <w:color w:val="auto"/>
          <w:kern w:val="2"/>
          <w:sz w:val="32"/>
          <w:szCs w:val="32"/>
          <w:lang w:val="en-US" w:eastAsia="zh-CN" w:bidi="ar-SA"/>
        </w:rPr>
        <w:t>正在组织县级验收。2022年我县推广以工代赈方式实施项目32个（7月新增1个），总投资3293.7万元，目前全县32个推广以工代赈项目已完工30个；32个项目中通过村民自建方式实施30个，通过竞争方式实施2个，</w:t>
      </w:r>
      <w:r>
        <w:rPr>
          <w:rFonts w:hint="eastAsia" w:ascii="Times New Roman" w:hAnsi="Times New Roman" w:eastAsia="仿宋_GB2312" w:cs="Times New Roman"/>
          <w:color w:val="auto"/>
          <w:sz w:val="32"/>
          <w:szCs w:val="32"/>
          <w:lang w:val="en-US" w:eastAsia="zh-CN"/>
        </w:rPr>
        <w:t>将带动全县1825名本县群众就业，发放劳务报酬317.24万元。为确保项目保质保量完成，经审计局推荐，确定重庆凯虹律师事务所为推广以工代赈村民自建项目的审计公司，目</w:t>
      </w:r>
      <w:r>
        <w:rPr>
          <w:rFonts w:hint="eastAsia" w:eastAsia="仿宋_GB2312" w:cs="Times New Roman"/>
          <w:color w:val="auto"/>
          <w:sz w:val="32"/>
          <w:szCs w:val="32"/>
          <w:lang w:val="en-US" w:eastAsia="zh-CN"/>
        </w:rPr>
        <w:t>前已</w:t>
      </w:r>
      <w:r>
        <w:rPr>
          <w:rFonts w:hint="eastAsia" w:ascii="Times New Roman" w:hAnsi="Times New Roman" w:eastAsia="仿宋_GB2312" w:cs="Times New Roman"/>
          <w:color w:val="auto"/>
          <w:sz w:val="32"/>
          <w:szCs w:val="32"/>
          <w:lang w:val="en-US" w:eastAsia="zh-CN"/>
        </w:rPr>
        <w:t>开展审计项目22个；通过编制《壤塘县推广以工代赈方式实施项目资料汇编》，切实增强工作的科学性和协调性，确保此项工作有力有序组织实施。</w:t>
      </w:r>
      <w:r>
        <w:rPr>
          <w:rFonts w:hint="eastAsia" w:ascii="Times New Roman" w:hAnsi="Times New Roman" w:eastAsia="仿宋_GB2312"/>
          <w:b/>
          <w:sz w:val="32"/>
          <w:szCs w:val="32"/>
          <w:lang w:eastAsia="zh-CN"/>
        </w:rPr>
        <w:t>二</w:t>
      </w:r>
      <w:r>
        <w:rPr>
          <w:rFonts w:ascii="Times New Roman" w:hAnsi="Times New Roman" w:eastAsia="仿宋_GB2312"/>
          <w:b/>
          <w:sz w:val="32"/>
          <w:szCs w:val="32"/>
        </w:rPr>
        <w:t>是价格认证收费和监测调控工作稳步推进。</w:t>
      </w:r>
      <w:r>
        <w:rPr>
          <w:rFonts w:ascii="Times New Roman" w:hAnsi="Times New Roman" w:eastAsia="仿宋_GB2312"/>
          <w:sz w:val="32"/>
          <w:szCs w:val="32"/>
        </w:rPr>
        <w:t>截至</w:t>
      </w:r>
      <w:r>
        <w:rPr>
          <w:rFonts w:hint="eastAsia" w:ascii="Times New Roman" w:hAnsi="Times New Roman" w:eastAsia="仿宋_GB2312"/>
          <w:sz w:val="32"/>
          <w:szCs w:val="32"/>
        </w:rPr>
        <w:t>目前</w:t>
      </w:r>
      <w:r>
        <w:rPr>
          <w:rFonts w:ascii="Times New Roman" w:hAnsi="Times New Roman" w:eastAsia="仿宋_GB2312"/>
          <w:sz w:val="32"/>
          <w:szCs w:val="32"/>
        </w:rPr>
        <w:t>，</w:t>
      </w:r>
      <w:r>
        <w:rPr>
          <w:rFonts w:hint="eastAsia" w:ascii="仿宋_GB2312" w:hAnsi="仿宋_GB2312" w:eastAsia="仿宋_GB2312" w:cs="仿宋_GB2312"/>
          <w:sz w:val="32"/>
          <w:szCs w:val="32"/>
          <w:lang w:val="en-US" w:eastAsia="zh-CN"/>
        </w:rPr>
        <w:t>壤塘县价格认证中心办理涉刑案件30件，标的金额68.4268万元。公正、科学的价格认定结论维护了当事人的合法权益，为司法机关提供了重要的价格依据。</w:t>
      </w:r>
      <w:r>
        <w:rPr>
          <w:rFonts w:hint="default" w:ascii="Times New Roman" w:hAnsi="Times New Roman" w:eastAsia="仿宋_GB2312" w:cs="Times New Roman"/>
          <w:b/>
          <w:color w:val="000000"/>
          <w:sz w:val="32"/>
          <w:szCs w:val="32"/>
        </w:rPr>
        <w:t>三</w:t>
      </w:r>
      <w:r>
        <w:rPr>
          <w:rFonts w:ascii="Times New Roman" w:hAnsi="Times New Roman" w:eastAsia="仿宋_GB2312"/>
          <w:b/>
          <w:color w:val="auto"/>
          <w:sz w:val="32"/>
          <w:szCs w:val="32"/>
        </w:rPr>
        <w:t>是粮食和物资储备中心工作。</w:t>
      </w:r>
      <w:r>
        <w:rPr>
          <w:rFonts w:hint="eastAsia" w:ascii="仿宋_GB2312" w:hAnsi="仿宋_GB2312" w:eastAsia="仿宋_GB2312" w:cs="仿宋_GB2312"/>
          <w:b w:val="0"/>
          <w:bCs/>
          <w:color w:val="000000"/>
          <w:sz w:val="32"/>
          <w:szCs w:val="32"/>
          <w:lang w:val="en-US" w:eastAsia="zh-CN"/>
        </w:rPr>
        <w:t>高度重视政策性储备粮轮换，</w:t>
      </w:r>
      <w:r>
        <w:rPr>
          <w:rFonts w:hint="eastAsia" w:ascii="仿宋_GB2312" w:hAnsi="仿宋_GB2312" w:eastAsia="仿宋_GB2312" w:cs="仿宋_GB2312"/>
          <w:sz w:val="32"/>
          <w:szCs w:val="32"/>
          <w:lang w:val="en-US" w:eastAsia="zh-CN"/>
        </w:rPr>
        <w:t>按照政策性粮油轮换要求，我县2022年8月全部轮出县级储备粮大米782吨，2022年9月全部轮出州级储备粮大米554吨。</w:t>
      </w:r>
      <w:r>
        <w:rPr>
          <w:rFonts w:hint="eastAsia" w:ascii="仿宋_GB2312" w:hAnsi="仿宋_GB2312" w:eastAsia="仿宋_GB2312" w:cs="仿宋_GB2312"/>
          <w:b/>
          <w:bCs w:val="0"/>
          <w:color w:val="000000"/>
          <w:sz w:val="32"/>
          <w:szCs w:val="32"/>
          <w:lang w:val="en-US" w:eastAsia="zh-CN"/>
        </w:rPr>
        <w:t>推进粮食仓储项目建设，完善基础设施建设。</w:t>
      </w:r>
      <w:r>
        <w:rPr>
          <w:rFonts w:hint="eastAsia" w:ascii="仿宋_GB2312" w:hAnsi="仿宋_GB2312" w:eastAsia="仿宋_GB2312" w:cs="仿宋_GB2312"/>
          <w:bCs/>
          <w:color w:val="000000"/>
          <w:sz w:val="32"/>
          <w:szCs w:val="32"/>
          <w:lang w:val="en-US" w:eastAsia="zh-CN"/>
        </w:rPr>
        <w:t>上寨粮油储备库建设项目完成竣工验收，该项目投入资金200万元，</w:t>
      </w:r>
      <w:r>
        <w:rPr>
          <w:rFonts w:hint="eastAsia" w:ascii="仿宋_GB2312" w:hAnsi="仿宋_GB2312" w:eastAsia="仿宋_GB2312" w:cs="仿宋_GB2312"/>
          <w:sz w:val="32"/>
          <w:szCs w:val="32"/>
          <w:lang w:val="en-US" w:eastAsia="zh-CN"/>
        </w:rPr>
        <w:t>2022年8月4日完工；</w:t>
      </w:r>
      <w:r>
        <w:rPr>
          <w:rFonts w:eastAsia="仿宋_GB2312"/>
          <w:color w:val="000000"/>
          <w:sz w:val="32"/>
          <w:szCs w:val="32"/>
        </w:rPr>
        <w:t>壤塘县</w:t>
      </w:r>
      <w:r>
        <w:rPr>
          <w:rFonts w:hint="eastAsia" w:ascii="仿宋_GB2312" w:hAnsi="仿宋_GB2312" w:eastAsia="仿宋_GB2312" w:cs="仿宋_GB2312"/>
          <w:bCs/>
          <w:color w:val="000000"/>
          <w:sz w:val="32"/>
          <w:szCs w:val="32"/>
          <w:lang w:val="en-US" w:eastAsia="zh-CN"/>
        </w:rPr>
        <w:t>2021</w:t>
      </w:r>
      <w:r>
        <w:rPr>
          <w:rFonts w:eastAsia="仿宋_GB2312"/>
          <w:color w:val="000000"/>
          <w:sz w:val="32"/>
          <w:szCs w:val="32"/>
        </w:rPr>
        <w:t>年“天府菜油”暨产油大县项目县奖励资金项目</w:t>
      </w:r>
      <w:r>
        <w:rPr>
          <w:rFonts w:hint="eastAsia" w:eastAsia="仿宋_GB2312"/>
          <w:color w:val="000000"/>
          <w:sz w:val="32"/>
          <w:szCs w:val="32"/>
        </w:rPr>
        <w:t>（</w:t>
      </w:r>
      <w:r>
        <w:rPr>
          <w:rFonts w:hint="eastAsia" w:eastAsia="仿宋_GB2312"/>
          <w:color w:val="000000"/>
          <w:sz w:val="32"/>
          <w:szCs w:val="32"/>
          <w:lang w:eastAsia="zh-CN"/>
        </w:rPr>
        <w:t>“</w:t>
      </w:r>
      <w:r>
        <w:rPr>
          <w:rFonts w:eastAsia="仿宋_GB2312"/>
          <w:color w:val="000000"/>
          <w:sz w:val="32"/>
          <w:szCs w:val="32"/>
        </w:rPr>
        <w:t>壤巴拉高原绿色菜籽油加工厂</w:t>
      </w:r>
      <w:r>
        <w:rPr>
          <w:rFonts w:hint="eastAsia" w:eastAsia="仿宋_GB2312"/>
          <w:color w:val="000000"/>
          <w:sz w:val="32"/>
          <w:szCs w:val="32"/>
          <w:lang w:eastAsia="zh-CN"/>
        </w:rPr>
        <w:t>”</w:t>
      </w:r>
      <w:r>
        <w:rPr>
          <w:rFonts w:hint="eastAsia" w:eastAsia="仿宋_GB2312"/>
          <w:color w:val="000000"/>
          <w:sz w:val="32"/>
          <w:szCs w:val="32"/>
        </w:rPr>
        <w:t>）</w:t>
      </w:r>
      <w:r>
        <w:rPr>
          <w:rFonts w:hint="eastAsia" w:ascii="仿宋_GB2312" w:hAnsi="仿宋_GB2312" w:eastAsia="仿宋_GB2312" w:cs="仿宋_GB2312"/>
          <w:sz w:val="32"/>
          <w:szCs w:val="32"/>
          <w:lang w:val="en-US" w:eastAsia="zh-CN"/>
        </w:rPr>
        <w:t>，该项目正在组织施工队进场施工；</w:t>
      </w:r>
      <w:r>
        <w:rPr>
          <w:rFonts w:hint="eastAsia" w:ascii="仿宋_GB2312" w:hAnsi="仿宋_GB2312" w:eastAsia="仿宋_GB2312" w:cs="仿宋_GB2312"/>
          <w:b w:val="0"/>
          <w:bCs w:val="0"/>
          <w:sz w:val="32"/>
          <w:szCs w:val="32"/>
          <w:lang w:val="en-US" w:eastAsia="zh-CN"/>
        </w:rPr>
        <w:t>壤塘县2022年军粮供应网点建设项目，该项目正在进行第二次挂网招标，预计2023年完工；阿坝州壤塘县粮食和物资储备中心城关粮站粮食储备库建设项目，该项目正在有序推进前期工作，预计2023年开工建设。</w:t>
      </w:r>
      <w:r>
        <w:rPr>
          <w:rFonts w:hint="eastAsia" w:ascii="Times New Roman" w:hAnsi="Times New Roman" w:eastAsia="仿宋_GB2312" w:cs="Times New Roman"/>
          <w:b/>
          <w:color w:val="000000"/>
          <w:sz w:val="32"/>
          <w:szCs w:val="32"/>
          <w:lang w:val="en-US" w:eastAsia="zh-CN"/>
        </w:rPr>
        <w:t>四</w:t>
      </w:r>
      <w:r>
        <w:rPr>
          <w:rFonts w:hint="default" w:ascii="Times New Roman" w:hAnsi="Times New Roman" w:eastAsia="仿宋_GB2312" w:cs="Times New Roman"/>
          <w:b/>
          <w:color w:val="000000"/>
          <w:sz w:val="32"/>
          <w:szCs w:val="32"/>
        </w:rPr>
        <w:t>是</w:t>
      </w:r>
      <w:r>
        <w:rPr>
          <w:rFonts w:hint="eastAsia" w:ascii="Times New Roman" w:hAnsi="Times New Roman" w:eastAsia="仿宋_GB2312"/>
          <w:b/>
          <w:color w:val="auto"/>
          <w:sz w:val="32"/>
          <w:szCs w:val="32"/>
          <w:lang w:val="en-US" w:eastAsia="zh-CN"/>
        </w:rPr>
        <w:t>投资及项目工作。</w:t>
      </w:r>
      <w:r>
        <w:rPr>
          <w:rFonts w:hint="eastAsia" w:ascii="仿宋_GB2312" w:hAnsi="仿宋_GB2312" w:eastAsia="仿宋_GB2312" w:cs="仿宋_GB2312"/>
          <w:b w:val="0"/>
          <w:bCs w:val="0"/>
          <w:kern w:val="2"/>
          <w:sz w:val="32"/>
          <w:szCs w:val="32"/>
          <w:lang w:val="en-US" w:eastAsia="zh-CN" w:bidi="ar-SA"/>
        </w:rPr>
        <w:t>编制《壤塘县“骏马项目”“蜗牛项目”项目推进目标绩效考评管理办法》，首设“骏马项目”“蜗牛项目”目标绩效考评管理办法，加快推进工程建设项目实施进度；编制《壤塘县政府投资工程建设项目实施参考指南》，提升项目实施单位业务水平，提高办理项目相关程序的效率。</w:t>
      </w:r>
    </w:p>
    <w:p w14:paraId="6BC1A10D">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20" w:lineRule="exact"/>
        <w:ind w:firstLine="643" w:firstLineChars="200"/>
        <w:contextualSpacing/>
        <w:textAlignment w:val="auto"/>
        <w:outlineLvl w:val="2"/>
        <w:rPr>
          <w:rStyle w:val="20"/>
          <w:rFonts w:hint="default" w:ascii="Times New Roman" w:hAnsi="Times New Roman" w:eastAsia="楷体_GB2312" w:cs="Times New Roman"/>
          <w:kern w:val="2"/>
          <w:sz w:val="32"/>
          <w:szCs w:val="32"/>
          <w:lang w:val="zh-CN" w:eastAsia="zh-CN" w:bidi="ar-SA"/>
        </w:rPr>
      </w:pPr>
      <w:r>
        <w:rPr>
          <w:rStyle w:val="20"/>
          <w:rFonts w:hint="eastAsia" w:ascii="Times New Roman" w:hAnsi="Times New Roman" w:eastAsia="楷体_GB2312" w:cs="Times New Roman"/>
          <w:kern w:val="2"/>
          <w:sz w:val="32"/>
          <w:szCs w:val="32"/>
          <w:lang w:val="zh-CN" w:eastAsia="zh-CN" w:bidi="ar-SA"/>
        </w:rPr>
        <w:t>（四）部门整体支出绩效目标</w:t>
      </w:r>
    </w:p>
    <w:p w14:paraId="034A69F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960" w:firstLineChars="300"/>
        <w:contextualSpacing/>
        <w:textAlignment w:val="auto"/>
        <w:outlineLvl w:val="2"/>
        <w:rPr>
          <w:rFonts w:hint="default"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1.</w:t>
      </w:r>
      <w:r>
        <w:rPr>
          <w:rFonts w:hint="default" w:ascii="Times New Roman" w:hAnsi="Times New Roman" w:eastAsia="仿宋_GB2312" w:cs="Times New Roman"/>
          <w:color w:val="000000"/>
          <w:kern w:val="0"/>
          <w:sz w:val="32"/>
          <w:szCs w:val="32"/>
          <w:shd w:val="clear" w:color="auto" w:fill="FFFFFF"/>
          <w:lang w:val="zh-CN"/>
        </w:rPr>
        <w:t>部门预算管理</w:t>
      </w:r>
    </w:p>
    <w:p w14:paraId="5489C4A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960" w:firstLineChars="300"/>
        <w:contextualSpacing/>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不断强化预算意识，实行综合预算管理，形成以单位领导支持、财务室牵头、其他</w:t>
      </w:r>
      <w:r>
        <w:rPr>
          <w:rFonts w:hint="eastAsia"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密切配合的工作格局，保证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健全完善部门内控制度，全面梳理业务流程，明确业务环节，分析风险隐患，完善风险评估机制，制定风险应对策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有效运用不相容岗位相互分离、内部授权审批控制、归口管理、预算控制、财产保护控制、会计控制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信息内部公开等内部控制基本方法，加强对单位层面和业务层面的内部控制，实现内部控制体系全面、有效实施。建立单位内控监督约束机制，让单位审计、业务部门参与到资金使用监督环节，确保资金安全、合理、有效使用，最大限度发挥财政资金使用效益。</w:t>
      </w:r>
    </w:p>
    <w:p w14:paraId="525F429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default" w:ascii="Times New Roman" w:hAnsi="Times New Roman" w:eastAsia="仿宋_GB2312" w:cs="Times New Roman"/>
          <w:color w:val="000000"/>
          <w:kern w:val="0"/>
          <w:sz w:val="32"/>
          <w:szCs w:val="32"/>
          <w:shd w:val="clear" w:color="auto" w:fill="FFFFFF"/>
          <w:lang w:val="zh-CN"/>
        </w:rPr>
      </w:pPr>
      <w:r>
        <w:rPr>
          <w:rFonts w:hint="eastAsia"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val="zh-CN"/>
        </w:rPr>
        <w:t>结果应用情况</w:t>
      </w:r>
    </w:p>
    <w:p w14:paraId="17B25AD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部门预算绩效管理工作开展情况认真进行了自查自评，绩效评价自查开展覆盖重点支出，将评价结果作为预算安排的重要依据，参照年度预算执行情况，保障重点支出，调整支出结构，优化财政资金配置，不断强化绩效理念，推动部门整体绩效管理水平不断提升。</w:t>
      </w:r>
      <w:bookmarkStart w:id="101" w:name="_Toc20044"/>
    </w:p>
    <w:p w14:paraId="34F6B4C3">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spacing w:line="520" w:lineRule="exact"/>
        <w:ind w:left="0" w:leftChars="0" w:firstLine="640" w:firstLineChars="200"/>
        <w:contextualSpacing/>
        <w:textAlignment w:val="auto"/>
        <w:outlineLvl w:val="1"/>
        <w:rPr>
          <w:rFonts w:hint="eastAsia" w:ascii="黑体" w:hAnsi="宋体" w:eastAsia="黑体" w:cs="宋体"/>
          <w:color w:val="auto"/>
          <w:kern w:val="0"/>
          <w:sz w:val="32"/>
          <w:szCs w:val="32"/>
          <w:highlight w:val="none"/>
          <w:shd w:val="clear" w:color="auto" w:fill="FFFFFF"/>
        </w:rPr>
      </w:pPr>
      <w:bookmarkStart w:id="102" w:name="_Toc23761"/>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101"/>
      <w:bookmarkEnd w:id="102"/>
    </w:p>
    <w:p w14:paraId="31742AA3">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20" w:lineRule="exact"/>
        <w:ind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部门总体收支情况</w:t>
      </w:r>
    </w:p>
    <w:p w14:paraId="64DD2B46">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default" w:ascii="Times New Roman" w:hAnsi="Times New Roman" w:eastAsia="仿宋_GB2312" w:cs="Times New Roman"/>
          <w:color w:val="000000"/>
          <w:sz w:val="32"/>
          <w:szCs w:val="32"/>
        </w:rPr>
        <w:t>本年度财政拨款收入：共计</w:t>
      </w:r>
      <w:r>
        <w:rPr>
          <w:rFonts w:hint="eastAsia" w:eastAsia="仿宋_GB2312" w:cs="Times New Roman"/>
          <w:color w:val="000000"/>
          <w:sz w:val="32"/>
          <w:szCs w:val="32"/>
          <w:lang w:val="en-US" w:eastAsia="zh-CN"/>
        </w:rPr>
        <w:t>1438.96</w:t>
      </w:r>
      <w:r>
        <w:rPr>
          <w:rFonts w:hint="default" w:ascii="Times New Roman" w:hAnsi="Times New Roman" w:eastAsia="仿宋_GB2312" w:cs="Times New Roman"/>
          <w:color w:val="000000"/>
          <w:sz w:val="32"/>
          <w:szCs w:val="32"/>
        </w:rPr>
        <w:t>万元，比上年</w:t>
      </w:r>
      <w:r>
        <w:rPr>
          <w:rFonts w:hint="eastAsia" w:eastAsia="仿宋_GB2312" w:cs="Times New Roman"/>
          <w:sz w:val="32"/>
          <w:szCs w:val="32"/>
          <w:lang w:val="en-US" w:eastAsia="zh-CN"/>
        </w:rPr>
        <w:t>增加207.11</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增长17</w:t>
      </w:r>
      <w:r>
        <w:rPr>
          <w:rFonts w:hint="default" w:ascii="Times New Roman" w:hAnsi="Times New Roman" w:eastAsia="仿宋_GB2312" w:cs="Times New Roman"/>
          <w:sz w:val="32"/>
          <w:szCs w:val="32"/>
          <w:lang w:val="en-US" w:eastAsia="zh-CN"/>
        </w:rPr>
        <w:t>%。主要变动原因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及人员调动。</w:t>
      </w:r>
    </w:p>
    <w:p w14:paraId="44614E2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eastAsia="仿宋_GB2312" w:cs="Times New Roman"/>
          <w:sz w:val="32"/>
          <w:szCs w:val="32"/>
          <w:lang w:val="en-US" w:eastAsia="zh-CN"/>
        </w:rPr>
        <w:t>本年度</w:t>
      </w:r>
      <w:r>
        <w:rPr>
          <w:rFonts w:hint="default" w:ascii="Times New Roman" w:hAnsi="Times New Roman" w:eastAsia="仿宋_GB2312" w:cs="Times New Roman"/>
          <w:sz w:val="32"/>
          <w:szCs w:val="32"/>
        </w:rPr>
        <w:t>部门总支出</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rPr>
        <w:t>万元，其中：基本支出</w:t>
      </w:r>
      <w:r>
        <w:rPr>
          <w:rFonts w:hint="eastAsia" w:eastAsia="仿宋_GB2312" w:cs="Times New Roman"/>
          <w:sz w:val="32"/>
          <w:szCs w:val="32"/>
          <w:lang w:val="en-US" w:eastAsia="zh-CN"/>
        </w:rPr>
        <w:t>712.84</w:t>
      </w:r>
      <w:r>
        <w:rPr>
          <w:rFonts w:hint="default" w:ascii="Times New Roman" w:hAnsi="Times New Roman" w:eastAsia="仿宋_GB2312" w:cs="Times New Roman"/>
          <w:sz w:val="32"/>
          <w:szCs w:val="32"/>
        </w:rPr>
        <w:t>万元，占总支出的</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726.12</w:t>
      </w:r>
      <w:r>
        <w:rPr>
          <w:rFonts w:hint="default" w:ascii="Times New Roman" w:hAnsi="Times New Roman" w:eastAsia="仿宋_GB2312" w:cs="Times New Roman"/>
          <w:sz w:val="32"/>
          <w:szCs w:val="32"/>
        </w:rPr>
        <w:t>万元，占总支出的</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w:t>
      </w:r>
    </w:p>
    <w:p w14:paraId="210E6A1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14:paraId="67E374FE">
      <w:pPr>
        <w:keepNext w:val="0"/>
        <w:keepLines w:val="0"/>
        <w:pageBreakBefore w:val="0"/>
        <w:pBdr>
          <w:bottom w:val="single" w:color="FFFFFF" w:sz="4" w:space="31"/>
        </w:pBdr>
        <w:tabs>
          <w:tab w:val="left" w:pos="1440"/>
        </w:tabs>
        <w:kinsoku/>
        <w:wordWrap/>
        <w:overflowPunct/>
        <w:topLinePunct w:val="0"/>
        <w:autoSpaceDE/>
        <w:autoSpaceDN/>
        <w:bidi w:val="0"/>
        <w:spacing w:line="56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default" w:ascii="Times New Roman" w:hAnsi="Times New Roman" w:eastAsia="仿宋_GB2312" w:cs="Times New Roman"/>
          <w:color w:val="000000"/>
          <w:sz w:val="32"/>
          <w:szCs w:val="32"/>
        </w:rPr>
        <w:t>本年度财政拨款收入：共计</w:t>
      </w:r>
      <w:r>
        <w:rPr>
          <w:rFonts w:hint="eastAsia" w:eastAsia="仿宋_GB2312" w:cs="Times New Roman"/>
          <w:color w:val="000000"/>
          <w:sz w:val="32"/>
          <w:szCs w:val="32"/>
          <w:lang w:val="en-US" w:eastAsia="zh-CN"/>
        </w:rPr>
        <w:t>1288.44</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年初结转结余150.52万元，</w:t>
      </w:r>
      <w:r>
        <w:rPr>
          <w:rFonts w:hint="default" w:ascii="Times New Roman" w:hAnsi="Times New Roman" w:eastAsia="仿宋_GB2312" w:cs="Times New Roman"/>
          <w:color w:val="000000"/>
          <w:sz w:val="32"/>
          <w:szCs w:val="32"/>
        </w:rPr>
        <w:t>比上年</w:t>
      </w:r>
      <w:r>
        <w:rPr>
          <w:rFonts w:hint="eastAsia" w:eastAsia="仿宋_GB2312" w:cs="Times New Roman"/>
          <w:sz w:val="32"/>
          <w:szCs w:val="32"/>
          <w:lang w:val="en-US" w:eastAsia="zh-CN"/>
        </w:rPr>
        <w:t>增加207.11</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增长17</w:t>
      </w:r>
      <w:r>
        <w:rPr>
          <w:rFonts w:hint="default" w:ascii="Times New Roman" w:hAnsi="Times New Roman" w:eastAsia="仿宋_GB2312" w:cs="Times New Roman"/>
          <w:sz w:val="32"/>
          <w:szCs w:val="32"/>
          <w:lang w:val="en-US" w:eastAsia="zh-CN"/>
        </w:rPr>
        <w:t>%。主要变动原因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及人员调动。</w:t>
      </w:r>
    </w:p>
    <w:p w14:paraId="2075AEC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年部门总支出</w:t>
      </w:r>
      <w:r>
        <w:rPr>
          <w:rFonts w:hint="eastAsia" w:eastAsia="仿宋_GB2312" w:cs="Times New Roman"/>
          <w:sz w:val="32"/>
          <w:szCs w:val="32"/>
          <w:lang w:val="en-US" w:eastAsia="zh-CN"/>
        </w:rPr>
        <w:t>1438.96</w:t>
      </w:r>
      <w:r>
        <w:rPr>
          <w:rFonts w:hint="default" w:ascii="Times New Roman" w:hAnsi="Times New Roman" w:eastAsia="仿宋_GB2312" w:cs="Times New Roman"/>
          <w:sz w:val="32"/>
          <w:szCs w:val="32"/>
        </w:rPr>
        <w:t>万元，其中</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基本支出</w:t>
      </w:r>
      <w:r>
        <w:rPr>
          <w:rFonts w:hint="eastAsia" w:eastAsia="仿宋_GB2312" w:cs="Times New Roman"/>
          <w:sz w:val="32"/>
          <w:szCs w:val="32"/>
          <w:lang w:val="en-US" w:eastAsia="zh-CN"/>
        </w:rPr>
        <w:t>712.84</w:t>
      </w:r>
      <w:r>
        <w:rPr>
          <w:rFonts w:hint="default" w:ascii="Times New Roman" w:hAnsi="Times New Roman" w:eastAsia="仿宋_GB2312" w:cs="Times New Roman"/>
          <w:sz w:val="32"/>
          <w:szCs w:val="32"/>
        </w:rPr>
        <w:t>万元，占总支出的</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726.12</w:t>
      </w:r>
      <w:r>
        <w:rPr>
          <w:rFonts w:hint="default" w:ascii="Times New Roman" w:hAnsi="Times New Roman" w:eastAsia="仿宋_GB2312" w:cs="Times New Roman"/>
          <w:sz w:val="32"/>
          <w:szCs w:val="32"/>
        </w:rPr>
        <w:t>万元，占总支出的</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w:t>
      </w:r>
      <w:bookmarkStart w:id="103" w:name="_Toc26821"/>
    </w:p>
    <w:p w14:paraId="67811562">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spacing w:line="520" w:lineRule="exact"/>
        <w:ind w:left="0" w:leftChars="0" w:firstLine="640" w:firstLineChars="200"/>
        <w:contextualSpacing/>
        <w:textAlignment w:val="auto"/>
        <w:outlineLvl w:val="1"/>
        <w:rPr>
          <w:rFonts w:hint="eastAsia" w:ascii="黑体" w:hAnsi="宋体" w:eastAsia="黑体" w:cs="宋体"/>
          <w:color w:val="auto"/>
          <w:kern w:val="0"/>
          <w:sz w:val="32"/>
          <w:szCs w:val="32"/>
          <w:highlight w:val="none"/>
          <w:u w:val="none"/>
          <w:shd w:val="clear" w:color="auto" w:fill="FFFFFF"/>
          <w:lang w:eastAsia="zh-CN"/>
        </w:rPr>
      </w:pPr>
      <w:bookmarkStart w:id="104" w:name="_Toc20705"/>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103"/>
      <w:bookmarkEnd w:id="104"/>
    </w:p>
    <w:p w14:paraId="09623C0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3" w:firstLineChars="200"/>
        <w:contextualSpacing/>
        <w:textAlignment w:val="auto"/>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14:paraId="23E28A0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14:paraId="754596B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2022年壤塘县发展和改革局人员类预算数为379.78万元，年底预算实际支出 379.78万元；预算实际支出较上年度减少221.49万元，减少36.83% ，变动的主要原因：人员减少及调动。</w:t>
      </w:r>
    </w:p>
    <w:p w14:paraId="10CDA69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14:paraId="63B3651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2022年壤塘县发展和改革局运转类预算数为55.37万元，年底预算实际支出55.37万元；预算实际支出较上年度减少33.78万元 ，减少37.89% ，变动的主要原因：厉行节约，人员减少及调动。</w:t>
      </w:r>
    </w:p>
    <w:p w14:paraId="18F0976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42D137D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 xml:space="preserve">2022 年壤塘县发展和改革局特定目标类预算数为726.12万元，年底预算实际支出726.12万元；预算实际支出较上年度增加184.69万元 ，增加34.11% ，变动的主要原因：购买应急物资及建立南水北调方舱隔离点。  </w:t>
      </w:r>
    </w:p>
    <w:p w14:paraId="7C444DDA">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20" w:lineRule="exact"/>
        <w:ind w:left="0" w:leftChars="0"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部门整体履职绩效分析</w:t>
      </w:r>
    </w:p>
    <w:p w14:paraId="0EA2C8C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部门绩效目标制定情况</w:t>
      </w:r>
    </w:p>
    <w:p w14:paraId="7DBC582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不断强化预算意识，实行综合预算管理，形成以单位领导支持、财务室牵头、其他</w:t>
      </w:r>
      <w:r>
        <w:rPr>
          <w:rFonts w:hint="eastAsia" w:eastAsia="仿宋_GB2312" w:cs="Times New Roman"/>
          <w:sz w:val="32"/>
          <w:szCs w:val="32"/>
          <w:lang w:eastAsia="zh-CN"/>
        </w:rPr>
        <w:t>办公</w:t>
      </w:r>
      <w:r>
        <w:rPr>
          <w:rFonts w:hint="eastAsia" w:ascii="Times New Roman" w:hAnsi="Times New Roman" w:eastAsia="仿宋_GB2312" w:cs="Times New Roman"/>
          <w:sz w:val="32"/>
          <w:szCs w:val="32"/>
        </w:rPr>
        <w:t>室密切配合的工作格局，保证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科室进行反馈</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采取措施纠正执行偏差，促进预算目标的全面完成。健全完善部门内控制度，全面梳理业务流程，明确业务环节，分析风险隐患，完善风险评估机制，制定风险应对策略</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有效运用不相容岗位相互分离、内部授权审批控制、归口管理、预算控制、财产保护控制、会计控制、信息内部公开等内部控制基本方法，加强对单位层面和业务层面的内部控制，实现内部控制体系全面、有效实施。建立单位内控监督约束机制，让单位审计、业务部门参与到资金使用监督环节，确保资金安全、合理、有效使用，最大限度发挥财政资金使用效益。</w:t>
      </w:r>
    </w:p>
    <w:p w14:paraId="5C559AC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ascii="仿宋_GB2312" w:hAnsi="宋体" w:eastAsia="仿宋_GB2312" w:cs="仿宋_GB2312"/>
          <w:color w:val="000000"/>
          <w:kern w:val="0"/>
          <w:sz w:val="32"/>
          <w:szCs w:val="32"/>
          <w:shd w:val="clear" w:color="auto" w:fill="FFFFFF"/>
          <w:lang w:bidi="ar"/>
        </w:rPr>
      </w:pPr>
      <w:r>
        <w:rPr>
          <w:rFonts w:hint="eastAsia" w:eastAsia="仿宋_GB2312" w:cs="Times New Roman"/>
          <w:sz w:val="32"/>
          <w:szCs w:val="32"/>
          <w:lang w:val="en-US" w:eastAsia="zh-CN"/>
        </w:rPr>
        <w:t>2.</w:t>
      </w:r>
      <w:r>
        <w:rPr>
          <w:rFonts w:ascii="仿宋_GB2312" w:hAnsi="宋体" w:eastAsia="仿宋_GB2312" w:cs="仿宋_GB2312"/>
          <w:color w:val="000000"/>
          <w:kern w:val="0"/>
          <w:sz w:val="32"/>
          <w:szCs w:val="32"/>
          <w:shd w:val="clear" w:color="auto" w:fill="FFFFFF"/>
          <w:lang w:bidi="ar"/>
        </w:rPr>
        <w:t>目标完成情况</w:t>
      </w:r>
    </w:p>
    <w:p w14:paraId="7275850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求长求远，全面夯实项目争取。</w:t>
      </w:r>
      <w:r>
        <w:rPr>
          <w:rFonts w:hint="default" w:ascii="仿宋" w:hAnsi="仿宋" w:eastAsia="仿宋" w:cs="仿宋"/>
          <w:b w:val="0"/>
          <w:bCs w:val="0"/>
          <w:sz w:val="32"/>
          <w:szCs w:val="32"/>
          <w:highlight w:val="none"/>
        </w:rPr>
        <w:t>深度挖掘自身优势，立足当前，着眼长远，高起点、高标准、前瞻性地规划、储备一批符合国家产业政策、投资规模大、市场前景好、辐射带动力强的项目。按目前已定的“十四五”支持壤塘县经济社会发展规划，及时向上申报，保证项目资金落地。并随时研究国家政策变化，及时调整申报方向，筛选成熟项目，做实做优项目前期工作，将项目储备和前期工作作为争取项目和资金下达的前置条件，纳入目标考核，确保项目争得到、落得下、建得快。</w:t>
      </w:r>
      <w:r>
        <w:rPr>
          <w:rFonts w:hint="eastAsia" w:ascii="仿宋" w:hAnsi="仿宋" w:eastAsia="仿宋" w:cs="仿宋"/>
          <w:b w:val="0"/>
          <w:bCs w:val="0"/>
          <w:sz w:val="32"/>
          <w:szCs w:val="32"/>
          <w:highlight w:val="none"/>
        </w:rPr>
        <w:t>求实求效，扎实推进重点项目。</w:t>
      </w:r>
      <w:r>
        <w:rPr>
          <w:rFonts w:hint="default" w:ascii="仿宋" w:hAnsi="仿宋" w:eastAsia="仿宋" w:cs="仿宋"/>
          <w:b w:val="0"/>
          <w:bCs w:val="0"/>
          <w:sz w:val="32"/>
          <w:szCs w:val="32"/>
          <w:highlight w:val="none"/>
        </w:rPr>
        <w:t>按照“储备一批、申报一批、开工一批、竣工一批”四个一批清单，有序推进项目建设，努力形成储备项目抓前期、核准项目抓开工、在建项目抓进度、竣工项目抓投产的连贯格局。</w:t>
      </w:r>
      <w:r>
        <w:rPr>
          <w:rFonts w:hint="eastAsia" w:ascii="仿宋" w:hAnsi="仿宋" w:eastAsia="仿宋" w:cs="仿宋"/>
          <w:b w:val="0"/>
          <w:bCs w:val="0"/>
          <w:sz w:val="32"/>
          <w:szCs w:val="32"/>
          <w:highlight w:val="none"/>
        </w:rPr>
        <w:t>积极申报以工代赈项目，编制可行性研究报告，与相关部门衔接，建立好“十四五”以工代赈项目库。</w:t>
      </w:r>
      <w:r>
        <w:rPr>
          <w:rFonts w:hint="default" w:ascii="仿宋" w:hAnsi="仿宋" w:eastAsia="仿宋" w:cs="仿宋"/>
          <w:b w:val="0"/>
          <w:bCs w:val="0"/>
          <w:sz w:val="32"/>
          <w:szCs w:val="32"/>
          <w:highlight w:val="none"/>
        </w:rPr>
        <w:t>一是针对搬迁群众进一步加大后续扶持，按照“缺什么补什么”和“适当留有余地”的原则，在充分利用现有基本公共服务设施的基础上，统筹完善安置区基础设施，优化发展环境。二是发展壮大产业，做大做强养殖业；加强技能培训，拓宽就业渠道等。三是积极推进以工代赈项目，进一步完善农村基础设施建设，让当地农牧民参与建设，投工投劳，为农牧民提供增收渠道。</w:t>
      </w:r>
      <w:r>
        <w:rPr>
          <w:rFonts w:hint="eastAsia" w:ascii="仿宋" w:hAnsi="仿宋" w:eastAsia="仿宋" w:cs="仿宋"/>
          <w:b w:val="0"/>
          <w:bCs w:val="0"/>
          <w:sz w:val="32"/>
          <w:szCs w:val="32"/>
          <w:highlight w:val="none"/>
        </w:rPr>
        <w:t>更</w:t>
      </w:r>
      <w:r>
        <w:rPr>
          <w:rFonts w:hint="eastAsia" w:ascii="仿宋" w:hAnsi="仿宋" w:eastAsia="仿宋" w:cs="仿宋"/>
          <w:b w:val="0"/>
          <w:bCs w:val="0"/>
          <w:sz w:val="32"/>
          <w:szCs w:val="32"/>
          <w:highlight w:val="none"/>
          <w:lang w:eastAsia="zh-CN"/>
        </w:rPr>
        <w:t>好地</w:t>
      </w:r>
      <w:r>
        <w:rPr>
          <w:rFonts w:hint="eastAsia" w:ascii="仿宋" w:hAnsi="仿宋" w:eastAsia="仿宋" w:cs="仿宋"/>
          <w:b w:val="0"/>
          <w:bCs w:val="0"/>
          <w:sz w:val="32"/>
          <w:szCs w:val="32"/>
          <w:highlight w:val="none"/>
        </w:rPr>
        <w:t>融入承接力量，助推壤塘经济社会发展</w:t>
      </w:r>
      <w:r>
        <w:rPr>
          <w:rFonts w:hint="eastAsia" w:ascii="仿宋" w:hAnsi="仿宋" w:eastAsia="仿宋" w:cs="仿宋"/>
          <w:b w:val="0"/>
          <w:bCs w:val="0"/>
          <w:sz w:val="32"/>
          <w:szCs w:val="32"/>
          <w:highlight w:val="none"/>
          <w:lang w:eastAsia="zh-CN"/>
        </w:rPr>
        <w:t>。</w:t>
      </w:r>
      <w:r>
        <w:rPr>
          <w:rFonts w:hint="default" w:ascii="仿宋" w:hAnsi="仿宋" w:eastAsia="仿宋" w:cs="仿宋"/>
          <w:b w:val="0"/>
          <w:bCs w:val="0"/>
          <w:sz w:val="32"/>
          <w:szCs w:val="32"/>
          <w:highlight w:val="none"/>
        </w:rPr>
        <w:t>在数字化转型方面，结合温州</w:t>
      </w:r>
      <w:r>
        <w:rPr>
          <w:rFonts w:hint="eastAsia" w:ascii="仿宋" w:hAnsi="仿宋" w:eastAsia="仿宋" w:cs="仿宋"/>
          <w:b w:val="0"/>
          <w:bCs w:val="0"/>
          <w:sz w:val="32"/>
          <w:szCs w:val="32"/>
          <w:highlight w:val="none"/>
          <w:lang w:eastAsia="zh-CN"/>
        </w:rPr>
        <w:t>既有</w:t>
      </w:r>
      <w:r>
        <w:rPr>
          <w:rFonts w:hint="default" w:ascii="仿宋" w:hAnsi="仿宋" w:eastAsia="仿宋" w:cs="仿宋"/>
          <w:b w:val="0"/>
          <w:bCs w:val="0"/>
          <w:sz w:val="32"/>
          <w:szCs w:val="32"/>
          <w:highlight w:val="none"/>
        </w:rPr>
        <w:t>数字化应用平台，打造壤塘农业产销、文旅推广、智慧医疗等领域集成化数据终端，助力当地提升社会治理、经济治理、公共服务、文旅宣传等数字化水平。在消费帮扶方面，依托电子商务、智慧物流、网红经济等“互联网+”新业态发展，推动两地生产端与消费端无缝衔接。</w:t>
      </w:r>
    </w:p>
    <w:p w14:paraId="20A37B4A">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20" w:lineRule="exact"/>
        <w:ind w:left="0" w:leftChars="0"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结果应用情况</w:t>
      </w:r>
    </w:p>
    <w:p w14:paraId="5C0106F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绩效目标填报执行了《四川省省级财政专项资金绩效分配管理暂行办法》，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切实保障了资金使用的准确性和安全性。在绩效目标评价方面，根据县财政局要求，成立自评工作小组，组织实施本单位2022年绩效管理自评工作。信息公开情况</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及时在预决算批复后20日内，在壤塘县人民政府的网站进行信息公开，公开内容真实、完整。依法接受财政、审计、纪检监察、</w:t>
      </w:r>
      <w:r>
        <w:rPr>
          <w:rFonts w:hint="eastAsia" w:ascii="仿宋_GB2312" w:hAnsi="仿宋_GB2312" w:eastAsia="仿宋_GB2312" w:cs="仿宋_GB2312"/>
          <w:color w:val="000000"/>
          <w:kern w:val="0"/>
          <w:sz w:val="32"/>
          <w:szCs w:val="32"/>
          <w:lang w:eastAsia="zh-CN" w:bidi="ar"/>
        </w:rPr>
        <w:t>巡察</w:t>
      </w:r>
      <w:r>
        <w:rPr>
          <w:rFonts w:hint="eastAsia" w:ascii="仿宋_GB2312" w:hAnsi="仿宋_GB2312" w:eastAsia="仿宋_GB2312" w:cs="仿宋_GB2312"/>
          <w:color w:val="000000"/>
          <w:kern w:val="0"/>
          <w:sz w:val="32"/>
          <w:szCs w:val="32"/>
          <w:lang w:bidi="ar"/>
        </w:rPr>
        <w:t>等部门的监督检查。严守财经法规，严格财经纪律，依法接受财政、审计、巡察、派驻纪检监督，按时上报各类资料</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严格执行财务管理制度，根据年初预算合理安排日常公用经费资金，做到厉行节约、精打细算，把有效的资金用到刀刃上，让财政资金发挥最大的社会及经济效益并保证各项工作的正常运转。</w:t>
      </w:r>
    </w:p>
    <w:p w14:paraId="5AEE000B">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20" w:lineRule="exact"/>
        <w:ind w:left="0" w:leftChars="0"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37DB328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将继续努力，科学合理编制预决算，进行绩效评价，加强精细管理，完善不足。</w:t>
      </w:r>
      <w:bookmarkStart w:id="105" w:name="_Toc22462"/>
    </w:p>
    <w:p w14:paraId="0606736A">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spacing w:line="520" w:lineRule="exact"/>
        <w:ind w:left="0" w:leftChars="0" w:firstLine="640" w:firstLineChars="200"/>
        <w:contextualSpacing/>
        <w:textAlignment w:val="auto"/>
        <w:outlineLvl w:val="1"/>
        <w:rPr>
          <w:rFonts w:hint="eastAsia" w:ascii="楷体_GB2312" w:hAnsi="楷体_GB2312" w:eastAsia="楷体_GB2312" w:cs="楷体_GB2312"/>
          <w:b/>
          <w:bCs/>
          <w:color w:val="auto"/>
          <w:kern w:val="0"/>
          <w:sz w:val="32"/>
          <w:szCs w:val="32"/>
          <w:highlight w:val="none"/>
          <w:shd w:val="clear" w:color="auto" w:fill="FFFFFF"/>
          <w:lang w:val="zh-CN"/>
        </w:rPr>
      </w:pPr>
      <w:bookmarkStart w:id="106" w:name="_Toc4553"/>
      <w:r>
        <w:rPr>
          <w:rFonts w:hint="eastAsia" w:ascii="黑体" w:hAnsi="宋体" w:eastAsia="黑体" w:cs="宋体"/>
          <w:color w:val="auto"/>
          <w:kern w:val="0"/>
          <w:sz w:val="32"/>
          <w:szCs w:val="32"/>
          <w:highlight w:val="none"/>
          <w:shd w:val="clear" w:color="auto" w:fill="FFFFFF"/>
        </w:rPr>
        <w:t>评价结论及建议</w:t>
      </w:r>
      <w:bookmarkEnd w:id="105"/>
      <w:bookmarkEnd w:id="106"/>
    </w:p>
    <w:p w14:paraId="624A2900">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20" w:lineRule="exact"/>
        <w:ind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评价结论</w:t>
      </w:r>
    </w:p>
    <w:p w14:paraId="41A1686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根据《壤塘县</w:t>
      </w:r>
      <w:r>
        <w:rPr>
          <w:rFonts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bidi="ar"/>
        </w:rPr>
        <w:t>2</w:t>
      </w:r>
      <w:r>
        <w:rPr>
          <w:rFonts w:ascii="仿宋_GB2312" w:hAnsi="仿宋_GB2312" w:eastAsia="仿宋_GB2312" w:cs="仿宋_GB2312"/>
          <w:color w:val="000000"/>
          <w:kern w:val="0"/>
          <w:sz w:val="32"/>
          <w:szCs w:val="32"/>
          <w:lang w:bidi="ar"/>
        </w:rPr>
        <w:t>年部门整体支出绩效评价指标体系》评分，得</w:t>
      </w:r>
      <w:r>
        <w:rPr>
          <w:rFonts w:hint="eastAsia" w:ascii="仿宋_GB2312" w:hAnsi="仿宋_GB2312" w:eastAsia="仿宋_GB2312" w:cs="仿宋_GB2312"/>
          <w:color w:val="000000"/>
          <w:kern w:val="0"/>
          <w:sz w:val="32"/>
          <w:szCs w:val="32"/>
          <w:lang w:bidi="ar"/>
        </w:rPr>
        <w:t>分</w:t>
      </w:r>
      <w:r>
        <w:rPr>
          <w:rFonts w:hint="eastAsia" w:ascii="仿宋_GB2312" w:hAnsi="仿宋_GB2312" w:eastAsia="仿宋_GB2312" w:cs="仿宋_GB2312"/>
          <w:color w:val="000000"/>
          <w:kern w:val="0"/>
          <w:sz w:val="32"/>
          <w:szCs w:val="32"/>
          <w:lang w:val="en-US" w:eastAsia="zh-CN" w:bidi="ar"/>
        </w:rPr>
        <w:t>92</w:t>
      </w:r>
      <w:r>
        <w:rPr>
          <w:rFonts w:hint="eastAsia" w:ascii="仿宋_GB2312" w:hAnsi="仿宋_GB2312" w:eastAsia="仿宋_GB2312" w:cs="仿宋_GB2312"/>
          <w:color w:val="000000"/>
          <w:kern w:val="0"/>
          <w:sz w:val="32"/>
          <w:szCs w:val="32"/>
          <w:lang w:bidi="ar"/>
        </w:rPr>
        <w:t>分，</w:t>
      </w:r>
      <w:r>
        <w:rPr>
          <w:rFonts w:ascii="仿宋_GB2312" w:hAnsi="仿宋_GB2312" w:eastAsia="仿宋_GB2312" w:cs="仿宋_GB2312"/>
          <w:color w:val="000000"/>
          <w:kern w:val="0"/>
          <w:sz w:val="32"/>
          <w:szCs w:val="32"/>
          <w:lang w:bidi="ar"/>
        </w:rPr>
        <w:t>绩效评价结果优秀。</w:t>
      </w:r>
    </w:p>
    <w:p w14:paraId="7B2B078F">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20" w:lineRule="exact"/>
        <w:ind w:left="0" w:leftChars="0"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14:paraId="1377141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bidi="ar"/>
        </w:rPr>
        <w:t>预算编制前根据年度内单位可预见的工作任务，确定了单位年度预算目标，细化了预算指标，但预算编制的精准性有待进一步提高。</w:t>
      </w:r>
    </w:p>
    <w:p w14:paraId="7F2DDA2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对部门整体支出预算评价工作不够重视，没有把预算财务分析作为常态化工作。</w:t>
      </w:r>
    </w:p>
    <w:p w14:paraId="0070B23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3" w:firstLineChars="200"/>
        <w:contextualSpacing/>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14:paraId="066D9E5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1.加强学习，提高思想认识。组织单位财务人员认真学习《</w:t>
      </w:r>
      <w:r>
        <w:rPr>
          <w:rFonts w:hint="eastAsia" w:ascii="仿宋_GB2312" w:hAnsi="仿宋_GB2312" w:eastAsia="仿宋_GB2312" w:cs="仿宋_GB2312"/>
          <w:color w:val="000000"/>
          <w:kern w:val="0"/>
          <w:sz w:val="32"/>
          <w:szCs w:val="32"/>
          <w:lang w:eastAsia="zh-CN" w:bidi="ar"/>
        </w:rPr>
        <w:t>中华人民共和国预算法》《</w:t>
      </w:r>
      <w:r>
        <w:rPr>
          <w:rFonts w:ascii="仿宋_GB2312" w:hAnsi="仿宋_GB2312" w:eastAsia="仿宋_GB2312" w:cs="仿宋_GB2312"/>
          <w:color w:val="000000"/>
          <w:kern w:val="0"/>
          <w:sz w:val="32"/>
          <w:szCs w:val="32"/>
          <w:lang w:bidi="ar"/>
        </w:rPr>
        <w:t>项目支出绩效评价》等文件精神及相关法规、制度，提高单位领导对全面预算管理及绩效评价工作的重视程度，增强意识。</w:t>
      </w:r>
    </w:p>
    <w:p w14:paraId="2954258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2"/>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2.提高预算编制的可操作性，强化预算执行约束力，尽量减少预算调整。</w:t>
      </w:r>
    </w:p>
    <w:p w14:paraId="2107BDE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1"/>
        <w:rPr>
          <w:rFonts w:hint="eastAsia" w:ascii="仿宋_GB2312" w:hAnsi="仿宋_GB2312" w:eastAsia="仿宋_GB2312" w:cs="仿宋_GB2312"/>
          <w:color w:val="auto"/>
          <w:sz w:val="32"/>
          <w:szCs w:val="32"/>
          <w:highlight w:val="none"/>
          <w:lang w:val="zh-CN" w:eastAsia="zh-CN"/>
        </w:rPr>
      </w:pPr>
    </w:p>
    <w:p w14:paraId="37CE1AD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1"/>
        <w:rPr>
          <w:rFonts w:hint="eastAsia" w:ascii="仿宋_GB2312" w:hAnsi="仿宋_GB2312" w:eastAsia="仿宋_GB2312" w:cs="仿宋_GB2312"/>
          <w:color w:val="auto"/>
          <w:sz w:val="32"/>
          <w:szCs w:val="32"/>
          <w:highlight w:val="none"/>
          <w:lang w:val="zh-CN" w:eastAsia="zh-CN"/>
        </w:rPr>
      </w:pPr>
    </w:p>
    <w:p w14:paraId="35AD14D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20" w:lineRule="exact"/>
        <w:ind w:firstLine="640" w:firstLineChars="200"/>
        <w:contextualSpacing/>
        <w:textAlignment w:val="auto"/>
        <w:outlineLvl w:val="1"/>
        <w:rPr>
          <w:rFonts w:hint="eastAsia" w:ascii="仿宋_GB2312" w:hAnsi="仿宋_GB2312" w:eastAsia="仿宋_GB2312" w:cs="仿宋_GB2312"/>
          <w:color w:val="auto"/>
          <w:sz w:val="32"/>
          <w:szCs w:val="32"/>
          <w:highlight w:val="none"/>
          <w:lang w:val="zh-CN" w:eastAsia="zh-CN"/>
        </w:rPr>
      </w:pPr>
      <w:bookmarkStart w:id="107" w:name="_Toc29818"/>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bookmarkEnd w:id="107"/>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4"/>
        <w:gridCol w:w="888"/>
        <w:gridCol w:w="1206"/>
        <w:gridCol w:w="396"/>
        <w:gridCol w:w="813"/>
        <w:gridCol w:w="396"/>
        <w:gridCol w:w="846"/>
        <w:gridCol w:w="576"/>
        <w:gridCol w:w="396"/>
        <w:gridCol w:w="1372"/>
      </w:tblGrid>
      <w:tr w14:paraId="342D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383" w:type="pct"/>
            <w:gridSpan w:val="4"/>
            <w:tcBorders>
              <w:top w:val="nil"/>
              <w:left w:val="nil"/>
              <w:bottom w:val="nil"/>
              <w:right w:val="nil"/>
            </w:tcBorders>
            <w:shd w:val="clear" w:color="auto" w:fill="auto"/>
            <w:vAlign w:val="center"/>
          </w:tcPr>
          <w:p w14:paraId="5E79DF8F">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184" w:type="pct"/>
            <w:tcBorders>
              <w:top w:val="nil"/>
              <w:left w:val="nil"/>
              <w:bottom w:val="nil"/>
              <w:right w:val="nil"/>
            </w:tcBorders>
            <w:shd w:val="clear" w:color="auto" w:fill="auto"/>
            <w:noWrap/>
            <w:vAlign w:val="center"/>
          </w:tcPr>
          <w:p w14:paraId="12D2E2D1">
            <w:pPr>
              <w:rPr>
                <w:rFonts w:hint="eastAsia" w:ascii="宋体" w:hAnsi="宋体" w:eastAsia="宋体" w:cs="宋体"/>
                <w:i w:val="0"/>
                <w:iCs w:val="0"/>
                <w:color w:val="000000"/>
                <w:sz w:val="22"/>
                <w:szCs w:val="22"/>
                <w:u w:val="none"/>
              </w:rPr>
            </w:pPr>
          </w:p>
        </w:tc>
        <w:tc>
          <w:tcPr>
            <w:tcW w:w="1159" w:type="pct"/>
            <w:gridSpan w:val="3"/>
            <w:tcBorders>
              <w:top w:val="nil"/>
              <w:left w:val="nil"/>
              <w:bottom w:val="nil"/>
              <w:right w:val="nil"/>
            </w:tcBorders>
            <w:shd w:val="clear" w:color="auto" w:fill="auto"/>
            <w:vAlign w:val="center"/>
          </w:tcPr>
          <w:p w14:paraId="61343E2B">
            <w:pPr>
              <w:rPr>
                <w:rFonts w:hint="eastAsia" w:ascii="宋体" w:hAnsi="宋体" w:eastAsia="宋体" w:cs="宋体"/>
                <w:i w:val="0"/>
                <w:iCs w:val="0"/>
                <w:color w:val="000000"/>
                <w:sz w:val="20"/>
                <w:szCs w:val="20"/>
                <w:u w:val="none"/>
              </w:rPr>
            </w:pPr>
          </w:p>
        </w:tc>
        <w:tc>
          <w:tcPr>
            <w:tcW w:w="204" w:type="pct"/>
            <w:tcBorders>
              <w:top w:val="nil"/>
              <w:left w:val="nil"/>
              <w:bottom w:val="nil"/>
              <w:right w:val="nil"/>
            </w:tcBorders>
            <w:shd w:val="clear" w:color="auto" w:fill="auto"/>
            <w:noWrap/>
            <w:vAlign w:val="center"/>
          </w:tcPr>
          <w:p w14:paraId="06BF16EA">
            <w:pPr>
              <w:rPr>
                <w:rFonts w:hint="eastAsia" w:ascii="宋体" w:hAnsi="宋体" w:eastAsia="宋体" w:cs="宋体"/>
                <w:i w:val="0"/>
                <w:iCs w:val="0"/>
                <w:color w:val="000000"/>
                <w:sz w:val="22"/>
                <w:szCs w:val="22"/>
                <w:u w:val="none"/>
              </w:rPr>
            </w:pPr>
          </w:p>
        </w:tc>
        <w:tc>
          <w:tcPr>
            <w:tcW w:w="161" w:type="pct"/>
            <w:tcBorders>
              <w:top w:val="nil"/>
              <w:left w:val="nil"/>
              <w:bottom w:val="nil"/>
              <w:right w:val="nil"/>
            </w:tcBorders>
            <w:shd w:val="clear" w:color="auto" w:fill="auto"/>
            <w:noWrap/>
            <w:vAlign w:val="center"/>
          </w:tcPr>
          <w:p w14:paraId="7382DE62">
            <w:pPr>
              <w:rPr>
                <w:rFonts w:hint="eastAsia" w:ascii="宋体" w:hAnsi="宋体" w:eastAsia="宋体" w:cs="宋体"/>
                <w:i w:val="0"/>
                <w:iCs w:val="0"/>
                <w:color w:val="000000"/>
                <w:sz w:val="22"/>
                <w:szCs w:val="22"/>
                <w:u w:val="none"/>
              </w:rPr>
            </w:pPr>
          </w:p>
        </w:tc>
        <w:tc>
          <w:tcPr>
            <w:tcW w:w="907" w:type="pct"/>
            <w:tcBorders>
              <w:top w:val="nil"/>
              <w:left w:val="nil"/>
              <w:bottom w:val="nil"/>
              <w:right w:val="nil"/>
            </w:tcBorders>
            <w:shd w:val="clear" w:color="auto" w:fill="auto"/>
            <w:noWrap/>
            <w:vAlign w:val="center"/>
          </w:tcPr>
          <w:p w14:paraId="4337F246">
            <w:pPr>
              <w:rPr>
                <w:rFonts w:hint="eastAsia" w:ascii="宋体" w:hAnsi="宋体" w:eastAsia="宋体" w:cs="宋体"/>
                <w:i w:val="0"/>
                <w:iCs w:val="0"/>
                <w:color w:val="000000"/>
                <w:sz w:val="22"/>
                <w:szCs w:val="22"/>
                <w:u w:val="none"/>
              </w:rPr>
            </w:pPr>
          </w:p>
        </w:tc>
      </w:tr>
      <w:tr w14:paraId="1887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63F72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F77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A40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CE8F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7401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55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42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39D5475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5B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373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F24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65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B9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280C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0C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6641">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DB02">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DE0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C6A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98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E201E">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A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97F20D">
            <w:pPr>
              <w:rPr>
                <w:rFonts w:hint="eastAsia" w:ascii="宋体" w:hAnsi="宋体" w:eastAsia="宋体" w:cs="宋体"/>
                <w:i w:val="0"/>
                <w:iCs w:val="0"/>
                <w:color w:val="000000"/>
                <w:sz w:val="18"/>
                <w:szCs w:val="18"/>
                <w:u w:val="none"/>
              </w:rPr>
            </w:pPr>
          </w:p>
        </w:tc>
      </w:tr>
      <w:tr w14:paraId="53BB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C7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1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0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26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2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E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A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A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C6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146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6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2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160.53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4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206.45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52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206.45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8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6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3780">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A3BE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45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0C4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9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5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160.53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D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206.45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91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206.45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F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9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4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89B6">
            <w:pPr>
              <w:rPr>
                <w:rFonts w:hint="eastAsia" w:ascii="黑体" w:hAnsi="黑体" w:eastAsia="黑体" w:cs="黑体"/>
                <w:i/>
                <w:iCs/>
                <w:color w:val="000000"/>
                <w:sz w:val="18"/>
                <w:szCs w:val="18"/>
                <w:u w:val="none"/>
              </w:rPr>
            </w:pPr>
          </w:p>
        </w:tc>
      </w:tr>
      <w:tr w14:paraId="05C1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CC4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B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A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9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39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2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C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6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16E2">
            <w:pPr>
              <w:rPr>
                <w:rFonts w:hint="eastAsia" w:ascii="黑体" w:hAnsi="黑体" w:eastAsia="黑体" w:cs="黑体"/>
                <w:i/>
                <w:iCs/>
                <w:color w:val="000000"/>
                <w:sz w:val="18"/>
                <w:szCs w:val="18"/>
                <w:u w:val="none"/>
              </w:rPr>
            </w:pPr>
          </w:p>
        </w:tc>
      </w:tr>
      <w:tr w14:paraId="083C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712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D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E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D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F1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3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0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0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8E29">
            <w:pPr>
              <w:rPr>
                <w:rFonts w:hint="eastAsia" w:ascii="黑体" w:hAnsi="黑体" w:eastAsia="黑体" w:cs="黑体"/>
                <w:i/>
                <w:iCs/>
                <w:color w:val="000000"/>
                <w:sz w:val="18"/>
                <w:szCs w:val="18"/>
                <w:u w:val="none"/>
              </w:rPr>
            </w:pPr>
          </w:p>
        </w:tc>
      </w:tr>
      <w:tr w14:paraId="645C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59C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C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391E">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9AE8">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AFA80">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CA4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B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5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9DCF">
            <w:pPr>
              <w:rPr>
                <w:rFonts w:hint="eastAsia" w:ascii="黑体" w:hAnsi="黑体" w:eastAsia="黑体" w:cs="黑体"/>
                <w:i/>
                <w:iCs/>
                <w:color w:val="000000"/>
                <w:sz w:val="18"/>
                <w:szCs w:val="18"/>
                <w:u w:val="none"/>
              </w:rPr>
            </w:pPr>
          </w:p>
        </w:tc>
      </w:tr>
      <w:tr w14:paraId="20B3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D8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8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8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9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1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1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A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D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5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9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4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72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B744">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3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7A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E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3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7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8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0221">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6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C1D1">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B076">
            <w:pPr>
              <w:jc w:val="center"/>
              <w:rPr>
                <w:rFonts w:hint="eastAsia" w:ascii="微软雅黑" w:hAnsi="微软雅黑" w:eastAsia="微软雅黑" w:cs="微软雅黑"/>
                <w:i/>
                <w:iCs/>
                <w:color w:val="000000"/>
                <w:sz w:val="16"/>
                <w:szCs w:val="16"/>
                <w:u w:val="none"/>
              </w:rPr>
            </w:pPr>
          </w:p>
        </w:tc>
      </w:tr>
      <w:tr w14:paraId="52A4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846A">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8DE6">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5F05">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2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3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2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8CD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0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F703">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8A43">
            <w:pPr>
              <w:jc w:val="center"/>
              <w:rPr>
                <w:rFonts w:hint="eastAsia" w:ascii="微软雅黑" w:hAnsi="微软雅黑" w:eastAsia="微软雅黑" w:cs="微软雅黑"/>
                <w:i/>
                <w:iCs/>
                <w:color w:val="000000"/>
                <w:sz w:val="16"/>
                <w:szCs w:val="16"/>
                <w:u w:val="none"/>
              </w:rPr>
            </w:pPr>
          </w:p>
        </w:tc>
      </w:tr>
      <w:tr w14:paraId="07DE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DFDF5">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7F11">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D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1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5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8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4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CE52">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4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939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7D21">
            <w:pPr>
              <w:jc w:val="center"/>
              <w:rPr>
                <w:rFonts w:hint="eastAsia" w:ascii="微软雅黑" w:hAnsi="微软雅黑" w:eastAsia="微软雅黑" w:cs="微软雅黑"/>
                <w:i/>
                <w:iCs/>
                <w:color w:val="000000"/>
                <w:sz w:val="16"/>
                <w:szCs w:val="16"/>
                <w:u w:val="none"/>
              </w:rPr>
            </w:pPr>
          </w:p>
        </w:tc>
      </w:tr>
      <w:tr w14:paraId="34FD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606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E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4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A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E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F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0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5AC3">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0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F7E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FE04">
            <w:pPr>
              <w:jc w:val="center"/>
              <w:rPr>
                <w:rFonts w:hint="eastAsia" w:ascii="微软雅黑" w:hAnsi="微软雅黑" w:eastAsia="微软雅黑" w:cs="微软雅黑"/>
                <w:i/>
                <w:iCs/>
                <w:color w:val="000000"/>
                <w:sz w:val="16"/>
                <w:szCs w:val="16"/>
                <w:u w:val="none"/>
              </w:rPr>
            </w:pPr>
          </w:p>
        </w:tc>
      </w:tr>
      <w:tr w14:paraId="4A08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5BC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8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3337">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032F">
            <w:pPr>
              <w:rPr>
                <w:rFonts w:hint="eastAsia" w:ascii="宋体" w:hAnsi="宋体" w:eastAsia="宋体" w:cs="宋体"/>
                <w:i w:val="0"/>
                <w:iCs w:val="0"/>
                <w:color w:val="000000"/>
                <w:sz w:val="18"/>
                <w:szCs w:val="18"/>
                <w:u w:val="none"/>
              </w:rPr>
            </w:pPr>
          </w:p>
        </w:tc>
      </w:tr>
      <w:tr w14:paraId="13C9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B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E098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8A2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9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0EA8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149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C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82A7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13C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002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574C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677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5B051AB">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734001A7">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105D0614">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2CA3F8F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0BAC9AF">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43B12D3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795A4BA">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A272E1B">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9205556">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EF9249D">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47289687">
            <w:pPr>
              <w:rPr>
                <w:rFonts w:hint="eastAsia" w:ascii="宋体" w:hAnsi="宋体" w:eastAsia="宋体" w:cs="宋体"/>
                <w:i w:val="0"/>
                <w:iCs w:val="0"/>
                <w:color w:val="000000"/>
                <w:sz w:val="18"/>
                <w:szCs w:val="18"/>
                <w:u w:val="none"/>
              </w:rPr>
            </w:pPr>
          </w:p>
        </w:tc>
      </w:tr>
      <w:tr w14:paraId="2CF2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FFA59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EFC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C3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9B3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单位缴费</w:t>
            </w:r>
          </w:p>
        </w:tc>
      </w:tr>
      <w:tr w14:paraId="2532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A99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FA9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691617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18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66AA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7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C16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55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A832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F7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39F3">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CB7D">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6F5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798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CF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8AF3">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75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B7B03B">
            <w:pPr>
              <w:rPr>
                <w:rFonts w:hint="eastAsia" w:ascii="宋体" w:hAnsi="宋体" w:eastAsia="宋体" w:cs="宋体"/>
                <w:i w:val="0"/>
                <w:iCs w:val="0"/>
                <w:color w:val="000000"/>
                <w:sz w:val="18"/>
                <w:szCs w:val="18"/>
                <w:u w:val="none"/>
              </w:rPr>
            </w:pPr>
          </w:p>
        </w:tc>
      </w:tr>
      <w:tr w14:paraId="2C25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AB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1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4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7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0A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2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4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8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B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1BD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B14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D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4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84.02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0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25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C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2085">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2BB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E6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BB6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B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C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84.02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5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91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4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5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9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B5B4F">
            <w:pPr>
              <w:rPr>
                <w:rFonts w:hint="eastAsia" w:ascii="黑体" w:hAnsi="黑体" w:eastAsia="黑体" w:cs="黑体"/>
                <w:i/>
                <w:iCs/>
                <w:color w:val="000000"/>
                <w:sz w:val="18"/>
                <w:szCs w:val="18"/>
                <w:u w:val="none"/>
              </w:rPr>
            </w:pPr>
          </w:p>
        </w:tc>
      </w:tr>
      <w:tr w14:paraId="6B35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B0E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1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9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9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18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8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A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E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F608">
            <w:pPr>
              <w:rPr>
                <w:rFonts w:hint="eastAsia" w:ascii="黑体" w:hAnsi="黑体" w:eastAsia="黑体" w:cs="黑体"/>
                <w:i/>
                <w:iCs/>
                <w:color w:val="000000"/>
                <w:sz w:val="18"/>
                <w:szCs w:val="18"/>
                <w:u w:val="none"/>
              </w:rPr>
            </w:pPr>
          </w:p>
        </w:tc>
      </w:tr>
      <w:tr w14:paraId="2B3F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A2B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2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C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5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1D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9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0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D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926A">
            <w:pPr>
              <w:rPr>
                <w:rFonts w:hint="eastAsia" w:ascii="黑体" w:hAnsi="黑体" w:eastAsia="黑体" w:cs="黑体"/>
                <w:i/>
                <w:iCs/>
                <w:color w:val="000000"/>
                <w:sz w:val="18"/>
                <w:szCs w:val="18"/>
                <w:u w:val="none"/>
              </w:rPr>
            </w:pPr>
          </w:p>
        </w:tc>
      </w:tr>
      <w:tr w14:paraId="1F52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E20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A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D5AE">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0FFD">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004E1">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BFEA">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B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8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EB4D">
            <w:pPr>
              <w:rPr>
                <w:rFonts w:hint="eastAsia" w:ascii="黑体" w:hAnsi="黑体" w:eastAsia="黑体" w:cs="黑体"/>
                <w:i/>
                <w:iCs/>
                <w:color w:val="000000"/>
                <w:sz w:val="18"/>
                <w:szCs w:val="18"/>
                <w:u w:val="none"/>
              </w:rPr>
            </w:pPr>
          </w:p>
        </w:tc>
      </w:tr>
      <w:tr w14:paraId="09D5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DA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C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B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4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6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A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6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7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9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2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8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A4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CE2B">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BF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F8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2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0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0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0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6B1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C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DDC6">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E5E4">
            <w:pPr>
              <w:jc w:val="center"/>
              <w:rPr>
                <w:rFonts w:hint="eastAsia" w:ascii="微软雅黑" w:hAnsi="微软雅黑" w:eastAsia="微软雅黑" w:cs="微软雅黑"/>
                <w:i/>
                <w:iCs/>
                <w:color w:val="000000"/>
                <w:sz w:val="16"/>
                <w:szCs w:val="16"/>
                <w:u w:val="none"/>
              </w:rPr>
            </w:pPr>
          </w:p>
        </w:tc>
      </w:tr>
      <w:tr w14:paraId="5800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722F">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C147">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52EA">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9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0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E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6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2862">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5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89EB">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500F">
            <w:pPr>
              <w:jc w:val="center"/>
              <w:rPr>
                <w:rFonts w:hint="eastAsia" w:ascii="微软雅黑" w:hAnsi="微软雅黑" w:eastAsia="微软雅黑" w:cs="微软雅黑"/>
                <w:i/>
                <w:iCs/>
                <w:color w:val="000000"/>
                <w:sz w:val="16"/>
                <w:szCs w:val="16"/>
                <w:u w:val="none"/>
              </w:rPr>
            </w:pPr>
          </w:p>
        </w:tc>
      </w:tr>
      <w:tr w14:paraId="2039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AAC2">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0592">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8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4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C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B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5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CBF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1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C8B6">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2D0E">
            <w:pPr>
              <w:jc w:val="center"/>
              <w:rPr>
                <w:rFonts w:hint="eastAsia" w:ascii="微软雅黑" w:hAnsi="微软雅黑" w:eastAsia="微软雅黑" w:cs="微软雅黑"/>
                <w:i/>
                <w:iCs/>
                <w:color w:val="000000"/>
                <w:sz w:val="16"/>
                <w:szCs w:val="16"/>
                <w:u w:val="none"/>
              </w:rPr>
            </w:pPr>
          </w:p>
        </w:tc>
      </w:tr>
      <w:tr w14:paraId="1E5E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DF0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6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E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D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C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A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3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CFA9">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E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FDC1">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5547">
            <w:pPr>
              <w:jc w:val="center"/>
              <w:rPr>
                <w:rFonts w:hint="eastAsia" w:ascii="微软雅黑" w:hAnsi="微软雅黑" w:eastAsia="微软雅黑" w:cs="微软雅黑"/>
                <w:i/>
                <w:iCs/>
                <w:color w:val="000000"/>
                <w:sz w:val="16"/>
                <w:szCs w:val="16"/>
                <w:u w:val="none"/>
              </w:rPr>
            </w:pPr>
          </w:p>
        </w:tc>
      </w:tr>
      <w:tr w14:paraId="3B4B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EA5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8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9281">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7075">
            <w:pPr>
              <w:rPr>
                <w:rFonts w:hint="eastAsia" w:ascii="宋体" w:hAnsi="宋体" w:eastAsia="宋体" w:cs="宋体"/>
                <w:i w:val="0"/>
                <w:iCs w:val="0"/>
                <w:color w:val="000000"/>
                <w:sz w:val="18"/>
                <w:szCs w:val="18"/>
                <w:u w:val="none"/>
              </w:rPr>
            </w:pPr>
          </w:p>
        </w:tc>
      </w:tr>
      <w:tr w14:paraId="71DD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7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AF80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CEF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8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1090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C58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4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54F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5AE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D9D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42E8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C66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0F05313">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230F9659">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5CD03AE9">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48B027B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3B45C1B">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D4B2A4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073BF68">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19B62EAB">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705F7990">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6DA32FC">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4EF622FC">
            <w:pPr>
              <w:rPr>
                <w:rFonts w:hint="eastAsia" w:ascii="宋体" w:hAnsi="宋体" w:eastAsia="宋体" w:cs="宋体"/>
                <w:i w:val="0"/>
                <w:iCs w:val="0"/>
                <w:color w:val="000000"/>
                <w:sz w:val="18"/>
                <w:szCs w:val="18"/>
                <w:u w:val="none"/>
              </w:rPr>
            </w:pPr>
          </w:p>
        </w:tc>
      </w:tr>
      <w:tr w14:paraId="7C57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19DED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E7B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62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D1E6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其他支出</w:t>
            </w:r>
          </w:p>
        </w:tc>
      </w:tr>
      <w:tr w14:paraId="61B4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8D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BA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621BCF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96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3AD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D9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E92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FC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EBF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93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3120">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AC72">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85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B34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83E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FE4B">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4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B35395">
            <w:pPr>
              <w:rPr>
                <w:rFonts w:hint="eastAsia" w:ascii="宋体" w:hAnsi="宋体" w:eastAsia="宋体" w:cs="宋体"/>
                <w:i w:val="0"/>
                <w:iCs w:val="0"/>
                <w:color w:val="000000"/>
                <w:sz w:val="18"/>
                <w:szCs w:val="18"/>
                <w:u w:val="none"/>
              </w:rPr>
            </w:pPr>
          </w:p>
        </w:tc>
      </w:tr>
      <w:tr w14:paraId="1725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79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3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C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6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05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7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3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5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4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50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6D3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D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5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48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1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F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C091">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EA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FD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F40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5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6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D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24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F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5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F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D2CC">
            <w:pPr>
              <w:rPr>
                <w:rFonts w:hint="eastAsia" w:ascii="黑体" w:hAnsi="黑体" w:eastAsia="黑体" w:cs="黑体"/>
                <w:i/>
                <w:iCs/>
                <w:color w:val="000000"/>
                <w:sz w:val="18"/>
                <w:szCs w:val="18"/>
                <w:u w:val="none"/>
              </w:rPr>
            </w:pPr>
          </w:p>
        </w:tc>
      </w:tr>
      <w:tr w14:paraId="561A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91A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B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1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4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84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4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C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E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D449">
            <w:pPr>
              <w:rPr>
                <w:rFonts w:hint="eastAsia" w:ascii="黑体" w:hAnsi="黑体" w:eastAsia="黑体" w:cs="黑体"/>
                <w:i/>
                <w:iCs/>
                <w:color w:val="000000"/>
                <w:sz w:val="18"/>
                <w:szCs w:val="18"/>
                <w:u w:val="none"/>
              </w:rPr>
            </w:pPr>
          </w:p>
        </w:tc>
      </w:tr>
      <w:tr w14:paraId="298B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509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E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8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A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F7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1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F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1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0925">
            <w:pPr>
              <w:rPr>
                <w:rFonts w:hint="eastAsia" w:ascii="黑体" w:hAnsi="黑体" w:eastAsia="黑体" w:cs="黑体"/>
                <w:i/>
                <w:iCs/>
                <w:color w:val="000000"/>
                <w:sz w:val="18"/>
                <w:szCs w:val="18"/>
                <w:u w:val="none"/>
              </w:rPr>
            </w:pPr>
          </w:p>
        </w:tc>
      </w:tr>
      <w:tr w14:paraId="5D57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63F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1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6CCB">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190C">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F900A">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0906">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F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E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D625">
            <w:pPr>
              <w:rPr>
                <w:rFonts w:hint="eastAsia" w:ascii="黑体" w:hAnsi="黑体" w:eastAsia="黑体" w:cs="黑体"/>
                <w:i/>
                <w:iCs/>
                <w:color w:val="000000"/>
                <w:sz w:val="18"/>
                <w:szCs w:val="18"/>
                <w:u w:val="none"/>
              </w:rPr>
            </w:pPr>
          </w:p>
        </w:tc>
      </w:tr>
      <w:tr w14:paraId="168C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E9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5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5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C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9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8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F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F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E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3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F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41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AF36">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0E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B0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5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7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8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6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BE4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0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7D15">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27D3">
            <w:pPr>
              <w:jc w:val="center"/>
              <w:rPr>
                <w:rFonts w:hint="eastAsia" w:ascii="微软雅黑" w:hAnsi="微软雅黑" w:eastAsia="微软雅黑" w:cs="微软雅黑"/>
                <w:i/>
                <w:iCs/>
                <w:color w:val="000000"/>
                <w:sz w:val="16"/>
                <w:szCs w:val="16"/>
                <w:u w:val="none"/>
              </w:rPr>
            </w:pPr>
          </w:p>
        </w:tc>
      </w:tr>
      <w:tr w14:paraId="517C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1203">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4E19">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0ABA">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9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4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2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1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2E90">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8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EF79">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44ED">
            <w:pPr>
              <w:jc w:val="center"/>
              <w:rPr>
                <w:rFonts w:hint="eastAsia" w:ascii="微软雅黑" w:hAnsi="微软雅黑" w:eastAsia="微软雅黑" w:cs="微软雅黑"/>
                <w:i/>
                <w:iCs/>
                <w:color w:val="000000"/>
                <w:sz w:val="16"/>
                <w:szCs w:val="16"/>
                <w:u w:val="none"/>
              </w:rPr>
            </w:pPr>
          </w:p>
        </w:tc>
      </w:tr>
      <w:tr w14:paraId="07F9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417E">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E15F5">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8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3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7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D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7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2DA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2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0ADD">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BF7C">
            <w:pPr>
              <w:jc w:val="center"/>
              <w:rPr>
                <w:rFonts w:hint="eastAsia" w:ascii="微软雅黑" w:hAnsi="微软雅黑" w:eastAsia="微软雅黑" w:cs="微软雅黑"/>
                <w:i/>
                <w:iCs/>
                <w:color w:val="000000"/>
                <w:sz w:val="16"/>
                <w:szCs w:val="16"/>
                <w:u w:val="none"/>
              </w:rPr>
            </w:pPr>
          </w:p>
        </w:tc>
      </w:tr>
      <w:tr w14:paraId="07B9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523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2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6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A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1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2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D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5E9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A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4489">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4653">
            <w:pPr>
              <w:jc w:val="center"/>
              <w:rPr>
                <w:rFonts w:hint="eastAsia" w:ascii="微软雅黑" w:hAnsi="微软雅黑" w:eastAsia="微软雅黑" w:cs="微软雅黑"/>
                <w:i/>
                <w:iCs/>
                <w:color w:val="000000"/>
                <w:sz w:val="16"/>
                <w:szCs w:val="16"/>
                <w:u w:val="none"/>
              </w:rPr>
            </w:pPr>
          </w:p>
        </w:tc>
      </w:tr>
      <w:tr w14:paraId="5E67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254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6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97F4">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97C6">
            <w:pPr>
              <w:rPr>
                <w:rFonts w:hint="eastAsia" w:ascii="宋体" w:hAnsi="宋体" w:eastAsia="宋体" w:cs="宋体"/>
                <w:i w:val="0"/>
                <w:iCs w:val="0"/>
                <w:color w:val="000000"/>
                <w:sz w:val="18"/>
                <w:szCs w:val="18"/>
                <w:u w:val="none"/>
              </w:rPr>
            </w:pPr>
          </w:p>
        </w:tc>
      </w:tr>
      <w:tr w14:paraId="3525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6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EBE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B0B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7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D74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5DC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0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1BC0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C82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7D5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1B9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29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427076C9">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1A36065F">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0B0E8A37">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714061B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3C112DF">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5EE740A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9CA2B19">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57F079B">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47C43566">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667192FA">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BF66ABF">
            <w:pPr>
              <w:rPr>
                <w:rFonts w:hint="eastAsia" w:ascii="宋体" w:hAnsi="宋体" w:eastAsia="宋体" w:cs="宋体"/>
                <w:i w:val="0"/>
                <w:iCs w:val="0"/>
                <w:color w:val="000000"/>
                <w:sz w:val="18"/>
                <w:szCs w:val="18"/>
                <w:u w:val="none"/>
              </w:rPr>
            </w:pPr>
          </w:p>
        </w:tc>
      </w:tr>
      <w:tr w14:paraId="2BCC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F4B80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D83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9D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81B0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51000021Y000000011490-定额公用经费</w:t>
            </w:r>
          </w:p>
        </w:tc>
      </w:tr>
      <w:tr w14:paraId="71AB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826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63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55F165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DE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642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BE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C7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A3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E49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02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6666C">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A89F">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6BA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0F2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7B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FA1E">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1D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832072">
            <w:pPr>
              <w:rPr>
                <w:rFonts w:hint="eastAsia" w:ascii="宋体" w:hAnsi="宋体" w:eastAsia="宋体" w:cs="宋体"/>
                <w:i w:val="0"/>
                <w:iCs w:val="0"/>
                <w:color w:val="000000"/>
                <w:sz w:val="18"/>
                <w:szCs w:val="18"/>
                <w:u w:val="none"/>
              </w:rPr>
            </w:pPr>
          </w:p>
        </w:tc>
      </w:tr>
      <w:tr w14:paraId="5CDD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5F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8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3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2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43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4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4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7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E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A3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210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F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1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6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FD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B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9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BB98">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107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56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62A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1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0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E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55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A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6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4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FBCD">
            <w:pPr>
              <w:rPr>
                <w:rFonts w:hint="eastAsia" w:ascii="黑体" w:hAnsi="黑体" w:eastAsia="黑体" w:cs="黑体"/>
                <w:i/>
                <w:iCs/>
                <w:color w:val="000000"/>
                <w:sz w:val="18"/>
                <w:szCs w:val="18"/>
                <w:u w:val="none"/>
              </w:rPr>
            </w:pPr>
          </w:p>
        </w:tc>
      </w:tr>
      <w:tr w14:paraId="5F97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ACE0">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7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C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B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CF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3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D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C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F69A">
            <w:pPr>
              <w:rPr>
                <w:rFonts w:hint="eastAsia" w:ascii="黑体" w:hAnsi="黑体" w:eastAsia="黑体" w:cs="黑体"/>
                <w:i/>
                <w:iCs/>
                <w:color w:val="000000"/>
                <w:sz w:val="18"/>
                <w:szCs w:val="18"/>
                <w:u w:val="none"/>
              </w:rPr>
            </w:pPr>
          </w:p>
        </w:tc>
      </w:tr>
      <w:tr w14:paraId="7419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209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7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7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A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1C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2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E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B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8A07">
            <w:pPr>
              <w:rPr>
                <w:rFonts w:hint="eastAsia" w:ascii="黑体" w:hAnsi="黑体" w:eastAsia="黑体" w:cs="黑体"/>
                <w:i/>
                <w:iCs/>
                <w:color w:val="000000"/>
                <w:sz w:val="18"/>
                <w:szCs w:val="18"/>
                <w:u w:val="none"/>
              </w:rPr>
            </w:pPr>
          </w:p>
        </w:tc>
      </w:tr>
      <w:tr w14:paraId="75CD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778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8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D66C">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83C0">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B49F0">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D5E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C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7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3568">
            <w:pPr>
              <w:rPr>
                <w:rFonts w:hint="eastAsia" w:ascii="黑体" w:hAnsi="黑体" w:eastAsia="黑体" w:cs="黑体"/>
                <w:i/>
                <w:iCs/>
                <w:color w:val="000000"/>
                <w:sz w:val="18"/>
                <w:szCs w:val="18"/>
                <w:u w:val="none"/>
              </w:rPr>
            </w:pPr>
          </w:p>
        </w:tc>
      </w:tr>
      <w:tr w14:paraId="56AE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E2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7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8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C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9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F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1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6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9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8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7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9E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4E48">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2F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8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F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1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0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8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7153">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D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D84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B4E9">
            <w:pPr>
              <w:jc w:val="center"/>
              <w:rPr>
                <w:rFonts w:hint="eastAsia" w:ascii="微软雅黑" w:hAnsi="微软雅黑" w:eastAsia="微软雅黑" w:cs="微软雅黑"/>
                <w:i/>
                <w:iCs/>
                <w:color w:val="000000"/>
                <w:sz w:val="16"/>
                <w:szCs w:val="16"/>
                <w:u w:val="none"/>
              </w:rPr>
            </w:pPr>
          </w:p>
        </w:tc>
      </w:tr>
      <w:tr w14:paraId="0435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3719">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9836">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8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5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2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D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B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B6CD">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6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8136">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55BA">
            <w:pPr>
              <w:jc w:val="center"/>
              <w:rPr>
                <w:rFonts w:hint="eastAsia" w:ascii="微软雅黑" w:hAnsi="微软雅黑" w:eastAsia="微软雅黑" w:cs="微软雅黑"/>
                <w:i/>
                <w:iCs/>
                <w:color w:val="000000"/>
                <w:sz w:val="16"/>
                <w:szCs w:val="16"/>
                <w:u w:val="none"/>
              </w:rPr>
            </w:pPr>
          </w:p>
        </w:tc>
      </w:tr>
      <w:tr w14:paraId="5A60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4DFE">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76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7C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5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2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4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0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F39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4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10A9">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4392">
            <w:pPr>
              <w:jc w:val="center"/>
              <w:rPr>
                <w:rFonts w:hint="eastAsia" w:ascii="微软雅黑" w:hAnsi="微软雅黑" w:eastAsia="微软雅黑" w:cs="微软雅黑"/>
                <w:i/>
                <w:iCs/>
                <w:color w:val="000000"/>
                <w:sz w:val="16"/>
                <w:szCs w:val="16"/>
                <w:u w:val="none"/>
              </w:rPr>
            </w:pPr>
          </w:p>
        </w:tc>
      </w:tr>
      <w:tr w14:paraId="5861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95D3">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AED8">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9C99">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3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D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A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F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DA3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9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6B4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E725">
            <w:pPr>
              <w:jc w:val="center"/>
              <w:rPr>
                <w:rFonts w:hint="eastAsia" w:ascii="微软雅黑" w:hAnsi="微软雅黑" w:eastAsia="微软雅黑" w:cs="微软雅黑"/>
                <w:i/>
                <w:iCs/>
                <w:color w:val="000000"/>
                <w:sz w:val="16"/>
                <w:szCs w:val="16"/>
                <w:u w:val="none"/>
              </w:rPr>
            </w:pPr>
          </w:p>
        </w:tc>
      </w:tr>
      <w:tr w14:paraId="4843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053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F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EABF">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8927">
            <w:pPr>
              <w:rPr>
                <w:rFonts w:hint="eastAsia" w:ascii="宋体" w:hAnsi="宋体" w:eastAsia="宋体" w:cs="宋体"/>
                <w:i w:val="0"/>
                <w:iCs w:val="0"/>
                <w:color w:val="000000"/>
                <w:sz w:val="18"/>
                <w:szCs w:val="18"/>
                <w:u w:val="none"/>
              </w:rPr>
            </w:pPr>
          </w:p>
        </w:tc>
      </w:tr>
      <w:tr w14:paraId="2FC1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6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864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F85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3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D320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EF7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F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ABD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644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E7F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2C9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532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D16DCE9">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4DEF7B55">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567273CC">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480EAD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FC11F0B">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2774827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B1E0ECC">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04772FD7">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2F1058BC">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733506D">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42182D4E">
            <w:pPr>
              <w:rPr>
                <w:rFonts w:hint="eastAsia" w:ascii="宋体" w:hAnsi="宋体" w:eastAsia="宋体" w:cs="宋体"/>
                <w:i w:val="0"/>
                <w:iCs w:val="0"/>
                <w:color w:val="000000"/>
                <w:sz w:val="18"/>
                <w:szCs w:val="18"/>
                <w:u w:val="none"/>
              </w:rPr>
            </w:pPr>
          </w:p>
        </w:tc>
      </w:tr>
      <w:tr w14:paraId="0B05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31F9A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AEC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E2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48E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51000021Y000000011491-非定额公用经费</w:t>
            </w:r>
          </w:p>
        </w:tc>
      </w:tr>
      <w:tr w14:paraId="02D3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2CF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2B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4C7907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AA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02CD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D6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15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92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CB5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8E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AA64">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9157C">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F29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A96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BF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2927">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A9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1E4EF">
            <w:pPr>
              <w:rPr>
                <w:rFonts w:hint="eastAsia" w:ascii="宋体" w:hAnsi="宋体" w:eastAsia="宋体" w:cs="宋体"/>
                <w:i w:val="0"/>
                <w:iCs w:val="0"/>
                <w:color w:val="000000"/>
                <w:sz w:val="18"/>
                <w:szCs w:val="18"/>
                <w:u w:val="none"/>
              </w:rPr>
            </w:pPr>
          </w:p>
        </w:tc>
      </w:tr>
      <w:tr w14:paraId="7D9F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B5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4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F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3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89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6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4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C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BC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917D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C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B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4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2C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0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2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807E">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834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C3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5DF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2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0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A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E2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5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A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E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FEF8">
            <w:pPr>
              <w:rPr>
                <w:rFonts w:hint="eastAsia" w:ascii="黑体" w:hAnsi="黑体" w:eastAsia="黑体" w:cs="黑体"/>
                <w:i/>
                <w:iCs/>
                <w:color w:val="000000"/>
                <w:sz w:val="18"/>
                <w:szCs w:val="18"/>
                <w:u w:val="none"/>
              </w:rPr>
            </w:pPr>
          </w:p>
        </w:tc>
      </w:tr>
      <w:tr w14:paraId="469A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BCE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E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2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4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67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9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A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E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5AD3">
            <w:pPr>
              <w:rPr>
                <w:rFonts w:hint="eastAsia" w:ascii="黑体" w:hAnsi="黑体" w:eastAsia="黑体" w:cs="黑体"/>
                <w:i/>
                <w:iCs/>
                <w:color w:val="000000"/>
                <w:sz w:val="18"/>
                <w:szCs w:val="18"/>
                <w:u w:val="none"/>
              </w:rPr>
            </w:pPr>
          </w:p>
        </w:tc>
      </w:tr>
      <w:tr w14:paraId="5ADF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67D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7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F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5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33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B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5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0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B8D0">
            <w:pPr>
              <w:rPr>
                <w:rFonts w:hint="eastAsia" w:ascii="黑体" w:hAnsi="黑体" w:eastAsia="黑体" w:cs="黑体"/>
                <w:i/>
                <w:iCs/>
                <w:color w:val="000000"/>
                <w:sz w:val="18"/>
                <w:szCs w:val="18"/>
                <w:u w:val="none"/>
              </w:rPr>
            </w:pPr>
          </w:p>
        </w:tc>
      </w:tr>
      <w:tr w14:paraId="5B68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408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0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C419">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1510">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5F627">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640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2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C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73A49">
            <w:pPr>
              <w:rPr>
                <w:rFonts w:hint="eastAsia" w:ascii="黑体" w:hAnsi="黑体" w:eastAsia="黑体" w:cs="黑体"/>
                <w:i/>
                <w:iCs/>
                <w:color w:val="000000"/>
                <w:sz w:val="18"/>
                <w:szCs w:val="18"/>
                <w:u w:val="none"/>
              </w:rPr>
            </w:pPr>
          </w:p>
        </w:tc>
      </w:tr>
      <w:tr w14:paraId="2B05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D8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7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D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F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8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8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3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3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2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1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0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35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B38E">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3B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6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6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4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0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E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9B05">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5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F4B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1BB0">
            <w:pPr>
              <w:jc w:val="center"/>
              <w:rPr>
                <w:rFonts w:hint="eastAsia" w:ascii="微软雅黑" w:hAnsi="微软雅黑" w:eastAsia="微软雅黑" w:cs="微软雅黑"/>
                <w:i/>
                <w:iCs/>
                <w:color w:val="000000"/>
                <w:sz w:val="16"/>
                <w:szCs w:val="16"/>
                <w:u w:val="none"/>
              </w:rPr>
            </w:pPr>
          </w:p>
        </w:tc>
      </w:tr>
      <w:tr w14:paraId="7A48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7582">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C6CF">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D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4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6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8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1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2BD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8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7365">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96A0">
            <w:pPr>
              <w:jc w:val="center"/>
              <w:rPr>
                <w:rFonts w:hint="eastAsia" w:ascii="微软雅黑" w:hAnsi="微软雅黑" w:eastAsia="微软雅黑" w:cs="微软雅黑"/>
                <w:i/>
                <w:iCs/>
                <w:color w:val="000000"/>
                <w:sz w:val="16"/>
                <w:szCs w:val="16"/>
                <w:u w:val="none"/>
              </w:rPr>
            </w:pPr>
          </w:p>
        </w:tc>
      </w:tr>
      <w:tr w14:paraId="7BA3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A3AD">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6A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F0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8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B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E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1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CD8A">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7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038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BB20">
            <w:pPr>
              <w:jc w:val="center"/>
              <w:rPr>
                <w:rFonts w:hint="eastAsia" w:ascii="微软雅黑" w:hAnsi="微软雅黑" w:eastAsia="微软雅黑" w:cs="微软雅黑"/>
                <w:i/>
                <w:iCs/>
                <w:color w:val="000000"/>
                <w:sz w:val="16"/>
                <w:szCs w:val="16"/>
                <w:u w:val="none"/>
              </w:rPr>
            </w:pPr>
          </w:p>
        </w:tc>
      </w:tr>
      <w:tr w14:paraId="5A2C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EEFB">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BC0F">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B7BF7">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8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E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0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C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907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F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4D02">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AFF4">
            <w:pPr>
              <w:jc w:val="center"/>
              <w:rPr>
                <w:rFonts w:hint="eastAsia" w:ascii="微软雅黑" w:hAnsi="微软雅黑" w:eastAsia="微软雅黑" w:cs="微软雅黑"/>
                <w:i/>
                <w:iCs/>
                <w:color w:val="000000"/>
                <w:sz w:val="16"/>
                <w:szCs w:val="16"/>
                <w:u w:val="none"/>
              </w:rPr>
            </w:pPr>
          </w:p>
        </w:tc>
      </w:tr>
      <w:tr w14:paraId="004B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756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4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543D">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B68A">
            <w:pPr>
              <w:rPr>
                <w:rFonts w:hint="eastAsia" w:ascii="宋体" w:hAnsi="宋体" w:eastAsia="宋体" w:cs="宋体"/>
                <w:i w:val="0"/>
                <w:iCs w:val="0"/>
                <w:color w:val="000000"/>
                <w:sz w:val="18"/>
                <w:szCs w:val="18"/>
                <w:u w:val="none"/>
              </w:rPr>
            </w:pPr>
          </w:p>
        </w:tc>
      </w:tr>
      <w:tr w14:paraId="695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B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6C69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20C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A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C89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081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7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80F0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2BF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E33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384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AB4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A146506">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6D907E01">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3CAB9DA9">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792149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144D5AB">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B72784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6CC3D07">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0E89B80F">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7165635D">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5F4847DC">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346BF869">
            <w:pPr>
              <w:rPr>
                <w:rFonts w:hint="eastAsia" w:ascii="宋体" w:hAnsi="宋体" w:eastAsia="宋体" w:cs="宋体"/>
                <w:i w:val="0"/>
                <w:iCs w:val="0"/>
                <w:color w:val="000000"/>
                <w:sz w:val="18"/>
                <w:szCs w:val="18"/>
                <w:u w:val="none"/>
              </w:rPr>
            </w:pPr>
          </w:p>
        </w:tc>
      </w:tr>
      <w:tr w14:paraId="2061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4217A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FF4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819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558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51323022R000006245375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在职人员绩效奖</w:t>
            </w:r>
          </w:p>
        </w:tc>
      </w:tr>
      <w:tr w14:paraId="5E2E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82D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011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5108C7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65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BA5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AF6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F4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94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F7B06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3B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03B8">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933B">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18956">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0EC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699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0250">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7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5F4A11">
            <w:pPr>
              <w:rPr>
                <w:rFonts w:hint="eastAsia" w:ascii="宋体" w:hAnsi="宋体" w:eastAsia="宋体" w:cs="宋体"/>
                <w:i w:val="0"/>
                <w:iCs w:val="0"/>
                <w:color w:val="000000"/>
                <w:sz w:val="18"/>
                <w:szCs w:val="18"/>
                <w:u w:val="none"/>
              </w:rPr>
            </w:pPr>
          </w:p>
        </w:tc>
      </w:tr>
      <w:tr w14:paraId="4247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22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C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3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4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45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8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D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0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8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71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0A5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3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1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9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F3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8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7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9007">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9110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46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06A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6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D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A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B6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A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9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B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5B77">
            <w:pPr>
              <w:rPr>
                <w:rFonts w:hint="eastAsia" w:ascii="黑体" w:hAnsi="黑体" w:eastAsia="黑体" w:cs="黑体"/>
                <w:i/>
                <w:iCs/>
                <w:color w:val="000000"/>
                <w:sz w:val="18"/>
                <w:szCs w:val="18"/>
                <w:u w:val="none"/>
              </w:rPr>
            </w:pPr>
          </w:p>
        </w:tc>
      </w:tr>
      <w:tr w14:paraId="29E1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747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4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9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F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A5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7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9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8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BB4B">
            <w:pPr>
              <w:rPr>
                <w:rFonts w:hint="eastAsia" w:ascii="黑体" w:hAnsi="黑体" w:eastAsia="黑体" w:cs="黑体"/>
                <w:i/>
                <w:iCs/>
                <w:color w:val="000000"/>
                <w:sz w:val="18"/>
                <w:szCs w:val="18"/>
                <w:u w:val="none"/>
              </w:rPr>
            </w:pPr>
          </w:p>
        </w:tc>
      </w:tr>
      <w:tr w14:paraId="359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0E5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C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D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4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EF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6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9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1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AFD6">
            <w:pPr>
              <w:rPr>
                <w:rFonts w:hint="eastAsia" w:ascii="黑体" w:hAnsi="黑体" w:eastAsia="黑体" w:cs="黑体"/>
                <w:i/>
                <w:iCs/>
                <w:color w:val="000000"/>
                <w:sz w:val="18"/>
                <w:szCs w:val="18"/>
                <w:u w:val="none"/>
              </w:rPr>
            </w:pPr>
          </w:p>
        </w:tc>
      </w:tr>
      <w:tr w14:paraId="65BB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E0F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E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5F2A">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0965">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E130B">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A37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E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9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D09AE">
            <w:pPr>
              <w:rPr>
                <w:rFonts w:hint="eastAsia" w:ascii="黑体" w:hAnsi="黑体" w:eastAsia="黑体" w:cs="黑体"/>
                <w:i/>
                <w:iCs/>
                <w:color w:val="000000"/>
                <w:sz w:val="18"/>
                <w:szCs w:val="18"/>
                <w:u w:val="none"/>
              </w:rPr>
            </w:pPr>
          </w:p>
        </w:tc>
      </w:tr>
      <w:tr w14:paraId="17C7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7D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3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6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4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1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0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E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F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9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B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0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68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B2E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17D1">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63C4">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93E4">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59C3">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FDAB">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1BEF">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F916">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A8E3">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1822">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8283">
            <w:pPr>
              <w:jc w:val="center"/>
              <w:rPr>
                <w:rFonts w:hint="eastAsia" w:ascii="微软雅黑" w:hAnsi="微软雅黑" w:eastAsia="微软雅黑" w:cs="微软雅黑"/>
                <w:i/>
                <w:iCs/>
                <w:color w:val="000000"/>
                <w:sz w:val="16"/>
                <w:szCs w:val="16"/>
                <w:u w:val="none"/>
              </w:rPr>
            </w:pPr>
          </w:p>
        </w:tc>
      </w:tr>
      <w:tr w14:paraId="58D6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824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9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60DA">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30C2">
            <w:pPr>
              <w:rPr>
                <w:rFonts w:hint="eastAsia" w:ascii="宋体" w:hAnsi="宋体" w:eastAsia="宋体" w:cs="宋体"/>
                <w:i w:val="0"/>
                <w:iCs w:val="0"/>
                <w:color w:val="000000"/>
                <w:sz w:val="18"/>
                <w:szCs w:val="18"/>
                <w:u w:val="none"/>
              </w:rPr>
            </w:pPr>
          </w:p>
        </w:tc>
      </w:tr>
      <w:tr w14:paraId="6584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B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03D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0CF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A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77F2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DFB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2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5F63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8D7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178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768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DA2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772B0CB">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3699F314">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25CEA450">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6E5C618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BC2D11E">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36EED6F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4F46CAF">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284AE486">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435CC7DD">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06645C9C">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71173128">
            <w:pPr>
              <w:rPr>
                <w:rFonts w:hint="eastAsia" w:ascii="宋体" w:hAnsi="宋体" w:eastAsia="宋体" w:cs="宋体"/>
                <w:i w:val="0"/>
                <w:iCs w:val="0"/>
                <w:color w:val="000000"/>
                <w:sz w:val="18"/>
                <w:szCs w:val="18"/>
                <w:u w:val="none"/>
              </w:rPr>
            </w:pPr>
          </w:p>
        </w:tc>
      </w:tr>
      <w:tr w14:paraId="7BC4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AE0F7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5790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086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B6D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51323022R000006246534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退休人员生活补助</w:t>
            </w:r>
          </w:p>
        </w:tc>
      </w:tr>
      <w:tr w14:paraId="6F01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975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D5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7EB318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F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6908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0C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7C3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6C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E74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AB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0973">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645B">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D364A">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CBD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3CC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8455">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F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6EAFF1">
            <w:pPr>
              <w:rPr>
                <w:rFonts w:hint="eastAsia" w:ascii="宋体" w:hAnsi="宋体" w:eastAsia="宋体" w:cs="宋体"/>
                <w:i w:val="0"/>
                <w:iCs w:val="0"/>
                <w:color w:val="000000"/>
                <w:sz w:val="18"/>
                <w:szCs w:val="18"/>
                <w:u w:val="none"/>
              </w:rPr>
            </w:pPr>
          </w:p>
        </w:tc>
      </w:tr>
      <w:tr w14:paraId="7F5C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50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7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4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A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B9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7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F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1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D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2C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4B3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9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8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E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60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A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B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7C8E">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2A0E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6A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BD6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B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D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4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0A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E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E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A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5AC7">
            <w:pPr>
              <w:rPr>
                <w:rFonts w:hint="eastAsia" w:ascii="黑体" w:hAnsi="黑体" w:eastAsia="黑体" w:cs="黑体"/>
                <w:i/>
                <w:iCs/>
                <w:color w:val="000000"/>
                <w:sz w:val="18"/>
                <w:szCs w:val="18"/>
                <w:u w:val="none"/>
              </w:rPr>
            </w:pPr>
          </w:p>
        </w:tc>
      </w:tr>
      <w:tr w14:paraId="18AC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84C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9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C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9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43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1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3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C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A92F">
            <w:pPr>
              <w:rPr>
                <w:rFonts w:hint="eastAsia" w:ascii="黑体" w:hAnsi="黑体" w:eastAsia="黑体" w:cs="黑体"/>
                <w:i/>
                <w:iCs/>
                <w:color w:val="000000"/>
                <w:sz w:val="18"/>
                <w:szCs w:val="18"/>
                <w:u w:val="none"/>
              </w:rPr>
            </w:pPr>
          </w:p>
        </w:tc>
      </w:tr>
      <w:tr w14:paraId="5C98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E3B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3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A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9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F0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3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D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0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63DB">
            <w:pPr>
              <w:rPr>
                <w:rFonts w:hint="eastAsia" w:ascii="黑体" w:hAnsi="黑体" w:eastAsia="黑体" w:cs="黑体"/>
                <w:i/>
                <w:iCs/>
                <w:color w:val="000000"/>
                <w:sz w:val="18"/>
                <w:szCs w:val="18"/>
                <w:u w:val="none"/>
              </w:rPr>
            </w:pPr>
          </w:p>
        </w:tc>
      </w:tr>
      <w:tr w14:paraId="505B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9DF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D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6602">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54CA">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A8EAE">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9D5B">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3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B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403A">
            <w:pPr>
              <w:rPr>
                <w:rFonts w:hint="eastAsia" w:ascii="黑体" w:hAnsi="黑体" w:eastAsia="黑体" w:cs="黑体"/>
                <w:i/>
                <w:iCs/>
                <w:color w:val="000000"/>
                <w:sz w:val="18"/>
                <w:szCs w:val="18"/>
                <w:u w:val="none"/>
              </w:rPr>
            </w:pPr>
          </w:p>
        </w:tc>
      </w:tr>
      <w:tr w14:paraId="0B06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6E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0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4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9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E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8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6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0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6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6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F7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32C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D87C">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6707">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FAC2">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EF9A">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A931">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E319">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702E">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B04A">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D7B2">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ADA0">
            <w:pPr>
              <w:jc w:val="center"/>
              <w:rPr>
                <w:rFonts w:hint="eastAsia" w:ascii="微软雅黑" w:hAnsi="微软雅黑" w:eastAsia="微软雅黑" w:cs="微软雅黑"/>
                <w:i/>
                <w:iCs/>
                <w:color w:val="000000"/>
                <w:sz w:val="16"/>
                <w:szCs w:val="16"/>
                <w:u w:val="none"/>
              </w:rPr>
            </w:pPr>
          </w:p>
        </w:tc>
      </w:tr>
      <w:tr w14:paraId="053C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3EA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D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C753">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D859">
            <w:pPr>
              <w:rPr>
                <w:rFonts w:hint="eastAsia" w:ascii="宋体" w:hAnsi="宋体" w:eastAsia="宋体" w:cs="宋体"/>
                <w:i w:val="0"/>
                <w:iCs w:val="0"/>
                <w:color w:val="000000"/>
                <w:sz w:val="18"/>
                <w:szCs w:val="18"/>
                <w:u w:val="none"/>
              </w:rPr>
            </w:pPr>
          </w:p>
        </w:tc>
      </w:tr>
      <w:tr w14:paraId="11B2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7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4E45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0D2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B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8BDE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70A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7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2BF0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8C0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CBD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9F6A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A86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453808A">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087CA219">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1453BF6B">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D4AEFA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9576606">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616800F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BAA8E80">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3D810850">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19ED1C4">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339EE061">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A4BC737">
            <w:pPr>
              <w:rPr>
                <w:rFonts w:hint="eastAsia" w:ascii="宋体" w:hAnsi="宋体" w:eastAsia="宋体" w:cs="宋体"/>
                <w:i w:val="0"/>
                <w:iCs w:val="0"/>
                <w:color w:val="000000"/>
                <w:sz w:val="18"/>
                <w:szCs w:val="18"/>
                <w:u w:val="none"/>
              </w:rPr>
            </w:pPr>
          </w:p>
        </w:tc>
      </w:tr>
      <w:tr w14:paraId="07E0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C151B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070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9F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36DA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51323022R000006252890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补发事业人员2020年第四次目标奖</w:t>
            </w:r>
          </w:p>
        </w:tc>
      </w:tr>
      <w:tr w14:paraId="7E15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CFA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608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6CC6C6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3D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07B3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E3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FA5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25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9C9A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C9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B0D3">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A1035">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C9D68">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8AE2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4C2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64A1">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1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58D9D7">
            <w:pPr>
              <w:rPr>
                <w:rFonts w:hint="eastAsia" w:ascii="宋体" w:hAnsi="宋体" w:eastAsia="宋体" w:cs="宋体"/>
                <w:i w:val="0"/>
                <w:iCs w:val="0"/>
                <w:color w:val="000000"/>
                <w:sz w:val="18"/>
                <w:szCs w:val="18"/>
                <w:u w:val="none"/>
              </w:rPr>
            </w:pPr>
          </w:p>
        </w:tc>
      </w:tr>
      <w:tr w14:paraId="6C1E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E5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8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D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CF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2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A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D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3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FB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C88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7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D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4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4C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0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1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47CA">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E50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31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219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1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A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F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1D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7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E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5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40F2">
            <w:pPr>
              <w:rPr>
                <w:rFonts w:hint="eastAsia" w:ascii="黑体" w:hAnsi="黑体" w:eastAsia="黑体" w:cs="黑体"/>
                <w:i/>
                <w:iCs/>
                <w:color w:val="000000"/>
                <w:sz w:val="18"/>
                <w:szCs w:val="18"/>
                <w:u w:val="none"/>
              </w:rPr>
            </w:pPr>
          </w:p>
        </w:tc>
      </w:tr>
      <w:tr w14:paraId="7012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AEF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B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9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5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65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9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2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A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7647">
            <w:pPr>
              <w:rPr>
                <w:rFonts w:hint="eastAsia" w:ascii="黑体" w:hAnsi="黑体" w:eastAsia="黑体" w:cs="黑体"/>
                <w:i/>
                <w:iCs/>
                <w:color w:val="000000"/>
                <w:sz w:val="18"/>
                <w:szCs w:val="18"/>
                <w:u w:val="none"/>
              </w:rPr>
            </w:pPr>
          </w:p>
        </w:tc>
      </w:tr>
      <w:tr w14:paraId="06CE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58B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5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E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6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5C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B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2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7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4D01F">
            <w:pPr>
              <w:rPr>
                <w:rFonts w:hint="eastAsia" w:ascii="黑体" w:hAnsi="黑体" w:eastAsia="黑体" w:cs="黑体"/>
                <w:i/>
                <w:iCs/>
                <w:color w:val="000000"/>
                <w:sz w:val="18"/>
                <w:szCs w:val="18"/>
                <w:u w:val="none"/>
              </w:rPr>
            </w:pPr>
          </w:p>
        </w:tc>
      </w:tr>
      <w:tr w14:paraId="2CC7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75A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E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F5E8">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5271">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0F361">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332A">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4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2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DE32D">
            <w:pPr>
              <w:rPr>
                <w:rFonts w:hint="eastAsia" w:ascii="黑体" w:hAnsi="黑体" w:eastAsia="黑体" w:cs="黑体"/>
                <w:i/>
                <w:iCs/>
                <w:color w:val="000000"/>
                <w:sz w:val="18"/>
                <w:szCs w:val="18"/>
                <w:u w:val="none"/>
              </w:rPr>
            </w:pPr>
          </w:p>
        </w:tc>
      </w:tr>
      <w:tr w14:paraId="774E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C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7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D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3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3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5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A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8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C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8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0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A7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4AC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181D">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8EA5">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B08">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0081">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5DC6">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F8DD">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F45F">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BF45">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234A">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88A4">
            <w:pPr>
              <w:jc w:val="center"/>
              <w:rPr>
                <w:rFonts w:hint="eastAsia" w:ascii="微软雅黑" w:hAnsi="微软雅黑" w:eastAsia="微软雅黑" w:cs="微软雅黑"/>
                <w:i/>
                <w:iCs/>
                <w:color w:val="000000"/>
                <w:sz w:val="16"/>
                <w:szCs w:val="16"/>
                <w:u w:val="none"/>
              </w:rPr>
            </w:pPr>
          </w:p>
        </w:tc>
      </w:tr>
      <w:tr w14:paraId="2908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E55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5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53ED">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3987">
            <w:pPr>
              <w:rPr>
                <w:rFonts w:hint="eastAsia" w:ascii="宋体" w:hAnsi="宋体" w:eastAsia="宋体" w:cs="宋体"/>
                <w:i w:val="0"/>
                <w:iCs w:val="0"/>
                <w:color w:val="000000"/>
                <w:sz w:val="18"/>
                <w:szCs w:val="18"/>
                <w:u w:val="none"/>
              </w:rPr>
            </w:pPr>
          </w:p>
        </w:tc>
      </w:tr>
      <w:tr w14:paraId="39C0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B84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6E2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0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13CF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02A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B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E9F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01E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21E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87A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172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1940C20">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58A50A23">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137458F2">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77BE0070">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E24CB2B">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222C01A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7DEDFCE">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34BB1C7E">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41E9E3E0">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72FB33D6">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2EF0E72">
            <w:pPr>
              <w:rPr>
                <w:rFonts w:hint="eastAsia" w:ascii="宋体" w:hAnsi="宋体" w:eastAsia="宋体" w:cs="宋体"/>
                <w:i w:val="0"/>
                <w:iCs w:val="0"/>
                <w:color w:val="000000"/>
                <w:sz w:val="18"/>
                <w:szCs w:val="18"/>
                <w:u w:val="none"/>
              </w:rPr>
            </w:pPr>
          </w:p>
        </w:tc>
      </w:tr>
      <w:tr w14:paraId="1DB1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B82BD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E74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41C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4B5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51323022R000006335894</w:t>
            </w:r>
            <w:r>
              <w:rPr>
                <w:rFonts w:hint="eastAsia" w:ascii="宋体" w:hAnsi="宋体" w:cs="宋体"/>
                <w:i w:val="0"/>
                <w:iCs w:val="0"/>
                <w:color w:val="000000"/>
                <w:kern w:val="0"/>
                <w:sz w:val="18"/>
                <w:szCs w:val="18"/>
                <w:u w:val="none"/>
                <w:lang w:val="en-US" w:eastAsia="zh-CN" w:bidi="ar"/>
              </w:rPr>
              <w:t>—2022年</w:t>
            </w:r>
            <w:r>
              <w:rPr>
                <w:rFonts w:ascii="宋体" w:hAnsi="宋体" w:eastAsia="宋体" w:cs="宋体"/>
                <w:i w:val="0"/>
                <w:iCs w:val="0"/>
                <w:color w:val="000000"/>
                <w:kern w:val="0"/>
                <w:sz w:val="18"/>
                <w:szCs w:val="18"/>
                <w:u w:val="none"/>
                <w:lang w:val="en-US" w:eastAsia="zh-CN" w:bidi="ar"/>
              </w:rPr>
              <w:t>职工丧葬费和抚恤金</w:t>
            </w:r>
          </w:p>
        </w:tc>
      </w:tr>
      <w:tr w14:paraId="35FD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8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E3C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7DB08E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CF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56D8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A5A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050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4E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DB4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CD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F118">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1421">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16FEA">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0AA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EA3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5D5B">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AB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65CD2E">
            <w:pPr>
              <w:rPr>
                <w:rFonts w:hint="eastAsia" w:ascii="宋体" w:hAnsi="宋体" w:eastAsia="宋体" w:cs="宋体"/>
                <w:i w:val="0"/>
                <w:iCs w:val="0"/>
                <w:color w:val="000000"/>
                <w:sz w:val="18"/>
                <w:szCs w:val="18"/>
                <w:u w:val="none"/>
              </w:rPr>
            </w:pPr>
          </w:p>
        </w:tc>
      </w:tr>
      <w:tr w14:paraId="58E2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11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4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0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6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F6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7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B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F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C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B0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220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2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2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2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13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1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815D">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7B74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CD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B33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5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5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C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A8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F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4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0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4A94">
            <w:pPr>
              <w:rPr>
                <w:rFonts w:hint="eastAsia" w:ascii="黑体" w:hAnsi="黑体" w:eastAsia="黑体" w:cs="黑体"/>
                <w:i/>
                <w:iCs/>
                <w:color w:val="000000"/>
                <w:sz w:val="18"/>
                <w:szCs w:val="18"/>
                <w:u w:val="none"/>
              </w:rPr>
            </w:pPr>
          </w:p>
        </w:tc>
      </w:tr>
      <w:tr w14:paraId="35B7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283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0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B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3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4E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F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8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7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2143">
            <w:pPr>
              <w:rPr>
                <w:rFonts w:hint="eastAsia" w:ascii="黑体" w:hAnsi="黑体" w:eastAsia="黑体" w:cs="黑体"/>
                <w:i/>
                <w:iCs/>
                <w:color w:val="000000"/>
                <w:sz w:val="18"/>
                <w:szCs w:val="18"/>
                <w:u w:val="none"/>
              </w:rPr>
            </w:pPr>
          </w:p>
        </w:tc>
      </w:tr>
      <w:tr w14:paraId="20D2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F5D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9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A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8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B6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A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3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5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B27A">
            <w:pPr>
              <w:rPr>
                <w:rFonts w:hint="eastAsia" w:ascii="黑体" w:hAnsi="黑体" w:eastAsia="黑体" w:cs="黑体"/>
                <w:i/>
                <w:iCs/>
                <w:color w:val="000000"/>
                <w:sz w:val="18"/>
                <w:szCs w:val="18"/>
                <w:u w:val="none"/>
              </w:rPr>
            </w:pPr>
          </w:p>
        </w:tc>
      </w:tr>
      <w:tr w14:paraId="361F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1B00">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A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D8D1">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2B0B">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30F0D">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3081">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E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9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135B">
            <w:pPr>
              <w:rPr>
                <w:rFonts w:hint="eastAsia" w:ascii="黑体" w:hAnsi="黑体" w:eastAsia="黑体" w:cs="黑体"/>
                <w:i/>
                <w:iCs/>
                <w:color w:val="000000"/>
                <w:sz w:val="18"/>
                <w:szCs w:val="18"/>
                <w:u w:val="none"/>
              </w:rPr>
            </w:pPr>
          </w:p>
        </w:tc>
      </w:tr>
      <w:tr w14:paraId="3185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4E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D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6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F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C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2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6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0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1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C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D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44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BDC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7C99">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0AC6">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4281">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DF5E">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994D">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8D81">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FDA3">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4D11">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6FBF">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10AA">
            <w:pPr>
              <w:jc w:val="center"/>
              <w:rPr>
                <w:rFonts w:hint="eastAsia" w:ascii="微软雅黑" w:hAnsi="微软雅黑" w:eastAsia="微软雅黑" w:cs="微软雅黑"/>
                <w:i/>
                <w:iCs/>
                <w:color w:val="000000"/>
                <w:sz w:val="16"/>
                <w:szCs w:val="16"/>
                <w:u w:val="none"/>
              </w:rPr>
            </w:pPr>
          </w:p>
        </w:tc>
      </w:tr>
      <w:tr w14:paraId="65B2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79D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2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A4E9">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8C0B">
            <w:pPr>
              <w:rPr>
                <w:rFonts w:hint="eastAsia" w:ascii="宋体" w:hAnsi="宋体" w:eastAsia="宋体" w:cs="宋体"/>
                <w:i w:val="0"/>
                <w:iCs w:val="0"/>
                <w:color w:val="000000"/>
                <w:sz w:val="18"/>
                <w:szCs w:val="18"/>
                <w:u w:val="none"/>
              </w:rPr>
            </w:pPr>
          </w:p>
        </w:tc>
      </w:tr>
      <w:tr w14:paraId="72D4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1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DF7E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310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2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CF9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074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4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2AC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9F2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27D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A620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7B8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A11C5B7">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53F1284A">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508E2E9D">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44FBEBE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EBC35D7">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382EE23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685EB5B">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63B6D92E">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1A7725D8">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2A9EB59">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709AD792">
            <w:pPr>
              <w:rPr>
                <w:rFonts w:hint="eastAsia" w:ascii="宋体" w:hAnsi="宋体" w:eastAsia="宋体" w:cs="宋体"/>
                <w:i w:val="0"/>
                <w:iCs w:val="0"/>
                <w:color w:val="000000"/>
                <w:sz w:val="18"/>
                <w:szCs w:val="18"/>
                <w:u w:val="none"/>
              </w:rPr>
            </w:pPr>
          </w:p>
        </w:tc>
      </w:tr>
      <w:tr w14:paraId="1E35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A1849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316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BE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94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51323022T000005999042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壤塘县发展和改革局2022年易地搬迁贴息</w:t>
            </w:r>
          </w:p>
        </w:tc>
      </w:tr>
      <w:tr w14:paraId="3E36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469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14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1130A8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B9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6C49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D3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8A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14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889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28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34AD">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F7845">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204E4">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E98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8FC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5AC3">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95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447B2A">
            <w:pPr>
              <w:rPr>
                <w:rFonts w:hint="eastAsia" w:ascii="宋体" w:hAnsi="宋体" w:eastAsia="宋体" w:cs="宋体"/>
                <w:i w:val="0"/>
                <w:iCs w:val="0"/>
                <w:color w:val="000000"/>
                <w:sz w:val="18"/>
                <w:szCs w:val="18"/>
                <w:u w:val="none"/>
              </w:rPr>
            </w:pPr>
          </w:p>
        </w:tc>
      </w:tr>
      <w:tr w14:paraId="4C45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7C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C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8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5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9B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8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5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E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6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C9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8DA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B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7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E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56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A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2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8D4B">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4CF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98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716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6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8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E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86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A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7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4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63D0">
            <w:pPr>
              <w:rPr>
                <w:rFonts w:hint="eastAsia" w:ascii="黑体" w:hAnsi="黑体" w:eastAsia="黑体" w:cs="黑体"/>
                <w:i/>
                <w:iCs/>
                <w:color w:val="000000"/>
                <w:sz w:val="18"/>
                <w:szCs w:val="18"/>
                <w:u w:val="none"/>
              </w:rPr>
            </w:pPr>
          </w:p>
        </w:tc>
      </w:tr>
      <w:tr w14:paraId="70F0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AE3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A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F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1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CA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C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5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1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A281">
            <w:pPr>
              <w:rPr>
                <w:rFonts w:hint="eastAsia" w:ascii="黑体" w:hAnsi="黑体" w:eastAsia="黑体" w:cs="黑体"/>
                <w:i/>
                <w:iCs/>
                <w:color w:val="000000"/>
                <w:sz w:val="18"/>
                <w:szCs w:val="18"/>
                <w:u w:val="none"/>
              </w:rPr>
            </w:pPr>
          </w:p>
        </w:tc>
      </w:tr>
      <w:tr w14:paraId="24DF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509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8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D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7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A5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E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0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4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A161">
            <w:pPr>
              <w:rPr>
                <w:rFonts w:hint="eastAsia" w:ascii="黑体" w:hAnsi="黑体" w:eastAsia="黑体" w:cs="黑体"/>
                <w:i/>
                <w:iCs/>
                <w:color w:val="000000"/>
                <w:sz w:val="18"/>
                <w:szCs w:val="18"/>
                <w:u w:val="none"/>
              </w:rPr>
            </w:pPr>
          </w:p>
        </w:tc>
      </w:tr>
      <w:tr w14:paraId="0E48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7FA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7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4E81">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9C84">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1DA03">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D11D">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8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B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C0EF">
            <w:pPr>
              <w:rPr>
                <w:rFonts w:hint="eastAsia" w:ascii="黑体" w:hAnsi="黑体" w:eastAsia="黑体" w:cs="黑体"/>
                <w:i/>
                <w:iCs/>
                <w:color w:val="000000"/>
                <w:sz w:val="18"/>
                <w:szCs w:val="18"/>
                <w:u w:val="none"/>
              </w:rPr>
            </w:pPr>
          </w:p>
        </w:tc>
      </w:tr>
      <w:tr w14:paraId="7D24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B3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D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3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4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3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C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C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2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2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D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32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0270">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6741">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B613">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7E62">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F565">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5488">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FD3B">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18A1">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EE82">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654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7E4E">
            <w:pPr>
              <w:jc w:val="center"/>
              <w:rPr>
                <w:rFonts w:hint="eastAsia" w:ascii="微软雅黑" w:hAnsi="微软雅黑" w:eastAsia="微软雅黑" w:cs="微软雅黑"/>
                <w:i/>
                <w:iCs/>
                <w:color w:val="000000"/>
                <w:sz w:val="16"/>
                <w:szCs w:val="16"/>
                <w:u w:val="none"/>
              </w:rPr>
            </w:pPr>
          </w:p>
        </w:tc>
      </w:tr>
      <w:tr w14:paraId="1590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08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3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5B5D">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8E55">
            <w:pPr>
              <w:rPr>
                <w:rFonts w:hint="eastAsia" w:ascii="宋体" w:hAnsi="宋体" w:eastAsia="宋体" w:cs="宋体"/>
                <w:i w:val="0"/>
                <w:iCs w:val="0"/>
                <w:color w:val="000000"/>
                <w:sz w:val="18"/>
                <w:szCs w:val="18"/>
                <w:u w:val="none"/>
              </w:rPr>
            </w:pPr>
          </w:p>
        </w:tc>
      </w:tr>
      <w:tr w14:paraId="5C93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4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484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2EB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0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0D71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068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A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0CD3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629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DB2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350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F8F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8759AD3">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04A48C90">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78624A0E">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5645E66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6A2B5E3">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419F338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01D6C9A">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41B0B433">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1D326931">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310B634D">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0B7D4F36">
            <w:pPr>
              <w:rPr>
                <w:rFonts w:hint="eastAsia" w:ascii="宋体" w:hAnsi="宋体" w:eastAsia="宋体" w:cs="宋体"/>
                <w:i w:val="0"/>
                <w:iCs w:val="0"/>
                <w:color w:val="000000"/>
                <w:sz w:val="18"/>
                <w:szCs w:val="18"/>
                <w:u w:val="none"/>
              </w:rPr>
            </w:pPr>
          </w:p>
        </w:tc>
      </w:tr>
      <w:tr w14:paraId="62C4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BCECE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2FD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1F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1A23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51323022T000006550750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四川省壤塘县2018年以工代赈示范工程（上杜柯吾克基村小流域治理工程）</w:t>
            </w:r>
          </w:p>
        </w:tc>
      </w:tr>
      <w:tr w14:paraId="4B13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CF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615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76D697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A4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EB4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260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E3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1F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F86E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AD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673A">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45BC3">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46CAD">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646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29A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85FB">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A3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753D5C">
            <w:pPr>
              <w:rPr>
                <w:rFonts w:hint="eastAsia" w:ascii="宋体" w:hAnsi="宋体" w:eastAsia="宋体" w:cs="宋体"/>
                <w:i w:val="0"/>
                <w:iCs w:val="0"/>
                <w:color w:val="000000"/>
                <w:sz w:val="18"/>
                <w:szCs w:val="18"/>
                <w:u w:val="none"/>
              </w:rPr>
            </w:pPr>
          </w:p>
        </w:tc>
      </w:tr>
      <w:tr w14:paraId="2161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BD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6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1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7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96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C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D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E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E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8A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F127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3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F1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4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0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89D0">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60BE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F4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664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D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D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D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1D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1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5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3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73CF">
            <w:pPr>
              <w:rPr>
                <w:rFonts w:hint="eastAsia" w:ascii="黑体" w:hAnsi="黑体" w:eastAsia="黑体" w:cs="黑体"/>
                <w:i/>
                <w:iCs/>
                <w:color w:val="000000"/>
                <w:sz w:val="18"/>
                <w:szCs w:val="18"/>
                <w:u w:val="none"/>
              </w:rPr>
            </w:pPr>
          </w:p>
        </w:tc>
      </w:tr>
      <w:tr w14:paraId="14A9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A24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8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1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3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03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6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B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A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8DF0">
            <w:pPr>
              <w:rPr>
                <w:rFonts w:hint="eastAsia" w:ascii="黑体" w:hAnsi="黑体" w:eastAsia="黑体" w:cs="黑体"/>
                <w:i/>
                <w:iCs/>
                <w:color w:val="000000"/>
                <w:sz w:val="18"/>
                <w:szCs w:val="18"/>
                <w:u w:val="none"/>
              </w:rPr>
            </w:pPr>
          </w:p>
        </w:tc>
      </w:tr>
      <w:tr w14:paraId="7724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6E4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3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D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9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7A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F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E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1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1EEF">
            <w:pPr>
              <w:rPr>
                <w:rFonts w:hint="eastAsia" w:ascii="黑体" w:hAnsi="黑体" w:eastAsia="黑体" w:cs="黑体"/>
                <w:i/>
                <w:iCs/>
                <w:color w:val="000000"/>
                <w:sz w:val="18"/>
                <w:szCs w:val="18"/>
                <w:u w:val="none"/>
              </w:rPr>
            </w:pPr>
          </w:p>
        </w:tc>
      </w:tr>
      <w:tr w14:paraId="62C6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9F5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7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EFF5">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8552">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88E07">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997E">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4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4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D800">
            <w:pPr>
              <w:rPr>
                <w:rFonts w:hint="eastAsia" w:ascii="黑体" w:hAnsi="黑体" w:eastAsia="黑体" w:cs="黑体"/>
                <w:i/>
                <w:iCs/>
                <w:color w:val="000000"/>
                <w:sz w:val="18"/>
                <w:szCs w:val="18"/>
                <w:u w:val="none"/>
              </w:rPr>
            </w:pPr>
          </w:p>
        </w:tc>
      </w:tr>
      <w:tr w14:paraId="0CD9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15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2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5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C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F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D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F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F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1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7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5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31B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C2E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433C">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80CE">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3E03">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C585">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108D">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DC84">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BD3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1C84">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7689">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732B">
            <w:pPr>
              <w:jc w:val="center"/>
              <w:rPr>
                <w:rFonts w:hint="eastAsia" w:ascii="微软雅黑" w:hAnsi="微软雅黑" w:eastAsia="微软雅黑" w:cs="微软雅黑"/>
                <w:i/>
                <w:iCs/>
                <w:color w:val="000000"/>
                <w:sz w:val="16"/>
                <w:szCs w:val="16"/>
                <w:u w:val="none"/>
              </w:rPr>
            </w:pPr>
          </w:p>
        </w:tc>
      </w:tr>
      <w:tr w14:paraId="0140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621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8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3025">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5A58">
            <w:pPr>
              <w:rPr>
                <w:rFonts w:hint="eastAsia" w:ascii="宋体" w:hAnsi="宋体" w:eastAsia="宋体" w:cs="宋体"/>
                <w:i w:val="0"/>
                <w:iCs w:val="0"/>
                <w:color w:val="000000"/>
                <w:sz w:val="18"/>
                <w:szCs w:val="18"/>
                <w:u w:val="none"/>
              </w:rPr>
            </w:pPr>
          </w:p>
        </w:tc>
      </w:tr>
      <w:tr w14:paraId="4CDA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F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15B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1C3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E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A329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1C8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0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688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789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7BC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07C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4DE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69C0286">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715E922B">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74FBDD34">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DB6281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0E97312">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5581953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6D8B870">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3F2733F8">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6AF43FEB">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35A00746">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429A0922">
            <w:pPr>
              <w:rPr>
                <w:rFonts w:hint="eastAsia" w:ascii="宋体" w:hAnsi="宋体" w:eastAsia="宋体" w:cs="宋体"/>
                <w:i w:val="0"/>
                <w:iCs w:val="0"/>
                <w:color w:val="000000"/>
                <w:sz w:val="18"/>
                <w:szCs w:val="18"/>
                <w:u w:val="none"/>
              </w:rPr>
            </w:pPr>
          </w:p>
        </w:tc>
      </w:tr>
      <w:tr w14:paraId="6D22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94D47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20F3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892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68D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51323022T000006571835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发改局（工程项目资料汇编）印刷费</w:t>
            </w:r>
          </w:p>
        </w:tc>
      </w:tr>
      <w:tr w14:paraId="7BB5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D2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996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5F806F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97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89E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F79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3D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0D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F03D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69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0E25">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3320">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B9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有助于壤塘县工程明细规范化</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DBB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608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F524">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83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04A37">
            <w:pPr>
              <w:rPr>
                <w:rFonts w:hint="eastAsia" w:ascii="宋体" w:hAnsi="宋体" w:eastAsia="宋体" w:cs="宋体"/>
                <w:i w:val="0"/>
                <w:iCs w:val="0"/>
                <w:color w:val="000000"/>
                <w:sz w:val="18"/>
                <w:szCs w:val="18"/>
                <w:u w:val="none"/>
              </w:rPr>
            </w:pPr>
          </w:p>
        </w:tc>
      </w:tr>
      <w:tr w14:paraId="3312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7D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8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D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D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F7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7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3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1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6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61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994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4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9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5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46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9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B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A320">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39F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3D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4B7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A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9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3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92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5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D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A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3961">
            <w:pPr>
              <w:rPr>
                <w:rFonts w:hint="eastAsia" w:ascii="黑体" w:hAnsi="黑体" w:eastAsia="黑体" w:cs="黑体"/>
                <w:i/>
                <w:iCs/>
                <w:color w:val="000000"/>
                <w:sz w:val="18"/>
                <w:szCs w:val="18"/>
                <w:u w:val="none"/>
              </w:rPr>
            </w:pPr>
          </w:p>
        </w:tc>
      </w:tr>
      <w:tr w14:paraId="4588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A25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F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0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F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79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A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D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9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DCB2">
            <w:pPr>
              <w:rPr>
                <w:rFonts w:hint="eastAsia" w:ascii="黑体" w:hAnsi="黑体" w:eastAsia="黑体" w:cs="黑体"/>
                <w:i/>
                <w:iCs/>
                <w:color w:val="000000"/>
                <w:sz w:val="18"/>
                <w:szCs w:val="18"/>
                <w:u w:val="none"/>
              </w:rPr>
            </w:pPr>
          </w:p>
        </w:tc>
      </w:tr>
      <w:tr w14:paraId="4F32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B8E8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8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8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D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18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D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A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9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48FA">
            <w:pPr>
              <w:rPr>
                <w:rFonts w:hint="eastAsia" w:ascii="黑体" w:hAnsi="黑体" w:eastAsia="黑体" w:cs="黑体"/>
                <w:i/>
                <w:iCs/>
                <w:color w:val="000000"/>
                <w:sz w:val="18"/>
                <w:szCs w:val="18"/>
                <w:u w:val="none"/>
              </w:rPr>
            </w:pPr>
          </w:p>
        </w:tc>
      </w:tr>
      <w:tr w14:paraId="55DE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4CB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C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8526">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0488">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E1A05">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5619">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E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D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23B7">
            <w:pPr>
              <w:rPr>
                <w:rFonts w:hint="eastAsia" w:ascii="黑体" w:hAnsi="黑体" w:eastAsia="黑体" w:cs="黑体"/>
                <w:i/>
                <w:iCs/>
                <w:color w:val="000000"/>
                <w:sz w:val="18"/>
                <w:szCs w:val="18"/>
                <w:u w:val="none"/>
              </w:rPr>
            </w:pPr>
          </w:p>
        </w:tc>
      </w:tr>
      <w:tr w14:paraId="64AB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C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A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A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C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5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D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D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4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5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E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B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8A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A86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8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B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C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0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8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5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72F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2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9B55">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A8E1">
            <w:pPr>
              <w:jc w:val="center"/>
              <w:rPr>
                <w:rFonts w:hint="eastAsia" w:ascii="微软雅黑" w:hAnsi="微软雅黑" w:eastAsia="微软雅黑" w:cs="微软雅黑"/>
                <w:i/>
                <w:iCs/>
                <w:color w:val="000000"/>
                <w:sz w:val="16"/>
                <w:szCs w:val="16"/>
                <w:u w:val="none"/>
              </w:rPr>
            </w:pPr>
          </w:p>
        </w:tc>
      </w:tr>
      <w:tr w14:paraId="221C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DDE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5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B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E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规范工程项目管理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3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2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8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10FF">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5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3F82">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FA4A">
            <w:pPr>
              <w:jc w:val="center"/>
              <w:rPr>
                <w:rFonts w:hint="eastAsia" w:ascii="微软雅黑" w:hAnsi="微软雅黑" w:eastAsia="微软雅黑" w:cs="微软雅黑"/>
                <w:i/>
                <w:iCs/>
                <w:color w:val="000000"/>
                <w:sz w:val="16"/>
                <w:szCs w:val="16"/>
                <w:u w:val="none"/>
              </w:rPr>
            </w:pPr>
          </w:p>
        </w:tc>
      </w:tr>
      <w:tr w14:paraId="05B8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9A6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7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E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1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全县行政事业单位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E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E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B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89D2">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3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A37B">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43FE">
            <w:pPr>
              <w:jc w:val="center"/>
              <w:rPr>
                <w:rFonts w:hint="eastAsia" w:ascii="微软雅黑" w:hAnsi="微软雅黑" w:eastAsia="微软雅黑" w:cs="微软雅黑"/>
                <w:i/>
                <w:iCs/>
                <w:color w:val="000000"/>
                <w:sz w:val="16"/>
                <w:szCs w:val="16"/>
                <w:u w:val="none"/>
              </w:rPr>
            </w:pPr>
          </w:p>
        </w:tc>
      </w:tr>
      <w:tr w14:paraId="585B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44F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0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21C6">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83CF">
            <w:pPr>
              <w:rPr>
                <w:rFonts w:hint="eastAsia" w:ascii="宋体" w:hAnsi="宋体" w:eastAsia="宋体" w:cs="宋体"/>
                <w:i w:val="0"/>
                <w:iCs w:val="0"/>
                <w:color w:val="000000"/>
                <w:sz w:val="18"/>
                <w:szCs w:val="18"/>
                <w:u w:val="none"/>
              </w:rPr>
            </w:pPr>
          </w:p>
        </w:tc>
      </w:tr>
      <w:tr w14:paraId="507C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9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A504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5E8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8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839D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CEB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7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715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D88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DB4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879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E4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6A5F5A4">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39ED5174">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7FBBCE09">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125D9F6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148ABCD">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7975AA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E1B8404">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0B29A2E3">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2CF5577B">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516126B">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81E4132">
            <w:pPr>
              <w:rPr>
                <w:rFonts w:hint="eastAsia" w:ascii="宋体" w:hAnsi="宋体" w:eastAsia="宋体" w:cs="宋体"/>
                <w:i w:val="0"/>
                <w:iCs w:val="0"/>
                <w:color w:val="000000"/>
                <w:sz w:val="18"/>
                <w:szCs w:val="18"/>
                <w:u w:val="none"/>
              </w:rPr>
            </w:pPr>
          </w:p>
        </w:tc>
      </w:tr>
      <w:tr w14:paraId="2F82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FB068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9B8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57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C13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51323022T000006819483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则曲河中壤塘段、南木达段、尕多段河道管理范围线数据费</w:t>
            </w:r>
          </w:p>
        </w:tc>
      </w:tr>
      <w:tr w14:paraId="4176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2F5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6D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343BD6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AD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84D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186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76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9E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021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9A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8049">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C862">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E027C">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5D8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FD3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E1A9">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D0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7BDB5F">
            <w:pPr>
              <w:rPr>
                <w:rFonts w:hint="eastAsia" w:ascii="宋体" w:hAnsi="宋体" w:eastAsia="宋体" w:cs="宋体"/>
                <w:i w:val="0"/>
                <w:iCs w:val="0"/>
                <w:color w:val="000000"/>
                <w:sz w:val="18"/>
                <w:szCs w:val="18"/>
                <w:u w:val="none"/>
              </w:rPr>
            </w:pPr>
          </w:p>
        </w:tc>
      </w:tr>
      <w:tr w14:paraId="628F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EE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8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7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E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2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6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5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B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0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F3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653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8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4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8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37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6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6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94DE">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EE7E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D7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FE7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4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B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5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A2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D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3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A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ADC5">
            <w:pPr>
              <w:rPr>
                <w:rFonts w:hint="eastAsia" w:ascii="黑体" w:hAnsi="黑体" w:eastAsia="黑体" w:cs="黑体"/>
                <w:i/>
                <w:iCs/>
                <w:color w:val="000000"/>
                <w:sz w:val="18"/>
                <w:szCs w:val="18"/>
                <w:u w:val="none"/>
              </w:rPr>
            </w:pPr>
          </w:p>
        </w:tc>
      </w:tr>
      <w:tr w14:paraId="131B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94A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D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5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46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1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8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1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0213">
            <w:pPr>
              <w:rPr>
                <w:rFonts w:hint="eastAsia" w:ascii="黑体" w:hAnsi="黑体" w:eastAsia="黑体" w:cs="黑体"/>
                <w:i/>
                <w:iCs/>
                <w:color w:val="000000"/>
                <w:sz w:val="18"/>
                <w:szCs w:val="18"/>
                <w:u w:val="none"/>
              </w:rPr>
            </w:pPr>
          </w:p>
        </w:tc>
      </w:tr>
      <w:tr w14:paraId="0E62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6F00">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E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B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09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7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A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9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EA74">
            <w:pPr>
              <w:rPr>
                <w:rFonts w:hint="eastAsia" w:ascii="黑体" w:hAnsi="黑体" w:eastAsia="黑体" w:cs="黑体"/>
                <w:i/>
                <w:iCs/>
                <w:color w:val="000000"/>
                <w:sz w:val="18"/>
                <w:szCs w:val="18"/>
                <w:u w:val="none"/>
              </w:rPr>
            </w:pPr>
          </w:p>
        </w:tc>
      </w:tr>
      <w:tr w14:paraId="2A15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055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E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B818">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3FD7">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7AC1A">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FB65">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7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4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8640">
            <w:pPr>
              <w:rPr>
                <w:rFonts w:hint="eastAsia" w:ascii="黑体" w:hAnsi="黑体" w:eastAsia="黑体" w:cs="黑体"/>
                <w:i/>
                <w:iCs/>
                <w:color w:val="000000"/>
                <w:sz w:val="18"/>
                <w:szCs w:val="18"/>
                <w:u w:val="none"/>
              </w:rPr>
            </w:pPr>
          </w:p>
        </w:tc>
      </w:tr>
      <w:tr w14:paraId="050D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A5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E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5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7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A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6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B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2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B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7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D4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3A9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8CF6">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7E4E">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E492">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D438">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4E30">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DDDE">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4A3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C0E0">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FE5B">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7477">
            <w:pPr>
              <w:jc w:val="center"/>
              <w:rPr>
                <w:rFonts w:hint="eastAsia" w:ascii="微软雅黑" w:hAnsi="微软雅黑" w:eastAsia="微软雅黑" w:cs="微软雅黑"/>
                <w:i/>
                <w:iCs/>
                <w:color w:val="000000"/>
                <w:sz w:val="16"/>
                <w:szCs w:val="16"/>
                <w:u w:val="none"/>
              </w:rPr>
            </w:pPr>
          </w:p>
        </w:tc>
      </w:tr>
      <w:tr w14:paraId="485D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D19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0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1CB3">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88E5">
            <w:pPr>
              <w:rPr>
                <w:rFonts w:hint="eastAsia" w:ascii="宋体" w:hAnsi="宋体" w:eastAsia="宋体" w:cs="宋体"/>
                <w:i w:val="0"/>
                <w:iCs w:val="0"/>
                <w:color w:val="000000"/>
                <w:sz w:val="18"/>
                <w:szCs w:val="18"/>
                <w:u w:val="none"/>
              </w:rPr>
            </w:pPr>
          </w:p>
        </w:tc>
      </w:tr>
      <w:tr w14:paraId="26B8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9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2D58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F90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9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D9B7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B57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B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79BB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D3B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F70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BAF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165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2253EB4">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46C6A351">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521F183F">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2CBE622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99C42F7">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13D80CF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DB064E8">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0B2599F0">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CFE6E39">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2D6B3EAB">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925E6C9">
            <w:pPr>
              <w:rPr>
                <w:rFonts w:hint="eastAsia" w:ascii="宋体" w:hAnsi="宋体" w:eastAsia="宋体" w:cs="宋体"/>
                <w:i w:val="0"/>
                <w:iCs w:val="0"/>
                <w:color w:val="000000"/>
                <w:sz w:val="18"/>
                <w:szCs w:val="18"/>
                <w:u w:val="none"/>
              </w:rPr>
            </w:pPr>
          </w:p>
        </w:tc>
      </w:tr>
      <w:tr w14:paraId="1310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8FFEA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279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89F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344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51323022T000006959560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发改局应急救灾帐篷采购项目</w:t>
            </w:r>
          </w:p>
        </w:tc>
      </w:tr>
      <w:tr w14:paraId="20C3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3F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C7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40CFE9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9B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087E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1D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A8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53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612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72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FD14">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CA0E">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31ECA">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DE2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0A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0454">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A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792146">
            <w:pPr>
              <w:rPr>
                <w:rFonts w:hint="eastAsia" w:ascii="宋体" w:hAnsi="宋体" w:eastAsia="宋体" w:cs="宋体"/>
                <w:i w:val="0"/>
                <w:iCs w:val="0"/>
                <w:color w:val="000000"/>
                <w:sz w:val="18"/>
                <w:szCs w:val="18"/>
                <w:u w:val="none"/>
              </w:rPr>
            </w:pPr>
          </w:p>
        </w:tc>
      </w:tr>
      <w:tr w14:paraId="417E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4A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8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7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D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60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2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8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E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B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B3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8F1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9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F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2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18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E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A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EE23">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5474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D28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AAF0">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3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3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D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00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0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2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6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D6F16">
            <w:pPr>
              <w:rPr>
                <w:rFonts w:hint="eastAsia" w:ascii="黑体" w:hAnsi="黑体" w:eastAsia="黑体" w:cs="黑体"/>
                <w:i/>
                <w:iCs/>
                <w:color w:val="000000"/>
                <w:sz w:val="18"/>
                <w:szCs w:val="18"/>
                <w:u w:val="none"/>
              </w:rPr>
            </w:pPr>
          </w:p>
        </w:tc>
      </w:tr>
      <w:tr w14:paraId="03FE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3D2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F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0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F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C5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F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A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D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A56E">
            <w:pPr>
              <w:rPr>
                <w:rFonts w:hint="eastAsia" w:ascii="黑体" w:hAnsi="黑体" w:eastAsia="黑体" w:cs="黑体"/>
                <w:i/>
                <w:iCs/>
                <w:color w:val="000000"/>
                <w:sz w:val="18"/>
                <w:szCs w:val="18"/>
                <w:u w:val="none"/>
              </w:rPr>
            </w:pPr>
          </w:p>
        </w:tc>
      </w:tr>
      <w:tr w14:paraId="3A6F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CB9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2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0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A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47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1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A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0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C45D">
            <w:pPr>
              <w:rPr>
                <w:rFonts w:hint="eastAsia" w:ascii="黑体" w:hAnsi="黑体" w:eastAsia="黑体" w:cs="黑体"/>
                <w:i/>
                <w:iCs/>
                <w:color w:val="000000"/>
                <w:sz w:val="18"/>
                <w:szCs w:val="18"/>
                <w:u w:val="none"/>
              </w:rPr>
            </w:pPr>
          </w:p>
        </w:tc>
      </w:tr>
      <w:tr w14:paraId="6587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68E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E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C44E">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CCA5">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6FCEB">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286B">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7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8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FD49">
            <w:pPr>
              <w:rPr>
                <w:rFonts w:hint="eastAsia" w:ascii="黑体" w:hAnsi="黑体" w:eastAsia="黑体" w:cs="黑体"/>
                <w:i/>
                <w:iCs/>
                <w:color w:val="000000"/>
                <w:sz w:val="18"/>
                <w:szCs w:val="18"/>
                <w:u w:val="none"/>
              </w:rPr>
            </w:pPr>
          </w:p>
        </w:tc>
      </w:tr>
      <w:tr w14:paraId="5C6E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7F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9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F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9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8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C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3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2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8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6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F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8E5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C41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61ED">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E698">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04D4">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A0C0">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B9E3">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680B">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62E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B0A7">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96CA">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6F1F">
            <w:pPr>
              <w:jc w:val="center"/>
              <w:rPr>
                <w:rFonts w:hint="eastAsia" w:ascii="微软雅黑" w:hAnsi="微软雅黑" w:eastAsia="微软雅黑" w:cs="微软雅黑"/>
                <w:i/>
                <w:iCs/>
                <w:color w:val="000000"/>
                <w:sz w:val="16"/>
                <w:szCs w:val="16"/>
                <w:u w:val="none"/>
              </w:rPr>
            </w:pPr>
          </w:p>
        </w:tc>
      </w:tr>
      <w:tr w14:paraId="7033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7FA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0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7FC7">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FB7D">
            <w:pPr>
              <w:rPr>
                <w:rFonts w:hint="eastAsia" w:ascii="宋体" w:hAnsi="宋体" w:eastAsia="宋体" w:cs="宋体"/>
                <w:i w:val="0"/>
                <w:iCs w:val="0"/>
                <w:color w:val="000000"/>
                <w:sz w:val="18"/>
                <w:szCs w:val="18"/>
                <w:u w:val="none"/>
              </w:rPr>
            </w:pPr>
          </w:p>
        </w:tc>
      </w:tr>
      <w:tr w14:paraId="5174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D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97C5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AD3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A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C434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74E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8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A45D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BF4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DF0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3B24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D24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2FA3A11">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5BEFDA01">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78B93136">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3E320E1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9FC59D7">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1CF3A76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5068A05">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2D62B871">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50E68961">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79EADB42">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44B33CCD">
            <w:pPr>
              <w:rPr>
                <w:rFonts w:hint="eastAsia" w:ascii="宋体" w:hAnsi="宋体" w:eastAsia="宋体" w:cs="宋体"/>
                <w:i w:val="0"/>
                <w:iCs w:val="0"/>
                <w:color w:val="000000"/>
                <w:sz w:val="18"/>
                <w:szCs w:val="18"/>
                <w:u w:val="none"/>
              </w:rPr>
            </w:pPr>
          </w:p>
        </w:tc>
      </w:tr>
      <w:tr w14:paraId="41D2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D5812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F95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C8D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401D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51323022T000007358531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应急物资仓库标准化建设仓库</w:t>
            </w:r>
          </w:p>
        </w:tc>
      </w:tr>
      <w:tr w14:paraId="07C7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6E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0BF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231143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2A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4A5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AF1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25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56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1D14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A9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DFDE">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AF30">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36D96">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E0D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E1F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2979">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35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005FC5">
            <w:pPr>
              <w:rPr>
                <w:rFonts w:hint="eastAsia" w:ascii="宋体" w:hAnsi="宋体" w:eastAsia="宋体" w:cs="宋体"/>
                <w:i w:val="0"/>
                <w:iCs w:val="0"/>
                <w:color w:val="000000"/>
                <w:sz w:val="18"/>
                <w:szCs w:val="18"/>
                <w:u w:val="none"/>
              </w:rPr>
            </w:pPr>
          </w:p>
        </w:tc>
      </w:tr>
      <w:tr w14:paraId="5D97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C8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0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5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7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66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3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2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3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1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00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D4F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D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5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2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A9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8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E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813C">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25D5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58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CF9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B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7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A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1B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F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5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A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2FBD">
            <w:pPr>
              <w:rPr>
                <w:rFonts w:hint="eastAsia" w:ascii="黑体" w:hAnsi="黑体" w:eastAsia="黑体" w:cs="黑体"/>
                <w:i/>
                <w:iCs/>
                <w:color w:val="000000"/>
                <w:sz w:val="18"/>
                <w:szCs w:val="18"/>
                <w:u w:val="none"/>
              </w:rPr>
            </w:pPr>
          </w:p>
        </w:tc>
      </w:tr>
      <w:tr w14:paraId="78EB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CF9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0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3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4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D5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F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A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3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0C4D">
            <w:pPr>
              <w:rPr>
                <w:rFonts w:hint="eastAsia" w:ascii="黑体" w:hAnsi="黑体" w:eastAsia="黑体" w:cs="黑体"/>
                <w:i/>
                <w:iCs/>
                <w:color w:val="000000"/>
                <w:sz w:val="18"/>
                <w:szCs w:val="18"/>
                <w:u w:val="none"/>
              </w:rPr>
            </w:pPr>
          </w:p>
        </w:tc>
      </w:tr>
      <w:tr w14:paraId="2031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D60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2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4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3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84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B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F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A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EEF6">
            <w:pPr>
              <w:rPr>
                <w:rFonts w:hint="eastAsia" w:ascii="黑体" w:hAnsi="黑体" w:eastAsia="黑体" w:cs="黑体"/>
                <w:i/>
                <w:iCs/>
                <w:color w:val="000000"/>
                <w:sz w:val="18"/>
                <w:szCs w:val="18"/>
                <w:u w:val="none"/>
              </w:rPr>
            </w:pPr>
          </w:p>
        </w:tc>
      </w:tr>
      <w:tr w14:paraId="63D3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59E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A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5B1C">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C2D2">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A9DCF">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88AB">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2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F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6AD2">
            <w:pPr>
              <w:rPr>
                <w:rFonts w:hint="eastAsia" w:ascii="黑体" w:hAnsi="黑体" w:eastAsia="黑体" w:cs="黑体"/>
                <w:i/>
                <w:iCs/>
                <w:color w:val="000000"/>
                <w:sz w:val="18"/>
                <w:szCs w:val="18"/>
                <w:u w:val="none"/>
              </w:rPr>
            </w:pPr>
          </w:p>
        </w:tc>
      </w:tr>
      <w:tr w14:paraId="198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D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F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B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0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B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E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1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7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3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6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A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91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6B5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BBE2">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83C4">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2827">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5DBC">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88B4">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1599">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BE8E">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DF06">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9152">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4AB0">
            <w:pPr>
              <w:jc w:val="center"/>
              <w:rPr>
                <w:rFonts w:hint="eastAsia" w:ascii="微软雅黑" w:hAnsi="微软雅黑" w:eastAsia="微软雅黑" w:cs="微软雅黑"/>
                <w:i/>
                <w:iCs/>
                <w:color w:val="000000"/>
                <w:sz w:val="16"/>
                <w:szCs w:val="16"/>
                <w:u w:val="none"/>
              </w:rPr>
            </w:pPr>
          </w:p>
        </w:tc>
      </w:tr>
      <w:tr w14:paraId="7B14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007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4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F582">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DA6A">
            <w:pPr>
              <w:rPr>
                <w:rFonts w:hint="eastAsia" w:ascii="宋体" w:hAnsi="宋体" w:eastAsia="宋体" w:cs="宋体"/>
                <w:i w:val="0"/>
                <w:iCs w:val="0"/>
                <w:color w:val="000000"/>
                <w:sz w:val="18"/>
                <w:szCs w:val="18"/>
                <w:u w:val="none"/>
              </w:rPr>
            </w:pPr>
          </w:p>
        </w:tc>
      </w:tr>
      <w:tr w14:paraId="2957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7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B8FF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7BA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F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A62F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4AC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6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82DD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F12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2A1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AD4B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66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C96B5B5">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2B145D68">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3647209A">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290223A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B5B9DFB">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59C4BA8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C5AFCE8">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15DD688A">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29D1BC00">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36CF54DB">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2C20722B">
            <w:pPr>
              <w:rPr>
                <w:rFonts w:hint="eastAsia" w:ascii="宋体" w:hAnsi="宋体" w:eastAsia="宋体" w:cs="宋体"/>
                <w:i w:val="0"/>
                <w:iCs w:val="0"/>
                <w:color w:val="000000"/>
                <w:sz w:val="18"/>
                <w:szCs w:val="18"/>
                <w:u w:val="none"/>
              </w:rPr>
            </w:pPr>
          </w:p>
        </w:tc>
      </w:tr>
      <w:tr w14:paraId="0ED2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2D319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C76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46D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C04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51323022T000007359767-8.30疫情防控经费</w:t>
            </w:r>
          </w:p>
        </w:tc>
      </w:tr>
      <w:tr w14:paraId="2169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EE3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53E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27B887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71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1274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B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FD0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076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916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E6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B17B">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23CE">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3D496">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B42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FE7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5FFF">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8E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81094">
            <w:pPr>
              <w:rPr>
                <w:rFonts w:hint="eastAsia" w:ascii="宋体" w:hAnsi="宋体" w:eastAsia="宋体" w:cs="宋体"/>
                <w:i w:val="0"/>
                <w:iCs w:val="0"/>
                <w:color w:val="000000"/>
                <w:sz w:val="18"/>
                <w:szCs w:val="18"/>
                <w:u w:val="none"/>
              </w:rPr>
            </w:pPr>
          </w:p>
        </w:tc>
      </w:tr>
      <w:tr w14:paraId="3E2A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C9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F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5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7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52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7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D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6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F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5C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B22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4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D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1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27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A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E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248D">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5DDD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E6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8E2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B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E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3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60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E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3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C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FA83">
            <w:pPr>
              <w:rPr>
                <w:rFonts w:hint="eastAsia" w:ascii="黑体" w:hAnsi="黑体" w:eastAsia="黑体" w:cs="黑体"/>
                <w:i/>
                <w:iCs/>
                <w:color w:val="000000"/>
                <w:sz w:val="18"/>
                <w:szCs w:val="18"/>
                <w:u w:val="none"/>
              </w:rPr>
            </w:pPr>
          </w:p>
        </w:tc>
      </w:tr>
      <w:tr w14:paraId="5164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025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2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D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D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21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3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7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5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254D">
            <w:pPr>
              <w:rPr>
                <w:rFonts w:hint="eastAsia" w:ascii="黑体" w:hAnsi="黑体" w:eastAsia="黑体" w:cs="黑体"/>
                <w:i/>
                <w:iCs/>
                <w:color w:val="000000"/>
                <w:sz w:val="18"/>
                <w:szCs w:val="18"/>
                <w:u w:val="none"/>
              </w:rPr>
            </w:pPr>
          </w:p>
        </w:tc>
      </w:tr>
      <w:tr w14:paraId="06F6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57B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F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7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1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1C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5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D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0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52F8">
            <w:pPr>
              <w:rPr>
                <w:rFonts w:hint="eastAsia" w:ascii="黑体" w:hAnsi="黑体" w:eastAsia="黑体" w:cs="黑体"/>
                <w:i/>
                <w:iCs/>
                <w:color w:val="000000"/>
                <w:sz w:val="18"/>
                <w:szCs w:val="18"/>
                <w:u w:val="none"/>
              </w:rPr>
            </w:pPr>
          </w:p>
        </w:tc>
      </w:tr>
      <w:tr w14:paraId="0FEA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BB3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5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531F">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C763">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C33F3">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7975">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0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8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3892">
            <w:pPr>
              <w:rPr>
                <w:rFonts w:hint="eastAsia" w:ascii="黑体" w:hAnsi="黑体" w:eastAsia="黑体" w:cs="黑体"/>
                <w:i/>
                <w:iCs/>
                <w:color w:val="000000"/>
                <w:sz w:val="18"/>
                <w:szCs w:val="18"/>
                <w:u w:val="none"/>
              </w:rPr>
            </w:pPr>
          </w:p>
        </w:tc>
      </w:tr>
      <w:tr w14:paraId="585D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DE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4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5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3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8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A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0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4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E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D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9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4F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D2B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AA30">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1846">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28D2">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82E2">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586B">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67CB">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7AE5">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7587">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E6C6">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0593">
            <w:pPr>
              <w:jc w:val="center"/>
              <w:rPr>
                <w:rFonts w:hint="eastAsia" w:ascii="微软雅黑" w:hAnsi="微软雅黑" w:eastAsia="微软雅黑" w:cs="微软雅黑"/>
                <w:i/>
                <w:iCs/>
                <w:color w:val="000000"/>
                <w:sz w:val="16"/>
                <w:szCs w:val="16"/>
                <w:u w:val="none"/>
              </w:rPr>
            </w:pPr>
          </w:p>
        </w:tc>
      </w:tr>
      <w:tr w14:paraId="642E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087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B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0D70">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EA49">
            <w:pPr>
              <w:rPr>
                <w:rFonts w:hint="eastAsia" w:ascii="宋体" w:hAnsi="宋体" w:eastAsia="宋体" w:cs="宋体"/>
                <w:i w:val="0"/>
                <w:iCs w:val="0"/>
                <w:color w:val="000000"/>
                <w:sz w:val="18"/>
                <w:szCs w:val="18"/>
                <w:u w:val="none"/>
              </w:rPr>
            </w:pPr>
          </w:p>
        </w:tc>
      </w:tr>
      <w:tr w14:paraId="3357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6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B83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9A4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D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EA07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F3E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2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8A86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9A2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989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0F56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E68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AAA46D2">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0D7AA7BB">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758FD42E">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5E96CEA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E2BB49B">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3071F42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2E55785">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1BC614C">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A5E3F11">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2F100863">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596ECA87">
            <w:pPr>
              <w:rPr>
                <w:rFonts w:hint="eastAsia" w:ascii="宋体" w:hAnsi="宋体" w:eastAsia="宋体" w:cs="宋体"/>
                <w:i w:val="0"/>
                <w:iCs w:val="0"/>
                <w:color w:val="000000"/>
                <w:sz w:val="18"/>
                <w:szCs w:val="18"/>
                <w:u w:val="none"/>
              </w:rPr>
            </w:pPr>
          </w:p>
        </w:tc>
      </w:tr>
      <w:tr w14:paraId="6691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A417C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097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279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414F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51323022T000007416789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壤塘县阿坝第三机场临时气象观测站设备采购项目</w:t>
            </w:r>
          </w:p>
        </w:tc>
      </w:tr>
      <w:tr w14:paraId="2C80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CB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70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47EB1B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D3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146B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8A5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DE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03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8B49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7D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3A1E">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1BF4">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5F2A8">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725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3EE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8C37">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C0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D8683D">
            <w:pPr>
              <w:rPr>
                <w:rFonts w:hint="eastAsia" w:ascii="宋体" w:hAnsi="宋体" w:eastAsia="宋体" w:cs="宋体"/>
                <w:i w:val="0"/>
                <w:iCs w:val="0"/>
                <w:color w:val="000000"/>
                <w:sz w:val="18"/>
                <w:szCs w:val="18"/>
                <w:u w:val="none"/>
              </w:rPr>
            </w:pPr>
          </w:p>
        </w:tc>
      </w:tr>
      <w:tr w14:paraId="081F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DB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4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2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5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45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C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C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6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2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B9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E65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0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F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B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DB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8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E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B863">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6B45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2A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13C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D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4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2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0B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E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F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E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E86F">
            <w:pPr>
              <w:rPr>
                <w:rFonts w:hint="eastAsia" w:ascii="黑体" w:hAnsi="黑体" w:eastAsia="黑体" w:cs="黑体"/>
                <w:i/>
                <w:iCs/>
                <w:color w:val="000000"/>
                <w:sz w:val="18"/>
                <w:szCs w:val="18"/>
                <w:u w:val="none"/>
              </w:rPr>
            </w:pPr>
          </w:p>
        </w:tc>
      </w:tr>
      <w:tr w14:paraId="1267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B0D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8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7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7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59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D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1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A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F1D7">
            <w:pPr>
              <w:rPr>
                <w:rFonts w:hint="eastAsia" w:ascii="黑体" w:hAnsi="黑体" w:eastAsia="黑体" w:cs="黑体"/>
                <w:i/>
                <w:iCs/>
                <w:color w:val="000000"/>
                <w:sz w:val="18"/>
                <w:szCs w:val="18"/>
                <w:u w:val="none"/>
              </w:rPr>
            </w:pPr>
          </w:p>
        </w:tc>
      </w:tr>
      <w:tr w14:paraId="5512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ACC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5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8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C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0C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D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1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9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7F0A">
            <w:pPr>
              <w:rPr>
                <w:rFonts w:hint="eastAsia" w:ascii="黑体" w:hAnsi="黑体" w:eastAsia="黑体" w:cs="黑体"/>
                <w:i/>
                <w:iCs/>
                <w:color w:val="000000"/>
                <w:sz w:val="18"/>
                <w:szCs w:val="18"/>
                <w:u w:val="none"/>
              </w:rPr>
            </w:pPr>
          </w:p>
        </w:tc>
      </w:tr>
      <w:tr w14:paraId="75FB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D4C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F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25A">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67FF">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18988">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7D0E">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C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4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24BB">
            <w:pPr>
              <w:rPr>
                <w:rFonts w:hint="eastAsia" w:ascii="黑体" w:hAnsi="黑体" w:eastAsia="黑体" w:cs="黑体"/>
                <w:i/>
                <w:iCs/>
                <w:color w:val="000000"/>
                <w:sz w:val="18"/>
                <w:szCs w:val="18"/>
                <w:u w:val="none"/>
              </w:rPr>
            </w:pPr>
          </w:p>
        </w:tc>
      </w:tr>
      <w:tr w14:paraId="649B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7C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8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0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A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2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C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6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0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7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2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4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D5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216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97B9">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5C5B">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6441">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BFE3">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069C">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7527">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4AD5">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8EEC">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95B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4FEB">
            <w:pPr>
              <w:jc w:val="center"/>
              <w:rPr>
                <w:rFonts w:hint="eastAsia" w:ascii="微软雅黑" w:hAnsi="微软雅黑" w:eastAsia="微软雅黑" w:cs="微软雅黑"/>
                <w:i/>
                <w:iCs/>
                <w:color w:val="000000"/>
                <w:sz w:val="16"/>
                <w:szCs w:val="16"/>
                <w:u w:val="none"/>
              </w:rPr>
            </w:pPr>
          </w:p>
        </w:tc>
      </w:tr>
      <w:tr w14:paraId="44F1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163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C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09A7">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67EB">
            <w:pPr>
              <w:rPr>
                <w:rFonts w:hint="eastAsia" w:ascii="宋体" w:hAnsi="宋体" w:eastAsia="宋体" w:cs="宋体"/>
                <w:i w:val="0"/>
                <w:iCs w:val="0"/>
                <w:color w:val="000000"/>
                <w:sz w:val="18"/>
                <w:szCs w:val="18"/>
                <w:u w:val="none"/>
              </w:rPr>
            </w:pPr>
          </w:p>
        </w:tc>
      </w:tr>
      <w:tr w14:paraId="5C43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6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E24F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2A4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C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613A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AEF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A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0785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BC1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786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A72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A66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484EB7E0">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66614776">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6E532055">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66D6C6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E1CC7B7">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2FC1BB0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58C6397">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214999F1">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78A6801D">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24BCE79B">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01A53279">
            <w:pPr>
              <w:rPr>
                <w:rFonts w:hint="eastAsia" w:ascii="宋体" w:hAnsi="宋体" w:eastAsia="宋体" w:cs="宋体"/>
                <w:i w:val="0"/>
                <w:iCs w:val="0"/>
                <w:color w:val="000000"/>
                <w:sz w:val="18"/>
                <w:szCs w:val="18"/>
                <w:u w:val="none"/>
              </w:rPr>
            </w:pPr>
          </w:p>
        </w:tc>
      </w:tr>
      <w:tr w14:paraId="7934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F1052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B68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781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994D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51323022T000007422685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壤塘县南水北调方舱隔离点建设项目资金</w:t>
            </w:r>
          </w:p>
        </w:tc>
      </w:tr>
      <w:tr w14:paraId="3F4E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C3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FC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6F0190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AD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4CCA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439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49F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6F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BC3E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86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CF27">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CF908">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21349">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818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FDA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4E0DC">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7A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32EC1B">
            <w:pPr>
              <w:rPr>
                <w:rFonts w:hint="eastAsia" w:ascii="宋体" w:hAnsi="宋体" w:eastAsia="宋体" w:cs="宋体"/>
                <w:i w:val="0"/>
                <w:iCs w:val="0"/>
                <w:color w:val="000000"/>
                <w:sz w:val="18"/>
                <w:szCs w:val="18"/>
                <w:u w:val="none"/>
              </w:rPr>
            </w:pPr>
          </w:p>
        </w:tc>
      </w:tr>
      <w:tr w14:paraId="362A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D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A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C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F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5E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7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0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E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1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03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7F3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8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4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9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80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219.51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3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9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7228">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4AD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22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037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D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0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8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C4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219.51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B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9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D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37B3">
            <w:pPr>
              <w:rPr>
                <w:rFonts w:hint="eastAsia" w:ascii="黑体" w:hAnsi="黑体" w:eastAsia="黑体" w:cs="黑体"/>
                <w:i/>
                <w:iCs/>
                <w:color w:val="000000"/>
                <w:sz w:val="18"/>
                <w:szCs w:val="18"/>
                <w:u w:val="none"/>
              </w:rPr>
            </w:pPr>
          </w:p>
        </w:tc>
      </w:tr>
      <w:tr w14:paraId="0A64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3EA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7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B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9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EE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B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9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C45C">
            <w:pPr>
              <w:rPr>
                <w:rFonts w:hint="eastAsia" w:ascii="黑体" w:hAnsi="黑体" w:eastAsia="黑体" w:cs="黑体"/>
                <w:i/>
                <w:iCs/>
                <w:color w:val="000000"/>
                <w:sz w:val="18"/>
                <w:szCs w:val="18"/>
                <w:u w:val="none"/>
              </w:rPr>
            </w:pPr>
          </w:p>
        </w:tc>
      </w:tr>
      <w:tr w14:paraId="3D31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E7A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0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E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6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9A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E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9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DE59">
            <w:pPr>
              <w:rPr>
                <w:rFonts w:hint="eastAsia" w:ascii="黑体" w:hAnsi="黑体" w:eastAsia="黑体" w:cs="黑体"/>
                <w:i/>
                <w:iCs/>
                <w:color w:val="000000"/>
                <w:sz w:val="18"/>
                <w:szCs w:val="18"/>
                <w:u w:val="none"/>
              </w:rPr>
            </w:pPr>
          </w:p>
        </w:tc>
      </w:tr>
      <w:tr w14:paraId="1EBC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E11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7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17D7">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C478">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509D4">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D10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7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0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4F18">
            <w:pPr>
              <w:rPr>
                <w:rFonts w:hint="eastAsia" w:ascii="黑体" w:hAnsi="黑体" w:eastAsia="黑体" w:cs="黑体"/>
                <w:i/>
                <w:iCs/>
                <w:color w:val="000000"/>
                <w:sz w:val="18"/>
                <w:szCs w:val="18"/>
                <w:u w:val="none"/>
              </w:rPr>
            </w:pPr>
          </w:p>
        </w:tc>
      </w:tr>
      <w:tr w14:paraId="3C65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37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E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3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D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C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8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0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6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9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4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F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EB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75D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9308">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4BD2">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FB40">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D6F6">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3825">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C405">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778F">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EDEB">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20E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E0AC">
            <w:pPr>
              <w:jc w:val="center"/>
              <w:rPr>
                <w:rFonts w:hint="eastAsia" w:ascii="微软雅黑" w:hAnsi="微软雅黑" w:eastAsia="微软雅黑" w:cs="微软雅黑"/>
                <w:i/>
                <w:iCs/>
                <w:color w:val="000000"/>
                <w:sz w:val="16"/>
                <w:szCs w:val="16"/>
                <w:u w:val="none"/>
              </w:rPr>
            </w:pPr>
          </w:p>
        </w:tc>
      </w:tr>
      <w:tr w14:paraId="2A4F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145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8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84C7">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7E92">
            <w:pPr>
              <w:rPr>
                <w:rFonts w:hint="eastAsia" w:ascii="宋体" w:hAnsi="宋体" w:eastAsia="宋体" w:cs="宋体"/>
                <w:i w:val="0"/>
                <w:iCs w:val="0"/>
                <w:color w:val="000000"/>
                <w:sz w:val="18"/>
                <w:szCs w:val="18"/>
                <w:u w:val="none"/>
              </w:rPr>
            </w:pPr>
          </w:p>
        </w:tc>
      </w:tr>
      <w:tr w14:paraId="6E84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5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AE1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B5D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7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57AA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323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4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F945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E6E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391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C9F5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FD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3EAA936">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37CE75FF">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1EF70FF4">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5BE0556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B800072">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562D2E1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A3DB1B5">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7A87DDFD">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13EDCB67">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55343832">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388C64B8">
            <w:pPr>
              <w:rPr>
                <w:rFonts w:hint="eastAsia" w:ascii="宋体" w:hAnsi="宋体" w:eastAsia="宋体" w:cs="宋体"/>
                <w:i w:val="0"/>
                <w:iCs w:val="0"/>
                <w:color w:val="000000"/>
                <w:sz w:val="18"/>
                <w:szCs w:val="18"/>
                <w:u w:val="none"/>
              </w:rPr>
            </w:pPr>
          </w:p>
        </w:tc>
      </w:tr>
      <w:tr w14:paraId="56EA84DE">
        <w:tblPrEx>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79E83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873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BB9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208A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51323022T000007477285-9.3—疫情防控经费（后勤保障）</w:t>
            </w:r>
          </w:p>
        </w:tc>
      </w:tr>
      <w:tr w14:paraId="47E0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E74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B69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0D123C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EF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17A8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862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3BA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38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4F1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31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2817">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BF43">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AA24A">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536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0EE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8B8B">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4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5C6A28">
            <w:pPr>
              <w:rPr>
                <w:rFonts w:hint="eastAsia" w:ascii="宋体" w:hAnsi="宋体" w:eastAsia="宋体" w:cs="宋体"/>
                <w:i w:val="0"/>
                <w:iCs w:val="0"/>
                <w:color w:val="000000"/>
                <w:sz w:val="18"/>
                <w:szCs w:val="18"/>
                <w:u w:val="none"/>
              </w:rPr>
            </w:pPr>
          </w:p>
        </w:tc>
      </w:tr>
      <w:tr w14:paraId="7006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D4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A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7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2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5E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4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0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F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9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7C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9DE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8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9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C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E9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3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3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CCB4">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C3B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0D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92C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0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1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0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F0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C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2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4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838B">
            <w:pPr>
              <w:rPr>
                <w:rFonts w:hint="eastAsia" w:ascii="黑体" w:hAnsi="黑体" w:eastAsia="黑体" w:cs="黑体"/>
                <w:i/>
                <w:iCs/>
                <w:color w:val="000000"/>
                <w:sz w:val="18"/>
                <w:szCs w:val="18"/>
                <w:u w:val="none"/>
              </w:rPr>
            </w:pPr>
          </w:p>
        </w:tc>
      </w:tr>
      <w:tr w14:paraId="37B6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295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2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3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8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42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4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7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3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CB7B">
            <w:pPr>
              <w:rPr>
                <w:rFonts w:hint="eastAsia" w:ascii="黑体" w:hAnsi="黑体" w:eastAsia="黑体" w:cs="黑体"/>
                <w:i/>
                <w:iCs/>
                <w:color w:val="000000"/>
                <w:sz w:val="18"/>
                <w:szCs w:val="18"/>
                <w:u w:val="none"/>
              </w:rPr>
            </w:pPr>
          </w:p>
        </w:tc>
      </w:tr>
      <w:tr w14:paraId="6FFB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0AE4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9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8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4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06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D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0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D739">
            <w:pPr>
              <w:rPr>
                <w:rFonts w:hint="eastAsia" w:ascii="黑体" w:hAnsi="黑体" w:eastAsia="黑体" w:cs="黑体"/>
                <w:i/>
                <w:iCs/>
                <w:color w:val="000000"/>
                <w:sz w:val="18"/>
                <w:szCs w:val="18"/>
                <w:u w:val="none"/>
              </w:rPr>
            </w:pPr>
          </w:p>
        </w:tc>
      </w:tr>
      <w:tr w14:paraId="3363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C20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1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0B79">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1462">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999A5">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B900">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B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8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94FD">
            <w:pPr>
              <w:rPr>
                <w:rFonts w:hint="eastAsia" w:ascii="黑体" w:hAnsi="黑体" w:eastAsia="黑体" w:cs="黑体"/>
                <w:i/>
                <w:iCs/>
                <w:color w:val="000000"/>
                <w:sz w:val="18"/>
                <w:szCs w:val="18"/>
                <w:u w:val="none"/>
              </w:rPr>
            </w:pPr>
          </w:p>
        </w:tc>
      </w:tr>
      <w:tr w14:paraId="309D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5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9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F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D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8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B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9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6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9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A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6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6D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5CD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CE0D">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59E4">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E62F">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448C">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35FB">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1B92">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19F6">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8B11">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EB3D">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70EF">
            <w:pPr>
              <w:jc w:val="center"/>
              <w:rPr>
                <w:rFonts w:hint="eastAsia" w:ascii="微软雅黑" w:hAnsi="微软雅黑" w:eastAsia="微软雅黑" w:cs="微软雅黑"/>
                <w:i/>
                <w:iCs/>
                <w:color w:val="000000"/>
                <w:sz w:val="16"/>
                <w:szCs w:val="16"/>
                <w:u w:val="none"/>
              </w:rPr>
            </w:pPr>
          </w:p>
        </w:tc>
      </w:tr>
      <w:tr w14:paraId="270D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FF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A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7C68">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21CD">
            <w:pPr>
              <w:rPr>
                <w:rFonts w:hint="eastAsia" w:ascii="宋体" w:hAnsi="宋体" w:eastAsia="宋体" w:cs="宋体"/>
                <w:i w:val="0"/>
                <w:iCs w:val="0"/>
                <w:color w:val="000000"/>
                <w:sz w:val="18"/>
                <w:szCs w:val="18"/>
                <w:u w:val="none"/>
              </w:rPr>
            </w:pPr>
          </w:p>
        </w:tc>
      </w:tr>
      <w:tr w14:paraId="391C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A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DD3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C0A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8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1215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AB3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6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9BA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B18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E37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AD87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4E7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43337F1">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1F4A6B82">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188D86B7">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5752AED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7831308">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5AD746E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D5CBAF6">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62448650">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64CD28BF">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050E55C0">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5F3595A2">
            <w:pPr>
              <w:rPr>
                <w:rFonts w:hint="eastAsia" w:ascii="宋体" w:hAnsi="宋体" w:eastAsia="宋体" w:cs="宋体"/>
                <w:i w:val="0"/>
                <w:iCs w:val="0"/>
                <w:color w:val="000000"/>
                <w:sz w:val="18"/>
                <w:szCs w:val="18"/>
                <w:u w:val="none"/>
              </w:rPr>
            </w:pPr>
          </w:p>
        </w:tc>
      </w:tr>
      <w:tr w14:paraId="47BC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B46BC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D81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A1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C744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51323023R000007973565</w:t>
            </w:r>
            <w:r>
              <w:rPr>
                <w:rFonts w:hint="eastAsia" w:ascii="宋体" w:hAnsi="宋体" w:cs="宋体"/>
                <w:i w:val="0"/>
                <w:iCs w:val="0"/>
                <w:color w:val="000000"/>
                <w:kern w:val="0"/>
                <w:sz w:val="18"/>
                <w:szCs w:val="18"/>
                <w:u w:val="none"/>
                <w:lang w:val="en-US" w:eastAsia="zh-CN" w:bidi="ar"/>
              </w:rPr>
              <w:t>—2022年</w:t>
            </w:r>
            <w:r>
              <w:rPr>
                <w:rFonts w:ascii="宋体" w:hAnsi="宋体" w:eastAsia="宋体" w:cs="宋体"/>
                <w:i w:val="0"/>
                <w:iCs w:val="0"/>
                <w:color w:val="000000"/>
                <w:kern w:val="0"/>
                <w:sz w:val="18"/>
                <w:szCs w:val="18"/>
                <w:u w:val="none"/>
                <w:lang w:val="en-US" w:eastAsia="zh-CN" w:bidi="ar"/>
              </w:rPr>
              <w:t>职工体检费</w:t>
            </w:r>
          </w:p>
        </w:tc>
      </w:tr>
      <w:tr w14:paraId="798B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F1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541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46E02B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E8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B31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435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65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D6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750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67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5FE5">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0335">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5403E">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D19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D10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A62E">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84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7378BA">
            <w:pPr>
              <w:rPr>
                <w:rFonts w:hint="eastAsia" w:ascii="宋体" w:hAnsi="宋体" w:eastAsia="宋体" w:cs="宋体"/>
                <w:i w:val="0"/>
                <w:iCs w:val="0"/>
                <w:color w:val="000000"/>
                <w:sz w:val="18"/>
                <w:szCs w:val="18"/>
                <w:u w:val="none"/>
              </w:rPr>
            </w:pPr>
          </w:p>
        </w:tc>
      </w:tr>
      <w:tr w14:paraId="23E9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92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7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1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6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50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9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2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1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F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52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A26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7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B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20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2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2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7D5C">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5FCD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57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1C9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0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0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6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17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C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3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1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3475">
            <w:pPr>
              <w:rPr>
                <w:rFonts w:hint="eastAsia" w:ascii="黑体" w:hAnsi="黑体" w:eastAsia="黑体" w:cs="黑体"/>
                <w:i/>
                <w:iCs/>
                <w:color w:val="000000"/>
                <w:sz w:val="18"/>
                <w:szCs w:val="18"/>
                <w:u w:val="none"/>
              </w:rPr>
            </w:pPr>
          </w:p>
        </w:tc>
      </w:tr>
      <w:tr w14:paraId="5873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EB2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6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D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C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3D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4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0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8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8937">
            <w:pPr>
              <w:rPr>
                <w:rFonts w:hint="eastAsia" w:ascii="黑体" w:hAnsi="黑体" w:eastAsia="黑体" w:cs="黑体"/>
                <w:i/>
                <w:iCs/>
                <w:color w:val="000000"/>
                <w:sz w:val="18"/>
                <w:szCs w:val="18"/>
                <w:u w:val="none"/>
              </w:rPr>
            </w:pPr>
          </w:p>
        </w:tc>
      </w:tr>
      <w:tr w14:paraId="3C5B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A6B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F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D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C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5E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1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4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D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CC1D">
            <w:pPr>
              <w:rPr>
                <w:rFonts w:hint="eastAsia" w:ascii="黑体" w:hAnsi="黑体" w:eastAsia="黑体" w:cs="黑体"/>
                <w:i/>
                <w:iCs/>
                <w:color w:val="000000"/>
                <w:sz w:val="18"/>
                <w:szCs w:val="18"/>
                <w:u w:val="none"/>
              </w:rPr>
            </w:pPr>
          </w:p>
        </w:tc>
      </w:tr>
      <w:tr w14:paraId="23E6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99B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6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4099">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BB7B">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FF3ED">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7DEF">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C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9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F01A">
            <w:pPr>
              <w:rPr>
                <w:rFonts w:hint="eastAsia" w:ascii="黑体" w:hAnsi="黑体" w:eastAsia="黑体" w:cs="黑体"/>
                <w:i/>
                <w:iCs/>
                <w:color w:val="000000"/>
                <w:sz w:val="18"/>
                <w:szCs w:val="18"/>
                <w:u w:val="none"/>
              </w:rPr>
            </w:pPr>
          </w:p>
        </w:tc>
      </w:tr>
      <w:tr w14:paraId="744F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60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D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5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F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F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5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D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0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9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F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8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921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9085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0414">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B4A7">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47E4">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03BF">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E912">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B23C">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BBA6">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9619">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A86B">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5AF6">
            <w:pPr>
              <w:jc w:val="center"/>
              <w:rPr>
                <w:rFonts w:hint="eastAsia" w:ascii="微软雅黑" w:hAnsi="微软雅黑" w:eastAsia="微软雅黑" w:cs="微软雅黑"/>
                <w:i/>
                <w:iCs/>
                <w:color w:val="000000"/>
                <w:sz w:val="16"/>
                <w:szCs w:val="16"/>
                <w:u w:val="none"/>
              </w:rPr>
            </w:pPr>
          </w:p>
        </w:tc>
      </w:tr>
      <w:tr w14:paraId="5A2E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794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C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C474">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4725">
            <w:pPr>
              <w:rPr>
                <w:rFonts w:hint="eastAsia" w:ascii="宋体" w:hAnsi="宋体" w:eastAsia="宋体" w:cs="宋体"/>
                <w:i w:val="0"/>
                <w:iCs w:val="0"/>
                <w:color w:val="000000"/>
                <w:sz w:val="18"/>
                <w:szCs w:val="18"/>
                <w:u w:val="none"/>
              </w:rPr>
            </w:pPr>
          </w:p>
        </w:tc>
      </w:tr>
      <w:tr w14:paraId="7E43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B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534F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4A8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5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A621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AF4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A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ACED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DA1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9DF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345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8C3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859902E">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3735733D">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5093B6E6">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6E6563D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DFDE104">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3438221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5D729E5">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1A3B4F50">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DBA52B9">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6ECFB216">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01B1150">
            <w:pPr>
              <w:rPr>
                <w:rFonts w:hint="eastAsia" w:ascii="宋体" w:hAnsi="宋体" w:eastAsia="宋体" w:cs="宋体"/>
                <w:i w:val="0"/>
                <w:iCs w:val="0"/>
                <w:color w:val="000000"/>
                <w:sz w:val="18"/>
                <w:szCs w:val="18"/>
                <w:u w:val="none"/>
              </w:rPr>
            </w:pPr>
          </w:p>
        </w:tc>
      </w:tr>
      <w:tr w14:paraId="61B6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7589A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25EE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E5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CFAF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51323023T000007533082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发改局硕博引进安家补助</w:t>
            </w:r>
          </w:p>
        </w:tc>
      </w:tr>
      <w:tr w14:paraId="2844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7B2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06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79BADA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64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B6C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52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92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6C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A497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AA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212FF">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3BCC">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0225A">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0CE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C74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211E">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5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F6F5B7">
            <w:pPr>
              <w:rPr>
                <w:rFonts w:hint="eastAsia" w:ascii="宋体" w:hAnsi="宋体" w:eastAsia="宋体" w:cs="宋体"/>
                <w:i w:val="0"/>
                <w:iCs w:val="0"/>
                <w:color w:val="000000"/>
                <w:sz w:val="18"/>
                <w:szCs w:val="18"/>
                <w:u w:val="none"/>
              </w:rPr>
            </w:pPr>
          </w:p>
        </w:tc>
      </w:tr>
      <w:tr w14:paraId="29FF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41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E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3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0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EF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3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1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B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5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6B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6D1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4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E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6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B6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5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8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AF16">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B40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33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6B2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D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0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A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BA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B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6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8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A228">
            <w:pPr>
              <w:rPr>
                <w:rFonts w:hint="eastAsia" w:ascii="黑体" w:hAnsi="黑体" w:eastAsia="黑体" w:cs="黑体"/>
                <w:i/>
                <w:iCs/>
                <w:color w:val="000000"/>
                <w:sz w:val="18"/>
                <w:szCs w:val="18"/>
                <w:u w:val="none"/>
              </w:rPr>
            </w:pPr>
          </w:p>
        </w:tc>
      </w:tr>
      <w:tr w14:paraId="0DFE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2FE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2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D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F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D8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7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1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7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02C0">
            <w:pPr>
              <w:rPr>
                <w:rFonts w:hint="eastAsia" w:ascii="黑体" w:hAnsi="黑体" w:eastAsia="黑体" w:cs="黑体"/>
                <w:i/>
                <w:iCs/>
                <w:color w:val="000000"/>
                <w:sz w:val="18"/>
                <w:szCs w:val="18"/>
                <w:u w:val="none"/>
              </w:rPr>
            </w:pPr>
          </w:p>
        </w:tc>
      </w:tr>
      <w:tr w14:paraId="3C07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55AF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E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1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A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78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2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C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9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C3A6">
            <w:pPr>
              <w:rPr>
                <w:rFonts w:hint="eastAsia" w:ascii="黑体" w:hAnsi="黑体" w:eastAsia="黑体" w:cs="黑体"/>
                <w:i/>
                <w:iCs/>
                <w:color w:val="000000"/>
                <w:sz w:val="18"/>
                <w:szCs w:val="18"/>
                <w:u w:val="none"/>
              </w:rPr>
            </w:pPr>
          </w:p>
        </w:tc>
      </w:tr>
      <w:tr w14:paraId="535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0FC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5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C3A2">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5F49">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DBA5C">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777D">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8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D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E594">
            <w:pPr>
              <w:rPr>
                <w:rFonts w:hint="eastAsia" w:ascii="黑体" w:hAnsi="黑体" w:eastAsia="黑体" w:cs="黑体"/>
                <w:i/>
                <w:iCs/>
                <w:color w:val="000000"/>
                <w:sz w:val="18"/>
                <w:szCs w:val="18"/>
                <w:u w:val="none"/>
              </w:rPr>
            </w:pPr>
          </w:p>
        </w:tc>
      </w:tr>
      <w:tr w14:paraId="42E6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63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D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9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D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7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2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5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C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C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1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D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DD9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D79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BF96">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D814">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BEF6">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91FE">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FC35">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38B0">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38A1">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E4CD">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78D7">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2C76">
            <w:pPr>
              <w:jc w:val="center"/>
              <w:rPr>
                <w:rFonts w:hint="eastAsia" w:ascii="微软雅黑" w:hAnsi="微软雅黑" w:eastAsia="微软雅黑" w:cs="微软雅黑"/>
                <w:i/>
                <w:iCs/>
                <w:color w:val="000000"/>
                <w:sz w:val="16"/>
                <w:szCs w:val="16"/>
                <w:u w:val="none"/>
              </w:rPr>
            </w:pPr>
          </w:p>
        </w:tc>
      </w:tr>
      <w:tr w14:paraId="0372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BBC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C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EDA7">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A906">
            <w:pPr>
              <w:rPr>
                <w:rFonts w:hint="eastAsia" w:ascii="宋体" w:hAnsi="宋体" w:eastAsia="宋体" w:cs="宋体"/>
                <w:i w:val="0"/>
                <w:iCs w:val="0"/>
                <w:color w:val="000000"/>
                <w:sz w:val="18"/>
                <w:szCs w:val="18"/>
                <w:u w:val="none"/>
              </w:rPr>
            </w:pPr>
          </w:p>
        </w:tc>
      </w:tr>
      <w:tr w14:paraId="1FEB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8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F638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9BD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B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9510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3F0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2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A7DE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E40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B92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1AB2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569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EB12C91">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0CA604EA">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33B34E16">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73338DA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523F3AA">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99D41A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D24B446">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2436B34A">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7CC1F0C7">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0A56FAA2">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55B51221">
            <w:pPr>
              <w:rPr>
                <w:rFonts w:hint="eastAsia" w:ascii="宋体" w:hAnsi="宋体" w:eastAsia="宋体" w:cs="宋体"/>
                <w:i w:val="0"/>
                <w:iCs w:val="0"/>
                <w:color w:val="000000"/>
                <w:sz w:val="18"/>
                <w:szCs w:val="18"/>
                <w:u w:val="none"/>
              </w:rPr>
            </w:pPr>
          </w:p>
        </w:tc>
      </w:tr>
      <w:tr w14:paraId="3191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D8FE3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7AA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6D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D18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51323023T000008162484-车辆租赁费</w:t>
            </w:r>
          </w:p>
        </w:tc>
      </w:tr>
      <w:tr w14:paraId="6BA6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350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FB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2D058A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9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316B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0DA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8D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D3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B904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2C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7A0E">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98B5">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3CB7C">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B6A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1F2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D7EE">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5D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9BC990">
            <w:pPr>
              <w:rPr>
                <w:rFonts w:hint="eastAsia" w:ascii="宋体" w:hAnsi="宋体" w:eastAsia="宋体" w:cs="宋体"/>
                <w:i w:val="0"/>
                <w:iCs w:val="0"/>
                <w:color w:val="000000"/>
                <w:sz w:val="18"/>
                <w:szCs w:val="18"/>
                <w:u w:val="none"/>
              </w:rPr>
            </w:pPr>
          </w:p>
        </w:tc>
      </w:tr>
      <w:tr w14:paraId="639E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18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A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5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A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C6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E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8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A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A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94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C1A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5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C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A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03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C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A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A54E">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D0E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7A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98D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1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2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F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46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7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4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AE07">
            <w:pPr>
              <w:rPr>
                <w:rFonts w:hint="eastAsia" w:ascii="黑体" w:hAnsi="黑体" w:eastAsia="黑体" w:cs="黑体"/>
                <w:i/>
                <w:iCs/>
                <w:color w:val="000000"/>
                <w:sz w:val="18"/>
                <w:szCs w:val="18"/>
                <w:u w:val="none"/>
              </w:rPr>
            </w:pPr>
          </w:p>
        </w:tc>
      </w:tr>
      <w:tr w14:paraId="30DF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385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E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A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2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E5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4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5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B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F22BB">
            <w:pPr>
              <w:rPr>
                <w:rFonts w:hint="eastAsia" w:ascii="黑体" w:hAnsi="黑体" w:eastAsia="黑体" w:cs="黑体"/>
                <w:i/>
                <w:iCs/>
                <w:color w:val="000000"/>
                <w:sz w:val="18"/>
                <w:szCs w:val="18"/>
                <w:u w:val="none"/>
              </w:rPr>
            </w:pPr>
          </w:p>
        </w:tc>
      </w:tr>
      <w:tr w14:paraId="5D11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672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4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2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9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3F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9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2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D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360F">
            <w:pPr>
              <w:rPr>
                <w:rFonts w:hint="eastAsia" w:ascii="黑体" w:hAnsi="黑体" w:eastAsia="黑体" w:cs="黑体"/>
                <w:i/>
                <w:iCs/>
                <w:color w:val="000000"/>
                <w:sz w:val="18"/>
                <w:szCs w:val="18"/>
                <w:u w:val="none"/>
              </w:rPr>
            </w:pPr>
          </w:p>
        </w:tc>
      </w:tr>
      <w:tr w14:paraId="24A6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DB6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0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068B">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C6A9">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E488D">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632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9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3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D795">
            <w:pPr>
              <w:rPr>
                <w:rFonts w:hint="eastAsia" w:ascii="黑体" w:hAnsi="黑体" w:eastAsia="黑体" w:cs="黑体"/>
                <w:i/>
                <w:iCs/>
                <w:color w:val="000000"/>
                <w:sz w:val="18"/>
                <w:szCs w:val="18"/>
                <w:u w:val="none"/>
              </w:rPr>
            </w:pPr>
          </w:p>
        </w:tc>
      </w:tr>
      <w:tr w14:paraId="2F22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C6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C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F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D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A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C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4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A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1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3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F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08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769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35BC">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FE76">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54A0">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0399">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A619">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7E5C">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813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7FE1">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C04C">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26D0">
            <w:pPr>
              <w:jc w:val="center"/>
              <w:rPr>
                <w:rFonts w:hint="eastAsia" w:ascii="微软雅黑" w:hAnsi="微软雅黑" w:eastAsia="微软雅黑" w:cs="微软雅黑"/>
                <w:i/>
                <w:iCs/>
                <w:color w:val="000000"/>
                <w:sz w:val="16"/>
                <w:szCs w:val="16"/>
                <w:u w:val="none"/>
              </w:rPr>
            </w:pPr>
          </w:p>
        </w:tc>
      </w:tr>
      <w:tr w14:paraId="0B1D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584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8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6528">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B013">
            <w:pPr>
              <w:rPr>
                <w:rFonts w:hint="eastAsia" w:ascii="宋体" w:hAnsi="宋体" w:eastAsia="宋体" w:cs="宋体"/>
                <w:i w:val="0"/>
                <w:iCs w:val="0"/>
                <w:color w:val="000000"/>
                <w:sz w:val="18"/>
                <w:szCs w:val="18"/>
                <w:u w:val="none"/>
              </w:rPr>
            </w:pPr>
          </w:p>
        </w:tc>
      </w:tr>
      <w:tr w14:paraId="23DF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6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5D46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BED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2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4114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8EC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1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4FD1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B60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EB5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8C72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B91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AAC7D87">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30350225">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3912A95D">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1ADAC2F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E87A93B">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B0A621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6BF88C3">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3ADA7A40">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3E57D858">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6FC836C">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2DA94891">
            <w:pPr>
              <w:rPr>
                <w:rFonts w:hint="eastAsia" w:ascii="宋体" w:hAnsi="宋体" w:eastAsia="宋体" w:cs="宋体"/>
                <w:i w:val="0"/>
                <w:iCs w:val="0"/>
                <w:color w:val="000000"/>
                <w:sz w:val="18"/>
                <w:szCs w:val="18"/>
                <w:u w:val="none"/>
              </w:rPr>
            </w:pPr>
          </w:p>
        </w:tc>
      </w:tr>
      <w:tr w14:paraId="767D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D7D1E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2794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7A1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0B2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51323023T000008291779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壤塘县发展和改革局职工食堂改造建设项目</w:t>
            </w:r>
          </w:p>
        </w:tc>
      </w:tr>
      <w:tr w14:paraId="0973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8EF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64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2F32F4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32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23A9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97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C98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43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5D4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95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93F3">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05F0">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B85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职工食堂改造建设</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E25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393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B40E">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6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61CFB8">
            <w:pPr>
              <w:rPr>
                <w:rFonts w:hint="eastAsia" w:ascii="宋体" w:hAnsi="宋体" w:eastAsia="宋体" w:cs="宋体"/>
                <w:i w:val="0"/>
                <w:iCs w:val="0"/>
                <w:color w:val="000000"/>
                <w:sz w:val="18"/>
                <w:szCs w:val="18"/>
                <w:u w:val="none"/>
              </w:rPr>
            </w:pPr>
          </w:p>
        </w:tc>
      </w:tr>
      <w:tr w14:paraId="5828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6F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8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8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45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8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2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7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D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C9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B01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4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A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8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3B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3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D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115E">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1775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36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097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6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2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A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87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E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F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D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696C">
            <w:pPr>
              <w:rPr>
                <w:rFonts w:hint="eastAsia" w:ascii="黑体" w:hAnsi="黑体" w:eastAsia="黑体" w:cs="黑体"/>
                <w:i/>
                <w:iCs/>
                <w:color w:val="000000"/>
                <w:sz w:val="18"/>
                <w:szCs w:val="18"/>
                <w:u w:val="none"/>
              </w:rPr>
            </w:pPr>
          </w:p>
        </w:tc>
      </w:tr>
      <w:tr w14:paraId="45D3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FA0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A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C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1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70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8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4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E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FC4B">
            <w:pPr>
              <w:rPr>
                <w:rFonts w:hint="eastAsia" w:ascii="黑体" w:hAnsi="黑体" w:eastAsia="黑体" w:cs="黑体"/>
                <w:i/>
                <w:iCs/>
                <w:color w:val="000000"/>
                <w:sz w:val="18"/>
                <w:szCs w:val="18"/>
                <w:u w:val="none"/>
              </w:rPr>
            </w:pPr>
          </w:p>
        </w:tc>
      </w:tr>
      <w:tr w14:paraId="0B23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F8D4">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3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7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C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B8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D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1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B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38DA">
            <w:pPr>
              <w:rPr>
                <w:rFonts w:hint="eastAsia" w:ascii="黑体" w:hAnsi="黑体" w:eastAsia="黑体" w:cs="黑体"/>
                <w:i/>
                <w:iCs/>
                <w:color w:val="000000"/>
                <w:sz w:val="18"/>
                <w:szCs w:val="18"/>
                <w:u w:val="none"/>
              </w:rPr>
            </w:pPr>
          </w:p>
        </w:tc>
      </w:tr>
      <w:tr w14:paraId="6458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D19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E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89B8">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F7A3">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97F7E">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DCBD">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7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3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0834">
            <w:pPr>
              <w:rPr>
                <w:rFonts w:hint="eastAsia" w:ascii="黑体" w:hAnsi="黑体" w:eastAsia="黑体" w:cs="黑体"/>
                <w:i/>
                <w:iCs/>
                <w:color w:val="000000"/>
                <w:sz w:val="18"/>
                <w:szCs w:val="18"/>
                <w:u w:val="none"/>
              </w:rPr>
            </w:pPr>
          </w:p>
        </w:tc>
      </w:tr>
      <w:tr w14:paraId="791D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E9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5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3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7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8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B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8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A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8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A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8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A6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99B5">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0D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8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6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A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7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3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BA0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9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446E">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AC9C">
            <w:pPr>
              <w:jc w:val="center"/>
              <w:rPr>
                <w:rFonts w:hint="eastAsia" w:ascii="微软雅黑" w:hAnsi="微软雅黑" w:eastAsia="微软雅黑" w:cs="微软雅黑"/>
                <w:i/>
                <w:iCs/>
                <w:color w:val="000000"/>
                <w:sz w:val="16"/>
                <w:szCs w:val="16"/>
                <w:u w:val="none"/>
              </w:rPr>
            </w:pPr>
          </w:p>
        </w:tc>
      </w:tr>
      <w:tr w14:paraId="09DB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D19B">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5C5A">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E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在建设工期内准时完成改造任务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D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D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9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55F6">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6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DC5E">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E7F2">
            <w:pPr>
              <w:jc w:val="center"/>
              <w:rPr>
                <w:rFonts w:hint="eastAsia" w:ascii="微软雅黑" w:hAnsi="微软雅黑" w:eastAsia="微软雅黑" w:cs="微软雅黑"/>
                <w:i/>
                <w:iCs/>
                <w:color w:val="000000"/>
                <w:sz w:val="16"/>
                <w:szCs w:val="16"/>
                <w:u w:val="none"/>
              </w:rPr>
            </w:pPr>
          </w:p>
        </w:tc>
      </w:tr>
      <w:tr w14:paraId="7FE7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59C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4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1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A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有效缓解了食堂承载力</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4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0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A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5636">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7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6996">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C601">
            <w:pPr>
              <w:jc w:val="center"/>
              <w:rPr>
                <w:rFonts w:hint="eastAsia" w:ascii="微软雅黑" w:hAnsi="微软雅黑" w:eastAsia="微软雅黑" w:cs="微软雅黑"/>
                <w:i/>
                <w:iCs/>
                <w:color w:val="000000"/>
                <w:sz w:val="16"/>
                <w:szCs w:val="16"/>
                <w:u w:val="none"/>
              </w:rPr>
            </w:pPr>
          </w:p>
        </w:tc>
      </w:tr>
      <w:tr w14:paraId="5FD5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6146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E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6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E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9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5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282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7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44C7">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092B">
            <w:pPr>
              <w:jc w:val="center"/>
              <w:rPr>
                <w:rFonts w:hint="eastAsia" w:ascii="微软雅黑" w:hAnsi="微软雅黑" w:eastAsia="微软雅黑" w:cs="微软雅黑"/>
                <w:i/>
                <w:iCs/>
                <w:color w:val="000000"/>
                <w:sz w:val="16"/>
                <w:szCs w:val="16"/>
                <w:u w:val="none"/>
              </w:rPr>
            </w:pPr>
          </w:p>
        </w:tc>
      </w:tr>
      <w:tr w14:paraId="28E2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633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C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1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1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B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6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6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49A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E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65EA">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FF14">
            <w:pPr>
              <w:jc w:val="center"/>
              <w:rPr>
                <w:rFonts w:hint="eastAsia" w:ascii="微软雅黑" w:hAnsi="微软雅黑" w:eastAsia="微软雅黑" w:cs="微软雅黑"/>
                <w:i/>
                <w:iCs/>
                <w:color w:val="000000"/>
                <w:sz w:val="16"/>
                <w:szCs w:val="16"/>
                <w:u w:val="none"/>
              </w:rPr>
            </w:pPr>
          </w:p>
        </w:tc>
      </w:tr>
      <w:tr w14:paraId="30F2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1CB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3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1DAF">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4515">
            <w:pPr>
              <w:rPr>
                <w:rFonts w:hint="eastAsia" w:ascii="宋体" w:hAnsi="宋体" w:eastAsia="宋体" w:cs="宋体"/>
                <w:i w:val="0"/>
                <w:iCs w:val="0"/>
                <w:color w:val="000000"/>
                <w:sz w:val="18"/>
                <w:szCs w:val="18"/>
                <w:u w:val="none"/>
              </w:rPr>
            </w:pPr>
          </w:p>
        </w:tc>
      </w:tr>
      <w:tr w14:paraId="0658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0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D82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475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2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2066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1DE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0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CBC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830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967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92E5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B56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61C0EC1">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037706D6">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2B6F87CB">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1366841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FC78399">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76F5653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AA82418">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369BD15">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333BA322">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204B463">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49AFD328">
            <w:pPr>
              <w:rPr>
                <w:rFonts w:hint="eastAsia" w:ascii="宋体" w:hAnsi="宋体" w:eastAsia="宋体" w:cs="宋体"/>
                <w:i w:val="0"/>
                <w:iCs w:val="0"/>
                <w:color w:val="000000"/>
                <w:sz w:val="18"/>
                <w:szCs w:val="18"/>
                <w:u w:val="none"/>
              </w:rPr>
            </w:pPr>
          </w:p>
        </w:tc>
      </w:tr>
      <w:tr w14:paraId="2203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1F24C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23FC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D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E60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51323023T000008596488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壤塘县高原供暖试点工程建设项目（可研咨询费）</w:t>
            </w:r>
          </w:p>
        </w:tc>
      </w:tr>
      <w:tr w14:paraId="6F1D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4AC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BC5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30944A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D6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1AE6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DC0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AF0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E0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046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E7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56659">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2A49">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F113F">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2FE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4C2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4634">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1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117381">
            <w:pPr>
              <w:rPr>
                <w:rFonts w:hint="eastAsia" w:ascii="宋体" w:hAnsi="宋体" w:eastAsia="宋体" w:cs="宋体"/>
                <w:i w:val="0"/>
                <w:iCs w:val="0"/>
                <w:color w:val="000000"/>
                <w:sz w:val="18"/>
                <w:szCs w:val="18"/>
                <w:u w:val="none"/>
              </w:rPr>
            </w:pPr>
          </w:p>
        </w:tc>
      </w:tr>
      <w:tr w14:paraId="567B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93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2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1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9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59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9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6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0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D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99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1A4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C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9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4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0C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2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C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1D7A">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63A4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0E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FDB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5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0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0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E2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5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3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2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0C0C">
            <w:pPr>
              <w:rPr>
                <w:rFonts w:hint="eastAsia" w:ascii="黑体" w:hAnsi="黑体" w:eastAsia="黑体" w:cs="黑体"/>
                <w:i/>
                <w:iCs/>
                <w:color w:val="000000"/>
                <w:sz w:val="18"/>
                <w:szCs w:val="18"/>
                <w:u w:val="none"/>
              </w:rPr>
            </w:pPr>
          </w:p>
        </w:tc>
      </w:tr>
      <w:tr w14:paraId="4C6C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B6BE">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4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B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1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8A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7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7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8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E247">
            <w:pPr>
              <w:rPr>
                <w:rFonts w:hint="eastAsia" w:ascii="黑体" w:hAnsi="黑体" w:eastAsia="黑体" w:cs="黑体"/>
                <w:i/>
                <w:iCs/>
                <w:color w:val="000000"/>
                <w:sz w:val="18"/>
                <w:szCs w:val="18"/>
                <w:u w:val="none"/>
              </w:rPr>
            </w:pPr>
          </w:p>
        </w:tc>
      </w:tr>
      <w:tr w14:paraId="327C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9E6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1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0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A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7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B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8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0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0649">
            <w:pPr>
              <w:rPr>
                <w:rFonts w:hint="eastAsia" w:ascii="黑体" w:hAnsi="黑体" w:eastAsia="黑体" w:cs="黑体"/>
                <w:i/>
                <w:iCs/>
                <w:color w:val="000000"/>
                <w:sz w:val="18"/>
                <w:szCs w:val="18"/>
                <w:u w:val="none"/>
              </w:rPr>
            </w:pPr>
          </w:p>
        </w:tc>
      </w:tr>
      <w:tr w14:paraId="7A7A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0000">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7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C8E2">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46B9">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C5F29">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0BF3">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F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1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A999">
            <w:pPr>
              <w:rPr>
                <w:rFonts w:hint="eastAsia" w:ascii="黑体" w:hAnsi="黑体" w:eastAsia="黑体" w:cs="黑体"/>
                <w:i/>
                <w:iCs/>
                <w:color w:val="000000"/>
                <w:sz w:val="18"/>
                <w:szCs w:val="18"/>
                <w:u w:val="none"/>
              </w:rPr>
            </w:pPr>
          </w:p>
        </w:tc>
      </w:tr>
      <w:tr w14:paraId="2808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C6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9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E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B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1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3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0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0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F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4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19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D98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C64D">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7429">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EBC2">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1574">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E07B">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7FEE">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2DF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7714">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A735">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A2DC">
            <w:pPr>
              <w:jc w:val="center"/>
              <w:rPr>
                <w:rFonts w:hint="eastAsia" w:ascii="微软雅黑" w:hAnsi="微软雅黑" w:eastAsia="微软雅黑" w:cs="微软雅黑"/>
                <w:i/>
                <w:iCs/>
                <w:color w:val="000000"/>
                <w:sz w:val="16"/>
                <w:szCs w:val="16"/>
                <w:u w:val="none"/>
              </w:rPr>
            </w:pPr>
          </w:p>
        </w:tc>
      </w:tr>
      <w:tr w14:paraId="2E4C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691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4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046E">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B6E9">
            <w:pPr>
              <w:rPr>
                <w:rFonts w:hint="eastAsia" w:ascii="宋体" w:hAnsi="宋体" w:eastAsia="宋体" w:cs="宋体"/>
                <w:i w:val="0"/>
                <w:iCs w:val="0"/>
                <w:color w:val="000000"/>
                <w:sz w:val="18"/>
                <w:szCs w:val="18"/>
                <w:u w:val="none"/>
              </w:rPr>
            </w:pPr>
          </w:p>
        </w:tc>
      </w:tr>
      <w:tr w14:paraId="67FD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0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A02E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033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7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6AA6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585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7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334E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0DF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060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1A04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211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168CE26">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66347FD0">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421827D4">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2DC832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BC3F701">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8A3B8F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582AA0E">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75B9725">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48A50CE6">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2214090">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683C1DEC">
            <w:pPr>
              <w:rPr>
                <w:rFonts w:hint="eastAsia" w:ascii="宋体" w:hAnsi="宋体" w:eastAsia="宋体" w:cs="宋体"/>
                <w:i w:val="0"/>
                <w:iCs w:val="0"/>
                <w:color w:val="000000"/>
                <w:sz w:val="18"/>
                <w:szCs w:val="18"/>
                <w:u w:val="none"/>
              </w:rPr>
            </w:pPr>
          </w:p>
        </w:tc>
      </w:tr>
      <w:tr w14:paraId="28DF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C84A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0850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997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25E7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51323023T000008596649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壤塘县2022年以工代赈示范工程项目（可研咨询费）</w:t>
            </w:r>
          </w:p>
        </w:tc>
      </w:tr>
      <w:tr w14:paraId="7D2F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E2D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6E2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7D6012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6F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w:t>
            </w:r>
          </w:p>
        </w:tc>
      </w:tr>
      <w:tr w14:paraId="3593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59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056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F2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2A1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C9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C302">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D60D">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6C75B">
            <w:pPr>
              <w:rPr>
                <w:rFonts w:hint="eastAsia" w:ascii="宋体" w:hAnsi="宋体" w:eastAsia="宋体" w:cs="宋体"/>
                <w:i w:val="0"/>
                <w:iCs w:val="0"/>
                <w:color w:val="000000"/>
                <w:sz w:val="18"/>
                <w:szCs w:val="18"/>
                <w:u w:val="none"/>
              </w:rPr>
            </w:pP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7C4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CC6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4169">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F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73ED6F">
            <w:pPr>
              <w:rPr>
                <w:rFonts w:hint="eastAsia" w:ascii="宋体" w:hAnsi="宋体" w:eastAsia="宋体" w:cs="宋体"/>
                <w:i w:val="0"/>
                <w:iCs w:val="0"/>
                <w:color w:val="000000"/>
                <w:sz w:val="18"/>
                <w:szCs w:val="18"/>
                <w:u w:val="none"/>
              </w:rPr>
            </w:pPr>
          </w:p>
        </w:tc>
      </w:tr>
      <w:tr w14:paraId="35C3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56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5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0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6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E0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7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D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A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F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7A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F35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B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1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55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3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1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E833">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B994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42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C0B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F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9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0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6E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C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1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C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2D8E">
            <w:pPr>
              <w:rPr>
                <w:rFonts w:hint="eastAsia" w:ascii="黑体" w:hAnsi="黑体" w:eastAsia="黑体" w:cs="黑体"/>
                <w:i/>
                <w:iCs/>
                <w:color w:val="000000"/>
                <w:sz w:val="18"/>
                <w:szCs w:val="18"/>
                <w:u w:val="none"/>
              </w:rPr>
            </w:pPr>
          </w:p>
        </w:tc>
      </w:tr>
      <w:tr w14:paraId="16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E1F5">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C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B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7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21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F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1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9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AAB4">
            <w:pPr>
              <w:rPr>
                <w:rFonts w:hint="eastAsia" w:ascii="黑体" w:hAnsi="黑体" w:eastAsia="黑体" w:cs="黑体"/>
                <w:i/>
                <w:iCs/>
                <w:color w:val="000000"/>
                <w:sz w:val="18"/>
                <w:szCs w:val="18"/>
                <w:u w:val="none"/>
              </w:rPr>
            </w:pPr>
          </w:p>
        </w:tc>
      </w:tr>
      <w:tr w14:paraId="31E2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C64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5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7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1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46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7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6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0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4AB3">
            <w:pPr>
              <w:rPr>
                <w:rFonts w:hint="eastAsia" w:ascii="黑体" w:hAnsi="黑体" w:eastAsia="黑体" w:cs="黑体"/>
                <w:i/>
                <w:iCs/>
                <w:color w:val="000000"/>
                <w:sz w:val="18"/>
                <w:szCs w:val="18"/>
                <w:u w:val="none"/>
              </w:rPr>
            </w:pPr>
          </w:p>
        </w:tc>
      </w:tr>
      <w:tr w14:paraId="022E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DD7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3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F8E1">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36E2">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55259">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88F0">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D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8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72E9">
            <w:pPr>
              <w:rPr>
                <w:rFonts w:hint="eastAsia" w:ascii="黑体" w:hAnsi="黑体" w:eastAsia="黑体" w:cs="黑体"/>
                <w:i/>
                <w:iCs/>
                <w:color w:val="000000"/>
                <w:sz w:val="18"/>
                <w:szCs w:val="18"/>
                <w:u w:val="none"/>
              </w:rPr>
            </w:pPr>
          </w:p>
        </w:tc>
      </w:tr>
      <w:tr w14:paraId="4B59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5E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D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3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2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2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6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7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6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4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2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C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DD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759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E77B">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1DB4">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6FC6">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B43">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D8F2">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87D1">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BD0D">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87C8">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AB13">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A403">
            <w:pPr>
              <w:jc w:val="center"/>
              <w:rPr>
                <w:rFonts w:hint="eastAsia" w:ascii="微软雅黑" w:hAnsi="微软雅黑" w:eastAsia="微软雅黑" w:cs="微软雅黑"/>
                <w:i/>
                <w:iCs/>
                <w:color w:val="000000"/>
                <w:sz w:val="16"/>
                <w:szCs w:val="16"/>
                <w:u w:val="none"/>
              </w:rPr>
            </w:pPr>
          </w:p>
        </w:tc>
      </w:tr>
      <w:tr w14:paraId="7828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851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C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165C">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EBBD">
            <w:pPr>
              <w:rPr>
                <w:rFonts w:hint="eastAsia" w:ascii="宋体" w:hAnsi="宋体" w:eastAsia="宋体" w:cs="宋体"/>
                <w:i w:val="0"/>
                <w:iCs w:val="0"/>
                <w:color w:val="000000"/>
                <w:sz w:val="18"/>
                <w:szCs w:val="18"/>
                <w:u w:val="none"/>
              </w:rPr>
            </w:pPr>
          </w:p>
        </w:tc>
      </w:tr>
      <w:tr w14:paraId="5D35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B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B301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17F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1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9140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387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B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D86B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43B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3D3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A825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651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7289B72">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67005FA3">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63D0FC9D">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1946956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08BEF61">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463A8D8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54BE966">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90384B6">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5AA28460">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6CAB8E5F">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C0C04CA">
            <w:pPr>
              <w:rPr>
                <w:rFonts w:hint="eastAsia" w:ascii="宋体" w:hAnsi="宋体" w:eastAsia="宋体" w:cs="宋体"/>
                <w:i w:val="0"/>
                <w:iCs w:val="0"/>
                <w:color w:val="000000"/>
                <w:sz w:val="18"/>
                <w:szCs w:val="18"/>
                <w:u w:val="none"/>
              </w:rPr>
            </w:pPr>
          </w:p>
        </w:tc>
      </w:tr>
      <w:tr w14:paraId="3A88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82870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7202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4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598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675B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5E5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A23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4250E1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E7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3464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010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AC2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3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13EB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39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492E">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4A2B">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971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04E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79B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D04E">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F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44AA1">
            <w:pPr>
              <w:rPr>
                <w:rFonts w:hint="eastAsia" w:ascii="宋体" w:hAnsi="宋体" w:eastAsia="宋体" w:cs="宋体"/>
                <w:i w:val="0"/>
                <w:iCs w:val="0"/>
                <w:color w:val="000000"/>
                <w:sz w:val="18"/>
                <w:szCs w:val="18"/>
                <w:u w:val="none"/>
              </w:rPr>
            </w:pPr>
          </w:p>
        </w:tc>
      </w:tr>
      <w:tr w14:paraId="7989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FD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C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F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0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60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7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B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1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2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20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D207">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A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2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133.92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E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07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5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0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4298">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87DF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D5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4B4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3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A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133.92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A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5F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6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B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8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5608">
            <w:pPr>
              <w:rPr>
                <w:rFonts w:hint="eastAsia" w:ascii="黑体" w:hAnsi="黑体" w:eastAsia="黑体" w:cs="黑体"/>
                <w:i/>
                <w:iCs/>
                <w:color w:val="000000"/>
                <w:sz w:val="18"/>
                <w:szCs w:val="18"/>
                <w:u w:val="none"/>
              </w:rPr>
            </w:pPr>
          </w:p>
        </w:tc>
      </w:tr>
      <w:tr w14:paraId="772F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5306">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E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4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9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81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2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5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8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6B075">
            <w:pPr>
              <w:rPr>
                <w:rFonts w:hint="eastAsia" w:ascii="黑体" w:hAnsi="黑体" w:eastAsia="黑体" w:cs="黑体"/>
                <w:i/>
                <w:iCs/>
                <w:color w:val="000000"/>
                <w:sz w:val="18"/>
                <w:szCs w:val="18"/>
                <w:u w:val="none"/>
              </w:rPr>
            </w:pPr>
          </w:p>
        </w:tc>
      </w:tr>
      <w:tr w14:paraId="5C51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825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9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5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2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B2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1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1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DD3F">
            <w:pPr>
              <w:rPr>
                <w:rFonts w:hint="eastAsia" w:ascii="黑体" w:hAnsi="黑体" w:eastAsia="黑体" w:cs="黑体"/>
                <w:i/>
                <w:iCs/>
                <w:color w:val="000000"/>
                <w:sz w:val="18"/>
                <w:szCs w:val="18"/>
                <w:u w:val="none"/>
              </w:rPr>
            </w:pPr>
          </w:p>
        </w:tc>
      </w:tr>
      <w:tr w14:paraId="2390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43E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8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E917">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F799">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A7FBA">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7D5F">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1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5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F809">
            <w:pPr>
              <w:rPr>
                <w:rFonts w:hint="eastAsia" w:ascii="黑体" w:hAnsi="黑体" w:eastAsia="黑体" w:cs="黑体"/>
                <w:i/>
                <w:iCs/>
                <w:color w:val="000000"/>
                <w:sz w:val="18"/>
                <w:szCs w:val="18"/>
                <w:u w:val="none"/>
              </w:rPr>
            </w:pPr>
          </w:p>
        </w:tc>
      </w:tr>
      <w:tr w14:paraId="51D8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A1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3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D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6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E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7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1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2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A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0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4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7B2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15C56">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D2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FA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A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8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C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A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CAE1">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C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2FF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010E">
            <w:pPr>
              <w:jc w:val="center"/>
              <w:rPr>
                <w:rFonts w:hint="eastAsia" w:ascii="微软雅黑" w:hAnsi="微软雅黑" w:eastAsia="微软雅黑" w:cs="微软雅黑"/>
                <w:i/>
                <w:iCs/>
                <w:color w:val="000000"/>
                <w:sz w:val="16"/>
                <w:szCs w:val="16"/>
                <w:u w:val="none"/>
              </w:rPr>
            </w:pPr>
          </w:p>
        </w:tc>
      </w:tr>
      <w:tr w14:paraId="37DD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14E0">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8464">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319C">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9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5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9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1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8EF8">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6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7B4C">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36A5">
            <w:pPr>
              <w:jc w:val="center"/>
              <w:rPr>
                <w:rFonts w:hint="eastAsia" w:ascii="微软雅黑" w:hAnsi="微软雅黑" w:eastAsia="微软雅黑" w:cs="微软雅黑"/>
                <w:i/>
                <w:iCs/>
                <w:color w:val="000000"/>
                <w:sz w:val="16"/>
                <w:szCs w:val="16"/>
                <w:u w:val="none"/>
              </w:rPr>
            </w:pPr>
          </w:p>
        </w:tc>
      </w:tr>
      <w:tr w14:paraId="2889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BE61">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E12E">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2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7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6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8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D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B7F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3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3E80">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CEDF">
            <w:pPr>
              <w:jc w:val="center"/>
              <w:rPr>
                <w:rFonts w:hint="eastAsia" w:ascii="微软雅黑" w:hAnsi="微软雅黑" w:eastAsia="微软雅黑" w:cs="微软雅黑"/>
                <w:i/>
                <w:iCs/>
                <w:color w:val="000000"/>
                <w:sz w:val="16"/>
                <w:szCs w:val="16"/>
                <w:u w:val="none"/>
              </w:rPr>
            </w:pPr>
          </w:p>
        </w:tc>
      </w:tr>
      <w:tr w14:paraId="7702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A25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9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2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C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9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A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B622">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8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586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FBD5">
            <w:pPr>
              <w:jc w:val="center"/>
              <w:rPr>
                <w:rFonts w:hint="eastAsia" w:ascii="微软雅黑" w:hAnsi="微软雅黑" w:eastAsia="微软雅黑" w:cs="微软雅黑"/>
                <w:i/>
                <w:iCs/>
                <w:color w:val="000000"/>
                <w:sz w:val="16"/>
                <w:szCs w:val="16"/>
                <w:u w:val="none"/>
              </w:rPr>
            </w:pPr>
          </w:p>
        </w:tc>
      </w:tr>
      <w:tr w14:paraId="7CB1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969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7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C775">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AA00">
            <w:pPr>
              <w:rPr>
                <w:rFonts w:hint="eastAsia" w:ascii="宋体" w:hAnsi="宋体" w:eastAsia="宋体" w:cs="宋体"/>
                <w:i w:val="0"/>
                <w:iCs w:val="0"/>
                <w:color w:val="000000"/>
                <w:sz w:val="18"/>
                <w:szCs w:val="18"/>
                <w:u w:val="none"/>
              </w:rPr>
            </w:pPr>
          </w:p>
        </w:tc>
      </w:tr>
      <w:tr w14:paraId="3BF4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2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2225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5C6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0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DA83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79D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B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D8E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F97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C47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0248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9D0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EC49DF9">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6597A9B2">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21673AF7">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43B007E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8405EE3">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21AEE50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4C979B2">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6277CE9">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7F3DF3E">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71B791C1">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2E1501B9">
            <w:pPr>
              <w:rPr>
                <w:rFonts w:hint="eastAsia" w:ascii="宋体" w:hAnsi="宋体" w:eastAsia="宋体" w:cs="宋体"/>
                <w:i w:val="0"/>
                <w:iCs w:val="0"/>
                <w:color w:val="000000"/>
                <w:sz w:val="18"/>
                <w:szCs w:val="18"/>
                <w:u w:val="none"/>
              </w:rPr>
            </w:pPr>
          </w:p>
        </w:tc>
      </w:tr>
      <w:tr w14:paraId="1E1D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C81E6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243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11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B54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单位缴费</w:t>
            </w:r>
          </w:p>
        </w:tc>
      </w:tr>
      <w:tr w14:paraId="47D2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EC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EF2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158B0C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EA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3D17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E7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54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A2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7DB2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67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722F">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1FD4">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ED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ACA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129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6CE7B">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12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B78216">
            <w:pPr>
              <w:rPr>
                <w:rFonts w:hint="eastAsia" w:ascii="宋体" w:hAnsi="宋体" w:eastAsia="宋体" w:cs="宋体"/>
                <w:i w:val="0"/>
                <w:iCs w:val="0"/>
                <w:color w:val="000000"/>
                <w:sz w:val="18"/>
                <w:szCs w:val="18"/>
                <w:u w:val="none"/>
              </w:rPr>
            </w:pPr>
          </w:p>
        </w:tc>
      </w:tr>
      <w:tr w14:paraId="7547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ED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5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5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6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F7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0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6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8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6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A9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A272">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4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8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68.59</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F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D1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1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A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C902">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8493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31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D62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E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6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68.59</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1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D5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9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4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0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C07E">
            <w:pPr>
              <w:rPr>
                <w:rFonts w:hint="eastAsia" w:ascii="黑体" w:hAnsi="黑体" w:eastAsia="黑体" w:cs="黑体"/>
                <w:i/>
                <w:iCs/>
                <w:color w:val="000000"/>
                <w:sz w:val="18"/>
                <w:szCs w:val="18"/>
                <w:u w:val="none"/>
              </w:rPr>
            </w:pPr>
          </w:p>
        </w:tc>
      </w:tr>
      <w:tr w14:paraId="5361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A810">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C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A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2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A7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D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1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4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A1F4">
            <w:pPr>
              <w:rPr>
                <w:rFonts w:hint="eastAsia" w:ascii="黑体" w:hAnsi="黑体" w:eastAsia="黑体" w:cs="黑体"/>
                <w:i/>
                <w:iCs/>
                <w:color w:val="000000"/>
                <w:sz w:val="18"/>
                <w:szCs w:val="18"/>
                <w:u w:val="none"/>
              </w:rPr>
            </w:pPr>
          </w:p>
        </w:tc>
      </w:tr>
      <w:tr w14:paraId="1C47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0A9C">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7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6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D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0D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D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3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0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34B1">
            <w:pPr>
              <w:rPr>
                <w:rFonts w:hint="eastAsia" w:ascii="黑体" w:hAnsi="黑体" w:eastAsia="黑体" w:cs="黑体"/>
                <w:i/>
                <w:iCs/>
                <w:color w:val="000000"/>
                <w:sz w:val="18"/>
                <w:szCs w:val="18"/>
                <w:u w:val="none"/>
              </w:rPr>
            </w:pPr>
          </w:p>
        </w:tc>
      </w:tr>
      <w:tr w14:paraId="2077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7EDD">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0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E430">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5EA2">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771F1">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E6A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A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D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3133">
            <w:pPr>
              <w:rPr>
                <w:rFonts w:hint="eastAsia" w:ascii="黑体" w:hAnsi="黑体" w:eastAsia="黑体" w:cs="黑体"/>
                <w:i/>
                <w:iCs/>
                <w:color w:val="000000"/>
                <w:sz w:val="18"/>
                <w:szCs w:val="18"/>
                <w:u w:val="none"/>
              </w:rPr>
            </w:pPr>
          </w:p>
        </w:tc>
      </w:tr>
      <w:tr w14:paraId="79AB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8C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B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2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0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E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6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5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D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9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9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C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0A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A550">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C0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B0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A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9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E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6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F257">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8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FAA6">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5AC5">
            <w:pPr>
              <w:jc w:val="center"/>
              <w:rPr>
                <w:rFonts w:hint="eastAsia" w:ascii="微软雅黑" w:hAnsi="微软雅黑" w:eastAsia="微软雅黑" w:cs="微软雅黑"/>
                <w:i/>
                <w:iCs/>
                <w:color w:val="000000"/>
                <w:sz w:val="16"/>
                <w:szCs w:val="16"/>
                <w:u w:val="none"/>
              </w:rPr>
            </w:pPr>
          </w:p>
        </w:tc>
      </w:tr>
      <w:tr w14:paraId="069E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AE33">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091C">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127F">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6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3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4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F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DF9B">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2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3277">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D6F5">
            <w:pPr>
              <w:jc w:val="center"/>
              <w:rPr>
                <w:rFonts w:hint="eastAsia" w:ascii="微软雅黑" w:hAnsi="微软雅黑" w:eastAsia="微软雅黑" w:cs="微软雅黑"/>
                <w:i/>
                <w:iCs/>
                <w:color w:val="000000"/>
                <w:sz w:val="16"/>
                <w:szCs w:val="16"/>
                <w:u w:val="none"/>
              </w:rPr>
            </w:pPr>
          </w:p>
        </w:tc>
      </w:tr>
      <w:tr w14:paraId="10AC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1A49">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B621">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4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0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4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8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1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D1F5">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1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42F7">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6372">
            <w:pPr>
              <w:jc w:val="center"/>
              <w:rPr>
                <w:rFonts w:hint="eastAsia" w:ascii="微软雅黑" w:hAnsi="微软雅黑" w:eastAsia="微软雅黑" w:cs="微软雅黑"/>
                <w:i/>
                <w:iCs/>
                <w:color w:val="000000"/>
                <w:sz w:val="16"/>
                <w:szCs w:val="16"/>
                <w:u w:val="none"/>
              </w:rPr>
            </w:pPr>
          </w:p>
        </w:tc>
      </w:tr>
      <w:tr w14:paraId="5E3D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0AE9">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2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4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1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1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8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0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332F">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F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8157">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18F9">
            <w:pPr>
              <w:jc w:val="center"/>
              <w:rPr>
                <w:rFonts w:hint="eastAsia" w:ascii="微软雅黑" w:hAnsi="微软雅黑" w:eastAsia="微软雅黑" w:cs="微软雅黑"/>
                <w:i/>
                <w:iCs/>
                <w:color w:val="000000"/>
                <w:sz w:val="16"/>
                <w:szCs w:val="16"/>
                <w:u w:val="none"/>
              </w:rPr>
            </w:pPr>
          </w:p>
        </w:tc>
      </w:tr>
      <w:tr w14:paraId="48FC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00C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3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CAA0">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F8DE">
            <w:pPr>
              <w:rPr>
                <w:rFonts w:hint="eastAsia" w:ascii="宋体" w:hAnsi="宋体" w:eastAsia="宋体" w:cs="宋体"/>
                <w:i w:val="0"/>
                <w:iCs w:val="0"/>
                <w:color w:val="000000"/>
                <w:sz w:val="18"/>
                <w:szCs w:val="18"/>
                <w:u w:val="none"/>
              </w:rPr>
            </w:pPr>
          </w:p>
        </w:tc>
      </w:tr>
      <w:tr w14:paraId="6CD1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9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4808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CA3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A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6703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6FC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E6A3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88E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C85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7513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C8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A61BF62">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0C95C31B">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2F296932">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10C847B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F25D124">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140BCF3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594B651">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3EA0D656">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4D7AD33F">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76AF5FD">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69A5924E">
            <w:pPr>
              <w:rPr>
                <w:rFonts w:hint="eastAsia" w:ascii="宋体" w:hAnsi="宋体" w:eastAsia="宋体" w:cs="宋体"/>
                <w:i w:val="0"/>
                <w:iCs w:val="0"/>
                <w:color w:val="000000"/>
                <w:sz w:val="18"/>
                <w:szCs w:val="18"/>
                <w:u w:val="none"/>
              </w:rPr>
            </w:pPr>
          </w:p>
        </w:tc>
      </w:tr>
      <w:tr w14:paraId="531C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08BBD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68F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264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8E6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51000021Y000000011491-非定额公用经费</w:t>
            </w:r>
          </w:p>
        </w:tc>
      </w:tr>
      <w:tr w14:paraId="76F6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0C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621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壤塘县发展和改革局本级</w:t>
            </w:r>
          </w:p>
        </w:tc>
        <w:tc>
          <w:tcPr>
            <w:tcW w:w="384" w:type="pct"/>
            <w:tcBorders>
              <w:top w:val="nil"/>
              <w:left w:val="nil"/>
              <w:bottom w:val="nil"/>
              <w:right w:val="nil"/>
            </w:tcBorders>
            <w:shd w:val="clear" w:color="auto" w:fill="auto"/>
            <w:vAlign w:val="center"/>
          </w:tcPr>
          <w:p w14:paraId="5903CE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61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壤塘县项目推进中心</w:t>
            </w:r>
          </w:p>
        </w:tc>
      </w:tr>
      <w:tr w14:paraId="660A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CED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27B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5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71B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6C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662B">
            <w:pP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A30B">
            <w:pPr>
              <w:rPr>
                <w:rFonts w:hint="eastAsia" w:ascii="宋体" w:hAnsi="宋体" w:eastAsia="宋体" w:cs="宋体"/>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176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C03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ABC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A412">
            <w:pP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2C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2D60E0">
            <w:pPr>
              <w:rPr>
                <w:rFonts w:hint="eastAsia" w:ascii="宋体" w:hAnsi="宋体" w:eastAsia="宋体" w:cs="宋体"/>
                <w:i w:val="0"/>
                <w:iCs w:val="0"/>
                <w:color w:val="000000"/>
                <w:sz w:val="18"/>
                <w:szCs w:val="18"/>
                <w:u w:val="none"/>
              </w:rPr>
            </w:pPr>
          </w:p>
        </w:tc>
      </w:tr>
      <w:tr w14:paraId="202C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F6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A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F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3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47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7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9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C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F9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B623">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7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9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C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7A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B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E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595F">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222B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FB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F4A1">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B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4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8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C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1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B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A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7FC8">
            <w:pPr>
              <w:rPr>
                <w:rFonts w:hint="eastAsia" w:ascii="黑体" w:hAnsi="黑体" w:eastAsia="黑体" w:cs="黑体"/>
                <w:i/>
                <w:iCs/>
                <w:color w:val="000000"/>
                <w:sz w:val="18"/>
                <w:szCs w:val="18"/>
                <w:u w:val="none"/>
              </w:rPr>
            </w:pPr>
          </w:p>
        </w:tc>
      </w:tr>
      <w:tr w14:paraId="5A69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DD6B">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D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A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F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99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0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E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0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BF80">
            <w:pPr>
              <w:rPr>
                <w:rFonts w:hint="eastAsia" w:ascii="黑体" w:hAnsi="黑体" w:eastAsia="黑体" w:cs="黑体"/>
                <w:i/>
                <w:iCs/>
                <w:color w:val="000000"/>
                <w:sz w:val="18"/>
                <w:szCs w:val="18"/>
                <w:u w:val="none"/>
              </w:rPr>
            </w:pPr>
          </w:p>
        </w:tc>
      </w:tr>
      <w:tr w14:paraId="6422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F4CF">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1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7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B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31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1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C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0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91AF">
            <w:pPr>
              <w:rPr>
                <w:rFonts w:hint="eastAsia" w:ascii="黑体" w:hAnsi="黑体" w:eastAsia="黑体" w:cs="黑体"/>
                <w:i/>
                <w:iCs/>
                <w:color w:val="000000"/>
                <w:sz w:val="18"/>
                <w:szCs w:val="18"/>
                <w:u w:val="none"/>
              </w:rPr>
            </w:pPr>
          </w:p>
        </w:tc>
      </w:tr>
      <w:tr w14:paraId="7CCB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6CBA">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D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554A">
            <w:pPr>
              <w:jc w:val="center"/>
              <w:rPr>
                <w:rFonts w:hint="eastAsia" w:ascii="微软雅黑" w:hAnsi="微软雅黑" w:eastAsia="微软雅黑" w:cs="微软雅黑"/>
                <w:i/>
                <w:iCs/>
                <w:color w:val="000000"/>
                <w:sz w:val="16"/>
                <w:szCs w:val="16"/>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5C89">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6EEAD">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B05C">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8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9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E94D">
            <w:pPr>
              <w:rPr>
                <w:rFonts w:hint="eastAsia" w:ascii="黑体" w:hAnsi="黑体" w:eastAsia="黑体" w:cs="黑体"/>
                <w:i/>
                <w:iCs/>
                <w:color w:val="000000"/>
                <w:sz w:val="18"/>
                <w:szCs w:val="18"/>
                <w:u w:val="none"/>
              </w:rPr>
            </w:pPr>
          </w:p>
        </w:tc>
      </w:tr>
      <w:tr w14:paraId="345F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C6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1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C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9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D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A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A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F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E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C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9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A4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124F">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50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B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2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C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C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D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50F9">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8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9AB0">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8B8E">
            <w:pPr>
              <w:jc w:val="center"/>
              <w:rPr>
                <w:rFonts w:hint="eastAsia" w:ascii="微软雅黑" w:hAnsi="微软雅黑" w:eastAsia="微软雅黑" w:cs="微软雅黑"/>
                <w:i/>
                <w:iCs/>
                <w:color w:val="000000"/>
                <w:sz w:val="16"/>
                <w:szCs w:val="16"/>
                <w:u w:val="none"/>
              </w:rPr>
            </w:pPr>
          </w:p>
        </w:tc>
      </w:tr>
      <w:tr w14:paraId="572C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955C">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A5AE">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4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4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7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D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A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9B81">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E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74D3">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1680">
            <w:pPr>
              <w:jc w:val="center"/>
              <w:rPr>
                <w:rFonts w:hint="eastAsia" w:ascii="微软雅黑" w:hAnsi="微软雅黑" w:eastAsia="微软雅黑" w:cs="微软雅黑"/>
                <w:i/>
                <w:iCs/>
                <w:color w:val="000000"/>
                <w:sz w:val="16"/>
                <w:szCs w:val="16"/>
                <w:u w:val="none"/>
              </w:rPr>
            </w:pPr>
          </w:p>
        </w:tc>
      </w:tr>
      <w:tr w14:paraId="334C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80D1">
            <w:pPr>
              <w:jc w:val="center"/>
              <w:rPr>
                <w:rFonts w:hint="eastAsia" w:ascii="宋体" w:hAnsi="宋体" w:eastAsia="宋体" w:cs="宋体"/>
                <w:i w:val="0"/>
                <w:iCs w:val="0"/>
                <w:color w:val="000000"/>
                <w:sz w:val="18"/>
                <w:szCs w:val="18"/>
                <w:u w:val="none"/>
              </w:rPr>
            </w:pP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A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56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B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7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0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1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9B8F">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7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E36C">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6446">
            <w:pPr>
              <w:jc w:val="center"/>
              <w:rPr>
                <w:rFonts w:hint="eastAsia" w:ascii="微软雅黑" w:hAnsi="微软雅黑" w:eastAsia="微软雅黑" w:cs="微软雅黑"/>
                <w:i/>
                <w:iCs/>
                <w:color w:val="000000"/>
                <w:sz w:val="16"/>
                <w:szCs w:val="16"/>
                <w:u w:val="none"/>
              </w:rPr>
            </w:pPr>
          </w:p>
        </w:tc>
      </w:tr>
      <w:tr w14:paraId="0405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D12E">
            <w:pPr>
              <w:jc w:val="center"/>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A0DF">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BA3B">
            <w:pPr>
              <w:jc w:val="center"/>
              <w:rPr>
                <w:rFonts w:hint="eastAsia" w:ascii="宋体" w:hAnsi="宋体" w:eastAsia="宋体" w:cs="宋体"/>
                <w:i w:val="0"/>
                <w:iCs w:val="0"/>
                <w:color w:val="000000"/>
                <w:sz w:val="18"/>
                <w:szCs w:val="18"/>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5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D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C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5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8CE1">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0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5E5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7485">
            <w:pPr>
              <w:jc w:val="center"/>
              <w:rPr>
                <w:rFonts w:hint="eastAsia" w:ascii="微软雅黑" w:hAnsi="微软雅黑" w:eastAsia="微软雅黑" w:cs="微软雅黑"/>
                <w:i/>
                <w:iCs/>
                <w:color w:val="000000"/>
                <w:sz w:val="16"/>
                <w:szCs w:val="16"/>
                <w:u w:val="none"/>
              </w:rPr>
            </w:pPr>
          </w:p>
        </w:tc>
      </w:tr>
      <w:tr w14:paraId="6921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A8F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E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8062">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1ABE">
            <w:pPr>
              <w:rPr>
                <w:rFonts w:hint="eastAsia" w:ascii="宋体" w:hAnsi="宋体" w:eastAsia="宋体" w:cs="宋体"/>
                <w:i w:val="0"/>
                <w:iCs w:val="0"/>
                <w:color w:val="000000"/>
                <w:sz w:val="18"/>
                <w:szCs w:val="18"/>
                <w:u w:val="none"/>
              </w:rPr>
            </w:pPr>
          </w:p>
        </w:tc>
      </w:tr>
      <w:tr w14:paraId="797E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8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F971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251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9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51B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7B0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5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4B1C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B99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8C6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008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B4A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4F68BF38">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5D42F327">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01978E8A">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62BF5F2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BA330E9">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A03781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EFFCE66">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206EBC08">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6FAB03AA">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32DB2447">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1035CA1E">
            <w:pPr>
              <w:rPr>
                <w:rFonts w:hint="eastAsia" w:ascii="宋体" w:hAnsi="宋体" w:eastAsia="宋体" w:cs="宋体"/>
                <w:i w:val="0"/>
                <w:iCs w:val="0"/>
                <w:color w:val="000000"/>
                <w:sz w:val="18"/>
                <w:szCs w:val="18"/>
                <w:u w:val="none"/>
              </w:rPr>
            </w:pPr>
          </w:p>
        </w:tc>
      </w:tr>
      <w:tr w14:paraId="09A7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124BB1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752C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7CA11A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取数口径：部门项目绩效目标表信息，包括年初预算、追加预算、结转预算和调整预算的绩效目标（以项目的最终绩效目标为准）。</w:t>
            </w:r>
          </w:p>
        </w:tc>
      </w:tr>
      <w:tr w14:paraId="4950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495E4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071D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4B812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4385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F89AC2D">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765A883C">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605DC63F">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6EECB97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D9767E7">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370F06E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00C886D">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75D72CA7">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0FF28EE5">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444651B8">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2B186EDD">
            <w:pPr>
              <w:rPr>
                <w:rFonts w:hint="eastAsia" w:ascii="宋体" w:hAnsi="宋体" w:eastAsia="宋体" w:cs="宋体"/>
                <w:i w:val="0"/>
                <w:iCs w:val="0"/>
                <w:color w:val="000000"/>
                <w:sz w:val="18"/>
                <w:szCs w:val="18"/>
                <w:u w:val="none"/>
              </w:rPr>
            </w:pPr>
          </w:p>
        </w:tc>
      </w:tr>
      <w:tr w14:paraId="2AC3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CE396F1">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26685D48">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6F97A84A">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52DD428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EB6D961">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6CF7239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DF2F144">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01E39E1D">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6E5A4299">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6F5A85D6">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31400509">
            <w:pPr>
              <w:rPr>
                <w:rFonts w:hint="eastAsia" w:ascii="宋体" w:hAnsi="宋体" w:eastAsia="宋体" w:cs="宋体"/>
                <w:i w:val="0"/>
                <w:iCs w:val="0"/>
                <w:color w:val="000000"/>
                <w:sz w:val="18"/>
                <w:szCs w:val="18"/>
                <w:u w:val="none"/>
              </w:rPr>
            </w:pPr>
          </w:p>
        </w:tc>
      </w:tr>
      <w:tr w14:paraId="19BC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A796EB8">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65207738">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128CCDE2">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65A232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390EA5E">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C1572A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FC0257B">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27786134">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6A0C7C38">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7E41BDE">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623E608F">
            <w:pPr>
              <w:rPr>
                <w:rFonts w:hint="eastAsia" w:ascii="宋体" w:hAnsi="宋体" w:eastAsia="宋体" w:cs="宋体"/>
                <w:i w:val="0"/>
                <w:iCs w:val="0"/>
                <w:color w:val="000000"/>
                <w:sz w:val="18"/>
                <w:szCs w:val="18"/>
                <w:u w:val="none"/>
              </w:rPr>
            </w:pPr>
          </w:p>
        </w:tc>
      </w:tr>
      <w:tr w14:paraId="6241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5891745">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4A4C297C">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5241F2B4">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0538D10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75133E0">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5773B7C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58E71A3">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4C83276A">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77780889">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2F9CC8DC">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6F21D601">
            <w:pPr>
              <w:rPr>
                <w:rFonts w:hint="eastAsia" w:ascii="宋体" w:hAnsi="宋体" w:eastAsia="宋体" w:cs="宋体"/>
                <w:i w:val="0"/>
                <w:iCs w:val="0"/>
                <w:color w:val="000000"/>
                <w:sz w:val="18"/>
                <w:szCs w:val="18"/>
                <w:u w:val="none"/>
              </w:rPr>
            </w:pPr>
          </w:p>
        </w:tc>
      </w:tr>
      <w:tr w14:paraId="29FD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61769C9">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2914231C">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71C75504">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52E5EB2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7F584E3">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378A1B5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3AFE0E6">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69DC947F">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431EFA13">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1CA9EAED">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7CEDA653">
            <w:pPr>
              <w:rPr>
                <w:rFonts w:hint="eastAsia" w:ascii="宋体" w:hAnsi="宋体" w:eastAsia="宋体" w:cs="宋体"/>
                <w:i w:val="0"/>
                <w:iCs w:val="0"/>
                <w:color w:val="000000"/>
                <w:sz w:val="18"/>
                <w:szCs w:val="18"/>
                <w:u w:val="none"/>
              </w:rPr>
            </w:pPr>
          </w:p>
        </w:tc>
      </w:tr>
      <w:tr w14:paraId="6721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B2DCE54">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46A1C427">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0C8A8ADD">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16810F2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3DABEFD">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0005B21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725B87B">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5984C39D">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1B078877">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57E78D36">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764A6970">
            <w:pPr>
              <w:rPr>
                <w:rFonts w:hint="eastAsia" w:ascii="宋体" w:hAnsi="宋体" w:eastAsia="宋体" w:cs="宋体"/>
                <w:i w:val="0"/>
                <w:iCs w:val="0"/>
                <w:color w:val="000000"/>
                <w:sz w:val="18"/>
                <w:szCs w:val="18"/>
                <w:u w:val="none"/>
              </w:rPr>
            </w:pPr>
          </w:p>
        </w:tc>
      </w:tr>
      <w:tr w14:paraId="7DCC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8DF8625">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01BE0704">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14:paraId="3A6DD3C3">
            <w:pPr>
              <w:rPr>
                <w:rFonts w:hint="eastAsia" w:ascii="宋体" w:hAnsi="宋体" w:eastAsia="宋体" w:cs="宋体"/>
                <w:i w:val="0"/>
                <w:iCs w:val="0"/>
                <w:color w:val="000000"/>
                <w:sz w:val="18"/>
                <w:szCs w:val="18"/>
                <w:u w:val="none"/>
              </w:rPr>
            </w:pPr>
          </w:p>
        </w:tc>
        <w:tc>
          <w:tcPr>
            <w:tcW w:w="797" w:type="pct"/>
            <w:tcBorders>
              <w:top w:val="nil"/>
              <w:left w:val="nil"/>
              <w:bottom w:val="nil"/>
              <w:right w:val="nil"/>
            </w:tcBorders>
            <w:shd w:val="clear" w:color="auto" w:fill="auto"/>
            <w:vAlign w:val="center"/>
          </w:tcPr>
          <w:p w14:paraId="3131B5E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2649811">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7049F1F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5772F3C">
            <w:pPr>
              <w:rPr>
                <w:rFonts w:hint="eastAsia" w:ascii="宋体" w:hAnsi="宋体" w:eastAsia="宋体" w:cs="宋体"/>
                <w:i w:val="0"/>
                <w:iCs w:val="0"/>
                <w:color w:val="000000"/>
                <w:sz w:val="18"/>
                <w:szCs w:val="18"/>
                <w:u w:val="none"/>
              </w:rPr>
            </w:pPr>
          </w:p>
        </w:tc>
        <w:tc>
          <w:tcPr>
            <w:tcW w:w="384" w:type="pct"/>
            <w:tcBorders>
              <w:top w:val="nil"/>
              <w:left w:val="nil"/>
              <w:bottom w:val="nil"/>
              <w:right w:val="nil"/>
            </w:tcBorders>
            <w:shd w:val="clear" w:color="auto" w:fill="auto"/>
            <w:vAlign w:val="center"/>
          </w:tcPr>
          <w:p w14:paraId="479E1290">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14:paraId="47F46A91">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14:paraId="7B370E9B">
            <w:pPr>
              <w:rPr>
                <w:rFonts w:hint="eastAsia" w:ascii="宋体" w:hAnsi="宋体" w:eastAsia="宋体" w:cs="宋体"/>
                <w:i w:val="0"/>
                <w:iCs w:val="0"/>
                <w:color w:val="000000"/>
                <w:sz w:val="18"/>
                <w:szCs w:val="18"/>
                <w:u w:val="none"/>
              </w:rPr>
            </w:pPr>
          </w:p>
        </w:tc>
        <w:tc>
          <w:tcPr>
            <w:tcW w:w="907" w:type="pct"/>
            <w:tcBorders>
              <w:top w:val="nil"/>
              <w:left w:val="nil"/>
              <w:bottom w:val="nil"/>
              <w:right w:val="nil"/>
            </w:tcBorders>
            <w:shd w:val="clear" w:color="auto" w:fill="auto"/>
            <w:vAlign w:val="center"/>
          </w:tcPr>
          <w:p w14:paraId="4634C6C1">
            <w:pPr>
              <w:rPr>
                <w:rFonts w:hint="eastAsia" w:ascii="宋体" w:hAnsi="宋体" w:eastAsia="宋体" w:cs="宋体"/>
                <w:i w:val="0"/>
                <w:iCs w:val="0"/>
                <w:color w:val="000000"/>
                <w:sz w:val="18"/>
                <w:szCs w:val="18"/>
                <w:u w:val="none"/>
              </w:rPr>
            </w:pPr>
          </w:p>
        </w:tc>
      </w:tr>
    </w:tbl>
    <w:p w14:paraId="160D31BA">
      <w:pPr>
        <w:pStyle w:val="1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5CC81B36">
      <w:pPr>
        <w:pStyle w:val="1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561020D5">
      <w:pPr>
        <w:pStyle w:val="7"/>
        <w:outlineLvl w:val="1"/>
        <w:rPr>
          <w:rFonts w:hint="eastAsia" w:hAnsi="宋体" w:cs="宋体"/>
          <w:color w:val="auto"/>
          <w:kern w:val="0"/>
          <w:sz w:val="32"/>
          <w:szCs w:val="32"/>
          <w:highlight w:val="none"/>
          <w:shd w:val="clear" w:color="auto" w:fill="FFFFFF"/>
          <w:lang w:val="zh-CN"/>
        </w:rPr>
      </w:pPr>
      <w:bookmarkStart w:id="108" w:name="_Toc463"/>
    </w:p>
    <w:p w14:paraId="7A6D4D59">
      <w:pPr>
        <w:pStyle w:val="7"/>
        <w:outlineLvl w:val="1"/>
        <w:rPr>
          <w:rFonts w:hint="eastAsia" w:hAnsi="宋体" w:cs="宋体"/>
          <w:color w:val="auto"/>
          <w:kern w:val="0"/>
          <w:sz w:val="32"/>
          <w:szCs w:val="32"/>
          <w:highlight w:val="none"/>
          <w:shd w:val="clear" w:color="auto" w:fill="FFFFFF"/>
          <w:lang w:val="zh-CN"/>
        </w:rPr>
      </w:pPr>
    </w:p>
    <w:p w14:paraId="2BEFB561">
      <w:pPr>
        <w:pStyle w:val="7"/>
        <w:outlineLvl w:val="1"/>
        <w:rPr>
          <w:rFonts w:hint="eastAsia" w:hAnsi="宋体" w:cs="宋体"/>
          <w:color w:val="auto"/>
          <w:kern w:val="0"/>
          <w:sz w:val="32"/>
          <w:szCs w:val="32"/>
          <w:highlight w:val="none"/>
          <w:shd w:val="clear" w:color="auto" w:fill="FFFFFF"/>
          <w:lang w:val="zh-CN"/>
        </w:rPr>
      </w:pPr>
    </w:p>
    <w:p w14:paraId="22BE2A52">
      <w:pPr>
        <w:pStyle w:val="7"/>
        <w:outlineLvl w:val="1"/>
        <w:rPr>
          <w:rFonts w:hint="eastAsia" w:hAnsi="宋体" w:cs="宋体"/>
          <w:color w:val="auto"/>
          <w:kern w:val="0"/>
          <w:sz w:val="32"/>
          <w:szCs w:val="32"/>
          <w:highlight w:val="none"/>
          <w:shd w:val="clear" w:color="auto" w:fill="FFFFFF"/>
          <w:lang w:val="zh-CN"/>
        </w:rPr>
      </w:pPr>
    </w:p>
    <w:p w14:paraId="5DC607F9">
      <w:pPr>
        <w:pStyle w:val="7"/>
        <w:outlineLvl w:val="1"/>
        <w:rPr>
          <w:rFonts w:hint="eastAsia" w:hAnsi="宋体" w:cs="宋体"/>
          <w:color w:val="auto"/>
          <w:kern w:val="0"/>
          <w:sz w:val="32"/>
          <w:szCs w:val="32"/>
          <w:highlight w:val="none"/>
          <w:shd w:val="clear" w:color="auto" w:fill="FFFFFF"/>
          <w:lang w:val="zh-CN"/>
        </w:rPr>
      </w:pPr>
    </w:p>
    <w:p w14:paraId="513CBD0E">
      <w:pPr>
        <w:pStyle w:val="7"/>
        <w:outlineLvl w:val="1"/>
        <w:rPr>
          <w:rFonts w:hint="eastAsia" w:hAnsi="宋体" w:cs="宋体"/>
          <w:color w:val="auto"/>
          <w:kern w:val="0"/>
          <w:sz w:val="32"/>
          <w:szCs w:val="32"/>
          <w:highlight w:val="none"/>
          <w:shd w:val="clear" w:color="auto" w:fill="FFFFFF"/>
          <w:lang w:val="zh-CN"/>
        </w:rPr>
      </w:pPr>
    </w:p>
    <w:p w14:paraId="1D77DEE2">
      <w:pPr>
        <w:pStyle w:val="7"/>
        <w:outlineLvl w:val="1"/>
        <w:rPr>
          <w:rFonts w:hint="eastAsia" w:hAnsi="宋体" w:cs="宋体"/>
          <w:color w:val="auto"/>
          <w:kern w:val="0"/>
          <w:sz w:val="32"/>
          <w:szCs w:val="32"/>
          <w:highlight w:val="none"/>
          <w:shd w:val="clear" w:color="auto" w:fill="FFFFFF"/>
          <w:lang w:val="zh-CN"/>
        </w:rPr>
      </w:pPr>
    </w:p>
    <w:p w14:paraId="6C774E41">
      <w:pPr>
        <w:pStyle w:val="7"/>
        <w:outlineLvl w:val="1"/>
        <w:rPr>
          <w:rFonts w:hint="eastAsia" w:hAnsi="宋体" w:cs="宋体"/>
          <w:color w:val="auto"/>
          <w:kern w:val="0"/>
          <w:sz w:val="32"/>
          <w:szCs w:val="32"/>
          <w:highlight w:val="none"/>
          <w:shd w:val="clear" w:color="auto" w:fill="FFFFFF"/>
          <w:lang w:val="zh-CN"/>
        </w:rPr>
      </w:pPr>
    </w:p>
    <w:p w14:paraId="1931C08B">
      <w:pPr>
        <w:pStyle w:val="7"/>
        <w:outlineLvl w:val="1"/>
        <w:rPr>
          <w:rFonts w:hint="eastAsia" w:hAnsi="宋体" w:cs="宋体"/>
          <w:color w:val="auto"/>
          <w:kern w:val="0"/>
          <w:sz w:val="32"/>
          <w:szCs w:val="32"/>
          <w:highlight w:val="none"/>
          <w:shd w:val="clear" w:color="auto" w:fill="FFFFFF"/>
          <w:lang w:val="en-US" w:eastAsia="zh-CN"/>
        </w:rPr>
      </w:pPr>
      <w:bookmarkStart w:id="109" w:name="_Toc9755"/>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08"/>
      <w:bookmarkEnd w:id="109"/>
    </w:p>
    <w:p w14:paraId="66ED595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壤塘县发展和改革局</w:t>
      </w:r>
    </w:p>
    <w:p w14:paraId="3951210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关于</w:t>
      </w:r>
      <w:r>
        <w:rPr>
          <w:rFonts w:hint="eastAsia" w:ascii="方正小标宋_GBK" w:hAnsi="方正小标宋_GBK" w:eastAsia="方正小标宋_GBK" w:cs="方正小标宋_GBK"/>
          <w:b w:val="0"/>
          <w:bCs/>
          <w:sz w:val="44"/>
          <w:szCs w:val="44"/>
          <w:lang w:val="en-US" w:eastAsia="zh-CN"/>
        </w:rPr>
        <w:t>2022年</w:t>
      </w:r>
      <w:r>
        <w:rPr>
          <w:rFonts w:hint="eastAsia" w:ascii="方正小标宋_GBK" w:hAnsi="方正小标宋_GBK" w:eastAsia="方正小标宋_GBK" w:cs="方正小标宋_GBK"/>
          <w:b w:val="0"/>
          <w:bCs/>
          <w:sz w:val="44"/>
          <w:szCs w:val="44"/>
        </w:rPr>
        <w:t>支持易地搬迁贴息补助项目绩效自评报告</w:t>
      </w:r>
    </w:p>
    <w:p w14:paraId="4C5DA4E9">
      <w:pPr>
        <w:pStyle w:val="37"/>
        <w:spacing w:line="240" w:lineRule="auto"/>
        <w:jc w:val="center"/>
        <w:rPr>
          <w:rFonts w:hint="default" w:ascii="Times New Roman" w:hAnsi="Times New Roman" w:cs="Times New Roman"/>
          <w:color w:val="auto"/>
          <w:kern w:val="2"/>
          <w:sz w:val="32"/>
          <w:szCs w:val="32"/>
        </w:rPr>
      </w:pPr>
    </w:p>
    <w:p w14:paraId="3BD52FE0">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default" w:ascii="黑体" w:hAnsi="宋体" w:eastAsia="黑体"/>
          <w:color w:val="auto"/>
          <w:sz w:val="32"/>
          <w:szCs w:val="32"/>
          <w:highlight w:val="none"/>
          <w:lang w:val="zh-CN"/>
        </w:rPr>
      </w:pPr>
      <w:bookmarkStart w:id="110" w:name="_Toc18458"/>
      <w:bookmarkStart w:id="111" w:name="_Toc26190"/>
      <w:r>
        <w:rPr>
          <w:rFonts w:hint="default" w:ascii="黑体" w:hAnsi="宋体" w:eastAsia="黑体"/>
          <w:color w:val="auto"/>
          <w:sz w:val="32"/>
          <w:szCs w:val="32"/>
          <w:highlight w:val="none"/>
        </w:rPr>
        <w:t>一、</w:t>
      </w:r>
      <w:r>
        <w:rPr>
          <w:rFonts w:hint="default" w:ascii="黑体" w:hAnsi="宋体" w:eastAsia="黑体"/>
          <w:color w:val="auto"/>
          <w:sz w:val="32"/>
          <w:szCs w:val="32"/>
          <w:highlight w:val="none"/>
          <w:lang w:val="zh-CN"/>
        </w:rPr>
        <w:t>项目概况</w:t>
      </w:r>
      <w:bookmarkEnd w:id="110"/>
      <w:bookmarkEnd w:id="111"/>
    </w:p>
    <w:p w14:paraId="216F2DFF">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本项目</w:t>
      </w:r>
      <w:r>
        <w:rPr>
          <w:rFonts w:hint="eastAsia" w:ascii="仿宋_GB2312" w:hAnsi="仿宋_GB2312" w:eastAsia="仿宋_GB2312" w:cs="仿宋_GB2312"/>
          <w:color w:val="auto"/>
          <w:kern w:val="0"/>
          <w:sz w:val="32"/>
          <w:szCs w:val="32"/>
          <w:highlight w:val="none"/>
          <w:u w:val="none"/>
          <w:shd w:val="clear" w:color="auto" w:fill="FFFFFF"/>
          <w:lang w:val="zh-CN" w:eastAsia="zh-CN"/>
        </w:rPr>
        <w:t>主要</w:t>
      </w:r>
      <w:r>
        <w:rPr>
          <w:rFonts w:hint="default" w:ascii="仿宋_GB2312" w:hAnsi="仿宋_GB2312" w:eastAsia="仿宋_GB2312" w:cs="仿宋_GB2312"/>
          <w:color w:val="auto"/>
          <w:kern w:val="0"/>
          <w:sz w:val="32"/>
          <w:szCs w:val="32"/>
          <w:highlight w:val="none"/>
          <w:u w:val="none"/>
          <w:shd w:val="clear" w:color="auto" w:fill="FFFFFF"/>
          <w:lang w:val="zh-CN" w:eastAsia="zh-CN"/>
        </w:rPr>
        <w:t>支出202</w:t>
      </w: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zh-CN" w:eastAsia="zh-CN"/>
        </w:rPr>
        <w:t>年易地扶贫搬迁四个季度贴息补助资金。</w:t>
      </w:r>
    </w:p>
    <w:p w14:paraId="0323ADBB">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default" w:ascii="黑体" w:hAnsi="宋体" w:eastAsia="黑体"/>
          <w:color w:val="auto"/>
          <w:sz w:val="32"/>
          <w:szCs w:val="32"/>
          <w:highlight w:val="none"/>
        </w:rPr>
      </w:pPr>
      <w:bookmarkStart w:id="112" w:name="_Toc27506"/>
      <w:bookmarkStart w:id="113" w:name="_Toc16352"/>
      <w:r>
        <w:rPr>
          <w:rFonts w:hint="default" w:ascii="黑体" w:hAnsi="宋体" w:eastAsia="黑体"/>
          <w:color w:val="auto"/>
          <w:sz w:val="32"/>
          <w:szCs w:val="32"/>
          <w:highlight w:val="none"/>
        </w:rPr>
        <w:t>二、项目实施及管理情况</w:t>
      </w:r>
      <w:bookmarkEnd w:id="112"/>
      <w:bookmarkEnd w:id="113"/>
    </w:p>
    <w:p w14:paraId="340FB63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楷体_GB2312" w:hAnsi="宋体" w:eastAsia="楷体_GB2312"/>
          <w:b/>
          <w:color w:val="auto"/>
          <w:sz w:val="32"/>
          <w:szCs w:val="32"/>
          <w:highlight w:val="none"/>
          <w:u w:val="none"/>
          <w:lang w:val="zh-CN"/>
        </w:rPr>
      </w:pPr>
      <w:r>
        <w:rPr>
          <w:rFonts w:hint="default" w:ascii="楷体_GB2312" w:hAnsi="宋体" w:eastAsia="楷体_GB2312"/>
          <w:b/>
          <w:color w:val="auto"/>
          <w:sz w:val="32"/>
          <w:szCs w:val="32"/>
          <w:highlight w:val="none"/>
          <w:u w:val="none"/>
          <w:lang w:val="zh-CN"/>
        </w:rPr>
        <w:tab/>
      </w:r>
      <w:r>
        <w:rPr>
          <w:rFonts w:hint="default" w:ascii="楷体_GB2312" w:hAnsi="宋体" w:eastAsia="楷体_GB2312"/>
          <w:b/>
          <w:color w:val="auto"/>
          <w:sz w:val="32"/>
          <w:szCs w:val="32"/>
          <w:highlight w:val="none"/>
          <w:u w:val="none"/>
          <w:lang w:val="zh-CN"/>
        </w:rPr>
        <w:t>（一）资金计划、到位及使用情况。</w:t>
      </w:r>
    </w:p>
    <w:p w14:paraId="06D52920">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资金计划及到位。该项目资金为中央衔接资金，实际到位</w:t>
      </w:r>
      <w:r>
        <w:rPr>
          <w:rFonts w:hint="default" w:ascii="仿宋_GB2312" w:hAnsi="仿宋_GB2312" w:eastAsia="仿宋_GB2312" w:cs="仿宋_GB2312"/>
          <w:color w:val="auto"/>
          <w:kern w:val="0"/>
          <w:sz w:val="32"/>
          <w:szCs w:val="32"/>
          <w:highlight w:val="none"/>
          <w:u w:val="none"/>
          <w:shd w:val="clear" w:color="auto" w:fill="FFFFFF"/>
          <w:lang w:val="en-US" w:eastAsia="zh-CN"/>
        </w:rPr>
        <w:t>14</w:t>
      </w:r>
      <w:r>
        <w:rPr>
          <w:rFonts w:hint="eastAsia" w:ascii="仿宋_GB2312" w:hAnsi="仿宋_GB2312" w:eastAsia="仿宋_GB2312" w:cs="仿宋_GB2312"/>
          <w:color w:val="auto"/>
          <w:kern w:val="0"/>
          <w:sz w:val="32"/>
          <w:szCs w:val="32"/>
          <w:highlight w:val="none"/>
          <w:u w:val="none"/>
          <w:shd w:val="clear" w:color="auto" w:fill="FFFFFF"/>
          <w:lang w:val="en-US" w:eastAsia="zh-CN"/>
        </w:rPr>
        <w:t>0</w:t>
      </w:r>
      <w:r>
        <w:rPr>
          <w:rFonts w:hint="default" w:ascii="仿宋_GB2312" w:hAnsi="仿宋_GB2312" w:eastAsia="仿宋_GB2312" w:cs="仿宋_GB2312"/>
          <w:color w:val="auto"/>
          <w:kern w:val="0"/>
          <w:sz w:val="32"/>
          <w:szCs w:val="32"/>
          <w:highlight w:val="none"/>
          <w:u w:val="none"/>
          <w:shd w:val="clear" w:color="auto" w:fill="FFFFFF"/>
          <w:lang w:val="en-US" w:eastAsia="zh-CN"/>
        </w:rPr>
        <w:t>万元</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p>
    <w:p w14:paraId="5EBFD34B">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2</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资金使用。该项目实际支出资金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135.752334</w:t>
      </w:r>
      <w:r>
        <w:rPr>
          <w:rFonts w:hint="default" w:ascii="仿宋_GB2312" w:hAnsi="仿宋_GB2312" w:eastAsia="仿宋_GB2312" w:cs="仿宋_GB2312"/>
          <w:color w:val="auto"/>
          <w:kern w:val="0"/>
          <w:sz w:val="32"/>
          <w:szCs w:val="32"/>
          <w:highlight w:val="none"/>
          <w:u w:val="none"/>
          <w:shd w:val="clear" w:color="auto" w:fill="FFFFFF"/>
          <w:lang w:val="en-US" w:eastAsia="zh-CN"/>
        </w:rPr>
        <w:t>万元</w:t>
      </w:r>
      <w:r>
        <w:rPr>
          <w:rFonts w:hint="default" w:ascii="仿宋_GB2312" w:hAnsi="仿宋_GB2312" w:eastAsia="仿宋_GB2312" w:cs="仿宋_GB2312"/>
          <w:color w:val="auto"/>
          <w:kern w:val="0"/>
          <w:sz w:val="32"/>
          <w:szCs w:val="32"/>
          <w:highlight w:val="none"/>
          <w:u w:val="none"/>
          <w:shd w:val="clear" w:color="auto" w:fill="FFFFFF"/>
          <w:lang w:val="zh-CN" w:eastAsia="zh-CN"/>
        </w:rPr>
        <w:t>；每季度支出金额由阿坝州国投公司提供应支付明细表，我县据实支付</w:t>
      </w:r>
      <w:r>
        <w:rPr>
          <w:rFonts w:hint="eastAsia" w:ascii="仿宋_GB2312" w:hAnsi="仿宋_GB2312" w:eastAsia="仿宋_GB2312" w:cs="仿宋_GB2312"/>
          <w:color w:val="auto"/>
          <w:kern w:val="0"/>
          <w:sz w:val="32"/>
          <w:szCs w:val="32"/>
          <w:highlight w:val="none"/>
          <w:u w:val="none"/>
          <w:shd w:val="clear" w:color="auto" w:fill="FFFFFF"/>
          <w:lang w:val="en-US" w:eastAsia="zh-CN"/>
        </w:rPr>
        <w:t>135.752334</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万元，结余</w:t>
      </w:r>
      <w:r>
        <w:rPr>
          <w:rFonts w:hint="eastAsia" w:ascii="仿宋_GB2312" w:hAnsi="仿宋_GB2312" w:eastAsia="仿宋_GB2312" w:cs="仿宋_GB2312"/>
          <w:color w:val="auto"/>
          <w:kern w:val="0"/>
          <w:sz w:val="32"/>
          <w:szCs w:val="32"/>
          <w:highlight w:val="none"/>
          <w:u w:val="none"/>
          <w:shd w:val="clear" w:color="auto" w:fill="FFFFFF"/>
          <w:lang w:val="en-US" w:eastAsia="zh-CN"/>
        </w:rPr>
        <w:t>4.247666</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万元。结余资金于202</w:t>
      </w: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en-US" w:eastAsia="zh-CN"/>
        </w:rPr>
        <w:t>年12月</w:t>
      </w:r>
      <w:r>
        <w:rPr>
          <w:rFonts w:hint="eastAsia" w:ascii="仿宋_GB2312" w:hAnsi="仿宋_GB2312" w:eastAsia="仿宋_GB2312" w:cs="仿宋_GB2312"/>
          <w:color w:val="auto"/>
          <w:kern w:val="0"/>
          <w:sz w:val="32"/>
          <w:szCs w:val="32"/>
          <w:highlight w:val="none"/>
          <w:u w:val="none"/>
          <w:shd w:val="clear" w:color="auto" w:fill="FFFFFF"/>
          <w:lang w:val="en-US" w:eastAsia="zh-CN"/>
        </w:rPr>
        <w:t>底县财政局收回</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p>
    <w:p w14:paraId="55AF6B27">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楷体_GB2312" w:hAnsi="宋体" w:eastAsia="楷体_GB2312"/>
          <w:b/>
          <w:color w:val="auto"/>
          <w:sz w:val="32"/>
          <w:szCs w:val="32"/>
          <w:highlight w:val="none"/>
          <w:u w:val="none"/>
          <w:lang w:val="zh-CN"/>
        </w:rPr>
      </w:pPr>
      <w:r>
        <w:rPr>
          <w:rFonts w:hint="default" w:ascii="楷体_GB2312" w:hAnsi="宋体" w:eastAsia="楷体_GB2312"/>
          <w:b/>
          <w:color w:val="auto"/>
          <w:sz w:val="32"/>
          <w:szCs w:val="32"/>
          <w:highlight w:val="none"/>
          <w:u w:val="none"/>
          <w:lang w:val="zh-CN"/>
        </w:rPr>
        <w:t>（二）项目财务管理情况。</w:t>
      </w:r>
    </w:p>
    <w:p w14:paraId="0DE5705A">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根据阿坝州国投公司明细表，第一季度支出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33.883215</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万元，第二季度支出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34.219311</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万元，第三季度支出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34.21478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万元，第四季度支出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33.435028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p>
    <w:p w14:paraId="066DB0B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楷体_GB2312" w:hAnsi="宋体" w:eastAsia="楷体_GB2312"/>
          <w:b/>
          <w:color w:val="auto"/>
          <w:sz w:val="32"/>
          <w:szCs w:val="32"/>
          <w:highlight w:val="none"/>
          <w:u w:val="none"/>
          <w:lang w:val="zh-CN"/>
        </w:rPr>
      </w:pPr>
      <w:r>
        <w:rPr>
          <w:rFonts w:hint="default" w:ascii="楷体_GB2312" w:hAnsi="宋体" w:eastAsia="楷体_GB2312"/>
          <w:b/>
          <w:color w:val="auto"/>
          <w:sz w:val="32"/>
          <w:szCs w:val="32"/>
          <w:highlight w:val="none"/>
          <w:u w:val="none"/>
          <w:lang w:val="zh-CN"/>
        </w:rPr>
        <w:t>（三）项目组织实施情况。</w:t>
      </w:r>
    </w:p>
    <w:p w14:paraId="66EA8A90">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根据阿坝州国投公司明细表，第一季度支出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33.883215</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万元，第二季度支出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34.219311</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万元，第三季度支出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34.21478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万元，第四季度支出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33.435028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p>
    <w:p w14:paraId="77748A47">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default" w:ascii="黑体" w:hAnsi="宋体" w:eastAsia="黑体"/>
          <w:color w:val="auto"/>
          <w:sz w:val="32"/>
          <w:szCs w:val="32"/>
          <w:highlight w:val="none"/>
          <w:lang w:val="zh-CN"/>
        </w:rPr>
      </w:pPr>
      <w:bookmarkStart w:id="114" w:name="_Toc5041"/>
      <w:bookmarkStart w:id="115" w:name="_Toc22621"/>
      <w:r>
        <w:rPr>
          <w:rFonts w:hint="default" w:ascii="黑体" w:hAnsi="宋体" w:eastAsia="黑体"/>
          <w:color w:val="auto"/>
          <w:sz w:val="32"/>
          <w:szCs w:val="32"/>
          <w:highlight w:val="none"/>
        </w:rPr>
        <w:t>三、目标完成情况</w:t>
      </w:r>
      <w:bookmarkEnd w:id="114"/>
      <w:bookmarkEnd w:id="115"/>
      <w:r>
        <w:rPr>
          <w:rFonts w:hint="default" w:ascii="黑体" w:hAnsi="宋体" w:eastAsia="黑体"/>
          <w:color w:val="auto"/>
          <w:sz w:val="32"/>
          <w:szCs w:val="32"/>
          <w:highlight w:val="none"/>
          <w:lang w:val="zh-CN"/>
        </w:rPr>
        <w:tab/>
      </w:r>
    </w:p>
    <w:p w14:paraId="2A0FFA4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楷体_GB2312" w:hAnsi="宋体" w:eastAsia="楷体_GB2312"/>
          <w:b/>
          <w:color w:val="auto"/>
          <w:sz w:val="32"/>
          <w:szCs w:val="32"/>
          <w:highlight w:val="none"/>
          <w:u w:val="none"/>
          <w:lang w:val="zh-CN"/>
        </w:rPr>
      </w:pPr>
      <w:r>
        <w:rPr>
          <w:rFonts w:hint="default" w:ascii="楷体_GB2312" w:hAnsi="宋体" w:eastAsia="楷体_GB2312"/>
          <w:b/>
          <w:color w:val="auto"/>
          <w:sz w:val="32"/>
          <w:szCs w:val="32"/>
          <w:highlight w:val="none"/>
          <w:u w:val="none"/>
          <w:lang w:val="zh-CN"/>
        </w:rPr>
        <w:t>（一）目标任务量完成情况。</w:t>
      </w:r>
    </w:p>
    <w:p w14:paraId="3B940A01">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根据阿坝州国投公司明细表，第一季度支出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33.883215</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万元，第二季度支出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34.219311</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万元，第三季度支出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34.21478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万元，第四季度支出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33.435028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p>
    <w:p w14:paraId="2BC9987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楷体_GB2312" w:hAnsi="宋体" w:eastAsia="楷体_GB2312"/>
          <w:b/>
          <w:color w:val="auto"/>
          <w:sz w:val="32"/>
          <w:szCs w:val="32"/>
          <w:highlight w:val="none"/>
          <w:u w:val="none"/>
          <w:lang w:val="zh-CN"/>
        </w:rPr>
      </w:pPr>
      <w:r>
        <w:rPr>
          <w:rFonts w:hint="default" w:ascii="楷体_GB2312" w:hAnsi="宋体" w:eastAsia="楷体_GB2312"/>
          <w:b/>
          <w:color w:val="auto"/>
          <w:sz w:val="32"/>
          <w:szCs w:val="32"/>
          <w:highlight w:val="none"/>
          <w:u w:val="none"/>
          <w:lang w:val="zh-CN"/>
        </w:rPr>
        <w:t>（二）目标质量完成情况。</w:t>
      </w:r>
    </w:p>
    <w:p w14:paraId="2F92DEA6">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该项目实际支出资金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135.752334</w:t>
      </w:r>
      <w:r>
        <w:rPr>
          <w:rFonts w:hint="default" w:ascii="仿宋_GB2312" w:hAnsi="仿宋_GB2312" w:eastAsia="仿宋_GB2312" w:cs="仿宋_GB2312"/>
          <w:color w:val="auto"/>
          <w:kern w:val="0"/>
          <w:sz w:val="32"/>
          <w:szCs w:val="32"/>
          <w:highlight w:val="none"/>
          <w:u w:val="none"/>
          <w:shd w:val="clear" w:color="auto" w:fill="FFFFFF"/>
          <w:lang w:val="en-US" w:eastAsia="zh-CN"/>
        </w:rPr>
        <w:t>万元</w:t>
      </w:r>
      <w:r>
        <w:rPr>
          <w:rFonts w:hint="default" w:ascii="仿宋_GB2312" w:hAnsi="仿宋_GB2312" w:eastAsia="仿宋_GB2312" w:cs="仿宋_GB2312"/>
          <w:color w:val="auto"/>
          <w:kern w:val="0"/>
          <w:sz w:val="32"/>
          <w:szCs w:val="32"/>
          <w:highlight w:val="none"/>
          <w:u w:val="none"/>
          <w:shd w:val="clear" w:color="auto" w:fill="FFFFFF"/>
          <w:lang w:val="zh-CN" w:eastAsia="zh-CN"/>
        </w:rPr>
        <w:t>；每季度支出金额由阿坝州国投公司提供应支付明细表，我县据实支付</w:t>
      </w:r>
      <w:r>
        <w:rPr>
          <w:rFonts w:hint="eastAsia" w:ascii="仿宋_GB2312" w:hAnsi="仿宋_GB2312" w:eastAsia="仿宋_GB2312" w:cs="仿宋_GB2312"/>
          <w:color w:val="auto"/>
          <w:kern w:val="0"/>
          <w:sz w:val="32"/>
          <w:szCs w:val="32"/>
          <w:highlight w:val="none"/>
          <w:u w:val="none"/>
          <w:shd w:val="clear" w:color="auto" w:fill="FFFFFF"/>
          <w:lang w:val="en-US" w:eastAsia="zh-CN"/>
        </w:rPr>
        <w:t>135.752334</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万元，结余</w:t>
      </w:r>
      <w:r>
        <w:rPr>
          <w:rFonts w:hint="eastAsia" w:ascii="仿宋_GB2312" w:hAnsi="仿宋_GB2312" w:eastAsia="仿宋_GB2312" w:cs="仿宋_GB2312"/>
          <w:color w:val="auto"/>
          <w:kern w:val="0"/>
          <w:sz w:val="32"/>
          <w:szCs w:val="32"/>
          <w:highlight w:val="none"/>
          <w:u w:val="none"/>
          <w:shd w:val="clear" w:color="auto" w:fill="FFFFFF"/>
          <w:lang w:val="en-US" w:eastAsia="zh-CN"/>
        </w:rPr>
        <w:t>4.247666</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万元。结余资金于202</w:t>
      </w: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en-US" w:eastAsia="zh-CN"/>
        </w:rPr>
        <w:t>年12月</w:t>
      </w:r>
      <w:r>
        <w:rPr>
          <w:rFonts w:hint="eastAsia" w:ascii="仿宋_GB2312" w:hAnsi="仿宋_GB2312" w:eastAsia="仿宋_GB2312" w:cs="仿宋_GB2312"/>
          <w:color w:val="auto"/>
          <w:kern w:val="0"/>
          <w:sz w:val="32"/>
          <w:szCs w:val="32"/>
          <w:highlight w:val="none"/>
          <w:u w:val="none"/>
          <w:shd w:val="clear" w:color="auto" w:fill="FFFFFF"/>
          <w:lang w:val="en-US" w:eastAsia="zh-CN"/>
        </w:rPr>
        <w:t>底</w:t>
      </w:r>
      <w:r>
        <w:rPr>
          <w:rFonts w:hint="default" w:ascii="仿宋_GB2312" w:hAnsi="仿宋_GB2312" w:eastAsia="仿宋_GB2312" w:cs="仿宋_GB2312"/>
          <w:color w:val="auto"/>
          <w:kern w:val="0"/>
          <w:sz w:val="32"/>
          <w:szCs w:val="32"/>
          <w:highlight w:val="none"/>
          <w:u w:val="none"/>
          <w:shd w:val="clear" w:color="auto" w:fill="FFFFFF"/>
          <w:lang w:val="en-US" w:eastAsia="zh-CN"/>
        </w:rPr>
        <w:t>县</w:t>
      </w:r>
      <w:r>
        <w:rPr>
          <w:rFonts w:hint="eastAsia" w:ascii="仿宋_GB2312" w:hAnsi="仿宋_GB2312" w:eastAsia="仿宋_GB2312" w:cs="仿宋_GB2312"/>
          <w:color w:val="auto"/>
          <w:kern w:val="0"/>
          <w:sz w:val="32"/>
          <w:szCs w:val="32"/>
          <w:highlight w:val="none"/>
          <w:u w:val="none"/>
          <w:shd w:val="clear" w:color="auto" w:fill="FFFFFF"/>
          <w:lang w:val="en-US" w:eastAsia="zh-CN"/>
        </w:rPr>
        <w:t>财政局收回</w:t>
      </w:r>
      <w:r>
        <w:rPr>
          <w:rFonts w:hint="default" w:ascii="仿宋_GB2312" w:hAnsi="仿宋_GB2312" w:eastAsia="仿宋_GB2312" w:cs="仿宋_GB2312"/>
          <w:color w:val="auto"/>
          <w:kern w:val="0"/>
          <w:sz w:val="32"/>
          <w:szCs w:val="32"/>
          <w:highlight w:val="none"/>
          <w:u w:val="none"/>
          <w:shd w:val="clear" w:color="auto" w:fill="FFFFFF"/>
          <w:lang w:val="zh-CN" w:eastAsia="zh-CN"/>
        </w:rPr>
        <w:t>。高质量完成该项目。</w:t>
      </w:r>
    </w:p>
    <w:p w14:paraId="53FFCBB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楷体_GB2312" w:hAnsi="宋体" w:eastAsia="楷体_GB2312"/>
          <w:b/>
          <w:color w:val="auto"/>
          <w:sz w:val="32"/>
          <w:szCs w:val="32"/>
          <w:highlight w:val="none"/>
          <w:u w:val="none"/>
          <w:lang w:val="zh-CN"/>
        </w:rPr>
      </w:pPr>
      <w:r>
        <w:rPr>
          <w:rFonts w:hint="default" w:ascii="楷体_GB2312" w:hAnsi="宋体" w:eastAsia="楷体_GB2312"/>
          <w:b/>
          <w:color w:val="auto"/>
          <w:sz w:val="32"/>
          <w:szCs w:val="32"/>
          <w:highlight w:val="none"/>
          <w:u w:val="none"/>
          <w:lang w:val="zh-CN"/>
        </w:rPr>
        <w:t>（三）目标进度完成情况。</w:t>
      </w:r>
    </w:p>
    <w:p w14:paraId="2E6B7674">
      <w:pPr>
        <w:adjustRightInd w:val="0"/>
        <w:snapToGrid w:val="0"/>
        <w:spacing w:line="56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根据阿坝州国投公司明细表，第一季度支出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33.883215</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万元，第二季度支出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34.219311</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万元，第三季度支出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34.21478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万元，第四季度支出</w:t>
      </w:r>
      <w:r>
        <w:rPr>
          <w:rFonts w:hint="eastAsia" w:ascii="仿宋_GB2312" w:hAnsi="仿宋_GB2312" w:eastAsia="仿宋_GB2312" w:cs="仿宋_GB2312"/>
          <w:color w:val="auto"/>
          <w:kern w:val="0"/>
          <w:sz w:val="32"/>
          <w:szCs w:val="32"/>
          <w:highlight w:val="none"/>
          <w:u w:val="none"/>
          <w:shd w:val="clear" w:color="auto" w:fill="FFFFFF"/>
          <w:lang w:val="en-US" w:eastAsia="zh-CN"/>
        </w:rPr>
        <w:t>33.435028</w:t>
      </w:r>
      <w:r>
        <w:rPr>
          <w:rFonts w:hint="default" w:ascii="仿宋_GB2312" w:hAnsi="仿宋_GB2312" w:eastAsia="仿宋_GB2312" w:cs="仿宋_GB2312"/>
          <w:color w:val="auto"/>
          <w:kern w:val="0"/>
          <w:sz w:val="32"/>
          <w:szCs w:val="32"/>
          <w:highlight w:val="none"/>
          <w:u w:val="none"/>
          <w:shd w:val="clear" w:color="auto" w:fill="FFFFFF"/>
          <w:lang w:val="en-US" w:eastAsia="zh-CN"/>
        </w:rPr>
        <w:t>万元</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p>
    <w:p w14:paraId="560074E2">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default" w:ascii="黑体" w:hAnsi="宋体" w:eastAsia="黑体"/>
          <w:color w:val="auto"/>
          <w:sz w:val="32"/>
          <w:szCs w:val="32"/>
          <w:highlight w:val="none"/>
        </w:rPr>
      </w:pPr>
      <w:bookmarkStart w:id="116" w:name="_Toc17745"/>
      <w:bookmarkStart w:id="117" w:name="_Toc1080"/>
      <w:r>
        <w:rPr>
          <w:rFonts w:hint="default" w:ascii="黑体" w:hAnsi="宋体" w:eastAsia="黑体"/>
          <w:color w:val="auto"/>
          <w:sz w:val="32"/>
          <w:szCs w:val="32"/>
          <w:highlight w:val="none"/>
        </w:rPr>
        <w:t>四、项目效益情况</w:t>
      </w:r>
      <w:bookmarkEnd w:id="116"/>
      <w:bookmarkEnd w:id="117"/>
    </w:p>
    <w:p w14:paraId="164E560E">
      <w:pPr>
        <w:adjustRightInd w:val="0"/>
        <w:snapToGrid w:val="0"/>
        <w:spacing w:line="560" w:lineRule="exact"/>
        <w:ind w:firstLine="640" w:firstLineChars="200"/>
        <w:rPr>
          <w:rFonts w:hint="default" w:ascii="Times New Roman" w:hAnsi="Times New Roman" w:cs="Times New Roman"/>
          <w:szCs w:val="32"/>
          <w:lang w:val="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该项目的实施主要是为易地扶贫搬迁项目提供有力的资金保障</w:t>
      </w:r>
      <w:r>
        <w:rPr>
          <w:rFonts w:hint="default" w:ascii="仿宋_GB2312" w:hAnsi="仿宋_GB2312" w:eastAsia="仿宋_GB2312" w:cs="仿宋_GB2312"/>
          <w:color w:val="auto"/>
          <w:kern w:val="0"/>
          <w:sz w:val="32"/>
          <w:szCs w:val="32"/>
          <w:highlight w:val="none"/>
          <w:u w:val="none"/>
          <w:shd w:val="clear" w:color="auto" w:fill="FFFFFF"/>
          <w:lang w:val="zh-CN"/>
        </w:rPr>
        <w:t>，充分发挥国家</w:t>
      </w:r>
      <w:r>
        <w:rPr>
          <w:rFonts w:hint="default" w:ascii="仿宋_GB2312" w:hAnsi="仿宋_GB2312" w:eastAsia="仿宋_GB2312" w:cs="仿宋_GB2312"/>
          <w:color w:val="auto"/>
          <w:kern w:val="0"/>
          <w:sz w:val="32"/>
          <w:szCs w:val="32"/>
          <w:highlight w:val="none"/>
          <w:u w:val="none"/>
          <w:shd w:val="clear" w:color="auto" w:fill="FFFFFF"/>
          <w:lang w:val="en-US" w:eastAsia="zh-CN"/>
        </w:rPr>
        <w:t>财政</w:t>
      </w:r>
      <w:r>
        <w:rPr>
          <w:rFonts w:hint="default" w:ascii="仿宋_GB2312" w:hAnsi="仿宋_GB2312" w:eastAsia="仿宋_GB2312" w:cs="仿宋_GB2312"/>
          <w:color w:val="auto"/>
          <w:kern w:val="0"/>
          <w:sz w:val="32"/>
          <w:szCs w:val="32"/>
          <w:highlight w:val="none"/>
          <w:u w:val="none"/>
          <w:shd w:val="clear" w:color="auto" w:fill="FFFFFF"/>
          <w:lang w:val="zh-CN"/>
        </w:rPr>
        <w:t>支付的政策导向功能，提高资金的使用</w:t>
      </w:r>
      <w:r>
        <w:rPr>
          <w:rFonts w:hint="default" w:ascii="仿宋_GB2312" w:hAnsi="仿宋_GB2312" w:eastAsia="仿宋_GB2312" w:cs="仿宋_GB2312"/>
          <w:color w:val="auto"/>
          <w:kern w:val="0"/>
          <w:sz w:val="32"/>
          <w:szCs w:val="32"/>
          <w:highlight w:val="none"/>
          <w:u w:val="none"/>
          <w:shd w:val="clear" w:color="auto" w:fill="FFFFFF"/>
          <w:lang w:val="zh-CN" w:eastAsia="zh-CN"/>
        </w:rPr>
        <w:t>，减轻搬迁群众压力，提高搬迁群众幸福指数</w:t>
      </w:r>
      <w:r>
        <w:rPr>
          <w:rFonts w:hint="default" w:ascii="仿宋_GB2312" w:hAnsi="仿宋_GB2312" w:eastAsia="仿宋_GB2312" w:cs="仿宋_GB2312"/>
          <w:color w:val="auto"/>
          <w:kern w:val="0"/>
          <w:sz w:val="32"/>
          <w:szCs w:val="32"/>
          <w:highlight w:val="none"/>
          <w:u w:val="none"/>
          <w:shd w:val="clear" w:color="auto" w:fill="FFFFFF"/>
          <w:lang w:val="zh-CN"/>
        </w:rPr>
        <w:t>。</w:t>
      </w:r>
    </w:p>
    <w:p w14:paraId="385A6B20">
      <w:pPr>
        <w:rPr>
          <w:rFonts w:hint="default" w:ascii="Times New Roman" w:hAnsi="Times New Roman" w:cs="Times New Roman"/>
        </w:rPr>
      </w:pPr>
    </w:p>
    <w:p w14:paraId="2EB666D9">
      <w:pPr>
        <w:rPr>
          <w:rFonts w:hint="default" w:ascii="Times New Roman" w:hAnsi="Times New Roman" w:cs="Times New Roman"/>
        </w:rPr>
      </w:pPr>
    </w:p>
    <w:p w14:paraId="1DAD3E4B">
      <w:pPr>
        <w:rPr>
          <w:rFonts w:hint="default" w:ascii="Times New Roman" w:hAnsi="Times New Roman" w:cs="Times New Roman"/>
        </w:rPr>
      </w:pPr>
    </w:p>
    <w:p w14:paraId="63411820">
      <w:pPr>
        <w:rPr>
          <w:rFonts w:hint="default" w:ascii="Times New Roman" w:hAnsi="Times New Roman" w:cs="Times New Roman"/>
        </w:rPr>
      </w:pPr>
    </w:p>
    <w:p w14:paraId="328796B2">
      <w:pPr>
        <w:spacing w:line="600" w:lineRule="exact"/>
        <w:jc w:val="both"/>
        <w:outlineLvl w:val="9"/>
        <w:rPr>
          <w:rFonts w:hint="eastAsia" w:ascii="黑体" w:hAnsi="黑体" w:eastAsia="黑体"/>
          <w:color w:val="auto"/>
          <w:sz w:val="44"/>
          <w:szCs w:val="44"/>
          <w:highlight w:val="none"/>
        </w:rPr>
      </w:pPr>
      <w:bookmarkStart w:id="118" w:name="_Toc15396618"/>
      <w:bookmarkStart w:id="119" w:name="_Toc19916"/>
    </w:p>
    <w:p w14:paraId="169EBAFC">
      <w:pPr>
        <w:spacing w:line="600" w:lineRule="exact"/>
        <w:jc w:val="both"/>
        <w:outlineLvl w:val="9"/>
        <w:rPr>
          <w:rFonts w:hint="eastAsia" w:ascii="黑体" w:hAnsi="黑体" w:eastAsia="黑体"/>
          <w:color w:val="auto"/>
          <w:sz w:val="44"/>
          <w:szCs w:val="44"/>
          <w:highlight w:val="none"/>
        </w:rPr>
      </w:pPr>
    </w:p>
    <w:p w14:paraId="6519BC60">
      <w:pPr>
        <w:spacing w:line="600" w:lineRule="exact"/>
        <w:jc w:val="both"/>
        <w:outlineLvl w:val="0"/>
        <w:rPr>
          <w:rFonts w:hint="eastAsia" w:ascii="黑体" w:hAnsi="黑体" w:eastAsia="黑体"/>
          <w:color w:val="auto"/>
          <w:sz w:val="44"/>
          <w:szCs w:val="44"/>
          <w:highlight w:val="none"/>
        </w:rPr>
      </w:pPr>
    </w:p>
    <w:p w14:paraId="7BA71CBD">
      <w:pPr>
        <w:spacing w:line="600" w:lineRule="exact"/>
        <w:jc w:val="center"/>
        <w:outlineLvl w:val="0"/>
        <w:rPr>
          <w:rStyle w:val="31"/>
          <w:rFonts w:hint="eastAsia" w:ascii="黑体" w:hAnsi="黑体" w:eastAsia="黑体"/>
          <w:b w:val="0"/>
          <w:color w:val="auto"/>
          <w:highlight w:val="none"/>
        </w:rPr>
      </w:pPr>
      <w:bookmarkStart w:id="120" w:name="_Toc12768"/>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87"/>
      <w:bookmarkEnd w:id="118"/>
      <w:bookmarkEnd w:id="119"/>
      <w:bookmarkEnd w:id="120"/>
      <w:bookmarkStart w:id="121" w:name="_Toc15396619"/>
    </w:p>
    <w:p w14:paraId="2B3BAABB">
      <w:pPr>
        <w:pStyle w:val="4"/>
        <w:rPr>
          <w:rFonts w:ascii="仿宋" w:hAnsi="仿宋" w:eastAsia="仿宋"/>
          <w:color w:val="auto"/>
          <w:highlight w:val="none"/>
        </w:rPr>
      </w:pPr>
      <w:bookmarkStart w:id="122" w:name="_Toc18169"/>
      <w:bookmarkStart w:id="123" w:name="_Toc8623"/>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121"/>
      <w:bookmarkEnd w:id="122"/>
      <w:bookmarkEnd w:id="123"/>
    </w:p>
    <w:p w14:paraId="0F1D5F29">
      <w:pPr>
        <w:pStyle w:val="4"/>
        <w:rPr>
          <w:rFonts w:ascii="仿宋" w:hAnsi="仿宋" w:eastAsia="仿宋"/>
          <w:color w:val="auto"/>
          <w:highlight w:val="none"/>
        </w:rPr>
      </w:pPr>
      <w:bookmarkStart w:id="124" w:name="_Toc9091"/>
      <w:bookmarkStart w:id="125" w:name="_Toc15396620"/>
      <w:bookmarkStart w:id="126" w:name="_Toc668"/>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124"/>
      <w:bookmarkEnd w:id="125"/>
      <w:bookmarkEnd w:id="126"/>
    </w:p>
    <w:p w14:paraId="632BEC57">
      <w:pPr>
        <w:pStyle w:val="4"/>
        <w:rPr>
          <w:rFonts w:ascii="仿宋" w:hAnsi="仿宋" w:eastAsia="仿宋"/>
          <w:color w:val="auto"/>
          <w:highlight w:val="none"/>
        </w:rPr>
      </w:pPr>
      <w:bookmarkStart w:id="127" w:name="_Toc30174"/>
      <w:bookmarkStart w:id="128" w:name="_Toc15396621"/>
      <w:bookmarkStart w:id="129" w:name="_Toc16052"/>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27"/>
      <w:bookmarkEnd w:id="128"/>
      <w:bookmarkEnd w:id="129"/>
    </w:p>
    <w:p w14:paraId="26FBDAA5">
      <w:pPr>
        <w:pStyle w:val="4"/>
        <w:rPr>
          <w:rFonts w:ascii="仿宋" w:hAnsi="仿宋" w:eastAsia="仿宋"/>
          <w:b w:val="0"/>
          <w:color w:val="auto"/>
          <w:highlight w:val="none"/>
        </w:rPr>
      </w:pPr>
      <w:bookmarkStart w:id="130" w:name="_Toc18002"/>
      <w:bookmarkStart w:id="131" w:name="_Toc15396622"/>
      <w:bookmarkStart w:id="132" w:name="_Toc24065"/>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30"/>
      <w:bookmarkEnd w:id="131"/>
      <w:bookmarkEnd w:id="132"/>
    </w:p>
    <w:p w14:paraId="7557C2E4">
      <w:pPr>
        <w:pStyle w:val="4"/>
        <w:rPr>
          <w:rStyle w:val="32"/>
          <w:rFonts w:ascii="仿宋" w:hAnsi="仿宋" w:eastAsia="仿宋"/>
          <w:b w:val="0"/>
          <w:bCs w:val="0"/>
          <w:color w:val="auto"/>
          <w:highlight w:val="none"/>
        </w:rPr>
      </w:pPr>
      <w:bookmarkStart w:id="133" w:name="_Toc16408"/>
      <w:bookmarkStart w:id="134" w:name="_Toc15396623"/>
      <w:bookmarkStart w:id="135" w:name="_Toc29901"/>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33"/>
      <w:bookmarkEnd w:id="134"/>
      <w:bookmarkEnd w:id="135"/>
      <w:bookmarkStart w:id="136" w:name="_Toc15396624"/>
    </w:p>
    <w:p w14:paraId="4D77F878">
      <w:pPr>
        <w:pStyle w:val="4"/>
        <w:rPr>
          <w:rFonts w:ascii="仿宋" w:hAnsi="仿宋" w:eastAsia="仿宋"/>
          <w:color w:val="auto"/>
          <w:highlight w:val="none"/>
        </w:rPr>
      </w:pPr>
      <w:bookmarkStart w:id="137" w:name="_Toc3153"/>
      <w:bookmarkStart w:id="138" w:name="_Toc17415"/>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36"/>
      <w:bookmarkEnd w:id="137"/>
      <w:bookmarkEnd w:id="138"/>
    </w:p>
    <w:p w14:paraId="621438F7">
      <w:pPr>
        <w:pStyle w:val="4"/>
        <w:rPr>
          <w:rFonts w:ascii="仿宋" w:hAnsi="仿宋" w:eastAsia="仿宋"/>
          <w:color w:val="auto"/>
          <w:highlight w:val="none"/>
        </w:rPr>
      </w:pPr>
      <w:bookmarkStart w:id="139" w:name="_Toc15396625"/>
      <w:bookmarkStart w:id="140" w:name="_Toc19001"/>
      <w:bookmarkStart w:id="141" w:name="_Toc1646"/>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39"/>
      <w:bookmarkEnd w:id="140"/>
      <w:bookmarkEnd w:id="141"/>
    </w:p>
    <w:p w14:paraId="545703B5">
      <w:pPr>
        <w:pStyle w:val="4"/>
        <w:rPr>
          <w:rFonts w:ascii="仿宋" w:hAnsi="仿宋" w:eastAsia="仿宋"/>
          <w:color w:val="auto"/>
          <w:highlight w:val="none"/>
        </w:rPr>
      </w:pPr>
      <w:bookmarkStart w:id="142" w:name="_Toc31546"/>
      <w:bookmarkStart w:id="143" w:name="_Toc15396626"/>
      <w:bookmarkStart w:id="144" w:name="_Toc11813"/>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42"/>
      <w:bookmarkEnd w:id="143"/>
      <w:bookmarkEnd w:id="144"/>
    </w:p>
    <w:p w14:paraId="5B5ACFA9">
      <w:pPr>
        <w:pStyle w:val="4"/>
        <w:rPr>
          <w:rFonts w:ascii="仿宋" w:hAnsi="仿宋" w:eastAsia="仿宋"/>
          <w:color w:val="auto"/>
          <w:highlight w:val="none"/>
        </w:rPr>
      </w:pPr>
      <w:bookmarkStart w:id="145" w:name="_Toc15396627"/>
      <w:bookmarkStart w:id="146" w:name="_Toc28857"/>
      <w:bookmarkStart w:id="147" w:name="_Toc11432"/>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45"/>
      <w:bookmarkEnd w:id="146"/>
      <w:bookmarkEnd w:id="147"/>
    </w:p>
    <w:p w14:paraId="1A246AC9">
      <w:pPr>
        <w:pStyle w:val="4"/>
        <w:rPr>
          <w:rFonts w:ascii="仿宋" w:hAnsi="仿宋" w:eastAsia="仿宋"/>
          <w:color w:val="auto"/>
          <w:highlight w:val="none"/>
        </w:rPr>
      </w:pPr>
      <w:bookmarkStart w:id="148" w:name="_Toc15396628"/>
      <w:bookmarkStart w:id="149" w:name="_Toc23720"/>
      <w:bookmarkStart w:id="150" w:name="_Toc18652"/>
      <w:r>
        <w:rPr>
          <w:rStyle w:val="32"/>
          <w:rFonts w:hint="eastAsia" w:ascii="仿宋" w:hAnsi="仿宋" w:eastAsia="仿宋"/>
          <w:b w:val="0"/>
          <w:bCs w:val="0"/>
          <w:color w:val="auto"/>
          <w:highlight w:val="none"/>
        </w:rPr>
        <w:t>十、</w:t>
      </w:r>
      <w:bookmarkEnd w:id="148"/>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49"/>
      <w:bookmarkEnd w:id="150"/>
    </w:p>
    <w:p w14:paraId="5919C1AF">
      <w:pPr>
        <w:pStyle w:val="4"/>
        <w:rPr>
          <w:rFonts w:ascii="仿宋" w:hAnsi="仿宋" w:eastAsia="仿宋"/>
          <w:color w:val="auto"/>
          <w:highlight w:val="none"/>
        </w:rPr>
      </w:pPr>
      <w:bookmarkStart w:id="151" w:name="_Toc15396629"/>
      <w:bookmarkStart w:id="152" w:name="_Toc16835"/>
      <w:bookmarkStart w:id="153" w:name="_Toc762"/>
      <w:r>
        <w:rPr>
          <w:rStyle w:val="32"/>
          <w:rFonts w:hint="eastAsia" w:ascii="仿宋" w:hAnsi="仿宋" w:eastAsia="仿宋"/>
          <w:b w:val="0"/>
          <w:bCs w:val="0"/>
          <w:color w:val="auto"/>
          <w:highlight w:val="none"/>
        </w:rPr>
        <w:t>十一、</w:t>
      </w:r>
      <w:bookmarkEnd w:id="151"/>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52"/>
      <w:bookmarkEnd w:id="153"/>
    </w:p>
    <w:p w14:paraId="2DC28A5A">
      <w:pPr>
        <w:pStyle w:val="4"/>
        <w:rPr>
          <w:rFonts w:ascii="仿宋" w:hAnsi="仿宋" w:eastAsia="仿宋"/>
          <w:color w:val="auto"/>
          <w:highlight w:val="none"/>
        </w:rPr>
      </w:pPr>
      <w:bookmarkStart w:id="154" w:name="_Toc15396630"/>
      <w:bookmarkStart w:id="155" w:name="_Toc11565"/>
      <w:bookmarkStart w:id="156" w:name="_Toc26274"/>
      <w:r>
        <w:rPr>
          <w:rStyle w:val="32"/>
          <w:rFonts w:hint="eastAsia" w:ascii="仿宋" w:hAnsi="仿宋" w:eastAsia="仿宋"/>
          <w:b w:val="0"/>
          <w:bCs w:val="0"/>
          <w:color w:val="auto"/>
          <w:highlight w:val="none"/>
        </w:rPr>
        <w:t>十二、</w:t>
      </w:r>
      <w:bookmarkEnd w:id="154"/>
      <w:r>
        <w:rPr>
          <w:rStyle w:val="32"/>
          <w:rFonts w:hint="eastAsia" w:ascii="仿宋" w:hAnsi="仿宋" w:eastAsia="仿宋"/>
          <w:b w:val="0"/>
          <w:bCs w:val="0"/>
          <w:color w:val="auto"/>
          <w:highlight w:val="none"/>
          <w:lang w:eastAsia="zh-CN"/>
        </w:rPr>
        <w:t>国有资本经营预算财政拨款支出决算表</w:t>
      </w:r>
      <w:bookmarkEnd w:id="155"/>
      <w:bookmarkEnd w:id="156"/>
    </w:p>
    <w:p w14:paraId="2B432410">
      <w:pPr>
        <w:pStyle w:val="4"/>
        <w:rPr>
          <w:rStyle w:val="32"/>
          <w:rFonts w:hint="eastAsia" w:ascii="仿宋" w:hAnsi="仿宋" w:eastAsia="仿宋"/>
          <w:b w:val="0"/>
          <w:bCs w:val="0"/>
          <w:color w:val="auto"/>
          <w:highlight w:val="none"/>
          <w:lang w:eastAsia="zh-CN"/>
        </w:rPr>
      </w:pPr>
      <w:bookmarkStart w:id="157" w:name="_Toc15396631"/>
      <w:bookmarkStart w:id="158" w:name="_Toc6762"/>
      <w:bookmarkStart w:id="159" w:name="_Toc2833"/>
      <w:r>
        <w:rPr>
          <w:rStyle w:val="32"/>
          <w:rFonts w:hint="eastAsia" w:ascii="仿宋" w:hAnsi="仿宋" w:eastAsia="仿宋"/>
          <w:b w:val="0"/>
          <w:bCs w:val="0"/>
          <w:color w:val="auto"/>
          <w:highlight w:val="none"/>
        </w:rPr>
        <w:t>十三、</w:t>
      </w:r>
      <w:bookmarkEnd w:id="157"/>
      <w:r>
        <w:rPr>
          <w:rStyle w:val="32"/>
          <w:rFonts w:hint="eastAsia" w:ascii="仿宋" w:hAnsi="仿宋" w:eastAsia="仿宋"/>
          <w:b w:val="0"/>
          <w:bCs w:val="0"/>
          <w:color w:val="auto"/>
          <w:highlight w:val="none"/>
          <w:lang w:eastAsia="zh-CN"/>
        </w:rPr>
        <w:t>财政拨款“三公”经费支出决算表</w:t>
      </w:r>
      <w:bookmarkEnd w:id="158"/>
      <w:bookmarkEnd w:id="159"/>
    </w:p>
    <w:p w14:paraId="206E894D">
      <w:pPr>
        <w:pStyle w:val="4"/>
        <w:rPr>
          <w:rStyle w:val="43"/>
          <w:rFonts w:hint="default" w:ascii="Times New Roman" w:hAnsi="Times New Roman" w:eastAsia="仿宋" w:cs="Times New Roman"/>
          <w:b w:val="0"/>
          <w:bCs w:val="0"/>
        </w:rPr>
      </w:pPr>
      <w:bookmarkStart w:id="160" w:name="_Toc22760"/>
      <w:bookmarkStart w:id="161" w:name="_Toc79163649"/>
      <w:bookmarkStart w:id="162" w:name="_Toc79163899"/>
      <w:bookmarkStart w:id="163" w:name="_Toc24381"/>
      <w:r>
        <w:rPr>
          <w:rStyle w:val="43"/>
          <w:rFonts w:hint="default" w:ascii="Times New Roman" w:hAnsi="Times New Roman" w:eastAsia="仿宋" w:cs="Times New Roman"/>
          <w:b w:val="0"/>
          <w:bCs w:val="0"/>
        </w:rPr>
        <w:t>十四、国有资本经营预算财政拨款支出决算表</w:t>
      </w:r>
      <w:bookmarkEnd w:id="160"/>
      <w:bookmarkEnd w:id="161"/>
      <w:bookmarkEnd w:id="162"/>
      <w:bookmarkEnd w:id="163"/>
    </w:p>
    <w:p w14:paraId="37909EB8">
      <w:pPr>
        <w:rPr>
          <w:rFonts w:hint="eastAsia"/>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 PL UKai CN">
    <w:altName w:val="宋体"/>
    <w:panose1 w:val="02000503000000000000"/>
    <w:charset w:val="86"/>
    <w:family w:val="script"/>
    <w:pitch w:val="default"/>
    <w:sig w:usb0="00000000" w:usb1="00000000" w:usb2="00000036" w:usb3="00000000" w:csb0="2016009F" w:csb1="DFD7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B433C83">
        <w:pPr>
          <w:pStyle w:val="11"/>
          <w:jc w:val="center"/>
        </w:pPr>
        <w:r>
          <w:fldChar w:fldCharType="begin"/>
        </w:r>
        <w:r>
          <w:instrText xml:space="preserve">PAGE   \* MERGEFORMAT</w:instrText>
        </w:r>
        <w:r>
          <w:fldChar w:fldCharType="separate"/>
        </w:r>
        <w:r>
          <w:rPr>
            <w:lang w:val="zh-CN"/>
          </w:rPr>
          <w:t>8</w:t>
        </w:r>
        <w:r>
          <w:fldChar w:fldCharType="end"/>
        </w:r>
      </w:p>
    </w:sdtContent>
  </w:sdt>
  <w:p w14:paraId="5B0576C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3E1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3F0AA"/>
    <w:multiLevelType w:val="singleLevel"/>
    <w:tmpl w:val="A093F0AA"/>
    <w:lvl w:ilvl="0" w:tentative="0">
      <w:start w:val="1"/>
      <w:numFmt w:val="chineseCounting"/>
      <w:suff w:val="nothing"/>
      <w:lvlText w:val="（%1）"/>
      <w:lvlJc w:val="left"/>
      <w:rPr>
        <w:rFonts w:hint="eastAsia"/>
      </w:rPr>
    </w:lvl>
  </w:abstractNum>
  <w:abstractNum w:abstractNumId="1">
    <w:nsid w:val="CB63E22B"/>
    <w:multiLevelType w:val="singleLevel"/>
    <w:tmpl w:val="CB63E22B"/>
    <w:lvl w:ilvl="0" w:tentative="0">
      <w:start w:val="1"/>
      <w:numFmt w:val="chineseCounting"/>
      <w:suff w:val="nothing"/>
      <w:lvlText w:val="（%1）"/>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NTk2MGRhNThmNmQ3YWZlYjI1NzBhYmY4ODg0Nj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57174"/>
    <w:rsid w:val="015975B8"/>
    <w:rsid w:val="02143E91"/>
    <w:rsid w:val="066E0107"/>
    <w:rsid w:val="07996F6E"/>
    <w:rsid w:val="0A2032A3"/>
    <w:rsid w:val="0A9720A4"/>
    <w:rsid w:val="0AAF19F2"/>
    <w:rsid w:val="0C210BDA"/>
    <w:rsid w:val="0F98263C"/>
    <w:rsid w:val="100C4414"/>
    <w:rsid w:val="101860EC"/>
    <w:rsid w:val="10831E63"/>
    <w:rsid w:val="10A342B4"/>
    <w:rsid w:val="10C055FF"/>
    <w:rsid w:val="118107EC"/>
    <w:rsid w:val="12677762"/>
    <w:rsid w:val="12F44320"/>
    <w:rsid w:val="13D50BC4"/>
    <w:rsid w:val="16BB723D"/>
    <w:rsid w:val="18C056F0"/>
    <w:rsid w:val="1BE8440E"/>
    <w:rsid w:val="1D155CEE"/>
    <w:rsid w:val="1EF95861"/>
    <w:rsid w:val="1FF35744"/>
    <w:rsid w:val="216E6218"/>
    <w:rsid w:val="23860B96"/>
    <w:rsid w:val="240371BF"/>
    <w:rsid w:val="27F71B38"/>
    <w:rsid w:val="28520641"/>
    <w:rsid w:val="29FD04D3"/>
    <w:rsid w:val="2C8A61B5"/>
    <w:rsid w:val="2DF04E50"/>
    <w:rsid w:val="2F040D46"/>
    <w:rsid w:val="2FB46BCA"/>
    <w:rsid w:val="300E44B6"/>
    <w:rsid w:val="319F7F4E"/>
    <w:rsid w:val="3304709D"/>
    <w:rsid w:val="35A3501A"/>
    <w:rsid w:val="35AB1391"/>
    <w:rsid w:val="36AA5135"/>
    <w:rsid w:val="376D39B2"/>
    <w:rsid w:val="37C1528B"/>
    <w:rsid w:val="37E16F03"/>
    <w:rsid w:val="38862517"/>
    <w:rsid w:val="38D469F0"/>
    <w:rsid w:val="38FF630B"/>
    <w:rsid w:val="3C5A4785"/>
    <w:rsid w:val="3D98207C"/>
    <w:rsid w:val="3E78745D"/>
    <w:rsid w:val="44E268DA"/>
    <w:rsid w:val="467F21AA"/>
    <w:rsid w:val="48D11492"/>
    <w:rsid w:val="4A5F74A9"/>
    <w:rsid w:val="4A627F82"/>
    <w:rsid w:val="4B0E749A"/>
    <w:rsid w:val="4B4F25DA"/>
    <w:rsid w:val="4BE068DB"/>
    <w:rsid w:val="4D577224"/>
    <w:rsid w:val="4D673998"/>
    <w:rsid w:val="4EAB630A"/>
    <w:rsid w:val="4ECE2238"/>
    <w:rsid w:val="4FB3346A"/>
    <w:rsid w:val="50FB4B23"/>
    <w:rsid w:val="537E6D0A"/>
    <w:rsid w:val="5AF92295"/>
    <w:rsid w:val="5B5ECB97"/>
    <w:rsid w:val="5BFB00CD"/>
    <w:rsid w:val="5CB40377"/>
    <w:rsid w:val="5CD71FC4"/>
    <w:rsid w:val="63EC6454"/>
    <w:rsid w:val="64191E8D"/>
    <w:rsid w:val="646F1658"/>
    <w:rsid w:val="66D2061F"/>
    <w:rsid w:val="68996CA3"/>
    <w:rsid w:val="6C4A05C8"/>
    <w:rsid w:val="6E7E3605"/>
    <w:rsid w:val="6FF5CC65"/>
    <w:rsid w:val="715C0E4B"/>
    <w:rsid w:val="72734D90"/>
    <w:rsid w:val="73AD73D5"/>
    <w:rsid w:val="73B6EB34"/>
    <w:rsid w:val="73F701DC"/>
    <w:rsid w:val="744731E5"/>
    <w:rsid w:val="75B9544D"/>
    <w:rsid w:val="76E3355F"/>
    <w:rsid w:val="778769C8"/>
    <w:rsid w:val="78BE4504"/>
    <w:rsid w:val="79EE5BA4"/>
    <w:rsid w:val="7A894339"/>
    <w:rsid w:val="7DFF6E96"/>
    <w:rsid w:val="7EEF11D3"/>
    <w:rsid w:val="7F204520"/>
    <w:rsid w:val="7FA242B5"/>
    <w:rsid w:val="7FA30C79"/>
    <w:rsid w:val="7FB7269E"/>
    <w:rsid w:val="7FC96657"/>
    <w:rsid w:val="7FFD2197"/>
    <w:rsid w:val="D8D6DB89"/>
    <w:rsid w:val="DB6F4CAB"/>
    <w:rsid w:val="DF6F9789"/>
    <w:rsid w:val="E6FFE238"/>
    <w:rsid w:val="FDF71CC5"/>
    <w:rsid w:val="FFFFA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仿宋" w:cs="Arial Unicode MS"/>
      <w:kern w:val="0"/>
      <w:sz w:val="32"/>
      <w:szCs w:val="21"/>
      <w:lang w:bidi="bo-CN"/>
    </w:rPr>
  </w:style>
  <w:style w:type="paragraph" w:styleId="6">
    <w:name w:val="index 6"/>
    <w:next w:val="1"/>
    <w:qFormat/>
    <w:uiPriority w:val="0"/>
    <w:pPr>
      <w:widowControl w:val="0"/>
      <w:ind w:left="2100"/>
      <w:jc w:val="center"/>
    </w:pPr>
    <w:rPr>
      <w:rFonts w:ascii="等线" w:hAnsi="AR PL UKai CN" w:eastAsia="等线" w:cs="Times New Roman"/>
      <w:kern w:val="2"/>
      <w:sz w:val="32"/>
      <w:szCs w:val="32"/>
      <w:lang w:val="en-US" w:eastAsia="zh-CN" w:bidi="ar-SA"/>
    </w:r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8"/>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列出段落1"/>
    <w:basedOn w:val="1"/>
    <w:qFormat/>
    <w:uiPriority w:val="34"/>
    <w:pPr>
      <w:ind w:firstLine="420" w:firstLineChars="200"/>
    </w:pPr>
    <w:rPr>
      <w:rFonts w:ascii="Calibri" w:hAnsi="Calibri" w:eastAsia="宋体" w:cs="Times New Roman"/>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character" w:customStyle="1" w:styleId="41">
    <w:name w:val="标题 1 字符"/>
    <w:basedOn w:val="19"/>
    <w:link w:val="3"/>
    <w:qFormat/>
    <w:locked/>
    <w:uiPriority w:val="9"/>
    <w:rPr>
      <w:rFonts w:ascii="Times New Roman" w:hAnsi="Times New Roman" w:cs="Times New Roman"/>
      <w:b/>
      <w:bCs/>
      <w:kern w:val="44"/>
      <w:sz w:val="44"/>
      <w:szCs w:val="44"/>
    </w:rPr>
  </w:style>
  <w:style w:type="paragraph" w:customStyle="1" w:styleId="42">
    <w:name w:val="列表段落1"/>
    <w:basedOn w:val="1"/>
    <w:qFormat/>
    <w:uiPriority w:val="34"/>
    <w:pPr>
      <w:ind w:firstLine="420" w:firstLineChars="200"/>
    </w:pPr>
  </w:style>
  <w:style w:type="character" w:customStyle="1" w:styleId="43">
    <w:name w:val="标题 2 字符"/>
    <w:basedOn w:val="19"/>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1\Desktop\&#20915;&#31639;\2020&#24180;&#20915;&#31639;&#20844;&#24320;&#20998;&#26512;&#22270;&#349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2">
                  <c:v>2022年</c:v>
                </c:pt>
              </c:strCache>
            </c:strRef>
          </c:cat>
          <c:val>
            <c:numRef>
              <c:f>Sheet1!$B$2:$B$5</c:f>
              <c:numCache>
                <c:formatCode>General</c:formatCode>
                <c:ptCount val="4"/>
                <c:pt idx="0">
                  <c:v>1231.85</c:v>
                </c:pt>
                <c:pt idx="2">
                  <c:v>1438.96</c:v>
                </c:pt>
              </c:numCache>
            </c:numRef>
          </c:val>
        </c:ser>
        <c:dLbls>
          <c:showLegendKey val="0"/>
          <c:showVal val="1"/>
          <c:showCatName val="0"/>
          <c:showSerName val="0"/>
          <c:showPercent val="0"/>
          <c:showBubbleSize val="0"/>
        </c:dLbls>
        <c:gapWidth val="75"/>
        <c:overlap val="0"/>
        <c:axId val="860165400"/>
        <c:axId val="483826608"/>
      </c:barChart>
      <c:catAx>
        <c:axId val="860165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3826608"/>
        <c:crosses val="autoZero"/>
        <c:auto val="1"/>
        <c:lblAlgn val="ctr"/>
        <c:lblOffset val="100"/>
        <c:noMultiLvlLbl val="0"/>
      </c:catAx>
      <c:valAx>
        <c:axId val="48382660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165400"/>
        <c:crosses val="autoZero"/>
        <c:crossBetween val="between"/>
      </c:valAx>
      <c:spPr>
        <a:noFill/>
        <a:ln>
          <a:noFill/>
        </a:ln>
        <a:effectLst/>
      </c:spPr>
    </c:plotArea>
    <c:plotVisOnly val="1"/>
    <c:dispBlanksAs val="gap"/>
    <c:showDLblsOverMax val="0"/>
    <c:extLst>
      <c:ext uri="{0b15fc19-7d7d-44ad-8c2d-2c3a37ce22c3}">
        <chartProps xmlns="https://web.wps.cn/et/2018/main" chartId="{038253b8-af22-45b6-b76f-326fa53e95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年初结转结余</c:v>
                </c:pt>
              </c:strCache>
            </c:strRef>
          </c:cat>
          <c:val>
            <c:numRef>
              <c:f>Sheet1!$B$2:$B$3</c:f>
              <c:numCache>
                <c:formatCode>0%</c:formatCode>
                <c:ptCount val="2"/>
                <c:pt idx="0">
                  <c:v>0.9</c:v>
                </c:pt>
                <c:pt idx="1">
                  <c:v>0.1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039d74c-84ed-48b1-b862-a106832730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附属单位补助支出</c:v>
                </c:pt>
              </c:strCache>
            </c:strRef>
          </c:cat>
          <c:val>
            <c:numRef>
              <c:f>Sheet1!$B$2:$B$6</c:f>
              <c:numCache>
                <c:formatCode>0.00%</c:formatCode>
                <c:ptCount val="5"/>
                <c:pt idx="0">
                  <c:v>0.5</c:v>
                </c:pt>
                <c:pt idx="1">
                  <c:v>0.5</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38c3f8-9d2d-4c60-81e6-7d7d12e0cd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 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2">
                  <c:v>2022年</c:v>
                </c:pt>
              </c:strCache>
            </c:strRef>
          </c:cat>
          <c:val>
            <c:numRef>
              <c:f>Sheet1!$B$2:$B$5</c:f>
              <c:numCache>
                <c:formatCode>General</c:formatCode>
                <c:ptCount val="4"/>
                <c:pt idx="0">
                  <c:v>1231.85</c:v>
                </c:pt>
                <c:pt idx="2">
                  <c:v>1438.96</c:v>
                </c:pt>
              </c:numCache>
            </c:numRef>
          </c:val>
        </c:ser>
        <c:dLbls>
          <c:showLegendKey val="0"/>
          <c:showVal val="1"/>
          <c:showCatName val="0"/>
          <c:showSerName val="0"/>
          <c:showPercent val="0"/>
          <c:showBubbleSize val="0"/>
        </c:dLbls>
        <c:gapWidth val="246"/>
        <c:overlap val="-28"/>
        <c:axId val="860165400"/>
        <c:axId val="483826608"/>
      </c:barChart>
      <c:catAx>
        <c:axId val="860165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3826608"/>
        <c:crosses val="autoZero"/>
        <c:auto val="1"/>
        <c:lblAlgn val="ctr"/>
        <c:lblOffset val="100"/>
        <c:noMultiLvlLbl val="0"/>
      </c:catAx>
      <c:valAx>
        <c:axId val="48382660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1654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73e3d0-d94e-4343-a90c-ddae284ebb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 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2">
                  <c:v>2022年</c:v>
                </c:pt>
              </c:strCache>
            </c:strRef>
          </c:cat>
          <c:val>
            <c:numRef>
              <c:f>Sheet1!$B$2:$B$5</c:f>
              <c:numCache>
                <c:formatCode>General</c:formatCode>
                <c:ptCount val="4"/>
                <c:pt idx="0">
                  <c:v>1231.85</c:v>
                </c:pt>
                <c:pt idx="2">
                  <c:v>1438.96</c:v>
                </c:pt>
              </c:numCache>
            </c:numRef>
          </c:val>
        </c:ser>
        <c:dLbls>
          <c:showLegendKey val="0"/>
          <c:showVal val="1"/>
          <c:showCatName val="0"/>
          <c:showSerName val="0"/>
          <c:showPercent val="0"/>
          <c:showBubbleSize val="0"/>
        </c:dLbls>
        <c:gapWidth val="246"/>
        <c:overlap val="-28"/>
        <c:axId val="860165400"/>
        <c:axId val="483826608"/>
      </c:barChart>
      <c:catAx>
        <c:axId val="860165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3826608"/>
        <c:crosses val="autoZero"/>
        <c:auto val="1"/>
        <c:lblAlgn val="ctr"/>
        <c:lblOffset val="100"/>
        <c:noMultiLvlLbl val="0"/>
      </c:catAx>
      <c:valAx>
        <c:axId val="48382660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1654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6c7836-b22e-47dd-958a-5a4d6ab83d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4"/>
              <c:layout>
                <c:manualLayout>
                  <c:x val="-0.0699542167336108"/>
                  <c:y val="0.01456644248790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918817194818626"/>
                  <c:y val="-0.01398916652845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一般公共服务（类）</c:v>
                </c:pt>
                <c:pt idx="1">
                  <c:v>社会保障和就业支出（类）</c:v>
                </c:pt>
                <c:pt idx="2">
                  <c:v>卫生健康支出</c:v>
                </c:pt>
                <c:pt idx="3">
                  <c:v>农林水支出</c:v>
                </c:pt>
                <c:pt idx="4">
                  <c:v>住房保障支出</c:v>
                </c:pt>
                <c:pt idx="5">
                  <c:v>灾害防治及应急管理支出</c:v>
                </c:pt>
                <c:pt idx="6">
                  <c:v>其他支出</c:v>
                </c:pt>
              </c:strCache>
            </c:strRef>
          </c:cat>
          <c:val>
            <c:numRef>
              <c:f>Sheet1!$B$2:$B$8</c:f>
              <c:numCache>
                <c:formatCode>0.00%</c:formatCode>
                <c:ptCount val="7"/>
                <c:pt idx="0">
                  <c:v>0.44</c:v>
                </c:pt>
                <c:pt idx="1">
                  <c:v>0.07</c:v>
                </c:pt>
                <c:pt idx="2">
                  <c:v>0.05</c:v>
                </c:pt>
                <c:pt idx="3">
                  <c:v>0.37</c:v>
                </c:pt>
                <c:pt idx="4">
                  <c:v>0.03</c:v>
                </c:pt>
                <c:pt idx="5">
                  <c:v>0.03</c:v>
                </c:pt>
                <c:pt idx="6" c:formatCode="0%">
                  <c:v>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733268905532737"/>
          <c:y val="0.1455588610284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cfe5c5-cd92-4b55-98b3-4380333b77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'[2020年决算公开分析图表(1).xls]Sheet1'!$A$219:$A$220</c:f>
              <c:strCache>
                <c:ptCount val="2"/>
                <c:pt idx="0">
                  <c:v>公务用车购置及运行维护费</c:v>
                </c:pt>
                <c:pt idx="1">
                  <c:v>公务接待费支出</c:v>
                </c:pt>
              </c:strCache>
            </c:strRef>
          </c:cat>
          <c:val>
            <c:numRef>
              <c:f>'[2020年决算公开分析图表(1).xls]Sheet1'!$B$219:$B$220</c:f>
              <c:numCache>
                <c:formatCode>General</c:formatCode>
                <c:ptCount val="2"/>
                <c:pt idx="0">
                  <c:v>6.96</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b77ee9cc-3af9-494d-813e-3a0f585d659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8836ac9f-7d03-4a55-92f7-ac334945a951</errorID>
      <errorWord>展</errorWord>
      <group>L1_Word</group>
      <groupName>字词问题</groupName>
      <ability>L2_Typo</ability>
      <abilityName>字词错误</abilityName>
      <candidateList>
        <item>展和</item>
      </candidateList>
      <explain/>
      <paraID>3C441D54</paraID>
      <start>18</start>
      <end>19</end>
      <status>ignored</status>
      <modifiedWord/>
      <trackRevisions>false</trackRevisions>
    </reviewItem>
    <reviewItem>
      <errorID>a57168db-464d-42c1-ad19-2fdc8717905e</errorID>
      <errorWord>展</errorWord>
      <group>L1_Word</group>
      <groupName>字词问题</groupName>
      <ability>L2_Typo</ability>
      <abilityName>字词错误</abilityName>
      <candidateList>
        <item>展和</item>
      </candidateList>
      <explain/>
      <paraID>75864B9D</paraID>
      <start>170</start>
      <end>171</end>
      <status>ignored</status>
      <modifiedWord/>
      <trackRevisions>false</trackRevisions>
    </reviewItem>
    <reviewItem>
      <errorID>04e4b6e8-cec1-4eb5-bb54-3ea418648e97</errorID>
      <errorWord>（</errorWord>
      <group>L1_Punc</group>
      <groupName>标点问题</groupName>
      <ability>L2_Punc_CN</ability>
      <abilityName/>
      <candidateList/>
      <explain>同一形式括号套用。</explain>
      <paraID>3A9A52A4</paraID>
      <start>15</start>
      <end>16</end>
      <status>ignored</status>
      <modifiedWord/>
      <trackRevisions>false</trackRevisions>
    </reviewItem>
    <reviewItem>
      <errorID>cc35281d-e6e0-4b92-95fa-5cb48c880ae9</errorID>
      <errorWord>）</errorWord>
      <group>L1_Punc</group>
      <groupName>标点问题</groupName>
      <ability>L2_Punc_CN</ability>
      <abilityName/>
      <candidateList/>
      <explain>同一形式括号套用。</explain>
      <paraID>3A9A52A4</paraID>
      <start>23</start>
      <end>24</end>
      <status>ignored</status>
      <modifiedWord/>
      <trackRevisions>false</trackRevisions>
    </reviewItem>
    <reviewItem>
      <errorID>92b65634-25b3-435e-8e2b-6599762a77f2</errorID>
      <errorWord>（</errorWord>
      <group>L1_Punc</group>
      <groupName>标点问题</groupName>
      <ability>L2_Punc_CN</ability>
      <abilityName/>
      <candidateList/>
      <explain>同一形式括号套用。</explain>
      <paraID>5B974B67</paraID>
      <start>15</start>
      <end>16</end>
      <status>ignored</status>
      <modifiedWord/>
      <trackRevisions>false</trackRevisions>
    </reviewItem>
    <reviewItem>
      <errorID>420de6c1-088e-45cd-ae5b-a325c3184d0c</errorID>
      <errorWord>）</errorWord>
      <group>L1_Punc</group>
      <groupName>标点问题</groupName>
      <ability>L2_Punc_CN</ability>
      <abilityName/>
      <candidateList/>
      <explain>同一形式括号套用。</explain>
      <paraID>5B974B67</paraID>
      <start>23</start>
      <end>24</end>
      <status>ignored</status>
      <modifiedWord/>
      <trackRevisions>false</trackRevisions>
    </reviewItem>
    <reviewItem>
      <errorID>7e0561a9-e732-4f3c-908b-2fe2e69f557a</errorID>
      <errorWord>（</errorWord>
      <group>L1_Punc</group>
      <groupName>标点问题</groupName>
      <ability>L2_Punc_CN</ability>
      <abilityName/>
      <candidateList/>
      <explain>同一形式括号套用。</explain>
      <paraID>11DE4550</paraID>
      <start>15</start>
      <end>16</end>
      <status>ignored</status>
      <modifiedWord/>
      <trackRevisions>false</trackRevisions>
    </reviewItem>
    <reviewItem>
      <errorID>aa947978-ef17-471b-994d-b3003278e819</errorID>
      <errorWord>）</errorWord>
      <group>L1_Punc</group>
      <groupName>标点问题</groupName>
      <ability>L2_Punc_CN</ability>
      <abilityName/>
      <candidateList/>
      <explain>同一形式括号套用。</explain>
      <paraID>11DE4550</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87e50d29-f115-4f9d-aa12-8bd04456296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63</Pages>
  <Words>11586</Words>
  <Characters>12487</Characters>
  <Lines>61</Lines>
  <Paragraphs>17</Paragraphs>
  <TotalTime>0</TotalTime>
  <ScaleCrop>false</ScaleCrop>
  <LinksUpToDate>false</LinksUpToDate>
  <CharactersWithSpaces>12659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Hmily</cp:lastModifiedBy>
  <cp:lastPrinted>2023-07-31T10:35:00Z</cp:lastPrinted>
  <dcterms:modified xsi:type="dcterms:W3CDTF">2026-07-02T03:46:54Z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2BA9BA575F81431B9C7FBA56963F09BF_12</vt:lpwstr>
  </property>
  <property fmtid="{D5CDD505-2E9C-101B-9397-08002B2CF9AE}" pid="4" name="KSOTemplateDocerSaveRecord">
    <vt:lpwstr>eyJoZGlkIjoiNzk4NDIyNDM5NjdmNjE2NDRlYzQwYzIyYTU5N2Q0MzgiLCJ1c2VySWQiOiIzMzExODY5MDUifQ==</vt:lpwstr>
  </property>
</Properties>
</file>