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44"/>
          <w:szCs w:val="44"/>
        </w:rPr>
      </w:pPr>
    </w:p>
    <w:p>
      <w:pPr>
        <w:rPr>
          <w:rFonts w:ascii="黑体" w:hAnsi="黑体" w:eastAsia="黑体" w:cs="Times New Roman"/>
          <w:sz w:val="44"/>
          <w:szCs w:val="44"/>
        </w:rPr>
      </w:pPr>
    </w:p>
    <w:p>
      <w:pPr>
        <w:rPr>
          <w:rFonts w:ascii="黑体" w:hAnsi="黑体" w:eastAsia="黑体" w:cs="Times New Roman"/>
          <w:sz w:val="44"/>
          <w:szCs w:val="44"/>
        </w:rPr>
      </w:pPr>
    </w:p>
    <w:p>
      <w:pPr>
        <w:rPr>
          <w:rFonts w:ascii="黑体" w:hAnsi="黑体" w:eastAsia="黑体" w:cs="Times New Roman"/>
          <w:sz w:val="44"/>
          <w:szCs w:val="44"/>
        </w:rPr>
      </w:pPr>
    </w:p>
    <w:p>
      <w:pPr>
        <w:rPr>
          <w:rFonts w:ascii="黑体" w:hAnsi="黑体" w:eastAsia="黑体" w:cs="Times New Roman"/>
          <w:sz w:val="44"/>
          <w:szCs w:val="44"/>
        </w:rPr>
      </w:pPr>
    </w:p>
    <w:p>
      <w:pPr>
        <w:jc w:val="center"/>
        <w:rPr>
          <w:rFonts w:ascii="黑体" w:hAnsi="黑体" w:eastAsia="黑体" w:cs="黑体"/>
          <w:sz w:val="52"/>
          <w:szCs w:val="52"/>
        </w:rPr>
      </w:pPr>
      <w:r>
        <w:rPr>
          <w:rFonts w:hint="eastAsia" w:ascii="黑体" w:hAnsi="黑体" w:eastAsia="黑体" w:cs="黑体"/>
          <w:sz w:val="52"/>
          <w:szCs w:val="52"/>
        </w:rPr>
        <w:t>壤塘县粮食和物资储备中心</w:t>
      </w:r>
    </w:p>
    <w:p>
      <w:pPr>
        <w:jc w:val="center"/>
        <w:rPr>
          <w:rFonts w:ascii="黑体" w:hAnsi="黑体" w:eastAsia="黑体" w:cs="Times New Roman"/>
          <w:sz w:val="72"/>
          <w:szCs w:val="72"/>
        </w:rPr>
      </w:pPr>
      <w:r>
        <w:rPr>
          <w:rFonts w:ascii="黑体" w:hAnsi="黑体" w:eastAsia="黑体" w:cs="黑体"/>
          <w:sz w:val="72"/>
          <w:szCs w:val="72"/>
        </w:rPr>
        <w:t>2021年</w:t>
      </w:r>
      <w:r>
        <w:rPr>
          <w:rFonts w:hint="eastAsia" w:ascii="黑体" w:hAnsi="黑体" w:eastAsia="黑体" w:cs="黑体"/>
          <w:sz w:val="72"/>
          <w:szCs w:val="72"/>
        </w:rPr>
        <w:t>部门预算</w:t>
      </w: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44"/>
          <w:szCs w:val="44"/>
        </w:rPr>
      </w:pPr>
    </w:p>
    <w:p>
      <w:pPr>
        <w:jc w:val="center"/>
        <w:rPr>
          <w:rFonts w:ascii="黑体" w:hAnsi="黑体" w:eastAsia="黑体" w:cs="Times New Roman"/>
          <w:sz w:val="52"/>
          <w:szCs w:val="52"/>
        </w:rPr>
      </w:pPr>
      <w:r>
        <w:rPr>
          <w:rFonts w:hint="eastAsia" w:ascii="黑体" w:hAnsi="黑体" w:eastAsia="黑体" w:cs="黑体"/>
          <w:sz w:val="52"/>
          <w:szCs w:val="52"/>
        </w:rPr>
        <w:t>2021年</w:t>
      </w:r>
      <w:r>
        <w:rPr>
          <w:rFonts w:ascii="黑体" w:hAnsi="黑体" w:eastAsia="黑体" w:cs="黑体"/>
          <w:sz w:val="52"/>
          <w:szCs w:val="52"/>
        </w:rPr>
        <w:t>4</w:t>
      </w:r>
      <w:r>
        <w:rPr>
          <w:rFonts w:hint="eastAsia" w:ascii="黑体" w:hAnsi="黑体" w:eastAsia="黑体" w:cs="黑体"/>
          <w:sz w:val="52"/>
          <w:szCs w:val="52"/>
        </w:rPr>
        <w:t>月</w:t>
      </w:r>
      <w:r>
        <w:rPr>
          <w:rFonts w:hint="eastAsia" w:ascii="黑体" w:hAnsi="黑体" w:eastAsia="黑体" w:cs="黑体"/>
          <w:sz w:val="52"/>
          <w:szCs w:val="52"/>
          <w:lang w:val="en-US" w:eastAsia="zh-CN"/>
        </w:rPr>
        <w:t>20</w:t>
      </w:r>
      <w:r>
        <w:rPr>
          <w:rFonts w:hint="eastAsia" w:ascii="黑体" w:hAnsi="黑体" w:eastAsia="黑体" w:cs="黑体"/>
          <w:sz w:val="52"/>
          <w:szCs w:val="52"/>
        </w:rPr>
        <w:t>日</w:t>
      </w:r>
    </w:p>
    <w:p>
      <w:pPr>
        <w:rPr>
          <w:rFonts w:ascii="黑体" w:hAnsi="黑体" w:eastAsia="黑体" w:cs="Times New Roman"/>
          <w:sz w:val="44"/>
          <w:szCs w:val="44"/>
        </w:rPr>
      </w:pPr>
    </w:p>
    <w:p>
      <w:pPr>
        <w:rPr>
          <w:rFonts w:ascii="黑体" w:hAnsi="黑体" w:eastAsia="黑体" w:cs="Times New Roman"/>
          <w:sz w:val="44"/>
          <w:szCs w:val="44"/>
        </w:rPr>
      </w:pPr>
    </w:p>
    <w:p>
      <w:pPr>
        <w:rPr>
          <w:rFonts w:ascii="黑体" w:hAnsi="黑体" w:eastAsia="黑体" w:cs="Times New Roman"/>
          <w:sz w:val="44"/>
          <w:szCs w:val="44"/>
        </w:rPr>
      </w:pPr>
    </w:p>
    <w:p>
      <w:pPr>
        <w:rPr>
          <w:rFonts w:ascii="黑体" w:hAnsi="黑体" w:eastAsia="黑体" w:cs="Times New Roman"/>
          <w:sz w:val="44"/>
          <w:szCs w:val="44"/>
        </w:rPr>
      </w:pPr>
    </w:p>
    <w:p>
      <w:pPr>
        <w:ind w:firstLine="3120" w:firstLineChars="600"/>
        <w:rPr>
          <w:rFonts w:ascii="黑体" w:hAnsi="黑体" w:eastAsia="黑体" w:cs="Times New Roman"/>
          <w:sz w:val="52"/>
          <w:szCs w:val="52"/>
        </w:rPr>
      </w:pPr>
      <w:r>
        <w:rPr>
          <w:rFonts w:hint="eastAsia" w:ascii="黑体" w:hAnsi="黑体" w:eastAsia="黑体" w:cs="黑体"/>
          <w:sz w:val="52"/>
          <w:szCs w:val="52"/>
        </w:rPr>
        <w:t>目</w:t>
      </w:r>
      <w:r>
        <w:rPr>
          <w:rFonts w:ascii="黑体" w:hAnsi="黑体" w:eastAsia="黑体" w:cs="黑体"/>
          <w:sz w:val="52"/>
          <w:szCs w:val="52"/>
        </w:rPr>
        <w:t xml:space="preserve"> </w:t>
      </w:r>
      <w:r>
        <w:rPr>
          <w:rFonts w:hint="eastAsia" w:ascii="黑体" w:hAnsi="黑体" w:eastAsia="黑体" w:cs="黑体"/>
          <w:sz w:val="52"/>
          <w:szCs w:val="52"/>
        </w:rPr>
        <w:t>录</w:t>
      </w:r>
    </w:p>
    <w:p>
      <w:pPr>
        <w:ind w:firstLine="3080" w:firstLineChars="700"/>
        <w:rPr>
          <w:rFonts w:ascii="黑体" w:hAnsi="黑体" w:eastAsia="黑体" w:cs="Times New Roman"/>
          <w:sz w:val="44"/>
          <w:szCs w:val="44"/>
        </w:rPr>
      </w:pPr>
    </w:p>
    <w:p>
      <w:pPr>
        <w:pStyle w:val="14"/>
        <w:numPr>
          <w:ilvl w:val="0"/>
          <w:numId w:val="1"/>
        </w:numPr>
        <w:ind w:firstLineChars="0"/>
        <w:rPr>
          <w:rFonts w:ascii="黑体" w:hAnsi="黑体" w:eastAsia="黑体" w:cs="Times New Roman"/>
          <w:sz w:val="32"/>
          <w:szCs w:val="32"/>
        </w:rPr>
      </w:pPr>
      <w:r>
        <w:rPr>
          <w:rFonts w:hint="eastAsia" w:ascii="黑体" w:hAnsi="黑体" w:eastAsia="黑体" w:cs="黑体"/>
          <w:sz w:val="32"/>
          <w:szCs w:val="32"/>
        </w:rPr>
        <w:t>基本职能及主要工作</w:t>
      </w:r>
    </w:p>
    <w:p>
      <w:pPr>
        <w:rPr>
          <w:rFonts w:ascii="仿宋_GB2312" w:hAnsi="黑体" w:eastAsia="仿宋_GB2312" w:cs="Times New Roman"/>
          <w:sz w:val="32"/>
          <w:szCs w:val="32"/>
        </w:rPr>
      </w:pPr>
      <w:r>
        <w:rPr>
          <w:rFonts w:hint="eastAsia" w:ascii="仿宋_GB2312" w:hAnsi="黑体" w:eastAsia="仿宋_GB2312" w:cs="仿宋_GB2312"/>
          <w:sz w:val="32"/>
          <w:szCs w:val="32"/>
        </w:rPr>
        <w:t>（一）部门职能简介</w:t>
      </w:r>
    </w:p>
    <w:p>
      <w:pPr>
        <w:rPr>
          <w:rFonts w:ascii="仿宋_GB2312" w:hAnsi="黑体" w:eastAsia="仿宋_GB2312" w:cs="Times New Roman"/>
          <w:sz w:val="32"/>
          <w:szCs w:val="32"/>
        </w:rPr>
      </w:pPr>
      <w:r>
        <w:rPr>
          <w:rFonts w:hint="eastAsia" w:ascii="仿宋_GB2312" w:hAnsi="黑体" w:eastAsia="仿宋_GB2312" w:cs="仿宋_GB2312"/>
          <w:sz w:val="32"/>
          <w:szCs w:val="32"/>
        </w:rPr>
        <w:t>（二）</w:t>
      </w:r>
      <w:r>
        <w:rPr>
          <w:rFonts w:ascii="仿宋_GB2312" w:hAnsi="黑体" w:eastAsia="仿宋_GB2312" w:cs="仿宋_GB2312"/>
          <w:sz w:val="32"/>
          <w:szCs w:val="32"/>
        </w:rPr>
        <w:t>2021年</w:t>
      </w:r>
      <w:r>
        <w:rPr>
          <w:rFonts w:hint="eastAsia" w:ascii="仿宋_GB2312" w:hAnsi="黑体" w:eastAsia="仿宋_GB2312" w:cs="仿宋_GB2312"/>
          <w:sz w:val="32"/>
          <w:szCs w:val="32"/>
        </w:rPr>
        <w:t>重点工作</w:t>
      </w:r>
    </w:p>
    <w:p>
      <w:pPr>
        <w:rPr>
          <w:rFonts w:ascii="黑体" w:hAnsi="黑体" w:eastAsia="黑体" w:cs="Times New Roman"/>
          <w:sz w:val="32"/>
          <w:szCs w:val="32"/>
        </w:rPr>
      </w:pPr>
      <w:r>
        <w:rPr>
          <w:rFonts w:hint="eastAsia" w:ascii="黑体" w:hAnsi="黑体" w:eastAsia="黑体" w:cs="黑体"/>
          <w:sz w:val="32"/>
          <w:szCs w:val="32"/>
        </w:rPr>
        <w:t>二、部门预算单位构成</w:t>
      </w:r>
    </w:p>
    <w:p>
      <w:pPr>
        <w:rPr>
          <w:rFonts w:ascii="黑体" w:hAnsi="黑体" w:eastAsia="黑体" w:cs="Times New Roman"/>
          <w:sz w:val="32"/>
          <w:szCs w:val="32"/>
        </w:rPr>
      </w:pPr>
      <w:r>
        <w:rPr>
          <w:rFonts w:hint="eastAsia" w:ascii="黑体" w:hAnsi="黑体" w:eastAsia="黑体" w:cs="黑体"/>
          <w:sz w:val="32"/>
          <w:szCs w:val="32"/>
        </w:rPr>
        <w:t>三、收支预算情况说明</w:t>
      </w:r>
    </w:p>
    <w:p>
      <w:pPr>
        <w:rPr>
          <w:rFonts w:ascii="仿宋_GB2312" w:hAnsi="黑体" w:eastAsia="仿宋_GB2312" w:cs="Times New Roman"/>
          <w:sz w:val="32"/>
          <w:szCs w:val="32"/>
        </w:rPr>
      </w:pPr>
      <w:r>
        <w:rPr>
          <w:rFonts w:hint="eastAsia" w:ascii="黑体" w:hAnsi="黑体" w:eastAsia="黑体" w:cs="黑体"/>
          <w:sz w:val="32"/>
          <w:szCs w:val="32"/>
        </w:rPr>
        <w:t>（</w:t>
      </w:r>
      <w:r>
        <w:rPr>
          <w:rFonts w:hint="eastAsia" w:ascii="仿宋_GB2312" w:hAnsi="黑体" w:eastAsia="仿宋_GB2312" w:cs="仿宋_GB2312"/>
          <w:sz w:val="32"/>
          <w:szCs w:val="32"/>
        </w:rPr>
        <w:t>一）收入预算情况</w:t>
      </w:r>
    </w:p>
    <w:p>
      <w:pPr>
        <w:rPr>
          <w:rFonts w:ascii="仿宋_GB2312" w:hAnsi="黑体" w:eastAsia="仿宋_GB2312" w:cs="Times New Roman"/>
          <w:sz w:val="32"/>
          <w:szCs w:val="32"/>
        </w:rPr>
      </w:pPr>
      <w:r>
        <w:rPr>
          <w:rFonts w:hint="eastAsia" w:ascii="仿宋_GB2312" w:hAnsi="黑体" w:eastAsia="仿宋_GB2312" w:cs="仿宋_GB2312"/>
          <w:sz w:val="32"/>
          <w:szCs w:val="32"/>
        </w:rPr>
        <w:t>（二）支出预算情况</w:t>
      </w:r>
    </w:p>
    <w:p>
      <w:pPr>
        <w:rPr>
          <w:rFonts w:ascii="黑体" w:hAnsi="黑体" w:eastAsia="黑体" w:cs="Times New Roman"/>
          <w:sz w:val="32"/>
          <w:szCs w:val="32"/>
        </w:rPr>
      </w:pPr>
      <w:r>
        <w:rPr>
          <w:rFonts w:hint="eastAsia" w:ascii="黑体" w:hAnsi="黑体" w:eastAsia="黑体" w:cs="黑体"/>
          <w:sz w:val="32"/>
          <w:szCs w:val="32"/>
        </w:rPr>
        <w:t>四、财政拨款收支预算情况说明</w:t>
      </w:r>
    </w:p>
    <w:p>
      <w:pPr>
        <w:rPr>
          <w:rFonts w:ascii="黑体" w:hAnsi="黑体" w:eastAsia="黑体" w:cs="Times New Roman"/>
          <w:sz w:val="32"/>
          <w:szCs w:val="32"/>
        </w:rPr>
      </w:pPr>
      <w:r>
        <w:rPr>
          <w:rFonts w:hint="eastAsia" w:ascii="黑体" w:hAnsi="黑体" w:eastAsia="黑体" w:cs="黑体"/>
          <w:sz w:val="32"/>
          <w:szCs w:val="32"/>
        </w:rPr>
        <w:t>五、一般公共预算当年拨款情况说明</w:t>
      </w:r>
    </w:p>
    <w:p>
      <w:pPr>
        <w:rPr>
          <w:rFonts w:ascii="仿宋_GB2312" w:hAnsi="黑体" w:eastAsia="仿宋_GB2312" w:cs="仿宋_GB2312"/>
          <w:sz w:val="32"/>
          <w:szCs w:val="32"/>
        </w:rPr>
      </w:pPr>
      <w:r>
        <w:rPr>
          <w:rFonts w:hint="eastAsia" w:ascii="仿宋_GB2312" w:hAnsi="黑体" w:eastAsia="仿宋_GB2312" w:cs="仿宋_GB2312"/>
          <w:sz w:val="32"/>
          <w:szCs w:val="32"/>
        </w:rPr>
        <w:t>（一）一般公共预算当年拨款规模变化情况</w:t>
      </w:r>
    </w:p>
    <w:p>
      <w:pPr>
        <w:rPr>
          <w:rFonts w:ascii="仿宋_GB2312" w:hAnsi="黑体" w:eastAsia="仿宋_GB2312" w:cs="仿宋_GB2312"/>
          <w:sz w:val="32"/>
          <w:szCs w:val="32"/>
        </w:rPr>
      </w:pPr>
      <w:r>
        <w:rPr>
          <w:rFonts w:hint="eastAsia" w:ascii="仿宋_GB2312" w:hAnsi="黑体" w:eastAsia="仿宋_GB2312" w:cs="仿宋_GB2312"/>
          <w:sz w:val="32"/>
          <w:szCs w:val="32"/>
        </w:rPr>
        <w:t>（二）一般公共预算当年拨款结构情况</w:t>
      </w:r>
    </w:p>
    <w:p>
      <w:pPr>
        <w:rPr>
          <w:rFonts w:ascii="仿宋_GB2312" w:hAnsi="黑体" w:eastAsia="仿宋_GB2312" w:cs="仿宋_GB2312"/>
          <w:sz w:val="32"/>
          <w:szCs w:val="32"/>
        </w:rPr>
      </w:pPr>
      <w:r>
        <w:rPr>
          <w:rFonts w:hint="eastAsia" w:ascii="仿宋_GB2312" w:hAnsi="黑体" w:eastAsia="仿宋_GB2312" w:cs="仿宋_GB2312"/>
          <w:sz w:val="32"/>
          <w:szCs w:val="32"/>
        </w:rPr>
        <w:t>（三）一般公共预算当年拨款具体使用情况</w:t>
      </w:r>
    </w:p>
    <w:p>
      <w:pPr>
        <w:rPr>
          <w:rFonts w:ascii="黑体" w:hAnsi="黑体" w:eastAsia="黑体" w:cs="黑体"/>
          <w:sz w:val="32"/>
          <w:szCs w:val="32"/>
        </w:rPr>
      </w:pPr>
      <w:r>
        <w:rPr>
          <w:rFonts w:hint="eastAsia" w:ascii="黑体" w:hAnsi="黑体" w:eastAsia="黑体" w:cs="黑体"/>
          <w:sz w:val="32"/>
          <w:szCs w:val="32"/>
        </w:rPr>
        <w:t>六、一般公共预算基本支出情况说明</w:t>
      </w:r>
    </w:p>
    <w:p>
      <w:pPr>
        <w:rPr>
          <w:rFonts w:ascii="黑体" w:hAnsi="黑体" w:eastAsia="黑体" w:cs="黑体"/>
          <w:sz w:val="32"/>
          <w:szCs w:val="32"/>
        </w:rPr>
      </w:pPr>
      <w:r>
        <w:rPr>
          <w:rFonts w:hint="eastAsia" w:ascii="黑体" w:hAnsi="黑体" w:eastAsia="黑体" w:cs="黑体"/>
          <w:sz w:val="32"/>
          <w:szCs w:val="32"/>
        </w:rPr>
        <w:t>七、“三公”经费财政拨款预算安排情况说明</w:t>
      </w:r>
    </w:p>
    <w:p>
      <w:pPr>
        <w:rPr>
          <w:rFonts w:ascii="黑体" w:hAnsi="黑体" w:eastAsia="黑体" w:cs="黑体"/>
          <w:sz w:val="32"/>
          <w:szCs w:val="32"/>
        </w:rPr>
      </w:pPr>
      <w:r>
        <w:rPr>
          <w:rFonts w:hint="eastAsia" w:ascii="黑体" w:hAnsi="黑体" w:eastAsia="黑体" w:cs="黑体"/>
          <w:sz w:val="32"/>
          <w:szCs w:val="32"/>
        </w:rPr>
        <w:t>八、政府性基金预算支出情况说明</w:t>
      </w:r>
    </w:p>
    <w:p>
      <w:pPr>
        <w:rPr>
          <w:rFonts w:ascii="黑体" w:hAnsi="黑体" w:eastAsia="黑体" w:cs="黑体"/>
          <w:sz w:val="32"/>
          <w:szCs w:val="32"/>
        </w:rPr>
      </w:pPr>
      <w:r>
        <w:rPr>
          <w:rFonts w:hint="eastAsia" w:ascii="黑体" w:hAnsi="黑体" w:eastAsia="黑体" w:cs="黑体"/>
          <w:sz w:val="32"/>
          <w:szCs w:val="32"/>
        </w:rPr>
        <w:t>九、其他重要事项的情况说明</w:t>
      </w:r>
    </w:p>
    <w:p>
      <w:pPr>
        <w:rPr>
          <w:rFonts w:ascii="黑体" w:hAnsi="黑体" w:eastAsia="黑体" w:cs="Times New Roman"/>
          <w:sz w:val="32"/>
          <w:szCs w:val="32"/>
        </w:rPr>
      </w:pPr>
      <w:r>
        <w:rPr>
          <w:rFonts w:hint="eastAsia" w:ascii="黑体" w:hAnsi="黑体" w:eastAsia="黑体" w:cs="黑体"/>
          <w:sz w:val="32"/>
          <w:szCs w:val="32"/>
        </w:rPr>
        <w:t>十、名称解释</w:t>
      </w:r>
    </w:p>
    <w:p>
      <w:pPr>
        <w:rPr>
          <w:rFonts w:ascii="黑体" w:hAnsi="黑体" w:eastAsia="黑体" w:cs="Times New Roman"/>
          <w:sz w:val="32"/>
          <w:szCs w:val="32"/>
        </w:rPr>
      </w:pPr>
    </w:p>
    <w:p>
      <w:pPr>
        <w:widowControl/>
        <w:shd w:val="clear" w:color="auto" w:fill="FFFFFF"/>
        <w:spacing w:before="100" w:beforeAutospacing="1" w:after="100" w:afterAutospacing="1" w:line="290" w:lineRule="atLeast"/>
        <w:ind w:right="300"/>
        <w:jc w:val="left"/>
        <w:rPr>
          <w:rFonts w:ascii="??" w:hAnsi="??" w:cs="??"/>
          <w:kern w:val="0"/>
          <w:sz w:val="12"/>
          <w:szCs w:val="12"/>
        </w:rPr>
      </w:pPr>
    </w:p>
    <w:p>
      <w:pPr>
        <w:pStyle w:val="12"/>
        <w:spacing w:before="0" w:line="360" w:lineRule="auto"/>
        <w:ind w:firstLine="627" w:firstLineChars="196"/>
        <w:rPr>
          <w:rFonts w:ascii="楷体_GB2312" w:hAnsi="黑体" w:eastAsia="楷体_GB2312" w:cs="楷体_GB2312"/>
          <w:b/>
          <w:bCs/>
          <w:kern w:val="2"/>
          <w:sz w:val="32"/>
          <w:szCs w:val="32"/>
        </w:rPr>
      </w:pPr>
      <w:r>
        <w:rPr>
          <w:rFonts w:hint="eastAsia" w:ascii="黑体" w:hAnsi="黑体" w:eastAsia="黑体" w:cs="黑体"/>
          <w:kern w:val="2"/>
          <w:sz w:val="32"/>
          <w:szCs w:val="32"/>
        </w:rPr>
        <w:t>一、基本职能及主要工作</w:t>
      </w:r>
      <w:r>
        <w:rPr>
          <w:rFonts w:ascii="??" w:hAnsi="??" w:eastAsia="宋体" w:cs="Times New Roman"/>
          <w:sz w:val="16"/>
          <w:szCs w:val="16"/>
        </w:rPr>
        <w:br w:type="textWrapping"/>
      </w:r>
      <w:r>
        <w:rPr>
          <w:rFonts w:hint="eastAsia" w:ascii="??" w:hAnsi="??" w:eastAsia="宋体" w:cs="宋体"/>
          <w:sz w:val="16"/>
          <w:szCs w:val="16"/>
        </w:rPr>
        <w:t>　　</w:t>
      </w:r>
      <w:r>
        <w:rPr>
          <w:rFonts w:ascii="??" w:hAnsi="??" w:eastAsia="宋体" w:cs="??"/>
          <w:sz w:val="16"/>
          <w:szCs w:val="16"/>
        </w:rPr>
        <w:t xml:space="preserve">    </w:t>
      </w:r>
      <w:r>
        <w:rPr>
          <w:rFonts w:hint="eastAsia" w:ascii="楷体_GB2312" w:hAnsi="黑体" w:eastAsia="楷体_GB2312" w:cs="楷体_GB2312"/>
          <w:b/>
          <w:bCs/>
          <w:kern w:val="2"/>
          <w:sz w:val="32"/>
          <w:szCs w:val="32"/>
        </w:rPr>
        <w:t>（一）壤塘县粮食和物资储备中心职能简介</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贯彻实施国家、省、州有关粮食流通和物资储备的方针、政策、法律法规和相关规范性文件。</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2、贯彻执行《粮食流通管理条例》，加强储备粮管理。执行县发改制定的本县粮食流通和县级储备粮管理办法、粮食应急预案、规章制度和有关政策。</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3、研究提出全县粮食宏观调控、粮油方面的平衡以及粮食流通的中长期规划、收购、储存、动用县级储备粮的建议，并组织实施；拟定粮食产业化经营的措施，配合有关部门抓好商品粮油品种结构调整。</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4、负责省、州、县储备粮管理，指导全县粮食储备体系建设；制定县级储备粮管理的技术规范并监督执行；监督检查州、县储备粮库存数量和质量；研究提出县级储备粮的收购、轮换、抛售计划，并组织实施。</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5、管理社会粮食流通，保障军队、城镇居民、救灾济粮和国家重点建设项目的粮食供应。</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6、指导和协调全县粮食流通基础设施建设，编制全县粮油仓储、加工设施建设计划并组织实施；指导商业网点建设，负责粮油仓储设施的报废、占用、拆迁的审批。</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7、指导并推动行业的技术改造、新技术推广应用、安全生产和抢险救灾工作；承担行业统计工作。</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8、指导全县粮食财务管理工作；组织实施粮食财务和会计制度工作，负责国有企业资产的监督管理；会同有关部门做好粮食收购资金使用；编报全县粮食系统财务报表，组织制年度决算。</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9、协同质量技术监督部门做好粮食质量标准的管理工作；制定粮食储存、运输的技术规范，并监督执行。</w:t>
      </w:r>
    </w:p>
    <w:p>
      <w:pPr>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10、负责全县粮食余缺调剂，组织和协调县内粮油调剂工作和对外经济技术合作交流。</w:t>
      </w:r>
    </w:p>
    <w:p>
      <w:pPr>
        <w:pStyle w:val="6"/>
        <w:ind w:firstLine="640"/>
        <w:rPr>
          <w:rFonts w:ascii="仿宋_GB2312" w:hAnsi="仿宋_GB2312" w:eastAsia="仿宋_GB2312" w:cs="仿宋_GB2312"/>
        </w:rPr>
      </w:pPr>
      <w:r>
        <w:rPr>
          <w:rFonts w:hint="eastAsia" w:ascii="仿宋_GB2312" w:hAnsi="仿宋_GB2312" w:eastAsia="仿宋_GB2312" w:cs="仿宋_GB2312"/>
        </w:rPr>
        <w:t>11、协助做好救灾物资储备规划、品种目录和标准、年度购置计划，负责州级救灾物资的收储、轮换和日常管理，根据动用指令按程序组织调拨。</w:t>
      </w:r>
    </w:p>
    <w:p>
      <w:pPr>
        <w:pStyle w:val="12"/>
        <w:spacing w:before="0" w:line="360" w:lineRule="auto"/>
        <w:ind w:firstLine="627" w:firstLineChars="196"/>
        <w:rPr>
          <w:rFonts w:ascii="楷体_GB2312" w:hAnsi="黑体" w:eastAsia="楷体_GB2312" w:cs="楷体_GB2312"/>
          <w:b/>
          <w:bCs/>
          <w:kern w:val="2"/>
          <w:sz w:val="32"/>
          <w:szCs w:val="32"/>
        </w:rPr>
      </w:pPr>
      <w:r>
        <w:rPr>
          <w:rFonts w:hint="eastAsia"/>
          <w:sz w:val="32"/>
          <w:szCs w:val="32"/>
        </w:rPr>
        <w:t>12、承办县委、县人民政府交办的其他事项。</w:t>
      </w:r>
    </w:p>
    <w:p>
      <w:pPr>
        <w:pStyle w:val="12"/>
        <w:spacing w:before="0" w:line="360" w:lineRule="auto"/>
        <w:ind w:firstLine="630" w:firstLineChars="196"/>
        <w:rPr>
          <w:rFonts w:ascii="楷体_GB2312" w:hAnsi="黑体" w:eastAsia="楷体_GB2312" w:cs="楷体_GB2312"/>
          <w:b/>
          <w:bCs/>
          <w:kern w:val="2"/>
          <w:sz w:val="32"/>
          <w:szCs w:val="32"/>
        </w:rPr>
      </w:pPr>
      <w:r>
        <w:rPr>
          <w:rFonts w:hint="eastAsia" w:ascii="楷体_GB2312" w:hAnsi="黑体" w:eastAsia="楷体_GB2312" w:cs="楷体_GB2312"/>
          <w:b/>
          <w:bCs/>
          <w:kern w:val="2"/>
          <w:sz w:val="32"/>
          <w:szCs w:val="32"/>
        </w:rPr>
        <w:t>（二）壤塘县粮食和物资储备中心</w:t>
      </w:r>
      <w:r>
        <w:rPr>
          <w:rFonts w:ascii="楷体_GB2312" w:hAnsi="黑体" w:eastAsia="楷体_GB2312" w:cs="楷体_GB2312"/>
          <w:b/>
          <w:bCs/>
          <w:kern w:val="2"/>
          <w:sz w:val="32"/>
          <w:szCs w:val="32"/>
        </w:rPr>
        <w:t>20</w:t>
      </w:r>
      <w:r>
        <w:rPr>
          <w:rFonts w:hint="eastAsia" w:ascii="楷体_GB2312" w:hAnsi="黑体" w:eastAsia="楷体_GB2312" w:cs="楷体_GB2312"/>
          <w:b/>
          <w:bCs/>
          <w:kern w:val="2"/>
          <w:sz w:val="32"/>
          <w:szCs w:val="32"/>
        </w:rPr>
        <w:t>21</w:t>
      </w:r>
      <w:r>
        <w:rPr>
          <w:rFonts w:ascii="楷体_GB2312" w:hAnsi="黑体" w:eastAsia="楷体_GB2312" w:cs="楷体_GB2312"/>
          <w:b/>
          <w:bCs/>
          <w:kern w:val="2"/>
          <w:sz w:val="32"/>
          <w:szCs w:val="32"/>
        </w:rPr>
        <w:t>年</w:t>
      </w:r>
      <w:r>
        <w:rPr>
          <w:rFonts w:hint="eastAsia" w:ascii="楷体_GB2312" w:hAnsi="黑体" w:eastAsia="楷体_GB2312" w:cs="楷体_GB2312"/>
          <w:b/>
          <w:bCs/>
          <w:kern w:val="2"/>
          <w:sz w:val="32"/>
          <w:szCs w:val="32"/>
        </w:rPr>
        <w:t>重点工作</w:t>
      </w:r>
    </w:p>
    <w:p>
      <w:pPr>
        <w:tabs>
          <w:tab w:val="left" w:pos="624"/>
        </w:tabs>
        <w:spacing w:line="560" w:lineRule="exact"/>
        <w:ind w:firstLine="640" w:firstLineChars="200"/>
        <w:rPr>
          <w:rFonts w:ascii="仿宋_GB2312" w:hAnsi="仿宋_GB2312" w:eastAsia="仿宋_GB2312" w:cs="仿宋_GB2312"/>
          <w:color w:val="000000" w:themeColor="text1"/>
          <w:kern w:val="0"/>
          <w:sz w:val="32"/>
          <w:szCs w:val="32"/>
          <w:lang w:bidi="ar"/>
          <w14:textFill>
            <w14:solidFill>
              <w14:schemeClr w14:val="tx1"/>
            </w14:solidFill>
          </w14:textFill>
        </w:rPr>
      </w:pPr>
      <w:r>
        <w:rPr>
          <w:rFonts w:ascii="仿宋_GB2312" w:hAnsi="仿宋_GB2312" w:eastAsia="仿宋_GB2312" w:cs="仿宋_GB2312"/>
          <w:color w:val="000000" w:themeColor="text1"/>
          <w:kern w:val="0"/>
          <w:sz w:val="32"/>
          <w:szCs w:val="32"/>
          <w:lang w:bidi="ar"/>
          <w14:textFill>
            <w14:solidFill>
              <w14:schemeClr w14:val="tx1"/>
            </w14:solidFill>
          </w14:textFill>
        </w:rPr>
        <w:t>1</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、续建壤塘县救灾物资储备库建设项目和壤塘县物流仓储建设项目，力争九月底完工。</w:t>
      </w:r>
    </w:p>
    <w:p>
      <w:pPr>
        <w:tabs>
          <w:tab w:val="left" w:pos="624"/>
        </w:tabs>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、积极争取</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color w:val="000000"/>
          <w:kern w:val="0"/>
          <w:sz w:val="32"/>
          <w:szCs w:val="32"/>
          <w:lang w:bidi="ar"/>
        </w:rPr>
        <w:t>个应急物资储备中心建设</w:t>
      </w:r>
      <w:r>
        <w:rPr>
          <w:rFonts w:hint="eastAsia" w:ascii="仿宋_GB2312" w:hAnsi="仿宋_GB2312" w:eastAsia="仿宋_GB2312" w:cs="仿宋_GB2312"/>
          <w:sz w:val="32"/>
          <w:szCs w:val="32"/>
        </w:rPr>
        <w:t>项目，争取项目早日建成落地。</w:t>
      </w:r>
    </w:p>
    <w:p>
      <w:pPr>
        <w:spacing w:line="560" w:lineRule="exact"/>
        <w:ind w:firstLine="640" w:firstLineChars="200"/>
        <w:rPr>
          <w:rFonts w:hAnsi="黑体" w:cs="Times New Roman"/>
          <w:sz w:val="32"/>
          <w:szCs w:val="32"/>
        </w:rPr>
      </w:pPr>
      <w:r>
        <w:rPr>
          <w:rFonts w:hint="eastAsia" w:ascii="仿宋_GB2312" w:hAnsi="仿宋_GB2312" w:eastAsia="仿宋_GB2312" w:cs="仿宋_GB2312"/>
          <w:sz w:val="32"/>
          <w:szCs w:val="32"/>
        </w:rPr>
        <w:t>3、积极争取壤塘县粮食和物资储备中心城关粮站储备库建设项目</w:t>
      </w:r>
      <w:r>
        <w:rPr>
          <w:rFonts w:hint="eastAsia" w:ascii="仿宋_GB2312" w:hAnsi="仿宋_GB2312" w:eastAsia="仿宋_GB2312" w:cs="仿宋_GB2312"/>
          <w:sz w:val="32"/>
          <w:szCs w:val="32"/>
          <w:lang w:eastAsia="zh-CN"/>
        </w:rPr>
        <w:t>纳入涉藏专项</w:t>
      </w:r>
      <w:r>
        <w:rPr>
          <w:rFonts w:hint="eastAsia" w:ascii="仿宋_GB2312" w:hAnsi="仿宋_GB2312" w:eastAsia="仿宋_GB2312" w:cs="仿宋_GB2312"/>
          <w:sz w:val="32"/>
          <w:szCs w:val="32"/>
        </w:rPr>
        <w:t>。</w:t>
      </w:r>
    </w:p>
    <w:p>
      <w:pPr>
        <w:pStyle w:val="12"/>
        <w:spacing w:before="0" w:line="360" w:lineRule="auto"/>
        <w:ind w:firstLine="627" w:firstLineChars="196"/>
        <w:rPr>
          <w:rFonts w:hAnsi="黑体" w:cs="Times New Roman"/>
          <w:kern w:val="2"/>
          <w:sz w:val="32"/>
          <w:szCs w:val="32"/>
        </w:rPr>
      </w:pPr>
      <w:r>
        <w:rPr>
          <w:rFonts w:hint="eastAsia" w:ascii="黑体" w:hAnsi="黑体" w:eastAsia="黑体" w:cs="黑体"/>
          <w:kern w:val="2"/>
          <w:sz w:val="32"/>
          <w:szCs w:val="32"/>
        </w:rPr>
        <w:t>二、部门预算单位构成</w:t>
      </w:r>
      <w:r>
        <w:rPr>
          <w:rFonts w:ascii="??" w:hAnsi="??" w:eastAsia="宋体" w:cs="Times New Roman"/>
          <w:sz w:val="16"/>
          <w:szCs w:val="16"/>
        </w:rPr>
        <w:br w:type="textWrapping"/>
      </w:r>
      <w:r>
        <w:rPr>
          <w:rFonts w:ascii="??" w:hAnsi="??" w:eastAsia="宋体" w:cs="??"/>
          <w:sz w:val="16"/>
          <w:szCs w:val="16"/>
        </w:rPr>
        <w:t xml:space="preserve">    </w:t>
      </w:r>
      <w:r>
        <w:rPr>
          <w:rFonts w:hAnsi="黑体"/>
          <w:kern w:val="2"/>
          <w:sz w:val="32"/>
          <w:szCs w:val="32"/>
        </w:rPr>
        <w:t xml:space="preserve">  </w:t>
      </w:r>
      <w:r>
        <w:rPr>
          <w:rFonts w:hint="eastAsia" w:hAnsi="黑体"/>
          <w:kern w:val="2"/>
          <w:sz w:val="32"/>
          <w:szCs w:val="32"/>
        </w:rPr>
        <w:t>壤塘</w:t>
      </w:r>
      <w:r>
        <w:rPr>
          <w:rFonts w:hint="eastAsia"/>
          <w:color w:val="000000"/>
          <w:sz w:val="32"/>
          <w:szCs w:val="32"/>
        </w:rPr>
        <w:t>县粮食和物资储备中心</w:t>
      </w:r>
      <w:r>
        <w:rPr>
          <w:rFonts w:hint="eastAsia"/>
          <w:kern w:val="2"/>
          <w:sz w:val="32"/>
          <w:szCs w:val="32"/>
        </w:rPr>
        <w:t>属一级预算单位，是参照公务员法管理的事业单位，无下属二级</w:t>
      </w:r>
      <w:r>
        <w:rPr>
          <w:rFonts w:hint="eastAsia" w:hAnsi="黑体"/>
          <w:kern w:val="2"/>
          <w:sz w:val="32"/>
          <w:szCs w:val="32"/>
        </w:rPr>
        <w:t>预算单位。</w:t>
      </w:r>
    </w:p>
    <w:p>
      <w:pPr>
        <w:pStyle w:val="12"/>
        <w:spacing w:before="0" w:line="360" w:lineRule="auto"/>
        <w:ind w:firstLine="627" w:firstLineChars="196"/>
        <w:rPr>
          <w:rFonts w:hAnsi="黑体"/>
          <w:kern w:val="2"/>
          <w:sz w:val="32"/>
          <w:szCs w:val="32"/>
        </w:rPr>
      </w:pPr>
      <w:r>
        <w:rPr>
          <w:rFonts w:hint="eastAsia" w:ascii="黑体" w:hAnsi="黑体" w:eastAsia="黑体" w:cs="黑体"/>
          <w:kern w:val="2"/>
          <w:sz w:val="32"/>
          <w:szCs w:val="32"/>
        </w:rPr>
        <w:t>三、收支预算情况说明</w:t>
      </w:r>
      <w:r>
        <w:rPr>
          <w:rFonts w:ascii="??" w:hAnsi="??" w:eastAsia="宋体" w:cs="Times New Roman"/>
          <w:sz w:val="16"/>
          <w:szCs w:val="16"/>
        </w:rPr>
        <w:br w:type="textWrapping"/>
      </w:r>
      <w:r>
        <w:rPr>
          <w:rFonts w:hint="eastAsia" w:ascii="??" w:hAnsi="??" w:eastAsia="宋体" w:cs="宋体"/>
          <w:sz w:val="16"/>
          <w:szCs w:val="16"/>
        </w:rPr>
        <w:t>　　</w:t>
      </w:r>
      <w:r>
        <w:rPr>
          <w:rFonts w:ascii="??" w:hAnsi="??" w:eastAsia="宋体" w:cs="??"/>
          <w:sz w:val="16"/>
          <w:szCs w:val="16"/>
        </w:rPr>
        <w:t xml:space="preserve">    </w:t>
      </w:r>
      <w:r>
        <w:rPr>
          <w:rFonts w:hint="eastAsia" w:hAnsi="黑体"/>
          <w:kern w:val="2"/>
          <w:sz w:val="32"/>
          <w:szCs w:val="32"/>
        </w:rPr>
        <w:t>按照综合预算的原则，壤塘</w:t>
      </w:r>
      <w:r>
        <w:rPr>
          <w:rFonts w:hint="eastAsia"/>
          <w:color w:val="000000"/>
          <w:sz w:val="32"/>
          <w:szCs w:val="32"/>
        </w:rPr>
        <w:t>县粮食和物资储备中心</w:t>
      </w:r>
      <w:r>
        <w:rPr>
          <w:rFonts w:hint="eastAsia" w:hAnsi="黑体"/>
          <w:kern w:val="2"/>
          <w:sz w:val="32"/>
          <w:szCs w:val="32"/>
        </w:rPr>
        <w:t>所有收入和支出均纳入部门预算管理。收入包括：一般公共预算拨款收入</w:t>
      </w:r>
      <w:r>
        <w:rPr>
          <w:rFonts w:hAnsi="黑体" w:cs="Times New Roman"/>
          <w:kern w:val="2"/>
          <w:sz w:val="32"/>
          <w:szCs w:val="32"/>
        </w:rPr>
        <w:t>219.79</w:t>
      </w:r>
      <w:r>
        <w:rPr>
          <w:rFonts w:hint="eastAsia" w:hAnsi="黑体"/>
          <w:kern w:val="2"/>
          <w:sz w:val="32"/>
          <w:szCs w:val="32"/>
        </w:rPr>
        <w:t>万元；支出包括：社会保障和就业支出</w:t>
      </w:r>
      <w:r>
        <w:rPr>
          <w:rFonts w:hAnsi="黑体" w:cs="Times New Roman"/>
          <w:kern w:val="2"/>
          <w:sz w:val="32"/>
          <w:szCs w:val="32"/>
        </w:rPr>
        <w:t>24.71</w:t>
      </w:r>
      <w:r>
        <w:rPr>
          <w:rFonts w:hint="eastAsia" w:hAnsi="黑体"/>
          <w:kern w:val="2"/>
          <w:sz w:val="32"/>
          <w:szCs w:val="32"/>
        </w:rPr>
        <w:t>万元，卫生健康支出11.74万元，住房保障支出</w:t>
      </w:r>
      <w:r>
        <w:rPr>
          <w:rFonts w:hAnsi="黑体" w:cs="Times New Roman"/>
          <w:kern w:val="2"/>
          <w:sz w:val="32"/>
          <w:szCs w:val="32"/>
        </w:rPr>
        <w:t>15.04</w:t>
      </w:r>
      <w:r>
        <w:rPr>
          <w:rFonts w:hint="eastAsia" w:hAnsi="黑体"/>
          <w:kern w:val="2"/>
          <w:sz w:val="32"/>
          <w:szCs w:val="32"/>
        </w:rPr>
        <w:t>万元，粮油物资储备支出168.30万元。壤塘</w:t>
      </w:r>
      <w:r>
        <w:rPr>
          <w:rFonts w:hint="eastAsia"/>
          <w:color w:val="000000"/>
          <w:sz w:val="32"/>
          <w:szCs w:val="32"/>
        </w:rPr>
        <w:t>县粮食和物资储备中心</w:t>
      </w:r>
      <w:r>
        <w:rPr>
          <w:rFonts w:hAnsi="黑体"/>
          <w:kern w:val="2"/>
          <w:sz w:val="32"/>
          <w:szCs w:val="32"/>
        </w:rPr>
        <w:t>2021年</w:t>
      </w:r>
      <w:r>
        <w:rPr>
          <w:rFonts w:hint="eastAsia" w:hAnsi="黑体"/>
          <w:kern w:val="2"/>
          <w:sz w:val="32"/>
          <w:szCs w:val="32"/>
        </w:rPr>
        <w:t>收支总预算</w:t>
      </w:r>
      <w:r>
        <w:rPr>
          <w:rFonts w:hAnsi="黑体" w:cs="Times New Roman"/>
          <w:kern w:val="2"/>
          <w:sz w:val="32"/>
          <w:szCs w:val="32"/>
        </w:rPr>
        <w:t>219.79</w:t>
      </w:r>
      <w:r>
        <w:rPr>
          <w:rFonts w:hint="eastAsia" w:hAnsi="黑体"/>
          <w:kern w:val="2"/>
          <w:sz w:val="32"/>
          <w:szCs w:val="32"/>
        </w:rPr>
        <w:t>万元</w:t>
      </w:r>
      <w:r>
        <w:rPr>
          <w:rFonts w:hAnsi="黑体"/>
          <w:kern w:val="2"/>
          <w:sz w:val="32"/>
          <w:szCs w:val="32"/>
        </w:rPr>
        <w:t>,</w:t>
      </w:r>
      <w:r>
        <w:rPr>
          <w:rFonts w:hint="eastAsia" w:hAnsi="黑体"/>
          <w:kern w:val="2"/>
          <w:sz w:val="32"/>
          <w:szCs w:val="32"/>
        </w:rPr>
        <w:t>比</w:t>
      </w:r>
      <w:r>
        <w:rPr>
          <w:rFonts w:hAnsi="黑体"/>
          <w:kern w:val="2"/>
          <w:sz w:val="32"/>
          <w:szCs w:val="32"/>
        </w:rPr>
        <w:t>20</w:t>
      </w:r>
      <w:r>
        <w:rPr>
          <w:rFonts w:hint="eastAsia" w:hAnsi="黑体"/>
          <w:kern w:val="2"/>
          <w:sz w:val="32"/>
          <w:szCs w:val="32"/>
        </w:rPr>
        <w:t>20</w:t>
      </w:r>
      <w:r>
        <w:rPr>
          <w:rFonts w:hAnsi="黑体"/>
          <w:kern w:val="2"/>
          <w:sz w:val="32"/>
          <w:szCs w:val="32"/>
        </w:rPr>
        <w:t>年</w:t>
      </w:r>
      <w:r>
        <w:rPr>
          <w:rFonts w:hint="eastAsia" w:hAnsi="黑体"/>
          <w:kern w:val="2"/>
          <w:sz w:val="32"/>
          <w:szCs w:val="32"/>
        </w:rPr>
        <w:t>收支预算总数138万元增加</w:t>
      </w:r>
      <w:r>
        <w:rPr>
          <w:rFonts w:hAnsi="黑体" w:cs="Times New Roman"/>
          <w:kern w:val="2"/>
          <w:sz w:val="32"/>
          <w:szCs w:val="32"/>
        </w:rPr>
        <w:t>81.79</w:t>
      </w:r>
      <w:r>
        <w:rPr>
          <w:rFonts w:hint="eastAsia" w:hAnsi="黑体"/>
          <w:kern w:val="2"/>
          <w:sz w:val="32"/>
          <w:szCs w:val="32"/>
        </w:rPr>
        <w:t>万元，主要原因</w:t>
      </w:r>
      <w:r>
        <w:rPr>
          <w:rFonts w:hAnsi="黑体"/>
          <w:kern w:val="2"/>
          <w:sz w:val="32"/>
          <w:szCs w:val="32"/>
        </w:rPr>
        <w:t>:</w:t>
      </w:r>
      <w:r>
        <w:rPr>
          <w:rFonts w:hint="eastAsia" w:hAnsi="黑体"/>
          <w:kern w:val="2"/>
          <w:sz w:val="32"/>
          <w:szCs w:val="32"/>
        </w:rPr>
        <w:t>职能任务调整导致人员及办公经费增加，另增加项目支出（壤塘县县级储备粮利息费用补贴）48万元，2020年无项目预算。</w:t>
      </w:r>
    </w:p>
    <w:p>
      <w:pPr>
        <w:pStyle w:val="12"/>
        <w:spacing w:before="0" w:line="360" w:lineRule="auto"/>
        <w:ind w:firstLine="630" w:firstLineChars="196"/>
        <w:rPr>
          <w:rFonts w:ascii="楷体_GB2312" w:hAnsi="黑体" w:eastAsia="楷体_GB2312" w:cs="楷体_GB2312"/>
          <w:b/>
          <w:bCs/>
          <w:kern w:val="2"/>
          <w:sz w:val="32"/>
          <w:szCs w:val="32"/>
        </w:rPr>
      </w:pPr>
      <w:r>
        <w:rPr>
          <w:rFonts w:hint="eastAsia" w:ascii="楷体_GB2312" w:hAnsi="黑体" w:eastAsia="楷体_GB2312" w:cs="楷体_GB2312"/>
          <w:b/>
          <w:bCs/>
          <w:kern w:val="2"/>
          <w:sz w:val="32"/>
          <w:szCs w:val="32"/>
        </w:rPr>
        <w:t>（一）收入预算情况</w:t>
      </w:r>
    </w:p>
    <w:p>
      <w:pPr>
        <w:pStyle w:val="12"/>
        <w:spacing w:before="0" w:line="360" w:lineRule="auto"/>
        <w:ind w:firstLine="627" w:firstLineChars="196"/>
        <w:rPr>
          <w:rFonts w:hAnsi="黑体"/>
          <w:kern w:val="2"/>
          <w:sz w:val="32"/>
          <w:szCs w:val="32"/>
        </w:rPr>
      </w:pPr>
      <w:r>
        <w:rPr>
          <w:rFonts w:hint="eastAsia" w:hAnsi="黑体"/>
          <w:kern w:val="2"/>
          <w:sz w:val="32"/>
          <w:szCs w:val="32"/>
        </w:rPr>
        <w:t>壤塘</w:t>
      </w:r>
      <w:r>
        <w:rPr>
          <w:rFonts w:hint="eastAsia"/>
          <w:color w:val="000000"/>
          <w:sz w:val="32"/>
          <w:szCs w:val="32"/>
        </w:rPr>
        <w:t>县粮食和物资储备中心</w:t>
      </w:r>
      <w:r>
        <w:rPr>
          <w:rFonts w:hAnsi="黑体"/>
          <w:kern w:val="2"/>
          <w:sz w:val="32"/>
          <w:szCs w:val="32"/>
        </w:rPr>
        <w:t>2021年</w:t>
      </w:r>
      <w:r>
        <w:rPr>
          <w:rFonts w:hint="eastAsia" w:hAnsi="黑体"/>
          <w:kern w:val="2"/>
          <w:sz w:val="32"/>
          <w:szCs w:val="32"/>
        </w:rPr>
        <w:t>收入预算</w:t>
      </w:r>
      <w:r>
        <w:rPr>
          <w:rFonts w:hAnsi="黑体" w:cs="Times New Roman"/>
          <w:kern w:val="2"/>
          <w:sz w:val="32"/>
          <w:szCs w:val="32"/>
        </w:rPr>
        <w:t>219.79</w:t>
      </w:r>
      <w:r>
        <w:rPr>
          <w:rFonts w:hint="eastAsia" w:hAnsi="黑体"/>
          <w:kern w:val="2"/>
          <w:sz w:val="32"/>
          <w:szCs w:val="32"/>
        </w:rPr>
        <w:t>万元，其中：一般公共预算拨款收入</w:t>
      </w:r>
      <w:r>
        <w:rPr>
          <w:rFonts w:hAnsi="黑体" w:cs="Times New Roman"/>
          <w:kern w:val="2"/>
          <w:sz w:val="32"/>
          <w:szCs w:val="32"/>
        </w:rPr>
        <w:t>219.79</w:t>
      </w:r>
      <w:r>
        <w:rPr>
          <w:rFonts w:hint="eastAsia" w:hAnsi="黑体"/>
          <w:kern w:val="2"/>
          <w:sz w:val="32"/>
          <w:szCs w:val="32"/>
        </w:rPr>
        <w:t>万元，占</w:t>
      </w:r>
      <w:r>
        <w:rPr>
          <w:rFonts w:hAnsi="黑体" w:cs="Times New Roman"/>
          <w:kern w:val="2"/>
          <w:sz w:val="32"/>
          <w:szCs w:val="32"/>
        </w:rPr>
        <w:t>100</w:t>
      </w:r>
      <w:r>
        <w:rPr>
          <w:rFonts w:hAnsi="黑体"/>
          <w:kern w:val="2"/>
          <w:sz w:val="32"/>
          <w:szCs w:val="32"/>
        </w:rPr>
        <w:t>%</w:t>
      </w:r>
      <w:r>
        <w:rPr>
          <w:rFonts w:hint="eastAsia" w:hAnsi="黑体"/>
          <w:kern w:val="2"/>
          <w:sz w:val="32"/>
          <w:szCs w:val="32"/>
        </w:rPr>
        <w:t>。</w:t>
      </w:r>
    </w:p>
    <w:p>
      <w:pPr>
        <w:pStyle w:val="12"/>
        <w:spacing w:before="0" w:line="360" w:lineRule="auto"/>
        <w:ind w:firstLine="630" w:firstLineChars="196"/>
        <w:rPr>
          <w:rFonts w:ascii="楷体_GB2312" w:hAnsi="黑体" w:eastAsia="楷体_GB2312" w:cs="楷体_GB2312"/>
          <w:b/>
          <w:bCs/>
          <w:kern w:val="2"/>
          <w:sz w:val="32"/>
          <w:szCs w:val="32"/>
        </w:rPr>
      </w:pPr>
      <w:r>
        <w:rPr>
          <w:rFonts w:hint="eastAsia" w:ascii="楷体_GB2312" w:hAnsi="黑体" w:eastAsia="楷体_GB2312" w:cs="楷体_GB2312"/>
          <w:b/>
          <w:bCs/>
          <w:kern w:val="2"/>
          <w:sz w:val="32"/>
          <w:szCs w:val="32"/>
        </w:rPr>
        <w:t>（二）支出预算情况</w:t>
      </w:r>
    </w:p>
    <w:p>
      <w:pPr>
        <w:pStyle w:val="12"/>
        <w:spacing w:before="0" w:line="360" w:lineRule="auto"/>
        <w:ind w:firstLine="627" w:firstLineChars="196"/>
        <w:rPr>
          <w:rFonts w:hAnsi="黑体" w:cs="Times New Roman"/>
          <w:kern w:val="2"/>
          <w:sz w:val="32"/>
          <w:szCs w:val="32"/>
        </w:rPr>
      </w:pPr>
      <w:r>
        <w:rPr>
          <w:rFonts w:hint="eastAsia" w:hAnsi="黑体"/>
          <w:kern w:val="2"/>
          <w:sz w:val="32"/>
          <w:szCs w:val="32"/>
        </w:rPr>
        <w:t>壤塘</w:t>
      </w:r>
      <w:r>
        <w:rPr>
          <w:rFonts w:hint="eastAsia"/>
          <w:color w:val="000000"/>
          <w:sz w:val="32"/>
          <w:szCs w:val="32"/>
        </w:rPr>
        <w:t>县粮食和物资储备中心</w:t>
      </w:r>
      <w:r>
        <w:rPr>
          <w:rFonts w:hAnsi="黑体"/>
          <w:kern w:val="2"/>
          <w:sz w:val="32"/>
          <w:szCs w:val="32"/>
        </w:rPr>
        <w:t>2021年</w:t>
      </w:r>
      <w:r>
        <w:rPr>
          <w:rFonts w:hint="eastAsia" w:hAnsi="黑体"/>
          <w:kern w:val="2"/>
          <w:sz w:val="32"/>
          <w:szCs w:val="32"/>
        </w:rPr>
        <w:t>支出预算</w:t>
      </w:r>
      <w:r>
        <w:rPr>
          <w:rFonts w:hAnsi="黑体" w:cs="Times New Roman"/>
          <w:kern w:val="2"/>
          <w:sz w:val="32"/>
          <w:szCs w:val="32"/>
        </w:rPr>
        <w:t>219.79</w:t>
      </w:r>
      <w:r>
        <w:rPr>
          <w:rFonts w:hint="eastAsia" w:hAnsi="黑体"/>
          <w:kern w:val="2"/>
          <w:sz w:val="32"/>
          <w:szCs w:val="32"/>
        </w:rPr>
        <w:t>万元，其中：基本支出</w:t>
      </w:r>
      <w:r>
        <w:rPr>
          <w:rFonts w:hAnsi="黑体" w:cs="Times New Roman"/>
          <w:kern w:val="2"/>
          <w:sz w:val="32"/>
          <w:szCs w:val="32"/>
        </w:rPr>
        <w:t>171.79</w:t>
      </w:r>
      <w:r>
        <w:rPr>
          <w:rFonts w:hint="eastAsia" w:hAnsi="黑体"/>
          <w:kern w:val="2"/>
          <w:sz w:val="32"/>
          <w:szCs w:val="32"/>
        </w:rPr>
        <w:t>万元，占</w:t>
      </w:r>
      <w:r>
        <w:rPr>
          <w:rFonts w:hAnsi="黑体" w:cs="Times New Roman"/>
          <w:kern w:val="2"/>
          <w:sz w:val="32"/>
          <w:szCs w:val="32"/>
        </w:rPr>
        <w:t>78.16</w:t>
      </w:r>
      <w:r>
        <w:rPr>
          <w:rFonts w:hAnsi="黑体"/>
          <w:kern w:val="2"/>
          <w:sz w:val="32"/>
          <w:szCs w:val="32"/>
        </w:rPr>
        <w:t>%</w:t>
      </w:r>
      <w:r>
        <w:rPr>
          <w:rFonts w:hint="eastAsia" w:hAnsi="黑体"/>
          <w:kern w:val="2"/>
          <w:sz w:val="32"/>
          <w:szCs w:val="32"/>
        </w:rPr>
        <w:t>；项目支出</w:t>
      </w:r>
      <w:r>
        <w:rPr>
          <w:rFonts w:hAnsi="黑体" w:cs="Times New Roman"/>
          <w:kern w:val="2"/>
          <w:sz w:val="32"/>
          <w:szCs w:val="32"/>
        </w:rPr>
        <w:t>48</w:t>
      </w:r>
      <w:r>
        <w:rPr>
          <w:rFonts w:hint="eastAsia" w:hAnsi="黑体"/>
          <w:kern w:val="2"/>
          <w:sz w:val="32"/>
          <w:szCs w:val="32"/>
        </w:rPr>
        <w:t>万元，占</w:t>
      </w:r>
      <w:r>
        <w:rPr>
          <w:rFonts w:hAnsi="黑体" w:cs="Times New Roman"/>
          <w:kern w:val="2"/>
          <w:sz w:val="32"/>
          <w:szCs w:val="32"/>
        </w:rPr>
        <w:t>21.84</w:t>
      </w:r>
      <w:r>
        <w:rPr>
          <w:rFonts w:hAnsi="黑体"/>
          <w:kern w:val="2"/>
          <w:sz w:val="32"/>
          <w:szCs w:val="32"/>
        </w:rPr>
        <w:t>%</w:t>
      </w:r>
      <w:r>
        <w:rPr>
          <w:rFonts w:hint="eastAsia" w:hAnsi="黑体"/>
          <w:kern w:val="2"/>
          <w:sz w:val="32"/>
          <w:szCs w:val="32"/>
        </w:rPr>
        <w:t>。</w:t>
      </w:r>
    </w:p>
    <w:p>
      <w:pPr>
        <w:pStyle w:val="12"/>
        <w:spacing w:before="0" w:line="360" w:lineRule="auto"/>
        <w:ind w:firstLine="627" w:firstLineChars="196"/>
        <w:rPr>
          <w:rFonts w:ascii="黑体" w:hAnsi="黑体" w:eastAsia="黑体" w:cs="黑体"/>
          <w:kern w:val="2"/>
          <w:sz w:val="32"/>
          <w:szCs w:val="32"/>
        </w:rPr>
      </w:pPr>
      <w:r>
        <w:rPr>
          <w:rFonts w:hint="eastAsia" w:ascii="黑体" w:hAnsi="黑体" w:eastAsia="黑体" w:cs="黑体"/>
          <w:kern w:val="2"/>
          <w:sz w:val="32"/>
          <w:szCs w:val="32"/>
        </w:rPr>
        <w:t>四、财政拨款收支预算情况说明</w:t>
      </w:r>
    </w:p>
    <w:p>
      <w:pPr>
        <w:pStyle w:val="12"/>
        <w:spacing w:before="0" w:line="360" w:lineRule="auto"/>
        <w:ind w:firstLine="627" w:firstLineChars="196"/>
        <w:rPr>
          <w:rFonts w:hAnsi="黑体" w:cs="Times New Roman"/>
          <w:kern w:val="2"/>
          <w:sz w:val="32"/>
          <w:szCs w:val="32"/>
        </w:rPr>
      </w:pPr>
      <w:r>
        <w:rPr>
          <w:rFonts w:hint="eastAsia" w:hAnsi="黑体"/>
          <w:kern w:val="2"/>
          <w:sz w:val="32"/>
          <w:szCs w:val="32"/>
        </w:rPr>
        <w:t>壤塘</w:t>
      </w:r>
      <w:r>
        <w:rPr>
          <w:rFonts w:hint="eastAsia"/>
          <w:color w:val="000000"/>
          <w:sz w:val="32"/>
          <w:szCs w:val="32"/>
        </w:rPr>
        <w:t>县粮食和物资储备中心</w:t>
      </w:r>
      <w:r>
        <w:rPr>
          <w:rFonts w:hAnsi="黑体"/>
          <w:kern w:val="2"/>
          <w:sz w:val="32"/>
          <w:szCs w:val="32"/>
        </w:rPr>
        <w:t>2021年</w:t>
      </w:r>
      <w:r>
        <w:rPr>
          <w:rFonts w:hint="eastAsia" w:hAnsi="黑体"/>
          <w:kern w:val="2"/>
          <w:sz w:val="32"/>
          <w:szCs w:val="32"/>
        </w:rPr>
        <w:t>财政拨款收支总预算</w:t>
      </w:r>
      <w:r>
        <w:rPr>
          <w:rFonts w:hAnsi="黑体" w:cs="Times New Roman"/>
          <w:kern w:val="2"/>
          <w:sz w:val="32"/>
          <w:szCs w:val="32"/>
        </w:rPr>
        <w:t>219.79</w:t>
      </w:r>
      <w:r>
        <w:rPr>
          <w:rFonts w:hint="eastAsia" w:hAnsi="黑体"/>
          <w:kern w:val="2"/>
          <w:sz w:val="32"/>
          <w:szCs w:val="32"/>
        </w:rPr>
        <w:t>万元</w:t>
      </w:r>
      <w:r>
        <w:rPr>
          <w:rFonts w:hAnsi="黑体"/>
          <w:kern w:val="2"/>
          <w:sz w:val="32"/>
          <w:szCs w:val="32"/>
        </w:rPr>
        <w:t>,</w:t>
      </w:r>
      <w:r>
        <w:rPr>
          <w:rFonts w:hint="eastAsia" w:hAnsi="黑体"/>
          <w:kern w:val="2"/>
          <w:sz w:val="32"/>
          <w:szCs w:val="32"/>
        </w:rPr>
        <w:t>比</w:t>
      </w:r>
      <w:r>
        <w:rPr>
          <w:rFonts w:hAnsi="黑体"/>
          <w:kern w:val="2"/>
          <w:sz w:val="32"/>
          <w:szCs w:val="32"/>
        </w:rPr>
        <w:t>2020年</w:t>
      </w:r>
      <w:r>
        <w:rPr>
          <w:rFonts w:hint="eastAsia" w:hAnsi="黑体"/>
          <w:kern w:val="2"/>
          <w:sz w:val="32"/>
          <w:szCs w:val="32"/>
        </w:rPr>
        <w:t>财政拨款收支总预算增加81.79万元，主要原因</w:t>
      </w:r>
      <w:r>
        <w:rPr>
          <w:rFonts w:hAnsi="黑体"/>
          <w:kern w:val="2"/>
          <w:sz w:val="32"/>
          <w:szCs w:val="32"/>
        </w:rPr>
        <w:t>:</w:t>
      </w:r>
      <w:r>
        <w:rPr>
          <w:rFonts w:hint="eastAsia" w:hAnsi="黑体"/>
          <w:kern w:val="2"/>
          <w:sz w:val="32"/>
          <w:szCs w:val="32"/>
        </w:rPr>
        <w:t>职能任务调整导致人员及办公经费增加，另增加项目支出（壤塘县县级储备粮利息费用补贴）48万元，2020年无项目预算。收入包括：本年一般公共预算拨款收入219.79万元；支出包括：社会保障和就业支出</w:t>
      </w:r>
      <w:r>
        <w:rPr>
          <w:rFonts w:hAnsi="黑体" w:cs="Times New Roman"/>
          <w:kern w:val="2"/>
          <w:sz w:val="32"/>
          <w:szCs w:val="32"/>
        </w:rPr>
        <w:t>24.71</w:t>
      </w:r>
      <w:r>
        <w:rPr>
          <w:rFonts w:hint="eastAsia" w:hAnsi="黑体"/>
          <w:kern w:val="2"/>
          <w:sz w:val="32"/>
          <w:szCs w:val="32"/>
        </w:rPr>
        <w:t>万元，卫生健康支出11.74万元，住房保障支出</w:t>
      </w:r>
      <w:r>
        <w:rPr>
          <w:rFonts w:hAnsi="黑体" w:cs="Times New Roman"/>
          <w:kern w:val="2"/>
          <w:sz w:val="32"/>
          <w:szCs w:val="32"/>
        </w:rPr>
        <w:t>15.04</w:t>
      </w:r>
      <w:r>
        <w:rPr>
          <w:rFonts w:hint="eastAsia" w:hAnsi="黑体"/>
          <w:kern w:val="2"/>
          <w:sz w:val="32"/>
          <w:szCs w:val="32"/>
        </w:rPr>
        <w:t>万元，粮油物资储备支出168.30万元。</w:t>
      </w:r>
    </w:p>
    <w:p>
      <w:pPr>
        <w:pStyle w:val="12"/>
        <w:spacing w:before="0" w:line="360" w:lineRule="auto"/>
        <w:ind w:firstLine="627" w:firstLineChars="196"/>
        <w:rPr>
          <w:rFonts w:ascii="黑体" w:hAnsi="黑体" w:eastAsia="黑体" w:cs="黑体"/>
          <w:kern w:val="2"/>
          <w:sz w:val="32"/>
          <w:szCs w:val="32"/>
        </w:rPr>
      </w:pPr>
      <w:r>
        <w:rPr>
          <w:rFonts w:hint="eastAsia" w:ascii="黑体" w:hAnsi="黑体" w:eastAsia="黑体" w:cs="黑体"/>
          <w:kern w:val="2"/>
          <w:sz w:val="32"/>
          <w:szCs w:val="32"/>
        </w:rPr>
        <w:t>五、一般公共预算当年拨款情况说明</w:t>
      </w:r>
    </w:p>
    <w:p>
      <w:pPr>
        <w:pStyle w:val="12"/>
        <w:spacing w:before="0" w:line="360" w:lineRule="auto"/>
        <w:ind w:firstLine="630" w:firstLineChars="196"/>
        <w:rPr>
          <w:rFonts w:hAnsi="黑体" w:cs="Times New Roman"/>
          <w:kern w:val="2"/>
          <w:sz w:val="32"/>
          <w:szCs w:val="32"/>
        </w:rPr>
      </w:pPr>
      <w:r>
        <w:rPr>
          <w:rFonts w:hint="eastAsia" w:ascii="楷体_GB2312" w:hAnsi="黑体" w:eastAsia="楷体_GB2312" w:cs="楷体_GB2312"/>
          <w:b/>
          <w:bCs/>
          <w:kern w:val="2"/>
          <w:sz w:val="32"/>
          <w:szCs w:val="32"/>
        </w:rPr>
        <w:t>（一）一般公共预算当年拨款规模变化情况</w:t>
      </w:r>
    </w:p>
    <w:p>
      <w:pPr>
        <w:pStyle w:val="12"/>
        <w:spacing w:before="0" w:line="360" w:lineRule="auto"/>
        <w:ind w:firstLine="627" w:firstLineChars="196"/>
        <w:rPr>
          <w:rFonts w:hAnsi="黑体"/>
          <w:kern w:val="2"/>
          <w:sz w:val="32"/>
          <w:szCs w:val="32"/>
        </w:rPr>
      </w:pPr>
      <w:r>
        <w:rPr>
          <w:rFonts w:hint="eastAsia" w:hAnsi="黑体"/>
          <w:kern w:val="2"/>
          <w:sz w:val="32"/>
          <w:szCs w:val="32"/>
        </w:rPr>
        <w:t>壤塘</w:t>
      </w:r>
      <w:r>
        <w:rPr>
          <w:rFonts w:hint="eastAsia"/>
          <w:color w:val="000000"/>
          <w:sz w:val="32"/>
          <w:szCs w:val="32"/>
        </w:rPr>
        <w:t>县粮食和物资储备中心</w:t>
      </w:r>
      <w:r>
        <w:rPr>
          <w:rFonts w:hAnsi="黑体"/>
          <w:kern w:val="2"/>
          <w:sz w:val="32"/>
          <w:szCs w:val="32"/>
        </w:rPr>
        <w:t>2021年</w:t>
      </w:r>
      <w:r>
        <w:rPr>
          <w:rFonts w:hint="eastAsia" w:hAnsi="黑体"/>
          <w:kern w:val="2"/>
          <w:sz w:val="32"/>
          <w:szCs w:val="32"/>
        </w:rPr>
        <w:t>一般公共预算当年拨款219.79万元，比</w:t>
      </w:r>
      <w:r>
        <w:rPr>
          <w:rFonts w:hAnsi="黑体"/>
          <w:kern w:val="2"/>
          <w:sz w:val="32"/>
          <w:szCs w:val="32"/>
        </w:rPr>
        <w:t>2020年</w:t>
      </w:r>
      <w:r>
        <w:rPr>
          <w:rFonts w:hint="eastAsia" w:hAnsi="黑体"/>
          <w:kern w:val="2"/>
          <w:sz w:val="32"/>
          <w:szCs w:val="32"/>
        </w:rPr>
        <w:t>预算数增加81.79万元，主要是基本支出增加33.79万元，项目支出增加48万元。主要原因</w:t>
      </w:r>
      <w:r>
        <w:rPr>
          <w:rFonts w:hAnsi="黑体"/>
          <w:kern w:val="2"/>
          <w:sz w:val="32"/>
          <w:szCs w:val="32"/>
        </w:rPr>
        <w:t>:</w:t>
      </w:r>
      <w:r>
        <w:rPr>
          <w:rFonts w:hint="eastAsia" w:hAnsi="黑体"/>
          <w:kern w:val="2"/>
          <w:sz w:val="32"/>
          <w:szCs w:val="32"/>
        </w:rPr>
        <w:t xml:space="preserve"> 职能任务调整导致人员及办公经费增加，另增加项目支出（壤塘县县级储备粮利息费用补贴）48万元，2020年无项目预算。</w:t>
      </w:r>
    </w:p>
    <w:p>
      <w:pPr>
        <w:pStyle w:val="12"/>
        <w:spacing w:before="0" w:line="360" w:lineRule="auto"/>
        <w:ind w:firstLine="630" w:firstLineChars="196"/>
        <w:rPr>
          <w:rFonts w:ascii="楷体_GB2312" w:hAnsi="黑体" w:eastAsia="楷体_GB2312" w:cs="楷体_GB2312"/>
          <w:b/>
          <w:bCs/>
          <w:kern w:val="2"/>
          <w:sz w:val="32"/>
          <w:szCs w:val="32"/>
        </w:rPr>
      </w:pPr>
      <w:r>
        <w:rPr>
          <w:rFonts w:hint="eastAsia" w:ascii="楷体_GB2312" w:hAnsi="黑体" w:eastAsia="楷体_GB2312" w:cs="楷体_GB2312"/>
          <w:b/>
          <w:bCs/>
          <w:kern w:val="2"/>
          <w:sz w:val="32"/>
          <w:szCs w:val="32"/>
        </w:rPr>
        <w:t>（二）一般公共预算当年拨款结构情况</w:t>
      </w:r>
    </w:p>
    <w:p>
      <w:pPr>
        <w:pStyle w:val="12"/>
        <w:spacing w:before="0" w:line="360" w:lineRule="auto"/>
        <w:ind w:firstLine="627" w:firstLineChars="196"/>
        <w:rPr>
          <w:rFonts w:hAnsi="黑体"/>
          <w:kern w:val="2"/>
          <w:sz w:val="32"/>
          <w:szCs w:val="32"/>
        </w:rPr>
      </w:pPr>
      <w:r>
        <w:rPr>
          <w:rFonts w:hint="eastAsia" w:hAnsi="黑体"/>
          <w:kern w:val="2"/>
          <w:sz w:val="32"/>
          <w:szCs w:val="32"/>
        </w:rPr>
        <w:t>社会保障和就业支出</w:t>
      </w:r>
      <w:r>
        <w:rPr>
          <w:rFonts w:hAnsi="黑体" w:cs="Times New Roman"/>
          <w:kern w:val="2"/>
          <w:sz w:val="32"/>
          <w:szCs w:val="32"/>
        </w:rPr>
        <w:t>24.71</w:t>
      </w:r>
      <w:r>
        <w:rPr>
          <w:rFonts w:hint="eastAsia" w:hAnsi="黑体"/>
          <w:kern w:val="2"/>
          <w:sz w:val="32"/>
          <w:szCs w:val="32"/>
        </w:rPr>
        <w:t>万元，占11.24</w:t>
      </w:r>
      <w:r>
        <w:rPr>
          <w:rFonts w:hAnsi="黑体"/>
          <w:kern w:val="2"/>
          <w:sz w:val="32"/>
          <w:szCs w:val="32"/>
        </w:rPr>
        <w:t>%</w:t>
      </w:r>
      <w:r>
        <w:rPr>
          <w:rFonts w:hint="eastAsia" w:hAnsi="黑体"/>
          <w:kern w:val="2"/>
          <w:sz w:val="32"/>
          <w:szCs w:val="32"/>
        </w:rPr>
        <w:t>；卫生健康支出11.74万元，占5.34</w:t>
      </w:r>
      <w:r>
        <w:rPr>
          <w:rFonts w:hAnsi="黑体"/>
          <w:kern w:val="2"/>
          <w:sz w:val="32"/>
          <w:szCs w:val="32"/>
        </w:rPr>
        <w:t>%</w:t>
      </w:r>
      <w:r>
        <w:rPr>
          <w:rFonts w:hint="eastAsia" w:hAnsi="黑体"/>
          <w:kern w:val="2"/>
          <w:sz w:val="32"/>
          <w:szCs w:val="32"/>
        </w:rPr>
        <w:t>；住房保障支出</w:t>
      </w:r>
      <w:r>
        <w:rPr>
          <w:rFonts w:hAnsi="黑体" w:cs="Times New Roman"/>
          <w:kern w:val="2"/>
          <w:sz w:val="32"/>
          <w:szCs w:val="32"/>
        </w:rPr>
        <w:t>15.04</w:t>
      </w:r>
      <w:r>
        <w:rPr>
          <w:rFonts w:hint="eastAsia" w:hAnsi="黑体"/>
          <w:kern w:val="2"/>
          <w:sz w:val="32"/>
          <w:szCs w:val="32"/>
        </w:rPr>
        <w:t>万元，占6.8</w:t>
      </w:r>
      <w:r>
        <w:rPr>
          <w:rFonts w:hAnsi="黑体"/>
          <w:kern w:val="2"/>
          <w:sz w:val="32"/>
          <w:szCs w:val="32"/>
        </w:rPr>
        <w:t>5%</w:t>
      </w:r>
      <w:r>
        <w:rPr>
          <w:rFonts w:hint="eastAsia" w:hAnsi="黑体"/>
          <w:kern w:val="2"/>
          <w:sz w:val="32"/>
          <w:szCs w:val="32"/>
        </w:rPr>
        <w:t>；粮油物资储备支出168.30万元，占76.57</w:t>
      </w:r>
      <w:r>
        <w:rPr>
          <w:rFonts w:hAnsi="黑体"/>
          <w:kern w:val="2"/>
          <w:sz w:val="32"/>
          <w:szCs w:val="32"/>
        </w:rPr>
        <w:t>%</w:t>
      </w:r>
      <w:r>
        <w:rPr>
          <w:rFonts w:hint="eastAsia" w:hAnsi="黑体"/>
          <w:kern w:val="2"/>
          <w:sz w:val="32"/>
          <w:szCs w:val="32"/>
        </w:rPr>
        <w:t>。</w:t>
      </w:r>
    </w:p>
    <w:p>
      <w:pPr>
        <w:pStyle w:val="12"/>
        <w:spacing w:before="0" w:line="360" w:lineRule="auto"/>
        <w:ind w:firstLine="630" w:firstLineChars="196"/>
        <w:rPr>
          <w:rFonts w:ascii="楷体_GB2312" w:hAnsi="黑体" w:eastAsia="楷体_GB2312" w:cs="楷体_GB2312"/>
          <w:b/>
          <w:bCs/>
          <w:kern w:val="2"/>
          <w:sz w:val="32"/>
          <w:szCs w:val="32"/>
        </w:rPr>
      </w:pPr>
      <w:r>
        <w:rPr>
          <w:rFonts w:hint="eastAsia" w:ascii="楷体_GB2312" w:hAnsi="黑体" w:eastAsia="楷体_GB2312" w:cs="楷体_GB2312"/>
          <w:b/>
          <w:bCs/>
          <w:kern w:val="2"/>
          <w:sz w:val="32"/>
          <w:szCs w:val="32"/>
        </w:rPr>
        <w:t>（三）一般公共预算当年拨款具体使用情况</w:t>
      </w:r>
    </w:p>
    <w:p>
      <w:pPr>
        <w:pStyle w:val="12"/>
        <w:spacing w:before="0" w:line="360" w:lineRule="auto"/>
        <w:ind w:firstLine="627" w:firstLineChars="196"/>
        <w:rPr>
          <w:rFonts w:hAnsi="黑体"/>
          <w:kern w:val="2"/>
          <w:sz w:val="32"/>
          <w:szCs w:val="32"/>
        </w:rPr>
      </w:pPr>
      <w:r>
        <w:rPr>
          <w:rFonts w:hAnsi="黑体"/>
          <w:kern w:val="2"/>
          <w:sz w:val="32"/>
          <w:szCs w:val="32"/>
        </w:rPr>
        <w:t>1</w:t>
      </w:r>
      <w:r>
        <w:rPr>
          <w:rFonts w:hint="eastAsia" w:hAnsi="黑体"/>
          <w:kern w:val="2"/>
          <w:sz w:val="32"/>
          <w:szCs w:val="32"/>
        </w:rPr>
        <w:t>．社会保障和就业支出（类）行政事业单位养老支出（款）机关事业单位基本养老保险缴费支出（项目）202</w:t>
      </w:r>
      <w:r>
        <w:rPr>
          <w:rFonts w:hAnsi="黑体"/>
          <w:kern w:val="2"/>
          <w:sz w:val="32"/>
          <w:szCs w:val="32"/>
        </w:rPr>
        <w:t>1</w:t>
      </w:r>
      <w:r>
        <w:rPr>
          <w:rFonts w:hint="eastAsia" w:hAnsi="黑体"/>
          <w:kern w:val="2"/>
          <w:sz w:val="32"/>
          <w:szCs w:val="32"/>
        </w:rPr>
        <w:t>年预算数为1</w:t>
      </w:r>
      <w:r>
        <w:rPr>
          <w:rFonts w:hAnsi="黑体"/>
          <w:kern w:val="2"/>
          <w:sz w:val="32"/>
          <w:szCs w:val="32"/>
        </w:rPr>
        <w:t>6.47</w:t>
      </w:r>
      <w:r>
        <w:rPr>
          <w:rFonts w:hint="eastAsia" w:hAnsi="黑体"/>
          <w:kern w:val="2"/>
          <w:sz w:val="32"/>
          <w:szCs w:val="32"/>
        </w:rPr>
        <w:t>万元，主要用于单位缴纳职工养老保险缴费支出。</w:t>
      </w:r>
    </w:p>
    <w:p>
      <w:pPr>
        <w:pStyle w:val="12"/>
        <w:spacing w:before="0" w:line="360" w:lineRule="auto"/>
        <w:ind w:firstLine="627" w:firstLineChars="196"/>
        <w:rPr>
          <w:rFonts w:hAnsi="黑体"/>
          <w:kern w:val="2"/>
          <w:sz w:val="32"/>
          <w:szCs w:val="32"/>
        </w:rPr>
      </w:pPr>
      <w:r>
        <w:rPr>
          <w:rFonts w:hAnsi="黑体"/>
          <w:kern w:val="2"/>
          <w:sz w:val="32"/>
          <w:szCs w:val="32"/>
        </w:rPr>
        <w:t>2</w:t>
      </w:r>
      <w:r>
        <w:rPr>
          <w:rFonts w:hint="eastAsia" w:hAnsi="黑体"/>
          <w:kern w:val="2"/>
          <w:sz w:val="32"/>
          <w:szCs w:val="32"/>
        </w:rPr>
        <w:t>．社会保障和就业支出（类）行政事业单位养老支出（款）机关事业单位职业年金缴费支出（项目）202</w:t>
      </w:r>
      <w:r>
        <w:rPr>
          <w:rFonts w:hAnsi="黑体"/>
          <w:kern w:val="2"/>
          <w:sz w:val="32"/>
          <w:szCs w:val="32"/>
        </w:rPr>
        <w:t>1</w:t>
      </w:r>
      <w:r>
        <w:rPr>
          <w:rFonts w:hint="eastAsia" w:hAnsi="黑体"/>
          <w:kern w:val="2"/>
          <w:sz w:val="32"/>
          <w:szCs w:val="32"/>
        </w:rPr>
        <w:t>年预算数为</w:t>
      </w:r>
      <w:r>
        <w:rPr>
          <w:rFonts w:hAnsi="黑体"/>
          <w:kern w:val="2"/>
          <w:sz w:val="32"/>
          <w:szCs w:val="32"/>
        </w:rPr>
        <w:t>8.24</w:t>
      </w:r>
      <w:r>
        <w:rPr>
          <w:rFonts w:hint="eastAsia" w:hAnsi="黑体"/>
          <w:kern w:val="2"/>
          <w:sz w:val="32"/>
          <w:szCs w:val="32"/>
        </w:rPr>
        <w:t>万元，主要用于单位缴纳职工职业年金缴费支出。</w:t>
      </w:r>
    </w:p>
    <w:p>
      <w:pPr>
        <w:pStyle w:val="12"/>
        <w:spacing w:before="0" w:line="360" w:lineRule="auto"/>
        <w:ind w:firstLine="627" w:firstLineChars="196"/>
        <w:rPr>
          <w:rFonts w:hAnsi="黑体"/>
          <w:kern w:val="2"/>
          <w:sz w:val="32"/>
          <w:szCs w:val="32"/>
        </w:rPr>
      </w:pPr>
      <w:r>
        <w:rPr>
          <w:rFonts w:hint="eastAsia" w:hAnsi="黑体"/>
          <w:kern w:val="2"/>
          <w:sz w:val="32"/>
          <w:szCs w:val="32"/>
        </w:rPr>
        <w:t>3．卫生健康支出（类）行政事业单位医疗（款）行政单位医疗（项目）202</w:t>
      </w:r>
      <w:r>
        <w:rPr>
          <w:rFonts w:hAnsi="黑体"/>
          <w:kern w:val="2"/>
          <w:sz w:val="32"/>
          <w:szCs w:val="32"/>
        </w:rPr>
        <w:t>1</w:t>
      </w:r>
      <w:r>
        <w:rPr>
          <w:rFonts w:hint="eastAsia" w:hAnsi="黑体"/>
          <w:kern w:val="2"/>
          <w:sz w:val="32"/>
          <w:szCs w:val="32"/>
        </w:rPr>
        <w:t>年预算数为</w:t>
      </w:r>
      <w:r>
        <w:rPr>
          <w:rFonts w:hAnsi="黑体"/>
          <w:kern w:val="2"/>
          <w:sz w:val="32"/>
          <w:szCs w:val="32"/>
        </w:rPr>
        <w:t>8.67</w:t>
      </w:r>
      <w:r>
        <w:rPr>
          <w:rFonts w:hint="eastAsia" w:hAnsi="黑体"/>
          <w:kern w:val="2"/>
          <w:sz w:val="32"/>
          <w:szCs w:val="32"/>
        </w:rPr>
        <w:t>万元，主要用于单位缴纳职工基本医疗保险缴费支出。</w:t>
      </w:r>
    </w:p>
    <w:p>
      <w:pPr>
        <w:pStyle w:val="12"/>
        <w:spacing w:before="0" w:line="360" w:lineRule="auto"/>
        <w:ind w:firstLine="627" w:firstLineChars="196"/>
        <w:rPr>
          <w:rFonts w:hAnsi="黑体"/>
          <w:kern w:val="2"/>
          <w:sz w:val="32"/>
          <w:szCs w:val="32"/>
        </w:rPr>
      </w:pPr>
      <w:r>
        <w:rPr>
          <w:rFonts w:hint="eastAsia" w:hAnsi="黑体"/>
          <w:kern w:val="2"/>
          <w:sz w:val="32"/>
          <w:szCs w:val="32"/>
        </w:rPr>
        <w:t>4．卫生健康支出（类）行政事业单位医疗（款）公务员医疗补助（项目）202</w:t>
      </w:r>
      <w:r>
        <w:rPr>
          <w:rFonts w:hAnsi="黑体"/>
          <w:kern w:val="2"/>
          <w:sz w:val="32"/>
          <w:szCs w:val="32"/>
        </w:rPr>
        <w:t>1</w:t>
      </w:r>
      <w:r>
        <w:rPr>
          <w:rFonts w:hint="eastAsia" w:hAnsi="黑体"/>
          <w:kern w:val="2"/>
          <w:sz w:val="32"/>
          <w:szCs w:val="32"/>
        </w:rPr>
        <w:t>年预算数为</w:t>
      </w:r>
      <w:r>
        <w:rPr>
          <w:rFonts w:hAnsi="黑体"/>
          <w:kern w:val="2"/>
          <w:sz w:val="32"/>
          <w:szCs w:val="32"/>
        </w:rPr>
        <w:t>3.07</w:t>
      </w:r>
      <w:r>
        <w:rPr>
          <w:rFonts w:hint="eastAsia" w:hAnsi="黑体"/>
          <w:kern w:val="2"/>
          <w:sz w:val="32"/>
          <w:szCs w:val="32"/>
        </w:rPr>
        <w:t>万元，主要用于单位缴纳职工公务员医疗补助缴费支出。</w:t>
      </w:r>
    </w:p>
    <w:p>
      <w:pPr>
        <w:pStyle w:val="12"/>
        <w:spacing w:before="0" w:line="360" w:lineRule="auto"/>
        <w:ind w:firstLine="627" w:firstLineChars="196"/>
        <w:rPr>
          <w:rFonts w:hAnsi="黑体"/>
          <w:kern w:val="2"/>
          <w:sz w:val="32"/>
          <w:szCs w:val="32"/>
        </w:rPr>
      </w:pPr>
      <w:r>
        <w:rPr>
          <w:rFonts w:hint="eastAsia" w:hAnsi="黑体"/>
          <w:kern w:val="2"/>
          <w:sz w:val="32"/>
          <w:szCs w:val="32"/>
        </w:rPr>
        <w:t>5.住房保障支出（类）住房改革支出（款）住房公积金（项目）202</w:t>
      </w:r>
      <w:r>
        <w:rPr>
          <w:rFonts w:hAnsi="黑体"/>
          <w:kern w:val="2"/>
          <w:sz w:val="32"/>
          <w:szCs w:val="32"/>
        </w:rPr>
        <w:t>1</w:t>
      </w:r>
      <w:r>
        <w:rPr>
          <w:rFonts w:hint="eastAsia" w:hAnsi="黑体"/>
          <w:kern w:val="2"/>
          <w:sz w:val="32"/>
          <w:szCs w:val="32"/>
        </w:rPr>
        <w:t>年预算数为1</w:t>
      </w:r>
      <w:r>
        <w:rPr>
          <w:rFonts w:hAnsi="黑体"/>
          <w:kern w:val="2"/>
          <w:sz w:val="32"/>
          <w:szCs w:val="32"/>
        </w:rPr>
        <w:t>5.04</w:t>
      </w:r>
      <w:r>
        <w:rPr>
          <w:rFonts w:hint="eastAsia" w:hAnsi="黑体"/>
          <w:kern w:val="2"/>
          <w:sz w:val="32"/>
          <w:szCs w:val="32"/>
        </w:rPr>
        <w:t>万元，主要用于单位缴纳职工住房公积金。</w:t>
      </w:r>
    </w:p>
    <w:p>
      <w:pPr>
        <w:pStyle w:val="12"/>
        <w:spacing w:before="0" w:line="360" w:lineRule="auto"/>
        <w:ind w:firstLine="627" w:firstLineChars="196"/>
        <w:rPr>
          <w:rFonts w:hAnsi="黑体"/>
          <w:kern w:val="2"/>
          <w:sz w:val="32"/>
          <w:szCs w:val="32"/>
        </w:rPr>
      </w:pPr>
      <w:r>
        <w:rPr>
          <w:rFonts w:hint="eastAsia" w:hAnsi="黑体"/>
          <w:kern w:val="2"/>
          <w:sz w:val="32"/>
          <w:szCs w:val="32"/>
        </w:rPr>
        <w:t>6.粮油物资储备支出（类）粮油物资事务（款）其他粮油事务支出（项目）202</w:t>
      </w:r>
      <w:r>
        <w:rPr>
          <w:rFonts w:hAnsi="黑体"/>
          <w:kern w:val="2"/>
          <w:sz w:val="32"/>
          <w:szCs w:val="32"/>
        </w:rPr>
        <w:t>1</w:t>
      </w:r>
      <w:r>
        <w:rPr>
          <w:rFonts w:hint="eastAsia" w:hAnsi="黑体"/>
          <w:kern w:val="2"/>
          <w:sz w:val="32"/>
          <w:szCs w:val="32"/>
        </w:rPr>
        <w:t>年预算数为</w:t>
      </w:r>
      <w:r>
        <w:rPr>
          <w:rFonts w:hAnsi="黑体"/>
          <w:kern w:val="2"/>
          <w:sz w:val="32"/>
          <w:szCs w:val="32"/>
        </w:rPr>
        <w:t>120.3</w:t>
      </w:r>
      <w:r>
        <w:rPr>
          <w:rFonts w:hint="eastAsia" w:hAnsi="黑体"/>
          <w:kern w:val="2"/>
          <w:sz w:val="32"/>
          <w:szCs w:val="32"/>
        </w:rPr>
        <w:t>万元，主要用于单位运行支出。</w:t>
      </w:r>
    </w:p>
    <w:p>
      <w:pPr>
        <w:pStyle w:val="12"/>
        <w:spacing w:before="0" w:line="360" w:lineRule="auto"/>
        <w:ind w:firstLine="627" w:firstLineChars="196"/>
        <w:rPr>
          <w:rFonts w:hAnsi="黑体"/>
          <w:kern w:val="2"/>
          <w:sz w:val="32"/>
          <w:szCs w:val="32"/>
        </w:rPr>
      </w:pPr>
      <w:r>
        <w:rPr>
          <w:rFonts w:hAnsi="黑体"/>
          <w:kern w:val="2"/>
          <w:sz w:val="32"/>
          <w:szCs w:val="32"/>
        </w:rPr>
        <w:t>7</w:t>
      </w:r>
      <w:r>
        <w:rPr>
          <w:rFonts w:hint="eastAsia" w:hAnsi="黑体"/>
          <w:kern w:val="2"/>
          <w:sz w:val="32"/>
          <w:szCs w:val="32"/>
        </w:rPr>
        <w:t>.粮油物资储备支出（类）粮油储备（款）储备粮油补贴（项目）202</w:t>
      </w:r>
      <w:r>
        <w:rPr>
          <w:rFonts w:hAnsi="黑体"/>
          <w:kern w:val="2"/>
          <w:sz w:val="32"/>
          <w:szCs w:val="32"/>
        </w:rPr>
        <w:t>1</w:t>
      </w:r>
      <w:r>
        <w:rPr>
          <w:rFonts w:hint="eastAsia" w:hAnsi="黑体"/>
          <w:kern w:val="2"/>
          <w:sz w:val="32"/>
          <w:szCs w:val="32"/>
        </w:rPr>
        <w:t>年预算数为</w:t>
      </w:r>
      <w:r>
        <w:rPr>
          <w:rFonts w:hAnsi="黑体"/>
          <w:kern w:val="2"/>
          <w:sz w:val="32"/>
          <w:szCs w:val="32"/>
        </w:rPr>
        <w:t>48</w:t>
      </w:r>
      <w:r>
        <w:rPr>
          <w:rFonts w:hint="eastAsia" w:hAnsi="黑体"/>
          <w:kern w:val="2"/>
          <w:sz w:val="32"/>
          <w:szCs w:val="32"/>
        </w:rPr>
        <w:t>万元，主要用于“壤塘县县级储备粮利息费用补贴”项目支出（其中费用补贴35万元，利息补贴13万元）。</w:t>
      </w:r>
    </w:p>
    <w:p>
      <w:pPr>
        <w:pStyle w:val="12"/>
        <w:tabs>
          <w:tab w:val="left" w:pos="720"/>
        </w:tabs>
        <w:spacing w:before="0" w:line="360" w:lineRule="auto"/>
        <w:rPr>
          <w:rFonts w:ascii="黑体" w:hAnsi="黑体" w:eastAsia="黑体" w:cs="黑体"/>
          <w:kern w:val="2"/>
          <w:sz w:val="32"/>
          <w:szCs w:val="32"/>
        </w:rPr>
      </w:pPr>
      <w:r>
        <w:rPr>
          <w:rFonts w:hint="eastAsia" w:ascii="??" w:hAnsi="??" w:eastAsia="宋体" w:cs="宋体"/>
          <w:sz w:val="16"/>
          <w:szCs w:val="16"/>
        </w:rPr>
        <w:t>　</w:t>
      </w:r>
      <w:r>
        <w:rPr>
          <w:rFonts w:hint="eastAsia" w:ascii="??" w:hAnsi="??" w:eastAsia="宋体" w:cs="宋体"/>
          <w:b/>
          <w:bCs/>
          <w:sz w:val="16"/>
          <w:szCs w:val="16"/>
        </w:rPr>
        <w:t>　</w:t>
      </w:r>
      <w:r>
        <w:rPr>
          <w:rFonts w:ascii="??" w:hAnsi="??" w:eastAsia="宋体" w:cs="??"/>
          <w:b/>
          <w:bCs/>
          <w:sz w:val="16"/>
          <w:szCs w:val="16"/>
        </w:rPr>
        <w:t xml:space="preserve">    </w:t>
      </w:r>
      <w:r>
        <w:rPr>
          <w:rFonts w:hint="eastAsia" w:ascii="黑体" w:hAnsi="黑体" w:eastAsia="黑体" w:cs="黑体"/>
          <w:kern w:val="2"/>
          <w:sz w:val="32"/>
          <w:szCs w:val="32"/>
        </w:rPr>
        <w:t>六、一般公共预算基本支出情况说明</w:t>
      </w:r>
    </w:p>
    <w:p>
      <w:pPr>
        <w:pStyle w:val="12"/>
        <w:tabs>
          <w:tab w:val="left" w:pos="720"/>
        </w:tabs>
        <w:spacing w:before="0" w:line="360" w:lineRule="auto"/>
        <w:ind w:firstLine="640" w:firstLineChars="200"/>
        <w:rPr>
          <w:rFonts w:hAnsi="黑体" w:cs="Times New Roman"/>
          <w:kern w:val="2"/>
          <w:sz w:val="32"/>
          <w:szCs w:val="32"/>
        </w:rPr>
      </w:pPr>
      <w:r>
        <w:rPr>
          <w:rFonts w:hint="eastAsia" w:hAnsi="黑体"/>
          <w:kern w:val="2"/>
          <w:sz w:val="32"/>
          <w:szCs w:val="32"/>
        </w:rPr>
        <w:t>壤塘县粮食和物资储备中心</w:t>
      </w:r>
      <w:r>
        <w:rPr>
          <w:rFonts w:hAnsi="黑体"/>
          <w:kern w:val="2"/>
          <w:sz w:val="32"/>
          <w:szCs w:val="32"/>
        </w:rPr>
        <w:t>2021年</w:t>
      </w:r>
      <w:r>
        <w:rPr>
          <w:rFonts w:hint="eastAsia" w:hAnsi="黑体"/>
          <w:kern w:val="2"/>
          <w:sz w:val="32"/>
          <w:szCs w:val="32"/>
        </w:rPr>
        <w:t>一般公共预算基本支出171.79万元，其中：人员经费158.10万元，主要包括：基本工资38.55万元、津贴补贴62.74万元、奖金3.21万元、机关事业单位基本养老保险缴费16.47万元、职业年金缴费8.24万元、城镇职工医疗保险8.67万元、公务员医疗补助3.07万元、其他社会保障缴费2.11万元、住房公积金15.04万元。公用经费13.69万元，主要包括：办公费4.9万元、印刷费0.6万元、手续费0.1万元、电费0.7万元、邮电费0.74万元、取暖费0.46万元、物业管理费0.5万元、差旅费1.5万元、公务接待费0.1万元、工会经费2.09万元、公务用车运行维护费2万元。</w:t>
      </w:r>
    </w:p>
    <w:p>
      <w:pPr>
        <w:pStyle w:val="12"/>
        <w:spacing w:before="0" w:line="360" w:lineRule="auto"/>
        <w:ind w:firstLine="640" w:firstLineChars="200"/>
        <w:rPr>
          <w:rFonts w:ascii="??" w:hAnsi="??" w:eastAsia="宋体" w:cs="Times New Roman"/>
          <w:sz w:val="16"/>
          <w:szCs w:val="16"/>
        </w:rPr>
      </w:pPr>
      <w:r>
        <w:rPr>
          <w:rFonts w:hint="eastAsia" w:ascii="黑体" w:hAnsi="黑体" w:eastAsia="黑体" w:cs="黑体"/>
          <w:kern w:val="2"/>
          <w:sz w:val="32"/>
          <w:szCs w:val="32"/>
        </w:rPr>
        <w:t>七、</w:t>
      </w:r>
      <w:r>
        <w:rPr>
          <w:rFonts w:ascii="黑体" w:hAnsi="黑体" w:eastAsia="黑体" w:cs="Times New Roman"/>
          <w:kern w:val="2"/>
          <w:sz w:val="32"/>
          <w:szCs w:val="32"/>
        </w:rPr>
        <w:t>“</w:t>
      </w:r>
      <w:r>
        <w:rPr>
          <w:rFonts w:hint="eastAsia" w:ascii="黑体" w:hAnsi="黑体" w:eastAsia="黑体" w:cs="黑体"/>
          <w:kern w:val="2"/>
          <w:sz w:val="32"/>
          <w:szCs w:val="32"/>
        </w:rPr>
        <w:t>三公</w:t>
      </w:r>
      <w:r>
        <w:rPr>
          <w:rFonts w:ascii="黑体" w:hAnsi="黑体" w:eastAsia="黑体" w:cs="Times New Roman"/>
          <w:kern w:val="2"/>
          <w:sz w:val="32"/>
          <w:szCs w:val="32"/>
        </w:rPr>
        <w:t>”</w:t>
      </w:r>
      <w:r>
        <w:rPr>
          <w:rFonts w:hint="eastAsia" w:ascii="黑体" w:hAnsi="黑体" w:eastAsia="黑体" w:cs="黑体"/>
          <w:kern w:val="2"/>
          <w:sz w:val="32"/>
          <w:szCs w:val="32"/>
        </w:rPr>
        <w:t>经费财政拨款预算安排情况说明</w:t>
      </w:r>
    </w:p>
    <w:p>
      <w:pPr>
        <w:pStyle w:val="12"/>
        <w:spacing w:before="0" w:line="360" w:lineRule="auto"/>
        <w:ind w:firstLine="640" w:firstLineChars="200"/>
        <w:rPr>
          <w:rFonts w:hAnsi="黑体" w:cs="Times New Roman"/>
          <w:kern w:val="2"/>
          <w:sz w:val="32"/>
          <w:szCs w:val="32"/>
        </w:rPr>
      </w:pPr>
      <w:r>
        <w:rPr>
          <w:rFonts w:hint="eastAsia" w:hAnsi="黑体"/>
          <w:kern w:val="2"/>
          <w:sz w:val="32"/>
          <w:szCs w:val="32"/>
        </w:rPr>
        <w:t>壤塘县粮食和物资储备中心</w:t>
      </w:r>
      <w:r>
        <w:rPr>
          <w:rFonts w:hAnsi="黑体"/>
          <w:kern w:val="2"/>
          <w:sz w:val="32"/>
          <w:szCs w:val="32"/>
        </w:rPr>
        <w:t>2021年</w:t>
      </w:r>
      <w:r>
        <w:rPr>
          <w:rFonts w:hAnsi="黑体" w:cs="Times New Roman"/>
          <w:kern w:val="2"/>
          <w:sz w:val="32"/>
          <w:szCs w:val="32"/>
        </w:rPr>
        <w:t>“</w:t>
      </w:r>
      <w:r>
        <w:rPr>
          <w:rFonts w:hint="eastAsia" w:hAnsi="黑体"/>
          <w:kern w:val="2"/>
          <w:sz w:val="32"/>
          <w:szCs w:val="32"/>
        </w:rPr>
        <w:t>三公</w:t>
      </w:r>
      <w:r>
        <w:rPr>
          <w:rFonts w:hAnsi="黑体" w:cs="Times New Roman"/>
          <w:kern w:val="2"/>
          <w:sz w:val="32"/>
          <w:szCs w:val="32"/>
        </w:rPr>
        <w:t>”</w:t>
      </w:r>
      <w:r>
        <w:rPr>
          <w:rFonts w:hint="eastAsia" w:hAnsi="黑体"/>
          <w:kern w:val="2"/>
          <w:sz w:val="32"/>
          <w:szCs w:val="32"/>
        </w:rPr>
        <w:t>经费财政拨款预算数2.1万元，其中：公务接待费0.1万元，公务用车运行维护费2万元。</w:t>
      </w:r>
    </w:p>
    <w:p>
      <w:pPr>
        <w:pStyle w:val="12"/>
        <w:spacing w:before="0" w:line="360" w:lineRule="auto"/>
        <w:ind w:firstLine="640" w:firstLineChars="200"/>
        <w:rPr>
          <w:rFonts w:hAnsi="黑体"/>
          <w:kern w:val="2"/>
          <w:sz w:val="32"/>
          <w:szCs w:val="32"/>
        </w:rPr>
      </w:pPr>
      <w:r>
        <w:rPr>
          <w:rFonts w:hint="eastAsia" w:hAnsi="黑体"/>
          <w:kern w:val="2"/>
          <w:sz w:val="32"/>
          <w:szCs w:val="32"/>
        </w:rPr>
        <w:t>（一）</w:t>
      </w:r>
      <w:r>
        <w:rPr>
          <w:rFonts w:hAnsi="黑体"/>
          <w:kern w:val="2"/>
          <w:sz w:val="32"/>
          <w:szCs w:val="32"/>
        </w:rPr>
        <w:t>2021年</w:t>
      </w:r>
      <w:r>
        <w:rPr>
          <w:rFonts w:hint="eastAsia" w:hAnsi="黑体"/>
          <w:kern w:val="2"/>
          <w:sz w:val="32"/>
          <w:szCs w:val="32"/>
        </w:rPr>
        <w:t>公务接待费0.1万元。较</w:t>
      </w:r>
      <w:r>
        <w:rPr>
          <w:rFonts w:hAnsi="黑体"/>
          <w:kern w:val="2"/>
          <w:sz w:val="32"/>
          <w:szCs w:val="32"/>
        </w:rPr>
        <w:t>2020年</w:t>
      </w:r>
      <w:r>
        <w:rPr>
          <w:rFonts w:hint="eastAsia" w:hAnsi="黑体"/>
          <w:kern w:val="2"/>
          <w:sz w:val="32"/>
          <w:szCs w:val="32"/>
        </w:rPr>
        <w:t>预算经费增长0.1万元，主要原因是：客观需要。</w:t>
      </w:r>
    </w:p>
    <w:p>
      <w:pPr>
        <w:pStyle w:val="12"/>
        <w:spacing w:before="0" w:line="360" w:lineRule="auto"/>
        <w:ind w:firstLine="640" w:firstLineChars="200"/>
        <w:rPr>
          <w:rFonts w:hAnsi="黑体"/>
          <w:kern w:val="2"/>
          <w:sz w:val="32"/>
          <w:szCs w:val="32"/>
        </w:rPr>
      </w:pPr>
      <w:r>
        <w:rPr>
          <w:rFonts w:hint="eastAsia" w:hAnsi="黑体"/>
          <w:kern w:val="2"/>
          <w:sz w:val="32"/>
          <w:szCs w:val="32"/>
        </w:rPr>
        <w:t>（二）</w:t>
      </w:r>
      <w:r>
        <w:rPr>
          <w:rFonts w:hAnsi="黑体"/>
          <w:kern w:val="2"/>
          <w:sz w:val="32"/>
          <w:szCs w:val="32"/>
        </w:rPr>
        <w:t>2021年</w:t>
      </w:r>
      <w:r>
        <w:rPr>
          <w:rFonts w:hint="eastAsia" w:hAnsi="黑体"/>
          <w:kern w:val="2"/>
          <w:sz w:val="32"/>
          <w:szCs w:val="32"/>
        </w:rPr>
        <w:t>公务用车运行维护费2万元，较</w:t>
      </w:r>
      <w:r>
        <w:rPr>
          <w:rFonts w:hAnsi="黑体"/>
          <w:kern w:val="2"/>
          <w:sz w:val="32"/>
          <w:szCs w:val="32"/>
        </w:rPr>
        <w:t>2020年</w:t>
      </w:r>
      <w:r>
        <w:rPr>
          <w:rFonts w:hint="eastAsia" w:hAnsi="黑体"/>
          <w:kern w:val="2"/>
          <w:sz w:val="32"/>
          <w:szCs w:val="32"/>
        </w:rPr>
        <w:t>持平。</w:t>
      </w:r>
    </w:p>
    <w:p>
      <w:pPr>
        <w:pStyle w:val="12"/>
        <w:spacing w:before="0" w:line="360" w:lineRule="auto"/>
        <w:ind w:firstLine="640" w:firstLineChars="200"/>
        <w:rPr>
          <w:rFonts w:ascii="黑体" w:hAnsi="黑体" w:eastAsia="黑体" w:cs="黑体"/>
          <w:kern w:val="2"/>
          <w:sz w:val="32"/>
          <w:szCs w:val="32"/>
        </w:rPr>
      </w:pPr>
      <w:r>
        <w:rPr>
          <w:rFonts w:hint="eastAsia" w:ascii="黑体" w:hAnsi="黑体" w:eastAsia="黑体" w:cs="黑体"/>
          <w:kern w:val="2"/>
          <w:sz w:val="32"/>
          <w:szCs w:val="32"/>
        </w:rPr>
        <w:t>八、政府性基金预算支出情况说明</w:t>
      </w:r>
    </w:p>
    <w:p>
      <w:pPr>
        <w:pStyle w:val="12"/>
        <w:spacing w:before="0" w:line="360" w:lineRule="auto"/>
        <w:ind w:firstLine="640" w:firstLineChars="200"/>
        <w:rPr>
          <w:rFonts w:hAnsi="黑体"/>
          <w:kern w:val="2"/>
          <w:sz w:val="32"/>
          <w:szCs w:val="32"/>
        </w:rPr>
      </w:pPr>
      <w:r>
        <w:rPr>
          <w:rFonts w:hint="eastAsia" w:hAnsi="黑体"/>
          <w:kern w:val="2"/>
          <w:sz w:val="32"/>
          <w:szCs w:val="32"/>
        </w:rPr>
        <w:t>壤塘县粮食和物资储备中心</w:t>
      </w:r>
      <w:r>
        <w:rPr>
          <w:rFonts w:hAnsi="黑体"/>
          <w:kern w:val="2"/>
          <w:sz w:val="32"/>
          <w:szCs w:val="32"/>
        </w:rPr>
        <w:t>2021年</w:t>
      </w:r>
      <w:r>
        <w:rPr>
          <w:rFonts w:hint="eastAsia" w:hAnsi="黑体"/>
          <w:kern w:val="2"/>
          <w:sz w:val="32"/>
          <w:szCs w:val="32"/>
        </w:rPr>
        <w:t>无政府性基金预算拨款安排。</w:t>
      </w:r>
    </w:p>
    <w:p>
      <w:pPr>
        <w:pStyle w:val="12"/>
        <w:spacing w:before="0" w:line="360" w:lineRule="auto"/>
        <w:ind w:firstLine="640" w:firstLineChars="200"/>
        <w:rPr>
          <w:rFonts w:ascii="黑体" w:hAnsi="黑体" w:eastAsia="黑体" w:cs="黑体"/>
          <w:kern w:val="2"/>
          <w:sz w:val="32"/>
          <w:szCs w:val="32"/>
        </w:rPr>
      </w:pPr>
      <w:r>
        <w:rPr>
          <w:rFonts w:hint="eastAsia" w:ascii="黑体" w:hAnsi="黑体" w:eastAsia="黑体" w:cs="黑体"/>
          <w:kern w:val="2"/>
          <w:sz w:val="32"/>
          <w:szCs w:val="32"/>
        </w:rPr>
        <w:t>九、其他重要事项的情况说明</w:t>
      </w:r>
    </w:p>
    <w:p>
      <w:pPr>
        <w:pStyle w:val="12"/>
        <w:spacing w:before="0" w:line="360" w:lineRule="auto"/>
        <w:ind w:firstLine="643" w:firstLineChars="200"/>
        <w:rPr>
          <w:rFonts w:ascii="楷体_GB2312" w:hAnsi="黑体" w:eastAsia="楷体_GB2312" w:cs="楷体_GB2312"/>
          <w:b/>
          <w:bCs/>
          <w:kern w:val="2"/>
          <w:sz w:val="32"/>
          <w:szCs w:val="32"/>
        </w:rPr>
      </w:pPr>
      <w:r>
        <w:rPr>
          <w:rFonts w:hint="eastAsia" w:ascii="楷体_GB2312" w:hAnsi="黑体" w:eastAsia="楷体_GB2312" w:cs="楷体_GB2312"/>
          <w:b/>
          <w:bCs/>
          <w:kern w:val="2"/>
          <w:sz w:val="32"/>
          <w:szCs w:val="32"/>
        </w:rPr>
        <w:t>（一）机关运行经费</w:t>
      </w:r>
    </w:p>
    <w:p>
      <w:pPr>
        <w:pStyle w:val="12"/>
        <w:spacing w:before="0" w:line="360" w:lineRule="auto"/>
        <w:ind w:firstLine="640" w:firstLineChars="200"/>
        <w:rPr>
          <w:rFonts w:hAnsi="黑体"/>
          <w:kern w:val="2"/>
          <w:sz w:val="32"/>
          <w:szCs w:val="32"/>
        </w:rPr>
      </w:pPr>
      <w:r>
        <w:rPr>
          <w:rFonts w:hint="eastAsia" w:hAnsi="黑体"/>
          <w:kern w:val="2"/>
          <w:sz w:val="32"/>
          <w:szCs w:val="32"/>
        </w:rPr>
        <w:t>壤塘县粮食和物资储备中心</w:t>
      </w:r>
      <w:r>
        <w:rPr>
          <w:rFonts w:hAnsi="黑体"/>
          <w:kern w:val="2"/>
          <w:sz w:val="32"/>
          <w:szCs w:val="32"/>
        </w:rPr>
        <w:t>2021年</w:t>
      </w:r>
      <w:r>
        <w:rPr>
          <w:rFonts w:hint="eastAsia" w:hAnsi="黑体"/>
          <w:kern w:val="2"/>
          <w:sz w:val="32"/>
          <w:szCs w:val="32"/>
        </w:rPr>
        <w:t>机关运行经费财政拨款预算为13.69万元，比</w:t>
      </w:r>
      <w:r>
        <w:rPr>
          <w:rFonts w:hAnsi="黑体"/>
          <w:kern w:val="2"/>
          <w:sz w:val="32"/>
          <w:szCs w:val="32"/>
        </w:rPr>
        <w:t>2020年</w:t>
      </w:r>
      <w:r>
        <w:rPr>
          <w:rFonts w:hint="eastAsia" w:hAnsi="黑体"/>
          <w:kern w:val="2"/>
          <w:sz w:val="32"/>
          <w:szCs w:val="32"/>
        </w:rPr>
        <w:t>预算增加5.69万元，增长71.13</w:t>
      </w:r>
      <w:r>
        <w:rPr>
          <w:rFonts w:hAnsi="黑体"/>
          <w:kern w:val="2"/>
          <w:sz w:val="32"/>
          <w:szCs w:val="32"/>
        </w:rPr>
        <w:t>%</w:t>
      </w:r>
      <w:r>
        <w:rPr>
          <w:rFonts w:hint="eastAsia" w:hAnsi="黑体"/>
          <w:kern w:val="2"/>
          <w:sz w:val="32"/>
          <w:szCs w:val="32"/>
        </w:rPr>
        <w:t>。</w:t>
      </w:r>
    </w:p>
    <w:p>
      <w:pPr>
        <w:pStyle w:val="12"/>
        <w:spacing w:before="0" w:line="360" w:lineRule="auto"/>
        <w:ind w:firstLine="643" w:firstLineChars="200"/>
        <w:rPr>
          <w:rFonts w:ascii="楷体_GB2312" w:hAnsi="黑体" w:eastAsia="楷体_GB2312" w:cs="Times New Roman"/>
          <w:b/>
          <w:bCs/>
          <w:kern w:val="2"/>
          <w:sz w:val="32"/>
          <w:szCs w:val="32"/>
        </w:rPr>
      </w:pPr>
      <w:r>
        <w:rPr>
          <w:rFonts w:hint="eastAsia" w:ascii="楷体_GB2312" w:hAnsi="黑体" w:eastAsia="楷体_GB2312" w:cs="楷体_GB2312"/>
          <w:b/>
          <w:bCs/>
          <w:kern w:val="2"/>
          <w:sz w:val="32"/>
          <w:szCs w:val="32"/>
        </w:rPr>
        <w:t>（二）政府采购情况</w:t>
      </w:r>
    </w:p>
    <w:p>
      <w:pPr>
        <w:pStyle w:val="12"/>
        <w:spacing w:before="0" w:line="360" w:lineRule="auto"/>
        <w:ind w:firstLine="640" w:firstLineChars="200"/>
        <w:rPr>
          <w:rFonts w:hAnsi="黑体"/>
          <w:kern w:val="2"/>
          <w:sz w:val="32"/>
          <w:szCs w:val="32"/>
        </w:rPr>
      </w:pPr>
      <w:r>
        <w:rPr>
          <w:rFonts w:hint="eastAsia" w:hAnsi="黑体"/>
          <w:kern w:val="2"/>
          <w:sz w:val="32"/>
          <w:szCs w:val="32"/>
        </w:rPr>
        <w:t>壤塘县粮食和物资储备中心</w:t>
      </w:r>
      <w:r>
        <w:rPr>
          <w:rFonts w:hAnsi="黑体"/>
          <w:kern w:val="2"/>
          <w:sz w:val="32"/>
          <w:szCs w:val="32"/>
        </w:rPr>
        <w:t>2021年</w:t>
      </w:r>
      <w:r>
        <w:rPr>
          <w:rFonts w:hint="eastAsia" w:hAnsi="黑体"/>
          <w:kern w:val="2"/>
          <w:sz w:val="32"/>
          <w:szCs w:val="32"/>
        </w:rPr>
        <w:t>未安排政府采购预算。</w:t>
      </w:r>
    </w:p>
    <w:p>
      <w:pPr>
        <w:pStyle w:val="12"/>
        <w:numPr>
          <w:ilvl w:val="0"/>
          <w:numId w:val="2"/>
        </w:numPr>
        <w:spacing w:before="0" w:line="360" w:lineRule="auto"/>
        <w:ind w:firstLine="643" w:firstLineChars="200"/>
        <w:rPr>
          <w:rFonts w:hint="eastAsia" w:ascii="仿宋_GB2312" w:hAnsi="仿宋_GB2312" w:eastAsia="仿宋_GB2312" w:cs="仿宋_GB2312"/>
          <w:b/>
          <w:bCs/>
          <w:kern w:val="2"/>
          <w:sz w:val="32"/>
          <w:szCs w:val="32"/>
          <w:lang w:val="en-US" w:eastAsia="zh-CN"/>
        </w:rPr>
      </w:pPr>
      <w:r>
        <w:rPr>
          <w:rFonts w:hint="eastAsia" w:ascii="楷体_GB2312" w:hAnsi="黑体" w:eastAsia="楷体_GB2312" w:cs="楷体_GB2312"/>
          <w:b/>
          <w:bCs/>
          <w:kern w:val="2"/>
          <w:sz w:val="32"/>
          <w:szCs w:val="32"/>
        </w:rPr>
        <w:t>国有资产占有使用情况</w:t>
      </w:r>
    </w:p>
    <w:p>
      <w:pPr>
        <w:pStyle w:val="12"/>
        <w:keepNext w:val="0"/>
        <w:keepLines w:val="0"/>
        <w:pageBreakBefore w:val="0"/>
        <w:widowControl w:val="0"/>
        <w:numPr>
          <w:numId w:val="0"/>
        </w:numPr>
        <w:kinsoku/>
        <w:wordWrap/>
        <w:overflowPunct/>
        <w:topLinePunct w:val="0"/>
        <w:autoSpaceDE/>
        <w:autoSpaceDN/>
        <w:bidi w:val="0"/>
        <w:adjustRightInd/>
        <w:snapToGrid/>
        <w:spacing w:before="0" w:line="360" w:lineRule="auto"/>
        <w:ind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无</w:t>
      </w:r>
      <w:r>
        <w:rPr>
          <w:rFonts w:hint="eastAsia" w:cs="仿宋_GB2312"/>
          <w:b w:val="0"/>
          <w:bCs w:val="0"/>
          <w:kern w:val="2"/>
          <w:sz w:val="32"/>
          <w:szCs w:val="32"/>
          <w:lang w:val="en-US" w:eastAsia="zh-CN"/>
        </w:rPr>
        <w:t>。</w:t>
      </w:r>
    </w:p>
    <w:p>
      <w:pPr>
        <w:pStyle w:val="12"/>
        <w:spacing w:before="0" w:line="360" w:lineRule="auto"/>
        <w:ind w:firstLine="643" w:firstLineChars="200"/>
        <w:rPr>
          <w:rFonts w:ascii="楷体_GB2312" w:hAnsi="黑体" w:eastAsia="楷体_GB2312" w:cs="楷体_GB2312"/>
          <w:b/>
          <w:bCs/>
          <w:kern w:val="2"/>
          <w:sz w:val="32"/>
          <w:szCs w:val="32"/>
        </w:rPr>
      </w:pPr>
      <w:r>
        <w:rPr>
          <w:rFonts w:hint="eastAsia" w:ascii="楷体_GB2312" w:hAnsi="黑体" w:eastAsia="楷体_GB2312" w:cs="楷体_GB2312"/>
          <w:b/>
          <w:bCs/>
          <w:kern w:val="2"/>
          <w:sz w:val="32"/>
          <w:szCs w:val="32"/>
        </w:rPr>
        <w:t>（四）绩效目标设置情况</w:t>
      </w:r>
    </w:p>
    <w:p>
      <w:pPr>
        <w:pStyle w:val="12"/>
        <w:spacing w:before="0" w:line="360" w:lineRule="auto"/>
        <w:ind w:firstLine="640" w:firstLineChars="200"/>
        <w:rPr>
          <w:rFonts w:hAnsi="黑体"/>
          <w:kern w:val="2"/>
          <w:sz w:val="32"/>
          <w:szCs w:val="32"/>
        </w:rPr>
      </w:pPr>
      <w:r>
        <w:rPr>
          <w:rFonts w:hAnsi="黑体"/>
          <w:kern w:val="2"/>
          <w:sz w:val="32"/>
          <w:szCs w:val="32"/>
        </w:rPr>
        <w:t>2021年</w:t>
      </w:r>
      <w:r>
        <w:rPr>
          <w:rFonts w:hint="eastAsia" w:hAnsi="黑体"/>
          <w:kern w:val="2"/>
          <w:sz w:val="32"/>
          <w:szCs w:val="32"/>
        </w:rPr>
        <w:t>壤塘县粮食和物资储备中心通用项目和专用项目均按要求实行绩效目标管理，涉及一般公共预算当年拨款219.79万元。</w:t>
      </w:r>
    </w:p>
    <w:p>
      <w:pPr>
        <w:pStyle w:val="12"/>
        <w:spacing w:before="0" w:line="360" w:lineRule="auto"/>
        <w:ind w:firstLine="640" w:firstLineChars="200"/>
        <w:rPr>
          <w:rFonts w:ascii="??" w:hAnsi="??" w:eastAsia="宋体" w:cs="Times New Roman"/>
          <w:sz w:val="16"/>
          <w:szCs w:val="16"/>
        </w:rPr>
      </w:pPr>
      <w:r>
        <w:rPr>
          <w:rFonts w:hint="eastAsia" w:ascii="黑体" w:hAnsi="黑体" w:eastAsia="黑体" w:cs="黑体"/>
          <w:kern w:val="2"/>
          <w:sz w:val="32"/>
          <w:szCs w:val="32"/>
        </w:rPr>
        <w:t>十、名词解释</w:t>
      </w:r>
    </w:p>
    <w:p>
      <w:pPr>
        <w:pStyle w:val="12"/>
        <w:spacing w:before="0" w:line="360" w:lineRule="auto"/>
        <w:ind w:firstLine="640" w:firstLineChars="200"/>
        <w:rPr>
          <w:rFonts w:hAnsi="黑体"/>
          <w:kern w:val="2"/>
          <w:sz w:val="32"/>
          <w:szCs w:val="32"/>
        </w:rPr>
      </w:pPr>
      <w:r>
        <w:rPr>
          <w:rFonts w:hint="eastAsia" w:hAnsi="黑体"/>
          <w:kern w:val="2"/>
          <w:sz w:val="32"/>
          <w:szCs w:val="32"/>
        </w:rPr>
        <w:t>（一）财政拨款收入：指由财政拨款形成的部门收入。按现行管理制度，部门预算中反映的财政拨款仅包括一般公共预算拨款和政府性基金预算拨款。</w:t>
      </w:r>
    </w:p>
    <w:p>
      <w:pPr>
        <w:pStyle w:val="12"/>
        <w:spacing w:before="0" w:line="360" w:lineRule="auto"/>
        <w:ind w:firstLine="640" w:firstLineChars="200"/>
        <w:rPr>
          <w:rFonts w:hAnsi="黑体"/>
          <w:kern w:val="2"/>
          <w:sz w:val="32"/>
          <w:szCs w:val="32"/>
        </w:rPr>
      </w:pPr>
      <w:r>
        <w:rPr>
          <w:rFonts w:hint="eastAsia" w:hAnsi="黑体"/>
          <w:kern w:val="2"/>
          <w:sz w:val="32"/>
          <w:szCs w:val="32"/>
        </w:rPr>
        <w:t>（二）事业收入：指所属事业单位开展专业业务活动及辅助活动所取得的收入。</w:t>
      </w:r>
    </w:p>
    <w:p>
      <w:pPr>
        <w:pStyle w:val="12"/>
        <w:spacing w:before="0" w:line="360" w:lineRule="auto"/>
        <w:ind w:firstLine="640" w:firstLineChars="200"/>
        <w:rPr>
          <w:rFonts w:hAnsi="黑体"/>
          <w:kern w:val="2"/>
          <w:sz w:val="32"/>
          <w:szCs w:val="32"/>
        </w:rPr>
      </w:pPr>
      <w:r>
        <w:rPr>
          <w:rFonts w:hint="eastAsia" w:hAnsi="黑体"/>
          <w:kern w:val="2"/>
          <w:sz w:val="32"/>
          <w:szCs w:val="32"/>
        </w:rPr>
        <w:t>（三）事业单位经</w:t>
      </w:r>
      <w:bookmarkStart w:id="0" w:name="_GoBack"/>
      <w:bookmarkEnd w:id="0"/>
      <w:r>
        <w:rPr>
          <w:rFonts w:hint="eastAsia" w:hAnsi="黑体"/>
          <w:kern w:val="2"/>
          <w:sz w:val="32"/>
          <w:szCs w:val="32"/>
        </w:rPr>
        <w:t>营收入：指所属事业单位在专业业务活动及其辅助活动之外开展非独立核算经营活动取得的收入。</w:t>
      </w:r>
    </w:p>
    <w:p>
      <w:pPr>
        <w:pStyle w:val="12"/>
        <w:spacing w:before="0" w:line="360" w:lineRule="auto"/>
        <w:ind w:firstLine="640" w:firstLineChars="200"/>
        <w:rPr>
          <w:rFonts w:hAnsi="黑体"/>
          <w:kern w:val="2"/>
          <w:sz w:val="32"/>
          <w:szCs w:val="32"/>
        </w:rPr>
      </w:pPr>
      <w:r>
        <w:rPr>
          <w:rFonts w:hint="eastAsia" w:hAnsi="黑体"/>
          <w:kern w:val="2"/>
          <w:sz w:val="32"/>
          <w:szCs w:val="32"/>
        </w:rPr>
        <w:t>（四）其他收入：指除上述</w:t>
      </w:r>
      <w:r>
        <w:rPr>
          <w:rFonts w:hAnsi="黑体" w:cs="Times New Roman"/>
          <w:kern w:val="2"/>
          <w:sz w:val="32"/>
          <w:szCs w:val="32"/>
        </w:rPr>
        <w:t>“</w:t>
      </w:r>
      <w:r>
        <w:rPr>
          <w:rFonts w:hint="eastAsia" w:hAnsi="黑体"/>
          <w:kern w:val="2"/>
          <w:sz w:val="32"/>
          <w:szCs w:val="32"/>
        </w:rPr>
        <w:t>财政拨款收入</w:t>
      </w:r>
      <w:r>
        <w:rPr>
          <w:rFonts w:hAnsi="黑体" w:cs="Times New Roman"/>
          <w:kern w:val="2"/>
          <w:sz w:val="32"/>
          <w:szCs w:val="32"/>
        </w:rPr>
        <w:t>”</w:t>
      </w:r>
      <w:r>
        <w:rPr>
          <w:rFonts w:hint="eastAsia" w:hAnsi="黑体"/>
          <w:kern w:val="2"/>
          <w:sz w:val="32"/>
          <w:szCs w:val="32"/>
        </w:rPr>
        <w:t>、</w:t>
      </w:r>
      <w:r>
        <w:rPr>
          <w:rFonts w:hAnsi="黑体" w:cs="Times New Roman"/>
          <w:kern w:val="2"/>
          <w:sz w:val="32"/>
          <w:szCs w:val="32"/>
        </w:rPr>
        <w:t>“</w:t>
      </w:r>
      <w:r>
        <w:rPr>
          <w:rFonts w:hint="eastAsia" w:hAnsi="黑体"/>
          <w:kern w:val="2"/>
          <w:sz w:val="32"/>
          <w:szCs w:val="32"/>
        </w:rPr>
        <w:t>事业收入</w:t>
      </w:r>
      <w:r>
        <w:rPr>
          <w:rFonts w:hAnsi="黑体" w:cs="Times New Roman"/>
          <w:kern w:val="2"/>
          <w:sz w:val="32"/>
          <w:szCs w:val="32"/>
        </w:rPr>
        <w:t>”</w:t>
      </w:r>
      <w:r>
        <w:rPr>
          <w:rFonts w:hint="eastAsia" w:hAnsi="黑体"/>
          <w:kern w:val="2"/>
          <w:sz w:val="32"/>
          <w:szCs w:val="32"/>
        </w:rPr>
        <w:t>、</w:t>
      </w:r>
      <w:r>
        <w:rPr>
          <w:rFonts w:hAnsi="黑体" w:cs="Times New Roman"/>
          <w:kern w:val="2"/>
          <w:sz w:val="32"/>
          <w:szCs w:val="32"/>
        </w:rPr>
        <w:t>“</w:t>
      </w:r>
      <w:r>
        <w:rPr>
          <w:rFonts w:hint="eastAsia" w:hAnsi="黑体"/>
          <w:kern w:val="2"/>
          <w:sz w:val="32"/>
          <w:szCs w:val="32"/>
        </w:rPr>
        <w:t>事业单位经营收入</w:t>
      </w:r>
      <w:r>
        <w:rPr>
          <w:rFonts w:hAnsi="黑体" w:cs="Times New Roman"/>
          <w:kern w:val="2"/>
          <w:sz w:val="32"/>
          <w:szCs w:val="32"/>
        </w:rPr>
        <w:t>”</w:t>
      </w:r>
      <w:r>
        <w:rPr>
          <w:rFonts w:hint="eastAsia" w:hAnsi="黑体"/>
          <w:kern w:val="2"/>
          <w:sz w:val="32"/>
          <w:szCs w:val="32"/>
        </w:rPr>
        <w:t>等以外的收入，主要是所属行政事业单位按规定动用的售房收入、存款利息收入等。</w:t>
      </w:r>
    </w:p>
    <w:p>
      <w:pPr>
        <w:pStyle w:val="12"/>
        <w:spacing w:before="0" w:line="360" w:lineRule="auto"/>
        <w:ind w:firstLine="640" w:firstLineChars="200"/>
        <w:rPr>
          <w:rFonts w:hAnsi="黑体"/>
          <w:kern w:val="2"/>
          <w:sz w:val="32"/>
          <w:szCs w:val="32"/>
        </w:rPr>
      </w:pPr>
      <w:r>
        <w:rPr>
          <w:rFonts w:hint="eastAsia" w:hAnsi="黑体"/>
          <w:kern w:val="2"/>
          <w:sz w:val="32"/>
          <w:szCs w:val="32"/>
        </w:rPr>
        <w:t>（五）用事业基金弥补收支差额：指所属事业单位在预计用当年的</w:t>
      </w:r>
      <w:r>
        <w:rPr>
          <w:rFonts w:hAnsi="黑体" w:cs="Times New Roman"/>
          <w:kern w:val="2"/>
          <w:sz w:val="32"/>
          <w:szCs w:val="32"/>
        </w:rPr>
        <w:t>“</w:t>
      </w:r>
      <w:r>
        <w:rPr>
          <w:rFonts w:hint="eastAsia" w:hAnsi="黑体"/>
          <w:kern w:val="2"/>
          <w:sz w:val="32"/>
          <w:szCs w:val="32"/>
        </w:rPr>
        <w:t>财政拨款收入</w:t>
      </w:r>
      <w:r>
        <w:rPr>
          <w:rFonts w:hAnsi="黑体" w:cs="Times New Roman"/>
          <w:kern w:val="2"/>
          <w:sz w:val="32"/>
          <w:szCs w:val="32"/>
        </w:rPr>
        <w:t>”</w:t>
      </w:r>
      <w:r>
        <w:rPr>
          <w:rFonts w:hint="eastAsia" w:hAnsi="黑体"/>
          <w:kern w:val="2"/>
          <w:sz w:val="32"/>
          <w:szCs w:val="32"/>
        </w:rPr>
        <w:t>、</w:t>
      </w:r>
      <w:r>
        <w:rPr>
          <w:rFonts w:hAnsi="黑体" w:cs="Times New Roman"/>
          <w:kern w:val="2"/>
          <w:sz w:val="32"/>
          <w:szCs w:val="32"/>
        </w:rPr>
        <w:t>“</w:t>
      </w:r>
      <w:r>
        <w:rPr>
          <w:rFonts w:hint="eastAsia" w:hAnsi="黑体"/>
          <w:kern w:val="2"/>
          <w:sz w:val="32"/>
          <w:szCs w:val="32"/>
        </w:rPr>
        <w:t>事业收入</w:t>
      </w:r>
      <w:r>
        <w:rPr>
          <w:rFonts w:hAnsi="黑体" w:cs="Times New Roman"/>
          <w:kern w:val="2"/>
          <w:sz w:val="32"/>
          <w:szCs w:val="32"/>
        </w:rPr>
        <w:t>”</w:t>
      </w:r>
      <w:r>
        <w:rPr>
          <w:rFonts w:hint="eastAsia" w:hAnsi="黑体"/>
          <w:kern w:val="2"/>
          <w:sz w:val="32"/>
          <w:szCs w:val="32"/>
        </w:rPr>
        <w:t>、</w:t>
      </w:r>
      <w:r>
        <w:rPr>
          <w:rFonts w:hAnsi="黑体" w:cs="Times New Roman"/>
          <w:kern w:val="2"/>
          <w:sz w:val="32"/>
          <w:szCs w:val="32"/>
        </w:rPr>
        <w:t>“</w:t>
      </w:r>
      <w:r>
        <w:rPr>
          <w:rFonts w:hint="eastAsia" w:hAnsi="黑体"/>
          <w:kern w:val="2"/>
          <w:sz w:val="32"/>
          <w:szCs w:val="32"/>
        </w:rPr>
        <w:t>事业单位经营收入</w:t>
      </w:r>
      <w:r>
        <w:rPr>
          <w:rFonts w:hAnsi="黑体" w:cs="Times New Roman"/>
          <w:kern w:val="2"/>
          <w:sz w:val="32"/>
          <w:szCs w:val="32"/>
        </w:rPr>
        <w:t>”</w:t>
      </w:r>
      <w:r>
        <w:rPr>
          <w:rFonts w:hint="eastAsia" w:hAnsi="黑体"/>
          <w:kern w:val="2"/>
          <w:sz w:val="32"/>
          <w:szCs w:val="32"/>
        </w:rPr>
        <w:t>、</w:t>
      </w:r>
      <w:r>
        <w:rPr>
          <w:rFonts w:hAnsi="黑体" w:cs="Times New Roman"/>
          <w:kern w:val="2"/>
          <w:sz w:val="32"/>
          <w:szCs w:val="32"/>
        </w:rPr>
        <w:t>“</w:t>
      </w:r>
      <w:r>
        <w:rPr>
          <w:rFonts w:hint="eastAsia" w:hAnsi="黑体"/>
          <w:kern w:val="2"/>
          <w:sz w:val="32"/>
          <w:szCs w:val="32"/>
        </w:rPr>
        <w:t>其他收入</w:t>
      </w:r>
      <w:r>
        <w:rPr>
          <w:rFonts w:hAnsi="黑体" w:cs="Times New Roman"/>
          <w:kern w:val="2"/>
          <w:sz w:val="32"/>
          <w:szCs w:val="32"/>
        </w:rPr>
        <w:t>”</w:t>
      </w:r>
      <w:r>
        <w:rPr>
          <w:rFonts w:hint="eastAsia" w:hAnsi="黑体"/>
          <w:kern w:val="2"/>
          <w:sz w:val="32"/>
          <w:szCs w:val="32"/>
        </w:rPr>
        <w:t>不足以安排当年支出的情况下，使用以前年度积累的事业基金弥补本年度收支缺口的资金。</w:t>
      </w:r>
    </w:p>
    <w:p>
      <w:pPr>
        <w:pStyle w:val="12"/>
        <w:spacing w:before="0" w:line="360" w:lineRule="auto"/>
        <w:ind w:firstLine="640" w:firstLineChars="200"/>
        <w:rPr>
          <w:rFonts w:hAnsi="黑体" w:cs="Times New Roman"/>
          <w:kern w:val="2"/>
          <w:sz w:val="32"/>
          <w:szCs w:val="32"/>
        </w:rPr>
      </w:pPr>
      <w:r>
        <w:rPr>
          <w:rFonts w:hint="eastAsia" w:hAnsi="黑体"/>
          <w:kern w:val="2"/>
          <w:sz w:val="32"/>
          <w:szCs w:val="32"/>
        </w:rPr>
        <w:t>（六）上年结转：指所属行政事业单位以前年度尚未完成、结转至本年按原规定用途继续使用的资金和以前年度已完成项目剩余资金经批准用于新用途使用的资金。</w:t>
      </w:r>
    </w:p>
    <w:p>
      <w:pPr>
        <w:rPr>
          <w:rFonts w:ascii="仿宋_GB2312" w:hAnsi="黑体"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3E9"/>
    <w:multiLevelType w:val="singleLevel"/>
    <w:tmpl w:val="06DD03E9"/>
    <w:lvl w:ilvl="0" w:tentative="0">
      <w:start w:val="3"/>
      <w:numFmt w:val="chineseCounting"/>
      <w:suff w:val="nothing"/>
      <w:lvlText w:val="（%1）"/>
      <w:lvlJc w:val="left"/>
      <w:rPr>
        <w:rFonts w:hint="eastAsia"/>
      </w:rPr>
    </w:lvl>
  </w:abstractNum>
  <w:abstractNum w:abstractNumId="1">
    <w:nsid w:val="28F27FE7"/>
    <w:multiLevelType w:val="multilevel"/>
    <w:tmpl w:val="28F27FE7"/>
    <w:lvl w:ilvl="0" w:tentative="0">
      <w:start w:val="1"/>
      <w:numFmt w:val="japaneseCounting"/>
      <w:lvlText w:val="%1、"/>
      <w:lvlJc w:val="left"/>
      <w:pPr>
        <w:ind w:left="880" w:hanging="8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54"/>
    <w:rsid w:val="00013F89"/>
    <w:rsid w:val="00085137"/>
    <w:rsid w:val="00092049"/>
    <w:rsid w:val="00097A74"/>
    <w:rsid w:val="0010091B"/>
    <w:rsid w:val="00114D56"/>
    <w:rsid w:val="00255D9A"/>
    <w:rsid w:val="00260082"/>
    <w:rsid w:val="002D5F48"/>
    <w:rsid w:val="00317D47"/>
    <w:rsid w:val="00352854"/>
    <w:rsid w:val="0036094C"/>
    <w:rsid w:val="003762A5"/>
    <w:rsid w:val="003D7B56"/>
    <w:rsid w:val="00405039"/>
    <w:rsid w:val="00471829"/>
    <w:rsid w:val="0047755A"/>
    <w:rsid w:val="00484AEB"/>
    <w:rsid w:val="004A17D7"/>
    <w:rsid w:val="004F177A"/>
    <w:rsid w:val="004F55B1"/>
    <w:rsid w:val="0050530E"/>
    <w:rsid w:val="00523AD8"/>
    <w:rsid w:val="00527A2C"/>
    <w:rsid w:val="00541CE8"/>
    <w:rsid w:val="00556281"/>
    <w:rsid w:val="005E5C01"/>
    <w:rsid w:val="00621612"/>
    <w:rsid w:val="00643A51"/>
    <w:rsid w:val="00681CB7"/>
    <w:rsid w:val="006B5A90"/>
    <w:rsid w:val="00700A68"/>
    <w:rsid w:val="00746EF0"/>
    <w:rsid w:val="007B3677"/>
    <w:rsid w:val="007C7CD1"/>
    <w:rsid w:val="00804603"/>
    <w:rsid w:val="00825013"/>
    <w:rsid w:val="008A5FB8"/>
    <w:rsid w:val="008F63EB"/>
    <w:rsid w:val="00911620"/>
    <w:rsid w:val="0093727E"/>
    <w:rsid w:val="0095666B"/>
    <w:rsid w:val="00981A87"/>
    <w:rsid w:val="00987B5A"/>
    <w:rsid w:val="009A09E2"/>
    <w:rsid w:val="009A7871"/>
    <w:rsid w:val="009C5F76"/>
    <w:rsid w:val="009F17B5"/>
    <w:rsid w:val="00A55379"/>
    <w:rsid w:val="00B713B0"/>
    <w:rsid w:val="00BB1BBF"/>
    <w:rsid w:val="00BE644B"/>
    <w:rsid w:val="00C0348B"/>
    <w:rsid w:val="00C37478"/>
    <w:rsid w:val="00C451EA"/>
    <w:rsid w:val="00C8183B"/>
    <w:rsid w:val="00D44AFA"/>
    <w:rsid w:val="00E86257"/>
    <w:rsid w:val="00E91AC9"/>
    <w:rsid w:val="00EA7BD5"/>
    <w:rsid w:val="00EB283B"/>
    <w:rsid w:val="00EB6F15"/>
    <w:rsid w:val="00EF71D0"/>
    <w:rsid w:val="00F743F0"/>
    <w:rsid w:val="00F806C0"/>
    <w:rsid w:val="00F80C32"/>
    <w:rsid w:val="00F90685"/>
    <w:rsid w:val="00FF11B9"/>
    <w:rsid w:val="00FF4B91"/>
    <w:rsid w:val="257F0085"/>
    <w:rsid w:val="71A77C57"/>
    <w:rsid w:val="7CC738D5"/>
    <w:rsid w:val="7E5A1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6"/>
    <w:semiHidden/>
    <w:unhideWhenUsed/>
    <w:qFormat/>
    <w:uiPriority w:val="99"/>
    <w:pPr>
      <w:spacing w:after="120"/>
      <w:ind w:left="420" w:leftChars="200"/>
    </w:p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asciiTheme="minorHAnsi" w:hAnsiTheme="minorHAnsi" w:eastAsiaTheme="minorEastAsia"/>
      <w:kern w:val="0"/>
      <w:sz w:val="24"/>
      <w:szCs w:val="24"/>
    </w:rPr>
  </w:style>
  <w:style w:type="paragraph" w:styleId="6">
    <w:name w:val="Body Text First Indent 2"/>
    <w:basedOn w:val="2"/>
    <w:link w:val="17"/>
    <w:qFormat/>
    <w:uiPriority w:val="0"/>
    <w:pPr>
      <w:tabs>
        <w:tab w:val="left" w:pos="960"/>
      </w:tabs>
      <w:spacing w:after="0" w:line="540" w:lineRule="exact"/>
      <w:ind w:left="0" w:leftChars="0" w:firstLine="420" w:firstLineChars="200"/>
    </w:pPr>
    <w:rPr>
      <w:rFonts w:ascii="Times New Roman" w:hAnsi="Times New Roman" w:cs="Times New Roman"/>
      <w:sz w:val="32"/>
      <w:szCs w:val="32"/>
    </w:rPr>
  </w:style>
  <w:style w:type="character" w:styleId="9">
    <w:name w:val="Emphasis"/>
    <w:basedOn w:val="8"/>
    <w:qFormat/>
    <w:uiPriority w:val="99"/>
  </w:style>
  <w:style w:type="character" w:customStyle="1" w:styleId="10">
    <w:name w:val="页眉 字符"/>
    <w:basedOn w:val="8"/>
    <w:link w:val="4"/>
    <w:qFormat/>
    <w:locked/>
    <w:uiPriority w:val="0"/>
    <w:rPr>
      <w:sz w:val="18"/>
      <w:szCs w:val="18"/>
    </w:rPr>
  </w:style>
  <w:style w:type="character" w:customStyle="1" w:styleId="11">
    <w:name w:val="页脚 字符"/>
    <w:basedOn w:val="8"/>
    <w:link w:val="3"/>
    <w:semiHidden/>
    <w:qFormat/>
    <w:locked/>
    <w:uiPriority w:val="99"/>
    <w:rPr>
      <w:sz w:val="18"/>
      <w:szCs w:val="18"/>
    </w:rPr>
  </w:style>
  <w:style w:type="paragraph" w:customStyle="1" w:styleId="12">
    <w:name w:val="正文文本1"/>
    <w:basedOn w:val="1"/>
    <w:qFormat/>
    <w:uiPriority w:val="99"/>
    <w:pPr>
      <w:spacing w:before="93"/>
    </w:pPr>
    <w:rPr>
      <w:rFonts w:ascii="仿宋_GB2312" w:hAnsi="仿宋_GB2312" w:eastAsia="仿宋_GB2312" w:cs="仿宋_GB2312"/>
      <w:kern w:val="0"/>
      <w:sz w:val="30"/>
      <w:szCs w:val="30"/>
    </w:rPr>
  </w:style>
  <w:style w:type="character" w:customStyle="1" w:styleId="13">
    <w:name w:val="默认段落字体1"/>
    <w:qFormat/>
    <w:uiPriority w:val="99"/>
    <w:rPr>
      <w:sz w:val="22"/>
      <w:szCs w:val="22"/>
    </w:rPr>
  </w:style>
  <w:style w:type="paragraph" w:customStyle="1" w:styleId="14">
    <w:name w:val="列出段落1"/>
    <w:basedOn w:val="1"/>
    <w:qFormat/>
    <w:uiPriority w:val="99"/>
    <w:pPr>
      <w:ind w:firstLine="420" w:firstLineChars="200"/>
    </w:pPr>
  </w:style>
  <w:style w:type="paragraph" w:styleId="15">
    <w:name w:val="List Paragraph"/>
    <w:basedOn w:val="1"/>
    <w:qFormat/>
    <w:uiPriority w:val="34"/>
    <w:pPr>
      <w:ind w:firstLine="420" w:firstLineChars="200"/>
    </w:pPr>
  </w:style>
  <w:style w:type="character" w:customStyle="1" w:styleId="16">
    <w:name w:val="正文文本缩进 字符"/>
    <w:basedOn w:val="8"/>
    <w:link w:val="2"/>
    <w:semiHidden/>
    <w:qFormat/>
    <w:uiPriority w:val="99"/>
    <w:rPr>
      <w:rFonts w:cs="Calibri"/>
      <w:kern w:val="2"/>
      <w:sz w:val="21"/>
      <w:szCs w:val="21"/>
    </w:rPr>
  </w:style>
  <w:style w:type="character" w:customStyle="1" w:styleId="17">
    <w:name w:val="正文首行缩进 2 字符"/>
    <w:basedOn w:val="16"/>
    <w:link w:val="6"/>
    <w:qFormat/>
    <w:uiPriority w:val="0"/>
    <w:rPr>
      <w:rFonts w:ascii="Times New Roman" w:hAnsi="Times New Roman" w:cs="Calibri"/>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Pages>
  <Words>588</Words>
  <Characters>3353</Characters>
  <Lines>27</Lines>
  <Paragraphs>7</Paragraphs>
  <TotalTime>307</TotalTime>
  <ScaleCrop>false</ScaleCrop>
  <LinksUpToDate>false</LinksUpToDate>
  <CharactersWithSpaces>3934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2021-04-15T14:08:00Z</dcterms:created>
  <dc:creator>薛永萍</dc:creator>
  <cp:lastModifiedBy>Administrator</cp:lastModifiedBy>
  <cp:lastPrinted>2021-04-20T06:57:07Z</cp:lastPrinted>
  <dcterms:modified xsi:type="dcterms:W3CDTF">2021-04-20T06:57:13Z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112C93876C104D269D11CCA95496BD5C</vt:lpwstr>
  </property>
</Properties>
</file>