
<file path=[Content_Types].xml><?xml version="1.0" encoding="utf-8"?>
<Types xmlns="http://schemas.openxmlformats.org/package/2006/content-types">
  <Default Extension="xlsx" ContentType="application/vnd.openxmlformats-officedocument.spreadsheetml.sheet"/>
  <Default Extension="xml" ContentType="application/xml"/>
  <Default Extension="rels" ContentType="application/vnd.openxmlformats-package.relationships+xml"/>
  <Override PartName="/word/theme/theme1.xml" ContentType="application/vnd.openxmlformats-officedocument.theme+xml"/>
  <Override PartName="/word/charts/chart3.xml" ContentType="application/vnd.openxmlformats-officedocument.drawingml.chart+xml"/>
  <Override PartName="/word/charts/style6.xml" ContentType="application/vnd.ms-office.chartstyle+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charts/colors3.xml" ContentType="application/vnd.ms-office.chartcolorstyle+xml"/>
  <Override PartName="/word/settings.xml" ContentType="application/vnd.openxmlformats-officedocument.wordprocessingml.settings+xml"/>
  <Override PartName="/word/charts/colors5.xml" ContentType="application/vnd.ms-office.chartcolorstyle+xml"/>
  <Override PartName="/word/charts/chart4.xml" ContentType="application/vnd.openxmlformats-officedocument.drawingml.chart+xml"/>
  <Override PartName="/word/charts/colors4.xml" ContentType="application/vnd.ms-office.chartcolorstyle+xml"/>
  <Override PartName="/word/document.xml" ContentType="application/vnd.openxmlformats-officedocument.wordprocessingml.document.main+xml"/>
  <Override PartName="/word/charts/style1.xml" ContentType="application/vnd.ms-office.chartstyle+xml"/>
  <Override PartName="/customXml/itemProps1.xml" ContentType="application/vnd.openxmlformats-officedocument.customXmlProperties+xml"/>
  <Override PartName="/word/footer2.xml" ContentType="application/vnd.openxmlformats-officedocument.wordprocessingml.footer+xml"/>
  <Override PartName="/word/charts/style5.xml" ContentType="application/vnd.ms-office.chartstyle+xml"/>
  <Override PartName="/word/styles.xml" ContentType="application/vnd.openxmlformats-officedocument.wordprocessingml.styles+xml"/>
  <Override PartName="/docProps/app.xml" ContentType="application/vnd.openxmlformats-officedocument.extended-properties+xml"/>
  <Override PartName="/word/charts/colors1.xml" ContentType="application/vnd.ms-office.chartcolorstyle+xml"/>
  <Override PartName="/word/fontTable.xml" ContentType="application/vnd.openxmlformats-officedocument.wordprocessingml.fontTable+xml"/>
  <Override PartName="/word/charts/chart5.xml" ContentType="application/vnd.openxmlformats-officedocument.drawingml.chart+xml"/>
  <Override PartName="/word/charts/colors6.xml" ContentType="application/vnd.ms-office.chartcolorstyle+xml"/>
  <Override PartName="/docProps/core.xml" ContentType="application/vnd.openxmlformats-package.core-properties+xml"/>
  <Override PartName="/word/charts/chart1.xml" ContentType="application/vnd.openxmlformats-officedocument.drawingml.chart+xml"/>
  <Override PartName="/word/charts/style2.xml" ContentType="application/vnd.ms-office.chartstyle+xml"/>
  <Override PartName="/word/charts/style4.xml" ContentType="application/vnd.ms-office.chartstyle+xml"/>
  <Override PartName="/docProps/custom.xml" ContentType="application/vnd.openxmlformats-officedocument.custom-properties+xml"/>
  <Override PartName="/word/charts/colors2.xml" ContentType="application/vnd.ms-office.chartcolorstyle+xml"/>
  <Override PartName="/word/charts/chart6.xml" ContentType="application/vnd.openxmlformats-officedocument.drawingml.chart+xml"/>
  <Override PartName="/word/charts/colors7.xml" ContentType="application/vnd.ms-office.chartcolorstyle+xml"/>
  <Override PartName="/word/charts/chart7.xml" ContentType="application/vnd.openxmlformats-officedocument.drawingml.chart+xml"/>
  <Override PartName="/word/charts/chart2.xml" ContentType="application/vnd.openxmlformats-officedocument.drawingml.chart+xml"/>
  <Override PartName="/word/charts/style7.xml" ContentType="application/vnd.ms-office.chartstyle+xml"/>
  <Override PartName="/word/charts/style3.xml" ContentType="application/vnd.ms-office.chartstyle+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600"/>
        <w:jc w:val="center"/>
        <w:outlineLvl w:val="0"/>
        <w:rPr>
          <w:rFonts w:ascii="方正小标宋简体" w:eastAsia="方正小标宋简体" w:hAnsi="宋体"/>
          <w:color w:val="000000"/>
          <w:sz w:val="72"/>
          <w:szCs w:val="72"/>
        </w:rPr>
      </w:pPr>
      <w:bookmarkStart w:id="0" w:name="_Toc15306267"/>
    </w:p>
    <w:p>
      <w:pPr>
        <w:pStyle w:val="style0"/>
        <w:spacing w:lineRule="exact" w:line="600"/>
        <w:jc w:val="center"/>
        <w:outlineLvl w:val="0"/>
        <w:rPr>
          <w:rFonts w:ascii="方正小标宋简体" w:eastAsia="方正小标宋简体" w:hAnsi="宋体"/>
          <w:color w:val="000000"/>
          <w:sz w:val="72"/>
          <w:szCs w:val="72"/>
        </w:rPr>
      </w:pPr>
    </w:p>
    <w:p>
      <w:pPr>
        <w:pStyle w:val="style0"/>
        <w:spacing w:lineRule="exact" w:line="600"/>
        <w:jc w:val="center"/>
        <w:outlineLvl w:val="0"/>
        <w:rPr>
          <w:rFonts w:ascii="方正小标宋简体" w:eastAsia="方正小标宋简体" w:hAnsi="宋体"/>
          <w:color w:val="000000"/>
          <w:sz w:val="72"/>
          <w:szCs w:val="72"/>
        </w:rPr>
      </w:pPr>
    </w:p>
    <w:p>
      <w:pPr>
        <w:pStyle w:val="style0"/>
        <w:spacing w:lineRule="exact" w:line="600"/>
        <w:jc w:val="center"/>
        <w:outlineLvl w:val="0"/>
        <w:rPr>
          <w:rFonts w:ascii="方正小标宋简体" w:eastAsia="方正小标宋简体" w:hAnsi="宋体"/>
          <w:color w:val="000000"/>
          <w:sz w:val="72"/>
          <w:szCs w:val="72"/>
        </w:rPr>
      </w:pPr>
    </w:p>
    <w:bookmarkStart w:id="1" w:name="_Toc15396475"/>
    <w:bookmarkStart w:id="2" w:name="_Toc15377425"/>
    <w:bookmarkStart w:id="3" w:name="_Toc15377193"/>
    <w:bookmarkStart w:id="4" w:name="_Toc15396597"/>
    <w:bookmarkStart w:id="5" w:name="_Toc15378441"/>
    <w:p>
      <w:pPr>
        <w:pStyle w:val="style0"/>
        <w:adjustRightInd w:val="false"/>
        <w:snapToGrid w:val="false"/>
        <w:spacing w:lineRule="auto" w:line="360"/>
        <w:jc w:val="center"/>
        <w:outlineLvl w:val="0"/>
        <w:rPr>
          <w:rFonts w:ascii="方正小标宋简体" w:eastAsia="方正小标宋简体" w:hAnsi="宋体"/>
          <w:color w:val="000000"/>
          <w:sz w:val="72"/>
          <w:szCs w:val="72"/>
        </w:rPr>
      </w:pPr>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bookmarkStart w:id="6" w:name="_Toc15396598"/>
    <w:bookmarkStart w:id="7" w:name="_Toc15396476"/>
    <w:bookmarkStart w:id="8" w:name="_Toc15378442"/>
    <w:bookmarkStart w:id="9" w:name="_Toc15377194"/>
    <w:bookmarkStart w:id="10" w:name="_Toc15377426"/>
    <w:p>
      <w:pPr>
        <w:pStyle w:val="style0"/>
        <w:adjustRightInd w:val="false"/>
        <w:snapToGrid w:val="false"/>
        <w:spacing w:lineRule="auto" w:line="360"/>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lang w:eastAsia="zh-CN"/>
        </w:rPr>
        <w:t>壤塘县粮食局</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pPr>
        <w:pStyle w:val="style0"/>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t>目录</w:t>
      </w:r>
    </w:p>
    <w:p>
      <w:pPr>
        <w:pStyle w:val="style0"/>
        <w:widowControl/>
        <w:jc w:val="center"/>
        <w:rPr>
          <w:rFonts w:ascii="黑体" w:cs="宋体" w:eastAsia="黑体" w:hAnsi="黑体"/>
          <w:sz w:val="28"/>
          <w:szCs w:val="28"/>
        </w:rPr>
      </w:pPr>
      <w:r>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pPr>
        <w:pStyle w:val="style19"/>
        <w:rPr/>
      </w:pPr>
      <w:r>
        <w:rPr>
          <w:rFonts w:hint="eastAsia"/>
        </w:rPr>
        <w:t>公开时间：2019年</w:t>
      </w:r>
      <w:r>
        <w:rPr>
          <w:rFonts w:hint="eastAsia"/>
          <w:lang w:val="en-US" w:eastAsia="zh-CN"/>
        </w:rPr>
        <w:t>9</w:t>
      </w:r>
      <w:r>
        <w:rPr>
          <w:rFonts w:hint="eastAsia"/>
        </w:rPr>
        <w:t>月</w:t>
      </w:r>
      <w:r>
        <w:rPr>
          <w:rFonts w:hint="eastAsia"/>
          <w:lang w:val="en-US" w:eastAsia="zh-CN"/>
        </w:rPr>
        <w:t>25</w:t>
      </w:r>
      <w:r>
        <w:rPr>
          <w:rFonts w:hint="eastAsia"/>
        </w:rPr>
        <w:t>日</w:t>
      </w:r>
    </w:p>
    <w:p>
      <w:pPr>
        <w:pStyle w:val="style0"/>
        <w:rPr/>
      </w:pPr>
    </w:p>
    <w:p>
      <w:pPr>
        <w:pStyle w:val="style19"/>
        <w:rPr>
          <w:rFonts w:cs="宋体"/>
        </w:rPr>
      </w:pPr>
      <w:r>
        <w:rPr/>
        <w:fldChar w:fldCharType="begin"/>
      </w:r>
      <w:r>
        <w:instrText xml:space="preserve"> HYPERLINK \l "_Toc15396599" </w:instrText>
      </w:r>
      <w:r>
        <w:rPr/>
        <w:fldChar w:fldCharType="separate"/>
      </w:r>
      <w:r>
        <w:rPr>
          <w:rStyle w:val="style85"/>
          <w:rFonts w:hint="eastAsia"/>
        </w:rPr>
        <w:t>第一部分部门概况</w:t>
      </w:r>
      <w:r>
        <w:tab/>
      </w:r>
      <w:r>
        <w:rPr>
          <w:rFonts w:hint="eastAsia"/>
        </w:rPr>
        <w:t>4</w:t>
      </w:r>
      <w:r>
        <w:rPr>
          <w:rFonts w:hint="eastAsia"/>
        </w:rPr>
        <w:fldChar w:fldCharType="end"/>
      </w:r>
    </w:p>
    <w:p>
      <w:pPr>
        <w:pStyle w:val="style20"/>
        <w:rPr>
          <w:rFonts w:ascii="仿宋" w:cs="宋体" w:eastAsia="仿宋" w:hAnsi="仿宋"/>
          <w:sz w:val="28"/>
          <w:szCs w:val="28"/>
        </w:rPr>
      </w:pPr>
      <w:r>
        <w:rPr/>
        <w:fldChar w:fldCharType="begin"/>
      </w:r>
      <w:r>
        <w:instrText xml:space="preserve"> HYPERLINK \l "_Toc15396600" </w:instrText>
      </w:r>
      <w:r>
        <w:rPr/>
        <w:fldChar w:fldCharType="separate"/>
      </w:r>
      <w:r>
        <w:rPr>
          <w:rStyle w:val="style85"/>
          <w:rFonts w:ascii="仿宋" w:eastAsia="仿宋" w:hAnsi="仿宋" w:hint="eastAsia"/>
          <w:sz w:val="28"/>
          <w:szCs w:val="28"/>
        </w:rPr>
        <w:t>一、基本职能及主要工作</w:t>
      </w:r>
      <w:r>
        <w:rPr>
          <w:rFonts w:ascii="仿宋" w:eastAsia="仿宋" w:hAnsi="仿宋"/>
          <w:sz w:val="28"/>
          <w:szCs w:val="28"/>
        </w:rPr>
        <w:tab/>
      </w:r>
      <w:r>
        <w:rPr>
          <w:rFonts w:ascii="仿宋" w:eastAsia="仿宋" w:hAnsi="仿宋" w:hint="eastAsia"/>
          <w:sz w:val="28"/>
          <w:szCs w:val="28"/>
        </w:rPr>
        <w:t>4</w:t>
      </w:r>
      <w:r>
        <w:rPr>
          <w:rFonts w:ascii="仿宋" w:eastAsia="仿宋" w:hAnsi="仿宋" w:hint="eastAsia"/>
          <w:sz w:val="28"/>
          <w:szCs w:val="28"/>
        </w:rPr>
        <w:fldChar w:fldCharType="end"/>
      </w:r>
    </w:p>
    <w:p>
      <w:pPr>
        <w:pStyle w:val="style20"/>
        <w:rPr>
          <w:rFonts w:ascii="仿宋" w:cs="宋体" w:eastAsia="仿宋" w:hAnsi="仿宋"/>
          <w:sz w:val="28"/>
          <w:szCs w:val="28"/>
        </w:rPr>
      </w:pPr>
      <w:r>
        <w:rPr/>
        <w:fldChar w:fldCharType="begin"/>
      </w:r>
      <w:r>
        <w:instrText xml:space="preserve"> HYPERLINK \l "_Toc15396601" </w:instrText>
      </w:r>
      <w:r>
        <w:rPr/>
        <w:fldChar w:fldCharType="separate"/>
      </w:r>
      <w:r>
        <w:rPr>
          <w:rStyle w:val="style85"/>
          <w:rFonts w:ascii="仿宋" w:eastAsia="仿宋" w:hAnsi="仿宋" w:hint="eastAsia"/>
          <w:sz w:val="28"/>
          <w:szCs w:val="28"/>
        </w:rPr>
        <w:t>二、机构设置</w:t>
      </w:r>
      <w:r>
        <w:rPr>
          <w:rFonts w:ascii="仿宋" w:eastAsia="仿宋" w:hAnsi="仿宋"/>
          <w:sz w:val="28"/>
          <w:szCs w:val="28"/>
        </w:rPr>
        <w:tab/>
      </w:r>
      <w:r>
        <w:rPr>
          <w:rFonts w:ascii="仿宋" w:eastAsia="仿宋" w:hAnsi="仿宋" w:hint="eastAsia"/>
          <w:sz w:val="28"/>
          <w:szCs w:val="28"/>
          <w:lang w:val="en-US" w:eastAsia="zh-CN"/>
        </w:rPr>
        <w:t>7</w:t>
      </w:r>
      <w:r>
        <w:rPr>
          <w:rFonts w:ascii="仿宋" w:eastAsia="仿宋" w:hAnsi="仿宋"/>
          <w:sz w:val="28"/>
          <w:szCs w:val="28"/>
        </w:rPr>
        <w:fldChar w:fldCharType="end"/>
      </w:r>
    </w:p>
    <w:p>
      <w:pPr>
        <w:pStyle w:val="style19"/>
        <w:rPr/>
      </w:pPr>
      <w:r>
        <w:rPr/>
        <w:fldChar w:fldCharType="begin"/>
      </w:r>
      <w:r>
        <w:instrText xml:space="preserve"> HYPERLINK \l "_Toc15396602" </w:instrText>
      </w:r>
      <w:r>
        <w:rPr/>
        <w:fldChar w:fldCharType="separate"/>
      </w:r>
      <w:r>
        <w:rPr>
          <w:rStyle w:val="style85"/>
          <w:rFonts w:hint="eastAsia"/>
        </w:rPr>
        <w:t>第二部分</w:t>
      </w:r>
      <w:r>
        <w:rPr>
          <w:rStyle w:val="style85"/>
        </w:rPr>
        <w:t xml:space="preserve"> 2018</w:t>
      </w:r>
      <w:r>
        <w:rPr>
          <w:rStyle w:val="style85"/>
          <w:rFonts w:hint="eastAsia"/>
        </w:rPr>
        <w:t>年度部门决算情况说明</w:t>
      </w:r>
      <w:r>
        <w:tab/>
      </w:r>
      <w:r>
        <w:rPr>
          <w:rFonts w:hint="eastAsia"/>
          <w:lang w:val="en-US" w:eastAsia="zh-CN"/>
        </w:rPr>
        <w:t>8</w:t>
      </w:r>
      <w:r>
        <w:rPr/>
        <w:fldChar w:fldCharType="end"/>
      </w:r>
    </w:p>
    <w:p>
      <w:pPr>
        <w:pStyle w:val="style20"/>
        <w:rPr>
          <w:rFonts w:ascii="仿宋" w:cs="宋体" w:eastAsia="仿宋" w:hAnsi="仿宋"/>
          <w:sz w:val="28"/>
          <w:szCs w:val="28"/>
        </w:rPr>
      </w:pPr>
      <w:r>
        <w:rPr/>
        <w:fldChar w:fldCharType="begin"/>
      </w:r>
      <w:r>
        <w:instrText xml:space="preserve"> HYPERLINK \l "_Toc15396603" </w:instrText>
      </w:r>
      <w:r>
        <w:rPr/>
        <w:fldChar w:fldCharType="separate"/>
      </w:r>
      <w:r>
        <w:rPr>
          <w:rStyle w:val="style85"/>
          <w:rFonts w:ascii="仿宋" w:cs="宋体" w:eastAsia="仿宋" w:hAnsi="仿宋" w:hint="eastAsia"/>
          <w:bCs/>
          <w:sz w:val="28"/>
          <w:szCs w:val="28"/>
        </w:rPr>
        <w:t>一、</w:t>
      </w:r>
      <w:r>
        <w:rPr>
          <w:rStyle w:val="style85"/>
          <w:rFonts w:ascii="仿宋" w:eastAsia="仿宋" w:hAnsi="仿宋" w:hint="eastAsia"/>
          <w:sz w:val="28"/>
          <w:szCs w:val="28"/>
        </w:rPr>
        <w:t>收</w:t>
      </w:r>
      <w:r>
        <w:rPr>
          <w:rStyle w:val="style85"/>
          <w:rFonts w:ascii="仿宋" w:cs="宋体" w:eastAsia="仿宋" w:hAnsi="仿宋" w:hint="eastAsia"/>
          <w:bCs/>
          <w:sz w:val="28"/>
          <w:szCs w:val="28"/>
        </w:rPr>
        <w:t>入支出决算总体情况说明</w:t>
      </w:r>
      <w:r>
        <w:rPr>
          <w:rFonts w:ascii="仿宋" w:eastAsia="仿宋" w:hAnsi="仿宋"/>
          <w:sz w:val="28"/>
          <w:szCs w:val="28"/>
        </w:rPr>
        <w:tab/>
      </w:r>
      <w:r>
        <w:rPr>
          <w:rFonts w:ascii="仿宋" w:eastAsia="仿宋" w:hAnsi="仿宋" w:hint="eastAsia"/>
          <w:sz w:val="28"/>
          <w:szCs w:val="28"/>
          <w:lang w:val="en-US" w:eastAsia="zh-CN"/>
        </w:rPr>
        <w:t>8</w:t>
      </w:r>
      <w:r>
        <w:rPr>
          <w:rFonts w:ascii="仿宋" w:eastAsia="仿宋" w:hAnsi="仿宋"/>
          <w:sz w:val="28"/>
          <w:szCs w:val="28"/>
        </w:rPr>
        <w:fldChar w:fldCharType="end"/>
      </w:r>
    </w:p>
    <w:p>
      <w:pPr>
        <w:pStyle w:val="style20"/>
        <w:rPr>
          <w:rFonts w:ascii="仿宋" w:cs="宋体" w:eastAsia="仿宋" w:hAnsi="仿宋"/>
          <w:sz w:val="28"/>
          <w:szCs w:val="28"/>
        </w:rPr>
      </w:pPr>
      <w:r>
        <w:rPr/>
        <w:fldChar w:fldCharType="begin"/>
      </w:r>
      <w:r>
        <w:instrText xml:space="preserve"> HYPERLINK \l "_Toc15396604" </w:instrText>
      </w:r>
      <w:r>
        <w:rPr/>
        <w:fldChar w:fldCharType="separate"/>
      </w:r>
      <w:r>
        <w:rPr>
          <w:rStyle w:val="style85"/>
          <w:rFonts w:ascii="仿宋" w:cs="宋体" w:eastAsia="仿宋" w:hAnsi="仿宋" w:hint="eastAsia"/>
          <w:bCs/>
          <w:sz w:val="28"/>
          <w:szCs w:val="28"/>
        </w:rPr>
        <w:t>二、</w:t>
      </w:r>
      <w:r>
        <w:rPr>
          <w:rStyle w:val="style85"/>
          <w:rFonts w:ascii="仿宋" w:eastAsia="仿宋" w:hAnsi="仿宋" w:hint="eastAsia"/>
          <w:sz w:val="28"/>
          <w:szCs w:val="28"/>
        </w:rPr>
        <w:t>收</w:t>
      </w:r>
      <w:r>
        <w:rPr>
          <w:rStyle w:val="style85"/>
          <w:rFonts w:ascii="仿宋" w:cs="宋体" w:eastAsia="仿宋" w:hAnsi="仿宋" w:hint="eastAsia"/>
          <w:bCs/>
          <w:sz w:val="28"/>
          <w:szCs w:val="28"/>
        </w:rPr>
        <w:t>入决算情况说明</w:t>
      </w:r>
      <w:r>
        <w:rPr>
          <w:rFonts w:ascii="仿宋" w:eastAsia="仿宋" w:hAnsi="仿宋"/>
          <w:sz w:val="28"/>
          <w:szCs w:val="28"/>
        </w:rPr>
        <w:tab/>
      </w:r>
      <w:r>
        <w:rPr>
          <w:rFonts w:ascii="仿宋" w:eastAsia="仿宋" w:hAnsi="仿宋" w:hint="eastAsia"/>
          <w:sz w:val="28"/>
          <w:szCs w:val="28"/>
          <w:lang w:val="en-US" w:eastAsia="zh-CN"/>
        </w:rPr>
        <w:t>8</w:t>
      </w:r>
      <w:r>
        <w:rPr>
          <w:rFonts w:ascii="仿宋" w:eastAsia="仿宋" w:hAnsi="仿宋"/>
          <w:sz w:val="28"/>
          <w:szCs w:val="28"/>
        </w:rPr>
        <w:fldChar w:fldCharType="end"/>
      </w:r>
    </w:p>
    <w:p>
      <w:pPr>
        <w:pStyle w:val="style20"/>
        <w:rPr>
          <w:rFonts w:ascii="仿宋" w:cs="宋体" w:eastAsia="仿宋" w:hAnsi="仿宋"/>
          <w:sz w:val="28"/>
          <w:szCs w:val="28"/>
        </w:rPr>
      </w:pPr>
      <w:r>
        <w:rPr/>
        <w:fldChar w:fldCharType="begin"/>
      </w:r>
      <w:r>
        <w:instrText xml:space="preserve"> HYPERLINK \l "_Toc15396605" </w:instrText>
      </w:r>
      <w:r>
        <w:rPr/>
        <w:fldChar w:fldCharType="separate"/>
      </w:r>
      <w:r>
        <w:rPr>
          <w:rStyle w:val="style85"/>
          <w:rFonts w:ascii="仿宋" w:cs="宋体" w:eastAsia="仿宋" w:hAnsi="仿宋" w:hint="eastAsia"/>
          <w:bCs/>
          <w:sz w:val="28"/>
          <w:szCs w:val="28"/>
        </w:rPr>
        <w:t>三、</w:t>
      </w:r>
      <w:r>
        <w:rPr>
          <w:rStyle w:val="style85"/>
          <w:rFonts w:ascii="仿宋" w:eastAsia="仿宋" w:hAnsi="仿宋" w:hint="eastAsia"/>
          <w:sz w:val="28"/>
          <w:szCs w:val="28"/>
        </w:rPr>
        <w:t>支</w:t>
      </w:r>
      <w:r>
        <w:rPr>
          <w:rStyle w:val="style85"/>
          <w:rFonts w:ascii="仿宋" w:cs="宋体" w:eastAsia="仿宋" w:hAnsi="仿宋" w:hint="eastAsia"/>
          <w:bCs/>
          <w:sz w:val="28"/>
          <w:szCs w:val="28"/>
        </w:rPr>
        <w:t>出决算情况说明</w:t>
      </w:r>
      <w:r>
        <w:rPr>
          <w:rFonts w:ascii="仿宋" w:eastAsia="仿宋" w:hAnsi="仿宋"/>
          <w:sz w:val="28"/>
          <w:szCs w:val="28"/>
        </w:rPr>
        <w:tab/>
      </w:r>
      <w:r>
        <w:rPr>
          <w:rFonts w:ascii="仿宋" w:eastAsia="仿宋" w:hAnsi="仿宋" w:hint="eastAsia"/>
          <w:sz w:val="28"/>
          <w:szCs w:val="28"/>
          <w:lang w:val="en-US" w:eastAsia="zh-CN"/>
        </w:rPr>
        <w:t>9</w:t>
      </w:r>
      <w:r>
        <w:rPr>
          <w:rFonts w:ascii="仿宋" w:eastAsia="仿宋" w:hAnsi="仿宋"/>
          <w:sz w:val="28"/>
          <w:szCs w:val="28"/>
        </w:rPr>
        <w:fldChar w:fldCharType="end"/>
      </w:r>
    </w:p>
    <w:p>
      <w:pPr>
        <w:pStyle w:val="style20"/>
        <w:rPr>
          <w:rFonts w:ascii="仿宋" w:cs="宋体" w:eastAsia="仿宋" w:hAnsi="仿宋" w:hint="eastAsia"/>
          <w:sz w:val="28"/>
          <w:szCs w:val="28"/>
          <w:lang w:val="en-US" w:eastAsia="zh-CN"/>
        </w:rPr>
      </w:pPr>
      <w:r>
        <w:rPr/>
        <w:fldChar w:fldCharType="begin"/>
      </w:r>
      <w:r>
        <w:instrText xml:space="preserve"> HYPERLINK \l "_Toc15396606" </w:instrText>
      </w:r>
      <w:r>
        <w:rPr/>
        <w:fldChar w:fldCharType="separate"/>
      </w:r>
      <w:r>
        <w:rPr>
          <w:rStyle w:val="style85"/>
          <w:rFonts w:ascii="仿宋" w:eastAsia="仿宋" w:hAnsi="仿宋" w:hint="eastAsia"/>
          <w:sz w:val="28"/>
          <w:szCs w:val="28"/>
        </w:rPr>
        <w:t>四、财</w:t>
      </w:r>
      <w:r>
        <w:rPr>
          <w:rStyle w:val="style85"/>
          <w:rFonts w:ascii="仿宋" w:cs="宋体" w:eastAsia="仿宋" w:hAnsi="仿宋" w:hint="eastAsia"/>
          <w:bCs/>
          <w:sz w:val="28"/>
          <w:szCs w:val="28"/>
        </w:rPr>
        <w:t>政拨款收入支出决算总体情况说明</w:t>
      </w:r>
      <w:r>
        <w:rPr>
          <w:rFonts w:ascii="仿宋" w:eastAsia="仿宋" w:hAnsi="仿宋"/>
          <w:sz w:val="28"/>
          <w:szCs w:val="28"/>
        </w:rPr>
        <w:tab/>
      </w:r>
      <w:r>
        <w:rPr>
          <w:rFonts w:ascii="仿宋" w:eastAsia="仿宋" w:hAnsi="仿宋" w:hint="eastAsia"/>
          <w:sz w:val="28"/>
          <w:szCs w:val="28"/>
          <w:lang w:val="en-US" w:eastAsia="zh-CN"/>
        </w:rPr>
        <w:t>1</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fldChar w:fldCharType="begin"/>
      </w:r>
      <w:r>
        <w:instrText xml:space="preserve"> HYPERLINK \l "_Toc15396607" </w:instrText>
      </w:r>
      <w:r>
        <w:rPr/>
        <w:fldChar w:fldCharType="separate"/>
      </w:r>
      <w:r>
        <w:rPr>
          <w:rStyle w:val="style85"/>
          <w:rFonts w:ascii="仿宋" w:eastAsia="仿宋" w:hAnsi="仿宋" w:hint="eastAsia"/>
          <w:sz w:val="28"/>
          <w:szCs w:val="28"/>
        </w:rPr>
        <w:t>五、一</w:t>
      </w:r>
      <w:r>
        <w:rPr>
          <w:rStyle w:val="style85"/>
          <w:rFonts w:ascii="仿宋" w:cs="宋体" w:eastAsia="仿宋" w:hAnsi="仿宋" w:hint="eastAsia"/>
          <w:bCs/>
          <w:sz w:val="28"/>
          <w:szCs w:val="28"/>
        </w:rPr>
        <w:t>般公共预算财政拨款支出决算情况说明</w:t>
      </w:r>
      <w:r>
        <w:rPr>
          <w:rFonts w:ascii="仿宋" w:eastAsia="仿宋" w:hAnsi="仿宋"/>
          <w:sz w:val="28"/>
          <w:szCs w:val="28"/>
        </w:rPr>
        <w:tab/>
      </w:r>
      <w:r>
        <w:rPr>
          <w:rFonts w:ascii="仿宋" w:eastAsia="仿宋" w:hAnsi="仿宋" w:hint="eastAsia"/>
          <w:sz w:val="28"/>
          <w:szCs w:val="28"/>
          <w:lang w:val="en-US" w:eastAsia="zh-CN"/>
        </w:rPr>
        <w:t>1</w:t>
      </w:r>
      <w:r>
        <w:rPr>
          <w:rFonts w:ascii="仿宋" w:eastAsia="仿宋" w:hAnsi="仿宋"/>
          <w:sz w:val="28"/>
          <w:szCs w:val="28"/>
        </w:rPr>
        <w:fldChar w:fldCharType="end"/>
      </w:r>
      <w:r>
        <w:rPr>
          <w:rFonts w:ascii="仿宋" w:eastAsia="仿宋" w:hAnsi="仿宋" w:hint="eastAsia"/>
          <w:sz w:val="28"/>
          <w:szCs w:val="28"/>
          <w:lang w:val="en-US" w:eastAsia="zh-CN"/>
        </w:rPr>
        <w:t>1</w:t>
      </w:r>
    </w:p>
    <w:p>
      <w:pPr>
        <w:pStyle w:val="style20"/>
        <w:rPr>
          <w:rFonts w:ascii="仿宋" w:cs="宋体" w:eastAsia="仿宋" w:hAnsi="仿宋" w:hint="eastAsia"/>
          <w:sz w:val="28"/>
          <w:szCs w:val="28"/>
          <w:lang w:val="en-US" w:eastAsia="zh-CN"/>
        </w:rPr>
      </w:pPr>
      <w:r>
        <w:rPr/>
        <w:fldChar w:fldCharType="begin"/>
      </w:r>
      <w:r>
        <w:instrText xml:space="preserve"> HYPERLINK \l "_Toc15396608" </w:instrText>
      </w:r>
      <w:r>
        <w:rPr/>
        <w:fldChar w:fldCharType="separate"/>
      </w:r>
      <w:r>
        <w:rPr>
          <w:rStyle w:val="style85"/>
          <w:rFonts w:ascii="仿宋" w:eastAsia="仿宋" w:hAnsi="仿宋" w:hint="eastAsia"/>
          <w:sz w:val="28"/>
          <w:szCs w:val="28"/>
        </w:rPr>
        <w:t>六、一</w:t>
      </w:r>
      <w:r>
        <w:rPr>
          <w:rStyle w:val="style85"/>
          <w:rFonts w:ascii="仿宋" w:cs="宋体" w:eastAsia="仿宋" w:hAnsi="仿宋" w:hint="eastAsia"/>
          <w:bCs/>
          <w:sz w:val="28"/>
          <w:szCs w:val="28"/>
        </w:rPr>
        <w:t>般公共预算财政拨款基本支出决算情况说明</w:t>
      </w:r>
      <w:r>
        <w:rPr>
          <w:rFonts w:ascii="仿宋" w:eastAsia="仿宋" w:hAnsi="仿宋"/>
          <w:sz w:val="28"/>
          <w:szCs w:val="28"/>
        </w:rPr>
        <w:tab/>
      </w:r>
      <w:r>
        <w:rPr>
          <w:rFonts w:ascii="仿宋" w:eastAsia="仿宋" w:hAnsi="仿宋" w:hint="eastAsia"/>
          <w:sz w:val="28"/>
          <w:szCs w:val="28"/>
          <w:lang w:val="en-US" w:eastAsia="zh-CN"/>
        </w:rPr>
        <w:t>1</w:t>
      </w:r>
      <w:r>
        <w:rPr>
          <w:rFonts w:ascii="仿宋" w:eastAsia="仿宋" w:hAnsi="仿宋"/>
          <w:sz w:val="28"/>
          <w:szCs w:val="28"/>
        </w:rPr>
        <w:fldChar w:fldCharType="end"/>
      </w:r>
      <w:r>
        <w:rPr>
          <w:rFonts w:ascii="仿宋" w:eastAsia="仿宋" w:hAnsi="仿宋" w:hint="eastAsia"/>
          <w:sz w:val="28"/>
          <w:szCs w:val="28"/>
          <w:lang w:val="en-US" w:eastAsia="zh-CN"/>
        </w:rPr>
        <w:t>3</w:t>
      </w:r>
    </w:p>
    <w:p>
      <w:pPr>
        <w:pStyle w:val="style20"/>
        <w:rPr>
          <w:rFonts w:ascii="仿宋" w:cs="宋体" w:eastAsia="仿宋" w:hAnsi="仿宋" w:hint="eastAsia"/>
          <w:sz w:val="28"/>
          <w:szCs w:val="28"/>
          <w:lang w:val="en-US" w:eastAsia="zh-CN"/>
        </w:rPr>
      </w:pPr>
      <w:r>
        <w:rPr/>
        <w:fldChar w:fldCharType="begin"/>
      </w:r>
      <w:r>
        <w:instrText xml:space="preserve"> HYPERLINK \l "_Toc15396609" </w:instrText>
      </w:r>
      <w:r>
        <w:rPr/>
        <w:fldChar w:fldCharType="separate"/>
      </w:r>
      <w:r>
        <w:rPr>
          <w:rStyle w:val="style85"/>
          <w:rFonts w:ascii="仿宋" w:eastAsia="仿宋" w:hAnsi="仿宋" w:hint="eastAsia"/>
          <w:sz w:val="28"/>
          <w:szCs w:val="28"/>
        </w:rPr>
        <w:t>七、</w:t>
      </w:r>
      <w:r>
        <w:rPr>
          <w:rStyle w:val="style85"/>
          <w:rFonts w:ascii="仿宋" w:eastAsia="仿宋" w:hAnsi="仿宋"/>
          <w:sz w:val="28"/>
          <w:szCs w:val="28"/>
        </w:rPr>
        <w:t>“</w:t>
      </w:r>
      <w:r>
        <w:rPr>
          <w:rStyle w:val="style85"/>
          <w:rFonts w:ascii="仿宋" w:cs="宋体" w:eastAsia="仿宋" w:hAnsi="仿宋" w:hint="eastAsia"/>
          <w:bCs/>
          <w:sz w:val="28"/>
          <w:szCs w:val="28"/>
        </w:rPr>
        <w:t>三公”经费财政拨款支出决算情况说明</w:t>
      </w:r>
      <w:r>
        <w:rPr>
          <w:rFonts w:ascii="仿宋" w:eastAsia="仿宋" w:hAnsi="仿宋"/>
          <w:sz w:val="28"/>
          <w:szCs w:val="28"/>
        </w:rPr>
        <w:tab/>
      </w:r>
      <w:r>
        <w:rPr>
          <w:rFonts w:ascii="仿宋" w:eastAsia="仿宋" w:hAnsi="仿宋" w:hint="eastAsia"/>
          <w:sz w:val="28"/>
          <w:szCs w:val="28"/>
          <w:lang w:val="en-US" w:eastAsia="zh-CN"/>
        </w:rPr>
        <w:t>1</w:t>
      </w:r>
      <w:r>
        <w:rPr>
          <w:rFonts w:ascii="仿宋" w:eastAsia="仿宋" w:hAnsi="仿宋"/>
          <w:sz w:val="28"/>
          <w:szCs w:val="28"/>
        </w:rPr>
        <w:fldChar w:fldCharType="end"/>
      </w:r>
      <w:r>
        <w:rPr>
          <w:rFonts w:ascii="仿宋" w:eastAsia="仿宋" w:hAnsi="仿宋" w:hint="eastAsia"/>
          <w:sz w:val="28"/>
          <w:szCs w:val="28"/>
          <w:lang w:val="en-US" w:eastAsia="zh-CN"/>
        </w:rPr>
        <w:t>4</w:t>
      </w:r>
    </w:p>
    <w:p>
      <w:pPr>
        <w:pStyle w:val="style20"/>
        <w:rPr>
          <w:rFonts w:ascii="仿宋" w:cs="宋体" w:eastAsia="仿宋" w:hAnsi="仿宋" w:hint="eastAsia"/>
          <w:sz w:val="28"/>
          <w:szCs w:val="28"/>
          <w:lang w:val="en-US" w:eastAsia="zh-CN"/>
        </w:rPr>
      </w:pPr>
      <w:r>
        <w:rPr/>
        <w:fldChar w:fldCharType="begin"/>
      </w:r>
      <w:r>
        <w:instrText xml:space="preserve"> HYPERLINK \l "_Toc15396610" </w:instrText>
      </w:r>
      <w:r>
        <w:rPr/>
        <w:fldChar w:fldCharType="separate"/>
      </w:r>
      <w:r>
        <w:rPr>
          <w:rStyle w:val="style85"/>
          <w:rFonts w:ascii="仿宋" w:eastAsia="仿宋" w:hAnsi="仿宋" w:hint="eastAsia"/>
          <w:sz w:val="28"/>
          <w:szCs w:val="28"/>
        </w:rPr>
        <w:t>八、</w:t>
      </w:r>
      <w:r>
        <w:rPr>
          <w:rStyle w:val="style85"/>
          <w:rFonts w:ascii="仿宋" w:cs="宋体" w:eastAsia="仿宋" w:hAnsi="仿宋" w:hint="eastAsia"/>
          <w:bCs/>
          <w:sz w:val="28"/>
          <w:szCs w:val="28"/>
        </w:rPr>
        <w:t>政府性基金预算支出决算情况说明</w:t>
      </w:r>
      <w:r>
        <w:rPr>
          <w:rFonts w:ascii="仿宋" w:eastAsia="仿宋" w:hAnsi="仿宋"/>
          <w:sz w:val="28"/>
          <w:szCs w:val="28"/>
        </w:rPr>
        <w:tab/>
      </w:r>
      <w:r>
        <w:rPr>
          <w:rFonts w:ascii="仿宋" w:eastAsia="仿宋" w:hAnsi="仿宋" w:hint="eastAsia"/>
          <w:sz w:val="28"/>
          <w:szCs w:val="28"/>
          <w:lang w:val="en-US" w:eastAsia="zh-CN"/>
        </w:rPr>
        <w:t>1</w:t>
      </w:r>
      <w:r>
        <w:rPr>
          <w:rFonts w:ascii="仿宋" w:eastAsia="仿宋" w:hAnsi="仿宋"/>
          <w:sz w:val="28"/>
          <w:szCs w:val="28"/>
        </w:rPr>
        <w:fldChar w:fldCharType="end"/>
      </w:r>
      <w:r>
        <w:rPr>
          <w:rFonts w:ascii="仿宋" w:eastAsia="仿宋" w:hAnsi="仿宋" w:hint="eastAsia"/>
          <w:sz w:val="28"/>
          <w:szCs w:val="28"/>
          <w:lang w:val="en-US" w:eastAsia="zh-CN"/>
        </w:rPr>
        <w:t>5</w:t>
      </w:r>
    </w:p>
    <w:p>
      <w:pPr>
        <w:pStyle w:val="style20"/>
        <w:rPr>
          <w:rFonts w:eastAsia="仿宋" w:hint="eastAsia"/>
          <w:lang w:val="en-US" w:eastAsia="zh-CN"/>
        </w:rPr>
      </w:pPr>
      <w:r>
        <w:rPr/>
        <w:fldChar w:fldCharType="begin"/>
      </w:r>
      <w:r>
        <w:instrText xml:space="preserve"> HYPERLINK \l "_Toc15396611" </w:instrText>
      </w:r>
      <w:r>
        <w:rPr/>
        <w:fldChar w:fldCharType="separate"/>
      </w:r>
      <w:r>
        <w:rPr>
          <w:rStyle w:val="style85"/>
          <w:rFonts w:ascii="仿宋" w:cs="宋体" w:eastAsia="仿宋" w:hAnsi="仿宋" w:hint="eastAsia"/>
          <w:bCs/>
          <w:sz w:val="28"/>
          <w:szCs w:val="28"/>
        </w:rPr>
        <w:t>九、</w:t>
      </w:r>
      <w:r>
        <w:rPr>
          <w:rStyle w:val="style85"/>
          <w:rFonts w:ascii="仿宋" w:eastAsia="仿宋" w:hAnsi="仿宋" w:hint="eastAsia"/>
          <w:sz w:val="28"/>
          <w:szCs w:val="28"/>
        </w:rPr>
        <w:t xml:space="preserve"> 国</w:t>
      </w:r>
      <w:r>
        <w:rPr>
          <w:rStyle w:val="style85"/>
          <w:rFonts w:ascii="仿宋" w:cs="宋体" w:eastAsia="仿宋" w:hAnsi="仿宋" w:hint="eastAsia"/>
          <w:bCs/>
          <w:sz w:val="28"/>
          <w:szCs w:val="28"/>
        </w:rPr>
        <w:t>有资本经营预算支出决算情况说明</w:t>
      </w:r>
      <w:r>
        <w:rPr>
          <w:rFonts w:ascii="仿宋" w:eastAsia="仿宋" w:hAnsi="仿宋"/>
          <w:sz w:val="28"/>
          <w:szCs w:val="28"/>
        </w:rPr>
        <w:tab/>
      </w:r>
      <w:r>
        <w:rPr>
          <w:rFonts w:ascii="仿宋" w:eastAsia="仿宋" w:hAnsi="仿宋" w:hint="eastAsia"/>
          <w:sz w:val="28"/>
          <w:szCs w:val="28"/>
          <w:lang w:val="en-US" w:eastAsia="zh-CN"/>
        </w:rPr>
        <w:t>1</w:t>
      </w:r>
      <w:r>
        <w:rPr>
          <w:rFonts w:ascii="仿宋" w:eastAsia="仿宋" w:hAnsi="仿宋"/>
          <w:sz w:val="28"/>
          <w:szCs w:val="28"/>
        </w:rPr>
        <w:fldChar w:fldCharType="end"/>
      </w:r>
      <w:r>
        <w:rPr>
          <w:rFonts w:ascii="仿宋" w:eastAsia="仿宋" w:hAnsi="仿宋" w:hint="eastAsia"/>
          <w:sz w:val="28"/>
          <w:szCs w:val="28"/>
          <w:lang w:val="en-US" w:eastAsia="zh-CN"/>
        </w:rPr>
        <w:t>5</w:t>
      </w:r>
    </w:p>
    <w:p>
      <w:pPr>
        <w:pStyle w:val="style0"/>
        <w:rPr>
          <w:rFonts w:eastAsia="仿宋" w:hint="eastAsia"/>
          <w:color w:val="000000"/>
          <w:lang w:val="en-US" w:eastAsia="zh-CN"/>
        </w:rPr>
      </w:pPr>
      <w:r>
        <w:rPr>
          <w:rFonts w:hint="eastAsia"/>
        </w:rPr>
        <w:t xml:space="preserve">    </w:t>
      </w:r>
      <w:r>
        <w:rPr>
          <w:rStyle w:val="style85"/>
          <w:rFonts w:ascii="仿宋" w:cs="宋体" w:eastAsia="仿宋" w:hAnsi="仿宋" w:hint="eastAsia"/>
          <w:bCs/>
          <w:color w:val="000000"/>
          <w:sz w:val="28"/>
          <w:szCs w:val="28"/>
          <w:u w:val="none"/>
        </w:rPr>
        <w:t>十、预算绩效情况说明</w:t>
      </w:r>
      <w:r>
        <w:rPr>
          <w:rStyle w:val="style85"/>
          <w:rFonts w:ascii="仿宋" w:cs="宋体" w:eastAsia="仿宋" w:hAnsi="仿宋"/>
          <w:bCs/>
          <w:color w:val="000000"/>
          <w:sz w:val="28"/>
          <w:szCs w:val="28"/>
          <w:u w:val="none"/>
        </w:rPr>
        <w:t>…………………………………………</w:t>
      </w:r>
      <w:r>
        <w:rPr>
          <w:rStyle w:val="style85"/>
          <w:rFonts w:ascii="仿宋" w:cs="宋体" w:eastAsia="仿宋" w:hAnsi="仿宋" w:hint="eastAsia"/>
          <w:bCs/>
          <w:color w:val="000000"/>
          <w:sz w:val="28"/>
          <w:szCs w:val="28"/>
          <w:u w:val="none"/>
        </w:rPr>
        <w:t xml:space="preserve">  </w:t>
      </w:r>
      <w:r>
        <w:rPr>
          <w:rStyle w:val="style85"/>
          <w:rFonts w:ascii="仿宋" w:cs="宋体" w:eastAsia="仿宋" w:hAnsi="仿宋" w:hint="eastAsia"/>
          <w:bCs/>
          <w:color w:val="000000"/>
          <w:sz w:val="28"/>
          <w:szCs w:val="28"/>
          <w:u w:val="none"/>
          <w:lang w:val="en-US" w:eastAsia="zh-CN"/>
        </w:rPr>
        <w:t>15</w:t>
      </w:r>
    </w:p>
    <w:p>
      <w:pPr>
        <w:pStyle w:val="style20"/>
        <w:rPr>
          <w:rFonts w:ascii="仿宋" w:cs="宋体" w:eastAsia="仿宋" w:hAnsi="仿宋" w:hint="eastAsia"/>
          <w:sz w:val="28"/>
          <w:szCs w:val="28"/>
          <w:lang w:val="en-US" w:eastAsia="zh-CN"/>
        </w:rPr>
      </w:pPr>
      <w:r>
        <w:rPr/>
        <w:fldChar w:fldCharType="begin"/>
      </w:r>
      <w:r>
        <w:instrText xml:space="preserve"> HYPERLINK \l "_Toc15396612" </w:instrText>
      </w:r>
      <w:r>
        <w:rPr/>
        <w:fldChar w:fldCharType="separate"/>
      </w:r>
      <w:r>
        <w:rPr>
          <w:rStyle w:val="style85"/>
          <w:rFonts w:ascii="仿宋" w:eastAsia="仿宋" w:hAnsi="仿宋" w:hint="eastAsia"/>
          <w:sz w:val="28"/>
          <w:szCs w:val="28"/>
        </w:rPr>
        <w:t>十</w:t>
      </w:r>
      <w:r>
        <w:rPr>
          <w:rStyle w:val="style85"/>
          <w:rFonts w:ascii="仿宋" w:cs="宋体" w:eastAsia="仿宋" w:hAnsi="仿宋" w:hint="eastAsia"/>
          <w:bCs/>
          <w:sz w:val="28"/>
          <w:szCs w:val="28"/>
        </w:rPr>
        <w:t>一、其他重要事项的情况说明</w:t>
      </w:r>
      <w:r>
        <w:rPr>
          <w:rFonts w:ascii="仿宋" w:eastAsia="仿宋" w:hAnsi="仿宋"/>
          <w:sz w:val="28"/>
          <w:szCs w:val="28"/>
        </w:rPr>
        <w:tab/>
      </w:r>
      <w:r>
        <w:rPr>
          <w:rFonts w:ascii="仿宋" w:eastAsia="仿宋" w:hAnsi="仿宋" w:hint="eastAsia"/>
          <w:sz w:val="28"/>
          <w:szCs w:val="28"/>
          <w:lang w:val="en-US" w:eastAsia="zh-CN"/>
        </w:rPr>
        <w:t>2</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19"/>
        <w:rPr>
          <w:rFonts w:cs="宋体" w:eastAsia="仿宋" w:hint="eastAsia"/>
          <w:lang w:val="en-US" w:eastAsia="zh-CN"/>
        </w:rPr>
      </w:pPr>
      <w:r>
        <w:rPr/>
        <w:fldChar w:fldCharType="begin"/>
      </w:r>
      <w:r>
        <w:instrText xml:space="preserve"> HYPERLINK \l "_Toc15396613" </w:instrText>
      </w:r>
      <w:r>
        <w:rPr/>
        <w:fldChar w:fldCharType="separate"/>
      </w:r>
      <w:r>
        <w:rPr>
          <w:rStyle w:val="style85"/>
          <w:rFonts w:hint="eastAsia"/>
          <w:bCs/>
          <w:kern w:val="44"/>
        </w:rPr>
        <w:t>第三部分</w:t>
      </w:r>
      <w:r>
        <w:rPr>
          <w:rStyle w:val="style85"/>
          <w:rFonts w:hint="eastAsia"/>
        </w:rPr>
        <w:t xml:space="preserve"> 名</w:t>
      </w:r>
      <w:r>
        <w:rPr>
          <w:rStyle w:val="style85"/>
          <w:rFonts w:hint="eastAsia"/>
          <w:bCs/>
          <w:kern w:val="44"/>
        </w:rPr>
        <w:t>词解释</w:t>
      </w:r>
      <w:r>
        <w:tab/>
      </w:r>
      <w:r>
        <w:rPr>
          <w:rFonts w:hint="eastAsia"/>
          <w:lang w:val="en-US" w:eastAsia="zh-CN"/>
        </w:rPr>
        <w:t>2</w:t>
      </w:r>
      <w:r>
        <w:rPr/>
        <w:fldChar w:fldCharType="end"/>
      </w:r>
      <w:r>
        <w:rPr>
          <w:rFonts w:hint="eastAsia"/>
          <w:lang w:val="en-US" w:eastAsia="zh-CN"/>
        </w:rPr>
        <w:t>2</w:t>
      </w:r>
    </w:p>
    <w:p>
      <w:pPr>
        <w:pStyle w:val="style19"/>
        <w:rPr>
          <w:rFonts w:cs="宋体" w:eastAsia="仿宋" w:hint="eastAsia"/>
          <w:lang w:val="en-US" w:eastAsia="zh-CN"/>
        </w:rPr>
      </w:pPr>
      <w:r>
        <w:rPr/>
        <w:fldChar w:fldCharType="begin"/>
      </w:r>
      <w:r>
        <w:instrText xml:space="preserve"> HYPERLINK \l "_Toc15396614" </w:instrText>
      </w:r>
      <w:r>
        <w:rPr/>
        <w:fldChar w:fldCharType="separate"/>
      </w:r>
      <w:r>
        <w:rPr>
          <w:rStyle w:val="style85"/>
          <w:rFonts w:hint="eastAsia"/>
        </w:rPr>
        <w:t>第</w:t>
      </w:r>
      <w:r>
        <w:rPr>
          <w:rStyle w:val="style85"/>
          <w:rFonts w:hint="eastAsia"/>
          <w:bCs/>
          <w:kern w:val="44"/>
        </w:rPr>
        <w:t>四部分附件</w:t>
      </w:r>
      <w:r>
        <w:tab/>
      </w:r>
      <w:r>
        <w:rPr>
          <w:rFonts w:hint="eastAsia"/>
          <w:lang w:val="en-US" w:eastAsia="zh-CN"/>
        </w:rPr>
        <w:t>2</w:t>
      </w:r>
      <w:r>
        <w:rPr/>
        <w:fldChar w:fldCharType="end"/>
      </w:r>
      <w:r>
        <w:rPr>
          <w:rFonts w:hint="eastAsia"/>
          <w:lang w:val="en-US" w:eastAsia="zh-CN"/>
        </w:rPr>
        <w:t>5</w:t>
      </w:r>
    </w:p>
    <w:p>
      <w:pPr>
        <w:pStyle w:val="style20"/>
        <w:rPr>
          <w:rFonts w:ascii="仿宋" w:cs="宋体" w:eastAsia="仿宋" w:hAnsi="仿宋" w:hint="eastAsia"/>
          <w:sz w:val="28"/>
          <w:szCs w:val="28"/>
          <w:lang w:val="en-US" w:eastAsia="zh-CN"/>
        </w:rPr>
      </w:pPr>
      <w:r>
        <w:rPr/>
        <w:fldChar w:fldCharType="begin"/>
      </w:r>
      <w:r>
        <w:instrText xml:space="preserve"> HYPERLINK \l "_Toc15396615" </w:instrText>
      </w:r>
      <w:r>
        <w:rPr/>
        <w:fldChar w:fldCharType="separate"/>
      </w:r>
      <w:r>
        <w:rPr>
          <w:rStyle w:val="style85"/>
          <w:rFonts w:ascii="仿宋" w:eastAsia="仿宋" w:hAnsi="仿宋" w:hint="eastAsia"/>
          <w:kern w:val="44"/>
          <w:sz w:val="28"/>
          <w:szCs w:val="28"/>
        </w:rPr>
        <w:t>附件</w:t>
      </w:r>
      <w:r>
        <w:rPr>
          <w:rStyle w:val="style85"/>
          <w:rFonts w:ascii="仿宋" w:eastAsia="仿宋" w:hAnsi="仿宋"/>
          <w:kern w:val="44"/>
          <w:sz w:val="28"/>
          <w:szCs w:val="28"/>
        </w:rPr>
        <w:t>1</w:t>
      </w:r>
      <w:r>
        <w:rPr>
          <w:rFonts w:ascii="仿宋" w:eastAsia="仿宋" w:hAnsi="仿宋"/>
          <w:sz w:val="28"/>
          <w:szCs w:val="28"/>
        </w:rPr>
        <w:tab/>
      </w:r>
      <w:r>
        <w:rPr>
          <w:rFonts w:ascii="仿宋" w:eastAsia="仿宋" w:hAnsi="仿宋" w:hint="eastAsia"/>
          <w:sz w:val="28"/>
          <w:szCs w:val="28"/>
          <w:lang w:val="en-US" w:eastAsia="zh-CN"/>
        </w:rPr>
        <w:t>2</w:t>
      </w:r>
      <w:r>
        <w:rPr>
          <w:rFonts w:ascii="仿宋" w:eastAsia="仿宋" w:hAnsi="仿宋"/>
          <w:sz w:val="28"/>
          <w:szCs w:val="28"/>
        </w:rPr>
        <w:fldChar w:fldCharType="end"/>
      </w:r>
      <w:r>
        <w:rPr>
          <w:rFonts w:ascii="仿宋" w:eastAsia="仿宋" w:hAnsi="仿宋" w:hint="eastAsia"/>
          <w:sz w:val="28"/>
          <w:szCs w:val="28"/>
          <w:lang w:val="en-US" w:eastAsia="zh-CN"/>
        </w:rPr>
        <w:t>5</w:t>
      </w:r>
    </w:p>
    <w:p>
      <w:pPr>
        <w:pStyle w:val="style20"/>
        <w:rPr>
          <w:rFonts w:ascii="仿宋" w:cs="宋体" w:eastAsia="仿宋" w:hAnsi="仿宋" w:hint="eastAsia"/>
          <w:sz w:val="28"/>
          <w:szCs w:val="28"/>
          <w:lang w:val="en-US" w:eastAsia="zh-CN"/>
        </w:rPr>
      </w:pPr>
      <w:r>
        <w:rPr/>
        <w:fldChar w:fldCharType="begin"/>
      </w:r>
      <w:r>
        <w:instrText xml:space="preserve"> HYPERLINK \l "_Toc15396617" </w:instrText>
      </w:r>
      <w:r>
        <w:rPr/>
        <w:fldChar w:fldCharType="separate"/>
      </w:r>
      <w:r>
        <w:rPr>
          <w:rStyle w:val="style85"/>
          <w:rFonts w:ascii="仿宋" w:eastAsia="仿宋" w:hAnsi="仿宋" w:hint="eastAsia"/>
          <w:kern w:val="44"/>
          <w:sz w:val="28"/>
          <w:szCs w:val="28"/>
        </w:rPr>
        <w:t>附件</w:t>
      </w:r>
      <w:r>
        <w:rPr>
          <w:rStyle w:val="style85"/>
          <w:rFonts w:ascii="仿宋" w:eastAsia="仿宋" w:hAnsi="仿宋"/>
          <w:kern w:val="44"/>
          <w:sz w:val="28"/>
          <w:szCs w:val="28"/>
        </w:rPr>
        <w:t>2</w:t>
      </w:r>
      <w:r>
        <w:rPr>
          <w:rFonts w:ascii="仿宋" w:eastAsia="仿宋" w:hAnsi="仿宋"/>
          <w:sz w:val="28"/>
          <w:szCs w:val="28"/>
        </w:rPr>
        <w:tab/>
      </w:r>
      <w:r>
        <w:rPr>
          <w:rFonts w:ascii="仿宋" w:eastAsia="仿宋" w:hAnsi="仿宋" w:hint="eastAsia"/>
          <w:sz w:val="28"/>
          <w:szCs w:val="28"/>
          <w:lang w:val="en-US" w:eastAsia="zh-CN"/>
        </w:rPr>
        <w:t>2</w:t>
      </w:r>
      <w:r>
        <w:rPr>
          <w:rFonts w:ascii="仿宋" w:eastAsia="仿宋" w:hAnsi="仿宋"/>
          <w:sz w:val="28"/>
          <w:szCs w:val="28"/>
        </w:rPr>
        <w:fldChar w:fldCharType="end"/>
      </w:r>
      <w:r>
        <w:rPr>
          <w:rFonts w:ascii="仿宋" w:eastAsia="仿宋" w:hAnsi="仿宋" w:hint="eastAsia"/>
          <w:sz w:val="28"/>
          <w:szCs w:val="28"/>
          <w:lang w:val="en-US" w:eastAsia="zh-CN"/>
        </w:rPr>
        <w:t>7</w:t>
      </w:r>
    </w:p>
    <w:p>
      <w:pPr>
        <w:pStyle w:val="style19"/>
        <w:rPr>
          <w:rFonts w:cs="宋体" w:eastAsia="仿宋" w:hint="eastAsia"/>
          <w:lang w:val="en-US" w:eastAsia="zh-CN"/>
        </w:rPr>
      </w:pPr>
      <w:r>
        <w:rPr/>
        <w:fldChar w:fldCharType="begin"/>
      </w:r>
      <w:r>
        <w:instrText xml:space="preserve"> HYPERLINK \l "_Toc15396618" </w:instrText>
      </w:r>
      <w:r>
        <w:rPr/>
        <w:fldChar w:fldCharType="separate"/>
      </w:r>
      <w:r>
        <w:rPr>
          <w:rStyle w:val="style85"/>
          <w:rFonts w:hint="eastAsia"/>
        </w:rPr>
        <w:t>第</w:t>
      </w:r>
      <w:r>
        <w:rPr>
          <w:rStyle w:val="style85"/>
          <w:rFonts w:hint="eastAsia"/>
          <w:bCs/>
          <w:kern w:val="44"/>
        </w:rPr>
        <w:t>五部分附表</w:t>
      </w:r>
      <w:r>
        <w:tab/>
      </w:r>
      <w:r>
        <w:rPr>
          <w:rFonts w:hint="eastAsia"/>
          <w:lang w:val="en-US" w:eastAsia="zh-CN"/>
        </w:rPr>
        <w:t>3</w:t>
      </w:r>
      <w:r>
        <w:rPr/>
        <w:fldChar w:fldCharType="end"/>
      </w:r>
      <w:r>
        <w:rPr>
          <w:rFonts w:hint="eastAsia"/>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一、</w:t>
      </w:r>
      <w:r>
        <w:rPr/>
        <w:fldChar w:fldCharType="begin"/>
      </w:r>
      <w:r>
        <w:instrText xml:space="preserve"> HYPERLINK \l "_Toc15396619" </w:instrText>
      </w:r>
      <w:r>
        <w:rPr/>
        <w:fldChar w:fldCharType="separate"/>
      </w:r>
      <w:r>
        <w:rPr>
          <w:rStyle w:val="style85"/>
          <w:rFonts w:ascii="仿宋" w:eastAsia="仿宋" w:hAnsi="仿宋" w:hint="eastAsia"/>
          <w:sz w:val="28"/>
          <w:szCs w:val="28"/>
        </w:rPr>
        <w:t>收入支出决算总表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二、</w:t>
      </w:r>
      <w:r>
        <w:rPr/>
        <w:fldChar w:fldCharType="begin"/>
      </w:r>
      <w:r>
        <w:instrText xml:space="preserve"> HYPERLINK \l "_Toc15396620" </w:instrText>
      </w:r>
      <w:r>
        <w:rPr/>
        <w:fldChar w:fldCharType="separate"/>
      </w:r>
      <w:r>
        <w:rPr>
          <w:rStyle w:val="style85"/>
          <w:rFonts w:ascii="仿宋" w:eastAsia="仿宋" w:hAnsi="仿宋" w:hint="eastAsia"/>
          <w:sz w:val="28"/>
          <w:szCs w:val="28"/>
        </w:rPr>
        <w:t>收入总表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三、</w:t>
      </w:r>
      <w:r>
        <w:rPr/>
        <w:fldChar w:fldCharType="begin"/>
      </w:r>
      <w:r>
        <w:instrText xml:space="preserve"> HYPERLINK \l "_Toc15396621" </w:instrText>
      </w:r>
      <w:r>
        <w:rPr/>
        <w:fldChar w:fldCharType="separate"/>
      </w:r>
      <w:r>
        <w:rPr>
          <w:rStyle w:val="style85"/>
          <w:rFonts w:ascii="仿宋" w:eastAsia="仿宋" w:hAnsi="仿宋" w:hint="eastAsia"/>
          <w:sz w:val="28"/>
          <w:szCs w:val="28"/>
        </w:rPr>
        <w:t>支出总表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四、</w:t>
      </w:r>
      <w:r>
        <w:rPr/>
        <w:fldChar w:fldCharType="begin"/>
      </w:r>
      <w:r>
        <w:instrText xml:space="preserve"> HYPERLINK \l "_Toc15396622" </w:instrText>
      </w:r>
      <w:r>
        <w:rPr/>
        <w:fldChar w:fldCharType="separate"/>
      </w:r>
      <w:r>
        <w:rPr>
          <w:rStyle w:val="style85"/>
          <w:rFonts w:ascii="仿宋" w:eastAsia="仿宋" w:hAnsi="仿宋" w:hint="eastAsia"/>
          <w:sz w:val="28"/>
          <w:szCs w:val="28"/>
        </w:rPr>
        <w:t>财政拨款收入支出决算总表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eastAsia="仿宋" w:hAnsi="仿宋" w:hint="eastAsia"/>
          <w:sz w:val="28"/>
          <w:szCs w:val="28"/>
          <w:lang w:val="en-US" w:eastAsia="zh-CN"/>
        </w:rPr>
      </w:pPr>
      <w:r>
        <w:rPr>
          <w:rFonts w:ascii="仿宋" w:eastAsia="仿宋" w:hAnsi="仿宋" w:hint="eastAsia"/>
          <w:sz w:val="28"/>
          <w:szCs w:val="28"/>
        </w:rPr>
        <w:t>五、</w:t>
      </w:r>
      <w:r>
        <w:rPr/>
        <w:fldChar w:fldCharType="begin"/>
      </w:r>
      <w:r>
        <w:instrText xml:space="preserve"> HYPERLINK \l "_Toc15396623" </w:instrText>
      </w:r>
      <w:r>
        <w:rPr/>
        <w:fldChar w:fldCharType="separate"/>
      </w:r>
      <w:r>
        <w:rPr>
          <w:rFonts w:ascii="仿宋" w:eastAsia="仿宋" w:hAnsi="仿宋" w:hint="eastAsia"/>
          <w:sz w:val="28"/>
          <w:szCs w:val="28"/>
        </w:rPr>
        <w:t>财政拨款支出决算明细表（政府经济分类科目）</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六、</w:t>
      </w:r>
      <w:r>
        <w:rPr/>
        <w:fldChar w:fldCharType="begin"/>
      </w:r>
      <w:r>
        <w:instrText xml:space="preserve"> HYPERLINK \l "_Toc15396624" </w:instrText>
      </w:r>
      <w:r>
        <w:rPr/>
        <w:fldChar w:fldCharType="separate"/>
      </w:r>
      <w:r>
        <w:rPr>
          <w:rStyle w:val="style85"/>
          <w:rFonts w:ascii="仿宋" w:eastAsia="仿宋" w:hAnsi="仿宋" w:hint="eastAsia"/>
          <w:sz w:val="28"/>
          <w:szCs w:val="28"/>
        </w:rPr>
        <w:t>一般公共预算财政拨款支出决算表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七、</w:t>
      </w:r>
      <w:r>
        <w:rPr/>
        <w:fldChar w:fldCharType="begin"/>
      </w:r>
      <w:r>
        <w:instrText xml:space="preserve"> HYPERLINK \l "_Toc15396625" </w:instrText>
      </w:r>
      <w:r>
        <w:rPr/>
        <w:fldChar w:fldCharType="separate"/>
      </w:r>
      <w:r>
        <w:rPr>
          <w:rStyle w:val="style85"/>
          <w:rFonts w:ascii="仿宋" w:eastAsia="仿宋" w:hAnsi="仿宋" w:hint="eastAsia"/>
          <w:sz w:val="28"/>
          <w:szCs w:val="28"/>
        </w:rPr>
        <w:t>一般公共预算财政拨款支出决算明细表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八、</w:t>
      </w:r>
      <w:r>
        <w:rPr/>
        <w:fldChar w:fldCharType="begin"/>
      </w:r>
      <w:r>
        <w:instrText xml:space="preserve"> HYPERLINK \l "_Toc15396626" </w:instrText>
      </w:r>
      <w:r>
        <w:rPr/>
        <w:fldChar w:fldCharType="separate"/>
      </w:r>
      <w:r>
        <w:rPr>
          <w:rStyle w:val="style85"/>
          <w:rFonts w:ascii="仿宋" w:eastAsia="仿宋" w:hAnsi="仿宋" w:hint="eastAsia"/>
          <w:sz w:val="28"/>
          <w:szCs w:val="28"/>
        </w:rPr>
        <w:t>一般公共预算财政拨款基本支出决算表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九、</w:t>
      </w:r>
      <w:r>
        <w:rPr/>
        <w:fldChar w:fldCharType="begin"/>
      </w:r>
      <w:r>
        <w:instrText xml:space="preserve"> HYPERLINK \l "_Toc15396627" </w:instrText>
      </w:r>
      <w:r>
        <w:rPr/>
        <w:fldChar w:fldCharType="separate"/>
      </w:r>
      <w:r>
        <w:rPr>
          <w:rStyle w:val="style85"/>
          <w:rFonts w:ascii="仿宋" w:eastAsia="仿宋" w:hAnsi="仿宋" w:hint="eastAsia"/>
          <w:sz w:val="28"/>
          <w:szCs w:val="28"/>
        </w:rPr>
        <w:t>一般公共预算财政拨款项目支出决算表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十、</w:t>
      </w:r>
      <w:r>
        <w:rPr/>
        <w:fldChar w:fldCharType="begin"/>
      </w:r>
      <w:r>
        <w:instrText xml:space="preserve"> HYPERLINK \l "_Toc15396628" </w:instrText>
      </w:r>
      <w:r>
        <w:rPr/>
        <w:fldChar w:fldCharType="separate"/>
      </w:r>
      <w:r>
        <w:rPr>
          <w:rStyle w:val="style85"/>
          <w:rFonts w:ascii="仿宋" w:eastAsia="仿宋" w:hAnsi="仿宋" w:hint="eastAsia"/>
          <w:sz w:val="28"/>
          <w:szCs w:val="28"/>
        </w:rPr>
        <w:t>一般公共预算财政拨款“三公”经费支出决算表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十一、</w:t>
      </w:r>
      <w:r>
        <w:rPr/>
        <w:fldChar w:fldCharType="begin"/>
      </w:r>
      <w:r>
        <w:instrText xml:space="preserve"> HYPERLINK \l "_Toc15396629" </w:instrText>
      </w:r>
      <w:r>
        <w:rPr/>
        <w:fldChar w:fldCharType="separate"/>
      </w:r>
      <w:r>
        <w:rPr>
          <w:rStyle w:val="style85"/>
          <w:rFonts w:ascii="仿宋" w:eastAsia="仿宋" w:hAnsi="仿宋" w:hint="eastAsia"/>
          <w:sz w:val="28"/>
          <w:szCs w:val="28"/>
        </w:rPr>
        <w:t>政府性基金预算财政拨款收入支出决算表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8"/>
          <w:szCs w:val="28"/>
          <w:lang w:val="en-US" w:eastAsia="zh-CN"/>
        </w:rPr>
      </w:pPr>
      <w:r>
        <w:rPr>
          <w:rFonts w:ascii="仿宋" w:eastAsia="仿宋" w:hAnsi="仿宋" w:hint="eastAsia"/>
          <w:sz w:val="28"/>
          <w:szCs w:val="28"/>
        </w:rPr>
        <w:t>十二、</w:t>
      </w:r>
      <w:r>
        <w:rPr/>
        <w:fldChar w:fldCharType="begin"/>
      </w:r>
      <w:r>
        <w:instrText xml:space="preserve"> HYPERLINK \l "_Toc15396630" </w:instrText>
      </w:r>
      <w:r>
        <w:rPr/>
        <w:fldChar w:fldCharType="separate"/>
      </w:r>
      <w:r>
        <w:rPr>
          <w:rStyle w:val="style85"/>
          <w:rFonts w:ascii="仿宋" w:eastAsia="仿宋" w:hAnsi="仿宋" w:hint="eastAsia"/>
          <w:sz w:val="28"/>
          <w:szCs w:val="28"/>
        </w:rPr>
        <w:t>政府性基金预算财政拨款“三公”经费支出决算表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20"/>
        <w:rPr>
          <w:rFonts w:ascii="仿宋" w:cs="宋体" w:eastAsia="仿宋" w:hAnsi="仿宋" w:hint="eastAsia"/>
          <w:sz w:val="24"/>
          <w:lang w:val="en-US" w:eastAsia="zh-CN"/>
        </w:rPr>
      </w:pPr>
      <w:r>
        <w:rPr>
          <w:rFonts w:ascii="仿宋" w:eastAsia="仿宋" w:hAnsi="仿宋" w:hint="eastAsia"/>
          <w:sz w:val="28"/>
          <w:szCs w:val="28"/>
        </w:rPr>
        <w:t>十三、</w:t>
      </w:r>
      <w:r>
        <w:rPr/>
        <w:fldChar w:fldCharType="begin"/>
      </w:r>
      <w:r>
        <w:instrText xml:space="preserve"> HYPERLINK \l "_Toc15396631" </w:instrText>
      </w:r>
      <w:r>
        <w:rPr/>
        <w:fldChar w:fldCharType="separate"/>
      </w:r>
      <w:r>
        <w:rPr>
          <w:rStyle w:val="style85"/>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hint="eastAsia"/>
          <w:sz w:val="28"/>
          <w:szCs w:val="28"/>
          <w:lang w:val="en-US" w:eastAsia="zh-CN"/>
        </w:rPr>
        <w:t>3</w:t>
      </w:r>
      <w:r>
        <w:rPr>
          <w:rFonts w:ascii="仿宋" w:eastAsia="仿宋" w:hAnsi="仿宋"/>
          <w:sz w:val="28"/>
          <w:szCs w:val="28"/>
        </w:rPr>
        <w:fldChar w:fldCharType="end"/>
      </w:r>
      <w:r>
        <w:rPr>
          <w:rFonts w:ascii="仿宋" w:eastAsia="仿宋" w:hAnsi="仿宋" w:hint="eastAsia"/>
          <w:sz w:val="28"/>
          <w:szCs w:val="28"/>
          <w:lang w:val="en-US" w:eastAsia="zh-CN"/>
        </w:rPr>
        <w:t>0</w:t>
      </w:r>
    </w:p>
    <w:p>
      <w:pPr>
        <w:pStyle w:val="style0"/>
        <w:widowControl/>
        <w:jc w:val="left"/>
        <w:rPr>
          <w:rFonts w:ascii="仿宋" w:eastAsia="仿宋" w:hAnsi="仿宋"/>
          <w:color w:val="000000"/>
          <w:sz w:val="24"/>
        </w:rPr>
      </w:pPr>
      <w:r>
        <w:rPr>
          <w:rFonts w:ascii="仿宋" w:eastAsia="仿宋" w:hAnsi="仿宋"/>
          <w:color w:val="000000"/>
          <w:sz w:val="24"/>
        </w:rPr>
        <w:fldChar w:fldCharType="end"/>
      </w:r>
    </w:p>
    <w:bookmarkStart w:id="12" w:name="_Toc15396599"/>
    <w:bookmarkStart w:id="13" w:name="_Toc15377196"/>
    <w:p>
      <w:pPr>
        <w:pStyle w:val="style0"/>
        <w:widowControl/>
        <w:jc w:val="left"/>
        <w:rPr>
          <w:rFonts w:ascii="黑体" w:eastAsia="黑体" w:hAnsi="黑体"/>
          <w:bCs/>
          <w:kern w:val="44"/>
          <w:sz w:val="44"/>
          <w:szCs w:val="44"/>
        </w:rPr>
      </w:pPr>
      <w:r>
        <w:rPr>
          <w:rFonts w:ascii="黑体" w:eastAsia="黑体" w:hAnsi="黑体"/>
          <w:b/>
        </w:rPr>
        <w:br w:type="page"/>
      </w:r>
      <w:bookmarkStart w:id="14" w:name="_GoBack"/>
      <w:bookmarkEnd w:id="14"/>
    </w:p>
    <w:p>
      <w:pPr>
        <w:pStyle w:val="style1"/>
        <w:jc w:val="center"/>
        <w:rPr>
          <w:rStyle w:val="style4104"/>
          <w:rFonts w:ascii="黑体" w:eastAsia="黑体" w:hAnsi="黑体"/>
          <w:b/>
          <w:bCs w:val="false"/>
        </w:rPr>
      </w:pPr>
      <w:r>
        <w:rPr>
          <w:rFonts w:ascii="黑体" w:eastAsia="黑体" w:hAnsi="黑体" w:hint="eastAsia"/>
          <w:b w:val="false"/>
        </w:rPr>
        <w:t xml:space="preserve">第一部分 </w:t>
      </w:r>
      <w:r>
        <w:rPr>
          <w:rStyle w:val="style4104"/>
          <w:rFonts w:ascii="黑体" w:eastAsia="黑体" w:hAnsi="黑体" w:hint="eastAsia"/>
          <w:b w:val="false"/>
          <w:bCs w:val="false"/>
        </w:rPr>
        <w:t>部门概况</w:t>
      </w:r>
      <w:bookmarkEnd w:id="12"/>
      <w:bookmarkEnd w:id="13"/>
    </w:p>
    <w:p>
      <w:pPr>
        <w:pStyle w:val="style0"/>
        <w:widowControl/>
        <w:jc w:val="left"/>
        <w:rPr>
          <w:rFonts w:ascii="黑体" w:eastAsia="黑体"/>
          <w:color w:val="000000"/>
          <w:sz w:val="32"/>
          <w:szCs w:val="32"/>
        </w:rPr>
      </w:pPr>
    </w:p>
    <w:bookmarkStart w:id="15" w:name="_Toc15396600"/>
    <w:bookmarkStart w:id="16" w:name="_Toc15377197"/>
    <w:p>
      <w:pPr>
        <w:pStyle w:val="style2"/>
        <w:rPr>
          <w:rStyle w:val="style4105"/>
          <w:rFonts w:ascii="仿宋" w:eastAsia="仿宋" w:hAnsi="仿宋"/>
          <w:b w:val="false"/>
          <w:bCs w:val="false"/>
        </w:rPr>
      </w:pPr>
      <w:r>
        <w:rPr>
          <w:rFonts w:ascii="黑体" w:eastAsia="黑体" w:hAnsi="黑体" w:hint="eastAsia"/>
          <w:b w:val="false"/>
          <w:color w:val="000000"/>
        </w:rPr>
        <w:t>一、基</w:t>
      </w:r>
      <w:r>
        <w:rPr>
          <w:rStyle w:val="style4105"/>
          <w:rFonts w:ascii="黑体" w:eastAsia="黑体" w:hAnsi="黑体" w:hint="eastAsia"/>
          <w:b w:val="false"/>
          <w:bCs w:val="false"/>
        </w:rPr>
        <w:t>本职能及主要工作</w:t>
      </w:r>
      <w:bookmarkEnd w:id="15"/>
      <w:bookmarkEnd w:id="16"/>
    </w:p>
    <w:bookmarkStart w:id="17" w:name="_Toc15377198"/>
    <w:bookmarkStart w:id="18" w:name="_Toc15378445"/>
    <w:p>
      <w:pPr>
        <w:pStyle w:val="style66"/>
        <w:adjustRightInd w:val="false"/>
        <w:snapToGrid w:val="false"/>
        <w:spacing w:before="93" w:lineRule="exact" w:line="600"/>
        <w:ind w:firstLine="672" w:firstLineChars="210"/>
        <w:outlineLvl w:val="2"/>
        <w:rPr>
          <w:rFonts w:ascii="仿宋" w:cs="仿宋" w:eastAsia="仿宋" w:hAnsi="仿宋" w:hint="eastAsia"/>
          <w:bCs/>
          <w:color w:val="000000"/>
          <w:sz w:val="32"/>
          <w:szCs w:val="32"/>
        </w:rPr>
      </w:pPr>
      <w:r>
        <w:rPr>
          <w:rFonts w:ascii="仿宋" w:cs="仿宋" w:eastAsia="仿宋" w:hAnsi="仿宋" w:hint="eastAsia"/>
          <w:bCs/>
          <w:color w:val="000000"/>
          <w:sz w:val="32"/>
          <w:szCs w:val="32"/>
        </w:rPr>
        <w:t>（一）主要职能。</w:t>
      </w:r>
      <w:bookmarkEnd w:id="17"/>
      <w:bookmarkEnd w:id="18"/>
    </w:p>
    <w:p>
      <w:pPr>
        <w:pStyle w:val="style66"/>
        <w:adjustRightInd w:val="false"/>
        <w:snapToGrid w:val="false"/>
        <w:spacing w:lineRule="exact" w:line="580"/>
        <w:ind w:firstLine="672" w:firstLineChars="210"/>
        <w:rPr>
          <w:rFonts w:ascii="仿宋" w:cs="仿宋" w:eastAsia="仿宋" w:hAnsi="仿宋" w:hint="eastAsia"/>
          <w:bCs/>
          <w:sz w:val="32"/>
          <w:szCs w:val="32"/>
        </w:rPr>
      </w:pPr>
      <w:r>
        <w:rPr>
          <w:rFonts w:ascii="仿宋" w:cs="仿宋" w:eastAsia="仿宋" w:hAnsi="仿宋" w:hint="eastAsia"/>
          <w:bCs/>
          <w:sz w:val="32"/>
          <w:szCs w:val="32"/>
        </w:rPr>
        <w:t>县粮食局承担粮油储备管理和宏观调控职能。做好全县的粮油购销总量平衡工作，强化各级粮食储备管理，保证安排粮油供应，保持粮食市场和粮油价格的基本稳定。加快粮食流通体制改革，逐步建立健全统一、开放、竞争、有序的粮油市场体系，统一管理和安排政策性补贴款项，确保粮油购、销、调、存、加工业务的正常运行，管理军粮供应。</w:t>
      </w:r>
    </w:p>
    <w:bookmarkStart w:id="19" w:name="_Toc15378446"/>
    <w:bookmarkStart w:id="20" w:name="_Toc15377199"/>
    <w:p>
      <w:pPr>
        <w:pStyle w:val="style66"/>
        <w:adjustRightInd w:val="false"/>
        <w:snapToGrid w:val="false"/>
        <w:spacing w:before="93" w:lineRule="exact" w:line="600"/>
        <w:ind w:firstLine="320" w:firstLineChars="100"/>
        <w:outlineLvl w:val="2"/>
        <w:rPr>
          <w:rFonts w:ascii="仿宋" w:cs="仿宋" w:eastAsia="仿宋" w:hAnsi="仿宋" w:hint="eastAsia"/>
          <w:bCs/>
          <w:color w:val="000000"/>
          <w:sz w:val="32"/>
          <w:szCs w:val="32"/>
        </w:rPr>
      </w:pPr>
      <w:r>
        <w:rPr>
          <w:rFonts w:ascii="仿宋" w:cs="仿宋" w:eastAsia="仿宋" w:hAnsi="仿宋" w:hint="eastAsia"/>
          <w:bCs/>
          <w:color w:val="000000"/>
          <w:sz w:val="32"/>
          <w:szCs w:val="32"/>
        </w:rPr>
        <w:t>（二）2018年重点工作完成情况。</w:t>
      </w:r>
      <w:bookmarkEnd w:id="19"/>
      <w:bookmarkEnd w:id="20"/>
    </w:p>
    <w:p>
      <w:pPr>
        <w:pStyle w:val="style0"/>
        <w:numPr>
          <w:ilvl w:val="0"/>
          <w:numId w:val="0"/>
        </w:numPr>
        <w:spacing w:lineRule="exact" w:line="500"/>
        <w:ind w:firstLine="640" w:firstLineChars="200"/>
        <w:rPr/>
      </w:pPr>
      <w:r>
        <w:rPr>
          <w:rFonts w:ascii="仿宋" w:cs="仿宋" w:eastAsia="仿宋" w:hAnsi="仿宋" w:hint="eastAsia"/>
          <w:bCs/>
          <w:sz w:val="32"/>
          <w:szCs w:val="32"/>
          <w:lang w:val="en-US" w:eastAsia="zh-CN"/>
        </w:rPr>
        <w:t>1.</w:t>
      </w:r>
      <w:r>
        <w:rPr>
          <w:rFonts w:ascii="Times New Roman" w:cs="Times New Roman" w:eastAsia="楷体_GB2312" w:hAnsi="Times New Roman" w:hint="default"/>
          <w:color w:val="000000"/>
          <w:sz w:val="32"/>
          <w:szCs w:val="32"/>
        </w:rPr>
        <w:t>认真组织，全力实施</w:t>
      </w:r>
      <w:r>
        <w:rPr>
          <w:rFonts w:ascii="Times New Roman" w:cs="Times New Roman" w:eastAsia="楷体_GB2312" w:hAnsi="Times New Roman" w:hint="default"/>
          <w:color w:val="000000"/>
          <w:spacing w:val="2"/>
          <w:sz w:val="32"/>
          <w:szCs w:val="32"/>
        </w:rPr>
        <w:t>项目建设。一是</w:t>
      </w:r>
      <w:r>
        <w:rPr>
          <w:rFonts w:ascii="Times New Roman" w:cs="Times New Roman" w:eastAsia="仿宋_GB2312" w:hAnsi="Times New Roman" w:hint="default"/>
          <w:color w:val="000000"/>
          <w:sz w:val="32"/>
          <w:szCs w:val="32"/>
        </w:rPr>
        <w:t>稳步实施粮库智能化升级建设，全面提升现代粮食流通管理水平。具体在</w:t>
      </w:r>
      <w:r>
        <w:rPr>
          <w:rFonts w:ascii="Times New Roman" w:cs="Times New Roman" w:eastAsia="仿宋_GB2312" w:hAnsi="Times New Roman" w:hint="default"/>
          <w:color w:val="000000"/>
          <w:sz w:val="32"/>
          <w:szCs w:val="32"/>
        </w:rPr>
        <w:t>县粮食局办公室、县粮油收储公司、南木达粮站、上寨粮站、城关粮站五处进行建设，投入资金57万元。壤塘县粮库智能化升级建设项目目前已启动实施</w:t>
      </w:r>
      <w:r>
        <w:rPr>
          <w:rFonts w:ascii="Times New Roman" w:cs="Times New Roman" w:eastAsia="仿宋_GB2312" w:hAnsi="Times New Roman" w:hint="default"/>
          <w:color w:val="000000"/>
          <w:sz w:val="32"/>
          <w:szCs w:val="32"/>
          <w:lang w:eastAsia="zh-CN"/>
        </w:rPr>
        <w:t>；</w:t>
      </w:r>
      <w:r>
        <w:rPr>
          <w:rFonts w:ascii="Times New Roman" w:cs="Times New Roman" w:eastAsia="楷体_GB2312" w:hAnsi="Times New Roman" w:hint="default"/>
          <w:color w:val="000000"/>
          <w:spacing w:val="2"/>
          <w:sz w:val="32"/>
          <w:szCs w:val="32"/>
        </w:rPr>
        <w:t>二是</w:t>
      </w:r>
      <w:r>
        <w:rPr>
          <w:rFonts w:ascii="Times New Roman" w:cs="Times New Roman" w:eastAsia="仿宋_GB2312" w:hAnsi="Times New Roman" w:hint="default"/>
          <w:color w:val="000000"/>
          <w:spacing w:val="2"/>
          <w:sz w:val="32"/>
          <w:szCs w:val="32"/>
        </w:rPr>
        <w:t>投入18万元对上寨粮站进行风貌改造工程，其粮库墙面、屋顶沿街铺面均按照上寨风貌进行统一改造，现已全面完工并交付使用</w:t>
      </w:r>
      <w:r>
        <w:rPr>
          <w:rFonts w:ascii="Times New Roman" w:cs="Times New Roman" w:eastAsia="仿宋_GB2312" w:hAnsi="Times New Roman" w:hint="default"/>
          <w:color w:val="000000"/>
          <w:spacing w:val="2"/>
          <w:sz w:val="32"/>
          <w:szCs w:val="32"/>
          <w:lang w:eastAsia="zh-CN"/>
        </w:rPr>
        <w:t>；</w:t>
      </w:r>
      <w:r>
        <w:rPr>
          <w:rFonts w:ascii="Times New Roman" w:cs="Times New Roman" w:eastAsia="楷体_GB2312" w:hAnsi="Times New Roman" w:hint="default"/>
          <w:color w:val="000000"/>
          <w:spacing w:val="2"/>
          <w:sz w:val="32"/>
          <w:szCs w:val="32"/>
        </w:rPr>
        <w:t>三是</w:t>
      </w:r>
      <w:r>
        <w:rPr>
          <w:rFonts w:ascii="Times New Roman" w:cs="Times New Roman" w:eastAsia="仿宋_GB2312" w:hAnsi="Times New Roman" w:hint="default"/>
          <w:color w:val="000000"/>
          <w:spacing w:val="2"/>
          <w:sz w:val="32"/>
          <w:szCs w:val="32"/>
        </w:rPr>
        <w:t>投入9万余元修建南木达油菜收购仓库</w:t>
      </w:r>
      <w:r>
        <w:rPr>
          <w:rFonts w:ascii="Times New Roman" w:cs="Times New Roman" w:eastAsia="仿宋_GB2312" w:hAnsi="Times New Roman" w:hint="default"/>
          <w:color w:val="000000"/>
          <w:spacing w:val="2"/>
          <w:sz w:val="32"/>
          <w:szCs w:val="32"/>
        </w:rPr>
        <w:t>。</w:t>
      </w:r>
    </w:p>
    <w:p>
      <w:pPr>
        <w:pStyle w:val="style0"/>
        <w:ind w:firstLine="480" w:firstLineChars="150"/>
        <w:rPr/>
      </w:pPr>
      <w:r>
        <w:rPr>
          <w:rFonts w:ascii="Times New Roman" w:cs="Times New Roman" w:eastAsia="楷体_GB2312" w:hAnsi="Times New Roman" w:hint="default"/>
          <w:sz w:val="32"/>
          <w:szCs w:val="32"/>
          <w:lang w:val="en-US"/>
        </w:rPr>
        <w:t>2.</w:t>
      </w:r>
      <w:r>
        <w:rPr>
          <w:rFonts w:ascii="Times New Roman" w:cs="Times New Roman" w:eastAsia="楷体_GB2312" w:hAnsi="Times New Roman" w:hint="default"/>
          <w:sz w:val="32"/>
          <w:szCs w:val="32"/>
        </w:rPr>
        <w:t>专项扶贫，落实到位</w:t>
      </w:r>
      <w:r>
        <w:rPr>
          <w:rFonts w:ascii="Times New Roman" w:cs="Times New Roman" w:eastAsia="仿宋_GB2312" w:hAnsi="Times New Roman" w:hint="default"/>
          <w:sz w:val="32"/>
          <w:szCs w:val="32"/>
        </w:rPr>
        <w:t>。</w:t>
      </w:r>
      <w:r>
        <w:rPr>
          <w:rFonts w:ascii="Times New Roman" w:cs="Times New Roman" w:eastAsia="仿宋_GB2312" w:hAnsi="Times New Roman" w:hint="default"/>
          <w:sz w:val="32"/>
          <w:szCs w:val="32"/>
        </w:rPr>
        <w:t>为切实巩固提升我县扶贫开发和综合防治大骨节病试点工作成果，</w:t>
      </w:r>
      <w:r>
        <w:rPr>
          <w:rFonts w:ascii="Times New Roman" w:cs="Times New Roman" w:eastAsia="仿宋_GB2312" w:hAnsi="Times New Roman" w:hint="default"/>
          <w:color w:val="000000"/>
          <w:sz w:val="32"/>
          <w:szCs w:val="32"/>
        </w:rPr>
        <w:t>扎实服务好广大农牧民群众，让大骨节病患者感受到党和政府的关心、关怀。</w:t>
      </w:r>
      <w:r>
        <w:rPr>
          <w:rFonts w:ascii="Times New Roman" w:cs="Times New Roman" w:eastAsia="仿宋_GB2312" w:hAnsi="Times New Roman" w:hint="default"/>
          <w:sz w:val="32"/>
          <w:szCs w:val="32"/>
        </w:rPr>
        <w:t>我局结合部门实际，制定了《2018年度大骨节病区群众脱贫巩固提升工作实施方案》，</w:t>
      </w:r>
      <w:r>
        <w:rPr>
          <w:rFonts w:ascii="Times New Roman" w:cs="Times New Roman" w:eastAsia="仿宋_GB2312" w:hAnsi="Times New Roman" w:hint="default"/>
          <w:sz w:val="32"/>
          <w:szCs w:val="32"/>
        </w:rPr>
        <w:t xml:space="preserve"> </w:t>
      </w:r>
      <w:r>
        <w:rPr>
          <w:rFonts w:ascii="Times New Roman" w:cs="Times New Roman" w:eastAsia="仿宋_GB2312" w:hAnsi="Times New Roman" w:hint="default"/>
          <w:sz w:val="32"/>
          <w:szCs w:val="32"/>
        </w:rPr>
        <w:t>2018年度大骨节病区群众脱贫巩固提升项目已于</w:t>
      </w:r>
      <w:r>
        <w:rPr>
          <w:rFonts w:ascii="Times New Roman" w:cs="Times New Roman" w:eastAsia="仿宋_GB2312" w:hAnsi="Times New Roman" w:hint="default"/>
          <w:sz w:val="32"/>
          <w:szCs w:val="32"/>
        </w:rPr>
        <w:t xml:space="preserve"> </w:t>
      </w:r>
      <w:r>
        <w:rPr>
          <w:rFonts w:ascii="Times New Roman" w:cs="Times New Roman" w:eastAsia="仿宋_GB2312" w:hAnsi="Times New Roman" w:hint="default"/>
          <w:sz w:val="32"/>
          <w:szCs w:val="32"/>
        </w:rPr>
        <w:t>月完成招投标工作，投标总价为787.129万元</w:t>
      </w:r>
      <w:r>
        <w:rPr>
          <w:rFonts w:ascii="Times New Roman" w:cs="Times New Roman" w:eastAsia="仿宋_GB2312" w:hAnsi="Times New Roman" w:hint="default"/>
          <w:sz w:val="32"/>
          <w:szCs w:val="32"/>
          <w:lang w:eastAsia="zh-CN"/>
        </w:rPr>
        <w:t>，</w:t>
      </w:r>
      <w:r>
        <w:rPr>
          <w:rFonts w:ascii="仿宋" w:eastAsia="仿宋" w:hAnsi="仿宋" w:hint="default"/>
          <w:sz w:val="32"/>
          <w:szCs w:val="32"/>
        </w:rPr>
        <w:t>目前已支付70%的款项计550.99万元，将在12月底前全面完成。</w:t>
      </w:r>
    </w:p>
    <w:p>
      <w:pPr>
        <w:pStyle w:val="style0"/>
        <w:spacing w:lineRule="exact" w:line="-560"/>
        <w:ind w:firstLine="320" w:firstLineChars="100"/>
        <w:jc w:val="both"/>
        <w:rPr>
          <w:rFonts w:ascii="Times New Roman" w:cs="Times New Roman" w:eastAsia="仿宋_GB2312" w:hAnsi="Times New Roman" w:hint="default"/>
          <w:spacing w:val="2"/>
          <w:sz w:val="32"/>
          <w:szCs w:val="32"/>
        </w:rPr>
      </w:pPr>
      <w:r>
        <w:rPr>
          <w:rFonts w:ascii="Times New Roman" w:cs="Times New Roman" w:eastAsia="楷体_GB2312" w:hAnsi="Times New Roman" w:hint="default"/>
          <w:spacing w:val="2"/>
          <w:sz w:val="32"/>
          <w:szCs w:val="32"/>
          <w:lang w:val="en-US"/>
        </w:rPr>
        <w:t>3.</w:t>
      </w:r>
      <w:r>
        <w:rPr>
          <w:rFonts w:ascii="Times New Roman" w:cs="Times New Roman" w:eastAsia="楷体_GB2312" w:hAnsi="Times New Roman" w:hint="default"/>
          <w:spacing w:val="2"/>
          <w:sz w:val="32"/>
          <w:szCs w:val="32"/>
        </w:rPr>
        <w:t>有序开展</w:t>
      </w:r>
      <w:r>
        <w:rPr>
          <w:rFonts w:ascii="Times New Roman" w:cs="Times New Roman" w:eastAsia="楷体_GB2312" w:hAnsi="Times New Roman" w:hint="default"/>
          <w:sz w:val="32"/>
          <w:szCs w:val="32"/>
        </w:rPr>
        <w:t>，高效完成收购工作</w:t>
      </w:r>
      <w:r>
        <w:rPr>
          <w:rFonts w:ascii="Times New Roman" w:cs="Times New Roman" w:eastAsia="楷体_GB2312" w:hAnsi="Times New Roman" w:hint="default"/>
          <w:spacing w:val="2"/>
          <w:sz w:val="32"/>
          <w:szCs w:val="32"/>
        </w:rPr>
        <w:t>。</w:t>
      </w:r>
      <w:r>
        <w:rPr>
          <w:rFonts w:ascii="Times New Roman" w:cs="Times New Roman" w:eastAsia="仿宋_GB2312" w:hAnsi="Times New Roman" w:hint="default"/>
          <w:spacing w:val="2"/>
          <w:sz w:val="32"/>
          <w:szCs w:val="32"/>
        </w:rPr>
        <w:t>今年三月下旬，我局认真组织粮油收储公司及上寨片区粮站点，严格按照依质论价、优质优价的原则，积极开展油菜籽收购工作。在收购过程中，收购人员积极宣传国家粮油收购政策，引导农民适时适价销售农作物。同时，我局还根据站点库存实际及油菜籽生产量，强化分类指导，因地制宜、因站施策，科学制定仓储方案，多措并举增强菜籽收储科学合理。据统计，县粮油收储公司在上寨片区共收购油菜籽约</w:t>
      </w:r>
      <w:r>
        <w:rPr>
          <w:rFonts w:ascii="Times New Roman" w:cs="Times New Roman" w:eastAsia="仿宋_GB2312" w:hAnsi="Times New Roman" w:hint="default"/>
          <w:color w:val="ff0000"/>
          <w:spacing w:val="2"/>
          <w:sz w:val="32"/>
          <w:szCs w:val="32"/>
        </w:rPr>
        <w:t>16</w:t>
      </w:r>
      <w:r>
        <w:rPr>
          <w:rFonts w:ascii="Times New Roman" w:cs="Times New Roman" w:eastAsia="仿宋_GB2312" w:hAnsi="Times New Roman" w:hint="default"/>
          <w:spacing w:val="2"/>
          <w:sz w:val="32"/>
          <w:szCs w:val="32"/>
        </w:rPr>
        <w:t>万斤。</w:t>
      </w:r>
    </w:p>
    <w:p>
      <w:pPr>
        <w:pStyle w:val="style0"/>
        <w:autoSpaceDE w:val="false"/>
        <w:spacing w:lineRule="exact" w:line="-560"/>
        <w:ind w:firstLine="640" w:firstLineChars="200"/>
        <w:jc w:val="both"/>
        <w:rPr/>
      </w:pPr>
      <w:r>
        <w:rPr>
          <w:rFonts w:ascii="Times New Roman" w:cs="Times New Roman" w:eastAsia="楷体_GB2312" w:hAnsi="Times New Roman" w:hint="default"/>
          <w:spacing w:val="2"/>
          <w:sz w:val="32"/>
          <w:szCs w:val="32"/>
          <w:lang w:val="en-US"/>
        </w:rPr>
        <w:t>4.</w:t>
      </w:r>
      <w:r>
        <w:rPr>
          <w:rFonts w:ascii="Times New Roman" w:cs="Times New Roman" w:eastAsia="楷体_GB2312" w:hAnsi="Times New Roman" w:hint="default"/>
          <w:spacing w:val="2"/>
          <w:sz w:val="32"/>
          <w:szCs w:val="32"/>
        </w:rPr>
        <w:t>积极作为，</w:t>
      </w:r>
      <w:r>
        <w:rPr>
          <w:rFonts w:ascii="Times New Roman" w:cs="Times New Roman" w:eastAsia="楷体_GB2312" w:hAnsi="Times New Roman" w:hint="default"/>
          <w:spacing w:val="2"/>
          <w:sz w:val="32"/>
          <w:szCs w:val="32"/>
        </w:rPr>
        <w:t>无偿划拨粮站用地。</w:t>
      </w:r>
      <w:r>
        <w:rPr>
          <w:rFonts w:ascii="Times New Roman" w:cs="Times New Roman" w:eastAsia="仿宋_GB2312" w:hAnsi="Times New Roman" w:hint="default"/>
          <w:spacing w:val="2"/>
          <w:sz w:val="32"/>
          <w:szCs w:val="32"/>
        </w:rPr>
        <w:t>今年我县将接受县域内义务教育基本均衡发展省级验收和国家认定，因吾依乡中心校运动场地达不到验收标准，为确保验收顺利通过，我局无偿将吾依乡粮站1383平米用地划拨给该校作为运动场地。</w:t>
      </w:r>
    </w:p>
    <w:p>
      <w:pPr>
        <w:pStyle w:val="style0"/>
        <w:ind w:firstLine="640" w:firstLineChars="200"/>
        <w:jc w:val="both"/>
        <w:rPr/>
      </w:pPr>
      <w:r>
        <w:rPr>
          <w:rFonts w:ascii="Times New Roman" w:cs="Times New Roman" w:eastAsia="楷体_GB2312" w:hAnsi="Times New Roman" w:hint="default"/>
          <w:spacing w:val="2"/>
          <w:sz w:val="32"/>
          <w:szCs w:val="32"/>
          <w:lang w:val="en-US"/>
        </w:rPr>
        <w:t>5.</w:t>
      </w:r>
      <w:r>
        <w:rPr>
          <w:rFonts w:ascii="Times New Roman" w:cs="Times New Roman" w:eastAsia="楷体_GB2312" w:hAnsi="Times New Roman" w:hint="default"/>
          <w:spacing w:val="2"/>
          <w:sz w:val="32"/>
          <w:szCs w:val="32"/>
        </w:rPr>
        <w:t>拓宽渠道，加强绿色发展。</w:t>
      </w:r>
      <w:r>
        <w:rPr>
          <w:rFonts w:ascii="Times New Roman" w:cs="Times New Roman" w:eastAsia="仿宋_GB2312" w:hAnsi="Times New Roman" w:hint="default"/>
          <w:spacing w:val="2"/>
          <w:sz w:val="32"/>
          <w:szCs w:val="32"/>
        </w:rPr>
        <w:t>县粮食局在</w:t>
      </w:r>
      <w:r>
        <w:rPr>
          <w:rFonts w:ascii="Times New Roman" w:cs="Times New Roman" w:eastAsia="仿宋_GB2312" w:hAnsi="Times New Roman" w:hint="default"/>
          <w:sz w:val="32"/>
          <w:szCs w:val="32"/>
        </w:rPr>
        <w:t>做大做强“壤巴拉”高原绿色菜籽油品牌上狠下功夫，以绿色、生态为发展战略，狠抓企业监管、产品质量、售后服务。已于9月3日</w:t>
      </w:r>
      <w:r>
        <w:rPr>
          <w:rFonts w:ascii="Times New Roman" w:cs="Times New Roman" w:eastAsia="仿宋_GB2312" w:hAnsi="Times New Roman" w:hint="default"/>
          <w:spacing w:val="2"/>
          <w:sz w:val="32"/>
          <w:szCs w:val="32"/>
        </w:rPr>
        <w:t>完成东汽集团订购的6499件壤巴拉高原绿色菜籽油交付，收到90余万元的货款。</w:t>
      </w:r>
    </w:p>
    <w:p>
      <w:pPr>
        <w:pStyle w:val="style0"/>
        <w:ind w:firstLine="640" w:firstLineChars="200"/>
        <w:jc w:val="both"/>
        <w:rPr>
          <w:rFonts w:ascii="仿宋" w:cs="仿宋" w:eastAsia="仿宋" w:hAnsi="仿宋" w:hint="eastAsia"/>
          <w:sz w:val="32"/>
          <w:szCs w:val="32"/>
        </w:rPr>
      </w:pPr>
      <w:r>
        <w:rPr>
          <w:rFonts w:ascii="Times New Roman" w:cs="Times New Roman" w:eastAsia="楷体_GB2312" w:hAnsi="Times New Roman" w:hint="default"/>
          <w:sz w:val="32"/>
          <w:szCs w:val="32"/>
          <w:lang w:val="en-US"/>
        </w:rPr>
        <w:t>6.</w:t>
      </w:r>
      <w:r>
        <w:rPr>
          <w:rFonts w:ascii="Times New Roman" w:cs="Times New Roman" w:eastAsia="楷体_GB2312" w:hAnsi="Times New Roman" w:hint="default"/>
          <w:sz w:val="32"/>
          <w:szCs w:val="32"/>
        </w:rPr>
        <w:t>用心用情，力推脱贫攻坚。</w:t>
      </w:r>
      <w:r>
        <w:rPr>
          <w:rFonts w:ascii="Times New Roman" w:cs="Times New Roman" w:eastAsia="楷体_GB2312" w:hAnsi="Times New Roman" w:hint="default"/>
          <w:kern w:val="0"/>
          <w:sz w:val="32"/>
          <w:szCs w:val="32"/>
        </w:rPr>
        <w:t>一是</w:t>
      </w:r>
      <w:r>
        <w:rPr>
          <w:rFonts w:ascii="Times New Roman" w:cs="Times New Roman" w:eastAsia="仿宋_GB2312" w:hAnsi="Times New Roman" w:hint="default"/>
          <w:sz w:val="32"/>
          <w:szCs w:val="32"/>
        </w:rPr>
        <w:t>宣传深入，精神入心。</w:t>
      </w:r>
      <w:r>
        <w:rPr>
          <w:rFonts w:ascii="Times New Roman" w:cs="Times New Roman" w:eastAsia="仿宋_GB2312" w:hAnsi="Times New Roman" w:hint="default"/>
          <w:sz w:val="32"/>
          <w:szCs w:val="32"/>
        </w:rPr>
        <w:t>经常深入到该村召开扶贫工作专题会议，向村“两委”、村党员以及精准扶贫户传达省、州、县相关扶贫工作会议、文件精神，共同学习国家法律法规以及党的十九大精神和习近平新时代中国特色社会主义思想“四川篇”。局主要负责人还利用与该村“七一”共建活动、农牧民夜色校平台等结合</w:t>
      </w:r>
      <w:r>
        <w:rPr>
          <w:rFonts w:ascii="Times New Roman" w:cs="Times New Roman" w:eastAsia="仿宋_GB2312" w:hAnsi="Times New Roman" w:hint="default"/>
          <w:color w:val="000000"/>
          <w:sz w:val="32"/>
          <w:szCs w:val="32"/>
        </w:rPr>
        <w:t>工作实际、个人经历上党课；</w:t>
      </w:r>
      <w:r>
        <w:rPr>
          <w:rFonts w:ascii="Times New Roman" w:cs="Times New Roman" w:eastAsia="楷体_GB2312" w:hAnsi="Times New Roman" w:hint="default"/>
          <w:color w:val="000000"/>
          <w:sz w:val="32"/>
          <w:szCs w:val="32"/>
        </w:rPr>
        <w:t>二是</w:t>
      </w:r>
      <w:r>
        <w:rPr>
          <w:rFonts w:ascii="Times New Roman" w:cs="Times New Roman" w:eastAsia="仿宋_GB2312" w:hAnsi="Times New Roman" w:hint="default"/>
          <w:color w:val="000000"/>
          <w:sz w:val="32"/>
          <w:szCs w:val="32"/>
        </w:rPr>
        <w:t>爱心帮扶，暖人心窝。</w:t>
      </w:r>
      <w:r>
        <w:rPr>
          <w:rFonts w:ascii="Times New Roman" w:cs="Times New Roman" w:eastAsia="仿宋_GB2312" w:hAnsi="Times New Roman" w:hint="default"/>
          <w:color w:val="000000"/>
          <w:sz w:val="32"/>
          <w:szCs w:val="32"/>
        </w:rPr>
        <w:t>坚持节日前后开展集中调研走访和爱心慰问活动，构建帮扶长效机制。积极组织该村开展庆“三八”、“六一”、“七一”等活动。看望联系的贫困户和僧人时，送去了粮油和电热毯、毛毯等慰问物品，</w:t>
      </w:r>
      <w:r>
        <w:rPr>
          <w:rFonts w:ascii="Times New Roman" w:cs="Times New Roman" w:eastAsia="仿宋_GB2312" w:hAnsi="Times New Roman" w:hint="default"/>
          <w:color w:val="000000"/>
          <w:spacing w:val="2"/>
          <w:sz w:val="32"/>
          <w:szCs w:val="32"/>
        </w:rPr>
        <w:t>总价值约为</w:t>
      </w:r>
      <w:r>
        <w:rPr>
          <w:rFonts w:ascii="Times New Roman" w:cs="Times New Roman" w:eastAsia="仿宋_GB2312" w:hAnsi="Times New Roman" w:hint="default"/>
          <w:color w:val="ff0000"/>
          <w:spacing w:val="2"/>
          <w:sz w:val="32"/>
          <w:szCs w:val="32"/>
        </w:rPr>
        <w:t>12000</w:t>
      </w:r>
      <w:r>
        <w:rPr>
          <w:rFonts w:ascii="Times New Roman" w:cs="Times New Roman" w:eastAsia="仿宋_GB2312" w:hAnsi="Times New Roman" w:hint="default"/>
          <w:color w:val="000000"/>
          <w:spacing w:val="2"/>
          <w:sz w:val="32"/>
          <w:szCs w:val="32"/>
        </w:rPr>
        <w:t>元</w:t>
      </w:r>
      <w:r>
        <w:rPr>
          <w:rFonts w:ascii="Times New Roman" w:cs="Times New Roman" w:eastAsia="仿宋_GB2312" w:hAnsi="Times New Roman" w:hint="default"/>
          <w:color w:val="000000"/>
          <w:spacing w:val="2"/>
          <w:sz w:val="32"/>
          <w:szCs w:val="32"/>
          <w:lang w:eastAsia="zh-CN"/>
        </w:rPr>
        <w:t>，</w:t>
      </w:r>
      <w:r>
        <w:rPr>
          <w:rFonts w:ascii="Times New Roman" w:cs="Times New Roman" w:eastAsia="仿宋_GB2312" w:hAnsi="Times New Roman" w:hint="default"/>
          <w:color w:val="000000"/>
          <w:kern w:val="0"/>
          <w:sz w:val="32"/>
          <w:szCs w:val="32"/>
        </w:rPr>
        <w:t>局下属粮油收储公司部分职工还主动请缨联系贫困户。我局</w:t>
      </w:r>
      <w:r>
        <w:rPr>
          <w:rFonts w:ascii="Times New Roman" w:cs="Times New Roman" w:eastAsia="仿宋_GB2312" w:hAnsi="Times New Roman" w:hint="default"/>
          <w:color w:val="000000"/>
          <w:sz w:val="32"/>
          <w:szCs w:val="32"/>
        </w:rPr>
        <w:t>还积极争取爱心企业的支柱，为贫困户解决实际困难</w:t>
      </w:r>
      <w:r>
        <w:rPr>
          <w:rFonts w:ascii="Times New Roman" w:cs="Times New Roman" w:eastAsia="仿宋_GB2312" w:hAnsi="Times New Roman" w:hint="default"/>
          <w:color w:val="000000"/>
          <w:sz w:val="32"/>
          <w:szCs w:val="32"/>
          <w:lang w:eastAsia="zh-CN"/>
        </w:rPr>
        <w:t>；</w:t>
      </w:r>
      <w:r>
        <w:rPr>
          <w:rFonts w:ascii="Times New Roman" w:cs="Times New Roman" w:eastAsia="楷体_GB2312" w:hAnsi="Times New Roman" w:hint="default"/>
          <w:sz w:val="32"/>
          <w:szCs w:val="32"/>
        </w:rPr>
        <w:t>三是</w:t>
      </w:r>
      <w:r>
        <w:rPr>
          <w:rFonts w:ascii="Times New Roman" w:cs="Times New Roman" w:eastAsia="仿宋_GB2312" w:hAnsi="Times New Roman" w:hint="default"/>
          <w:sz w:val="32"/>
          <w:szCs w:val="32"/>
        </w:rPr>
        <w:t>积极参与、融入其中。</w:t>
      </w:r>
      <w:r>
        <w:rPr>
          <w:rFonts w:ascii="Times New Roman" w:cs="Times New Roman" w:eastAsia="仿宋_GB2312" w:hAnsi="Times New Roman" w:hint="default"/>
          <w:sz w:val="32"/>
          <w:szCs w:val="32"/>
        </w:rPr>
        <w:t>县粮食局</w:t>
      </w:r>
      <w:r>
        <w:rPr>
          <w:rFonts w:ascii="Times New Roman" w:cs="Times New Roman" w:eastAsia="仿宋_GB2312" w:hAnsi="Times New Roman" w:hint="default"/>
          <w:kern w:val="0"/>
          <w:sz w:val="32"/>
          <w:szCs w:val="32"/>
        </w:rPr>
        <w:t>紧盯脱贫摘帽考核标准，全面摸清建档立卡贫困户预脱贫情况。</w:t>
      </w:r>
      <w:r>
        <w:rPr>
          <w:rFonts w:ascii="Times New Roman" w:cs="Times New Roman" w:eastAsia="仿宋_GB2312" w:hAnsi="Times New Roman" w:hint="default"/>
          <w:sz w:val="32"/>
          <w:szCs w:val="32"/>
        </w:rPr>
        <w:t>期间，扎实开展控辍保学工作，</w:t>
      </w:r>
      <w:r>
        <w:rPr>
          <w:rFonts w:ascii="Times New Roman" w:cs="Times New Roman" w:eastAsia="仿宋_GB2312" w:hAnsi="Times New Roman" w:hint="default"/>
          <w:sz w:val="32"/>
          <w:szCs w:val="32"/>
        </w:rPr>
        <w:t>通过明确专人负责，把责任落实到人，</w:t>
      </w:r>
      <w:r>
        <w:rPr>
          <w:rFonts w:ascii="Times New Roman" w:cs="Times New Roman" w:eastAsia="仿宋_GB2312" w:hAnsi="Times New Roman" w:hint="default"/>
          <w:color w:val="000000"/>
          <w:kern w:val="0"/>
          <w:sz w:val="32"/>
          <w:szCs w:val="32"/>
        </w:rPr>
        <w:t>对未入学、辍学和未录入学籍系统的适龄儿童进行了调查，并对学生的家庭情况和实际困难作了详细记录。</w:t>
      </w:r>
      <w:r>
        <w:rPr>
          <w:rFonts w:ascii="Times New Roman" w:cs="Times New Roman" w:eastAsia="仿宋_GB2312" w:hAnsi="Times New Roman" w:hint="default"/>
          <w:kern w:val="0"/>
          <w:sz w:val="32"/>
          <w:szCs w:val="32"/>
        </w:rPr>
        <w:t>今年，</w:t>
      </w:r>
      <w:r>
        <w:rPr>
          <w:rFonts w:ascii="Times New Roman" w:cs="Times New Roman" w:eastAsia="仿宋_GB2312" w:hAnsi="Times New Roman" w:hint="default"/>
          <w:color w:val="222222"/>
          <w:sz w:val="32"/>
          <w:szCs w:val="32"/>
        </w:rPr>
        <w:t>为加快脱贫攻坚步伐，</w:t>
      </w:r>
      <w:r>
        <w:rPr>
          <w:rFonts w:ascii="Times New Roman" w:cs="Times New Roman" w:eastAsia="仿宋_GB2312" w:hAnsi="Times New Roman" w:hint="default"/>
          <w:kern w:val="0"/>
          <w:sz w:val="32"/>
          <w:szCs w:val="32"/>
        </w:rPr>
        <w:t>与该村共谋发展集体经济事宜，</w:t>
      </w:r>
      <w:r>
        <w:rPr>
          <w:rFonts w:ascii="Times New Roman" w:cs="Times New Roman" w:eastAsia="仿宋_GB2312" w:hAnsi="Times New Roman" w:hint="default"/>
          <w:color w:val="222222"/>
          <w:sz w:val="32"/>
          <w:szCs w:val="32"/>
        </w:rPr>
        <w:t>经过反复调查研究确定了该村集体经济为油菜种植，</w:t>
      </w:r>
      <w:r>
        <w:rPr>
          <w:rFonts w:ascii="Times New Roman" w:cs="Times New Roman" w:eastAsia="仿宋_GB2312" w:hAnsi="Times New Roman" w:hint="default"/>
          <w:kern w:val="0"/>
          <w:sz w:val="32"/>
          <w:szCs w:val="32"/>
        </w:rPr>
        <w:t>种植面积约100亩</w:t>
      </w:r>
      <w:r>
        <w:rPr>
          <w:rFonts w:ascii="Times New Roman" w:cs="Times New Roman" w:eastAsia="仿宋_GB2312" w:hAnsi="Times New Roman" w:hint="default"/>
          <w:kern w:val="0"/>
          <w:sz w:val="32"/>
          <w:szCs w:val="32"/>
          <w:lang w:eastAsia="zh-CN"/>
        </w:rPr>
        <w:t>。</w:t>
      </w:r>
    </w:p>
    <w:p>
      <w:pPr>
        <w:pStyle w:val="style0"/>
        <w:spacing w:lineRule="exact" w:line="560"/>
        <w:ind w:firstLine="640" w:firstLineChars="200"/>
        <w:rPr>
          <w:rFonts w:ascii="仿宋" w:cs="仿宋" w:eastAsia="仿宋" w:hAnsi="仿宋" w:hint="eastAsia"/>
          <w:bCs/>
          <w:sz w:val="32"/>
          <w:szCs w:val="32"/>
        </w:rPr>
      </w:pPr>
      <w:r>
        <w:rPr>
          <w:rFonts w:ascii="仿宋" w:cs="仿宋" w:eastAsia="仿宋" w:hAnsi="仿宋" w:hint="default"/>
          <w:bCs/>
          <w:sz w:val="32"/>
          <w:szCs w:val="32"/>
          <w:lang w:val="en-US"/>
        </w:rPr>
        <w:t>7.</w:t>
      </w:r>
      <w:r>
        <w:rPr>
          <w:rFonts w:ascii="仿宋" w:cs="仿宋" w:eastAsia="仿宋" w:hAnsi="仿宋" w:hint="eastAsia"/>
          <w:bCs/>
          <w:sz w:val="32"/>
          <w:szCs w:val="32"/>
        </w:rPr>
        <w:t>紧抓安全</w:t>
      </w:r>
    </w:p>
    <w:p>
      <w:pPr>
        <w:pStyle w:val="style0"/>
        <w:spacing w:lineRule="exact" w:line="600"/>
        <w:ind w:firstLine="640" w:firstLineChars="200"/>
        <w:rPr>
          <w:rFonts w:ascii="仿宋" w:cs="仿宋" w:eastAsia="仿宋" w:hAnsi="仿宋" w:hint="eastAsia"/>
          <w:sz w:val="32"/>
          <w:szCs w:val="32"/>
        </w:rPr>
      </w:pPr>
      <w:r>
        <w:rPr>
          <w:rFonts w:ascii="仿宋" w:cs="仿宋" w:eastAsia="仿宋" w:hAnsi="仿宋" w:hint="eastAsia"/>
          <w:sz w:val="32"/>
          <w:szCs w:val="32"/>
        </w:rPr>
        <w:t>建立健全“一岗双责”为核心的安全生产责任体系，坚持24小时值班制度，采取针对性措施，落实责任，发动群众，狠抓预防，严查火灾隐患，确保我局安全生产工作再上新台阶。（1）切实加大对办公楼、住宿楼的安全隐患排查，重点对场所建筑内的防火分区、安全出口、疏散通道、火灾事故照明、疏散指示标志进行重点检查整治。（2）加强各粮站、粮点安全检查，做到常检查、勤查看，消除多种安全隐患，将安全事故控制为零，把平安企业建设落到实处。在汛期及重大节日期间，还特别加强了安全生产工作，加大各粮站巡查力度，不定时不定点对三站三点进行安全隐患大排查，对查出的安全隐患要求立即进行整改，将隐患消除在萌芽状态。</w:t>
      </w:r>
    </w:p>
    <w:p>
      <w:pPr>
        <w:pStyle w:val="style0"/>
        <w:spacing w:lineRule="exact" w:line="560"/>
        <w:ind w:left="643"/>
        <w:rPr>
          <w:rFonts w:ascii="仿宋" w:cs="仿宋" w:eastAsia="仿宋" w:hAnsi="仿宋" w:hint="eastAsia"/>
          <w:bCs/>
          <w:sz w:val="32"/>
          <w:szCs w:val="32"/>
        </w:rPr>
      </w:pPr>
      <w:r>
        <w:rPr>
          <w:rFonts w:ascii="仿宋" w:cs="仿宋" w:eastAsia="仿宋" w:hAnsi="仿宋" w:hint="default"/>
          <w:bCs/>
          <w:sz w:val="32"/>
          <w:szCs w:val="32"/>
          <w:lang w:val="en-US"/>
        </w:rPr>
        <w:t>8.</w:t>
      </w:r>
      <w:r>
        <w:rPr>
          <w:rFonts w:ascii="仿宋" w:cs="仿宋" w:eastAsia="仿宋" w:hAnsi="仿宋" w:hint="eastAsia"/>
          <w:bCs/>
          <w:sz w:val="32"/>
          <w:szCs w:val="32"/>
        </w:rPr>
        <w:t>规范管理，做好清仓查库。</w:t>
      </w:r>
    </w:p>
    <w:p>
      <w:pPr>
        <w:pStyle w:val="style0"/>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rPr>
        <w:t>进一步加大仓库规范化管理，从思想认识上规范，明确突出“精细”二字，加大规范对工作过程的管理，建立健全仓储管理相关制度，并渗透到每一个仓储业务环节中。目前全县已更换仓库粮情公示栏11张，并重点对各粮站开展库存粮食数量检查、财务检查、质量检查、州和县储备粮轮换管理情况检查、成品粮库存情况检查、政策性粮食财政补贴资金拨补情况检查等方面工作。按照“有仓必到，有粮必查，有账必核、查必彻底”的原则，全面准确掌握全县粮食库存的真实情况。</w:t>
      </w:r>
    </w:p>
    <w:bookmarkStart w:id="21" w:name="_Toc15377200"/>
    <w:bookmarkStart w:id="22" w:name="_Toc15396601"/>
    <w:p>
      <w:pPr>
        <w:pStyle w:val="style2"/>
        <w:rPr>
          <w:rStyle w:val="style4105"/>
          <w:b w:val="false"/>
          <w:bCs w:val="false"/>
        </w:rPr>
      </w:pPr>
      <w:r>
        <w:rPr>
          <w:rFonts w:ascii="黑体" w:eastAsia="黑体" w:hint="eastAsia"/>
          <w:b w:val="false"/>
          <w:color w:val="000000"/>
        </w:rPr>
        <w:t>二、</w:t>
      </w:r>
      <w:r>
        <w:rPr>
          <w:rFonts w:ascii="黑体" w:eastAsia="黑体" w:hAnsi="黑体" w:hint="eastAsia"/>
          <w:b w:val="false"/>
          <w:color w:val="000000"/>
        </w:rPr>
        <w:t>机</w:t>
      </w:r>
      <w:r>
        <w:rPr>
          <w:rStyle w:val="style4105"/>
          <w:rFonts w:ascii="黑体" w:eastAsia="黑体" w:hAnsi="黑体" w:hint="eastAsia"/>
          <w:b w:val="false"/>
          <w:bCs w:val="false"/>
        </w:rPr>
        <w:t>构设置</w:t>
      </w:r>
      <w:bookmarkEnd w:id="21"/>
      <w:bookmarkEnd w:id="22"/>
    </w:p>
    <w:p>
      <w:pPr>
        <w:pStyle w:val="style0"/>
        <w:widowControl/>
        <w:ind w:firstLine="640" w:firstLineChars="200"/>
        <w:jc w:val="left"/>
        <w:rPr>
          <w:rFonts w:ascii="仿宋" w:eastAsia="仿宋" w:hAnsi="仿宋"/>
          <w:color w:val="000000"/>
          <w:kern w:val="0"/>
          <w:sz w:val="32"/>
          <w:szCs w:val="32"/>
        </w:rPr>
      </w:pPr>
      <w:r>
        <w:rPr>
          <w:rFonts w:ascii="仿宋" w:cs="仿宋" w:eastAsia="仿宋" w:hAnsi="仿宋" w:hint="eastAsia"/>
          <w:color w:val="000000"/>
          <w:sz w:val="32"/>
          <w:szCs w:val="32"/>
          <w:lang w:eastAsia="zh-CN"/>
        </w:rPr>
        <w:t>壤塘县粮食局是参照公务员管理的事业单位，是一级预算单位。</w:t>
      </w:r>
      <w:r>
        <w:rPr>
          <w:rFonts w:ascii="仿宋" w:eastAsia="仿宋" w:hAnsi="仿宋"/>
          <w:color w:val="000000"/>
          <w:sz w:val="32"/>
          <w:szCs w:val="32"/>
        </w:rPr>
        <w:br w:type="page"/>
      </w:r>
    </w:p>
    <w:bookmarkStart w:id="23" w:name="_Toc15396602"/>
    <w:bookmarkStart w:id="24" w:name="_Toc15377204"/>
    <w:p>
      <w:pPr>
        <w:pStyle w:val="style1"/>
        <w:ind w:right="440"/>
        <w:jc w:val="right"/>
        <w:rPr>
          <w:rStyle w:val="style4104"/>
          <w:rFonts w:ascii="黑体" w:eastAsia="黑体" w:hAnsi="黑体"/>
          <w:b w:val="false"/>
          <w:bCs w:val="false"/>
        </w:rPr>
      </w:pPr>
      <w:r>
        <w:rPr>
          <w:rFonts w:ascii="黑体" w:eastAsia="黑体" w:hAnsi="黑体" w:hint="eastAsia"/>
          <w:b w:val="false"/>
          <w:color w:val="000000"/>
        </w:rPr>
        <w:t>第二部分</w:t>
      </w:r>
      <w:r>
        <w:rPr>
          <w:rStyle w:val="style4104"/>
          <w:rFonts w:ascii="黑体" w:eastAsia="黑体" w:hAnsi="黑体" w:hint="eastAsia"/>
          <w:b w:val="false"/>
          <w:bCs w:val="false"/>
        </w:rPr>
        <w:t>2018年度部门决算情况说明</w:t>
      </w:r>
      <w:bookmarkEnd w:id="23"/>
      <w:bookmarkEnd w:id="24"/>
    </w:p>
    <w:p>
      <w:pPr>
        <w:pStyle w:val="style0"/>
        <w:rPr/>
      </w:pPr>
    </w:p>
    <w:bookmarkStart w:id="25" w:name="_Toc15377205"/>
    <w:bookmarkStart w:id="26" w:name="_Toc15396603"/>
    <w:p>
      <w:pPr>
        <w:pStyle w:val="style179"/>
        <w:numPr>
          <w:ilvl w:val="0"/>
          <w:numId w:val="1"/>
        </w:numPr>
        <w:spacing w:lineRule="exact" w:line="600"/>
        <w:ind w:firstLineChars="0"/>
        <w:outlineLvl w:val="1"/>
        <w:rPr>
          <w:rStyle w:val="style4105"/>
          <w:rFonts w:ascii="黑体" w:eastAsia="黑体" w:hAnsi="黑体"/>
          <w:b w:val="false"/>
        </w:rPr>
      </w:pPr>
      <w:r>
        <w:rPr>
          <w:rFonts w:ascii="黑体" w:eastAsia="黑体" w:hAnsi="黑体" w:hint="eastAsia"/>
          <w:color w:val="000000"/>
          <w:sz w:val="32"/>
          <w:szCs w:val="32"/>
        </w:rPr>
        <w:t>收</w:t>
      </w:r>
      <w:r>
        <w:rPr>
          <w:rStyle w:val="style4105"/>
          <w:rFonts w:ascii="黑体" w:eastAsia="黑体" w:hAnsi="黑体" w:hint="eastAsia"/>
          <w:b w:val="false"/>
        </w:rPr>
        <w:t>入支出决算总体情况说明</w:t>
      </w:r>
      <w:bookmarkEnd w:id="25"/>
      <w:bookmarkEnd w:id="26"/>
    </w:p>
    <w:p>
      <w:pPr>
        <w:pStyle w:val="style0"/>
        <w:spacing w:lineRule="exact" w:line="600"/>
        <w:ind w:firstLine="640" w:firstLineChars="200"/>
        <w:rPr>
          <w:rFonts w:ascii="仿宋" w:cs="仿宋" w:eastAsia="仿宋" w:hAnsi="仿宋" w:hint="eastAsia"/>
          <w:color w:val="000000"/>
          <w:sz w:val="32"/>
          <w:szCs w:val="32"/>
          <w:lang w:eastAsia="zh-CN"/>
        </w:rPr>
      </w:pPr>
      <w:r>
        <w:rPr>
          <w:rFonts w:ascii="仿宋" w:cs="仿宋" w:eastAsia="仿宋" w:hAnsi="仿宋" w:hint="eastAsia"/>
          <w:color w:val="000000"/>
          <w:sz w:val="32"/>
          <w:szCs w:val="32"/>
        </w:rPr>
        <w:t>2018年度收</w:t>
      </w:r>
      <w:r>
        <w:rPr>
          <w:rFonts w:ascii="仿宋" w:cs="仿宋" w:eastAsia="仿宋" w:hAnsi="仿宋" w:hint="eastAsia"/>
          <w:color w:val="000000"/>
          <w:sz w:val="32"/>
          <w:szCs w:val="32"/>
          <w:lang w:eastAsia="zh-CN"/>
        </w:rPr>
        <w:t>、</w:t>
      </w:r>
      <w:r>
        <w:rPr>
          <w:rFonts w:ascii="仿宋" w:cs="仿宋" w:eastAsia="仿宋" w:hAnsi="仿宋" w:hint="eastAsia"/>
          <w:color w:val="000000"/>
          <w:sz w:val="32"/>
          <w:szCs w:val="32"/>
        </w:rPr>
        <w:t>支总计</w:t>
      </w:r>
      <w:r>
        <w:rPr>
          <w:rFonts w:ascii="仿宋" w:cs="仿宋" w:eastAsia="仿宋" w:hAnsi="仿宋" w:hint="eastAsia"/>
          <w:color w:val="000000"/>
          <w:sz w:val="32"/>
          <w:szCs w:val="32"/>
          <w:lang w:val="en-US" w:eastAsia="zh-CN"/>
        </w:rPr>
        <w:t>680.86</w:t>
      </w:r>
      <w:r>
        <w:rPr>
          <w:rFonts w:ascii="仿宋" w:cs="仿宋" w:eastAsia="仿宋" w:hAnsi="仿宋" w:hint="eastAsia"/>
          <w:color w:val="000000"/>
          <w:sz w:val="32"/>
          <w:szCs w:val="32"/>
        </w:rPr>
        <w:t>万元。与2017年相比，收、支总计各增加</w:t>
      </w:r>
      <w:r>
        <w:rPr>
          <w:rFonts w:ascii="仿宋" w:cs="仿宋" w:eastAsia="仿宋" w:hAnsi="仿宋" w:hint="eastAsia"/>
          <w:color w:val="000000"/>
          <w:sz w:val="32"/>
          <w:szCs w:val="32"/>
          <w:lang w:val="en-US" w:eastAsia="zh-CN"/>
        </w:rPr>
        <w:t>319.71</w:t>
      </w:r>
      <w:r>
        <w:rPr>
          <w:rFonts w:ascii="仿宋" w:cs="仿宋" w:eastAsia="仿宋" w:hAnsi="仿宋" w:hint="eastAsia"/>
          <w:color w:val="000000"/>
          <w:sz w:val="32"/>
          <w:szCs w:val="32"/>
        </w:rPr>
        <w:t>万元，增长</w:t>
      </w:r>
      <w:r>
        <w:rPr>
          <w:rFonts w:ascii="仿宋" w:cs="仿宋" w:eastAsia="仿宋" w:hAnsi="仿宋" w:hint="eastAsia"/>
          <w:color w:val="000000"/>
          <w:sz w:val="32"/>
          <w:szCs w:val="32"/>
          <w:lang w:val="en-US" w:eastAsia="zh-CN"/>
        </w:rPr>
        <w:t>89</w:t>
      </w:r>
      <w:r>
        <w:rPr>
          <w:rFonts w:ascii="仿宋" w:cs="仿宋" w:eastAsia="仿宋" w:hAnsi="仿宋" w:hint="eastAsia"/>
          <w:color w:val="000000"/>
          <w:sz w:val="32"/>
          <w:szCs w:val="32"/>
        </w:rPr>
        <w:t>%。主要变动原因是</w:t>
      </w:r>
      <w:r>
        <w:rPr>
          <w:rFonts w:ascii="仿宋" w:cs="仿宋" w:eastAsia="仿宋" w:hAnsi="仿宋" w:hint="eastAsia"/>
          <w:color w:val="000000"/>
          <w:sz w:val="32"/>
          <w:szCs w:val="32"/>
          <w:lang w:eastAsia="zh-CN"/>
        </w:rPr>
        <w:t>财政应返还额度增加。</w:t>
      </w:r>
    </w:p>
    <w:p>
      <w:pPr>
        <w:pStyle w:val="style0"/>
        <w:spacing w:lineRule="exact" w:line="600"/>
        <w:ind w:firstLine="640" w:firstLineChars="200"/>
        <w:jc w:val="left"/>
        <w:rPr>
          <w:rFonts w:ascii="仿宋_GB2312" w:eastAsia="仿宋_GB2312" w:hint="eastAsia"/>
          <w:color w:val="000000"/>
          <w:sz w:val="32"/>
          <w:szCs w:val="32"/>
          <w:lang w:eastAsia="zh-CN"/>
        </w:rPr>
      </w:pPr>
      <w:r>
        <w:rPr>
          <w:rFonts w:ascii="仿宋_GB2312" w:eastAsia="仿宋_GB2312" w:hint="eastAsia"/>
          <w:color w:val="000000"/>
          <w:sz w:val="32"/>
          <w:szCs w:val="32"/>
          <w:lang w:eastAsia="zh-CN"/>
        </w:rPr>
        <w:drawing>
          <wp:anchor distT="0" distB="0" distL="114300" distR="114300" simplePos="false" relativeHeight="2" behindDoc="false" locked="false" layoutInCell="true" allowOverlap="true">
            <wp:simplePos x="0" y="0"/>
            <wp:positionH relativeFrom="column">
              <wp:posOffset>316865</wp:posOffset>
            </wp:positionH>
            <wp:positionV relativeFrom="paragraph">
              <wp:posOffset>336550</wp:posOffset>
            </wp:positionV>
            <wp:extent cx="5080000" cy="3809999"/>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r>
    </w:p>
    <w:bookmarkStart w:id="27" w:name="_Toc15377206"/>
    <w:bookmarkStart w:id="28" w:name="_Toc15396604"/>
    <w:p>
      <w:pPr>
        <w:pStyle w:val="style179"/>
        <w:numPr>
          <w:ilvl w:val="0"/>
          <w:numId w:val="1"/>
        </w:numPr>
        <w:spacing w:lineRule="exact" w:line="600"/>
        <w:ind w:firstLineChars="0"/>
        <w:outlineLvl w:val="1"/>
        <w:rPr>
          <w:rStyle w:val="style4105"/>
          <w:rFonts w:ascii="黑体" w:eastAsia="黑体" w:hAnsi="黑体"/>
          <w:b w:val="false"/>
        </w:rPr>
      </w:pPr>
      <w:r>
        <w:rPr>
          <w:rFonts w:ascii="黑体" w:eastAsia="黑体" w:hAnsi="黑体" w:hint="eastAsia"/>
          <w:color w:val="000000"/>
          <w:sz w:val="32"/>
          <w:szCs w:val="32"/>
        </w:rPr>
        <w:t>收</w:t>
      </w:r>
      <w:r>
        <w:rPr>
          <w:rStyle w:val="style4105"/>
          <w:rFonts w:ascii="黑体" w:eastAsia="黑体" w:hAnsi="黑体" w:hint="eastAsia"/>
          <w:b w:val="false"/>
        </w:rPr>
        <w:t>入决算情况说明</w:t>
      </w:r>
      <w:bookmarkEnd w:id="27"/>
      <w:bookmarkEnd w:id="28"/>
    </w:p>
    <w:p>
      <w:pPr>
        <w:pStyle w:val="style0"/>
        <w:spacing w:lineRule="exact" w:line="600"/>
        <w:ind w:firstLine="640" w:firstLineChars="200"/>
        <w:outlineLvl w:val="1"/>
        <w:rPr>
          <w:rFonts w:ascii="仿宋" w:cs="仿宋" w:eastAsia="仿宋" w:hAnsi="仿宋" w:hint="eastAsia"/>
          <w:color w:val="000000"/>
          <w:sz w:val="32"/>
          <w:szCs w:val="32"/>
        </w:rPr>
      </w:pPr>
      <w:r>
        <w:rPr>
          <w:rFonts w:ascii="仿宋" w:cs="仿宋" w:eastAsia="仿宋" w:hAnsi="仿宋" w:hint="eastAsia"/>
          <w:color w:val="000000"/>
          <w:sz w:val="32"/>
          <w:szCs w:val="32"/>
        </w:rPr>
        <w:t>2018年本年收入合计</w:t>
      </w:r>
      <w:r>
        <w:rPr>
          <w:rFonts w:ascii="仿宋" w:cs="仿宋" w:eastAsia="仿宋" w:hAnsi="仿宋" w:hint="eastAsia"/>
          <w:color w:val="000000"/>
          <w:sz w:val="32"/>
          <w:szCs w:val="32"/>
          <w:lang w:val="en-US" w:eastAsia="zh-CN"/>
        </w:rPr>
        <w:t>561.02</w:t>
      </w:r>
      <w:r>
        <w:rPr>
          <w:rFonts w:ascii="仿宋" w:cs="仿宋" w:eastAsia="仿宋" w:hAnsi="仿宋" w:hint="eastAsia"/>
          <w:color w:val="000000"/>
          <w:sz w:val="32"/>
          <w:szCs w:val="32"/>
        </w:rPr>
        <w:t>万元，其中：一般公共预算财政拨款收入</w:t>
      </w:r>
      <w:r>
        <w:rPr>
          <w:rFonts w:ascii="仿宋" w:cs="仿宋" w:eastAsia="仿宋" w:hAnsi="仿宋" w:hint="eastAsia"/>
          <w:color w:val="000000"/>
          <w:sz w:val="32"/>
          <w:szCs w:val="32"/>
          <w:lang w:val="en-US" w:eastAsia="zh-CN"/>
        </w:rPr>
        <w:t>560.85</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99.99</w:t>
      </w:r>
      <w:r>
        <w:rPr>
          <w:rFonts w:ascii="仿宋" w:cs="仿宋" w:eastAsia="仿宋" w:hAnsi="仿宋" w:hint="eastAsia"/>
          <w:color w:val="000000"/>
          <w:sz w:val="32"/>
          <w:szCs w:val="32"/>
        </w:rPr>
        <w:t>%；政府性基金预算财政拨款收入</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%；国有资本经营预算财政拨款收入</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%；事业收入</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%；经营收入</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%；附属单位上缴收入</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%；其他收入</w:t>
      </w:r>
      <w:r>
        <w:rPr>
          <w:rFonts w:ascii="仿宋" w:cs="仿宋" w:eastAsia="仿宋" w:hAnsi="仿宋" w:hint="eastAsia"/>
          <w:color w:val="000000"/>
          <w:sz w:val="32"/>
          <w:szCs w:val="32"/>
          <w:lang w:val="en-US" w:eastAsia="zh-CN"/>
        </w:rPr>
        <w:t>0.17</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0.01</w:t>
      </w:r>
      <w:r>
        <w:rPr>
          <w:rFonts w:ascii="仿宋" w:cs="仿宋" w:eastAsia="仿宋" w:hAnsi="仿宋" w:hint="eastAsia"/>
          <w:color w:val="000000"/>
          <w:sz w:val="32"/>
          <w:szCs w:val="32"/>
        </w:rPr>
        <w:t>%。</w:t>
      </w:r>
    </w:p>
    <w:p>
      <w:pPr>
        <w:pStyle w:val="style0"/>
        <w:spacing w:lineRule="exact" w:line="6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r>
        <w:rPr>
          <w:rFonts w:ascii="仿宋_GB2312" w:eastAsia="仿宋_GB2312" w:hint="eastAsia"/>
          <w:color w:val="ff0000"/>
          <w:sz w:val="32"/>
          <w:szCs w:val="32"/>
          <w:lang w:eastAsia="zh-CN"/>
        </w:rPr>
        <w:drawing>
          <wp:anchor distT="0" distB="0" distL="114300" distR="114300" simplePos="false" relativeHeight="3" behindDoc="false" locked="false" layoutInCell="true" allowOverlap="true">
            <wp:simplePos x="0" y="0"/>
            <wp:positionH relativeFrom="column">
              <wp:posOffset>410845</wp:posOffset>
            </wp:positionH>
            <wp:positionV relativeFrom="paragraph">
              <wp:posOffset>-3519804</wp:posOffset>
            </wp:positionV>
            <wp:extent cx="5080000" cy="3809999"/>
            <wp:effectExtent l="0" t="0" r="0" b="0"/>
            <wp:wrapSquare wrapText="bothSides"/>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p>
      <w:pPr>
        <w:pStyle w:val="style0"/>
        <w:spacing w:lineRule="exact" w:line="600"/>
        <w:ind w:firstLine="640" w:firstLineChars="200"/>
        <w:rPr>
          <w:rFonts w:ascii="仿宋_GB2312" w:eastAsia="仿宋_GB2312"/>
          <w:color w:val="ff0000"/>
          <w:sz w:val="32"/>
          <w:szCs w:val="32"/>
        </w:rPr>
      </w:pPr>
    </w:p>
    <w:bookmarkStart w:id="29" w:name="_Toc15377207"/>
    <w:bookmarkStart w:id="30" w:name="_Toc15396605"/>
    <w:p>
      <w:pPr>
        <w:pStyle w:val="style179"/>
        <w:numPr>
          <w:ilvl w:val="0"/>
          <w:numId w:val="1"/>
        </w:numPr>
        <w:spacing w:lineRule="exact" w:line="600"/>
        <w:ind w:firstLineChars="0"/>
        <w:outlineLvl w:val="1"/>
        <w:rPr>
          <w:rStyle w:val="style4105"/>
          <w:rFonts w:ascii="黑体" w:eastAsia="黑体" w:hAnsi="黑体"/>
          <w:b w:val="false"/>
        </w:rPr>
      </w:pPr>
      <w:r>
        <w:rPr>
          <w:rFonts w:ascii="黑体" w:eastAsia="黑体" w:hAnsi="黑体" w:hint="eastAsia"/>
          <w:color w:val="000000"/>
          <w:sz w:val="32"/>
          <w:szCs w:val="32"/>
        </w:rPr>
        <w:t>支</w:t>
      </w:r>
      <w:r>
        <w:rPr>
          <w:rStyle w:val="style4105"/>
          <w:rFonts w:ascii="黑体" w:eastAsia="黑体" w:hAnsi="黑体" w:hint="eastAsia"/>
          <w:b w:val="false"/>
        </w:rPr>
        <w:t>出决算情况说明</w:t>
      </w:r>
      <w:bookmarkEnd w:id="29"/>
      <w:bookmarkEnd w:id="30"/>
    </w:p>
    <w:p>
      <w:pPr>
        <w:pStyle w:val="style0"/>
        <w:spacing w:lineRule="exact" w:line="600"/>
        <w:ind w:firstLine="640"/>
        <w:rPr>
          <w:rFonts w:ascii="仿宋" w:cs="仿宋" w:eastAsia="仿宋" w:hAnsi="仿宋" w:hint="eastAsia"/>
          <w:color w:val="000000"/>
          <w:sz w:val="32"/>
          <w:szCs w:val="32"/>
          <w:shd w:val="pct10" w:color="auto" w:fill="ffffff"/>
        </w:rPr>
      </w:pPr>
      <w:r>
        <w:rPr>
          <w:rFonts w:ascii="仿宋" w:cs="仿宋" w:eastAsia="仿宋" w:hAnsi="仿宋" w:hint="eastAsia"/>
          <w:color w:val="000000"/>
          <w:sz w:val="32"/>
          <w:szCs w:val="32"/>
        </w:rPr>
        <w:t>2018年本年支出合计</w:t>
      </w:r>
      <w:r>
        <w:rPr>
          <w:rFonts w:ascii="仿宋" w:cs="仿宋" w:eastAsia="仿宋" w:hAnsi="仿宋" w:hint="eastAsia"/>
          <w:color w:val="000000"/>
          <w:sz w:val="32"/>
          <w:szCs w:val="32"/>
          <w:lang w:val="en-US" w:eastAsia="zh-CN"/>
        </w:rPr>
        <w:t>359.09</w:t>
      </w:r>
      <w:r>
        <w:rPr>
          <w:rFonts w:ascii="仿宋" w:cs="仿宋" w:eastAsia="仿宋" w:hAnsi="仿宋" w:hint="eastAsia"/>
          <w:color w:val="000000"/>
          <w:sz w:val="32"/>
          <w:szCs w:val="32"/>
        </w:rPr>
        <w:t>万元，其中：基本支出</w:t>
      </w:r>
      <w:r>
        <w:rPr>
          <w:rFonts w:ascii="仿宋" w:cs="仿宋" w:eastAsia="仿宋" w:hAnsi="仿宋" w:hint="eastAsia"/>
          <w:color w:val="000000"/>
          <w:sz w:val="32"/>
          <w:szCs w:val="32"/>
          <w:lang w:val="en-US" w:eastAsia="zh-CN"/>
        </w:rPr>
        <w:t>239.60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67</w:t>
      </w:r>
      <w:r>
        <w:rPr>
          <w:rFonts w:ascii="仿宋" w:cs="仿宋" w:eastAsia="仿宋" w:hAnsi="仿宋" w:hint="eastAsia"/>
          <w:color w:val="000000"/>
          <w:sz w:val="32"/>
          <w:szCs w:val="32"/>
        </w:rPr>
        <w:t>%；项目支出</w:t>
      </w:r>
      <w:r>
        <w:rPr>
          <w:rFonts w:ascii="仿宋" w:cs="仿宋" w:eastAsia="仿宋" w:hAnsi="仿宋" w:hint="eastAsia"/>
          <w:color w:val="000000"/>
          <w:sz w:val="32"/>
          <w:szCs w:val="32"/>
          <w:lang w:val="en-US" w:eastAsia="zh-CN"/>
        </w:rPr>
        <w:t>119.48</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33</w:t>
      </w:r>
      <w:r>
        <w:rPr>
          <w:rFonts w:ascii="仿宋" w:cs="仿宋" w:eastAsia="仿宋" w:hAnsi="仿宋" w:hint="eastAsia"/>
          <w:color w:val="000000"/>
          <w:sz w:val="32"/>
          <w:szCs w:val="32"/>
        </w:rPr>
        <w:t>%；上缴上级支出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%；经营支出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%；对附属单位补助支出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w:t>
      </w: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color w:val="ff0000"/>
          <w:sz w:val="32"/>
          <w:szCs w:val="32"/>
        </w:rPr>
      </w:pPr>
    </w:p>
    <w:p>
      <w:pPr>
        <w:pStyle w:val="style0"/>
        <w:spacing w:lineRule="exact" w:line="600"/>
        <w:ind w:firstLine="640" w:firstLineChars="200"/>
        <w:rPr>
          <w:rFonts w:ascii="仿宋_GB2312" w:eastAsia="仿宋_GB2312" w:hint="eastAsia"/>
          <w:color w:val="ff0000"/>
          <w:sz w:val="32"/>
          <w:szCs w:val="32"/>
          <w:lang w:eastAsia="zh-CN"/>
        </w:rPr>
      </w:pPr>
      <w:r>
        <w:rPr>
          <w:rFonts w:ascii="仿宋_GB2312" w:eastAsia="仿宋_GB2312" w:hint="eastAsia"/>
          <w:color w:val="ff0000"/>
          <w:sz w:val="32"/>
          <w:szCs w:val="32"/>
          <w:lang w:eastAsia="zh-CN"/>
        </w:rPr>
        <w:drawing>
          <wp:anchor distT="0" distB="0" distL="114300" distR="114300" simplePos="false" relativeHeight="4" behindDoc="false" locked="false" layoutInCell="true" allowOverlap="true">
            <wp:simplePos x="0" y="0"/>
            <wp:positionH relativeFrom="column">
              <wp:posOffset>93345</wp:posOffset>
            </wp:positionH>
            <wp:positionV relativeFrom="paragraph">
              <wp:posOffset>-80010</wp:posOffset>
            </wp:positionV>
            <wp:extent cx="5080000" cy="3809999"/>
            <wp:effectExtent l="0" t="0" r="0" b="0"/>
            <wp:wrapSquare wrapText="bothSides"/>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bookmarkStart w:id="31" w:name="_Toc15377208"/>
    <w:bookmarkStart w:id="32" w:name="_Toc15396606"/>
    <w:p>
      <w:pPr>
        <w:pStyle w:val="style0"/>
        <w:spacing w:lineRule="exact" w:line="600"/>
        <w:ind w:firstLine="640" w:firstLineChars="200"/>
        <w:outlineLvl w:val="1"/>
        <w:rPr>
          <w:rStyle w:val="style4105"/>
          <w:rFonts w:ascii="黑体" w:eastAsia="黑体" w:hAnsi="黑体"/>
          <w:b w:val="false"/>
        </w:rPr>
      </w:pPr>
      <w:r>
        <w:rPr>
          <w:rFonts w:ascii="黑体" w:eastAsia="黑体" w:hAnsi="黑体" w:hint="eastAsia"/>
          <w:color w:val="000000"/>
          <w:sz w:val="32"/>
          <w:szCs w:val="32"/>
        </w:rPr>
        <w:t>四、财</w:t>
      </w:r>
      <w:r>
        <w:rPr>
          <w:rStyle w:val="style4105"/>
          <w:rFonts w:ascii="黑体" w:eastAsia="黑体" w:hAnsi="黑体" w:hint="eastAsia"/>
          <w:b w:val="false"/>
        </w:rPr>
        <w:t>政拨款收入支出决算总体情况说明</w:t>
      </w:r>
      <w:bookmarkEnd w:id="31"/>
      <w:bookmarkEnd w:id="32"/>
    </w:p>
    <w:p>
      <w:pPr>
        <w:pStyle w:val="style0"/>
        <w:spacing w:lineRule="exact" w:line="600"/>
        <w:ind w:firstLine="640" w:firstLineChars="200"/>
        <w:rPr>
          <w:rFonts w:ascii="仿宋" w:cs="仿宋" w:eastAsia="仿宋" w:hAnsi="仿宋" w:hint="eastAsia"/>
          <w:b/>
          <w:color w:val="00b050"/>
          <w:sz w:val="32"/>
          <w:szCs w:val="32"/>
        </w:rPr>
      </w:pPr>
      <w:r>
        <w:rPr>
          <w:rFonts w:ascii="仿宋" w:cs="仿宋" w:eastAsia="仿宋" w:hAnsi="仿宋" w:hint="eastAsia"/>
          <w:color w:val="000000"/>
          <w:sz w:val="32"/>
          <w:szCs w:val="32"/>
        </w:rPr>
        <w:t>2018年财政拨款收、支总计</w:t>
      </w:r>
      <w:r>
        <w:rPr>
          <w:rFonts w:ascii="仿宋" w:cs="仿宋" w:eastAsia="仿宋" w:hAnsi="仿宋" w:hint="eastAsia"/>
          <w:color w:val="000000"/>
          <w:sz w:val="32"/>
          <w:szCs w:val="32"/>
          <w:lang w:val="en-US" w:eastAsia="zh-CN"/>
        </w:rPr>
        <w:t>560.85</w:t>
      </w:r>
      <w:r>
        <w:rPr>
          <w:rFonts w:ascii="仿宋" w:cs="仿宋" w:eastAsia="仿宋" w:hAnsi="仿宋" w:hint="eastAsia"/>
          <w:color w:val="000000"/>
          <w:sz w:val="32"/>
          <w:szCs w:val="32"/>
        </w:rPr>
        <w:t>万元。与2017年相比，财政拨款收、支总计各增加</w:t>
      </w:r>
      <w:r>
        <w:rPr>
          <w:rFonts w:ascii="仿宋" w:cs="仿宋" w:eastAsia="仿宋" w:hAnsi="仿宋" w:hint="eastAsia"/>
          <w:color w:val="000000"/>
          <w:sz w:val="32"/>
          <w:szCs w:val="32"/>
          <w:lang w:val="en-US" w:eastAsia="zh-CN"/>
        </w:rPr>
        <w:t>225.60</w:t>
      </w:r>
      <w:r>
        <w:rPr>
          <w:rFonts w:ascii="仿宋" w:cs="仿宋" w:eastAsia="仿宋" w:hAnsi="仿宋" w:hint="eastAsia"/>
          <w:color w:val="000000"/>
          <w:sz w:val="32"/>
          <w:szCs w:val="32"/>
        </w:rPr>
        <w:t>万元，增长</w:t>
      </w:r>
      <w:r>
        <w:rPr>
          <w:rFonts w:ascii="仿宋" w:cs="仿宋" w:eastAsia="仿宋" w:hAnsi="仿宋" w:hint="eastAsia"/>
          <w:color w:val="000000"/>
          <w:sz w:val="32"/>
          <w:szCs w:val="32"/>
          <w:lang w:val="en-US" w:eastAsia="zh-CN"/>
        </w:rPr>
        <w:t>67</w:t>
      </w:r>
      <w:r>
        <w:rPr>
          <w:rFonts w:ascii="仿宋" w:cs="仿宋" w:eastAsia="仿宋" w:hAnsi="仿宋" w:hint="eastAsia"/>
          <w:color w:val="000000"/>
          <w:sz w:val="32"/>
          <w:szCs w:val="32"/>
        </w:rPr>
        <w:t>%。主要变动原因是</w:t>
      </w:r>
      <w:r>
        <w:rPr>
          <w:rFonts w:ascii="仿宋" w:cs="仿宋" w:eastAsia="仿宋" w:hAnsi="仿宋" w:hint="eastAsia"/>
          <w:color w:val="000000"/>
          <w:sz w:val="32"/>
          <w:szCs w:val="32"/>
          <w:lang w:eastAsia="zh-CN"/>
        </w:rPr>
        <w:t>财政应返还额度增加。</w:t>
      </w:r>
    </w:p>
    <w:p>
      <w:pPr>
        <w:pStyle w:val="style0"/>
        <w:spacing w:lineRule="exact" w:line="600"/>
        <w:ind w:firstLine="640"/>
        <w:rPr>
          <w:rFonts w:ascii="仿宋" w:cs="仿宋" w:eastAsia="仿宋" w:hAnsi="仿宋" w:hint="eastAsia"/>
          <w:b/>
          <w:color w:val="00b050"/>
          <w:sz w:val="32"/>
          <w:szCs w:val="32"/>
          <w:lang w:eastAsia="zh-CN"/>
        </w:rPr>
      </w:pPr>
      <w:r>
        <w:rPr>
          <w:rFonts w:ascii="仿宋" w:cs="仿宋" w:eastAsia="仿宋" w:hAnsi="仿宋" w:hint="eastAsia"/>
          <w:b/>
          <w:color w:val="00b050"/>
          <w:sz w:val="32"/>
          <w:szCs w:val="32"/>
          <w:lang w:eastAsia="zh-CN"/>
        </w:rPr>
        <w:drawing>
          <wp:anchor distT="0" distB="0" distL="114300" distR="114300" simplePos="false" relativeHeight="5" behindDoc="false" locked="false" layoutInCell="true" allowOverlap="true">
            <wp:simplePos x="0" y="0"/>
            <wp:positionH relativeFrom="column">
              <wp:posOffset>110490</wp:posOffset>
            </wp:positionH>
            <wp:positionV relativeFrom="paragraph">
              <wp:posOffset>234315</wp:posOffset>
            </wp:positionV>
            <wp:extent cx="5097145" cy="2436495"/>
            <wp:effectExtent l="0" t="0" r="0" b="0"/>
            <wp:wrapSquare wrapText="bothSides"/>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bookmarkStart w:id="33" w:name="_Toc15377209"/>
      <w:bookmarkStart w:id="34" w:name="_Toc15396607"/>
    </w:p>
    <w:p>
      <w:pPr>
        <w:pStyle w:val="style0"/>
        <w:spacing w:lineRule="exact" w:line="600"/>
        <w:ind w:firstLine="640" w:firstLineChars="200"/>
        <w:rPr>
          <w:rStyle w:val="style4105"/>
          <w:rFonts w:ascii="黑体" w:eastAsia="黑体" w:hAnsi="黑体"/>
          <w:b w:val="false"/>
        </w:rPr>
      </w:pPr>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style4105"/>
          <w:rFonts w:ascii="黑体" w:eastAsia="黑体" w:hAnsi="黑体" w:hint="eastAsia"/>
          <w:b w:val="false"/>
        </w:rPr>
        <w:t>般公共预算财政拨款支出决算情况说明</w:t>
      </w:r>
      <w:bookmarkEnd w:id="33"/>
      <w:bookmarkEnd w:id="34"/>
    </w:p>
    <w:bookmarkStart w:id="35" w:name="_Toc15377210"/>
    <w:p>
      <w:pPr>
        <w:pStyle w:val="style0"/>
        <w:spacing w:lineRule="exact" w:line="600"/>
        <w:ind w:firstLine="643" w:firstLineChars="200"/>
        <w:outlineLvl w:val="2"/>
        <w:rPr>
          <w:rFonts w:ascii="仿宋" w:eastAsia="仿宋" w:hAnsi="仿宋"/>
          <w:b/>
          <w:color w:val="000000"/>
          <w:sz w:val="32"/>
          <w:szCs w:val="32"/>
        </w:rPr>
      </w:pPr>
      <w:r>
        <w:rPr>
          <w:rFonts w:ascii="仿宋" w:eastAsia="仿宋" w:hAnsi="仿宋" w:hint="eastAsia"/>
          <w:b/>
          <w:color w:val="000000"/>
          <w:sz w:val="32"/>
          <w:szCs w:val="32"/>
        </w:rPr>
        <w:t>（一）一般公共预算财政拨款支出决算总体情况</w:t>
      </w:r>
      <w:bookmarkEnd w:id="35"/>
    </w:p>
    <w:p>
      <w:pPr>
        <w:pStyle w:val="style0"/>
        <w:spacing w:lineRule="exact" w:line="600"/>
        <w:ind w:firstLine="640" w:firstLineChars="200"/>
        <w:rPr>
          <w:rFonts w:ascii="仿宋" w:cs="仿宋" w:eastAsia="仿宋" w:hAnsi="仿宋" w:hint="eastAsia"/>
          <w:color w:val="000000"/>
          <w:sz w:val="32"/>
          <w:szCs w:val="32"/>
          <w:lang w:eastAsia="zh-CN"/>
        </w:rPr>
      </w:pPr>
      <w:r>
        <w:rPr>
          <w:rFonts w:ascii="仿宋" w:cs="仿宋" w:eastAsia="仿宋" w:hAnsi="仿宋" w:hint="eastAsia"/>
          <w:color w:val="000000"/>
          <w:sz w:val="32"/>
          <w:szCs w:val="32"/>
        </w:rPr>
        <w:t>2018年一般公共预算财政拨款支出</w:t>
      </w:r>
      <w:r>
        <w:rPr>
          <w:rFonts w:ascii="仿宋" w:cs="仿宋" w:eastAsia="仿宋" w:hAnsi="仿宋" w:hint="eastAsia"/>
          <w:color w:val="000000"/>
          <w:sz w:val="32"/>
          <w:szCs w:val="32"/>
          <w:lang w:val="en-US" w:eastAsia="zh-CN"/>
        </w:rPr>
        <w:t>359.09</w:t>
      </w:r>
      <w:r>
        <w:rPr>
          <w:rFonts w:ascii="仿宋" w:cs="仿宋" w:eastAsia="仿宋" w:hAnsi="仿宋" w:hint="eastAsia"/>
          <w:color w:val="000000"/>
          <w:sz w:val="32"/>
          <w:szCs w:val="32"/>
        </w:rPr>
        <w:t>万元，占本年支出合计的</w:t>
      </w:r>
      <w:r>
        <w:rPr>
          <w:rFonts w:ascii="仿宋" w:cs="仿宋" w:eastAsia="仿宋" w:hAnsi="仿宋" w:hint="eastAsia"/>
          <w:color w:val="000000"/>
          <w:sz w:val="32"/>
          <w:szCs w:val="32"/>
          <w:lang w:val="en-US" w:eastAsia="zh-CN"/>
        </w:rPr>
        <w:t>53</w:t>
      </w:r>
      <w:r>
        <w:rPr>
          <w:rFonts w:ascii="仿宋" w:cs="仿宋" w:eastAsia="仿宋" w:hAnsi="仿宋" w:hint="eastAsia"/>
          <w:color w:val="000000"/>
          <w:sz w:val="32"/>
          <w:szCs w:val="32"/>
        </w:rPr>
        <w:t>%。与2017年相比，一般公共预算财政拨款增加</w:t>
      </w:r>
      <w:r>
        <w:rPr>
          <w:rFonts w:ascii="仿宋" w:cs="仿宋" w:eastAsia="仿宋" w:hAnsi="仿宋" w:hint="eastAsia"/>
          <w:color w:val="000000"/>
          <w:sz w:val="32"/>
          <w:szCs w:val="32"/>
          <w:lang w:val="en-US" w:eastAsia="zh-CN"/>
        </w:rPr>
        <w:t>68.04</w:t>
      </w:r>
      <w:r>
        <w:rPr>
          <w:rFonts w:ascii="仿宋" w:cs="仿宋" w:eastAsia="仿宋" w:hAnsi="仿宋" w:hint="eastAsia"/>
          <w:color w:val="000000"/>
          <w:sz w:val="32"/>
          <w:szCs w:val="32"/>
        </w:rPr>
        <w:t>万元，增长</w:t>
      </w:r>
      <w:r>
        <w:rPr>
          <w:rFonts w:ascii="仿宋" w:cs="仿宋" w:eastAsia="仿宋" w:hAnsi="仿宋" w:hint="eastAsia"/>
          <w:color w:val="000000"/>
          <w:sz w:val="32"/>
          <w:szCs w:val="32"/>
          <w:lang w:val="en-US" w:eastAsia="zh-CN"/>
        </w:rPr>
        <w:t>23</w:t>
      </w:r>
      <w:r>
        <w:rPr>
          <w:rFonts w:ascii="仿宋" w:cs="仿宋" w:eastAsia="仿宋" w:hAnsi="仿宋" w:hint="eastAsia"/>
          <w:color w:val="000000"/>
          <w:sz w:val="32"/>
          <w:szCs w:val="32"/>
        </w:rPr>
        <w:t>%。主要变动原因是</w:t>
      </w:r>
      <w:r>
        <w:rPr>
          <w:rFonts w:ascii="仿宋" w:cs="仿宋" w:eastAsia="仿宋" w:hAnsi="仿宋" w:hint="eastAsia"/>
          <w:color w:val="000000"/>
          <w:sz w:val="32"/>
          <w:szCs w:val="32"/>
          <w:lang w:eastAsia="zh-CN"/>
        </w:rPr>
        <w:t>项目支出增加。</w:t>
      </w:r>
    </w:p>
    <w:p>
      <w:pPr>
        <w:pStyle w:val="style0"/>
        <w:spacing w:lineRule="exact" w:line="600"/>
        <w:ind w:firstLine="640" w:firstLineChars="200"/>
        <w:rPr>
          <w:rFonts w:ascii="仿宋" w:eastAsia="仿宋" w:hAnsi="仿宋" w:hint="eastAsia"/>
          <w:color w:val="000000"/>
          <w:sz w:val="32"/>
          <w:szCs w:val="32"/>
          <w:lang w:eastAsia="zh-CN"/>
        </w:rPr>
      </w:pPr>
      <w:r>
        <w:rPr>
          <w:rFonts w:ascii="仿宋" w:eastAsia="仿宋" w:hAnsi="仿宋" w:hint="eastAsia"/>
          <w:color w:val="000000"/>
          <w:sz w:val="32"/>
          <w:szCs w:val="32"/>
          <w:lang w:eastAsia="zh-CN"/>
        </w:rPr>
        <w:drawing>
          <wp:anchor distT="0" distB="0" distL="114300" distR="114300" simplePos="false" relativeHeight="6" behindDoc="false" locked="false" layoutInCell="true" allowOverlap="true">
            <wp:simplePos x="0" y="0"/>
            <wp:positionH relativeFrom="column">
              <wp:posOffset>393700</wp:posOffset>
            </wp:positionH>
            <wp:positionV relativeFrom="paragraph">
              <wp:posOffset>298450</wp:posOffset>
            </wp:positionV>
            <wp:extent cx="5114290" cy="3544570"/>
            <wp:effectExtent l="0" t="0" r="0" b="0"/>
            <wp:wrapSquare wrapText="bothSides"/>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lang w:eastAsia="zh-CN"/>
        </w:rPr>
      </w:pPr>
    </w:p>
    <w:p>
      <w:pPr>
        <w:pStyle w:val="style0"/>
        <w:spacing w:lineRule="exact" w:line="600"/>
        <w:ind w:firstLine="640" w:firstLineChars="200"/>
        <w:rPr>
          <w:rFonts w:ascii="仿宋" w:eastAsia="仿宋" w:hAnsi="仿宋" w:hint="eastAsia"/>
          <w:color w:val="000000"/>
          <w:sz w:val="32"/>
          <w:szCs w:val="32"/>
        </w:rPr>
      </w:pPr>
    </w:p>
    <w:bookmarkStart w:id="36" w:name="_Toc15377211"/>
    <w:p>
      <w:pPr>
        <w:pStyle w:val="style0"/>
        <w:spacing w:lineRule="exact" w:line="600"/>
        <w:ind w:firstLine="643" w:firstLineChars="200"/>
        <w:outlineLvl w:val="2"/>
        <w:rPr>
          <w:rFonts w:ascii="仿宋" w:eastAsia="仿宋" w:hAnsi="仿宋"/>
          <w:b/>
          <w:color w:val="000000"/>
          <w:sz w:val="32"/>
          <w:szCs w:val="32"/>
        </w:rPr>
      </w:pPr>
      <w:r>
        <w:rPr>
          <w:rFonts w:ascii="仿宋" w:eastAsia="仿宋" w:hAnsi="仿宋" w:hint="eastAsia"/>
          <w:b/>
          <w:color w:val="000000"/>
          <w:sz w:val="32"/>
          <w:szCs w:val="32"/>
        </w:rPr>
        <w:t>（二）一般公共预算财政拨款支出决算结构情况</w:t>
      </w:r>
      <w:bookmarkEnd w:id="36"/>
    </w:p>
    <w:p>
      <w:pPr>
        <w:pStyle w:val="style0"/>
        <w:spacing w:lineRule="exact" w:line="600"/>
        <w:ind w:firstLine="640"/>
        <w:rPr>
          <w:rFonts w:ascii="仿宋" w:cs="仿宋" w:eastAsia="仿宋" w:hAnsi="仿宋" w:hint="eastAsia"/>
          <w:color w:val="000000"/>
          <w:sz w:val="32"/>
          <w:szCs w:val="32"/>
        </w:rPr>
      </w:pPr>
      <w:r>
        <w:rPr>
          <w:rFonts w:ascii="仿宋" w:cs="仿宋" w:eastAsia="仿宋" w:hAnsi="仿宋" w:hint="eastAsia"/>
          <w:color w:val="000000"/>
          <w:sz w:val="32"/>
          <w:szCs w:val="32"/>
        </w:rPr>
        <w:t>2018年一般公共预算财</w:t>
      </w:r>
      <w:r>
        <w:rPr>
          <w:rFonts w:ascii="仿宋" w:cs="仿宋" w:eastAsia="仿宋" w:hAnsi="仿宋" w:hint="eastAsia"/>
          <w:color w:val="000000"/>
          <w:sz w:val="32"/>
          <w:szCs w:val="32"/>
        </w:rPr>
        <w:t>政拨款支出</w:t>
      </w:r>
      <w:r>
        <w:rPr>
          <w:rFonts w:ascii="仿宋" w:cs="仿宋" w:eastAsia="仿宋" w:hAnsi="仿宋" w:hint="eastAsia"/>
          <w:color w:val="000000"/>
          <w:sz w:val="32"/>
          <w:szCs w:val="32"/>
          <w:lang w:val="en-US" w:eastAsia="zh-CN"/>
        </w:rPr>
        <w:t>359.09</w:t>
      </w:r>
      <w:r>
        <w:rPr>
          <w:rFonts w:ascii="仿宋" w:cs="仿宋" w:eastAsia="仿宋" w:hAnsi="仿宋" w:hint="eastAsia"/>
          <w:color w:val="000000"/>
          <w:sz w:val="32"/>
          <w:szCs w:val="32"/>
        </w:rPr>
        <w:t>万元，主要用于以下方面:</w:t>
      </w:r>
      <w:r>
        <w:rPr>
          <w:rFonts w:ascii="仿宋" w:cs="仿宋" w:eastAsia="仿宋" w:hAnsi="仿宋" w:hint="eastAsia"/>
          <w:b w:val="false"/>
          <w:bCs/>
          <w:color w:val="000000"/>
          <w:sz w:val="32"/>
          <w:szCs w:val="32"/>
        </w:rPr>
        <w:t>一般公共服务（类）支出</w:t>
      </w:r>
      <w:r>
        <w:rPr>
          <w:rFonts w:ascii="仿宋" w:cs="仿宋" w:eastAsia="仿宋" w:hAnsi="仿宋" w:hint="eastAsia"/>
          <w:b w:val="false"/>
          <w:bCs/>
          <w:color w:val="000000"/>
          <w:sz w:val="32"/>
          <w:szCs w:val="32"/>
          <w:lang w:val="en-US" w:eastAsia="zh-CN"/>
        </w:rPr>
        <w:t>3.95</w:t>
      </w:r>
      <w:r>
        <w:rPr>
          <w:rFonts w:ascii="仿宋" w:cs="仿宋" w:eastAsia="仿宋" w:hAnsi="仿宋" w:hint="eastAsia"/>
          <w:b w:val="false"/>
          <w:bCs/>
          <w:color w:val="000000"/>
          <w:sz w:val="32"/>
          <w:szCs w:val="32"/>
        </w:rPr>
        <w:t>万元，占</w:t>
      </w:r>
      <w:r>
        <w:rPr>
          <w:rFonts w:ascii="仿宋" w:cs="仿宋" w:eastAsia="仿宋" w:hAnsi="仿宋" w:hint="eastAsia"/>
          <w:b w:val="false"/>
          <w:bCs/>
          <w:color w:val="000000"/>
          <w:sz w:val="32"/>
          <w:szCs w:val="32"/>
          <w:lang w:val="en-US" w:eastAsia="zh-CN"/>
        </w:rPr>
        <w:t>1</w:t>
      </w:r>
      <w:r>
        <w:rPr>
          <w:rFonts w:ascii="仿宋" w:cs="仿宋" w:eastAsia="仿宋" w:hAnsi="仿宋" w:hint="eastAsia"/>
          <w:b w:val="false"/>
          <w:bCs/>
          <w:color w:val="000000"/>
          <w:sz w:val="32"/>
          <w:szCs w:val="32"/>
        </w:rPr>
        <w:t>%；社会保障和就业（类）</w:t>
      </w:r>
      <w:r>
        <w:rPr>
          <w:rFonts w:ascii="仿宋" w:cs="仿宋" w:eastAsia="仿宋" w:hAnsi="仿宋" w:hint="eastAsia"/>
          <w:color w:val="000000"/>
          <w:sz w:val="32"/>
          <w:szCs w:val="32"/>
        </w:rPr>
        <w:t>支出</w:t>
      </w:r>
      <w:r>
        <w:rPr>
          <w:rFonts w:ascii="仿宋" w:cs="仿宋" w:eastAsia="仿宋" w:hAnsi="仿宋" w:hint="eastAsia"/>
          <w:color w:val="000000"/>
          <w:sz w:val="32"/>
          <w:szCs w:val="32"/>
          <w:lang w:val="en-US" w:eastAsia="zh-CN"/>
        </w:rPr>
        <w:t>32.9</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9</w:t>
      </w:r>
      <w:r>
        <w:rPr>
          <w:rFonts w:ascii="仿宋" w:cs="仿宋" w:eastAsia="仿宋" w:hAnsi="仿宋" w:hint="eastAsia"/>
          <w:color w:val="000000"/>
          <w:sz w:val="32"/>
          <w:szCs w:val="32"/>
        </w:rPr>
        <w:t>%；医疗卫生</w:t>
      </w:r>
      <w:r>
        <w:rPr>
          <w:rFonts w:ascii="仿宋" w:cs="仿宋" w:eastAsia="仿宋" w:hAnsi="仿宋" w:hint="eastAsia"/>
          <w:color w:val="000000"/>
          <w:sz w:val="32"/>
          <w:szCs w:val="32"/>
          <w:lang w:eastAsia="zh-CN"/>
        </w:rPr>
        <w:t>与计划生育（类）</w:t>
      </w:r>
      <w:r>
        <w:rPr>
          <w:rFonts w:ascii="仿宋" w:cs="仿宋" w:eastAsia="仿宋" w:hAnsi="仿宋" w:hint="eastAsia"/>
          <w:color w:val="000000"/>
          <w:sz w:val="32"/>
          <w:szCs w:val="32"/>
        </w:rPr>
        <w:t>支出</w:t>
      </w:r>
      <w:r>
        <w:rPr>
          <w:rFonts w:ascii="仿宋" w:cs="仿宋" w:eastAsia="仿宋" w:hAnsi="仿宋" w:hint="eastAsia"/>
          <w:color w:val="000000"/>
          <w:sz w:val="32"/>
          <w:szCs w:val="32"/>
          <w:lang w:val="en-US" w:eastAsia="zh-CN"/>
        </w:rPr>
        <w:t>7.73</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2</w:t>
      </w:r>
      <w:r>
        <w:rPr>
          <w:rFonts w:ascii="仿宋" w:cs="仿宋" w:eastAsia="仿宋" w:hAnsi="仿宋" w:hint="eastAsia"/>
          <w:color w:val="000000"/>
          <w:sz w:val="32"/>
          <w:szCs w:val="32"/>
        </w:rPr>
        <w:t>%；住房保障</w:t>
      </w:r>
      <w:r>
        <w:rPr>
          <w:rFonts w:ascii="仿宋" w:cs="仿宋" w:eastAsia="仿宋" w:hAnsi="仿宋" w:hint="eastAsia"/>
          <w:color w:val="000000"/>
          <w:sz w:val="32"/>
          <w:szCs w:val="32"/>
          <w:lang w:eastAsia="zh-CN"/>
        </w:rPr>
        <w:t>（类）</w:t>
      </w:r>
      <w:r>
        <w:rPr>
          <w:rFonts w:ascii="仿宋" w:cs="仿宋" w:eastAsia="仿宋" w:hAnsi="仿宋" w:hint="eastAsia"/>
          <w:color w:val="000000"/>
          <w:sz w:val="32"/>
          <w:szCs w:val="32"/>
        </w:rPr>
        <w:t>支出</w:t>
      </w:r>
      <w:r>
        <w:rPr>
          <w:rFonts w:ascii="仿宋" w:cs="仿宋" w:eastAsia="仿宋" w:hAnsi="仿宋" w:hint="eastAsia"/>
          <w:color w:val="000000"/>
          <w:sz w:val="32"/>
          <w:szCs w:val="32"/>
          <w:lang w:val="en-US" w:eastAsia="zh-CN"/>
        </w:rPr>
        <w:t>16.74</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5</w:t>
      </w:r>
      <w:r>
        <w:rPr>
          <w:rFonts w:ascii="仿宋" w:cs="仿宋" w:eastAsia="仿宋" w:hAnsi="仿宋" w:hint="eastAsia"/>
          <w:color w:val="000000"/>
          <w:sz w:val="32"/>
          <w:szCs w:val="32"/>
        </w:rPr>
        <w:t>%；</w:t>
      </w:r>
      <w:r>
        <w:rPr>
          <w:rFonts w:ascii="仿宋" w:cs="仿宋" w:eastAsia="仿宋" w:hAnsi="仿宋" w:hint="eastAsia"/>
          <w:color w:val="000000"/>
          <w:sz w:val="32"/>
          <w:szCs w:val="32"/>
          <w:lang w:eastAsia="zh-CN"/>
        </w:rPr>
        <w:t>粮油物资储备（类）支出</w:t>
      </w:r>
      <w:r>
        <w:rPr>
          <w:rFonts w:ascii="仿宋" w:cs="仿宋" w:eastAsia="仿宋" w:hAnsi="仿宋" w:hint="eastAsia"/>
          <w:color w:val="000000"/>
          <w:sz w:val="32"/>
          <w:szCs w:val="32"/>
          <w:lang w:val="en-US" w:eastAsia="zh-CN"/>
        </w:rPr>
        <w:t>297.77万元，占83%</w:t>
      </w:r>
      <w:r>
        <w:rPr>
          <w:rFonts w:ascii="仿宋" w:cs="仿宋" w:eastAsia="仿宋" w:hAnsi="仿宋" w:hint="eastAsia"/>
          <w:color w:val="000000"/>
          <w:sz w:val="32"/>
          <w:szCs w:val="32"/>
        </w:rPr>
        <w:t>。</w:t>
      </w:r>
    </w:p>
    <w:p>
      <w:pPr>
        <w:pStyle w:val="style0"/>
        <w:spacing w:lineRule="exact" w:line="600"/>
        <w:ind w:firstLine="640" w:firstLineChars="200"/>
        <w:rPr>
          <w:rFonts w:ascii="仿宋" w:eastAsia="仿宋" w:hAnsi="仿宋"/>
          <w:color w:val="000000"/>
          <w:sz w:val="32"/>
          <w:szCs w:val="32"/>
        </w:rPr>
      </w:pPr>
      <w:r>
        <w:rPr>
          <w:rFonts w:ascii="仿宋" w:eastAsia="仿宋" w:hAnsi="仿宋" w:hint="eastAsia"/>
          <w:color w:val="000000"/>
          <w:sz w:val="32"/>
          <w:szCs w:val="32"/>
          <w:lang w:eastAsia="zh-CN"/>
        </w:rPr>
        <w:drawing>
          <wp:anchor distT="0" distB="0" distL="114300" distR="114300" simplePos="false" relativeHeight="7" behindDoc="false" locked="false" layoutInCell="true" allowOverlap="true">
            <wp:simplePos x="0" y="0"/>
            <wp:positionH relativeFrom="column">
              <wp:posOffset>410845</wp:posOffset>
            </wp:positionH>
            <wp:positionV relativeFrom="paragraph">
              <wp:posOffset>264160</wp:posOffset>
            </wp:positionV>
            <wp:extent cx="5080000" cy="3809999"/>
            <wp:effectExtent l="0" t="0" r="0" b="0"/>
            <wp:wrapSquare wrapText="bothSides"/>
            <wp:docPr id="103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color w:val="000000"/>
          <w:sz w:val="32"/>
          <w:szCs w:val="32"/>
        </w:rPr>
      </w:pPr>
    </w:p>
    <w:p>
      <w:pPr>
        <w:pStyle w:val="style0"/>
        <w:spacing w:lineRule="exact" w:line="600"/>
        <w:ind w:firstLine="640" w:firstLineChars="200"/>
        <w:rPr>
          <w:rFonts w:ascii="仿宋" w:eastAsia="仿宋" w:hAnsi="仿宋" w:hint="eastAsia"/>
          <w:color w:val="000000"/>
          <w:sz w:val="32"/>
          <w:szCs w:val="32"/>
          <w:lang w:eastAsia="zh-CN"/>
        </w:rPr>
      </w:pPr>
    </w:p>
    <w:bookmarkStart w:id="37" w:name="_Toc15377212"/>
    <w:p>
      <w:pPr>
        <w:pStyle w:val="style0"/>
        <w:spacing w:lineRule="exact" w:line="600"/>
        <w:ind w:firstLine="643" w:firstLineChars="200"/>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7"/>
    </w:p>
    <w:bookmarkStart w:id="38" w:name="_Toc15377444"/>
    <w:bookmarkStart w:id="39" w:name="_Toc15378460"/>
    <w:bookmarkStart w:id="40" w:name="_Toc15377213"/>
    <w:p>
      <w:pPr>
        <w:pStyle w:val="style0"/>
        <w:spacing w:lineRule="exact" w:line="600"/>
        <w:ind w:firstLine="643" w:firstLineChars="200"/>
        <w:outlineLvl w:val="2"/>
        <w:rPr>
          <w:rFonts w:ascii="仿宋" w:cs="仿宋" w:eastAsia="仿宋" w:hAnsi="仿宋" w:hint="eastAsia"/>
          <w:color w:val="ff0000"/>
          <w:sz w:val="32"/>
          <w:szCs w:val="32"/>
        </w:rPr>
      </w:pPr>
      <w:r>
        <w:rPr>
          <w:rFonts w:ascii="仿宋" w:cs="仿宋" w:eastAsia="仿宋" w:hAnsi="仿宋" w:hint="eastAsia"/>
          <w:b/>
          <w:color w:val="000000"/>
          <w:sz w:val="32"/>
          <w:szCs w:val="32"/>
        </w:rPr>
        <w:t>2018年</w:t>
      </w:r>
      <w:r>
        <w:rPr>
          <w:rFonts w:ascii="仿宋" w:cs="仿宋" w:eastAsia="仿宋" w:hAnsi="仿宋" w:hint="eastAsia"/>
          <w:b/>
          <w:color w:val="000000"/>
          <w:sz w:val="32"/>
          <w:szCs w:val="32"/>
          <w:lang w:eastAsia="zh-CN"/>
        </w:rPr>
        <w:t>一</w:t>
      </w:r>
      <w:r>
        <w:rPr>
          <w:rFonts w:ascii="仿宋" w:cs="仿宋" w:eastAsia="仿宋" w:hAnsi="仿宋" w:hint="eastAsia"/>
          <w:b/>
          <w:color w:val="000000"/>
          <w:sz w:val="32"/>
          <w:szCs w:val="32"/>
        </w:rPr>
        <w:t>般公共预算支出决算数为</w:t>
      </w:r>
      <w:r>
        <w:rPr>
          <w:rFonts w:ascii="仿宋" w:cs="仿宋" w:eastAsia="仿宋" w:hAnsi="仿宋" w:hint="eastAsia"/>
          <w:b/>
          <w:color w:val="000000"/>
          <w:sz w:val="32"/>
          <w:szCs w:val="32"/>
          <w:lang w:val="en-US" w:eastAsia="zh-CN"/>
        </w:rPr>
        <w:t>359.09万元</w:t>
      </w:r>
      <w:r>
        <w:rPr>
          <w:rFonts w:ascii="仿宋" w:cs="仿宋" w:eastAsia="仿宋" w:hAnsi="仿宋" w:hint="eastAsia"/>
          <w:color w:val="000000"/>
          <w:sz w:val="32"/>
          <w:szCs w:val="32"/>
        </w:rPr>
        <w:t>，</w:t>
      </w:r>
      <w:r>
        <w:rPr>
          <w:rStyle w:val="style87"/>
          <w:rFonts w:ascii="仿宋" w:cs="仿宋" w:eastAsia="仿宋" w:hAnsi="仿宋" w:hint="eastAsia"/>
          <w:bCs/>
          <w:color w:val="000000"/>
          <w:sz w:val="32"/>
          <w:szCs w:val="32"/>
        </w:rPr>
        <w:t>完成</w:t>
      </w:r>
      <w:r>
        <w:rPr>
          <w:rStyle w:val="style87"/>
          <w:rFonts w:ascii="仿宋" w:cs="仿宋" w:eastAsia="仿宋" w:hAnsi="仿宋" w:hint="eastAsia"/>
          <w:bCs/>
          <w:color w:val="000000"/>
          <w:sz w:val="32"/>
          <w:szCs w:val="32"/>
        </w:rPr>
        <w:t>预算</w:t>
      </w:r>
      <w:r>
        <w:rPr>
          <w:rStyle w:val="style87"/>
          <w:rFonts w:ascii="仿宋" w:cs="仿宋" w:eastAsia="仿宋" w:hAnsi="仿宋" w:hint="eastAsia"/>
          <w:bCs/>
          <w:color w:val="000000"/>
          <w:sz w:val="32"/>
          <w:szCs w:val="32"/>
          <w:lang w:val="en-US" w:eastAsia="zh-CN"/>
        </w:rPr>
        <w:t>100</w:t>
      </w:r>
      <w:r>
        <w:rPr>
          <w:rStyle w:val="style87"/>
          <w:rFonts w:ascii="仿宋" w:cs="仿宋" w:eastAsia="仿宋" w:hAnsi="仿宋" w:hint="eastAsia"/>
          <w:bCs/>
          <w:color w:val="000000"/>
          <w:sz w:val="32"/>
          <w:szCs w:val="32"/>
        </w:rPr>
        <w:t>%。其中：</w:t>
      </w:r>
      <w:bookmarkEnd w:id="38"/>
      <w:bookmarkEnd w:id="39"/>
      <w:bookmarkEnd w:id="40"/>
    </w:p>
    <w:p>
      <w:pPr>
        <w:pStyle w:val="style0"/>
        <w:spacing w:lineRule="exact" w:line="600"/>
        <w:ind w:firstLine="643" w:firstLineChars="200"/>
        <w:rPr>
          <w:rFonts w:ascii="仿宋" w:cs="仿宋" w:eastAsia="仿宋" w:hAnsi="仿宋" w:hint="eastAsia"/>
          <w:b/>
          <w:color w:val="000000"/>
          <w:sz w:val="32"/>
          <w:szCs w:val="32"/>
        </w:rPr>
      </w:pPr>
      <w:r>
        <w:rPr>
          <w:rStyle w:val="style87"/>
          <w:rFonts w:ascii="仿宋" w:cs="仿宋" w:eastAsia="仿宋" w:hAnsi="仿宋" w:hint="eastAsia"/>
          <w:bCs/>
          <w:color w:val="000000"/>
          <w:sz w:val="32"/>
          <w:szCs w:val="32"/>
        </w:rPr>
        <w:t>1.一般公共服务（类）</w:t>
      </w:r>
      <w:r>
        <w:rPr>
          <w:rStyle w:val="style87"/>
          <w:rFonts w:ascii="仿宋" w:cs="仿宋" w:eastAsia="仿宋" w:hAnsi="仿宋" w:hint="eastAsia"/>
          <w:bCs/>
          <w:color w:val="000000"/>
          <w:sz w:val="32"/>
          <w:szCs w:val="32"/>
          <w:lang w:eastAsia="zh-CN"/>
        </w:rPr>
        <w:t>民族事务</w:t>
      </w:r>
      <w:r>
        <w:rPr>
          <w:rStyle w:val="style87"/>
          <w:rFonts w:ascii="仿宋" w:cs="仿宋" w:eastAsia="仿宋" w:hAnsi="仿宋" w:hint="eastAsia"/>
          <w:bCs/>
          <w:color w:val="000000"/>
          <w:sz w:val="32"/>
          <w:szCs w:val="32"/>
        </w:rPr>
        <w:t>（款）</w:t>
      </w:r>
      <w:r>
        <w:rPr>
          <w:rStyle w:val="style87"/>
          <w:rFonts w:ascii="仿宋" w:cs="仿宋" w:eastAsia="仿宋" w:hAnsi="仿宋" w:hint="eastAsia"/>
          <w:bCs/>
          <w:color w:val="000000"/>
          <w:sz w:val="32"/>
          <w:szCs w:val="32"/>
          <w:lang w:eastAsia="zh-CN"/>
        </w:rPr>
        <w:t>其他民族事务支出</w:t>
      </w:r>
      <w:r>
        <w:rPr>
          <w:rStyle w:val="style87"/>
          <w:rFonts w:ascii="仿宋" w:cs="仿宋" w:eastAsia="仿宋" w:hAnsi="仿宋" w:hint="eastAsia"/>
          <w:bCs/>
          <w:color w:val="000000"/>
          <w:sz w:val="32"/>
          <w:szCs w:val="32"/>
        </w:rPr>
        <w:t>（项）:</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3.95</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spacing w:lineRule="exact" w:line="600"/>
        <w:ind w:firstLine="643" w:firstLineChars="200"/>
        <w:rPr>
          <w:rStyle w:val="style87"/>
          <w:rFonts w:ascii="仿宋" w:cs="仿宋" w:eastAsia="仿宋" w:hAnsi="仿宋" w:hint="eastAsia"/>
          <w:b w:val="false"/>
          <w:bCs/>
          <w:color w:val="000000"/>
          <w:sz w:val="32"/>
          <w:szCs w:val="32"/>
        </w:rPr>
      </w:pPr>
      <w:r>
        <w:rPr>
          <w:rStyle w:val="style87"/>
          <w:rFonts w:ascii="仿宋" w:cs="仿宋" w:eastAsia="仿宋" w:hAnsi="仿宋" w:hint="eastAsia"/>
          <w:bCs/>
          <w:color w:val="000000"/>
          <w:sz w:val="32"/>
          <w:szCs w:val="32"/>
          <w:lang w:val="en-US" w:eastAsia="zh-CN"/>
        </w:rPr>
        <w:t>2</w:t>
      </w:r>
      <w:r>
        <w:rPr>
          <w:rStyle w:val="style87"/>
          <w:rFonts w:ascii="仿宋" w:cs="仿宋" w:eastAsia="仿宋" w:hAnsi="仿宋" w:hint="eastAsia"/>
          <w:bCs/>
          <w:color w:val="000000"/>
          <w:sz w:val="32"/>
          <w:szCs w:val="32"/>
        </w:rPr>
        <w:t>.社会保障和就业（类）</w:t>
      </w:r>
      <w:r>
        <w:rPr>
          <w:rStyle w:val="style87"/>
          <w:rFonts w:ascii="仿宋" w:cs="仿宋" w:eastAsia="仿宋" w:hAnsi="仿宋" w:hint="eastAsia"/>
          <w:bCs/>
          <w:color w:val="000000"/>
          <w:sz w:val="32"/>
          <w:szCs w:val="32"/>
          <w:lang w:eastAsia="zh-CN"/>
        </w:rPr>
        <w:t>行政事业单位离退休</w:t>
      </w:r>
      <w:r>
        <w:rPr>
          <w:rStyle w:val="style87"/>
          <w:rFonts w:ascii="仿宋" w:cs="仿宋" w:eastAsia="仿宋" w:hAnsi="仿宋" w:hint="eastAsia"/>
          <w:bCs/>
          <w:color w:val="000000"/>
          <w:sz w:val="32"/>
          <w:szCs w:val="32"/>
        </w:rPr>
        <w:t>（款）</w:t>
      </w:r>
      <w:r>
        <w:rPr>
          <w:rStyle w:val="style87"/>
          <w:rFonts w:ascii="仿宋" w:cs="仿宋" w:eastAsia="仿宋" w:hAnsi="仿宋" w:hint="eastAsia"/>
          <w:bCs/>
          <w:color w:val="000000"/>
          <w:sz w:val="32"/>
          <w:szCs w:val="32"/>
          <w:lang w:eastAsia="zh-CN"/>
        </w:rPr>
        <w:t>机关事业单位基本养老保险缴费支出</w:t>
      </w:r>
      <w:r>
        <w:rPr>
          <w:rStyle w:val="style87"/>
          <w:rFonts w:ascii="仿宋" w:cs="仿宋" w:eastAsia="仿宋" w:hAnsi="仿宋" w:hint="eastAsia"/>
          <w:bCs/>
          <w:color w:val="000000"/>
          <w:sz w:val="32"/>
          <w:szCs w:val="32"/>
        </w:rPr>
        <w:t>（项）:</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23.5</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spacing w:lineRule="exact" w:line="600"/>
        <w:ind w:firstLine="643" w:firstLineChars="200"/>
        <w:rPr>
          <w:rStyle w:val="style87"/>
          <w:rFonts w:ascii="仿宋" w:cs="仿宋" w:eastAsia="仿宋" w:hAnsi="仿宋" w:hint="eastAsia"/>
          <w:b w:val="false"/>
          <w:bCs/>
          <w:color w:val="000000"/>
          <w:sz w:val="32"/>
          <w:szCs w:val="32"/>
        </w:rPr>
      </w:pPr>
      <w:r>
        <w:rPr>
          <w:rStyle w:val="style87"/>
          <w:rFonts w:ascii="仿宋" w:cs="仿宋" w:eastAsia="仿宋" w:hAnsi="仿宋" w:hint="eastAsia"/>
          <w:bCs/>
          <w:color w:val="000000"/>
          <w:sz w:val="32"/>
          <w:szCs w:val="32"/>
        </w:rPr>
        <w:t>社会保障和就业（类）</w:t>
      </w:r>
      <w:r>
        <w:rPr>
          <w:rStyle w:val="style87"/>
          <w:rFonts w:ascii="仿宋" w:cs="仿宋" w:eastAsia="仿宋" w:hAnsi="仿宋" w:hint="eastAsia"/>
          <w:bCs/>
          <w:color w:val="000000"/>
          <w:sz w:val="32"/>
          <w:szCs w:val="32"/>
          <w:lang w:eastAsia="zh-CN"/>
        </w:rPr>
        <w:t>行政事业单位离退休</w:t>
      </w:r>
      <w:r>
        <w:rPr>
          <w:rStyle w:val="style87"/>
          <w:rFonts w:ascii="仿宋" w:cs="仿宋" w:eastAsia="仿宋" w:hAnsi="仿宋" w:hint="eastAsia"/>
          <w:bCs/>
          <w:color w:val="000000"/>
          <w:sz w:val="32"/>
          <w:szCs w:val="32"/>
        </w:rPr>
        <w:t>（款）</w:t>
      </w:r>
      <w:r>
        <w:rPr>
          <w:rStyle w:val="style87"/>
          <w:rFonts w:ascii="仿宋" w:cs="仿宋" w:eastAsia="仿宋" w:hAnsi="仿宋" w:hint="eastAsia"/>
          <w:bCs/>
          <w:color w:val="000000"/>
          <w:sz w:val="32"/>
          <w:szCs w:val="32"/>
          <w:lang w:eastAsia="zh-CN"/>
        </w:rPr>
        <w:t>机关事业单位职业年金缴费支出</w:t>
      </w:r>
      <w:r>
        <w:rPr>
          <w:rStyle w:val="style87"/>
          <w:rFonts w:ascii="仿宋" w:cs="仿宋" w:eastAsia="仿宋" w:hAnsi="仿宋" w:hint="eastAsia"/>
          <w:bCs/>
          <w:color w:val="000000"/>
          <w:sz w:val="32"/>
          <w:szCs w:val="32"/>
        </w:rPr>
        <w:t>（项）:</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9.4</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spacing w:lineRule="exact" w:line="600"/>
        <w:ind w:firstLine="643" w:firstLineChars="200"/>
        <w:rPr>
          <w:rFonts w:ascii="仿宋" w:cs="仿宋" w:eastAsia="仿宋" w:hAnsi="仿宋" w:hint="eastAsia"/>
          <w:b/>
          <w:color w:val="000000"/>
          <w:sz w:val="32"/>
          <w:szCs w:val="32"/>
        </w:rPr>
      </w:pPr>
      <w:r>
        <w:rPr>
          <w:rStyle w:val="style87"/>
          <w:rFonts w:ascii="仿宋" w:cs="仿宋" w:eastAsia="仿宋" w:hAnsi="仿宋" w:hint="eastAsia"/>
          <w:bCs/>
          <w:color w:val="000000"/>
          <w:sz w:val="32"/>
          <w:szCs w:val="32"/>
          <w:lang w:val="en-US" w:eastAsia="zh-CN"/>
        </w:rPr>
        <w:t>3</w:t>
      </w:r>
      <w:r>
        <w:rPr>
          <w:rStyle w:val="style87"/>
          <w:rFonts w:ascii="仿宋" w:cs="仿宋" w:eastAsia="仿宋" w:hAnsi="仿宋" w:hint="eastAsia"/>
          <w:bCs/>
          <w:color w:val="000000"/>
          <w:sz w:val="32"/>
          <w:szCs w:val="32"/>
        </w:rPr>
        <w:t>.医疗卫生与计划生育（类）</w:t>
      </w:r>
      <w:r>
        <w:rPr>
          <w:rStyle w:val="style87"/>
          <w:rFonts w:ascii="仿宋" w:cs="仿宋" w:eastAsia="仿宋" w:hAnsi="仿宋" w:hint="eastAsia"/>
          <w:bCs/>
          <w:color w:val="000000"/>
          <w:sz w:val="32"/>
          <w:szCs w:val="32"/>
          <w:lang w:eastAsia="zh-CN"/>
        </w:rPr>
        <w:t>行政事业单位医疗</w:t>
      </w:r>
      <w:r>
        <w:rPr>
          <w:rStyle w:val="style87"/>
          <w:rFonts w:ascii="仿宋" w:cs="仿宋" w:eastAsia="仿宋" w:hAnsi="仿宋" w:hint="eastAsia"/>
          <w:bCs/>
          <w:color w:val="000000"/>
          <w:sz w:val="32"/>
          <w:szCs w:val="32"/>
        </w:rPr>
        <w:t>（款）</w:t>
      </w:r>
      <w:r>
        <w:rPr>
          <w:rStyle w:val="style87"/>
          <w:rFonts w:ascii="仿宋" w:cs="仿宋" w:eastAsia="仿宋" w:hAnsi="仿宋" w:hint="eastAsia"/>
          <w:bCs/>
          <w:color w:val="000000"/>
          <w:sz w:val="32"/>
          <w:szCs w:val="32"/>
          <w:lang w:eastAsia="zh-CN"/>
        </w:rPr>
        <w:t>事业单位医疗</w:t>
      </w:r>
      <w:r>
        <w:rPr>
          <w:rStyle w:val="style87"/>
          <w:rFonts w:ascii="仿宋" w:cs="仿宋" w:eastAsia="仿宋" w:hAnsi="仿宋" w:hint="eastAsia"/>
          <w:bCs/>
          <w:color w:val="000000"/>
          <w:sz w:val="32"/>
          <w:szCs w:val="32"/>
        </w:rPr>
        <w:t>（项）:</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7.73</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spacing w:lineRule="exact" w:line="600"/>
        <w:ind w:firstLine="640"/>
        <w:rPr>
          <w:rStyle w:val="style87"/>
          <w:rFonts w:ascii="仿宋" w:cs="仿宋" w:eastAsia="仿宋" w:hAnsi="仿宋" w:hint="eastAsia"/>
          <w:b w:val="false"/>
          <w:bCs/>
          <w:color w:val="000000"/>
          <w:sz w:val="32"/>
          <w:szCs w:val="32"/>
        </w:rPr>
      </w:pPr>
      <w:r>
        <w:rPr>
          <w:rStyle w:val="style87"/>
          <w:rFonts w:ascii="仿宋" w:cs="仿宋" w:eastAsia="仿宋" w:hAnsi="仿宋" w:hint="eastAsia"/>
          <w:bCs/>
          <w:color w:val="000000"/>
          <w:sz w:val="32"/>
          <w:szCs w:val="32"/>
          <w:lang w:val="en-US" w:eastAsia="zh-CN"/>
        </w:rPr>
        <w:t>4.住房保障支出（类）住房改革支出（款）住房公积金（项）</w:t>
      </w:r>
      <w:r>
        <w:rPr>
          <w:rStyle w:val="style87"/>
          <w:rFonts w:ascii="仿宋" w:cs="仿宋" w:eastAsia="仿宋" w:hAnsi="仿宋" w:hint="eastAsia"/>
          <w:bCs/>
          <w:color w:val="000000"/>
          <w:sz w:val="32"/>
          <w:szCs w:val="32"/>
        </w:rPr>
        <w:t>:</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15.48</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spacing w:lineRule="exact" w:line="600"/>
        <w:ind w:firstLine="640"/>
        <w:rPr>
          <w:rStyle w:val="style87"/>
          <w:rFonts w:ascii="仿宋" w:cs="仿宋" w:eastAsia="仿宋" w:hAnsi="仿宋" w:hint="eastAsia"/>
          <w:b w:val="false"/>
          <w:bCs/>
          <w:color w:val="000000"/>
          <w:sz w:val="32"/>
          <w:szCs w:val="32"/>
        </w:rPr>
      </w:pPr>
      <w:r>
        <w:rPr>
          <w:rStyle w:val="style87"/>
          <w:rFonts w:ascii="仿宋" w:cs="仿宋" w:eastAsia="仿宋" w:hAnsi="仿宋" w:hint="eastAsia"/>
          <w:bCs/>
          <w:color w:val="000000"/>
          <w:sz w:val="32"/>
          <w:szCs w:val="32"/>
          <w:lang w:val="en-US" w:eastAsia="zh-CN"/>
        </w:rPr>
        <w:t>住房保障支出（类）住房改革支出（款）购房补贴（项）</w:t>
      </w:r>
      <w:r>
        <w:rPr>
          <w:rStyle w:val="style87"/>
          <w:rFonts w:ascii="仿宋" w:cs="仿宋" w:eastAsia="仿宋" w:hAnsi="仿宋" w:hint="eastAsia"/>
          <w:bCs/>
          <w:color w:val="000000"/>
          <w:sz w:val="32"/>
          <w:szCs w:val="32"/>
        </w:rPr>
        <w:t>:</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1.26</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numPr>
          <w:ilvl w:val="0"/>
          <w:numId w:val="2"/>
        </w:numPr>
        <w:spacing w:lineRule="exact" w:line="600"/>
        <w:ind w:firstLine="640"/>
        <w:rPr>
          <w:rStyle w:val="style87"/>
          <w:rFonts w:ascii="仿宋" w:cs="仿宋" w:eastAsia="仿宋" w:hAnsi="仿宋" w:hint="eastAsia"/>
          <w:b w:val="false"/>
          <w:bCs/>
          <w:color w:val="000000"/>
          <w:sz w:val="32"/>
          <w:szCs w:val="32"/>
        </w:rPr>
      </w:pPr>
      <w:r>
        <w:rPr>
          <w:rStyle w:val="style87"/>
          <w:rFonts w:ascii="仿宋" w:cs="仿宋" w:eastAsia="仿宋" w:hAnsi="仿宋" w:hint="eastAsia"/>
          <w:bCs/>
          <w:color w:val="000000"/>
          <w:sz w:val="32"/>
          <w:szCs w:val="32"/>
          <w:lang w:val="en-US" w:eastAsia="zh-CN"/>
        </w:rPr>
        <w:t>粮油物资储备支出（类）粮油事务（款）事业运行（项）</w:t>
      </w:r>
      <w:r>
        <w:rPr>
          <w:rStyle w:val="style87"/>
          <w:rFonts w:ascii="仿宋" w:cs="仿宋" w:eastAsia="仿宋" w:hAnsi="仿宋" w:hint="eastAsia"/>
          <w:bCs/>
          <w:color w:val="000000"/>
          <w:sz w:val="32"/>
          <w:szCs w:val="32"/>
        </w:rPr>
        <w:t>:</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182.24</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p>
    <w:p>
      <w:pPr>
        <w:pStyle w:val="style0"/>
        <w:numPr>
          <w:ilvl w:val="0"/>
          <w:numId w:val="0"/>
        </w:numPr>
        <w:spacing w:lineRule="exact" w:line="600"/>
        <w:ind w:firstLine="640"/>
        <w:rPr>
          <w:rStyle w:val="style87"/>
          <w:rFonts w:ascii="仿宋" w:cs="仿宋" w:eastAsia="仿宋" w:hAnsi="仿宋" w:hint="eastAsia"/>
          <w:b w:val="false"/>
          <w:bCs/>
          <w:color w:val="000000"/>
          <w:sz w:val="32"/>
          <w:szCs w:val="32"/>
          <w:lang w:eastAsia="zh-CN"/>
        </w:rPr>
      </w:pPr>
      <w:r>
        <w:rPr>
          <w:rStyle w:val="style87"/>
          <w:rFonts w:ascii="仿宋" w:cs="仿宋" w:eastAsia="仿宋" w:hAnsi="仿宋" w:hint="eastAsia"/>
          <w:bCs/>
          <w:color w:val="000000"/>
          <w:sz w:val="32"/>
          <w:szCs w:val="32"/>
          <w:lang w:val="en-US" w:eastAsia="zh-CN"/>
        </w:rPr>
        <w:t>粮油物资储备支出（类）粮油储备（款）储备粮油补贴（项）</w:t>
      </w:r>
      <w:r>
        <w:rPr>
          <w:rStyle w:val="style87"/>
          <w:rFonts w:ascii="仿宋" w:cs="仿宋" w:eastAsia="仿宋" w:hAnsi="仿宋" w:hint="eastAsia"/>
          <w:bCs/>
          <w:color w:val="000000"/>
          <w:sz w:val="32"/>
          <w:szCs w:val="32"/>
        </w:rPr>
        <w:t>:</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45.53</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r>
        <w:rPr>
          <w:rStyle w:val="style87"/>
          <w:rFonts w:ascii="仿宋" w:cs="仿宋" w:eastAsia="仿宋" w:hAnsi="仿宋" w:hint="eastAsia"/>
          <w:b w:val="false"/>
          <w:bCs/>
          <w:color w:val="000000"/>
          <w:sz w:val="32"/>
          <w:szCs w:val="32"/>
          <w:lang w:eastAsia="zh-CN"/>
        </w:rPr>
        <w:t>。</w:t>
      </w:r>
    </w:p>
    <w:p>
      <w:pPr>
        <w:pStyle w:val="style0"/>
        <w:numPr>
          <w:ilvl w:val="0"/>
          <w:numId w:val="0"/>
        </w:numPr>
        <w:spacing w:lineRule="exact" w:line="600"/>
        <w:ind w:firstLine="643" w:firstLineChars="200"/>
        <w:rPr>
          <w:rStyle w:val="style87"/>
          <w:rFonts w:ascii="仿宋" w:cs="仿宋" w:eastAsia="仿宋" w:hAnsi="仿宋" w:hint="eastAsia"/>
          <w:b w:val="false"/>
          <w:bCs/>
          <w:color w:val="000000"/>
          <w:sz w:val="32"/>
          <w:szCs w:val="32"/>
          <w:lang w:val="en-US" w:eastAsia="zh-CN"/>
        </w:rPr>
      </w:pPr>
      <w:r>
        <w:rPr>
          <w:rStyle w:val="style87"/>
          <w:rFonts w:ascii="仿宋" w:cs="仿宋" w:eastAsia="仿宋" w:hAnsi="仿宋" w:hint="eastAsia"/>
          <w:bCs/>
          <w:color w:val="000000"/>
          <w:sz w:val="32"/>
          <w:szCs w:val="32"/>
          <w:lang w:val="en-US" w:eastAsia="zh-CN"/>
        </w:rPr>
        <w:t>粮油物资储备支出（类）粮油储备（款）储备粮（油）库建设（项）</w:t>
      </w:r>
      <w:r>
        <w:rPr>
          <w:rStyle w:val="style87"/>
          <w:rFonts w:ascii="仿宋" w:cs="仿宋" w:eastAsia="仿宋" w:hAnsi="仿宋" w:hint="eastAsia"/>
          <w:bCs/>
          <w:color w:val="000000"/>
          <w:sz w:val="32"/>
          <w:szCs w:val="32"/>
        </w:rPr>
        <w:t>:</w:t>
      </w:r>
      <w:r>
        <w:rPr>
          <w:rStyle w:val="style87"/>
          <w:rFonts w:ascii="仿宋" w:cs="仿宋" w:eastAsia="仿宋" w:hAnsi="仿宋" w:hint="eastAsia"/>
          <w:b w:val="false"/>
          <w:bCs/>
          <w:color w:val="000000"/>
          <w:sz w:val="32"/>
          <w:szCs w:val="32"/>
        </w:rPr>
        <w:t>支出决算为</w:t>
      </w:r>
      <w:r>
        <w:rPr>
          <w:rStyle w:val="style87"/>
          <w:rFonts w:ascii="仿宋" w:cs="仿宋" w:eastAsia="仿宋" w:hAnsi="仿宋" w:hint="eastAsia"/>
          <w:b w:val="false"/>
          <w:bCs/>
          <w:color w:val="000000"/>
          <w:sz w:val="32"/>
          <w:szCs w:val="32"/>
          <w:lang w:val="en-US" w:eastAsia="zh-CN"/>
        </w:rPr>
        <w:t>70</w:t>
      </w:r>
      <w:r>
        <w:rPr>
          <w:rStyle w:val="style87"/>
          <w:rFonts w:ascii="仿宋" w:cs="仿宋" w:eastAsia="仿宋" w:hAnsi="仿宋" w:hint="eastAsia"/>
          <w:b w:val="false"/>
          <w:bCs/>
          <w:color w:val="000000"/>
          <w:sz w:val="32"/>
          <w:szCs w:val="32"/>
        </w:rPr>
        <w:t>万元，完成预算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r>
        <w:rPr>
          <w:rStyle w:val="style87"/>
          <w:rFonts w:ascii="仿宋" w:cs="仿宋" w:eastAsia="仿宋" w:hAnsi="仿宋" w:hint="eastAsia"/>
          <w:b w:val="false"/>
          <w:bCs/>
          <w:color w:val="000000"/>
          <w:sz w:val="32"/>
          <w:szCs w:val="32"/>
          <w:lang w:eastAsia="zh-CN"/>
        </w:rPr>
        <w:t>。</w:t>
      </w:r>
    </w:p>
    <w:bookmarkStart w:id="41" w:name="_Toc15377214"/>
    <w:bookmarkStart w:id="42" w:name="_Toc15396608"/>
    <w:p>
      <w:pPr>
        <w:pStyle w:val="style0"/>
        <w:tabs>
          <w:tab w:val="right" w:leader="none" w:pos="8306"/>
        </w:tabs>
        <w:spacing w:lineRule="exact" w:line="600"/>
        <w:ind w:firstLine="640" w:firstLineChars="200"/>
        <w:outlineLvl w:val="1"/>
        <w:rPr>
          <w:rStyle w:val="style4105"/>
        </w:rPr>
      </w:pPr>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style4105"/>
          <w:rFonts w:ascii="黑体" w:eastAsia="黑体" w:hAnsi="黑体" w:hint="eastAsia"/>
          <w:b w:val="false"/>
        </w:rPr>
        <w:t>般公共预算财政拨款基本支出决算情况说明</w:t>
      </w:r>
      <w:bookmarkEnd w:id="41"/>
      <w:bookmarkEnd w:id="42"/>
      <w:r>
        <w:rPr>
          <w:rStyle w:val="style4105"/>
          <w:rFonts w:ascii="黑体" w:eastAsia="黑体" w:hAnsi="黑体"/>
          <w:b w:val="false"/>
        </w:rPr>
        <w:tab/>
      </w:r>
    </w:p>
    <w:p>
      <w:pPr>
        <w:pStyle w:val="style0"/>
        <w:spacing w:lineRule="exact" w:line="600"/>
        <w:ind w:firstLine="645"/>
        <w:rPr>
          <w:rFonts w:ascii="仿宋" w:cs="仿宋" w:eastAsia="仿宋" w:hAnsi="仿宋" w:hint="eastAsia"/>
          <w:color w:val="000000"/>
          <w:sz w:val="32"/>
          <w:szCs w:val="32"/>
        </w:rPr>
      </w:pPr>
      <w:r>
        <w:rPr>
          <w:rFonts w:ascii="仿宋" w:cs="仿宋" w:eastAsia="仿宋" w:hAnsi="仿宋" w:hint="eastAsia"/>
          <w:color w:val="000000"/>
          <w:sz w:val="32"/>
          <w:szCs w:val="32"/>
        </w:rPr>
        <w:t>2018年一般公共预算财政拨款基本支出</w:t>
      </w:r>
      <w:r>
        <w:rPr>
          <w:rFonts w:ascii="仿宋" w:cs="仿宋" w:eastAsia="仿宋" w:hAnsi="仿宋" w:hint="eastAsia"/>
          <w:color w:val="000000"/>
          <w:sz w:val="32"/>
          <w:szCs w:val="32"/>
          <w:lang w:val="en-US" w:eastAsia="zh-CN"/>
        </w:rPr>
        <w:t>239.61</w:t>
      </w:r>
      <w:r>
        <w:rPr>
          <w:rFonts w:ascii="仿宋" w:cs="仿宋" w:eastAsia="仿宋" w:hAnsi="仿宋" w:hint="eastAsia"/>
          <w:color w:val="000000"/>
          <w:sz w:val="32"/>
          <w:szCs w:val="32"/>
        </w:rPr>
        <w:t>万元，其中：</w:t>
      </w:r>
    </w:p>
    <w:p>
      <w:pPr>
        <w:pStyle w:val="style0"/>
        <w:spacing w:lineRule="exact" w:line="600"/>
        <w:ind w:firstLine="645"/>
        <w:rPr>
          <w:rFonts w:ascii="仿宋" w:eastAsia="仿宋" w:hAnsi="仿宋"/>
          <w:color w:val="000000"/>
          <w:sz w:val="32"/>
          <w:szCs w:val="32"/>
        </w:rPr>
      </w:pPr>
      <w:r>
        <w:rPr>
          <w:rFonts w:ascii="仿宋" w:cs="仿宋" w:eastAsia="仿宋" w:hAnsi="仿宋" w:hint="eastAsia"/>
          <w:color w:val="000000"/>
          <w:sz w:val="32"/>
          <w:szCs w:val="32"/>
        </w:rPr>
        <w:t>人员经费</w:t>
      </w:r>
      <w:r>
        <w:rPr>
          <w:rFonts w:ascii="仿宋" w:cs="仿宋" w:eastAsia="仿宋" w:hAnsi="仿宋" w:hint="eastAsia"/>
          <w:color w:val="000000"/>
          <w:sz w:val="32"/>
          <w:szCs w:val="32"/>
          <w:lang w:val="en-US" w:eastAsia="zh-CN"/>
        </w:rPr>
        <w:t>218.37</w:t>
      </w:r>
      <w:r>
        <w:rPr>
          <w:rFonts w:ascii="仿宋" w:cs="仿宋" w:eastAsia="仿宋" w:hAnsi="仿宋" w:hint="eastAsia"/>
          <w:color w:val="000000"/>
          <w:sz w:val="32"/>
          <w:szCs w:val="32"/>
        </w:rPr>
        <w:t>万元，主要包括：基本工资</w:t>
      </w:r>
      <w:r>
        <w:rPr>
          <w:rFonts w:ascii="仿宋" w:cs="仿宋" w:eastAsia="仿宋" w:hAnsi="仿宋" w:hint="eastAsia"/>
          <w:color w:val="000000"/>
          <w:sz w:val="32"/>
          <w:szCs w:val="32"/>
          <w:lang w:val="en-US" w:eastAsia="zh-CN"/>
        </w:rPr>
        <w:t>41.96万元</w:t>
      </w:r>
      <w:r>
        <w:rPr>
          <w:rFonts w:ascii="仿宋" w:cs="仿宋" w:eastAsia="仿宋" w:hAnsi="仿宋" w:hint="eastAsia"/>
          <w:color w:val="000000"/>
          <w:sz w:val="32"/>
          <w:szCs w:val="32"/>
        </w:rPr>
        <w:t>、津贴补贴</w:t>
      </w:r>
      <w:r>
        <w:rPr>
          <w:rFonts w:ascii="仿宋" w:cs="仿宋" w:eastAsia="仿宋" w:hAnsi="仿宋" w:hint="eastAsia"/>
          <w:color w:val="000000"/>
          <w:sz w:val="32"/>
          <w:szCs w:val="32"/>
          <w:lang w:val="en-US" w:eastAsia="zh-CN"/>
        </w:rPr>
        <w:t>85.19万元</w:t>
      </w:r>
      <w:r>
        <w:rPr>
          <w:rFonts w:ascii="仿宋" w:cs="仿宋" w:eastAsia="仿宋" w:hAnsi="仿宋" w:hint="eastAsia"/>
          <w:color w:val="000000"/>
          <w:sz w:val="32"/>
          <w:szCs w:val="32"/>
        </w:rPr>
        <w:t>、奖金</w:t>
      </w:r>
      <w:r>
        <w:rPr>
          <w:rFonts w:ascii="仿宋" w:cs="仿宋" w:eastAsia="仿宋" w:hAnsi="仿宋" w:hint="eastAsia"/>
          <w:color w:val="000000"/>
          <w:sz w:val="32"/>
          <w:szCs w:val="32"/>
          <w:lang w:val="en-US" w:eastAsia="zh-CN"/>
        </w:rPr>
        <w:t>30.20万元</w:t>
      </w:r>
      <w:r>
        <w:rPr>
          <w:rFonts w:ascii="仿宋" w:cs="仿宋" w:eastAsia="仿宋" w:hAnsi="仿宋" w:hint="eastAsia"/>
          <w:color w:val="000000"/>
          <w:sz w:val="32"/>
          <w:szCs w:val="32"/>
        </w:rPr>
        <w:t>、伙食补助费</w:t>
      </w:r>
      <w:r>
        <w:rPr>
          <w:rFonts w:ascii="仿宋" w:cs="仿宋" w:eastAsia="仿宋" w:hAnsi="仿宋" w:hint="eastAsia"/>
          <w:color w:val="000000"/>
          <w:sz w:val="32"/>
          <w:szCs w:val="32"/>
          <w:lang w:val="en-US" w:eastAsia="zh-CN"/>
        </w:rPr>
        <w:t>0.72万元</w:t>
      </w:r>
      <w:r>
        <w:rPr>
          <w:rFonts w:ascii="仿宋" w:cs="仿宋" w:eastAsia="仿宋" w:hAnsi="仿宋" w:hint="eastAsia"/>
          <w:color w:val="000000"/>
          <w:sz w:val="32"/>
          <w:szCs w:val="32"/>
        </w:rPr>
        <w:t>、机关事业单位基本养老保险缴费</w:t>
      </w:r>
      <w:r>
        <w:rPr>
          <w:rFonts w:ascii="仿宋" w:cs="仿宋" w:eastAsia="仿宋" w:hAnsi="仿宋" w:hint="eastAsia"/>
          <w:color w:val="000000"/>
          <w:sz w:val="32"/>
          <w:szCs w:val="32"/>
          <w:lang w:val="en-US" w:eastAsia="zh-CN"/>
        </w:rPr>
        <w:t>23.5万元</w:t>
      </w:r>
      <w:r>
        <w:rPr>
          <w:rFonts w:ascii="仿宋" w:cs="仿宋" w:eastAsia="仿宋" w:hAnsi="仿宋" w:hint="eastAsia"/>
          <w:color w:val="000000"/>
          <w:sz w:val="32"/>
          <w:szCs w:val="32"/>
        </w:rPr>
        <w:t>、职业年金缴费</w:t>
      </w:r>
      <w:r>
        <w:rPr>
          <w:rFonts w:ascii="仿宋" w:cs="仿宋" w:eastAsia="仿宋" w:hAnsi="仿宋" w:hint="eastAsia"/>
          <w:color w:val="000000"/>
          <w:sz w:val="32"/>
          <w:szCs w:val="32"/>
          <w:lang w:val="en-US" w:eastAsia="zh-CN"/>
        </w:rPr>
        <w:t>9.4万元</w:t>
      </w:r>
      <w:r>
        <w:rPr>
          <w:rFonts w:ascii="仿宋" w:cs="仿宋" w:eastAsia="仿宋" w:hAnsi="仿宋" w:hint="eastAsia"/>
          <w:color w:val="000000"/>
          <w:sz w:val="32"/>
          <w:szCs w:val="32"/>
        </w:rPr>
        <w:t>、职工基本医疗保险缴费</w:t>
      </w:r>
      <w:r>
        <w:rPr>
          <w:rFonts w:ascii="仿宋" w:cs="仿宋" w:eastAsia="仿宋" w:hAnsi="仿宋" w:hint="eastAsia"/>
          <w:color w:val="000000"/>
          <w:sz w:val="32"/>
          <w:szCs w:val="32"/>
          <w:lang w:val="en-US" w:eastAsia="zh-CN"/>
        </w:rPr>
        <w:t>7.73万元、</w:t>
      </w:r>
      <w:r>
        <w:rPr>
          <w:rFonts w:ascii="仿宋" w:cs="仿宋" w:eastAsia="仿宋" w:hAnsi="仿宋" w:hint="eastAsia"/>
          <w:color w:val="000000"/>
          <w:sz w:val="32"/>
          <w:szCs w:val="32"/>
        </w:rPr>
        <w:t>其他社会保障缴费</w:t>
      </w:r>
      <w:r>
        <w:rPr>
          <w:rFonts w:ascii="仿宋" w:cs="仿宋" w:eastAsia="仿宋" w:hAnsi="仿宋" w:hint="eastAsia"/>
          <w:color w:val="000000"/>
          <w:sz w:val="32"/>
          <w:szCs w:val="32"/>
          <w:lang w:val="en-US" w:eastAsia="zh-CN"/>
        </w:rPr>
        <w:t>2.5万元</w:t>
      </w:r>
      <w:r>
        <w:rPr>
          <w:rFonts w:ascii="仿宋" w:cs="仿宋" w:eastAsia="仿宋" w:hAnsi="仿宋" w:hint="eastAsia"/>
          <w:color w:val="000000"/>
          <w:sz w:val="32"/>
          <w:szCs w:val="32"/>
        </w:rPr>
        <w:t>、生活补助</w:t>
      </w:r>
      <w:r>
        <w:rPr>
          <w:rFonts w:ascii="仿宋" w:cs="仿宋" w:eastAsia="仿宋" w:hAnsi="仿宋" w:hint="eastAsia"/>
          <w:color w:val="000000"/>
          <w:sz w:val="32"/>
          <w:szCs w:val="32"/>
          <w:lang w:val="en-US" w:eastAsia="zh-CN"/>
        </w:rPr>
        <w:t>1万元</w:t>
      </w:r>
      <w:r>
        <w:rPr>
          <w:rFonts w:ascii="仿宋" w:cs="仿宋" w:eastAsia="仿宋" w:hAnsi="仿宋" w:hint="eastAsia"/>
          <w:color w:val="000000"/>
          <w:sz w:val="32"/>
          <w:szCs w:val="32"/>
        </w:rPr>
        <w:t>、医疗费</w:t>
      </w:r>
      <w:r>
        <w:rPr>
          <w:rFonts w:ascii="仿宋" w:cs="仿宋" w:eastAsia="仿宋" w:hAnsi="仿宋" w:hint="eastAsia"/>
          <w:color w:val="000000"/>
          <w:sz w:val="32"/>
          <w:szCs w:val="32"/>
          <w:lang w:val="en-US" w:eastAsia="zh-CN"/>
        </w:rPr>
        <w:t>0.69万元</w:t>
      </w:r>
      <w:r>
        <w:rPr>
          <w:rFonts w:ascii="仿宋" w:cs="仿宋" w:eastAsia="仿宋" w:hAnsi="仿宋" w:hint="eastAsia"/>
          <w:color w:val="000000"/>
          <w:sz w:val="32"/>
          <w:szCs w:val="32"/>
        </w:rPr>
        <w:t>、住房公积金</w:t>
      </w:r>
      <w:r>
        <w:rPr>
          <w:rFonts w:ascii="仿宋" w:cs="仿宋" w:eastAsia="仿宋" w:hAnsi="仿宋" w:hint="eastAsia"/>
          <w:color w:val="000000"/>
          <w:sz w:val="32"/>
          <w:szCs w:val="32"/>
          <w:lang w:val="en-US" w:eastAsia="zh-CN"/>
        </w:rPr>
        <w:t>15.48万元</w:t>
      </w:r>
      <w:r>
        <w:rPr>
          <w:rFonts w:ascii="仿宋" w:cs="仿宋" w:eastAsia="仿宋" w:hAnsi="仿宋" w:hint="eastAsia"/>
          <w:color w:val="000000"/>
          <w:sz w:val="32"/>
          <w:szCs w:val="32"/>
        </w:rPr>
        <w:t>。</w:t>
      </w:r>
      <w:r>
        <w:rPr>
          <w:rFonts w:ascii="仿宋" w:cs="仿宋" w:eastAsia="仿宋" w:hAnsi="仿宋" w:hint="eastAsia"/>
          <w:color w:val="000000"/>
          <w:sz w:val="32"/>
          <w:szCs w:val="32"/>
        </w:rPr>
        <w:br/>
      </w:r>
      <w:r>
        <w:rPr>
          <w:rFonts w:ascii="仿宋" w:cs="仿宋" w:eastAsia="仿宋" w:hAnsi="仿宋" w:hint="eastAsia"/>
          <w:color w:val="000000"/>
          <w:sz w:val="32"/>
          <w:szCs w:val="32"/>
        </w:rPr>
        <w:t>　　公用经费</w:t>
      </w:r>
      <w:r>
        <w:rPr>
          <w:rFonts w:ascii="仿宋" w:cs="仿宋" w:eastAsia="仿宋" w:hAnsi="仿宋" w:hint="eastAsia"/>
          <w:color w:val="000000"/>
          <w:sz w:val="32"/>
          <w:szCs w:val="32"/>
          <w:lang w:val="en-US" w:eastAsia="zh-CN"/>
        </w:rPr>
        <w:t>21.24</w:t>
      </w:r>
      <w:r>
        <w:rPr>
          <w:rFonts w:ascii="仿宋" w:cs="仿宋" w:eastAsia="仿宋" w:hAnsi="仿宋" w:hint="eastAsia"/>
          <w:color w:val="000000"/>
          <w:sz w:val="32"/>
          <w:szCs w:val="32"/>
        </w:rPr>
        <w:t>万元，主要包括：办公费</w:t>
      </w:r>
      <w:r>
        <w:rPr>
          <w:rFonts w:ascii="仿宋" w:cs="仿宋" w:eastAsia="仿宋" w:hAnsi="仿宋" w:hint="eastAsia"/>
          <w:color w:val="000000"/>
          <w:sz w:val="32"/>
          <w:szCs w:val="32"/>
          <w:lang w:val="en-US" w:eastAsia="zh-CN"/>
        </w:rPr>
        <w:t>4.92万元</w:t>
      </w:r>
      <w:r>
        <w:rPr>
          <w:rFonts w:ascii="仿宋" w:cs="仿宋" w:eastAsia="仿宋" w:hAnsi="仿宋" w:hint="eastAsia"/>
          <w:color w:val="000000"/>
          <w:sz w:val="32"/>
          <w:szCs w:val="32"/>
        </w:rPr>
        <w:t>、印刷费</w:t>
      </w:r>
      <w:r>
        <w:rPr>
          <w:rFonts w:ascii="仿宋" w:cs="仿宋" w:eastAsia="仿宋" w:hAnsi="仿宋" w:hint="eastAsia"/>
          <w:color w:val="000000"/>
          <w:sz w:val="32"/>
          <w:szCs w:val="32"/>
          <w:lang w:val="en-US" w:eastAsia="zh-CN"/>
        </w:rPr>
        <w:t>1.58万元</w:t>
      </w:r>
      <w:r>
        <w:rPr>
          <w:rFonts w:ascii="仿宋" w:cs="仿宋" w:eastAsia="仿宋" w:hAnsi="仿宋" w:hint="eastAsia"/>
          <w:color w:val="000000"/>
          <w:sz w:val="32"/>
          <w:szCs w:val="32"/>
        </w:rPr>
        <w:t>、手续费</w:t>
      </w:r>
      <w:r>
        <w:rPr>
          <w:rFonts w:ascii="仿宋" w:cs="仿宋" w:eastAsia="仿宋" w:hAnsi="仿宋" w:hint="eastAsia"/>
          <w:color w:val="000000"/>
          <w:sz w:val="32"/>
          <w:szCs w:val="32"/>
          <w:lang w:val="en-US" w:eastAsia="zh-CN"/>
        </w:rPr>
        <w:t>0.03万元</w:t>
      </w:r>
      <w:r>
        <w:rPr>
          <w:rFonts w:ascii="仿宋" w:cs="仿宋" w:eastAsia="仿宋" w:hAnsi="仿宋" w:hint="eastAsia"/>
          <w:color w:val="000000"/>
          <w:sz w:val="32"/>
          <w:szCs w:val="32"/>
        </w:rPr>
        <w:t>、水费</w:t>
      </w:r>
      <w:r>
        <w:rPr>
          <w:rFonts w:ascii="仿宋" w:cs="仿宋" w:eastAsia="仿宋" w:hAnsi="仿宋" w:hint="eastAsia"/>
          <w:color w:val="000000"/>
          <w:sz w:val="32"/>
          <w:szCs w:val="32"/>
          <w:lang w:val="en-US" w:eastAsia="zh-CN"/>
        </w:rPr>
        <w:t>0.02万元</w:t>
      </w:r>
      <w:r>
        <w:rPr>
          <w:rFonts w:ascii="仿宋" w:cs="仿宋" w:eastAsia="仿宋" w:hAnsi="仿宋" w:hint="eastAsia"/>
          <w:color w:val="000000"/>
          <w:sz w:val="32"/>
          <w:szCs w:val="32"/>
        </w:rPr>
        <w:t>、电费</w:t>
      </w:r>
      <w:r>
        <w:rPr>
          <w:rFonts w:ascii="仿宋" w:cs="仿宋" w:eastAsia="仿宋" w:hAnsi="仿宋" w:hint="eastAsia"/>
          <w:color w:val="000000"/>
          <w:sz w:val="32"/>
          <w:szCs w:val="32"/>
          <w:lang w:val="en-US" w:eastAsia="zh-CN"/>
        </w:rPr>
        <w:t>1.02万元</w:t>
      </w:r>
      <w:r>
        <w:rPr>
          <w:rFonts w:ascii="仿宋" w:cs="仿宋" w:eastAsia="仿宋" w:hAnsi="仿宋" w:hint="eastAsia"/>
          <w:color w:val="000000"/>
          <w:sz w:val="32"/>
          <w:szCs w:val="32"/>
        </w:rPr>
        <w:t>、邮电费</w:t>
      </w:r>
      <w:r>
        <w:rPr>
          <w:rFonts w:ascii="仿宋" w:cs="仿宋" w:eastAsia="仿宋" w:hAnsi="仿宋" w:hint="eastAsia"/>
          <w:color w:val="000000"/>
          <w:sz w:val="32"/>
          <w:szCs w:val="32"/>
          <w:lang w:val="en-US" w:eastAsia="zh-CN"/>
        </w:rPr>
        <w:t>0.58万元</w:t>
      </w:r>
      <w:r>
        <w:rPr>
          <w:rFonts w:ascii="仿宋" w:cs="仿宋" w:eastAsia="仿宋" w:hAnsi="仿宋" w:hint="eastAsia"/>
          <w:color w:val="000000"/>
          <w:sz w:val="32"/>
          <w:szCs w:val="32"/>
        </w:rPr>
        <w:t>、取暖费</w:t>
      </w:r>
      <w:r>
        <w:rPr>
          <w:rFonts w:ascii="仿宋" w:cs="仿宋" w:eastAsia="仿宋" w:hAnsi="仿宋" w:hint="eastAsia"/>
          <w:color w:val="000000"/>
          <w:sz w:val="32"/>
          <w:szCs w:val="32"/>
          <w:lang w:val="en-US" w:eastAsia="zh-CN"/>
        </w:rPr>
        <w:t>0.22万元</w:t>
      </w:r>
      <w:r>
        <w:rPr>
          <w:rFonts w:ascii="仿宋" w:cs="仿宋" w:eastAsia="仿宋" w:hAnsi="仿宋" w:hint="eastAsia"/>
          <w:color w:val="000000"/>
          <w:sz w:val="32"/>
          <w:szCs w:val="32"/>
        </w:rPr>
        <w:t>、物业管理费</w:t>
      </w:r>
      <w:r>
        <w:rPr>
          <w:rFonts w:ascii="仿宋" w:cs="仿宋" w:eastAsia="仿宋" w:hAnsi="仿宋" w:hint="eastAsia"/>
          <w:color w:val="000000"/>
          <w:sz w:val="32"/>
          <w:szCs w:val="32"/>
          <w:lang w:val="en-US" w:eastAsia="zh-CN"/>
        </w:rPr>
        <w:t>0.3万元</w:t>
      </w:r>
      <w:r>
        <w:rPr>
          <w:rFonts w:ascii="仿宋" w:cs="仿宋" w:eastAsia="仿宋" w:hAnsi="仿宋" w:hint="eastAsia"/>
          <w:color w:val="000000"/>
          <w:sz w:val="32"/>
          <w:szCs w:val="32"/>
        </w:rPr>
        <w:t>、差旅费</w:t>
      </w:r>
      <w:r>
        <w:rPr>
          <w:rFonts w:ascii="仿宋" w:cs="仿宋" w:eastAsia="仿宋" w:hAnsi="仿宋" w:hint="eastAsia"/>
          <w:color w:val="000000"/>
          <w:sz w:val="32"/>
          <w:szCs w:val="32"/>
          <w:lang w:val="en-US" w:eastAsia="zh-CN"/>
        </w:rPr>
        <w:t>3.12万元</w:t>
      </w:r>
      <w:r>
        <w:rPr>
          <w:rFonts w:ascii="仿宋" w:cs="仿宋" w:eastAsia="仿宋" w:hAnsi="仿宋" w:hint="eastAsia"/>
          <w:color w:val="000000"/>
          <w:sz w:val="32"/>
          <w:szCs w:val="32"/>
        </w:rPr>
        <w:t>、培训费</w:t>
      </w:r>
      <w:r>
        <w:rPr>
          <w:rFonts w:ascii="仿宋" w:cs="仿宋" w:eastAsia="仿宋" w:hAnsi="仿宋" w:hint="eastAsia"/>
          <w:color w:val="000000"/>
          <w:sz w:val="32"/>
          <w:szCs w:val="32"/>
          <w:lang w:val="en-US" w:eastAsia="zh-CN"/>
        </w:rPr>
        <w:t>0.39万元</w:t>
      </w:r>
      <w:r>
        <w:rPr>
          <w:rFonts w:ascii="仿宋" w:cs="仿宋" w:eastAsia="仿宋" w:hAnsi="仿宋" w:hint="eastAsia"/>
          <w:color w:val="000000"/>
          <w:sz w:val="32"/>
          <w:szCs w:val="32"/>
        </w:rPr>
        <w:t>、公务接待费</w:t>
      </w:r>
      <w:r>
        <w:rPr>
          <w:rFonts w:ascii="仿宋" w:cs="仿宋" w:eastAsia="仿宋" w:hAnsi="仿宋" w:hint="eastAsia"/>
          <w:color w:val="000000"/>
          <w:sz w:val="32"/>
          <w:szCs w:val="32"/>
          <w:lang w:val="en-US" w:eastAsia="zh-CN"/>
        </w:rPr>
        <w:t>0.06万元</w:t>
      </w:r>
      <w:r>
        <w:rPr>
          <w:rFonts w:ascii="仿宋" w:cs="仿宋" w:eastAsia="仿宋" w:hAnsi="仿宋" w:hint="eastAsia"/>
          <w:color w:val="000000"/>
          <w:sz w:val="32"/>
          <w:szCs w:val="32"/>
        </w:rPr>
        <w:t>、劳务费</w:t>
      </w:r>
      <w:r>
        <w:rPr>
          <w:rFonts w:ascii="仿宋" w:cs="仿宋" w:eastAsia="仿宋" w:hAnsi="仿宋" w:hint="eastAsia"/>
          <w:color w:val="000000"/>
          <w:sz w:val="32"/>
          <w:szCs w:val="32"/>
          <w:lang w:val="en-US" w:eastAsia="zh-CN"/>
        </w:rPr>
        <w:t>7万元</w:t>
      </w:r>
      <w:r>
        <w:rPr>
          <w:rFonts w:ascii="仿宋" w:cs="仿宋" w:eastAsia="仿宋" w:hAnsi="仿宋" w:hint="eastAsia"/>
          <w:color w:val="000000"/>
          <w:sz w:val="32"/>
          <w:szCs w:val="32"/>
        </w:rPr>
        <w:t>、其他交通费</w:t>
      </w:r>
      <w:r>
        <w:rPr>
          <w:rFonts w:ascii="仿宋" w:cs="仿宋" w:eastAsia="仿宋" w:hAnsi="仿宋" w:hint="eastAsia"/>
          <w:color w:val="000000"/>
          <w:sz w:val="32"/>
          <w:szCs w:val="32"/>
          <w:lang w:val="en-US" w:eastAsia="zh-CN"/>
        </w:rPr>
        <w:t>2万元。</w:t>
      </w:r>
    </w:p>
    <w:bookmarkStart w:id="43" w:name="_Toc15396609"/>
    <w:bookmarkStart w:id="44" w:name="_Toc15377215"/>
    <w:p>
      <w:pPr>
        <w:pStyle w:val="style0"/>
        <w:spacing w:lineRule="exact" w:line="600"/>
        <w:ind w:firstLine="640" w:firstLineChars="200"/>
        <w:outlineLvl w:val="1"/>
        <w:rPr>
          <w:rStyle w:val="style4105"/>
          <w:rFonts w:ascii="黑体" w:eastAsia="黑体" w:hAnsi="黑体"/>
          <w:b w:val="false"/>
        </w:rPr>
      </w:pPr>
      <w:r>
        <w:rPr>
          <w:rFonts w:ascii="黑体" w:eastAsia="黑体" w:hint="eastAsia"/>
          <w:color w:val="000000"/>
          <w:sz w:val="32"/>
          <w:szCs w:val="32"/>
        </w:rPr>
        <w:t>七、</w:t>
      </w:r>
      <w:r>
        <w:rPr>
          <w:rStyle w:val="style4105"/>
          <w:rFonts w:ascii="黑体" w:eastAsia="黑体" w:hAnsi="黑体" w:hint="eastAsia"/>
        </w:rPr>
        <w:t>“</w:t>
      </w:r>
      <w:r>
        <w:rPr>
          <w:rStyle w:val="style4105"/>
          <w:rFonts w:ascii="黑体" w:eastAsia="黑体" w:hAnsi="黑体" w:hint="eastAsia"/>
          <w:b w:val="false"/>
        </w:rPr>
        <w:t>三公”经费财政拨款支出决算情况说明</w:t>
      </w:r>
      <w:bookmarkEnd w:id="43"/>
      <w:bookmarkEnd w:id="44"/>
    </w:p>
    <w:bookmarkStart w:id="45" w:name="_Toc15377216"/>
    <w:p>
      <w:pPr>
        <w:pStyle w:val="style0"/>
        <w:spacing w:lineRule="exact" w:line="600"/>
        <w:ind w:firstLine="640"/>
        <w:outlineLvl w:val="2"/>
        <w:rPr>
          <w:rFonts w:ascii="仿宋" w:eastAsia="仿宋" w:hAnsi="仿宋"/>
          <w:b/>
          <w:color w:val="000000"/>
          <w:sz w:val="32"/>
          <w:szCs w:val="32"/>
        </w:rPr>
      </w:pPr>
      <w:r>
        <w:rPr>
          <w:rFonts w:ascii="仿宋" w:eastAsia="仿宋" w:hAnsi="仿宋" w:hint="eastAsia"/>
          <w:b/>
          <w:color w:val="000000"/>
          <w:sz w:val="32"/>
          <w:szCs w:val="32"/>
        </w:rPr>
        <w:t>（一）“三公”经费财政拨款支出决算总体情况说明</w:t>
      </w:r>
      <w:bookmarkEnd w:id="45"/>
    </w:p>
    <w:p>
      <w:pPr>
        <w:pStyle w:val="style0"/>
        <w:spacing w:lineRule="exact" w:line="600"/>
        <w:ind w:firstLine="640"/>
        <w:rPr>
          <w:rFonts w:ascii="仿宋" w:eastAsia="仿宋" w:hAnsi="仿宋"/>
          <w:color w:val="000000"/>
          <w:sz w:val="32"/>
          <w:szCs w:val="32"/>
        </w:rPr>
      </w:pPr>
      <w:r>
        <w:rPr>
          <w:rFonts w:ascii="仿宋" w:cs="仿宋" w:eastAsia="仿宋" w:hAnsi="仿宋" w:hint="eastAsia"/>
          <w:color w:val="000000"/>
          <w:sz w:val="32"/>
          <w:szCs w:val="32"/>
        </w:rPr>
        <w:t>2018年“三公”经费财政拨款支出决算为</w:t>
      </w:r>
      <w:r>
        <w:rPr>
          <w:rFonts w:ascii="仿宋" w:cs="仿宋" w:eastAsia="仿宋" w:hAnsi="仿宋" w:hint="eastAsia"/>
          <w:color w:val="000000"/>
          <w:sz w:val="32"/>
          <w:szCs w:val="32"/>
          <w:lang w:val="en-US" w:eastAsia="zh-CN"/>
        </w:rPr>
        <w:t>0.06</w:t>
      </w:r>
      <w:r>
        <w:rPr>
          <w:rFonts w:ascii="仿宋" w:cs="仿宋" w:eastAsia="仿宋" w:hAnsi="仿宋" w:hint="eastAsia"/>
          <w:color w:val="000000"/>
          <w:sz w:val="32"/>
          <w:szCs w:val="32"/>
        </w:rPr>
        <w:t>万元，完成预算</w:t>
      </w:r>
      <w:r>
        <w:rPr>
          <w:rFonts w:ascii="仿宋" w:cs="仿宋" w:eastAsia="仿宋" w:hAnsi="仿宋" w:hint="eastAsia"/>
          <w:color w:val="000000"/>
          <w:sz w:val="32"/>
          <w:szCs w:val="32"/>
          <w:lang w:val="en-US" w:eastAsia="zh-CN"/>
        </w:rPr>
        <w:t>100</w:t>
      </w:r>
      <w:r>
        <w:rPr>
          <w:rFonts w:ascii="仿宋" w:cs="仿宋" w:eastAsia="仿宋" w:hAnsi="仿宋" w:hint="eastAsia"/>
          <w:color w:val="000000"/>
          <w:sz w:val="32"/>
          <w:szCs w:val="32"/>
        </w:rPr>
        <w:t>%。</w:t>
      </w:r>
    </w:p>
    <w:bookmarkStart w:id="46" w:name="_Toc15377217"/>
    <w:p>
      <w:pPr>
        <w:pStyle w:val="style0"/>
        <w:spacing w:lineRule="exact" w:line="600"/>
        <w:ind w:firstLine="640"/>
        <w:outlineLvl w:val="2"/>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46"/>
    </w:p>
    <w:p>
      <w:pPr>
        <w:pStyle w:val="style0"/>
        <w:spacing w:lineRule="exact" w:line="600"/>
        <w:ind w:firstLine="640"/>
        <w:rPr>
          <w:rFonts w:ascii="仿宋" w:eastAsia="仿宋" w:hAnsi="仿宋"/>
          <w:color w:val="000000"/>
          <w:sz w:val="32"/>
          <w:szCs w:val="32"/>
        </w:rPr>
      </w:pPr>
      <w:r>
        <w:rPr>
          <w:rFonts w:ascii="仿宋" w:cs="仿宋" w:eastAsia="仿宋" w:hAnsi="仿宋" w:hint="eastAsia"/>
          <w:color w:val="000000"/>
          <w:sz w:val="32"/>
          <w:szCs w:val="32"/>
        </w:rPr>
        <w:t>2018年“三公”经费财政拨款支出决算中，因公出国（境）费支出决算</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%；公务用车购置及运行维护费支出决算</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%；公务接待费支出决算</w:t>
      </w:r>
      <w:r>
        <w:rPr>
          <w:rFonts w:ascii="仿宋" w:cs="仿宋" w:eastAsia="仿宋" w:hAnsi="仿宋" w:hint="eastAsia"/>
          <w:color w:val="000000"/>
          <w:sz w:val="32"/>
          <w:szCs w:val="32"/>
          <w:lang w:val="en-US" w:eastAsia="zh-CN"/>
        </w:rPr>
        <w:t>0.06</w:t>
      </w:r>
      <w:r>
        <w:rPr>
          <w:rFonts w:ascii="仿宋" w:cs="仿宋" w:eastAsia="仿宋" w:hAnsi="仿宋" w:hint="eastAsia"/>
          <w:color w:val="000000"/>
          <w:sz w:val="32"/>
          <w:szCs w:val="32"/>
        </w:rPr>
        <w:t>万元，占</w:t>
      </w:r>
      <w:r>
        <w:rPr>
          <w:rFonts w:ascii="仿宋" w:cs="仿宋" w:eastAsia="仿宋" w:hAnsi="仿宋" w:hint="eastAsia"/>
          <w:color w:val="000000"/>
          <w:sz w:val="32"/>
          <w:szCs w:val="32"/>
          <w:lang w:val="en-US" w:eastAsia="zh-CN"/>
        </w:rPr>
        <w:t>100</w:t>
      </w:r>
      <w:r>
        <w:rPr>
          <w:rFonts w:ascii="仿宋" w:cs="仿宋" w:eastAsia="仿宋" w:hAnsi="仿宋" w:hint="eastAsia"/>
          <w:color w:val="000000"/>
          <w:sz w:val="32"/>
          <w:szCs w:val="32"/>
        </w:rPr>
        <w:t>%。具体情况如下：</w:t>
      </w: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b/>
          <w:color w:val="000000"/>
          <w:sz w:val="32"/>
          <w:szCs w:val="32"/>
        </w:rPr>
      </w:pPr>
    </w:p>
    <w:p>
      <w:pPr>
        <w:pStyle w:val="style0"/>
        <w:spacing w:lineRule="exact" w:line="600"/>
        <w:ind w:firstLine="640"/>
        <w:rPr>
          <w:rFonts w:ascii="仿宋_GB2312" w:eastAsia="仿宋_GB2312" w:hint="eastAsia"/>
          <w:b/>
          <w:color w:val="000000"/>
          <w:sz w:val="32"/>
          <w:szCs w:val="32"/>
          <w:lang w:eastAsia="zh-CN"/>
        </w:rPr>
      </w:pPr>
      <w:r>
        <w:rPr>
          <w:rFonts w:ascii="仿宋_GB2312" w:eastAsia="仿宋_GB2312" w:hint="eastAsia"/>
          <w:b/>
          <w:color w:val="000000"/>
          <w:sz w:val="32"/>
          <w:szCs w:val="32"/>
          <w:lang w:eastAsia="zh-CN"/>
        </w:rPr>
        <w:drawing>
          <wp:anchor distT="0" distB="0" distL="114300" distR="114300" simplePos="false" relativeHeight="8" behindDoc="false" locked="false" layoutInCell="true" allowOverlap="true">
            <wp:simplePos x="0" y="0"/>
            <wp:positionH relativeFrom="column">
              <wp:posOffset>410845</wp:posOffset>
            </wp:positionH>
            <wp:positionV relativeFrom="paragraph">
              <wp:posOffset>-3519804</wp:posOffset>
            </wp:positionV>
            <wp:extent cx="5080000" cy="3809999"/>
            <wp:effectExtent l="0" t="0" r="0" b="0"/>
            <wp:wrapSquare wrapText="bothSides"/>
            <wp:docPr id="103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style0"/>
        <w:spacing w:lineRule="exact" w:line="600"/>
        <w:ind w:firstLine="640"/>
        <w:rPr>
          <w:rFonts w:ascii="仿宋" w:cs="仿宋" w:eastAsia="仿宋" w:hAnsi="仿宋" w:hint="eastAsia"/>
          <w:b/>
          <w:color w:val="000000"/>
          <w:sz w:val="32"/>
          <w:szCs w:val="32"/>
        </w:rPr>
      </w:pPr>
      <w:r>
        <w:rPr>
          <w:rFonts w:ascii="仿宋" w:cs="仿宋" w:eastAsia="仿宋" w:hAnsi="仿宋" w:hint="eastAsia"/>
          <w:b/>
          <w:color w:val="000000"/>
          <w:sz w:val="32"/>
          <w:szCs w:val="32"/>
        </w:rPr>
        <w:t>1.因公出国（境）经费支出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w:t>
      </w:r>
      <w:r>
        <w:rPr>
          <w:rStyle w:val="style87"/>
          <w:rFonts w:ascii="仿宋" w:cs="仿宋" w:eastAsia="仿宋" w:hAnsi="仿宋" w:hint="eastAsia"/>
          <w:b w:val="false"/>
          <w:bCs/>
          <w:color w:val="000000"/>
          <w:sz w:val="32"/>
          <w:szCs w:val="32"/>
        </w:rPr>
        <w:t>完成预算</w:t>
      </w:r>
      <w:r>
        <w:rPr>
          <w:rStyle w:val="style87"/>
          <w:rFonts w:ascii="仿宋" w:cs="仿宋" w:eastAsia="仿宋" w:hAnsi="仿宋" w:hint="eastAsia"/>
          <w:b w:val="false"/>
          <w:bCs/>
          <w:color w:val="000000"/>
          <w:sz w:val="32"/>
          <w:szCs w:val="32"/>
          <w:lang w:val="en-US" w:eastAsia="zh-CN"/>
        </w:rPr>
        <w:t>0</w:t>
      </w:r>
      <w:r>
        <w:rPr>
          <w:rStyle w:val="style87"/>
          <w:rFonts w:ascii="仿宋" w:cs="仿宋" w:eastAsia="仿宋" w:hAnsi="仿宋" w:hint="eastAsia"/>
          <w:b w:val="false"/>
          <w:bCs/>
          <w:color w:val="000000"/>
          <w:sz w:val="32"/>
          <w:szCs w:val="32"/>
        </w:rPr>
        <w:t>%。</w:t>
      </w:r>
      <w:r>
        <w:rPr>
          <w:rFonts w:ascii="仿宋" w:cs="仿宋" w:eastAsia="仿宋" w:hAnsi="仿宋" w:hint="eastAsia"/>
          <w:color w:val="000000"/>
          <w:sz w:val="32"/>
          <w:szCs w:val="32"/>
        </w:rPr>
        <w:t>全年安排因公出国（境）团组</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次，出国（境）</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人。</w:t>
      </w:r>
    </w:p>
    <w:p>
      <w:pPr>
        <w:pStyle w:val="style0"/>
        <w:spacing w:lineRule="exact" w:line="600"/>
        <w:ind w:firstLine="640"/>
        <w:rPr>
          <w:rFonts w:ascii="仿宋" w:cs="仿宋" w:eastAsia="仿宋" w:hAnsi="仿宋" w:hint="eastAsia"/>
          <w:b/>
          <w:color w:val="000000"/>
          <w:sz w:val="32"/>
          <w:szCs w:val="32"/>
        </w:rPr>
      </w:pPr>
      <w:r>
        <w:rPr>
          <w:rFonts w:ascii="仿宋" w:cs="仿宋" w:eastAsia="仿宋" w:hAnsi="仿宋" w:hint="eastAsia"/>
          <w:b/>
          <w:color w:val="000000"/>
          <w:sz w:val="32"/>
          <w:szCs w:val="32"/>
        </w:rPr>
        <w:t>2.公务用车购置及运行维护费支出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w:t>
      </w:r>
      <w:r>
        <w:rPr>
          <w:rStyle w:val="style87"/>
          <w:rFonts w:ascii="仿宋" w:cs="仿宋" w:eastAsia="仿宋" w:hAnsi="仿宋" w:hint="eastAsia"/>
          <w:b w:val="false"/>
          <w:bCs/>
          <w:color w:val="000000"/>
          <w:sz w:val="32"/>
          <w:szCs w:val="32"/>
        </w:rPr>
        <w:t>完成预算</w:t>
      </w:r>
      <w:r>
        <w:rPr>
          <w:rStyle w:val="style87"/>
          <w:rFonts w:ascii="仿宋" w:cs="仿宋" w:eastAsia="仿宋" w:hAnsi="仿宋" w:hint="eastAsia"/>
          <w:b w:val="false"/>
          <w:bCs/>
          <w:color w:val="000000"/>
          <w:sz w:val="32"/>
          <w:szCs w:val="32"/>
          <w:lang w:val="en-US" w:eastAsia="zh-CN"/>
        </w:rPr>
        <w:t>0</w:t>
      </w:r>
      <w:r>
        <w:rPr>
          <w:rStyle w:val="style87"/>
          <w:rFonts w:ascii="仿宋" w:cs="仿宋" w:eastAsia="仿宋" w:hAnsi="仿宋" w:hint="eastAsia"/>
          <w:b w:val="false"/>
          <w:bCs/>
          <w:color w:val="000000"/>
          <w:sz w:val="32"/>
          <w:szCs w:val="32"/>
        </w:rPr>
        <w:t>%。</w:t>
      </w:r>
    </w:p>
    <w:p>
      <w:pPr>
        <w:pStyle w:val="style0"/>
        <w:spacing w:lineRule="exact" w:line="600"/>
        <w:ind w:firstLine="640"/>
        <w:rPr>
          <w:rFonts w:ascii="仿宋" w:cs="仿宋" w:eastAsia="仿宋" w:hAnsi="仿宋" w:hint="eastAsia"/>
          <w:color w:val="000000"/>
          <w:sz w:val="32"/>
          <w:szCs w:val="32"/>
        </w:rPr>
      </w:pPr>
      <w:r>
        <w:rPr>
          <w:rFonts w:ascii="仿宋" w:cs="仿宋" w:eastAsia="仿宋" w:hAnsi="仿宋" w:hint="eastAsia"/>
          <w:b/>
          <w:color w:val="000000"/>
          <w:sz w:val="32"/>
          <w:szCs w:val="32"/>
        </w:rPr>
        <w:t>3.公务接待费支出</w:t>
      </w:r>
      <w:r>
        <w:rPr>
          <w:rFonts w:ascii="仿宋" w:cs="仿宋" w:eastAsia="仿宋" w:hAnsi="仿宋" w:hint="eastAsia"/>
          <w:color w:val="000000"/>
          <w:sz w:val="32"/>
          <w:szCs w:val="32"/>
          <w:lang w:val="en-US" w:eastAsia="zh-CN"/>
        </w:rPr>
        <w:t>0.06</w:t>
      </w:r>
      <w:r>
        <w:rPr>
          <w:rFonts w:ascii="仿宋" w:cs="仿宋" w:eastAsia="仿宋" w:hAnsi="仿宋" w:hint="eastAsia"/>
          <w:color w:val="000000"/>
          <w:sz w:val="32"/>
          <w:szCs w:val="32"/>
        </w:rPr>
        <w:t>万元，</w:t>
      </w:r>
      <w:r>
        <w:rPr>
          <w:rStyle w:val="style87"/>
          <w:rFonts w:ascii="仿宋" w:cs="仿宋" w:eastAsia="仿宋" w:hAnsi="仿宋" w:hint="eastAsia"/>
          <w:b w:val="false"/>
          <w:bCs/>
          <w:color w:val="000000"/>
          <w:sz w:val="32"/>
          <w:szCs w:val="32"/>
        </w:rPr>
        <w:t>完成预算</w:t>
      </w:r>
      <w:r>
        <w:rPr>
          <w:rStyle w:val="style87"/>
          <w:rFonts w:ascii="仿宋" w:cs="仿宋" w:eastAsia="仿宋" w:hAnsi="仿宋" w:hint="eastAsia"/>
          <w:b w:val="false"/>
          <w:bCs/>
          <w:color w:val="000000"/>
          <w:sz w:val="32"/>
          <w:szCs w:val="32"/>
          <w:lang w:val="en-US" w:eastAsia="zh-CN"/>
        </w:rPr>
        <w:t>100</w:t>
      </w:r>
      <w:r>
        <w:rPr>
          <w:rStyle w:val="style87"/>
          <w:rFonts w:ascii="仿宋" w:cs="仿宋" w:eastAsia="仿宋" w:hAnsi="仿宋" w:hint="eastAsia"/>
          <w:b w:val="false"/>
          <w:bCs/>
          <w:color w:val="000000"/>
          <w:sz w:val="32"/>
          <w:szCs w:val="32"/>
        </w:rPr>
        <w:t>%。</w:t>
      </w:r>
      <w:r>
        <w:rPr>
          <w:rFonts w:ascii="仿宋" w:cs="仿宋" w:eastAsia="仿宋" w:hAnsi="仿宋" w:hint="eastAsia"/>
          <w:color w:val="000000"/>
          <w:sz w:val="32"/>
          <w:szCs w:val="32"/>
        </w:rPr>
        <w:t>公务接待费支出决算</w:t>
      </w:r>
      <w:r>
        <w:rPr>
          <w:rFonts w:ascii="仿宋" w:cs="仿宋" w:eastAsia="仿宋" w:hAnsi="仿宋" w:hint="eastAsia"/>
          <w:color w:val="000000"/>
          <w:sz w:val="32"/>
          <w:szCs w:val="32"/>
          <w:lang w:eastAsia="zh-CN"/>
        </w:rPr>
        <w:t>相</w:t>
      </w:r>
      <w:r>
        <w:rPr>
          <w:rFonts w:ascii="仿宋" w:cs="仿宋" w:eastAsia="仿宋" w:hAnsi="仿宋" w:hint="eastAsia"/>
          <w:color w:val="000000"/>
          <w:sz w:val="32"/>
          <w:szCs w:val="32"/>
        </w:rPr>
        <w:t>比2017年</w:t>
      </w:r>
      <w:r>
        <w:rPr>
          <w:rFonts w:ascii="仿宋" w:cs="仿宋" w:eastAsia="仿宋" w:hAnsi="仿宋" w:hint="eastAsia"/>
          <w:color w:val="000000"/>
          <w:sz w:val="32"/>
          <w:szCs w:val="32"/>
          <w:lang w:eastAsia="zh-CN"/>
        </w:rPr>
        <w:t>持平</w:t>
      </w:r>
      <w:r>
        <w:rPr>
          <w:rFonts w:ascii="仿宋" w:cs="仿宋" w:eastAsia="仿宋" w:hAnsi="仿宋" w:hint="eastAsia"/>
          <w:color w:val="000000"/>
          <w:sz w:val="32"/>
          <w:szCs w:val="32"/>
        </w:rPr>
        <w:t>。</w:t>
      </w:r>
    </w:p>
    <w:p>
      <w:pPr>
        <w:pStyle w:val="style0"/>
        <w:spacing w:lineRule="exact" w:line="600"/>
        <w:ind w:firstLine="640" w:firstLineChars="200"/>
        <w:rPr>
          <w:rFonts w:ascii="仿宋" w:cs="仿宋" w:eastAsia="仿宋" w:hAnsi="仿宋" w:hint="eastAsia"/>
          <w:color w:val="000000"/>
          <w:sz w:val="32"/>
          <w:szCs w:val="32"/>
          <w:lang w:val="en-US" w:eastAsia="zh-CN"/>
        </w:rPr>
      </w:pPr>
      <w:r>
        <w:rPr>
          <w:rFonts w:ascii="仿宋" w:cs="仿宋" w:eastAsia="仿宋" w:hAnsi="仿宋" w:hint="eastAsia"/>
          <w:color w:val="000000"/>
          <w:sz w:val="32"/>
          <w:szCs w:val="32"/>
        </w:rPr>
        <w:t>主要用于执行公务、开展业务活动开支的交通费、住宿费、用餐费等。国内公务接待</w:t>
      </w:r>
      <w:r>
        <w:rPr>
          <w:rFonts w:ascii="仿宋" w:cs="仿宋" w:eastAsia="仿宋" w:hAnsi="仿宋" w:hint="eastAsia"/>
          <w:color w:val="000000"/>
          <w:sz w:val="32"/>
          <w:szCs w:val="32"/>
          <w:lang w:val="en-US" w:eastAsia="zh-CN"/>
        </w:rPr>
        <w:t>1</w:t>
      </w:r>
      <w:r>
        <w:rPr>
          <w:rFonts w:ascii="仿宋" w:cs="仿宋" w:eastAsia="仿宋" w:hAnsi="仿宋" w:hint="eastAsia"/>
          <w:color w:val="000000"/>
          <w:sz w:val="32"/>
          <w:szCs w:val="32"/>
        </w:rPr>
        <w:t>批次，</w:t>
      </w:r>
      <w:r>
        <w:rPr>
          <w:rFonts w:ascii="仿宋" w:cs="仿宋" w:eastAsia="仿宋" w:hAnsi="仿宋" w:hint="eastAsia"/>
          <w:color w:val="000000"/>
          <w:sz w:val="32"/>
          <w:szCs w:val="32"/>
          <w:lang w:val="en-US" w:eastAsia="zh-CN"/>
        </w:rPr>
        <w:t>3</w:t>
      </w:r>
      <w:r>
        <w:rPr>
          <w:rFonts w:ascii="仿宋" w:cs="仿宋" w:eastAsia="仿宋" w:hAnsi="仿宋" w:hint="eastAsia"/>
          <w:color w:val="000000"/>
          <w:sz w:val="32"/>
          <w:szCs w:val="32"/>
        </w:rPr>
        <w:t>人次（不包括陪同人员），共计支出</w:t>
      </w:r>
      <w:r>
        <w:rPr>
          <w:rFonts w:ascii="仿宋" w:cs="仿宋" w:eastAsia="仿宋" w:hAnsi="仿宋" w:hint="eastAsia"/>
          <w:color w:val="000000"/>
          <w:sz w:val="32"/>
          <w:szCs w:val="32"/>
          <w:lang w:val="en-US" w:eastAsia="zh-CN"/>
        </w:rPr>
        <w:t>0.06</w:t>
      </w:r>
      <w:r>
        <w:rPr>
          <w:rFonts w:ascii="仿宋" w:cs="仿宋" w:eastAsia="仿宋" w:hAnsi="仿宋" w:hint="eastAsia"/>
          <w:color w:val="000000"/>
          <w:sz w:val="32"/>
          <w:szCs w:val="32"/>
        </w:rPr>
        <w:t>万元，具体内容包括：</w:t>
      </w:r>
      <w:r>
        <w:rPr>
          <w:rFonts w:ascii="仿宋" w:cs="仿宋" w:eastAsia="仿宋" w:hAnsi="仿宋" w:hint="eastAsia"/>
          <w:color w:val="000000"/>
          <w:sz w:val="32"/>
          <w:szCs w:val="32"/>
          <w:lang w:eastAsia="zh-CN"/>
        </w:rPr>
        <w:t>用餐费开支</w:t>
      </w:r>
      <w:r>
        <w:rPr>
          <w:rFonts w:ascii="仿宋" w:cs="仿宋" w:eastAsia="仿宋" w:hAnsi="仿宋" w:hint="eastAsia"/>
          <w:color w:val="000000"/>
          <w:sz w:val="32"/>
          <w:szCs w:val="32"/>
          <w:lang w:val="en-US" w:eastAsia="zh-CN"/>
        </w:rPr>
        <w:t>0.06万元。</w:t>
      </w:r>
    </w:p>
    <w:p>
      <w:pPr>
        <w:pStyle w:val="style0"/>
        <w:spacing w:lineRule="exact" w:line="600"/>
        <w:ind w:firstLine="643" w:firstLineChars="200"/>
        <w:rPr>
          <w:rFonts w:ascii="仿宋" w:cs="仿宋" w:eastAsia="仿宋" w:hAnsi="仿宋" w:hint="eastAsia"/>
          <w:color w:val="000000"/>
          <w:sz w:val="32"/>
          <w:szCs w:val="32"/>
        </w:rPr>
      </w:pPr>
      <w:r>
        <w:rPr>
          <w:rFonts w:ascii="仿宋" w:cs="仿宋" w:eastAsia="仿宋" w:hAnsi="仿宋" w:hint="eastAsia"/>
          <w:b/>
          <w:color w:val="000000"/>
          <w:sz w:val="32"/>
          <w:szCs w:val="32"/>
        </w:rPr>
        <w:t>外事接待支出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w:t>
      </w:r>
      <w:r>
        <w:rPr>
          <w:rFonts w:ascii="仿宋" w:cs="仿宋" w:eastAsia="仿宋" w:hAnsi="仿宋" w:hint="eastAsia"/>
          <w:color w:val="000000"/>
          <w:sz w:val="32"/>
          <w:szCs w:val="32"/>
        </w:rPr>
        <w:t>，外事接待</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批次，**人，共计支出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w:t>
      </w:r>
    </w:p>
    <w:p>
      <w:pPr>
        <w:pStyle w:val="style0"/>
        <w:spacing w:lineRule="exact" w:line="600"/>
        <w:ind w:firstLine="640"/>
        <w:rPr>
          <w:rFonts w:ascii="仿宋_GB2312" w:eastAsia="仿宋_GB2312"/>
          <w:color w:val="000000"/>
          <w:sz w:val="32"/>
          <w:szCs w:val="32"/>
        </w:rPr>
      </w:pPr>
      <w:r>
        <w:rPr>
          <w:rFonts w:ascii="仿宋" w:cs="仿宋" w:eastAsia="仿宋" w:hAnsi="仿宋" w:hint="eastAsia"/>
          <w:b/>
          <w:color w:val="000000"/>
          <w:sz w:val="32"/>
          <w:szCs w:val="32"/>
        </w:rPr>
        <w:t>其他国内公务接待支出</w:t>
      </w:r>
      <w:r>
        <w:rPr>
          <w:rFonts w:ascii="仿宋" w:cs="仿宋" w:eastAsia="仿宋" w:hAnsi="仿宋" w:hint="eastAsia"/>
          <w:color w:val="000000"/>
          <w:sz w:val="32"/>
          <w:szCs w:val="32"/>
          <w:lang w:val="en-US" w:eastAsia="zh-CN"/>
        </w:rPr>
        <w:t>0.06</w:t>
      </w:r>
      <w:r>
        <w:rPr>
          <w:rFonts w:ascii="仿宋" w:cs="仿宋" w:eastAsia="仿宋" w:hAnsi="仿宋" w:hint="eastAsia"/>
          <w:color w:val="000000"/>
          <w:sz w:val="32"/>
          <w:szCs w:val="32"/>
        </w:rPr>
        <w:t>万元，主要用于</w:t>
      </w:r>
      <w:r>
        <w:rPr>
          <w:rFonts w:ascii="仿宋" w:cs="仿宋" w:eastAsia="仿宋" w:hAnsi="仿宋" w:hint="eastAsia"/>
          <w:color w:val="000000"/>
          <w:sz w:val="32"/>
          <w:szCs w:val="32"/>
          <w:lang w:eastAsia="zh-CN"/>
        </w:rPr>
        <w:t>用餐费开支</w:t>
      </w:r>
      <w:r>
        <w:rPr>
          <w:rFonts w:ascii="仿宋" w:cs="仿宋" w:eastAsia="仿宋" w:hAnsi="仿宋" w:hint="eastAsia"/>
          <w:color w:val="000000"/>
          <w:sz w:val="32"/>
          <w:szCs w:val="32"/>
          <w:lang w:val="en-US" w:eastAsia="zh-CN"/>
        </w:rPr>
        <w:t>0.06万元。</w:t>
      </w:r>
    </w:p>
    <w:bookmarkStart w:id="47" w:name="_Toc15396610"/>
    <w:bookmarkStart w:id="48" w:name="_Toc15377218"/>
    <w:p>
      <w:pPr>
        <w:pStyle w:val="style0"/>
        <w:spacing w:lineRule="exact" w:line="600"/>
        <w:ind w:firstLine="640" w:firstLineChars="200"/>
        <w:outlineLvl w:val="1"/>
        <w:rPr>
          <w:rStyle w:val="style4105"/>
          <w:rFonts w:ascii="黑体" w:eastAsia="黑体" w:hAnsi="黑体"/>
        </w:rPr>
      </w:pPr>
      <w:r>
        <w:rPr>
          <w:rFonts w:ascii="黑体" w:eastAsia="黑体" w:hint="eastAsia"/>
          <w:color w:val="000000"/>
          <w:sz w:val="32"/>
          <w:szCs w:val="32"/>
        </w:rPr>
        <w:t>八、</w:t>
      </w:r>
      <w:r>
        <w:rPr>
          <w:rStyle w:val="style4105"/>
          <w:rFonts w:ascii="黑体" w:eastAsia="黑体" w:hAnsi="黑体" w:hint="eastAsia"/>
          <w:b w:val="false"/>
        </w:rPr>
        <w:t>政府性基金预算支出决算情况说明</w:t>
      </w:r>
      <w:bookmarkEnd w:id="47"/>
      <w:bookmarkEnd w:id="48"/>
    </w:p>
    <w:p>
      <w:pPr>
        <w:pStyle w:val="style0"/>
        <w:spacing w:lineRule="exact" w:line="600"/>
        <w:ind w:firstLine="640"/>
        <w:rPr>
          <w:rFonts w:ascii="仿宋" w:cs="仿宋" w:eastAsia="仿宋" w:hAnsi="仿宋" w:hint="eastAsia"/>
          <w:color w:val="000000"/>
          <w:sz w:val="32"/>
          <w:szCs w:val="32"/>
        </w:rPr>
      </w:pPr>
      <w:r>
        <w:rPr>
          <w:rFonts w:ascii="仿宋" w:cs="仿宋" w:eastAsia="仿宋" w:hAnsi="仿宋" w:hint="eastAsia"/>
          <w:color w:val="000000"/>
          <w:sz w:val="32"/>
          <w:szCs w:val="32"/>
        </w:rPr>
        <w:t>2018年政府性基金预算拨款支出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w:t>
      </w:r>
    </w:p>
    <w:bookmarkStart w:id="49" w:name="_Toc15377219"/>
    <w:bookmarkStart w:id="50" w:name="_Toc15396611"/>
    <w:p>
      <w:pPr>
        <w:pStyle w:val="style0"/>
        <w:numPr>
          <w:ilvl w:val="0"/>
          <w:numId w:val="0"/>
        </w:numPr>
        <w:spacing w:lineRule="exact" w:line="600"/>
        <w:ind w:firstLine="640" w:firstLineChars="200"/>
        <w:outlineLvl w:val="1"/>
        <w:rPr>
          <w:rStyle w:val="style4105"/>
          <w:rFonts w:ascii="黑体" w:eastAsia="黑体" w:hAnsi="黑体"/>
          <w:b w:val="false"/>
        </w:rPr>
      </w:pPr>
      <w:r>
        <w:rPr>
          <w:rStyle w:val="style4105"/>
          <w:rFonts w:ascii="黑体" w:eastAsia="黑体" w:hAnsi="黑体" w:hint="eastAsia"/>
          <w:b w:val="false"/>
          <w:lang w:eastAsia="zh-CN"/>
        </w:rPr>
        <w:t>九、</w:t>
      </w:r>
      <w:r>
        <w:rPr>
          <w:rStyle w:val="style4105"/>
          <w:rFonts w:ascii="黑体" w:eastAsia="黑体" w:hAnsi="黑体" w:hint="eastAsia"/>
          <w:b w:val="false"/>
        </w:rPr>
        <w:t>国有资本经营预算支出决算情况说明</w:t>
      </w:r>
      <w:bookmarkEnd w:id="49"/>
      <w:bookmarkEnd w:id="50"/>
    </w:p>
    <w:p>
      <w:pPr>
        <w:pStyle w:val="style0"/>
        <w:spacing w:lineRule="exact" w:line="600"/>
        <w:ind w:firstLine="640"/>
        <w:rPr>
          <w:rFonts w:ascii="仿宋_GB2312" w:eastAsia="仿宋_GB2312"/>
          <w:color w:val="000000"/>
          <w:sz w:val="32"/>
          <w:szCs w:val="32"/>
        </w:rPr>
      </w:pPr>
      <w:r>
        <w:rPr>
          <w:rFonts w:ascii="仿宋" w:cs="仿宋" w:eastAsia="仿宋" w:hAnsi="仿宋" w:hint="eastAsia"/>
          <w:color w:val="000000"/>
          <w:sz w:val="32"/>
          <w:szCs w:val="32"/>
        </w:rPr>
        <w:t>2018年国有资本经营预算拨款支出</w:t>
      </w:r>
      <w:r>
        <w:rPr>
          <w:rFonts w:ascii="仿宋" w:cs="仿宋" w:eastAsia="仿宋" w:hAnsi="仿宋" w:hint="eastAsia"/>
          <w:color w:val="000000"/>
          <w:sz w:val="32"/>
          <w:szCs w:val="32"/>
          <w:lang w:val="en-US" w:eastAsia="zh-CN"/>
        </w:rPr>
        <w:t>0</w:t>
      </w:r>
      <w:r>
        <w:rPr>
          <w:rFonts w:ascii="仿宋" w:cs="仿宋" w:eastAsia="仿宋" w:hAnsi="仿宋" w:hint="eastAsia"/>
          <w:color w:val="000000"/>
          <w:sz w:val="32"/>
          <w:szCs w:val="32"/>
        </w:rPr>
        <w:t>万元</w:t>
      </w:r>
      <w:r>
        <w:rPr>
          <w:rFonts w:ascii="仿宋_GB2312" w:eastAsia="仿宋_GB2312" w:hint="eastAsia"/>
          <w:color w:val="000000"/>
          <w:sz w:val="32"/>
          <w:szCs w:val="32"/>
        </w:rPr>
        <w:t>。</w:t>
      </w:r>
    </w:p>
    <w:p>
      <w:pPr>
        <w:pStyle w:val="style179"/>
        <w:numPr>
          <w:ilvl w:val="0"/>
          <w:numId w:val="3"/>
        </w:numPr>
        <w:spacing w:lineRule="exact" w:line="580"/>
        <w:ind w:firstLineChars="0"/>
        <w:rPr>
          <w:rStyle w:val="style4105"/>
          <w:rFonts w:ascii="黑体" w:eastAsia="黑体" w:hAnsi="黑体"/>
          <w:b w:val="false"/>
        </w:rPr>
      </w:pPr>
      <w:r>
        <w:rPr>
          <w:rStyle w:val="style4105"/>
          <w:rFonts w:ascii="黑体" w:eastAsia="黑体" w:hAnsi="黑体" w:hint="eastAsia"/>
          <w:b w:val="false"/>
        </w:rPr>
        <w:t>预算绩效情况说明</w:t>
      </w:r>
    </w:p>
    <w:p>
      <w:pPr>
        <w:pStyle w:val="style0"/>
        <w:numPr>
          <w:ilvl w:val="0"/>
          <w:numId w:val="4"/>
        </w:numPr>
        <w:spacing w:lineRule="exact" w:line="580"/>
        <w:ind w:firstLine="643" w:firstLineChars="200"/>
        <w:rPr>
          <w:rFonts w:ascii="仿宋" w:cs="楷体_GB2312" w:eastAsia="仿宋" w:hAnsi="仿宋"/>
          <w:b/>
          <w:bCs/>
          <w:sz w:val="32"/>
          <w:szCs w:val="32"/>
        </w:rPr>
      </w:pPr>
      <w:r>
        <w:rPr>
          <w:rFonts w:ascii="仿宋" w:cs="楷体_GB2312" w:eastAsia="仿宋" w:hAnsi="仿宋" w:hint="eastAsia"/>
          <w:b/>
          <w:bCs/>
          <w:sz w:val="32"/>
          <w:szCs w:val="32"/>
        </w:rPr>
        <w:t>预算绩效管理工作开展情况。</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根据预算绩效管理要求，本单位在年初预算编制阶段，组织对</w:t>
      </w:r>
      <w:r>
        <w:rPr>
          <w:rFonts w:ascii="仿宋" w:cs="仿宋" w:eastAsia="仿宋" w:hAnsi="仿宋" w:hint="eastAsia"/>
          <w:sz w:val="32"/>
          <w:szCs w:val="32"/>
          <w:lang w:eastAsia="zh-CN"/>
        </w:rPr>
        <w:t>县粮食局整体绩效目标和县级储备利息费用</w:t>
      </w:r>
      <w:r>
        <w:rPr>
          <w:rFonts w:ascii="仿宋" w:cs="仿宋" w:eastAsia="仿宋" w:hAnsi="仿宋" w:hint="eastAsia"/>
          <w:sz w:val="32"/>
          <w:szCs w:val="32"/>
        </w:rPr>
        <w:t>项目开展了预算事前绩效评估，对</w:t>
      </w:r>
      <w:r>
        <w:rPr>
          <w:rFonts w:ascii="仿宋" w:cs="仿宋" w:eastAsia="仿宋" w:hAnsi="仿宋" w:hint="eastAsia"/>
          <w:sz w:val="32"/>
          <w:szCs w:val="32"/>
          <w:lang w:val="en-US" w:eastAsia="zh-CN"/>
        </w:rPr>
        <w:t>2</w:t>
      </w:r>
      <w:r>
        <w:rPr>
          <w:rFonts w:ascii="仿宋" w:cs="仿宋" w:eastAsia="仿宋" w:hAnsi="仿宋" w:hint="eastAsia"/>
          <w:sz w:val="32"/>
          <w:szCs w:val="32"/>
        </w:rPr>
        <w:t>个项目编制了绩效目标，预算执行过程中，选取</w:t>
      </w:r>
      <w:r>
        <w:rPr>
          <w:rFonts w:ascii="仿宋" w:cs="仿宋" w:eastAsia="仿宋" w:hAnsi="仿宋" w:hint="eastAsia"/>
          <w:sz w:val="32"/>
          <w:szCs w:val="32"/>
          <w:lang w:val="en-US" w:eastAsia="zh-CN"/>
        </w:rPr>
        <w:t>2</w:t>
      </w:r>
      <w:r>
        <w:rPr>
          <w:rFonts w:ascii="仿宋" w:cs="仿宋" w:eastAsia="仿宋" w:hAnsi="仿宋" w:hint="eastAsia"/>
          <w:sz w:val="32"/>
          <w:szCs w:val="32"/>
        </w:rPr>
        <w:t>个项目开展绩效监控，年终执行完毕后，对</w:t>
      </w:r>
      <w:r>
        <w:rPr>
          <w:rFonts w:ascii="仿宋" w:cs="仿宋" w:eastAsia="仿宋" w:hAnsi="仿宋" w:hint="eastAsia"/>
          <w:sz w:val="32"/>
          <w:szCs w:val="32"/>
          <w:lang w:val="en-US" w:eastAsia="zh-CN"/>
        </w:rPr>
        <w:t>2</w:t>
      </w:r>
      <w:r>
        <w:rPr>
          <w:rFonts w:ascii="仿宋" w:cs="仿宋" w:eastAsia="仿宋" w:hAnsi="仿宋" w:hint="eastAsia"/>
          <w:sz w:val="32"/>
          <w:szCs w:val="32"/>
        </w:rPr>
        <w:t>个项目开展了绩效目标完成情况梳理填报。</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本部门按要求对2018年部门整体支出开展绩效自评，从评价情况来看做好全县的粮油购销总量平衡工作，强化各级粮食储备管理，保证安排粮油供应，保持粮食市场和粮油价格的基本稳定。本部门还自行组织了</w:t>
      </w:r>
      <w:r>
        <w:rPr>
          <w:rFonts w:ascii="仿宋" w:cs="仿宋" w:eastAsia="仿宋" w:hAnsi="仿宋" w:hint="eastAsia"/>
          <w:sz w:val="32"/>
          <w:szCs w:val="32"/>
          <w:lang w:val="en-US" w:eastAsia="zh-CN"/>
        </w:rPr>
        <w:t>1</w:t>
      </w:r>
      <w:r>
        <w:rPr>
          <w:rFonts w:ascii="仿宋" w:cs="仿宋" w:eastAsia="仿宋" w:hAnsi="仿宋" w:hint="eastAsia"/>
          <w:sz w:val="32"/>
          <w:szCs w:val="32"/>
        </w:rPr>
        <w:t>个项目绩效评价，从评价情况来看</w:t>
      </w:r>
      <w:r>
        <w:rPr>
          <w:rFonts w:ascii="仿宋" w:cs="仿宋" w:eastAsia="仿宋" w:hAnsi="仿宋" w:hint="eastAsia"/>
          <w:sz w:val="32"/>
          <w:szCs w:val="32"/>
          <w:lang w:eastAsia="zh-CN"/>
        </w:rPr>
        <w:t>，</w:t>
      </w:r>
      <w:r>
        <w:rPr>
          <w:rFonts w:ascii="仿宋" w:cs="仿宋" w:eastAsia="仿宋" w:hAnsi="仿宋" w:hint="eastAsia"/>
          <w:sz w:val="32"/>
          <w:szCs w:val="32"/>
        </w:rPr>
        <w:t>储备和保管好县级储备粮食，确保储备粮的品质和数量。</w:t>
      </w:r>
    </w:p>
    <w:p>
      <w:pPr>
        <w:pStyle w:val="style0"/>
        <w:numPr>
          <w:ilvl w:val="0"/>
          <w:numId w:val="4"/>
        </w:numPr>
        <w:spacing w:lineRule="exact" w:line="580"/>
        <w:ind w:firstLine="643" w:firstLineChars="200"/>
        <w:rPr>
          <w:rFonts w:ascii="仿宋" w:cs="仿宋" w:eastAsia="仿宋" w:hAnsi="仿宋" w:hint="eastAsia"/>
          <w:sz w:val="32"/>
          <w:szCs w:val="32"/>
        </w:rPr>
      </w:pPr>
      <w:r>
        <w:rPr>
          <w:rFonts w:ascii="仿宋" w:cs="楷体_GB2312" w:eastAsia="仿宋" w:hAnsi="仿宋" w:hint="eastAsia"/>
          <w:b/>
          <w:bCs/>
          <w:sz w:val="32"/>
          <w:szCs w:val="32"/>
        </w:rPr>
        <w:t>项目绩效目标完成情况。</w:t>
      </w:r>
      <w:r>
        <w:rPr>
          <w:rFonts w:ascii="楷体_GB2312" w:cs="楷体_GB2312" w:eastAsia="楷体_GB2312" w:hAnsi="楷体_GB2312" w:hint="eastAsia"/>
          <w:b/>
          <w:bCs/>
          <w:sz w:val="32"/>
          <w:szCs w:val="32"/>
        </w:rPr>
        <w:br/>
      </w:r>
      <w:r>
        <w:rPr>
          <w:rFonts w:ascii="仿宋_GB2312" w:cs="仿宋_GB2312" w:eastAsia="仿宋_GB2312" w:hAnsi="仿宋_GB2312" w:hint="eastAsia"/>
          <w:sz w:val="32"/>
          <w:szCs w:val="32"/>
        </w:rPr>
        <w:t xml:space="preserve">    </w:t>
      </w:r>
      <w:r>
        <w:rPr>
          <w:rFonts w:ascii="仿宋" w:cs="仿宋" w:eastAsia="仿宋" w:hAnsi="仿宋" w:hint="eastAsia"/>
          <w:sz w:val="32"/>
          <w:szCs w:val="32"/>
        </w:rPr>
        <w:t>本部门在2018年度部门决算中反映</w:t>
      </w:r>
      <w:r>
        <w:rPr>
          <w:rFonts w:ascii="仿宋" w:cs="仿宋" w:eastAsia="仿宋" w:hAnsi="仿宋" w:hint="eastAsia"/>
          <w:sz w:val="32"/>
          <w:szCs w:val="32"/>
          <w:lang w:eastAsia="zh-CN"/>
        </w:rPr>
        <w:t>县粮食局整体绩效目标和县级储备利息费用</w:t>
      </w:r>
      <w:r>
        <w:rPr>
          <w:rFonts w:ascii="仿宋" w:cs="仿宋" w:eastAsia="仿宋" w:hAnsi="仿宋" w:hint="eastAsia"/>
          <w:sz w:val="32"/>
          <w:szCs w:val="32"/>
        </w:rPr>
        <w:t>项目等</w:t>
      </w:r>
      <w:r>
        <w:rPr>
          <w:rFonts w:ascii="仿宋" w:cs="仿宋" w:eastAsia="仿宋" w:hAnsi="仿宋" w:hint="eastAsia"/>
          <w:sz w:val="32"/>
          <w:szCs w:val="32"/>
          <w:lang w:val="en-US" w:eastAsia="zh-CN"/>
        </w:rPr>
        <w:t>2</w:t>
      </w:r>
      <w:r>
        <w:rPr>
          <w:rFonts w:ascii="仿宋" w:cs="仿宋" w:eastAsia="仿宋" w:hAnsi="仿宋" w:hint="eastAsia"/>
          <w:sz w:val="32"/>
          <w:szCs w:val="32"/>
        </w:rPr>
        <w:t>个项目绩效目标实际完成情况。</w:t>
      </w:r>
    </w:p>
    <w:p>
      <w:pPr>
        <w:pStyle w:val="style0"/>
        <w:numPr>
          <w:ilvl w:val="0"/>
          <w:numId w:val="5"/>
        </w:numPr>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lang w:eastAsia="zh-CN"/>
        </w:rPr>
        <w:t>粮食局整体绩效</w:t>
      </w:r>
      <w:r>
        <w:rPr>
          <w:rFonts w:ascii="仿宋" w:cs="仿宋" w:eastAsia="仿宋" w:hAnsi="仿宋" w:hint="eastAsia"/>
          <w:sz w:val="32"/>
          <w:szCs w:val="32"/>
        </w:rPr>
        <w:t>项目绩效目标完成情况综述。项目全年预算数</w:t>
      </w:r>
      <w:r>
        <w:rPr>
          <w:rFonts w:ascii="仿宋" w:cs="仿宋" w:eastAsia="仿宋" w:hAnsi="仿宋" w:hint="eastAsia"/>
          <w:sz w:val="32"/>
          <w:szCs w:val="32"/>
          <w:lang w:val="en-US" w:eastAsia="zh-CN"/>
        </w:rPr>
        <w:t>226.64</w:t>
      </w:r>
      <w:r>
        <w:rPr>
          <w:rFonts w:ascii="仿宋" w:cs="仿宋" w:eastAsia="仿宋" w:hAnsi="仿宋" w:hint="eastAsia"/>
          <w:sz w:val="32"/>
          <w:szCs w:val="32"/>
        </w:rPr>
        <w:t>万元，执行数为</w:t>
      </w:r>
      <w:r>
        <w:rPr>
          <w:rFonts w:ascii="仿宋" w:cs="仿宋" w:eastAsia="仿宋" w:hAnsi="仿宋" w:hint="eastAsia"/>
          <w:sz w:val="32"/>
          <w:szCs w:val="32"/>
          <w:lang w:val="en-US" w:eastAsia="zh-CN"/>
        </w:rPr>
        <w:t>359.09</w:t>
      </w:r>
      <w:r>
        <w:rPr>
          <w:rFonts w:ascii="仿宋" w:cs="仿宋" w:eastAsia="仿宋" w:hAnsi="仿宋" w:hint="eastAsia"/>
          <w:sz w:val="32"/>
          <w:szCs w:val="32"/>
        </w:rPr>
        <w:t>万元，完成预算的</w:t>
      </w:r>
      <w:r>
        <w:rPr>
          <w:rFonts w:ascii="仿宋" w:cs="仿宋" w:eastAsia="仿宋" w:hAnsi="仿宋" w:hint="eastAsia"/>
          <w:sz w:val="32"/>
          <w:szCs w:val="32"/>
          <w:lang w:val="en-US" w:eastAsia="zh-CN"/>
        </w:rPr>
        <w:t>158</w:t>
      </w:r>
      <w:r>
        <w:rPr>
          <w:rFonts w:ascii="仿宋" w:cs="仿宋" w:eastAsia="仿宋" w:hAnsi="仿宋" w:hint="eastAsia"/>
          <w:sz w:val="32"/>
          <w:szCs w:val="32"/>
        </w:rPr>
        <w:t>%。通过项目实施，保障粮油购销总量平衡工作，强化各级粮食储备管理，保证安排粮油供应，保持粮食市场和粮油价格的基本稳定，发现的主要问题：</w:t>
      </w:r>
      <w:r>
        <w:rPr>
          <w:rFonts w:ascii="仿宋" w:cs="仿宋" w:eastAsia="仿宋" w:hAnsi="仿宋" w:hint="eastAsia"/>
          <w:sz w:val="32"/>
          <w:szCs w:val="32"/>
          <w:lang w:eastAsia="zh-CN"/>
        </w:rPr>
        <w:t>预算不够科学，数据不准确</w:t>
      </w:r>
      <w:r>
        <w:rPr>
          <w:rFonts w:ascii="仿宋" w:cs="仿宋" w:eastAsia="仿宋" w:hAnsi="仿宋" w:hint="eastAsia"/>
          <w:sz w:val="32"/>
          <w:szCs w:val="32"/>
        </w:rPr>
        <w:t>。下一步改进措施：</w:t>
      </w:r>
      <w:r>
        <w:rPr>
          <w:rFonts w:ascii="仿宋" w:cs="仿宋" w:eastAsia="仿宋" w:hAnsi="仿宋" w:hint="eastAsia"/>
          <w:sz w:val="32"/>
          <w:szCs w:val="32"/>
          <w:lang w:eastAsia="zh-CN"/>
        </w:rPr>
        <w:t>学习科学的方法编制单位预算。</w:t>
      </w:r>
    </w:p>
    <w:p>
      <w:pPr>
        <w:pStyle w:val="style0"/>
        <w:numPr>
          <w:ilvl w:val="0"/>
          <w:numId w:val="5"/>
        </w:numPr>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lang w:eastAsia="zh-CN"/>
        </w:rPr>
        <w:t>县级储备利息费用</w:t>
      </w:r>
      <w:r>
        <w:rPr>
          <w:rFonts w:ascii="仿宋" w:cs="仿宋" w:eastAsia="仿宋" w:hAnsi="仿宋" w:hint="eastAsia"/>
          <w:sz w:val="32"/>
          <w:szCs w:val="32"/>
        </w:rPr>
        <w:t>项目绩效目标完成情况综述。项目全年预算数</w:t>
      </w:r>
      <w:r>
        <w:rPr>
          <w:rFonts w:ascii="仿宋" w:cs="仿宋" w:eastAsia="仿宋" w:hAnsi="仿宋" w:hint="eastAsia"/>
          <w:sz w:val="32"/>
          <w:szCs w:val="32"/>
          <w:lang w:val="en-US" w:eastAsia="zh-CN"/>
        </w:rPr>
        <w:t>48</w:t>
      </w:r>
      <w:r>
        <w:rPr>
          <w:rFonts w:ascii="仿宋" w:cs="仿宋" w:eastAsia="仿宋" w:hAnsi="仿宋" w:hint="eastAsia"/>
          <w:sz w:val="32"/>
          <w:szCs w:val="32"/>
        </w:rPr>
        <w:t>万元，执行数为</w:t>
      </w:r>
      <w:r>
        <w:rPr>
          <w:rFonts w:ascii="仿宋" w:cs="仿宋" w:eastAsia="仿宋" w:hAnsi="仿宋" w:hint="eastAsia"/>
          <w:sz w:val="32"/>
          <w:szCs w:val="32"/>
          <w:lang w:val="en-US" w:eastAsia="zh-CN"/>
        </w:rPr>
        <w:t>45.53</w:t>
      </w:r>
      <w:r>
        <w:rPr>
          <w:rFonts w:ascii="仿宋" w:cs="仿宋" w:eastAsia="仿宋" w:hAnsi="仿宋" w:hint="eastAsia"/>
          <w:sz w:val="32"/>
          <w:szCs w:val="32"/>
        </w:rPr>
        <w:t>万元，完成预算的</w:t>
      </w:r>
      <w:r>
        <w:rPr>
          <w:rFonts w:ascii="仿宋" w:cs="仿宋" w:eastAsia="仿宋" w:hAnsi="仿宋" w:hint="eastAsia"/>
          <w:sz w:val="32"/>
          <w:szCs w:val="32"/>
          <w:lang w:val="en-US" w:eastAsia="zh-CN"/>
        </w:rPr>
        <w:t>95</w:t>
      </w:r>
      <w:r>
        <w:rPr>
          <w:rFonts w:ascii="仿宋" w:cs="仿宋" w:eastAsia="仿宋" w:hAnsi="仿宋" w:hint="eastAsia"/>
          <w:sz w:val="32"/>
          <w:szCs w:val="32"/>
        </w:rPr>
        <w:t>%。通过项目实施，</w:t>
      </w:r>
      <w:r>
        <w:rPr>
          <w:rFonts w:ascii="仿宋" w:cs="仿宋" w:eastAsia="仿宋" w:hAnsi="仿宋" w:hint="eastAsia"/>
          <w:sz w:val="32"/>
          <w:szCs w:val="32"/>
          <w:lang w:eastAsia="zh-CN"/>
        </w:rPr>
        <w:t>保证</w:t>
      </w:r>
      <w:r>
        <w:rPr>
          <w:rFonts w:ascii="仿宋" w:cs="仿宋" w:eastAsia="仿宋" w:hAnsi="仿宋" w:hint="eastAsia"/>
          <w:sz w:val="32"/>
          <w:szCs w:val="32"/>
        </w:rPr>
        <w:t>储备粮的品质和数量，发现的主要问题：</w:t>
      </w:r>
      <w:r>
        <w:rPr>
          <w:rFonts w:ascii="仿宋" w:cs="仿宋" w:eastAsia="仿宋" w:hAnsi="仿宋" w:hint="eastAsia"/>
          <w:sz w:val="32"/>
          <w:szCs w:val="32"/>
          <w:lang w:eastAsia="zh-CN"/>
        </w:rPr>
        <w:t>利息费用的拨付是在每一季度未，第四季度出现跨年拨付情况</w:t>
      </w:r>
      <w:r>
        <w:rPr>
          <w:rFonts w:ascii="仿宋" w:cs="仿宋" w:eastAsia="仿宋" w:hAnsi="仿宋" w:hint="eastAsia"/>
          <w:sz w:val="32"/>
          <w:szCs w:val="32"/>
        </w:rPr>
        <w:t>。下一步改进措施：</w:t>
      </w:r>
      <w:r>
        <w:rPr>
          <w:rFonts w:ascii="仿宋" w:cs="仿宋" w:eastAsia="仿宋" w:hAnsi="仿宋" w:hint="eastAsia"/>
          <w:sz w:val="32"/>
          <w:szCs w:val="32"/>
          <w:lang w:eastAsia="zh-CN"/>
        </w:rPr>
        <w:t>提前准备利息费用拨付相关资料，加快拨款进度。</w:t>
      </w:r>
    </w:p>
    <w:tbl>
      <w:tblPr>
        <w:tblStyle w:val="style105"/>
        <w:tblpPr w:leftFromText="180" w:rightFromText="180" w:topFromText="0" w:bottomFromText="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rPr>
          <w:trHeight w:val="1034" w:hRule="atLeast"/>
        </w:trPr>
        <w:tc>
          <w:tcPr>
            <w:tcW w:w="9960" w:type="dxa"/>
            <w:gridSpan w:val="6"/>
            <w:tcBorders/>
            <w:tcMar>
              <w:top w:w="15" w:type="dxa"/>
              <w:left w:w="15" w:type="dxa"/>
              <w:bottom w:w="0" w:type="dxa"/>
              <w:right w:w="15" w:type="dxa"/>
            </w:tcMar>
            <w:vAlign w:val="center"/>
          </w:tcPr>
          <w:p>
            <w:pPr>
              <w:pStyle w:val="style179"/>
              <w:widowControl/>
              <w:ind w:left="4173" w:leftChars="1310" w:hanging="1422" w:hangingChars="395"/>
              <w:textAlignment w:val="center"/>
              <w:rPr>
                <w:rFonts w:ascii="宋体" w:cs="宋体" w:hAnsi="宋体"/>
                <w:color w:val="000000"/>
                <w:sz w:val="36"/>
                <w:szCs w:val="36"/>
              </w:rPr>
            </w:pPr>
            <w:r>
              <w:rPr>
                <w:rFonts w:ascii="黑体" w:cs="宋体" w:eastAsia="黑体" w:hAnsi="黑体" w:hint="eastAsia"/>
                <w:bCs/>
                <w:color w:val="000000"/>
                <w:kern w:val="0"/>
                <w:sz w:val="36"/>
                <w:szCs w:val="36"/>
              </w:rPr>
              <w:t>项目支出绩效目标完成情况表</w:t>
            </w:r>
            <w:r>
              <w:rPr>
                <w:rFonts w:ascii="宋体" w:cs="宋体" w:hAnsi="宋体" w:hint="eastAsia"/>
                <w:b/>
                <w:bCs/>
                <w:color w:val="000000"/>
                <w:kern w:val="0"/>
                <w:sz w:val="36"/>
                <w:szCs w:val="36"/>
              </w:rPr>
              <w:br/>
            </w:r>
            <w:r>
              <w:rPr>
                <w:rFonts w:ascii="宋体" w:cs="宋体" w:hAnsi="宋体" w:hint="eastAsia"/>
                <w:color w:val="000000"/>
                <w:kern w:val="0"/>
                <w:sz w:val="36"/>
                <w:szCs w:val="36"/>
              </w:rPr>
              <w:t>(2018 年度)</w:t>
            </w:r>
          </w:p>
        </w:tc>
      </w:tr>
      <w:tr>
        <w:tblPrEx/>
        <w:trPr>
          <w:trHeight w:val="276" w:hRule="atLeast"/>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eastAsia="宋体" w:hAnsi="宋体" w:hint="eastAsia"/>
                <w:sz w:val="24"/>
                <w:szCs w:val="24"/>
                <w:lang w:eastAsia="zh-CN"/>
              </w:rPr>
              <w:t>粮食局整体绩效</w:t>
            </w:r>
            <w:r>
              <w:rPr>
                <w:rFonts w:ascii="宋体" w:cs="宋体" w:eastAsia="宋体" w:hAnsi="宋体" w:hint="eastAsia"/>
                <w:sz w:val="24"/>
                <w:szCs w:val="24"/>
              </w:rPr>
              <w:t>项目绩效目标</w:t>
            </w:r>
          </w:p>
        </w:tc>
      </w:tr>
      <w:tr>
        <w:tblPrEx/>
        <w:trPr>
          <w:trHeight w:val="276" w:hRule="atLeast"/>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壤塘县粮食局</w:t>
            </w:r>
          </w:p>
        </w:tc>
      </w:tr>
      <w:tr>
        <w:tblPrEx/>
        <w:trPr>
          <w:trHeight w:val="276" w:hRule="atLeast"/>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val="en-US" w:eastAsia="zh-CN"/>
              </w:rPr>
              <w:t>226.64万元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val="en-US" w:eastAsia="zh-CN"/>
              </w:rPr>
              <w:t>359.09万元</w:t>
            </w:r>
          </w:p>
        </w:tc>
      </w:tr>
      <w:tr>
        <w:tblPrEx/>
        <w:trPr>
          <w:trHeight w:val="276"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val="en-US" w:eastAsia="zh-CN"/>
              </w:rPr>
              <w:t>226.64万元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val="en-US" w:eastAsia="zh-CN"/>
              </w:rPr>
              <w:t>359.09万元</w:t>
            </w:r>
          </w:p>
        </w:tc>
      </w:tr>
      <w:tr>
        <w:tblPrEx/>
        <w:trPr>
          <w:trHeight w:val="1511"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jc w:val="center"/>
              <w:rPr>
                <w:rFonts w:ascii="宋体" w:cs="宋体" w:hAnsi="宋体"/>
                <w:color w:val="000000"/>
                <w:sz w:val="24"/>
              </w:rPr>
            </w:pPr>
          </w:p>
        </w:tc>
      </w:tr>
      <w:tr>
        <w:tblPrEx/>
        <w:trPr>
          <w:trHeight w:val="276" w:hRule="atLeast"/>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实际完成目标</w:t>
            </w:r>
          </w:p>
        </w:tc>
      </w:tr>
      <w:tr>
        <w:tblPrEx/>
        <w:trPr>
          <w:trHeight w:val="1159"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left"/>
              <w:textAlignment w:val="center"/>
              <w:rPr>
                <w:rFonts w:ascii="宋体" w:cs="宋体" w:eastAsia="宋体" w:hAnsi="宋体" w:hint="eastAsia"/>
                <w:color w:val="000000"/>
                <w:sz w:val="24"/>
                <w:lang w:eastAsia="zh-CN"/>
              </w:rPr>
            </w:pPr>
            <w:r>
              <w:rPr>
                <w:rFonts w:ascii="宋体" w:cs="宋体" w:eastAsia="宋体" w:hAnsi="宋体" w:hint="eastAsia"/>
                <w:sz w:val="24"/>
                <w:szCs w:val="24"/>
                <w:lang w:val="en-US" w:eastAsia="zh-CN"/>
              </w:rPr>
              <w:t xml:space="preserve">    </w:t>
            </w:r>
            <w:r>
              <w:rPr>
                <w:rFonts w:ascii="宋体" w:cs="宋体" w:eastAsia="宋体" w:hAnsi="宋体" w:hint="eastAsia"/>
                <w:sz w:val="24"/>
                <w:szCs w:val="24"/>
              </w:rPr>
              <w:t>保障粮油购销总量平衡工作，强化各级粮食储备管理，保证安排粮油供应，保持粮食市场和粮油价格的基本稳定</w:t>
            </w:r>
            <w:r>
              <w:rPr>
                <w:rFonts w:ascii="宋体" w:cs="宋体" w:eastAsia="宋体" w:hAnsi="宋体" w:hint="eastAsia"/>
                <w:sz w:val="24"/>
                <w:szCs w:val="24"/>
                <w:lang w:eastAsia="zh-CN"/>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left"/>
              <w:textAlignment w:val="center"/>
              <w:rPr>
                <w:rFonts w:ascii="宋体" w:cs="宋体" w:eastAsia="宋体" w:hAnsi="宋体" w:hint="eastAsia"/>
                <w:color w:val="000000"/>
                <w:sz w:val="24"/>
                <w:lang w:eastAsia="zh-CN"/>
              </w:rPr>
            </w:pPr>
            <w:r>
              <w:rPr>
                <w:rFonts w:ascii="宋体" w:cs="宋体" w:eastAsia="宋体" w:hAnsi="宋体" w:hint="eastAsia"/>
                <w:sz w:val="24"/>
                <w:szCs w:val="24"/>
                <w:lang w:val="en-US" w:eastAsia="zh-CN"/>
              </w:rPr>
              <w:t xml:space="preserve">    </w:t>
            </w:r>
            <w:r>
              <w:rPr>
                <w:rFonts w:ascii="宋体" w:cs="宋体" w:eastAsia="宋体" w:hAnsi="宋体" w:hint="eastAsia"/>
                <w:sz w:val="24"/>
                <w:szCs w:val="24"/>
              </w:rPr>
              <w:t>保障粮油购销总量平衡工作，强化各级粮食储备管理，保证安排粮油供应，保持粮食市场和粮油价格的基本稳定</w:t>
            </w:r>
            <w:r>
              <w:rPr>
                <w:rFonts w:ascii="宋体" w:cs="宋体" w:eastAsia="宋体" w:hAnsi="宋体" w:hint="eastAsia"/>
                <w:sz w:val="24"/>
                <w:szCs w:val="24"/>
                <w:lang w:eastAsia="zh-CN"/>
              </w:rPr>
              <w:t>。</w:t>
            </w:r>
          </w:p>
        </w:tc>
      </w:tr>
      <w:tr>
        <w:tblPrEx/>
        <w:trPr>
          <w:trHeight w:val="1042" w:hRule="atLeast"/>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实际完成指标值(包含数字及文字描述)</w:t>
            </w:r>
          </w:p>
        </w:tc>
      </w:tr>
      <w:tr>
        <w:tblPrEx/>
        <w:trPr>
          <w:trHeight w:val="953"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eastAsia="zh-CN"/>
              </w:rPr>
              <w:t>按年初工作计划</w:t>
            </w:r>
            <w:r>
              <w:rPr>
                <w:rFonts w:ascii="宋体" w:cs="宋体" w:hAnsi="宋体" w:hint="eastAsia"/>
                <w:color w:val="000000"/>
                <w:sz w:val="24"/>
                <w:lang w:val="en-US" w:eastAsia="zh-CN"/>
              </w:rPr>
              <w:t>100%完成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eastAsia="zh-CN"/>
              </w:rPr>
              <w:t>按年初工作计划</w:t>
            </w:r>
            <w:r>
              <w:rPr>
                <w:rFonts w:ascii="宋体" w:cs="宋体" w:hAnsi="宋体" w:hint="eastAsia"/>
                <w:color w:val="000000"/>
                <w:sz w:val="24"/>
                <w:lang w:val="en-US" w:eastAsia="zh-CN"/>
              </w:rPr>
              <w:t>100%完成</w:t>
            </w:r>
          </w:p>
        </w:tc>
      </w:tr>
      <w:tr>
        <w:tblPrEx/>
        <w:trPr>
          <w:trHeight w:val="1297"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eastAsia="zh-CN"/>
              </w:rPr>
              <w:t>按年初工作计划的要求</w:t>
            </w:r>
            <w:r>
              <w:rPr>
                <w:rFonts w:ascii="宋体" w:cs="宋体" w:hAnsi="宋体" w:hint="eastAsia"/>
                <w:color w:val="000000"/>
                <w:sz w:val="24"/>
                <w:lang w:val="en-US" w:eastAsia="zh-CN"/>
              </w:rPr>
              <w:t>100%完成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eastAsia="zh-CN"/>
              </w:rPr>
              <w:t>按年初工作计划的要求</w:t>
            </w:r>
            <w:r>
              <w:rPr>
                <w:rFonts w:ascii="宋体" w:cs="宋体" w:hAnsi="宋体" w:hint="eastAsia"/>
                <w:color w:val="000000"/>
                <w:sz w:val="24"/>
                <w:lang w:val="en-US" w:eastAsia="zh-CN"/>
              </w:rPr>
              <w:t>100%完成</w:t>
            </w: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在一年内</w:t>
            </w:r>
            <w:r>
              <w:rPr>
                <w:rFonts w:ascii="宋体" w:cs="宋体" w:hAnsi="宋体" w:hint="eastAsia"/>
                <w:color w:val="000000"/>
                <w:sz w:val="24"/>
                <w:lang w:val="en-US" w:eastAsia="zh-CN"/>
              </w:rPr>
              <w:t>100%</w:t>
            </w:r>
            <w:r>
              <w:rPr>
                <w:rFonts w:ascii="宋体" w:cs="宋体" w:hAnsi="宋体" w:hint="eastAsia"/>
                <w:color w:val="000000"/>
                <w:sz w:val="24"/>
                <w:lang w:eastAsia="zh-CN"/>
              </w:rPr>
              <w:t>完成所有工作任务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eastAsia="zh-CN"/>
              </w:rPr>
              <w:t>在一年内</w:t>
            </w:r>
            <w:r>
              <w:rPr>
                <w:rFonts w:ascii="宋体" w:cs="宋体" w:hAnsi="宋体" w:hint="eastAsia"/>
                <w:color w:val="000000"/>
                <w:sz w:val="24"/>
                <w:lang w:val="en-US" w:eastAsia="zh-CN"/>
              </w:rPr>
              <w:t>100%</w:t>
            </w:r>
            <w:r>
              <w:rPr>
                <w:rFonts w:ascii="宋体" w:cs="宋体" w:hAnsi="宋体" w:hint="eastAsia"/>
                <w:color w:val="000000"/>
                <w:sz w:val="24"/>
                <w:lang w:eastAsia="zh-CN"/>
              </w:rPr>
              <w:t>完成所有工作任务</w:t>
            </w: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kern w:val="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eastAsia="宋体" w:hAnsi="宋体" w:hint="eastAsia"/>
                <w:sz w:val="24"/>
                <w:szCs w:val="24"/>
              </w:rPr>
              <w:t>保障粮油购销总量平衡工作，强化各级粮食储备管理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eastAsia="宋体" w:hAnsi="宋体" w:hint="eastAsia"/>
                <w:sz w:val="24"/>
                <w:szCs w:val="24"/>
              </w:rPr>
              <w:t>保障粮油购销总量平衡工作，强化各级粮食储备管理</w:t>
            </w:r>
          </w:p>
        </w:tc>
      </w:tr>
      <w:tr>
        <w:tblPrEx/>
        <w:trPr>
          <w:trHeight w:val="1297"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297"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kern w:val="0"/>
                <w:sz w:val="24"/>
              </w:rPr>
            </w:pPr>
            <w:r>
              <w:rPr>
                <w:rFonts w:ascii="宋体" w:cs="宋体" w:hAnsi="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50"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bl>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p>
      <w:pPr>
        <w:pStyle w:val="style0"/>
        <w:rPr>
          <w:rFonts w:ascii="Calibri" w:hAnsi="Calibri"/>
        </w:rPr>
      </w:pPr>
    </w:p>
    <w:tbl>
      <w:tblPr>
        <w:tblStyle w:val="style105"/>
        <w:tblpPr w:leftFromText="180" w:rightFromText="180" w:topFromText="0" w:bottomFromText="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rPr>
          <w:trHeight w:val="1034" w:hRule="atLeast"/>
        </w:trPr>
        <w:tc>
          <w:tcPr>
            <w:tcW w:w="9960" w:type="dxa"/>
            <w:gridSpan w:val="6"/>
            <w:tcBorders/>
            <w:tcMar>
              <w:top w:w="15" w:type="dxa"/>
              <w:left w:w="15" w:type="dxa"/>
              <w:bottom w:w="0" w:type="dxa"/>
              <w:right w:w="15" w:type="dxa"/>
            </w:tcMar>
            <w:vAlign w:val="center"/>
          </w:tcPr>
          <w:p>
            <w:pPr>
              <w:pStyle w:val="style179"/>
              <w:widowControl/>
              <w:ind w:left="4173" w:leftChars="1310" w:hanging="1422" w:hangingChars="395"/>
              <w:textAlignment w:val="center"/>
              <w:rPr>
                <w:rFonts w:ascii="宋体" w:cs="宋体" w:hAnsi="宋体"/>
                <w:color w:val="000000"/>
                <w:sz w:val="36"/>
                <w:szCs w:val="36"/>
              </w:rPr>
            </w:pPr>
            <w:r>
              <w:rPr>
                <w:rFonts w:ascii="黑体" w:cs="宋体" w:eastAsia="黑体" w:hAnsi="黑体" w:hint="eastAsia"/>
                <w:bCs/>
                <w:color w:val="000000"/>
                <w:kern w:val="0"/>
                <w:sz w:val="36"/>
                <w:szCs w:val="36"/>
              </w:rPr>
              <w:t>项目支出绩效目标完成情况表</w:t>
            </w:r>
            <w:r>
              <w:rPr>
                <w:rFonts w:ascii="宋体" w:cs="宋体" w:hAnsi="宋体" w:hint="eastAsia"/>
                <w:b/>
                <w:bCs/>
                <w:color w:val="000000"/>
                <w:kern w:val="0"/>
                <w:sz w:val="36"/>
                <w:szCs w:val="36"/>
              </w:rPr>
              <w:br/>
            </w:r>
            <w:r>
              <w:rPr>
                <w:rFonts w:ascii="宋体" w:cs="宋体" w:hAnsi="宋体" w:hint="eastAsia"/>
                <w:color w:val="000000"/>
                <w:kern w:val="0"/>
                <w:sz w:val="36"/>
                <w:szCs w:val="36"/>
              </w:rPr>
              <w:t>(2018 年度)</w:t>
            </w:r>
          </w:p>
        </w:tc>
      </w:tr>
      <w:tr>
        <w:tblPrEx/>
        <w:trPr>
          <w:trHeight w:val="276" w:hRule="atLeast"/>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eastAsia="宋体" w:hAnsi="宋体" w:hint="eastAsia"/>
                <w:sz w:val="24"/>
                <w:szCs w:val="24"/>
                <w:lang w:eastAsia="zh-CN"/>
              </w:rPr>
              <w:t>县级储备利息费用项目</w:t>
            </w:r>
          </w:p>
        </w:tc>
      </w:tr>
      <w:tr>
        <w:tblPrEx/>
        <w:trPr>
          <w:trHeight w:val="276" w:hRule="atLeast"/>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壤塘县粮食局</w:t>
            </w:r>
          </w:p>
        </w:tc>
      </w:tr>
      <w:tr>
        <w:tblPrEx/>
        <w:trPr>
          <w:trHeight w:val="276" w:hRule="atLeast"/>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val="en-US" w:eastAsia="zh-CN"/>
              </w:rPr>
              <w:t>48万元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val="en-US" w:eastAsia="zh-CN"/>
              </w:rPr>
              <w:t>45.53万元</w:t>
            </w:r>
          </w:p>
        </w:tc>
      </w:tr>
      <w:tr>
        <w:tblPrEx/>
        <w:trPr>
          <w:trHeight w:val="276"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val="en-US" w:eastAsia="zh-CN"/>
              </w:rPr>
              <w:t>48万元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val="en-US" w:eastAsia="zh-CN"/>
              </w:rPr>
              <w:t>45.53万元</w:t>
            </w:r>
          </w:p>
        </w:tc>
      </w:tr>
      <w:tr>
        <w:tblPrEx/>
        <w:trPr>
          <w:trHeight w:val="1511"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jc w:val="center"/>
              <w:rPr>
                <w:rFonts w:ascii="宋体" w:cs="宋体" w:hAnsi="宋体"/>
                <w:color w:val="000000"/>
                <w:sz w:val="24"/>
              </w:rPr>
            </w:pPr>
          </w:p>
        </w:tc>
      </w:tr>
      <w:tr>
        <w:tblPrEx/>
        <w:trPr>
          <w:trHeight w:val="276" w:hRule="atLeast"/>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实际完成目标</w:t>
            </w:r>
          </w:p>
        </w:tc>
      </w:tr>
      <w:tr>
        <w:tblPrEx/>
        <w:trPr>
          <w:trHeight w:val="1159"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left"/>
              <w:textAlignment w:val="center"/>
              <w:rPr>
                <w:rFonts w:ascii="宋体" w:cs="宋体" w:eastAsia="宋体" w:hAnsi="宋体" w:hint="eastAsia"/>
                <w:color w:val="000000"/>
                <w:sz w:val="24"/>
                <w:lang w:eastAsia="zh-CN"/>
              </w:rPr>
            </w:pPr>
            <w:r>
              <w:rPr>
                <w:rFonts w:ascii="宋体" w:cs="宋体" w:eastAsia="宋体" w:hAnsi="宋体" w:hint="eastAsia"/>
                <w:sz w:val="24"/>
                <w:szCs w:val="24"/>
                <w:lang w:val="en-US" w:eastAsia="zh-CN"/>
              </w:rPr>
              <w:t xml:space="preserve">    </w:t>
            </w:r>
            <w:r>
              <w:rPr>
                <w:rFonts w:ascii="宋体" w:cs="宋体" w:eastAsia="宋体" w:hAnsi="宋体" w:hint="eastAsia"/>
                <w:sz w:val="24"/>
                <w:szCs w:val="24"/>
              </w:rPr>
              <w:t>储备和保管好县级储备粮食，确保储备粮的品质和数量。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left"/>
              <w:textAlignment w:val="center"/>
              <w:rPr>
                <w:rFonts w:ascii="宋体" w:cs="宋体" w:eastAsia="宋体" w:hAnsi="宋体" w:hint="eastAsia"/>
                <w:color w:val="000000"/>
                <w:sz w:val="24"/>
                <w:lang w:eastAsia="zh-CN"/>
              </w:rPr>
            </w:pPr>
            <w:r>
              <w:rPr>
                <w:rFonts w:ascii="宋体" w:cs="宋体" w:eastAsia="宋体" w:hAnsi="宋体" w:hint="eastAsia"/>
                <w:sz w:val="24"/>
                <w:szCs w:val="24"/>
                <w:lang w:val="en-US" w:eastAsia="zh-CN"/>
              </w:rPr>
              <w:t xml:space="preserve">    </w:t>
            </w:r>
            <w:r>
              <w:rPr>
                <w:rFonts w:ascii="宋体" w:cs="宋体" w:eastAsia="宋体" w:hAnsi="宋体" w:hint="eastAsia"/>
                <w:sz w:val="24"/>
                <w:szCs w:val="24"/>
              </w:rPr>
              <w:t>储备和保管好县级储备粮食，确保储备粮的品质和数量。</w:t>
            </w:r>
          </w:p>
        </w:tc>
      </w:tr>
      <w:tr>
        <w:tblPrEx/>
        <w:trPr>
          <w:trHeight w:val="1042" w:hRule="atLeast"/>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实际完成指标值(包含数字及文字描述)</w:t>
            </w:r>
          </w:p>
        </w:tc>
      </w:tr>
      <w:tr>
        <w:tblPrEx/>
        <w:trPr>
          <w:trHeight w:val="953"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both"/>
              <w:textAlignment w:val="center"/>
              <w:rPr>
                <w:rFonts w:ascii="宋体" w:cs="宋体" w:eastAsia="宋体" w:hAnsi="宋体" w:hint="eastAsia"/>
                <w:color w:val="000000"/>
                <w:sz w:val="24"/>
                <w:lang w:val="en-US" w:eastAsia="zh-CN"/>
              </w:rPr>
            </w:pPr>
            <w:r>
              <w:rPr>
                <w:rFonts w:ascii="宋体" w:cs="宋体" w:hAnsi="宋体" w:hint="eastAsia"/>
                <w:color w:val="000000"/>
                <w:sz w:val="24"/>
                <w:lang w:val="en-US" w:eastAsia="zh-CN"/>
              </w:rPr>
              <w:t>完成县级储备大米555吨、面粉200吨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val="en-US" w:eastAsia="zh-CN"/>
              </w:rPr>
              <w:t>完成县级储备大米555吨、面粉200吨</w:t>
            </w:r>
          </w:p>
        </w:tc>
      </w:tr>
      <w:tr>
        <w:tblPrEx/>
        <w:trPr>
          <w:trHeight w:val="1297"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val="en-US" w:eastAsia="zh-CN"/>
              </w:rPr>
            </w:pPr>
            <w:r>
              <w:rPr>
                <w:rFonts w:ascii="宋体" w:cs="宋体" w:hAnsi="宋体" w:hint="eastAsia"/>
                <w:color w:val="000000"/>
                <w:sz w:val="24"/>
                <w:lang w:eastAsia="zh-CN"/>
              </w:rPr>
              <w:t>大米达到国标三级、面粉达到特一粉</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eastAsia="zh-CN"/>
              </w:rPr>
              <w:t>大米达到国标三级、面粉达到特一粉</w:t>
            </w: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每年完成当年的储备工作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lang w:eastAsia="zh-CN"/>
              </w:rPr>
              <w:t>每年完成当年的储备工作</w:t>
            </w: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kern w:val="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42"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lang w:eastAsia="zh-CN"/>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eastAsia="宋体" w:hAnsi="宋体" w:hint="eastAsia"/>
                <w:color w:val="000000"/>
                <w:sz w:val="24"/>
                <w:lang w:eastAsia="zh-CN"/>
              </w:rPr>
            </w:pPr>
            <w:r>
              <w:rPr>
                <w:rFonts w:ascii="宋体" w:cs="宋体" w:hAnsi="宋体" w:hint="eastAsia"/>
                <w:color w:val="000000"/>
                <w:sz w:val="24"/>
              </w:rPr>
              <w:t>对粮食市场进行宏观调控</w:t>
            </w:r>
            <w:r>
              <w:rPr>
                <w:rFonts w:ascii="宋体" w:cs="宋体" w:hAnsi="宋体" w:hint="eastAsia"/>
                <w:color w:val="000000"/>
                <w:sz w:val="24"/>
                <w:lang w:eastAsia="zh-CN"/>
              </w:rPr>
              <w:t>，起到稳定粮油市场的目的。</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sz w:val="24"/>
              </w:rPr>
              <w:t>对粮食市场进行宏观调控</w:t>
            </w:r>
            <w:r>
              <w:rPr>
                <w:rFonts w:ascii="宋体" w:cs="宋体" w:hAnsi="宋体" w:hint="eastAsia"/>
                <w:color w:val="000000"/>
                <w:sz w:val="24"/>
                <w:lang w:eastAsia="zh-CN"/>
              </w:rPr>
              <w:t>，起到稳定粮油市场的目的。</w:t>
            </w:r>
          </w:p>
        </w:tc>
      </w:tr>
      <w:tr>
        <w:tblPrEx/>
        <w:trPr>
          <w:trHeight w:val="1297"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297"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kern w:val="0"/>
                <w:sz w:val="24"/>
              </w:rPr>
            </w:pPr>
            <w:r>
              <w:rPr>
                <w:rFonts w:ascii="宋体" w:cs="宋体" w:hAnsi="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r>
        <w:tblPrEx/>
        <w:trPr>
          <w:trHeight w:val="1050" w:hRule="atLeast"/>
        </w:trPr>
        <w:tc>
          <w:tcPr>
            <w:tcW w:w="390" w:type="dxa"/>
            <w:vMerge w:val="continue"/>
            <w:tcBorders>
              <w:top w:val="single" w:sz="4" w:space="0" w:color="000000"/>
              <w:left w:val="single" w:sz="4" w:space="0" w:color="000000"/>
              <w:bottom w:val="single" w:sz="4" w:space="0" w:color="000000"/>
              <w:right w:val="single" w:sz="4" w:space="0" w:color="000000"/>
            </w:tcBorders>
            <w:tcMar/>
            <w:vAlign w:val="center"/>
          </w:tcPr>
          <w:p>
            <w:pPr>
              <w:pStyle w:val="style0"/>
              <w:widowControl/>
              <w:jc w:val="left"/>
              <w:rPr>
                <w:rFonts w:ascii="宋体" w:cs="宋体" w:hAnsi="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r>
              <w:rPr>
                <w:rFonts w:ascii="宋体" w:cs="宋体" w:hAnsi="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pPr>
              <w:pStyle w:val="style0"/>
              <w:widowControl/>
              <w:jc w:val="center"/>
              <w:textAlignment w:val="center"/>
              <w:rPr>
                <w:rFonts w:ascii="宋体" w:cs="宋体" w:hAnsi="宋体"/>
                <w:color w:val="000000"/>
                <w:sz w:val="24"/>
              </w:rPr>
            </w:pPr>
          </w:p>
        </w:tc>
      </w:tr>
    </w:tbl>
    <w:p>
      <w:pPr>
        <w:pStyle w:val="style0"/>
        <w:spacing w:lineRule="exact" w:line="580"/>
        <w:rPr>
          <w:rFonts w:ascii="仿宋_GB2312" w:cs="仿宋_GB2312" w:eastAsia="仿宋_GB2312" w:hAnsi="仿宋_GB2312"/>
          <w:sz w:val="32"/>
          <w:szCs w:val="32"/>
        </w:rPr>
      </w:pPr>
    </w:p>
    <w:p>
      <w:pPr>
        <w:pStyle w:val="style0"/>
        <w:numPr>
          <w:ilvl w:val="0"/>
          <w:numId w:val="4"/>
        </w:numPr>
        <w:spacing w:lineRule="exact" w:line="580"/>
        <w:ind w:firstLine="643" w:firstLineChars="200"/>
        <w:rPr>
          <w:rFonts w:ascii="仿宋" w:cs="仿宋_GB2312" w:eastAsia="仿宋" w:hAnsi="仿宋"/>
          <w:sz w:val="32"/>
          <w:szCs w:val="32"/>
        </w:rPr>
      </w:pPr>
      <w:r>
        <w:rPr>
          <w:rFonts w:ascii="仿宋" w:cs="楷体_GB2312" w:eastAsia="仿宋" w:hAnsi="仿宋" w:hint="eastAsia"/>
          <w:b/>
          <w:bCs/>
          <w:sz w:val="32"/>
          <w:szCs w:val="32"/>
        </w:rPr>
        <w:t>部门开展绩效评价结果。</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本部门按要求对2018年部门整体支出绩效评价情况开展自评，《</w:t>
      </w:r>
      <w:r>
        <w:rPr>
          <w:rFonts w:ascii="仿宋" w:cs="仿宋" w:eastAsia="仿宋" w:hAnsi="仿宋" w:hint="eastAsia"/>
          <w:sz w:val="32"/>
          <w:szCs w:val="32"/>
          <w:lang w:eastAsia="zh-CN"/>
        </w:rPr>
        <w:t>壤塘县粮食局</w:t>
      </w:r>
      <w:r>
        <w:rPr>
          <w:rFonts w:ascii="仿宋" w:cs="仿宋" w:eastAsia="仿宋" w:hAnsi="仿宋" w:hint="eastAsia"/>
          <w:sz w:val="32"/>
          <w:szCs w:val="32"/>
        </w:rPr>
        <w:t>2018年部门整体支出绩效评价报告》见附件。</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本部门自行组织对</w:t>
      </w:r>
      <w:r>
        <w:rPr>
          <w:rFonts w:ascii="仿宋" w:cs="仿宋" w:eastAsia="仿宋" w:hAnsi="仿宋" w:hint="eastAsia"/>
          <w:sz w:val="32"/>
          <w:szCs w:val="32"/>
          <w:lang w:eastAsia="zh-CN"/>
        </w:rPr>
        <w:t>县级储备利息费用</w:t>
      </w:r>
      <w:r>
        <w:rPr>
          <w:rFonts w:ascii="仿宋" w:cs="仿宋" w:eastAsia="仿宋" w:hAnsi="仿宋" w:hint="eastAsia"/>
          <w:sz w:val="32"/>
          <w:szCs w:val="32"/>
        </w:rPr>
        <w:t>项目开展了绩效评价，《</w:t>
      </w:r>
      <w:r>
        <w:rPr>
          <w:rFonts w:ascii="仿宋" w:cs="仿宋" w:eastAsia="仿宋" w:hAnsi="仿宋" w:hint="eastAsia"/>
          <w:sz w:val="32"/>
          <w:szCs w:val="32"/>
          <w:lang w:eastAsia="zh-CN"/>
        </w:rPr>
        <w:t>县级储备利息费用</w:t>
      </w:r>
      <w:r>
        <w:rPr>
          <w:rFonts w:ascii="仿宋" w:cs="仿宋" w:eastAsia="仿宋" w:hAnsi="仿宋" w:hint="eastAsia"/>
          <w:sz w:val="32"/>
          <w:szCs w:val="32"/>
        </w:rPr>
        <w:t>项目2018年绩效评价报告》见附件。</w:t>
      </w:r>
    </w:p>
    <w:p>
      <w:pPr>
        <w:pStyle w:val="style0"/>
        <w:spacing w:lineRule="exact" w:line="580"/>
        <w:jc w:val="center"/>
        <w:rPr>
          <w:rFonts w:ascii="方正小标宋简体" w:cs="方正小标宋简体" w:eastAsia="方正小标宋简体" w:hAnsi="方正小标宋简体"/>
          <w:sz w:val="44"/>
          <w:szCs w:val="44"/>
        </w:rPr>
      </w:pPr>
    </w:p>
    <w:bookmarkStart w:id="51" w:name="_Toc15377221"/>
    <w:bookmarkStart w:id="52" w:name="_Toc15396612"/>
    <w:p>
      <w:pPr>
        <w:pStyle w:val="style0"/>
        <w:spacing w:lineRule="exact" w:line="600"/>
        <w:ind w:firstLine="800" w:firstLineChars="250"/>
        <w:outlineLvl w:val="1"/>
        <w:rPr>
          <w:rStyle w:val="style4105"/>
          <w:rFonts w:ascii="黑体" w:eastAsia="黑体" w:hAnsi="黑体"/>
        </w:rPr>
      </w:pPr>
      <w:r>
        <w:rPr>
          <w:rFonts w:ascii="黑体" w:eastAsia="黑体" w:hAnsi="黑体" w:hint="eastAsia"/>
          <w:color w:val="000000"/>
          <w:sz w:val="32"/>
          <w:szCs w:val="32"/>
        </w:rPr>
        <w:t>十</w:t>
      </w:r>
      <w:r>
        <w:rPr>
          <w:rStyle w:val="style4105"/>
          <w:rFonts w:ascii="黑体" w:eastAsia="黑体" w:hAnsi="黑体" w:hint="eastAsia"/>
        </w:rPr>
        <w:t>一、</w:t>
      </w:r>
      <w:r>
        <w:rPr>
          <w:rStyle w:val="style4105"/>
          <w:rFonts w:ascii="黑体" w:eastAsia="黑体" w:hAnsi="黑体" w:hint="eastAsia"/>
          <w:b w:val="false"/>
        </w:rPr>
        <w:t>其他重要事项的情况说明</w:t>
      </w:r>
      <w:bookmarkEnd w:id="51"/>
      <w:bookmarkEnd w:id="52"/>
    </w:p>
    <w:bookmarkStart w:id="53" w:name="_Toc15377222"/>
    <w:p>
      <w:pPr>
        <w:pStyle w:val="style0"/>
        <w:spacing w:lineRule="exact" w:line="600"/>
        <w:ind w:firstLine="643" w:firstLineChars="200"/>
        <w:outlineLvl w:val="2"/>
        <w:rPr>
          <w:rFonts w:ascii="仿宋" w:eastAsia="仿宋" w:hAnsi="仿宋"/>
          <w:color w:val="000000"/>
          <w:sz w:val="32"/>
          <w:szCs w:val="32"/>
        </w:rPr>
      </w:pPr>
      <w:r>
        <w:rPr>
          <w:rFonts w:ascii="仿宋" w:eastAsia="仿宋" w:hAnsi="仿宋" w:hint="eastAsia"/>
          <w:b/>
          <w:color w:val="000000"/>
          <w:sz w:val="32"/>
          <w:szCs w:val="32"/>
        </w:rPr>
        <w:t>（一）机关运行经费支出情况</w:t>
      </w:r>
      <w:bookmarkEnd w:id="53"/>
    </w:p>
    <w:p>
      <w:pPr>
        <w:pStyle w:val="style0"/>
        <w:spacing w:lineRule="exact" w:line="600"/>
        <w:ind w:firstLine="640" w:firstLineChars="200"/>
        <w:rPr>
          <w:rFonts w:ascii="仿宋_GB2312" w:eastAsia="仿宋_GB2312" w:hint="eastAsia"/>
          <w:color w:val="000000"/>
          <w:sz w:val="32"/>
          <w:szCs w:val="32"/>
          <w:lang w:eastAsia="zh-CN"/>
        </w:rPr>
      </w:pPr>
      <w:r>
        <w:rPr>
          <w:rFonts w:ascii="仿宋" w:cs="仿宋" w:eastAsia="仿宋" w:hAnsi="仿宋" w:hint="eastAsia"/>
          <w:color w:val="000000"/>
          <w:sz w:val="32"/>
          <w:szCs w:val="32"/>
        </w:rPr>
        <w:t>2018年，</w:t>
      </w:r>
      <w:r>
        <w:rPr>
          <w:rFonts w:ascii="仿宋" w:cs="仿宋" w:eastAsia="仿宋" w:hAnsi="仿宋" w:hint="eastAsia"/>
          <w:color w:val="000000"/>
          <w:sz w:val="32"/>
          <w:szCs w:val="32"/>
          <w:lang w:eastAsia="zh-CN"/>
        </w:rPr>
        <w:t>壤塘县粮食局</w:t>
      </w:r>
      <w:r>
        <w:rPr>
          <w:rFonts w:ascii="仿宋" w:cs="仿宋" w:eastAsia="仿宋" w:hAnsi="仿宋" w:hint="eastAsia"/>
          <w:color w:val="000000"/>
          <w:sz w:val="32"/>
          <w:szCs w:val="32"/>
        </w:rPr>
        <w:t>机关运行经费支出</w:t>
      </w:r>
      <w:r>
        <w:rPr>
          <w:rFonts w:ascii="仿宋" w:cs="仿宋" w:eastAsia="仿宋" w:hAnsi="仿宋" w:hint="eastAsia"/>
          <w:color w:val="000000"/>
          <w:sz w:val="32"/>
          <w:szCs w:val="32"/>
          <w:lang w:val="en-US" w:eastAsia="zh-CN"/>
        </w:rPr>
        <w:t>21.23</w:t>
      </w:r>
      <w:r>
        <w:rPr>
          <w:rFonts w:ascii="仿宋" w:cs="仿宋" w:eastAsia="仿宋" w:hAnsi="仿宋" w:hint="eastAsia"/>
          <w:color w:val="000000"/>
          <w:sz w:val="32"/>
          <w:szCs w:val="32"/>
        </w:rPr>
        <w:t>万元，比2017年减少</w:t>
      </w:r>
      <w:r>
        <w:rPr>
          <w:rFonts w:ascii="仿宋" w:cs="仿宋" w:eastAsia="仿宋" w:hAnsi="仿宋" w:hint="eastAsia"/>
          <w:color w:val="000000"/>
          <w:sz w:val="32"/>
          <w:szCs w:val="32"/>
          <w:lang w:val="en-US" w:eastAsia="zh-CN"/>
        </w:rPr>
        <w:t>11.46</w:t>
      </w:r>
      <w:r>
        <w:rPr>
          <w:rFonts w:ascii="仿宋" w:cs="仿宋" w:eastAsia="仿宋" w:hAnsi="仿宋" w:hint="eastAsia"/>
          <w:color w:val="000000"/>
          <w:sz w:val="32"/>
          <w:szCs w:val="32"/>
        </w:rPr>
        <w:t>万元，下降</w:t>
      </w:r>
      <w:r>
        <w:rPr>
          <w:rFonts w:ascii="仿宋" w:cs="仿宋" w:eastAsia="仿宋" w:hAnsi="仿宋" w:hint="eastAsia"/>
          <w:color w:val="000000"/>
          <w:sz w:val="32"/>
          <w:szCs w:val="32"/>
          <w:lang w:val="en-US" w:eastAsia="zh-CN"/>
        </w:rPr>
        <w:t>35</w:t>
      </w:r>
      <w:r>
        <w:rPr>
          <w:rFonts w:ascii="仿宋" w:cs="仿宋" w:eastAsia="仿宋" w:hAnsi="仿宋" w:hint="eastAsia"/>
          <w:color w:val="000000"/>
          <w:sz w:val="32"/>
          <w:szCs w:val="32"/>
        </w:rPr>
        <w:t>%。</w:t>
      </w:r>
      <w:r>
        <w:rPr>
          <w:rFonts w:ascii="仿宋" w:cs="仿宋" w:eastAsia="仿宋" w:hAnsi="仿宋" w:hint="eastAsia"/>
          <w:color w:val="000000"/>
          <w:sz w:val="32"/>
          <w:szCs w:val="32"/>
        </w:rPr>
        <w:t>主要原因是</w:t>
      </w:r>
      <w:r>
        <w:rPr>
          <w:rFonts w:ascii="仿宋" w:cs="仿宋" w:eastAsia="仿宋" w:hAnsi="仿宋" w:hint="eastAsia"/>
          <w:color w:val="000000"/>
          <w:sz w:val="32"/>
          <w:szCs w:val="32"/>
          <w:lang w:eastAsia="zh-CN"/>
        </w:rPr>
        <w:t>压缩公务开支。</w:t>
      </w:r>
    </w:p>
    <w:bookmarkStart w:id="54" w:name="_Toc15377223"/>
    <w:p>
      <w:pPr>
        <w:pStyle w:val="style0"/>
        <w:autoSpaceDE w:val="false"/>
        <w:autoSpaceDN w:val="false"/>
        <w:adjustRightInd w:val="false"/>
        <w:spacing w:lineRule="exact" w:line="600"/>
        <w:ind w:firstLine="643" w:firstLineChars="200"/>
        <w:jc w:val="left"/>
        <w:outlineLvl w:val="2"/>
        <w:rPr>
          <w:rFonts w:ascii="仿宋" w:eastAsia="仿宋" w:hAnsi="仿宋"/>
          <w:b/>
          <w:color w:val="000000"/>
          <w:sz w:val="32"/>
          <w:szCs w:val="32"/>
        </w:rPr>
      </w:pPr>
      <w:r>
        <w:rPr>
          <w:rFonts w:ascii="仿宋" w:eastAsia="仿宋" w:hAnsi="仿宋" w:hint="eastAsia"/>
          <w:b/>
          <w:color w:val="000000"/>
          <w:sz w:val="32"/>
          <w:szCs w:val="32"/>
        </w:rPr>
        <w:t>（二）政府采购支出情况</w:t>
      </w:r>
      <w:bookmarkEnd w:id="54"/>
    </w:p>
    <w:p>
      <w:pPr>
        <w:pStyle w:val="style0"/>
        <w:spacing w:lineRule="exact" w:line="60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rPr>
        <w:t>2018年，</w:t>
      </w:r>
      <w:r>
        <w:rPr>
          <w:rFonts w:ascii="仿宋" w:cs="仿宋" w:eastAsia="仿宋" w:hAnsi="仿宋" w:hint="eastAsia"/>
          <w:color w:val="000000"/>
          <w:sz w:val="32"/>
          <w:szCs w:val="32"/>
          <w:lang w:eastAsia="zh-CN"/>
        </w:rPr>
        <w:t>壤塘县粮食局</w:t>
      </w:r>
      <w:r>
        <w:rPr>
          <w:rFonts w:ascii="仿宋" w:cs="仿宋" w:eastAsia="仿宋" w:hAnsi="仿宋" w:hint="eastAsia"/>
          <w:color w:val="000000"/>
          <w:sz w:val="32"/>
          <w:szCs w:val="32"/>
        </w:rPr>
        <w:t>政府采购支出总额</w:t>
      </w:r>
      <w:r>
        <w:rPr>
          <w:rFonts w:ascii="仿宋" w:cs="仿宋" w:eastAsia="仿宋" w:hAnsi="仿宋" w:hint="eastAsia"/>
          <w:color w:val="000000"/>
          <w:sz w:val="32"/>
          <w:szCs w:val="32"/>
          <w:lang w:val="en-US" w:eastAsia="zh-CN"/>
        </w:rPr>
        <w:t>850.13</w:t>
      </w:r>
      <w:r>
        <w:rPr>
          <w:rFonts w:ascii="仿宋" w:cs="仿宋" w:eastAsia="仿宋" w:hAnsi="仿宋" w:hint="eastAsia"/>
          <w:color w:val="000000"/>
          <w:sz w:val="32"/>
          <w:szCs w:val="32"/>
        </w:rPr>
        <w:t>万元，其中：政府采购货物支出</w:t>
      </w:r>
      <w:r>
        <w:rPr>
          <w:rFonts w:ascii="仿宋" w:cs="仿宋" w:eastAsia="仿宋" w:hAnsi="仿宋" w:hint="eastAsia"/>
          <w:color w:val="000000"/>
          <w:sz w:val="32"/>
          <w:szCs w:val="32"/>
          <w:lang w:val="en-US" w:eastAsia="zh-CN"/>
        </w:rPr>
        <w:t>850.13</w:t>
      </w:r>
      <w:r>
        <w:rPr>
          <w:rFonts w:ascii="仿宋" w:cs="仿宋" w:eastAsia="仿宋" w:hAnsi="仿宋" w:hint="eastAsia"/>
          <w:color w:val="000000"/>
          <w:sz w:val="32"/>
          <w:szCs w:val="32"/>
        </w:rPr>
        <w:t>万元。主要用于</w:t>
      </w:r>
      <w:r>
        <w:rPr>
          <w:rFonts w:ascii="仿宋" w:cs="仿宋" w:eastAsia="仿宋" w:hAnsi="仿宋" w:hint="eastAsia"/>
          <w:color w:val="000000"/>
          <w:sz w:val="32"/>
          <w:szCs w:val="32"/>
          <w:lang w:eastAsia="zh-CN"/>
        </w:rPr>
        <w:t>大骨节更换粮食项目的采购</w:t>
      </w:r>
      <w:r>
        <w:rPr>
          <w:rFonts w:ascii="仿宋" w:cs="仿宋" w:eastAsia="仿宋" w:hAnsi="仿宋" w:hint="eastAsia"/>
          <w:color w:val="000000"/>
          <w:sz w:val="32"/>
          <w:szCs w:val="32"/>
        </w:rPr>
        <w:t>。授予中小企业合同金额</w:t>
      </w:r>
      <w:r>
        <w:rPr>
          <w:rFonts w:ascii="仿宋" w:cs="仿宋" w:eastAsia="仿宋" w:hAnsi="仿宋" w:hint="eastAsia"/>
          <w:color w:val="000000"/>
          <w:sz w:val="32"/>
          <w:szCs w:val="32"/>
          <w:lang w:val="en-US" w:eastAsia="zh-CN"/>
        </w:rPr>
        <w:t>850.13</w:t>
      </w:r>
      <w:r>
        <w:rPr>
          <w:rFonts w:ascii="仿宋" w:cs="仿宋" w:eastAsia="仿宋" w:hAnsi="仿宋" w:hint="eastAsia"/>
          <w:color w:val="000000"/>
          <w:sz w:val="32"/>
          <w:szCs w:val="32"/>
        </w:rPr>
        <w:t>万元，占政府采购支出总额的</w:t>
      </w:r>
      <w:r>
        <w:rPr>
          <w:rFonts w:ascii="仿宋" w:cs="仿宋" w:eastAsia="仿宋" w:hAnsi="仿宋" w:hint="eastAsia"/>
          <w:color w:val="000000"/>
          <w:sz w:val="32"/>
          <w:szCs w:val="32"/>
          <w:lang w:val="en-US" w:eastAsia="zh-CN"/>
        </w:rPr>
        <w:t>100</w:t>
      </w:r>
      <w:r>
        <w:rPr>
          <w:rFonts w:ascii="仿宋" w:cs="仿宋" w:eastAsia="仿宋" w:hAnsi="仿宋" w:hint="eastAsia"/>
          <w:color w:val="000000"/>
          <w:sz w:val="32"/>
          <w:szCs w:val="32"/>
        </w:rPr>
        <w:t>%。</w:t>
      </w:r>
    </w:p>
    <w:bookmarkStart w:id="55" w:name="_Toc15377224"/>
    <w:p>
      <w:pPr>
        <w:pStyle w:val="style0"/>
        <w:autoSpaceDE w:val="false"/>
        <w:autoSpaceDN w:val="false"/>
        <w:adjustRightInd w:val="false"/>
        <w:spacing w:lineRule="exact" w:line="600"/>
        <w:ind w:firstLine="643" w:firstLineChars="200"/>
        <w:jc w:val="left"/>
        <w:outlineLvl w:val="2"/>
        <w:rPr>
          <w:rFonts w:ascii="仿宋" w:eastAsia="仿宋" w:hAnsi="仿宋"/>
          <w:b/>
          <w:color w:val="000000"/>
          <w:sz w:val="32"/>
          <w:szCs w:val="32"/>
        </w:rPr>
      </w:pPr>
      <w:r>
        <w:rPr>
          <w:rFonts w:ascii="仿宋" w:eastAsia="仿宋" w:hAnsi="仿宋" w:hint="eastAsia"/>
          <w:b/>
          <w:color w:val="000000"/>
          <w:sz w:val="32"/>
          <w:szCs w:val="32"/>
        </w:rPr>
        <w:t>（三）国有资产占有使用情况</w:t>
      </w:r>
      <w:bookmarkEnd w:id="55"/>
    </w:p>
    <w:p>
      <w:pPr>
        <w:pStyle w:val="style0"/>
        <w:autoSpaceDE w:val="false"/>
        <w:autoSpaceDN w:val="false"/>
        <w:adjustRightInd w:val="false"/>
        <w:spacing w:lineRule="exact" w:line="600"/>
        <w:ind w:firstLine="640" w:firstLineChars="200"/>
        <w:jc w:val="left"/>
        <w:rPr>
          <w:rFonts w:ascii="仿宋" w:cs="仿宋" w:eastAsia="仿宋" w:hAnsi="仿宋" w:hint="eastAsia"/>
          <w:color w:val="000000"/>
          <w:sz w:val="32"/>
          <w:szCs w:val="32"/>
        </w:rPr>
      </w:pPr>
      <w:r>
        <w:rPr>
          <w:rFonts w:ascii="仿宋" w:cs="仿宋" w:eastAsia="仿宋" w:hAnsi="仿宋" w:hint="eastAsia"/>
          <w:color w:val="000000"/>
          <w:sz w:val="32"/>
          <w:szCs w:val="32"/>
        </w:rPr>
        <w:t>截至2018年12月31日，</w:t>
      </w:r>
      <w:r>
        <w:rPr>
          <w:rFonts w:ascii="仿宋" w:cs="仿宋" w:eastAsia="仿宋" w:hAnsi="仿宋" w:hint="eastAsia"/>
          <w:color w:val="000000"/>
          <w:sz w:val="32"/>
          <w:szCs w:val="32"/>
          <w:lang w:eastAsia="zh-CN"/>
        </w:rPr>
        <w:t>我单位无公务用车，无</w:t>
      </w:r>
      <w:r>
        <w:rPr>
          <w:rFonts w:ascii="仿宋" w:cs="仿宋" w:eastAsia="仿宋" w:hAnsi="仿宋" w:hint="eastAsia"/>
          <w:color w:val="000000"/>
          <w:sz w:val="32"/>
          <w:szCs w:val="32"/>
        </w:rPr>
        <w:t>单价50万元以上通用设备，</w:t>
      </w:r>
      <w:r>
        <w:rPr>
          <w:rFonts w:ascii="仿宋" w:cs="仿宋" w:eastAsia="仿宋" w:hAnsi="仿宋" w:hint="eastAsia"/>
          <w:color w:val="000000"/>
          <w:sz w:val="32"/>
          <w:szCs w:val="32"/>
          <w:lang w:eastAsia="zh-CN"/>
        </w:rPr>
        <w:t>无</w:t>
      </w:r>
      <w:r>
        <w:rPr>
          <w:rFonts w:ascii="仿宋" w:cs="仿宋" w:eastAsia="仿宋" w:hAnsi="仿宋" w:hint="eastAsia"/>
          <w:color w:val="000000"/>
          <w:sz w:val="32"/>
          <w:szCs w:val="32"/>
        </w:rPr>
        <w:t>单价100</w:t>
      </w:r>
      <w:r>
        <w:rPr>
          <w:rFonts w:ascii="仿宋" w:cs="仿宋" w:eastAsia="仿宋" w:hAnsi="仿宋" w:hint="eastAsia"/>
          <w:color w:val="000000"/>
          <w:sz w:val="32"/>
          <w:szCs w:val="32"/>
        </w:rPr>
        <w:t>万元以上专用设备。</w:t>
      </w:r>
    </w:p>
    <w:p>
      <w:pPr>
        <w:pStyle w:val="style0"/>
        <w:spacing w:lineRule="atLeast" w:line="600"/>
        <w:ind w:firstLine="643" w:firstLineChars="200"/>
        <w:rPr>
          <w:rFonts w:ascii="仿宋" w:cs="仿宋" w:eastAsia="仿宋" w:hAnsi="仿宋" w:hint="eastAsia"/>
          <w:b/>
          <w:color w:val="000000"/>
          <w:sz w:val="32"/>
          <w:szCs w:val="32"/>
        </w:rPr>
      </w:pPr>
    </w:p>
    <w:p>
      <w:pPr>
        <w:pStyle w:val="style0"/>
        <w:widowControl/>
        <w:jc w:val="left"/>
        <w:rPr>
          <w:rFonts w:ascii="仿宋_GB2312" w:eastAsia="仿宋_GB2312"/>
          <w:b/>
          <w:color w:val="000000"/>
          <w:sz w:val="32"/>
          <w:szCs w:val="32"/>
        </w:rPr>
      </w:pPr>
      <w:r>
        <w:rPr>
          <w:rFonts w:ascii="仿宋_GB2312" w:eastAsia="仿宋_GB2312"/>
          <w:b/>
          <w:color w:val="000000"/>
          <w:sz w:val="32"/>
          <w:szCs w:val="32"/>
        </w:rPr>
        <w:br w:type="page"/>
      </w:r>
    </w:p>
    <w:bookmarkStart w:id="56" w:name="_Toc15377225"/>
    <w:bookmarkStart w:id="57" w:name="_Toc15396613"/>
    <w:p>
      <w:pPr>
        <w:pStyle w:val="style0"/>
        <w:numPr>
          <w:ilvl w:val="0"/>
          <w:numId w:val="6"/>
        </w:numPr>
        <w:spacing w:lineRule="exact" w:line="600"/>
        <w:ind w:firstLine="663" w:firstLineChars="150"/>
        <w:jc w:val="center"/>
        <w:outlineLvl w:val="0"/>
        <w:rPr>
          <w:rStyle w:val="style4104"/>
          <w:rFonts w:ascii="黑体" w:eastAsia="黑体" w:hAnsi="黑体"/>
          <w:b w:val="false"/>
        </w:rPr>
      </w:pPr>
      <w:r>
        <w:rPr>
          <w:rFonts w:ascii="黑体" w:eastAsia="黑体" w:hAnsi="黑体" w:hint="eastAsia"/>
          <w:b/>
          <w:color w:val="000000"/>
          <w:sz w:val="44"/>
          <w:szCs w:val="44"/>
        </w:rPr>
        <w:t>名</w:t>
      </w:r>
      <w:r>
        <w:rPr>
          <w:rStyle w:val="style4104"/>
          <w:rFonts w:ascii="黑体" w:eastAsia="黑体" w:hAnsi="黑体" w:hint="eastAsia"/>
          <w:b w:val="false"/>
        </w:rPr>
        <w:t>词解释</w:t>
      </w:r>
      <w:bookmarkEnd w:id="56"/>
      <w:bookmarkEnd w:id="57"/>
    </w:p>
    <w:p>
      <w:pPr>
        <w:pStyle w:val="style0"/>
        <w:spacing w:lineRule="exact" w:line="600"/>
        <w:jc w:val="left"/>
        <w:rPr>
          <w:rFonts w:ascii="宋体"/>
          <w:b/>
          <w:color w:val="000000"/>
          <w:sz w:val="44"/>
          <w:szCs w:val="44"/>
        </w:rPr>
      </w:pPr>
    </w:p>
    <w:p>
      <w:pPr>
        <w:pStyle w:val="style4103"/>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rPr>
        <w:t>1.财政拨款收入：指单位从同级财政部门取得的财政预算资金。</w:t>
      </w:r>
    </w:p>
    <w:p>
      <w:pPr>
        <w:pStyle w:val="style4103"/>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rPr>
        <w:t>2.事业收入：指事业单位开展专业业务活动及辅助活动取得的收入。</w:t>
      </w:r>
    </w:p>
    <w:p>
      <w:pPr>
        <w:pStyle w:val="style4103"/>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lang w:val="en-US" w:eastAsia="zh-CN"/>
        </w:rPr>
        <w:t>3</w:t>
      </w:r>
      <w:r>
        <w:rPr>
          <w:rFonts w:ascii="仿宋" w:cs="仿宋" w:eastAsia="仿宋" w:hAnsi="仿宋" w:hint="eastAsia"/>
          <w:sz w:val="32"/>
          <w:szCs w:val="32"/>
        </w:rPr>
        <w:t>.其他收入：指单位取得的除上述收入以外的各项收入。主要是…（收入类型）等。</w:t>
      </w:r>
    </w:p>
    <w:p>
      <w:pPr>
        <w:pStyle w:val="style4103"/>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lang w:val="en-US" w:eastAsia="zh-CN"/>
        </w:rPr>
        <w:t>4</w:t>
      </w:r>
      <w:r>
        <w:rPr>
          <w:rFonts w:ascii="仿宋" w:cs="仿宋" w:eastAsia="仿宋" w:hAnsi="仿宋" w:hint="eastAsia"/>
          <w:sz w:val="32"/>
          <w:szCs w:val="32"/>
        </w:rPr>
        <w:t>.年初结转和结余：指以前年度尚未完成、结转到本年按有关规定继续使用的资金。</w:t>
      </w:r>
    </w:p>
    <w:p>
      <w:pPr>
        <w:pStyle w:val="style4103"/>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lang w:val="en-US" w:eastAsia="zh-CN"/>
        </w:rPr>
        <w:t>5</w:t>
      </w:r>
      <w:r>
        <w:rPr>
          <w:rFonts w:ascii="仿宋" w:cs="仿宋" w:eastAsia="仿宋" w:hAnsi="仿宋" w:hint="eastAsia"/>
          <w:sz w:val="32"/>
          <w:szCs w:val="32"/>
        </w:rPr>
        <w:t>、年末结转和结余：指单位按有关规定结转到下年或以后年度继续使用的资金。</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6</w:t>
      </w:r>
      <w:r>
        <w:rPr>
          <w:rFonts w:ascii="仿宋" w:cs="仿宋" w:eastAsia="仿宋" w:hAnsi="仿宋" w:hint="eastAsia"/>
          <w:color w:val="000000"/>
          <w:sz w:val="32"/>
          <w:szCs w:val="32"/>
        </w:rPr>
        <w:t>.一般公共服务（类）</w:t>
      </w:r>
      <w:r>
        <w:rPr>
          <w:rFonts w:ascii="仿宋" w:cs="仿宋" w:eastAsia="仿宋" w:hAnsi="仿宋" w:hint="eastAsia"/>
          <w:color w:val="000000"/>
          <w:sz w:val="32"/>
          <w:szCs w:val="32"/>
          <w:lang w:eastAsia="zh-CN"/>
        </w:rPr>
        <w:t>民族事务</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其他民族事务支出</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用于其他民族事务方面的支出</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7</w:t>
      </w:r>
      <w:r>
        <w:rPr>
          <w:rFonts w:ascii="仿宋" w:cs="仿宋" w:eastAsia="仿宋" w:hAnsi="仿宋" w:hint="eastAsia"/>
          <w:color w:val="000000"/>
          <w:sz w:val="32"/>
          <w:szCs w:val="32"/>
        </w:rPr>
        <w:t>.社会保障和就业（类）</w:t>
      </w:r>
      <w:r>
        <w:rPr>
          <w:rFonts w:ascii="仿宋" w:cs="仿宋" w:eastAsia="仿宋" w:hAnsi="仿宋" w:hint="eastAsia"/>
          <w:color w:val="000000"/>
          <w:sz w:val="32"/>
          <w:szCs w:val="32"/>
          <w:lang w:eastAsia="zh-CN"/>
        </w:rPr>
        <w:t>行政事业单位离退休</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机关事业单位基本养老保险缴费支出</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反映机关事业单位实施养老保险制度由单位缴纳的基本养老保险费支出</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rPr>
        <w:t>社会保障和就业（类）</w:t>
      </w:r>
      <w:r>
        <w:rPr>
          <w:rFonts w:ascii="仿宋" w:cs="仿宋" w:eastAsia="仿宋" w:hAnsi="仿宋" w:hint="eastAsia"/>
          <w:color w:val="000000"/>
          <w:sz w:val="32"/>
          <w:szCs w:val="32"/>
          <w:lang w:eastAsia="zh-CN"/>
        </w:rPr>
        <w:t>行政事业单位离退休</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机关事业单位职业年金缴费支出</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反映机关事业单位实施养老保险制度由单位实际缴纳的职业年金支出</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8</w:t>
      </w:r>
      <w:r>
        <w:rPr>
          <w:rFonts w:ascii="仿宋" w:cs="仿宋" w:eastAsia="仿宋" w:hAnsi="仿宋" w:hint="eastAsia"/>
          <w:color w:val="000000"/>
          <w:sz w:val="32"/>
          <w:szCs w:val="32"/>
        </w:rPr>
        <w:t>.医疗卫生与计划生育（类）</w:t>
      </w:r>
      <w:r>
        <w:rPr>
          <w:rFonts w:ascii="仿宋" w:cs="仿宋" w:eastAsia="仿宋" w:hAnsi="仿宋" w:hint="eastAsia"/>
          <w:color w:val="000000"/>
          <w:sz w:val="32"/>
          <w:szCs w:val="32"/>
          <w:lang w:eastAsia="zh-CN"/>
        </w:rPr>
        <w:t>行政事业单位医疗</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事业单位医疗</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反映财政部门安排的事业单位基本医疗保险缴费经费，未参加医疗保险的事业单位的公费医疗经费，按国家规定享受离休人员待遇的医疗经费</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9</w:t>
      </w:r>
      <w:r>
        <w:rPr>
          <w:rFonts w:ascii="仿宋" w:cs="仿宋" w:eastAsia="仿宋" w:hAnsi="仿宋" w:hint="eastAsia"/>
          <w:color w:val="000000"/>
          <w:sz w:val="32"/>
          <w:szCs w:val="32"/>
        </w:rPr>
        <w:t>.住房保障（类）</w:t>
      </w:r>
      <w:r>
        <w:rPr>
          <w:rFonts w:ascii="仿宋" w:cs="仿宋" w:eastAsia="仿宋" w:hAnsi="仿宋" w:hint="eastAsia"/>
          <w:color w:val="000000"/>
          <w:sz w:val="32"/>
          <w:szCs w:val="32"/>
          <w:lang w:eastAsia="zh-CN"/>
        </w:rPr>
        <w:t>住房改革支出</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住房公积金</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反映行政事业单位按人力资源和社会保障部、财政部规定的基本工资和津贴补贴以及规定比例为职工缴纳的住房公积金</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rPr>
        <w:t>住房保障（类）</w:t>
      </w:r>
      <w:r>
        <w:rPr>
          <w:rFonts w:ascii="仿宋" w:cs="仿宋" w:eastAsia="仿宋" w:hAnsi="仿宋" w:hint="eastAsia"/>
          <w:color w:val="000000"/>
          <w:sz w:val="32"/>
          <w:szCs w:val="32"/>
          <w:lang w:eastAsia="zh-CN"/>
        </w:rPr>
        <w:t>住房改革支出</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购房补贴</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反映按房改政策规定，行政事业单位向符合条件职工（含离退休人员）、军队（含武警）向转役复员离退休人员发放有用于购买住房的补贴</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10</w:t>
      </w:r>
      <w:r>
        <w:rPr>
          <w:rFonts w:ascii="仿宋" w:cs="仿宋" w:eastAsia="仿宋" w:hAnsi="仿宋" w:hint="eastAsia"/>
          <w:color w:val="000000"/>
          <w:sz w:val="32"/>
          <w:szCs w:val="32"/>
        </w:rPr>
        <w:t>.粮油物资储备（类）</w:t>
      </w:r>
      <w:r>
        <w:rPr>
          <w:rFonts w:ascii="仿宋" w:cs="仿宋" w:eastAsia="仿宋" w:hAnsi="仿宋" w:hint="eastAsia"/>
          <w:color w:val="000000"/>
          <w:sz w:val="32"/>
          <w:szCs w:val="32"/>
          <w:lang w:eastAsia="zh-CN"/>
        </w:rPr>
        <w:t>粮油事务</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事业运行</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反映事业单位的基本支出，不包括行政单位（包括实行公务员管理的事业单位）</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rPr>
        <w:t>粮油物资储备（类）</w:t>
      </w:r>
      <w:r>
        <w:rPr>
          <w:rFonts w:ascii="仿宋" w:cs="仿宋" w:eastAsia="仿宋" w:hAnsi="仿宋" w:hint="eastAsia"/>
          <w:color w:val="000000"/>
          <w:sz w:val="32"/>
          <w:szCs w:val="32"/>
          <w:lang w:eastAsia="zh-CN"/>
        </w:rPr>
        <w:t>粮油储备</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储备粮油补贴</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反映用于储备粮油和临时储存粮油的补贴支出</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rPr>
        <w:t>粮油物资储备（类）</w:t>
      </w:r>
      <w:r>
        <w:rPr>
          <w:rFonts w:ascii="仿宋" w:cs="仿宋" w:eastAsia="仿宋" w:hAnsi="仿宋" w:hint="eastAsia"/>
          <w:color w:val="000000"/>
          <w:sz w:val="32"/>
          <w:szCs w:val="32"/>
          <w:lang w:eastAsia="zh-CN"/>
        </w:rPr>
        <w:t>粮油储备</w:t>
      </w:r>
      <w:r>
        <w:rPr>
          <w:rFonts w:ascii="仿宋" w:cs="仿宋" w:eastAsia="仿宋" w:hAnsi="仿宋" w:hint="eastAsia"/>
          <w:color w:val="000000"/>
          <w:sz w:val="32"/>
          <w:szCs w:val="32"/>
        </w:rPr>
        <w:t>（款）</w:t>
      </w:r>
      <w:r>
        <w:rPr>
          <w:rFonts w:ascii="仿宋" w:cs="仿宋" w:eastAsia="仿宋" w:hAnsi="仿宋" w:hint="eastAsia"/>
          <w:color w:val="000000"/>
          <w:sz w:val="32"/>
          <w:szCs w:val="32"/>
          <w:lang w:eastAsia="zh-CN"/>
        </w:rPr>
        <w:t>储备粮（油）库建设</w:t>
      </w:r>
      <w:r>
        <w:rPr>
          <w:rFonts w:ascii="仿宋" w:cs="仿宋" w:eastAsia="仿宋" w:hAnsi="仿宋" w:hint="eastAsia"/>
          <w:color w:val="000000"/>
          <w:sz w:val="32"/>
          <w:szCs w:val="32"/>
        </w:rPr>
        <w:t>（项）：指</w:t>
      </w:r>
      <w:r>
        <w:rPr>
          <w:rFonts w:ascii="仿宋" w:cs="仿宋" w:eastAsia="仿宋" w:hAnsi="仿宋" w:hint="eastAsia"/>
          <w:color w:val="000000"/>
          <w:sz w:val="32"/>
          <w:szCs w:val="32"/>
          <w:lang w:eastAsia="zh-CN"/>
        </w:rPr>
        <w:t>反映储备粮油仓储设施建设方面的支出</w:t>
      </w:r>
      <w:r>
        <w:rPr>
          <w:rFonts w:ascii="仿宋" w:cs="仿宋" w:eastAsia="仿宋" w:hAnsi="仿宋" w:hint="eastAsia"/>
          <w:color w:val="000000"/>
          <w:sz w:val="32"/>
          <w:szCs w:val="32"/>
        </w:rPr>
        <w:t>。</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11</w:t>
      </w:r>
      <w:r>
        <w:rPr>
          <w:rFonts w:ascii="仿宋" w:cs="仿宋" w:eastAsia="仿宋" w:hAnsi="仿宋" w:hint="eastAsia"/>
          <w:color w:val="000000"/>
          <w:sz w:val="32"/>
          <w:szCs w:val="32"/>
        </w:rPr>
        <w:t>.基本支出：指为保障</w:t>
      </w:r>
      <w:r>
        <w:rPr>
          <w:rFonts w:ascii="仿宋" w:cs="仿宋" w:eastAsia="仿宋" w:hAnsi="仿宋" w:hint="eastAsia"/>
          <w:color w:val="000000"/>
          <w:sz w:val="32"/>
          <w:szCs w:val="32"/>
          <w:lang w:val="en-US" w:eastAsia="zh-CN"/>
        </w:rPr>
        <w:t xml:space="preserve"> </w:t>
      </w:r>
      <w:r>
        <w:rPr>
          <w:rFonts w:ascii="仿宋" w:cs="仿宋" w:eastAsia="仿宋" w:hAnsi="仿宋" w:hint="eastAsia"/>
          <w:color w:val="000000"/>
          <w:sz w:val="32"/>
          <w:szCs w:val="32"/>
        </w:rPr>
        <w:t>机构正常运转、完成日常工作任务而发生的人员支出和公用支出。</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12</w:t>
      </w:r>
      <w:r>
        <w:rPr>
          <w:rFonts w:ascii="仿宋" w:cs="仿宋" w:eastAsia="仿宋" w:hAnsi="仿宋" w:hint="eastAsia"/>
          <w:color w:val="000000"/>
          <w:sz w:val="32"/>
          <w:szCs w:val="32"/>
        </w:rPr>
        <w:t>.项目支出：指在基本支出之外为完成特定行政任务和事业发展目标所发生的支出。</w:t>
      </w:r>
    </w:p>
    <w:p>
      <w:pPr>
        <w:pStyle w:val="style0"/>
        <w:ind w:firstLine="640" w:firstLineChars="200"/>
        <w:rPr>
          <w:rFonts w:ascii="仿宋" w:cs="仿宋" w:eastAsia="仿宋" w:hAnsi="仿宋" w:hint="eastAsia"/>
          <w:color w:val="000000"/>
          <w:sz w:val="32"/>
          <w:szCs w:val="32"/>
        </w:rPr>
      </w:pPr>
      <w:r>
        <w:rPr>
          <w:rFonts w:ascii="仿宋" w:cs="仿宋" w:eastAsia="仿宋" w:hAnsi="仿宋" w:hint="eastAsia"/>
          <w:color w:val="000000"/>
          <w:sz w:val="32"/>
          <w:szCs w:val="32"/>
          <w:lang w:val="en-US" w:eastAsia="zh-CN"/>
        </w:rPr>
        <w:t>13</w:t>
      </w:r>
      <w:r>
        <w:rPr>
          <w:rFonts w:ascii="仿宋" w:cs="仿宋" w:eastAsia="仿宋" w:hAnsi="仿宋" w:hint="eastAsia"/>
          <w:color w:val="000000"/>
          <w:sz w:val="32"/>
          <w:szCs w:val="32"/>
        </w:rPr>
        <w:t>.经营支出：指事业单位在专业业务活动及其辅助活动之外开展非独立核算经营活动发生的支出。</w:t>
      </w:r>
    </w:p>
    <w:p>
      <w:pPr>
        <w:pStyle w:val="style4103"/>
        <w:spacing w:lineRule="exact" w:line="560"/>
        <w:ind w:firstLine="640" w:firstLineChars="200"/>
        <w:rPr>
          <w:rFonts w:ascii="仿宋" w:cs="仿宋" w:eastAsia="仿宋" w:hAnsi="仿宋" w:hint="eastAsia"/>
          <w:sz w:val="32"/>
          <w:szCs w:val="32"/>
        </w:rPr>
      </w:pPr>
      <w:r>
        <w:rPr>
          <w:rFonts w:ascii="仿宋" w:cs="仿宋" w:eastAsia="仿宋" w:hAnsi="仿宋" w:hint="eastAsia"/>
          <w:sz w:val="32"/>
          <w:szCs w:val="32"/>
          <w:lang w:val="en-US" w:eastAsia="zh-CN"/>
        </w:rPr>
        <w:t>14</w:t>
      </w:r>
      <w:r>
        <w:rPr>
          <w:rFonts w:ascii="仿宋" w:cs="仿宋" w:eastAsia="仿宋"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style4103"/>
        <w:spacing w:lineRule="exact" w:line="560"/>
        <w:ind w:firstLine="640" w:firstLineChars="200"/>
        <w:rPr>
          <w:rFonts w:ascii="仿宋_GB2312" w:eastAsia="仿宋_GB2312"/>
          <w:sz w:val="32"/>
          <w:szCs w:val="32"/>
        </w:rPr>
      </w:pPr>
      <w:r>
        <w:rPr>
          <w:rFonts w:ascii="仿宋" w:cs="仿宋" w:eastAsia="仿宋" w:hAnsi="仿宋" w:hint="eastAsia"/>
          <w:sz w:val="32"/>
          <w:szCs w:val="32"/>
          <w:lang w:val="en-US" w:eastAsia="zh-CN"/>
        </w:rPr>
        <w:t>15</w:t>
      </w:r>
      <w:r>
        <w:rPr>
          <w:rFonts w:ascii="仿宋" w:cs="仿宋" w:eastAsia="仿宋"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bookmarkStart w:id="58" w:name="_Toc15377226"/>
    <w:p>
      <w:pPr>
        <w:pStyle w:val="style4103"/>
        <w:spacing w:lineRule="exact" w:line="560"/>
        <w:ind w:firstLine="883" w:firstLineChars="200"/>
        <w:rPr>
          <w:rStyle w:val="style4104"/>
          <w:rFonts w:ascii="黑体" w:eastAsia="黑体" w:hAnsi="黑体"/>
          <w:b w:val="false"/>
        </w:rPr>
      </w:pPr>
      <w:r>
        <w:rPr>
          <w:rFonts w:ascii="宋体"/>
          <w:b/>
          <w:color w:val="000000"/>
          <w:sz w:val="44"/>
          <w:szCs w:val="44"/>
        </w:rPr>
        <w:br w:type="page"/>
      </w:r>
      <w:bookmarkStart w:id="59" w:name="_Toc15396614"/>
      <w:r>
        <w:rPr>
          <w:rFonts w:ascii="黑体" w:eastAsia="黑体" w:hAnsi="黑体" w:hint="eastAsia"/>
          <w:color w:val="000000"/>
          <w:sz w:val="44"/>
          <w:szCs w:val="44"/>
        </w:rPr>
        <w:t>第</w:t>
      </w:r>
      <w:r>
        <w:rPr>
          <w:rStyle w:val="style4104"/>
          <w:rFonts w:ascii="黑体" w:eastAsia="黑体" w:hAnsi="黑体" w:hint="eastAsia"/>
          <w:b w:val="false"/>
        </w:rPr>
        <w:t>四部分 附件</w:t>
      </w:r>
      <w:bookmarkEnd w:id="59"/>
    </w:p>
    <w:p>
      <w:pPr>
        <w:pStyle w:val="style0"/>
        <w:spacing w:lineRule="exact" w:line="600"/>
        <w:jc w:val="center"/>
        <w:outlineLvl w:val="0"/>
        <w:rPr>
          <w:rStyle w:val="style4104"/>
        </w:rPr>
      </w:pPr>
    </w:p>
    <w:bookmarkStart w:id="60" w:name="_Toc15396615"/>
    <w:p>
      <w:pPr>
        <w:pStyle w:val="style2"/>
        <w:rPr>
          <w:rStyle w:val="style4104"/>
          <w:rFonts w:ascii="仿宋" w:eastAsia="仿宋" w:hAnsi="仿宋"/>
          <w:b w:val="false"/>
          <w:bCs w:val="false"/>
          <w:sz w:val="32"/>
          <w:szCs w:val="32"/>
        </w:rPr>
      </w:pPr>
      <w:r>
        <w:rPr>
          <w:rStyle w:val="style4104"/>
          <w:rFonts w:ascii="仿宋" w:eastAsia="仿宋" w:hAnsi="仿宋" w:hint="eastAsia"/>
          <w:b w:val="false"/>
          <w:bCs w:val="false"/>
          <w:sz w:val="32"/>
          <w:szCs w:val="32"/>
        </w:rPr>
        <w:t>附件1</w:t>
      </w:r>
      <w:bookmarkEnd w:id="60"/>
    </w:p>
    <w:bookmarkStart w:id="61" w:name="_Toc15396616"/>
    <w:p>
      <w:pPr>
        <w:pStyle w:val="style0"/>
        <w:spacing w:lineRule="exact" w:line="600"/>
        <w:jc w:val="center"/>
        <w:outlineLvl w:val="0"/>
        <w:rPr>
          <w:rFonts w:ascii="黑体" w:cs="方正小标宋简体" w:eastAsia="黑体" w:hAnsi="黑体"/>
          <w:sz w:val="36"/>
          <w:szCs w:val="36"/>
        </w:rPr>
      </w:pPr>
      <w:r>
        <w:rPr>
          <w:rFonts w:ascii="黑体" w:cs="方正小标宋简体" w:eastAsia="黑体" w:hAnsi="黑体" w:hint="eastAsia"/>
          <w:sz w:val="36"/>
          <w:szCs w:val="36"/>
          <w:lang w:eastAsia="zh-CN"/>
        </w:rPr>
        <w:t>壤塘县粮食局</w:t>
      </w:r>
      <w:r>
        <w:rPr>
          <w:rFonts w:ascii="黑体" w:cs="方正小标宋简体" w:eastAsia="黑体" w:hAnsi="黑体" w:hint="eastAsia"/>
          <w:sz w:val="36"/>
          <w:szCs w:val="36"/>
        </w:rPr>
        <w:t>2018年部门整体支出绩效评价报告</w:t>
      </w:r>
      <w:bookmarkEnd w:id="61"/>
    </w:p>
    <w:p>
      <w:pPr>
        <w:pStyle w:val="style0"/>
        <w:spacing w:lineRule="exact" w:line="580"/>
        <w:ind w:firstLine="640" w:firstLineChars="200"/>
        <w:rPr>
          <w:rFonts w:ascii="黑体" w:cs="黑体" w:eastAsia="黑体" w:hAnsi="黑体"/>
          <w:sz w:val="32"/>
          <w:szCs w:val="32"/>
        </w:rPr>
      </w:pPr>
    </w:p>
    <w:p>
      <w:pPr>
        <w:pStyle w:val="style0"/>
        <w:spacing w:lineRule="exact" w:line="580"/>
        <w:ind w:firstLine="640" w:firstLineChars="200"/>
        <w:rPr>
          <w:rFonts w:ascii="黑体" w:cs="黑体" w:eastAsia="黑体" w:hAnsi="黑体"/>
          <w:sz w:val="32"/>
          <w:szCs w:val="32"/>
        </w:rPr>
      </w:pPr>
      <w:r>
        <w:rPr>
          <w:rFonts w:ascii="黑体" w:cs="黑体" w:eastAsia="黑体" w:hAnsi="黑体" w:hint="eastAsia"/>
          <w:sz w:val="32"/>
          <w:szCs w:val="32"/>
        </w:rPr>
        <w:t>一、部门（单位）概况</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（一）机构组成。</w:t>
      </w:r>
    </w:p>
    <w:p>
      <w:pPr>
        <w:pStyle w:val="style0"/>
        <w:spacing w:lineRule="exact" w:line="580"/>
        <w:ind w:firstLine="640" w:firstLineChars="200"/>
        <w:rPr>
          <w:rFonts w:ascii="仿宋" w:cs="仿宋" w:eastAsia="仿宋" w:hAnsi="仿宋" w:hint="eastAsia"/>
          <w:sz w:val="32"/>
          <w:szCs w:val="32"/>
          <w:lang w:val="en-US" w:eastAsia="zh-CN"/>
        </w:rPr>
      </w:pPr>
      <w:r>
        <w:rPr>
          <w:rFonts w:ascii="仿宋" w:cs="仿宋" w:eastAsia="仿宋" w:hAnsi="仿宋" w:hint="eastAsia"/>
          <w:sz w:val="32"/>
          <w:szCs w:val="32"/>
          <w:lang w:eastAsia="zh-CN"/>
        </w:rPr>
        <w:t>壤塘县粮食局是参照公务员管理的事业单位。下设行政办公室、会统股、业务稽查股。</w:t>
      </w:r>
    </w:p>
    <w:p>
      <w:pPr>
        <w:pStyle w:val="style0"/>
        <w:numPr>
          <w:ilvl w:val="0"/>
          <w:numId w:val="7"/>
        </w:numPr>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机构职能。</w:t>
      </w:r>
    </w:p>
    <w:p>
      <w:pPr>
        <w:pStyle w:val="style0"/>
        <w:numPr>
          <w:ilvl w:val="0"/>
          <w:numId w:val="0"/>
        </w:numPr>
        <w:spacing w:lineRule="exact" w:line="58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 xml:space="preserve">    </w:t>
      </w:r>
      <w:r>
        <w:rPr>
          <w:rFonts w:ascii="仿宋" w:cs="仿宋" w:eastAsia="仿宋" w:hAnsi="仿宋" w:hint="eastAsia"/>
          <w:bCs/>
          <w:sz w:val="32"/>
          <w:szCs w:val="32"/>
        </w:rPr>
        <w:t>县粮食局承担粮油储备管理和宏观调控职能。做好全县的粮油购销总量平衡工作，强化各级粮食储备管理，保证安排粮油供应，保持粮食市场和粮油价格的基本稳定。加快粮食流通体制改革，逐步建立健全统一、开放、竞争、有序的粮油市场体系，统一管理和安排政策性补贴款项，确保粮油购、销、调、存、加工业务的正常运行，管理军粮供应。</w:t>
      </w:r>
    </w:p>
    <w:p>
      <w:pPr>
        <w:pStyle w:val="style0"/>
        <w:numPr>
          <w:ilvl w:val="0"/>
          <w:numId w:val="7"/>
        </w:numPr>
        <w:spacing w:lineRule="exact" w:line="580"/>
        <w:ind w:left="0" w:leftChars="0" w:firstLine="640" w:firstLineChars="200"/>
        <w:rPr>
          <w:rFonts w:ascii="仿宋" w:cs="仿宋" w:eastAsia="仿宋" w:hAnsi="仿宋" w:hint="eastAsia"/>
          <w:sz w:val="32"/>
          <w:szCs w:val="32"/>
        </w:rPr>
      </w:pPr>
      <w:r>
        <w:rPr>
          <w:rFonts w:ascii="仿宋" w:cs="仿宋" w:eastAsia="仿宋" w:hAnsi="仿宋" w:hint="eastAsia"/>
          <w:sz w:val="32"/>
          <w:szCs w:val="32"/>
        </w:rPr>
        <w:t>人员概况。</w:t>
      </w:r>
    </w:p>
    <w:p>
      <w:pPr>
        <w:pStyle w:val="style0"/>
        <w:numPr>
          <w:ilvl w:val="0"/>
          <w:numId w:val="0"/>
        </w:numPr>
        <w:spacing w:lineRule="exact" w:line="580"/>
        <w:ind w:leftChars="200"/>
        <w:rPr>
          <w:rFonts w:ascii="仿宋" w:cs="仿宋" w:eastAsia="仿宋" w:hAnsi="仿宋" w:hint="eastAsia"/>
          <w:sz w:val="32"/>
          <w:szCs w:val="32"/>
          <w:lang w:val="en-US" w:eastAsia="zh-CN"/>
        </w:rPr>
      </w:pPr>
      <w:r>
        <w:rPr>
          <w:rFonts w:ascii="仿宋" w:cs="仿宋" w:eastAsia="仿宋" w:hAnsi="仿宋" w:hint="eastAsia"/>
          <w:sz w:val="32"/>
          <w:szCs w:val="32"/>
          <w:lang w:eastAsia="zh-CN"/>
        </w:rPr>
        <w:t>壤塘县粮食局事业编制</w:t>
      </w:r>
      <w:r>
        <w:rPr>
          <w:rFonts w:ascii="仿宋" w:cs="仿宋" w:eastAsia="仿宋" w:hAnsi="仿宋" w:hint="eastAsia"/>
          <w:sz w:val="32"/>
          <w:szCs w:val="32"/>
          <w:lang w:val="en-US" w:eastAsia="zh-CN"/>
        </w:rPr>
        <w:t>12名，年未实际在岗人员11人。</w:t>
      </w:r>
    </w:p>
    <w:p>
      <w:pPr>
        <w:pStyle w:val="style0"/>
        <w:spacing w:lineRule="exact" w:line="580"/>
        <w:ind w:firstLine="640" w:firstLineChars="200"/>
        <w:rPr>
          <w:rFonts w:ascii="黑体" w:cs="黑体" w:eastAsia="黑体" w:hAnsi="黑体"/>
          <w:sz w:val="32"/>
          <w:szCs w:val="32"/>
        </w:rPr>
      </w:pPr>
      <w:r>
        <w:rPr>
          <w:rFonts w:ascii="黑体" w:cs="黑体" w:eastAsia="黑体" w:hAnsi="黑体"/>
          <w:sz w:val="32"/>
          <w:szCs w:val="32"/>
        </w:rPr>
        <w:t>二、部门财政资金收支情况</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（一）部门财政资金收入情况。</w:t>
      </w:r>
    </w:p>
    <w:p>
      <w:pPr>
        <w:pStyle w:val="style0"/>
        <w:spacing w:lineRule="exact" w:line="580"/>
        <w:ind w:firstLine="640" w:firstLineChars="20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2018年度壤塘县粮食局收入合计680.86万元。其中：财政拨款收入560.85万元，其他收入0.17万元，年初结转和结余119.84万元。</w:t>
      </w:r>
    </w:p>
    <w:p>
      <w:pPr>
        <w:pStyle w:val="style0"/>
        <w:numPr>
          <w:ilvl w:val="0"/>
          <w:numId w:val="8"/>
        </w:numPr>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部门财政资金支出情况。</w:t>
      </w:r>
    </w:p>
    <w:p>
      <w:pPr>
        <w:pStyle w:val="style0"/>
        <w:numPr>
          <w:ilvl w:val="0"/>
          <w:numId w:val="0"/>
        </w:numPr>
        <w:spacing w:lineRule="exact" w:line="58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 xml:space="preserve">    2018年度壤塘县粮食局支出合计680.86万元，其中财政拨款支出359.09万元，年未结转和结余321.5万元。</w:t>
      </w:r>
    </w:p>
    <w:p>
      <w:pPr>
        <w:pStyle w:val="style0"/>
        <w:spacing w:lineRule="exact" w:line="580"/>
        <w:ind w:firstLine="640" w:firstLineChars="200"/>
        <w:rPr>
          <w:rFonts w:ascii="黑体" w:cs="黑体" w:eastAsia="黑体" w:hAnsi="黑体"/>
          <w:sz w:val="32"/>
          <w:szCs w:val="32"/>
        </w:rPr>
      </w:pPr>
      <w:r>
        <w:rPr>
          <w:rFonts w:ascii="黑体" w:cs="黑体" w:eastAsia="黑体" w:hAnsi="黑体"/>
          <w:sz w:val="32"/>
          <w:szCs w:val="32"/>
        </w:rPr>
        <w:t>三、部门整体预算绩效管理情况</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（一）部门预算管理。</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lang w:eastAsia="zh-CN"/>
        </w:rPr>
        <w:t>年初制定工作任务及目标：推进绿色产品开发、组织实施单位相关项目、抓好党建、帮村、安全生产工作、做好清仓查库。根据工作安排，年初编制预算</w:t>
      </w:r>
      <w:r>
        <w:rPr>
          <w:rFonts w:ascii="仿宋" w:cs="仿宋" w:eastAsia="仿宋" w:hAnsi="仿宋" w:hint="eastAsia"/>
          <w:sz w:val="32"/>
          <w:szCs w:val="32"/>
          <w:lang w:val="en-US" w:eastAsia="zh-CN"/>
        </w:rPr>
        <w:t>226.64万元，实际完成359.09万元。</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w:t>
      </w:r>
      <w:r>
        <w:rPr>
          <w:rFonts w:ascii="仿宋" w:cs="仿宋" w:eastAsia="仿宋" w:hAnsi="仿宋" w:hint="eastAsia"/>
          <w:sz w:val="32"/>
          <w:szCs w:val="32"/>
          <w:lang w:eastAsia="zh-CN"/>
        </w:rPr>
        <w:t>二</w:t>
      </w:r>
      <w:r>
        <w:rPr>
          <w:rFonts w:ascii="仿宋" w:cs="仿宋" w:eastAsia="仿宋" w:hAnsi="仿宋" w:hint="eastAsia"/>
          <w:sz w:val="32"/>
          <w:szCs w:val="32"/>
        </w:rPr>
        <w:t>）结果应用情况。</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lang w:eastAsia="zh-CN"/>
        </w:rPr>
        <w:t>采用数量、</w:t>
      </w:r>
      <w:r>
        <w:rPr>
          <w:rFonts w:ascii="仿宋" w:cs="仿宋" w:eastAsia="仿宋" w:hAnsi="仿宋" w:hint="eastAsia"/>
          <w:sz w:val="32"/>
          <w:szCs w:val="32"/>
        </w:rPr>
        <w:t>质量、</w:t>
      </w:r>
      <w:r>
        <w:rPr>
          <w:rFonts w:ascii="仿宋" w:cs="仿宋" w:eastAsia="仿宋" w:hAnsi="仿宋" w:hint="eastAsia"/>
          <w:sz w:val="32"/>
          <w:szCs w:val="32"/>
          <w:lang w:eastAsia="zh-CN"/>
        </w:rPr>
        <w:t>效益指标等方法对我单位整体</w:t>
      </w:r>
      <w:r>
        <w:rPr>
          <w:rFonts w:ascii="仿宋" w:cs="仿宋" w:eastAsia="仿宋" w:hAnsi="仿宋" w:hint="eastAsia"/>
          <w:sz w:val="32"/>
          <w:szCs w:val="32"/>
        </w:rPr>
        <w:t>绩效目标自评</w:t>
      </w:r>
      <w:r>
        <w:rPr>
          <w:rFonts w:ascii="仿宋" w:cs="仿宋" w:eastAsia="仿宋" w:hAnsi="仿宋" w:hint="eastAsia"/>
          <w:sz w:val="32"/>
          <w:szCs w:val="32"/>
          <w:lang w:eastAsia="zh-CN"/>
        </w:rPr>
        <w:t>，我单位完成全年工作任务和目标</w:t>
      </w:r>
      <w:r>
        <w:rPr>
          <w:rFonts w:ascii="仿宋" w:cs="仿宋" w:eastAsia="仿宋" w:hAnsi="仿宋" w:hint="eastAsia"/>
          <w:sz w:val="32"/>
          <w:szCs w:val="32"/>
        </w:rPr>
        <w:t>。</w:t>
      </w:r>
    </w:p>
    <w:p>
      <w:pPr>
        <w:pStyle w:val="style0"/>
        <w:spacing w:lineRule="exact" w:line="580"/>
        <w:ind w:firstLine="640" w:firstLineChars="200"/>
        <w:rPr>
          <w:rFonts w:ascii="黑体" w:cs="黑体" w:eastAsia="黑体" w:hAnsi="黑体"/>
          <w:sz w:val="32"/>
          <w:szCs w:val="32"/>
        </w:rPr>
      </w:pPr>
      <w:r>
        <w:rPr>
          <w:rFonts w:ascii="黑体" w:cs="黑体" w:eastAsia="黑体" w:hAnsi="黑体"/>
          <w:sz w:val="32"/>
          <w:szCs w:val="32"/>
        </w:rPr>
        <w:t>四、评价结论及建议</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（一）评价结论。</w:t>
      </w:r>
    </w:p>
    <w:p>
      <w:pPr>
        <w:pStyle w:val="style0"/>
        <w:spacing w:lineRule="exact" w:line="580"/>
        <w:ind w:firstLine="640" w:firstLineChars="200"/>
        <w:rPr>
          <w:rFonts w:ascii="仿宋" w:cs="仿宋" w:eastAsia="仿宋" w:hAnsi="仿宋" w:hint="eastAsia"/>
          <w:sz w:val="32"/>
          <w:szCs w:val="32"/>
          <w:lang w:eastAsia="zh-CN"/>
        </w:rPr>
      </w:pPr>
      <w:r>
        <w:rPr>
          <w:rFonts w:ascii="仿宋" w:cs="仿宋" w:eastAsia="仿宋" w:hAnsi="仿宋" w:hint="eastAsia"/>
          <w:sz w:val="32"/>
          <w:szCs w:val="32"/>
          <w:lang w:eastAsia="zh-CN"/>
        </w:rPr>
        <w:t>完成年初制定的工作任务和目标。</w:t>
      </w:r>
    </w:p>
    <w:p>
      <w:pPr>
        <w:pStyle w:val="style0"/>
        <w:numPr>
          <w:ilvl w:val="0"/>
          <w:numId w:val="0"/>
        </w:numPr>
        <w:spacing w:lineRule="exact" w:line="580"/>
        <w:ind w:leftChars="200" w:firstLine="320" w:firstLineChars="100"/>
        <w:rPr>
          <w:rFonts w:ascii="仿宋" w:cs="仿宋" w:eastAsia="仿宋" w:hAnsi="仿宋" w:hint="eastAsia"/>
          <w:sz w:val="32"/>
          <w:szCs w:val="32"/>
        </w:rPr>
      </w:pPr>
      <w:r>
        <w:rPr>
          <w:rFonts w:ascii="仿宋" w:cs="仿宋" w:eastAsia="仿宋" w:hAnsi="仿宋" w:hint="eastAsia"/>
          <w:sz w:val="32"/>
          <w:szCs w:val="32"/>
          <w:lang w:eastAsia="zh-CN"/>
        </w:rPr>
        <w:t>（二）</w:t>
      </w:r>
      <w:r>
        <w:rPr>
          <w:rFonts w:ascii="仿宋" w:cs="仿宋" w:eastAsia="仿宋" w:hAnsi="仿宋" w:hint="eastAsia"/>
          <w:sz w:val="32"/>
          <w:szCs w:val="32"/>
        </w:rPr>
        <w:t>存在问题。</w:t>
      </w:r>
    </w:p>
    <w:p>
      <w:pPr>
        <w:pStyle w:val="style0"/>
        <w:numPr>
          <w:ilvl w:val="0"/>
          <w:numId w:val="0"/>
        </w:numPr>
        <w:spacing w:lineRule="exact" w:line="580"/>
        <w:ind w:leftChars="200" w:firstLine="320" w:firstLineChars="100"/>
        <w:rPr>
          <w:rFonts w:ascii="仿宋" w:cs="仿宋" w:eastAsia="仿宋" w:hAnsi="仿宋" w:hint="eastAsia"/>
          <w:sz w:val="32"/>
          <w:szCs w:val="32"/>
        </w:rPr>
      </w:pPr>
      <w:r>
        <w:rPr>
          <w:rFonts w:ascii="仿宋" w:cs="仿宋" w:eastAsia="仿宋" w:hAnsi="仿宋" w:hint="eastAsia"/>
          <w:sz w:val="32"/>
          <w:szCs w:val="32"/>
          <w:lang w:eastAsia="zh-CN"/>
        </w:rPr>
        <w:t>预算不够科学，数据不准确</w:t>
      </w:r>
      <w:r>
        <w:rPr>
          <w:rFonts w:ascii="仿宋" w:cs="仿宋" w:eastAsia="仿宋" w:hAnsi="仿宋" w:hint="eastAsia"/>
          <w:sz w:val="32"/>
          <w:szCs w:val="32"/>
        </w:rPr>
        <w:t>。</w:t>
      </w:r>
    </w:p>
    <w:p>
      <w:pPr>
        <w:pStyle w:val="style0"/>
        <w:numPr>
          <w:ilvl w:val="0"/>
          <w:numId w:val="8"/>
        </w:numPr>
        <w:spacing w:lineRule="exact" w:line="580"/>
        <w:ind w:left="0" w:leftChars="0" w:firstLine="640" w:firstLineChars="200"/>
        <w:rPr>
          <w:rFonts w:ascii="仿宋" w:cs="仿宋" w:eastAsia="仿宋" w:hAnsi="仿宋" w:hint="eastAsia"/>
          <w:sz w:val="32"/>
          <w:szCs w:val="32"/>
        </w:rPr>
      </w:pPr>
      <w:r>
        <w:rPr>
          <w:rFonts w:ascii="仿宋" w:cs="仿宋" w:eastAsia="仿宋" w:hAnsi="仿宋" w:hint="eastAsia"/>
          <w:sz w:val="32"/>
          <w:szCs w:val="32"/>
        </w:rPr>
        <w:t>改进建议。</w:t>
      </w:r>
    </w:p>
    <w:p>
      <w:pPr>
        <w:pStyle w:val="style0"/>
        <w:numPr>
          <w:ilvl w:val="0"/>
          <w:numId w:val="0"/>
        </w:numPr>
        <w:spacing w:lineRule="exact" w:line="580"/>
        <w:ind w:leftChars="20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 xml:space="preserve">  </w:t>
      </w:r>
      <w:r>
        <w:rPr>
          <w:rFonts w:ascii="仿宋" w:cs="仿宋" w:eastAsia="仿宋" w:hAnsi="仿宋" w:hint="eastAsia"/>
          <w:sz w:val="32"/>
          <w:szCs w:val="32"/>
          <w:lang w:eastAsia="zh-CN"/>
        </w:rPr>
        <w:t>学习科学的方法编制单位预算。</w:t>
      </w:r>
    </w:p>
    <w:p>
      <w:pPr>
        <w:pStyle w:val="style0"/>
        <w:spacing w:lineRule="exact" w:line="580"/>
        <w:ind w:firstLine="640" w:firstLineChars="200"/>
        <w:rPr>
          <w:rFonts w:ascii="仿宋_GB2312" w:cs="仿宋_GB2312" w:eastAsia="仿宋_GB2312" w:hAnsi="仿宋_GB2312"/>
          <w:sz w:val="32"/>
          <w:szCs w:val="32"/>
        </w:rPr>
      </w:pPr>
    </w:p>
    <w:p>
      <w:pPr>
        <w:pStyle w:val="style0"/>
        <w:widowControl/>
        <w:jc w:val="left"/>
        <w:rPr>
          <w:rFonts w:ascii="仿宋_GB2312" w:cs="仿宋_GB2312" w:eastAsia="仿宋_GB2312" w:hAnsi="仿宋_GB2312"/>
          <w:sz w:val="32"/>
          <w:szCs w:val="32"/>
        </w:rPr>
      </w:pPr>
      <w:r>
        <w:rPr>
          <w:rFonts w:ascii="仿宋_GB2312" w:cs="仿宋_GB2312" w:eastAsia="仿宋_GB2312" w:hAnsi="仿宋_GB2312"/>
          <w:sz w:val="32"/>
          <w:szCs w:val="32"/>
        </w:rPr>
        <w:br w:type="page"/>
      </w:r>
    </w:p>
    <w:bookmarkStart w:id="62" w:name="_Toc15396617"/>
    <w:p>
      <w:pPr>
        <w:pStyle w:val="style2"/>
        <w:rPr>
          <w:rStyle w:val="style4104"/>
          <w:rFonts w:ascii="仿宋" w:eastAsia="仿宋" w:hAnsi="仿宋"/>
          <w:b w:val="false"/>
          <w:bCs w:val="false"/>
          <w:sz w:val="32"/>
          <w:szCs w:val="32"/>
        </w:rPr>
      </w:pPr>
      <w:r>
        <w:rPr>
          <w:rStyle w:val="style4104"/>
          <w:rFonts w:ascii="仿宋" w:eastAsia="仿宋" w:hAnsi="仿宋" w:hint="eastAsia"/>
          <w:b w:val="false"/>
          <w:bCs w:val="false"/>
          <w:sz w:val="32"/>
          <w:szCs w:val="32"/>
        </w:rPr>
        <w:t>附件2</w:t>
      </w:r>
      <w:bookmarkEnd w:id="62"/>
    </w:p>
    <w:p>
      <w:pPr>
        <w:pStyle w:val="style0"/>
        <w:spacing w:lineRule="exact" w:line="580"/>
        <w:jc w:val="center"/>
        <w:rPr>
          <w:rFonts w:ascii="黑体" w:cs="方正小标宋简体" w:eastAsia="黑体" w:hAnsi="黑体"/>
          <w:sz w:val="44"/>
          <w:szCs w:val="44"/>
        </w:rPr>
      </w:pPr>
      <w:r>
        <w:rPr>
          <w:rFonts w:ascii="黑体" w:cs="方正小标宋简体" w:eastAsia="黑体" w:hAnsi="黑体" w:hint="eastAsia"/>
          <w:sz w:val="44"/>
          <w:szCs w:val="44"/>
        </w:rPr>
        <w:t>2018年</w:t>
      </w:r>
      <w:r>
        <w:rPr>
          <w:rFonts w:ascii="黑体" w:cs="方正小标宋简体" w:eastAsia="黑体" w:hAnsi="黑体" w:hint="eastAsia"/>
          <w:sz w:val="44"/>
          <w:szCs w:val="44"/>
          <w:lang w:eastAsia="zh-CN"/>
        </w:rPr>
        <w:t>县级储备利息费用</w:t>
      </w:r>
      <w:r>
        <w:rPr>
          <w:rFonts w:ascii="黑体" w:cs="方正小标宋简体" w:eastAsia="黑体" w:hAnsi="黑体" w:hint="eastAsia"/>
          <w:sz w:val="44"/>
          <w:szCs w:val="44"/>
        </w:rPr>
        <w:t>项目支出绩效评价报告</w:t>
      </w:r>
    </w:p>
    <w:p>
      <w:pPr>
        <w:pStyle w:val="style0"/>
        <w:spacing w:lineRule="exact" w:line="580"/>
        <w:ind w:firstLine="640" w:firstLineChars="200"/>
        <w:rPr>
          <w:rFonts w:ascii="仿宋_GB2312" w:cs="仿宋_GB2312" w:eastAsia="仿宋_GB2312" w:hAnsi="仿宋_GB2312"/>
          <w:sz w:val="32"/>
          <w:szCs w:val="32"/>
        </w:rPr>
      </w:pPr>
    </w:p>
    <w:p>
      <w:pPr>
        <w:pStyle w:val="style0"/>
        <w:spacing w:lineRule="exact" w:line="580"/>
        <w:ind w:firstLine="640" w:firstLineChars="200"/>
        <w:rPr>
          <w:rFonts w:ascii="黑体" w:cs="黑体" w:eastAsia="黑体" w:hAnsi="黑体" w:hint="eastAsia"/>
          <w:sz w:val="32"/>
          <w:szCs w:val="32"/>
        </w:rPr>
      </w:pPr>
      <w:r>
        <w:rPr>
          <w:rFonts w:ascii="黑体" w:cs="黑体" w:eastAsia="黑体" w:hAnsi="黑体" w:hint="eastAsia"/>
          <w:sz w:val="32"/>
          <w:szCs w:val="32"/>
        </w:rPr>
        <w:t>一、评价工作开展及项目情况</w:t>
      </w:r>
    </w:p>
    <w:p>
      <w:pPr>
        <w:pStyle w:val="style0"/>
        <w:ind w:firstLine="640" w:firstLineChars="200"/>
        <w:jc w:val="left"/>
        <w:rPr>
          <w:rFonts w:ascii="仿宋" w:cs="仿宋_GB2312" w:eastAsia="仿宋" w:hAnsi="仿宋"/>
          <w:sz w:val="32"/>
          <w:szCs w:val="32"/>
        </w:rPr>
      </w:pPr>
      <w:r>
        <w:rPr>
          <w:rFonts w:ascii="仿宋" w:cs="仿宋" w:eastAsia="仿宋" w:hAnsi="仿宋" w:hint="eastAsia"/>
          <w:sz w:val="32"/>
          <w:szCs w:val="32"/>
        </w:rPr>
        <w:t>壤塘县粮食局粮油收储公司目前存储县级储备大米555吨，面粉200吨。</w:t>
      </w:r>
      <w:r>
        <w:rPr>
          <w:rFonts w:ascii="仿宋" w:cs="仿宋" w:eastAsia="仿宋" w:hAnsi="仿宋" w:hint="eastAsia"/>
          <w:sz w:val="32"/>
          <w:szCs w:val="32"/>
          <w:lang w:eastAsia="zh-CN"/>
        </w:rPr>
        <w:t>通过第三方审计机构，</w:t>
      </w:r>
      <w:r>
        <w:rPr>
          <w:rFonts w:ascii="仿宋" w:cs="仿宋" w:eastAsia="仿宋" w:hAnsi="仿宋" w:hint="eastAsia"/>
          <w:sz w:val="32"/>
          <w:szCs w:val="32"/>
          <w:lang w:val="en-US" w:eastAsia="zh-CN"/>
        </w:rPr>
        <w:t>采取数量指标、质量指标、效益指标、满意度指标等方法</w:t>
      </w:r>
      <w:r>
        <w:rPr>
          <w:rFonts w:ascii="仿宋" w:cs="仿宋" w:eastAsia="仿宋" w:hAnsi="仿宋" w:hint="eastAsia"/>
          <w:sz w:val="32"/>
          <w:szCs w:val="32"/>
          <w:lang w:eastAsia="zh-CN"/>
        </w:rPr>
        <w:t>对我单位</w:t>
      </w:r>
      <w:r>
        <w:rPr>
          <w:rFonts w:ascii="仿宋" w:cs="仿宋" w:eastAsia="仿宋" w:hAnsi="仿宋" w:hint="eastAsia"/>
          <w:sz w:val="32"/>
          <w:szCs w:val="32"/>
          <w:lang w:val="en-US" w:eastAsia="zh-CN"/>
        </w:rPr>
        <w:t>2018年县级储备利息费用项目进行绩效评价。</w:t>
      </w:r>
    </w:p>
    <w:p>
      <w:pPr>
        <w:pStyle w:val="style0"/>
        <w:spacing w:lineRule="exact" w:line="580"/>
        <w:ind w:firstLine="640" w:firstLineChars="200"/>
        <w:rPr>
          <w:rFonts w:ascii="仿宋" w:cs="仿宋_GB2312" w:eastAsia="仿宋" w:hAnsi="仿宋"/>
          <w:sz w:val="32"/>
          <w:szCs w:val="32"/>
        </w:rPr>
      </w:pPr>
      <w:r>
        <w:rPr>
          <w:rFonts w:ascii="黑体" w:cs="黑体" w:eastAsia="黑体" w:hAnsi="黑体" w:hint="eastAsia"/>
          <w:sz w:val="32"/>
          <w:szCs w:val="32"/>
        </w:rPr>
        <w:t>二、评价结论及绩效分析</w:t>
      </w:r>
    </w:p>
    <w:p>
      <w:pPr>
        <w:pStyle w:val="style0"/>
        <w:spacing w:lineRule="exact" w:line="580"/>
        <w:ind w:firstLine="640" w:firstLineChars="200"/>
        <w:rPr>
          <w:rFonts w:ascii="仿宋" w:cs="仿宋_GB2312" w:eastAsia="仿宋" w:hAnsi="仿宋"/>
          <w:sz w:val="32"/>
          <w:szCs w:val="32"/>
        </w:rPr>
      </w:pPr>
      <w:r>
        <w:rPr>
          <w:rFonts w:ascii="仿宋" w:cs="仿宋_GB2312" w:eastAsia="仿宋" w:hAnsi="仿宋"/>
          <w:sz w:val="32"/>
          <w:szCs w:val="32"/>
        </w:rPr>
        <w:t>（一）评价结论</w:t>
      </w:r>
    </w:p>
    <w:p>
      <w:pPr>
        <w:pStyle w:val="style0"/>
        <w:ind w:firstLine="640" w:firstLineChars="200"/>
        <w:jc w:val="left"/>
        <w:rPr>
          <w:rFonts w:ascii="仿宋" w:cs="仿宋" w:eastAsia="仿宋" w:hAnsi="仿宋" w:hint="eastAsia"/>
          <w:sz w:val="32"/>
          <w:szCs w:val="32"/>
        </w:rPr>
      </w:pPr>
      <w:r>
        <w:rPr>
          <w:rFonts w:ascii="仿宋" w:cs="仿宋" w:eastAsia="仿宋" w:hAnsi="仿宋" w:hint="eastAsia"/>
          <w:sz w:val="32"/>
          <w:szCs w:val="32"/>
        </w:rPr>
        <w:t>县级储备粮利息费用项目的实施，首先能对我县的粮食市场进行宏观调控，保证粮食市场在公平竞争的基础上，最大利益的保证消费者利益。县级储备粮利息费用项目的实施，能在重大自然灾害或在战争发生时期，最大保障我县百姓的生活物质</w:t>
      </w:r>
    </w:p>
    <w:p>
      <w:pPr>
        <w:pStyle w:val="style0"/>
        <w:ind w:firstLine="640" w:firstLineChars="200"/>
        <w:jc w:val="left"/>
        <w:rPr>
          <w:rFonts w:ascii="仿宋" w:cs="仿宋" w:eastAsia="仿宋" w:hAnsi="仿宋" w:hint="eastAsia"/>
          <w:sz w:val="32"/>
          <w:szCs w:val="32"/>
        </w:rPr>
      </w:pPr>
      <w:r>
        <w:rPr>
          <w:rFonts w:ascii="仿宋" w:cs="仿宋" w:eastAsia="仿宋" w:hAnsi="仿宋" w:hint="eastAsia"/>
          <w:sz w:val="32"/>
          <w:szCs w:val="32"/>
        </w:rPr>
        <w:t>（二）绩效分析</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1、项目决策</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因为此项目为常态管理，县粮食局每个季度将县级储备粮保管完成后，向县财政局进行请示，拨付当季县级储备利息和费用。县财政局对我单位的请示进行审核，结合我单位预算情况后给予拨付。</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2、项目管理</w:t>
      </w:r>
    </w:p>
    <w:p>
      <w:pPr>
        <w:pStyle w:val="style0"/>
        <w:ind w:firstLine="640" w:firstLineChars="200"/>
        <w:jc w:val="left"/>
        <w:rPr>
          <w:rFonts w:ascii="仿宋" w:cs="仿宋" w:eastAsia="仿宋" w:hAnsi="仿宋" w:hint="eastAsia"/>
          <w:b w:val="false"/>
          <w:bCs/>
          <w:sz w:val="32"/>
          <w:szCs w:val="32"/>
        </w:rPr>
      </w:pPr>
      <w:r>
        <w:rPr>
          <w:rFonts w:ascii="仿宋" w:cs="仿宋" w:eastAsia="仿宋" w:hAnsi="仿宋" w:hint="eastAsia"/>
          <w:b w:val="false"/>
          <w:bCs/>
          <w:sz w:val="32"/>
          <w:szCs w:val="32"/>
        </w:rPr>
        <w:t>资金计划、到位情况</w:t>
      </w:r>
    </w:p>
    <w:p>
      <w:pPr>
        <w:pStyle w:val="style0"/>
        <w:ind w:firstLine="640" w:firstLineChars="200"/>
        <w:jc w:val="left"/>
        <w:rPr>
          <w:rFonts w:ascii="仿宋" w:cs="仿宋" w:eastAsia="仿宋" w:hAnsi="仿宋" w:hint="eastAsia"/>
          <w:sz w:val="32"/>
          <w:szCs w:val="32"/>
        </w:rPr>
      </w:pPr>
      <w:r>
        <w:rPr>
          <w:rFonts w:ascii="仿宋" w:cs="仿宋" w:eastAsia="仿宋" w:hAnsi="仿宋" w:hint="eastAsia"/>
          <w:sz w:val="32"/>
          <w:szCs w:val="32"/>
          <w:lang w:eastAsia="zh-CN"/>
        </w:rPr>
        <w:t>（</w:t>
      </w:r>
      <w:r>
        <w:rPr>
          <w:rFonts w:ascii="仿宋" w:cs="仿宋" w:eastAsia="仿宋" w:hAnsi="仿宋" w:hint="eastAsia"/>
          <w:sz w:val="32"/>
          <w:szCs w:val="32"/>
        </w:rPr>
        <w:t>1</w:t>
      </w:r>
      <w:r>
        <w:rPr>
          <w:rFonts w:ascii="仿宋" w:cs="仿宋" w:eastAsia="仿宋" w:hAnsi="仿宋" w:hint="eastAsia"/>
          <w:sz w:val="32"/>
          <w:szCs w:val="32"/>
          <w:lang w:eastAsia="zh-CN"/>
        </w:rPr>
        <w:t>）</w:t>
      </w:r>
      <w:r>
        <w:rPr>
          <w:rFonts w:ascii="仿宋" w:cs="仿宋" w:eastAsia="仿宋" w:hAnsi="仿宋" w:hint="eastAsia"/>
          <w:sz w:val="32"/>
          <w:szCs w:val="32"/>
        </w:rPr>
        <w:t>201</w:t>
      </w:r>
      <w:r>
        <w:rPr>
          <w:rFonts w:ascii="仿宋" w:cs="仿宋" w:eastAsia="仿宋" w:hAnsi="仿宋" w:hint="eastAsia"/>
          <w:sz w:val="32"/>
          <w:szCs w:val="32"/>
          <w:lang w:val="en-US" w:eastAsia="zh-CN"/>
        </w:rPr>
        <w:t>8</w:t>
      </w:r>
      <w:r>
        <w:rPr>
          <w:rFonts w:ascii="仿宋" w:cs="仿宋" w:eastAsia="仿宋" w:hAnsi="仿宋" w:hint="eastAsia"/>
          <w:sz w:val="32"/>
          <w:szCs w:val="32"/>
        </w:rPr>
        <w:t>年我单位县级储备粮费用利息项目的预算为</w:t>
      </w:r>
      <w:r>
        <w:rPr>
          <w:rFonts w:ascii="仿宋" w:cs="仿宋" w:eastAsia="仿宋" w:hAnsi="仿宋" w:hint="eastAsia"/>
          <w:sz w:val="32"/>
          <w:szCs w:val="32"/>
          <w:lang w:val="en-US" w:eastAsia="zh-CN"/>
        </w:rPr>
        <w:t>48</w:t>
      </w:r>
      <w:r>
        <w:rPr>
          <w:rFonts w:ascii="仿宋" w:cs="仿宋" w:eastAsia="仿宋" w:hAnsi="仿宋" w:hint="eastAsia"/>
          <w:sz w:val="32"/>
          <w:szCs w:val="32"/>
        </w:rPr>
        <w:t>万元。实际到位根据每个季度进行拨付，四个季度实际共拨县级储备利息费用</w:t>
      </w:r>
      <w:r>
        <w:rPr>
          <w:rFonts w:ascii="仿宋" w:cs="仿宋" w:eastAsia="仿宋" w:hAnsi="仿宋" w:hint="eastAsia"/>
          <w:sz w:val="32"/>
          <w:szCs w:val="32"/>
          <w:lang w:val="en-US" w:eastAsia="zh-CN"/>
        </w:rPr>
        <w:t>45.53</w:t>
      </w:r>
      <w:r>
        <w:rPr>
          <w:rFonts w:ascii="仿宋" w:cs="仿宋" w:eastAsia="仿宋" w:hAnsi="仿宋" w:hint="eastAsia"/>
          <w:sz w:val="32"/>
          <w:szCs w:val="32"/>
        </w:rPr>
        <w:t>元，资金到位率100%，全年资金拨付到位。</w:t>
      </w:r>
    </w:p>
    <w:p>
      <w:pPr>
        <w:pStyle w:val="style0"/>
        <w:ind w:firstLine="640" w:firstLineChars="200"/>
        <w:jc w:val="left"/>
        <w:rPr>
          <w:rFonts w:ascii="仿宋" w:cs="仿宋" w:eastAsia="仿宋" w:hAnsi="仿宋" w:hint="eastAsia"/>
          <w:sz w:val="32"/>
          <w:szCs w:val="32"/>
        </w:rPr>
      </w:pPr>
      <w:r>
        <w:rPr>
          <w:rFonts w:ascii="仿宋" w:cs="仿宋" w:eastAsia="仿宋" w:hAnsi="仿宋" w:hint="eastAsia"/>
          <w:sz w:val="32"/>
          <w:szCs w:val="32"/>
          <w:lang w:eastAsia="zh-CN"/>
        </w:rPr>
        <w:t>（</w:t>
      </w:r>
      <w:r>
        <w:rPr>
          <w:rFonts w:ascii="仿宋" w:cs="仿宋" w:eastAsia="仿宋" w:hAnsi="仿宋" w:hint="eastAsia"/>
          <w:sz w:val="32"/>
          <w:szCs w:val="32"/>
        </w:rPr>
        <w:t>2</w:t>
      </w:r>
      <w:r>
        <w:rPr>
          <w:rFonts w:ascii="仿宋" w:cs="仿宋" w:eastAsia="仿宋" w:hAnsi="仿宋" w:hint="eastAsia"/>
          <w:sz w:val="32"/>
          <w:szCs w:val="32"/>
          <w:lang w:eastAsia="zh-CN"/>
        </w:rPr>
        <w:t>）</w:t>
      </w:r>
      <w:r>
        <w:rPr>
          <w:rFonts w:ascii="仿宋" w:cs="仿宋" w:eastAsia="仿宋" w:hAnsi="仿宋" w:hint="eastAsia"/>
          <w:sz w:val="32"/>
          <w:szCs w:val="32"/>
        </w:rPr>
        <w:t>资金每个季度拨到县粮食局后，县粮食局第一时间已全额将县级储备利息费用转拨给壤塘县粮油收储公司。粮油收储公司收到每个季度的利息费用后，首先归还垫付的当季利息，余下的费用用于支付管理、保管县级储备粮的人员工资、费用，以及轮换保管费用等。资金支付情况合规合法，与预算相符。</w:t>
      </w:r>
    </w:p>
    <w:p>
      <w:pPr>
        <w:pStyle w:val="style0"/>
        <w:ind w:firstLine="640" w:firstLineChars="200"/>
        <w:jc w:val="left"/>
        <w:rPr>
          <w:rFonts w:ascii="仿宋" w:cs="仿宋" w:eastAsia="仿宋" w:hAnsi="仿宋" w:hint="eastAsia"/>
          <w:b w:val="false"/>
          <w:bCs/>
          <w:sz w:val="32"/>
          <w:szCs w:val="32"/>
        </w:rPr>
      </w:pPr>
      <w:r>
        <w:rPr>
          <w:rFonts w:ascii="仿宋" w:cs="仿宋" w:eastAsia="仿宋" w:hAnsi="仿宋" w:hint="eastAsia"/>
          <w:b w:val="false"/>
          <w:bCs/>
          <w:sz w:val="32"/>
          <w:szCs w:val="32"/>
        </w:rPr>
        <w:t>项目财务管理情况</w:t>
      </w:r>
    </w:p>
    <w:p>
      <w:pPr>
        <w:pStyle w:val="style0"/>
        <w:spacing w:lineRule="exact" w:line="580"/>
        <w:ind w:firstLine="640" w:firstLineChars="200"/>
        <w:rPr>
          <w:rFonts w:ascii="仿宋" w:cs="仿宋" w:eastAsia="仿宋" w:hAnsi="仿宋" w:hint="eastAsia"/>
          <w:sz w:val="32"/>
          <w:szCs w:val="32"/>
        </w:rPr>
      </w:pPr>
      <w:r>
        <w:rPr>
          <w:rFonts w:ascii="仿宋" w:cs="仿宋" w:eastAsia="仿宋" w:hAnsi="仿宋" w:hint="eastAsia"/>
          <w:sz w:val="32"/>
          <w:szCs w:val="32"/>
        </w:rPr>
        <w:t>县粮食局及县粮油收储公司都设有财务室，都设有会计、出纳岗位。同时，会计、出纳、财务管理等制度健全。根据项目要求，项目资金的拨付、使用符合相关财经法规，会计处理及时准确，会计核算规范。</w:t>
      </w:r>
    </w:p>
    <w:p>
      <w:pPr>
        <w:pStyle w:val="style0"/>
        <w:spacing w:lineRule="exact" w:line="580"/>
        <w:ind w:firstLine="640" w:firstLineChars="200"/>
        <w:rPr>
          <w:rFonts w:ascii="黑体" w:cs="黑体" w:eastAsia="黑体" w:hAnsi="黑体" w:hint="eastAsia"/>
          <w:sz w:val="32"/>
          <w:szCs w:val="32"/>
        </w:rPr>
      </w:pPr>
      <w:r>
        <w:rPr>
          <w:rFonts w:ascii="黑体" w:cs="黑体" w:eastAsia="黑体" w:hAnsi="黑体" w:hint="eastAsia"/>
          <w:sz w:val="32"/>
          <w:szCs w:val="32"/>
          <w:lang w:eastAsia="zh-CN"/>
        </w:rPr>
        <w:t>三、</w:t>
      </w:r>
      <w:r>
        <w:rPr>
          <w:rFonts w:ascii="黑体" w:cs="黑体" w:eastAsia="黑体" w:hAnsi="黑体" w:hint="eastAsia"/>
          <w:sz w:val="32"/>
          <w:szCs w:val="32"/>
        </w:rPr>
        <w:t>项目绩效</w:t>
      </w:r>
    </w:p>
    <w:p>
      <w:pPr>
        <w:pStyle w:val="style0"/>
        <w:spacing w:lineRule="exact" w:line="580"/>
        <w:ind w:firstLine="640" w:firstLineChars="200"/>
        <w:rPr>
          <w:rFonts w:ascii="仿宋_GB2312" w:eastAsia="仿宋_GB2312" w:hint="eastAsia"/>
          <w:sz w:val="32"/>
          <w:szCs w:val="32"/>
        </w:rPr>
      </w:pPr>
      <w:r>
        <w:rPr>
          <w:rFonts w:ascii="仿宋" w:cs="仿宋" w:eastAsia="仿宋" w:hAnsi="仿宋" w:hint="eastAsia"/>
          <w:sz w:val="32"/>
          <w:szCs w:val="32"/>
        </w:rPr>
        <w:t>壤塘县粮油收储公司管理着县级储备大米555吨，面粉200吨。因县级储备已于2011年建立完毕，目前属于保管轮换期间，因此，此项目实质是对县级储备粮食的保管和轮换工作。当保管与轮换完成后，项目的实施进度就完成了。</w:t>
      </w:r>
    </w:p>
    <w:p>
      <w:pPr>
        <w:pStyle w:val="style0"/>
        <w:numPr>
          <w:ilvl w:val="0"/>
          <w:numId w:val="1"/>
        </w:numPr>
        <w:spacing w:lineRule="exact" w:line="580"/>
        <w:ind w:left="1360" w:leftChars="0" w:hanging="720" w:firstLineChars="0"/>
        <w:rPr>
          <w:rFonts w:ascii="黑体" w:cs="黑体" w:eastAsia="黑体" w:hAnsi="黑体" w:hint="eastAsia"/>
          <w:sz w:val="32"/>
          <w:szCs w:val="32"/>
        </w:rPr>
      </w:pPr>
      <w:r>
        <w:rPr>
          <w:rFonts w:ascii="黑体" w:cs="黑体" w:eastAsia="黑体" w:hAnsi="黑体" w:hint="eastAsia"/>
          <w:sz w:val="32"/>
          <w:szCs w:val="32"/>
        </w:rPr>
        <w:t>存在主要问题</w:t>
      </w:r>
    </w:p>
    <w:p>
      <w:pPr>
        <w:pStyle w:val="style0"/>
        <w:numPr>
          <w:ilvl w:val="0"/>
          <w:numId w:val="0"/>
        </w:numPr>
        <w:spacing w:lineRule="exact" w:line="580"/>
        <w:ind w:left="640" w:leftChars="0"/>
        <w:rPr>
          <w:rFonts w:ascii="仿宋" w:cs="仿宋" w:eastAsia="仿宋" w:hAnsi="仿宋" w:hint="eastAsia"/>
          <w:sz w:val="32"/>
          <w:szCs w:val="32"/>
          <w:lang w:eastAsia="zh-CN"/>
        </w:rPr>
      </w:pPr>
      <w:r>
        <w:rPr>
          <w:rFonts w:ascii="仿宋" w:cs="仿宋" w:eastAsia="仿宋" w:hAnsi="仿宋" w:hint="eastAsia"/>
          <w:sz w:val="32"/>
          <w:szCs w:val="32"/>
        </w:rPr>
        <w:t>每年每斤原粮0.15元的费用补贴较低，</w:t>
      </w:r>
      <w:r>
        <w:rPr>
          <w:rFonts w:ascii="仿宋" w:cs="仿宋" w:eastAsia="仿宋" w:hAnsi="仿宋" w:hint="eastAsia"/>
          <w:sz w:val="32"/>
          <w:szCs w:val="32"/>
          <w:lang w:eastAsia="zh-CN"/>
        </w:rPr>
        <w:t>给企业造成较大负担。</w:t>
      </w:r>
    </w:p>
    <w:p>
      <w:pPr>
        <w:pStyle w:val="style0"/>
        <w:numPr>
          <w:ilvl w:val="0"/>
          <w:numId w:val="1"/>
        </w:numPr>
        <w:spacing w:lineRule="exact" w:line="580"/>
        <w:ind w:left="1360" w:leftChars="0" w:hanging="720" w:firstLineChars="0"/>
        <w:rPr>
          <w:rFonts w:ascii="黑体" w:cs="黑体" w:eastAsia="黑体" w:hAnsi="黑体" w:hint="eastAsia"/>
          <w:sz w:val="32"/>
          <w:szCs w:val="32"/>
        </w:rPr>
      </w:pPr>
      <w:r>
        <w:rPr>
          <w:rFonts w:ascii="黑体" w:cs="黑体" w:eastAsia="黑体" w:hAnsi="黑体" w:hint="eastAsia"/>
          <w:sz w:val="32"/>
          <w:szCs w:val="32"/>
        </w:rPr>
        <w:t>相关措施建议</w:t>
      </w:r>
    </w:p>
    <w:p>
      <w:pPr>
        <w:pStyle w:val="style0"/>
        <w:numPr>
          <w:ilvl w:val="0"/>
          <w:numId w:val="0"/>
        </w:numPr>
        <w:spacing w:lineRule="exact" w:line="580"/>
        <w:ind w:left="640" w:leftChars="0"/>
        <w:rPr>
          <w:rFonts w:ascii="仿宋" w:cs="仿宋" w:eastAsia="仿宋" w:hAnsi="仿宋" w:hint="eastAsia"/>
          <w:sz w:val="32"/>
          <w:szCs w:val="32"/>
        </w:rPr>
      </w:pPr>
      <w:r>
        <w:rPr>
          <w:rFonts w:ascii="仿宋" w:cs="仿宋" w:eastAsia="仿宋" w:hAnsi="仿宋" w:hint="eastAsia"/>
          <w:sz w:val="32"/>
          <w:szCs w:val="32"/>
        </w:rPr>
        <w:t>建议提高到每年每斤原粮补贴0.20元。</w:t>
      </w:r>
    </w:p>
    <w:bookmarkStart w:id="63" w:name="_Toc15396618"/>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Fonts w:ascii="黑体" w:eastAsia="黑体" w:hAnsi="黑体" w:hint="eastAsia"/>
          <w:color w:val="000000"/>
          <w:sz w:val="44"/>
          <w:szCs w:val="44"/>
        </w:rPr>
      </w:pPr>
    </w:p>
    <w:p>
      <w:pPr>
        <w:pStyle w:val="style0"/>
        <w:spacing w:lineRule="exact" w:line="600"/>
        <w:jc w:val="center"/>
        <w:outlineLvl w:val="0"/>
        <w:rPr>
          <w:rStyle w:val="style4104"/>
          <w:rFonts w:ascii="黑体" w:eastAsia="黑体" w:hAnsi="黑体"/>
          <w:b w:val="false"/>
        </w:rPr>
      </w:pPr>
      <w:r>
        <w:rPr>
          <w:rFonts w:ascii="黑体" w:eastAsia="黑体" w:hAnsi="黑体" w:hint="eastAsia"/>
          <w:color w:val="000000"/>
          <w:sz w:val="44"/>
          <w:szCs w:val="44"/>
        </w:rPr>
        <w:t>第</w:t>
      </w:r>
      <w:r>
        <w:rPr>
          <w:rStyle w:val="style4104"/>
          <w:rFonts w:ascii="黑体" w:eastAsia="黑体" w:hAnsi="黑体" w:hint="eastAsia"/>
          <w:b w:val="false"/>
        </w:rPr>
        <w:t>五部分 附表</w:t>
      </w:r>
      <w:bookmarkEnd w:id="58"/>
      <w:bookmarkEnd w:id="63"/>
    </w:p>
    <w:p>
      <w:pPr>
        <w:pStyle w:val="style0"/>
        <w:spacing w:lineRule="exact" w:line="600"/>
        <w:jc w:val="center"/>
        <w:outlineLvl w:val="0"/>
        <w:rPr>
          <w:rFonts w:ascii="仿宋" w:eastAsia="仿宋" w:hAnsi="仿宋"/>
          <w:b/>
          <w:color w:val="000000"/>
          <w:sz w:val="44"/>
          <w:szCs w:val="44"/>
        </w:rPr>
      </w:pPr>
    </w:p>
    <w:bookmarkStart w:id="64" w:name="_Toc15396619"/>
    <w:p>
      <w:pPr>
        <w:pStyle w:val="style2"/>
        <w:rPr>
          <w:rFonts w:ascii="仿宋" w:eastAsia="仿宋" w:hAnsi="仿宋"/>
          <w:color w:val="000000"/>
        </w:rPr>
      </w:pPr>
      <w:r>
        <w:rPr>
          <w:rFonts w:ascii="仿宋" w:eastAsia="仿宋" w:hAnsi="仿宋" w:hint="eastAsia"/>
          <w:b w:val="false"/>
          <w:color w:val="000000"/>
        </w:rPr>
        <w:t>一、收</w:t>
      </w:r>
      <w:r>
        <w:rPr>
          <w:rStyle w:val="style4105"/>
          <w:rFonts w:ascii="仿宋" w:eastAsia="仿宋" w:hAnsi="仿宋" w:hint="eastAsia"/>
          <w:b w:val="false"/>
          <w:bCs w:val="false"/>
        </w:rPr>
        <w:t>入支出决算总表</w:t>
      </w:r>
      <w:bookmarkEnd w:id="64"/>
    </w:p>
    <w:bookmarkStart w:id="65" w:name="_Toc15396620"/>
    <w:p>
      <w:pPr>
        <w:pStyle w:val="style2"/>
        <w:rPr>
          <w:rFonts w:ascii="仿宋" w:eastAsia="仿宋" w:hAnsi="仿宋"/>
          <w:color w:val="000000"/>
        </w:rPr>
      </w:pPr>
      <w:r>
        <w:rPr>
          <w:rFonts w:ascii="仿宋" w:eastAsia="仿宋" w:hAnsi="仿宋" w:hint="eastAsia"/>
          <w:b w:val="false"/>
          <w:color w:val="000000"/>
        </w:rPr>
        <w:t>二、收</w:t>
      </w:r>
      <w:r>
        <w:rPr>
          <w:rStyle w:val="style4105"/>
          <w:rFonts w:ascii="仿宋" w:eastAsia="仿宋" w:hAnsi="仿宋" w:hint="eastAsia"/>
          <w:b w:val="false"/>
          <w:bCs w:val="false"/>
        </w:rPr>
        <w:t>入总表</w:t>
      </w:r>
      <w:bookmarkEnd w:id="65"/>
    </w:p>
    <w:bookmarkStart w:id="66" w:name="_Toc15396621"/>
    <w:p>
      <w:pPr>
        <w:pStyle w:val="style2"/>
        <w:rPr>
          <w:rFonts w:ascii="仿宋" w:eastAsia="仿宋" w:hAnsi="仿宋"/>
          <w:color w:val="000000"/>
        </w:rPr>
      </w:pPr>
      <w:r>
        <w:rPr>
          <w:rStyle w:val="style4105"/>
          <w:rFonts w:ascii="仿宋" w:eastAsia="仿宋" w:hAnsi="仿宋" w:hint="eastAsia"/>
          <w:b w:val="false"/>
          <w:bCs w:val="false"/>
        </w:rPr>
        <w:t>三、</w:t>
      </w:r>
      <w:r>
        <w:rPr>
          <w:rFonts w:ascii="仿宋" w:eastAsia="仿宋" w:hAnsi="仿宋" w:hint="eastAsia"/>
          <w:b w:val="false"/>
          <w:color w:val="000000"/>
        </w:rPr>
        <w:t>支</w:t>
      </w:r>
      <w:r>
        <w:rPr>
          <w:rStyle w:val="style4105"/>
          <w:rFonts w:ascii="仿宋" w:eastAsia="仿宋" w:hAnsi="仿宋" w:hint="eastAsia"/>
          <w:b w:val="false"/>
          <w:bCs w:val="false"/>
        </w:rPr>
        <w:t>出总表</w:t>
      </w:r>
      <w:bookmarkEnd w:id="66"/>
    </w:p>
    <w:bookmarkStart w:id="67" w:name="_Toc15396622"/>
    <w:p>
      <w:pPr>
        <w:pStyle w:val="style2"/>
        <w:rPr>
          <w:rFonts w:ascii="仿宋" w:eastAsia="仿宋" w:hAnsi="仿宋"/>
          <w:b w:val="false"/>
          <w:color w:val="000000"/>
        </w:rPr>
      </w:pPr>
      <w:r>
        <w:rPr>
          <w:rStyle w:val="style4105"/>
          <w:rFonts w:ascii="仿宋" w:eastAsia="仿宋" w:hAnsi="仿宋" w:hint="eastAsia"/>
          <w:b w:val="false"/>
          <w:bCs w:val="false"/>
        </w:rPr>
        <w:t>四、</w:t>
      </w:r>
      <w:r>
        <w:rPr>
          <w:rFonts w:ascii="仿宋" w:eastAsia="仿宋" w:hAnsi="仿宋" w:hint="eastAsia"/>
          <w:b w:val="false"/>
          <w:color w:val="000000"/>
        </w:rPr>
        <w:t>财</w:t>
      </w:r>
      <w:r>
        <w:rPr>
          <w:rStyle w:val="style4105"/>
          <w:rFonts w:ascii="仿宋" w:eastAsia="仿宋" w:hAnsi="仿宋" w:hint="eastAsia"/>
          <w:b w:val="false"/>
          <w:bCs w:val="false"/>
        </w:rPr>
        <w:t>政拨款收入支出决算总表</w:t>
      </w:r>
      <w:bookmarkEnd w:id="67"/>
    </w:p>
    <w:bookmarkStart w:id="68" w:name="_Toc15396623"/>
    <w:p>
      <w:pPr>
        <w:pStyle w:val="style2"/>
        <w:rPr>
          <w:rFonts w:ascii="仿宋" w:eastAsia="仿宋" w:hAnsi="仿宋"/>
          <w:color w:val="000000"/>
        </w:rPr>
      </w:pPr>
      <w:r>
        <w:rPr>
          <w:rStyle w:val="style4105"/>
          <w:rFonts w:ascii="仿宋" w:eastAsia="仿宋" w:hAnsi="仿宋" w:hint="eastAsia"/>
          <w:b w:val="false"/>
          <w:bCs w:val="false"/>
        </w:rPr>
        <w:t>五、</w:t>
      </w:r>
      <w:r>
        <w:rPr>
          <w:rFonts w:ascii="仿宋" w:eastAsia="仿宋" w:hAnsi="仿宋" w:hint="eastAsia"/>
          <w:b w:val="false"/>
          <w:color w:val="000000"/>
        </w:rPr>
        <w:t>财</w:t>
      </w:r>
      <w:r>
        <w:rPr>
          <w:rStyle w:val="style4105"/>
          <w:rFonts w:ascii="仿宋" w:eastAsia="仿宋" w:hAnsi="仿宋" w:hint="eastAsia"/>
          <w:b w:val="false"/>
          <w:bCs w:val="false"/>
        </w:rPr>
        <w:t>政拨款支出决算明细表（政府经济分类科目）</w:t>
      </w:r>
      <w:bookmarkEnd w:id="68"/>
    </w:p>
    <w:bookmarkStart w:id="69" w:name="_Toc15396624"/>
    <w:p>
      <w:pPr>
        <w:pStyle w:val="style2"/>
        <w:rPr>
          <w:rFonts w:ascii="仿宋" w:eastAsia="仿宋" w:hAnsi="仿宋"/>
          <w:color w:val="000000"/>
        </w:rPr>
      </w:pPr>
      <w:r>
        <w:rPr>
          <w:rStyle w:val="style4105"/>
          <w:rFonts w:ascii="仿宋" w:eastAsia="仿宋" w:hAnsi="仿宋" w:hint="eastAsia"/>
          <w:b w:val="false"/>
          <w:bCs w:val="false"/>
        </w:rPr>
        <w:t>六、</w:t>
      </w:r>
      <w:r>
        <w:rPr>
          <w:rFonts w:ascii="仿宋" w:eastAsia="仿宋" w:hAnsi="仿宋" w:hint="eastAsia"/>
          <w:b w:val="false"/>
          <w:color w:val="000000"/>
        </w:rPr>
        <w:t>一</w:t>
      </w:r>
      <w:r>
        <w:rPr>
          <w:rStyle w:val="style4105"/>
          <w:rFonts w:ascii="仿宋" w:eastAsia="仿宋" w:hAnsi="仿宋" w:hint="eastAsia"/>
          <w:b w:val="false"/>
          <w:bCs w:val="false"/>
        </w:rPr>
        <w:t>般公共预算财政拨款支出决算表</w:t>
      </w:r>
      <w:bookmarkEnd w:id="69"/>
    </w:p>
    <w:bookmarkStart w:id="70" w:name="_Toc15396625"/>
    <w:p>
      <w:pPr>
        <w:pStyle w:val="style2"/>
        <w:rPr>
          <w:rFonts w:ascii="仿宋" w:eastAsia="仿宋" w:hAnsi="仿宋"/>
          <w:color w:val="000000"/>
        </w:rPr>
      </w:pPr>
      <w:r>
        <w:rPr>
          <w:rStyle w:val="style4105"/>
          <w:rFonts w:ascii="仿宋" w:eastAsia="仿宋" w:hAnsi="仿宋" w:hint="eastAsia"/>
          <w:b w:val="false"/>
          <w:bCs w:val="false"/>
        </w:rPr>
        <w:t>七、</w:t>
      </w:r>
      <w:r>
        <w:rPr>
          <w:rFonts w:ascii="仿宋" w:eastAsia="仿宋" w:hAnsi="仿宋" w:hint="eastAsia"/>
          <w:b w:val="false"/>
          <w:color w:val="000000"/>
        </w:rPr>
        <w:t>一</w:t>
      </w:r>
      <w:r>
        <w:rPr>
          <w:rStyle w:val="style4105"/>
          <w:rFonts w:ascii="仿宋" w:eastAsia="仿宋" w:hAnsi="仿宋" w:hint="eastAsia"/>
          <w:b w:val="false"/>
          <w:bCs w:val="false"/>
        </w:rPr>
        <w:t>般公共预算财政拨款支出决算明细表</w:t>
      </w:r>
      <w:bookmarkEnd w:id="70"/>
    </w:p>
    <w:bookmarkStart w:id="71" w:name="_Toc15396626"/>
    <w:p>
      <w:pPr>
        <w:pStyle w:val="style2"/>
        <w:rPr>
          <w:rFonts w:ascii="仿宋" w:eastAsia="仿宋" w:hAnsi="仿宋"/>
          <w:color w:val="000000"/>
        </w:rPr>
      </w:pPr>
      <w:r>
        <w:rPr>
          <w:rStyle w:val="style4105"/>
          <w:rFonts w:ascii="仿宋" w:eastAsia="仿宋" w:hAnsi="仿宋" w:hint="eastAsia"/>
          <w:b w:val="false"/>
          <w:bCs w:val="false"/>
        </w:rPr>
        <w:t>八、</w:t>
      </w:r>
      <w:r>
        <w:rPr>
          <w:rFonts w:ascii="仿宋" w:eastAsia="仿宋" w:hAnsi="仿宋" w:hint="eastAsia"/>
          <w:b w:val="false"/>
          <w:color w:val="000000"/>
        </w:rPr>
        <w:t>一</w:t>
      </w:r>
      <w:r>
        <w:rPr>
          <w:rStyle w:val="style4105"/>
          <w:rFonts w:ascii="仿宋" w:eastAsia="仿宋" w:hAnsi="仿宋" w:hint="eastAsia"/>
          <w:b w:val="false"/>
          <w:bCs w:val="false"/>
        </w:rPr>
        <w:t>般公共预算财政拨款基本支出决算表</w:t>
      </w:r>
      <w:bookmarkEnd w:id="71"/>
    </w:p>
    <w:bookmarkStart w:id="72" w:name="_Toc15396627"/>
    <w:p>
      <w:pPr>
        <w:pStyle w:val="style2"/>
        <w:rPr>
          <w:rFonts w:ascii="仿宋" w:eastAsia="仿宋" w:hAnsi="仿宋"/>
          <w:color w:val="000000"/>
        </w:rPr>
      </w:pPr>
      <w:r>
        <w:rPr>
          <w:rStyle w:val="style4105"/>
          <w:rFonts w:ascii="仿宋" w:eastAsia="仿宋" w:hAnsi="仿宋" w:hint="eastAsia"/>
          <w:b w:val="false"/>
          <w:bCs w:val="false"/>
        </w:rPr>
        <w:t>九、</w:t>
      </w:r>
      <w:r>
        <w:rPr>
          <w:rFonts w:ascii="仿宋" w:eastAsia="仿宋" w:hAnsi="仿宋" w:hint="eastAsia"/>
          <w:b w:val="false"/>
          <w:color w:val="000000"/>
        </w:rPr>
        <w:t>一</w:t>
      </w:r>
      <w:r>
        <w:rPr>
          <w:rStyle w:val="style4105"/>
          <w:rFonts w:ascii="仿宋" w:eastAsia="仿宋" w:hAnsi="仿宋" w:hint="eastAsia"/>
          <w:b w:val="false"/>
          <w:bCs w:val="false"/>
        </w:rPr>
        <w:t>般公共预算财政拨款项目支出决算表</w:t>
      </w:r>
      <w:bookmarkEnd w:id="72"/>
    </w:p>
    <w:bookmarkStart w:id="73" w:name="_Toc15396628"/>
    <w:p>
      <w:pPr>
        <w:pStyle w:val="style2"/>
        <w:rPr>
          <w:rFonts w:ascii="仿宋" w:eastAsia="仿宋" w:hAnsi="仿宋"/>
          <w:color w:val="000000"/>
        </w:rPr>
      </w:pPr>
      <w:r>
        <w:rPr>
          <w:rStyle w:val="style4105"/>
          <w:rFonts w:ascii="仿宋" w:eastAsia="仿宋" w:hAnsi="仿宋" w:hint="eastAsia"/>
          <w:b w:val="false"/>
          <w:bCs w:val="false"/>
        </w:rPr>
        <w:t>十、</w:t>
      </w:r>
      <w:r>
        <w:rPr>
          <w:rFonts w:ascii="仿宋" w:eastAsia="仿宋" w:hAnsi="仿宋" w:hint="eastAsia"/>
          <w:b w:val="false"/>
          <w:color w:val="000000"/>
        </w:rPr>
        <w:t>一</w:t>
      </w:r>
      <w:r>
        <w:rPr>
          <w:rStyle w:val="style4105"/>
          <w:rFonts w:ascii="仿宋" w:eastAsia="仿宋" w:hAnsi="仿宋" w:hint="eastAsia"/>
          <w:b w:val="false"/>
          <w:bCs w:val="false"/>
        </w:rPr>
        <w:t>般公共预算财政拨款“三公”经费支出决算表</w:t>
      </w:r>
      <w:bookmarkEnd w:id="73"/>
    </w:p>
    <w:bookmarkStart w:id="74" w:name="_Toc15396629"/>
    <w:p>
      <w:pPr>
        <w:pStyle w:val="style2"/>
        <w:rPr>
          <w:rFonts w:ascii="仿宋" w:eastAsia="仿宋" w:hAnsi="仿宋"/>
          <w:color w:val="000000"/>
        </w:rPr>
      </w:pPr>
      <w:r>
        <w:rPr>
          <w:rStyle w:val="style4105"/>
          <w:rFonts w:ascii="仿宋" w:eastAsia="仿宋" w:hAnsi="仿宋" w:hint="eastAsia"/>
          <w:b w:val="false"/>
          <w:bCs w:val="false"/>
        </w:rPr>
        <w:t>十一、</w:t>
      </w:r>
      <w:r>
        <w:rPr>
          <w:rFonts w:ascii="仿宋" w:eastAsia="仿宋" w:hAnsi="仿宋" w:hint="eastAsia"/>
          <w:b w:val="false"/>
          <w:color w:val="000000"/>
        </w:rPr>
        <w:t>政</w:t>
      </w:r>
      <w:r>
        <w:rPr>
          <w:rStyle w:val="style4105"/>
          <w:rFonts w:ascii="仿宋" w:eastAsia="仿宋" w:hAnsi="仿宋" w:hint="eastAsia"/>
          <w:b w:val="false"/>
          <w:bCs w:val="false"/>
        </w:rPr>
        <w:t>府性基金预算财政拨款收入支出决算表</w:t>
      </w:r>
      <w:bookmarkEnd w:id="74"/>
    </w:p>
    <w:bookmarkStart w:id="75" w:name="_Toc15396630"/>
    <w:p>
      <w:pPr>
        <w:pStyle w:val="style2"/>
        <w:rPr>
          <w:rFonts w:ascii="仿宋" w:eastAsia="仿宋" w:hAnsi="仿宋"/>
          <w:color w:val="000000"/>
        </w:rPr>
      </w:pPr>
      <w:r>
        <w:rPr>
          <w:rStyle w:val="style4105"/>
          <w:rFonts w:ascii="仿宋" w:eastAsia="仿宋" w:hAnsi="仿宋" w:hint="eastAsia"/>
          <w:b w:val="false"/>
          <w:bCs w:val="false"/>
        </w:rPr>
        <w:t>十二、</w:t>
      </w:r>
      <w:r>
        <w:rPr>
          <w:rFonts w:ascii="仿宋" w:eastAsia="仿宋" w:hAnsi="仿宋" w:hint="eastAsia"/>
          <w:b w:val="false"/>
          <w:color w:val="000000"/>
        </w:rPr>
        <w:t>政</w:t>
      </w:r>
      <w:r>
        <w:rPr>
          <w:rStyle w:val="style4105"/>
          <w:rFonts w:ascii="仿宋" w:eastAsia="仿宋" w:hAnsi="仿宋" w:hint="eastAsia"/>
          <w:b w:val="false"/>
          <w:bCs w:val="false"/>
        </w:rPr>
        <w:t>府性基金预算财政拨款“三公”经费支出决算表</w:t>
      </w:r>
      <w:bookmarkEnd w:id="75"/>
    </w:p>
    <w:bookmarkStart w:id="76" w:name="_Toc15396631"/>
    <w:p>
      <w:pPr>
        <w:pStyle w:val="style2"/>
        <w:rPr>
          <w:rFonts w:ascii="仿宋" w:eastAsia="仿宋" w:hAnsi="仿宋"/>
          <w:color w:val="000000"/>
        </w:rPr>
      </w:pPr>
      <w:r>
        <w:rPr>
          <w:rStyle w:val="style4105"/>
          <w:rFonts w:ascii="仿宋" w:eastAsia="仿宋" w:hAnsi="仿宋" w:hint="eastAsia"/>
          <w:b w:val="false"/>
          <w:bCs w:val="false"/>
        </w:rPr>
        <w:t>十三、</w:t>
      </w:r>
      <w:r>
        <w:rPr>
          <w:rFonts w:ascii="仿宋" w:eastAsia="仿宋" w:hAnsi="仿宋" w:hint="eastAsia"/>
          <w:b w:val="false"/>
          <w:color w:val="000000"/>
        </w:rPr>
        <w:t>国</w:t>
      </w:r>
      <w:r>
        <w:rPr>
          <w:rStyle w:val="style4105"/>
          <w:rFonts w:ascii="仿宋" w:eastAsia="仿宋" w:hAnsi="仿宋" w:hint="eastAsia"/>
          <w:b w:val="false"/>
          <w:bCs w:val="false"/>
        </w:rPr>
        <w:t>有资本经营预算支出决算表</w:t>
      </w:r>
      <w:bookmarkEnd w:id="76"/>
    </w:p>
    <w:sectPr>
      <w:headerReference w:type="default" r:id="rId9"/>
      <w:footerReference w:type="default" r:id="rId10"/>
      <w:pgSz w:w="11906" w:h="16838" w:orient="portrait"/>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Cambria">
    <w:altName w:val="Cambria"/>
    <w:panose1 w:val="02040503050004030204"/>
    <w:charset w:val="00"/>
    <w:family w:val="roman"/>
    <w:pitch w:val="default"/>
    <w:sig w:usb0="E00002FF" w:usb1="400004FF" w:usb2="00000000" w:usb3="00000000" w:csb0="2000019F" w:csb1="00000000"/>
  </w:font>
  <w:font w:name="仿宋_GB2312">
    <w:altName w:val="仿宋_GB2312"/>
    <w:panose1 w:val="02010609030001010101"/>
    <w:charset w:val="86"/>
    <w:family w:val="modern"/>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_GB2312"/>
    <w:panose1 w:val="02010609030001010101"/>
    <w:charset w:val="86"/>
    <w:family w:val="modern"/>
    <w:pitch w:val="default"/>
    <w:sig w:usb0="00000001" w:usb1="080E0000" w:usb2="00000000" w:usb3="00000000" w:csb0="00040000" w:csb1="00000000"/>
  </w:font>
  <w:font w:name="Arial Unicode MS">
    <w:altName w:val="Arial Unicode MS"/>
    <w:panose1 w:val="020b0604020002020204"/>
    <w:charset w:val="86"/>
    <w:family w:val="auto"/>
    <w:pitch w:val="default"/>
    <w:sig w:usb0="FFFFFFFF" w:usb1="E9FFFFFF" w:usb2="0000003F" w:usb3="00000000" w:csb0="603F01FF" w:csb1="FFFF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lang w:val="zh-CN"/>
      </w:rPr>
      <w:t>2</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026C66B"/>
    <w:lvl w:ilvl="0">
      <w:start w:val="1"/>
      <w:numFmt w:val="decimal"/>
      <w:lvlText w:val="%1."/>
      <w:lvlJc w:val="left"/>
      <w:pPr>
        <w:tabs>
          <w:tab w:val="left" w:leader="none" w:pos="312"/>
        </w:tabs>
      </w:pPr>
    </w:lvl>
  </w:abstractNum>
  <w:abstractNum w:abstractNumId="1">
    <w:nsid w:val="00000001"/>
    <w:multiLevelType w:val="singleLevel"/>
    <w:tmpl w:val="E2FA047D"/>
    <w:lvl w:ilvl="0">
      <w:start w:val="3"/>
      <w:numFmt w:val="chineseCounting"/>
      <w:suff w:val="space"/>
      <w:lvlText w:val="第%1部分"/>
      <w:lvlJc w:val="left"/>
      <w:pPr/>
      <w:rPr>
        <w:rFonts w:hint="eastAsia"/>
      </w:rPr>
    </w:lvl>
  </w:abstractNum>
  <w:abstractNum w:abstractNumId="2">
    <w:nsid w:val="00000002"/>
    <w:multiLevelType w:val="singleLevel"/>
    <w:tmpl w:val="EC0BEF30"/>
    <w:lvl w:ilvl="0">
      <w:start w:val="1"/>
      <w:numFmt w:val="chineseCounting"/>
      <w:suff w:val="nothing"/>
      <w:lvlText w:val="（%1）"/>
      <w:lvlJc w:val="left"/>
      <w:pPr/>
      <w:rPr>
        <w:rFonts w:ascii="楷体_GB2312" w:cs="楷体_GB2312" w:eastAsia="楷体_GB2312" w:hAnsi="楷体_GB2312" w:hint="eastAsia"/>
        <w:b/>
        <w:bCs/>
        <w:sz w:val="32"/>
        <w:szCs w:val="32"/>
      </w:rPr>
    </w:lvl>
  </w:abstractNum>
  <w:abstractNum w:abstractNumId="3">
    <w:nsid w:val="00000003"/>
    <w:multiLevelType w:val="multilevel"/>
    <w:tmpl w:val="1272550B"/>
    <w:lvl w:ilvl="0">
      <w:start w:val="1"/>
      <w:numFmt w:val="japaneseCounting"/>
      <w:lvlText w:val="%1、"/>
      <w:lvlJc w:val="left"/>
      <w:pPr>
        <w:ind w:left="1360" w:hanging="720"/>
      </w:pPr>
      <w:rPr>
        <w:rFonts w:hint="default"/>
        <w:b w:val="false"/>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00000004"/>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00000005"/>
    <w:multiLevelType w:val="singleLevel"/>
    <w:tmpl w:val="420FF8D0"/>
    <w:lvl w:ilvl="0">
      <w:start w:val="2"/>
      <w:numFmt w:val="chineseCounting"/>
      <w:suff w:val="nothing"/>
      <w:lvlText w:val="（%1）"/>
      <w:lvlJc w:val="left"/>
      <w:pPr/>
      <w:rPr>
        <w:rFonts w:hint="eastAsia"/>
      </w:rPr>
    </w:lvl>
  </w:abstractNum>
  <w:abstractNum w:abstractNumId="6">
    <w:nsid w:val="00000006"/>
    <w:multiLevelType w:val="singleLevel"/>
    <w:tmpl w:val="554A1E4A"/>
    <w:lvl w:ilvl="0">
      <w:start w:val="5"/>
      <w:numFmt w:val="decimal"/>
      <w:lvlText w:val="%1."/>
      <w:lvlJc w:val="left"/>
      <w:pPr>
        <w:tabs>
          <w:tab w:val="left" w:leader="none" w:pos="312"/>
        </w:tabs>
      </w:pPr>
    </w:lvl>
  </w:abstractNum>
  <w:abstractNum w:abstractNumId="7">
    <w:nsid w:val="00000007"/>
    <w:multiLevelType w:val="singleLevel"/>
    <w:tmpl w:val="736ECE8E"/>
    <w:lvl w:ilvl="0">
      <w:start w:val="2"/>
      <w:numFmt w:val="chineseCounting"/>
      <w:suff w:val="nothing"/>
      <w:lvlText w:val="（%1）"/>
      <w:lvlJc w:val="left"/>
      <w:pPr/>
      <w:rPr>
        <w:rFonts w:hint="eastAsia"/>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1"/>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link w:val="style4104"/>
    <w:qFormat/>
    <w:uiPriority w:val="9"/>
    <w:pPr>
      <w:keepNext/>
      <w:keepLines/>
      <w:spacing w:before="340" w:after="330" w:lineRule="auto" w:line="578"/>
      <w:outlineLvl w:val="0"/>
    </w:pPr>
    <w:rPr>
      <w:b/>
      <w:bCs/>
      <w:kern w:val="44"/>
      <w:sz w:val="44"/>
      <w:szCs w:val="44"/>
    </w:rPr>
  </w:style>
  <w:style w:type="paragraph" w:styleId="style2">
    <w:name w:val="heading 2"/>
    <w:basedOn w:val="style0"/>
    <w:next w:val="style0"/>
    <w:link w:val="style4105"/>
    <w:qFormat/>
    <w:uiPriority w:val="9"/>
    <w:pPr>
      <w:keepNext/>
      <w:keepLines/>
      <w:spacing w:before="260" w:after="260" w:lineRule="auto" w:line="416"/>
      <w:outlineLvl w:val="1"/>
    </w:pPr>
    <w:rPr>
      <w:rFonts w:ascii="Cambria" w:cs="宋体" w:eastAsia="宋体" w:hAnsi="Cambria"/>
      <w:b/>
      <w:bCs/>
      <w:sz w:val="32"/>
      <w:szCs w:val="32"/>
    </w:rPr>
  </w:style>
  <w:style w:type="paragraph" w:styleId="style3">
    <w:name w:val="heading 3"/>
    <w:basedOn w:val="style0"/>
    <w:next w:val="style0"/>
    <w:link w:val="style4108"/>
    <w:qFormat/>
    <w:uiPriority w:val="9"/>
    <w:pPr>
      <w:keepNext/>
      <w:keepLines/>
      <w:spacing w:before="260" w:after="260" w:lineRule="auto" w:line="416"/>
      <w:outlineLvl w:val="2"/>
    </w:pPr>
    <w:rPr>
      <w:b/>
      <w:bCs/>
      <w:sz w:val="32"/>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66">
    <w:name w:val="Body Text"/>
    <w:basedOn w:val="style0"/>
    <w:next w:val="style66"/>
    <w:link w:val="style4102"/>
    <w:uiPriority w:val="99"/>
    <w:pPr>
      <w:spacing w:beforeLines="30"/>
    </w:pPr>
    <w:rPr>
      <w:rFonts w:ascii="仿宋_GB2312" w:eastAsia="仿宋_GB2312"/>
      <w:kern w:val="0"/>
      <w:sz w:val="30"/>
    </w:rPr>
  </w:style>
  <w:style w:type="paragraph" w:styleId="style21">
    <w:name w:val="toc 3"/>
    <w:basedOn w:val="style0"/>
    <w:next w:val="style0"/>
    <w:qFormat/>
    <w:uiPriority w:val="39"/>
    <w:pPr>
      <w:tabs>
        <w:tab w:val="right" w:leader="dot" w:pos="8296"/>
      </w:tabs>
      <w:ind w:left="840" w:leftChars="400"/>
    </w:pPr>
    <w:rPr/>
  </w:style>
  <w:style w:type="paragraph" w:styleId="style153">
    <w:name w:val="Balloon Text"/>
    <w:basedOn w:val="style0"/>
    <w:next w:val="style153"/>
    <w:link w:val="style4107"/>
    <w:qFormat/>
    <w:uiPriority w:val="99"/>
    <w:pPr/>
    <w:rPr>
      <w:sz w:val="18"/>
      <w:szCs w:val="18"/>
    </w:rPr>
  </w:style>
  <w:style w:type="paragraph" w:styleId="style32">
    <w:name w:val="footer"/>
    <w:basedOn w:val="style0"/>
    <w:next w:val="style32"/>
    <w:link w:val="style4100"/>
    <w:qFormat/>
    <w:uiPriority w:val="99"/>
    <w:pPr>
      <w:tabs>
        <w:tab w:val="center" w:leader="none" w:pos="4153"/>
        <w:tab w:val="right" w:leader="none" w:pos="8306"/>
      </w:tabs>
      <w:snapToGrid w:val="false"/>
      <w:jc w:val="left"/>
    </w:pPr>
    <w:rPr>
      <w:rFonts w:ascii="Calibri" w:hAnsi="Calibri"/>
      <w:kern w:val="0"/>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rFonts w:ascii="Calibri" w:hAnsi="Calibri"/>
      <w:kern w:val="0"/>
      <w:sz w:val="18"/>
      <w:szCs w:val="18"/>
    </w:rPr>
  </w:style>
  <w:style w:type="paragraph" w:styleId="style19">
    <w:name w:val="toc 1"/>
    <w:basedOn w:val="style0"/>
    <w:next w:val="style0"/>
    <w:qFormat/>
    <w:uiPriority w:val="39"/>
    <w:pPr>
      <w:tabs>
        <w:tab w:val="right" w:leader="dot" w:pos="8296"/>
      </w:tabs>
      <w:spacing w:before="93"/>
      <w:jc w:val="center"/>
    </w:pPr>
    <w:rPr>
      <w:rFonts w:ascii="仿宋" w:eastAsia="仿宋" w:hAnsi="仿宋"/>
      <w:sz w:val="28"/>
      <w:szCs w:val="28"/>
    </w:rPr>
  </w:style>
  <w:style w:type="paragraph" w:styleId="style20">
    <w:name w:val="toc 2"/>
    <w:basedOn w:val="style0"/>
    <w:next w:val="style0"/>
    <w:qFormat/>
    <w:uiPriority w:val="39"/>
    <w:pPr>
      <w:tabs>
        <w:tab w:val="right" w:leader="dot" w:pos="8296"/>
      </w:tabs>
      <w:ind w:left="420" w:leftChars="200"/>
    </w:pPr>
    <w:rPr/>
  </w:style>
  <w:style w:type="character" w:styleId="style87">
    <w:name w:val="Strong"/>
    <w:basedOn w:val="style65"/>
    <w:next w:val="style87"/>
    <w:qFormat/>
    <w:uiPriority w:val="99"/>
    <w:rPr>
      <w:b/>
    </w:rPr>
  </w:style>
  <w:style w:type="character" w:styleId="style85">
    <w:name w:val="Hyperlink"/>
    <w:basedOn w:val="style65"/>
    <w:next w:val="style85"/>
    <w:qFormat/>
    <w:uiPriority w:val="99"/>
    <w:rPr>
      <w:color w:val="0000ff"/>
      <w:u w:val="single"/>
    </w:rPr>
  </w:style>
  <w:style w:type="character" w:customStyle="1" w:styleId="style4097">
    <w:name w:val="Header Char_70ffe3f6-9f66-4e85-b206-eb5e7a76a33c"/>
    <w:basedOn w:val="style65"/>
    <w:next w:val="style4097"/>
    <w:qFormat/>
    <w:uiPriority w:val="99"/>
    <w:rPr>
      <w:rFonts w:ascii="Times New Roman" w:hAnsi="Times New Roman"/>
      <w:sz w:val="18"/>
      <w:szCs w:val="18"/>
    </w:rPr>
  </w:style>
  <w:style w:type="character" w:customStyle="1" w:styleId="style4098">
    <w:name w:val="页眉 Char"/>
    <w:next w:val="style4098"/>
    <w:link w:val="style31"/>
    <w:qFormat/>
    <w:uiPriority w:val="99"/>
    <w:rPr>
      <w:sz w:val="18"/>
    </w:rPr>
  </w:style>
  <w:style w:type="character" w:customStyle="1" w:styleId="style4099">
    <w:name w:val="Footer Char_de0f9579-a566-4f13-a525-833b795d9fc1"/>
    <w:basedOn w:val="style65"/>
    <w:next w:val="style4099"/>
    <w:qFormat/>
    <w:uiPriority w:val="99"/>
    <w:rPr>
      <w:rFonts w:ascii="Times New Roman" w:hAnsi="Times New Roman"/>
      <w:sz w:val="18"/>
      <w:szCs w:val="18"/>
    </w:rPr>
  </w:style>
  <w:style w:type="character" w:customStyle="1" w:styleId="style4100">
    <w:name w:val="页脚 Char"/>
    <w:next w:val="style4100"/>
    <w:link w:val="style32"/>
    <w:qFormat/>
    <w:uiPriority w:val="99"/>
    <w:rPr>
      <w:sz w:val="18"/>
    </w:rPr>
  </w:style>
  <w:style w:type="character" w:customStyle="1" w:styleId="style4101">
    <w:name w:val="Body Text Char"/>
    <w:basedOn w:val="style65"/>
    <w:next w:val="style4101"/>
    <w:uiPriority w:val="99"/>
    <w:rPr>
      <w:rFonts w:ascii="Times New Roman" w:hAnsi="Times New Roman"/>
      <w:szCs w:val="24"/>
    </w:rPr>
  </w:style>
  <w:style w:type="character" w:customStyle="1" w:styleId="style4102">
    <w:name w:val="正文文本 Char"/>
    <w:next w:val="style4102"/>
    <w:link w:val="style66"/>
    <w:qFormat/>
    <w:uiPriority w:val="99"/>
    <w:rPr>
      <w:rFonts w:ascii="仿宋_GB2312" w:eastAsia="仿宋_GB2312" w:hAnsi="Times New Roman"/>
      <w:sz w:val="24"/>
    </w:rPr>
  </w:style>
  <w:style w:type="paragraph" w:customStyle="1" w:styleId="style4103">
    <w:name w:val="Default"/>
    <w:next w:val="style4103"/>
    <w:uiPriority w:val="99"/>
    <w:pPr>
      <w:widowControl w:val="false"/>
      <w:autoSpaceDE w:val="false"/>
      <w:autoSpaceDN w:val="false"/>
      <w:adjustRightInd w:val="false"/>
    </w:pPr>
    <w:rPr>
      <w:rFonts w:ascii="仿宋" w:cs="仿宋" w:eastAsia="仿宋" w:hAnsi="Calibri"/>
      <w:color w:val="000000"/>
      <w:sz w:val="24"/>
      <w:szCs w:val="24"/>
      <w:lang w:val="en-US" w:bidi="ar-SA" w:eastAsia="zh-CN"/>
    </w:rPr>
  </w:style>
  <w:style w:type="paragraph" w:styleId="style179">
    <w:name w:val="List Paragraph"/>
    <w:basedOn w:val="style0"/>
    <w:next w:val="style179"/>
    <w:qFormat/>
    <w:uiPriority w:val="34"/>
    <w:pPr>
      <w:ind w:firstLine="420" w:firstLineChars="200"/>
    </w:pPr>
    <w:rPr/>
  </w:style>
  <w:style w:type="character" w:customStyle="1" w:styleId="style4104">
    <w:name w:val="标题 1 Char"/>
    <w:basedOn w:val="style65"/>
    <w:next w:val="style4104"/>
    <w:link w:val="style1"/>
    <w:uiPriority w:val="9"/>
    <w:rPr>
      <w:rFonts w:ascii="Times New Roman" w:hAnsi="Times New Roman"/>
      <w:b/>
      <w:bCs/>
      <w:kern w:val="44"/>
      <w:sz w:val="44"/>
      <w:szCs w:val="44"/>
    </w:rPr>
  </w:style>
  <w:style w:type="character" w:customStyle="1" w:styleId="style4105">
    <w:name w:val="标题 2 Char"/>
    <w:basedOn w:val="style65"/>
    <w:next w:val="style4105"/>
    <w:link w:val="style2"/>
    <w:qFormat/>
    <w:uiPriority w:val="9"/>
    <w:rPr>
      <w:rFonts w:ascii="Cambria" w:cs="宋体" w:eastAsia="宋体" w:hAnsi="Cambria"/>
      <w:b/>
      <w:bCs/>
      <w:kern w:val="2"/>
      <w:sz w:val="32"/>
      <w:szCs w:val="32"/>
    </w:rPr>
  </w:style>
  <w:style w:type="paragraph" w:customStyle="1" w:styleId="style4106">
    <w:name w:val="TOC Heading_4c0b0fba-aec6-436c-861c-36512de3d576"/>
    <w:basedOn w:val="style1"/>
    <w:next w:val="style0"/>
    <w:qFormat/>
    <w:uiPriority w:val="39"/>
    <w:pPr>
      <w:widowControl/>
      <w:spacing w:before="480" w:after="0" w:lineRule="auto" w:line="276"/>
      <w:jc w:val="left"/>
      <w:outlineLvl w:val="9"/>
    </w:pPr>
    <w:rPr>
      <w:rFonts w:ascii="Cambria" w:cs="宋体" w:eastAsia="宋体" w:hAnsi="Cambria"/>
      <w:color w:val="376092"/>
      <w:kern w:val="0"/>
      <w:sz w:val="28"/>
      <w:szCs w:val="28"/>
    </w:rPr>
  </w:style>
  <w:style w:type="character" w:customStyle="1" w:styleId="style4107">
    <w:name w:val="批注框文本 Char"/>
    <w:basedOn w:val="style65"/>
    <w:next w:val="style4107"/>
    <w:link w:val="style153"/>
    <w:qFormat/>
    <w:uiPriority w:val="99"/>
    <w:rPr>
      <w:rFonts w:ascii="Times New Roman" w:hAnsi="Times New Roman"/>
      <w:kern w:val="2"/>
      <w:sz w:val="18"/>
      <w:szCs w:val="18"/>
    </w:rPr>
  </w:style>
  <w:style w:type="character" w:customStyle="1" w:styleId="style4108">
    <w:name w:val="标题 3 Char"/>
    <w:basedOn w:val="style65"/>
    <w:next w:val="style4108"/>
    <w:link w:val="style3"/>
    <w:uiPriority w:val="9"/>
    <w:rPr>
      <w:rFonts w:ascii="Times New Roman" w:hAnsi="Times New Roman"/>
      <w:b/>
      <w:bCs/>
      <w:kern w:val="2"/>
      <w:sz w:val="32"/>
      <w:szCs w:val="32"/>
    </w:rPr>
  </w:style>
  <w:style w:type="paragraph" w:customStyle="1" w:styleId="style4109">
    <w:name w:val="&quot;无间隔1&quot;"/>
    <w:basedOn w:val="style0"/>
    <w:next w:val="style4094"/>
    <w:pPr>
      <w:widowControl w:val="false"/>
      <w:spacing w:after="0"/>
      <w:jc w:val="both"/>
    </w:pPr>
    <w:rPr>
      <w:rFonts w:ascii="Calibri" w:hAnsi="Calibri"/>
      <w:kern w:val="2"/>
      <w:sz w:val="21"/>
      <w:szCs w:val="24"/>
      <w:lang w:val="en-US" w:bidi="ar-SA" w:eastAsia="zh-CN"/>
    </w:rPr>
  </w:style>
  <w:style w:type="paragraph" w:styleId="style94">
    <w:name w:val="Normal (Web)"/>
    <w:basedOn w:val="style0"/>
    <w:next w:val="style4094"/>
    <w:pPr>
      <w:widowControl/>
      <w:spacing w:before="100" w:beforeAutospacing="true" w:after="100" w:afterAutospacing="true"/>
      <w:ind w:left="0" w:right="0"/>
      <w:jc w:val="left"/>
    </w:pPr>
    <w:rPr>
      <w:rFonts w:ascii="宋体" w:cs="宋体" w:hAnsi="宋体"/>
      <w:kern w:val="0"/>
      <w:sz w:val="24"/>
      <w:szCs w:val="24"/>
      <w:lang w:val="en-US" w:bidi="ar-SA" w:eastAsia="zh-CN"/>
    </w:rPr>
  </w:style>
  <w:style w:type="paragraph" w:customStyle="1" w:styleId="style4110">
    <w:name w:val="&quot;无间隔1&quot;"/>
    <w:basedOn w:val="style0"/>
    <w:next w:val="style4094"/>
    <w:pPr>
      <w:widowControl w:val="false"/>
      <w:spacing w:after="0"/>
      <w:jc w:val="both"/>
    </w:pPr>
    <w:rPr>
      <w:rFonts w:ascii="Calibri" w:hAnsi="Calibri"/>
      <w:kern w:val="2"/>
      <w:sz w:val="21"/>
      <w:szCs w:val="24"/>
      <w:lang w:val="en-US" w:bidi="ar-SA" w:eastAsia="zh-CN"/>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footer" Target="footer2.xml"/><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9" Type="http://schemas.openxmlformats.org/officeDocument/2006/relationships/header" Target="header1.xml"/><Relationship Id="rId15" Type="http://schemas.openxmlformats.org/officeDocument/2006/relationships/customXml" Target="../customXml/item1.xml"/><Relationship Id="rId14" Type="http://schemas.openxmlformats.org/officeDocument/2006/relationships/theme" Target="theme/theme1.xml"/><Relationship Id="rId16" Type="http://schemas.openxmlformats.org/officeDocument/2006/relationships/customXml" Target="../customXml/item2.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___4.xlsx"/><Relationship Id="rId2" Type="http://schemas.microsoft.com/office/2011/relationships/chartStyle" Target="style4.xml"/><Relationship Id="rId3" Type="http://schemas.microsoft.com/office/2011/relationships/chartColorStyle" Target="colors4.xml"/></Relationships>
</file>

<file path=word/charts/_rels/chart2.xml.rels><?xml version="1.0" encoding="UTF-8"?>
<Relationships xmlns="http://schemas.openxmlformats.org/package/2006/relationships"><Relationship Id="rId1" Type="http://schemas.openxmlformats.org/officeDocument/2006/relationships/package" Target="../embeddings/Microsoft_Excel____6.xlsx"/><Relationship Id="rId2" Type="http://schemas.microsoft.com/office/2011/relationships/chartStyle" Target="style6.xml"/><Relationship Id="rId3" Type="http://schemas.microsoft.com/office/2011/relationships/chartColorStyle" Target="colors6.xml"/></Relationships>
</file>

<file path=word/charts/_rels/chart3.xml.rels><?xml version="1.0" encoding="UTF-8"?>
<Relationships xmlns="http://schemas.openxmlformats.org/package/2006/relationships"><Relationship Id="rId1" Type="http://schemas.openxmlformats.org/officeDocument/2006/relationships/package" Target="../embeddings/Microsoft_Excel____1.xlsx"/><Relationship Id="rId2" Type="http://schemas.microsoft.com/office/2011/relationships/chartStyle" Target="style1.xml"/><Relationship Id="rId3" Type="http://schemas.microsoft.com/office/2011/relationships/chartColorStyle" Target="colors1.xml"/></Relationships>
</file>

<file path=word/charts/_rels/chart4.xml.rels><?xml version="1.0" encoding="UTF-8"?>
<Relationships xmlns="http://schemas.openxmlformats.org/package/2006/relationships"><Relationship Id="rId1" Type="http://schemas.openxmlformats.org/officeDocument/2006/relationships/package" Target="../embeddings/Microsoft_Excel____7.xlsx"/><Relationship Id="rId2" Type="http://schemas.microsoft.com/office/2011/relationships/chartStyle" Target="style7.xml"/><Relationship Id="rId3" Type="http://schemas.microsoft.com/office/2011/relationships/chartColorStyle" Target="colors7.xml"/></Relationships>
</file>

<file path=word/charts/_rels/chart5.xml.rels><?xml version="1.0" encoding="UTF-8"?>
<Relationships xmlns="http://schemas.openxmlformats.org/package/2006/relationships"><Relationship Id="rId1" Type="http://schemas.openxmlformats.org/officeDocument/2006/relationships/package" Target="../embeddings/Microsoft_Excel____2.xlsx"/><Relationship Id="rId2" Type="http://schemas.microsoft.com/office/2011/relationships/chartStyle" Target="style2.xml"/><Relationship Id="rId3" Type="http://schemas.microsoft.com/office/2011/relationships/chartColorStyle" Target="colors2.xml"/></Relationships>
</file>

<file path=word/charts/_rels/chart6.xml.rels><?xml version="1.0" encoding="UTF-8"?>
<Relationships xmlns="http://schemas.openxmlformats.org/package/2006/relationships"><Relationship Id="rId1" Type="http://schemas.openxmlformats.org/officeDocument/2006/relationships/package" Target="../embeddings/Microsoft_Excel____3.xlsx"/><Relationship Id="rId2" Type="http://schemas.microsoft.com/office/2011/relationships/chartStyle" Target="style3.xml"/><Relationship Id="rId3" Type="http://schemas.microsoft.com/office/2011/relationships/chartColorStyle" Target="colors3.xml"/></Relationships>
</file>

<file path=word/charts/_rels/chart7.xml.rels><?xml version="1.0" encoding="UTF-8"?>
<Relationships xmlns="http://schemas.openxmlformats.org/package/2006/relationships"><Relationship Id="rId1" Type="http://schemas.openxmlformats.org/officeDocument/2006/relationships/package" Target="../embeddings/Microsoft_Excel____5.xlsx"/><Relationship Id="rId2" Type="http://schemas.microsoft.com/office/2011/relationships/chartStyle" Target="style5.xml"/><Relationship Id="rId3" Type="http://schemas.microsoft.com/office/2011/relationships/chartColorStyle" Target="colors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Sheet1!$A$2:$A$5</c:f>
              <c:strCache>
                <c:ptCount val="2"/>
                <c:pt idx="0">
                  <c:v>收入</c:v>
                </c:pt>
                <c:pt idx="1">
                  <c:v>支出</c:v>
                </c:pt>
              </c:strCache>
            </c:strRef>
          </c:cat>
          <c:val>
            <c:numRef>
              <c:f>Sheet1!$B$2:$B$5</c:f>
              <c:numCache>
                <c:formatCode>General</c:formatCode>
                <c:ptCount val="4"/>
                <c:pt idx="0">
                  <c:v>680.86</c:v>
                </c:pt>
                <c:pt idx="1">
                  <c:v>680.86</c:v>
                </c:pt>
              </c:numCache>
            </c:numRef>
          </c:val>
        </c:ser>
        <c:ser>
          <c:idx val="1"/>
          <c:order val="1"/>
          <c:tx>
            <c:strRef>
              <c:f>Sheet1!$C$1</c:f>
              <c:strCache>
                <c:ptCount val="1"/>
                <c:pt idx="0">
                  <c:v>2017年</c:v>
                </c:pt>
              </c:strCache>
            </c:strRef>
          </c:tx>
          <c:spPr>
            <a:solidFill>
              <a:schemeClr val="accent2"/>
            </a:solidFill>
            <a:ln>
              <a:noFill/>
            </a:ln>
            <a:effectLst/>
          </c:spPr>
          <c:invertIfNegative val="0"/>
          <c:dLbls>
            <c:delete val="1"/>
          </c:dLbls>
          <c:cat>
            <c:strRef>
              <c:f>Sheet1!$A$2:$A$5</c:f>
              <c:strCache>
                <c:ptCount val="2"/>
                <c:pt idx="0">
                  <c:v>收入</c:v>
                </c:pt>
                <c:pt idx="1">
                  <c:v>支出</c:v>
                </c:pt>
              </c:strCache>
            </c:strRef>
          </c:cat>
          <c:val>
            <c:numRef>
              <c:f>Sheet1!$C$2:$C$5</c:f>
              <c:numCache>
                <c:formatCode>General</c:formatCode>
                <c:ptCount val="4"/>
                <c:pt idx="0">
                  <c:v>361.15</c:v>
                </c:pt>
                <c:pt idx="1">
                  <c:v>361.15</c:v>
                </c:pt>
              </c:numCache>
            </c:numRef>
          </c:val>
        </c:ser>
        <c:dLbls>
          <c:showLegendKey val="0"/>
          <c:showVal val="0"/>
          <c:showCatName val="0"/>
          <c:showSerName val="0"/>
          <c:showPercent val="0"/>
          <c:showBubbleSize val="0"/>
        </c:dLbls>
        <c:gapWidth val="219"/>
        <c:overlap val="-27"/>
        <c:axId val="976822191"/>
        <c:axId val="80486070"/>
      </c:barChart>
      <c:catAx>
        <c:axId val="9768221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86070"/>
        <c:crosses val="autoZero"/>
        <c:auto val="1"/>
        <c:lblAlgn val="ctr"/>
        <c:lblOffset val="100"/>
        <c:noMultiLvlLbl val="0"/>
      </c:catAx>
      <c:valAx>
        <c:axId val="804860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68221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一般公共预算财政拨款收入</c:v>
                </c:pt>
                <c:pt idx="1">
                  <c:v>其他收入</c:v>
                </c:pt>
              </c:strCache>
            </c:strRef>
          </c:cat>
          <c:val>
            <c:numRef>
              <c:f>Sheet1!$B$2:$B$5</c:f>
              <c:numCache>
                <c:formatCode>General</c:formatCode>
                <c:ptCount val="4"/>
                <c:pt idx="0">
                  <c:v>560.85</c:v>
                </c:pt>
                <c:pt idx="1">
                  <c:v>0.17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基本支出</c:v>
                </c:pt>
                <c:pt idx="1">
                  <c:v>项目支出</c:v>
                </c:pt>
              </c:strCache>
            </c:strRef>
          </c:cat>
          <c:val>
            <c:numRef>
              <c:f>Sheet1!$B$2:$B$5</c:f>
              <c:numCache>
                <c:formatCode>General</c:formatCode>
                <c:ptCount val="4"/>
                <c:pt idx="0">
                  <c:v>239.6</c:v>
                </c:pt>
                <c:pt idx="1">
                  <c:v>119.48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layout>
        <c:manualLayout>
          <c:xMode val="edge"/>
          <c:yMode val="edge"/>
          <c:x val="0.220062772517753"/>
          <c:y val="0.043002345582486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elete val="1"/>
          </c:dLbls>
          <c:cat>
            <c:strRef>
              <c:f>Sheet1!$A$2:$A$5</c:f>
              <c:strCache>
                <c:ptCount val="1"/>
                <c:pt idx="0">
                  <c:v>类别 1</c:v>
                </c:pt>
              </c:strCache>
            </c:strRef>
          </c:cat>
          <c:val>
            <c:numRef>
              <c:f>Sheet1!$B$2:$B$5</c:f>
              <c:numCache>
                <c:formatCode>General</c:formatCode>
                <c:ptCount val="4"/>
                <c:pt idx="0">
                  <c:v>335.25</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Sheet1!$A$2:$A$5</c:f>
              <c:strCache>
                <c:ptCount val="1"/>
                <c:pt idx="0">
                  <c:v>类别 1</c:v>
                </c:pt>
              </c:strCache>
            </c:strRef>
          </c:cat>
          <c:val>
            <c:numRef>
              <c:f>Sheet1!$C$2:$C$5</c:f>
              <c:numCache>
                <c:formatCode>General</c:formatCode>
                <c:ptCount val="4"/>
                <c:pt idx="0">
                  <c:v>560.85</c:v>
                </c:pt>
              </c:numCache>
            </c:numRef>
          </c:val>
        </c:ser>
        <c:ser>
          <c:idx val="2"/>
          <c:order val="2"/>
          <c:tx>
            <c:strRef>
              <c:f>Sheet1!$D$1</c:f>
              <c:strCache>
                <c:ptCount val="1"/>
              </c:strCache>
            </c:strRef>
          </c:tx>
          <c:spPr>
            <a:solidFill>
              <a:schemeClr val="accent3"/>
            </a:solidFill>
            <a:ln>
              <a:noFill/>
            </a:ln>
            <a:effectLst/>
          </c:spPr>
          <c:invertIfNegative val="0"/>
          <c:dLbls>
            <c:delete val="1"/>
          </c:dLbls>
          <c:cat>
            <c:strRef>
              <c:f>Sheet1!$A$2:$A$5</c:f>
              <c:strCache>
                <c:ptCount val="1"/>
                <c:pt idx="0">
                  <c:v>类别 1</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9798411"/>
        <c:axId val="258281568"/>
      </c:barChart>
      <c:catAx>
        <c:axId val="897984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281568"/>
        <c:crosses val="autoZero"/>
        <c:auto val="1"/>
        <c:lblAlgn val="ctr"/>
        <c:lblOffset val="100"/>
        <c:noMultiLvlLbl val="0"/>
      </c:catAx>
      <c:valAx>
        <c:axId val="25828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7984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一般公共预算支出决算变动情况图</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2017年</c:v>
                </c:pt>
              </c:strCache>
            </c:strRef>
          </c:tx>
          <c:spPr>
            <a:solidFill>
              <a:schemeClr val="accent1"/>
            </a:solidFill>
            <a:ln>
              <a:noFill/>
            </a:ln>
            <a:effectLst/>
          </c:spPr>
          <c:invertIfNegative val="0"/>
          <c:dLbls>
            <c:delete val="1"/>
          </c:dLbls>
          <c:cat>
            <c:strRef>
              <c:f>Sheet1!$A$2:$A$5</c:f>
              <c:strCache>
                <c:ptCount val="1"/>
                <c:pt idx="0">
                  <c:v>类别 1</c:v>
                </c:pt>
              </c:strCache>
            </c:strRef>
          </c:cat>
          <c:val>
            <c:numRef>
              <c:f>Sheet1!$B$2:$B$5</c:f>
              <c:numCache>
                <c:formatCode>General</c:formatCode>
                <c:ptCount val="4"/>
                <c:pt idx="0">
                  <c:v>291.05</c:v>
                </c:pt>
              </c:numCache>
            </c:numRef>
          </c:val>
        </c:ser>
        <c:ser>
          <c:idx val="1"/>
          <c:order val="1"/>
          <c:tx>
            <c:strRef>
              <c:f>Sheet1!$C$1</c:f>
              <c:strCache>
                <c:ptCount val="1"/>
                <c:pt idx="0">
                  <c:v>2018年</c:v>
                </c:pt>
              </c:strCache>
            </c:strRef>
          </c:tx>
          <c:spPr>
            <a:solidFill>
              <a:schemeClr val="accent2"/>
            </a:solidFill>
            <a:ln>
              <a:noFill/>
            </a:ln>
            <a:effectLst/>
          </c:spPr>
          <c:invertIfNegative val="0"/>
          <c:dLbls>
            <c:delete val="1"/>
          </c:dLbls>
          <c:cat>
            <c:strRef>
              <c:f>Sheet1!$A$2:$A$5</c:f>
              <c:strCache>
                <c:ptCount val="1"/>
                <c:pt idx="0">
                  <c:v>类别 1</c:v>
                </c:pt>
              </c:strCache>
            </c:strRef>
          </c:cat>
          <c:val>
            <c:numRef>
              <c:f>Sheet1!$C$2:$C$5</c:f>
              <c:numCache>
                <c:formatCode>General</c:formatCode>
                <c:ptCount val="4"/>
                <c:pt idx="0">
                  <c:v>359.09</c:v>
                </c:pt>
              </c:numCache>
            </c:numRef>
          </c:val>
        </c:ser>
        <c:ser>
          <c:idx val="2"/>
          <c:order val="2"/>
          <c:tx>
            <c:strRef>
              <c:f>Sheet1!$D$1</c:f>
              <c:strCache>
                <c:ptCount val="1"/>
              </c:strCache>
            </c:strRef>
          </c:tx>
          <c:spPr>
            <a:solidFill>
              <a:schemeClr val="accent3"/>
            </a:solidFill>
            <a:ln>
              <a:noFill/>
            </a:ln>
            <a:effectLst/>
          </c:spPr>
          <c:invertIfNegative val="0"/>
          <c:dLbls>
            <c:delete val="1"/>
          </c:dLbls>
          <c:cat>
            <c:strRef>
              <c:f>Sheet1!$A$2:$A$5</c:f>
              <c:strCache>
                <c:ptCount val="1"/>
                <c:pt idx="0">
                  <c:v>类别 1</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92913287"/>
        <c:axId val="15372123"/>
      </c:barChart>
      <c:catAx>
        <c:axId val="3929132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372123"/>
        <c:crosses val="autoZero"/>
        <c:auto val="1"/>
        <c:lblAlgn val="ctr"/>
        <c:lblOffset val="100"/>
        <c:noMultiLvlLbl val="0"/>
      </c:catAx>
      <c:valAx>
        <c:axId val="153721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9132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c:v>
                </c:pt>
                <c:pt idx="1">
                  <c:v>社会保障和就业</c:v>
                </c:pt>
                <c:pt idx="2">
                  <c:v>医疗卫生与计划生育</c:v>
                </c:pt>
                <c:pt idx="3">
                  <c:v>住房保障</c:v>
                </c:pt>
                <c:pt idx="4">
                  <c:v>粮油物资储备</c:v>
                </c:pt>
              </c:strCache>
            </c:strRef>
          </c:cat>
          <c:val>
            <c:numRef>
              <c:f>Sheet1!$B$2:$B$6</c:f>
              <c:numCache>
                <c:formatCode>General</c:formatCode>
                <c:ptCount val="5"/>
                <c:pt idx="0">
                  <c:v>3.95</c:v>
                </c:pt>
                <c:pt idx="1">
                  <c:v>32.9</c:v>
                </c:pt>
                <c:pt idx="2">
                  <c:v>7.73</c:v>
                </c:pt>
                <c:pt idx="3">
                  <c:v>16.74</c:v>
                </c:pt>
                <c:pt idx="4">
                  <c:v>297.77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公务接待费</c:v>
                </c:pt>
                <c:pt idx="1">
                  <c:v>因公出国（境）费</c:v>
                </c:pt>
                <c:pt idx="2">
                  <c:v>公务用车购置及运行维护费</c:v>
                </c:pt>
              </c:strCache>
            </c:strRef>
          </c:cat>
          <c:val>
            <c:numRef>
              <c:f>Sheet1!$B$2:$B$5</c:f>
              <c:numCache>
                <c:formatCode>General</c:formatCode>
                <c:ptCount val="4"/>
                <c:pt idx="0">
                  <c:v>0.06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TotalTime>11</TotalTime>
  <Words>9139</Words>
  <Pages>22</Pages>
  <Characters>9839</Characters>
  <Application>WPS Office</Application>
  <DocSecurity>0</DocSecurity>
  <Paragraphs>537</Paragraphs>
  <ScaleCrop>false</ScaleCrop>
  <Company>四川省财政厅</Company>
  <LinksUpToDate>false</LinksUpToDate>
  <CharactersWithSpaces>9925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2019-08-01T01:14:00Z</dcterms:created>
  <dc:creator>张彬茜</dc:creator>
  <lastModifiedBy>SM-G9730</lastModifiedBy>
  <lastPrinted>2019-08-01T00:48:00Z</lastPrinted>
  <dcterms:modified xsi:type="dcterms:W3CDTF">2019-11-01T07:17:37Z</dcterms:modified>
  <revision>25</revision>
  <dc:title>四川省***</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