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ind w:firstLine="440" w:firstLineChars="100"/>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阿坝州壤塘县2025年度</w:t>
      </w:r>
      <w:r>
        <w:rPr>
          <w:rFonts w:hint="eastAsia" w:ascii="Times New Roman" w:eastAsia="方正小标宋简体" w:cs="Times New Roman"/>
          <w:color w:val="auto"/>
          <w:kern w:val="2"/>
          <w:sz w:val="44"/>
          <w:szCs w:val="44"/>
          <w:highlight w:val="none"/>
          <w:lang w:val="en-US" w:eastAsia="zh-CN" w:bidi="ar-SA"/>
        </w:rPr>
        <w:t>信访局</w:t>
      </w: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部门决算公开</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pPr>
        <w:widowControl/>
        <w:jc w:val="center"/>
        <w:rPr>
          <w:rFonts w:hint="eastAsia" w:ascii="Times New Roman" w:hAnsi="Times New Roman" w:eastAsia="黑体"/>
          <w:color w:val="auto"/>
          <w:sz w:val="48"/>
          <w:szCs w:val="48"/>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19</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widowControl w:val="0"/>
        <w:tabs>
          <w:tab w:val="right" w:leader="dot" w:pos="2940"/>
        </w:tabs>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第一部分 部门概况</w:t>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1</w:t>
      </w:r>
    </w:p>
    <w:p>
      <w:pPr>
        <w:pStyle w:val="15"/>
        <w:keepNext w:val="0"/>
        <w:keepLines w:val="0"/>
        <w:pageBreakBefore w:val="0"/>
        <w:widowControl w:val="0"/>
        <w:tabs>
          <w:tab w:val="right" w:leader="dot" w:pos="294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1</w:t>
      </w:r>
    </w:p>
    <w:p>
      <w:pPr>
        <w:pStyle w:val="15"/>
        <w:keepNext w:val="0"/>
        <w:keepLines w:val="0"/>
        <w:pageBreakBefore w:val="0"/>
        <w:widowControl w:val="0"/>
        <w:tabs>
          <w:tab w:val="right" w:leader="dot" w:pos="294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1</w:t>
      </w:r>
    </w:p>
    <w:p>
      <w:pPr>
        <w:pStyle w:val="13"/>
        <w:keepNext w:val="0"/>
        <w:keepLines w:val="0"/>
        <w:pageBreakBefore w:val="0"/>
        <w:widowControl w:val="0"/>
        <w:tabs>
          <w:tab w:val="right" w:leader="dot" w:pos="2940"/>
        </w:tabs>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2</w:t>
      </w:r>
    </w:p>
    <w:p>
      <w:pPr>
        <w:pStyle w:val="15"/>
        <w:keepNext w:val="0"/>
        <w:keepLines w:val="0"/>
        <w:pageBreakBefore w:val="0"/>
        <w:widowControl w:val="0"/>
        <w:tabs>
          <w:tab w:val="right" w:leader="dot" w:pos="294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2</w:t>
      </w:r>
    </w:p>
    <w:p>
      <w:pPr>
        <w:pStyle w:val="15"/>
        <w:keepNext w:val="0"/>
        <w:keepLines w:val="0"/>
        <w:pageBreakBefore w:val="0"/>
        <w:widowControl w:val="0"/>
        <w:tabs>
          <w:tab w:val="right" w:leader="dot" w:pos="294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2</w:t>
      </w:r>
    </w:p>
    <w:p>
      <w:pPr>
        <w:pStyle w:val="15"/>
        <w:keepNext w:val="0"/>
        <w:keepLines w:val="0"/>
        <w:pageBreakBefore w:val="0"/>
        <w:widowControl w:val="0"/>
        <w:tabs>
          <w:tab w:val="right" w:leader="dot" w:pos="294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3</w:t>
      </w:r>
    </w:p>
    <w:p>
      <w:pPr>
        <w:pStyle w:val="15"/>
        <w:keepNext w:val="0"/>
        <w:keepLines w:val="0"/>
        <w:pageBreakBefore w:val="0"/>
        <w:widowControl w:val="0"/>
        <w:tabs>
          <w:tab w:val="right" w:leader="dot" w:pos="294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3</w:t>
      </w:r>
    </w:p>
    <w:p>
      <w:pPr>
        <w:pStyle w:val="15"/>
        <w:keepNext w:val="0"/>
        <w:keepLines w:val="0"/>
        <w:pageBreakBefore w:val="0"/>
        <w:widowControl w:val="0"/>
        <w:tabs>
          <w:tab w:val="right" w:leader="dot" w:pos="294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4</w:t>
      </w:r>
    </w:p>
    <w:p>
      <w:pPr>
        <w:pStyle w:val="15"/>
        <w:keepNext w:val="0"/>
        <w:keepLines w:val="0"/>
        <w:pageBreakBefore w:val="0"/>
        <w:widowControl w:val="0"/>
        <w:tabs>
          <w:tab w:val="right" w:leader="dot" w:pos="294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6</w:t>
      </w:r>
    </w:p>
    <w:p>
      <w:pPr>
        <w:pStyle w:val="15"/>
        <w:keepNext w:val="0"/>
        <w:keepLines w:val="0"/>
        <w:pageBreakBefore w:val="0"/>
        <w:widowControl w:val="0"/>
        <w:tabs>
          <w:tab w:val="right" w:leader="dot" w:pos="294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7</w:t>
      </w:r>
    </w:p>
    <w:p>
      <w:pPr>
        <w:pStyle w:val="15"/>
        <w:keepNext w:val="0"/>
        <w:keepLines w:val="0"/>
        <w:pageBreakBefore w:val="0"/>
        <w:widowControl w:val="0"/>
        <w:tabs>
          <w:tab w:val="right" w:leader="dot" w:pos="294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9</w:t>
      </w:r>
    </w:p>
    <w:p>
      <w:pPr>
        <w:pStyle w:val="15"/>
        <w:keepNext w:val="0"/>
        <w:keepLines w:val="0"/>
        <w:pageBreakBefore w:val="0"/>
        <w:widowControl w:val="0"/>
        <w:tabs>
          <w:tab w:val="right" w:leader="dot" w:pos="294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9</w:t>
      </w:r>
    </w:p>
    <w:p>
      <w:pPr>
        <w:pStyle w:val="15"/>
        <w:keepNext w:val="0"/>
        <w:keepLines w:val="0"/>
        <w:pageBreakBefore w:val="0"/>
        <w:widowControl w:val="0"/>
        <w:tabs>
          <w:tab w:val="right" w:leader="dot" w:pos="294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9</w:t>
      </w:r>
    </w:p>
    <w:p>
      <w:pPr>
        <w:pStyle w:val="13"/>
        <w:keepNext w:val="0"/>
        <w:keepLines w:val="0"/>
        <w:pageBreakBefore w:val="0"/>
        <w:widowControl w:val="0"/>
        <w:tabs>
          <w:tab w:val="right" w:leader="dot" w:pos="2940"/>
        </w:tabs>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Microsoft Himalaya"/>
          <w:color w:val="auto"/>
          <w:sz w:val="32"/>
          <w:szCs w:val="32"/>
          <w:highlight w:val="none"/>
          <w:cs w:val="0"/>
          <w:lang w:val="en-US" w:eastAsia="zh-CN" w:bidi="bo-CN"/>
        </w:rPr>
      </w:pPr>
      <w:r>
        <w:rPr>
          <w:rFonts w:hint="eastAsia" w:ascii="Times New Roman" w:hAnsi="Times New Roman" w:eastAsia="黑体" w:cs="黑体"/>
          <w:color w:val="auto"/>
          <w:sz w:val="32"/>
          <w:szCs w:val="32"/>
          <w:highlight w:val="none"/>
        </w:rPr>
        <w:t>第三部分 名词解释</w:t>
      </w:r>
      <w:r>
        <w:rPr>
          <w:rFonts w:hint="cs" w:ascii="Times New Roman" w:hAnsi="Times New Roman" w:eastAsia="黑体" w:cs="Microsoft Himalaya"/>
          <w:color w:val="auto"/>
          <w:sz w:val="32"/>
          <w:szCs w:val="32"/>
          <w:highlight w:val="none"/>
          <w:cs/>
          <w:lang w:val="en-US" w:bidi="bo-CN"/>
        </w:rPr>
        <w:tab/>
      </w:r>
      <w:r>
        <w:rPr>
          <w:rFonts w:hint="cs" w:ascii="Times New Roman" w:hAnsi="Times New Roman" w:eastAsia="黑体" w:cs="Microsoft Himalaya"/>
          <w:color w:val="auto"/>
          <w:sz w:val="32"/>
          <w:szCs w:val="32"/>
          <w:highlight w:val="none"/>
          <w:cs/>
          <w:lang w:val="en-US" w:bidi="bo-CN"/>
        </w:rPr>
        <w:tab/>
      </w:r>
      <w:r>
        <w:rPr>
          <w:rFonts w:hint="eastAsia" w:ascii="Times New Roman" w:hAnsi="Times New Roman" w:eastAsia="黑体" w:cs="Microsoft Himalaya"/>
          <w:color w:val="auto"/>
          <w:sz w:val="32"/>
          <w:szCs w:val="32"/>
          <w:highlight w:val="none"/>
          <w:cs w:val="0"/>
          <w:lang w:val="en-US" w:eastAsia="zh-CN" w:bidi="bo-CN"/>
        </w:rPr>
        <w:t>10</w:t>
      </w:r>
    </w:p>
    <w:p>
      <w:pPr>
        <w:pStyle w:val="13"/>
        <w:keepNext w:val="0"/>
        <w:keepLines w:val="0"/>
        <w:pageBreakBefore w:val="0"/>
        <w:widowControl w:val="0"/>
        <w:tabs>
          <w:tab w:val="right" w:leader="dot" w:pos="2940"/>
        </w:tabs>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14</w:t>
      </w:r>
    </w:p>
    <w:p>
      <w:pPr>
        <w:pStyle w:val="13"/>
        <w:keepNext w:val="0"/>
        <w:keepLines w:val="0"/>
        <w:pageBreakBefore w:val="0"/>
        <w:widowControl w:val="0"/>
        <w:tabs>
          <w:tab w:val="right" w:leader="dot" w:pos="2940"/>
        </w:tabs>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23</w:t>
      </w:r>
    </w:p>
    <w:p>
      <w:pPr>
        <w:pStyle w:val="15"/>
        <w:keepNext w:val="0"/>
        <w:keepLines w:val="0"/>
        <w:pageBreakBefore w:val="0"/>
        <w:widowControl w:val="0"/>
        <w:tabs>
          <w:tab w:val="right" w:leader="dot" w:pos="294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23</w:t>
      </w:r>
    </w:p>
    <w:p>
      <w:pPr>
        <w:pStyle w:val="15"/>
        <w:keepNext w:val="0"/>
        <w:keepLines w:val="0"/>
        <w:pageBreakBefore w:val="0"/>
        <w:widowControl w:val="0"/>
        <w:tabs>
          <w:tab w:val="right" w:leader="dot" w:pos="294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23</w:t>
      </w:r>
    </w:p>
    <w:p>
      <w:pPr>
        <w:pStyle w:val="15"/>
        <w:keepNext w:val="0"/>
        <w:keepLines w:val="0"/>
        <w:pageBreakBefore w:val="0"/>
        <w:widowControl w:val="0"/>
        <w:tabs>
          <w:tab w:val="right" w:leader="dot" w:pos="294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23</w:t>
      </w:r>
    </w:p>
    <w:p>
      <w:pPr>
        <w:pStyle w:val="15"/>
        <w:keepNext w:val="0"/>
        <w:keepLines w:val="0"/>
        <w:pageBreakBefore w:val="0"/>
        <w:widowControl w:val="0"/>
        <w:tabs>
          <w:tab w:val="right" w:leader="dot" w:pos="294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23</w:t>
      </w:r>
    </w:p>
    <w:p>
      <w:pPr>
        <w:pStyle w:val="15"/>
        <w:keepNext w:val="0"/>
        <w:keepLines w:val="0"/>
        <w:pageBreakBefore w:val="0"/>
        <w:widowControl w:val="0"/>
        <w:tabs>
          <w:tab w:val="right" w:leader="dot" w:pos="294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五、财政拨款支出决算明细表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23</w:t>
      </w:r>
    </w:p>
    <w:p>
      <w:pPr>
        <w:pStyle w:val="15"/>
        <w:keepNext w:val="0"/>
        <w:keepLines w:val="0"/>
        <w:pageBreakBefore w:val="0"/>
        <w:widowControl w:val="0"/>
        <w:tabs>
          <w:tab w:val="right" w:leader="dot" w:pos="294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六、一般公共预算财政拨款支出决算表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23</w:t>
      </w:r>
    </w:p>
    <w:p>
      <w:pPr>
        <w:pStyle w:val="15"/>
        <w:keepNext w:val="0"/>
        <w:keepLines w:val="0"/>
        <w:pageBreakBefore w:val="0"/>
        <w:widowControl w:val="0"/>
        <w:tabs>
          <w:tab w:val="right" w:leader="dot" w:pos="294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23</w:t>
      </w:r>
    </w:p>
    <w:p>
      <w:pPr>
        <w:pStyle w:val="15"/>
        <w:keepNext w:val="0"/>
        <w:keepLines w:val="0"/>
        <w:pageBreakBefore w:val="0"/>
        <w:widowControl w:val="0"/>
        <w:tabs>
          <w:tab w:val="right" w:leader="dot" w:pos="294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23</w:t>
      </w:r>
    </w:p>
    <w:p>
      <w:pPr>
        <w:pStyle w:val="15"/>
        <w:keepNext w:val="0"/>
        <w:keepLines w:val="0"/>
        <w:pageBreakBefore w:val="0"/>
        <w:widowControl w:val="0"/>
        <w:tabs>
          <w:tab w:val="right" w:leader="dot" w:pos="294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23</w:t>
      </w:r>
    </w:p>
    <w:p>
      <w:pPr>
        <w:pStyle w:val="15"/>
        <w:keepNext w:val="0"/>
        <w:keepLines w:val="0"/>
        <w:pageBreakBefore w:val="0"/>
        <w:widowControl w:val="0"/>
        <w:tabs>
          <w:tab w:val="right" w:leader="dot" w:pos="294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23</w:t>
      </w:r>
    </w:p>
    <w:p>
      <w:pPr>
        <w:pStyle w:val="15"/>
        <w:keepNext w:val="0"/>
        <w:keepLines w:val="0"/>
        <w:pageBreakBefore w:val="0"/>
        <w:widowControl w:val="0"/>
        <w:tabs>
          <w:tab w:val="right" w:leader="dot" w:pos="294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23</w:t>
      </w:r>
    </w:p>
    <w:p>
      <w:pPr>
        <w:pStyle w:val="15"/>
        <w:keepNext w:val="0"/>
        <w:keepLines w:val="0"/>
        <w:pageBreakBefore w:val="0"/>
        <w:widowControl w:val="0"/>
        <w:tabs>
          <w:tab w:val="right" w:leader="dot" w:pos="294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23</w:t>
      </w:r>
    </w:p>
    <w:p>
      <w:pPr>
        <w:pStyle w:val="15"/>
        <w:keepNext w:val="0"/>
        <w:keepLines w:val="0"/>
        <w:pageBreakBefore w:val="0"/>
        <w:widowControl w:val="0"/>
        <w:tabs>
          <w:tab w:val="right" w:leader="dot" w:pos="294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23</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
          <w:color w:val="auto"/>
          <w:sz w:val="32"/>
          <w:szCs w:val="32"/>
          <w:highlight w:val="none"/>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bookmarkStart w:id="0" w:name="_Toc15377196"/>
      <w:bookmarkStart w:id="1" w:name="_Toc15396599"/>
      <w:r>
        <w:rPr>
          <w:rFonts w:hint="eastAsia" w:ascii="Times New Roman" w:hAnsi="Times New Roman" w:eastAsia="仿宋_GB2312" w:cs="仿宋_GB2312"/>
          <w:b/>
          <w:color w:val="auto"/>
          <w:sz w:val="32"/>
          <w:szCs w:val="32"/>
          <w:highlight w:val="none"/>
        </w:rPr>
        <w:br w:type="page"/>
      </w:r>
    </w:p>
    <w:p>
      <w:pPr>
        <w:pStyle w:val="2"/>
        <w:rPr>
          <w:rFonts w:hint="eastAsia"/>
        </w:rPr>
      </w:pPr>
    </w:p>
    <w:p>
      <w:pPr>
        <w:pStyle w:val="4"/>
        <w:jc w:val="center"/>
        <w:rPr>
          <w:rStyle w:val="30"/>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0"/>
      <w:bookmarkEnd w:id="1"/>
    </w:p>
    <w:p>
      <w:pPr>
        <w:widowControl/>
        <w:jc w:val="left"/>
        <w:rPr>
          <w:rFonts w:ascii="Times New Roman" w:hAnsi="Times New Roman" w:eastAsia="黑体"/>
          <w:color w:val="auto"/>
          <w:sz w:val="32"/>
          <w:szCs w:val="32"/>
          <w:highlight w:val="none"/>
        </w:rPr>
      </w:pPr>
    </w:p>
    <w:p>
      <w:pPr>
        <w:pStyle w:val="5"/>
        <w:numPr>
          <w:ilvl w:val="0"/>
          <w:numId w:val="1"/>
        </w:numPr>
        <w:ind w:firstLine="640" w:firstLineChars="200"/>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pPr>
        <w:pStyle w:val="1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right="0"/>
        <w:jc w:val="both"/>
        <w:rPr>
          <w:color w:val="auto"/>
        </w:rPr>
      </w:pPr>
      <w:r>
        <w:rPr>
          <w:rFonts w:ascii="仿宋" w:hAnsi="仿宋" w:eastAsia="仿宋" w:cs="仿宋"/>
          <w:color w:val="auto"/>
          <w:sz w:val="32"/>
          <w:szCs w:val="32"/>
        </w:rPr>
        <w:t>（一）主要职能</w:t>
      </w:r>
    </w:p>
    <w:p>
      <w:pPr>
        <w:pStyle w:val="1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rPr>
          <w:color w:val="auto"/>
        </w:rPr>
      </w:pPr>
      <w:bookmarkStart w:id="2" w:name="_Toc15377199"/>
      <w:bookmarkStart w:id="3" w:name="_Toc79163604"/>
      <w:bookmarkStart w:id="4" w:name="_Toc15378446"/>
      <w:r>
        <w:rPr>
          <w:rFonts w:hint="eastAsia" w:ascii="仿宋" w:hAnsi="仿宋" w:eastAsia="仿宋" w:cs="仿宋"/>
          <w:color w:val="auto"/>
          <w:sz w:val="32"/>
          <w:szCs w:val="32"/>
        </w:rPr>
        <w:t>1.履行政治领导责任，做好理论武装和思想政治工作，负责学习、宣传、贯彻执行党的理论和路线方针政策，贯彻落实党中央、省委、州委、县委的决策部署，发挥好把方向、管大局、保落实的重要作用。</w:t>
      </w:r>
      <w:bookmarkEnd w:id="2"/>
      <w:bookmarkEnd w:id="3"/>
      <w:bookmarkEnd w:id="4"/>
    </w:p>
    <w:p>
      <w:pPr>
        <w:pStyle w:val="1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rPr>
          <w:color w:val="auto"/>
        </w:rPr>
      </w:pPr>
      <w:r>
        <w:rPr>
          <w:rFonts w:hint="eastAsia" w:ascii="仿宋" w:hAnsi="仿宋" w:eastAsia="仿宋" w:cs="仿宋"/>
          <w:color w:val="auto"/>
          <w:sz w:val="32"/>
          <w:szCs w:val="32"/>
        </w:rPr>
        <w:t>2.讨论和决定本单位下列重大问题。党的路线方针政策、国家法律法规和上级党组织重要会议、重要文件、重大决策部署的贯彻落实事项。需要向上级党组织请示报告的重要事项。内部机构设置、职责、人员编制等事项。重大决策、重要人事任免、重大项目安排、大额资金使用等事项。基层党组织和党员队伍建设方面的重要事项。意识形态工作、思想政治工作和精神文明建设方面的重要事项。党风廉政建设和反腐败工作方面的重要事项。其他应当由党组讨论和决定的重大问题。</w:t>
      </w:r>
    </w:p>
    <w:p>
      <w:pPr>
        <w:pStyle w:val="1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rPr>
          <w:color w:val="auto"/>
        </w:rPr>
      </w:pPr>
      <w:r>
        <w:rPr>
          <w:rFonts w:hint="eastAsia" w:ascii="仿宋" w:hAnsi="仿宋" w:eastAsia="仿宋" w:cs="仿宋"/>
          <w:color w:val="auto"/>
          <w:sz w:val="32"/>
          <w:szCs w:val="32"/>
        </w:rPr>
        <w:t>3.贯彻党管干部原则，加强干部队伍建设，完善干部培养选拔机制，加强干部教育管理监督。贯彻党管人才原则，加强人才队伍建设。加强对本单位工会、共青团、妇联等群团工作的领导。</w:t>
      </w:r>
    </w:p>
    <w:p>
      <w:pPr>
        <w:pStyle w:val="1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rPr>
          <w:color w:val="auto"/>
        </w:rPr>
      </w:pPr>
      <w:r>
        <w:rPr>
          <w:rFonts w:hint="eastAsia" w:ascii="仿宋" w:hAnsi="仿宋" w:eastAsia="仿宋" w:cs="仿宋"/>
          <w:color w:val="auto"/>
          <w:sz w:val="32"/>
          <w:szCs w:val="32"/>
        </w:rPr>
        <w:t>4.履行党要管党、从严治党，加强对本单位党的建设的领导，落实党建工作责任制。认真履行党风廉政建设主体责任，支持纪检监察机构履行监督责任。</w:t>
      </w:r>
    </w:p>
    <w:p>
      <w:pPr>
        <w:pStyle w:val="5"/>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rPr>
          <w:color w:val="auto"/>
        </w:rPr>
      </w:pPr>
      <w:bookmarkStart w:id="5" w:name="_Toc79163605"/>
      <w:bookmarkStart w:id="6" w:name="_Toc29784"/>
      <w:r>
        <w:rPr>
          <w:rFonts w:ascii="黑体" w:hAnsi="宋体" w:eastAsia="黑体" w:cs="黑体"/>
          <w:color w:val="auto"/>
          <w:sz w:val="32"/>
          <w:szCs w:val="32"/>
        </w:rPr>
        <w:t>二、</w:t>
      </w:r>
      <w:r>
        <w:rPr>
          <w:rFonts w:hint="eastAsia" w:ascii="黑体" w:hAnsi="宋体" w:eastAsia="黑体" w:cs="黑体"/>
          <w:color w:val="auto"/>
          <w:sz w:val="32"/>
          <w:szCs w:val="32"/>
        </w:rPr>
        <w:t>机构设置</w:t>
      </w:r>
      <w:bookmarkEnd w:id="5"/>
      <w:bookmarkEnd w:id="6"/>
    </w:p>
    <w:p>
      <w:pPr>
        <w:pStyle w:val="1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93" w:beforeAutospacing="0" w:after="0" w:afterAutospacing="0" w:line="0" w:lineRule="atLeast"/>
        <w:ind w:left="0" w:firstLine="640"/>
        <w:jc w:val="both"/>
        <w:rPr>
          <w:color w:val="auto"/>
        </w:rPr>
      </w:pPr>
      <w:r>
        <w:rPr>
          <w:rFonts w:hint="eastAsia" w:ascii="仿宋" w:hAnsi="仿宋" w:eastAsia="仿宋" w:cs="仿宋"/>
          <w:color w:val="auto"/>
          <w:sz w:val="32"/>
          <w:szCs w:val="32"/>
        </w:rPr>
        <w:t>壤塘县信访工作局有两个下属二级单位，分别为阿坝州壤塘县信访工作局和阿坝州壤塘县信访接待中心。</w:t>
      </w:r>
    </w:p>
    <w:p>
      <w:pPr>
        <w:numPr>
          <w:ilvl w:val="0"/>
          <w:numId w:val="0"/>
        </w:numPr>
        <w:rPr>
          <w:rFonts w:hint="eastAsia"/>
          <w:color w:val="auto"/>
          <w:lang w:eastAsia="zh-CN"/>
        </w:rPr>
      </w:pPr>
    </w:p>
    <w:p>
      <w:pPr>
        <w:pStyle w:val="4"/>
        <w:jc w:val="both"/>
        <w:rPr>
          <w:rFonts w:hint="eastAsia" w:ascii="Times New Roman" w:hAnsi="Times New Roman" w:eastAsia="方正小标宋简体" w:cs="方正小标宋简体"/>
          <w:b w:val="0"/>
          <w:color w:val="auto"/>
          <w:highlight w:val="none"/>
        </w:rPr>
      </w:pPr>
      <w:bookmarkStart w:id="7" w:name="_Toc15396602"/>
      <w:bookmarkStart w:id="8"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7"/>
      <w:bookmarkEnd w:id="8"/>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9" w:name="_Toc15377205"/>
      <w:bookmarkStart w:id="10"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9"/>
      <w:bookmarkEnd w:id="10"/>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192.16</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31.48</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14.08</w:t>
      </w:r>
      <w:r>
        <w:rPr>
          <w:rFonts w:hint="eastAsia" w:ascii="Times New Roman" w:hAnsi="Times New Roman" w:eastAsia="仿宋_GB2312" w:cs="仿宋_GB2312"/>
          <w:color w:val="auto"/>
          <w:sz w:val="32"/>
          <w:szCs w:val="32"/>
          <w:highlight w:val="none"/>
        </w:rPr>
        <w:t>%。主要变动原因是本年度单位人员减少，相应人员经费下降，加之财政统筹压减一般性支出，财政拨款规模缩减，收支总额同比下降。</w:t>
      </w:r>
    </w:p>
    <w:p>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584065" cy="2755265"/>
            <wp:effectExtent l="0" t="0" r="6985" b="6985"/>
            <wp:docPr id="1" name="图片 1" descr="aaa76607ea8535c09cdb8ec52d6090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aa76607ea8535c09cdb8ec52d60905d"/>
                    <pic:cNvPicPr>
                      <a:picLocks noChangeAspect="1"/>
                    </pic:cNvPicPr>
                  </pic:nvPicPr>
                  <pic:blipFill>
                    <a:blip r:embed="rId9"/>
                    <a:stretch>
                      <a:fillRect/>
                    </a:stretch>
                  </pic:blipFill>
                  <pic:spPr>
                    <a:xfrm>
                      <a:off x="0" y="0"/>
                      <a:ext cx="4584065" cy="2755265"/>
                    </a:xfrm>
                    <a:prstGeom prst="rect">
                      <a:avLst/>
                    </a:prstGeom>
                  </pic:spPr>
                </pic:pic>
              </a:graphicData>
            </a:graphic>
          </wp:inline>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1" w:name="_Toc15396604"/>
      <w:bookmarkStart w:id="12" w:name="_Toc15377206"/>
      <w:r>
        <w:rPr>
          <w:rFonts w:hint="eastAsia" w:ascii="Times New Roman" w:hAnsi="Times New Roman" w:eastAsia="黑体"/>
          <w:color w:val="auto"/>
          <w:sz w:val="32"/>
          <w:szCs w:val="32"/>
          <w:highlight w:val="none"/>
          <w:lang w:eastAsia="zh-CN"/>
        </w:rPr>
        <w:t>二、收入决算情况说明</w:t>
      </w:r>
      <w:bookmarkEnd w:id="11"/>
      <w:bookmarkEnd w:id="12"/>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192.16</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192.16</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outlineLvl w:val="1"/>
        <w:rPr>
          <w:rFonts w:hint="eastAsia" w:ascii="Times New Roman" w:hAnsi="Times New Roman" w:eastAsia="黑体"/>
          <w:color w:val="auto"/>
          <w:sz w:val="32"/>
          <w:szCs w:val="32"/>
          <w:highlight w:val="none"/>
          <w:lang w:eastAsia="zh-CN"/>
        </w:rPr>
      </w:pPr>
      <w:bookmarkStart w:id="13" w:name="_Toc15377207"/>
      <w:bookmarkStart w:id="14" w:name="_Toc15396605"/>
      <w:r>
        <w:rPr>
          <w:color w:val="auto"/>
        </w:rPr>
        <w:drawing>
          <wp:inline distT="0" distB="0" distL="114300" distR="114300">
            <wp:extent cx="4572000" cy="2422525"/>
            <wp:effectExtent l="4445" t="4445" r="14605" b="11430"/>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13"/>
      <w:bookmarkEnd w:id="14"/>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2025年度本年支出合计192.16万元，全部为基本支出，占支出总额100%；无项目支出、上缴上级支出、经营支出及对附属单位补助支出。</w:t>
      </w:r>
    </w:p>
    <w:p>
      <w:pPr>
        <w:ind w:firstLine="525" w:firstLineChars="250"/>
        <w:rPr>
          <w:rFonts w:hint="eastAsia" w:ascii="Times New Roman" w:hAnsi="Times New Roman" w:eastAsia="仿宋_GB2312" w:cs="仿宋_GB2312"/>
          <w:color w:val="auto"/>
          <w:sz w:val="32"/>
          <w:szCs w:val="32"/>
          <w:highlight w:val="none"/>
          <w:lang w:eastAsia="zh-CN"/>
        </w:rPr>
      </w:pPr>
      <w:r>
        <w:rPr>
          <w:color w:val="auto"/>
        </w:rPr>
        <w:drawing>
          <wp:inline distT="0" distB="0" distL="114300" distR="114300">
            <wp:extent cx="4572000" cy="2743200"/>
            <wp:effectExtent l="4445" t="4445" r="14605" b="1460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600" w:lineRule="exact"/>
        <w:ind w:firstLine="640" w:firstLineChars="200"/>
        <w:outlineLvl w:val="1"/>
        <w:rPr>
          <w:rStyle w:val="31"/>
          <w:rFonts w:ascii="Times New Roman" w:hAnsi="Times New Roman" w:eastAsia="黑体"/>
          <w:b w:val="0"/>
          <w:color w:val="auto"/>
          <w:highlight w:val="none"/>
        </w:rPr>
      </w:pPr>
      <w:bookmarkStart w:id="15" w:name="_Toc15377208"/>
      <w:bookmarkStart w:id="16" w:name="_Toc15396606"/>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15"/>
      <w:bookmarkEnd w:id="1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192.16</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31.48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14.08</w:t>
      </w:r>
      <w:r>
        <w:rPr>
          <w:rFonts w:hint="eastAsia" w:ascii="Times New Roman" w:hAnsi="Times New Roman" w:eastAsia="仿宋_GB2312" w:cs="仿宋_GB2312"/>
          <w:color w:val="auto"/>
          <w:kern w:val="2"/>
          <w:sz w:val="32"/>
          <w:szCs w:val="32"/>
          <w:highlight w:val="none"/>
          <w:lang w:val="en-US" w:eastAsia="zh-CN" w:bidi="ar-SA"/>
        </w:rPr>
        <w:t>%。主要变动原因是本年度单位人员减少，相应人员经费下降，加之财政统筹压减一般性支出，财政拨款规模缩减，收支总额同比下降。</w:t>
      </w:r>
    </w:p>
    <w:p>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584065" cy="2755265"/>
            <wp:effectExtent l="0" t="0" r="6985" b="6985"/>
            <wp:docPr id="16" name="图片 16" descr="图片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8"/>
                    <pic:cNvPicPr>
                      <a:picLocks noChangeAspect="1"/>
                    </pic:cNvPicPr>
                  </pic:nvPicPr>
                  <pic:blipFill>
                    <a:blip r:embed="rId12"/>
                    <a:stretch>
                      <a:fillRect/>
                    </a:stretch>
                  </pic:blipFill>
                  <pic:spPr>
                    <a:xfrm>
                      <a:off x="0" y="0"/>
                      <a:ext cx="4584065" cy="2755265"/>
                    </a:xfrm>
                    <a:prstGeom prst="rect">
                      <a:avLst/>
                    </a:prstGeom>
                  </pic:spPr>
                </pic:pic>
              </a:graphicData>
            </a:graphic>
          </wp:inline>
        </w:drawing>
      </w:r>
    </w:p>
    <w:p>
      <w:pPr>
        <w:spacing w:line="600" w:lineRule="exact"/>
        <w:ind w:firstLine="640" w:firstLineChars="200"/>
        <w:outlineLvl w:val="1"/>
        <w:rPr>
          <w:rStyle w:val="31"/>
          <w:rFonts w:ascii="Times New Roman" w:hAnsi="Times New Roman" w:eastAsia="黑体"/>
          <w:b w:val="0"/>
          <w:color w:val="auto"/>
          <w:highlight w:val="none"/>
        </w:rPr>
      </w:pPr>
      <w:bookmarkStart w:id="17" w:name="_Toc15377209"/>
      <w:bookmarkStart w:id="18"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17"/>
      <w:bookmarkEnd w:id="18"/>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19"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1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192.16</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31.48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14.08</w:t>
      </w:r>
      <w:r>
        <w:rPr>
          <w:rFonts w:hint="eastAsia" w:ascii="Times New Roman" w:hAnsi="Times New Roman" w:eastAsia="仿宋_GB2312" w:cs="仿宋_GB2312"/>
          <w:color w:val="auto"/>
          <w:kern w:val="2"/>
          <w:sz w:val="32"/>
          <w:szCs w:val="32"/>
          <w:highlight w:val="none"/>
          <w:lang w:val="en-US" w:eastAsia="zh-CN" w:bidi="ar-SA"/>
        </w:rPr>
        <w:t>%。</w:t>
      </w:r>
      <w:bookmarkStart w:id="20" w:name="_Toc15377211"/>
      <w:r>
        <w:rPr>
          <w:rFonts w:hint="eastAsia" w:ascii="Times New Roman" w:hAnsi="Times New Roman" w:eastAsia="仿宋_GB2312" w:cs="仿宋_GB2312"/>
          <w:color w:val="auto"/>
          <w:kern w:val="2"/>
          <w:sz w:val="32"/>
          <w:szCs w:val="32"/>
          <w:highlight w:val="none"/>
          <w:lang w:val="en-US" w:eastAsia="zh-CN" w:bidi="ar-SA"/>
        </w:rPr>
        <w:t>主要变动原因是本年度单位人员减少，相应人员经费下降，加之财政统筹压减一般性支出，财政拨款规模缩减，收支总额同比下降。</w:t>
      </w:r>
    </w:p>
    <w:p>
      <w:pPr>
        <w:spacing w:line="600" w:lineRule="exact"/>
        <w:ind w:firstLine="640"/>
        <w:rPr>
          <w:rFonts w:hint="eastAsia" w:ascii="Times New Roman" w:hAnsi="Times New Roman" w:eastAsia="楷体_GB2312" w:cs="楷体_GB2312"/>
          <w:b/>
          <w:color w:val="auto"/>
          <w:sz w:val="32"/>
          <w:szCs w:val="32"/>
          <w:highlight w:val="none"/>
        </w:rPr>
      </w:pPr>
    </w:p>
    <w:p>
      <w:pPr>
        <w:spacing w:line="240" w:lineRule="auto"/>
        <w:ind w:firstLine="642" w:firstLineChars="200"/>
        <w:outlineLvl w:val="2"/>
        <w:rPr>
          <w:rFonts w:hint="eastAsia" w:ascii="Times New Roman" w:hAnsi="Times New Roman" w:eastAsia="楷体_GB2312" w:cs="楷体_GB2312"/>
          <w:b/>
          <w:color w:val="auto"/>
          <w:sz w:val="32"/>
          <w:szCs w:val="32"/>
          <w:highlight w:val="none"/>
          <w:lang w:eastAsia="zh-CN"/>
        </w:rPr>
      </w:pPr>
      <w:r>
        <w:rPr>
          <w:rFonts w:hint="eastAsia" w:ascii="Times New Roman" w:hAnsi="Times New Roman" w:eastAsia="楷体_GB2312" w:cs="楷体_GB2312"/>
          <w:b/>
          <w:color w:val="auto"/>
          <w:sz w:val="32"/>
          <w:szCs w:val="32"/>
          <w:highlight w:val="none"/>
          <w:lang w:eastAsia="zh-CN"/>
        </w:rPr>
        <w:drawing>
          <wp:inline distT="0" distB="0" distL="114300" distR="114300">
            <wp:extent cx="4627245" cy="2423795"/>
            <wp:effectExtent l="0" t="0" r="1905" b="14605"/>
            <wp:docPr id="7" name="图片 7"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3"/>
                    <pic:cNvPicPr>
                      <a:picLocks noChangeAspect="1"/>
                    </pic:cNvPicPr>
                  </pic:nvPicPr>
                  <pic:blipFill>
                    <a:blip r:embed="rId13"/>
                    <a:stretch>
                      <a:fillRect/>
                    </a:stretch>
                  </pic:blipFill>
                  <pic:spPr>
                    <a:xfrm>
                      <a:off x="0" y="0"/>
                      <a:ext cx="4627245" cy="2423795"/>
                    </a:xfrm>
                    <a:prstGeom prst="rect">
                      <a:avLst/>
                    </a:prstGeom>
                  </pic:spPr>
                </pic:pic>
              </a:graphicData>
            </a:graphic>
          </wp:inline>
        </w:drawing>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（二）一般公共预算财政拨款支出决算结构情况</w:t>
      </w:r>
      <w:bookmarkEnd w:id="20"/>
    </w:p>
    <w:p>
      <w:pPr>
        <w:spacing w:line="600" w:lineRule="exact"/>
        <w:ind w:firstLine="640" w:firstLineChars="200"/>
        <w:outlineLvl w:val="2"/>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192.16</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143.05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74.45</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25.41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13.22</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9.05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4.71</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14.64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7.62</w:t>
      </w:r>
      <w:r>
        <w:rPr>
          <w:rFonts w:hint="eastAsia" w:ascii="Times New Roman" w:hAnsi="Times New Roman" w:eastAsia="仿宋_GB2312" w:cs="仿宋_GB2312"/>
          <w:color w:val="auto"/>
          <w:kern w:val="2"/>
          <w:sz w:val="32"/>
          <w:szCs w:val="32"/>
          <w:highlight w:val="none"/>
          <w:lang w:val="en-US" w:eastAsia="zh-CN" w:bidi="ar-SA"/>
        </w:rPr>
        <w:t>%。</w:t>
      </w:r>
      <w:bookmarkStart w:id="21" w:name="_Toc15377212"/>
    </w:p>
    <w:p>
      <w:pPr>
        <w:spacing w:line="240" w:lineRule="auto"/>
        <w:outlineLvl w:val="2"/>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190490" cy="2599055"/>
            <wp:effectExtent l="0" t="0" r="10160" b="10795"/>
            <wp:docPr id="13" name="图片 13"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6"/>
                    <pic:cNvPicPr>
                      <a:picLocks noChangeAspect="1"/>
                    </pic:cNvPicPr>
                  </pic:nvPicPr>
                  <pic:blipFill>
                    <a:blip r:embed="rId14"/>
                    <a:stretch>
                      <a:fillRect/>
                    </a:stretch>
                  </pic:blipFill>
                  <pic:spPr>
                    <a:xfrm>
                      <a:off x="0" y="0"/>
                      <a:ext cx="5190490" cy="2599055"/>
                    </a:xfrm>
                    <a:prstGeom prst="rect">
                      <a:avLst/>
                    </a:prstGeom>
                  </pic:spPr>
                </pic:pic>
              </a:graphicData>
            </a:graphic>
          </wp:inline>
        </w:drawing>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2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2" w:name="_Toc15377444"/>
      <w:bookmarkStart w:id="23" w:name="_Toc15378460"/>
      <w:bookmarkStart w:id="24"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192.16</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2"/>
      <w:bookmarkEnd w:id="23"/>
      <w:bookmarkEnd w:id="24"/>
    </w:p>
    <w:p>
      <w:pPr>
        <w:spacing w:line="600" w:lineRule="exact"/>
        <w:ind w:firstLine="642" w:firstLineChars="200"/>
        <w:rPr>
          <w:rFonts w:ascii="仿宋" w:hAnsi="仿宋" w:eastAsia="仿宋"/>
          <w:b/>
          <w:color w:val="auto"/>
          <w:sz w:val="32"/>
          <w:szCs w:val="32"/>
        </w:rPr>
      </w:pPr>
      <w:r>
        <w:rPr>
          <w:rStyle w:val="19"/>
          <w:rFonts w:ascii="仿宋" w:hAnsi="仿宋" w:eastAsia="仿宋"/>
          <w:bCs/>
          <w:color w:val="auto"/>
          <w:sz w:val="32"/>
          <w:szCs w:val="32"/>
        </w:rPr>
        <w:t>1.</w:t>
      </w:r>
      <w:r>
        <w:rPr>
          <w:rStyle w:val="19"/>
          <w:rFonts w:hint="eastAsia" w:ascii="仿宋" w:hAnsi="仿宋" w:eastAsia="仿宋"/>
          <w:bCs/>
          <w:color w:val="auto"/>
          <w:sz w:val="32"/>
          <w:szCs w:val="32"/>
        </w:rPr>
        <w:t>一般公共服务（类）</w:t>
      </w:r>
      <w:r>
        <w:rPr>
          <w:rStyle w:val="19"/>
          <w:rFonts w:hint="eastAsia" w:ascii="仿宋" w:hAnsi="仿宋" w:eastAsia="仿宋"/>
          <w:bCs/>
          <w:color w:val="auto"/>
          <w:sz w:val="32"/>
          <w:szCs w:val="32"/>
          <w:lang w:val="en-US" w:eastAsia="zh-CN"/>
        </w:rPr>
        <w:t>信访事务</w:t>
      </w:r>
      <w:r>
        <w:rPr>
          <w:rStyle w:val="19"/>
          <w:rFonts w:hint="eastAsia" w:ascii="仿宋" w:hAnsi="仿宋" w:eastAsia="仿宋"/>
          <w:bCs/>
          <w:color w:val="auto"/>
          <w:sz w:val="32"/>
          <w:szCs w:val="32"/>
        </w:rPr>
        <w:t>（</w:t>
      </w:r>
      <w:r>
        <w:rPr>
          <w:rStyle w:val="19"/>
          <w:rFonts w:hint="eastAsia" w:ascii="仿宋" w:hAnsi="仿宋" w:eastAsia="仿宋"/>
          <w:bCs/>
          <w:color w:val="auto"/>
          <w:sz w:val="32"/>
          <w:szCs w:val="32"/>
          <w:lang w:val="en-US" w:eastAsia="zh-CN"/>
        </w:rPr>
        <w:t>款</w:t>
      </w:r>
      <w:r>
        <w:rPr>
          <w:rStyle w:val="19"/>
          <w:rFonts w:hint="eastAsia" w:ascii="仿宋" w:hAnsi="仿宋" w:eastAsia="仿宋"/>
          <w:bCs/>
          <w:color w:val="auto"/>
          <w:sz w:val="32"/>
          <w:szCs w:val="32"/>
        </w:rPr>
        <w:t>）行政运行（项）</w:t>
      </w:r>
      <w:r>
        <w:rPr>
          <w:rStyle w:val="19"/>
          <w:rFonts w:ascii="仿宋" w:hAnsi="仿宋" w:eastAsia="仿宋"/>
          <w:bCs/>
          <w:color w:val="auto"/>
          <w:sz w:val="32"/>
          <w:szCs w:val="32"/>
        </w:rPr>
        <w:t>:</w:t>
      </w:r>
      <w:r>
        <w:rPr>
          <w:rStyle w:val="19"/>
          <w:rFonts w:ascii="仿宋" w:hAnsi="仿宋" w:eastAsia="仿宋"/>
          <w:b w:val="0"/>
          <w:bCs/>
          <w:color w:val="auto"/>
          <w:sz w:val="32"/>
          <w:szCs w:val="32"/>
        </w:rPr>
        <w:t xml:space="preserve"> </w:t>
      </w:r>
      <w:r>
        <w:rPr>
          <w:rStyle w:val="19"/>
          <w:rFonts w:hint="eastAsia" w:ascii="仿宋" w:hAnsi="仿宋" w:eastAsia="仿宋"/>
          <w:b w:val="0"/>
          <w:bCs/>
          <w:color w:val="auto"/>
          <w:sz w:val="32"/>
          <w:szCs w:val="32"/>
        </w:rPr>
        <w:t>支出决算为</w:t>
      </w:r>
      <w:r>
        <w:rPr>
          <w:rStyle w:val="19"/>
          <w:rFonts w:hint="eastAsia" w:ascii="仿宋" w:hAnsi="仿宋" w:eastAsia="仿宋"/>
          <w:b w:val="0"/>
          <w:bCs/>
          <w:color w:val="auto"/>
          <w:sz w:val="32"/>
          <w:szCs w:val="32"/>
          <w:lang w:val="en-US" w:eastAsia="zh-CN"/>
        </w:rPr>
        <w:t>97.72</w:t>
      </w:r>
      <w:r>
        <w:rPr>
          <w:rStyle w:val="19"/>
          <w:rFonts w:hint="eastAsia" w:ascii="仿宋" w:hAnsi="仿宋" w:eastAsia="仿宋"/>
          <w:b w:val="0"/>
          <w:bCs/>
          <w:color w:val="auto"/>
          <w:sz w:val="32"/>
          <w:szCs w:val="32"/>
        </w:rPr>
        <w:t>万元，完成预算</w:t>
      </w:r>
      <w:r>
        <w:rPr>
          <w:rStyle w:val="19"/>
          <w:rFonts w:hint="eastAsia" w:ascii="仿宋" w:hAnsi="仿宋" w:eastAsia="仿宋"/>
          <w:b w:val="0"/>
          <w:bCs/>
          <w:color w:val="auto"/>
          <w:sz w:val="32"/>
          <w:szCs w:val="32"/>
          <w:lang w:val="en-US" w:eastAsia="zh-CN"/>
        </w:rPr>
        <w:t>100</w:t>
      </w:r>
      <w:r>
        <w:rPr>
          <w:rStyle w:val="19"/>
          <w:rFonts w:ascii="仿宋" w:hAnsi="仿宋" w:eastAsia="仿宋"/>
          <w:b w:val="0"/>
          <w:bCs/>
          <w:color w:val="auto"/>
          <w:sz w:val="32"/>
          <w:szCs w:val="32"/>
        </w:rPr>
        <w:t>%</w:t>
      </w:r>
      <w:r>
        <w:rPr>
          <w:rStyle w:val="19"/>
          <w:rFonts w:hint="eastAsia" w:ascii="仿宋" w:hAnsi="仿宋" w:eastAsia="仿宋"/>
          <w:b w:val="0"/>
          <w:bCs/>
          <w:color w:val="auto"/>
          <w:sz w:val="32"/>
          <w:szCs w:val="32"/>
        </w:rPr>
        <w:t>，决算数等于预算数。</w:t>
      </w:r>
    </w:p>
    <w:p>
      <w:pPr>
        <w:spacing w:line="600" w:lineRule="exact"/>
        <w:ind w:firstLine="642" w:firstLineChars="200"/>
        <w:rPr>
          <w:rStyle w:val="19"/>
          <w:rFonts w:hint="eastAsia" w:ascii="仿宋" w:hAnsi="仿宋" w:eastAsia="仿宋" w:cs="Times New Roman"/>
          <w:b w:val="0"/>
          <w:bCs/>
          <w:color w:val="auto"/>
          <w:sz w:val="32"/>
          <w:szCs w:val="32"/>
        </w:rPr>
      </w:pPr>
      <w:r>
        <w:rPr>
          <w:rStyle w:val="19"/>
          <w:rFonts w:hint="eastAsia" w:ascii="仿宋" w:hAnsi="仿宋" w:eastAsia="仿宋" w:cs="Times New Roman"/>
          <w:bCs/>
          <w:color w:val="auto"/>
          <w:sz w:val="32"/>
          <w:szCs w:val="32"/>
          <w:lang w:val="en-US" w:eastAsia="zh-CN"/>
        </w:rPr>
        <w:t>2</w:t>
      </w:r>
      <w:r>
        <w:rPr>
          <w:rStyle w:val="19"/>
          <w:rFonts w:ascii="仿宋" w:hAnsi="仿宋" w:eastAsia="仿宋" w:cs="Times New Roman"/>
          <w:bCs/>
          <w:color w:val="auto"/>
          <w:sz w:val="32"/>
          <w:szCs w:val="32"/>
        </w:rPr>
        <w:t>.</w:t>
      </w:r>
      <w:r>
        <w:rPr>
          <w:rStyle w:val="19"/>
          <w:rFonts w:hint="eastAsia" w:ascii="仿宋" w:hAnsi="仿宋" w:eastAsia="仿宋" w:cs="Times New Roman"/>
          <w:bCs/>
          <w:color w:val="auto"/>
          <w:sz w:val="32"/>
          <w:szCs w:val="32"/>
        </w:rPr>
        <w:t>一般公共服务（类）</w:t>
      </w:r>
      <w:r>
        <w:rPr>
          <w:rStyle w:val="19"/>
          <w:rFonts w:hint="eastAsia" w:ascii="仿宋" w:hAnsi="仿宋" w:eastAsia="仿宋" w:cs="Times New Roman"/>
          <w:bCs/>
          <w:color w:val="auto"/>
          <w:sz w:val="32"/>
          <w:szCs w:val="32"/>
          <w:lang w:val="en-US" w:eastAsia="zh-CN"/>
        </w:rPr>
        <w:t>信访事务</w:t>
      </w:r>
      <w:r>
        <w:rPr>
          <w:rStyle w:val="19"/>
          <w:rFonts w:hint="eastAsia" w:ascii="仿宋" w:hAnsi="仿宋" w:eastAsia="仿宋" w:cs="Times New Roman"/>
          <w:bCs/>
          <w:color w:val="auto"/>
          <w:sz w:val="32"/>
          <w:szCs w:val="32"/>
        </w:rPr>
        <w:t>（</w:t>
      </w:r>
      <w:r>
        <w:rPr>
          <w:rStyle w:val="19"/>
          <w:rFonts w:hint="eastAsia" w:ascii="仿宋" w:hAnsi="仿宋" w:eastAsia="仿宋" w:cs="Times New Roman"/>
          <w:bCs/>
          <w:color w:val="auto"/>
          <w:sz w:val="32"/>
          <w:szCs w:val="32"/>
          <w:lang w:val="en-US" w:eastAsia="zh-CN"/>
        </w:rPr>
        <w:t>款</w:t>
      </w:r>
      <w:r>
        <w:rPr>
          <w:rStyle w:val="19"/>
          <w:rFonts w:hint="eastAsia" w:ascii="仿宋" w:hAnsi="仿宋" w:eastAsia="仿宋" w:cs="Times New Roman"/>
          <w:bCs/>
          <w:color w:val="auto"/>
          <w:sz w:val="32"/>
          <w:szCs w:val="32"/>
        </w:rPr>
        <w:t>）</w:t>
      </w:r>
      <w:r>
        <w:rPr>
          <w:rStyle w:val="19"/>
          <w:rFonts w:hint="eastAsia" w:ascii="仿宋" w:hAnsi="仿宋" w:eastAsia="仿宋" w:cs="Times New Roman"/>
          <w:bCs/>
          <w:color w:val="auto"/>
          <w:sz w:val="32"/>
          <w:szCs w:val="32"/>
          <w:lang w:val="en-US" w:eastAsia="zh-CN"/>
        </w:rPr>
        <w:t>事业运行</w:t>
      </w:r>
      <w:r>
        <w:rPr>
          <w:rStyle w:val="19"/>
          <w:rFonts w:hint="eastAsia" w:ascii="仿宋" w:hAnsi="仿宋" w:eastAsia="仿宋" w:cs="Times New Roman"/>
          <w:bCs/>
          <w:color w:val="auto"/>
          <w:sz w:val="32"/>
          <w:szCs w:val="32"/>
        </w:rPr>
        <w:t>（项）</w:t>
      </w:r>
      <w:r>
        <w:rPr>
          <w:rStyle w:val="19"/>
          <w:rFonts w:ascii="仿宋" w:hAnsi="仿宋" w:eastAsia="仿宋" w:cs="Times New Roman"/>
          <w:bCs/>
          <w:color w:val="auto"/>
          <w:sz w:val="32"/>
          <w:szCs w:val="32"/>
        </w:rPr>
        <w:t xml:space="preserve">: </w:t>
      </w:r>
      <w:r>
        <w:rPr>
          <w:rStyle w:val="19"/>
          <w:rFonts w:hint="eastAsia" w:ascii="仿宋" w:hAnsi="仿宋" w:eastAsia="仿宋" w:cs="Times New Roman"/>
          <w:b w:val="0"/>
          <w:bCs/>
          <w:color w:val="auto"/>
          <w:sz w:val="32"/>
          <w:szCs w:val="32"/>
        </w:rPr>
        <w:t>支出决算为</w:t>
      </w:r>
      <w:r>
        <w:rPr>
          <w:rStyle w:val="19"/>
          <w:rFonts w:hint="eastAsia" w:ascii="仿宋" w:hAnsi="仿宋" w:eastAsia="仿宋" w:cs="Times New Roman"/>
          <w:b w:val="0"/>
          <w:bCs/>
          <w:color w:val="auto"/>
          <w:sz w:val="32"/>
          <w:szCs w:val="32"/>
          <w:lang w:val="en-US" w:eastAsia="zh-CN"/>
        </w:rPr>
        <w:t>45.33</w:t>
      </w:r>
      <w:r>
        <w:rPr>
          <w:rStyle w:val="19"/>
          <w:rFonts w:hint="eastAsia" w:ascii="仿宋" w:hAnsi="仿宋" w:eastAsia="仿宋" w:cs="Times New Roman"/>
          <w:b w:val="0"/>
          <w:bCs/>
          <w:color w:val="auto"/>
          <w:sz w:val="32"/>
          <w:szCs w:val="32"/>
        </w:rPr>
        <w:t>万元，完成预算</w:t>
      </w:r>
      <w:r>
        <w:rPr>
          <w:rStyle w:val="19"/>
          <w:rFonts w:hint="eastAsia" w:ascii="仿宋" w:hAnsi="仿宋" w:eastAsia="仿宋" w:cs="Times New Roman"/>
          <w:b w:val="0"/>
          <w:bCs/>
          <w:color w:val="auto"/>
          <w:sz w:val="32"/>
          <w:szCs w:val="32"/>
          <w:lang w:val="en-US" w:eastAsia="zh-CN"/>
        </w:rPr>
        <w:t>100</w:t>
      </w:r>
      <w:r>
        <w:rPr>
          <w:rStyle w:val="19"/>
          <w:rFonts w:hint="eastAsia" w:ascii="仿宋" w:hAnsi="仿宋" w:eastAsia="仿宋" w:cs="Times New Roman"/>
          <w:b w:val="0"/>
          <w:bCs/>
          <w:color w:val="auto"/>
          <w:sz w:val="32"/>
          <w:szCs w:val="32"/>
        </w:rPr>
        <w:t>%，决算数等于预算数。</w:t>
      </w:r>
    </w:p>
    <w:p>
      <w:pPr>
        <w:spacing w:line="600" w:lineRule="exact"/>
        <w:ind w:firstLine="642" w:firstLineChars="200"/>
        <w:rPr>
          <w:rFonts w:ascii="仿宋" w:hAnsi="仿宋" w:eastAsia="仿宋"/>
          <w:b/>
          <w:color w:val="auto"/>
          <w:sz w:val="32"/>
          <w:szCs w:val="32"/>
        </w:rPr>
      </w:pPr>
      <w:r>
        <w:rPr>
          <w:rStyle w:val="19"/>
          <w:rFonts w:hint="eastAsia" w:ascii="仿宋" w:hAnsi="仿宋" w:eastAsia="仿宋"/>
          <w:bCs/>
          <w:color w:val="auto"/>
          <w:sz w:val="32"/>
          <w:szCs w:val="32"/>
          <w:lang w:val="en-US" w:eastAsia="zh-CN"/>
        </w:rPr>
        <w:t>3</w:t>
      </w:r>
      <w:r>
        <w:rPr>
          <w:rStyle w:val="19"/>
          <w:rFonts w:ascii="仿宋" w:hAnsi="仿宋" w:eastAsia="仿宋"/>
          <w:bCs/>
          <w:color w:val="auto"/>
          <w:sz w:val="32"/>
          <w:szCs w:val="32"/>
        </w:rPr>
        <w:t>.</w:t>
      </w:r>
      <w:r>
        <w:rPr>
          <w:rStyle w:val="19"/>
          <w:rFonts w:hint="eastAsia" w:ascii="仿宋" w:hAnsi="仿宋" w:eastAsia="仿宋"/>
          <w:bCs/>
          <w:color w:val="auto"/>
          <w:sz w:val="32"/>
          <w:szCs w:val="32"/>
        </w:rPr>
        <w:t>社会保障和就业支出（类）行政事业单位养老支出（款）机关事业单位基本养老保险缴费支出（项）</w:t>
      </w:r>
      <w:r>
        <w:rPr>
          <w:rStyle w:val="19"/>
          <w:rFonts w:ascii="仿宋" w:hAnsi="仿宋" w:eastAsia="仿宋"/>
          <w:bCs/>
          <w:color w:val="auto"/>
          <w:sz w:val="32"/>
          <w:szCs w:val="32"/>
        </w:rPr>
        <w:t>:</w:t>
      </w:r>
      <w:r>
        <w:rPr>
          <w:rStyle w:val="19"/>
          <w:rFonts w:ascii="仿宋" w:hAnsi="仿宋" w:eastAsia="仿宋"/>
          <w:b w:val="0"/>
          <w:bCs/>
          <w:color w:val="auto"/>
          <w:sz w:val="32"/>
          <w:szCs w:val="32"/>
        </w:rPr>
        <w:t xml:space="preserve"> </w:t>
      </w:r>
      <w:r>
        <w:rPr>
          <w:rStyle w:val="19"/>
          <w:rFonts w:hint="eastAsia" w:ascii="仿宋" w:hAnsi="仿宋" w:eastAsia="仿宋"/>
          <w:b w:val="0"/>
          <w:bCs/>
          <w:color w:val="auto"/>
          <w:sz w:val="32"/>
          <w:szCs w:val="32"/>
        </w:rPr>
        <w:t>支出决算为</w:t>
      </w:r>
      <w:r>
        <w:rPr>
          <w:rStyle w:val="19"/>
          <w:rFonts w:hint="eastAsia" w:ascii="仿宋" w:hAnsi="仿宋" w:eastAsia="仿宋"/>
          <w:b w:val="0"/>
          <w:bCs/>
          <w:color w:val="auto"/>
          <w:sz w:val="32"/>
          <w:szCs w:val="32"/>
          <w:lang w:val="en-US" w:eastAsia="zh-CN"/>
        </w:rPr>
        <w:t>16.78</w:t>
      </w:r>
      <w:r>
        <w:rPr>
          <w:rStyle w:val="19"/>
          <w:rFonts w:hint="eastAsia" w:ascii="仿宋" w:hAnsi="仿宋" w:eastAsia="仿宋"/>
          <w:b w:val="0"/>
          <w:bCs/>
          <w:color w:val="auto"/>
          <w:sz w:val="32"/>
          <w:szCs w:val="32"/>
        </w:rPr>
        <w:t>万元，完成预算</w:t>
      </w:r>
      <w:r>
        <w:rPr>
          <w:rStyle w:val="19"/>
          <w:rFonts w:hint="eastAsia" w:ascii="仿宋" w:hAnsi="仿宋" w:eastAsia="仿宋"/>
          <w:b w:val="0"/>
          <w:bCs/>
          <w:color w:val="auto"/>
          <w:sz w:val="32"/>
          <w:szCs w:val="32"/>
          <w:lang w:val="en-US" w:eastAsia="zh-CN"/>
        </w:rPr>
        <w:t>100</w:t>
      </w:r>
      <w:r>
        <w:rPr>
          <w:rStyle w:val="19"/>
          <w:rFonts w:ascii="仿宋" w:hAnsi="仿宋" w:eastAsia="仿宋"/>
          <w:b w:val="0"/>
          <w:bCs/>
          <w:color w:val="auto"/>
          <w:sz w:val="32"/>
          <w:szCs w:val="32"/>
        </w:rPr>
        <w:t>%</w:t>
      </w:r>
      <w:r>
        <w:rPr>
          <w:rStyle w:val="19"/>
          <w:rFonts w:hint="eastAsia" w:ascii="仿宋" w:hAnsi="仿宋" w:eastAsia="仿宋"/>
          <w:b w:val="0"/>
          <w:bCs/>
          <w:color w:val="auto"/>
          <w:sz w:val="32"/>
          <w:szCs w:val="32"/>
        </w:rPr>
        <w:t>，决算数等于预算数。</w:t>
      </w:r>
    </w:p>
    <w:p>
      <w:pPr>
        <w:spacing w:line="600" w:lineRule="exact"/>
        <w:ind w:firstLine="642" w:firstLineChars="200"/>
        <w:rPr>
          <w:rFonts w:ascii="仿宋" w:hAnsi="仿宋" w:eastAsia="仿宋"/>
          <w:b/>
          <w:color w:val="auto"/>
          <w:sz w:val="32"/>
          <w:szCs w:val="32"/>
        </w:rPr>
      </w:pPr>
      <w:r>
        <w:rPr>
          <w:rStyle w:val="19"/>
          <w:rFonts w:hint="eastAsia" w:ascii="仿宋" w:hAnsi="仿宋" w:eastAsia="仿宋"/>
          <w:bCs/>
          <w:color w:val="auto"/>
          <w:sz w:val="32"/>
          <w:szCs w:val="32"/>
          <w:lang w:val="en-US" w:eastAsia="zh-CN"/>
        </w:rPr>
        <w:t>4</w:t>
      </w:r>
      <w:r>
        <w:rPr>
          <w:rStyle w:val="19"/>
          <w:rFonts w:ascii="仿宋" w:hAnsi="仿宋" w:eastAsia="仿宋"/>
          <w:bCs/>
          <w:color w:val="auto"/>
          <w:sz w:val="32"/>
          <w:szCs w:val="32"/>
        </w:rPr>
        <w:t>.</w:t>
      </w:r>
      <w:r>
        <w:rPr>
          <w:rStyle w:val="19"/>
          <w:rFonts w:hint="eastAsia" w:ascii="仿宋" w:hAnsi="仿宋" w:eastAsia="仿宋"/>
          <w:bCs/>
          <w:color w:val="auto"/>
          <w:sz w:val="32"/>
          <w:szCs w:val="32"/>
        </w:rPr>
        <w:t>社会保障和就业支出（类）行政事业单位养老支出（款）机关事业单位职业年金缴费支出（项）</w:t>
      </w:r>
      <w:r>
        <w:rPr>
          <w:rStyle w:val="19"/>
          <w:rFonts w:ascii="仿宋" w:hAnsi="仿宋" w:eastAsia="仿宋"/>
          <w:bCs/>
          <w:color w:val="auto"/>
          <w:sz w:val="32"/>
          <w:szCs w:val="32"/>
        </w:rPr>
        <w:t>:</w:t>
      </w:r>
      <w:r>
        <w:rPr>
          <w:rStyle w:val="19"/>
          <w:rFonts w:ascii="仿宋" w:hAnsi="仿宋" w:eastAsia="仿宋"/>
          <w:b w:val="0"/>
          <w:bCs/>
          <w:color w:val="auto"/>
          <w:sz w:val="32"/>
          <w:szCs w:val="32"/>
        </w:rPr>
        <w:t xml:space="preserve"> </w:t>
      </w:r>
      <w:r>
        <w:rPr>
          <w:rStyle w:val="19"/>
          <w:rFonts w:hint="eastAsia" w:ascii="仿宋" w:hAnsi="仿宋" w:eastAsia="仿宋"/>
          <w:b w:val="0"/>
          <w:bCs/>
          <w:color w:val="auto"/>
          <w:sz w:val="32"/>
          <w:szCs w:val="32"/>
        </w:rPr>
        <w:t>支出决算为</w:t>
      </w:r>
      <w:r>
        <w:rPr>
          <w:rStyle w:val="19"/>
          <w:rFonts w:hint="eastAsia" w:ascii="仿宋" w:hAnsi="仿宋" w:eastAsia="仿宋"/>
          <w:b w:val="0"/>
          <w:bCs/>
          <w:color w:val="auto"/>
          <w:sz w:val="32"/>
          <w:szCs w:val="32"/>
          <w:lang w:val="en-US" w:eastAsia="zh-CN"/>
        </w:rPr>
        <w:t>8.63</w:t>
      </w:r>
      <w:r>
        <w:rPr>
          <w:rStyle w:val="19"/>
          <w:rFonts w:hint="eastAsia" w:ascii="仿宋" w:hAnsi="仿宋" w:eastAsia="仿宋"/>
          <w:b w:val="0"/>
          <w:bCs/>
          <w:color w:val="auto"/>
          <w:sz w:val="32"/>
          <w:szCs w:val="32"/>
        </w:rPr>
        <w:t>万元，完成预算</w:t>
      </w:r>
      <w:r>
        <w:rPr>
          <w:rStyle w:val="19"/>
          <w:rFonts w:hint="eastAsia" w:ascii="仿宋" w:hAnsi="仿宋" w:eastAsia="仿宋"/>
          <w:b w:val="0"/>
          <w:bCs/>
          <w:color w:val="auto"/>
          <w:sz w:val="32"/>
          <w:szCs w:val="32"/>
          <w:lang w:val="en-US" w:eastAsia="zh-CN"/>
        </w:rPr>
        <w:t>100</w:t>
      </w:r>
      <w:r>
        <w:rPr>
          <w:rStyle w:val="19"/>
          <w:rFonts w:ascii="仿宋" w:hAnsi="仿宋" w:eastAsia="仿宋"/>
          <w:b w:val="0"/>
          <w:bCs/>
          <w:color w:val="auto"/>
          <w:sz w:val="32"/>
          <w:szCs w:val="32"/>
        </w:rPr>
        <w:t>%</w:t>
      </w:r>
      <w:r>
        <w:rPr>
          <w:rStyle w:val="19"/>
          <w:rFonts w:hint="eastAsia" w:ascii="仿宋" w:hAnsi="仿宋" w:eastAsia="仿宋"/>
          <w:b w:val="0"/>
          <w:bCs/>
          <w:color w:val="auto"/>
          <w:sz w:val="32"/>
          <w:szCs w:val="32"/>
        </w:rPr>
        <w:t>，决算数等于预算数。</w:t>
      </w:r>
    </w:p>
    <w:p>
      <w:pPr>
        <w:spacing w:line="600" w:lineRule="exact"/>
        <w:ind w:firstLine="642" w:firstLineChars="200"/>
        <w:rPr>
          <w:rStyle w:val="19"/>
          <w:rFonts w:hint="eastAsia" w:ascii="仿宋" w:hAnsi="仿宋" w:eastAsia="仿宋"/>
          <w:b w:val="0"/>
          <w:bCs/>
          <w:color w:val="auto"/>
          <w:sz w:val="32"/>
          <w:szCs w:val="32"/>
        </w:rPr>
      </w:pPr>
      <w:r>
        <w:rPr>
          <w:rStyle w:val="19"/>
          <w:rFonts w:hint="eastAsia" w:ascii="仿宋" w:hAnsi="仿宋" w:eastAsia="仿宋"/>
          <w:bCs/>
          <w:color w:val="auto"/>
          <w:sz w:val="32"/>
          <w:szCs w:val="32"/>
          <w:lang w:val="en-US" w:eastAsia="zh-CN"/>
        </w:rPr>
        <w:t>5</w:t>
      </w:r>
      <w:r>
        <w:rPr>
          <w:rStyle w:val="19"/>
          <w:rFonts w:ascii="仿宋" w:hAnsi="仿宋" w:eastAsia="仿宋"/>
          <w:bCs/>
          <w:color w:val="auto"/>
          <w:sz w:val="32"/>
          <w:szCs w:val="32"/>
        </w:rPr>
        <w:t>.</w:t>
      </w:r>
      <w:r>
        <w:rPr>
          <w:rFonts w:hint="eastAsia" w:ascii="仿宋" w:hAnsi="仿宋" w:eastAsia="仿宋"/>
          <w:b/>
          <w:bCs/>
          <w:color w:val="auto"/>
          <w:sz w:val="32"/>
          <w:szCs w:val="32"/>
        </w:rPr>
        <w:t>卫生健康</w:t>
      </w:r>
      <w:r>
        <w:rPr>
          <w:rStyle w:val="19"/>
          <w:rFonts w:hint="eastAsia" w:ascii="仿宋" w:hAnsi="仿宋" w:eastAsia="仿宋"/>
          <w:bCs/>
          <w:color w:val="auto"/>
          <w:sz w:val="32"/>
          <w:szCs w:val="32"/>
        </w:rPr>
        <w:t>（类）行政事业单位医疗（款）行政单位医疗（项）</w:t>
      </w:r>
      <w:r>
        <w:rPr>
          <w:rStyle w:val="19"/>
          <w:rFonts w:ascii="仿宋" w:hAnsi="仿宋" w:eastAsia="仿宋"/>
          <w:bCs/>
          <w:color w:val="auto"/>
          <w:sz w:val="32"/>
          <w:szCs w:val="32"/>
        </w:rPr>
        <w:t>:</w:t>
      </w:r>
      <w:r>
        <w:rPr>
          <w:rStyle w:val="19"/>
          <w:rFonts w:hint="eastAsia" w:ascii="仿宋" w:hAnsi="仿宋" w:eastAsia="仿宋"/>
          <w:b w:val="0"/>
          <w:bCs/>
          <w:color w:val="auto"/>
          <w:sz w:val="32"/>
          <w:szCs w:val="32"/>
        </w:rPr>
        <w:t>支出决算为</w:t>
      </w:r>
      <w:r>
        <w:rPr>
          <w:rStyle w:val="19"/>
          <w:rFonts w:hint="eastAsia" w:ascii="仿宋" w:hAnsi="仿宋" w:eastAsia="仿宋"/>
          <w:b w:val="0"/>
          <w:bCs/>
          <w:color w:val="auto"/>
          <w:sz w:val="32"/>
          <w:szCs w:val="32"/>
          <w:lang w:val="en-US" w:eastAsia="zh-CN"/>
        </w:rPr>
        <w:t>5.26</w:t>
      </w:r>
      <w:r>
        <w:rPr>
          <w:rStyle w:val="19"/>
          <w:rFonts w:hint="eastAsia" w:ascii="仿宋" w:hAnsi="仿宋" w:eastAsia="仿宋"/>
          <w:b w:val="0"/>
          <w:bCs/>
          <w:color w:val="auto"/>
          <w:sz w:val="32"/>
          <w:szCs w:val="32"/>
        </w:rPr>
        <w:t>万元，完成预算</w:t>
      </w:r>
      <w:r>
        <w:rPr>
          <w:rStyle w:val="19"/>
          <w:rFonts w:hint="eastAsia" w:ascii="仿宋" w:hAnsi="仿宋" w:eastAsia="仿宋"/>
          <w:b w:val="0"/>
          <w:bCs/>
          <w:color w:val="auto"/>
          <w:sz w:val="32"/>
          <w:szCs w:val="32"/>
          <w:lang w:val="en-US" w:eastAsia="zh-CN"/>
        </w:rPr>
        <w:t>100</w:t>
      </w:r>
      <w:r>
        <w:rPr>
          <w:rStyle w:val="19"/>
          <w:rFonts w:ascii="仿宋" w:hAnsi="仿宋" w:eastAsia="仿宋"/>
          <w:b w:val="0"/>
          <w:bCs/>
          <w:color w:val="auto"/>
          <w:sz w:val="32"/>
          <w:szCs w:val="32"/>
        </w:rPr>
        <w:t>%</w:t>
      </w:r>
      <w:r>
        <w:rPr>
          <w:rStyle w:val="19"/>
          <w:rFonts w:hint="eastAsia" w:ascii="仿宋" w:hAnsi="仿宋" w:eastAsia="仿宋"/>
          <w:b w:val="0"/>
          <w:bCs/>
          <w:color w:val="auto"/>
          <w:sz w:val="32"/>
          <w:szCs w:val="32"/>
        </w:rPr>
        <w:t>，决算数等于预算数。</w:t>
      </w:r>
    </w:p>
    <w:p>
      <w:pPr>
        <w:spacing w:line="600" w:lineRule="exact"/>
        <w:ind w:firstLine="642" w:firstLineChars="200"/>
        <w:rPr>
          <w:rFonts w:ascii="仿宋" w:hAnsi="仿宋" w:eastAsia="仿宋"/>
          <w:b/>
          <w:color w:val="auto"/>
          <w:sz w:val="32"/>
          <w:szCs w:val="32"/>
        </w:rPr>
      </w:pPr>
      <w:r>
        <w:rPr>
          <w:rStyle w:val="19"/>
          <w:rFonts w:ascii="仿宋" w:hAnsi="仿宋" w:eastAsia="仿宋"/>
          <w:bCs/>
          <w:color w:val="auto"/>
          <w:sz w:val="32"/>
          <w:szCs w:val="32"/>
        </w:rPr>
        <w:t>6.</w:t>
      </w:r>
      <w:r>
        <w:rPr>
          <w:rFonts w:hint="eastAsia" w:ascii="仿宋" w:hAnsi="仿宋" w:eastAsia="仿宋"/>
          <w:b/>
          <w:bCs/>
          <w:color w:val="auto"/>
          <w:sz w:val="32"/>
          <w:szCs w:val="32"/>
        </w:rPr>
        <w:t>卫生健康</w:t>
      </w:r>
      <w:r>
        <w:rPr>
          <w:rStyle w:val="19"/>
          <w:rFonts w:hint="eastAsia" w:ascii="仿宋" w:hAnsi="仿宋" w:eastAsia="仿宋"/>
          <w:bCs/>
          <w:color w:val="auto"/>
          <w:sz w:val="32"/>
          <w:szCs w:val="32"/>
        </w:rPr>
        <w:t>（类）行政事业单位医疗（款）</w:t>
      </w:r>
      <w:r>
        <w:rPr>
          <w:rStyle w:val="19"/>
          <w:rFonts w:hint="eastAsia" w:ascii="仿宋" w:hAnsi="仿宋" w:eastAsia="仿宋"/>
          <w:bCs/>
          <w:color w:val="auto"/>
          <w:sz w:val="32"/>
          <w:szCs w:val="32"/>
          <w:lang w:val="en-US" w:eastAsia="zh-CN"/>
        </w:rPr>
        <w:t>事业</w:t>
      </w:r>
      <w:r>
        <w:rPr>
          <w:rStyle w:val="19"/>
          <w:rFonts w:hint="eastAsia" w:ascii="仿宋" w:hAnsi="仿宋" w:eastAsia="仿宋"/>
          <w:bCs/>
          <w:color w:val="auto"/>
          <w:sz w:val="32"/>
          <w:szCs w:val="32"/>
        </w:rPr>
        <w:t>单位医疗（项）</w:t>
      </w:r>
      <w:r>
        <w:rPr>
          <w:rStyle w:val="19"/>
          <w:rFonts w:ascii="仿宋" w:hAnsi="仿宋" w:eastAsia="仿宋"/>
          <w:bCs/>
          <w:color w:val="auto"/>
          <w:sz w:val="32"/>
          <w:szCs w:val="32"/>
        </w:rPr>
        <w:t>:</w:t>
      </w:r>
      <w:r>
        <w:rPr>
          <w:rStyle w:val="19"/>
          <w:rFonts w:hint="eastAsia" w:ascii="仿宋" w:hAnsi="仿宋" w:eastAsia="仿宋"/>
          <w:b w:val="0"/>
          <w:bCs/>
          <w:color w:val="auto"/>
          <w:sz w:val="32"/>
          <w:szCs w:val="32"/>
        </w:rPr>
        <w:t>支出决算为</w:t>
      </w:r>
      <w:r>
        <w:rPr>
          <w:rStyle w:val="19"/>
          <w:rFonts w:hint="eastAsia" w:ascii="仿宋" w:hAnsi="仿宋" w:eastAsia="仿宋"/>
          <w:b w:val="0"/>
          <w:bCs/>
          <w:color w:val="auto"/>
          <w:sz w:val="32"/>
          <w:szCs w:val="32"/>
          <w:lang w:val="en-US" w:eastAsia="zh-CN"/>
        </w:rPr>
        <w:t>2.21</w:t>
      </w:r>
      <w:r>
        <w:rPr>
          <w:rStyle w:val="19"/>
          <w:rFonts w:hint="eastAsia" w:ascii="仿宋" w:hAnsi="仿宋" w:eastAsia="仿宋"/>
          <w:b w:val="0"/>
          <w:bCs/>
          <w:color w:val="auto"/>
          <w:sz w:val="32"/>
          <w:szCs w:val="32"/>
        </w:rPr>
        <w:t>万元，完成预算</w:t>
      </w:r>
      <w:r>
        <w:rPr>
          <w:rStyle w:val="19"/>
          <w:rFonts w:hint="eastAsia" w:ascii="仿宋" w:hAnsi="仿宋" w:eastAsia="仿宋"/>
          <w:b w:val="0"/>
          <w:bCs/>
          <w:color w:val="auto"/>
          <w:sz w:val="32"/>
          <w:szCs w:val="32"/>
          <w:lang w:val="en-US" w:eastAsia="zh-CN"/>
        </w:rPr>
        <w:t>100</w:t>
      </w:r>
      <w:r>
        <w:rPr>
          <w:rStyle w:val="19"/>
          <w:rFonts w:ascii="仿宋" w:hAnsi="仿宋" w:eastAsia="仿宋"/>
          <w:b w:val="0"/>
          <w:bCs/>
          <w:color w:val="auto"/>
          <w:sz w:val="32"/>
          <w:szCs w:val="32"/>
        </w:rPr>
        <w:t>%</w:t>
      </w:r>
      <w:r>
        <w:rPr>
          <w:rStyle w:val="19"/>
          <w:rFonts w:hint="eastAsia" w:ascii="仿宋" w:hAnsi="仿宋" w:eastAsia="仿宋"/>
          <w:b w:val="0"/>
          <w:bCs/>
          <w:color w:val="auto"/>
          <w:sz w:val="32"/>
          <w:szCs w:val="32"/>
        </w:rPr>
        <w:t>，决算数等于预算数。</w:t>
      </w:r>
    </w:p>
    <w:p>
      <w:pPr>
        <w:pStyle w:val="14"/>
        <w:rPr>
          <w:color w:val="auto"/>
        </w:rPr>
      </w:pPr>
    </w:p>
    <w:p>
      <w:pPr>
        <w:numPr>
          <w:ilvl w:val="0"/>
          <w:numId w:val="0"/>
        </w:numPr>
        <w:spacing w:line="600" w:lineRule="exact"/>
        <w:ind w:firstLine="642" w:firstLineChars="200"/>
        <w:rPr>
          <w:rStyle w:val="19"/>
          <w:rFonts w:hint="eastAsia" w:ascii="仿宋" w:hAnsi="仿宋" w:eastAsia="仿宋"/>
          <w:b w:val="0"/>
          <w:bCs/>
          <w:color w:val="auto"/>
          <w:sz w:val="32"/>
          <w:szCs w:val="32"/>
        </w:rPr>
      </w:pPr>
      <w:r>
        <w:rPr>
          <w:rFonts w:hint="eastAsia" w:ascii="仿宋" w:hAnsi="仿宋" w:eastAsia="仿宋"/>
          <w:b/>
          <w:bCs/>
          <w:color w:val="auto"/>
          <w:sz w:val="32"/>
          <w:szCs w:val="32"/>
          <w:lang w:val="en-US" w:eastAsia="zh-CN"/>
        </w:rPr>
        <w:t>7.</w:t>
      </w:r>
      <w:r>
        <w:rPr>
          <w:rFonts w:hint="eastAsia" w:ascii="仿宋" w:hAnsi="仿宋" w:eastAsia="仿宋"/>
          <w:b/>
          <w:bCs/>
          <w:color w:val="auto"/>
          <w:sz w:val="32"/>
          <w:szCs w:val="32"/>
        </w:rPr>
        <w:t>卫生健康</w:t>
      </w:r>
      <w:r>
        <w:rPr>
          <w:rStyle w:val="19"/>
          <w:rFonts w:hint="eastAsia" w:ascii="仿宋" w:hAnsi="仿宋" w:eastAsia="仿宋"/>
          <w:bCs/>
          <w:color w:val="auto"/>
          <w:sz w:val="32"/>
          <w:szCs w:val="32"/>
        </w:rPr>
        <w:t>（类）行政事业单位医疗（款）公务员医疗补助（项）</w:t>
      </w:r>
      <w:r>
        <w:rPr>
          <w:rStyle w:val="19"/>
          <w:rFonts w:ascii="仿宋" w:hAnsi="仿宋" w:eastAsia="仿宋"/>
          <w:bCs/>
          <w:color w:val="auto"/>
          <w:sz w:val="32"/>
          <w:szCs w:val="32"/>
        </w:rPr>
        <w:t>:</w:t>
      </w:r>
      <w:r>
        <w:rPr>
          <w:rStyle w:val="19"/>
          <w:rFonts w:hint="eastAsia" w:ascii="仿宋" w:hAnsi="仿宋" w:eastAsia="仿宋"/>
          <w:b w:val="0"/>
          <w:bCs/>
          <w:color w:val="auto"/>
          <w:sz w:val="32"/>
          <w:szCs w:val="32"/>
        </w:rPr>
        <w:t>支出决算为</w:t>
      </w:r>
      <w:r>
        <w:rPr>
          <w:rStyle w:val="19"/>
          <w:rFonts w:hint="eastAsia" w:ascii="仿宋" w:hAnsi="仿宋" w:eastAsia="仿宋"/>
          <w:b w:val="0"/>
          <w:bCs/>
          <w:color w:val="auto"/>
          <w:sz w:val="32"/>
          <w:szCs w:val="32"/>
          <w:lang w:val="en-US" w:eastAsia="zh-CN"/>
        </w:rPr>
        <w:t>0.86</w:t>
      </w:r>
      <w:r>
        <w:rPr>
          <w:rStyle w:val="19"/>
          <w:rFonts w:hint="eastAsia" w:ascii="仿宋" w:hAnsi="仿宋" w:eastAsia="仿宋"/>
          <w:b w:val="0"/>
          <w:bCs/>
          <w:color w:val="auto"/>
          <w:sz w:val="32"/>
          <w:szCs w:val="32"/>
        </w:rPr>
        <w:t>万元，完成预算</w:t>
      </w:r>
      <w:r>
        <w:rPr>
          <w:rStyle w:val="19"/>
          <w:rFonts w:hint="eastAsia" w:ascii="仿宋" w:hAnsi="仿宋" w:eastAsia="仿宋"/>
          <w:b w:val="0"/>
          <w:bCs/>
          <w:color w:val="auto"/>
          <w:sz w:val="32"/>
          <w:szCs w:val="32"/>
          <w:lang w:val="en-US" w:eastAsia="zh-CN"/>
        </w:rPr>
        <w:t>100</w:t>
      </w:r>
      <w:r>
        <w:rPr>
          <w:rStyle w:val="19"/>
          <w:rFonts w:ascii="仿宋" w:hAnsi="仿宋" w:eastAsia="仿宋"/>
          <w:b w:val="0"/>
          <w:bCs/>
          <w:color w:val="auto"/>
          <w:sz w:val="32"/>
          <w:szCs w:val="32"/>
        </w:rPr>
        <w:t>%</w:t>
      </w:r>
      <w:r>
        <w:rPr>
          <w:rStyle w:val="19"/>
          <w:rFonts w:hint="eastAsia" w:ascii="仿宋" w:hAnsi="仿宋" w:eastAsia="仿宋"/>
          <w:b w:val="0"/>
          <w:bCs/>
          <w:color w:val="auto"/>
          <w:sz w:val="32"/>
          <w:szCs w:val="32"/>
        </w:rPr>
        <w:t>，决算数等于预算数。</w:t>
      </w:r>
    </w:p>
    <w:p>
      <w:pPr>
        <w:numPr>
          <w:ilvl w:val="0"/>
          <w:numId w:val="0"/>
        </w:numPr>
        <w:spacing w:line="600" w:lineRule="exact"/>
        <w:ind w:left="0" w:leftChars="0" w:firstLine="642" w:firstLineChars="200"/>
        <w:rPr>
          <w:rStyle w:val="19"/>
          <w:rFonts w:hint="eastAsia" w:ascii="仿宋" w:hAnsi="仿宋" w:eastAsia="仿宋"/>
          <w:b w:val="0"/>
          <w:bCs/>
          <w:color w:val="auto"/>
          <w:sz w:val="32"/>
          <w:szCs w:val="32"/>
        </w:rPr>
      </w:pPr>
      <w:r>
        <w:rPr>
          <w:rFonts w:hint="eastAsia" w:ascii="仿宋" w:hAnsi="仿宋" w:eastAsia="仿宋"/>
          <w:b/>
          <w:bCs/>
          <w:color w:val="auto"/>
          <w:sz w:val="32"/>
          <w:szCs w:val="32"/>
          <w:lang w:val="en-US" w:eastAsia="zh-CN"/>
        </w:rPr>
        <w:t>8.</w:t>
      </w:r>
      <w:r>
        <w:rPr>
          <w:rFonts w:hint="eastAsia" w:ascii="仿宋" w:hAnsi="仿宋" w:eastAsia="仿宋"/>
          <w:b/>
          <w:bCs/>
          <w:color w:val="auto"/>
          <w:sz w:val="32"/>
          <w:szCs w:val="32"/>
        </w:rPr>
        <w:t>卫生健康</w:t>
      </w:r>
      <w:r>
        <w:rPr>
          <w:rStyle w:val="19"/>
          <w:rFonts w:hint="eastAsia" w:ascii="仿宋" w:hAnsi="仿宋" w:eastAsia="仿宋"/>
          <w:bCs/>
          <w:color w:val="auto"/>
          <w:sz w:val="32"/>
          <w:szCs w:val="32"/>
        </w:rPr>
        <w:t>（类）行政事业单位医疗（款）其他行政事业单位医疗支出（项）</w:t>
      </w:r>
      <w:r>
        <w:rPr>
          <w:rStyle w:val="19"/>
          <w:rFonts w:ascii="仿宋" w:hAnsi="仿宋" w:eastAsia="仿宋"/>
          <w:bCs/>
          <w:color w:val="auto"/>
          <w:sz w:val="32"/>
          <w:szCs w:val="32"/>
        </w:rPr>
        <w:t>:</w:t>
      </w:r>
      <w:r>
        <w:rPr>
          <w:rStyle w:val="19"/>
          <w:rFonts w:hint="eastAsia" w:ascii="仿宋" w:hAnsi="仿宋" w:eastAsia="仿宋"/>
          <w:b w:val="0"/>
          <w:bCs/>
          <w:color w:val="auto"/>
          <w:sz w:val="32"/>
          <w:szCs w:val="32"/>
        </w:rPr>
        <w:t>支出决算为</w:t>
      </w:r>
      <w:r>
        <w:rPr>
          <w:rStyle w:val="19"/>
          <w:rFonts w:hint="eastAsia" w:ascii="仿宋" w:hAnsi="仿宋" w:eastAsia="仿宋"/>
          <w:b w:val="0"/>
          <w:bCs/>
          <w:color w:val="auto"/>
          <w:sz w:val="32"/>
          <w:szCs w:val="32"/>
          <w:lang w:val="en-US" w:eastAsia="zh-CN"/>
        </w:rPr>
        <w:t>0.73</w:t>
      </w:r>
      <w:r>
        <w:rPr>
          <w:rStyle w:val="19"/>
          <w:rFonts w:hint="eastAsia" w:ascii="仿宋" w:hAnsi="仿宋" w:eastAsia="仿宋"/>
          <w:b w:val="0"/>
          <w:bCs/>
          <w:color w:val="auto"/>
          <w:sz w:val="32"/>
          <w:szCs w:val="32"/>
        </w:rPr>
        <w:t>万元，完成预算</w:t>
      </w:r>
      <w:r>
        <w:rPr>
          <w:rStyle w:val="19"/>
          <w:rFonts w:hint="eastAsia" w:ascii="仿宋" w:hAnsi="仿宋" w:eastAsia="仿宋"/>
          <w:b w:val="0"/>
          <w:bCs/>
          <w:color w:val="auto"/>
          <w:sz w:val="32"/>
          <w:szCs w:val="32"/>
          <w:lang w:val="en-US" w:eastAsia="zh-CN"/>
        </w:rPr>
        <w:t>100</w:t>
      </w:r>
      <w:r>
        <w:rPr>
          <w:rStyle w:val="19"/>
          <w:rFonts w:ascii="仿宋" w:hAnsi="仿宋" w:eastAsia="仿宋"/>
          <w:b w:val="0"/>
          <w:bCs/>
          <w:color w:val="auto"/>
          <w:sz w:val="32"/>
          <w:szCs w:val="32"/>
        </w:rPr>
        <w:t>%</w:t>
      </w:r>
      <w:r>
        <w:rPr>
          <w:rStyle w:val="19"/>
          <w:rFonts w:hint="eastAsia" w:ascii="仿宋" w:hAnsi="仿宋" w:eastAsia="仿宋"/>
          <w:b w:val="0"/>
          <w:bCs/>
          <w:color w:val="auto"/>
          <w:sz w:val="32"/>
          <w:szCs w:val="32"/>
        </w:rPr>
        <w:t>，决算数等于预算数。</w:t>
      </w:r>
    </w:p>
    <w:p>
      <w:pPr>
        <w:numPr>
          <w:ilvl w:val="0"/>
          <w:numId w:val="0"/>
        </w:numPr>
        <w:spacing w:line="600" w:lineRule="exact"/>
        <w:ind w:left="0" w:leftChars="0" w:firstLine="640" w:firstLineChars="200"/>
        <w:rPr>
          <w:rFonts w:hint="eastAsia" w:ascii="Times New Roman" w:hAnsi="Times New Roman" w:eastAsia="仿宋_GB2312" w:cs="仿宋_GB2312"/>
          <w:color w:val="auto"/>
          <w:kern w:val="2"/>
          <w:sz w:val="32"/>
          <w:szCs w:val="32"/>
          <w:highlight w:val="none"/>
          <w:lang w:val="en-US" w:eastAsia="zh-CN" w:bidi="ar-SA"/>
        </w:rPr>
      </w:pPr>
      <w:r>
        <w:rPr>
          <w:rStyle w:val="19"/>
          <w:rFonts w:hint="eastAsia" w:ascii="仿宋" w:hAnsi="仿宋" w:eastAsia="仿宋"/>
          <w:b w:val="0"/>
          <w:bCs/>
          <w:color w:val="auto"/>
          <w:sz w:val="32"/>
          <w:szCs w:val="32"/>
          <w:lang w:val="en-US" w:eastAsia="zh-CN"/>
        </w:rPr>
        <w:t>9.</w:t>
      </w:r>
      <w:r>
        <w:rPr>
          <w:rFonts w:hint="eastAsia" w:ascii="仿宋" w:hAnsi="仿宋" w:eastAsia="仿宋" w:cs="Times New Roman"/>
          <w:b/>
          <w:bCs/>
          <w:color w:val="auto"/>
          <w:kern w:val="2"/>
          <w:sz w:val="32"/>
          <w:szCs w:val="32"/>
          <w:lang w:val="en-US" w:eastAsia="zh-CN" w:bidi="ar-SA"/>
        </w:rPr>
        <w:t>住房保障支出（类）住房改革支出（款）住房公积金（项）：</w:t>
      </w:r>
      <w:r>
        <w:rPr>
          <w:rStyle w:val="19"/>
          <w:rFonts w:hint="eastAsia" w:ascii="仿宋" w:hAnsi="仿宋" w:eastAsia="仿宋"/>
          <w:b w:val="0"/>
          <w:bCs/>
          <w:color w:val="auto"/>
          <w:sz w:val="32"/>
          <w:szCs w:val="32"/>
        </w:rPr>
        <w:t>支出决算为</w:t>
      </w:r>
      <w:r>
        <w:rPr>
          <w:rStyle w:val="19"/>
          <w:rFonts w:hint="eastAsia" w:ascii="仿宋" w:hAnsi="仿宋" w:eastAsia="仿宋"/>
          <w:b w:val="0"/>
          <w:bCs/>
          <w:color w:val="auto"/>
          <w:sz w:val="32"/>
          <w:szCs w:val="32"/>
          <w:lang w:val="en-US" w:eastAsia="zh-CN"/>
        </w:rPr>
        <w:t>14.64</w:t>
      </w:r>
      <w:r>
        <w:rPr>
          <w:rStyle w:val="19"/>
          <w:rFonts w:hint="eastAsia" w:ascii="仿宋" w:hAnsi="仿宋" w:eastAsia="仿宋"/>
          <w:b w:val="0"/>
          <w:bCs/>
          <w:color w:val="auto"/>
          <w:sz w:val="32"/>
          <w:szCs w:val="32"/>
        </w:rPr>
        <w:t>万元，完成预算</w:t>
      </w:r>
      <w:r>
        <w:rPr>
          <w:rStyle w:val="19"/>
          <w:rFonts w:hint="eastAsia" w:ascii="仿宋" w:hAnsi="仿宋" w:eastAsia="仿宋"/>
          <w:b w:val="0"/>
          <w:bCs/>
          <w:color w:val="auto"/>
          <w:sz w:val="32"/>
          <w:szCs w:val="32"/>
          <w:lang w:val="en-US" w:eastAsia="zh-CN"/>
        </w:rPr>
        <w:t>100</w:t>
      </w:r>
      <w:r>
        <w:rPr>
          <w:rStyle w:val="19"/>
          <w:rFonts w:ascii="仿宋" w:hAnsi="仿宋" w:eastAsia="仿宋"/>
          <w:b w:val="0"/>
          <w:bCs/>
          <w:color w:val="auto"/>
          <w:sz w:val="32"/>
          <w:szCs w:val="32"/>
        </w:rPr>
        <w:t>%</w:t>
      </w:r>
      <w:r>
        <w:rPr>
          <w:rStyle w:val="19"/>
          <w:rFonts w:hint="eastAsia" w:ascii="仿宋" w:hAnsi="仿宋" w:eastAsia="仿宋"/>
          <w:b w:val="0"/>
          <w:bCs/>
          <w:color w:val="auto"/>
          <w:sz w:val="32"/>
          <w:szCs w:val="32"/>
        </w:rPr>
        <w:t>，决算数等于预算数。</w:t>
      </w:r>
    </w:p>
    <w:p>
      <w:pPr>
        <w:tabs>
          <w:tab w:val="right" w:pos="8306"/>
        </w:tabs>
        <w:spacing w:line="600" w:lineRule="exact"/>
        <w:ind w:firstLine="640"/>
        <w:outlineLvl w:val="1"/>
        <w:rPr>
          <w:rStyle w:val="31"/>
          <w:rFonts w:ascii="Times New Roman" w:hAnsi="Times New Roman"/>
          <w:color w:val="auto"/>
          <w:highlight w:val="none"/>
        </w:rPr>
      </w:pPr>
      <w:bookmarkStart w:id="25" w:name="_Toc15377214"/>
      <w:bookmarkStart w:id="26"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25"/>
      <w:bookmarkEnd w:id="26"/>
      <w:r>
        <w:rPr>
          <w:rStyle w:val="31"/>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192.16</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180.84</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万元，主要包括：基本工资、津贴补贴、奖金、绩效工资、机关事业单位基本养老保险缴费、职业年金缴费、其他社会保障缴费、</w:t>
      </w:r>
      <w:r>
        <w:rPr>
          <w:rFonts w:hint="eastAsia" w:eastAsia="仿宋_GB2312" w:cs="仿宋_GB2312"/>
          <w:color w:val="auto"/>
          <w:kern w:val="2"/>
          <w:sz w:val="32"/>
          <w:szCs w:val="32"/>
          <w:highlight w:val="none"/>
          <w:lang w:val="en-US" w:eastAsia="zh-CN" w:bidi="ar-SA"/>
        </w:rPr>
        <w:t>公务员医疗补助、</w:t>
      </w:r>
      <w:r>
        <w:rPr>
          <w:rFonts w:hint="eastAsia" w:ascii="Times New Roman" w:hAnsi="Times New Roman" w:eastAsia="仿宋_GB2312" w:cs="仿宋_GB2312"/>
          <w:color w:val="auto"/>
          <w:kern w:val="2"/>
          <w:sz w:val="32"/>
          <w:szCs w:val="32"/>
          <w:highlight w:val="none"/>
          <w:lang w:val="en-US" w:eastAsia="zh-CN" w:bidi="ar-SA"/>
        </w:rPr>
        <w:t>住房公积金支出等。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11.32</w:t>
      </w:r>
      <w:r>
        <w:rPr>
          <w:rFonts w:hint="eastAsia" w:ascii="Times New Roman" w:hAnsi="Times New Roman" w:eastAsia="仿宋_GB2312" w:cs="仿宋_GB2312"/>
          <w:color w:val="auto"/>
          <w:kern w:val="2"/>
          <w:sz w:val="32"/>
          <w:szCs w:val="32"/>
          <w:highlight w:val="none"/>
          <w:lang w:val="en-US" w:eastAsia="zh-CN" w:bidi="ar-SA"/>
        </w:rPr>
        <w:t>万元，主要包括：办公费、印刷费、电费、邮电费、差旅费支出等。</w:t>
      </w:r>
    </w:p>
    <w:p>
      <w:pPr>
        <w:spacing w:line="600" w:lineRule="exact"/>
        <w:ind w:firstLine="640"/>
        <w:outlineLvl w:val="1"/>
        <w:rPr>
          <w:rStyle w:val="31"/>
          <w:rFonts w:ascii="Times New Roman" w:hAnsi="Times New Roman" w:eastAsia="黑体"/>
          <w:b w:val="0"/>
          <w:color w:val="auto"/>
          <w:highlight w:val="none"/>
        </w:rPr>
      </w:pPr>
      <w:bookmarkStart w:id="27" w:name="_Toc15396609"/>
      <w:bookmarkStart w:id="28" w:name="_Toc15377215"/>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27"/>
      <w:bookmarkEnd w:id="28"/>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9"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2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2025年度财政拨款“三公”经费支出决算为0万元，预算为0万元，预算执行率为0%，较上年持平，无增减变动。</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本年度“三公”经费决算数与预算数持平，主要原因是：本单位本年度无公务用车购置及运行维护、无公务接待、无因公出国（境）等</w:t>
      </w:r>
      <w:r>
        <w:rPr>
          <w:rFonts w:hint="eastAsia" w:eastAsia="仿宋_GB2312" w:cs="仿宋_GB2312"/>
          <w:color w:val="auto"/>
          <w:kern w:val="2"/>
          <w:sz w:val="32"/>
          <w:szCs w:val="32"/>
          <w:highlight w:val="none"/>
          <w:lang w:val="en-US" w:eastAsia="zh-CN" w:bidi="ar-SA"/>
        </w:rPr>
        <w:t>“三公”经费</w:t>
      </w:r>
      <w:r>
        <w:rPr>
          <w:rFonts w:hint="eastAsia" w:ascii="Times New Roman" w:hAnsi="Times New Roman" w:eastAsia="仿宋_GB2312" w:cs="仿宋_GB2312"/>
          <w:color w:val="auto"/>
          <w:kern w:val="2"/>
          <w:sz w:val="32"/>
          <w:szCs w:val="32"/>
          <w:highlight w:val="none"/>
          <w:lang w:val="en-US" w:eastAsia="zh-CN" w:bidi="ar-SA"/>
        </w:rPr>
        <w:t>相关支出，严格落实厉行节约、严控一般性支出的工作要求，从严规范经费使用管理，因此全年</w:t>
      </w:r>
      <w:r>
        <w:rPr>
          <w:rFonts w:hint="eastAsia" w:eastAsia="仿宋_GB2312" w:cs="仿宋_GB2312"/>
          <w:color w:val="auto"/>
          <w:kern w:val="2"/>
          <w:sz w:val="32"/>
          <w:szCs w:val="32"/>
          <w:highlight w:val="none"/>
          <w:lang w:val="en-US" w:eastAsia="zh-CN" w:bidi="ar-SA"/>
        </w:rPr>
        <w:t>“三公”经费</w:t>
      </w:r>
      <w:r>
        <w:rPr>
          <w:rFonts w:hint="eastAsia" w:ascii="Times New Roman" w:hAnsi="Times New Roman" w:eastAsia="仿宋_GB2312" w:cs="仿宋_GB2312"/>
          <w:color w:val="auto"/>
          <w:kern w:val="2"/>
          <w:sz w:val="32"/>
          <w:szCs w:val="32"/>
          <w:highlight w:val="none"/>
          <w:lang w:val="en-US" w:eastAsia="zh-CN" w:bidi="ar-SA"/>
        </w:rPr>
        <w:t>支出为零。</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0"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pPr>
        <w:pStyle w:val="2"/>
        <w:rPr>
          <w:rFonts w:hint="eastAsia"/>
          <w:color w:val="auto"/>
          <w:lang w:val="en-US" w:eastAsia="zh-CN"/>
        </w:rPr>
      </w:pPr>
      <w:r>
        <w:rPr>
          <w:color w:val="auto"/>
        </w:rPr>
        <w:drawing>
          <wp:inline distT="0" distB="0" distL="114300" distR="114300">
            <wp:extent cx="4623435" cy="2080895"/>
            <wp:effectExtent l="4445" t="4445" r="20320" b="10160"/>
            <wp:docPr id="134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numPr>
          <w:ilvl w:val="0"/>
          <w:numId w:val="2"/>
        </w:numPr>
        <w:spacing w:line="600" w:lineRule="exact"/>
        <w:ind w:firstLine="640"/>
        <w:outlineLvl w:val="1"/>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因公出国（境）经费支出</w:t>
      </w:r>
    </w:p>
    <w:p>
      <w:pPr>
        <w:numPr>
          <w:ilvl w:val="0"/>
          <w:numId w:val="0"/>
        </w:numPr>
        <w:spacing w:line="600" w:lineRule="exact"/>
        <w:ind w:firstLine="642" w:firstLineChars="200"/>
        <w:outlineLvl w:val="1"/>
        <w:rPr>
          <w:rFonts w:hint="eastAsia" w:ascii="Times New Roman" w:hAnsi="Times New Roman" w:eastAsia="仿宋_GB2312" w:cs="仿宋_GB2312"/>
          <w:b/>
          <w:bCs/>
          <w:color w:val="auto"/>
          <w:kern w:val="2"/>
          <w:sz w:val="32"/>
          <w:szCs w:val="32"/>
          <w:highlight w:val="none"/>
          <w:lang w:val="en-US" w:eastAsia="zh-CN" w:bidi="ar-SA"/>
        </w:rPr>
      </w:pPr>
      <w:bookmarkStart w:id="31" w:name="_Toc15396610"/>
      <w:bookmarkStart w:id="32" w:name="_Toc15377218"/>
      <w:r>
        <w:rPr>
          <w:rFonts w:hint="eastAsia" w:ascii="Times New Roman" w:hAnsi="Times New Roman" w:eastAsia="仿宋_GB2312" w:cs="仿宋_GB2312"/>
          <w:b/>
          <w:bCs/>
          <w:color w:val="auto"/>
          <w:kern w:val="2"/>
          <w:sz w:val="32"/>
          <w:szCs w:val="32"/>
          <w:highlight w:val="none"/>
          <w:lang w:val="en-US" w:eastAsia="zh-CN" w:bidi="ar-SA"/>
        </w:rPr>
        <w:t>2025年度因公出国（境）经费支出0万元，完成预算0%。全年安排因公出国（境）团组0次，出国（境）0人。因公出国（境）支出决算较上年度持平，无增减变动。</w:t>
      </w:r>
    </w:p>
    <w:p>
      <w:pPr>
        <w:spacing w:line="600" w:lineRule="exact"/>
        <w:ind w:firstLine="640"/>
        <w:outlineLvl w:val="1"/>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主要原因是：本年度本单位无因公出国（境）工作安排，未发生相关经费支出。</w:t>
      </w:r>
    </w:p>
    <w:p>
      <w:pPr>
        <w:spacing w:line="600" w:lineRule="exact"/>
        <w:ind w:firstLine="640"/>
        <w:outlineLvl w:val="1"/>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开支内容包括：本年度无因公出国（境）相关开支。</w:t>
      </w:r>
    </w:p>
    <w:p>
      <w:pPr>
        <w:spacing w:line="600" w:lineRule="exact"/>
        <w:ind w:firstLine="640"/>
        <w:outlineLvl w:val="1"/>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 公务用车购置及运行维护费支出</w:t>
      </w:r>
    </w:p>
    <w:p>
      <w:pPr>
        <w:spacing w:line="600" w:lineRule="exact"/>
        <w:ind w:firstLine="640"/>
        <w:outlineLvl w:val="1"/>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2025年度公务用车购置及运行维护费支出0万元，完成预算0%，较上年度持平，无增减变动。</w:t>
      </w:r>
    </w:p>
    <w:p>
      <w:pPr>
        <w:spacing w:line="600" w:lineRule="exact"/>
        <w:ind w:firstLine="640"/>
        <w:outlineLvl w:val="1"/>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主要原因是：本单位无公务用车编制，未配备公务用车，全年未发生公务用车购置、燃油、维修、保险及通行等相关费用。</w:t>
      </w:r>
    </w:p>
    <w:p>
      <w:pPr>
        <w:spacing w:line="600" w:lineRule="exact"/>
        <w:ind w:firstLine="640"/>
        <w:outlineLvl w:val="1"/>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其中：公务用车购置支出0万元。本年度未购置、未更新任何公务用车。截至2025年12月31日，本单位无公务用车。</w:t>
      </w:r>
    </w:p>
    <w:p>
      <w:pPr>
        <w:spacing w:line="600" w:lineRule="exact"/>
        <w:ind w:firstLine="640"/>
        <w:outlineLvl w:val="1"/>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公务用车运行维护费支出0万元。因本单位未配备公务用车，无相关运行维护保障工作，无燃料费、维修费、过路过桥费、保险费等支出。</w:t>
      </w:r>
    </w:p>
    <w:p>
      <w:pPr>
        <w:spacing w:line="600" w:lineRule="exact"/>
        <w:ind w:firstLine="640"/>
        <w:outlineLvl w:val="1"/>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 公务接待费支出</w:t>
      </w:r>
    </w:p>
    <w:p>
      <w:pPr>
        <w:spacing w:line="600" w:lineRule="exact"/>
        <w:ind w:firstLine="640"/>
        <w:outlineLvl w:val="1"/>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2025年度公务接待费支出0万元，完成预算0%，较上年度持平，无增减变动。</w:t>
      </w:r>
    </w:p>
    <w:p>
      <w:pPr>
        <w:spacing w:line="600" w:lineRule="exact"/>
        <w:ind w:firstLine="640"/>
        <w:outlineLvl w:val="1"/>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主要原因是：本年度严格执行厉行节约制度，规范公务接待管理，全年未发生任何公务接待活动，无接待经费支出。</w:t>
      </w:r>
    </w:p>
    <w:p>
      <w:pPr>
        <w:spacing w:line="600" w:lineRule="exact"/>
        <w:ind w:firstLine="640"/>
        <w:outlineLvl w:val="1"/>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其中：国内公务接待支出0万元，本年度未开展公务接待业务，无接待批次、无接待人次，无相关用餐、交通、住宿等接待支出。外事接待支出0万元，本年度无外事接待工作，未发生外事接待支出。</w:t>
      </w:r>
    </w:p>
    <w:p>
      <w:pPr>
        <w:spacing w:line="600" w:lineRule="exact"/>
        <w:ind w:firstLine="640"/>
        <w:outlineLvl w:val="1"/>
        <w:rPr>
          <w:rStyle w:val="31"/>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31"/>
      <w:bookmarkEnd w:id="3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2025年度政府性基金预算财政拨款支出0万元，占本年支出合计的0%。与上年度相比，支出无增减变动，收支保持持平。本单位无政府性基金预算安排的相关工作任务，故本年度无政府性基金预算财政拨款支出。</w:t>
      </w:r>
    </w:p>
    <w:p>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33" w:name="_Toc15396611"/>
      <w:bookmarkStart w:id="34" w:name="_Toc15377219"/>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33"/>
      <w:bookmarkEnd w:id="3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5" w:name="_Toc15396612"/>
      <w:bookmarkStart w:id="36" w:name="_Toc15377221"/>
      <w:r>
        <w:rPr>
          <w:rFonts w:hint="eastAsia" w:ascii="Times New Roman" w:hAnsi="Times New Roman" w:eastAsia="仿宋_GB2312" w:cs="仿宋_GB2312"/>
          <w:color w:val="auto"/>
          <w:kern w:val="2"/>
          <w:sz w:val="32"/>
          <w:szCs w:val="32"/>
          <w:highlight w:val="none"/>
          <w:lang w:val="en-US" w:eastAsia="zh-CN" w:bidi="ar-SA"/>
        </w:rPr>
        <w:t>2025年度国有资本经营预算财政拨款支出0万元，占本年支出合计的0%。与上年度相比，支出持平、无增减变动。本单位无国有资本经营预算管理职责，无相关收支项目安排，本年度未发生国有资本经营预算财政拨款支出。</w:t>
      </w:r>
    </w:p>
    <w:p>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35"/>
      <w:bookmarkEnd w:id="36"/>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7" w:name="_Toc15377222"/>
      <w:r>
        <w:rPr>
          <w:rFonts w:hint="eastAsia" w:ascii="Times New Roman" w:hAnsi="Times New Roman" w:eastAsia="楷体_GB2312" w:cs="楷体_GB2312"/>
          <w:b/>
          <w:color w:val="auto"/>
          <w:sz w:val="32"/>
          <w:szCs w:val="32"/>
          <w:highlight w:val="none"/>
        </w:rPr>
        <w:t>（一）机关运行经费支出情况</w:t>
      </w:r>
      <w:bookmarkEnd w:id="3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壤塘县信访工作局机关运行经费支出8.11万元，比上年度增加0.35万元，增长4.51%。主要原因：本年度信访业务任务增加，办公耗材、业务资料印制、下乡信访核查差旅费等日常运转开支小幅增加，就是在厉行节约前提下保障信访各项业务正常开展。</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8" w:name="_Toc15377223"/>
      <w:r>
        <w:rPr>
          <w:rFonts w:hint="eastAsia" w:ascii="Times New Roman" w:hAnsi="Times New Roman" w:eastAsia="楷体_GB2312" w:cs="楷体_GB2312"/>
          <w:b/>
          <w:color w:val="auto"/>
          <w:sz w:val="32"/>
          <w:szCs w:val="32"/>
          <w:highlight w:val="none"/>
        </w:rPr>
        <w:t>（二）政府采购支出情况</w:t>
      </w:r>
      <w:bookmarkEnd w:id="38"/>
    </w:p>
    <w:p>
      <w:pPr>
        <w:spacing w:line="600" w:lineRule="exact"/>
        <w:ind w:firstLine="640" w:firstLineChars="200"/>
        <w:rPr>
          <w:rFonts w:ascii="仿宋_GB2312" w:eastAsia="仿宋_GB2312"/>
          <w:color w:val="auto"/>
          <w:sz w:val="32"/>
          <w:szCs w:val="32"/>
        </w:rPr>
      </w:pPr>
      <w:bookmarkStart w:id="39" w:name="_Toc15377224"/>
      <w:r>
        <w:rPr>
          <w:rFonts w:hint="eastAsia" w:ascii="仿宋_GB2312" w:eastAsia="仿宋_GB2312"/>
          <w:color w:val="auto"/>
          <w:sz w:val="32"/>
          <w:szCs w:val="32"/>
          <w:lang w:val="en-US" w:eastAsia="zh-CN"/>
        </w:rPr>
        <w:t>2025</w:t>
      </w:r>
      <w:r>
        <w:rPr>
          <w:rFonts w:hint="eastAsia" w:ascii="仿宋_GB2312" w:eastAsia="仿宋_GB2312"/>
          <w:color w:val="auto"/>
          <w:sz w:val="32"/>
          <w:szCs w:val="32"/>
        </w:rPr>
        <w:t>年，</w:t>
      </w:r>
      <w:r>
        <w:rPr>
          <w:rFonts w:hint="eastAsia" w:ascii="仿宋_GB2312" w:eastAsia="仿宋_GB2312"/>
          <w:color w:val="auto"/>
          <w:sz w:val="32"/>
          <w:szCs w:val="32"/>
          <w:lang w:val="en-US" w:eastAsia="zh-CN"/>
        </w:rPr>
        <w:t>壤塘县信访工作局</w:t>
      </w:r>
      <w:r>
        <w:rPr>
          <w:rFonts w:hint="eastAsia" w:ascii="仿宋_GB2312" w:eastAsia="仿宋_GB2312"/>
          <w:color w:val="auto"/>
          <w:sz w:val="32"/>
          <w:szCs w:val="32"/>
        </w:rPr>
        <w:t>政府采购支出总额</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（三）国有资产占有使用情况</w:t>
      </w:r>
      <w:bookmarkEnd w:id="39"/>
    </w:p>
    <w:p>
      <w:pPr>
        <w:autoSpaceDE w:val="0"/>
        <w:autoSpaceDN w:val="0"/>
        <w:adjustRightInd w:val="0"/>
        <w:spacing w:line="600" w:lineRule="exact"/>
        <w:ind w:firstLine="640" w:firstLineChars="200"/>
        <w:jc w:val="left"/>
        <w:rPr>
          <w:rFonts w:hint="default" w:ascii="仿宋" w:hAnsi="仿宋" w:eastAsia="仿宋_GB2312"/>
          <w:b/>
          <w:color w:val="auto"/>
          <w:sz w:val="32"/>
          <w:szCs w:val="32"/>
          <w:lang w:val="en-US" w:eastAsia="zh-CN"/>
        </w:rPr>
      </w:pPr>
      <w:r>
        <w:rPr>
          <w:rFonts w:hint="eastAsia" w:ascii="仿宋_GB2312" w:eastAsia="仿宋_GB2312"/>
          <w:color w:val="auto"/>
          <w:sz w:val="32"/>
          <w:szCs w:val="32"/>
        </w:rPr>
        <w:t>截至</w:t>
      </w:r>
      <w:r>
        <w:rPr>
          <w:rFonts w:hint="eastAsia" w:ascii="仿宋_GB2312" w:eastAsia="仿宋_GB2312"/>
          <w:color w:val="auto"/>
          <w:sz w:val="32"/>
          <w:szCs w:val="32"/>
          <w:lang w:val="en-US" w:eastAsia="zh-CN"/>
        </w:rPr>
        <w:t>2025</w:t>
      </w:r>
      <w:r>
        <w:rPr>
          <w:rFonts w:hint="eastAsia" w:ascii="仿宋_GB2312" w:eastAsia="仿宋_GB2312"/>
          <w:color w:val="auto"/>
          <w:sz w:val="32"/>
          <w:szCs w:val="32"/>
        </w:rPr>
        <w:t>年</w:t>
      </w:r>
      <w:r>
        <w:rPr>
          <w:rFonts w:ascii="仿宋_GB2312" w:eastAsia="仿宋_GB2312"/>
          <w:color w:val="auto"/>
          <w:sz w:val="32"/>
          <w:szCs w:val="32"/>
        </w:rPr>
        <w:t>12</w:t>
      </w:r>
      <w:r>
        <w:rPr>
          <w:rFonts w:hint="eastAsia" w:ascii="仿宋_GB2312" w:eastAsia="仿宋_GB2312"/>
          <w:color w:val="auto"/>
          <w:sz w:val="32"/>
          <w:szCs w:val="32"/>
        </w:rPr>
        <w:t>月</w:t>
      </w:r>
      <w:r>
        <w:rPr>
          <w:rFonts w:ascii="仿宋_GB2312" w:eastAsia="仿宋_GB2312"/>
          <w:color w:val="auto"/>
          <w:sz w:val="32"/>
          <w:szCs w:val="32"/>
        </w:rPr>
        <w:t>31</w:t>
      </w:r>
      <w:r>
        <w:rPr>
          <w:rFonts w:hint="eastAsia" w:ascii="仿宋_GB2312" w:eastAsia="仿宋_GB2312"/>
          <w:color w:val="auto"/>
          <w:sz w:val="32"/>
          <w:szCs w:val="32"/>
        </w:rPr>
        <w:t>日，</w:t>
      </w:r>
      <w:r>
        <w:rPr>
          <w:rFonts w:hint="eastAsia" w:ascii="仿宋_GB2312" w:eastAsia="仿宋_GB2312"/>
          <w:color w:val="auto"/>
          <w:sz w:val="32"/>
          <w:szCs w:val="32"/>
          <w:lang w:val="en-US" w:eastAsia="zh-CN"/>
        </w:rPr>
        <w:t>壤塘县信访工作局无公务用车。</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根据预算绩效管理要求，壤塘县信访工作局2025年无预算项目，未开展事前绩效评估、项目绩效目标编制及项目绩效监控。</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组织对2025年度一般公共预算开展绩效自评（不涉及政府性基金、国有资本经营、社保基金、债券资金），形成部门预算绩效自评报告，无专项项目绩效自评报告。部门预算绩效自评得分</w:t>
      </w:r>
      <w:r>
        <w:rPr>
          <w:rFonts w:hint="eastAsia" w:eastAsia="仿宋_GB2312" w:cs="仿宋_GB2312"/>
          <w:color w:val="auto"/>
          <w:kern w:val="2"/>
          <w:sz w:val="32"/>
          <w:szCs w:val="32"/>
          <w:highlight w:val="none"/>
          <w:lang w:val="en-US" w:eastAsia="zh-CN" w:bidi="ar-SA"/>
        </w:rPr>
        <w:t>90</w:t>
      </w:r>
      <w:r>
        <w:rPr>
          <w:rFonts w:hint="eastAsia" w:ascii="Times New Roman" w:hAnsi="Times New Roman" w:eastAsia="仿宋_GB2312" w:cs="仿宋_GB2312"/>
          <w:color w:val="auto"/>
          <w:kern w:val="2"/>
          <w:sz w:val="32"/>
          <w:szCs w:val="32"/>
          <w:highlight w:val="none"/>
          <w:lang w:val="en-US" w:eastAsia="zh-CN" w:bidi="ar-SA"/>
        </w:rPr>
        <w:t>分。绩效自评综述：本年度资金全部用于单位基本运转，资金管理规范，圆满完成年度信访工作任务，整体绩效良好。绩效自评报告详见附件。</w:t>
      </w: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0" w:name="_Toc15377225"/>
      <w:bookmarkStart w:id="41"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0"/>
      <w:bookmarkEnd w:id="41"/>
    </w:p>
    <w:p>
      <w:pPr>
        <w:spacing w:line="600" w:lineRule="exact"/>
        <w:jc w:val="left"/>
        <w:rPr>
          <w:rFonts w:ascii="Times New Roman" w:hAnsi="Times New Roman"/>
          <w:b/>
          <w:color w:val="auto"/>
          <w:sz w:val="44"/>
          <w:szCs w:val="44"/>
          <w:highlight w:val="none"/>
        </w:rPr>
      </w:pPr>
    </w:p>
    <w:p>
      <w:pPr>
        <w:pStyle w:val="28"/>
        <w:spacing w:line="560" w:lineRule="exact"/>
        <w:ind w:firstLine="640" w:firstLineChars="200"/>
        <w:rPr>
          <w:rFonts w:ascii="仿宋_GB2312" w:eastAsia="仿宋_GB2312"/>
          <w:color w:val="auto"/>
          <w:sz w:val="32"/>
          <w:szCs w:val="32"/>
        </w:rPr>
      </w:pPr>
      <w:bookmarkStart w:id="42" w:name="_Toc15396614"/>
      <w:bookmarkStart w:id="43" w:name="_Toc15377226"/>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p>
    <w:p>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其他收入：指单位取得的除上述收入以外的各项收入。主要是</w:t>
      </w:r>
      <w:r>
        <w:rPr>
          <w:rFonts w:hint="eastAsia" w:ascii="仿宋_GB2312" w:eastAsia="仿宋_GB2312"/>
          <w:color w:val="auto"/>
          <w:sz w:val="32"/>
          <w:szCs w:val="32"/>
          <w:lang w:eastAsia="zh-CN"/>
        </w:rPr>
        <w:t>援建资金</w:t>
      </w:r>
      <w:r>
        <w:rPr>
          <w:rFonts w:hint="eastAsia" w:ascii="仿宋_GB2312" w:eastAsia="仿宋_GB2312"/>
          <w:color w:val="auto"/>
          <w:sz w:val="32"/>
          <w:szCs w:val="32"/>
        </w:rPr>
        <w:t>。</w:t>
      </w:r>
    </w:p>
    <w:p>
      <w:pPr>
        <w:pStyle w:val="28"/>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5</w:t>
      </w:r>
      <w:r>
        <w:rPr>
          <w:rFonts w:ascii="仿宋_GB2312" w:eastAsia="仿宋_GB2312"/>
          <w:color w:val="auto"/>
          <w:sz w:val="32"/>
          <w:szCs w:val="32"/>
        </w:rPr>
        <w:t>.</w:t>
      </w:r>
      <w:r>
        <w:rPr>
          <w:rFonts w:hint="eastAsia" w:ascii="仿宋_GB2312" w:eastAsia="仿宋_GB2312"/>
          <w:color w:val="auto"/>
          <w:sz w:val="32"/>
          <w:szCs w:val="32"/>
        </w:rPr>
        <w:t>年初结转和结余：指以前年度尚未完成、结转到本年按有关规定继续使用的资金。</w:t>
      </w:r>
    </w:p>
    <w:p>
      <w:pPr>
        <w:pStyle w:val="28"/>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6.</w:t>
      </w:r>
      <w:r>
        <w:rPr>
          <w:rFonts w:hint="eastAsia" w:ascii="仿宋_GB2312" w:eastAsia="仿宋_GB2312"/>
          <w:color w:val="auto"/>
          <w:sz w:val="32"/>
          <w:szCs w:val="32"/>
        </w:rPr>
        <w:t>年末结转和结余：指单位按有关规定结转到下年或以后年度继续使用的资金。</w:t>
      </w:r>
    </w:p>
    <w:p>
      <w:pPr>
        <w:ind w:firstLine="640" w:firstLineChars="200"/>
        <w:rPr>
          <w:rFonts w:hint="eastAsia"/>
          <w:color w:val="auto"/>
          <w:lang w:eastAsia="zh-CN"/>
        </w:rPr>
      </w:pPr>
      <w:r>
        <w:rPr>
          <w:rFonts w:hint="eastAsia" w:ascii="仿宋_GB2312"/>
          <w:color w:val="auto"/>
          <w:sz w:val="32"/>
          <w:szCs w:val="32"/>
          <w:lang w:val="en-US" w:eastAsia="zh-CN"/>
        </w:rPr>
        <w:t>7</w:t>
      </w:r>
      <w:r>
        <w:rPr>
          <w:rFonts w:ascii="仿宋_GB2312" w:eastAsia="仿宋_GB2312"/>
          <w:color w:val="auto"/>
          <w:sz w:val="32"/>
          <w:szCs w:val="32"/>
        </w:rPr>
        <w:t>.</w:t>
      </w:r>
      <w:r>
        <w:rPr>
          <w:rFonts w:hint="eastAsia" w:ascii="仿宋_GB2312" w:eastAsia="仿宋_GB2312"/>
          <w:color w:val="auto"/>
          <w:sz w:val="32"/>
          <w:szCs w:val="32"/>
          <w:lang w:eastAsia="zh-CN"/>
        </w:rPr>
        <w:t>一般公共服务支出</w:t>
      </w:r>
      <w:r>
        <w:rPr>
          <w:rFonts w:hint="eastAsia" w:ascii="仿宋_GB2312" w:eastAsia="仿宋_GB2312"/>
          <w:color w:val="auto"/>
          <w:sz w:val="32"/>
          <w:szCs w:val="32"/>
        </w:rPr>
        <w:t>（类）</w:t>
      </w:r>
      <w:r>
        <w:rPr>
          <w:rFonts w:hint="eastAsia" w:ascii="仿宋_GB2312" w:eastAsia="仿宋_GB2312"/>
          <w:color w:val="auto"/>
          <w:sz w:val="32"/>
          <w:szCs w:val="32"/>
          <w:lang w:eastAsia="zh-CN"/>
        </w:rPr>
        <w:t>政府办公厅（室）及相关机构事务（款</w:t>
      </w:r>
      <w:r>
        <w:rPr>
          <w:rFonts w:hint="eastAsia" w:ascii="仿宋_GB2312" w:eastAsia="仿宋_GB2312"/>
          <w:color w:val="auto"/>
          <w:sz w:val="32"/>
          <w:szCs w:val="32"/>
        </w:rPr>
        <w:t>）</w:t>
      </w:r>
      <w:r>
        <w:rPr>
          <w:rFonts w:hint="eastAsia" w:ascii="仿宋_GB2312" w:eastAsia="仿宋_GB2312"/>
          <w:color w:val="auto"/>
          <w:sz w:val="32"/>
          <w:szCs w:val="32"/>
          <w:lang w:eastAsia="zh-CN"/>
        </w:rPr>
        <w:t>行政运行</w:t>
      </w:r>
      <w:r>
        <w:rPr>
          <w:rFonts w:hint="eastAsia" w:ascii="仿宋_GB2312" w:eastAsia="仿宋_GB2312"/>
          <w:color w:val="auto"/>
          <w:sz w:val="32"/>
          <w:szCs w:val="32"/>
        </w:rPr>
        <w:t>（项）：</w:t>
      </w:r>
      <w:r>
        <w:rPr>
          <w:rFonts w:hint="eastAsia" w:ascii="仿宋_GB2312" w:hAnsi="Times New Roman" w:eastAsia="仿宋_GB2312" w:cs="Times New Roman"/>
          <w:color w:val="auto"/>
          <w:sz w:val="32"/>
          <w:szCs w:val="32"/>
          <w:lang w:eastAsia="zh-CN"/>
        </w:rPr>
        <w:t>指</w:t>
      </w:r>
      <w:r>
        <w:rPr>
          <w:rFonts w:hint="eastAsia" w:ascii="仿宋_GB2312" w:hAnsi="Times New Roman" w:eastAsia="仿宋_GB2312" w:cs="Times New Roman"/>
          <w:color w:val="auto"/>
          <w:sz w:val="32"/>
          <w:szCs w:val="32"/>
          <w:lang w:val="en-US" w:eastAsia="zh-CN"/>
        </w:rPr>
        <w:t>行政单位（包括实行公务员管理的事业单位）的基本支出</w:t>
      </w:r>
      <w:r>
        <w:rPr>
          <w:rFonts w:hint="eastAsia" w:ascii="仿宋_GB2312" w:hAnsi="Times New Roman" w:eastAsia="仿宋_GB2312" w:cs="Times New Roman"/>
          <w:color w:val="auto"/>
          <w:sz w:val="32"/>
          <w:szCs w:val="32"/>
          <w:lang w:eastAsia="zh-CN"/>
        </w:rPr>
        <w:t>。</w:t>
      </w:r>
    </w:p>
    <w:p>
      <w:pPr>
        <w:ind w:firstLine="640" w:firstLineChars="200"/>
        <w:rPr>
          <w:rFonts w:hint="eastAsia" w:ascii="仿宋_GB2312" w:hAnsi="Times New Roman" w:eastAsia="仿宋_GB2312" w:cs="Times New Roman"/>
          <w:color w:val="auto"/>
          <w:sz w:val="32"/>
          <w:szCs w:val="32"/>
          <w:lang w:eastAsia="zh-CN"/>
        </w:rPr>
      </w:pPr>
      <w:r>
        <w:rPr>
          <w:rFonts w:hint="eastAsia" w:ascii="仿宋_GB2312"/>
          <w:color w:val="auto"/>
          <w:sz w:val="32"/>
          <w:szCs w:val="32"/>
          <w:lang w:val="en-US" w:eastAsia="zh-CN"/>
        </w:rPr>
        <w:t>8</w:t>
      </w:r>
      <w:r>
        <w:rPr>
          <w:rFonts w:ascii="仿宋_GB2312" w:eastAsia="仿宋_GB2312"/>
          <w:color w:val="auto"/>
          <w:sz w:val="32"/>
          <w:szCs w:val="32"/>
        </w:rPr>
        <w:t>.</w:t>
      </w:r>
      <w:r>
        <w:rPr>
          <w:rFonts w:hint="eastAsia" w:ascii="仿宋_GB2312" w:eastAsia="仿宋_GB2312"/>
          <w:color w:val="auto"/>
          <w:sz w:val="32"/>
          <w:szCs w:val="32"/>
          <w:lang w:eastAsia="zh-CN"/>
        </w:rPr>
        <w:t>一般公共服务支出</w:t>
      </w:r>
      <w:r>
        <w:rPr>
          <w:rFonts w:hint="eastAsia" w:ascii="仿宋_GB2312" w:eastAsia="仿宋_GB2312"/>
          <w:color w:val="auto"/>
          <w:sz w:val="32"/>
          <w:szCs w:val="32"/>
        </w:rPr>
        <w:t>（类）</w:t>
      </w:r>
      <w:r>
        <w:rPr>
          <w:rFonts w:hint="eastAsia" w:ascii="仿宋_GB2312" w:eastAsia="仿宋_GB2312"/>
          <w:color w:val="auto"/>
          <w:sz w:val="32"/>
          <w:szCs w:val="32"/>
          <w:lang w:eastAsia="zh-CN"/>
        </w:rPr>
        <w:t>政府办公厅（室）及相关机构事务（款</w:t>
      </w:r>
      <w:r>
        <w:rPr>
          <w:rFonts w:hint="eastAsia" w:ascii="仿宋_GB2312" w:eastAsia="仿宋_GB2312"/>
          <w:color w:val="auto"/>
          <w:sz w:val="32"/>
          <w:szCs w:val="32"/>
        </w:rPr>
        <w:t>）</w:t>
      </w:r>
      <w:r>
        <w:rPr>
          <w:rFonts w:hint="eastAsia" w:ascii="仿宋_GB2312" w:hAnsi="Times New Roman" w:eastAsia="仿宋_GB2312" w:cs="Times New Roman"/>
          <w:color w:val="auto"/>
          <w:sz w:val="32"/>
          <w:szCs w:val="32"/>
          <w:lang w:val="en-US" w:eastAsia="zh-CN"/>
        </w:rPr>
        <w:t>信访事务</w:t>
      </w:r>
      <w:r>
        <w:rPr>
          <w:rFonts w:hint="eastAsia" w:ascii="仿宋_GB2312" w:hAnsi="Times New Roman" w:eastAsia="仿宋_GB2312" w:cs="Times New Roman"/>
          <w:color w:val="auto"/>
          <w:sz w:val="32"/>
          <w:szCs w:val="32"/>
          <w:lang w:eastAsia="zh-CN"/>
        </w:rPr>
        <w:t>（项）：指</w:t>
      </w:r>
      <w:r>
        <w:rPr>
          <w:rFonts w:hint="eastAsia" w:ascii="仿宋_GB2312" w:eastAsia="仿宋_GB2312" w:cs="Times New Roman"/>
          <w:color w:val="auto"/>
          <w:sz w:val="32"/>
          <w:szCs w:val="32"/>
          <w:lang w:val="en-US" w:eastAsia="zh-CN"/>
        </w:rPr>
        <w:t>各级政府用于接待群众来信来访方面的支出</w:t>
      </w:r>
      <w:r>
        <w:rPr>
          <w:rFonts w:hint="eastAsia" w:ascii="仿宋_GB2312" w:hAnsi="Times New Roman" w:eastAsia="仿宋_GB2312" w:cs="Times New Roman"/>
          <w:color w:val="auto"/>
          <w:sz w:val="32"/>
          <w:szCs w:val="32"/>
          <w:lang w:eastAsia="zh-CN"/>
        </w:rPr>
        <w:t>。</w:t>
      </w:r>
    </w:p>
    <w:p>
      <w:pPr>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9</w:t>
      </w:r>
      <w:r>
        <w:rPr>
          <w:rFonts w:ascii="仿宋_GB2312" w:eastAsia="仿宋_GB2312"/>
          <w:color w:val="auto"/>
          <w:sz w:val="32"/>
          <w:szCs w:val="32"/>
        </w:rPr>
        <w:t>.</w:t>
      </w:r>
      <w:r>
        <w:rPr>
          <w:rFonts w:hint="eastAsia" w:ascii="仿宋_GB2312" w:eastAsia="仿宋_GB2312"/>
          <w:color w:val="auto"/>
          <w:sz w:val="32"/>
          <w:szCs w:val="32"/>
          <w:lang w:eastAsia="zh-CN"/>
        </w:rPr>
        <w:t>社会保障和就业</w:t>
      </w:r>
      <w:r>
        <w:rPr>
          <w:rFonts w:hint="eastAsia" w:ascii="仿宋_GB2312" w:eastAsia="仿宋_GB2312"/>
          <w:color w:val="auto"/>
          <w:sz w:val="32"/>
          <w:szCs w:val="32"/>
        </w:rPr>
        <w:t>（类）</w:t>
      </w:r>
      <w:r>
        <w:rPr>
          <w:rFonts w:hint="eastAsia" w:ascii="仿宋_GB2312" w:eastAsia="仿宋_GB2312"/>
          <w:color w:val="auto"/>
          <w:sz w:val="32"/>
          <w:szCs w:val="32"/>
          <w:lang w:eastAsia="zh-CN"/>
        </w:rPr>
        <w:t>行政事业</w:t>
      </w:r>
      <w:r>
        <w:rPr>
          <w:rFonts w:hint="eastAsia" w:ascii="仿宋" w:hAnsi="仿宋" w:eastAsia="仿宋" w:cs="仿宋"/>
          <w:color w:val="auto"/>
          <w:sz w:val="32"/>
          <w:szCs w:val="32"/>
          <w:lang w:eastAsia="zh-CN"/>
        </w:rPr>
        <w:t>单位</w:t>
      </w:r>
      <w:r>
        <w:rPr>
          <w:rFonts w:hint="eastAsia" w:ascii="仿宋" w:hAnsi="仿宋" w:eastAsia="仿宋" w:cs="仿宋"/>
          <w:color w:val="auto"/>
          <w:sz w:val="32"/>
          <w:szCs w:val="32"/>
          <w:lang w:val="en-US" w:eastAsia="zh-CN"/>
        </w:rPr>
        <w:t>养老支出</w:t>
      </w:r>
      <w:r>
        <w:rPr>
          <w:rFonts w:hint="eastAsia" w:ascii="仿宋_GB2312" w:eastAsia="仿宋_GB2312"/>
          <w:color w:val="auto"/>
          <w:sz w:val="32"/>
          <w:szCs w:val="32"/>
        </w:rPr>
        <w:t>（款）</w:t>
      </w:r>
      <w:r>
        <w:rPr>
          <w:rFonts w:hint="eastAsia" w:ascii="仿宋_GB2312" w:eastAsia="仿宋_GB2312"/>
          <w:color w:val="auto"/>
          <w:sz w:val="32"/>
          <w:szCs w:val="32"/>
          <w:lang w:eastAsia="zh-CN"/>
        </w:rPr>
        <w:t>机关事业单位基本养老保险缴费支出</w:t>
      </w:r>
      <w:r>
        <w:rPr>
          <w:rFonts w:hint="eastAsia" w:ascii="仿宋_GB2312" w:eastAsia="仿宋_GB2312"/>
          <w:color w:val="auto"/>
          <w:sz w:val="32"/>
          <w:szCs w:val="32"/>
        </w:rPr>
        <w:t>（项）：指</w:t>
      </w:r>
      <w:r>
        <w:rPr>
          <w:rFonts w:hint="eastAsia" w:ascii="仿宋_GB2312" w:eastAsia="仿宋_GB2312"/>
          <w:color w:val="auto"/>
          <w:sz w:val="32"/>
          <w:szCs w:val="32"/>
          <w:lang w:eastAsia="zh-CN"/>
        </w:rPr>
        <w:t>由单位缴纳的基本养老保险费支出</w:t>
      </w:r>
      <w:r>
        <w:rPr>
          <w:rFonts w:hint="eastAsia" w:ascii="仿宋_GB2312" w:eastAsia="仿宋_GB2312"/>
          <w:color w:val="auto"/>
          <w:sz w:val="32"/>
          <w:szCs w:val="32"/>
        </w:rPr>
        <w:t>。</w:t>
      </w:r>
    </w:p>
    <w:p>
      <w:pPr>
        <w:ind w:firstLine="640" w:firstLineChars="200"/>
        <w:rPr>
          <w:rFonts w:hint="eastAsia"/>
          <w:color w:val="auto"/>
          <w:lang w:eastAsia="zh-CN"/>
        </w:rPr>
      </w:pPr>
      <w:r>
        <w:rPr>
          <w:rFonts w:hint="eastAsia" w:ascii="仿宋_GB2312" w:eastAsia="仿宋_GB2312"/>
          <w:color w:val="auto"/>
          <w:sz w:val="32"/>
          <w:szCs w:val="32"/>
          <w:lang w:val="en-US" w:eastAsia="zh-CN"/>
        </w:rPr>
        <w:t>10</w:t>
      </w:r>
      <w:r>
        <w:rPr>
          <w:rFonts w:ascii="仿宋_GB2312" w:eastAsia="仿宋_GB2312"/>
          <w:color w:val="auto"/>
          <w:sz w:val="32"/>
          <w:szCs w:val="32"/>
        </w:rPr>
        <w:t>.</w:t>
      </w:r>
      <w:r>
        <w:rPr>
          <w:rFonts w:hint="eastAsia" w:ascii="仿宋_GB2312" w:eastAsia="仿宋_GB2312"/>
          <w:color w:val="auto"/>
          <w:sz w:val="32"/>
          <w:szCs w:val="32"/>
        </w:rPr>
        <w:t>社会保</w:t>
      </w:r>
      <w:r>
        <w:rPr>
          <w:rFonts w:hint="eastAsia" w:ascii="仿宋_GB2312" w:hAnsi="Times New Roman" w:eastAsia="仿宋_GB2312" w:cs="Times New Roman"/>
          <w:color w:val="auto"/>
          <w:sz w:val="32"/>
          <w:szCs w:val="32"/>
          <w:lang w:eastAsia="zh-CN"/>
        </w:rPr>
        <w:t>障和就业（类）</w:t>
      </w:r>
      <w:r>
        <w:rPr>
          <w:rFonts w:hint="eastAsia" w:ascii="仿宋_GB2312" w:hAnsi="Times New Roman" w:eastAsia="仿宋_GB2312" w:cs="Times New Roman"/>
          <w:color w:val="auto"/>
          <w:sz w:val="32"/>
          <w:szCs w:val="32"/>
          <w:lang w:val="en-US" w:eastAsia="zh-CN"/>
        </w:rPr>
        <w:t>行政事业单位养老支出</w:t>
      </w:r>
      <w:r>
        <w:rPr>
          <w:rFonts w:hint="eastAsia" w:ascii="仿宋_GB2312" w:hAnsi="Times New Roman" w:eastAsia="仿宋_GB2312" w:cs="Times New Roman"/>
          <w:color w:val="auto"/>
          <w:sz w:val="32"/>
          <w:szCs w:val="32"/>
          <w:lang w:eastAsia="zh-CN"/>
        </w:rPr>
        <w:t>（款）</w:t>
      </w:r>
      <w:r>
        <w:rPr>
          <w:rFonts w:hint="eastAsia" w:ascii="仿宋_GB2312" w:hAnsi="Times New Roman" w:eastAsia="仿宋_GB2312" w:cs="Times New Roman"/>
          <w:color w:val="auto"/>
          <w:sz w:val="32"/>
          <w:szCs w:val="32"/>
          <w:lang w:val="en-US" w:eastAsia="zh-CN"/>
        </w:rPr>
        <w:t>机关事业单位职业年金缴费支出</w:t>
      </w:r>
      <w:r>
        <w:rPr>
          <w:rFonts w:hint="eastAsia" w:ascii="仿宋_GB2312" w:hAnsi="Times New Roman" w:eastAsia="仿宋_GB2312" w:cs="Times New Roman"/>
          <w:color w:val="auto"/>
          <w:sz w:val="32"/>
          <w:szCs w:val="32"/>
          <w:lang w:eastAsia="zh-CN"/>
        </w:rPr>
        <w:t>（项）：</w:t>
      </w:r>
      <w:r>
        <w:rPr>
          <w:rFonts w:hint="eastAsia" w:ascii="仿宋_GB2312" w:eastAsia="仿宋_GB2312"/>
          <w:color w:val="auto"/>
          <w:sz w:val="32"/>
          <w:szCs w:val="32"/>
        </w:rPr>
        <w:t>指</w:t>
      </w:r>
      <w:r>
        <w:rPr>
          <w:rFonts w:hint="eastAsia" w:ascii="仿宋_GB2312" w:eastAsia="仿宋_GB2312"/>
          <w:color w:val="auto"/>
          <w:sz w:val="32"/>
          <w:szCs w:val="32"/>
          <w:lang w:val="en-US" w:eastAsia="zh-CN"/>
        </w:rPr>
        <w:t>机关事业单位实施养老保险制度由单位实际缴纳的职业年金</w:t>
      </w:r>
      <w:r>
        <w:rPr>
          <w:rFonts w:hint="eastAsia" w:ascii="仿宋_GB2312" w:eastAsia="仿宋_GB2312"/>
          <w:color w:val="auto"/>
          <w:sz w:val="32"/>
          <w:szCs w:val="32"/>
        </w:rPr>
        <w:t>。</w:t>
      </w:r>
    </w:p>
    <w:p>
      <w:pPr>
        <w:ind w:firstLine="640" w:firstLineChars="200"/>
        <w:rPr>
          <w:rFonts w:hint="eastAsia" w:ascii="仿宋_GB2312" w:hAnsi="Times New Roman" w:eastAsia="仿宋_GB2312" w:cs="Times New Roman"/>
          <w:color w:val="auto"/>
          <w:sz w:val="32"/>
          <w:szCs w:val="32"/>
          <w:lang w:eastAsia="zh-CN"/>
        </w:rPr>
      </w:pPr>
      <w:r>
        <w:rPr>
          <w:rFonts w:hint="eastAsia" w:ascii="仿宋_GB2312" w:eastAsia="仿宋_GB2312" w:cs="Times New Roman"/>
          <w:color w:val="auto"/>
          <w:sz w:val="32"/>
          <w:szCs w:val="32"/>
          <w:lang w:val="en-US" w:eastAsia="zh-CN"/>
        </w:rPr>
        <w:t>11</w:t>
      </w:r>
      <w:r>
        <w:rPr>
          <w:rFonts w:hint="eastAsia" w:ascii="仿宋_GB2312" w:hAnsi="Times New Roman" w:eastAsia="仿宋_GB2312" w:cs="Times New Roman"/>
          <w:color w:val="auto"/>
          <w:sz w:val="32"/>
          <w:szCs w:val="32"/>
          <w:lang w:eastAsia="zh-CN"/>
        </w:rPr>
        <w:t>.卫生健康支出（类）行政事业单位医疗（款）行政单位医疗（项）：指财政部门集中安排的行政单位基本医疗保险缴费经费。</w:t>
      </w:r>
    </w:p>
    <w:p>
      <w:pPr>
        <w:ind w:firstLine="640" w:firstLineChars="200"/>
        <w:rPr>
          <w:rFonts w:hint="default"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12</w:t>
      </w:r>
      <w:r>
        <w:rPr>
          <w:rFonts w:hint="eastAsia" w:ascii="仿宋_GB2312" w:hAnsi="Times New Roman" w:eastAsia="仿宋_GB2312" w:cs="Times New Roman"/>
          <w:color w:val="auto"/>
          <w:sz w:val="32"/>
          <w:szCs w:val="32"/>
          <w:lang w:eastAsia="zh-CN"/>
        </w:rPr>
        <w:t>.住房</w:t>
      </w:r>
      <w:r>
        <w:rPr>
          <w:rFonts w:hint="eastAsia" w:ascii="仿宋_GB2312" w:hAnsi="Times New Roman" w:eastAsia="仿宋_GB2312" w:cs="Times New Roman"/>
          <w:color w:val="auto"/>
          <w:sz w:val="32"/>
          <w:szCs w:val="32"/>
          <w:lang w:val="en-US" w:eastAsia="zh-CN"/>
        </w:rPr>
        <w:t>保障支出（类）住房改革支出（款）住房公积金（项）：指行政事业单位</w:t>
      </w:r>
      <w:r>
        <w:rPr>
          <w:rFonts w:hint="eastAsia" w:ascii="仿宋_GB2312" w:hAnsi="Times New Roman" w:eastAsia="仿宋_GB2312" w:cs="Times New Roman"/>
          <w:color w:val="auto"/>
          <w:sz w:val="32"/>
          <w:szCs w:val="32"/>
          <w:lang w:eastAsia="zh-CN"/>
        </w:rPr>
        <w:t>安装工资比例为职工缴纳的住房公积金。</w:t>
      </w:r>
    </w:p>
    <w:p>
      <w:pPr>
        <w:ind w:firstLine="640" w:firstLineChars="200"/>
        <w:rPr>
          <w:rFonts w:hint="eastAsia" w:ascii="仿宋_GB2312" w:hAnsi="Times New Roman" w:eastAsia="仿宋_GB2312" w:cs="Times New Roman"/>
          <w:color w:val="auto"/>
          <w:sz w:val="32"/>
          <w:szCs w:val="32"/>
          <w:lang w:eastAsia="zh-CN"/>
        </w:rPr>
      </w:pPr>
      <w:r>
        <w:rPr>
          <w:rFonts w:hint="eastAsia" w:ascii="仿宋_GB2312" w:hAnsi="Times New Roman" w:eastAsia="仿宋_GB2312" w:cs="Times New Roman"/>
          <w:color w:val="auto"/>
          <w:sz w:val="32"/>
          <w:szCs w:val="32"/>
          <w:lang w:val="en-US" w:eastAsia="zh-CN"/>
        </w:rPr>
        <w:t>1</w:t>
      </w:r>
      <w:r>
        <w:rPr>
          <w:rFonts w:hint="eastAsia" w:ascii="仿宋_GB2312" w:eastAsia="仿宋_GB2312" w:cs="Times New Roman"/>
          <w:color w:val="auto"/>
          <w:sz w:val="32"/>
          <w:szCs w:val="32"/>
          <w:lang w:val="en-US" w:eastAsia="zh-CN"/>
        </w:rPr>
        <w:t>3</w:t>
      </w:r>
      <w:r>
        <w:rPr>
          <w:rFonts w:hint="eastAsia" w:ascii="仿宋_GB2312" w:hAnsi="Times New Roman" w:eastAsia="仿宋_GB2312" w:cs="Times New Roman"/>
          <w:color w:val="auto"/>
          <w:sz w:val="32"/>
          <w:szCs w:val="32"/>
          <w:lang w:eastAsia="zh-CN"/>
        </w:rPr>
        <w:t>.基本支出：指为保障机构正常运转、完成日常工作任务而发生的人员支出和公用支出。</w:t>
      </w:r>
    </w:p>
    <w:p>
      <w:pPr>
        <w:ind w:firstLine="640" w:firstLineChars="200"/>
        <w:rPr>
          <w:rFonts w:hint="eastAsia" w:ascii="仿宋_GB2312" w:hAnsi="Times New Roman" w:eastAsia="仿宋_GB2312" w:cs="Times New Roman"/>
          <w:color w:val="auto"/>
          <w:sz w:val="32"/>
          <w:szCs w:val="32"/>
          <w:lang w:eastAsia="zh-CN"/>
        </w:rPr>
      </w:pPr>
      <w:r>
        <w:rPr>
          <w:rFonts w:hint="eastAsia" w:ascii="仿宋_GB2312" w:hAnsi="Times New Roman" w:eastAsia="仿宋_GB2312" w:cs="Times New Roman"/>
          <w:color w:val="auto"/>
          <w:sz w:val="32"/>
          <w:szCs w:val="32"/>
          <w:lang w:val="en-US" w:eastAsia="zh-CN"/>
        </w:rPr>
        <w:t>1</w:t>
      </w:r>
      <w:r>
        <w:rPr>
          <w:rFonts w:hint="eastAsia" w:ascii="仿宋_GB2312" w:eastAsia="仿宋_GB2312" w:cs="Times New Roman"/>
          <w:color w:val="auto"/>
          <w:sz w:val="32"/>
          <w:szCs w:val="32"/>
          <w:lang w:val="en-US" w:eastAsia="zh-CN"/>
        </w:rPr>
        <w:t>4</w:t>
      </w:r>
      <w:r>
        <w:rPr>
          <w:rFonts w:hint="eastAsia" w:ascii="仿宋_GB2312" w:hAnsi="Times New Roman" w:eastAsia="仿宋_GB2312" w:cs="Times New Roman"/>
          <w:color w:val="auto"/>
          <w:sz w:val="32"/>
          <w:szCs w:val="32"/>
          <w:lang w:eastAsia="zh-CN"/>
        </w:rPr>
        <w:t>.项目支出：指在基本支出之外为完成特定行政任务和事业发展目标所发生的支出。</w:t>
      </w:r>
    </w:p>
    <w:p>
      <w:pPr>
        <w:ind w:firstLine="640" w:firstLineChars="200"/>
        <w:rPr>
          <w:rFonts w:hint="eastAsia" w:ascii="仿宋_GB2312" w:hAnsi="Times New Roman" w:eastAsia="仿宋_GB2312" w:cs="Times New Roman"/>
          <w:color w:val="auto"/>
          <w:sz w:val="32"/>
          <w:szCs w:val="32"/>
          <w:lang w:eastAsia="zh-CN"/>
        </w:rPr>
      </w:pPr>
      <w:r>
        <w:rPr>
          <w:rFonts w:hint="eastAsia" w:ascii="仿宋_GB2312" w:eastAsia="仿宋_GB2312" w:cs="Times New Roman"/>
          <w:color w:val="auto"/>
          <w:sz w:val="32"/>
          <w:szCs w:val="32"/>
          <w:lang w:val="en-US" w:eastAsia="zh-CN"/>
        </w:rPr>
        <w:t>15</w:t>
      </w:r>
      <w:r>
        <w:rPr>
          <w:rFonts w:hint="eastAsia" w:ascii="仿宋_GB2312" w:hAnsi="Times New Roman" w:eastAsia="仿宋_GB2312" w:cs="Times New Roman"/>
          <w:color w:val="auto"/>
          <w:sz w:val="32"/>
          <w:szCs w:val="32"/>
          <w:lang w:eastAsia="zh-CN"/>
        </w:rPr>
        <w:t>.经营支出：指事业单位在专业业务活动及其辅助活动之外开展非独立核算经营活动发生的支出。</w:t>
      </w:r>
    </w:p>
    <w:p>
      <w:pPr>
        <w:ind w:firstLine="640" w:firstLineChars="200"/>
        <w:rPr>
          <w:rFonts w:hint="eastAsia" w:ascii="仿宋_GB2312" w:hAnsi="Times New Roman" w:eastAsia="仿宋_GB2312" w:cs="Times New Roman"/>
          <w:color w:val="auto"/>
          <w:sz w:val="32"/>
          <w:szCs w:val="32"/>
          <w:lang w:eastAsia="zh-CN"/>
        </w:rPr>
      </w:pPr>
      <w:r>
        <w:rPr>
          <w:rFonts w:hint="eastAsia" w:ascii="仿宋_GB2312" w:eastAsia="仿宋_GB2312" w:cs="Times New Roman"/>
          <w:color w:val="auto"/>
          <w:sz w:val="32"/>
          <w:szCs w:val="32"/>
          <w:lang w:val="en-US" w:eastAsia="zh-CN"/>
        </w:rPr>
        <w:t>16</w:t>
      </w:r>
      <w:r>
        <w:rPr>
          <w:rFonts w:hint="eastAsia" w:ascii="仿宋_GB2312" w:hAnsi="Times New Roman" w:eastAsia="仿宋_GB2312" w:cs="Times New Roman"/>
          <w:color w:val="auto"/>
          <w:sz w:val="32"/>
          <w:szCs w:val="32"/>
          <w:lang w:eastAsia="zh-CN"/>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ind w:firstLine="640" w:firstLineChars="200"/>
        <w:rPr>
          <w:rFonts w:hint="eastAsia" w:ascii="仿宋_GB2312" w:hAnsi="Times New Roman" w:eastAsia="仿宋_GB2312" w:cs="Times New Roman"/>
          <w:color w:val="auto"/>
          <w:sz w:val="32"/>
          <w:szCs w:val="32"/>
          <w:lang w:eastAsia="zh-CN"/>
        </w:rPr>
      </w:pPr>
      <w:r>
        <w:rPr>
          <w:rFonts w:hint="eastAsia" w:ascii="仿宋_GB2312" w:eastAsia="仿宋_GB2312" w:cs="Times New Roman"/>
          <w:color w:val="auto"/>
          <w:sz w:val="32"/>
          <w:szCs w:val="32"/>
          <w:lang w:val="en-US" w:eastAsia="zh-CN"/>
        </w:rPr>
        <w:t>17</w:t>
      </w:r>
      <w:r>
        <w:rPr>
          <w:rFonts w:hint="eastAsia" w:ascii="仿宋_GB2312" w:hAnsi="Times New Roman" w:eastAsia="仿宋_GB2312" w:cs="Times New Roman"/>
          <w:color w:val="auto"/>
          <w:sz w:val="32"/>
          <w:szCs w:val="32"/>
          <w:lang w:eastAsia="zh-CN"/>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14"/>
        <w:rPr>
          <w:rFonts w:hint="eastAsia" w:ascii="仿宋_GB2312" w:hAnsi="Times New Roman" w:eastAsia="仿宋_GB2312" w:cs="Times New Roman"/>
          <w:color w:val="auto"/>
          <w:sz w:val="32"/>
          <w:szCs w:val="32"/>
          <w:lang w:eastAsia="zh-CN"/>
        </w:rPr>
      </w:pPr>
    </w:p>
    <w:p>
      <w:pPr>
        <w:pStyle w:val="2"/>
        <w:rPr>
          <w:rFonts w:hint="eastAsia" w:ascii="仿宋_GB2312" w:hAnsi="Times New Roman" w:eastAsia="仿宋_GB2312" w:cs="Times New Roman"/>
          <w:color w:val="auto"/>
          <w:sz w:val="32"/>
          <w:szCs w:val="32"/>
          <w:lang w:eastAsia="zh-CN"/>
        </w:rPr>
      </w:pPr>
    </w:p>
    <w:p>
      <w:pPr>
        <w:pStyle w:val="2"/>
        <w:rPr>
          <w:rFonts w:hint="eastAsia" w:ascii="仿宋_GB2312" w:hAnsi="Times New Roman" w:eastAsia="仿宋_GB2312" w:cs="Times New Roman"/>
          <w:color w:val="auto"/>
          <w:sz w:val="32"/>
          <w:szCs w:val="32"/>
          <w:lang w:eastAsia="zh-CN"/>
        </w:rPr>
      </w:pPr>
    </w:p>
    <w:p>
      <w:pPr>
        <w:pStyle w:val="2"/>
        <w:rPr>
          <w:rFonts w:hint="eastAsia" w:ascii="仿宋_GB2312" w:hAnsi="Times New Roman" w:eastAsia="仿宋_GB2312" w:cs="Times New Roman"/>
          <w:color w:val="auto"/>
          <w:sz w:val="32"/>
          <w:szCs w:val="32"/>
          <w:lang w:eastAsia="zh-CN"/>
        </w:rPr>
      </w:pPr>
    </w:p>
    <w:p>
      <w:pPr>
        <w:pStyle w:val="2"/>
        <w:rPr>
          <w:rFonts w:hint="eastAsia" w:ascii="仿宋_GB2312" w:hAnsi="Times New Roman" w:eastAsia="仿宋_GB2312" w:cs="Times New Roman"/>
          <w:color w:val="auto"/>
          <w:sz w:val="32"/>
          <w:szCs w:val="32"/>
          <w:lang w:eastAsia="zh-CN"/>
        </w:rPr>
      </w:pPr>
    </w:p>
    <w:p>
      <w:pPr>
        <w:pStyle w:val="2"/>
        <w:rPr>
          <w:rFonts w:hint="eastAsia" w:ascii="仿宋_GB2312" w:hAnsi="Times New Roman" w:eastAsia="仿宋_GB2312" w:cs="Times New Roman"/>
          <w:color w:val="auto"/>
          <w:sz w:val="32"/>
          <w:szCs w:val="32"/>
          <w:lang w:eastAsia="zh-CN"/>
        </w:rPr>
      </w:pPr>
    </w:p>
    <w:p>
      <w:pPr>
        <w:pStyle w:val="2"/>
        <w:rPr>
          <w:rFonts w:hint="eastAsia" w:ascii="仿宋_GB2312" w:hAnsi="Times New Roman" w:eastAsia="仿宋_GB2312" w:cs="Times New Roman"/>
          <w:color w:val="auto"/>
          <w:sz w:val="32"/>
          <w:szCs w:val="32"/>
          <w:lang w:eastAsia="zh-CN"/>
        </w:rPr>
      </w:pPr>
    </w:p>
    <w:p>
      <w:pPr>
        <w:pStyle w:val="2"/>
        <w:rPr>
          <w:rFonts w:hint="eastAsia" w:ascii="仿宋_GB2312" w:hAnsi="Times New Roman" w:eastAsia="仿宋_GB2312" w:cs="Times New Roman"/>
          <w:color w:val="auto"/>
          <w:sz w:val="32"/>
          <w:szCs w:val="32"/>
          <w:lang w:eastAsia="zh-CN"/>
        </w:rPr>
      </w:pPr>
    </w:p>
    <w:p>
      <w:pPr>
        <w:pStyle w:val="2"/>
        <w:rPr>
          <w:rFonts w:hint="eastAsia" w:ascii="仿宋_GB2312" w:hAnsi="Times New Roman" w:eastAsia="仿宋_GB2312" w:cs="Times New Roman"/>
          <w:color w:val="auto"/>
          <w:sz w:val="32"/>
          <w:szCs w:val="32"/>
          <w:lang w:eastAsia="zh-CN"/>
        </w:rPr>
      </w:pPr>
    </w:p>
    <w:p>
      <w:pPr>
        <w:pStyle w:val="2"/>
        <w:rPr>
          <w:rFonts w:hint="eastAsia" w:ascii="仿宋_GB2312" w:hAnsi="Times New Roman" w:eastAsia="仿宋_GB2312" w:cs="Times New Roman"/>
          <w:color w:val="auto"/>
          <w:sz w:val="32"/>
          <w:szCs w:val="32"/>
          <w:lang w:eastAsia="zh-CN"/>
        </w:rPr>
      </w:pPr>
    </w:p>
    <w:p>
      <w:pPr>
        <w:pStyle w:val="2"/>
        <w:rPr>
          <w:rFonts w:hint="eastAsia" w:ascii="仿宋_GB2312" w:hAnsi="Times New Roman" w:eastAsia="仿宋_GB2312" w:cs="Times New Roman"/>
          <w:color w:val="auto"/>
          <w:sz w:val="32"/>
          <w:szCs w:val="32"/>
          <w:lang w:eastAsia="zh-CN"/>
        </w:rPr>
      </w:pPr>
    </w:p>
    <w:p>
      <w:pPr>
        <w:pStyle w:val="2"/>
        <w:rPr>
          <w:rFonts w:hint="eastAsia" w:ascii="仿宋_GB2312" w:hAnsi="Times New Roman" w:eastAsia="仿宋_GB2312" w:cs="Times New Roman"/>
          <w:color w:val="auto"/>
          <w:sz w:val="32"/>
          <w:szCs w:val="32"/>
          <w:lang w:eastAsia="zh-CN"/>
        </w:rPr>
      </w:pPr>
    </w:p>
    <w:p>
      <w:pPr>
        <w:pStyle w:val="2"/>
        <w:rPr>
          <w:rFonts w:hint="eastAsia" w:ascii="仿宋_GB2312" w:hAnsi="Times New Roman" w:eastAsia="仿宋_GB2312" w:cs="Times New Roman"/>
          <w:color w:val="auto"/>
          <w:sz w:val="32"/>
          <w:szCs w:val="32"/>
          <w:lang w:eastAsia="zh-CN"/>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ind w:firstLine="2200" w:firstLineChars="500"/>
        <w:jc w:val="both"/>
        <w:rPr>
          <w:rStyle w:val="30"/>
          <w:rFonts w:hint="eastAsia" w:ascii="Times New Roman" w:hAnsi="Times New Roman" w:eastAsia="黑体"/>
          <w:b w:val="0"/>
          <w:color w:val="auto"/>
          <w:highlight w:val="none"/>
          <w:lang w:eastAsia="zh-CN"/>
        </w:rPr>
      </w:pP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2"/>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color w:val="auto"/>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color w:val="auto"/>
          <w:sz w:val="44"/>
          <w:szCs w:val="44"/>
          <w:highlight w:val="none"/>
          <w:shd w:val="clear" w:color="auto" w:fill="FFFFFF"/>
        </w:rPr>
      </w:pPr>
      <w:r>
        <w:rPr>
          <w:rFonts w:hint="eastAsia" w:ascii="Times New Roman" w:hAnsi="Times New Roman" w:eastAsia="方正小标宋简体" w:cs="Times New Roman"/>
          <w:b w:val="0"/>
          <w:bCs/>
          <w:color w:val="auto"/>
          <w:sz w:val="44"/>
          <w:szCs w:val="44"/>
          <w:highlight w:val="none"/>
          <w:shd w:val="clear" w:color="auto" w:fill="FFFFFF"/>
          <w:lang w:eastAsia="zh-CN"/>
        </w:rPr>
        <w:t>壤塘县信访局</w:t>
      </w:r>
      <w:r>
        <w:rPr>
          <w:rFonts w:hint="default" w:ascii="Times New Roman" w:hAnsi="Times New Roman" w:eastAsia="方正小标宋简体" w:cs="Times New Roman"/>
          <w:b w:val="0"/>
          <w:bCs/>
          <w:color w:val="auto"/>
          <w:sz w:val="44"/>
          <w:szCs w:val="44"/>
          <w:highlight w:val="none"/>
          <w:shd w:val="clear" w:color="auto" w:fill="FFFFFF"/>
          <w:lang w:eastAsia="zh-CN"/>
        </w:rPr>
        <w:t>预算</w:t>
      </w:r>
      <w:r>
        <w:rPr>
          <w:rFonts w:hint="default" w:ascii="Times New Roman" w:hAnsi="Times New Roman" w:eastAsia="方正小标宋简体" w:cs="Times New Roman"/>
          <w:b w:val="0"/>
          <w:bCs/>
          <w:color w:val="auto"/>
          <w:sz w:val="44"/>
          <w:szCs w:val="44"/>
          <w:highlight w:val="none"/>
          <w:shd w:val="clear" w:color="auto" w:fill="FFFFFF"/>
        </w:rPr>
        <w:t>绩效</w:t>
      </w:r>
      <w:r>
        <w:rPr>
          <w:rFonts w:hint="eastAsia" w:ascii="Times New Roman" w:hAnsi="Times New Roman" w:eastAsia="方正小标宋简体" w:cs="Times New Roman"/>
          <w:b w:val="0"/>
          <w:bCs/>
          <w:color w:val="auto"/>
          <w:sz w:val="44"/>
          <w:szCs w:val="44"/>
          <w:highlight w:val="none"/>
          <w:shd w:val="clear" w:color="auto" w:fill="FFFFFF"/>
          <w:lang w:eastAsia="zh-CN"/>
        </w:rPr>
        <w:t>评价</w:t>
      </w:r>
      <w:r>
        <w:rPr>
          <w:rFonts w:hint="default" w:ascii="Times New Roman" w:hAnsi="Times New Roman" w:eastAsia="方正小标宋简体" w:cs="Times New Roman"/>
          <w:b w:val="0"/>
          <w:bCs/>
          <w:color w:val="auto"/>
          <w:sz w:val="44"/>
          <w:szCs w:val="44"/>
          <w:highlight w:val="none"/>
          <w:shd w:val="clear" w:color="auto" w:fill="FFFFFF"/>
        </w:rPr>
        <w:t>报告</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黑体" w:cs="Times New Roman"/>
          <w:color w:val="auto"/>
          <w:kern w:val="0"/>
          <w:sz w:val="32"/>
          <w:szCs w:val="32"/>
          <w:highlight w:val="none"/>
          <w:shd w:val="clear" w:color="auto" w:fill="FFFFFF"/>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黑体" w:cs="Times New Roman"/>
          <w:color w:val="auto"/>
          <w:kern w:val="0"/>
          <w:sz w:val="32"/>
          <w:szCs w:val="32"/>
          <w:highlight w:val="none"/>
          <w:shd w:val="clear" w:color="auto" w:fill="FFFFFF"/>
          <w:lang w:val="en-US" w:eastAsia="zh-CN"/>
        </w:rPr>
      </w:pPr>
      <w:r>
        <w:rPr>
          <w:rFonts w:hint="eastAsia" w:ascii="Times New Roman" w:hAnsi="Times New Roman" w:eastAsia="黑体" w:cs="Times New Roman"/>
          <w:color w:val="auto"/>
          <w:kern w:val="0"/>
          <w:sz w:val="32"/>
          <w:szCs w:val="32"/>
          <w:highlight w:val="none"/>
          <w:shd w:val="clear" w:color="auto" w:fill="FFFFFF"/>
          <w:lang w:val="en-US" w:eastAsia="zh-CN"/>
        </w:rPr>
        <w:t>一、部门（单位）概况</w:t>
      </w:r>
    </w:p>
    <w:p>
      <w:pPr>
        <w:spacing w:line="360" w:lineRule="auto"/>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壤塘县信访局：行政，机构地址：四川省阿坝藏族羌族自治州壤塘县壤柯镇罗吾塘前街22号，单位负责人：</w:t>
      </w:r>
      <w:r>
        <w:rPr>
          <w:rFonts w:hint="eastAsia" w:ascii="仿宋" w:hAnsi="仿宋" w:eastAsia="仿宋" w:cs="仿宋"/>
          <w:color w:val="auto"/>
          <w:sz w:val="32"/>
          <w:szCs w:val="32"/>
          <w:lang w:eastAsia="zh-CN"/>
        </w:rPr>
        <w:t>银凤</w:t>
      </w:r>
      <w:r>
        <w:rPr>
          <w:rFonts w:hint="eastAsia" w:ascii="仿宋" w:hAnsi="仿宋" w:eastAsia="仿宋" w:cs="仿宋"/>
          <w:color w:val="auto"/>
          <w:sz w:val="32"/>
          <w:szCs w:val="32"/>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（一）机构组成</w:t>
      </w:r>
    </w:p>
    <w:p>
      <w:pPr>
        <w:spacing w:line="360" w:lineRule="auto"/>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壤塘县信访局（简称县信访局）是壤塘县人民政府工作部门，为正科级。</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（二）机构职能</w:t>
      </w:r>
    </w:p>
    <w:p>
      <w:pPr>
        <w:widowControl/>
        <w:adjustRightInd w:val="0"/>
        <w:snapToGrid w:val="0"/>
        <w:spacing w:line="560" w:lineRule="exact"/>
        <w:ind w:firstLine="640" w:firstLineChars="200"/>
        <w:contextualSpacing/>
        <w:jc w:val="left"/>
        <w:rPr>
          <w:rFonts w:hint="eastAsia" w:ascii="仿宋" w:hAnsi="仿宋" w:eastAsia="仿宋" w:cs="仿宋"/>
          <w:bCs/>
          <w:color w:val="auto"/>
          <w:sz w:val="32"/>
          <w:szCs w:val="32"/>
        </w:rPr>
      </w:pPr>
      <w:r>
        <w:rPr>
          <w:rFonts w:hint="eastAsia" w:ascii="仿宋" w:hAnsi="仿宋" w:eastAsia="仿宋" w:cs="仿宋"/>
          <w:bCs/>
          <w:color w:val="auto"/>
          <w:sz w:val="32"/>
          <w:szCs w:val="32"/>
        </w:rPr>
        <w:t>1.履行政治领导责任，做好理论武装和思想政治工作，负责学习、宣传、贯彻执行党的理论和路线方针政策，贯彻落实党中央、省委、州委、县委的决策部署，发挥好把方向、管大局、保落实的重要作用。</w:t>
      </w:r>
    </w:p>
    <w:p>
      <w:pPr>
        <w:widowControl/>
        <w:adjustRightInd w:val="0"/>
        <w:snapToGrid w:val="0"/>
        <w:spacing w:line="560" w:lineRule="exact"/>
        <w:ind w:firstLine="640" w:firstLineChars="200"/>
        <w:contextualSpacing/>
        <w:jc w:val="left"/>
        <w:rPr>
          <w:rFonts w:hint="eastAsia" w:ascii="仿宋" w:hAnsi="仿宋" w:eastAsia="仿宋" w:cs="仿宋"/>
          <w:bCs/>
          <w:color w:val="auto"/>
          <w:sz w:val="32"/>
          <w:szCs w:val="32"/>
        </w:rPr>
      </w:pPr>
      <w:r>
        <w:rPr>
          <w:rFonts w:hint="eastAsia" w:ascii="仿宋" w:hAnsi="仿宋" w:eastAsia="仿宋" w:cs="仿宋"/>
          <w:bCs/>
          <w:color w:val="auto"/>
          <w:sz w:val="32"/>
          <w:szCs w:val="32"/>
        </w:rPr>
        <w:t>2.讨论和决定本单位下列重大问题。党的路线方针政策、国家法律法规和上级党组织重要会议、重要文件、重大决策部署的贯彻落实事项。需要向上级党组织请示报告的重要事项。内部机构设置、职责、人员编制等事项。重大决策、重要人事任免、重大项目安排、大额资金使用等事项。基层党组织和党员队伍建设方面的重要事项。意识形态工作、思想政治工作和精神文明建设方面的重要事项。党风廉政建设和反腐败工作方面的重要事项。其他应当由党组讨论和决定的重大问题。</w:t>
      </w:r>
    </w:p>
    <w:p>
      <w:pPr>
        <w:widowControl/>
        <w:adjustRightInd w:val="0"/>
        <w:snapToGrid w:val="0"/>
        <w:spacing w:line="560" w:lineRule="exact"/>
        <w:ind w:firstLine="640" w:firstLineChars="200"/>
        <w:contextualSpacing/>
        <w:jc w:val="left"/>
        <w:rPr>
          <w:rFonts w:hint="eastAsia" w:ascii="仿宋" w:hAnsi="仿宋" w:eastAsia="仿宋" w:cs="仿宋"/>
          <w:bCs/>
          <w:color w:val="auto"/>
          <w:sz w:val="32"/>
          <w:szCs w:val="32"/>
        </w:rPr>
      </w:pPr>
      <w:r>
        <w:rPr>
          <w:rFonts w:hint="eastAsia" w:ascii="仿宋" w:hAnsi="仿宋" w:eastAsia="仿宋" w:cs="仿宋"/>
          <w:bCs/>
          <w:color w:val="auto"/>
          <w:sz w:val="32"/>
          <w:szCs w:val="32"/>
        </w:rPr>
        <w:t>3.贯彻党管干部原则，加强干部队伍建设，完善干部培养选拔机制，加强干部教育管理监督。贯彻党管人才原则，加强人才队伍建设。加强对本单位工会、共青团、妇联等群团工作的领导。</w:t>
      </w:r>
    </w:p>
    <w:p>
      <w:pPr>
        <w:widowControl/>
        <w:adjustRightInd w:val="0"/>
        <w:snapToGrid w:val="0"/>
        <w:spacing w:line="560" w:lineRule="exact"/>
        <w:ind w:firstLine="640" w:firstLineChars="200"/>
        <w:contextualSpacing/>
        <w:jc w:val="left"/>
        <w:rPr>
          <w:rFonts w:hint="eastAsia" w:ascii="仿宋" w:hAnsi="仿宋" w:eastAsia="仿宋" w:cs="仿宋"/>
          <w:bCs/>
          <w:color w:val="auto"/>
          <w:sz w:val="32"/>
          <w:szCs w:val="32"/>
        </w:rPr>
      </w:pPr>
      <w:r>
        <w:rPr>
          <w:rFonts w:hint="eastAsia" w:ascii="仿宋" w:hAnsi="仿宋" w:eastAsia="仿宋" w:cs="仿宋"/>
          <w:bCs/>
          <w:color w:val="auto"/>
          <w:sz w:val="32"/>
          <w:szCs w:val="32"/>
        </w:rPr>
        <w:t>4.履行党要管党、从严治党，加强对本单位党的建设的领导，落实党建工作责任制。认真履行党风廉政建设主体责任，支持纪检监察机构履行监督责任。</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（三）人员概况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lang w:val="en-US" w:eastAsia="zh-CN"/>
        </w:rPr>
        <w:t>截至2025年12月31日，</w:t>
      </w:r>
      <w:r>
        <w:rPr>
          <w:rFonts w:hint="eastAsia" w:ascii="仿宋" w:hAnsi="仿宋" w:eastAsia="仿宋" w:cs="仿宋"/>
          <w:color w:val="auto"/>
          <w:kern w:val="0"/>
          <w:sz w:val="32"/>
          <w:szCs w:val="32"/>
          <w:highlight w:val="none"/>
        </w:rPr>
        <w:t>单位</w:t>
      </w:r>
      <w:r>
        <w:rPr>
          <w:rFonts w:hint="eastAsia" w:ascii="仿宋" w:hAnsi="仿宋" w:eastAsia="仿宋" w:cs="仿宋"/>
          <w:color w:val="auto"/>
          <w:kern w:val="0"/>
          <w:sz w:val="32"/>
          <w:szCs w:val="32"/>
          <w:highlight w:val="none"/>
          <w:lang w:val="en-US" w:eastAsia="zh-CN"/>
        </w:rPr>
        <w:t>在职人员共6</w:t>
      </w:r>
      <w:r>
        <w:rPr>
          <w:rFonts w:hint="eastAsia" w:ascii="仿宋" w:hAnsi="仿宋" w:eastAsia="仿宋" w:cs="仿宋"/>
          <w:color w:val="auto"/>
          <w:kern w:val="0"/>
          <w:sz w:val="32"/>
          <w:szCs w:val="32"/>
          <w:highlight w:val="none"/>
        </w:rPr>
        <w:t>人</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黑体" w:cs="Times New Roman"/>
          <w:color w:val="auto"/>
          <w:kern w:val="0"/>
          <w:sz w:val="32"/>
          <w:szCs w:val="32"/>
          <w:highlight w:val="none"/>
          <w:shd w:val="clear" w:color="auto" w:fill="FFFFFF"/>
          <w:lang w:val="en-US" w:eastAsia="zh-CN"/>
        </w:rPr>
      </w:pPr>
      <w:r>
        <w:rPr>
          <w:rFonts w:hint="eastAsia" w:ascii="Times New Roman" w:hAnsi="Times New Roman" w:eastAsia="黑体" w:cs="Times New Roman"/>
          <w:color w:val="auto"/>
          <w:kern w:val="0"/>
          <w:sz w:val="32"/>
          <w:szCs w:val="32"/>
          <w:highlight w:val="none"/>
          <w:shd w:val="clear" w:color="auto" w:fill="FFFFFF"/>
          <w:lang w:val="en-US" w:eastAsia="zh-CN"/>
        </w:rPr>
        <w:t>二、部门资金收支情况</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（二）部门财政资金收支情况</w:t>
      </w:r>
    </w:p>
    <w:p>
      <w:pPr>
        <w:pStyle w:val="37"/>
        <w:spacing w:line="360" w:lineRule="auto"/>
        <w:ind w:firstLine="64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2024</w:t>
      </w:r>
      <w:r>
        <w:rPr>
          <w:rFonts w:hint="eastAsia" w:ascii="仿宋" w:hAnsi="仿宋" w:eastAsia="仿宋" w:cs="仿宋"/>
          <w:color w:val="auto"/>
          <w:sz w:val="32"/>
          <w:szCs w:val="32"/>
          <w:lang w:val="en-US" w:eastAsia="zh-CN"/>
        </w:rPr>
        <w:t>年财</w:t>
      </w:r>
      <w:r>
        <w:rPr>
          <w:rFonts w:hint="eastAsia" w:ascii="仿宋" w:hAnsi="仿宋" w:eastAsia="仿宋" w:cs="仿宋"/>
          <w:color w:val="auto"/>
          <w:sz w:val="32"/>
          <w:szCs w:val="32"/>
          <w:lang w:eastAsia="zh-CN"/>
        </w:rPr>
        <w:t>政下达壤塘县信访局年初预算收入</w:t>
      </w:r>
      <w:r>
        <w:rPr>
          <w:rFonts w:hint="eastAsia" w:ascii="仿宋" w:hAnsi="仿宋" w:eastAsia="仿宋" w:cs="仿宋"/>
          <w:color w:val="auto"/>
          <w:sz w:val="32"/>
          <w:szCs w:val="32"/>
          <w:lang w:val="en-US" w:eastAsia="zh-CN"/>
        </w:rPr>
        <w:t>190.23</w:t>
      </w:r>
      <w:r>
        <w:rPr>
          <w:rFonts w:hint="eastAsia" w:ascii="仿宋" w:hAnsi="仿宋" w:eastAsia="仿宋" w:cs="仿宋"/>
          <w:color w:val="auto"/>
          <w:sz w:val="32"/>
          <w:szCs w:val="32"/>
          <w:lang w:eastAsia="zh-CN"/>
        </w:rPr>
        <w:t>万元，</w:t>
      </w:r>
      <w:r>
        <w:rPr>
          <w:rFonts w:hint="eastAsia" w:ascii="仿宋" w:hAnsi="仿宋" w:eastAsia="仿宋" w:cs="仿宋"/>
          <w:color w:val="auto"/>
          <w:sz w:val="32"/>
          <w:szCs w:val="32"/>
          <w:lang w:val="en-US" w:eastAsia="zh-CN"/>
        </w:rPr>
        <w:t>当年追加预算1.93万元，年末收入总计为192.15万元。</w:t>
      </w:r>
      <w:r>
        <w:rPr>
          <w:rFonts w:hint="eastAsia" w:ascii="仿宋" w:hAnsi="仿宋" w:eastAsia="仿宋" w:cs="仿宋"/>
          <w:color w:val="auto"/>
          <w:sz w:val="32"/>
          <w:szCs w:val="32"/>
          <w:lang w:eastAsia="zh-CN"/>
        </w:rPr>
        <w:t xml:space="preserve">   </w:t>
      </w:r>
    </w:p>
    <w:p>
      <w:pPr>
        <w:spacing w:line="600" w:lineRule="exact"/>
        <w:ind w:firstLine="642" w:firstLineChars="200"/>
        <w:outlineLvl w:val="2"/>
        <w:rPr>
          <w:rFonts w:hint="default"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（二）部门财政资金支出情况</w:t>
      </w:r>
    </w:p>
    <w:p>
      <w:pPr>
        <w:spacing w:line="600" w:lineRule="exact"/>
        <w:ind w:firstLine="640" w:firstLineChars="200"/>
        <w:outlineLvl w:val="2"/>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2025</w:t>
      </w:r>
      <w:r>
        <w:rPr>
          <w:rFonts w:hint="eastAsia" w:ascii="仿宋" w:hAnsi="仿宋" w:eastAsia="仿宋" w:cs="仿宋"/>
          <w:color w:val="auto"/>
          <w:sz w:val="32"/>
          <w:szCs w:val="32"/>
        </w:rPr>
        <w:t>年</w:t>
      </w:r>
      <w:r>
        <w:rPr>
          <w:rFonts w:hint="eastAsia" w:ascii="仿宋" w:hAnsi="仿宋" w:eastAsia="仿宋" w:cs="仿宋"/>
          <w:color w:val="auto"/>
          <w:sz w:val="32"/>
          <w:szCs w:val="32"/>
          <w:lang w:eastAsia="zh-CN"/>
        </w:rPr>
        <w:t>壤塘县信访局</w:t>
      </w:r>
      <w:r>
        <w:rPr>
          <w:rFonts w:hint="eastAsia" w:ascii="仿宋" w:hAnsi="仿宋" w:eastAsia="仿宋" w:cs="仿宋"/>
          <w:color w:val="auto"/>
          <w:sz w:val="32"/>
          <w:szCs w:val="32"/>
        </w:rPr>
        <w:t>共计预算支出</w:t>
      </w:r>
      <w:r>
        <w:rPr>
          <w:rFonts w:hint="eastAsia" w:ascii="仿宋" w:hAnsi="仿宋" w:eastAsia="仿宋" w:cs="仿宋"/>
          <w:color w:val="auto"/>
          <w:sz w:val="32"/>
          <w:szCs w:val="32"/>
          <w:lang w:val="en-US" w:eastAsia="zh-CN"/>
        </w:rPr>
        <w:t>192.16</w:t>
      </w:r>
      <w:r>
        <w:rPr>
          <w:rFonts w:hint="eastAsia" w:ascii="仿宋" w:hAnsi="仿宋" w:eastAsia="仿宋" w:cs="仿宋"/>
          <w:color w:val="auto"/>
          <w:sz w:val="32"/>
          <w:szCs w:val="32"/>
        </w:rPr>
        <w:t>万元，基本支出</w:t>
      </w:r>
      <w:r>
        <w:rPr>
          <w:rFonts w:hint="eastAsia" w:ascii="仿宋" w:hAnsi="仿宋" w:eastAsia="仿宋" w:cs="仿宋"/>
          <w:color w:val="auto"/>
          <w:sz w:val="32"/>
          <w:szCs w:val="32"/>
          <w:lang w:val="en-US" w:eastAsia="zh-CN"/>
        </w:rPr>
        <w:t>192.16</w:t>
      </w:r>
      <w:r>
        <w:rPr>
          <w:rFonts w:hint="eastAsia" w:ascii="仿宋" w:hAnsi="仿宋" w:eastAsia="仿宋" w:cs="仿宋"/>
          <w:color w:val="auto"/>
          <w:sz w:val="32"/>
          <w:szCs w:val="32"/>
        </w:rPr>
        <w:t>万元，项目支出</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r>
        <w:rPr>
          <w:rFonts w:hint="eastAsia" w:ascii="Times New Roman" w:hAnsi="Times New Roman" w:eastAsia="仿宋_GB2312" w:cs="仿宋_GB2312"/>
          <w:b w:val="0"/>
          <w:bCs w:val="0"/>
          <w:color w:val="auto"/>
          <w:kern w:val="0"/>
          <w:position w:val="0"/>
          <w:sz w:val="32"/>
          <w:szCs w:val="32"/>
          <w:highlight w:val="none"/>
          <w:lang w:val="en-US" w:eastAsia="zh-CN" w:bidi="ar-SA"/>
        </w:rPr>
        <w:t>支出全部为一般公共预算财政拨款支出，主要用于人员经费、机关运行经费、信访业务保障等基本支出，无项目支出、</w:t>
      </w:r>
      <w:r>
        <w:rPr>
          <w:rFonts w:hint="eastAsia" w:eastAsia="仿宋_GB2312" w:cs="仿宋_GB2312"/>
          <w:b w:val="0"/>
          <w:bCs w:val="0"/>
          <w:color w:val="auto"/>
          <w:kern w:val="0"/>
          <w:position w:val="0"/>
          <w:sz w:val="32"/>
          <w:szCs w:val="32"/>
          <w:highlight w:val="none"/>
          <w:lang w:val="en-US" w:eastAsia="zh-CN" w:bidi="ar-SA"/>
        </w:rPr>
        <w:t>“三公”经费</w:t>
      </w:r>
      <w:r>
        <w:rPr>
          <w:rFonts w:hint="eastAsia" w:ascii="Times New Roman" w:hAnsi="Times New Roman" w:eastAsia="仿宋_GB2312" w:cs="仿宋_GB2312"/>
          <w:b w:val="0"/>
          <w:bCs w:val="0"/>
          <w:color w:val="auto"/>
          <w:kern w:val="0"/>
          <w:position w:val="0"/>
          <w:sz w:val="32"/>
          <w:szCs w:val="32"/>
          <w:highlight w:val="none"/>
          <w:lang w:val="en-US" w:eastAsia="zh-CN" w:bidi="ar-SA"/>
        </w:rPr>
        <w:t>支出。</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（三）结余分配和结转结余情况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2025年末部门无财政拨款结转结余资金，全年预算执行规范，资金应支尽支，无长期沉淀资金、无闲置结余资金。</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黑体" w:cs="Times New Roman"/>
          <w:color w:val="auto"/>
          <w:kern w:val="0"/>
          <w:sz w:val="32"/>
          <w:szCs w:val="32"/>
          <w:highlight w:val="none"/>
          <w:shd w:val="clear" w:color="auto" w:fill="FFFFFF"/>
          <w:lang w:val="en-US" w:eastAsia="zh-CN"/>
        </w:rPr>
      </w:pPr>
      <w:r>
        <w:rPr>
          <w:rFonts w:hint="eastAsia" w:ascii="Times New Roman" w:hAnsi="Times New Roman" w:eastAsia="黑体" w:cs="Times New Roman"/>
          <w:color w:val="auto"/>
          <w:kern w:val="0"/>
          <w:sz w:val="32"/>
          <w:szCs w:val="32"/>
          <w:highlight w:val="none"/>
          <w:shd w:val="clear" w:color="auto" w:fill="FFFFFF"/>
          <w:lang w:val="en-US" w:eastAsia="zh-CN"/>
        </w:rPr>
        <w:t>三、部门预算绩效分析</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（一）部门预算总体绩效分析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本年度严格对照部门整体绩效评价指标体系，从履职效能、预算管理、财务管理、资产管理、采购管理五个方面开展自评，整体运行规范、绩效目标基本全面完成。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bCs/>
          <w:color w:val="auto"/>
          <w:kern w:val="0"/>
          <w:position w:val="0"/>
          <w:sz w:val="32"/>
          <w:szCs w:val="32"/>
          <w:highlight w:val="none"/>
          <w:lang w:val="en-US" w:eastAsia="zh-CN" w:bidi="ar-SA"/>
        </w:rPr>
      </w:pPr>
      <w:r>
        <w:rPr>
          <w:rFonts w:hint="eastAsia" w:ascii="Times New Roman" w:hAnsi="Times New Roman" w:eastAsia="仿宋_GB2312" w:cs="仿宋_GB2312"/>
          <w:b/>
          <w:bCs/>
          <w:color w:val="auto"/>
          <w:kern w:val="0"/>
          <w:position w:val="0"/>
          <w:sz w:val="32"/>
          <w:szCs w:val="32"/>
          <w:highlight w:val="none"/>
          <w:lang w:val="en-US" w:eastAsia="zh-CN" w:bidi="ar-SA"/>
        </w:rPr>
        <w:t>1. 履职效能</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围绕信访核心职能，重点完成以下目标任务：</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一是群众信访事项受理办理。严格落实信访事项“马上办、限时办”制度，规范来信、来访、网访登记、分流、办理、回复全流程，按时办结率、群众满意率达标。</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二是矛盾纠纷排查化解。常态化开展矛盾纠纷排查、源头稳控、隐患梳理，</w:t>
      </w:r>
      <w:bookmarkStart w:id="58" w:name="_GoBack"/>
      <w:bookmarkEnd w:id="58"/>
      <w:r>
        <w:rPr>
          <w:rFonts w:hint="eastAsia" w:eastAsia="仿宋_GB2312" w:cs="仿宋_GB2312"/>
          <w:b w:val="0"/>
          <w:bCs w:val="0"/>
          <w:color w:val="auto"/>
          <w:kern w:val="0"/>
          <w:position w:val="0"/>
          <w:sz w:val="32"/>
          <w:szCs w:val="32"/>
          <w:highlight w:val="none"/>
          <w:lang w:val="en-US" w:eastAsia="zh-CN" w:bidi="ar-SA"/>
        </w:rPr>
        <w:t>有效防范化解重点领域风险</w:t>
      </w:r>
      <w:r>
        <w:rPr>
          <w:rFonts w:hint="eastAsia" w:ascii="Times New Roman" w:hAnsi="Times New Roman" w:eastAsia="仿宋_GB2312" w:cs="仿宋_GB2312"/>
          <w:b w:val="0"/>
          <w:bCs w:val="0"/>
          <w:color w:val="auto"/>
          <w:kern w:val="0"/>
          <w:position w:val="0"/>
          <w:sz w:val="32"/>
          <w:szCs w:val="32"/>
          <w:highlight w:val="none"/>
          <w:lang w:val="en-US" w:eastAsia="zh-CN" w:bidi="ar-SA"/>
        </w:rPr>
        <w:t>隐患。</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三是信访积案攻坚化解。扎实推进重复信访、疑难信访问题专项治理，按期推进积案清零工作。</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四是信访督查督办。对重点信访事项、重点领域问题开展督查督办，压实属地和行业责任。</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五是信访宣传及规范化建设。常态化开展信访法治宣传、业务培训，规范基层信访工作秩序。</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全年各项核心履职任务有序落地，履职效能总体良好，圆满完成年度信访维稳工作目标。</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bCs/>
          <w:color w:val="auto"/>
          <w:kern w:val="0"/>
          <w:position w:val="0"/>
          <w:sz w:val="32"/>
          <w:szCs w:val="32"/>
          <w:highlight w:val="none"/>
          <w:lang w:val="en-US" w:eastAsia="zh-CN" w:bidi="ar-SA"/>
        </w:rPr>
      </w:pPr>
      <w:r>
        <w:rPr>
          <w:rFonts w:hint="eastAsia" w:ascii="Times New Roman" w:hAnsi="Times New Roman" w:eastAsia="仿宋_GB2312" w:cs="仿宋_GB2312"/>
          <w:b/>
          <w:bCs/>
          <w:color w:val="auto"/>
          <w:kern w:val="0"/>
          <w:position w:val="0"/>
          <w:sz w:val="32"/>
          <w:szCs w:val="32"/>
          <w:highlight w:val="none"/>
          <w:lang w:val="en-US" w:eastAsia="zh-CN" w:bidi="ar-SA"/>
        </w:rPr>
        <w:t>2. 预算管理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一是预算编制较为精准，严格按照人员、公用、业务实际需求编制年度预算。</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二是严格统筹单位各项收入，全年无超范围、无违规调剂资金情况。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三是预算执行总体平稳有序，支出进度均衡，年末无大额结余沉淀。</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四是严格落实厉行节约要求，持续压减一般性支出，严控非刚性、非重点开支，预算管控规范到位。</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bCs/>
          <w:color w:val="auto"/>
          <w:kern w:val="0"/>
          <w:position w:val="0"/>
          <w:sz w:val="32"/>
          <w:szCs w:val="32"/>
          <w:highlight w:val="none"/>
          <w:lang w:val="en-US" w:eastAsia="zh-CN" w:bidi="ar-SA"/>
        </w:rPr>
      </w:pPr>
      <w:r>
        <w:rPr>
          <w:rFonts w:hint="eastAsia" w:ascii="Times New Roman" w:hAnsi="Times New Roman" w:eastAsia="仿宋_GB2312" w:cs="仿宋_GB2312"/>
          <w:b/>
          <w:bCs/>
          <w:color w:val="auto"/>
          <w:kern w:val="0"/>
          <w:position w:val="0"/>
          <w:sz w:val="32"/>
          <w:szCs w:val="32"/>
          <w:highlight w:val="none"/>
          <w:lang w:val="en-US" w:eastAsia="zh-CN" w:bidi="ar-SA"/>
        </w:rPr>
        <w:t>3. 财务管理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严格执行行政单位财务制度、国库集中支付制度，财务管理制度健全。财务岗位设置齐全、岗位职责明确，资金审批、报销审核、支付拨付流程规范。所有资金专款专用，票据真实合规，账务处理及时准确，全年无财务违规、无资金使用风险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bCs/>
          <w:color w:val="auto"/>
          <w:kern w:val="0"/>
          <w:position w:val="0"/>
          <w:sz w:val="32"/>
          <w:szCs w:val="32"/>
          <w:highlight w:val="none"/>
          <w:lang w:val="en-US" w:eastAsia="zh-CN" w:bidi="ar-SA"/>
        </w:rPr>
      </w:pPr>
      <w:r>
        <w:rPr>
          <w:rFonts w:hint="eastAsia" w:ascii="Times New Roman" w:hAnsi="Times New Roman" w:eastAsia="仿宋_GB2312" w:cs="仿宋_GB2312"/>
          <w:b/>
          <w:bCs/>
          <w:color w:val="auto"/>
          <w:kern w:val="0"/>
          <w:position w:val="0"/>
          <w:sz w:val="32"/>
          <w:szCs w:val="32"/>
          <w:highlight w:val="none"/>
          <w:lang w:val="en-US" w:eastAsia="zh-CN" w:bidi="ar-SA"/>
        </w:rPr>
        <w:t>4. 资产管理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单位资产台账健全，资产入库、领用、处置、盘点流程规范。年末资产账实相符、账账相符，资产利用率较高，无闲置、低效、长期沉淀资产，人均资产结构合理，资产管护规范。</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bCs/>
          <w:color w:val="auto"/>
          <w:kern w:val="0"/>
          <w:position w:val="0"/>
          <w:sz w:val="32"/>
          <w:szCs w:val="32"/>
          <w:highlight w:val="none"/>
          <w:lang w:val="en-US" w:eastAsia="zh-CN" w:bidi="ar-SA"/>
        </w:rPr>
      </w:pPr>
      <w:r>
        <w:rPr>
          <w:rFonts w:hint="eastAsia" w:ascii="Times New Roman" w:hAnsi="Times New Roman" w:eastAsia="仿宋_GB2312" w:cs="仿宋_GB2312"/>
          <w:b/>
          <w:bCs/>
          <w:color w:val="auto"/>
          <w:kern w:val="0"/>
          <w:position w:val="0"/>
          <w:sz w:val="32"/>
          <w:szCs w:val="32"/>
          <w:highlight w:val="none"/>
          <w:lang w:val="en-US" w:eastAsia="zh-CN" w:bidi="ar-SA"/>
        </w:rPr>
        <w:t>5. 采购管理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严格执行政府采购管理制度，全年采购程序合规、资料齐全。积极支持中小企业参与政府采购，采购执行率达标，无违规采购、无应采未采、无规避采购等问题。</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（二）部门预算项目绩效分析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本年度部门无专项项目预算，无常年项目、无阶段性一次性项目，无债券资金、无政府购买服务项目。全年支出均为基本支出，无需开展项目绩效分项评价。</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bCs/>
          <w:color w:val="auto"/>
          <w:kern w:val="0"/>
          <w:position w:val="0"/>
          <w:sz w:val="32"/>
          <w:szCs w:val="32"/>
          <w:highlight w:val="none"/>
          <w:lang w:val="en-US" w:eastAsia="zh-CN" w:bidi="ar-SA"/>
        </w:rPr>
      </w:pPr>
      <w:r>
        <w:rPr>
          <w:rFonts w:hint="eastAsia" w:ascii="Times New Roman" w:hAnsi="Times New Roman" w:eastAsia="仿宋_GB2312" w:cs="仿宋_GB2312"/>
          <w:b/>
          <w:bCs/>
          <w:color w:val="auto"/>
          <w:kern w:val="0"/>
          <w:position w:val="0"/>
          <w:sz w:val="32"/>
          <w:szCs w:val="32"/>
          <w:highlight w:val="none"/>
          <w:lang w:val="en-US" w:eastAsia="zh-CN" w:bidi="ar-SA"/>
        </w:rPr>
        <w:t>1. 项目决策</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本年度无项目立项、无项目储备入库事项。</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bCs/>
          <w:color w:val="auto"/>
          <w:kern w:val="0"/>
          <w:position w:val="0"/>
          <w:sz w:val="32"/>
          <w:szCs w:val="32"/>
          <w:highlight w:val="none"/>
          <w:lang w:val="en-US" w:eastAsia="zh-CN" w:bidi="ar-SA"/>
        </w:rPr>
      </w:pPr>
      <w:r>
        <w:rPr>
          <w:rFonts w:hint="eastAsia" w:ascii="Times New Roman" w:hAnsi="Times New Roman" w:eastAsia="仿宋_GB2312" w:cs="仿宋_GB2312"/>
          <w:b/>
          <w:bCs/>
          <w:color w:val="auto"/>
          <w:kern w:val="0"/>
          <w:position w:val="0"/>
          <w:sz w:val="32"/>
          <w:szCs w:val="32"/>
          <w:highlight w:val="none"/>
          <w:lang w:val="en-US" w:eastAsia="zh-CN" w:bidi="ar-SA"/>
        </w:rPr>
        <w:t>2. 项目执行</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本年度无项目资金拨付、无项目实施任务。</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bCs/>
          <w:color w:val="auto"/>
          <w:kern w:val="0"/>
          <w:position w:val="0"/>
          <w:sz w:val="32"/>
          <w:szCs w:val="32"/>
          <w:highlight w:val="none"/>
          <w:lang w:val="en-US" w:eastAsia="zh-CN" w:bidi="ar-SA"/>
        </w:rPr>
      </w:pPr>
      <w:r>
        <w:rPr>
          <w:rFonts w:hint="eastAsia" w:ascii="Times New Roman" w:hAnsi="Times New Roman" w:eastAsia="仿宋_GB2312" w:cs="仿宋_GB2312"/>
          <w:b/>
          <w:bCs/>
          <w:color w:val="auto"/>
          <w:kern w:val="0"/>
          <w:position w:val="0"/>
          <w:sz w:val="32"/>
          <w:szCs w:val="32"/>
          <w:highlight w:val="none"/>
          <w:lang w:val="en-US" w:eastAsia="zh-CN" w:bidi="ar-SA"/>
        </w:rPr>
        <w:t>3. 目标实现</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本年度无项目绩效目标，无目标偏离情况。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综上，本年度一般公共预算、政府性基金预算、国有资本经营预算均无项目支出，项目绩效整体合规、无风险、无问题。</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（三）绩效结果应用情况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bCs/>
          <w:color w:val="auto"/>
          <w:kern w:val="0"/>
          <w:position w:val="0"/>
          <w:sz w:val="32"/>
          <w:szCs w:val="32"/>
          <w:highlight w:val="none"/>
          <w:lang w:val="en-US" w:eastAsia="zh-CN" w:bidi="ar-SA"/>
        </w:rPr>
        <w:t>一是内部应用到位。</w:t>
      </w:r>
      <w:r>
        <w:rPr>
          <w:rFonts w:hint="eastAsia" w:ascii="Times New Roman" w:hAnsi="Times New Roman" w:eastAsia="仿宋_GB2312" w:cs="仿宋_GB2312"/>
          <w:b w:val="0"/>
          <w:bCs w:val="0"/>
          <w:color w:val="auto"/>
          <w:kern w:val="0"/>
          <w:position w:val="0"/>
          <w:sz w:val="32"/>
          <w:szCs w:val="32"/>
          <w:highlight w:val="none"/>
          <w:lang w:val="en-US" w:eastAsia="zh-CN" w:bidi="ar-SA"/>
        </w:rPr>
        <w:t>将年度绩效自评结果运用到下一年度预算编制、资金安排、业务管理中，以绩效定预算、以成效定安排。</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bCs/>
          <w:color w:val="auto"/>
          <w:kern w:val="0"/>
          <w:position w:val="0"/>
          <w:sz w:val="32"/>
          <w:szCs w:val="32"/>
          <w:highlight w:val="none"/>
          <w:lang w:val="en-US" w:eastAsia="zh-CN" w:bidi="ar-SA"/>
        </w:rPr>
        <w:t>二是信息公开规范。</w:t>
      </w:r>
      <w:r>
        <w:rPr>
          <w:rFonts w:hint="eastAsia" w:ascii="Times New Roman" w:hAnsi="Times New Roman" w:eastAsia="仿宋_GB2312" w:cs="仿宋_GB2312"/>
          <w:b w:val="0"/>
          <w:bCs w:val="0"/>
          <w:color w:val="auto"/>
          <w:kern w:val="0"/>
          <w:position w:val="0"/>
          <w:sz w:val="32"/>
          <w:szCs w:val="32"/>
          <w:highlight w:val="none"/>
          <w:lang w:val="en-US" w:eastAsia="zh-CN" w:bidi="ar-SA"/>
        </w:rPr>
        <w:t>严格按照财政要求，按时完成部门整体绩效、绩效自评结果公开，公开内容真实完整。</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bCs/>
          <w:color w:val="auto"/>
          <w:kern w:val="0"/>
          <w:position w:val="0"/>
          <w:sz w:val="32"/>
          <w:szCs w:val="32"/>
          <w:highlight w:val="none"/>
          <w:lang w:val="en-US" w:eastAsia="zh-CN" w:bidi="ar-SA"/>
        </w:rPr>
        <w:t>三是问题整改闭环。</w:t>
      </w:r>
      <w:r>
        <w:rPr>
          <w:rFonts w:hint="eastAsia" w:ascii="Times New Roman" w:hAnsi="Times New Roman" w:eastAsia="仿宋_GB2312" w:cs="仿宋_GB2312"/>
          <w:b w:val="0"/>
          <w:bCs w:val="0"/>
          <w:color w:val="auto"/>
          <w:kern w:val="0"/>
          <w:position w:val="0"/>
          <w:sz w:val="32"/>
          <w:szCs w:val="32"/>
          <w:highlight w:val="none"/>
          <w:lang w:val="en-US" w:eastAsia="zh-CN" w:bidi="ar-SA"/>
        </w:rPr>
        <w:t>对上年度绩效反馈问题全部完成整改，建立长效管理机制，持续提升预算绩效管理水平。</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黑体" w:cs="Times New Roman"/>
          <w:color w:val="auto"/>
          <w:kern w:val="0"/>
          <w:sz w:val="32"/>
          <w:szCs w:val="32"/>
          <w:highlight w:val="none"/>
          <w:shd w:val="clear" w:color="auto" w:fill="FFFFFF"/>
          <w:lang w:val="en-US" w:eastAsia="zh-CN"/>
        </w:rPr>
      </w:pPr>
      <w:r>
        <w:rPr>
          <w:rFonts w:hint="eastAsia" w:ascii="Times New Roman" w:hAnsi="Times New Roman" w:eastAsia="黑体" w:cs="Times New Roman"/>
          <w:color w:val="auto"/>
          <w:kern w:val="0"/>
          <w:sz w:val="32"/>
          <w:szCs w:val="32"/>
          <w:highlight w:val="none"/>
          <w:shd w:val="clear" w:color="auto" w:fill="FFFFFF"/>
          <w:lang w:val="en-US" w:eastAsia="zh-CN"/>
        </w:rPr>
        <w:t>四、评价结论及建议</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（一）评价结论</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2025年度壤塘县信访工作局（含下属单位）部门预算资金使用规范、预算执行平稳、履职成效良好、财务管理严谨、资产管理规范、采购管理合规，整体绩效目标完成较好。部门整体绩效自评得分</w:t>
      </w:r>
      <w:r>
        <w:rPr>
          <w:rFonts w:hint="eastAsia" w:eastAsia="仿宋_GB2312" w:cs="仿宋_GB2312"/>
          <w:b w:val="0"/>
          <w:bCs w:val="0"/>
          <w:color w:val="auto"/>
          <w:kern w:val="0"/>
          <w:position w:val="0"/>
          <w:sz w:val="32"/>
          <w:szCs w:val="32"/>
          <w:highlight w:val="none"/>
          <w:lang w:val="en-US" w:eastAsia="zh-CN" w:bidi="ar-SA"/>
        </w:rPr>
        <w:t>90</w:t>
      </w:r>
      <w:r>
        <w:rPr>
          <w:rFonts w:hint="eastAsia" w:ascii="Times New Roman" w:hAnsi="Times New Roman" w:eastAsia="仿宋_GB2312" w:cs="仿宋_GB2312"/>
          <w:b w:val="0"/>
          <w:bCs w:val="0"/>
          <w:color w:val="auto"/>
          <w:kern w:val="0"/>
          <w:position w:val="0"/>
          <w:sz w:val="32"/>
          <w:szCs w:val="32"/>
          <w:highlight w:val="none"/>
          <w:lang w:val="en-US" w:eastAsia="zh-CN" w:bidi="ar-SA"/>
        </w:rPr>
        <w:t>分，绩效等级为优良。本年度收支总额同比下降，主要系人员减少、人员经费下降及财政统筹压减一般性支出所致，属于政策性、结构性正常变动。</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（二）存在问题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预算编制精细化、前瞻性仍需提升，对年度业务波动预判不够精准。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预算绩效过程管控力度有待加强，日常绩效跟踪记录不够细化。</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绩效成果转化运用不够充分，绩效与预算联动机制仍需进一步完善。</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（三）改进建议</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提升预算编制质量。结合人员变动、业务重点、年度工作任务，科学测算收支需求，进一步提高预算编制精准度、合理性。</w:t>
      </w:r>
    </w:p>
    <w:p>
      <w:pPr>
        <w:spacing w:line="600" w:lineRule="exact"/>
        <w:ind w:firstLine="640" w:firstLineChars="200"/>
        <w:outlineLvl w:val="2"/>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强化全过程绩效管理。建立常态化绩效跟踪、过程分析、进度研判机制，细化台账资料，做实过程绩效监管。</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健全绩效结果联动机制。将年度绩效评价结果深度运用到次年预算安排、经费调剂、项目储备中，实现“花钱必问效、无效必问责”。</w:t>
      </w:r>
    </w:p>
    <w:p>
      <w:pPr>
        <w:pStyle w:val="2"/>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color w:val="auto"/>
          <w:sz w:val="32"/>
          <w:szCs w:val="32"/>
          <w:highlight w:val="yellow"/>
          <w:lang w:val="zh-CN" w:eastAsia="zh-CN"/>
        </w:rPr>
      </w:pPr>
    </w:p>
    <w:p>
      <w:pPr>
        <w:pStyle w:val="8"/>
        <w:rPr>
          <w:rFonts w:hint="eastAsia" w:ascii="Times New Roman" w:hAnsi="Times New Roman" w:cs="宋体"/>
          <w:color w:val="auto"/>
          <w:kern w:val="0"/>
          <w:sz w:val="32"/>
          <w:szCs w:val="32"/>
          <w:highlight w:val="yellow"/>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pStyle w:val="8"/>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val="0"/>
        <w:snapToGrid w:val="0"/>
        <w:spacing w:line="578" w:lineRule="exact"/>
        <w:ind w:firstLine="880" w:firstLineChars="20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壤塘县信访工作局2025年专项预算项目绩效评价报告</w:t>
      </w:r>
      <w:bookmarkStart w:id="44" w:name="_Toc15396618"/>
    </w:p>
    <w:p>
      <w:pPr>
        <w:keepNext w:val="0"/>
        <w:keepLines w:val="0"/>
        <w:pageBreakBefore w:val="0"/>
        <w:widowControl w:val="0"/>
        <w:kinsoku/>
        <w:wordWrap/>
        <w:overflowPunct/>
        <w:topLinePunct w:val="0"/>
        <w:autoSpaceDE/>
        <w:autoSpaceDN/>
        <w:bidi w:val="0"/>
        <w:adjustRightInd w:val="0"/>
        <w:snapToGrid w:val="0"/>
        <w:spacing w:line="578" w:lineRule="exact"/>
        <w:ind w:firstLine="880" w:firstLineChars="200"/>
        <w:textAlignment w:val="auto"/>
        <w:rPr>
          <w:rFonts w:hint="eastAsia" w:ascii="Times New Roman" w:hAnsi="Times New Roman" w:eastAsia="方正小标宋简体" w:cs="方正小标宋简体"/>
          <w:color w:val="auto"/>
          <w:kern w:val="2"/>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一、项目概况</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en-US" w:eastAsia="zh-CN"/>
        </w:rPr>
        <w:t>（一）设立背景及基本情况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壤塘县信访工作局主要承担群众信访受理办理、矛盾纠纷化解、信访维稳、督查督办、信访法治建设等工作职责。2025年度本单位无财政专项预算项目、无专项资金安排，无专项项目立项申报及专项资金使用事项。</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en-US" w:eastAsia="zh-CN"/>
        </w:rPr>
        <w:t>（二）实施目的及支持方向</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本年度无专项预算项目，无专项工作任务及专项资金支持方向。</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en-US" w:eastAsia="zh-CN"/>
        </w:rPr>
        <w:t>（三）预算安排及分配管理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2025年度无专项预算资金安排，无资金分配、无资金下达、无调剂使用情况。</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en-US" w:eastAsia="zh-CN"/>
        </w:rPr>
        <w:t>（四）项目绩效目标设置</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本年度无专项项目绩效目标设置，无专项绩效自评任务。</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二、评价实施</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en-US" w:eastAsia="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因本年度无专项预算项目，</w:t>
      </w:r>
      <w:r>
        <w:rPr>
          <w:rFonts w:hint="eastAsia" w:eastAsia="仿宋_GB2312" w:cs="仿宋_GB2312"/>
          <w:b w:val="0"/>
          <w:bCs w:val="0"/>
          <w:color w:val="auto"/>
          <w:kern w:val="0"/>
          <w:position w:val="0"/>
          <w:sz w:val="32"/>
          <w:szCs w:val="32"/>
          <w:highlight w:val="none"/>
          <w:lang w:val="en-US" w:eastAsia="zh-CN" w:bidi="ar-SA"/>
        </w:rPr>
        <w:t>故</w:t>
      </w:r>
      <w:r>
        <w:rPr>
          <w:rFonts w:hint="eastAsia" w:ascii="Times New Roman" w:hAnsi="Times New Roman" w:eastAsia="仿宋_GB2312" w:cs="仿宋_GB2312"/>
          <w:b w:val="0"/>
          <w:bCs w:val="0"/>
          <w:color w:val="auto"/>
          <w:kern w:val="0"/>
          <w:position w:val="0"/>
          <w:sz w:val="32"/>
          <w:szCs w:val="32"/>
          <w:highlight w:val="none"/>
          <w:lang w:val="en-US" w:eastAsia="zh-CN" w:bidi="ar-SA"/>
        </w:rPr>
        <w:t>无需开展专项绩效评价。持续规范专项资金管理，坚持无项目、无资金、无支出、无违规的常态化管理模式。</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en-US" w:eastAsia="zh-CN"/>
        </w:rPr>
        <w:t>（二）预设问题及评价重点</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本年度无专项项目资金，不存在资金使用、项目实施、绩效偏差等问题。</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en-US" w:eastAsia="zh-CN"/>
        </w:rPr>
        <w:t>（三）评价选点</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本年度无专项资金覆盖市县及点位，无需实地踏勘选点。</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en-US" w:eastAsia="zh-CN"/>
        </w:rPr>
        <w:t>（四）评价方法</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本年度无专项项目，未开展专项绩效评价工作。</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en-US" w:eastAsia="zh-CN"/>
        </w:rPr>
        <w:t>（五）评价组织</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本年度无专项评价任务，未组建专项评价工作组。</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三、绩效分析</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en-US" w:eastAsia="zh-CN"/>
        </w:rPr>
        <w:t>（一）通用指标绩效分析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本年度无专项项目决策、项目管理、项目实施、项目结果相关事项，指标全部合规、无问题。</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en-US" w:eastAsia="zh-CN"/>
        </w:rPr>
        <w:t>（二）专用指标绩效分析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本单位无产业发展、民生专项、基建专项、专项运转类项目，无专用指标评价内容。</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en-US" w:eastAsia="zh-CN"/>
        </w:rPr>
        <w:t>（三）个性指标绩效分析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本年度无专项项目，无个性指标设置及执行情况。</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四、评价结论</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2025年度壤塘县信访工作局无专项预算项目、无专项资金收支，专项预算执行规范、零违规、零风险，专项绩效整体合格。</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五、存在主要问题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本年度无专项预算项目，无相关问题。</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六、改进建议</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持续严格执行专项资金管理规定，常态化坚持无专项不支出、无项目不立项，规范专项资金储备、申报、实施全过程管理，确保长期合规、安全、高效。</w:t>
      </w:r>
      <w:r>
        <w:rPr>
          <w:rFonts w:hint="eastAsia" w:ascii="Times New Roman" w:hAnsi="Times New Roman" w:eastAsia="仿宋_GB2312" w:cs="仿宋_GB2312"/>
          <w:b w:val="0"/>
          <w:bCs w:val="0"/>
          <w:color w:val="auto"/>
          <w:kern w:val="0"/>
          <w:position w:val="0"/>
          <w:sz w:val="32"/>
          <w:szCs w:val="32"/>
          <w:highlight w:val="none"/>
          <w:lang w:val="en-US" w:eastAsia="zh-CN" w:bidi="ar-SA"/>
        </w:rPr>
        <w:br w:type="page"/>
      </w: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43"/>
      <w:bookmarkEnd w:id="44"/>
      <w:bookmarkStart w:id="45"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5"/>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6" w:name="_Toc15396620"/>
      <w:r>
        <w:rPr>
          <w:rFonts w:hint="eastAsia" w:ascii="Times New Roman" w:hAnsi="Times New Roman" w:eastAsia="仿宋_GB2312" w:cs="仿宋_GB2312"/>
          <w:color w:val="auto"/>
          <w:sz w:val="32"/>
          <w:szCs w:val="32"/>
          <w:highlight w:val="none"/>
        </w:rPr>
        <w:t>二、收入决算表</w:t>
      </w:r>
      <w:bookmarkEnd w:id="46"/>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7" w:name="_Toc15396621"/>
      <w:r>
        <w:rPr>
          <w:rFonts w:hint="eastAsia" w:ascii="Times New Roman" w:hAnsi="Times New Roman" w:eastAsia="仿宋_GB2312" w:cs="仿宋_GB2312"/>
          <w:color w:val="auto"/>
          <w:sz w:val="32"/>
          <w:szCs w:val="32"/>
          <w:highlight w:val="none"/>
        </w:rPr>
        <w:t>三、支出决算表</w:t>
      </w:r>
      <w:bookmarkEnd w:id="47"/>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8" w:name="_Toc15396622"/>
      <w:r>
        <w:rPr>
          <w:rFonts w:hint="eastAsia" w:ascii="Times New Roman" w:hAnsi="Times New Roman" w:eastAsia="仿宋_GB2312" w:cs="仿宋_GB2312"/>
          <w:color w:val="auto"/>
          <w:sz w:val="32"/>
          <w:szCs w:val="32"/>
          <w:highlight w:val="none"/>
        </w:rPr>
        <w:t>四、财政拨款收入支出决算总表</w:t>
      </w:r>
      <w:bookmarkEnd w:id="48"/>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3"/>
      <w:r>
        <w:rPr>
          <w:rFonts w:hint="eastAsia" w:ascii="Times New Roman" w:hAnsi="Times New Roman" w:eastAsia="仿宋_GB2312" w:cs="仿宋_GB2312"/>
          <w:color w:val="auto"/>
          <w:sz w:val="32"/>
          <w:szCs w:val="32"/>
          <w:highlight w:val="none"/>
        </w:rPr>
        <w:t>五、财政拨款支出决算明细表</w:t>
      </w:r>
      <w:bookmarkEnd w:id="49"/>
      <w:bookmarkStart w:id="50"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5"/>
      <w:r>
        <w:rPr>
          <w:rFonts w:hint="eastAsia" w:ascii="Times New Roman" w:hAnsi="Times New Roman" w:eastAsia="仿宋_GB2312" w:cs="仿宋_GB2312"/>
          <w:color w:val="auto"/>
          <w:sz w:val="32"/>
          <w:szCs w:val="32"/>
          <w:highlight w:val="none"/>
        </w:rPr>
        <w:t>七、一般公共预算财政拨款支出决算明细表</w:t>
      </w:r>
      <w:bookmarkEnd w:id="51"/>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6"/>
      <w:r>
        <w:rPr>
          <w:rFonts w:hint="eastAsia" w:ascii="Times New Roman" w:hAnsi="Times New Roman" w:eastAsia="仿宋_GB2312" w:cs="仿宋_GB2312"/>
          <w:color w:val="auto"/>
          <w:sz w:val="32"/>
          <w:szCs w:val="32"/>
          <w:highlight w:val="none"/>
        </w:rPr>
        <w:t>八、一般公共预算财政拨款基本支出决算表</w:t>
      </w:r>
      <w:bookmarkEnd w:id="52"/>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7"/>
      <w:r>
        <w:rPr>
          <w:rFonts w:hint="eastAsia" w:ascii="Times New Roman" w:hAnsi="Times New Roman" w:eastAsia="仿宋_GB2312" w:cs="仿宋_GB2312"/>
          <w:color w:val="auto"/>
          <w:sz w:val="32"/>
          <w:szCs w:val="32"/>
          <w:highlight w:val="none"/>
        </w:rPr>
        <w:t>九、一般公共预算财政拨款项目支出决算表</w:t>
      </w:r>
      <w:bookmarkEnd w:id="53"/>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8"/>
      <w:r>
        <w:rPr>
          <w:rFonts w:hint="eastAsia" w:ascii="Times New Roman" w:hAnsi="Times New Roman" w:eastAsia="仿宋_GB2312" w:cs="仿宋_GB2312"/>
          <w:color w:val="auto"/>
          <w:sz w:val="32"/>
          <w:szCs w:val="32"/>
          <w:highlight w:val="none"/>
        </w:rPr>
        <w:t>十、</w:t>
      </w:r>
      <w:bookmarkEnd w:id="54"/>
      <w:r>
        <w:rPr>
          <w:rFonts w:hint="eastAsia" w:ascii="Times New Roman" w:hAnsi="Times New Roman" w:eastAsia="仿宋_GB2312" w:cs="仿宋_GB2312"/>
          <w:color w:val="auto"/>
          <w:sz w:val="32"/>
          <w:szCs w:val="32"/>
          <w:highlight w:val="none"/>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9"/>
      <w:r>
        <w:rPr>
          <w:rFonts w:hint="eastAsia" w:ascii="Times New Roman" w:hAnsi="Times New Roman" w:eastAsia="仿宋_GB2312" w:cs="仿宋_GB2312"/>
          <w:color w:val="auto"/>
          <w:sz w:val="32"/>
          <w:szCs w:val="32"/>
          <w:highlight w:val="none"/>
        </w:rPr>
        <w:t>十一、</w:t>
      </w:r>
      <w:bookmarkEnd w:id="5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30"/>
      <w:r>
        <w:rPr>
          <w:rFonts w:hint="eastAsia" w:ascii="Times New Roman" w:hAnsi="Times New Roman" w:eastAsia="仿宋_GB2312" w:cs="仿宋_GB2312"/>
          <w:color w:val="auto"/>
          <w:sz w:val="32"/>
          <w:szCs w:val="32"/>
          <w:highlight w:val="none"/>
        </w:rPr>
        <w:t>十二、</w:t>
      </w:r>
      <w:bookmarkEnd w:id="56"/>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57" w:name="_Toc15396631"/>
      <w:r>
        <w:rPr>
          <w:rFonts w:hint="eastAsia" w:ascii="Times New Roman" w:hAnsi="Times New Roman" w:eastAsia="仿宋_GB2312" w:cs="仿宋_GB2312"/>
          <w:color w:val="auto"/>
          <w:sz w:val="32"/>
          <w:szCs w:val="32"/>
          <w:highlight w:val="none"/>
        </w:rPr>
        <w:t>十三、</w:t>
      </w:r>
      <w:bookmarkEnd w:id="57"/>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color w:val="auto"/>
          <w:lang w:eastAsia="zh-CN"/>
        </w:rPr>
      </w:pPr>
    </w:p>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Microsoft Himalaya">
    <w:panose1 w:val="01010100010101010101"/>
    <w:charset w:val="00"/>
    <w:family w:val="auto"/>
    <w:pitch w:val="default"/>
    <w:sig w:usb0="80000003" w:usb1="00010000" w:usb2="00000040" w:usb3="00000000" w:csb0="00000001"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l7XO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x5e1zjECAABhBAAADgAAAAAAAAABACAAAAA1&#10;AQAAZHJzL2Uyb0RvYy54bWxQSwUGAAAAAAYABgBZAQAA2A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1EA9B9"/>
    <w:multiLevelType w:val="singleLevel"/>
    <w:tmpl w:val="DD1EA9B9"/>
    <w:lvl w:ilvl="0" w:tentative="0">
      <w:start w:val="1"/>
      <w:numFmt w:val="chineseCounting"/>
      <w:suff w:val="nothing"/>
      <w:lvlText w:val="%1、"/>
      <w:lvlJc w:val="left"/>
      <w:rPr>
        <w:rFonts w:hint="eastAsia"/>
      </w:rPr>
    </w:lvl>
  </w:abstractNum>
  <w:abstractNum w:abstractNumId="1">
    <w:nsid w:val="DFCD4EB5"/>
    <w:multiLevelType w:val="singleLevel"/>
    <w:tmpl w:val="DFCD4EB5"/>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19"/>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2070D49"/>
    <w:rsid w:val="13D50BC4"/>
    <w:rsid w:val="13F7B757"/>
    <w:rsid w:val="14022904"/>
    <w:rsid w:val="152F2A07"/>
    <w:rsid w:val="165E0673"/>
    <w:rsid w:val="16BB723D"/>
    <w:rsid w:val="17056E6E"/>
    <w:rsid w:val="186504BB"/>
    <w:rsid w:val="1938089F"/>
    <w:rsid w:val="19A445FC"/>
    <w:rsid w:val="1B7D550C"/>
    <w:rsid w:val="1BDD7688"/>
    <w:rsid w:val="1BE8440E"/>
    <w:rsid w:val="1D155CEE"/>
    <w:rsid w:val="1D951428"/>
    <w:rsid w:val="1DC344C0"/>
    <w:rsid w:val="1E740ACF"/>
    <w:rsid w:val="1FF35744"/>
    <w:rsid w:val="1FF6BC77"/>
    <w:rsid w:val="21962A9E"/>
    <w:rsid w:val="21971BD3"/>
    <w:rsid w:val="21AE7C77"/>
    <w:rsid w:val="22BC3C41"/>
    <w:rsid w:val="23860B96"/>
    <w:rsid w:val="240371BF"/>
    <w:rsid w:val="260F557C"/>
    <w:rsid w:val="26DC1D5E"/>
    <w:rsid w:val="281408E2"/>
    <w:rsid w:val="29FD04D3"/>
    <w:rsid w:val="2BFF7BC6"/>
    <w:rsid w:val="2C8A61B5"/>
    <w:rsid w:val="2D2E01CF"/>
    <w:rsid w:val="2DF04E50"/>
    <w:rsid w:val="2E7F874D"/>
    <w:rsid w:val="2E9545B0"/>
    <w:rsid w:val="2F040D46"/>
    <w:rsid w:val="2FAE5751"/>
    <w:rsid w:val="2FB1A395"/>
    <w:rsid w:val="2FD9A7D8"/>
    <w:rsid w:val="319F7F4E"/>
    <w:rsid w:val="321B2544"/>
    <w:rsid w:val="3304709D"/>
    <w:rsid w:val="34281836"/>
    <w:rsid w:val="349D6851"/>
    <w:rsid w:val="35BA6CAF"/>
    <w:rsid w:val="364D14C1"/>
    <w:rsid w:val="36AA5135"/>
    <w:rsid w:val="36BE0DA7"/>
    <w:rsid w:val="36FF4234"/>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DF97B88"/>
    <w:rsid w:val="3E78745D"/>
    <w:rsid w:val="3EF7808A"/>
    <w:rsid w:val="3FDBDA05"/>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440D29"/>
    <w:rsid w:val="4D577224"/>
    <w:rsid w:val="4DBF1CEB"/>
    <w:rsid w:val="4E027201"/>
    <w:rsid w:val="4EAB630A"/>
    <w:rsid w:val="4ECE2238"/>
    <w:rsid w:val="4EED3112"/>
    <w:rsid w:val="4F833267"/>
    <w:rsid w:val="4FE9BD67"/>
    <w:rsid w:val="4FFB052F"/>
    <w:rsid w:val="507117E6"/>
    <w:rsid w:val="53083A92"/>
    <w:rsid w:val="537E6D0A"/>
    <w:rsid w:val="53AF27A2"/>
    <w:rsid w:val="53F74C96"/>
    <w:rsid w:val="53FD197E"/>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5FF78746"/>
    <w:rsid w:val="62BF3928"/>
    <w:rsid w:val="647F5392"/>
    <w:rsid w:val="657D1D91"/>
    <w:rsid w:val="664B1D71"/>
    <w:rsid w:val="67AA3209"/>
    <w:rsid w:val="681C4F0D"/>
    <w:rsid w:val="69046D0F"/>
    <w:rsid w:val="698D0931"/>
    <w:rsid w:val="6A993CED"/>
    <w:rsid w:val="6B053271"/>
    <w:rsid w:val="6BCE6674"/>
    <w:rsid w:val="6C4A05C8"/>
    <w:rsid w:val="6C8742B8"/>
    <w:rsid w:val="6C8A170F"/>
    <w:rsid w:val="6CB54609"/>
    <w:rsid w:val="6CDEE3AA"/>
    <w:rsid w:val="6DBF5E93"/>
    <w:rsid w:val="6DFF077E"/>
    <w:rsid w:val="6E6D28F8"/>
    <w:rsid w:val="6E7E3605"/>
    <w:rsid w:val="6E7FDCC7"/>
    <w:rsid w:val="6ED6A62E"/>
    <w:rsid w:val="6EE00B15"/>
    <w:rsid w:val="6F544B20"/>
    <w:rsid w:val="6F6FB3EB"/>
    <w:rsid w:val="6F784160"/>
    <w:rsid w:val="6F8731EA"/>
    <w:rsid w:val="6FCE6052"/>
    <w:rsid w:val="6FD57C00"/>
    <w:rsid w:val="6FEF1B55"/>
    <w:rsid w:val="6FEFFFD8"/>
    <w:rsid w:val="6FF5CC65"/>
    <w:rsid w:val="6FFB47EC"/>
    <w:rsid w:val="6FFF034A"/>
    <w:rsid w:val="70496804"/>
    <w:rsid w:val="712A28F1"/>
    <w:rsid w:val="715C0E4B"/>
    <w:rsid w:val="72233669"/>
    <w:rsid w:val="72734D90"/>
    <w:rsid w:val="7332FE48"/>
    <w:rsid w:val="73AB61DA"/>
    <w:rsid w:val="73AD73D5"/>
    <w:rsid w:val="73B6EB34"/>
    <w:rsid w:val="73FA497D"/>
    <w:rsid w:val="73FA8D1D"/>
    <w:rsid w:val="744731E5"/>
    <w:rsid w:val="74527205"/>
    <w:rsid w:val="74BBD01D"/>
    <w:rsid w:val="74ED5379"/>
    <w:rsid w:val="74FC2395"/>
    <w:rsid w:val="75DEEEC2"/>
    <w:rsid w:val="76E3355F"/>
    <w:rsid w:val="76F7E6FD"/>
    <w:rsid w:val="76FF5125"/>
    <w:rsid w:val="776F6FFA"/>
    <w:rsid w:val="778769C8"/>
    <w:rsid w:val="779650D9"/>
    <w:rsid w:val="77DC22F5"/>
    <w:rsid w:val="77FF8D7D"/>
    <w:rsid w:val="79086DAD"/>
    <w:rsid w:val="79974F09"/>
    <w:rsid w:val="79D7FD79"/>
    <w:rsid w:val="79EE5BA4"/>
    <w:rsid w:val="7A894339"/>
    <w:rsid w:val="7ACFFBA2"/>
    <w:rsid w:val="7AFF7572"/>
    <w:rsid w:val="7B3D341F"/>
    <w:rsid w:val="7B6C7DFB"/>
    <w:rsid w:val="7BBFBED0"/>
    <w:rsid w:val="7BC3E394"/>
    <w:rsid w:val="7C1F3737"/>
    <w:rsid w:val="7C2E9ACF"/>
    <w:rsid w:val="7CBFC87B"/>
    <w:rsid w:val="7CFE0F48"/>
    <w:rsid w:val="7D7EC23E"/>
    <w:rsid w:val="7D916348"/>
    <w:rsid w:val="7DDAA5D1"/>
    <w:rsid w:val="7DEE5760"/>
    <w:rsid w:val="7DFDD50F"/>
    <w:rsid w:val="7E8ADEBF"/>
    <w:rsid w:val="7EDD3CD2"/>
    <w:rsid w:val="7EEF11D3"/>
    <w:rsid w:val="7F0971A6"/>
    <w:rsid w:val="7F2E0CFF"/>
    <w:rsid w:val="7F3F679B"/>
    <w:rsid w:val="7F4FC4EF"/>
    <w:rsid w:val="7F5E4D54"/>
    <w:rsid w:val="7F6E0135"/>
    <w:rsid w:val="7FA30C79"/>
    <w:rsid w:val="7FAF8ABF"/>
    <w:rsid w:val="7FB7269E"/>
    <w:rsid w:val="7FC96657"/>
    <w:rsid w:val="7FDA0F43"/>
    <w:rsid w:val="7FDA9588"/>
    <w:rsid w:val="7FDF220F"/>
    <w:rsid w:val="7FEDC5F7"/>
    <w:rsid w:val="7FEDD9DE"/>
    <w:rsid w:val="7FF5890D"/>
    <w:rsid w:val="7FF7AEBB"/>
    <w:rsid w:val="7FF93490"/>
    <w:rsid w:val="7FFD6AC7"/>
    <w:rsid w:val="7FFFF0A1"/>
    <w:rsid w:val="97F41D0D"/>
    <w:rsid w:val="99FF2014"/>
    <w:rsid w:val="A6DD0D7F"/>
    <w:rsid w:val="ADC6F725"/>
    <w:rsid w:val="AF7B1357"/>
    <w:rsid w:val="B6DF37A3"/>
    <w:rsid w:val="B7CF06AB"/>
    <w:rsid w:val="B7CFA926"/>
    <w:rsid w:val="B7F8786B"/>
    <w:rsid w:val="BABB6AA1"/>
    <w:rsid w:val="BB2F4199"/>
    <w:rsid w:val="BD079C78"/>
    <w:rsid w:val="BD733540"/>
    <w:rsid w:val="BDFFCBA5"/>
    <w:rsid w:val="BF3735D5"/>
    <w:rsid w:val="BF3D43F4"/>
    <w:rsid w:val="BF7F09AC"/>
    <w:rsid w:val="BFD475C3"/>
    <w:rsid w:val="BFDE5EA6"/>
    <w:rsid w:val="BFEFD7BC"/>
    <w:rsid w:val="C5F73959"/>
    <w:rsid w:val="CF6FC6F3"/>
    <w:rsid w:val="CFBEFB59"/>
    <w:rsid w:val="CFD3D3D7"/>
    <w:rsid w:val="CFDF1009"/>
    <w:rsid w:val="D5FB7102"/>
    <w:rsid w:val="D7D7B16A"/>
    <w:rsid w:val="D8D6DB89"/>
    <w:rsid w:val="DB6F4CAB"/>
    <w:rsid w:val="DB777682"/>
    <w:rsid w:val="DD1FB521"/>
    <w:rsid w:val="DEFBFEAE"/>
    <w:rsid w:val="DF1F3B80"/>
    <w:rsid w:val="DF6F9789"/>
    <w:rsid w:val="DFFFA9E8"/>
    <w:rsid w:val="E5F4E9DC"/>
    <w:rsid w:val="E70FE695"/>
    <w:rsid w:val="E7EF1A2A"/>
    <w:rsid w:val="E7F7340C"/>
    <w:rsid w:val="E7FDD09B"/>
    <w:rsid w:val="ECFED1BC"/>
    <w:rsid w:val="ED1D69BB"/>
    <w:rsid w:val="ED7FD312"/>
    <w:rsid w:val="EDEEE878"/>
    <w:rsid w:val="EF53993F"/>
    <w:rsid w:val="EF6FD633"/>
    <w:rsid w:val="EF8C74AC"/>
    <w:rsid w:val="EFBEA92A"/>
    <w:rsid w:val="EFBFB2F4"/>
    <w:rsid w:val="EFBFFA21"/>
    <w:rsid w:val="F2BEBCB8"/>
    <w:rsid w:val="F2F110A8"/>
    <w:rsid w:val="F36FB518"/>
    <w:rsid w:val="F3DE1A04"/>
    <w:rsid w:val="F3F722E5"/>
    <w:rsid w:val="F6BF70C8"/>
    <w:rsid w:val="F7375E69"/>
    <w:rsid w:val="FA5F1E70"/>
    <w:rsid w:val="FA5FDB97"/>
    <w:rsid w:val="FB7F486A"/>
    <w:rsid w:val="FB9FDD0D"/>
    <w:rsid w:val="FBF87711"/>
    <w:rsid w:val="FBFF5B2E"/>
    <w:rsid w:val="FCEED7D4"/>
    <w:rsid w:val="FD7FFE2B"/>
    <w:rsid w:val="FDEE196B"/>
    <w:rsid w:val="FDFE6575"/>
    <w:rsid w:val="FEDFDDC2"/>
    <w:rsid w:val="FEEBBA3B"/>
    <w:rsid w:val="FEED32F6"/>
    <w:rsid w:val="FEF781DD"/>
    <w:rsid w:val="FF3F7E3F"/>
    <w:rsid w:val="FF655B25"/>
    <w:rsid w:val="FF6D1D2E"/>
    <w:rsid w:val="FFBA12D7"/>
    <w:rsid w:val="FFDFFAEE"/>
    <w:rsid w:val="FFF9B57B"/>
    <w:rsid w:val="FFFD61D9"/>
    <w:rsid w:val="FFFD8F59"/>
    <w:rsid w:val="FFFE0396"/>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99" w:semiHidden="0"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qFormat/>
    <w:uiPriority w:val="0"/>
    <w:pPr>
      <w:spacing w:after="120"/>
      <w:ind w:leftChars="200"/>
    </w:pPr>
    <w:rPr>
      <w:rFonts w:ascii="仿宋_GB2312"/>
      <w:szCs w:val="32"/>
    </w:rPr>
  </w:style>
  <w:style w:type="paragraph" w:styleId="7">
    <w:name w:val="index 8"/>
    <w:basedOn w:val="1"/>
    <w:next w:val="1"/>
    <w:unhideWhenUsed/>
    <w:qFormat/>
    <w:uiPriority w:val="99"/>
    <w:pPr>
      <w:ind w:left="2940"/>
    </w:pPr>
  </w:style>
  <w:style w:type="paragraph" w:styleId="8">
    <w:name w:val="Body Text"/>
    <w:basedOn w:val="1"/>
    <w:next w:val="7"/>
    <w:link w:val="27"/>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2"/>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8"/>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4"/>
    <w:qFormat/>
    <w:uiPriority w:val="9"/>
    <w:rPr>
      <w:rFonts w:ascii="Times New Roman" w:hAnsi="Times New Roman"/>
      <w:b/>
      <w:bCs/>
      <w:kern w:val="44"/>
      <w:sz w:val="44"/>
      <w:szCs w:val="44"/>
    </w:rPr>
  </w:style>
  <w:style w:type="character" w:customStyle="1" w:styleId="31">
    <w:name w:val="标题 2 Char"/>
    <w:basedOn w:val="18"/>
    <w:link w:val="5"/>
    <w:qFormat/>
    <w:uiPriority w:val="9"/>
    <w:rPr>
      <w:rFonts w:asciiTheme="majorHAnsi" w:hAnsiTheme="majorHAnsi" w:eastAsiaTheme="majorEastAsia" w:cstheme="majorBidi"/>
      <w:b/>
      <w:bCs/>
      <w:kern w:val="2"/>
      <w:sz w:val="32"/>
      <w:szCs w:val="32"/>
    </w:rPr>
  </w:style>
  <w:style w:type="paragraph" w:customStyle="1" w:styleId="32">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6"/>
    <w:qFormat/>
    <w:uiPriority w:val="9"/>
    <w:rPr>
      <w:rFonts w:ascii="Times New Roman" w:hAnsi="Times New Roman"/>
      <w:b/>
      <w:bCs/>
      <w:kern w:val="2"/>
      <w:sz w:val="32"/>
      <w:szCs w:val="32"/>
    </w:rPr>
  </w:style>
  <w:style w:type="paragraph" w:customStyle="1" w:styleId="35">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列出段落1"/>
    <w:basedOn w:val="1"/>
    <w:qFormat/>
    <w:uiPriority w:val="34"/>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3.xml"/><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home/user/&#26700;&#38754;/WPS&#34920;&#26684;&#24037;&#20316;&#34920;.et"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home/user/&#26700;&#38754;/2025&#24180;&#20915;&#31639;&#20844;&#24320;&#36164;&#26009;/&#22270;&#24418;.et"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20210;&#26126;&#26480;\&#20210;&#26126;&#26480;\WeChat%20Files\wxid_1gbp56i1t6o422\FileStorage\File\2024-10\&#20915;&#31639;&#20844;&#24320;&#20998;&#26512;&#22270;&#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[WPS表格工作表.et]Sheet2!$A$2</c:f>
              <c:strCache>
                <c:ptCount val="1"/>
                <c:pt idx="0">
                  <c:v>2025年收入决算结构图</c:v>
                </c:pt>
              </c:strCache>
            </c:strRef>
          </c:tx>
          <c:spPr>
            <a:solidFill>
              <a:srgbClr val="00B050"/>
            </a:solidFill>
          </c:spPr>
          <c:explosion val="0"/>
          <c:dPt>
            <c:idx val="0"/>
            <c:bubble3D val="0"/>
            <c:spPr>
              <a:solidFill>
                <a:srgbClr val="00B050"/>
              </a:solidFill>
              <a:ln w="19050">
                <a:solidFill>
                  <a:schemeClr val="lt1"/>
                </a:solidFill>
              </a:ln>
              <a:effectLst/>
            </c:spPr>
          </c:dPt>
          <c:dLbls>
            <c:dLbl>
              <c:idx val="0"/>
              <c:layout>
                <c:manualLayout>
                  <c:x val="-0.0375007189900785"/>
                  <c:y val="-0.291291657405678"/>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192.16万元</a:t>
                    </a:r>
                  </a:p>
                  <a:p>
                    <a:pPr defTabSz="914400">
                      <a:defRPr lang="zh-CN" sz="900" b="0" i="0" u="none" strike="noStrike" kern="1200" baseline="0">
                        <a:solidFill>
                          <a:schemeClr val="tx1">
                            <a:lumMod val="75000"/>
                            <a:lumOff val="25000"/>
                          </a:schemeClr>
                        </a:solidFill>
                        <a:latin typeface="+mn-lt"/>
                        <a:ea typeface="+mn-ea"/>
                        <a:cs typeface="+mn-cs"/>
                      </a:defRPr>
                    </a:pPr>
                    <a:r>
                      <a:t>占比</a:t>
                    </a:r>
                    <a:r>
                      <a:rPr lang="en-US" altLang="zh-CN"/>
                      <a:t>100%</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[WPS表格工作表.et]Sheet2!$B$1</c:f>
              <c:strCache>
                <c:ptCount val="1"/>
                <c:pt idx="0">
                  <c:v>一般公共预算财政拨款收入</c:v>
                </c:pt>
              </c:strCache>
            </c:strRef>
          </c:cat>
          <c:val>
            <c:numRef>
              <c:f>[WPS表格工作表.et]Sheet2!$B$2</c:f>
              <c:numCache>
                <c:formatCode>General</c:formatCode>
                <c:ptCount val="1"/>
                <c:pt idx="0">
                  <c:v>192.16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'[图形.et]3'!$A$2</c:f>
              <c:strCache>
                <c:ptCount val="1"/>
                <c:pt idx="0">
                  <c:v>2025年支出决算结构图</c:v>
                </c:pt>
              </c:strCache>
            </c:strRef>
          </c:tx>
          <c:spPr>
            <a:solidFill>
              <a:srgbClr val="00B0F0"/>
            </a:solidFill>
          </c:spPr>
          <c:explosion val="0"/>
          <c:dPt>
            <c:idx val="0"/>
            <c:bubble3D val="0"/>
            <c:spPr>
              <a:solidFill>
                <a:srgbClr val="00B0F0"/>
              </a:solidFill>
              <a:ln w="19050">
                <a:solidFill>
                  <a:schemeClr val="lt1"/>
                </a:solidFill>
              </a:ln>
              <a:effectLst/>
            </c:spPr>
          </c:dPt>
          <c:dLbls>
            <c:dLbl>
              <c:idx val="0"/>
              <c:layout>
                <c:manualLayout>
                  <c:x val="-0.0833340523234118"/>
                  <c:y val="-0.352171287035308"/>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192.16万元</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'[图形.et]3'!$B$1</c:f>
              <c:strCache>
                <c:ptCount val="1"/>
                <c:pt idx="0">
                  <c:v>基本支出</c:v>
                </c:pt>
              </c:strCache>
            </c:strRef>
          </c:cat>
          <c:val>
            <c:numRef>
              <c:f>'[图形.et]3'!$B$2</c:f>
              <c:numCache>
                <c:formatCode>General</c:formatCode>
                <c:ptCount val="1"/>
                <c:pt idx="0">
                  <c:v>192.16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“三公”经费财政拨款支出结构</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delete val="1"/>
          </c:dLbls>
          <c:cat>
            <c:strRef>
              <c:f>[决算公开分析图表.xls]Sheet1!$A$164:$A$166</c:f>
              <c:strCache>
                <c:ptCount val="3"/>
                <c:pt idx="0">
                  <c:v>因公出国（境）费</c:v>
                </c:pt>
                <c:pt idx="1">
                  <c:v>公务接待费</c:v>
                </c:pt>
                <c:pt idx="2">
                  <c:v>公务用车购置及运行维护费</c:v>
                </c:pt>
              </c:strCache>
            </c:strRef>
          </c:cat>
          <c:val>
            <c:numRef>
              <c:f>[决算公开分析图表.xls]Sheet1!$B$164:$B$166</c:f>
              <c:numCache>
                <c:formatCode>General</c:formatCode>
                <c:ptCount val="3"/>
                <c:pt idx="0">
                  <c:v>0</c:v>
                </c:pt>
                <c:pt idx="1">
                  <c:v>0</c:v>
                </c:pt>
                <c:pt idx="2">
                  <c:v>0</c:v>
                </c:pt>
              </c:numCache>
            </c:numRef>
          </c:val>
        </c:ser>
        <c:dLbls>
          <c:showLegendKey val="0"/>
          <c:showVal val="0"/>
          <c:showCatName val="0"/>
          <c:showSerName val="0"/>
          <c:showPercent val="0"/>
          <c:showBubbleSize val="0"/>
          <c:showLeaderLines val="0"/>
        </c:dLbls>
        <c:firstSliceAng val="0"/>
      </c:pieChart>
      <c:spPr>
        <a:noFill/>
        <a:ln>
          <a:noFill/>
        </a:ln>
        <a:effectLst/>
      </c:spPr>
    </c:plotArea>
    <c:legend>
      <c:legendPos val="b"/>
      <c:layout>
        <c:manualLayout>
          <c:xMode val="edge"/>
          <c:yMode val="edge"/>
          <c:x val="0.0329715620277511"/>
          <c:y val="0.894993894993895"/>
          <c:w val="0.928698997114988"/>
          <c:h val="0.077533577533577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26</Pages>
  <Words>8294</Words>
  <Characters>8705</Characters>
  <Lines>61</Lines>
  <Paragraphs>17</Paragraphs>
  <TotalTime>43</TotalTime>
  <ScaleCrop>false</ScaleCrop>
  <LinksUpToDate>false</LinksUpToDate>
  <CharactersWithSpaces>8777</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2020-08-10T01:49:00Z</dcterms:created>
  <dc:creator>曹颖</dc:creator>
  <cp:lastModifiedBy>user</cp:lastModifiedBy>
  <cp:lastPrinted>2026-10-19T11:44:00Z</cp:lastPrinted>
  <dcterms:modified xsi:type="dcterms:W3CDTF">2026-10-19T17:12:33Z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2CC389D961FF455FAFEE9BCE66D9D23A_13</vt:lpwstr>
  </property>
  <property fmtid="{D5CDD505-2E9C-101B-9397-08002B2CF9AE}" pid="4" name="KSOTemplateDocerSaveRecord">
    <vt:lpwstr>eyJoZGlkIjoiMTFkNjU0MGRkNmMzMTA1NTAxYjQ2MTNmODUyMzE1ZDkiLCJ1c2VySWQiOiI0NTAwNjI4MDEifQ==</vt:lpwstr>
  </property>
</Properties>
</file>