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9FE35">
      <w:pPr>
        <w:spacing w:line="600" w:lineRule="exact"/>
        <w:jc w:val="center"/>
        <w:outlineLvl w:val="0"/>
        <w:rPr>
          <w:rFonts w:ascii="方正小标宋简体" w:hAnsi="宋体" w:eastAsia="方正小标宋简体"/>
          <w:color w:val="000000"/>
          <w:sz w:val="72"/>
          <w:szCs w:val="72"/>
        </w:rPr>
      </w:pPr>
      <w:bookmarkStart w:id="0" w:name="_Toc15306267"/>
    </w:p>
    <w:p w14:paraId="074A3313">
      <w:pPr>
        <w:spacing w:line="600" w:lineRule="exact"/>
        <w:jc w:val="center"/>
        <w:outlineLvl w:val="0"/>
        <w:rPr>
          <w:rFonts w:ascii="方正小标宋简体" w:hAnsi="宋体" w:eastAsia="方正小标宋简体"/>
          <w:color w:val="000000"/>
          <w:sz w:val="72"/>
          <w:szCs w:val="72"/>
        </w:rPr>
      </w:pPr>
    </w:p>
    <w:p w14:paraId="6CEACFC9">
      <w:pPr>
        <w:spacing w:line="600" w:lineRule="exact"/>
        <w:jc w:val="center"/>
        <w:outlineLvl w:val="0"/>
        <w:rPr>
          <w:rFonts w:ascii="方正小标宋简体" w:hAnsi="宋体" w:eastAsia="方正小标宋简体"/>
          <w:color w:val="000000"/>
          <w:sz w:val="72"/>
          <w:szCs w:val="72"/>
        </w:rPr>
      </w:pPr>
    </w:p>
    <w:p w14:paraId="1D34AA72">
      <w:pPr>
        <w:jc w:val="center"/>
        <w:rPr>
          <w:rFonts w:ascii="黑体" w:hAnsi="黑体" w:eastAsia="黑体"/>
          <w:sz w:val="72"/>
          <w:szCs w:val="72"/>
        </w:rPr>
      </w:pPr>
      <w:bookmarkStart w:id="1" w:name="_Toc15378441"/>
      <w:bookmarkStart w:id="2" w:name="_Toc15377425"/>
      <w:bookmarkStart w:id="3" w:name="_Toc15377193"/>
      <w:bookmarkStart w:id="4" w:name="_Toc15396475"/>
      <w:bookmarkStart w:id="5" w:name="_Toc15396597"/>
      <w:r>
        <w:rPr>
          <w:rFonts w:hint="eastAsia" w:ascii="黑体" w:hAnsi="黑体" w:eastAsia="黑体"/>
          <w:sz w:val="72"/>
          <w:szCs w:val="72"/>
          <w:lang w:eastAsia="zh-CN"/>
        </w:rPr>
        <w:t>2024</w:t>
      </w:r>
      <w:r>
        <w:rPr>
          <w:rFonts w:hint="eastAsia" w:ascii="黑体" w:hAnsi="黑体" w:eastAsia="黑体"/>
          <w:sz w:val="72"/>
          <w:szCs w:val="72"/>
        </w:rPr>
        <w:t>年度</w:t>
      </w:r>
      <w:bookmarkEnd w:id="1"/>
      <w:bookmarkEnd w:id="2"/>
      <w:bookmarkEnd w:id="3"/>
      <w:bookmarkEnd w:id="4"/>
      <w:bookmarkEnd w:id="5"/>
    </w:p>
    <w:p w14:paraId="4CD4551A">
      <w:pPr>
        <w:jc w:val="center"/>
        <w:rPr>
          <w:rFonts w:ascii="方正小标宋简体" w:eastAsia="方正小标宋简体"/>
          <w:sz w:val="72"/>
          <w:szCs w:val="72"/>
        </w:rPr>
      </w:pPr>
      <w:bookmarkStart w:id="6" w:name="_Toc15396598"/>
      <w:bookmarkStart w:id="7" w:name="_Toc15377426"/>
      <w:bookmarkStart w:id="8" w:name="_Toc15378442"/>
      <w:bookmarkStart w:id="9" w:name="_Toc15396476"/>
      <w:bookmarkStart w:id="10" w:name="_Toc15377194"/>
      <w:r>
        <w:rPr>
          <w:rFonts w:hint="eastAsia" w:ascii="方正小标宋简体" w:eastAsia="方正小标宋简体"/>
          <w:sz w:val="72"/>
          <w:szCs w:val="72"/>
        </w:rPr>
        <w:t>阿坝州壤塘县</w:t>
      </w:r>
      <w:bookmarkEnd w:id="0"/>
      <w:bookmarkStart w:id="11" w:name="_Toc15306268"/>
      <w:r>
        <w:rPr>
          <w:rFonts w:hint="eastAsia" w:ascii="方正小标宋简体" w:eastAsia="方正小标宋简体"/>
          <w:sz w:val="72"/>
          <w:szCs w:val="72"/>
          <w:lang w:val="en-US" w:eastAsia="zh-CN"/>
        </w:rPr>
        <w:t>信访工作局</w:t>
      </w:r>
      <w:r>
        <w:rPr>
          <w:rFonts w:hint="eastAsia" w:ascii="方正小标宋简体" w:eastAsia="方正小标宋简体"/>
          <w:sz w:val="72"/>
          <w:szCs w:val="72"/>
        </w:rPr>
        <w:t>部门决算</w:t>
      </w:r>
      <w:bookmarkEnd w:id="6"/>
      <w:bookmarkEnd w:id="7"/>
      <w:bookmarkEnd w:id="8"/>
      <w:bookmarkEnd w:id="9"/>
      <w:bookmarkEnd w:id="10"/>
      <w:bookmarkEnd w:id="11"/>
    </w:p>
    <w:p w14:paraId="5D70F2AE">
      <w:pPr>
        <w:widowControl/>
        <w:jc w:val="center"/>
        <w:rPr>
          <w:rFonts w:ascii="方正小标宋简体" w:hAnsi="宋体" w:eastAsia="方正小标宋简体"/>
          <w:color w:val="000000"/>
          <w:sz w:val="36"/>
          <w:szCs w:val="36"/>
        </w:rPr>
      </w:pPr>
    </w:p>
    <w:p w14:paraId="087FB4A9">
      <w:pPr>
        <w:rPr>
          <w:rFonts w:ascii="方正小标宋简体" w:hAnsi="宋体" w:eastAsia="方正小标宋简体"/>
          <w:sz w:val="36"/>
          <w:szCs w:val="36"/>
        </w:rPr>
      </w:pPr>
    </w:p>
    <w:p w14:paraId="042ADD9E">
      <w:pPr>
        <w:rPr>
          <w:rFonts w:ascii="方正小标宋简体" w:hAnsi="宋体" w:eastAsia="方正小标宋简体"/>
          <w:sz w:val="36"/>
          <w:szCs w:val="36"/>
        </w:rPr>
      </w:pPr>
    </w:p>
    <w:p w14:paraId="2A8CCA39">
      <w:pPr>
        <w:rPr>
          <w:rFonts w:ascii="方正小标宋简体" w:hAnsi="宋体" w:eastAsia="方正小标宋简体"/>
          <w:sz w:val="36"/>
          <w:szCs w:val="36"/>
        </w:rPr>
      </w:pPr>
    </w:p>
    <w:p w14:paraId="6FAA97BC">
      <w:pPr>
        <w:rPr>
          <w:rFonts w:ascii="方正小标宋简体" w:hAnsi="宋体" w:eastAsia="方正小标宋简体"/>
          <w:sz w:val="36"/>
          <w:szCs w:val="36"/>
        </w:rPr>
      </w:pPr>
    </w:p>
    <w:p w14:paraId="137A190E">
      <w:pPr>
        <w:rPr>
          <w:rFonts w:ascii="方正小标宋简体" w:hAnsi="宋体" w:eastAsia="方正小标宋简体"/>
          <w:sz w:val="36"/>
          <w:szCs w:val="36"/>
        </w:rPr>
      </w:pPr>
    </w:p>
    <w:p w14:paraId="52E42C12">
      <w:pPr>
        <w:pStyle w:val="9"/>
        <w:rPr>
          <w:rFonts w:ascii="方正小标宋简体" w:hAnsi="宋体" w:eastAsia="方正小标宋简体"/>
          <w:sz w:val="36"/>
          <w:szCs w:val="36"/>
        </w:rPr>
      </w:pPr>
    </w:p>
    <w:p w14:paraId="3F9F5A4C">
      <w:pPr>
        <w:pStyle w:val="8"/>
        <w:rPr>
          <w:rFonts w:ascii="方正小标宋简体" w:hAnsi="宋体" w:eastAsia="方正小标宋简体"/>
          <w:sz w:val="36"/>
          <w:szCs w:val="36"/>
        </w:rPr>
      </w:pPr>
    </w:p>
    <w:p w14:paraId="5D57A782">
      <w:pPr>
        <w:rPr>
          <w:rFonts w:ascii="方正小标宋简体" w:hAnsi="宋体" w:eastAsia="方正小标宋简体"/>
          <w:sz w:val="36"/>
          <w:szCs w:val="36"/>
        </w:rPr>
      </w:pPr>
    </w:p>
    <w:p w14:paraId="3A57B2B1">
      <w:pPr>
        <w:pStyle w:val="9"/>
        <w:rPr>
          <w:rFonts w:ascii="方正小标宋简体" w:hAnsi="宋体" w:eastAsia="方正小标宋简体"/>
          <w:sz w:val="36"/>
          <w:szCs w:val="36"/>
        </w:rPr>
      </w:pPr>
    </w:p>
    <w:p w14:paraId="4192CFC3">
      <w:pPr>
        <w:pStyle w:val="8"/>
        <w:rPr>
          <w:rFonts w:ascii="方正小标宋简体" w:hAnsi="宋体" w:eastAsia="方正小标宋简体"/>
          <w:sz w:val="36"/>
          <w:szCs w:val="36"/>
        </w:rPr>
      </w:pPr>
    </w:p>
    <w:p w14:paraId="6EEAA7A8">
      <w:pPr>
        <w:rPr>
          <w:rFonts w:ascii="方正小标宋简体" w:hAnsi="宋体" w:eastAsia="方正小标宋简体"/>
          <w:sz w:val="36"/>
          <w:szCs w:val="36"/>
        </w:rPr>
      </w:pPr>
    </w:p>
    <w:p w14:paraId="1674DAE2">
      <w:pPr>
        <w:pStyle w:val="9"/>
        <w:rPr>
          <w:rFonts w:ascii="方正小标宋简体" w:hAnsi="宋体" w:eastAsia="方正小标宋简体"/>
          <w:sz w:val="36"/>
          <w:szCs w:val="36"/>
        </w:rPr>
      </w:pPr>
    </w:p>
    <w:p w14:paraId="1D1D205C">
      <w:pPr>
        <w:widowControl/>
        <w:suppressAutoHyphens/>
        <w:bidi w:val="0"/>
        <w:jc w:val="center"/>
        <w:rPr>
          <w:rFonts w:hint="eastAsia" w:ascii="仿宋" w:hAnsi="仿宋" w:eastAsia="仿宋" w:cs="Times New Roman"/>
          <w:b w:val="0"/>
          <w:bCs w:val="0"/>
          <w:caps w:val="0"/>
          <w:color w:val="auto"/>
          <w:kern w:val="2"/>
          <w:sz w:val="28"/>
          <w:szCs w:val="28"/>
          <w:highlight w:val="none"/>
          <w:lang w:val="en-US" w:eastAsia="zh-CN" w:bidi="ar-SA"/>
        </w:rPr>
      </w:pPr>
      <w:r>
        <w:rPr>
          <w:rFonts w:hint="eastAsia" w:ascii="黑体" w:hAnsi="黑体" w:eastAsia="黑体"/>
          <w:color w:val="auto"/>
          <w:sz w:val="48"/>
          <w:szCs w:val="48"/>
          <w:highlight w:val="none"/>
        </w:rPr>
        <w:t>目录</w:t>
      </w:r>
    </w:p>
    <w:p w14:paraId="59A574EB">
      <w:pPr>
        <w:pStyle w:val="9"/>
      </w:pPr>
    </w:p>
    <w:p w14:paraId="37063957">
      <w:pPr>
        <w:pStyle w:val="16"/>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TOC \o \u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仿宋" w:hAnsi="仿宋" w:eastAsia="仿宋"/>
          <w:b w:val="0"/>
          <w:bCs w:val="0"/>
          <w:caps w:val="0"/>
          <w:color w:val="auto"/>
          <w:sz w:val="24"/>
          <w:szCs w:val="28"/>
          <w:highlight w:val="none"/>
          <w:lang w:val="en-US" w:eastAsia="zh-CN"/>
        </w:rPr>
        <w:t>第一部分 部门概况</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_Toc17124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6F90B7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一、部门职责</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t>1</w:t>
      </w:r>
    </w:p>
    <w:p w14:paraId="03627581">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二、机构设置</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_Toc29784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EC8CDF0">
      <w:pPr>
        <w:pStyle w:val="16"/>
        <w:tabs>
          <w:tab w:val="right" w:leader="dot" w:pos="8296"/>
        </w:tabs>
        <w:adjustRightInd w:val="0"/>
        <w:snapToGrid w:val="0"/>
        <w:spacing w:before="0" w:line="440" w:lineRule="exact"/>
        <w:jc w:val="left"/>
        <w:rPr>
          <w:rFonts w:hint="default"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第二部分 2024年度部门决算情况说明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t>3</w:t>
      </w:r>
    </w:p>
    <w:p w14:paraId="62063566">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一</w:t>
      </w:r>
      <w:r>
        <w:rPr>
          <w:rFonts w:hint="default" w:ascii="Calibri" w:hAnsi="Calibri" w:eastAsia="宋体"/>
          <w:smallCaps w:val="0"/>
          <w:color w:val="auto"/>
          <w:sz w:val="24"/>
          <w:szCs w:val="24"/>
          <w:highlight w:val="none"/>
          <w:lang w:val="en-US" w:eastAsia="zh-CN"/>
        </w:rPr>
        <w:t>、</w:t>
      </w:r>
      <w:r>
        <w:rPr>
          <w:rFonts w:hint="eastAsia" w:ascii="Calibri" w:hAnsi="Calibri" w:eastAsia="宋体"/>
          <w:smallCaps w:val="0"/>
          <w:color w:val="auto"/>
          <w:sz w:val="24"/>
          <w:szCs w:val="24"/>
          <w:highlight w:val="none"/>
          <w:lang w:val="en-US" w:eastAsia="zh-CN"/>
        </w:rPr>
        <w:t>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_Toc12061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3</w:t>
      </w:r>
      <w:r>
        <w:rPr>
          <w:rFonts w:hint="eastAsia" w:ascii="Calibri" w:hAnsi="Calibri" w:eastAsia="宋体"/>
          <w:smallCaps w:val="0"/>
          <w:color w:val="auto"/>
          <w:sz w:val="24"/>
          <w:szCs w:val="24"/>
          <w:highlight w:val="none"/>
          <w:lang w:val="en-US" w:eastAsia="zh-CN"/>
        </w:rPr>
        <w:fldChar w:fldCharType="end"/>
      </w:r>
    </w:p>
    <w:p w14:paraId="46F8F5C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二、</w:t>
      </w:r>
      <w:r>
        <w:rPr>
          <w:rFonts w:hint="eastAsia" w:ascii="Calibri" w:hAnsi="Calibri" w:eastAsia="宋体"/>
          <w:smallCaps w:val="0"/>
          <w:color w:val="auto"/>
          <w:sz w:val="24"/>
          <w:szCs w:val="24"/>
          <w:highlight w:val="none"/>
          <w:lang w:val="en-US" w:eastAsia="zh-CN"/>
        </w:rPr>
        <w:t>收入决算情况说明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_Toc15938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bookmarkStart w:id="162" w:name="_GoBack"/>
      <w:bookmarkEnd w:id="162"/>
    </w:p>
    <w:p w14:paraId="3534CD94">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default" w:ascii="Calibri" w:hAnsi="Calibri" w:eastAsia="宋体"/>
          <w:smallCaps w:val="0"/>
          <w:color w:val="auto"/>
          <w:sz w:val="24"/>
          <w:szCs w:val="24"/>
          <w:highlight w:val="none"/>
          <w:lang w:val="en-US" w:eastAsia="zh-CN"/>
        </w:rPr>
        <w:t>三、</w:t>
      </w:r>
      <w:r>
        <w:rPr>
          <w:rFonts w:hint="eastAsia" w:ascii="Calibri" w:hAnsi="Calibri" w:eastAsia="宋体"/>
          <w:smallCaps w:val="0"/>
          <w:color w:val="auto"/>
          <w:sz w:val="24"/>
          <w:szCs w:val="24"/>
          <w:highlight w:val="none"/>
          <w:lang w:val="en-US" w:eastAsia="zh-CN"/>
        </w:rPr>
        <w:t>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_Toc30887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4</w:t>
      </w:r>
      <w:r>
        <w:rPr>
          <w:rFonts w:hint="eastAsia" w:ascii="Calibri" w:hAnsi="Calibri" w:eastAsia="宋体"/>
          <w:smallCaps w:val="0"/>
          <w:color w:val="auto"/>
          <w:sz w:val="24"/>
          <w:szCs w:val="24"/>
          <w:highlight w:val="none"/>
          <w:lang w:val="en-US" w:eastAsia="zh-CN"/>
        </w:rPr>
        <w:fldChar w:fldCharType="end"/>
      </w:r>
    </w:p>
    <w:p w14:paraId="09D63BE2">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四、财政拨款收入支出决算总体情况说明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_Toc24427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5</w:t>
      </w:r>
      <w:r>
        <w:rPr>
          <w:rFonts w:hint="eastAsia" w:ascii="Calibri" w:hAnsi="Calibri" w:eastAsia="宋体"/>
          <w:smallCaps w:val="0"/>
          <w:color w:val="auto"/>
          <w:sz w:val="24"/>
          <w:szCs w:val="24"/>
          <w:highlight w:val="none"/>
          <w:lang w:val="en-US" w:eastAsia="zh-CN"/>
        </w:rPr>
        <w:fldChar w:fldCharType="end"/>
      </w:r>
    </w:p>
    <w:p w14:paraId="1D967C4F">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五、一般公共预算财政拨款支出决算情况说明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_Toc16632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5</w:t>
      </w:r>
      <w:r>
        <w:rPr>
          <w:rFonts w:hint="eastAsia" w:ascii="Calibri" w:hAnsi="Calibri" w:eastAsia="宋体"/>
          <w:smallCaps w:val="0"/>
          <w:color w:val="auto"/>
          <w:sz w:val="24"/>
          <w:szCs w:val="24"/>
          <w:highlight w:val="none"/>
          <w:lang w:val="en-US" w:eastAsia="zh-CN"/>
        </w:rPr>
        <w:fldChar w:fldCharType="end"/>
      </w:r>
    </w:p>
    <w:p w14:paraId="07D22507">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六、一般公共预算财政拨款基本支出决算情况说明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_Toc139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8</w:t>
      </w:r>
      <w:r>
        <w:rPr>
          <w:rFonts w:hint="eastAsia" w:ascii="Calibri" w:hAnsi="Calibri" w:eastAsia="宋体"/>
          <w:smallCaps w:val="0"/>
          <w:color w:val="auto"/>
          <w:sz w:val="24"/>
          <w:szCs w:val="24"/>
          <w:highlight w:val="none"/>
          <w:lang w:val="en-US" w:eastAsia="zh-CN"/>
        </w:rPr>
        <w:fldChar w:fldCharType="end"/>
      </w:r>
    </w:p>
    <w:p w14:paraId="3B92E30E">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七、“三公”经费财政拨款支出决算情况说明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_Toc25505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9</w:t>
      </w:r>
      <w:r>
        <w:rPr>
          <w:rFonts w:hint="eastAsia" w:ascii="Calibri" w:hAnsi="Calibri" w:eastAsia="宋体"/>
          <w:smallCaps w:val="0"/>
          <w:color w:val="auto"/>
          <w:sz w:val="24"/>
          <w:szCs w:val="24"/>
          <w:highlight w:val="none"/>
          <w:lang w:val="en-US" w:eastAsia="zh-CN"/>
        </w:rPr>
        <w:fldChar w:fldCharType="end"/>
      </w:r>
    </w:p>
    <w:p w14:paraId="1697F4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八、政府性基金预算支出决算情况说明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_Toc8589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10</w:t>
      </w:r>
      <w:r>
        <w:rPr>
          <w:rFonts w:hint="eastAsia" w:ascii="Calibri" w:hAnsi="Calibri" w:eastAsia="宋体"/>
          <w:smallCaps w:val="0"/>
          <w:color w:val="auto"/>
          <w:sz w:val="24"/>
          <w:szCs w:val="24"/>
          <w:highlight w:val="none"/>
          <w:lang w:val="en-US" w:eastAsia="zh-CN"/>
        </w:rPr>
        <w:fldChar w:fldCharType="end"/>
      </w:r>
    </w:p>
    <w:p w14:paraId="4258B62D">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smallCaps w:val="0"/>
          <w:color w:val="auto"/>
          <w:sz w:val="24"/>
          <w:szCs w:val="24"/>
          <w:highlight w:val="none"/>
          <w:lang w:val="en-US" w:eastAsia="zh-CN"/>
        </w:rPr>
      </w:pPr>
      <w:r>
        <w:rPr>
          <w:rFonts w:hint="eastAsia" w:ascii="Calibri" w:hAnsi="Calibri" w:eastAsia="宋体"/>
          <w:smallCaps w:val="0"/>
          <w:color w:val="auto"/>
          <w:sz w:val="24"/>
          <w:szCs w:val="24"/>
          <w:highlight w:val="none"/>
          <w:lang w:val="en-US" w:eastAsia="zh-CN"/>
        </w:rPr>
        <w:t>九、国有资本经营预算支出决算情况说明</w:t>
      </w:r>
      <w:r>
        <w:rPr>
          <w:rFonts w:hint="eastAsia" w:ascii="Calibri" w:hAnsi="Calibri" w:eastAsia="宋体"/>
          <w:smallCaps w:val="0"/>
          <w:color w:val="auto"/>
          <w:sz w:val="24"/>
          <w:szCs w:val="24"/>
          <w:highlight w:val="none"/>
          <w:lang w:val="en-US" w:eastAsia="zh-CN"/>
        </w:rPr>
        <w:tab/>
      </w:r>
      <w:r>
        <w:rPr>
          <w:rFonts w:hint="eastAsia" w:ascii="Calibri" w:hAnsi="Calibri" w:eastAsia="宋体"/>
          <w:smallCaps w:val="0"/>
          <w:color w:val="auto"/>
          <w:sz w:val="24"/>
          <w:szCs w:val="24"/>
          <w:highlight w:val="none"/>
          <w:lang w:val="en-US" w:eastAsia="zh-CN"/>
        </w:rPr>
        <w:fldChar w:fldCharType="begin"/>
      </w:r>
      <w:r>
        <w:rPr>
          <w:rFonts w:hint="eastAsia" w:ascii="Calibri" w:hAnsi="Calibri" w:eastAsia="宋体"/>
          <w:smallCaps w:val="0"/>
          <w:color w:val="auto"/>
          <w:sz w:val="24"/>
          <w:szCs w:val="24"/>
          <w:highlight w:val="none"/>
          <w:lang w:val="en-US" w:eastAsia="zh-CN"/>
        </w:rPr>
        <w:instrText xml:space="preserve"> PAGEREF _Toc12219 \h </w:instrText>
      </w:r>
      <w:r>
        <w:rPr>
          <w:rFonts w:hint="eastAsia" w:ascii="Calibri" w:hAnsi="Calibri" w:eastAsia="宋体"/>
          <w:smallCaps w:val="0"/>
          <w:color w:val="auto"/>
          <w:sz w:val="24"/>
          <w:szCs w:val="24"/>
          <w:highlight w:val="none"/>
          <w:lang w:val="en-US" w:eastAsia="zh-CN"/>
        </w:rPr>
        <w:fldChar w:fldCharType="separate"/>
      </w:r>
      <w:r>
        <w:rPr>
          <w:rFonts w:hint="eastAsia" w:ascii="Calibri" w:hAnsi="Calibri" w:eastAsia="宋体"/>
          <w:smallCaps w:val="0"/>
          <w:color w:val="auto"/>
          <w:sz w:val="24"/>
          <w:szCs w:val="24"/>
          <w:highlight w:val="none"/>
          <w:lang w:val="en-US" w:eastAsia="zh-CN"/>
        </w:rPr>
        <w:t>10</w:t>
      </w:r>
      <w:r>
        <w:rPr>
          <w:rFonts w:hint="eastAsia" w:ascii="Calibri" w:hAnsi="Calibri" w:eastAsia="宋体"/>
          <w:smallCaps w:val="0"/>
          <w:color w:val="auto"/>
          <w:sz w:val="24"/>
          <w:szCs w:val="24"/>
          <w:highlight w:val="none"/>
          <w:lang w:val="en-US" w:eastAsia="zh-CN"/>
        </w:rPr>
        <w:fldChar w:fldCharType="end"/>
      </w:r>
    </w:p>
    <w:p w14:paraId="1D777A90">
      <w:pPr>
        <w:pStyle w:val="21"/>
        <w:tabs>
          <w:tab w:val="right" w:leader="dot" w:pos="8296"/>
        </w:tabs>
        <w:suppressAutoHyphens/>
        <w:bidi w:val="0"/>
        <w:adjustRightInd w:val="0"/>
        <w:snapToGrid w:val="0"/>
        <w:spacing w:line="440" w:lineRule="exact"/>
        <w:ind w:left="420" w:leftChars="200"/>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smallCaps w:val="0"/>
          <w:color w:val="auto"/>
          <w:sz w:val="24"/>
          <w:szCs w:val="24"/>
          <w:highlight w:val="none"/>
          <w:lang w:val="en-US" w:eastAsia="zh-CN"/>
        </w:rPr>
        <w:t>十、其他重要事项的情况说明</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_Toc9744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11</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A6CCB55">
      <w:pPr>
        <w:pStyle w:val="16"/>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第三部分 名词解释</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_Toc30986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12</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5DC7274">
      <w:pPr>
        <w:pStyle w:val="16"/>
        <w:tabs>
          <w:tab w:val="right" w:leader="dot" w:pos="8296"/>
        </w:tabs>
        <w:suppressAutoHyphens/>
        <w:bidi w:val="0"/>
        <w:adjustRightInd w:val="0"/>
        <w:snapToGrid w:val="0"/>
        <w:spacing w:before="0" w:after="0" w:line="440" w:lineRule="exact"/>
        <w:jc w:val="left"/>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第四部分 附件</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_Toc919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15</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4111670">
      <w:pPr>
        <w:pStyle w:val="16"/>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第五部分 附表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_Toc32233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C549428">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一、收入支出决算总表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_Toc23912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66C624">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二、收入决算表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_Toc10372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834A67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三、支出决算表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_Toc22551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4C8912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四、财政拨款收入支出决算总表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_Toc28052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DFC2C9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五、财政拨款支出决算明细表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_Toc31661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63743D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六、一般公共预算财政拨款支出决算表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_Toc29728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80D9E1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七、一般公共预算财政拨款支出决算明细表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_Toc14143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A1BE93E">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八、一般公共预算财政拨款基本支出决算表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_Toc27243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06799F1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九、一般公共预算财政拨款项目支出决算表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_Toc5502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5CE66D7C">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十、一般公共预算财政拨款“三公”经费支出决算表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_Toc22516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EEADBE7">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十一、政府性基金预算财政拨款收入支出决算表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_Toc20787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67DC8DE2">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十二、政府性基金预算财政拨款“三公”经费支出决算表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_Toc16510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335EC2C1">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十三、国有资本经营预算财政拨款支出决算表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_Toc19124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7A5A2BF9">
      <w:pPr>
        <w:pStyle w:val="21"/>
        <w:tabs>
          <w:tab w:val="right" w:leader="dot" w:pos="8306"/>
        </w:tabs>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t>十四、国有资本经营预算财政拨款支出决算表</w:t>
      </w:r>
      <w:r>
        <w:rPr>
          <w:rFonts w:hint="eastAsia" w:ascii="Calibri" w:hAnsi="Calibri" w:eastAsia="宋体" w:cs="Times New Roman"/>
          <w:b w:val="0"/>
          <w:bCs w:val="0"/>
          <w:caps w:val="0"/>
          <w:smallCaps w:val="0"/>
          <w:color w:val="auto"/>
          <w:kern w:val="2"/>
          <w:sz w:val="24"/>
          <w:szCs w:val="24"/>
          <w:highlight w:val="none"/>
          <w:lang w:val="en-US" w:eastAsia="zh-CN" w:bidi="ar-SA"/>
        </w:rPr>
        <w:tab/>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begin"/>
      </w:r>
      <w:r>
        <w:rPr>
          <w:rFonts w:hint="eastAsia" w:ascii="Calibri" w:hAnsi="Calibri" w:eastAsia="宋体" w:cs="Times New Roman"/>
          <w:b w:val="0"/>
          <w:bCs w:val="0"/>
          <w:caps w:val="0"/>
          <w:smallCaps w:val="0"/>
          <w:color w:val="auto"/>
          <w:kern w:val="2"/>
          <w:sz w:val="24"/>
          <w:szCs w:val="24"/>
          <w:highlight w:val="none"/>
          <w:lang w:val="en-US" w:eastAsia="zh-CN" w:bidi="ar-SA"/>
        </w:rPr>
        <w:instrText xml:space="preserve"> PAGEREF _Toc10304 \h </w:instrTex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separate"/>
      </w:r>
      <w:r>
        <w:rPr>
          <w:rFonts w:hint="eastAsia" w:ascii="Calibri" w:hAnsi="Calibri" w:eastAsia="宋体" w:cs="Times New Roman"/>
          <w:b w:val="0"/>
          <w:bCs w:val="0"/>
          <w:caps w:val="0"/>
          <w:smallCaps w:val="0"/>
          <w:color w:val="auto"/>
          <w:kern w:val="2"/>
          <w:sz w:val="24"/>
          <w:szCs w:val="24"/>
          <w:highlight w:val="none"/>
          <w:lang w:val="en-US" w:eastAsia="zh-CN" w:bidi="ar-SA"/>
        </w:rPr>
        <w:t>24</w:t>
      </w: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4A9B5A5B">
      <w:pPr>
        <w:rPr>
          <w:rFonts w:hint="eastAsia" w:ascii="Calibri" w:hAnsi="Calibri" w:eastAsia="宋体" w:cs="Times New Roman"/>
          <w:b w:val="0"/>
          <w:bCs w:val="0"/>
          <w:caps w:val="0"/>
          <w:smallCaps w:val="0"/>
          <w:color w:val="auto"/>
          <w:kern w:val="2"/>
          <w:sz w:val="24"/>
          <w:szCs w:val="24"/>
          <w:highlight w:val="none"/>
          <w:lang w:val="en-US" w:eastAsia="zh-CN" w:bidi="ar-SA"/>
        </w:rPr>
      </w:pPr>
      <w:r>
        <w:rPr>
          <w:rFonts w:hint="eastAsia" w:ascii="Calibri" w:hAnsi="Calibri" w:eastAsia="宋体" w:cs="Times New Roman"/>
          <w:b w:val="0"/>
          <w:bCs w:val="0"/>
          <w:caps w:val="0"/>
          <w:smallCaps w:val="0"/>
          <w:color w:val="auto"/>
          <w:kern w:val="2"/>
          <w:sz w:val="24"/>
          <w:szCs w:val="24"/>
          <w:highlight w:val="none"/>
          <w:lang w:val="en-US" w:eastAsia="zh-CN" w:bidi="ar-SA"/>
        </w:rPr>
        <w:fldChar w:fldCharType="end"/>
      </w:r>
    </w:p>
    <w:p w14:paraId="1C38808D">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Calibri" w:hAnsi="Calibri" w:eastAsia="宋体" w:cs="Times New Roman"/>
          <w:b w:val="0"/>
          <w:bCs w:val="0"/>
          <w:caps w:val="0"/>
          <w:smallCaps w:val="0"/>
          <w:color w:val="auto"/>
          <w:kern w:val="2"/>
          <w:sz w:val="24"/>
          <w:szCs w:val="24"/>
          <w:highlight w:val="none"/>
          <w:lang w:val="en-US" w:eastAsia="zh-CN" w:bidi="ar-SA"/>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7124"/>
      <w:bookmarkStart w:id="14" w:name="_Toc79163601"/>
      <w:bookmarkStart w:id="15" w:name="_Toc15377196"/>
    </w:p>
    <w:p w14:paraId="5DE541FC">
      <w:pPr>
        <w:pStyle w:val="4"/>
        <w:suppressAutoHyphens/>
        <w:bidi w:val="0"/>
        <w:jc w:val="center"/>
        <w:rPr>
          <w:rFonts w:hint="eastAsia" w:ascii="黑体" w:hAnsi="黑体" w:eastAsia="黑体"/>
          <w:b w:val="0"/>
          <w:color w:val="auto"/>
          <w:highlight w:val="none"/>
        </w:rPr>
      </w:pPr>
      <w:r>
        <w:rPr>
          <w:rFonts w:hint="eastAsia" w:ascii="黑体" w:hAnsi="黑体" w:eastAsia="黑体"/>
          <w:b w:val="0"/>
          <w:color w:val="auto"/>
          <w:highlight w:val="none"/>
        </w:rPr>
        <w:t>第一部分 部门概况</w:t>
      </w:r>
      <w:bookmarkEnd w:id="12"/>
      <w:bookmarkEnd w:id="13"/>
      <w:bookmarkEnd w:id="14"/>
      <w:bookmarkEnd w:id="15"/>
    </w:p>
    <w:p w14:paraId="31491FE4">
      <w:pPr>
        <w:pStyle w:val="5"/>
        <w:rPr>
          <w:rStyle w:val="30"/>
          <w:rFonts w:hint="eastAsia" w:ascii="仿宋" w:hAnsi="仿宋" w:eastAsia="黑体"/>
          <w:b w:val="0"/>
          <w:bCs w:val="0"/>
          <w:color w:val="auto"/>
          <w:highlight w:val="none"/>
          <w:lang w:eastAsia="zh-CN"/>
        </w:rPr>
      </w:pPr>
      <w:bookmarkStart w:id="16" w:name="_Toc15396600"/>
      <w:bookmarkStart w:id="17" w:name="_Toc15377197"/>
      <w:bookmarkStart w:id="18" w:name="_Toc79163603"/>
      <w:bookmarkStart w:id="19" w:name="_Toc29481"/>
      <w:bookmarkStart w:id="20" w:name="_Toc15378445"/>
      <w:bookmarkStart w:id="21" w:name="_Toc15377198"/>
      <w:r>
        <w:rPr>
          <w:rFonts w:hint="eastAsia" w:ascii="黑体" w:hAnsi="黑体" w:eastAsia="黑体"/>
          <w:b w:val="0"/>
          <w:color w:val="auto"/>
          <w:highlight w:val="none"/>
        </w:rPr>
        <w:t>一、</w:t>
      </w:r>
      <w:bookmarkEnd w:id="16"/>
      <w:bookmarkEnd w:id="17"/>
      <w:r>
        <w:rPr>
          <w:rFonts w:hint="eastAsia" w:ascii="黑体" w:hAnsi="黑体" w:eastAsia="黑体"/>
          <w:b w:val="0"/>
          <w:color w:val="auto"/>
          <w:highlight w:val="none"/>
          <w:lang w:eastAsia="zh-CN"/>
        </w:rPr>
        <w:t>部门职责</w:t>
      </w:r>
    </w:p>
    <w:p w14:paraId="4D0B45FE">
      <w:pPr>
        <w:pStyle w:val="9"/>
        <w:pageBreakBefore w:val="0"/>
        <w:kinsoku/>
        <w:wordWrap/>
        <w:overflowPunct/>
        <w:topLinePunct w:val="0"/>
        <w:autoSpaceDE/>
        <w:autoSpaceDN/>
        <w:bidi w:val="0"/>
        <w:adjustRightInd w:val="0"/>
        <w:snapToGrid w:val="0"/>
        <w:spacing w:beforeLines="0" w:line="560" w:lineRule="exact"/>
        <w:textAlignment w:val="auto"/>
        <w:outlineLvl w:val="2"/>
        <w:rPr>
          <w:rFonts w:ascii="仿宋" w:hAnsi="仿宋" w:eastAsia="仿宋"/>
          <w:bCs/>
          <w:color w:val="000000"/>
          <w:sz w:val="32"/>
          <w:szCs w:val="32"/>
        </w:rPr>
      </w:pPr>
      <w:r>
        <w:rPr>
          <w:rFonts w:hint="eastAsia" w:ascii="仿宋" w:hAnsi="仿宋" w:eastAsia="仿宋"/>
          <w:bCs/>
          <w:color w:val="000000"/>
          <w:sz w:val="32"/>
          <w:szCs w:val="32"/>
        </w:rPr>
        <w:t>（一）主要职能</w:t>
      </w:r>
      <w:bookmarkEnd w:id="18"/>
      <w:bookmarkEnd w:id="19"/>
    </w:p>
    <w:bookmarkEnd w:id="20"/>
    <w:bookmarkEnd w:id="21"/>
    <w:p w14:paraId="1FD8845D">
      <w:pPr>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bookmarkStart w:id="22" w:name="_Toc79163604"/>
      <w:bookmarkStart w:id="23" w:name="_Toc15377199"/>
      <w:bookmarkStart w:id="24" w:name="_Toc15378446"/>
      <w:r>
        <w:rPr>
          <w:rFonts w:hint="eastAsia" w:ascii="仿宋" w:hAnsi="仿宋" w:eastAsia="仿宋" w:cs="Times New Roman"/>
          <w:bCs/>
          <w:color w:val="000000"/>
          <w:kern w:val="0"/>
          <w:sz w:val="32"/>
          <w:szCs w:val="32"/>
          <w:lang w:val="en-US" w:eastAsia="zh-CN" w:bidi="ar-SA"/>
        </w:rPr>
        <w:t>1.</w:t>
      </w:r>
      <w:r>
        <w:rPr>
          <w:rFonts w:hint="eastAsia" w:ascii="仿宋" w:hAnsi="仿宋" w:eastAsia="仿宋" w:cs="Times New Roman"/>
          <w:bCs/>
          <w:color w:val="000000"/>
          <w:kern w:val="0"/>
          <w:sz w:val="32"/>
          <w:szCs w:val="32"/>
          <w:lang w:val="zh-CN" w:eastAsia="zh-CN" w:bidi="ar-SA"/>
        </w:rPr>
        <w:t>履行政治领导责任，做好理论武装和思想政治工作，负责学习、宣传、贯彻执行党的理论和路线方针政策，贯彻落实党中央、省委、州委、县委的决策部署，发挥好把方向、管大局、保落实的重要作用。</w:t>
      </w:r>
    </w:p>
    <w:p w14:paraId="0E15CCD2">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2.</w:t>
      </w:r>
      <w:r>
        <w:rPr>
          <w:rFonts w:hint="eastAsia" w:ascii="仿宋" w:hAnsi="仿宋" w:eastAsia="仿宋" w:cs="Times New Roman"/>
          <w:bCs/>
          <w:color w:val="000000"/>
          <w:kern w:val="0"/>
          <w:sz w:val="32"/>
          <w:szCs w:val="32"/>
          <w:lang w:val="zh-CN" w:eastAsia="zh-CN" w:bidi="ar-SA"/>
        </w:rPr>
        <w:t>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1069410E">
      <w:pPr>
        <w:widowControl/>
        <w:adjustRightInd w:val="0"/>
        <w:snapToGrid w:val="0"/>
        <w:spacing w:line="560" w:lineRule="exact"/>
        <w:ind w:firstLine="640" w:firstLineChars="200"/>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3.</w:t>
      </w:r>
      <w:r>
        <w:rPr>
          <w:rFonts w:hint="eastAsia" w:ascii="仿宋" w:hAnsi="仿宋" w:eastAsia="仿宋" w:cs="Times New Roman"/>
          <w:bCs/>
          <w:color w:val="000000"/>
          <w:kern w:val="0"/>
          <w:sz w:val="32"/>
          <w:szCs w:val="32"/>
          <w:lang w:val="zh-CN" w:eastAsia="zh-CN" w:bidi="ar-SA"/>
        </w:rPr>
        <w:t>贯彻党管干部原则，加强干部队伍建设，完善干部培养选拔机制，加强干部教育管理监督。贯彻党管人才原则，加强人才队伍建设。加强对本单位工会、共青团、妇联等群团工作的领导。</w:t>
      </w:r>
    </w:p>
    <w:p w14:paraId="37D14CC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en-US" w:eastAsia="zh-CN" w:bidi="ar-SA"/>
        </w:rPr>
        <w:t>4.</w:t>
      </w:r>
      <w:r>
        <w:rPr>
          <w:rFonts w:hint="eastAsia" w:ascii="仿宋" w:hAnsi="仿宋" w:eastAsia="仿宋" w:cs="Times New Roman"/>
          <w:bCs/>
          <w:color w:val="000000"/>
          <w:kern w:val="0"/>
          <w:sz w:val="32"/>
          <w:szCs w:val="32"/>
          <w:lang w:val="zh-CN" w:eastAsia="zh-CN" w:bidi="ar-SA"/>
        </w:rPr>
        <w:t>履行党要管党、从严治党责任，加强对本单位党的建设的领导，落实党建工作责任制。认真履行党风廉政建设主体责任，支持纪检监察机构履行监督责任。</w:t>
      </w:r>
    </w:p>
    <w:bookmarkEnd w:id="22"/>
    <w:bookmarkEnd w:id="23"/>
    <w:bookmarkEnd w:id="24"/>
    <w:p w14:paraId="249E340B">
      <w:pPr>
        <w:pStyle w:val="5"/>
        <w:keepNext/>
        <w:keepLines/>
        <w:pageBreakBefore w:val="0"/>
        <w:widowControl w:val="0"/>
        <w:kinsoku/>
        <w:wordWrap/>
        <w:overflowPunct/>
        <w:topLinePunct w:val="0"/>
        <w:autoSpaceDE/>
        <w:autoSpaceDN/>
        <w:bidi w:val="0"/>
        <w:adjustRightInd/>
        <w:snapToGrid/>
        <w:spacing w:before="0" w:after="0" w:line="560" w:lineRule="exact"/>
        <w:textAlignment w:val="auto"/>
        <w:rPr>
          <w:rStyle w:val="30"/>
          <w:b w:val="0"/>
          <w:bCs w:val="0"/>
        </w:rPr>
      </w:pPr>
      <w:bookmarkStart w:id="25" w:name="_Toc79163605"/>
      <w:bookmarkStart w:id="26" w:name="_Toc15396601"/>
      <w:bookmarkStart w:id="27" w:name="_Toc15377200"/>
      <w:bookmarkStart w:id="28" w:name="_Toc29784"/>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5"/>
      <w:bookmarkEnd w:id="26"/>
      <w:bookmarkEnd w:id="27"/>
      <w:bookmarkEnd w:id="28"/>
    </w:p>
    <w:p w14:paraId="6C94D822">
      <w:pPr>
        <w:pStyle w:val="9"/>
        <w:keepNext w:val="0"/>
        <w:keepLines w:val="0"/>
        <w:pageBreakBefore w:val="0"/>
        <w:widowControl w:val="0"/>
        <w:kinsoku/>
        <w:wordWrap/>
        <w:overflowPunct/>
        <w:topLinePunct w:val="0"/>
        <w:autoSpaceDE/>
        <w:autoSpaceDN/>
        <w:bidi w:val="0"/>
        <w:adjustRightInd w:val="0"/>
        <w:snapToGrid w:val="0"/>
        <w:spacing w:before="93" w:line="560" w:lineRule="exact"/>
        <w:ind w:firstLine="640" w:firstLineChars="200"/>
        <w:textAlignment w:val="auto"/>
        <w:rPr>
          <w:rFonts w:ascii="仿宋" w:hAnsi="仿宋" w:eastAsia="仿宋"/>
          <w:color w:val="000000"/>
          <w:sz w:val="32"/>
          <w:szCs w:val="32"/>
        </w:rPr>
      </w:pPr>
      <w:r>
        <w:rPr>
          <w:rFonts w:hint="eastAsia" w:ascii="仿宋" w:hAnsi="仿宋" w:eastAsia="仿宋"/>
          <w:sz w:val="32"/>
          <w:szCs w:val="32"/>
          <w:lang w:val="en-US" w:eastAsia="zh-CN"/>
        </w:rPr>
        <w:t>壤塘县信访工作局有两个下属二级单位，分别为阿坝州壤塘县信访工作局和阿坝州壤塘县信访接待中心。</w:t>
      </w:r>
    </w:p>
    <w:p w14:paraId="452B8F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bookmarkStart w:id="29" w:name="_Toc15377204"/>
      <w:bookmarkStart w:id="30" w:name="_Toc79163609"/>
      <w:bookmarkStart w:id="31" w:name="_Toc15396602"/>
    </w:p>
    <w:p w14:paraId="0BEB3390">
      <w:pPr>
        <w:pStyle w:val="18"/>
        <w:rPr>
          <w:rFonts w:hint="eastAsia" w:ascii="方正小标宋" w:hAnsi="方正小标宋" w:eastAsia="方正小标宋" w:cs="方正小标宋"/>
          <w:b w:val="0"/>
          <w:color w:val="000000"/>
          <w:sz w:val="44"/>
          <w:szCs w:val="44"/>
        </w:rPr>
      </w:pPr>
    </w:p>
    <w:p w14:paraId="29F2A3AB">
      <w:pPr>
        <w:pStyle w:val="2"/>
        <w:rPr>
          <w:rFonts w:hint="eastAsia" w:ascii="方正小标宋" w:hAnsi="方正小标宋" w:eastAsia="方正小标宋" w:cs="方正小标宋"/>
          <w:b w:val="0"/>
          <w:color w:val="000000"/>
          <w:sz w:val="44"/>
          <w:szCs w:val="44"/>
        </w:rPr>
      </w:pPr>
    </w:p>
    <w:p w14:paraId="21786413">
      <w:pPr>
        <w:pStyle w:val="2"/>
        <w:rPr>
          <w:rFonts w:hint="eastAsia" w:ascii="方正小标宋" w:hAnsi="方正小标宋" w:eastAsia="方正小标宋" w:cs="方正小标宋"/>
          <w:b w:val="0"/>
          <w:color w:val="000000"/>
          <w:sz w:val="44"/>
          <w:szCs w:val="44"/>
        </w:rPr>
      </w:pPr>
    </w:p>
    <w:p w14:paraId="0FE96524">
      <w:pPr>
        <w:pStyle w:val="2"/>
        <w:rPr>
          <w:rFonts w:hint="eastAsia" w:ascii="方正小标宋" w:hAnsi="方正小标宋" w:eastAsia="方正小标宋" w:cs="方正小标宋"/>
          <w:b w:val="0"/>
          <w:color w:val="000000"/>
          <w:sz w:val="44"/>
          <w:szCs w:val="44"/>
        </w:rPr>
      </w:pPr>
    </w:p>
    <w:p w14:paraId="7E50AD5B">
      <w:pPr>
        <w:pStyle w:val="2"/>
        <w:rPr>
          <w:rFonts w:hint="eastAsia" w:ascii="方正小标宋" w:hAnsi="方正小标宋" w:eastAsia="方正小标宋" w:cs="方正小标宋"/>
          <w:b w:val="0"/>
          <w:color w:val="000000"/>
          <w:sz w:val="44"/>
          <w:szCs w:val="44"/>
        </w:rPr>
      </w:pPr>
    </w:p>
    <w:p w14:paraId="40E31E3A">
      <w:pPr>
        <w:pStyle w:val="2"/>
        <w:rPr>
          <w:rFonts w:hint="eastAsia" w:ascii="方正小标宋" w:hAnsi="方正小标宋" w:eastAsia="方正小标宋" w:cs="方正小标宋"/>
          <w:b w:val="0"/>
          <w:color w:val="000000"/>
          <w:sz w:val="44"/>
          <w:szCs w:val="44"/>
        </w:rPr>
      </w:pPr>
    </w:p>
    <w:p w14:paraId="674BAA31">
      <w:pPr>
        <w:pStyle w:val="2"/>
        <w:rPr>
          <w:rFonts w:hint="eastAsia" w:ascii="方正小标宋" w:hAnsi="方正小标宋" w:eastAsia="方正小标宋" w:cs="方正小标宋"/>
          <w:b w:val="0"/>
          <w:color w:val="000000"/>
          <w:sz w:val="44"/>
          <w:szCs w:val="44"/>
        </w:rPr>
      </w:pPr>
    </w:p>
    <w:p w14:paraId="543C4C21">
      <w:pPr>
        <w:pStyle w:val="2"/>
        <w:rPr>
          <w:rFonts w:hint="eastAsia" w:ascii="方正小标宋" w:hAnsi="方正小标宋" w:eastAsia="方正小标宋" w:cs="方正小标宋"/>
          <w:b w:val="0"/>
          <w:color w:val="000000"/>
          <w:sz w:val="44"/>
          <w:szCs w:val="44"/>
        </w:rPr>
      </w:pPr>
    </w:p>
    <w:p w14:paraId="79F8FF77">
      <w:pPr>
        <w:pStyle w:val="2"/>
        <w:rPr>
          <w:rFonts w:hint="eastAsia" w:ascii="方正小标宋" w:hAnsi="方正小标宋" w:eastAsia="方正小标宋" w:cs="方正小标宋"/>
          <w:b w:val="0"/>
          <w:color w:val="000000"/>
          <w:sz w:val="44"/>
          <w:szCs w:val="44"/>
        </w:rPr>
      </w:pPr>
    </w:p>
    <w:p w14:paraId="37F9CACA">
      <w:pPr>
        <w:pStyle w:val="2"/>
        <w:rPr>
          <w:rFonts w:hint="eastAsia" w:ascii="方正小标宋" w:hAnsi="方正小标宋" w:eastAsia="方正小标宋" w:cs="方正小标宋"/>
          <w:b w:val="0"/>
          <w:color w:val="000000"/>
          <w:sz w:val="44"/>
          <w:szCs w:val="44"/>
        </w:rPr>
      </w:pPr>
    </w:p>
    <w:p w14:paraId="72A3D3C3">
      <w:pPr>
        <w:pStyle w:val="2"/>
        <w:rPr>
          <w:rFonts w:hint="eastAsia" w:ascii="方正小标宋" w:hAnsi="方正小标宋" w:eastAsia="方正小标宋" w:cs="方正小标宋"/>
          <w:b w:val="0"/>
          <w:color w:val="000000"/>
          <w:sz w:val="44"/>
          <w:szCs w:val="44"/>
        </w:rPr>
      </w:pPr>
    </w:p>
    <w:p w14:paraId="19657986">
      <w:pPr>
        <w:pStyle w:val="2"/>
        <w:rPr>
          <w:rFonts w:hint="eastAsia" w:ascii="方正小标宋" w:hAnsi="方正小标宋" w:eastAsia="方正小标宋" w:cs="方正小标宋"/>
          <w:b w:val="0"/>
          <w:color w:val="000000"/>
          <w:sz w:val="44"/>
          <w:szCs w:val="44"/>
        </w:rPr>
      </w:pPr>
    </w:p>
    <w:p w14:paraId="434434B6">
      <w:pPr>
        <w:pStyle w:val="2"/>
        <w:rPr>
          <w:rFonts w:hint="eastAsia" w:ascii="方正小标宋" w:hAnsi="方正小标宋" w:eastAsia="方正小标宋" w:cs="方正小标宋"/>
          <w:b w:val="0"/>
          <w:color w:val="000000"/>
          <w:sz w:val="44"/>
          <w:szCs w:val="44"/>
        </w:rPr>
      </w:pPr>
    </w:p>
    <w:p w14:paraId="56BFCD26">
      <w:pPr>
        <w:widowControl/>
        <w:jc w:val="center"/>
        <w:rPr>
          <w:rFonts w:hint="eastAsia" w:ascii="黑体" w:hAnsi="黑体" w:eastAsia="黑体" w:cs="Times New Roman"/>
          <w:b w:val="0"/>
          <w:bCs/>
          <w:color w:val="auto"/>
          <w:kern w:val="44"/>
          <w:sz w:val="44"/>
          <w:szCs w:val="44"/>
          <w:highlight w:val="none"/>
          <w:lang w:val="en-US" w:eastAsia="zh-CN" w:bidi="ar-SA"/>
        </w:rPr>
      </w:pPr>
      <w:r>
        <w:rPr>
          <w:rFonts w:hint="eastAsia" w:ascii="黑体" w:hAnsi="黑体" w:eastAsia="黑体" w:cs="Times New Roman"/>
          <w:b w:val="0"/>
          <w:bCs/>
          <w:color w:val="auto"/>
          <w:kern w:val="44"/>
          <w:sz w:val="44"/>
          <w:szCs w:val="44"/>
          <w:highlight w:val="none"/>
          <w:lang w:val="en-US" w:eastAsia="zh-CN" w:bidi="ar-SA"/>
        </w:rPr>
        <w:t>第二部分 2024年度部门决算情况说明</w:t>
      </w:r>
      <w:bookmarkEnd w:id="29"/>
      <w:bookmarkEnd w:id="30"/>
      <w:bookmarkEnd w:id="31"/>
    </w:p>
    <w:p w14:paraId="58A2D0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 w:hAnsi="方正小标宋" w:eastAsia="方正小标宋" w:cs="方正小标宋"/>
          <w:b w:val="0"/>
          <w:color w:val="000000"/>
          <w:sz w:val="44"/>
          <w:szCs w:val="44"/>
        </w:rPr>
      </w:pPr>
    </w:p>
    <w:p w14:paraId="3203DBCE">
      <w:pPr>
        <w:pStyle w:val="40"/>
        <w:numPr>
          <w:ilvl w:val="0"/>
          <w:numId w:val="1"/>
        </w:numPr>
        <w:spacing w:line="600" w:lineRule="exact"/>
        <w:ind w:firstLineChars="0"/>
        <w:outlineLvl w:val="1"/>
        <w:rPr>
          <w:rStyle w:val="30"/>
          <w:rFonts w:ascii="黑体" w:hAnsi="黑体" w:eastAsia="黑体"/>
          <w:b w:val="0"/>
        </w:rPr>
      </w:pPr>
      <w:bookmarkStart w:id="32" w:name="_Toc12061"/>
      <w:bookmarkStart w:id="33" w:name="_Toc15396603"/>
      <w:bookmarkStart w:id="34" w:name="_Toc79163610"/>
      <w:bookmarkStart w:id="35" w:name="_Toc15377205"/>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32"/>
      <w:bookmarkEnd w:id="33"/>
      <w:bookmarkEnd w:id="34"/>
      <w:bookmarkEnd w:id="35"/>
    </w:p>
    <w:p w14:paraId="61C8F736">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bidi="ar"/>
        </w:rPr>
        <w:t>2024年度收入总计223.64万元，与2023年相比，增加1.1万元，上升0.49%。主要变动原因：当年人员薪资政策变动，收入增加; 支出总计223.64万元。与2023年相比，增加1.1万元，上升0.49%。主要变动原因：当年人员薪资政策变动，支出增加。</w:t>
      </w:r>
    </w:p>
    <w:p w14:paraId="2F1291C0">
      <w:pPr>
        <w:pStyle w:val="28"/>
        <w:ind w:left="0" w:leftChars="0" w:firstLine="0" w:firstLineChars="0"/>
        <w:jc w:val="center"/>
      </w:pPr>
      <w:r>
        <w:drawing>
          <wp:inline distT="0" distB="0" distL="114300" distR="114300">
            <wp:extent cx="4705350" cy="2675890"/>
            <wp:effectExtent l="4445" t="4445" r="14605" b="17145"/>
            <wp:docPr id="136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CCBD3F">
      <w:pPr>
        <w:pStyle w:val="28"/>
        <w:ind w:left="0" w:leftChars="0" w:firstLine="0" w:firstLineChars="0"/>
        <w:jc w:val="center"/>
        <w:rPr>
          <w:rFonts w:hint="eastAsia"/>
          <w:lang w:eastAsia="zh-CN"/>
        </w:rPr>
      </w:pPr>
      <w:r>
        <w:drawing>
          <wp:inline distT="0" distB="0" distL="114300" distR="114300">
            <wp:extent cx="4617085" cy="2497455"/>
            <wp:effectExtent l="4445" t="4445" r="11430" b="12700"/>
            <wp:docPr id="135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4E60A">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14:paraId="3BAD8F89">
      <w:pPr>
        <w:spacing w:line="600" w:lineRule="exact"/>
        <w:jc w:val="left"/>
        <w:rPr>
          <w:rFonts w:ascii="仿宋_GB2312" w:eastAsia="仿宋_GB2312"/>
          <w:color w:val="000000"/>
          <w:sz w:val="32"/>
          <w:szCs w:val="32"/>
        </w:rPr>
      </w:pPr>
    </w:p>
    <w:p w14:paraId="0ACF0DF8">
      <w:pPr>
        <w:pStyle w:val="40"/>
        <w:numPr>
          <w:ilvl w:val="0"/>
          <w:numId w:val="1"/>
        </w:numPr>
        <w:spacing w:line="600" w:lineRule="exact"/>
        <w:ind w:firstLineChars="0"/>
        <w:outlineLvl w:val="1"/>
        <w:rPr>
          <w:rStyle w:val="30"/>
          <w:rFonts w:ascii="黑体" w:hAnsi="黑体" w:eastAsia="黑体"/>
          <w:b w:val="0"/>
        </w:rPr>
      </w:pPr>
      <w:bookmarkStart w:id="36" w:name="_Toc15396604"/>
      <w:bookmarkStart w:id="37" w:name="_Toc15938"/>
      <w:bookmarkStart w:id="38" w:name="_Toc79163611"/>
      <w:bookmarkStart w:id="39" w:name="_Toc15377206"/>
      <w:r>
        <w:rPr>
          <w:rFonts w:hint="eastAsia" w:ascii="黑体" w:hAnsi="黑体" w:eastAsia="黑体"/>
          <w:color w:val="000000"/>
          <w:sz w:val="32"/>
          <w:szCs w:val="32"/>
        </w:rPr>
        <w:t>收</w:t>
      </w:r>
      <w:r>
        <w:rPr>
          <w:rStyle w:val="30"/>
          <w:rFonts w:hint="eastAsia" w:ascii="黑体" w:hAnsi="黑体" w:eastAsia="黑体"/>
          <w:b w:val="0"/>
        </w:rPr>
        <w:t>入决算情况说明</w:t>
      </w:r>
      <w:bookmarkEnd w:id="36"/>
      <w:bookmarkEnd w:id="37"/>
      <w:bookmarkEnd w:id="38"/>
      <w:bookmarkEnd w:id="39"/>
    </w:p>
    <w:p w14:paraId="1DEA92D2">
      <w:pPr>
        <w:spacing w:line="600" w:lineRule="exact"/>
        <w:ind w:firstLine="640" w:firstLineChars="200"/>
        <w:rPr>
          <w:rFonts w:ascii="仿宋_GB2312" w:eastAsia="仿宋_GB2312"/>
          <w:color w:val="FF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年本年收入合计</w:t>
      </w:r>
      <w:r>
        <w:rPr>
          <w:rFonts w:hint="eastAsia" w:ascii="仿宋" w:hAnsi="仿宋" w:eastAsia="仿宋"/>
          <w:color w:val="000000"/>
          <w:sz w:val="32"/>
          <w:szCs w:val="32"/>
          <w:lang w:eastAsia="zh-CN"/>
        </w:rPr>
        <w:t>22</w:t>
      </w:r>
      <w:r>
        <w:rPr>
          <w:rFonts w:hint="eastAsia" w:ascii="仿宋" w:hAnsi="仿宋" w:eastAsia="仿宋"/>
          <w:color w:val="000000"/>
          <w:sz w:val="32"/>
          <w:szCs w:val="32"/>
          <w:lang w:val="en-US" w:eastAsia="zh-CN"/>
        </w:rPr>
        <w:t>3.64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eastAsia="zh-CN"/>
        </w:rPr>
        <w:t>22</w:t>
      </w:r>
      <w:r>
        <w:rPr>
          <w:rFonts w:hint="eastAsia" w:ascii="仿宋" w:hAnsi="仿宋" w:eastAsia="仿宋"/>
          <w:color w:val="000000"/>
          <w:sz w:val="32"/>
          <w:szCs w:val="32"/>
          <w:lang w:val="en-US" w:eastAsia="zh-CN"/>
        </w:rPr>
        <w:t>3.64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14:paraId="59E99E20">
      <w:pPr>
        <w:pStyle w:val="28"/>
        <w:rPr>
          <w:rFonts w:hint="eastAsia" w:ascii="仿宋_GB2312" w:eastAsia="仿宋_GB2312"/>
          <w:color w:val="FF0000"/>
          <w:sz w:val="32"/>
          <w:szCs w:val="32"/>
          <w:lang w:eastAsia="zh-CN"/>
        </w:rPr>
      </w:pPr>
      <w:r>
        <w:rPr>
          <w:rFonts w:hint="eastAsia"/>
          <w:lang w:val="en-US" w:eastAsia="zh-CN"/>
        </w:rPr>
        <w:t xml:space="preserve">      </w:t>
      </w:r>
      <w:r>
        <w:drawing>
          <wp:inline distT="0" distB="0" distL="114300" distR="114300">
            <wp:extent cx="3925570" cy="2600325"/>
            <wp:effectExtent l="0" t="0" r="6350" b="5715"/>
            <wp:docPr id="136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 name="图片 4" descr="IMG_256"/>
                    <pic:cNvPicPr>
                      <a:picLocks noChangeAspect="1"/>
                    </pic:cNvPicPr>
                  </pic:nvPicPr>
                  <pic:blipFill>
                    <a:blip r:embed="rId9"/>
                    <a:stretch>
                      <a:fillRect/>
                    </a:stretch>
                  </pic:blipFill>
                  <pic:spPr>
                    <a:xfrm>
                      <a:off x="0" y="0"/>
                      <a:ext cx="3925570" cy="2600325"/>
                    </a:xfrm>
                    <a:prstGeom prst="rect">
                      <a:avLst/>
                    </a:prstGeom>
                    <a:noFill/>
                    <a:ln w="9525">
                      <a:noFill/>
                    </a:ln>
                  </pic:spPr>
                </pic:pic>
              </a:graphicData>
            </a:graphic>
          </wp:inline>
        </w:drawing>
      </w:r>
    </w:p>
    <w:p w14:paraId="2D34F15B">
      <w:pPr>
        <w:spacing w:line="600" w:lineRule="exact"/>
        <w:ind w:firstLine="1920" w:firstLineChars="6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14:paraId="2CE63568">
      <w:pPr>
        <w:pStyle w:val="40"/>
        <w:numPr>
          <w:ilvl w:val="0"/>
          <w:numId w:val="1"/>
        </w:numPr>
        <w:spacing w:line="600" w:lineRule="exact"/>
        <w:ind w:firstLineChars="0"/>
        <w:outlineLvl w:val="1"/>
        <w:rPr>
          <w:rStyle w:val="30"/>
          <w:rFonts w:ascii="黑体" w:hAnsi="黑体" w:eastAsia="黑体"/>
          <w:b w:val="0"/>
        </w:rPr>
      </w:pPr>
      <w:bookmarkStart w:id="40" w:name="_Toc15377207"/>
      <w:bookmarkStart w:id="41" w:name="_Toc15396605"/>
      <w:bookmarkStart w:id="42" w:name="_Toc79163612"/>
      <w:bookmarkStart w:id="43" w:name="_Toc30887"/>
      <w:r>
        <w:rPr>
          <w:rFonts w:hint="eastAsia" w:ascii="黑体" w:hAnsi="黑体" w:eastAsia="黑体"/>
          <w:color w:val="000000"/>
          <w:sz w:val="32"/>
          <w:szCs w:val="32"/>
        </w:rPr>
        <w:t>支</w:t>
      </w:r>
      <w:r>
        <w:rPr>
          <w:rStyle w:val="30"/>
          <w:rFonts w:hint="eastAsia" w:ascii="黑体" w:hAnsi="黑体" w:eastAsia="黑体"/>
          <w:b w:val="0"/>
        </w:rPr>
        <w:t>出决算情况说明</w:t>
      </w:r>
      <w:bookmarkEnd w:id="40"/>
      <w:bookmarkEnd w:id="41"/>
      <w:bookmarkEnd w:id="42"/>
      <w:bookmarkEnd w:id="43"/>
    </w:p>
    <w:p w14:paraId="71F2E968">
      <w:pPr>
        <w:spacing w:line="600" w:lineRule="exact"/>
        <w:ind w:firstLine="640" w:firstLineChars="200"/>
        <w:rPr>
          <w:rFonts w:hint="default" w:ascii="仿宋" w:hAnsi="仿宋" w:eastAsia="仿宋"/>
          <w:color w:val="000000"/>
          <w:sz w:val="32"/>
          <w:szCs w:val="32"/>
          <w:shd w:val="pct10" w:color="auto" w:fill="FFFFFF"/>
          <w:lang w:val="en-US"/>
        </w:rPr>
      </w:pPr>
      <w:r>
        <w:rPr>
          <w:rFonts w:hint="eastAsia" w:ascii="仿宋_GB2312" w:eastAsia="仿宋_GB2312"/>
          <w:sz w:val="32"/>
          <w:szCs w:val="32"/>
          <w:lang w:eastAsia="zh-CN"/>
        </w:rPr>
        <w:t>2024</w:t>
      </w:r>
      <w:r>
        <w:rPr>
          <w:rFonts w:hint="eastAsia" w:ascii="仿宋_GB2312" w:eastAsia="仿宋_GB2312"/>
          <w:sz w:val="32"/>
          <w:szCs w:val="32"/>
        </w:rPr>
        <w:t>年本年支出合计</w:t>
      </w:r>
      <w:r>
        <w:rPr>
          <w:rFonts w:hint="eastAsia" w:ascii="仿宋_GB2312" w:eastAsia="仿宋_GB2312"/>
          <w:sz w:val="32"/>
          <w:szCs w:val="32"/>
          <w:lang w:eastAsia="zh-CN"/>
        </w:rPr>
        <w:t>22</w:t>
      </w:r>
      <w:r>
        <w:rPr>
          <w:rFonts w:hint="eastAsia" w:ascii="仿宋_GB2312" w:eastAsia="仿宋_GB2312"/>
          <w:sz w:val="32"/>
          <w:szCs w:val="32"/>
          <w:lang w:val="en-US" w:eastAsia="zh-CN"/>
        </w:rPr>
        <w:t>3.64</w:t>
      </w:r>
      <w:r>
        <w:rPr>
          <w:rFonts w:hint="eastAsia" w:ascii="仿宋_GB2312" w:eastAsia="仿宋_GB2312"/>
          <w:sz w:val="32"/>
          <w:szCs w:val="32"/>
        </w:rPr>
        <w:t>万元，其中：基本支出22</w:t>
      </w:r>
      <w:r>
        <w:rPr>
          <w:rFonts w:hint="eastAsia" w:ascii="仿宋_GB2312" w:eastAsia="仿宋_GB2312"/>
          <w:sz w:val="32"/>
          <w:szCs w:val="32"/>
          <w:lang w:val="en-US" w:eastAsia="zh-CN"/>
        </w:rPr>
        <w:t>3.64</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lang w:val="en-US" w:eastAsia="zh-CN"/>
        </w:rPr>
        <w:t xml:space="preserve"> 。</w:t>
      </w:r>
    </w:p>
    <w:p w14:paraId="6B7AD3EA">
      <w:pPr>
        <w:pStyle w:val="28"/>
        <w:jc w:val="center"/>
        <w:rPr>
          <w:rFonts w:hint="eastAsia" w:ascii="仿宋" w:hAnsi="仿宋" w:eastAsia="仿宋"/>
          <w:color w:val="000000"/>
          <w:sz w:val="32"/>
          <w:szCs w:val="32"/>
          <w:shd w:val="pct10" w:color="auto" w:fill="FFFFFF"/>
          <w:lang w:eastAsia="zh-CN"/>
        </w:rPr>
      </w:pPr>
      <w:r>
        <w:drawing>
          <wp:inline distT="0" distB="0" distL="114300" distR="114300">
            <wp:extent cx="4107180" cy="2176145"/>
            <wp:effectExtent l="4445" t="4445" r="15875" b="16510"/>
            <wp:docPr id="133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DC5D83C">
      <w:pPr>
        <w:spacing w:line="600" w:lineRule="exact"/>
        <w:ind w:firstLine="1280" w:firstLineChars="400"/>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14:paraId="04A4BC86">
      <w:pPr>
        <w:spacing w:line="600" w:lineRule="exact"/>
        <w:ind w:firstLine="640" w:firstLineChars="200"/>
        <w:outlineLvl w:val="1"/>
        <w:rPr>
          <w:rStyle w:val="30"/>
          <w:rFonts w:ascii="黑体" w:hAnsi="黑体" w:eastAsia="黑体"/>
          <w:b w:val="0"/>
        </w:rPr>
      </w:pPr>
      <w:bookmarkStart w:id="44" w:name="_Toc15396606"/>
      <w:bookmarkStart w:id="45" w:name="_Toc24427"/>
      <w:bookmarkStart w:id="46" w:name="_Toc79163613"/>
      <w:bookmarkStart w:id="47" w:name="_Toc15377208"/>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44"/>
      <w:bookmarkEnd w:id="45"/>
      <w:bookmarkEnd w:id="46"/>
      <w:bookmarkEnd w:id="47"/>
    </w:p>
    <w:p w14:paraId="31759751">
      <w:pPr>
        <w:pStyle w:val="28"/>
        <w:ind w:left="0" w:leftChars="0" w:firstLine="0" w:firstLineChars="0"/>
        <w:rPr>
          <w:rFonts w:hint="eastAsia" w:ascii="仿宋" w:hAnsi="仿宋" w:eastAsia="仿宋" w:cs="仿宋"/>
          <w:color w:val="000000"/>
          <w:kern w:val="2"/>
          <w:sz w:val="32"/>
          <w:szCs w:val="32"/>
          <w:lang w:val="en-US" w:eastAsia="zh-CN" w:bidi="ar"/>
        </w:rPr>
      </w:pPr>
      <w:r>
        <w:rPr>
          <w:rFonts w:hint="eastAsia" w:ascii="仿宋" w:hAnsi="仿宋" w:eastAsia="仿宋" w:cs="仿宋"/>
          <w:color w:val="000000"/>
          <w:kern w:val="2"/>
          <w:sz w:val="32"/>
          <w:szCs w:val="32"/>
          <w:lang w:val="en-US" w:eastAsia="zh-CN" w:bidi="ar"/>
        </w:rPr>
        <w:t>2024年度</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s="仿宋"/>
          <w:color w:val="000000"/>
          <w:kern w:val="2"/>
          <w:sz w:val="32"/>
          <w:szCs w:val="32"/>
          <w:lang w:val="en-US" w:eastAsia="zh-CN" w:bidi="ar"/>
        </w:rPr>
        <w:t xml:space="preserve">总计223.64万元，与2023年相比，增加1.10万元，上升0.49%。主要变动原因：当年人员薪资政策变动，收入增加; </w:t>
      </w:r>
      <w:r>
        <w:rPr>
          <w:rFonts w:hint="eastAsia" w:ascii="仿宋" w:hAnsi="仿宋" w:eastAsia="仿宋"/>
          <w:color w:val="000000"/>
          <w:sz w:val="32"/>
          <w:szCs w:val="32"/>
          <w:lang w:eastAsia="zh-CN"/>
        </w:rPr>
        <w:t>2024年</w:t>
      </w:r>
      <w:r>
        <w:rPr>
          <w:rFonts w:hint="eastAsia" w:ascii="仿宋" w:hAnsi="仿宋" w:eastAsia="仿宋"/>
          <w:color w:val="000000"/>
          <w:sz w:val="32"/>
          <w:szCs w:val="32"/>
        </w:rPr>
        <w:t>财政拨款支出</w:t>
      </w:r>
      <w:r>
        <w:rPr>
          <w:rFonts w:hint="eastAsia" w:ascii="仿宋" w:hAnsi="仿宋" w:eastAsia="仿宋" w:cs="仿宋"/>
          <w:color w:val="000000"/>
          <w:kern w:val="2"/>
          <w:sz w:val="32"/>
          <w:szCs w:val="32"/>
          <w:lang w:val="en-US" w:eastAsia="zh-CN" w:bidi="ar"/>
        </w:rPr>
        <w:t>总计223.64万元。与2023年相比，增加1.10万元，上升0.49%。主要变动原因:当年人员薪资政策变动，支出增加。</w:t>
      </w:r>
    </w:p>
    <w:p w14:paraId="743AD6D1">
      <w:pPr>
        <w:pStyle w:val="28"/>
        <w:ind w:left="0" w:leftChars="0" w:firstLine="0" w:firstLineChars="0"/>
        <w:jc w:val="center"/>
      </w:pPr>
      <w:r>
        <w:drawing>
          <wp:inline distT="0" distB="0" distL="114300" distR="114300">
            <wp:extent cx="4208780" cy="2362200"/>
            <wp:effectExtent l="4445" t="4445" r="8255" b="10795"/>
            <wp:docPr id="135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E98916">
      <w:pPr>
        <w:pStyle w:val="28"/>
        <w:ind w:left="0" w:leftChars="0" w:firstLine="0" w:firstLineChars="0"/>
        <w:jc w:val="center"/>
      </w:pPr>
      <w:r>
        <w:rPr>
          <w:rFonts w:hint="eastAsia"/>
          <w:lang w:val="en-US" w:eastAsia="zh-CN"/>
        </w:rPr>
        <w:t xml:space="preserve"> </w:t>
      </w:r>
      <w:r>
        <w:drawing>
          <wp:inline distT="0" distB="0" distL="114300" distR="114300">
            <wp:extent cx="4339590" cy="2214245"/>
            <wp:effectExtent l="4445" t="4445" r="14605" b="6350"/>
            <wp:docPr id="135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813D7">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14:paraId="2B8C722B">
      <w:pPr>
        <w:spacing w:line="600" w:lineRule="exact"/>
        <w:ind w:firstLine="640"/>
        <w:rPr>
          <w:rFonts w:ascii="仿宋" w:hAnsi="仿宋" w:eastAsia="仿宋"/>
          <w:b/>
          <w:color w:val="00B050"/>
          <w:sz w:val="32"/>
          <w:szCs w:val="32"/>
        </w:rPr>
      </w:pPr>
    </w:p>
    <w:p w14:paraId="0DBA3D67">
      <w:pPr>
        <w:spacing w:line="600" w:lineRule="exact"/>
        <w:ind w:firstLine="640" w:firstLineChars="200"/>
        <w:outlineLvl w:val="1"/>
        <w:rPr>
          <w:rStyle w:val="30"/>
          <w:rFonts w:ascii="黑体" w:hAnsi="黑体" w:eastAsia="黑体"/>
          <w:b w:val="0"/>
        </w:rPr>
      </w:pPr>
      <w:bookmarkStart w:id="48" w:name="_Toc15377209"/>
      <w:bookmarkStart w:id="49" w:name="_Toc15396607"/>
      <w:bookmarkStart w:id="50" w:name="_Toc79163614"/>
      <w:bookmarkStart w:id="51" w:name="_Toc16632"/>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8"/>
      <w:bookmarkEnd w:id="49"/>
      <w:bookmarkEnd w:id="50"/>
      <w:bookmarkEnd w:id="51"/>
    </w:p>
    <w:p w14:paraId="0052FDA9">
      <w:pPr>
        <w:spacing w:line="600" w:lineRule="exact"/>
        <w:ind w:firstLine="643" w:firstLineChars="200"/>
        <w:outlineLvl w:val="2"/>
        <w:rPr>
          <w:rFonts w:ascii="仿宋" w:hAnsi="仿宋" w:eastAsia="仿宋"/>
          <w:b/>
          <w:color w:val="000000"/>
          <w:sz w:val="32"/>
          <w:szCs w:val="32"/>
        </w:rPr>
      </w:pPr>
      <w:bookmarkStart w:id="52" w:name="_Toc5046"/>
      <w:bookmarkStart w:id="53" w:name="_Toc79163615"/>
      <w:bookmarkStart w:id="54" w:name="_Toc15377210"/>
      <w:r>
        <w:rPr>
          <w:rFonts w:hint="eastAsia" w:ascii="仿宋" w:hAnsi="仿宋" w:eastAsia="仿宋"/>
          <w:b/>
          <w:color w:val="000000"/>
          <w:sz w:val="32"/>
          <w:szCs w:val="32"/>
        </w:rPr>
        <w:t>（一）一般公共预算财政拨款支出决算总体情况</w:t>
      </w:r>
      <w:bookmarkEnd w:id="52"/>
      <w:bookmarkEnd w:id="53"/>
      <w:bookmarkEnd w:id="54"/>
    </w:p>
    <w:p w14:paraId="05F0B75B">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22</w:t>
      </w:r>
      <w:r>
        <w:rPr>
          <w:rFonts w:hint="eastAsia" w:ascii="仿宋" w:hAnsi="仿宋" w:eastAsia="仿宋"/>
          <w:color w:val="000000"/>
          <w:sz w:val="32"/>
          <w:szCs w:val="32"/>
          <w:lang w:val="en-US" w:eastAsia="zh-CN"/>
        </w:rPr>
        <w:t>3.64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增加1.10</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上升0.49</w:t>
      </w:r>
      <w:r>
        <w:rPr>
          <w:rFonts w:ascii="仿宋" w:hAnsi="仿宋" w:eastAsia="仿宋"/>
          <w:color w:val="000000"/>
          <w:sz w:val="32"/>
          <w:szCs w:val="32"/>
        </w:rPr>
        <w:t>%</w:t>
      </w:r>
      <w:r>
        <w:rPr>
          <w:rFonts w:hint="eastAsia" w:ascii="仿宋" w:hAnsi="仿宋" w:eastAsia="仿宋"/>
          <w:color w:val="000000"/>
          <w:sz w:val="32"/>
          <w:szCs w:val="32"/>
        </w:rPr>
        <w:t>。主要</w:t>
      </w:r>
      <w:r>
        <w:rPr>
          <w:rFonts w:hint="eastAsia" w:ascii="仿宋" w:hAnsi="仿宋" w:eastAsia="仿宋"/>
          <w:color w:val="000000"/>
          <w:sz w:val="32"/>
          <w:szCs w:val="32"/>
          <w:lang w:val="en-US" w:eastAsia="zh-CN"/>
        </w:rPr>
        <w:t>变动原因为当年</w:t>
      </w:r>
      <w:r>
        <w:rPr>
          <w:rFonts w:hint="eastAsia" w:ascii="仿宋" w:hAnsi="仿宋" w:eastAsia="仿宋" w:cs="仿宋"/>
          <w:color w:val="000000"/>
          <w:kern w:val="2"/>
          <w:sz w:val="32"/>
          <w:szCs w:val="32"/>
          <w:lang w:val="en-US" w:eastAsia="zh-CN" w:bidi="ar"/>
        </w:rPr>
        <w:t>人员薪资政策变动，支出增加</w:t>
      </w:r>
      <w:r>
        <w:rPr>
          <w:rFonts w:hint="eastAsia" w:ascii="仿宋" w:hAnsi="仿宋" w:eastAsia="仿宋"/>
          <w:color w:val="000000"/>
          <w:sz w:val="32"/>
          <w:szCs w:val="32"/>
          <w:lang w:val="en-US" w:eastAsia="zh-CN"/>
        </w:rPr>
        <w:t>。</w:t>
      </w:r>
    </w:p>
    <w:p w14:paraId="4C63C112">
      <w:pPr>
        <w:pStyle w:val="28"/>
        <w:rPr>
          <w:rFonts w:hint="eastAsia" w:ascii="仿宋" w:hAnsi="仿宋" w:eastAsia="仿宋"/>
          <w:color w:val="000000"/>
          <w:sz w:val="32"/>
          <w:szCs w:val="32"/>
          <w:lang w:val="en-US" w:eastAsia="zh-CN"/>
        </w:rPr>
      </w:pPr>
      <w:r>
        <w:drawing>
          <wp:inline distT="0" distB="0" distL="114300" distR="114300">
            <wp:extent cx="4451350" cy="2510155"/>
            <wp:effectExtent l="4445" t="4445" r="9525" b="15240"/>
            <wp:docPr id="136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99DB0">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14:paraId="58E7A380">
      <w:pPr>
        <w:spacing w:line="600" w:lineRule="exact"/>
        <w:ind w:firstLine="643" w:firstLineChars="200"/>
        <w:outlineLvl w:val="2"/>
        <w:rPr>
          <w:rFonts w:ascii="仿宋" w:hAnsi="仿宋" w:eastAsia="仿宋"/>
          <w:b/>
          <w:color w:val="000000"/>
          <w:sz w:val="32"/>
          <w:szCs w:val="32"/>
        </w:rPr>
      </w:pPr>
      <w:bookmarkStart w:id="55" w:name="_Toc19073"/>
      <w:bookmarkStart w:id="56" w:name="_Toc79163616"/>
      <w:bookmarkStart w:id="57" w:name="_Toc15377211"/>
      <w:r>
        <w:rPr>
          <w:rFonts w:hint="eastAsia" w:ascii="仿宋" w:hAnsi="仿宋" w:eastAsia="仿宋"/>
          <w:b/>
          <w:color w:val="000000"/>
          <w:sz w:val="32"/>
          <w:szCs w:val="32"/>
        </w:rPr>
        <w:t>（二）一般公共预算财政拨款支出决算结构情况</w:t>
      </w:r>
      <w:bookmarkEnd w:id="55"/>
      <w:bookmarkEnd w:id="56"/>
      <w:bookmarkEnd w:id="57"/>
    </w:p>
    <w:p w14:paraId="07EA9B65">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eastAsia="zh-CN"/>
        </w:rPr>
        <w:t>22</w:t>
      </w:r>
      <w:r>
        <w:rPr>
          <w:rFonts w:hint="eastAsia" w:ascii="仿宋" w:hAnsi="仿宋" w:eastAsia="仿宋"/>
          <w:color w:val="000000"/>
          <w:sz w:val="32"/>
          <w:szCs w:val="32"/>
          <w:lang w:val="en-US" w:eastAsia="zh-CN"/>
        </w:rPr>
        <w:t>3.64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w:t>
      </w:r>
      <w:r>
        <w:rPr>
          <w:rFonts w:hint="eastAsia" w:ascii="仿宋" w:hAnsi="仿宋" w:eastAsia="仿宋"/>
          <w:color w:val="000000"/>
          <w:sz w:val="32"/>
          <w:szCs w:val="32"/>
        </w:rPr>
        <w:t>支出16</w:t>
      </w:r>
      <w:r>
        <w:rPr>
          <w:rFonts w:hint="eastAsia" w:ascii="仿宋" w:hAnsi="仿宋" w:eastAsia="仿宋"/>
          <w:color w:val="000000"/>
          <w:sz w:val="32"/>
          <w:szCs w:val="32"/>
          <w:lang w:val="en-US" w:eastAsia="zh-CN"/>
        </w:rPr>
        <w:t>4.24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73.44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30.31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13.55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11.</w:t>
      </w:r>
      <w:r>
        <w:rPr>
          <w:rFonts w:hint="eastAsia" w:ascii="仿宋" w:hAnsi="仿宋" w:eastAsia="仿宋"/>
          <w:color w:val="000000"/>
          <w:sz w:val="32"/>
          <w:szCs w:val="32"/>
          <w:lang w:val="en-US" w:eastAsia="zh-CN"/>
        </w:rPr>
        <w:t>97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5.35</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住房保障支出</w:t>
      </w: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7.13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7.66</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29DCD13">
      <w:pPr>
        <w:pStyle w:val="28"/>
        <w:rPr>
          <w:rFonts w:hint="eastAsia"/>
          <w:lang w:val="en-US" w:eastAsia="zh-CN"/>
        </w:rPr>
      </w:pPr>
      <w:r>
        <w:rPr>
          <w:rFonts w:hint="eastAsia"/>
          <w:lang w:val="en-US" w:eastAsia="zh-CN"/>
        </w:rPr>
        <w:t xml:space="preserve">   </w:t>
      </w:r>
      <w:r>
        <w:drawing>
          <wp:inline distT="0" distB="0" distL="114300" distR="114300">
            <wp:extent cx="4098290" cy="2176145"/>
            <wp:effectExtent l="4445" t="4445" r="12065" b="13970"/>
            <wp:docPr id="136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69EFC8">
      <w:pPr>
        <w:spacing w:line="600" w:lineRule="exact"/>
        <w:ind w:firstLine="640" w:firstLineChars="200"/>
        <w:outlineLvl w:val="2"/>
        <w:rPr>
          <w:rFonts w:hint="eastAsia" w:ascii="仿宋" w:hAnsi="仿宋" w:eastAsia="仿宋"/>
          <w:color w:val="000000"/>
          <w:sz w:val="32"/>
          <w:szCs w:val="32"/>
        </w:rPr>
      </w:pPr>
      <w:bookmarkStart w:id="58" w:name="_Toc6526"/>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bookmarkEnd w:id="58"/>
      <w:bookmarkStart w:id="59" w:name="_Toc15377212"/>
      <w:bookmarkStart w:id="60" w:name="_Toc79163617"/>
    </w:p>
    <w:p w14:paraId="2D233324">
      <w:pPr>
        <w:spacing w:line="600" w:lineRule="exact"/>
        <w:ind w:firstLine="643" w:firstLineChars="200"/>
        <w:outlineLvl w:val="2"/>
        <w:rPr>
          <w:rFonts w:ascii="仿宋" w:hAnsi="仿宋" w:eastAsia="仿宋"/>
          <w:b/>
          <w:color w:val="000000"/>
          <w:sz w:val="32"/>
          <w:szCs w:val="32"/>
        </w:rPr>
      </w:pPr>
      <w:bookmarkStart w:id="61" w:name="_Toc4375"/>
      <w:r>
        <w:rPr>
          <w:rFonts w:hint="eastAsia" w:ascii="仿宋" w:hAnsi="仿宋" w:eastAsia="仿宋"/>
          <w:b/>
          <w:color w:val="000000"/>
          <w:sz w:val="32"/>
          <w:szCs w:val="32"/>
        </w:rPr>
        <w:t>（三）一般公共预算财政拨款支出决算具体情况</w:t>
      </w:r>
      <w:bookmarkEnd w:id="59"/>
      <w:bookmarkEnd w:id="60"/>
      <w:bookmarkEnd w:id="61"/>
    </w:p>
    <w:p w14:paraId="4C3EB632">
      <w:pPr>
        <w:spacing w:line="600" w:lineRule="exact"/>
        <w:ind w:firstLine="643" w:firstLineChars="200"/>
        <w:rPr>
          <w:rFonts w:ascii="仿宋_GB2312" w:eastAsia="仿宋_GB2312"/>
          <w:b/>
          <w:bCs/>
          <w:sz w:val="32"/>
          <w:szCs w:val="32"/>
        </w:rPr>
      </w:pPr>
      <w:bookmarkStart w:id="62" w:name="_Toc15378460"/>
      <w:bookmarkStart w:id="63" w:name="_Toc15377213"/>
      <w:bookmarkStart w:id="64" w:name="_Toc15377444"/>
      <w:r>
        <w:rPr>
          <w:rFonts w:hint="eastAsia" w:ascii="仿宋_GB2312" w:eastAsia="仿宋_GB2312"/>
          <w:b/>
          <w:bCs/>
          <w:sz w:val="32"/>
          <w:szCs w:val="32"/>
          <w:lang w:eastAsia="zh-CN"/>
        </w:rPr>
        <w:t>2024</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eastAsia="zh-CN"/>
        </w:rPr>
        <w:t>22</w:t>
      </w:r>
      <w:r>
        <w:rPr>
          <w:rFonts w:hint="eastAsia" w:ascii="仿宋" w:hAnsi="仿宋" w:eastAsia="仿宋"/>
          <w:color w:val="000000"/>
          <w:sz w:val="32"/>
          <w:szCs w:val="32"/>
          <w:lang w:val="en-US" w:eastAsia="zh-CN"/>
        </w:rPr>
        <w:t>3.64万元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100.00</w:t>
      </w:r>
      <w:r>
        <w:rPr>
          <w:rFonts w:ascii="仿宋_GB2312" w:eastAsia="仿宋_GB2312"/>
          <w:b/>
          <w:bCs/>
          <w:sz w:val="32"/>
          <w:szCs w:val="32"/>
        </w:rPr>
        <w:t>%</w:t>
      </w:r>
      <w:r>
        <w:rPr>
          <w:rFonts w:hint="eastAsia" w:ascii="仿宋_GB2312" w:eastAsia="仿宋_GB2312"/>
          <w:b/>
          <w:bCs/>
          <w:sz w:val="32"/>
          <w:szCs w:val="32"/>
        </w:rPr>
        <w:t>。其中：</w:t>
      </w:r>
      <w:bookmarkEnd w:id="62"/>
      <w:bookmarkEnd w:id="63"/>
      <w:bookmarkEnd w:id="64"/>
    </w:p>
    <w:p w14:paraId="3C0DC949">
      <w:pPr>
        <w:spacing w:line="600" w:lineRule="exact"/>
        <w:ind w:firstLine="643" w:firstLineChars="200"/>
        <w:rPr>
          <w:rFonts w:ascii="仿宋" w:hAnsi="仿宋" w:eastAsia="仿宋"/>
          <w:b/>
          <w:color w:val="000000"/>
          <w:sz w:val="32"/>
          <w:szCs w:val="32"/>
        </w:rPr>
      </w:pPr>
      <w:r>
        <w:rPr>
          <w:rStyle w:val="26"/>
          <w:rFonts w:ascii="仿宋" w:hAnsi="仿宋" w:eastAsia="仿宋"/>
          <w:bCs/>
          <w:color w:val="000000"/>
          <w:sz w:val="32"/>
          <w:szCs w:val="32"/>
        </w:rPr>
        <w:t>1.</w:t>
      </w:r>
      <w:r>
        <w:rPr>
          <w:rStyle w:val="26"/>
          <w:rFonts w:hint="eastAsia" w:ascii="仿宋" w:hAnsi="仿宋" w:eastAsia="仿宋"/>
          <w:bCs/>
          <w:color w:val="000000"/>
          <w:sz w:val="32"/>
          <w:szCs w:val="32"/>
        </w:rPr>
        <w:t>一般公共服务（类）</w:t>
      </w:r>
      <w:r>
        <w:rPr>
          <w:rStyle w:val="26"/>
          <w:rFonts w:hint="eastAsia" w:ascii="仿宋" w:hAnsi="仿宋" w:eastAsia="仿宋"/>
          <w:bCs/>
          <w:color w:val="000000"/>
          <w:sz w:val="32"/>
          <w:szCs w:val="32"/>
          <w:lang w:val="en-US" w:eastAsia="zh-CN"/>
        </w:rPr>
        <w:t>信访事务</w:t>
      </w:r>
      <w:r>
        <w:rPr>
          <w:rStyle w:val="26"/>
          <w:rFonts w:hint="eastAsia" w:ascii="仿宋" w:hAnsi="仿宋" w:eastAsia="仿宋"/>
          <w:bCs/>
          <w:color w:val="000000"/>
          <w:sz w:val="32"/>
          <w:szCs w:val="32"/>
        </w:rPr>
        <w:t>（</w:t>
      </w:r>
      <w:r>
        <w:rPr>
          <w:rStyle w:val="26"/>
          <w:rFonts w:hint="eastAsia" w:ascii="仿宋" w:hAnsi="仿宋" w:eastAsia="仿宋"/>
          <w:bCs/>
          <w:color w:val="000000"/>
          <w:sz w:val="32"/>
          <w:szCs w:val="32"/>
          <w:lang w:val="en-US" w:eastAsia="zh-CN"/>
        </w:rPr>
        <w:t>款</w:t>
      </w:r>
      <w:r>
        <w:rPr>
          <w:rStyle w:val="26"/>
          <w:rFonts w:hint="eastAsia" w:ascii="仿宋" w:hAnsi="仿宋" w:eastAsia="仿宋"/>
          <w:bCs/>
          <w:color w:val="000000"/>
          <w:sz w:val="32"/>
          <w:szCs w:val="32"/>
        </w:rPr>
        <w:t>）行政运行（项）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w:t>
      </w:r>
      <w:r>
        <w:rPr>
          <w:rStyle w:val="26"/>
          <w:rFonts w:hint="eastAsia" w:ascii="仿宋" w:hAnsi="仿宋" w:eastAsia="仿宋"/>
          <w:b w:val="0"/>
          <w:bCs/>
          <w:color w:val="000000"/>
          <w:sz w:val="32"/>
          <w:szCs w:val="32"/>
          <w:lang w:val="en-US" w:eastAsia="zh-CN"/>
        </w:rPr>
        <w:t>100.65</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78FE0CD8">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2</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一般公共服务（类）</w:t>
      </w:r>
      <w:r>
        <w:rPr>
          <w:rStyle w:val="26"/>
          <w:rFonts w:hint="eastAsia" w:ascii="仿宋" w:hAnsi="仿宋" w:eastAsia="仿宋"/>
          <w:bCs/>
          <w:color w:val="000000"/>
          <w:sz w:val="32"/>
          <w:szCs w:val="32"/>
          <w:lang w:val="en-US" w:eastAsia="zh-CN"/>
        </w:rPr>
        <w:t>信访事务</w:t>
      </w:r>
      <w:r>
        <w:rPr>
          <w:rStyle w:val="26"/>
          <w:rFonts w:hint="eastAsia" w:ascii="仿宋" w:hAnsi="仿宋" w:eastAsia="仿宋"/>
          <w:bCs/>
          <w:color w:val="000000"/>
          <w:sz w:val="32"/>
          <w:szCs w:val="32"/>
        </w:rPr>
        <w:t>（</w:t>
      </w:r>
      <w:r>
        <w:rPr>
          <w:rStyle w:val="26"/>
          <w:rFonts w:hint="eastAsia" w:ascii="仿宋" w:hAnsi="仿宋" w:eastAsia="仿宋"/>
          <w:bCs/>
          <w:color w:val="000000"/>
          <w:sz w:val="32"/>
          <w:szCs w:val="32"/>
          <w:lang w:val="en-US" w:eastAsia="zh-CN"/>
        </w:rPr>
        <w:t>款</w:t>
      </w:r>
      <w:r>
        <w:rPr>
          <w:rStyle w:val="26"/>
          <w:rFonts w:hint="eastAsia" w:ascii="仿宋" w:hAnsi="仿宋" w:eastAsia="仿宋"/>
          <w:bCs/>
          <w:color w:val="000000"/>
          <w:sz w:val="32"/>
          <w:szCs w:val="32"/>
        </w:rPr>
        <w:t>）</w:t>
      </w:r>
      <w:r>
        <w:rPr>
          <w:rStyle w:val="26"/>
          <w:rFonts w:hint="eastAsia" w:ascii="仿宋" w:hAnsi="仿宋" w:eastAsia="仿宋"/>
          <w:bCs/>
          <w:color w:val="000000"/>
          <w:sz w:val="32"/>
          <w:szCs w:val="32"/>
          <w:lang w:val="en-US" w:eastAsia="zh-CN"/>
        </w:rPr>
        <w:t>机关服务</w:t>
      </w:r>
      <w:r>
        <w:rPr>
          <w:rStyle w:val="26"/>
          <w:rFonts w:hint="eastAsia" w:ascii="仿宋" w:hAnsi="仿宋" w:eastAsia="仿宋"/>
          <w:bCs/>
          <w:color w:val="000000"/>
          <w:sz w:val="32"/>
          <w:szCs w:val="32"/>
        </w:rPr>
        <w:t>（项）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支出决算为6</w:t>
      </w:r>
      <w:r>
        <w:rPr>
          <w:rStyle w:val="26"/>
          <w:rFonts w:hint="eastAsia" w:ascii="仿宋" w:hAnsi="仿宋" w:eastAsia="仿宋"/>
          <w:b w:val="0"/>
          <w:bCs/>
          <w:color w:val="000000"/>
          <w:sz w:val="32"/>
          <w:szCs w:val="32"/>
          <w:lang w:val="en-US" w:eastAsia="zh-CN"/>
        </w:rPr>
        <w:t>3.59</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4D067DA">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3</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社会保障和就业支出（类）行政事业单位养老支出（款）机关事业单位基本养老保险缴费支出（项）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支出决算为20.</w:t>
      </w:r>
      <w:r>
        <w:rPr>
          <w:rStyle w:val="26"/>
          <w:rFonts w:hint="eastAsia" w:ascii="仿宋" w:hAnsi="仿宋" w:eastAsia="仿宋"/>
          <w:b w:val="0"/>
          <w:bCs/>
          <w:color w:val="000000"/>
          <w:sz w:val="32"/>
          <w:szCs w:val="32"/>
          <w:lang w:val="en-US" w:eastAsia="zh-CN"/>
        </w:rPr>
        <w:t>40</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2235885E">
      <w:pPr>
        <w:spacing w:line="600" w:lineRule="exact"/>
        <w:ind w:firstLine="643" w:firstLineChars="200"/>
        <w:rPr>
          <w:rFonts w:ascii="仿宋" w:hAnsi="仿宋" w:eastAsia="仿宋"/>
          <w:b/>
          <w:color w:val="000000"/>
          <w:sz w:val="32"/>
          <w:szCs w:val="32"/>
        </w:rPr>
      </w:pPr>
      <w:r>
        <w:rPr>
          <w:rStyle w:val="26"/>
          <w:rFonts w:hint="eastAsia" w:ascii="仿宋" w:hAnsi="仿宋" w:eastAsia="仿宋"/>
          <w:bCs/>
          <w:color w:val="000000"/>
          <w:sz w:val="32"/>
          <w:szCs w:val="32"/>
          <w:lang w:val="en-US" w:eastAsia="zh-CN"/>
        </w:rPr>
        <w:t>4</w:t>
      </w:r>
      <w:r>
        <w:rPr>
          <w:rStyle w:val="26"/>
          <w:rFonts w:ascii="仿宋" w:hAnsi="仿宋" w:eastAsia="仿宋"/>
          <w:bCs/>
          <w:color w:val="000000"/>
          <w:sz w:val="32"/>
          <w:szCs w:val="32"/>
        </w:rPr>
        <w:t>.</w:t>
      </w:r>
      <w:r>
        <w:rPr>
          <w:rStyle w:val="26"/>
          <w:rFonts w:hint="eastAsia" w:ascii="仿宋" w:hAnsi="仿宋" w:eastAsia="仿宋"/>
          <w:bCs/>
          <w:color w:val="000000"/>
          <w:sz w:val="32"/>
          <w:szCs w:val="32"/>
        </w:rPr>
        <w:t>社会保障和就业支出（类）行政事业单位养老支出（款）机关事业单位职业年金缴费支出（项）</w:t>
      </w:r>
      <w:r>
        <w:rPr>
          <w:rStyle w:val="26"/>
          <w:rFonts w:ascii="仿宋" w:hAnsi="仿宋" w:eastAsia="仿宋"/>
          <w:bCs/>
          <w:color w:val="000000"/>
          <w:sz w:val="32"/>
          <w:szCs w:val="32"/>
        </w:rPr>
        <w:t>:</w:t>
      </w:r>
      <w:r>
        <w:rPr>
          <w:rStyle w:val="26"/>
          <w:rFonts w:ascii="仿宋" w:hAnsi="仿宋" w:eastAsia="仿宋"/>
          <w:b w:val="0"/>
          <w:bCs/>
          <w:color w:val="000000"/>
          <w:sz w:val="32"/>
          <w:szCs w:val="32"/>
        </w:rPr>
        <w:t xml:space="preserve"> </w:t>
      </w:r>
      <w:r>
        <w:rPr>
          <w:rStyle w:val="26"/>
          <w:rFonts w:hint="eastAsia" w:ascii="仿宋" w:hAnsi="仿宋" w:eastAsia="仿宋"/>
          <w:b w:val="0"/>
          <w:bCs/>
          <w:color w:val="000000"/>
          <w:sz w:val="32"/>
          <w:szCs w:val="32"/>
        </w:rPr>
        <w:t>支出决算为</w:t>
      </w:r>
      <w:r>
        <w:rPr>
          <w:rStyle w:val="26"/>
          <w:rFonts w:hint="eastAsia" w:ascii="仿宋" w:hAnsi="仿宋" w:eastAsia="仿宋"/>
          <w:b w:val="0"/>
          <w:bCs/>
          <w:color w:val="000000"/>
          <w:sz w:val="32"/>
          <w:szCs w:val="32"/>
          <w:lang w:val="en-US" w:eastAsia="zh-CN"/>
        </w:rPr>
        <w:t>9.91</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463EE84B">
      <w:pPr>
        <w:spacing w:line="600" w:lineRule="exact"/>
        <w:ind w:firstLine="643" w:firstLineChars="200"/>
        <w:rPr>
          <w:rStyle w:val="26"/>
          <w:rFonts w:hint="eastAsia" w:ascii="仿宋" w:hAnsi="仿宋" w:eastAsia="仿宋"/>
          <w:b w:val="0"/>
          <w:bCs/>
          <w:color w:val="000000"/>
          <w:sz w:val="32"/>
          <w:szCs w:val="32"/>
        </w:rPr>
      </w:pPr>
      <w:r>
        <w:rPr>
          <w:rStyle w:val="26"/>
          <w:rFonts w:hint="eastAsia" w:ascii="仿宋" w:hAnsi="仿宋" w:eastAsia="仿宋"/>
          <w:bCs/>
          <w:color w:val="000000"/>
          <w:sz w:val="32"/>
          <w:szCs w:val="32"/>
          <w:lang w:val="en-US" w:eastAsia="zh-CN"/>
        </w:rPr>
        <w:t>5</w:t>
      </w:r>
      <w:r>
        <w:rPr>
          <w:rStyle w:val="26"/>
          <w:rFonts w:ascii="仿宋" w:hAnsi="仿宋" w:eastAsia="仿宋"/>
          <w:bCs/>
          <w:color w:val="000000"/>
          <w:sz w:val="32"/>
          <w:szCs w:val="32"/>
        </w:rPr>
        <w:t>.</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（类）行政事业单位医疗（款）行政单位医疗（项）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w:t>
      </w:r>
      <w:r>
        <w:rPr>
          <w:rStyle w:val="26"/>
          <w:rFonts w:hint="eastAsia" w:ascii="仿宋" w:hAnsi="仿宋" w:eastAsia="仿宋"/>
          <w:b w:val="0"/>
          <w:bCs/>
          <w:color w:val="000000"/>
          <w:sz w:val="32"/>
          <w:szCs w:val="32"/>
          <w:lang w:val="en-US" w:eastAsia="zh-CN"/>
        </w:rPr>
        <w:t>6.33</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0043BFC5">
      <w:pPr>
        <w:spacing w:line="600" w:lineRule="exact"/>
        <w:ind w:firstLine="643" w:firstLineChars="200"/>
        <w:rPr>
          <w:rFonts w:ascii="仿宋" w:hAnsi="仿宋" w:eastAsia="仿宋"/>
          <w:b/>
          <w:color w:val="000000"/>
          <w:sz w:val="32"/>
          <w:szCs w:val="32"/>
        </w:rPr>
      </w:pPr>
      <w:r>
        <w:rPr>
          <w:rStyle w:val="26"/>
          <w:rFonts w:ascii="仿宋" w:hAnsi="仿宋" w:eastAsia="仿宋"/>
          <w:bCs/>
          <w:color w:val="000000"/>
          <w:sz w:val="32"/>
          <w:szCs w:val="32"/>
        </w:rPr>
        <w:t>6.</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w:t>
      </w:r>
      <w:r>
        <w:rPr>
          <w:rStyle w:val="26"/>
          <w:rFonts w:hint="eastAsia" w:ascii="仿宋" w:hAnsi="仿宋" w:eastAsia="仿宋"/>
          <w:bCs/>
          <w:color w:val="000000"/>
          <w:sz w:val="32"/>
          <w:szCs w:val="32"/>
          <w:lang w:val="en-US" w:eastAsia="zh-CN"/>
        </w:rPr>
        <w:t>事业</w:t>
      </w:r>
      <w:r>
        <w:rPr>
          <w:rStyle w:val="26"/>
          <w:rFonts w:hint="eastAsia" w:ascii="仿宋" w:hAnsi="仿宋" w:eastAsia="仿宋"/>
          <w:bCs/>
          <w:color w:val="000000"/>
          <w:sz w:val="32"/>
          <w:szCs w:val="32"/>
        </w:rPr>
        <w:t>单位医疗（项）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支出决算为3.6</w:t>
      </w:r>
      <w:r>
        <w:rPr>
          <w:rStyle w:val="26"/>
          <w:rFonts w:hint="eastAsia" w:ascii="仿宋" w:hAnsi="仿宋" w:eastAsia="仿宋"/>
          <w:b w:val="0"/>
          <w:bCs/>
          <w:color w:val="000000"/>
          <w:sz w:val="32"/>
          <w:szCs w:val="32"/>
          <w:lang w:val="en-US" w:eastAsia="zh-CN"/>
        </w:rPr>
        <w:t>9</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38E9210">
      <w:pPr>
        <w:pStyle w:val="18"/>
      </w:pPr>
    </w:p>
    <w:p w14:paraId="656ED7FD">
      <w:pPr>
        <w:numPr>
          <w:ilvl w:val="0"/>
          <w:numId w:val="0"/>
        </w:numPr>
        <w:spacing w:line="600" w:lineRule="exact"/>
        <w:ind w:firstLine="643" w:firstLineChars="200"/>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（类）行政事业单位医疗（款）公务员医疗补助（项）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支出决算为1.0</w:t>
      </w:r>
      <w:r>
        <w:rPr>
          <w:rStyle w:val="26"/>
          <w:rFonts w:hint="eastAsia" w:ascii="仿宋" w:hAnsi="仿宋" w:eastAsia="仿宋"/>
          <w:b w:val="0"/>
          <w:bCs/>
          <w:color w:val="000000"/>
          <w:sz w:val="32"/>
          <w:szCs w:val="32"/>
          <w:lang w:val="en-US" w:eastAsia="zh-CN"/>
        </w:rPr>
        <w:t>0</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56DECAE3">
      <w:pPr>
        <w:numPr>
          <w:ilvl w:val="0"/>
          <w:numId w:val="0"/>
        </w:numPr>
        <w:spacing w:line="600" w:lineRule="exact"/>
        <w:ind w:left="0" w:leftChars="0" w:firstLine="643" w:firstLineChars="200"/>
        <w:rPr>
          <w:rStyle w:val="26"/>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8.</w:t>
      </w:r>
      <w:r>
        <w:rPr>
          <w:rFonts w:hint="eastAsia" w:ascii="仿宋" w:hAnsi="仿宋" w:eastAsia="仿宋"/>
          <w:b/>
          <w:bCs/>
          <w:color w:val="000000"/>
          <w:sz w:val="32"/>
          <w:szCs w:val="32"/>
        </w:rPr>
        <w:t>卫生健康</w:t>
      </w:r>
      <w:r>
        <w:rPr>
          <w:rStyle w:val="26"/>
          <w:rFonts w:hint="eastAsia" w:ascii="仿宋" w:hAnsi="仿宋" w:eastAsia="仿宋"/>
          <w:bCs/>
          <w:color w:val="000000"/>
          <w:sz w:val="32"/>
          <w:szCs w:val="32"/>
        </w:rPr>
        <w:t>（类）行政事业单位医疗（款）其他行政事业单位医疗支出（项）</w:t>
      </w:r>
      <w:r>
        <w:rPr>
          <w:rStyle w:val="26"/>
          <w:rFonts w:ascii="仿宋" w:hAnsi="仿宋" w:eastAsia="仿宋"/>
          <w:bCs/>
          <w:color w:val="000000"/>
          <w:sz w:val="32"/>
          <w:szCs w:val="32"/>
        </w:rPr>
        <w:t>:</w:t>
      </w:r>
      <w:r>
        <w:rPr>
          <w:rStyle w:val="26"/>
          <w:rFonts w:hint="eastAsia" w:ascii="仿宋" w:hAnsi="仿宋" w:eastAsia="仿宋"/>
          <w:b w:val="0"/>
          <w:bCs/>
          <w:color w:val="000000"/>
          <w:sz w:val="32"/>
          <w:szCs w:val="32"/>
        </w:rPr>
        <w:t>支出决算为0.</w:t>
      </w:r>
      <w:r>
        <w:rPr>
          <w:rStyle w:val="26"/>
          <w:rFonts w:hint="eastAsia" w:ascii="仿宋" w:hAnsi="仿宋" w:eastAsia="仿宋"/>
          <w:b w:val="0"/>
          <w:bCs/>
          <w:color w:val="000000"/>
          <w:sz w:val="32"/>
          <w:szCs w:val="32"/>
          <w:lang w:val="en-US" w:eastAsia="zh-CN"/>
        </w:rPr>
        <w:t>95</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68E8215">
      <w:pPr>
        <w:numPr>
          <w:ilvl w:val="0"/>
          <w:numId w:val="0"/>
        </w:numPr>
        <w:spacing w:line="600" w:lineRule="exact"/>
        <w:ind w:left="0" w:leftChars="0" w:firstLine="640" w:firstLineChars="200"/>
        <w:rPr>
          <w:rFonts w:hint="default" w:eastAsia="宋体"/>
          <w:lang w:val="en-US" w:eastAsia="zh-CN"/>
        </w:rPr>
      </w:pPr>
      <w:r>
        <w:rPr>
          <w:rStyle w:val="26"/>
          <w:rFonts w:hint="eastAsia" w:ascii="仿宋" w:hAnsi="仿宋" w:eastAsia="仿宋"/>
          <w:b w:val="0"/>
          <w:bCs/>
          <w:color w:val="000000"/>
          <w:sz w:val="32"/>
          <w:szCs w:val="32"/>
          <w:lang w:val="en-US" w:eastAsia="zh-CN"/>
        </w:rPr>
        <w:t>9.</w:t>
      </w:r>
      <w:r>
        <w:rPr>
          <w:rFonts w:hint="eastAsia" w:ascii="仿宋" w:hAnsi="仿宋" w:eastAsia="仿宋" w:cs="Times New Roman"/>
          <w:b/>
          <w:bCs/>
          <w:color w:val="000000"/>
          <w:kern w:val="2"/>
          <w:sz w:val="32"/>
          <w:szCs w:val="32"/>
          <w:lang w:val="en-US" w:eastAsia="zh-CN" w:bidi="ar-SA"/>
        </w:rPr>
        <w:t>住房保障支出（类）住房改革支出（款）住房公积金（项）：</w:t>
      </w:r>
      <w:r>
        <w:rPr>
          <w:rStyle w:val="26"/>
          <w:rFonts w:hint="eastAsia" w:ascii="仿宋" w:hAnsi="仿宋" w:eastAsia="仿宋"/>
          <w:b w:val="0"/>
          <w:bCs/>
          <w:color w:val="000000"/>
          <w:sz w:val="32"/>
          <w:szCs w:val="32"/>
        </w:rPr>
        <w:t>支出决算为1</w:t>
      </w:r>
      <w:r>
        <w:rPr>
          <w:rStyle w:val="26"/>
          <w:rFonts w:hint="eastAsia" w:ascii="仿宋" w:hAnsi="仿宋" w:eastAsia="仿宋"/>
          <w:b w:val="0"/>
          <w:bCs/>
          <w:color w:val="000000"/>
          <w:sz w:val="32"/>
          <w:szCs w:val="32"/>
          <w:lang w:val="en-US" w:eastAsia="zh-CN"/>
        </w:rPr>
        <w:t>7.13</w:t>
      </w:r>
      <w:r>
        <w:rPr>
          <w:rStyle w:val="26"/>
          <w:rFonts w:hint="eastAsia" w:ascii="仿宋" w:hAnsi="仿宋" w:eastAsia="仿宋"/>
          <w:b w:val="0"/>
          <w:bCs/>
          <w:color w:val="000000"/>
          <w:sz w:val="32"/>
          <w:szCs w:val="32"/>
        </w:rPr>
        <w:t>万元，完成预算</w:t>
      </w:r>
      <w:r>
        <w:rPr>
          <w:rStyle w:val="26"/>
          <w:rFonts w:hint="eastAsia" w:ascii="仿宋" w:hAnsi="仿宋" w:eastAsia="仿宋"/>
          <w:b w:val="0"/>
          <w:bCs/>
          <w:color w:val="000000"/>
          <w:sz w:val="32"/>
          <w:szCs w:val="32"/>
          <w:lang w:val="en-US" w:eastAsia="zh-CN"/>
        </w:rPr>
        <w:t>100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，决算数等于预算数。</w:t>
      </w:r>
    </w:p>
    <w:p w14:paraId="3C195451">
      <w:pPr>
        <w:tabs>
          <w:tab w:val="right" w:pos="8306"/>
        </w:tabs>
        <w:spacing w:line="600" w:lineRule="exact"/>
        <w:ind w:firstLine="640"/>
        <w:outlineLvl w:val="1"/>
        <w:rPr>
          <w:rStyle w:val="30"/>
        </w:rPr>
      </w:pPr>
      <w:bookmarkStart w:id="65" w:name="_Toc79163618"/>
      <w:bookmarkStart w:id="66" w:name="_Toc15396608"/>
      <w:bookmarkStart w:id="67" w:name="_Toc139"/>
      <w:bookmarkStart w:id="6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65"/>
      <w:bookmarkEnd w:id="66"/>
      <w:bookmarkEnd w:id="67"/>
      <w:bookmarkEnd w:id="68"/>
      <w:r>
        <w:rPr>
          <w:rStyle w:val="30"/>
          <w:rFonts w:ascii="黑体" w:hAnsi="黑体" w:eastAsia="黑体"/>
          <w:b w:val="0"/>
        </w:rPr>
        <w:tab/>
      </w:r>
    </w:p>
    <w:p w14:paraId="33423089">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164.24</w:t>
      </w:r>
      <w:r>
        <w:rPr>
          <w:rFonts w:hint="eastAsia" w:ascii="仿宋" w:hAnsi="仿宋" w:eastAsia="仿宋"/>
          <w:color w:val="000000"/>
          <w:sz w:val="32"/>
          <w:szCs w:val="32"/>
        </w:rPr>
        <w:t>万元，其中：</w:t>
      </w:r>
    </w:p>
    <w:p w14:paraId="73F11D1D">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151.82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2C6FA5A">
      <w:pPr>
        <w:spacing w:line="600" w:lineRule="exact"/>
        <w:ind w:firstLine="640" w:firstLineChars="200"/>
        <w:rPr>
          <w:rFonts w:ascii="仿宋" w:hAnsi="仿宋" w:eastAsia="仿宋"/>
          <w:b/>
          <w:color w:val="FF0000"/>
          <w:sz w:val="32"/>
          <w:szCs w:val="32"/>
        </w:rPr>
      </w:pPr>
      <w:r>
        <w:rPr>
          <w:rFonts w:hint="eastAsia" w:ascii="仿宋" w:hAnsi="仿宋" w:eastAsia="仿宋"/>
          <w:color w:val="000000"/>
          <w:sz w:val="32"/>
          <w:szCs w:val="32"/>
        </w:rPr>
        <w:t>日常公用经费1</w:t>
      </w:r>
      <w:r>
        <w:rPr>
          <w:rFonts w:hint="eastAsia" w:ascii="仿宋" w:hAnsi="仿宋" w:eastAsia="仿宋"/>
          <w:color w:val="000000"/>
          <w:sz w:val="32"/>
          <w:szCs w:val="32"/>
          <w:lang w:val="en-US" w:eastAsia="zh-CN"/>
        </w:rPr>
        <w:t>2.42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FA374DC">
      <w:pPr>
        <w:spacing w:line="600" w:lineRule="exact"/>
        <w:ind w:firstLine="640"/>
        <w:outlineLvl w:val="1"/>
        <w:rPr>
          <w:rStyle w:val="30"/>
          <w:rFonts w:ascii="黑体" w:hAnsi="黑体" w:eastAsia="黑体"/>
          <w:b w:val="0"/>
        </w:rPr>
      </w:pPr>
      <w:bookmarkStart w:id="69" w:name="_Toc15377215"/>
      <w:bookmarkStart w:id="70" w:name="_Toc25505"/>
      <w:bookmarkStart w:id="71" w:name="_Toc15396609"/>
      <w:bookmarkStart w:id="72" w:name="_Toc7916361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9"/>
      <w:bookmarkEnd w:id="70"/>
      <w:bookmarkEnd w:id="71"/>
      <w:bookmarkEnd w:id="72"/>
    </w:p>
    <w:p w14:paraId="3EE0130A">
      <w:pPr>
        <w:spacing w:line="600" w:lineRule="exact"/>
        <w:ind w:firstLine="640"/>
        <w:outlineLvl w:val="2"/>
        <w:rPr>
          <w:rFonts w:ascii="仿宋" w:hAnsi="仿宋" w:eastAsia="仿宋"/>
          <w:b/>
          <w:color w:val="000000"/>
          <w:sz w:val="32"/>
          <w:szCs w:val="32"/>
        </w:rPr>
      </w:pPr>
      <w:bookmarkStart w:id="73" w:name="_Toc15377216"/>
      <w:bookmarkStart w:id="74" w:name="_Toc79163620"/>
      <w:bookmarkStart w:id="75" w:name="_Toc18810"/>
      <w:r>
        <w:rPr>
          <w:rFonts w:hint="eastAsia" w:ascii="仿宋" w:hAnsi="仿宋" w:eastAsia="仿宋"/>
          <w:b/>
          <w:color w:val="000000"/>
          <w:sz w:val="32"/>
          <w:szCs w:val="32"/>
        </w:rPr>
        <w:t>（一）“三公”经费财政拨款支出决算总体情况说明</w:t>
      </w:r>
      <w:bookmarkEnd w:id="73"/>
      <w:bookmarkEnd w:id="74"/>
      <w:bookmarkEnd w:id="75"/>
    </w:p>
    <w:p w14:paraId="3268A5F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14:paraId="714DCD2E">
      <w:pPr>
        <w:spacing w:line="600" w:lineRule="exact"/>
        <w:ind w:firstLine="640"/>
        <w:outlineLvl w:val="2"/>
        <w:rPr>
          <w:rFonts w:ascii="仿宋" w:hAnsi="仿宋" w:eastAsia="仿宋"/>
          <w:b/>
          <w:color w:val="000000"/>
          <w:sz w:val="32"/>
          <w:szCs w:val="32"/>
        </w:rPr>
      </w:pPr>
      <w:bookmarkStart w:id="76" w:name="_Toc15377217"/>
      <w:bookmarkStart w:id="77" w:name="_Toc16467"/>
      <w:bookmarkStart w:id="78" w:name="_Toc79163621"/>
      <w:r>
        <w:rPr>
          <w:rFonts w:hint="eastAsia" w:ascii="仿宋" w:hAnsi="仿宋" w:eastAsia="仿宋"/>
          <w:b/>
          <w:color w:val="000000"/>
          <w:sz w:val="32"/>
          <w:szCs w:val="32"/>
        </w:rPr>
        <w:t>（二）“三公”经费财政拨款支出决算具体情况说明</w:t>
      </w:r>
      <w:bookmarkEnd w:id="76"/>
      <w:bookmarkEnd w:id="77"/>
      <w:bookmarkEnd w:id="78"/>
    </w:p>
    <w:p w14:paraId="266EF54F">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5BC0631">
      <w:pPr>
        <w:pStyle w:val="2"/>
        <w:rPr>
          <w:rFonts w:hint="eastAsia" w:ascii="仿宋" w:hAnsi="仿宋" w:eastAsia="仿宋"/>
          <w:color w:val="000000"/>
          <w:sz w:val="32"/>
          <w:szCs w:val="32"/>
        </w:rPr>
      </w:pPr>
    </w:p>
    <w:p w14:paraId="61A60494">
      <w:pPr>
        <w:jc w:val="center"/>
      </w:pPr>
      <w:r>
        <w:drawing>
          <wp:inline distT="0" distB="0" distL="114300" distR="114300">
            <wp:extent cx="4623435" cy="2080895"/>
            <wp:effectExtent l="4445" t="4445" r="7620" b="10160"/>
            <wp:docPr id="134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F292C3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14:paraId="37289CE9">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2023年与2024年均无因公出国（境）经费支出</w:t>
      </w:r>
      <w:r>
        <w:rPr>
          <w:rFonts w:hint="eastAsia" w:ascii="仿宋_GB2312" w:eastAsia="仿宋_GB2312"/>
          <w:color w:val="000000"/>
          <w:sz w:val="32"/>
          <w:szCs w:val="32"/>
        </w:rPr>
        <w:t>。</w:t>
      </w:r>
    </w:p>
    <w:p w14:paraId="683CB5F1">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开支内容包括：</w:t>
      </w:r>
      <w:r>
        <w:rPr>
          <w:rFonts w:hint="eastAsia" w:ascii="仿宋_GB2312" w:eastAsia="仿宋_GB2312"/>
          <w:color w:val="000000"/>
          <w:sz w:val="32"/>
          <w:szCs w:val="32"/>
          <w:lang w:val="en-US" w:eastAsia="zh-CN"/>
        </w:rPr>
        <w:t>无</w:t>
      </w:r>
      <w:r>
        <w:rPr>
          <w:rFonts w:hint="eastAsia" w:ascii="仿宋_GB2312" w:eastAsia="仿宋_GB2312"/>
          <w:color w:val="000000"/>
          <w:sz w:val="32"/>
          <w:szCs w:val="32"/>
        </w:rPr>
        <w:t>（团组名称、出访地点、取得成效）等。</w:t>
      </w:r>
    </w:p>
    <w:p w14:paraId="19A8B543">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26"/>
          <w:rFonts w:hint="eastAsia" w:ascii="仿宋" w:hAnsi="仿宋" w:eastAsia="仿宋"/>
          <w:b w:val="0"/>
          <w:bCs/>
          <w:color w:val="000000"/>
          <w:sz w:val="32"/>
          <w:szCs w:val="32"/>
        </w:rPr>
        <w:t>完成预算</w:t>
      </w:r>
      <w:r>
        <w:rPr>
          <w:rFonts w:hint="eastAsia" w:ascii="仿宋" w:hAnsi="仿宋" w:eastAsia="仿宋"/>
          <w:color w:val="000000"/>
          <w:sz w:val="32"/>
          <w:szCs w:val="32"/>
          <w:lang w:val="en-US" w:eastAsia="zh-CN"/>
        </w:rPr>
        <w:t>0</w:t>
      </w:r>
      <w:r>
        <w:rPr>
          <w:rStyle w:val="26"/>
          <w:rFonts w:ascii="仿宋" w:hAnsi="仿宋" w:eastAsia="仿宋"/>
          <w:b w:val="0"/>
          <w:bCs/>
          <w:color w:val="000000"/>
          <w:sz w:val="32"/>
          <w:szCs w:val="32"/>
        </w:rPr>
        <w:t>%</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38E39D2F">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其他用车0辆</w:t>
      </w:r>
      <w:r>
        <w:rPr>
          <w:rFonts w:hint="eastAsia" w:ascii="仿宋_GB2312" w:eastAsia="仿宋_GB2312"/>
          <w:color w:val="000000"/>
          <w:sz w:val="32"/>
          <w:szCs w:val="32"/>
        </w:rPr>
        <w:t>。</w:t>
      </w:r>
    </w:p>
    <w:p w14:paraId="449B473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b/>
          <w:bCs/>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w:t>
      </w:r>
      <w:r>
        <w:rPr>
          <w:rFonts w:hint="eastAsia" w:ascii="仿宋_GB2312" w:eastAsia="仿宋_GB2312"/>
          <w:color w:val="000000"/>
          <w:sz w:val="32"/>
          <w:szCs w:val="32"/>
          <w:lang w:val="en-US" w:eastAsia="zh-CN"/>
        </w:rPr>
        <w:t>车辆日常</w:t>
      </w:r>
      <w:r>
        <w:rPr>
          <w:rFonts w:hint="eastAsia" w:ascii="仿宋_GB2312" w:eastAsia="仿宋_GB2312"/>
          <w:color w:val="000000"/>
          <w:sz w:val="32"/>
          <w:szCs w:val="32"/>
          <w:lang w:eastAsia="zh-CN"/>
        </w:rPr>
        <w:t>所需的维修费、</w:t>
      </w:r>
      <w:r>
        <w:rPr>
          <w:rFonts w:hint="eastAsia" w:ascii="仿宋_GB2312" w:eastAsia="仿宋_GB2312"/>
          <w:color w:val="000000"/>
          <w:sz w:val="32"/>
          <w:szCs w:val="32"/>
          <w:lang w:val="en-US" w:eastAsia="zh-CN"/>
        </w:rPr>
        <w:t>过路费、</w:t>
      </w:r>
      <w:r>
        <w:rPr>
          <w:rFonts w:hint="eastAsia" w:ascii="仿宋_GB2312" w:eastAsia="仿宋_GB2312"/>
          <w:color w:val="000000"/>
          <w:sz w:val="32"/>
          <w:szCs w:val="32"/>
          <w:lang w:eastAsia="zh-CN"/>
        </w:rPr>
        <w:t>保险费等支出</w:t>
      </w:r>
      <w:r>
        <w:rPr>
          <w:rFonts w:hint="eastAsia" w:ascii="仿宋_GB2312" w:eastAsia="仿宋_GB2312"/>
          <w:color w:val="000000"/>
          <w:sz w:val="32"/>
          <w:szCs w:val="32"/>
        </w:rPr>
        <w:t>。</w:t>
      </w:r>
    </w:p>
    <w:p w14:paraId="39ECE167">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2023年与2024年均无公务接待费支出</w:t>
      </w:r>
      <w:r>
        <w:rPr>
          <w:rFonts w:hint="eastAsia" w:ascii="仿宋_GB2312" w:eastAsia="仿宋_GB2312"/>
          <w:color w:val="000000"/>
          <w:sz w:val="32"/>
          <w:szCs w:val="32"/>
        </w:rPr>
        <w:t>。其中：</w:t>
      </w:r>
    </w:p>
    <w:p w14:paraId="5DAFF1A0">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591E053">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b/>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2367424">
      <w:pPr>
        <w:spacing w:line="600" w:lineRule="exact"/>
        <w:ind w:firstLine="640" w:firstLineChars="200"/>
        <w:rPr>
          <w:rFonts w:ascii="仿宋_GB2312" w:eastAsia="仿宋_GB2312"/>
          <w:color w:val="000000"/>
          <w:sz w:val="32"/>
          <w:szCs w:val="32"/>
        </w:rPr>
      </w:pPr>
    </w:p>
    <w:p w14:paraId="405879EE">
      <w:pPr>
        <w:spacing w:line="600" w:lineRule="exact"/>
        <w:ind w:firstLine="640"/>
        <w:outlineLvl w:val="1"/>
        <w:rPr>
          <w:rStyle w:val="30"/>
          <w:rFonts w:ascii="黑体" w:hAnsi="黑体" w:eastAsia="黑体"/>
        </w:rPr>
      </w:pPr>
      <w:bookmarkStart w:id="79" w:name="_Toc79163622"/>
      <w:bookmarkStart w:id="80" w:name="_Toc15377218"/>
      <w:bookmarkStart w:id="81" w:name="_Toc15396610"/>
      <w:bookmarkStart w:id="82" w:name="_Toc8589"/>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9"/>
      <w:bookmarkEnd w:id="80"/>
      <w:bookmarkEnd w:id="81"/>
      <w:bookmarkEnd w:id="82"/>
    </w:p>
    <w:p w14:paraId="0EA8EA55">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BF29007">
      <w:pPr>
        <w:spacing w:line="600" w:lineRule="exact"/>
        <w:ind w:firstLine="640"/>
        <w:rPr>
          <w:rFonts w:ascii="仿宋_GB2312" w:eastAsia="仿宋_GB2312"/>
          <w:color w:val="000000"/>
          <w:sz w:val="32"/>
          <w:szCs w:val="32"/>
        </w:rPr>
      </w:pPr>
    </w:p>
    <w:p w14:paraId="38AD6A6D">
      <w:pPr>
        <w:numPr>
          <w:ilvl w:val="0"/>
          <w:numId w:val="2"/>
        </w:numPr>
        <w:spacing w:line="600" w:lineRule="exact"/>
        <w:ind w:firstLine="640"/>
        <w:outlineLvl w:val="1"/>
        <w:rPr>
          <w:rStyle w:val="30"/>
          <w:rFonts w:ascii="黑体" w:hAnsi="黑体" w:eastAsia="黑体"/>
          <w:b w:val="0"/>
        </w:rPr>
      </w:pPr>
      <w:bookmarkStart w:id="83" w:name="_Toc15396611"/>
      <w:bookmarkStart w:id="84" w:name="_Toc15377219"/>
      <w:bookmarkStart w:id="85" w:name="_Toc79163623"/>
      <w:bookmarkStart w:id="86" w:name="_Toc12219"/>
      <w:r>
        <w:rPr>
          <w:rStyle w:val="30"/>
          <w:rFonts w:hint="eastAsia" w:ascii="黑体" w:hAnsi="黑体" w:eastAsia="黑体"/>
          <w:b w:val="0"/>
        </w:rPr>
        <w:t>国有资本经营预算支出决算情况说明</w:t>
      </w:r>
      <w:bookmarkEnd w:id="83"/>
      <w:bookmarkEnd w:id="84"/>
      <w:bookmarkEnd w:id="85"/>
      <w:bookmarkEnd w:id="86"/>
    </w:p>
    <w:p w14:paraId="6361E4F4">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64A1E0D">
      <w:pPr>
        <w:spacing w:line="580" w:lineRule="exact"/>
        <w:jc w:val="center"/>
        <w:rPr>
          <w:rFonts w:ascii="方正小标宋简体" w:hAnsi="方正小标宋简体" w:eastAsia="方正小标宋简体" w:cs="方正小标宋简体"/>
          <w:sz w:val="44"/>
          <w:szCs w:val="44"/>
        </w:rPr>
      </w:pPr>
    </w:p>
    <w:p w14:paraId="31A8454D">
      <w:pPr>
        <w:spacing w:line="600" w:lineRule="exact"/>
        <w:ind w:firstLine="800" w:firstLineChars="250"/>
        <w:outlineLvl w:val="1"/>
        <w:rPr>
          <w:rStyle w:val="30"/>
          <w:rFonts w:ascii="黑体" w:hAnsi="黑体" w:eastAsia="黑体"/>
        </w:rPr>
      </w:pPr>
      <w:bookmarkStart w:id="87" w:name="_Toc9744"/>
      <w:bookmarkStart w:id="88" w:name="_Toc15377221"/>
      <w:bookmarkStart w:id="89" w:name="_Toc79163624"/>
      <w:bookmarkStart w:id="90" w:name="_Toc15396612"/>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87"/>
      <w:bookmarkEnd w:id="88"/>
      <w:bookmarkEnd w:id="89"/>
      <w:bookmarkEnd w:id="90"/>
    </w:p>
    <w:p w14:paraId="47BF28A6">
      <w:pPr>
        <w:spacing w:line="600" w:lineRule="exact"/>
        <w:ind w:firstLine="643" w:firstLineChars="200"/>
        <w:outlineLvl w:val="2"/>
        <w:rPr>
          <w:rFonts w:ascii="仿宋" w:hAnsi="仿宋" w:eastAsia="仿宋"/>
          <w:color w:val="000000"/>
          <w:sz w:val="32"/>
          <w:szCs w:val="32"/>
        </w:rPr>
      </w:pPr>
      <w:bookmarkStart w:id="91" w:name="_Toc15377222"/>
      <w:bookmarkStart w:id="92" w:name="_Toc32034"/>
      <w:bookmarkStart w:id="93" w:name="_Toc79163625"/>
      <w:r>
        <w:rPr>
          <w:rFonts w:hint="eastAsia" w:ascii="仿宋" w:hAnsi="仿宋" w:eastAsia="仿宋"/>
          <w:b/>
          <w:color w:val="000000"/>
          <w:sz w:val="32"/>
          <w:szCs w:val="32"/>
        </w:rPr>
        <w:t>（一）机关运行经费支出情况</w:t>
      </w:r>
      <w:bookmarkEnd w:id="91"/>
      <w:bookmarkEnd w:id="92"/>
      <w:bookmarkEnd w:id="93"/>
    </w:p>
    <w:p w14:paraId="6053B066">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壤塘县信访工作局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7.76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1.83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19.07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基本支出减少，机关运行经费减少。</w:t>
      </w:r>
    </w:p>
    <w:p w14:paraId="0869CE4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4" w:name="_Toc79163626"/>
      <w:bookmarkStart w:id="95" w:name="_Toc13225"/>
      <w:bookmarkStart w:id="96" w:name="_Toc15377223"/>
      <w:r>
        <w:rPr>
          <w:rFonts w:hint="eastAsia" w:ascii="仿宋" w:hAnsi="仿宋" w:eastAsia="仿宋"/>
          <w:b/>
          <w:color w:val="000000"/>
          <w:sz w:val="32"/>
          <w:szCs w:val="32"/>
        </w:rPr>
        <w:t>（二）政府采购支出情况</w:t>
      </w:r>
      <w:bookmarkEnd w:id="94"/>
      <w:bookmarkEnd w:id="95"/>
      <w:bookmarkEnd w:id="96"/>
    </w:p>
    <w:p w14:paraId="5BBD7211">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壤塘县信访工作局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EA48404">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7" w:name="_Toc24339"/>
      <w:bookmarkStart w:id="98" w:name="_Toc15377224"/>
      <w:bookmarkStart w:id="99" w:name="_Toc79163627"/>
      <w:r>
        <w:rPr>
          <w:rFonts w:hint="eastAsia" w:ascii="仿宋" w:hAnsi="仿宋" w:eastAsia="仿宋"/>
          <w:b/>
          <w:color w:val="000000"/>
          <w:sz w:val="32"/>
          <w:szCs w:val="32"/>
        </w:rPr>
        <w:t>（三）国有资产占有使用情况</w:t>
      </w:r>
      <w:bookmarkEnd w:id="97"/>
      <w:bookmarkEnd w:id="98"/>
      <w:bookmarkEnd w:id="99"/>
    </w:p>
    <w:p w14:paraId="759BA5DB">
      <w:pPr>
        <w:autoSpaceDE w:val="0"/>
        <w:autoSpaceDN w:val="0"/>
        <w:adjustRightInd w:val="0"/>
        <w:spacing w:line="600" w:lineRule="exact"/>
        <w:ind w:firstLine="640" w:firstLineChars="200"/>
        <w:jc w:val="left"/>
        <w:rPr>
          <w:rFonts w:hint="default" w:ascii="仿宋" w:hAnsi="仿宋" w:eastAsia="仿宋_GB2312"/>
          <w:b/>
          <w:color w:val="FF0000"/>
          <w:sz w:val="32"/>
          <w:szCs w:val="32"/>
          <w:lang w:val="en-US" w:eastAsia="zh-CN"/>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壤塘县信访工作局无公务用车。</w:t>
      </w:r>
    </w:p>
    <w:p w14:paraId="3E3A044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0" w:name="_Toc79163628"/>
      <w:bookmarkStart w:id="101" w:name="_Toc10566"/>
      <w:r>
        <w:rPr>
          <w:rFonts w:hint="eastAsia" w:ascii="仿宋" w:hAnsi="仿宋" w:eastAsia="仿宋"/>
          <w:b/>
          <w:color w:val="000000"/>
          <w:sz w:val="32"/>
          <w:szCs w:val="32"/>
        </w:rPr>
        <w:t>（四）预算绩效管理情况。</w:t>
      </w:r>
      <w:bookmarkEnd w:id="100"/>
      <w:bookmarkEnd w:id="101"/>
    </w:p>
    <w:p w14:paraId="779E5D0A">
      <w:pPr>
        <w:pageBreakBefore w:val="0"/>
        <w:widowControl w:val="0"/>
        <w:kinsoku/>
        <w:wordWrap/>
        <w:overflowPunct/>
        <w:topLinePunct w:val="0"/>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根根据预算绩效管理要求，本单位在年初预算编制阶段，组织对</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个项目开展了绩效目标完成情况自评。</w:t>
      </w:r>
    </w:p>
    <w:p w14:paraId="0E53A20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阿坝州壤塘县信访工作局</w:t>
      </w:r>
      <w:r>
        <w:rPr>
          <w:rFonts w:hint="eastAsia" w:ascii="仿宋_GB2312" w:hAnsi="仿宋_GB2312" w:eastAsia="仿宋_GB2312" w:cs="仿宋_GB2312"/>
          <w:sz w:val="32"/>
          <w:szCs w:val="32"/>
        </w:rPr>
        <w:t>（含部门预算项目）绩效自评报告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阿坝州壤塘县信访工作局会</w:t>
      </w:r>
      <w:r>
        <w:rPr>
          <w:rFonts w:hint="eastAsia" w:ascii="仿宋_GB2312" w:hAnsi="仿宋_GB2312" w:eastAsia="仿宋_GB2312" w:cs="仿宋_GB2312"/>
          <w:sz w:val="32"/>
          <w:szCs w:val="32"/>
        </w:rPr>
        <w:t>（含部门预算项目）绩效自评得分为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本次部门整体支出绩效自评得分为98分总体表现良好。</w:t>
      </w:r>
      <w:r>
        <w:rPr>
          <w:rFonts w:hint="eastAsia" w:ascii="仿宋_GB2312" w:hAnsi="仿宋_GB2312" w:eastAsia="仿宋_GB2312" w:cs="仿宋_GB2312"/>
          <w:sz w:val="32"/>
          <w:szCs w:val="32"/>
        </w:rPr>
        <w:t>绩效自评报告详见附件。</w:t>
      </w:r>
    </w:p>
    <w:p w14:paraId="6B7C88C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C7B01D2">
      <w:pPr>
        <w:numPr>
          <w:ilvl w:val="0"/>
          <w:numId w:val="3"/>
        </w:numPr>
        <w:spacing w:line="600" w:lineRule="exact"/>
        <w:ind w:firstLine="660" w:firstLineChars="150"/>
        <w:jc w:val="center"/>
        <w:outlineLvl w:val="0"/>
        <w:rPr>
          <w:rStyle w:val="29"/>
          <w:rFonts w:ascii="黑体" w:hAnsi="黑体" w:eastAsia="黑体"/>
          <w:b w:val="0"/>
        </w:rPr>
      </w:pPr>
      <w:bookmarkStart w:id="102" w:name="_Toc15377225"/>
      <w:bookmarkStart w:id="103" w:name="_Toc79163629"/>
      <w:bookmarkStart w:id="104" w:name="_Toc15396613"/>
      <w:bookmarkStart w:id="105" w:name="_Toc30986"/>
      <w:r>
        <w:rPr>
          <w:rFonts w:hint="eastAsia" w:ascii="黑体" w:hAnsi="黑体" w:eastAsia="黑体"/>
          <w:color w:val="000000"/>
          <w:sz w:val="44"/>
          <w:szCs w:val="44"/>
        </w:rPr>
        <w:t>名</w:t>
      </w:r>
      <w:r>
        <w:rPr>
          <w:rStyle w:val="29"/>
          <w:rFonts w:hint="eastAsia" w:ascii="黑体" w:hAnsi="黑体" w:eastAsia="黑体"/>
          <w:b w:val="0"/>
        </w:rPr>
        <w:t>词解释</w:t>
      </w:r>
      <w:bookmarkEnd w:id="102"/>
      <w:bookmarkEnd w:id="103"/>
      <w:bookmarkEnd w:id="104"/>
      <w:bookmarkEnd w:id="105"/>
    </w:p>
    <w:p w14:paraId="346E3EA3">
      <w:pPr>
        <w:spacing w:line="600" w:lineRule="exact"/>
        <w:jc w:val="left"/>
        <w:rPr>
          <w:rFonts w:ascii="宋体"/>
          <w:b/>
          <w:color w:val="000000"/>
          <w:sz w:val="44"/>
          <w:szCs w:val="44"/>
        </w:rPr>
      </w:pPr>
    </w:p>
    <w:p w14:paraId="6D77A6EC">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0491459">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AE803E9">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C91FF94">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sz w:val="32"/>
          <w:szCs w:val="32"/>
          <w:lang w:eastAsia="zh-CN"/>
        </w:rPr>
        <w:t>援建资金</w:t>
      </w:r>
      <w:r>
        <w:rPr>
          <w:rFonts w:hint="eastAsia" w:ascii="仿宋_GB2312" w:eastAsia="仿宋_GB2312"/>
          <w:sz w:val="32"/>
          <w:szCs w:val="32"/>
        </w:rPr>
        <w:t>。</w:t>
      </w:r>
    </w:p>
    <w:p w14:paraId="300B32A6">
      <w:pPr>
        <w:pStyle w:val="39"/>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14:paraId="08B38D64">
      <w:pPr>
        <w:pStyle w:val="39"/>
        <w:spacing w:line="560" w:lineRule="exact"/>
        <w:ind w:firstLine="640" w:firstLineChars="200"/>
        <w:rPr>
          <w:rFonts w:ascii="仿宋_GB2312" w:eastAsia="仿宋_GB2312"/>
          <w:color w:val="000000"/>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14:paraId="41947D67">
      <w:pPr>
        <w:ind w:firstLine="640" w:firstLineChars="200"/>
        <w:rPr>
          <w:rFonts w:hint="eastAsia"/>
          <w:lang w:eastAsia="zh-CN"/>
        </w:rPr>
      </w:pPr>
      <w:r>
        <w:rPr>
          <w:rFonts w:hint="eastAsia" w:ascii="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w:t>
      </w:r>
      <w:r>
        <w:rPr>
          <w:rFonts w:hint="eastAsia" w:ascii="仿宋_GB2312" w:hAnsi="Times New Roman" w:eastAsia="仿宋_GB2312" w:cs="Times New Roman"/>
          <w:color w:val="000000"/>
          <w:sz w:val="32"/>
          <w:szCs w:val="32"/>
          <w:lang w:eastAsia="zh-CN"/>
        </w:rPr>
        <w:t>指</w:t>
      </w:r>
      <w:r>
        <w:rPr>
          <w:rFonts w:hint="eastAsia" w:ascii="仿宋_GB2312" w:hAnsi="Times New Roman" w:eastAsia="仿宋_GB2312" w:cs="Times New Roman"/>
          <w:color w:val="000000"/>
          <w:sz w:val="32"/>
          <w:szCs w:val="32"/>
          <w:lang w:val="en-US" w:eastAsia="zh-CN"/>
        </w:rPr>
        <w:t>行政单位（包括实行公务员管理的事业单位）的基本支出</w:t>
      </w:r>
      <w:r>
        <w:rPr>
          <w:rFonts w:hint="eastAsia" w:ascii="仿宋_GB2312" w:hAnsi="Times New Roman" w:eastAsia="仿宋_GB2312" w:cs="Times New Roman"/>
          <w:color w:val="000000"/>
          <w:sz w:val="32"/>
          <w:szCs w:val="32"/>
          <w:lang w:eastAsia="zh-CN"/>
        </w:rPr>
        <w:t>。</w:t>
      </w:r>
    </w:p>
    <w:p w14:paraId="016DC535">
      <w:pPr>
        <w:ind w:firstLine="640" w:firstLineChars="200"/>
        <w:rPr>
          <w:rFonts w:hint="eastAsia" w:ascii="仿宋_GB2312" w:hAnsi="Times New Roman" w:eastAsia="仿宋_GB2312" w:cs="Times New Roman"/>
          <w:color w:val="000000"/>
          <w:sz w:val="32"/>
          <w:szCs w:val="32"/>
          <w:lang w:eastAsia="zh-CN"/>
        </w:rPr>
      </w:pPr>
      <w:r>
        <w:rPr>
          <w:rFonts w:hint="eastAsia" w:ascii="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lang w:eastAsia="zh-CN"/>
        </w:rPr>
        <w:t>一般公共服务支出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政府办公厅（室）及相关机构事务（款</w:t>
      </w:r>
      <w:r>
        <w:rPr>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val="en-US" w:eastAsia="zh-CN"/>
        </w:rPr>
        <w:t>信访事务</w:t>
      </w:r>
      <w:r>
        <w:rPr>
          <w:rFonts w:hint="eastAsia" w:ascii="仿宋_GB2312" w:hAnsi="Times New Roman" w:eastAsia="仿宋_GB2312" w:cs="Times New Roman"/>
          <w:color w:val="000000"/>
          <w:sz w:val="32"/>
          <w:szCs w:val="32"/>
          <w:lang w:eastAsia="zh-CN"/>
        </w:rPr>
        <w:t>（项）：指</w:t>
      </w:r>
      <w:r>
        <w:rPr>
          <w:rFonts w:hint="eastAsia" w:ascii="仿宋_GB2312" w:eastAsia="仿宋_GB2312" w:cs="Times New Roman"/>
          <w:color w:val="000000"/>
          <w:sz w:val="32"/>
          <w:szCs w:val="32"/>
          <w:lang w:val="en-US" w:eastAsia="zh-CN"/>
        </w:rPr>
        <w:t>各级政府用于接待群众来信来访方面的支出</w:t>
      </w:r>
      <w:r>
        <w:rPr>
          <w:rFonts w:hint="eastAsia" w:ascii="仿宋_GB2312" w:hAnsi="Times New Roman" w:eastAsia="仿宋_GB2312" w:cs="Times New Roman"/>
          <w:color w:val="000000"/>
          <w:sz w:val="32"/>
          <w:szCs w:val="32"/>
          <w:lang w:eastAsia="zh-CN"/>
        </w:rPr>
        <w:t>。</w:t>
      </w:r>
    </w:p>
    <w:p w14:paraId="502D0B90">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lang w:eastAsia="zh-CN"/>
        </w:rPr>
        <w:t>社会保障和就业</w:t>
      </w:r>
      <w:r>
        <w:rPr>
          <w:rFonts w:hint="eastAsia" w:ascii="仿宋_GB2312" w:eastAsia="仿宋_GB2312"/>
          <w:color w:val="000000"/>
          <w:sz w:val="32"/>
          <w:szCs w:val="32"/>
        </w:rPr>
        <w:t>（类）</w:t>
      </w:r>
      <w:r>
        <w:rPr>
          <w:rFonts w:hint="eastAsia" w:ascii="仿宋_GB2312" w:eastAsia="仿宋_GB2312"/>
          <w:color w:val="000000"/>
          <w:sz w:val="32"/>
          <w:szCs w:val="32"/>
          <w:lang w:eastAsia="zh-CN"/>
        </w:rPr>
        <w:t>行政事业</w:t>
      </w: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lang w:val="en-US" w:eastAsia="zh-CN"/>
        </w:rPr>
        <w:t>养老支出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由单位缴纳的基本养老保险费支出</w:t>
      </w:r>
      <w:r>
        <w:rPr>
          <w:rFonts w:hint="eastAsia" w:ascii="仿宋_GB2312" w:eastAsia="仿宋_GB2312"/>
          <w:color w:val="000000"/>
          <w:sz w:val="32"/>
          <w:szCs w:val="32"/>
        </w:rPr>
        <w:t>。</w:t>
      </w:r>
    </w:p>
    <w:p w14:paraId="5A59479D">
      <w:pPr>
        <w:ind w:firstLine="640" w:firstLineChars="200"/>
        <w:rPr>
          <w:rFonts w:hint="eastAsia"/>
          <w:lang w:eastAsia="zh-CN"/>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社会保</w:t>
      </w:r>
      <w:r>
        <w:rPr>
          <w:rFonts w:hint="eastAsia" w:ascii="仿宋_GB2312" w:hAnsi="Times New Roman" w:eastAsia="仿宋_GB2312" w:cs="Times New Roman"/>
          <w:color w:val="000000"/>
          <w:sz w:val="32"/>
          <w:szCs w:val="32"/>
          <w:lang w:eastAsia="zh-CN"/>
        </w:rPr>
        <w:t>障和就业（类）</w:t>
      </w:r>
      <w:r>
        <w:rPr>
          <w:rFonts w:hint="eastAsia" w:ascii="仿宋_GB2312" w:hAnsi="Times New Roman" w:eastAsia="仿宋_GB2312" w:cs="Times New Roman"/>
          <w:color w:val="000000"/>
          <w:sz w:val="32"/>
          <w:szCs w:val="32"/>
          <w:lang w:val="en-US" w:eastAsia="zh-CN"/>
        </w:rPr>
        <w:t>行政事业单位养老支出</w:t>
      </w:r>
      <w:r>
        <w:rPr>
          <w:rFonts w:hint="eastAsia" w:ascii="仿宋_GB2312" w:hAnsi="Times New Roman" w:eastAsia="仿宋_GB2312" w:cs="Times New Roman"/>
          <w:color w:val="000000"/>
          <w:sz w:val="32"/>
          <w:szCs w:val="32"/>
          <w:lang w:eastAsia="zh-CN"/>
        </w:rPr>
        <w:t>（款）</w:t>
      </w:r>
      <w:r>
        <w:rPr>
          <w:rFonts w:hint="eastAsia" w:ascii="仿宋_GB2312" w:hAnsi="Times New Roman" w:eastAsia="仿宋_GB2312" w:cs="Times New Roman"/>
          <w:color w:val="000000"/>
          <w:sz w:val="32"/>
          <w:szCs w:val="32"/>
          <w:lang w:val="en-US" w:eastAsia="zh-CN"/>
        </w:rPr>
        <w:t>机关事业单位职业年金缴费支出</w:t>
      </w:r>
      <w:r>
        <w:rPr>
          <w:rFonts w:hint="eastAsia" w:ascii="仿宋_GB2312" w:hAnsi="Times New Roman" w:eastAsia="仿宋_GB2312" w:cs="Times New Roman"/>
          <w:color w:val="000000"/>
          <w:sz w:val="32"/>
          <w:szCs w:val="32"/>
          <w:lang w:eastAsia="zh-CN"/>
        </w:rPr>
        <w:t>（项）：</w:t>
      </w:r>
      <w:r>
        <w:rPr>
          <w:rFonts w:hint="eastAsia" w:ascii="仿宋_GB2312" w:eastAsia="仿宋_GB2312"/>
          <w:color w:val="000000"/>
          <w:sz w:val="32"/>
          <w:szCs w:val="32"/>
        </w:rPr>
        <w:t>指</w:t>
      </w:r>
      <w:r>
        <w:rPr>
          <w:rFonts w:hint="eastAsia" w:ascii="仿宋_GB2312" w:eastAsia="仿宋_GB2312"/>
          <w:color w:val="000000"/>
          <w:sz w:val="32"/>
          <w:szCs w:val="32"/>
          <w:lang w:val="en-US" w:eastAsia="zh-CN"/>
        </w:rPr>
        <w:t>机关事业单位实施养老保险制度由单位实际缴纳的职业年金</w:t>
      </w:r>
      <w:r>
        <w:rPr>
          <w:rFonts w:hint="eastAsia" w:ascii="仿宋_GB2312" w:eastAsia="仿宋_GB2312"/>
          <w:color w:val="000000"/>
          <w:sz w:val="32"/>
          <w:szCs w:val="32"/>
        </w:rPr>
        <w:t>。</w:t>
      </w:r>
    </w:p>
    <w:p w14:paraId="08BC517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11</w:t>
      </w:r>
      <w:r>
        <w:rPr>
          <w:rFonts w:hint="eastAsia" w:ascii="仿宋_GB2312" w:hAnsi="Times New Roman" w:eastAsia="仿宋_GB2312" w:cs="Times New Roman"/>
          <w:color w:val="000000"/>
          <w:sz w:val="32"/>
          <w:szCs w:val="32"/>
          <w:lang w:eastAsia="zh-CN"/>
        </w:rPr>
        <w:t>.卫生健康支出（类）行政事业单位医疗（款）行政单位医疗（项）：指财政部门集中安排的行政单位基本医疗保险缴费经费。</w:t>
      </w:r>
    </w:p>
    <w:p w14:paraId="23FBCBC6">
      <w:pPr>
        <w:ind w:firstLine="640" w:firstLineChars="200"/>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12</w:t>
      </w:r>
      <w:r>
        <w:rPr>
          <w:rFonts w:hint="eastAsia" w:ascii="仿宋_GB2312" w:hAnsi="Times New Roman" w:eastAsia="仿宋_GB2312" w:cs="Times New Roman"/>
          <w:color w:val="000000"/>
          <w:sz w:val="32"/>
          <w:szCs w:val="32"/>
          <w:lang w:eastAsia="zh-CN"/>
        </w:rPr>
        <w:t>.住房</w:t>
      </w:r>
      <w:r>
        <w:rPr>
          <w:rFonts w:hint="eastAsia" w:ascii="仿宋_GB2312" w:hAnsi="Times New Roman" w:eastAsia="仿宋_GB2312" w:cs="Times New Roman"/>
          <w:color w:val="000000"/>
          <w:sz w:val="32"/>
          <w:szCs w:val="32"/>
          <w:lang w:val="en-US" w:eastAsia="zh-CN"/>
        </w:rPr>
        <w:t>保障支出（类）住房改革支出（款）住房公积金（项）：指行政事业单位</w:t>
      </w:r>
      <w:r>
        <w:rPr>
          <w:rFonts w:hint="eastAsia" w:ascii="仿宋_GB2312" w:hAnsi="Times New Roman" w:eastAsia="仿宋_GB2312" w:cs="Times New Roman"/>
          <w:color w:val="000000"/>
          <w:sz w:val="32"/>
          <w:szCs w:val="32"/>
          <w:lang w:eastAsia="zh-CN"/>
        </w:rPr>
        <w:t>安装工资比例为职工缴纳的住房公积金。</w:t>
      </w:r>
    </w:p>
    <w:p w14:paraId="6E527581">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3</w:t>
      </w:r>
      <w:r>
        <w:rPr>
          <w:rFonts w:hint="eastAsia" w:ascii="仿宋_GB2312" w:hAnsi="Times New Roman" w:eastAsia="仿宋_GB2312" w:cs="Times New Roman"/>
          <w:color w:val="000000"/>
          <w:sz w:val="32"/>
          <w:szCs w:val="32"/>
          <w:lang w:eastAsia="zh-CN"/>
        </w:rPr>
        <w:t>.基本支出：指为保障机构正常运转、完成日常工作任务而发生的人员支出和公用支出。</w:t>
      </w:r>
    </w:p>
    <w:p w14:paraId="1F24FE2A">
      <w:pPr>
        <w:ind w:firstLine="640" w:firstLineChars="200"/>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1</w:t>
      </w:r>
      <w:r>
        <w:rPr>
          <w:rFonts w:hint="eastAsia" w:ascii="仿宋_GB2312" w:eastAsia="仿宋_GB2312" w:cs="Times New Roman"/>
          <w:color w:val="000000"/>
          <w:sz w:val="32"/>
          <w:szCs w:val="32"/>
          <w:lang w:val="en-US" w:eastAsia="zh-CN"/>
        </w:rPr>
        <w:t>4</w:t>
      </w:r>
      <w:r>
        <w:rPr>
          <w:rFonts w:hint="eastAsia" w:ascii="仿宋_GB2312" w:hAnsi="Times New Roman" w:eastAsia="仿宋_GB2312" w:cs="Times New Roman"/>
          <w:color w:val="000000"/>
          <w:sz w:val="32"/>
          <w:szCs w:val="32"/>
          <w:lang w:eastAsia="zh-CN"/>
        </w:rPr>
        <w:t>.项目支出：指在基本支出之外为完成特定行政任务和事业发展目标所发生的支出。</w:t>
      </w:r>
    </w:p>
    <w:p w14:paraId="08130E04">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15</w:t>
      </w:r>
      <w:r>
        <w:rPr>
          <w:rFonts w:hint="eastAsia" w:ascii="仿宋_GB2312" w:hAnsi="Times New Roman" w:eastAsia="仿宋_GB2312" w:cs="Times New Roman"/>
          <w:color w:val="000000"/>
          <w:sz w:val="32"/>
          <w:szCs w:val="32"/>
          <w:lang w:eastAsia="zh-CN"/>
        </w:rPr>
        <w:t>.经营支出：指事业单位在专业业务活动及其辅助活动之外开展非独立核算经营活动发生的支出。</w:t>
      </w:r>
    </w:p>
    <w:p w14:paraId="0CE8E308">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16</w:t>
      </w:r>
      <w:r>
        <w:rPr>
          <w:rFonts w:hint="eastAsia" w:ascii="仿宋_GB2312" w:hAnsi="Times New Roman" w:eastAsia="仿宋_GB2312" w:cs="Times New Roman"/>
          <w:color w:val="000000"/>
          <w:sz w:val="32"/>
          <w:szCs w:val="32"/>
          <w:lang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EEBE0F">
      <w:pPr>
        <w:ind w:firstLine="640" w:firstLineChars="200"/>
        <w:rPr>
          <w:rFonts w:hint="eastAsia" w:ascii="仿宋_GB2312" w:hAnsi="Times New Roman"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17</w:t>
      </w:r>
      <w:r>
        <w:rPr>
          <w:rFonts w:hint="eastAsia" w:ascii="仿宋_GB2312" w:hAnsi="Times New Roman" w:eastAsia="仿宋_GB2312" w:cs="Times New Roman"/>
          <w:color w:val="000000"/>
          <w:sz w:val="32"/>
          <w:szCs w:val="32"/>
          <w:lang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5A045B1">
      <w:pPr>
        <w:pStyle w:val="18"/>
        <w:rPr>
          <w:rFonts w:hint="eastAsia" w:ascii="仿宋_GB2312" w:hAnsi="Times New Roman" w:eastAsia="仿宋_GB2312" w:cs="Times New Roman"/>
          <w:color w:val="000000"/>
          <w:sz w:val="32"/>
          <w:szCs w:val="32"/>
          <w:lang w:eastAsia="zh-CN"/>
        </w:rPr>
      </w:pPr>
    </w:p>
    <w:p w14:paraId="62A1BB85">
      <w:pPr>
        <w:pStyle w:val="2"/>
        <w:rPr>
          <w:rFonts w:hint="eastAsia" w:ascii="仿宋_GB2312" w:hAnsi="Times New Roman" w:eastAsia="仿宋_GB2312" w:cs="Times New Roman"/>
          <w:color w:val="000000"/>
          <w:sz w:val="32"/>
          <w:szCs w:val="32"/>
          <w:lang w:eastAsia="zh-CN"/>
        </w:rPr>
      </w:pPr>
    </w:p>
    <w:p w14:paraId="7EFB4685">
      <w:pPr>
        <w:pStyle w:val="2"/>
        <w:rPr>
          <w:rFonts w:hint="eastAsia" w:ascii="仿宋_GB2312" w:hAnsi="Times New Roman" w:eastAsia="仿宋_GB2312" w:cs="Times New Roman"/>
          <w:color w:val="000000"/>
          <w:sz w:val="32"/>
          <w:szCs w:val="32"/>
          <w:lang w:eastAsia="zh-CN"/>
        </w:rPr>
      </w:pPr>
    </w:p>
    <w:p w14:paraId="12830A2A">
      <w:pPr>
        <w:pStyle w:val="2"/>
        <w:rPr>
          <w:rFonts w:hint="eastAsia" w:ascii="仿宋_GB2312" w:hAnsi="Times New Roman" w:eastAsia="仿宋_GB2312" w:cs="Times New Roman"/>
          <w:color w:val="000000"/>
          <w:sz w:val="32"/>
          <w:szCs w:val="32"/>
          <w:lang w:eastAsia="zh-CN"/>
        </w:rPr>
      </w:pPr>
    </w:p>
    <w:p w14:paraId="471293AF">
      <w:pPr>
        <w:pStyle w:val="2"/>
        <w:rPr>
          <w:rFonts w:hint="eastAsia" w:ascii="仿宋_GB2312" w:hAnsi="Times New Roman" w:eastAsia="仿宋_GB2312" w:cs="Times New Roman"/>
          <w:color w:val="000000"/>
          <w:sz w:val="32"/>
          <w:szCs w:val="32"/>
          <w:lang w:eastAsia="zh-CN"/>
        </w:rPr>
      </w:pPr>
    </w:p>
    <w:p w14:paraId="3ACC76CD">
      <w:pPr>
        <w:pStyle w:val="2"/>
        <w:rPr>
          <w:rFonts w:hint="eastAsia" w:ascii="仿宋_GB2312" w:hAnsi="Times New Roman" w:eastAsia="仿宋_GB2312" w:cs="Times New Roman"/>
          <w:color w:val="000000"/>
          <w:sz w:val="32"/>
          <w:szCs w:val="32"/>
          <w:lang w:eastAsia="zh-CN"/>
        </w:rPr>
      </w:pPr>
    </w:p>
    <w:p w14:paraId="58D97F0E">
      <w:pPr>
        <w:pStyle w:val="2"/>
        <w:rPr>
          <w:rFonts w:hint="eastAsia" w:ascii="仿宋_GB2312" w:hAnsi="Times New Roman" w:eastAsia="仿宋_GB2312" w:cs="Times New Roman"/>
          <w:color w:val="000000"/>
          <w:sz w:val="32"/>
          <w:szCs w:val="32"/>
          <w:lang w:eastAsia="zh-CN"/>
        </w:rPr>
      </w:pPr>
    </w:p>
    <w:p w14:paraId="47C6837B">
      <w:pPr>
        <w:pStyle w:val="2"/>
        <w:rPr>
          <w:rFonts w:hint="eastAsia" w:ascii="仿宋_GB2312" w:hAnsi="Times New Roman" w:eastAsia="仿宋_GB2312" w:cs="Times New Roman"/>
          <w:color w:val="000000"/>
          <w:sz w:val="32"/>
          <w:szCs w:val="32"/>
          <w:lang w:eastAsia="zh-CN"/>
        </w:rPr>
      </w:pPr>
    </w:p>
    <w:p w14:paraId="352E21B2">
      <w:pPr>
        <w:pStyle w:val="2"/>
        <w:rPr>
          <w:rFonts w:hint="eastAsia" w:ascii="仿宋_GB2312" w:hAnsi="Times New Roman" w:eastAsia="仿宋_GB2312" w:cs="Times New Roman"/>
          <w:color w:val="000000"/>
          <w:sz w:val="32"/>
          <w:szCs w:val="32"/>
          <w:lang w:eastAsia="zh-CN"/>
        </w:rPr>
      </w:pPr>
    </w:p>
    <w:p w14:paraId="39DA4950">
      <w:pPr>
        <w:pStyle w:val="2"/>
        <w:rPr>
          <w:rFonts w:hint="eastAsia" w:ascii="仿宋_GB2312" w:hAnsi="Times New Roman" w:eastAsia="仿宋_GB2312" w:cs="Times New Roman"/>
          <w:color w:val="000000"/>
          <w:sz w:val="32"/>
          <w:szCs w:val="32"/>
          <w:lang w:eastAsia="zh-CN"/>
        </w:rPr>
      </w:pPr>
    </w:p>
    <w:p w14:paraId="1F2A437C">
      <w:pPr>
        <w:pStyle w:val="2"/>
        <w:rPr>
          <w:rFonts w:hint="eastAsia" w:ascii="仿宋_GB2312" w:hAnsi="Times New Roman" w:eastAsia="仿宋_GB2312" w:cs="Times New Roman"/>
          <w:color w:val="000000"/>
          <w:sz w:val="32"/>
          <w:szCs w:val="32"/>
          <w:lang w:eastAsia="zh-CN"/>
        </w:rPr>
      </w:pPr>
    </w:p>
    <w:p w14:paraId="689D470A">
      <w:pPr>
        <w:pStyle w:val="2"/>
        <w:rPr>
          <w:rFonts w:hint="eastAsia" w:ascii="仿宋_GB2312" w:hAnsi="Times New Roman" w:eastAsia="仿宋_GB2312" w:cs="Times New Roman"/>
          <w:color w:val="000000"/>
          <w:sz w:val="32"/>
          <w:szCs w:val="32"/>
          <w:lang w:eastAsia="zh-CN"/>
        </w:rPr>
      </w:pPr>
    </w:p>
    <w:p w14:paraId="51BC2E54">
      <w:pPr>
        <w:pStyle w:val="2"/>
        <w:rPr>
          <w:rFonts w:hint="eastAsia" w:ascii="仿宋_GB2312" w:hAnsi="Times New Roman" w:eastAsia="仿宋_GB2312" w:cs="Times New Roman"/>
          <w:color w:val="000000"/>
          <w:sz w:val="32"/>
          <w:szCs w:val="32"/>
          <w:lang w:eastAsia="zh-CN"/>
        </w:rPr>
      </w:pPr>
    </w:p>
    <w:p w14:paraId="7E837382">
      <w:pPr>
        <w:spacing w:line="600" w:lineRule="exact"/>
        <w:jc w:val="center"/>
        <w:outlineLvl w:val="0"/>
        <w:rPr>
          <w:rStyle w:val="29"/>
          <w:rFonts w:ascii="黑体" w:hAnsi="黑体" w:eastAsia="黑体"/>
          <w:b w:val="0"/>
        </w:rPr>
      </w:pPr>
      <w:bookmarkStart w:id="106" w:name="_Toc79163630"/>
      <w:bookmarkStart w:id="107" w:name="_Toc919"/>
      <w:bookmarkStart w:id="108" w:name="_Toc15396614"/>
      <w:bookmarkStart w:id="109" w:name="_Toc15377226"/>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106"/>
      <w:bookmarkEnd w:id="107"/>
      <w:bookmarkEnd w:id="108"/>
    </w:p>
    <w:p w14:paraId="40896418">
      <w:pPr>
        <w:spacing w:line="600" w:lineRule="exact"/>
        <w:jc w:val="left"/>
        <w:outlineLvl w:val="0"/>
        <w:rPr>
          <w:rFonts w:ascii="方正小标宋简体" w:hAnsi="方正小标宋简体" w:eastAsia="方正小标宋简体" w:cs="方正小标宋简体"/>
          <w:sz w:val="32"/>
          <w:szCs w:val="32"/>
        </w:rPr>
      </w:pPr>
      <w:bookmarkStart w:id="110" w:name="_Toc10130"/>
      <w:bookmarkStart w:id="111" w:name="_Toc79163631"/>
      <w:r>
        <w:rPr>
          <w:rFonts w:hint="eastAsia" w:ascii="黑体" w:hAnsi="黑体" w:eastAsia="黑体" w:cs="黑体"/>
          <w:sz w:val="32"/>
          <w:szCs w:val="32"/>
        </w:rPr>
        <w:t>附件</w:t>
      </w:r>
      <w:r>
        <w:rPr>
          <w:rFonts w:ascii="黑体" w:hAnsi="黑体" w:eastAsia="黑体" w:cs="黑体"/>
          <w:sz w:val="32"/>
          <w:szCs w:val="32"/>
        </w:rPr>
        <w:t>1</w:t>
      </w:r>
      <w:bookmarkEnd w:id="110"/>
      <w:bookmarkEnd w:id="111"/>
    </w:p>
    <w:p w14:paraId="03858347">
      <w:pPr>
        <w:spacing w:line="360" w:lineRule="auto"/>
        <w:jc w:val="center"/>
        <w:outlineLvl w:val="0"/>
        <w:rPr>
          <w:rFonts w:ascii="宋体" w:hAnsi="宋体" w:cs="宋体"/>
          <w:b/>
          <w:bCs/>
          <w:kern w:val="0"/>
          <w:sz w:val="44"/>
          <w:szCs w:val="44"/>
        </w:rPr>
      </w:pPr>
      <w:r>
        <w:rPr>
          <w:rFonts w:hint="eastAsia" w:ascii="宋体" w:hAnsi="宋体" w:cs="宋体"/>
          <w:b/>
          <w:bCs/>
          <w:kern w:val="0"/>
          <w:sz w:val="44"/>
          <w:szCs w:val="44"/>
        </w:rPr>
        <w:t>壤塘县信访局</w:t>
      </w:r>
      <w:r>
        <w:rPr>
          <w:rFonts w:hint="eastAsia" w:ascii="宋体" w:hAnsi="宋体" w:cs="宋体"/>
          <w:b/>
          <w:bCs/>
          <w:kern w:val="0"/>
          <w:sz w:val="44"/>
          <w:szCs w:val="44"/>
          <w:lang w:eastAsia="zh-CN"/>
        </w:rPr>
        <w:t>2024</w:t>
      </w:r>
      <w:r>
        <w:rPr>
          <w:rFonts w:hint="eastAsia" w:ascii="宋体" w:hAnsi="宋体" w:cs="宋体"/>
          <w:b/>
          <w:bCs/>
          <w:kern w:val="0"/>
          <w:sz w:val="44"/>
          <w:szCs w:val="44"/>
        </w:rPr>
        <w:t>年度部门整体支出绩效评价自评报告</w:t>
      </w:r>
    </w:p>
    <w:p w14:paraId="36C8FDB3">
      <w:pPr>
        <w:spacing w:line="360" w:lineRule="auto"/>
        <w:jc w:val="center"/>
        <w:rPr>
          <w:rFonts w:ascii="宋体" w:hAnsi="宋体" w:cs="宋体"/>
          <w:kern w:val="0"/>
          <w:szCs w:val="21"/>
        </w:rPr>
      </w:pPr>
    </w:p>
    <w:p w14:paraId="047CB90A">
      <w:pPr>
        <w:spacing w:line="360" w:lineRule="auto"/>
        <w:ind w:firstLine="643" w:firstLineChars="200"/>
        <w:outlineLvl w:val="0"/>
        <w:rPr>
          <w:rFonts w:hint="eastAsia" w:ascii="仿宋" w:hAnsi="仿宋" w:eastAsia="仿宋" w:cs="仿宋"/>
          <w:b/>
          <w:bCs/>
          <w:sz w:val="32"/>
          <w:szCs w:val="32"/>
        </w:rPr>
      </w:pPr>
      <w:r>
        <w:rPr>
          <w:rFonts w:hint="eastAsia" w:ascii="仿宋" w:hAnsi="仿宋" w:eastAsia="仿宋" w:cs="仿宋"/>
          <w:b/>
          <w:bCs/>
          <w:kern w:val="0"/>
          <w:sz w:val="32"/>
          <w:szCs w:val="32"/>
        </w:rPr>
        <w:t>一、部门（单位）概况</w:t>
      </w:r>
    </w:p>
    <w:p w14:paraId="2508E80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壤塘县信访局：行政，机构地址：四川省阿坝藏族羌族自治州壤塘县壤柯镇罗吾塘前街22号，单位负责人：</w:t>
      </w:r>
      <w:r>
        <w:rPr>
          <w:rFonts w:hint="eastAsia" w:ascii="仿宋" w:hAnsi="仿宋" w:eastAsia="仿宋" w:cs="仿宋"/>
          <w:sz w:val="32"/>
          <w:szCs w:val="32"/>
          <w:lang w:val="en-US" w:eastAsia="zh-CN"/>
        </w:rPr>
        <w:t>银凤</w:t>
      </w:r>
      <w:r>
        <w:rPr>
          <w:rFonts w:hint="eastAsia" w:ascii="仿宋" w:hAnsi="仿宋" w:eastAsia="仿宋" w:cs="仿宋"/>
          <w:sz w:val="32"/>
          <w:szCs w:val="32"/>
        </w:rPr>
        <w:t>。</w:t>
      </w:r>
    </w:p>
    <w:p w14:paraId="593406F6">
      <w:pPr>
        <w:widowControl/>
        <w:adjustRightInd w:val="0"/>
        <w:snapToGrid w:val="0"/>
        <w:spacing w:line="560" w:lineRule="exact"/>
        <w:ind w:firstLine="640" w:firstLineChars="200"/>
        <w:contextualSpacing/>
        <w:jc w:val="left"/>
        <w:outlineLvl w:val="1"/>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（一）机构组成</w:t>
      </w:r>
    </w:p>
    <w:p w14:paraId="74950F2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壤塘县信访局（简称县信访局）是壤塘县人民政府工作部门，为正科级。</w:t>
      </w:r>
    </w:p>
    <w:p w14:paraId="32448D53">
      <w:pPr>
        <w:widowControl/>
        <w:adjustRightInd w:val="0"/>
        <w:snapToGrid w:val="0"/>
        <w:spacing w:line="560" w:lineRule="exact"/>
        <w:ind w:firstLine="640" w:firstLineChars="200"/>
        <w:contextualSpacing/>
        <w:jc w:val="left"/>
        <w:rPr>
          <w:rFonts w:hint="eastAsia" w:ascii="仿宋" w:hAnsi="仿宋" w:eastAsia="仿宋" w:cs="仿宋"/>
          <w:b/>
          <w:bCs/>
          <w:sz w:val="32"/>
          <w:szCs w:val="32"/>
        </w:rPr>
      </w:pPr>
      <w:r>
        <w:rPr>
          <w:rFonts w:hint="eastAsia" w:ascii="仿宋" w:hAnsi="仿宋" w:eastAsia="仿宋" w:cs="仿宋"/>
          <w:color w:val="000000"/>
          <w:kern w:val="0"/>
          <w:sz w:val="32"/>
          <w:szCs w:val="32"/>
          <w:shd w:val="clear" w:color="auto" w:fill="FFFFFF"/>
          <w:lang w:bidi="ar"/>
        </w:rPr>
        <w:t>（二）机构职能</w:t>
      </w:r>
    </w:p>
    <w:p w14:paraId="2CAD2E36">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1.履行政治领导责任，做好理论武装和思想政治工作，负责学习、宣传、贯彻执行党的理论和路线方针政策，贯彻落实党中央、省委、州委、县委的决策部署，发挥好把方向、管大局、保落实的重要作用。</w:t>
      </w:r>
    </w:p>
    <w:p w14:paraId="3ED1FFDC">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2.讨论和决定本单位下列重大问题。党的路线方针政策、国家法律法规和上级党组织重要会议、重要文件、重大决策部署的贯彻落实事项。需要向上级党组织请示报告的重要事项。内部机构设置、职责、人员编制等事项。重大决策、重要人事任免、重大项目安排、大额资金使用等事项。基层党组织和党员队伍建设方面的重要事项。意识形态工作、思想政治工作和精神文明建设方面的重要事项。党风廉政建设和反腐败工作方面的重要事项。其他应当由党组讨论和决定的重大问题。</w:t>
      </w:r>
    </w:p>
    <w:p w14:paraId="5FEF52DE">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3.贯彻党管干部原则，加强干部队伍建设，完善干部培养选拔机制，加强干部教育管理监督。贯彻党管人才原则，加强人才队伍建设。加强对本单位工会、共青团、妇联等群团工作的领导。</w:t>
      </w:r>
    </w:p>
    <w:p w14:paraId="70A5D7C5">
      <w:pPr>
        <w:widowControl/>
        <w:adjustRightInd w:val="0"/>
        <w:snapToGrid w:val="0"/>
        <w:spacing w:line="560" w:lineRule="exact"/>
        <w:ind w:firstLine="640" w:firstLineChars="200"/>
        <w:contextualSpacing/>
        <w:jc w:val="left"/>
        <w:rPr>
          <w:rFonts w:hint="eastAsia" w:ascii="仿宋" w:hAnsi="仿宋" w:eastAsia="仿宋" w:cs="仿宋"/>
          <w:bCs/>
          <w:sz w:val="32"/>
          <w:szCs w:val="32"/>
        </w:rPr>
      </w:pPr>
      <w:r>
        <w:rPr>
          <w:rFonts w:hint="eastAsia" w:ascii="仿宋" w:hAnsi="仿宋" w:eastAsia="仿宋" w:cs="仿宋"/>
          <w:bCs/>
          <w:sz w:val="32"/>
          <w:szCs w:val="32"/>
        </w:rPr>
        <w:t>4.履行党要管党、从严治党责任，加强对本单位党的建设的领导，落实党建工作责任制。认真履行党风廉政建设主体责任，支持纪检监察机构履行监督责任。</w:t>
      </w:r>
    </w:p>
    <w:p w14:paraId="33283C0F">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bidi="ar"/>
        </w:rPr>
      </w:pPr>
      <w:r>
        <w:rPr>
          <w:rFonts w:hint="eastAsia" w:ascii="仿宋" w:hAnsi="仿宋" w:eastAsia="仿宋" w:cs="仿宋"/>
          <w:color w:val="000000"/>
          <w:kern w:val="0"/>
          <w:sz w:val="32"/>
          <w:szCs w:val="32"/>
          <w:highlight w:val="none"/>
          <w:shd w:val="clear" w:color="auto" w:fill="FFFFFF"/>
          <w:lang w:bidi="ar"/>
        </w:rPr>
        <w:t>（三）人员概况</w:t>
      </w:r>
    </w:p>
    <w:p w14:paraId="3A99835B">
      <w:pPr>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lang w:val="en-US" w:eastAsia="zh-CN"/>
        </w:rPr>
        <w:t>截止2024年12月31日，</w:t>
      </w:r>
      <w:r>
        <w:rPr>
          <w:rFonts w:hint="eastAsia" w:ascii="仿宋" w:hAnsi="仿宋" w:eastAsia="仿宋" w:cs="仿宋"/>
          <w:kern w:val="0"/>
          <w:sz w:val="32"/>
          <w:szCs w:val="32"/>
          <w:highlight w:val="none"/>
        </w:rPr>
        <w:t>单位</w:t>
      </w:r>
      <w:r>
        <w:rPr>
          <w:rFonts w:hint="eastAsia" w:ascii="仿宋" w:hAnsi="仿宋" w:eastAsia="仿宋" w:cs="仿宋"/>
          <w:kern w:val="0"/>
          <w:sz w:val="32"/>
          <w:szCs w:val="32"/>
          <w:highlight w:val="none"/>
          <w:lang w:val="en-US" w:eastAsia="zh-CN"/>
        </w:rPr>
        <w:t>在职人员共6</w:t>
      </w:r>
      <w:r>
        <w:rPr>
          <w:rFonts w:hint="eastAsia" w:ascii="仿宋" w:hAnsi="仿宋" w:eastAsia="仿宋" w:cs="仿宋"/>
          <w:kern w:val="0"/>
          <w:sz w:val="32"/>
          <w:szCs w:val="32"/>
          <w:highlight w:val="none"/>
        </w:rPr>
        <w:t>人。</w:t>
      </w:r>
    </w:p>
    <w:p w14:paraId="5D8FC4AB">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二、部门财政资金收支情况</w:t>
      </w:r>
    </w:p>
    <w:p w14:paraId="0DE8AFD6">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（一）部门财政资金收入情况</w:t>
      </w:r>
    </w:p>
    <w:p w14:paraId="21CAFFF5">
      <w:pPr>
        <w:pStyle w:val="28"/>
        <w:spacing w:line="360" w:lineRule="auto"/>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2024</w:t>
      </w:r>
      <w:r>
        <w:rPr>
          <w:rFonts w:hint="eastAsia" w:ascii="仿宋" w:hAnsi="仿宋" w:eastAsia="仿宋" w:cs="仿宋"/>
          <w:sz w:val="32"/>
          <w:szCs w:val="32"/>
          <w:lang w:val="en-US" w:eastAsia="zh-CN"/>
        </w:rPr>
        <w:t>年财</w:t>
      </w:r>
      <w:r>
        <w:rPr>
          <w:rFonts w:hint="eastAsia" w:ascii="仿宋" w:hAnsi="仿宋" w:eastAsia="仿宋" w:cs="仿宋"/>
          <w:sz w:val="32"/>
          <w:szCs w:val="32"/>
          <w:lang w:eastAsia="zh-CN"/>
        </w:rPr>
        <w:t>政下达壤塘县信访局年初预算收入</w:t>
      </w:r>
      <w:r>
        <w:rPr>
          <w:rFonts w:hint="eastAsia" w:ascii="仿宋" w:hAnsi="仿宋" w:eastAsia="仿宋" w:cs="仿宋"/>
          <w:sz w:val="32"/>
          <w:szCs w:val="32"/>
          <w:lang w:val="en-US" w:eastAsia="zh-CN"/>
        </w:rPr>
        <w:t>179.01</w:t>
      </w:r>
      <w:r>
        <w:rPr>
          <w:rFonts w:hint="eastAsia" w:ascii="仿宋" w:hAnsi="仿宋" w:eastAsia="仿宋" w:cs="仿宋"/>
          <w:sz w:val="32"/>
          <w:szCs w:val="32"/>
          <w:lang w:eastAsia="zh-CN"/>
        </w:rPr>
        <w:t>万元，</w:t>
      </w:r>
      <w:r>
        <w:rPr>
          <w:rFonts w:hint="eastAsia" w:ascii="仿宋" w:hAnsi="仿宋" w:eastAsia="仿宋" w:cs="仿宋"/>
          <w:sz w:val="32"/>
          <w:szCs w:val="32"/>
          <w:lang w:val="en-US" w:eastAsia="zh-CN"/>
        </w:rPr>
        <w:t>当年追加预算44.63万元，年末收入总计为223.64万元。</w:t>
      </w:r>
      <w:r>
        <w:rPr>
          <w:rFonts w:hint="eastAsia" w:ascii="仿宋" w:hAnsi="仿宋" w:eastAsia="仿宋" w:cs="仿宋"/>
          <w:sz w:val="32"/>
          <w:szCs w:val="32"/>
          <w:lang w:eastAsia="zh-CN"/>
        </w:rPr>
        <w:t xml:space="preserve">   </w:t>
      </w:r>
    </w:p>
    <w:p w14:paraId="3C8BE14E">
      <w:pPr>
        <w:widowControl/>
        <w:adjustRightInd w:val="0"/>
        <w:snapToGrid w:val="0"/>
        <w:spacing w:line="560" w:lineRule="exact"/>
        <w:ind w:firstLine="640" w:firstLineChars="200"/>
        <w:contextualSpacing/>
        <w:jc w:val="left"/>
        <w:rPr>
          <w:rFonts w:hint="default" w:ascii="仿宋" w:hAnsi="仿宋" w:eastAsia="仿宋" w:cs="仿宋"/>
          <w:sz w:val="32"/>
          <w:szCs w:val="32"/>
          <w:lang w:val="en-US" w:eastAsia="zh-CN"/>
        </w:rPr>
      </w:pPr>
      <w:r>
        <w:rPr>
          <w:rFonts w:hint="eastAsia" w:ascii="仿宋" w:hAnsi="仿宋" w:eastAsia="仿宋" w:cs="仿宋"/>
          <w:color w:val="000000"/>
          <w:kern w:val="0"/>
          <w:sz w:val="32"/>
          <w:szCs w:val="32"/>
          <w:shd w:val="clear" w:color="auto" w:fill="FFFFFF"/>
          <w:lang w:bidi="ar"/>
        </w:rPr>
        <w:t>（二）部门财政资金支出情况</w:t>
      </w:r>
    </w:p>
    <w:p w14:paraId="47CDF155">
      <w:pPr>
        <w:pStyle w:val="28"/>
        <w:spacing w:line="360" w:lineRule="auto"/>
        <w:ind w:firstLine="640"/>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w:t>
      </w:r>
      <w:r>
        <w:rPr>
          <w:rFonts w:hint="eastAsia" w:ascii="仿宋" w:hAnsi="仿宋" w:eastAsia="仿宋" w:cs="仿宋"/>
          <w:sz w:val="32"/>
          <w:szCs w:val="32"/>
          <w:lang w:eastAsia="zh-CN"/>
        </w:rPr>
        <w:t>壤塘县信访局</w:t>
      </w:r>
      <w:r>
        <w:rPr>
          <w:rFonts w:hint="eastAsia" w:ascii="仿宋" w:hAnsi="仿宋" w:eastAsia="仿宋" w:cs="仿宋"/>
          <w:sz w:val="32"/>
          <w:szCs w:val="32"/>
        </w:rPr>
        <w:t>共计预算支出</w:t>
      </w:r>
      <w:r>
        <w:rPr>
          <w:rFonts w:hint="eastAsia" w:ascii="仿宋" w:hAnsi="仿宋" w:eastAsia="仿宋" w:cs="仿宋"/>
          <w:sz w:val="32"/>
          <w:szCs w:val="32"/>
          <w:lang w:val="en-US" w:eastAsia="zh-CN"/>
        </w:rPr>
        <w:t>223.64</w:t>
      </w:r>
      <w:r>
        <w:rPr>
          <w:rFonts w:hint="eastAsia" w:ascii="仿宋" w:hAnsi="仿宋" w:eastAsia="仿宋" w:cs="仿宋"/>
          <w:sz w:val="32"/>
          <w:szCs w:val="32"/>
        </w:rPr>
        <w:t>万元，基本支出</w:t>
      </w:r>
      <w:r>
        <w:rPr>
          <w:rFonts w:hint="eastAsia" w:ascii="仿宋" w:hAnsi="仿宋" w:eastAsia="仿宋" w:cs="仿宋"/>
          <w:sz w:val="32"/>
          <w:szCs w:val="32"/>
          <w:lang w:val="en-US" w:eastAsia="zh-CN"/>
        </w:rPr>
        <w:t>223.64</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0.00</w:t>
      </w:r>
      <w:r>
        <w:rPr>
          <w:rFonts w:hint="eastAsia" w:ascii="仿宋" w:hAnsi="仿宋" w:eastAsia="仿宋" w:cs="仿宋"/>
          <w:sz w:val="32"/>
          <w:szCs w:val="32"/>
        </w:rPr>
        <w:t>万元。</w:t>
      </w:r>
    </w:p>
    <w:p w14:paraId="1E5B7B9B">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三、部门整体预算绩效管理情况</w:t>
      </w:r>
    </w:p>
    <w:p w14:paraId="4F89E205">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（一）部门预算管理</w:t>
      </w:r>
    </w:p>
    <w:p w14:paraId="3EC68E76">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1、部门绩效目标制定情况</w:t>
      </w:r>
    </w:p>
    <w:p w14:paraId="482CEA27">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坚按照预算绩效管理要求，本部门对</w:t>
      </w:r>
      <w:r>
        <w:rPr>
          <w:rFonts w:hint="eastAsia" w:ascii="仿宋" w:hAnsi="仿宋" w:eastAsia="仿宋" w:cs="仿宋"/>
          <w:color w:val="333333"/>
          <w:kern w:val="0"/>
          <w:sz w:val="32"/>
          <w:szCs w:val="32"/>
          <w:shd w:val="clear" w:color="auto" w:fill="FFFFFF"/>
          <w:lang w:eastAsia="zh-CN"/>
        </w:rPr>
        <w:t>2024</w:t>
      </w:r>
      <w:r>
        <w:rPr>
          <w:rFonts w:hint="eastAsia" w:ascii="仿宋" w:hAnsi="仿宋" w:eastAsia="仿宋" w:cs="仿宋"/>
          <w:color w:val="333333"/>
          <w:kern w:val="0"/>
          <w:sz w:val="32"/>
          <w:szCs w:val="32"/>
          <w:shd w:val="clear" w:color="auto" w:fill="FFFFFF"/>
        </w:rPr>
        <w:t>年一般公共预算项目支出开展了绩效目标管理，共编制绩效目标覆盖率达到100%。</w:t>
      </w:r>
    </w:p>
    <w:p w14:paraId="2B33086D">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2024</w:t>
      </w:r>
      <w:r>
        <w:rPr>
          <w:rFonts w:hint="eastAsia" w:ascii="仿宋" w:hAnsi="仿宋" w:eastAsia="仿宋" w:cs="仿宋"/>
          <w:color w:val="333333"/>
          <w:kern w:val="0"/>
          <w:sz w:val="32"/>
          <w:szCs w:val="32"/>
          <w:shd w:val="clear" w:color="auto" w:fill="FFFFFF"/>
        </w:rPr>
        <w:t>年整体目标如下：</w:t>
      </w:r>
    </w:p>
    <w:p w14:paraId="2D862E08">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坚持以人民为中心，以社会治理创新为动力、以依法及时就地解决合理诉求为目标，深入信访工作制度改革，持续开展信访矛盾化解攻坚战，紧紧围绕信访工作目标责任，始终把信访工作摆在突出的重要位置，加强信访积案化解工作力度，强化领导干部下访，积极排查信访矛盾纠纷，解决好信访突出问题，扎实做好我县信访稳控工作，对信访重点人员落实稳控责任，逐一落实包案领导、责任单位和责任人，促进我县的社会和谐稳定。</w:t>
      </w:r>
    </w:p>
    <w:p w14:paraId="4D3BD76B">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.预算编制准确</w:t>
      </w:r>
    </w:p>
    <w:p w14:paraId="0226D498">
      <w:pPr>
        <w:widowControl/>
        <w:adjustRightInd w:val="0"/>
        <w:snapToGrid w:val="0"/>
        <w:spacing w:line="560" w:lineRule="exact"/>
        <w:ind w:firstLine="640" w:firstLineChars="200"/>
        <w:contextualSpacing/>
        <w:jc w:val="left"/>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在预算编制中进一步夯实预算编制基础，及时更新相关基础数据，严格控制“三公”经费预算及支出，预算编制及决算编制做到了及时、完整、准确、合理、高效。</w:t>
      </w:r>
    </w:p>
    <w:p w14:paraId="2FDE644A">
      <w:pPr>
        <w:widowControl/>
        <w:numPr>
          <w:ilvl w:val="0"/>
          <w:numId w:val="4"/>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highlight w:val="none"/>
          <w:shd w:val="clear" w:color="auto" w:fill="FFFFFF"/>
          <w:lang w:bidi="ar"/>
        </w:rPr>
      </w:pPr>
      <w:r>
        <w:rPr>
          <w:rFonts w:hint="eastAsia" w:ascii="仿宋" w:hAnsi="仿宋" w:eastAsia="仿宋" w:cs="仿宋"/>
          <w:color w:val="000000"/>
          <w:kern w:val="0"/>
          <w:sz w:val="32"/>
          <w:szCs w:val="32"/>
          <w:highlight w:val="none"/>
          <w:shd w:val="clear" w:color="auto" w:fill="FFFFFF"/>
          <w:lang w:bidi="ar"/>
        </w:rPr>
        <w:t>目标完成情况</w:t>
      </w:r>
    </w:p>
    <w:p w14:paraId="5FDB35AF">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方正楷体_GBK" w:hAnsi="方正楷体_GBK" w:eastAsia="方正楷体_GBK" w:cs="方正楷体_GBK"/>
          <w:b/>
          <w:bCs w:val="0"/>
          <w:sz w:val="32"/>
          <w:szCs w:val="32"/>
          <w:lang w:val="en-US" w:eastAsia="zh-CN"/>
        </w:rPr>
        <w:t>突出党政主导，构建法治信访“大格局”。</w:t>
      </w:r>
      <w:r>
        <w:rPr>
          <w:rFonts w:hint="eastAsia" w:ascii="仿宋_GB2312" w:hAnsi="仿宋_GB2312" w:eastAsia="仿宋_GB2312" w:cs="仿宋_GB2312"/>
          <w:b w:val="0"/>
          <w:bCs/>
          <w:sz w:val="32"/>
          <w:szCs w:val="32"/>
          <w:lang w:val="en-US" w:eastAsia="zh-CN"/>
        </w:rPr>
        <w:t>建立“三级书记抓信访”责任体系，构建全员全域讲法治、抓信访工作格局，形成了“上热中开下烫”的生动局面。</w:t>
      </w:r>
      <w:r>
        <w:rPr>
          <w:rFonts w:hint="eastAsia" w:ascii="仿宋_GB2312" w:hAnsi="仿宋_GB2312" w:eastAsia="仿宋_GB2312" w:cs="仿宋_GB2312"/>
          <w:b/>
          <w:bCs w:val="0"/>
          <w:sz w:val="32"/>
          <w:szCs w:val="32"/>
          <w:lang w:val="en-US" w:eastAsia="zh-CN"/>
        </w:rPr>
        <w:t>一是开门接访。</w:t>
      </w:r>
      <w:r>
        <w:rPr>
          <w:rFonts w:hint="eastAsia" w:ascii="仿宋_GB2312" w:hAnsi="仿宋_GB2312" w:eastAsia="仿宋_GB2312" w:cs="仿宋_GB2312"/>
          <w:b w:val="0"/>
          <w:bCs/>
          <w:sz w:val="32"/>
          <w:szCs w:val="32"/>
          <w:lang w:val="en-US" w:eastAsia="zh-CN"/>
        </w:rPr>
        <w:t>县委常委会会议、县政府常务会定期研究信访工作，坚持用法治思维谋划信访工作、靠法治方式解决信访问题。落实领导干部定期接访制度，县级领导每月至少1次在县群众来访接待中心接访，部门乡镇领导每周至少1次在本单位接待信访群众，村组干部每天在党群活动室值班接访。</w:t>
      </w:r>
      <w:r>
        <w:rPr>
          <w:rFonts w:hint="eastAsia" w:ascii="仿宋_GB2312" w:hAnsi="仿宋_GB2312" w:eastAsia="仿宋_GB2312" w:cs="仿宋_GB2312"/>
          <w:b/>
          <w:bCs w:val="0"/>
          <w:sz w:val="32"/>
          <w:szCs w:val="32"/>
          <w:lang w:val="en-US" w:eastAsia="zh-CN"/>
        </w:rPr>
        <w:t>二是下沉接访。</w:t>
      </w:r>
      <w:r>
        <w:rPr>
          <w:rFonts w:hint="eastAsia" w:ascii="仿宋_GB2312" w:hAnsi="仿宋_GB2312" w:eastAsia="仿宋_GB2312" w:cs="仿宋_GB2312"/>
          <w:b w:val="0"/>
          <w:bCs/>
          <w:sz w:val="32"/>
          <w:szCs w:val="32"/>
          <w:lang w:val="en-US" w:eastAsia="zh-CN"/>
        </w:rPr>
        <w:t>弘扬“四下基层”优良作风，实行“访前调查准备+访中会商研究+访后限期办结”闭环工作模式，及时就地解决群众合理诉求。联系乡领导每月至少1次到联系乡镇督导信访工作、研究信访问题、走访群众收集解决急难盼愁问题。部门、乡镇领导每月至少1次在群众家门口“接单问诊”，重点排化历史遗留、城乡建设、 自然资源、劳动保障等高发领域的信访问题。</w:t>
      </w:r>
      <w:r>
        <w:rPr>
          <w:rFonts w:hint="eastAsia" w:ascii="仿宋_GB2312" w:hAnsi="仿宋_GB2312" w:eastAsia="仿宋_GB2312" w:cs="仿宋_GB2312"/>
          <w:b/>
          <w:bCs w:val="0"/>
          <w:sz w:val="32"/>
          <w:szCs w:val="32"/>
          <w:lang w:val="en-US" w:eastAsia="zh-CN"/>
        </w:rPr>
        <w:t>三是跟踪回访。</w:t>
      </w:r>
      <w:r>
        <w:rPr>
          <w:rFonts w:hint="eastAsia" w:ascii="仿宋_GB2312" w:hAnsi="仿宋_GB2312" w:eastAsia="仿宋_GB2312" w:cs="仿宋_GB2312"/>
          <w:b w:val="0"/>
          <w:bCs/>
          <w:sz w:val="32"/>
          <w:szCs w:val="32"/>
          <w:lang w:val="en-US" w:eastAsia="zh-CN"/>
        </w:rPr>
        <w:t>加强群众反映问题调查处理情况的跟踪反馈，及时告知群众进展情况和处理结果;对群众诉求依法按政策不能解决的，耐心细致地做好解疑释惑和情绪疏导工作，取得群众的理解和支持，切实提高群众满意率。2024以来，我局共接到网上投诉和本级来访52批次（四川省网上信访信息系统20件，本级来访35件）89人次，目前已化解50件，2件正在调解中，化解率96%。</w:t>
      </w:r>
    </w:p>
    <w:p w14:paraId="50A241D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方正楷体_GBK" w:hAnsi="方正楷体_GBK" w:eastAsia="方正楷体_GBK" w:cs="方正楷体_GBK"/>
          <w:b/>
          <w:bCs w:val="0"/>
          <w:sz w:val="32"/>
          <w:szCs w:val="32"/>
          <w:lang w:val="en-US" w:eastAsia="zh-CN"/>
        </w:rPr>
        <w:t>突出基层主体，打好源头治理“组合拳”。</w:t>
      </w:r>
      <w:r>
        <w:rPr>
          <w:rFonts w:hint="eastAsia" w:ascii="仿宋_GB2312" w:hAnsi="仿宋_GB2312" w:eastAsia="仿宋_GB2312" w:cs="仿宋_GB2312"/>
          <w:b w:val="0"/>
          <w:bCs/>
          <w:sz w:val="32"/>
          <w:szCs w:val="32"/>
          <w:lang w:val="en-US" w:eastAsia="zh-CN"/>
        </w:rPr>
        <w:t>树牢“人民信访为人民”工作理念，夯实基层基础，注重源头预防，把信访工作做到群众心坎上。</w:t>
      </w:r>
      <w:r>
        <w:rPr>
          <w:rFonts w:hint="eastAsia" w:ascii="仿宋_GB2312" w:hAnsi="仿宋_GB2312" w:eastAsia="仿宋_GB2312" w:cs="仿宋_GB2312"/>
          <w:b/>
          <w:bCs w:val="0"/>
          <w:sz w:val="32"/>
          <w:szCs w:val="32"/>
          <w:lang w:val="en-US" w:eastAsia="zh-CN"/>
        </w:rPr>
        <w:t>一是抓源头，减少信访事项发生。</w:t>
      </w:r>
      <w:r>
        <w:rPr>
          <w:rFonts w:hint="eastAsia" w:ascii="仿宋_GB2312" w:hAnsi="仿宋_GB2312" w:eastAsia="仿宋_GB2312" w:cs="仿宋_GB2312"/>
          <w:b w:val="0"/>
          <w:bCs/>
          <w:sz w:val="32"/>
          <w:szCs w:val="32"/>
          <w:lang w:val="en-US" w:eastAsia="zh-CN"/>
        </w:rPr>
        <w:t>坚持和发展新时代“枫桥经验”，深入开展信访问题源头治理三年攻坚行动，11个乡镇建立信访工作联席会议机制，预防在先、发现在早、解决在小，今年1-10月，共排查矛盾纠纷138件，化解133件，化解率96.3%。</w:t>
      </w:r>
      <w:r>
        <w:rPr>
          <w:rFonts w:hint="eastAsia" w:ascii="仿宋_GB2312" w:hAnsi="仿宋_GB2312" w:eastAsia="仿宋_GB2312" w:cs="仿宋_GB2312"/>
          <w:b/>
          <w:bCs w:val="0"/>
          <w:sz w:val="32"/>
          <w:szCs w:val="32"/>
          <w:lang w:val="en-US" w:eastAsia="zh-CN"/>
        </w:rPr>
        <w:t>二是重研判，防范控制信访风险。</w:t>
      </w:r>
      <w:r>
        <w:rPr>
          <w:rFonts w:hint="eastAsia" w:ascii="仿宋_GB2312" w:hAnsi="仿宋_GB2312" w:eastAsia="仿宋_GB2312" w:cs="仿宋_GB2312"/>
          <w:b w:val="0"/>
          <w:bCs/>
          <w:sz w:val="32"/>
          <w:szCs w:val="32"/>
          <w:lang w:val="en-US" w:eastAsia="zh-CN"/>
        </w:rPr>
        <w:t>坚持信访跟着项目、民生等重点领域走，坚持每季度开展1次县域信访形势分析研判，梳理突出矛盾隐患6件，有力推动各部门依法行政、科学决策。</w:t>
      </w:r>
      <w:r>
        <w:rPr>
          <w:rFonts w:hint="eastAsia" w:ascii="仿宋_GB2312" w:hAnsi="仿宋_GB2312" w:eastAsia="仿宋_GB2312" w:cs="仿宋_GB2312"/>
          <w:b/>
          <w:bCs w:val="0"/>
          <w:sz w:val="32"/>
          <w:szCs w:val="32"/>
          <w:lang w:val="en-US" w:eastAsia="zh-CN"/>
        </w:rPr>
        <w:t>三是依法办,提升问题化解质效。</w:t>
      </w:r>
      <w:r>
        <w:rPr>
          <w:rFonts w:hint="eastAsia" w:ascii="仿宋_GB2312" w:hAnsi="仿宋_GB2312" w:eastAsia="仿宋_GB2312" w:cs="仿宋_GB2312"/>
          <w:b w:val="0"/>
          <w:bCs/>
          <w:sz w:val="32"/>
          <w:szCs w:val="32"/>
          <w:lang w:val="en-US" w:eastAsia="zh-CN"/>
        </w:rPr>
        <w:t>持续开展“治重化积”“马上办限时办盯着办”等行动，依法及时就地解决群众合理诉求，2024年以来，全县信访事项及时受理率100%、按期答复率100%、群众满意率 100%，州局交办“治重化积”案件化解率100%。</w:t>
      </w:r>
    </w:p>
    <w:p w14:paraId="0E34112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color w:val="333333"/>
          <w:kern w:val="0"/>
          <w:sz w:val="32"/>
          <w:szCs w:val="32"/>
          <w:shd w:val="clear" w:color="auto" w:fill="FFFFFF"/>
          <w:lang w:val="en-US" w:eastAsia="zh-CN" w:bidi="ar-SA"/>
        </w:rPr>
      </w:pPr>
      <w:r>
        <w:rPr>
          <w:rFonts w:hint="eastAsia" w:ascii="方正楷体_GBK" w:hAnsi="方正楷体_GBK" w:eastAsia="方正楷体_GBK" w:cs="方正楷体_GBK"/>
          <w:b/>
          <w:bCs w:val="0"/>
          <w:sz w:val="32"/>
          <w:szCs w:val="32"/>
          <w:lang w:val="en-US" w:eastAsia="zh-CN"/>
        </w:rPr>
        <w:t>突出治理主线，拧紧信访滋生“安全阀”。</w:t>
      </w:r>
      <w:r>
        <w:rPr>
          <w:rFonts w:hint="eastAsia" w:ascii="仿宋_GB2312" w:hAnsi="仿宋_GB2312" w:eastAsia="仿宋_GB2312" w:cs="仿宋_GB2312"/>
          <w:b w:val="0"/>
          <w:bCs/>
          <w:color w:val="auto"/>
          <w:sz w:val="32"/>
          <w:szCs w:val="32"/>
          <w:lang w:val="en-US" w:eastAsia="zh-CN"/>
        </w:rPr>
        <w:t>坚持教育引导与依法处理并重，树立保护依法信访、打击违法信访的正确导向。</w:t>
      </w:r>
      <w:r>
        <w:rPr>
          <w:rFonts w:hint="eastAsia" w:ascii="仿宋_GB2312" w:hAnsi="仿宋_GB2312" w:eastAsia="仿宋_GB2312" w:cs="仿宋_GB2312"/>
          <w:b/>
          <w:bCs w:val="0"/>
          <w:color w:val="auto"/>
          <w:sz w:val="32"/>
          <w:szCs w:val="32"/>
          <w:lang w:val="en-US" w:eastAsia="zh-CN"/>
        </w:rPr>
        <w:t>一是强宣传，营造法治信访氛围。</w:t>
      </w:r>
      <w:r>
        <w:rPr>
          <w:rFonts w:hint="eastAsia" w:ascii="仿宋_GB2312" w:hAnsi="仿宋_GB2312" w:eastAsia="仿宋_GB2312" w:cs="仿宋_GB2312"/>
          <w:b w:val="0"/>
          <w:bCs/>
          <w:color w:val="auto"/>
          <w:sz w:val="32"/>
          <w:szCs w:val="32"/>
          <w:lang w:val="en-US" w:eastAsia="zh-CN"/>
        </w:rPr>
        <w:t>开展《信访工作条例》宣传活动，印发信访工作法治化“路线图”、工作指南等宣传资料5000余份。将宣传信访法规知识和普法教育相结合，通过街头宣传、院坝宣讲、播放普法视频等方式，引导群众依法理性表达诉求。</w:t>
      </w:r>
      <w:r>
        <w:rPr>
          <w:rFonts w:hint="eastAsia" w:ascii="仿宋_GB2312" w:hAnsi="仿宋_GB2312" w:eastAsia="仿宋_GB2312" w:cs="仿宋_GB2312"/>
          <w:b/>
          <w:bCs w:val="0"/>
          <w:color w:val="auto"/>
          <w:sz w:val="32"/>
          <w:szCs w:val="32"/>
          <w:lang w:val="en-US" w:eastAsia="zh-CN"/>
        </w:rPr>
        <w:t>二是保稳定，提升解难治访效力。</w:t>
      </w:r>
      <w:r>
        <w:rPr>
          <w:rFonts w:hint="eastAsia" w:ascii="仿宋_GB2312" w:hAnsi="仿宋_GB2312" w:eastAsia="仿宋_GB2312" w:cs="仿宋_GB2312"/>
          <w:b w:val="0"/>
          <w:bCs/>
          <w:sz w:val="32"/>
          <w:szCs w:val="32"/>
          <w:lang w:val="en-US" w:eastAsia="zh-CN"/>
        </w:rPr>
        <w:t>加强重点信访人员法律教育，对</w:t>
      </w:r>
      <w:r>
        <w:rPr>
          <w:rFonts w:hint="eastAsia" w:ascii="仿宋_GB2312" w:hAnsi="仿宋_GB2312" w:eastAsia="仿宋_GB2312" w:cs="仿宋_GB2312"/>
          <w:b w:val="0"/>
          <w:bCs/>
          <w:color w:val="auto"/>
          <w:sz w:val="32"/>
          <w:szCs w:val="32"/>
          <w:lang w:val="en-US" w:eastAsia="zh-CN"/>
        </w:rPr>
        <w:t>企图缠访、闹访、越级上访人员及时研判、及时预警、及时稳控。</w:t>
      </w:r>
      <w:r>
        <w:rPr>
          <w:rFonts w:hint="eastAsia" w:ascii="仿宋_GB2312" w:hAnsi="仿宋_GB2312" w:eastAsia="仿宋_GB2312" w:cs="仿宋_GB2312"/>
          <w:b w:val="0"/>
          <w:bCs/>
          <w:sz w:val="32"/>
          <w:szCs w:val="32"/>
          <w:lang w:val="en-US" w:eastAsia="zh-CN"/>
        </w:rPr>
        <w:t>落实县级包案领导5人，梳理出州挂牌重点人员1人，县挂牌重点人员4人，落实责任单位5家。</w:t>
      </w:r>
      <w:r>
        <w:rPr>
          <w:rFonts w:hint="eastAsia" w:ascii="仿宋_GB2312" w:hAnsi="仿宋_GB2312" w:eastAsia="仿宋_GB2312" w:cs="仿宋_GB2312"/>
          <w:b/>
          <w:bCs w:val="0"/>
          <w:sz w:val="32"/>
          <w:szCs w:val="32"/>
          <w:lang w:val="en-US" w:eastAsia="zh-CN"/>
        </w:rPr>
        <w:t>三是护秩序，形成联动维稳合力。</w:t>
      </w:r>
      <w:r>
        <w:rPr>
          <w:rFonts w:hint="eastAsia" w:ascii="仿宋_GB2312" w:hAnsi="仿宋_GB2312" w:eastAsia="仿宋_GB2312" w:cs="仿宋_GB2312"/>
          <w:b w:val="0"/>
          <w:bCs/>
          <w:sz w:val="32"/>
          <w:szCs w:val="32"/>
          <w:lang w:val="en-US" w:eastAsia="zh-CN"/>
        </w:rPr>
        <w:t>贯彻落实《依法处理信访活动中违法犯罪行为的工作指引》，在全国两会及党的二十届三中全会等重点时段派出政法、公安、信访业务骨干4批次20人次赴蓉赴州开展信访安全保障工作，实现“北京不去、省市不聚、外地不串、网上不炒”目标。</w:t>
      </w:r>
    </w:p>
    <w:p w14:paraId="6B3A5A7B">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bidi="ar"/>
        </w:rPr>
        <w:t>5</w:t>
      </w:r>
      <w:r>
        <w:rPr>
          <w:rFonts w:hint="eastAsia" w:ascii="仿宋" w:hAnsi="仿宋" w:eastAsia="仿宋" w:cs="仿宋"/>
          <w:color w:val="000000"/>
          <w:kern w:val="0"/>
          <w:sz w:val="32"/>
          <w:szCs w:val="32"/>
          <w:shd w:val="clear" w:color="auto" w:fill="FFFFFF"/>
          <w:lang w:bidi="ar"/>
        </w:rPr>
        <w:t>、执行进度情况</w:t>
      </w:r>
    </w:p>
    <w:p w14:paraId="0F814661">
      <w:pPr>
        <w:pStyle w:val="28"/>
        <w:spacing w:line="360" w:lineRule="auto"/>
        <w:ind w:firstLine="640"/>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年财政下达</w:t>
      </w:r>
      <w:r>
        <w:rPr>
          <w:rFonts w:hint="eastAsia" w:ascii="仿宋" w:hAnsi="仿宋" w:eastAsia="仿宋" w:cs="仿宋"/>
          <w:sz w:val="32"/>
          <w:szCs w:val="32"/>
          <w:lang w:eastAsia="zh-CN"/>
        </w:rPr>
        <w:t>壤塘县信访局</w:t>
      </w:r>
      <w:r>
        <w:rPr>
          <w:rFonts w:hint="eastAsia" w:ascii="仿宋" w:hAnsi="仿宋" w:eastAsia="仿宋" w:cs="仿宋"/>
          <w:sz w:val="32"/>
          <w:szCs w:val="32"/>
        </w:rPr>
        <w:t>年初预算收入</w:t>
      </w:r>
      <w:r>
        <w:rPr>
          <w:rFonts w:hint="eastAsia" w:ascii="仿宋" w:hAnsi="仿宋" w:eastAsia="仿宋" w:cs="仿宋"/>
          <w:sz w:val="32"/>
          <w:szCs w:val="32"/>
          <w:lang w:val="en-US" w:eastAsia="zh-CN"/>
        </w:rPr>
        <w:t>179.01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当年追加预算44.63万元，年末收入总计为223.64万元。</w:t>
      </w:r>
      <w:r>
        <w:rPr>
          <w:rFonts w:hint="eastAsia" w:ascii="仿宋" w:hAnsi="仿宋" w:eastAsia="仿宋" w:cs="仿宋"/>
          <w:sz w:val="32"/>
          <w:szCs w:val="32"/>
        </w:rPr>
        <w:t xml:space="preserve">   </w:t>
      </w:r>
    </w:p>
    <w:p w14:paraId="5C4BED6C">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bidi="ar"/>
        </w:rPr>
        <w:t>6</w:t>
      </w:r>
      <w:r>
        <w:rPr>
          <w:rFonts w:hint="eastAsia" w:ascii="仿宋" w:hAnsi="仿宋" w:eastAsia="仿宋" w:cs="仿宋"/>
          <w:color w:val="000000"/>
          <w:kern w:val="0"/>
          <w:sz w:val="32"/>
          <w:szCs w:val="32"/>
          <w:shd w:val="clear" w:color="auto" w:fill="FFFFFF"/>
          <w:lang w:bidi="ar"/>
        </w:rPr>
        <w:t>、预算完成情况</w:t>
      </w:r>
    </w:p>
    <w:p w14:paraId="127AEFB2">
      <w:pPr>
        <w:pStyle w:val="28"/>
        <w:spacing w:line="360" w:lineRule="auto"/>
        <w:ind w:firstLine="640"/>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年财政下达</w:t>
      </w:r>
      <w:r>
        <w:rPr>
          <w:rFonts w:hint="eastAsia" w:ascii="仿宋" w:hAnsi="仿宋" w:eastAsia="仿宋" w:cs="仿宋"/>
          <w:sz w:val="32"/>
          <w:szCs w:val="32"/>
          <w:lang w:eastAsia="zh-CN"/>
        </w:rPr>
        <w:t>壤塘县信访局</w:t>
      </w:r>
      <w:r>
        <w:rPr>
          <w:rFonts w:hint="eastAsia" w:ascii="仿宋" w:hAnsi="仿宋" w:eastAsia="仿宋" w:cs="仿宋"/>
          <w:sz w:val="32"/>
          <w:szCs w:val="32"/>
        </w:rPr>
        <w:t>年初预算收入</w:t>
      </w:r>
      <w:r>
        <w:rPr>
          <w:rFonts w:hint="eastAsia" w:ascii="仿宋" w:hAnsi="仿宋" w:eastAsia="仿宋" w:cs="仿宋"/>
          <w:sz w:val="32"/>
          <w:szCs w:val="32"/>
          <w:lang w:val="en-US" w:eastAsia="zh-CN"/>
        </w:rPr>
        <w:t>179.01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当年追加预算44.63万元，年末收入总计为223.64万元。</w:t>
      </w:r>
      <w:r>
        <w:rPr>
          <w:rFonts w:hint="eastAsia" w:ascii="仿宋" w:hAnsi="仿宋" w:eastAsia="仿宋" w:cs="仿宋"/>
          <w:sz w:val="32"/>
          <w:szCs w:val="32"/>
        </w:rPr>
        <w:t xml:space="preserve">   </w:t>
      </w:r>
    </w:p>
    <w:p w14:paraId="042773D7">
      <w:pPr>
        <w:pStyle w:val="28"/>
        <w:spacing w:line="360" w:lineRule="auto"/>
        <w:ind w:firstLine="640"/>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6、</w:t>
      </w:r>
      <w:r>
        <w:rPr>
          <w:rFonts w:hint="eastAsia" w:ascii="仿宋" w:hAnsi="仿宋" w:eastAsia="仿宋" w:cs="仿宋"/>
          <w:b/>
          <w:bCs/>
          <w:kern w:val="0"/>
          <w:sz w:val="32"/>
          <w:szCs w:val="32"/>
        </w:rPr>
        <w:t>行政成本</w:t>
      </w:r>
    </w:p>
    <w:p w14:paraId="1924A744">
      <w:pPr>
        <w:pStyle w:val="28"/>
        <w:spacing w:line="360" w:lineRule="auto"/>
        <w:ind w:firstLine="640"/>
        <w:rPr>
          <w:rFonts w:hint="eastAsia" w:ascii="仿宋" w:hAnsi="仿宋" w:eastAsia="仿宋" w:cs="仿宋"/>
          <w:sz w:val="32"/>
          <w:szCs w:val="32"/>
          <w:lang w:eastAsia="zh-CN"/>
        </w:rPr>
      </w:pPr>
      <w:r>
        <w:rPr>
          <w:rFonts w:hint="eastAsia" w:ascii="仿宋" w:hAnsi="仿宋" w:eastAsia="仿宋" w:cs="仿宋"/>
          <w:sz w:val="32"/>
          <w:szCs w:val="32"/>
        </w:rPr>
        <w:t>“三公”经费控制。</w:t>
      </w:r>
      <w:r>
        <w:rPr>
          <w:rFonts w:hint="eastAsia" w:ascii="仿宋" w:hAnsi="仿宋" w:eastAsia="仿宋" w:cs="仿宋"/>
          <w:sz w:val="32"/>
          <w:szCs w:val="32"/>
          <w:lang w:eastAsia="zh-CN"/>
        </w:rPr>
        <w:t>壤塘县信访局会2024年</w:t>
      </w:r>
      <w:r>
        <w:rPr>
          <w:rFonts w:hint="eastAsia" w:ascii="仿宋" w:hAnsi="仿宋" w:eastAsia="仿宋" w:cs="仿宋"/>
          <w:sz w:val="32"/>
          <w:szCs w:val="32"/>
          <w:lang w:val="en-US" w:eastAsia="zh-CN"/>
        </w:rPr>
        <w:t>无</w:t>
      </w:r>
      <w:r>
        <w:rPr>
          <w:rFonts w:hint="eastAsia" w:ascii="仿宋" w:hAnsi="仿宋" w:eastAsia="仿宋" w:cs="仿宋"/>
          <w:sz w:val="32"/>
          <w:szCs w:val="32"/>
          <w:lang w:eastAsia="zh-CN"/>
        </w:rPr>
        <w:t>“三公”经费</w:t>
      </w:r>
      <w:r>
        <w:rPr>
          <w:rFonts w:hint="eastAsia" w:ascii="仿宋" w:hAnsi="仿宋" w:eastAsia="仿宋" w:cs="仿宋"/>
          <w:sz w:val="32"/>
          <w:szCs w:val="32"/>
          <w:lang w:val="en-US" w:eastAsia="zh-CN"/>
        </w:rPr>
        <w:t>支出。</w:t>
      </w:r>
    </w:p>
    <w:p w14:paraId="0D8EDE1C">
      <w:pPr>
        <w:pStyle w:val="28"/>
        <w:spacing w:line="360" w:lineRule="auto"/>
        <w:ind w:firstLine="640"/>
        <w:outlineLvl w:val="1"/>
        <w:rPr>
          <w:rFonts w:hint="eastAsia" w:ascii="仿宋" w:hAnsi="仿宋" w:eastAsia="仿宋" w:cs="仿宋"/>
          <w:b/>
          <w:bCs/>
          <w:kern w:val="0"/>
          <w:sz w:val="32"/>
          <w:szCs w:val="32"/>
        </w:rPr>
      </w:pPr>
      <w:bookmarkStart w:id="112" w:name="_Toc28206"/>
      <w:bookmarkStart w:id="113" w:name="_Toc16180"/>
      <w:r>
        <w:rPr>
          <w:rFonts w:hint="eastAsia" w:ascii="仿宋" w:hAnsi="仿宋" w:eastAsia="仿宋" w:cs="仿宋"/>
          <w:b/>
          <w:bCs/>
          <w:kern w:val="0"/>
          <w:sz w:val="32"/>
          <w:szCs w:val="32"/>
          <w:lang w:val="en-US" w:eastAsia="zh-CN"/>
        </w:rPr>
        <w:t>7、</w:t>
      </w:r>
      <w:r>
        <w:rPr>
          <w:rFonts w:hint="eastAsia" w:ascii="仿宋" w:hAnsi="仿宋" w:eastAsia="仿宋" w:cs="仿宋"/>
          <w:b/>
          <w:bCs/>
          <w:kern w:val="0"/>
          <w:sz w:val="32"/>
          <w:szCs w:val="32"/>
        </w:rPr>
        <w:t>政府采购</w:t>
      </w:r>
      <w:bookmarkEnd w:id="112"/>
      <w:bookmarkEnd w:id="113"/>
    </w:p>
    <w:p w14:paraId="5EA06A03">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2024年壤塘县信访局</w:t>
      </w:r>
      <w:r>
        <w:rPr>
          <w:rFonts w:hint="eastAsia" w:ascii="仿宋" w:hAnsi="仿宋" w:eastAsia="仿宋" w:cs="仿宋"/>
          <w:sz w:val="32"/>
          <w:szCs w:val="32"/>
          <w:lang w:val="en-US" w:eastAsia="zh-CN"/>
        </w:rPr>
        <w:t>无“</w:t>
      </w:r>
      <w:r>
        <w:rPr>
          <w:rFonts w:hint="eastAsia" w:ascii="仿宋" w:hAnsi="仿宋" w:eastAsia="仿宋" w:cs="仿宋"/>
          <w:sz w:val="32"/>
          <w:szCs w:val="32"/>
        </w:rPr>
        <w:t>政府采购</w:t>
      </w:r>
      <w:r>
        <w:rPr>
          <w:rFonts w:hint="eastAsia" w:ascii="仿宋" w:hAnsi="仿宋" w:eastAsia="仿宋" w:cs="仿宋"/>
          <w:sz w:val="32"/>
          <w:szCs w:val="32"/>
          <w:lang w:val="en-US" w:eastAsia="zh-CN"/>
        </w:rPr>
        <w:t>”支出</w:t>
      </w:r>
      <w:r>
        <w:rPr>
          <w:rFonts w:hint="eastAsia" w:ascii="仿宋" w:hAnsi="仿宋" w:eastAsia="仿宋" w:cs="仿宋"/>
          <w:sz w:val="32"/>
          <w:szCs w:val="32"/>
        </w:rPr>
        <w:t>。</w:t>
      </w:r>
    </w:p>
    <w:p w14:paraId="147ED96A">
      <w:pPr>
        <w:numPr>
          <w:ilvl w:val="0"/>
          <w:numId w:val="0"/>
        </w:numPr>
        <w:snapToGrid w:val="0"/>
        <w:spacing w:line="360" w:lineRule="auto"/>
        <w:ind w:firstLine="643" w:firstLineChars="200"/>
        <w:outlineLvl w:val="1"/>
        <w:rPr>
          <w:rFonts w:hint="eastAsia" w:ascii="仿宋" w:hAnsi="仿宋" w:eastAsia="仿宋" w:cs="仿宋"/>
          <w:b/>
          <w:bCs/>
          <w:sz w:val="32"/>
          <w:szCs w:val="32"/>
        </w:rPr>
      </w:pPr>
      <w:bookmarkStart w:id="114" w:name="_Toc7148"/>
      <w:bookmarkStart w:id="115" w:name="_Toc7598"/>
      <w:r>
        <w:rPr>
          <w:rFonts w:hint="eastAsia" w:ascii="仿宋" w:hAnsi="仿宋" w:eastAsia="仿宋" w:cs="仿宋"/>
          <w:b/>
          <w:bCs/>
          <w:kern w:val="0"/>
          <w:sz w:val="32"/>
          <w:szCs w:val="32"/>
          <w:lang w:val="en-US" w:eastAsia="zh-CN"/>
        </w:rPr>
        <w:t>8、</w:t>
      </w:r>
      <w:r>
        <w:rPr>
          <w:rFonts w:hint="eastAsia" w:ascii="仿宋" w:hAnsi="仿宋" w:eastAsia="仿宋" w:cs="仿宋"/>
          <w:b/>
          <w:bCs/>
          <w:kern w:val="0"/>
          <w:sz w:val="32"/>
          <w:szCs w:val="32"/>
        </w:rPr>
        <w:t>资产管理</w:t>
      </w:r>
      <w:bookmarkEnd w:id="114"/>
      <w:bookmarkEnd w:id="115"/>
      <w:r>
        <w:rPr>
          <w:rFonts w:hint="eastAsia" w:ascii="仿宋" w:hAnsi="仿宋" w:eastAsia="仿宋" w:cs="仿宋"/>
          <w:b/>
          <w:bCs/>
          <w:kern w:val="0"/>
          <w:sz w:val="32"/>
          <w:szCs w:val="32"/>
        </w:rPr>
        <w:t xml:space="preserve"> </w:t>
      </w:r>
      <w:r>
        <w:rPr>
          <w:rFonts w:hint="eastAsia" w:ascii="仿宋" w:hAnsi="仿宋" w:eastAsia="仿宋" w:cs="仿宋"/>
          <w:b/>
          <w:bCs/>
          <w:sz w:val="32"/>
          <w:szCs w:val="32"/>
        </w:rPr>
        <w:t xml:space="preserve"> </w:t>
      </w:r>
    </w:p>
    <w:p w14:paraId="262087A9">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固定资产在用率。截止</w:t>
      </w:r>
      <w:r>
        <w:rPr>
          <w:rFonts w:hint="eastAsia" w:ascii="仿宋" w:hAnsi="仿宋" w:eastAsia="仿宋" w:cs="仿宋"/>
          <w:sz w:val="32"/>
          <w:szCs w:val="32"/>
          <w:lang w:eastAsia="zh-CN"/>
        </w:rPr>
        <w:t>2024年</w:t>
      </w:r>
      <w:r>
        <w:rPr>
          <w:rFonts w:hint="eastAsia" w:ascii="仿宋" w:hAnsi="仿宋" w:eastAsia="仿宋" w:cs="仿宋"/>
          <w:sz w:val="32"/>
          <w:szCs w:val="32"/>
        </w:rPr>
        <w:t>12月31日，</w:t>
      </w:r>
      <w:r>
        <w:rPr>
          <w:rFonts w:hint="eastAsia" w:ascii="仿宋" w:hAnsi="仿宋" w:eastAsia="仿宋" w:cs="仿宋"/>
          <w:sz w:val="32"/>
          <w:szCs w:val="32"/>
          <w:lang w:eastAsia="zh-CN"/>
        </w:rPr>
        <w:t>壤塘县信访局会</w:t>
      </w:r>
      <w:r>
        <w:rPr>
          <w:rFonts w:hint="eastAsia" w:ascii="仿宋" w:hAnsi="仿宋" w:eastAsia="仿宋" w:cs="仿宋"/>
          <w:sz w:val="32"/>
          <w:szCs w:val="32"/>
        </w:rPr>
        <w:t>《行政单位资产管理系统》固定资产总计</w:t>
      </w:r>
      <w:r>
        <w:rPr>
          <w:rFonts w:hint="eastAsia" w:ascii="仿宋" w:hAnsi="仿宋" w:eastAsia="仿宋" w:cs="仿宋"/>
          <w:sz w:val="32"/>
          <w:szCs w:val="32"/>
          <w:lang w:val="en-US" w:eastAsia="zh-CN"/>
        </w:rPr>
        <w:t>14.32</w:t>
      </w:r>
      <w:r>
        <w:rPr>
          <w:rFonts w:hint="eastAsia" w:ascii="仿宋" w:hAnsi="仿宋" w:eastAsia="仿宋" w:cs="仿宋"/>
          <w:sz w:val="32"/>
          <w:szCs w:val="32"/>
        </w:rPr>
        <w:t>万元，在用的固定资产总计</w:t>
      </w:r>
      <w:r>
        <w:rPr>
          <w:rFonts w:hint="eastAsia" w:ascii="仿宋" w:hAnsi="仿宋" w:eastAsia="仿宋" w:cs="仿宋"/>
          <w:sz w:val="32"/>
          <w:szCs w:val="32"/>
          <w:lang w:val="en-US" w:eastAsia="zh-CN"/>
        </w:rPr>
        <w:t>14.32</w:t>
      </w:r>
      <w:r>
        <w:rPr>
          <w:rFonts w:hint="eastAsia" w:ascii="仿宋" w:hAnsi="仿宋" w:eastAsia="仿宋" w:cs="仿宋"/>
          <w:sz w:val="32"/>
          <w:szCs w:val="32"/>
        </w:rPr>
        <w:t>万元，固定资产在用率达100%。</w:t>
      </w:r>
    </w:p>
    <w:p w14:paraId="1A2030D0">
      <w:pPr>
        <w:pStyle w:val="28"/>
        <w:spacing w:line="360" w:lineRule="auto"/>
        <w:ind w:left="420" w:leftChars="200" w:firstLine="321" w:firstLineChars="100"/>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9、</w:t>
      </w:r>
      <w:r>
        <w:rPr>
          <w:rFonts w:hint="eastAsia" w:ascii="仿宋" w:hAnsi="仿宋" w:eastAsia="仿宋" w:cs="仿宋"/>
          <w:b/>
          <w:bCs/>
          <w:kern w:val="0"/>
          <w:sz w:val="32"/>
          <w:szCs w:val="32"/>
        </w:rPr>
        <w:t>信息公开</w:t>
      </w:r>
    </w:p>
    <w:p w14:paraId="6E37FCB2">
      <w:pPr>
        <w:pStyle w:val="28"/>
        <w:spacing w:line="360" w:lineRule="auto"/>
        <w:ind w:firstLine="640"/>
        <w:outlineLvl w:val="0"/>
        <w:rPr>
          <w:rFonts w:hint="eastAsia" w:ascii="仿宋" w:hAnsi="仿宋" w:eastAsia="仿宋" w:cs="仿宋"/>
          <w:b/>
          <w:bCs/>
          <w:kern w:val="0"/>
          <w:sz w:val="32"/>
          <w:szCs w:val="32"/>
          <w:lang w:val="en-US" w:eastAsia="zh-CN"/>
        </w:rPr>
      </w:pPr>
      <w:bookmarkStart w:id="116" w:name="_Toc30560"/>
      <w:bookmarkStart w:id="117" w:name="_Toc15471"/>
      <w:r>
        <w:rPr>
          <w:rFonts w:hint="eastAsia" w:ascii="仿宋" w:hAnsi="仿宋" w:eastAsia="仿宋" w:cs="仿宋"/>
          <w:sz w:val="32"/>
          <w:szCs w:val="32"/>
        </w:rPr>
        <w:t>信息公开。</w:t>
      </w:r>
      <w:r>
        <w:rPr>
          <w:rFonts w:hint="eastAsia" w:ascii="仿宋" w:hAnsi="仿宋" w:eastAsia="仿宋" w:cs="仿宋"/>
          <w:sz w:val="32"/>
          <w:szCs w:val="32"/>
          <w:lang w:eastAsia="zh-CN"/>
        </w:rPr>
        <w:t>壤塘县信访局会</w:t>
      </w:r>
      <w:r>
        <w:rPr>
          <w:rFonts w:hint="eastAsia" w:ascii="仿宋" w:hAnsi="仿宋" w:eastAsia="仿宋" w:cs="仿宋"/>
          <w:sz w:val="32"/>
          <w:szCs w:val="32"/>
        </w:rPr>
        <w:t>已经按财政要求及时完成预算、决算、绩效等信息公开工作，信息公开在壤塘县人民政府门户网站中。</w:t>
      </w:r>
      <w:bookmarkEnd w:id="116"/>
      <w:bookmarkEnd w:id="117"/>
    </w:p>
    <w:p w14:paraId="00AD5DF0">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bidi="ar"/>
        </w:rPr>
        <w:t>（二）结果应用情况</w:t>
      </w:r>
    </w:p>
    <w:p w14:paraId="334C109C">
      <w:pPr>
        <w:ind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绩效目标填报执行了《四川省省级财政专项资金绩效分配管理暂行办法》，实施绩效分配。在项目资金管理方面，单位建立和健全项目资金管理制度和管理办法。严格资金的使用和划拨流程，确保资金使用安全、公平、合理。项目资金做到了专款专用，及时支付。资金的支付均通过对公账户，直接支付到供应商,切实保障了资金使用的准确性和安全性。在绩效目标评价方面，根据县财政局要求，我会成立自评工作小组，组织实施本单位</w:t>
      </w:r>
      <w:r>
        <w:rPr>
          <w:rFonts w:hint="eastAsia" w:ascii="仿宋" w:hAnsi="仿宋" w:eastAsia="仿宋" w:cs="仿宋"/>
          <w:color w:val="000000"/>
          <w:kern w:val="0"/>
          <w:sz w:val="32"/>
          <w:szCs w:val="32"/>
          <w:lang w:eastAsia="zh-CN" w:bidi="ar"/>
        </w:rPr>
        <w:t>2024</w:t>
      </w:r>
      <w:r>
        <w:rPr>
          <w:rFonts w:hint="eastAsia" w:ascii="仿宋" w:hAnsi="仿宋" w:eastAsia="仿宋" w:cs="仿宋"/>
          <w:color w:val="000000"/>
          <w:kern w:val="0"/>
          <w:sz w:val="32"/>
          <w:szCs w:val="32"/>
          <w:lang w:bidi="ar"/>
        </w:rPr>
        <w:t>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我单位各项工作的正常运转。</w:t>
      </w:r>
    </w:p>
    <w:p w14:paraId="48A324E6">
      <w:pPr>
        <w:widowControl/>
        <w:numPr>
          <w:ilvl w:val="0"/>
          <w:numId w:val="5"/>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评价结论及建议</w:t>
      </w:r>
    </w:p>
    <w:p w14:paraId="1F4581C4">
      <w:pPr>
        <w:widowControl/>
        <w:numPr>
          <w:ilvl w:val="0"/>
          <w:numId w:val="6"/>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评价结论</w:t>
      </w:r>
    </w:p>
    <w:p w14:paraId="549E612F">
      <w:pPr>
        <w:pStyle w:val="20"/>
        <w:ind w:left="0" w:leftChars="0" w:firstLine="640" w:firstLineChars="200"/>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val="zh-CN" w:bidi="ar"/>
        </w:rPr>
        <w:t>我</w:t>
      </w:r>
      <w:r>
        <w:rPr>
          <w:rFonts w:hint="eastAsia" w:ascii="仿宋" w:hAnsi="仿宋" w:eastAsia="仿宋" w:cs="仿宋"/>
          <w:color w:val="000000"/>
          <w:kern w:val="0"/>
          <w:sz w:val="32"/>
          <w:szCs w:val="32"/>
          <w:lang w:val="en-US" w:eastAsia="zh-CN" w:bidi="ar"/>
        </w:rPr>
        <w:t>单位</w:t>
      </w:r>
      <w:r>
        <w:rPr>
          <w:rFonts w:hint="eastAsia" w:ascii="仿宋" w:hAnsi="仿宋" w:eastAsia="仿宋" w:cs="仿宋"/>
          <w:color w:val="000000"/>
          <w:kern w:val="0"/>
          <w:sz w:val="32"/>
          <w:szCs w:val="32"/>
          <w:lang w:val="zh-CN" w:bidi="ar"/>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w:t>
      </w:r>
      <w:r>
        <w:rPr>
          <w:rFonts w:hint="eastAsia" w:ascii="仿宋" w:hAnsi="仿宋" w:eastAsia="仿宋" w:cs="仿宋"/>
          <w:color w:val="000000"/>
          <w:kern w:val="0"/>
          <w:sz w:val="32"/>
          <w:szCs w:val="32"/>
          <w:lang w:bidi="ar"/>
        </w:rPr>
        <w:t>会</w:t>
      </w:r>
      <w:r>
        <w:rPr>
          <w:rFonts w:hint="eastAsia" w:ascii="仿宋" w:hAnsi="仿宋" w:eastAsia="仿宋" w:cs="仿宋"/>
          <w:color w:val="000000"/>
          <w:kern w:val="0"/>
          <w:sz w:val="32"/>
          <w:szCs w:val="32"/>
          <w:lang w:val="zh-CN" w:bidi="ar"/>
        </w:rPr>
        <w:t>将继续努力，科学合理编制预决算，进行绩效评价，加强精细管理，完善不足。</w:t>
      </w:r>
      <w:r>
        <w:rPr>
          <w:rFonts w:hint="eastAsia" w:ascii="仿宋" w:hAnsi="仿宋" w:eastAsia="仿宋" w:cs="仿宋"/>
          <w:color w:val="000000"/>
          <w:kern w:val="0"/>
          <w:sz w:val="32"/>
          <w:szCs w:val="32"/>
          <w:lang w:bidi="ar"/>
        </w:rPr>
        <w:t>根据《壤塘县</w:t>
      </w:r>
      <w:r>
        <w:rPr>
          <w:rFonts w:hint="eastAsia" w:ascii="仿宋" w:hAnsi="仿宋" w:eastAsia="仿宋" w:cs="仿宋"/>
          <w:color w:val="000000"/>
          <w:kern w:val="0"/>
          <w:sz w:val="32"/>
          <w:szCs w:val="32"/>
          <w:lang w:eastAsia="zh-CN" w:bidi="ar"/>
        </w:rPr>
        <w:t>2024</w:t>
      </w:r>
      <w:r>
        <w:rPr>
          <w:rFonts w:hint="eastAsia" w:ascii="仿宋" w:hAnsi="仿宋" w:eastAsia="仿宋" w:cs="仿宋"/>
          <w:color w:val="000000"/>
          <w:kern w:val="0"/>
          <w:sz w:val="32"/>
          <w:szCs w:val="32"/>
          <w:lang w:bidi="ar"/>
        </w:rPr>
        <w:t>年部门整体支出绩效评价指标体系》评分，得分9</w:t>
      </w:r>
      <w:r>
        <w:rPr>
          <w:rFonts w:hint="eastAsia" w:ascii="仿宋" w:hAnsi="仿宋" w:eastAsia="仿宋" w:cs="仿宋"/>
          <w:color w:val="000000"/>
          <w:kern w:val="0"/>
          <w:sz w:val="32"/>
          <w:szCs w:val="32"/>
          <w:lang w:val="en-US" w:eastAsia="zh-CN" w:bidi="ar"/>
        </w:rPr>
        <w:t>8</w:t>
      </w:r>
      <w:r>
        <w:rPr>
          <w:rFonts w:hint="eastAsia" w:ascii="仿宋" w:hAnsi="仿宋" w:eastAsia="仿宋" w:cs="仿宋"/>
          <w:color w:val="000000"/>
          <w:kern w:val="0"/>
          <w:sz w:val="32"/>
          <w:szCs w:val="32"/>
          <w:lang w:bidi="ar"/>
        </w:rPr>
        <w:t>分，绩效评价结果优秀。</w:t>
      </w:r>
    </w:p>
    <w:p w14:paraId="25626874">
      <w:pPr>
        <w:widowControl/>
        <w:numPr>
          <w:ilvl w:val="0"/>
          <w:numId w:val="6"/>
        </w:numPr>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存在问题</w:t>
      </w:r>
    </w:p>
    <w:p w14:paraId="6C772470">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val="zh-CN" w:bidi="ar"/>
        </w:rPr>
      </w:pPr>
      <w:r>
        <w:rPr>
          <w:rFonts w:hint="eastAsia" w:ascii="仿宋" w:hAnsi="仿宋" w:eastAsia="仿宋" w:cs="仿宋"/>
          <w:color w:val="000000"/>
          <w:kern w:val="0"/>
          <w:sz w:val="32"/>
          <w:szCs w:val="32"/>
          <w:lang w:bidi="ar"/>
        </w:rPr>
        <w:t>1、预算编制前根据年度内单位可预见的工作任务，确定了单位年度预算目标，细化了预算指标，但预算编制的精准性有待进一步提高。</w:t>
      </w:r>
    </w:p>
    <w:p w14:paraId="3C701343">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w:t>
      </w:r>
      <w:r>
        <w:rPr>
          <w:rFonts w:hint="eastAsia" w:ascii="仿宋" w:hAnsi="仿宋" w:eastAsia="仿宋" w:cs="仿宋"/>
          <w:color w:val="000000"/>
          <w:kern w:val="0"/>
          <w:sz w:val="32"/>
          <w:szCs w:val="32"/>
          <w:lang w:val="zh-CN" w:bidi="ar"/>
        </w:rPr>
        <w:t>是对部门整体支出预算评价工作不够重视，没有把预算财务分析作为常态化工作。</w:t>
      </w:r>
    </w:p>
    <w:p w14:paraId="22B459B1">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bidi="ar"/>
        </w:rPr>
      </w:pPr>
      <w:r>
        <w:rPr>
          <w:rFonts w:hint="eastAsia" w:ascii="仿宋" w:hAnsi="仿宋" w:eastAsia="仿宋" w:cs="仿宋"/>
          <w:color w:val="000000"/>
          <w:kern w:val="0"/>
          <w:sz w:val="32"/>
          <w:szCs w:val="32"/>
          <w:shd w:val="clear" w:color="auto" w:fill="FFFFFF"/>
          <w:lang w:bidi="ar"/>
        </w:rPr>
        <w:t>（三）改进建议</w:t>
      </w:r>
    </w:p>
    <w:p w14:paraId="34F2F96B">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1.加强学习，提高思想认识。组织单位财务人员认真学习《预算法》、《项目支出绩效评价》等文件精神及相关法规、制度，提高单位领导对全面预算管理及绩效评价工作的重视程度，增强意识。</w:t>
      </w:r>
    </w:p>
    <w:p w14:paraId="69FA0210">
      <w:pPr>
        <w:widowControl/>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lang w:bidi="ar"/>
        </w:rPr>
      </w:pPr>
      <w:r>
        <w:rPr>
          <w:rFonts w:hint="eastAsia" w:ascii="仿宋" w:hAnsi="仿宋" w:eastAsia="仿宋" w:cs="仿宋"/>
          <w:color w:val="000000"/>
          <w:kern w:val="0"/>
          <w:sz w:val="32"/>
          <w:szCs w:val="32"/>
          <w:lang w:bidi="ar"/>
        </w:rPr>
        <w:t>2.提高预算编制的可操作性，强化预算执行约束力，尽量减少预算调整。</w:t>
      </w:r>
    </w:p>
    <w:p w14:paraId="33B280C2">
      <w:pPr>
        <w:widowControl/>
        <w:jc w:val="left"/>
        <w:rPr>
          <w:rStyle w:val="29"/>
          <w:rFonts w:ascii="黑体" w:hAnsi="黑体" w:eastAsia="黑体"/>
          <w:b w:val="0"/>
        </w:rPr>
      </w:pPr>
      <w:r>
        <w:drawing>
          <wp:inline distT="0" distB="0" distL="114300" distR="114300">
            <wp:extent cx="5269230" cy="358775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69230" cy="3587750"/>
                    </a:xfrm>
                    <a:prstGeom prst="rect">
                      <a:avLst/>
                    </a:prstGeom>
                    <a:noFill/>
                    <a:ln>
                      <a:noFill/>
                    </a:ln>
                  </pic:spPr>
                </pic:pic>
              </a:graphicData>
            </a:graphic>
          </wp:inline>
        </w:drawing>
      </w:r>
    </w:p>
    <w:p w14:paraId="2507C474">
      <w:pPr>
        <w:widowControl/>
        <w:jc w:val="left"/>
        <w:rPr>
          <w:rStyle w:val="29"/>
          <w:rFonts w:ascii="黑体" w:hAnsi="黑体" w:eastAsia="黑体"/>
          <w:b w:val="0"/>
        </w:rPr>
      </w:pPr>
      <w:r>
        <w:rPr>
          <w:rStyle w:val="29"/>
          <w:rFonts w:ascii="黑体" w:hAnsi="黑体" w:eastAsia="黑体"/>
          <w:b w:val="0"/>
        </w:rPr>
        <w:br w:type="page"/>
      </w:r>
    </w:p>
    <w:p w14:paraId="1CDF22E1">
      <w:pPr>
        <w:spacing w:line="600" w:lineRule="exact"/>
        <w:jc w:val="center"/>
        <w:outlineLvl w:val="0"/>
        <w:rPr>
          <w:rStyle w:val="29"/>
          <w:rFonts w:ascii="黑体" w:hAnsi="黑体" w:eastAsia="黑体"/>
          <w:b w:val="0"/>
        </w:rPr>
      </w:pPr>
      <w:bookmarkStart w:id="118" w:name="_Toc79163635"/>
      <w:bookmarkStart w:id="119" w:name="_Toc15396618"/>
      <w:bookmarkStart w:id="120" w:name="_Toc32233"/>
      <w:r>
        <w:rPr>
          <w:rFonts w:hint="eastAsia" w:ascii="黑体" w:hAnsi="黑体" w:eastAsia="黑体"/>
          <w:color w:val="000000"/>
          <w:sz w:val="44"/>
          <w:szCs w:val="44"/>
        </w:rPr>
        <w:t>第</w:t>
      </w:r>
      <w:r>
        <w:rPr>
          <w:rStyle w:val="29"/>
          <w:rFonts w:hint="eastAsia" w:ascii="黑体" w:hAnsi="黑体" w:eastAsia="黑体"/>
          <w:b w:val="0"/>
        </w:rPr>
        <w:t>五部分</w:t>
      </w:r>
      <w:r>
        <w:rPr>
          <w:rStyle w:val="29"/>
          <w:rFonts w:ascii="黑体" w:hAnsi="黑体" w:eastAsia="黑体"/>
          <w:b w:val="0"/>
        </w:rPr>
        <w:t xml:space="preserve"> </w:t>
      </w:r>
      <w:r>
        <w:rPr>
          <w:rStyle w:val="29"/>
          <w:rFonts w:hint="eastAsia" w:ascii="黑体" w:hAnsi="黑体" w:eastAsia="黑体"/>
          <w:b w:val="0"/>
        </w:rPr>
        <w:t>附表</w:t>
      </w:r>
      <w:bookmarkEnd w:id="109"/>
      <w:bookmarkEnd w:id="118"/>
      <w:bookmarkEnd w:id="119"/>
      <w:bookmarkEnd w:id="120"/>
    </w:p>
    <w:p w14:paraId="359F39B0">
      <w:pPr>
        <w:pStyle w:val="5"/>
        <w:rPr>
          <w:rFonts w:ascii="仿宋" w:hAnsi="仿宋" w:eastAsia="仿宋"/>
          <w:color w:val="000000"/>
        </w:rPr>
      </w:pPr>
      <w:bookmarkStart w:id="121" w:name="_Toc79163636"/>
      <w:bookmarkStart w:id="122" w:name="_Toc23912"/>
      <w:bookmarkStart w:id="123" w:name="_Toc15396619"/>
      <w:r>
        <w:rPr>
          <w:rFonts w:hint="eastAsia" w:ascii="仿宋" w:hAnsi="仿宋" w:eastAsia="仿宋"/>
          <w:b w:val="0"/>
          <w:color w:val="000000"/>
        </w:rPr>
        <w:t>一、收</w:t>
      </w:r>
      <w:r>
        <w:rPr>
          <w:rStyle w:val="30"/>
          <w:rFonts w:hint="eastAsia" w:ascii="仿宋" w:hAnsi="仿宋" w:eastAsia="仿宋"/>
          <w:b w:val="0"/>
          <w:bCs w:val="0"/>
        </w:rPr>
        <w:t>入支出决算总表</w:t>
      </w:r>
      <w:bookmarkEnd w:id="121"/>
      <w:bookmarkEnd w:id="122"/>
      <w:bookmarkEnd w:id="123"/>
    </w:p>
    <w:p w14:paraId="6922812E">
      <w:pPr>
        <w:pStyle w:val="5"/>
        <w:rPr>
          <w:rFonts w:ascii="仿宋" w:hAnsi="仿宋" w:eastAsia="仿宋"/>
          <w:color w:val="000000"/>
        </w:rPr>
      </w:pPr>
      <w:bookmarkStart w:id="124" w:name="_Toc15396620"/>
      <w:bookmarkStart w:id="125" w:name="_Toc10372"/>
      <w:bookmarkStart w:id="126" w:name="_Toc79163637"/>
      <w:r>
        <w:rPr>
          <w:rFonts w:hint="eastAsia" w:ascii="仿宋" w:hAnsi="仿宋" w:eastAsia="仿宋"/>
          <w:b w:val="0"/>
          <w:color w:val="000000"/>
        </w:rPr>
        <w:t>二、收</w:t>
      </w:r>
      <w:r>
        <w:rPr>
          <w:rStyle w:val="30"/>
          <w:rFonts w:hint="eastAsia" w:ascii="仿宋" w:hAnsi="仿宋" w:eastAsia="仿宋"/>
          <w:b w:val="0"/>
          <w:bCs w:val="0"/>
        </w:rPr>
        <w:t>入决算表</w:t>
      </w:r>
      <w:bookmarkEnd w:id="124"/>
      <w:bookmarkEnd w:id="125"/>
      <w:bookmarkEnd w:id="126"/>
    </w:p>
    <w:p w14:paraId="5BD5534F">
      <w:pPr>
        <w:pStyle w:val="5"/>
        <w:rPr>
          <w:rFonts w:ascii="仿宋" w:hAnsi="仿宋" w:eastAsia="仿宋"/>
          <w:color w:val="000000"/>
        </w:rPr>
      </w:pPr>
      <w:bookmarkStart w:id="127" w:name="_Toc15396621"/>
      <w:bookmarkStart w:id="128" w:name="_Toc22551"/>
      <w:bookmarkStart w:id="129" w:name="_Toc79163638"/>
      <w:r>
        <w:rPr>
          <w:rStyle w:val="30"/>
          <w:rFonts w:hint="eastAsia" w:ascii="仿宋" w:hAnsi="仿宋" w:eastAsia="仿宋"/>
          <w:b w:val="0"/>
          <w:bCs w:val="0"/>
        </w:rPr>
        <w:t>三、</w:t>
      </w:r>
      <w:r>
        <w:rPr>
          <w:rFonts w:hint="eastAsia" w:ascii="仿宋" w:hAnsi="仿宋" w:eastAsia="仿宋"/>
          <w:b w:val="0"/>
          <w:color w:val="000000"/>
        </w:rPr>
        <w:t>支</w:t>
      </w:r>
      <w:r>
        <w:rPr>
          <w:rStyle w:val="30"/>
          <w:rFonts w:hint="eastAsia" w:ascii="仿宋" w:hAnsi="仿宋" w:eastAsia="仿宋"/>
          <w:b w:val="0"/>
          <w:bCs w:val="0"/>
        </w:rPr>
        <w:t>出决算表</w:t>
      </w:r>
      <w:bookmarkEnd w:id="127"/>
      <w:bookmarkEnd w:id="128"/>
      <w:bookmarkEnd w:id="129"/>
    </w:p>
    <w:p w14:paraId="109220CE">
      <w:pPr>
        <w:pStyle w:val="5"/>
        <w:rPr>
          <w:rFonts w:ascii="仿宋" w:hAnsi="仿宋" w:eastAsia="仿宋"/>
          <w:b w:val="0"/>
          <w:color w:val="000000"/>
        </w:rPr>
      </w:pPr>
      <w:bookmarkStart w:id="130" w:name="_Toc15396622"/>
      <w:bookmarkStart w:id="131" w:name="_Toc79163639"/>
      <w:bookmarkStart w:id="132" w:name="_Toc28052"/>
      <w:r>
        <w:rPr>
          <w:rStyle w:val="30"/>
          <w:rFonts w:hint="eastAsia" w:ascii="仿宋" w:hAnsi="仿宋" w:eastAsia="仿宋"/>
          <w:b w:val="0"/>
          <w:bCs w:val="0"/>
        </w:rPr>
        <w:t>四、</w:t>
      </w:r>
      <w:r>
        <w:rPr>
          <w:rFonts w:hint="eastAsia" w:ascii="仿宋" w:hAnsi="仿宋" w:eastAsia="仿宋"/>
          <w:b w:val="0"/>
          <w:color w:val="000000"/>
        </w:rPr>
        <w:t>财</w:t>
      </w:r>
      <w:r>
        <w:rPr>
          <w:rStyle w:val="30"/>
          <w:rFonts w:hint="eastAsia" w:ascii="仿宋" w:hAnsi="仿宋" w:eastAsia="仿宋"/>
          <w:b w:val="0"/>
          <w:bCs w:val="0"/>
        </w:rPr>
        <w:t>政拨款收入支出决算总表</w:t>
      </w:r>
      <w:bookmarkEnd w:id="130"/>
      <w:bookmarkEnd w:id="131"/>
      <w:bookmarkEnd w:id="132"/>
    </w:p>
    <w:p w14:paraId="3322FE55">
      <w:pPr>
        <w:pStyle w:val="5"/>
        <w:rPr>
          <w:rStyle w:val="30"/>
          <w:rFonts w:ascii="仿宋" w:hAnsi="仿宋" w:eastAsia="仿宋"/>
          <w:b w:val="0"/>
          <w:bCs w:val="0"/>
        </w:rPr>
      </w:pPr>
      <w:bookmarkStart w:id="133" w:name="_Toc31661"/>
      <w:bookmarkStart w:id="134" w:name="_Toc79163640"/>
      <w:bookmarkStart w:id="135" w:name="_Toc15396623"/>
      <w:r>
        <w:rPr>
          <w:rStyle w:val="30"/>
          <w:rFonts w:hint="eastAsia" w:ascii="仿宋" w:hAnsi="仿宋" w:eastAsia="仿宋"/>
          <w:b w:val="0"/>
          <w:bCs w:val="0"/>
        </w:rPr>
        <w:t>五、</w:t>
      </w:r>
      <w:r>
        <w:rPr>
          <w:rFonts w:hint="eastAsia" w:ascii="仿宋" w:hAnsi="仿宋" w:eastAsia="仿宋"/>
          <w:b w:val="0"/>
          <w:color w:val="000000"/>
        </w:rPr>
        <w:t>财</w:t>
      </w:r>
      <w:r>
        <w:rPr>
          <w:rStyle w:val="30"/>
          <w:rFonts w:hint="eastAsia" w:ascii="仿宋" w:hAnsi="仿宋" w:eastAsia="仿宋"/>
          <w:b w:val="0"/>
          <w:bCs w:val="0"/>
        </w:rPr>
        <w:t>政拨款支出决算明细表</w:t>
      </w:r>
      <w:bookmarkEnd w:id="133"/>
      <w:bookmarkEnd w:id="134"/>
      <w:bookmarkEnd w:id="135"/>
      <w:bookmarkStart w:id="136" w:name="_Toc15396624"/>
    </w:p>
    <w:p w14:paraId="2D47D92F">
      <w:pPr>
        <w:pStyle w:val="5"/>
        <w:rPr>
          <w:rFonts w:ascii="仿宋" w:hAnsi="仿宋" w:eastAsia="仿宋"/>
          <w:color w:val="000000"/>
        </w:rPr>
      </w:pPr>
      <w:bookmarkStart w:id="137" w:name="_Toc79163641"/>
      <w:bookmarkStart w:id="138" w:name="_Toc29728"/>
      <w:r>
        <w:rPr>
          <w:rStyle w:val="30"/>
          <w:rFonts w:hint="eastAsia" w:ascii="仿宋" w:hAnsi="仿宋" w:eastAsia="仿宋"/>
          <w:b w:val="0"/>
          <w:bCs w:val="0"/>
        </w:rPr>
        <w:t>六、</w:t>
      </w:r>
      <w:r>
        <w:rPr>
          <w:rFonts w:hint="eastAsia" w:ascii="仿宋" w:hAnsi="仿宋" w:eastAsia="仿宋"/>
          <w:b w:val="0"/>
          <w:color w:val="000000"/>
        </w:rPr>
        <w:t>一</w:t>
      </w:r>
      <w:r>
        <w:rPr>
          <w:rStyle w:val="30"/>
          <w:rFonts w:hint="eastAsia" w:ascii="仿宋" w:hAnsi="仿宋" w:eastAsia="仿宋"/>
          <w:b w:val="0"/>
          <w:bCs w:val="0"/>
        </w:rPr>
        <w:t>般公共预算财政拨款支出决算表</w:t>
      </w:r>
      <w:bookmarkEnd w:id="136"/>
      <w:bookmarkEnd w:id="137"/>
      <w:bookmarkEnd w:id="138"/>
    </w:p>
    <w:p w14:paraId="1BE94821">
      <w:pPr>
        <w:pStyle w:val="5"/>
        <w:rPr>
          <w:rFonts w:ascii="仿宋" w:hAnsi="仿宋" w:eastAsia="仿宋"/>
          <w:color w:val="000000"/>
        </w:rPr>
      </w:pPr>
      <w:bookmarkStart w:id="139" w:name="_Toc15396625"/>
      <w:bookmarkStart w:id="140" w:name="_Toc14143"/>
      <w:bookmarkStart w:id="141" w:name="_Toc79163642"/>
      <w:r>
        <w:rPr>
          <w:rStyle w:val="30"/>
          <w:rFonts w:hint="eastAsia" w:ascii="仿宋" w:hAnsi="仿宋" w:eastAsia="仿宋"/>
          <w:b w:val="0"/>
          <w:bCs w:val="0"/>
        </w:rPr>
        <w:t>七、</w:t>
      </w:r>
      <w:r>
        <w:rPr>
          <w:rFonts w:hint="eastAsia" w:ascii="仿宋" w:hAnsi="仿宋" w:eastAsia="仿宋"/>
          <w:b w:val="0"/>
          <w:color w:val="000000"/>
        </w:rPr>
        <w:t>一</w:t>
      </w:r>
      <w:r>
        <w:rPr>
          <w:rStyle w:val="30"/>
          <w:rFonts w:hint="eastAsia" w:ascii="仿宋" w:hAnsi="仿宋" w:eastAsia="仿宋"/>
          <w:b w:val="0"/>
          <w:bCs w:val="0"/>
        </w:rPr>
        <w:t>般公共预算财政拨款支出决算明细表</w:t>
      </w:r>
      <w:bookmarkEnd w:id="139"/>
      <w:bookmarkEnd w:id="140"/>
      <w:bookmarkEnd w:id="141"/>
    </w:p>
    <w:p w14:paraId="684CA196">
      <w:pPr>
        <w:pStyle w:val="5"/>
        <w:rPr>
          <w:rFonts w:ascii="仿宋" w:hAnsi="仿宋" w:eastAsia="仿宋"/>
          <w:color w:val="000000"/>
        </w:rPr>
      </w:pPr>
      <w:bookmarkStart w:id="142" w:name="_Toc15396626"/>
      <w:bookmarkStart w:id="143" w:name="_Toc27243"/>
      <w:bookmarkStart w:id="144" w:name="_Toc79163643"/>
      <w:r>
        <w:rPr>
          <w:rStyle w:val="30"/>
          <w:rFonts w:hint="eastAsia" w:ascii="仿宋" w:hAnsi="仿宋" w:eastAsia="仿宋"/>
          <w:b w:val="0"/>
          <w:bCs w:val="0"/>
        </w:rPr>
        <w:t>八、</w:t>
      </w:r>
      <w:r>
        <w:rPr>
          <w:rFonts w:hint="eastAsia" w:ascii="仿宋" w:hAnsi="仿宋" w:eastAsia="仿宋"/>
          <w:b w:val="0"/>
          <w:color w:val="000000"/>
        </w:rPr>
        <w:t>一</w:t>
      </w:r>
      <w:r>
        <w:rPr>
          <w:rStyle w:val="30"/>
          <w:rFonts w:hint="eastAsia" w:ascii="仿宋" w:hAnsi="仿宋" w:eastAsia="仿宋"/>
          <w:b w:val="0"/>
          <w:bCs w:val="0"/>
        </w:rPr>
        <w:t>般公共预算财政拨款基本支出决算表</w:t>
      </w:r>
      <w:bookmarkEnd w:id="142"/>
      <w:bookmarkEnd w:id="143"/>
      <w:bookmarkEnd w:id="144"/>
    </w:p>
    <w:p w14:paraId="708B231F">
      <w:pPr>
        <w:pStyle w:val="5"/>
        <w:rPr>
          <w:rFonts w:ascii="仿宋" w:hAnsi="仿宋" w:eastAsia="仿宋"/>
          <w:color w:val="000000"/>
        </w:rPr>
      </w:pPr>
      <w:bookmarkStart w:id="145" w:name="_Toc79163644"/>
      <w:bookmarkStart w:id="146" w:name="_Toc5502"/>
      <w:bookmarkStart w:id="147" w:name="_Toc15396627"/>
      <w:r>
        <w:rPr>
          <w:rStyle w:val="30"/>
          <w:rFonts w:hint="eastAsia" w:ascii="仿宋" w:hAnsi="仿宋" w:eastAsia="仿宋"/>
          <w:b w:val="0"/>
          <w:bCs w:val="0"/>
        </w:rPr>
        <w:t>九、</w:t>
      </w:r>
      <w:r>
        <w:rPr>
          <w:rFonts w:hint="eastAsia" w:ascii="仿宋" w:hAnsi="仿宋" w:eastAsia="仿宋"/>
          <w:b w:val="0"/>
          <w:color w:val="000000"/>
        </w:rPr>
        <w:t>一</w:t>
      </w:r>
      <w:r>
        <w:rPr>
          <w:rStyle w:val="30"/>
          <w:rFonts w:hint="eastAsia" w:ascii="仿宋" w:hAnsi="仿宋" w:eastAsia="仿宋"/>
          <w:b w:val="0"/>
          <w:bCs w:val="0"/>
        </w:rPr>
        <w:t>般公共预算财政拨款项目支出决算表</w:t>
      </w:r>
      <w:bookmarkEnd w:id="145"/>
      <w:bookmarkEnd w:id="146"/>
      <w:bookmarkEnd w:id="147"/>
    </w:p>
    <w:p w14:paraId="6876E7CD">
      <w:pPr>
        <w:pStyle w:val="5"/>
        <w:rPr>
          <w:rFonts w:ascii="仿宋" w:hAnsi="仿宋" w:eastAsia="仿宋"/>
          <w:color w:val="000000"/>
        </w:rPr>
      </w:pPr>
      <w:bookmarkStart w:id="148" w:name="_Toc22516"/>
      <w:bookmarkStart w:id="149" w:name="_Toc15396628"/>
      <w:bookmarkStart w:id="150" w:name="_Toc79163645"/>
      <w:r>
        <w:rPr>
          <w:rStyle w:val="30"/>
          <w:rFonts w:hint="eastAsia" w:ascii="仿宋" w:hAnsi="仿宋" w:eastAsia="仿宋"/>
          <w:b w:val="0"/>
          <w:bCs w:val="0"/>
        </w:rPr>
        <w:t>十、</w:t>
      </w:r>
      <w:r>
        <w:rPr>
          <w:rFonts w:hint="eastAsia" w:ascii="仿宋" w:hAnsi="仿宋" w:eastAsia="仿宋"/>
          <w:b w:val="0"/>
          <w:color w:val="000000"/>
        </w:rPr>
        <w:t>一</w:t>
      </w:r>
      <w:r>
        <w:rPr>
          <w:rStyle w:val="30"/>
          <w:rFonts w:hint="eastAsia" w:ascii="仿宋" w:hAnsi="仿宋" w:eastAsia="仿宋"/>
          <w:b w:val="0"/>
          <w:bCs w:val="0"/>
        </w:rPr>
        <w:t>般公共预算财政拨款“三公”经费支出决算表</w:t>
      </w:r>
      <w:bookmarkEnd w:id="148"/>
      <w:bookmarkEnd w:id="149"/>
      <w:bookmarkEnd w:id="150"/>
    </w:p>
    <w:p w14:paraId="29CCC453">
      <w:pPr>
        <w:pStyle w:val="5"/>
        <w:rPr>
          <w:rFonts w:ascii="仿宋" w:hAnsi="仿宋" w:eastAsia="仿宋"/>
          <w:color w:val="000000"/>
        </w:rPr>
      </w:pPr>
      <w:bookmarkStart w:id="151" w:name="_Toc15396629"/>
      <w:bookmarkStart w:id="152" w:name="_Toc20787"/>
      <w:bookmarkStart w:id="153" w:name="_Toc79163646"/>
      <w:r>
        <w:rPr>
          <w:rStyle w:val="30"/>
          <w:rFonts w:hint="eastAsia" w:ascii="仿宋" w:hAnsi="仿宋" w:eastAsia="仿宋"/>
          <w:b w:val="0"/>
          <w:bCs w:val="0"/>
        </w:rPr>
        <w:t>十一、</w:t>
      </w:r>
      <w:r>
        <w:rPr>
          <w:rFonts w:hint="eastAsia" w:ascii="仿宋" w:hAnsi="仿宋" w:eastAsia="仿宋"/>
          <w:b w:val="0"/>
          <w:color w:val="000000"/>
        </w:rPr>
        <w:t>政</w:t>
      </w:r>
      <w:r>
        <w:rPr>
          <w:rStyle w:val="30"/>
          <w:rFonts w:hint="eastAsia" w:ascii="仿宋" w:hAnsi="仿宋" w:eastAsia="仿宋"/>
          <w:b w:val="0"/>
          <w:bCs w:val="0"/>
        </w:rPr>
        <w:t>府性基金预算财政拨款收入支出决算表</w:t>
      </w:r>
      <w:bookmarkEnd w:id="151"/>
      <w:bookmarkEnd w:id="152"/>
      <w:bookmarkEnd w:id="153"/>
    </w:p>
    <w:p w14:paraId="59040F93">
      <w:pPr>
        <w:pStyle w:val="5"/>
        <w:rPr>
          <w:rFonts w:ascii="仿宋" w:hAnsi="仿宋" w:eastAsia="仿宋"/>
          <w:color w:val="000000"/>
        </w:rPr>
      </w:pPr>
      <w:bookmarkStart w:id="154" w:name="_Toc79163647"/>
      <w:bookmarkStart w:id="155" w:name="_Toc15396630"/>
      <w:bookmarkStart w:id="156" w:name="_Toc16510"/>
      <w:r>
        <w:rPr>
          <w:rStyle w:val="30"/>
          <w:rFonts w:hint="eastAsia" w:ascii="仿宋" w:hAnsi="仿宋" w:eastAsia="仿宋"/>
          <w:b w:val="0"/>
          <w:bCs w:val="0"/>
        </w:rPr>
        <w:t>十二、</w:t>
      </w:r>
      <w:r>
        <w:rPr>
          <w:rFonts w:hint="eastAsia" w:ascii="仿宋" w:hAnsi="仿宋" w:eastAsia="仿宋"/>
          <w:b w:val="0"/>
          <w:color w:val="000000"/>
        </w:rPr>
        <w:t>政</w:t>
      </w:r>
      <w:r>
        <w:rPr>
          <w:rStyle w:val="30"/>
          <w:rFonts w:hint="eastAsia" w:ascii="仿宋" w:hAnsi="仿宋" w:eastAsia="仿宋"/>
          <w:b w:val="0"/>
          <w:bCs w:val="0"/>
        </w:rPr>
        <w:t>府性基金预算财政拨款“三公”经费支出决算表</w:t>
      </w:r>
      <w:bookmarkEnd w:id="154"/>
      <w:bookmarkEnd w:id="155"/>
      <w:bookmarkEnd w:id="156"/>
    </w:p>
    <w:p w14:paraId="37EEF0F0">
      <w:pPr>
        <w:pStyle w:val="5"/>
        <w:rPr>
          <w:rStyle w:val="30"/>
          <w:rFonts w:ascii="仿宋" w:hAnsi="仿宋" w:eastAsia="仿宋"/>
          <w:b w:val="0"/>
          <w:bCs w:val="0"/>
        </w:rPr>
      </w:pPr>
      <w:bookmarkStart w:id="157" w:name="_Toc79163648"/>
      <w:bookmarkStart w:id="158" w:name="_Toc15396631"/>
      <w:bookmarkStart w:id="159" w:name="_Toc19124"/>
      <w:r>
        <w:rPr>
          <w:rStyle w:val="30"/>
          <w:rFonts w:hint="eastAsia" w:ascii="仿宋" w:hAnsi="仿宋" w:eastAsia="仿宋"/>
          <w:b w:val="0"/>
          <w:bCs w:val="0"/>
        </w:rPr>
        <w:t>十三、</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bookmarkEnd w:id="157"/>
      <w:bookmarkEnd w:id="158"/>
      <w:bookmarkEnd w:id="159"/>
    </w:p>
    <w:p w14:paraId="6E2D6BBA">
      <w:pPr>
        <w:pStyle w:val="5"/>
        <w:rPr>
          <w:rStyle w:val="30"/>
          <w:rFonts w:ascii="仿宋" w:hAnsi="仿宋" w:eastAsia="仿宋"/>
          <w:b w:val="0"/>
          <w:bCs w:val="0"/>
        </w:rPr>
      </w:pPr>
      <w:bookmarkStart w:id="160" w:name="_Toc79163649"/>
      <w:bookmarkStart w:id="161" w:name="_Toc10304"/>
      <w:r>
        <w:rPr>
          <w:rStyle w:val="30"/>
          <w:rFonts w:hint="eastAsia" w:ascii="仿宋" w:hAnsi="仿宋" w:eastAsia="仿宋"/>
          <w:b w:val="0"/>
          <w:bCs w:val="0"/>
        </w:rPr>
        <w:t>十四、国有资本经营预算财政拨款支出决算表</w:t>
      </w:r>
      <w:bookmarkEnd w:id="160"/>
      <w:bookmarkEnd w:id="161"/>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
    <w:altName w:val="宋体"/>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93B3">
    <w:pPr>
      <w:pStyle w:val="14"/>
      <w:jc w:val="center"/>
    </w:pPr>
    <w:r>
      <w:fldChar w:fldCharType="begin"/>
    </w:r>
    <w:r>
      <w:instrText xml:space="preserve">PAGE   \* MERGEFORMAT</w:instrText>
    </w:r>
    <w:r>
      <w:fldChar w:fldCharType="separate"/>
    </w:r>
    <w:r>
      <w:t>25</w:t>
    </w:r>
    <w:r>
      <w:fldChar w:fldCharType="end"/>
    </w:r>
  </w:p>
  <w:p w14:paraId="0323FA2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B5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476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06CCE1D5"/>
    <w:multiLevelType w:val="singleLevel"/>
    <w:tmpl w:val="06CCE1D5"/>
    <w:lvl w:ilvl="0" w:tentative="0">
      <w:start w:val="4"/>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B905EE6"/>
    <w:multiLevelType w:val="singleLevel"/>
    <w:tmpl w:val="2B905EE6"/>
    <w:lvl w:ilvl="0" w:tentative="0">
      <w:start w:val="4"/>
      <w:numFmt w:val="decimal"/>
      <w:suff w:val="nothing"/>
      <w:lvlText w:val="%1、"/>
      <w:lvlJc w:val="left"/>
    </w:lvl>
  </w:abstractNum>
  <w:abstractNum w:abstractNumId="5">
    <w:nsid w:val="43BF398C"/>
    <w:multiLevelType w:val="singleLevel"/>
    <w:tmpl w:val="43BF398C"/>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NlYmU3NGU2NGQ5ZDViNDUxMTZkNjBhMzg5ZjY4NT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2B96468"/>
    <w:rsid w:val="0A2032A3"/>
    <w:rsid w:val="0CC84116"/>
    <w:rsid w:val="10C055FF"/>
    <w:rsid w:val="111D6E87"/>
    <w:rsid w:val="118107EC"/>
    <w:rsid w:val="132023F7"/>
    <w:rsid w:val="163C4F8E"/>
    <w:rsid w:val="16BB723D"/>
    <w:rsid w:val="1D155CEE"/>
    <w:rsid w:val="1F8A45CD"/>
    <w:rsid w:val="1FB86E31"/>
    <w:rsid w:val="22437A53"/>
    <w:rsid w:val="240371BF"/>
    <w:rsid w:val="29FD04D3"/>
    <w:rsid w:val="2D004C0F"/>
    <w:rsid w:val="2D0637A8"/>
    <w:rsid w:val="319F7F4E"/>
    <w:rsid w:val="326B7F22"/>
    <w:rsid w:val="335C6514"/>
    <w:rsid w:val="3B015A41"/>
    <w:rsid w:val="4ECE2238"/>
    <w:rsid w:val="588A4517"/>
    <w:rsid w:val="5D1555AB"/>
    <w:rsid w:val="5DC97BCB"/>
    <w:rsid w:val="5F385194"/>
    <w:rsid w:val="61CB62CF"/>
    <w:rsid w:val="670441FA"/>
    <w:rsid w:val="6C4A05C8"/>
    <w:rsid w:val="6E4D34AC"/>
    <w:rsid w:val="72734D90"/>
    <w:rsid w:val="73944A74"/>
    <w:rsid w:val="7F076C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qFormat/>
    <w:uiPriority w:val="0"/>
    <w:pPr>
      <w:spacing w:after="120"/>
      <w:ind w:leftChars="200"/>
    </w:pPr>
    <w:rPr>
      <w:rFonts w:ascii="仿宋_GB2312"/>
      <w:szCs w:val="32"/>
    </w:r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index 8"/>
    <w:basedOn w:val="1"/>
    <w:next w:val="1"/>
    <w:unhideWhenUsed/>
    <w:qFormat/>
    <w:uiPriority w:val="99"/>
    <w:pPr>
      <w:ind w:left="2940"/>
    </w:pPr>
  </w:style>
  <w:style w:type="paragraph" w:styleId="9">
    <w:name w:val="Body Text"/>
    <w:basedOn w:val="1"/>
    <w:next w:val="8"/>
    <w:link w:val="38"/>
    <w:qFormat/>
    <w:uiPriority w:val="99"/>
    <w:pPr>
      <w:spacing w:beforeLines="30"/>
    </w:pPr>
    <w:rPr>
      <w:rFonts w:ascii="仿宋_GB2312" w:eastAsia="仿宋_GB2312"/>
      <w:kern w:val="0"/>
      <w:sz w:val="24"/>
      <w:szCs w:val="20"/>
      <w:lang w:val="zh-CN"/>
    </w:r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33"/>
    <w:semiHidden/>
    <w:unhideWhenUsed/>
    <w:qFormat/>
    <w:uiPriority w:val="99"/>
    <w:rPr>
      <w:sz w:val="18"/>
      <w:szCs w:val="18"/>
    </w:rPr>
  </w:style>
  <w:style w:type="paragraph" w:styleId="14">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6"/>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footnote text"/>
    <w:basedOn w:val="1"/>
    <w:next w:val="2"/>
    <w:semiHidden/>
    <w:qFormat/>
    <w:uiPriority w:val="0"/>
    <w:pPr>
      <w:snapToGrid w:val="0"/>
      <w:jc w:val="left"/>
    </w:pPr>
    <w:rPr>
      <w:sz w:val="18"/>
      <w:szCs w:val="18"/>
    </w:rPr>
  </w:style>
  <w:style w:type="paragraph" w:styleId="19">
    <w:name w:val="toc 6"/>
    <w:basedOn w:val="1"/>
    <w:next w:val="1"/>
    <w:unhideWhenUsed/>
    <w:qFormat/>
    <w:uiPriority w:val="39"/>
    <w:pPr>
      <w:ind w:left="1050"/>
      <w:jc w:val="left"/>
    </w:pPr>
    <w:rPr>
      <w:rFonts w:asciiTheme="minorHAnsi" w:eastAsiaTheme="minorHAnsi"/>
      <w:sz w:val="18"/>
      <w:szCs w:val="18"/>
    </w:rPr>
  </w:style>
  <w:style w:type="paragraph" w:styleId="20">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1">
    <w:name w:val="toc 2"/>
    <w:basedOn w:val="1"/>
    <w:next w:val="1"/>
    <w:unhideWhenUsed/>
    <w:qFormat/>
    <w:uiPriority w:val="39"/>
    <w:pPr>
      <w:ind w:left="210"/>
      <w:jc w:val="left"/>
    </w:pPr>
    <w:rPr>
      <w:rFonts w:asciiTheme="minorHAnsi" w:eastAsiaTheme="minorHAnsi"/>
      <w:smallCaps/>
      <w:sz w:val="20"/>
      <w:szCs w:val="20"/>
    </w:rPr>
  </w:style>
  <w:style w:type="paragraph" w:styleId="22">
    <w:name w:val="toc 9"/>
    <w:basedOn w:val="1"/>
    <w:next w:val="1"/>
    <w:unhideWhenUsed/>
    <w:qFormat/>
    <w:uiPriority w:val="39"/>
    <w:pPr>
      <w:ind w:left="1680"/>
      <w:jc w:val="left"/>
    </w:pPr>
    <w:rPr>
      <w:rFonts w:asciiTheme="minorHAnsi" w:eastAsiaTheme="minorHAnsi"/>
      <w:sz w:val="18"/>
      <w:szCs w:val="18"/>
    </w:rPr>
  </w:style>
  <w:style w:type="paragraph" w:styleId="23">
    <w:name w:val="Normal (Web)"/>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bidi="ar-SA"/>
    </w:rPr>
  </w:style>
  <w:style w:type="character" w:styleId="26">
    <w:name w:val="Strong"/>
    <w:basedOn w:val="25"/>
    <w:qFormat/>
    <w:uiPriority w:val="99"/>
    <w:rPr>
      <w:rFonts w:cs="Times New Roman"/>
      <w:b/>
    </w:rPr>
  </w:style>
  <w:style w:type="character" w:styleId="27">
    <w:name w:val="Hyperlink"/>
    <w:basedOn w:val="25"/>
    <w:unhideWhenUsed/>
    <w:qFormat/>
    <w:uiPriority w:val="99"/>
    <w:rPr>
      <w:rFonts w:cs="Times New Roman"/>
      <w:color w:val="0000FF"/>
      <w:u w:val="single"/>
    </w:rPr>
  </w:style>
  <w:style w:type="paragraph" w:customStyle="1" w:styleId="28">
    <w:name w:val="列出段落1"/>
    <w:basedOn w:val="1"/>
    <w:qFormat/>
    <w:uiPriority w:val="34"/>
    <w:pPr>
      <w:ind w:firstLine="420" w:firstLineChars="200"/>
    </w:pPr>
    <w:rPr>
      <w:rFonts w:ascii="Calibri" w:hAnsi="Calibri" w:eastAsia="宋体" w:cs="Times New Roman"/>
    </w:rPr>
  </w:style>
  <w:style w:type="character" w:customStyle="1" w:styleId="29">
    <w:name w:val="标题 1 Char"/>
    <w:basedOn w:val="25"/>
    <w:link w:val="4"/>
    <w:qFormat/>
    <w:locked/>
    <w:uiPriority w:val="9"/>
    <w:rPr>
      <w:rFonts w:ascii="Times New Roman" w:hAnsi="Times New Roman" w:cs="Times New Roman"/>
      <w:b/>
      <w:bCs/>
      <w:kern w:val="44"/>
      <w:sz w:val="44"/>
      <w:szCs w:val="44"/>
    </w:rPr>
  </w:style>
  <w:style w:type="character" w:customStyle="1" w:styleId="30">
    <w:name w:val="标题 2 Char"/>
    <w:basedOn w:val="25"/>
    <w:link w:val="5"/>
    <w:qFormat/>
    <w:locked/>
    <w:uiPriority w:val="9"/>
    <w:rPr>
      <w:rFonts w:ascii="Cambria" w:hAnsi="Cambria" w:eastAsia="宋体" w:cs="Times New Roman"/>
      <w:b/>
      <w:bCs/>
      <w:kern w:val="2"/>
      <w:sz w:val="32"/>
      <w:szCs w:val="32"/>
    </w:rPr>
  </w:style>
  <w:style w:type="character" w:customStyle="1" w:styleId="31">
    <w:name w:val="标题 3 Char"/>
    <w:basedOn w:val="25"/>
    <w:link w:val="6"/>
    <w:qFormat/>
    <w:locked/>
    <w:uiPriority w:val="9"/>
    <w:rPr>
      <w:rFonts w:ascii="Times New Roman" w:hAnsi="Times New Roman" w:cs="Times New Roman"/>
      <w:b/>
      <w:bCs/>
      <w:kern w:val="2"/>
      <w:sz w:val="32"/>
      <w:szCs w:val="32"/>
    </w:rPr>
  </w:style>
  <w:style w:type="character" w:customStyle="1" w:styleId="32">
    <w:name w:val="Body Text Char"/>
    <w:basedOn w:val="25"/>
    <w:semiHidden/>
    <w:qFormat/>
    <w:uiPriority w:val="99"/>
    <w:rPr>
      <w:rFonts w:ascii="Times New Roman" w:hAnsi="Times New Roman" w:cs="Times New Roman"/>
      <w:sz w:val="24"/>
      <w:szCs w:val="24"/>
    </w:rPr>
  </w:style>
  <w:style w:type="character" w:customStyle="1" w:styleId="33">
    <w:name w:val="批注框文本 Char"/>
    <w:basedOn w:val="25"/>
    <w:link w:val="13"/>
    <w:semiHidden/>
    <w:qFormat/>
    <w:locked/>
    <w:uiPriority w:val="99"/>
    <w:rPr>
      <w:rFonts w:ascii="Times New Roman" w:hAnsi="Times New Roman" w:cs="Times New Roman"/>
      <w:kern w:val="2"/>
      <w:sz w:val="18"/>
      <w:szCs w:val="18"/>
    </w:rPr>
  </w:style>
  <w:style w:type="character" w:customStyle="1" w:styleId="34">
    <w:name w:val="Footer Char"/>
    <w:basedOn w:val="25"/>
    <w:semiHidden/>
    <w:qFormat/>
    <w:uiPriority w:val="99"/>
    <w:rPr>
      <w:rFonts w:ascii="Times New Roman" w:hAnsi="Times New Roman" w:cs="Times New Roman"/>
      <w:sz w:val="18"/>
      <w:szCs w:val="18"/>
    </w:rPr>
  </w:style>
  <w:style w:type="character" w:customStyle="1" w:styleId="35">
    <w:name w:val="Header Char"/>
    <w:basedOn w:val="25"/>
    <w:semiHidden/>
    <w:qFormat/>
    <w:uiPriority w:val="99"/>
    <w:rPr>
      <w:rFonts w:ascii="Times New Roman" w:hAnsi="Times New Roman" w:cs="Times New Roman"/>
      <w:sz w:val="18"/>
      <w:szCs w:val="18"/>
    </w:rPr>
  </w:style>
  <w:style w:type="character" w:customStyle="1" w:styleId="36">
    <w:name w:val="页眉 Char"/>
    <w:link w:val="15"/>
    <w:semiHidden/>
    <w:qFormat/>
    <w:locked/>
    <w:uiPriority w:val="99"/>
    <w:rPr>
      <w:sz w:val="18"/>
    </w:rPr>
  </w:style>
  <w:style w:type="character" w:customStyle="1" w:styleId="37">
    <w:name w:val="页脚 Char"/>
    <w:link w:val="14"/>
    <w:qFormat/>
    <w:locked/>
    <w:uiPriority w:val="99"/>
    <w:rPr>
      <w:sz w:val="18"/>
    </w:rPr>
  </w:style>
  <w:style w:type="character" w:customStyle="1" w:styleId="38">
    <w:name w:val="正文文本 Char"/>
    <w:link w:val="9"/>
    <w:qFormat/>
    <w:locked/>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2.png"/><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2270;&#34920;&#24555;&#2546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2270;&#34920;&#24555;&#25463;.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2270;&#34920;&#24555;&#2546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2270;&#34920;&#24555;&#2546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2270;&#34920;&#24555;&#2546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2270;&#34920;&#24555;&#2546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210;&#26126;&#26480;\&#20210;&#26126;&#26480;\WeChat%20Files\wxid_1gbp56i1t6o422\FileStorage\File\2024-10\&#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[图表快捷.xls]Sheet1!$A$3:$B$3</c:f>
              <c:strCache>
                <c:ptCount val="2"/>
                <c:pt idx="0">
                  <c:v>2023年</c:v>
                </c:pt>
                <c:pt idx="1">
                  <c:v>2024年</c:v>
                </c:pt>
              </c:strCache>
            </c:strRef>
          </c:cat>
          <c:val>
            <c:numRef>
              <c:f>[图表快捷.xls]Sheet1!$A$4:$B$4</c:f>
              <c:numCache>
                <c:formatCode>#,##0.00</c:formatCode>
                <c:ptCount val="2"/>
                <c:pt idx="0">
                  <c:v>222.55</c:v>
                </c:pt>
                <c:pt idx="1">
                  <c:v>223.64</c:v>
                </c:pt>
              </c:numCache>
            </c:numRef>
          </c:val>
        </c:ser>
        <c:dLbls>
          <c:showLegendKey val="0"/>
          <c:showVal val="0"/>
          <c:showCatName val="0"/>
          <c:showSerName val="0"/>
          <c:showPercent val="0"/>
          <c:showBubbleSize val="0"/>
        </c:dLbls>
        <c:gapWidth val="219"/>
        <c:overlap val="-27"/>
        <c:axId val="824881662"/>
        <c:axId val="952663897"/>
      </c:barChart>
      <c:catAx>
        <c:axId val="8248816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663897"/>
        <c:crosses val="autoZero"/>
        <c:auto val="1"/>
        <c:lblAlgn val="ctr"/>
        <c:lblOffset val="100"/>
        <c:noMultiLvlLbl val="0"/>
      </c:catAx>
      <c:valAx>
        <c:axId val="95266389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881662"/>
        <c:crosses val="autoZero"/>
        <c:crossBetween val="between"/>
      </c:valAx>
      <c:spPr>
        <a:noFill/>
        <a:ln>
          <a:noFill/>
        </a:ln>
        <a:effectLst/>
      </c:spPr>
    </c:plotArea>
    <c:plotVisOnly val="1"/>
    <c:dispBlanksAs val="gap"/>
    <c:showDLblsOverMax val="0"/>
    <c:extLst>
      <c:ext uri="{0b15fc19-7d7d-44ad-8c2d-2c3a37ce22c3}">
        <chartProps xmlns="https://web.wps.cn/et/2018/main" chartId="{6a7626da-52e7-4000-8598-d37b2765520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[图表快捷.xls]Sheet1!$A$24:$B$24</c:f>
              <c:strCache>
                <c:ptCount val="2"/>
                <c:pt idx="0">
                  <c:v>2023年</c:v>
                </c:pt>
                <c:pt idx="1">
                  <c:v>2024年</c:v>
                </c:pt>
              </c:strCache>
            </c:strRef>
          </c:cat>
          <c:val>
            <c:numRef>
              <c:f>[图表快捷.xls]Sheet1!$A$25:$B$25</c:f>
              <c:numCache>
                <c:formatCode>#,##0.00</c:formatCode>
                <c:ptCount val="2"/>
                <c:pt idx="0">
                  <c:v>222.55</c:v>
                </c:pt>
                <c:pt idx="1">
                  <c:v>223.64</c:v>
                </c:pt>
              </c:numCache>
            </c:numRef>
          </c:val>
        </c:ser>
        <c:dLbls>
          <c:showLegendKey val="0"/>
          <c:showVal val="0"/>
          <c:showCatName val="0"/>
          <c:showSerName val="0"/>
          <c:showPercent val="0"/>
          <c:showBubbleSize val="0"/>
        </c:dLbls>
        <c:gapWidth val="219"/>
        <c:overlap val="-27"/>
        <c:axId val="124089606"/>
        <c:axId val="149382473"/>
      </c:barChart>
      <c:catAx>
        <c:axId val="12408960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382473"/>
        <c:crosses val="autoZero"/>
        <c:auto val="1"/>
        <c:lblAlgn val="ctr"/>
        <c:lblOffset val="100"/>
        <c:noMultiLvlLbl val="0"/>
      </c:catAx>
      <c:valAx>
        <c:axId val="14938247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4089606"/>
        <c:crosses val="autoZero"/>
        <c:crossBetween val="between"/>
      </c:valAx>
      <c:spPr>
        <a:noFill/>
        <a:ln>
          <a:noFill/>
        </a:ln>
        <a:effectLst/>
      </c:spPr>
    </c:plotArea>
    <c:plotVisOnly val="1"/>
    <c:dispBlanksAs val="gap"/>
    <c:showDLblsOverMax val="0"/>
    <c:extLst>
      <c:ext uri="{0b15fc19-7d7d-44ad-8c2d-2c3a37ce22c3}">
        <chartProps xmlns="https://web.wps.cn/et/2018/main" chartId="{6771a83f-37c2-4528-959e-269aaea8966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222.55</c:v>
                </c:pt>
                <c:pt idx="1">
                  <c:v>0</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567512a-07d4-484c-bc9a-6727251c236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[图表快捷.xls]Sheet1!$A$83:$B$83</c:f>
              <c:strCache>
                <c:ptCount val="2"/>
                <c:pt idx="0">
                  <c:v>2023年</c:v>
                </c:pt>
                <c:pt idx="1">
                  <c:v>2024年</c:v>
                </c:pt>
              </c:strCache>
            </c:strRef>
          </c:cat>
          <c:val>
            <c:numRef>
              <c:f>[图表快捷.xls]Sheet1!$A$84:$B$84</c:f>
              <c:numCache>
                <c:formatCode>#,##0.00</c:formatCode>
                <c:ptCount val="2"/>
                <c:pt idx="0">
                  <c:v>222.55</c:v>
                </c:pt>
                <c:pt idx="1">
                  <c:v>223.64</c:v>
                </c:pt>
              </c:numCache>
            </c:numRef>
          </c:val>
        </c:ser>
        <c:dLbls>
          <c:showLegendKey val="0"/>
          <c:showVal val="0"/>
          <c:showCatName val="0"/>
          <c:showSerName val="0"/>
          <c:showPercent val="0"/>
          <c:showBubbleSize val="0"/>
        </c:dLbls>
        <c:gapWidth val="219"/>
        <c:overlap val="-27"/>
        <c:axId val="196324847"/>
        <c:axId val="623832543"/>
      </c:barChart>
      <c:catAx>
        <c:axId val="1963248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3832543"/>
        <c:crosses val="autoZero"/>
        <c:auto val="1"/>
        <c:lblAlgn val="ctr"/>
        <c:lblOffset val="100"/>
        <c:noMultiLvlLbl val="0"/>
      </c:catAx>
      <c:valAx>
        <c:axId val="623832543"/>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324847"/>
        <c:crosses val="autoZero"/>
        <c:crossBetween val="between"/>
      </c:valAx>
      <c:spPr>
        <a:noFill/>
        <a:ln>
          <a:noFill/>
        </a:ln>
        <a:effectLst/>
      </c:spPr>
    </c:plotArea>
    <c:plotVisOnly val="1"/>
    <c:dispBlanksAs val="gap"/>
    <c:showDLblsOverMax val="0"/>
    <c:extLst>
      <c:ext uri="{0b15fc19-7d7d-44ad-8c2d-2c3a37ce22c3}">
        <chartProps xmlns="https://web.wps.cn/et/2018/main" chartId="{0f36d934-d0b2-400b-ad55-a3b5ea235b6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[图表快捷.xls]Sheet1!$A$100:$B$100</c:f>
              <c:strCache>
                <c:ptCount val="2"/>
                <c:pt idx="0">
                  <c:v>2023年</c:v>
                </c:pt>
                <c:pt idx="1">
                  <c:v>2024年</c:v>
                </c:pt>
              </c:strCache>
            </c:strRef>
          </c:cat>
          <c:val>
            <c:numRef>
              <c:f>[图表快捷.xls]Sheet1!$A$101:$B$101</c:f>
              <c:numCache>
                <c:formatCode>#,##0.00</c:formatCode>
                <c:ptCount val="2"/>
                <c:pt idx="0">
                  <c:v>222.55</c:v>
                </c:pt>
                <c:pt idx="1">
                  <c:v>223.64</c:v>
                </c:pt>
              </c:numCache>
            </c:numRef>
          </c:val>
        </c:ser>
        <c:dLbls>
          <c:showLegendKey val="0"/>
          <c:showVal val="0"/>
          <c:showCatName val="0"/>
          <c:showSerName val="0"/>
          <c:showPercent val="0"/>
          <c:showBubbleSize val="0"/>
        </c:dLbls>
        <c:gapWidth val="219"/>
        <c:overlap val="-27"/>
        <c:axId val="707477475"/>
        <c:axId val="644998041"/>
      </c:barChart>
      <c:catAx>
        <c:axId val="70747747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998041"/>
        <c:crosses val="autoZero"/>
        <c:auto val="1"/>
        <c:lblAlgn val="ctr"/>
        <c:lblOffset val="100"/>
        <c:noMultiLvlLbl val="0"/>
      </c:catAx>
      <c:valAx>
        <c:axId val="64499804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477475"/>
        <c:crosses val="autoZero"/>
        <c:crossBetween val="between"/>
      </c:valAx>
      <c:spPr>
        <a:noFill/>
        <a:ln>
          <a:noFill/>
        </a:ln>
        <a:effectLst/>
      </c:spPr>
    </c:plotArea>
    <c:plotVisOnly val="1"/>
    <c:dispBlanksAs val="gap"/>
    <c:showDLblsOverMax val="0"/>
    <c:extLst>
      <c:ext uri="{0b15fc19-7d7d-44ad-8c2d-2c3a37ce22c3}">
        <chartProps xmlns="https://web.wps.cn/et/2018/main" chartId="{813e7578-3c56-47e9-9dd2-418c86258a9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[图表快捷.xls]Sheet1!$A$116:$B$116</c:f>
              <c:strCache>
                <c:ptCount val="2"/>
                <c:pt idx="0">
                  <c:v>2023年</c:v>
                </c:pt>
                <c:pt idx="1">
                  <c:v>2024年</c:v>
                </c:pt>
              </c:strCache>
            </c:strRef>
          </c:cat>
          <c:val>
            <c:numRef>
              <c:f>[图表快捷.xls]Sheet1!$A$117:$B$117</c:f>
              <c:numCache>
                <c:formatCode>#,##0.00</c:formatCode>
                <c:ptCount val="2"/>
                <c:pt idx="0">
                  <c:v>222.55</c:v>
                </c:pt>
                <c:pt idx="1">
                  <c:v>223.64</c:v>
                </c:pt>
              </c:numCache>
            </c:numRef>
          </c:val>
        </c:ser>
        <c:dLbls>
          <c:showLegendKey val="0"/>
          <c:showVal val="0"/>
          <c:showCatName val="0"/>
          <c:showSerName val="0"/>
          <c:showPercent val="0"/>
          <c:showBubbleSize val="0"/>
        </c:dLbls>
        <c:gapWidth val="219"/>
        <c:overlap val="-27"/>
        <c:axId val="589516765"/>
        <c:axId val="129884647"/>
      </c:barChart>
      <c:catAx>
        <c:axId val="589516765"/>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9884647"/>
        <c:crosses val="autoZero"/>
        <c:auto val="1"/>
        <c:lblAlgn val="ctr"/>
        <c:lblOffset val="100"/>
        <c:noMultiLvlLbl val="0"/>
      </c:catAx>
      <c:valAx>
        <c:axId val="129884647"/>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516765"/>
        <c:crosses val="autoZero"/>
        <c:crossBetween val="between"/>
      </c:valAx>
      <c:spPr>
        <a:noFill/>
        <a:ln>
          <a:noFill/>
        </a:ln>
        <a:effectLst/>
      </c:spPr>
    </c:plotArea>
    <c:plotVisOnly val="1"/>
    <c:dispBlanksAs val="gap"/>
    <c:showDLblsOverMax val="0"/>
    <c:extLst>
      <c:ext uri="{0b15fc19-7d7d-44ad-8c2d-2c3a37ce22c3}">
        <chartProps xmlns="https://web.wps.cn/et/2018/main" chartId="{536d742a-5ad7-4e5c-b3bd-c65f5dcb410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[图表快捷.xls]Sheet1!$C$140:$C$143</c:f>
              <c:strCache>
                <c:ptCount val="4"/>
                <c:pt idx="0">
                  <c:v>一般公共服务支出</c:v>
                </c:pt>
                <c:pt idx="1">
                  <c:v>社会保障和就业支出</c:v>
                </c:pt>
                <c:pt idx="2">
                  <c:v>卫生健康支出</c:v>
                </c:pt>
                <c:pt idx="3">
                  <c:v>住房保障支出</c:v>
                </c:pt>
              </c:strCache>
            </c:strRef>
          </c:cat>
          <c:val>
            <c:numRef>
              <c:f>[图表快捷.xls]Sheet1!$D$140:$D$143</c:f>
              <c:numCache>
                <c:formatCode>_ * #,##0.00_ ;_ * \-#,##0.00_ ;_ * "-"??_ ;_ @_ </c:formatCode>
                <c:ptCount val="4"/>
                <c:pt idx="0">
                  <c:v>164.24</c:v>
                </c:pt>
                <c:pt idx="1">
                  <c:v>30.31</c:v>
                </c:pt>
                <c:pt idx="2">
                  <c:v>11.97</c:v>
                </c:pt>
                <c:pt idx="3">
                  <c:v>17.13</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114318214133371"/>
          <c:y val="0.796589223924864"/>
          <c:w val="0.781032276411204"/>
          <c:h val="0.15991102323282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27eaf7-feea-42c0-8f49-c0974f1ab70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elete val="1"/>
          </c:dLbls>
          <c:cat>
            <c:strRef>
              <c:f>[决算公开分析图表.xls]Sheet1!$A$164:$A$166</c:f>
              <c:strCache>
                <c:ptCount val="3"/>
                <c:pt idx="0">
                  <c:v>因公出国（境）费</c:v>
                </c:pt>
                <c:pt idx="1">
                  <c:v>公务接待费</c:v>
                </c:pt>
                <c:pt idx="2">
                  <c:v>公务用车购置及运行维护费</c:v>
                </c:pt>
              </c:strCache>
            </c:strRef>
          </c:cat>
          <c:val>
            <c:numRef>
              <c:f>[决算公开分析图表.xls]Sheet1!$B$164:$B$166</c:f>
              <c:numCache>
                <c:formatCode>General</c:formatCode>
                <c:ptCount val="3"/>
                <c:pt idx="0">
                  <c:v>0</c:v>
                </c:pt>
                <c:pt idx="1">
                  <c:v>0</c:v>
                </c:pt>
                <c:pt idx="2">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329715620277511"/>
          <c:y val="0.894993894993895"/>
          <c:w val="0.928698997114988"/>
          <c:h val="0.077533577533577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f461c87-776e-4c0f-a080-553155d4a43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8620</Words>
  <Characters>9188</Characters>
  <Lines>74</Lines>
  <Paragraphs>21</Paragraphs>
  <TotalTime>0</TotalTime>
  <ScaleCrop>false</ScaleCrop>
  <LinksUpToDate>false</LinksUpToDate>
  <CharactersWithSpaces>9259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怪</cp:lastModifiedBy>
  <cp:lastPrinted>2021-07-29T03:56:00Z</cp:lastPrinted>
  <dcterms:modified xsi:type="dcterms:W3CDTF">2025-10-15T03:54:09Z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8183EF685DCE403F82BCB21F70CD30A2</vt:lpwstr>
  </property>
  <property fmtid="{D5CDD505-2E9C-101B-9397-08002B2CF9AE}" pid="4" name="KSOTemplateDocerSaveRecord">
    <vt:lpwstr>eyJoZGlkIjoiNzMwYTQ2ZDA5NGQ0ZTRhNWE2NDE3NGQxNmM2NGM4YmMiLCJ1c2VySWQiOiIyNDY1ODczNzUifQ==</vt:lpwstr>
  </property>
</Properties>
</file>