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9FE35">
      <w:pPr>
        <w:spacing w:line="600" w:lineRule="exact"/>
        <w:jc w:val="center"/>
        <w:outlineLvl w:val="0"/>
        <w:rPr>
          <w:rFonts w:ascii="方正小标宋简体" w:hAnsi="宋体" w:eastAsia="方正小标宋简体"/>
          <w:color w:val="000000"/>
          <w:sz w:val="72"/>
          <w:szCs w:val="72"/>
        </w:rPr>
      </w:pPr>
      <w:bookmarkStart w:id="0" w:name="_Toc15306267"/>
    </w:p>
    <w:p w14:paraId="074A3313">
      <w:pPr>
        <w:spacing w:line="600" w:lineRule="exact"/>
        <w:jc w:val="center"/>
        <w:outlineLvl w:val="0"/>
        <w:rPr>
          <w:rFonts w:ascii="方正小标宋简体" w:hAnsi="宋体" w:eastAsia="方正小标宋简体"/>
          <w:color w:val="000000"/>
          <w:sz w:val="72"/>
          <w:szCs w:val="72"/>
        </w:rPr>
      </w:pPr>
    </w:p>
    <w:p w14:paraId="6CEACFC9">
      <w:pPr>
        <w:spacing w:line="600" w:lineRule="exact"/>
        <w:jc w:val="center"/>
        <w:outlineLvl w:val="0"/>
        <w:rPr>
          <w:rFonts w:ascii="方正小标宋简体" w:hAnsi="宋体" w:eastAsia="方正小标宋简体"/>
          <w:color w:val="000000"/>
          <w:sz w:val="72"/>
          <w:szCs w:val="72"/>
        </w:rPr>
      </w:pPr>
    </w:p>
    <w:p w14:paraId="1D34AA72">
      <w:pPr>
        <w:jc w:val="center"/>
        <w:rPr>
          <w:rFonts w:ascii="黑体" w:hAnsi="黑体" w:eastAsia="黑体"/>
          <w:sz w:val="72"/>
          <w:szCs w:val="72"/>
        </w:rPr>
      </w:pPr>
      <w:bookmarkStart w:id="1" w:name="_Toc15396597"/>
      <w:bookmarkStart w:id="2" w:name="_Toc15378441"/>
      <w:bookmarkStart w:id="3" w:name="_Toc15377193"/>
      <w:bookmarkStart w:id="4" w:name="_Toc15396475"/>
      <w:bookmarkStart w:id="5" w:name="_Toc15377425"/>
      <w:r>
        <w:rPr>
          <w:rFonts w:hint="eastAsia" w:ascii="黑体" w:hAnsi="黑体" w:eastAsia="黑体"/>
          <w:sz w:val="72"/>
          <w:szCs w:val="72"/>
          <w:lang w:eastAsia="zh-CN"/>
        </w:rPr>
        <w:t>2023</w:t>
      </w:r>
      <w:r>
        <w:rPr>
          <w:rFonts w:hint="eastAsia" w:ascii="黑体" w:hAnsi="黑体" w:eastAsia="黑体"/>
          <w:sz w:val="72"/>
          <w:szCs w:val="72"/>
        </w:rPr>
        <w:t>年度</w:t>
      </w:r>
      <w:bookmarkEnd w:id="1"/>
      <w:bookmarkEnd w:id="2"/>
      <w:bookmarkEnd w:id="3"/>
      <w:bookmarkEnd w:id="4"/>
      <w:bookmarkEnd w:id="5"/>
    </w:p>
    <w:p w14:paraId="4CD4551A">
      <w:pPr>
        <w:jc w:val="center"/>
        <w:rPr>
          <w:rFonts w:ascii="方正小标宋简体" w:eastAsia="方正小标宋简体"/>
          <w:sz w:val="72"/>
          <w:szCs w:val="72"/>
        </w:rPr>
      </w:pPr>
      <w:bookmarkStart w:id="6" w:name="_Toc15396476"/>
      <w:bookmarkStart w:id="7" w:name="_Toc15378442"/>
      <w:bookmarkStart w:id="8" w:name="_Toc15377426"/>
      <w:bookmarkStart w:id="9" w:name="_Toc15377194"/>
      <w:bookmarkStart w:id="10" w:name="_Toc15396598"/>
      <w:r>
        <w:rPr>
          <w:rFonts w:hint="eastAsia" w:ascii="方正小标宋简体" w:eastAsia="方正小标宋简体"/>
          <w:sz w:val="72"/>
          <w:szCs w:val="72"/>
        </w:rPr>
        <w:t>阿坝州壤塘县</w:t>
      </w:r>
      <w:bookmarkEnd w:id="0"/>
      <w:bookmarkStart w:id="11" w:name="_Toc15306268"/>
      <w:r>
        <w:rPr>
          <w:rFonts w:hint="eastAsia" w:ascii="方正小标宋简体" w:eastAsia="方正小标宋简体"/>
          <w:sz w:val="72"/>
          <w:szCs w:val="72"/>
          <w:lang w:val="en-US" w:eastAsia="zh-CN"/>
        </w:rPr>
        <w:t>信访工作局</w:t>
      </w:r>
      <w:r>
        <w:rPr>
          <w:rFonts w:hint="eastAsia" w:ascii="方正小标宋简体" w:eastAsia="方正小标宋简体"/>
          <w:sz w:val="72"/>
          <w:szCs w:val="72"/>
        </w:rPr>
        <w:t>部门决算</w:t>
      </w:r>
      <w:bookmarkEnd w:id="6"/>
      <w:bookmarkEnd w:id="7"/>
      <w:bookmarkEnd w:id="8"/>
      <w:bookmarkEnd w:id="9"/>
      <w:bookmarkEnd w:id="10"/>
      <w:bookmarkEnd w:id="11"/>
    </w:p>
    <w:p w14:paraId="5D70F2AE">
      <w:pPr>
        <w:widowControl/>
        <w:jc w:val="center"/>
        <w:rPr>
          <w:rFonts w:ascii="方正小标宋简体" w:hAnsi="宋体" w:eastAsia="方正小标宋简体"/>
          <w:color w:val="000000"/>
          <w:sz w:val="36"/>
          <w:szCs w:val="36"/>
        </w:rPr>
      </w:pPr>
    </w:p>
    <w:p w14:paraId="087FB4A9">
      <w:pPr>
        <w:rPr>
          <w:rFonts w:ascii="方正小标宋简体" w:hAnsi="宋体" w:eastAsia="方正小标宋简体"/>
          <w:sz w:val="36"/>
          <w:szCs w:val="36"/>
        </w:rPr>
      </w:pPr>
    </w:p>
    <w:p w14:paraId="042ADD9E">
      <w:pPr>
        <w:rPr>
          <w:rFonts w:ascii="方正小标宋简体" w:hAnsi="宋体" w:eastAsia="方正小标宋简体"/>
          <w:sz w:val="36"/>
          <w:szCs w:val="36"/>
        </w:rPr>
      </w:pPr>
    </w:p>
    <w:p w14:paraId="2A8CCA39">
      <w:pPr>
        <w:rPr>
          <w:rFonts w:ascii="方正小标宋简体" w:hAnsi="宋体" w:eastAsia="方正小标宋简体"/>
          <w:sz w:val="36"/>
          <w:szCs w:val="36"/>
        </w:rPr>
      </w:pPr>
    </w:p>
    <w:p w14:paraId="6FAA97BC">
      <w:pPr>
        <w:rPr>
          <w:rFonts w:ascii="方正小标宋简体" w:hAnsi="宋体" w:eastAsia="方正小标宋简体"/>
          <w:sz w:val="36"/>
          <w:szCs w:val="36"/>
        </w:rPr>
      </w:pPr>
    </w:p>
    <w:p w14:paraId="137A190E">
      <w:pPr>
        <w:rPr>
          <w:rFonts w:ascii="方正小标宋简体" w:hAnsi="宋体" w:eastAsia="方正小标宋简体"/>
          <w:sz w:val="36"/>
          <w:szCs w:val="36"/>
        </w:rPr>
      </w:pPr>
    </w:p>
    <w:p w14:paraId="52E42C12">
      <w:pPr>
        <w:pStyle w:val="9"/>
        <w:rPr>
          <w:rFonts w:ascii="方正小标宋简体" w:hAnsi="宋体" w:eastAsia="方正小标宋简体"/>
          <w:sz w:val="36"/>
          <w:szCs w:val="36"/>
        </w:rPr>
      </w:pPr>
    </w:p>
    <w:p w14:paraId="3F9F5A4C">
      <w:pPr>
        <w:pStyle w:val="8"/>
        <w:rPr>
          <w:rFonts w:ascii="方正小标宋简体" w:hAnsi="宋体" w:eastAsia="方正小标宋简体"/>
          <w:sz w:val="36"/>
          <w:szCs w:val="36"/>
        </w:rPr>
      </w:pPr>
    </w:p>
    <w:p w14:paraId="5D57A782">
      <w:pPr>
        <w:rPr>
          <w:rFonts w:ascii="方正小标宋简体" w:hAnsi="宋体" w:eastAsia="方正小标宋简体"/>
          <w:sz w:val="36"/>
          <w:szCs w:val="36"/>
        </w:rPr>
      </w:pPr>
    </w:p>
    <w:p w14:paraId="3A57B2B1">
      <w:pPr>
        <w:pStyle w:val="9"/>
        <w:rPr>
          <w:rFonts w:ascii="方正小标宋简体" w:hAnsi="宋体" w:eastAsia="方正小标宋简体"/>
          <w:sz w:val="36"/>
          <w:szCs w:val="36"/>
        </w:rPr>
      </w:pPr>
    </w:p>
    <w:p w14:paraId="4192CFC3">
      <w:pPr>
        <w:pStyle w:val="8"/>
        <w:rPr>
          <w:rFonts w:ascii="方正小标宋简体" w:hAnsi="宋体" w:eastAsia="方正小标宋简体"/>
          <w:sz w:val="36"/>
          <w:szCs w:val="36"/>
        </w:rPr>
      </w:pPr>
    </w:p>
    <w:p w14:paraId="6EEAA7A8">
      <w:pPr>
        <w:rPr>
          <w:rFonts w:ascii="方正小标宋简体" w:hAnsi="宋体" w:eastAsia="方正小标宋简体"/>
          <w:sz w:val="36"/>
          <w:szCs w:val="36"/>
        </w:rPr>
      </w:pPr>
    </w:p>
    <w:p w14:paraId="1674DAE2">
      <w:pPr>
        <w:pStyle w:val="9"/>
        <w:rPr>
          <w:rFonts w:ascii="方正小标宋简体" w:hAnsi="宋体" w:eastAsia="方正小标宋简体"/>
          <w:sz w:val="36"/>
          <w:szCs w:val="36"/>
        </w:rPr>
      </w:pPr>
    </w:p>
    <w:p w14:paraId="1D1D205C">
      <w:pPr>
        <w:widowControl/>
        <w:suppressAutoHyphens/>
        <w:bidi w:val="0"/>
        <w:jc w:val="center"/>
        <w:rPr>
          <w:rFonts w:hint="eastAsia" w:ascii="仿宋" w:hAnsi="仿宋" w:eastAsia="仿宋" w:cs="Times New Roman"/>
          <w:b w:val="0"/>
          <w:bCs w:val="0"/>
          <w:caps w:val="0"/>
          <w:color w:val="auto"/>
          <w:kern w:val="2"/>
          <w:sz w:val="28"/>
          <w:szCs w:val="28"/>
          <w:highlight w:val="none"/>
          <w:lang w:val="en-US" w:eastAsia="zh-CN" w:bidi="ar-SA"/>
        </w:rPr>
      </w:pPr>
      <w:r>
        <w:rPr>
          <w:rFonts w:hint="eastAsia" w:ascii="黑体" w:hAnsi="黑体" w:eastAsia="黑体"/>
          <w:color w:val="auto"/>
          <w:sz w:val="48"/>
          <w:szCs w:val="48"/>
          <w:highlight w:val="none"/>
        </w:rPr>
        <w:t>目录</w:t>
      </w:r>
    </w:p>
    <w:p w14:paraId="59A574EB">
      <w:pPr>
        <w:pStyle w:val="9"/>
      </w:pPr>
    </w:p>
    <w:p w14:paraId="37063957">
      <w:pPr>
        <w:pStyle w:val="16"/>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TOC \o \u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仿宋" w:hAnsi="仿宋" w:eastAsia="仿宋"/>
          <w:b w:val="0"/>
          <w:bCs w:val="0"/>
          <w:caps w:val="0"/>
          <w:color w:val="auto"/>
          <w:sz w:val="24"/>
          <w:szCs w:val="28"/>
          <w:highlight w:val="none"/>
          <w:lang w:val="en-US" w:eastAsia="zh-CN"/>
        </w:rPr>
        <w:t>第一部分 部门概况</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_Toc17124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46F90B76">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一、部门职责</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t>1</w:t>
      </w:r>
    </w:p>
    <w:p w14:paraId="03627581">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smallCaps w:val="0"/>
          <w:color w:val="auto"/>
          <w:sz w:val="24"/>
          <w:szCs w:val="24"/>
          <w:highlight w:val="none"/>
          <w:lang w:val="en-US" w:eastAsia="zh-CN"/>
        </w:rPr>
        <w:t>二、机构设置</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_Toc29784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1EC8CDF0">
      <w:pPr>
        <w:pStyle w:val="16"/>
        <w:tabs>
          <w:tab w:val="right" w:leader="dot" w:pos="8296"/>
        </w:tabs>
        <w:adjustRightInd w:val="0"/>
        <w:snapToGrid w:val="0"/>
        <w:spacing w:before="0" w:line="440" w:lineRule="exact"/>
        <w:jc w:val="left"/>
        <w:rPr>
          <w:rFonts w:hint="default"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第二部分 2023年度部门决算情况说明</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t>3</w:t>
      </w:r>
    </w:p>
    <w:p w14:paraId="62063566">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一</w:t>
      </w:r>
      <w:r>
        <w:rPr>
          <w:rFonts w:hint="default" w:ascii="Calibri" w:hAnsi="Calibri" w:eastAsia="宋体"/>
          <w:smallCaps w:val="0"/>
          <w:color w:val="auto"/>
          <w:sz w:val="24"/>
          <w:szCs w:val="24"/>
          <w:highlight w:val="none"/>
          <w:lang w:val="en-US" w:eastAsia="zh-CN"/>
        </w:rPr>
        <w:t>、</w:t>
      </w:r>
      <w:r>
        <w:rPr>
          <w:rFonts w:hint="eastAsia" w:ascii="Calibri" w:hAnsi="Calibri" w:eastAsia="宋体"/>
          <w:smallCaps w:val="0"/>
          <w:color w:val="auto"/>
          <w:sz w:val="24"/>
          <w:szCs w:val="24"/>
          <w:highlight w:val="none"/>
          <w:lang w:val="en-US" w:eastAsia="zh-CN"/>
        </w:rPr>
        <w:t>收入支出决算总体情况说明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_Toc12061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3</w:t>
      </w:r>
      <w:r>
        <w:rPr>
          <w:rFonts w:hint="eastAsia" w:ascii="Calibri" w:hAnsi="Calibri" w:eastAsia="宋体"/>
          <w:smallCaps w:val="0"/>
          <w:color w:val="auto"/>
          <w:sz w:val="24"/>
          <w:szCs w:val="24"/>
          <w:highlight w:val="none"/>
          <w:lang w:val="en-US" w:eastAsia="zh-CN"/>
        </w:rPr>
        <w:fldChar w:fldCharType="end"/>
      </w:r>
    </w:p>
    <w:p w14:paraId="46F8F5C4">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default" w:ascii="Calibri" w:hAnsi="Calibri" w:eastAsia="宋体"/>
          <w:smallCaps w:val="0"/>
          <w:color w:val="auto"/>
          <w:sz w:val="24"/>
          <w:szCs w:val="24"/>
          <w:highlight w:val="none"/>
          <w:lang w:val="en-US" w:eastAsia="zh-CN"/>
        </w:rPr>
        <w:t>二、</w:t>
      </w:r>
      <w:r>
        <w:rPr>
          <w:rFonts w:hint="eastAsia" w:ascii="Calibri" w:hAnsi="Calibri" w:eastAsia="宋体"/>
          <w:smallCaps w:val="0"/>
          <w:color w:val="auto"/>
          <w:sz w:val="24"/>
          <w:szCs w:val="24"/>
          <w:highlight w:val="none"/>
          <w:lang w:val="en-US" w:eastAsia="zh-CN"/>
        </w:rPr>
        <w:t>收入决算情况说明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_Toc15938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4</w:t>
      </w:r>
      <w:r>
        <w:rPr>
          <w:rFonts w:hint="eastAsia" w:ascii="Calibri" w:hAnsi="Calibri" w:eastAsia="宋体"/>
          <w:smallCaps w:val="0"/>
          <w:color w:val="auto"/>
          <w:sz w:val="24"/>
          <w:szCs w:val="24"/>
          <w:highlight w:val="none"/>
          <w:lang w:val="en-US" w:eastAsia="zh-CN"/>
        </w:rPr>
        <w:fldChar w:fldCharType="end"/>
      </w:r>
    </w:p>
    <w:p w14:paraId="3534CD94">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default" w:ascii="Calibri" w:hAnsi="Calibri" w:eastAsia="宋体"/>
          <w:smallCaps w:val="0"/>
          <w:color w:val="auto"/>
          <w:sz w:val="24"/>
          <w:szCs w:val="24"/>
          <w:highlight w:val="none"/>
          <w:lang w:val="en-US" w:eastAsia="zh-CN"/>
        </w:rPr>
        <w:t>三、</w:t>
      </w:r>
      <w:r>
        <w:rPr>
          <w:rFonts w:hint="eastAsia" w:ascii="Calibri" w:hAnsi="Calibri" w:eastAsia="宋体"/>
          <w:smallCaps w:val="0"/>
          <w:color w:val="auto"/>
          <w:sz w:val="24"/>
          <w:szCs w:val="24"/>
          <w:highlight w:val="none"/>
          <w:lang w:val="en-US" w:eastAsia="zh-CN"/>
        </w:rPr>
        <w:t>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_Toc30887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4</w:t>
      </w:r>
      <w:r>
        <w:rPr>
          <w:rFonts w:hint="eastAsia" w:ascii="Calibri" w:hAnsi="Calibri" w:eastAsia="宋体"/>
          <w:smallCaps w:val="0"/>
          <w:color w:val="auto"/>
          <w:sz w:val="24"/>
          <w:szCs w:val="24"/>
          <w:highlight w:val="none"/>
          <w:lang w:val="en-US" w:eastAsia="zh-CN"/>
        </w:rPr>
        <w:fldChar w:fldCharType="end"/>
      </w:r>
    </w:p>
    <w:p w14:paraId="09D63BE2">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四、财政拨款收入支出决算总体情况说明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_Toc24427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4</w:t>
      </w:r>
      <w:r>
        <w:rPr>
          <w:rFonts w:hint="eastAsia" w:ascii="Calibri" w:hAnsi="Calibri" w:eastAsia="宋体"/>
          <w:smallCaps w:val="0"/>
          <w:color w:val="auto"/>
          <w:sz w:val="24"/>
          <w:szCs w:val="24"/>
          <w:highlight w:val="none"/>
          <w:lang w:val="en-US" w:eastAsia="zh-CN"/>
        </w:rPr>
        <w:fldChar w:fldCharType="end"/>
      </w:r>
    </w:p>
    <w:p w14:paraId="1D967C4F">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五、一般公共预算财政拨款支出决算情况说明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_Toc16632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5</w:t>
      </w:r>
      <w:r>
        <w:rPr>
          <w:rFonts w:hint="eastAsia" w:ascii="Calibri" w:hAnsi="Calibri" w:eastAsia="宋体"/>
          <w:smallCaps w:val="0"/>
          <w:color w:val="auto"/>
          <w:sz w:val="24"/>
          <w:szCs w:val="24"/>
          <w:highlight w:val="none"/>
          <w:lang w:val="en-US" w:eastAsia="zh-CN"/>
        </w:rPr>
        <w:fldChar w:fldCharType="end"/>
      </w:r>
    </w:p>
    <w:p w14:paraId="07D22507">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六、一般公共预算财政拨款基本支出决算情况说明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_Toc139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8</w:t>
      </w:r>
      <w:r>
        <w:rPr>
          <w:rFonts w:hint="eastAsia" w:ascii="Calibri" w:hAnsi="Calibri" w:eastAsia="宋体"/>
          <w:smallCaps w:val="0"/>
          <w:color w:val="auto"/>
          <w:sz w:val="24"/>
          <w:szCs w:val="24"/>
          <w:highlight w:val="none"/>
          <w:lang w:val="en-US" w:eastAsia="zh-CN"/>
        </w:rPr>
        <w:fldChar w:fldCharType="end"/>
      </w:r>
    </w:p>
    <w:p w14:paraId="3B92E30E">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七、“三公”经费财政拨款支出决算情况说明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_Toc25505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9</w:t>
      </w:r>
      <w:r>
        <w:rPr>
          <w:rFonts w:hint="eastAsia" w:ascii="Calibri" w:hAnsi="Calibri" w:eastAsia="宋体"/>
          <w:smallCaps w:val="0"/>
          <w:color w:val="auto"/>
          <w:sz w:val="24"/>
          <w:szCs w:val="24"/>
          <w:highlight w:val="none"/>
          <w:lang w:val="en-US" w:eastAsia="zh-CN"/>
        </w:rPr>
        <w:fldChar w:fldCharType="end"/>
      </w:r>
    </w:p>
    <w:p w14:paraId="1697F42D">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八、政府性基金预算支出决算情况说明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_Toc8589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11</w:t>
      </w:r>
      <w:r>
        <w:rPr>
          <w:rFonts w:hint="eastAsia" w:ascii="Calibri" w:hAnsi="Calibri" w:eastAsia="宋体"/>
          <w:smallCaps w:val="0"/>
          <w:color w:val="auto"/>
          <w:sz w:val="24"/>
          <w:szCs w:val="24"/>
          <w:highlight w:val="none"/>
          <w:lang w:val="en-US" w:eastAsia="zh-CN"/>
        </w:rPr>
        <w:fldChar w:fldCharType="end"/>
      </w:r>
    </w:p>
    <w:p w14:paraId="4258B62D">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九、国有资本经营预算支出决算情况说明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_Toc12219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11</w:t>
      </w:r>
      <w:r>
        <w:rPr>
          <w:rFonts w:hint="eastAsia" w:ascii="Calibri" w:hAnsi="Calibri" w:eastAsia="宋体"/>
          <w:smallCaps w:val="0"/>
          <w:color w:val="auto"/>
          <w:sz w:val="24"/>
          <w:szCs w:val="24"/>
          <w:highlight w:val="none"/>
          <w:lang w:val="en-US" w:eastAsia="zh-CN"/>
        </w:rPr>
        <w:fldChar w:fldCharType="end"/>
      </w:r>
    </w:p>
    <w:p w14:paraId="1D777A90">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smallCaps w:val="0"/>
          <w:color w:val="auto"/>
          <w:sz w:val="24"/>
          <w:szCs w:val="24"/>
          <w:highlight w:val="none"/>
          <w:lang w:val="en-US" w:eastAsia="zh-CN"/>
        </w:rPr>
        <w:t>十、其他重要事项的情况说明</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_Toc9744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11</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3A6CCB55">
      <w:pPr>
        <w:pStyle w:val="16"/>
        <w:tabs>
          <w:tab w:val="right" w:leader="dot" w:pos="8296"/>
        </w:tabs>
        <w:suppressAutoHyphens/>
        <w:bidi w:val="0"/>
        <w:adjustRightInd w:val="0"/>
        <w:snapToGrid w:val="0"/>
        <w:spacing w:before="0" w:after="0" w:line="440" w:lineRule="exact"/>
        <w:jc w:val="left"/>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第三部分 名词解释</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_Toc30986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13</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15DC7274">
      <w:pPr>
        <w:pStyle w:val="16"/>
        <w:tabs>
          <w:tab w:val="right" w:leader="dot" w:pos="8296"/>
        </w:tabs>
        <w:suppressAutoHyphens/>
        <w:bidi w:val="0"/>
        <w:adjustRightInd w:val="0"/>
        <w:snapToGrid w:val="0"/>
        <w:spacing w:before="0" w:after="0" w:line="440" w:lineRule="exact"/>
        <w:jc w:val="left"/>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第四部分 附件</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_Toc919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16</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14111670">
      <w:pPr>
        <w:pStyle w:val="16"/>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第五部分 附表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_Toc32233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23</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4C549428">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一、收入支出决算总表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_Toc23912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23</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3366C624">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二、收入决算表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_Toc10372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23</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5834A677">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三、支出决算表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_Toc22551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23</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54C8912E">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四、财政拨款收入支出决算总表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_Toc28052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23</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4DFC2C9C">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五、财政拨款支出决算明细表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_Toc31661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23</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763743D9">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六、一般公共预算财政拨款支出决算表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_Toc29728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23</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480D9E11">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七、一般公共预算财政拨款支出决算明细表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_Toc14143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23</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0A1BE93E">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八、一般公共预算财政拨款基本支出决算表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_Toc27243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23</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06799F19">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九、一般公共预算财政拨款项目支出决算表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_Toc5502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23</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5CE66D7C">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十、一般公共预算财政拨款“三公”经费支出决算表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_Toc22516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23</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6EEADBE7">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十一、政府性基金预算财政拨款收入支出决算表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_Toc20787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23</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67DC8DE2">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十二、政府性基金预算财政拨款“三公”经费支出决算表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_Toc16510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23</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335EC2C1">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十三、国有资本经营预算财政拨款支出决算表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_Toc19124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23</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7A5A2BF9">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十四、国有资本经营预算财政拨款支出决算表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_Toc10304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23</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4A9B5A5B">
      <w:pPr>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1C38808D">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Calibri" w:hAnsi="Calibri" w:eastAsia="宋体" w:cs="Times New Roman"/>
          <w:b w:val="0"/>
          <w:bCs w:val="0"/>
          <w:caps w:val="0"/>
          <w:smallCaps w:val="0"/>
          <w:color w:val="auto"/>
          <w:kern w:val="2"/>
          <w:sz w:val="24"/>
          <w:szCs w:val="24"/>
          <w:highlight w:val="none"/>
          <w:lang w:val="en-US" w:eastAsia="zh-CN" w:bidi="ar-SA"/>
        </w:rPr>
        <w:sectPr>
          <w:headerReference r:id="rId3" w:type="default"/>
          <w:pgSz w:w="11906" w:h="16838"/>
          <w:pgMar w:top="1440" w:right="1800" w:bottom="1440" w:left="1800" w:header="851" w:footer="992" w:gutter="0"/>
          <w:pgNumType w:start="1"/>
          <w:cols w:space="425" w:num="1"/>
          <w:titlePg/>
          <w:docGrid w:type="lines" w:linePitch="312" w:charSpace="0"/>
        </w:sectPr>
      </w:pPr>
      <w:bookmarkStart w:id="12" w:name="_Toc79163601"/>
      <w:bookmarkStart w:id="13" w:name="_Toc15377196"/>
      <w:bookmarkStart w:id="14" w:name="_Toc15396599"/>
      <w:bookmarkStart w:id="15" w:name="_Toc17124"/>
    </w:p>
    <w:p w14:paraId="5DE541FC">
      <w:pPr>
        <w:pStyle w:val="4"/>
        <w:suppressAutoHyphens/>
        <w:bidi w:val="0"/>
        <w:jc w:val="center"/>
        <w:rPr>
          <w:rFonts w:hint="eastAsia" w:ascii="黑体" w:hAnsi="黑体" w:eastAsia="黑体"/>
          <w:b w:val="0"/>
          <w:color w:val="auto"/>
          <w:highlight w:val="none"/>
        </w:rPr>
      </w:pPr>
      <w:r>
        <w:rPr>
          <w:rFonts w:hint="eastAsia" w:ascii="黑体" w:hAnsi="黑体" w:eastAsia="黑体"/>
          <w:b w:val="0"/>
          <w:color w:val="auto"/>
          <w:highlight w:val="none"/>
        </w:rPr>
        <w:t>第一部分 部门概况</w:t>
      </w:r>
      <w:bookmarkEnd w:id="12"/>
      <w:bookmarkEnd w:id="13"/>
      <w:bookmarkEnd w:id="14"/>
      <w:bookmarkEnd w:id="15"/>
    </w:p>
    <w:p w14:paraId="31491FE4">
      <w:pPr>
        <w:pStyle w:val="5"/>
        <w:rPr>
          <w:rStyle w:val="30"/>
          <w:rFonts w:hint="eastAsia" w:ascii="仿宋" w:hAnsi="仿宋" w:eastAsia="黑体"/>
          <w:b w:val="0"/>
          <w:bCs w:val="0"/>
          <w:color w:val="auto"/>
          <w:highlight w:val="none"/>
          <w:lang w:eastAsia="zh-CN"/>
        </w:rPr>
      </w:pPr>
      <w:bookmarkStart w:id="16" w:name="_Toc15377197"/>
      <w:bookmarkStart w:id="17" w:name="_Toc15396600"/>
      <w:bookmarkStart w:id="18" w:name="_Toc29481"/>
      <w:bookmarkStart w:id="19" w:name="_Toc79163603"/>
      <w:bookmarkStart w:id="20" w:name="_Toc15378445"/>
      <w:bookmarkStart w:id="21" w:name="_Toc15377198"/>
      <w:r>
        <w:rPr>
          <w:rFonts w:hint="eastAsia" w:ascii="黑体" w:hAnsi="黑体" w:eastAsia="黑体"/>
          <w:b w:val="0"/>
          <w:color w:val="auto"/>
          <w:highlight w:val="none"/>
        </w:rPr>
        <w:t>一、</w:t>
      </w:r>
      <w:bookmarkEnd w:id="16"/>
      <w:bookmarkEnd w:id="17"/>
      <w:r>
        <w:rPr>
          <w:rFonts w:hint="eastAsia" w:ascii="黑体" w:hAnsi="黑体" w:eastAsia="黑体"/>
          <w:b w:val="0"/>
          <w:color w:val="auto"/>
          <w:highlight w:val="none"/>
          <w:lang w:eastAsia="zh-CN"/>
        </w:rPr>
        <w:t>部门职责</w:t>
      </w:r>
    </w:p>
    <w:p w14:paraId="4D0B45FE">
      <w:pPr>
        <w:pStyle w:val="9"/>
        <w:pageBreakBefore w:val="0"/>
        <w:kinsoku/>
        <w:wordWrap/>
        <w:overflowPunct/>
        <w:topLinePunct w:val="0"/>
        <w:autoSpaceDE/>
        <w:autoSpaceDN/>
        <w:bidi w:val="0"/>
        <w:adjustRightInd w:val="0"/>
        <w:snapToGrid w:val="0"/>
        <w:spacing w:beforeLines="0" w:line="560" w:lineRule="exact"/>
        <w:textAlignment w:val="auto"/>
        <w:outlineLvl w:val="2"/>
        <w:rPr>
          <w:rFonts w:ascii="仿宋" w:hAnsi="仿宋" w:eastAsia="仿宋"/>
          <w:bCs/>
          <w:color w:val="000000"/>
          <w:sz w:val="32"/>
          <w:szCs w:val="32"/>
        </w:rPr>
      </w:pPr>
      <w:r>
        <w:rPr>
          <w:rFonts w:hint="eastAsia" w:ascii="仿宋" w:hAnsi="仿宋" w:eastAsia="仿宋"/>
          <w:bCs/>
          <w:color w:val="000000"/>
          <w:sz w:val="32"/>
          <w:szCs w:val="32"/>
        </w:rPr>
        <w:t>（一）主要职能</w:t>
      </w:r>
      <w:bookmarkEnd w:id="18"/>
      <w:bookmarkEnd w:id="19"/>
    </w:p>
    <w:bookmarkEnd w:id="20"/>
    <w:bookmarkEnd w:id="21"/>
    <w:p w14:paraId="1FD8845D">
      <w:pPr>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Times New Roman"/>
          <w:bCs/>
          <w:color w:val="000000"/>
          <w:kern w:val="0"/>
          <w:sz w:val="32"/>
          <w:szCs w:val="32"/>
          <w:lang w:val="zh-CN" w:eastAsia="zh-CN" w:bidi="ar-SA"/>
        </w:rPr>
      </w:pPr>
      <w:bookmarkStart w:id="22" w:name="_Toc15377199"/>
      <w:bookmarkStart w:id="23" w:name="_Toc79163604"/>
      <w:bookmarkStart w:id="24" w:name="_Toc15378446"/>
      <w:r>
        <w:rPr>
          <w:rFonts w:hint="eastAsia" w:ascii="仿宋" w:hAnsi="仿宋" w:eastAsia="仿宋" w:cs="Times New Roman"/>
          <w:bCs/>
          <w:color w:val="000000"/>
          <w:kern w:val="0"/>
          <w:sz w:val="32"/>
          <w:szCs w:val="32"/>
          <w:lang w:val="en-US" w:eastAsia="zh-CN" w:bidi="ar-SA"/>
        </w:rPr>
        <w:t>1.</w:t>
      </w:r>
      <w:r>
        <w:rPr>
          <w:rFonts w:hint="eastAsia" w:ascii="仿宋" w:hAnsi="仿宋" w:eastAsia="仿宋" w:cs="Times New Roman"/>
          <w:bCs/>
          <w:color w:val="000000"/>
          <w:kern w:val="0"/>
          <w:sz w:val="32"/>
          <w:szCs w:val="32"/>
          <w:lang w:val="zh-CN" w:eastAsia="zh-CN" w:bidi="ar-SA"/>
        </w:rPr>
        <w:t>履行政治领导责任，做好理论武装和思想政治工作，负责学习、宣传、贯彻执行党的理论和路线方针政策，贯彻落实党中央、省委、州委、县委的决策部署，发挥好把方向、管大局、保落实的重要作用。</w:t>
      </w:r>
    </w:p>
    <w:p w14:paraId="0E15CCD2">
      <w:pPr>
        <w:widowControl/>
        <w:adjustRightInd w:val="0"/>
        <w:snapToGrid w:val="0"/>
        <w:spacing w:line="560" w:lineRule="exact"/>
        <w:ind w:firstLine="640" w:firstLineChars="200"/>
        <w:rPr>
          <w:rFonts w:hint="eastAsia" w:ascii="仿宋" w:hAnsi="仿宋" w:eastAsia="仿宋" w:cs="Times New Roman"/>
          <w:bCs/>
          <w:color w:val="000000"/>
          <w:kern w:val="0"/>
          <w:sz w:val="32"/>
          <w:szCs w:val="32"/>
          <w:lang w:val="zh-CN" w:eastAsia="zh-CN" w:bidi="ar-SA"/>
        </w:rPr>
      </w:pPr>
      <w:r>
        <w:rPr>
          <w:rFonts w:hint="eastAsia" w:ascii="仿宋" w:hAnsi="仿宋" w:eastAsia="仿宋" w:cs="Times New Roman"/>
          <w:bCs/>
          <w:color w:val="000000"/>
          <w:kern w:val="0"/>
          <w:sz w:val="32"/>
          <w:szCs w:val="32"/>
          <w:lang w:val="en-US" w:eastAsia="zh-CN" w:bidi="ar-SA"/>
        </w:rPr>
        <w:t>2.</w:t>
      </w:r>
      <w:r>
        <w:rPr>
          <w:rFonts w:hint="eastAsia" w:ascii="仿宋" w:hAnsi="仿宋" w:eastAsia="仿宋" w:cs="Times New Roman"/>
          <w:bCs/>
          <w:color w:val="000000"/>
          <w:kern w:val="0"/>
          <w:sz w:val="32"/>
          <w:szCs w:val="32"/>
          <w:lang w:val="zh-CN" w:eastAsia="zh-CN" w:bidi="ar-SA"/>
        </w:rPr>
        <w:t>讨论和决定本单位下列重大问题。党的路线方针政策、国家法律法规和上级党组织重要会议、重要文件、重大决策部署的贯彻落实事项。需要向上级党组织请示报告的重要事项。内部机构设置、职责、人员编制等事项。重大决策、重要人事任免、重大项目安排、大额资金使用等事项。基层党组织和党员队伍建设方面的重要事项。意识形态工作、思想政治工作和精神文明建设方面的重要事项。党风廉政建设和反腐败工作方面的重要事项。其他应当由党组讨论和决定的重大问题。</w:t>
      </w:r>
    </w:p>
    <w:p w14:paraId="1069410E">
      <w:pPr>
        <w:widowControl/>
        <w:adjustRightInd w:val="0"/>
        <w:snapToGrid w:val="0"/>
        <w:spacing w:line="560" w:lineRule="exact"/>
        <w:ind w:firstLine="640" w:firstLineChars="200"/>
        <w:rPr>
          <w:rFonts w:hint="eastAsia" w:ascii="仿宋" w:hAnsi="仿宋" w:eastAsia="仿宋" w:cs="Times New Roman"/>
          <w:bCs/>
          <w:color w:val="000000"/>
          <w:kern w:val="0"/>
          <w:sz w:val="32"/>
          <w:szCs w:val="32"/>
          <w:lang w:val="zh-CN" w:eastAsia="zh-CN" w:bidi="ar-SA"/>
        </w:rPr>
      </w:pPr>
      <w:r>
        <w:rPr>
          <w:rFonts w:hint="eastAsia" w:ascii="仿宋" w:hAnsi="仿宋" w:eastAsia="仿宋" w:cs="Times New Roman"/>
          <w:bCs/>
          <w:color w:val="000000"/>
          <w:kern w:val="0"/>
          <w:sz w:val="32"/>
          <w:szCs w:val="32"/>
          <w:lang w:val="en-US" w:eastAsia="zh-CN" w:bidi="ar-SA"/>
        </w:rPr>
        <w:t>3.</w:t>
      </w:r>
      <w:r>
        <w:rPr>
          <w:rFonts w:hint="eastAsia" w:ascii="仿宋" w:hAnsi="仿宋" w:eastAsia="仿宋" w:cs="Times New Roman"/>
          <w:bCs/>
          <w:color w:val="000000"/>
          <w:kern w:val="0"/>
          <w:sz w:val="32"/>
          <w:szCs w:val="32"/>
          <w:lang w:val="zh-CN" w:eastAsia="zh-CN" w:bidi="ar-SA"/>
        </w:rPr>
        <w:t>贯彻党管干部原则，加强干部队伍建设，完善干部培养选拔机制，加强干部教育管理监督。贯彻党管人才原则，加强人才队伍建设。加强对本单位工会、共青团、妇联等群团工作的领导。</w:t>
      </w:r>
    </w:p>
    <w:p w14:paraId="37D14CC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Times New Roman"/>
          <w:bCs/>
          <w:color w:val="000000"/>
          <w:kern w:val="0"/>
          <w:sz w:val="32"/>
          <w:szCs w:val="32"/>
          <w:lang w:val="zh-CN" w:eastAsia="zh-CN" w:bidi="ar-SA"/>
        </w:rPr>
      </w:pPr>
      <w:r>
        <w:rPr>
          <w:rFonts w:hint="eastAsia" w:ascii="仿宋" w:hAnsi="仿宋" w:eastAsia="仿宋" w:cs="Times New Roman"/>
          <w:bCs/>
          <w:color w:val="000000"/>
          <w:kern w:val="0"/>
          <w:sz w:val="32"/>
          <w:szCs w:val="32"/>
          <w:lang w:val="en-US" w:eastAsia="zh-CN" w:bidi="ar-SA"/>
        </w:rPr>
        <w:t>4.</w:t>
      </w:r>
      <w:r>
        <w:rPr>
          <w:rFonts w:hint="eastAsia" w:ascii="仿宋" w:hAnsi="仿宋" w:eastAsia="仿宋" w:cs="Times New Roman"/>
          <w:bCs/>
          <w:color w:val="000000"/>
          <w:kern w:val="0"/>
          <w:sz w:val="32"/>
          <w:szCs w:val="32"/>
          <w:lang w:val="zh-CN" w:eastAsia="zh-CN" w:bidi="ar-SA"/>
        </w:rPr>
        <w:t>履行党要管党、从严治党责任，加强对本单位党的建设的领导，落实党建工作责任制。认真履行党风廉政建设主体责任，支持纪检监察机构履行监督责任。</w:t>
      </w:r>
    </w:p>
    <w:bookmarkEnd w:id="22"/>
    <w:bookmarkEnd w:id="23"/>
    <w:bookmarkEnd w:id="24"/>
    <w:p w14:paraId="249E340B">
      <w:pPr>
        <w:pStyle w:val="5"/>
        <w:keepNext/>
        <w:keepLines/>
        <w:pageBreakBefore w:val="0"/>
        <w:widowControl w:val="0"/>
        <w:kinsoku/>
        <w:wordWrap/>
        <w:overflowPunct/>
        <w:topLinePunct w:val="0"/>
        <w:autoSpaceDE/>
        <w:autoSpaceDN/>
        <w:bidi w:val="0"/>
        <w:adjustRightInd/>
        <w:snapToGrid/>
        <w:spacing w:before="0" w:after="0" w:line="560" w:lineRule="exact"/>
        <w:textAlignment w:val="auto"/>
        <w:rPr>
          <w:rStyle w:val="30"/>
          <w:b w:val="0"/>
          <w:bCs w:val="0"/>
        </w:rPr>
      </w:pPr>
      <w:bookmarkStart w:id="25" w:name="_Toc79163605"/>
      <w:bookmarkStart w:id="26" w:name="_Toc15396601"/>
      <w:bookmarkStart w:id="27" w:name="_Toc15377200"/>
      <w:bookmarkStart w:id="28" w:name="_Toc29784"/>
      <w:r>
        <w:rPr>
          <w:rFonts w:hint="eastAsia" w:ascii="黑体" w:eastAsia="黑体"/>
          <w:b w:val="0"/>
          <w:color w:val="000000"/>
        </w:rPr>
        <w:t>二、</w:t>
      </w:r>
      <w:r>
        <w:rPr>
          <w:rFonts w:hint="eastAsia" w:ascii="黑体" w:hAnsi="黑体" w:eastAsia="黑体"/>
          <w:b w:val="0"/>
          <w:color w:val="000000"/>
        </w:rPr>
        <w:t>机</w:t>
      </w:r>
      <w:r>
        <w:rPr>
          <w:rStyle w:val="30"/>
          <w:rFonts w:hint="eastAsia" w:ascii="黑体" w:hAnsi="黑体" w:eastAsia="黑体"/>
          <w:b w:val="0"/>
          <w:bCs w:val="0"/>
        </w:rPr>
        <w:t>构设置</w:t>
      </w:r>
      <w:bookmarkEnd w:id="25"/>
      <w:bookmarkEnd w:id="26"/>
      <w:bookmarkEnd w:id="27"/>
      <w:bookmarkEnd w:id="28"/>
    </w:p>
    <w:p w14:paraId="6C94D822">
      <w:pPr>
        <w:pStyle w:val="9"/>
        <w:keepNext w:val="0"/>
        <w:keepLines w:val="0"/>
        <w:pageBreakBefore w:val="0"/>
        <w:widowControl w:val="0"/>
        <w:kinsoku/>
        <w:wordWrap/>
        <w:overflowPunct/>
        <w:topLinePunct w:val="0"/>
        <w:autoSpaceDE/>
        <w:autoSpaceDN/>
        <w:bidi w:val="0"/>
        <w:adjustRightInd w:val="0"/>
        <w:snapToGrid w:val="0"/>
        <w:spacing w:before="93" w:line="560" w:lineRule="exact"/>
        <w:ind w:firstLine="640" w:firstLineChars="200"/>
        <w:textAlignment w:val="auto"/>
        <w:rPr>
          <w:rFonts w:ascii="仿宋" w:hAnsi="仿宋" w:eastAsia="仿宋"/>
          <w:color w:val="000000"/>
          <w:sz w:val="32"/>
          <w:szCs w:val="32"/>
        </w:rPr>
      </w:pPr>
      <w:r>
        <w:rPr>
          <w:rFonts w:hint="eastAsia" w:ascii="仿宋" w:hAnsi="仿宋" w:eastAsia="仿宋"/>
          <w:sz w:val="32"/>
          <w:szCs w:val="32"/>
          <w:lang w:val="en-US" w:eastAsia="zh-CN"/>
        </w:rPr>
        <w:t>壤塘县信访工作局有两个下属二级单位，分别为阿坝州壤塘县信访工作局和阿坝州壤塘县信访接待中心。</w:t>
      </w:r>
    </w:p>
    <w:p w14:paraId="452B8FC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 w:hAnsi="方正小标宋" w:eastAsia="方正小标宋" w:cs="方正小标宋"/>
          <w:b w:val="0"/>
          <w:color w:val="000000"/>
          <w:sz w:val="44"/>
          <w:szCs w:val="44"/>
        </w:rPr>
      </w:pPr>
      <w:bookmarkStart w:id="29" w:name="_Toc15396602"/>
      <w:bookmarkStart w:id="30" w:name="_Toc79163609"/>
      <w:bookmarkStart w:id="31" w:name="_Toc15377204"/>
    </w:p>
    <w:p w14:paraId="0BEB3390">
      <w:pPr>
        <w:pStyle w:val="18"/>
        <w:rPr>
          <w:rFonts w:hint="eastAsia" w:ascii="方正小标宋" w:hAnsi="方正小标宋" w:eastAsia="方正小标宋" w:cs="方正小标宋"/>
          <w:b w:val="0"/>
          <w:color w:val="000000"/>
          <w:sz w:val="44"/>
          <w:szCs w:val="44"/>
        </w:rPr>
      </w:pPr>
    </w:p>
    <w:p w14:paraId="29F2A3AB">
      <w:pPr>
        <w:pStyle w:val="2"/>
        <w:rPr>
          <w:rFonts w:hint="eastAsia" w:ascii="方正小标宋" w:hAnsi="方正小标宋" w:eastAsia="方正小标宋" w:cs="方正小标宋"/>
          <w:b w:val="0"/>
          <w:color w:val="000000"/>
          <w:sz w:val="44"/>
          <w:szCs w:val="44"/>
        </w:rPr>
      </w:pPr>
    </w:p>
    <w:p w14:paraId="21786413">
      <w:pPr>
        <w:pStyle w:val="2"/>
        <w:rPr>
          <w:rFonts w:hint="eastAsia" w:ascii="方正小标宋" w:hAnsi="方正小标宋" w:eastAsia="方正小标宋" w:cs="方正小标宋"/>
          <w:b w:val="0"/>
          <w:color w:val="000000"/>
          <w:sz w:val="44"/>
          <w:szCs w:val="44"/>
        </w:rPr>
      </w:pPr>
    </w:p>
    <w:p w14:paraId="0FE96524">
      <w:pPr>
        <w:pStyle w:val="2"/>
        <w:rPr>
          <w:rFonts w:hint="eastAsia" w:ascii="方正小标宋" w:hAnsi="方正小标宋" w:eastAsia="方正小标宋" w:cs="方正小标宋"/>
          <w:b w:val="0"/>
          <w:color w:val="000000"/>
          <w:sz w:val="44"/>
          <w:szCs w:val="44"/>
        </w:rPr>
      </w:pPr>
    </w:p>
    <w:p w14:paraId="7E50AD5B">
      <w:pPr>
        <w:pStyle w:val="2"/>
        <w:rPr>
          <w:rFonts w:hint="eastAsia" w:ascii="方正小标宋" w:hAnsi="方正小标宋" w:eastAsia="方正小标宋" w:cs="方正小标宋"/>
          <w:b w:val="0"/>
          <w:color w:val="000000"/>
          <w:sz w:val="44"/>
          <w:szCs w:val="44"/>
        </w:rPr>
      </w:pPr>
    </w:p>
    <w:p w14:paraId="40E31E3A">
      <w:pPr>
        <w:pStyle w:val="2"/>
        <w:rPr>
          <w:rFonts w:hint="eastAsia" w:ascii="方正小标宋" w:hAnsi="方正小标宋" w:eastAsia="方正小标宋" w:cs="方正小标宋"/>
          <w:b w:val="0"/>
          <w:color w:val="000000"/>
          <w:sz w:val="44"/>
          <w:szCs w:val="44"/>
        </w:rPr>
      </w:pPr>
    </w:p>
    <w:p w14:paraId="674BAA31">
      <w:pPr>
        <w:pStyle w:val="2"/>
        <w:rPr>
          <w:rFonts w:hint="eastAsia" w:ascii="方正小标宋" w:hAnsi="方正小标宋" w:eastAsia="方正小标宋" w:cs="方正小标宋"/>
          <w:b w:val="0"/>
          <w:color w:val="000000"/>
          <w:sz w:val="44"/>
          <w:szCs w:val="44"/>
        </w:rPr>
      </w:pPr>
    </w:p>
    <w:p w14:paraId="543C4C21">
      <w:pPr>
        <w:pStyle w:val="2"/>
        <w:rPr>
          <w:rFonts w:hint="eastAsia" w:ascii="方正小标宋" w:hAnsi="方正小标宋" w:eastAsia="方正小标宋" w:cs="方正小标宋"/>
          <w:b w:val="0"/>
          <w:color w:val="000000"/>
          <w:sz w:val="44"/>
          <w:szCs w:val="44"/>
        </w:rPr>
      </w:pPr>
    </w:p>
    <w:p w14:paraId="79F8FF77">
      <w:pPr>
        <w:pStyle w:val="2"/>
        <w:rPr>
          <w:rFonts w:hint="eastAsia" w:ascii="方正小标宋" w:hAnsi="方正小标宋" w:eastAsia="方正小标宋" w:cs="方正小标宋"/>
          <w:b w:val="0"/>
          <w:color w:val="000000"/>
          <w:sz w:val="44"/>
          <w:szCs w:val="44"/>
        </w:rPr>
      </w:pPr>
    </w:p>
    <w:p w14:paraId="37F9CACA">
      <w:pPr>
        <w:pStyle w:val="2"/>
        <w:rPr>
          <w:rFonts w:hint="eastAsia" w:ascii="方正小标宋" w:hAnsi="方正小标宋" w:eastAsia="方正小标宋" w:cs="方正小标宋"/>
          <w:b w:val="0"/>
          <w:color w:val="000000"/>
          <w:sz w:val="44"/>
          <w:szCs w:val="44"/>
        </w:rPr>
      </w:pPr>
    </w:p>
    <w:p w14:paraId="72A3D3C3">
      <w:pPr>
        <w:pStyle w:val="2"/>
        <w:rPr>
          <w:rFonts w:hint="eastAsia" w:ascii="方正小标宋" w:hAnsi="方正小标宋" w:eastAsia="方正小标宋" w:cs="方正小标宋"/>
          <w:b w:val="0"/>
          <w:color w:val="000000"/>
          <w:sz w:val="44"/>
          <w:szCs w:val="44"/>
        </w:rPr>
      </w:pPr>
    </w:p>
    <w:p w14:paraId="19657986">
      <w:pPr>
        <w:pStyle w:val="2"/>
        <w:rPr>
          <w:rFonts w:hint="eastAsia" w:ascii="方正小标宋" w:hAnsi="方正小标宋" w:eastAsia="方正小标宋" w:cs="方正小标宋"/>
          <w:b w:val="0"/>
          <w:color w:val="000000"/>
          <w:sz w:val="44"/>
          <w:szCs w:val="44"/>
        </w:rPr>
      </w:pPr>
    </w:p>
    <w:p w14:paraId="434434B6">
      <w:pPr>
        <w:pStyle w:val="2"/>
        <w:rPr>
          <w:rFonts w:hint="eastAsia" w:ascii="方正小标宋" w:hAnsi="方正小标宋" w:eastAsia="方正小标宋" w:cs="方正小标宋"/>
          <w:b w:val="0"/>
          <w:color w:val="000000"/>
          <w:sz w:val="44"/>
          <w:szCs w:val="44"/>
        </w:rPr>
      </w:pPr>
    </w:p>
    <w:p w14:paraId="56BFCD26">
      <w:pPr>
        <w:widowControl/>
        <w:jc w:val="center"/>
        <w:rPr>
          <w:rFonts w:hint="eastAsia" w:ascii="黑体" w:hAnsi="黑体" w:eastAsia="黑体" w:cs="Times New Roman"/>
          <w:b w:val="0"/>
          <w:bCs/>
          <w:color w:val="auto"/>
          <w:kern w:val="44"/>
          <w:sz w:val="44"/>
          <w:szCs w:val="44"/>
          <w:highlight w:val="none"/>
          <w:lang w:val="en-US" w:eastAsia="zh-CN" w:bidi="ar-SA"/>
        </w:rPr>
      </w:pPr>
      <w:r>
        <w:rPr>
          <w:rFonts w:hint="eastAsia" w:ascii="黑体" w:hAnsi="黑体" w:eastAsia="黑体" w:cs="Times New Roman"/>
          <w:b w:val="0"/>
          <w:bCs/>
          <w:color w:val="auto"/>
          <w:kern w:val="44"/>
          <w:sz w:val="44"/>
          <w:szCs w:val="44"/>
          <w:highlight w:val="none"/>
          <w:lang w:val="en-US" w:eastAsia="zh-CN" w:bidi="ar-SA"/>
        </w:rPr>
        <w:t>第二部分 2023年度部门决算情况说明</w:t>
      </w:r>
      <w:bookmarkEnd w:id="29"/>
      <w:bookmarkEnd w:id="30"/>
      <w:bookmarkEnd w:id="31"/>
    </w:p>
    <w:p w14:paraId="58A2D0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 w:hAnsi="方正小标宋" w:eastAsia="方正小标宋" w:cs="方正小标宋"/>
          <w:b w:val="0"/>
          <w:color w:val="000000"/>
          <w:sz w:val="44"/>
          <w:szCs w:val="44"/>
        </w:rPr>
      </w:pPr>
    </w:p>
    <w:p w14:paraId="3203DBCE">
      <w:pPr>
        <w:pStyle w:val="40"/>
        <w:numPr>
          <w:ilvl w:val="0"/>
          <w:numId w:val="1"/>
        </w:numPr>
        <w:spacing w:line="600" w:lineRule="exact"/>
        <w:ind w:firstLineChars="0"/>
        <w:outlineLvl w:val="1"/>
        <w:rPr>
          <w:rStyle w:val="30"/>
          <w:rFonts w:ascii="黑体" w:hAnsi="黑体" w:eastAsia="黑体"/>
          <w:b w:val="0"/>
        </w:rPr>
      </w:pPr>
      <w:bookmarkStart w:id="32" w:name="_Toc12061"/>
      <w:bookmarkStart w:id="33" w:name="_Toc15377205"/>
      <w:bookmarkStart w:id="34" w:name="_Toc15396603"/>
      <w:bookmarkStart w:id="35" w:name="_Toc79163610"/>
      <w:r>
        <w:rPr>
          <w:rFonts w:hint="eastAsia" w:ascii="黑体" w:hAnsi="黑体" w:eastAsia="黑体"/>
          <w:color w:val="000000"/>
          <w:sz w:val="32"/>
          <w:szCs w:val="32"/>
        </w:rPr>
        <w:t>收</w:t>
      </w:r>
      <w:r>
        <w:rPr>
          <w:rStyle w:val="30"/>
          <w:rFonts w:hint="eastAsia" w:ascii="黑体" w:hAnsi="黑体" w:eastAsia="黑体"/>
          <w:b w:val="0"/>
        </w:rPr>
        <w:t>入支出决算总体情况说明</w:t>
      </w:r>
      <w:bookmarkEnd w:id="32"/>
      <w:bookmarkEnd w:id="33"/>
      <w:bookmarkEnd w:id="34"/>
      <w:bookmarkEnd w:id="35"/>
    </w:p>
    <w:p w14:paraId="61C8F736">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2023年度收入总计222.55万元，与2022年相比，减少40.36万元，下降15.35%。主要变动原因：本当年基本支出减少，收支减少; 支出总计222.55万元。与2022年相比，减少46.76万元，下降17.36%。主要变动原因:当年基本支出减少，收支减少。</w:t>
      </w:r>
    </w:p>
    <w:p w14:paraId="2F1291C0">
      <w:pPr>
        <w:pStyle w:val="28"/>
        <w:ind w:left="0" w:leftChars="0" w:firstLine="0" w:firstLineChars="0"/>
        <w:jc w:val="center"/>
        <w:rPr>
          <w:rFonts w:hint="eastAsia" w:eastAsia="仿宋"/>
          <w:lang w:eastAsia="zh-CN"/>
        </w:rPr>
      </w:pPr>
      <w:r>
        <w:drawing>
          <wp:inline distT="0" distB="0" distL="114300" distR="114300">
            <wp:extent cx="4705350" cy="2576195"/>
            <wp:effectExtent l="4445" t="4445" r="14605" b="10160"/>
            <wp:docPr id="134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drawing>
          <wp:inline distT="0" distB="0" distL="114300" distR="114300">
            <wp:extent cx="4617085" cy="2406015"/>
            <wp:effectExtent l="4445" t="4445" r="13970" b="15240"/>
            <wp:docPr id="133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94E60A">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14:paraId="3BAD8F89">
      <w:pPr>
        <w:spacing w:line="600" w:lineRule="exact"/>
        <w:ind w:firstLine="640" w:firstLineChars="200"/>
        <w:jc w:val="left"/>
        <w:rPr>
          <w:rFonts w:ascii="仿宋_GB2312" w:eastAsia="仿宋_GB2312"/>
          <w:color w:val="000000"/>
          <w:sz w:val="32"/>
          <w:szCs w:val="32"/>
        </w:rPr>
      </w:pPr>
    </w:p>
    <w:p w14:paraId="0ACF0DF8">
      <w:pPr>
        <w:pStyle w:val="40"/>
        <w:numPr>
          <w:ilvl w:val="0"/>
          <w:numId w:val="1"/>
        </w:numPr>
        <w:spacing w:line="600" w:lineRule="exact"/>
        <w:ind w:firstLineChars="0"/>
        <w:outlineLvl w:val="1"/>
        <w:rPr>
          <w:rStyle w:val="30"/>
          <w:rFonts w:ascii="黑体" w:hAnsi="黑体" w:eastAsia="黑体"/>
          <w:b w:val="0"/>
        </w:rPr>
      </w:pPr>
      <w:bookmarkStart w:id="36" w:name="_Toc15938"/>
      <w:bookmarkStart w:id="37" w:name="_Toc15377206"/>
      <w:bookmarkStart w:id="38" w:name="_Toc15396604"/>
      <w:bookmarkStart w:id="39" w:name="_Toc79163611"/>
      <w:r>
        <w:rPr>
          <w:rFonts w:hint="eastAsia" w:ascii="黑体" w:hAnsi="黑体" w:eastAsia="黑体"/>
          <w:color w:val="000000"/>
          <w:sz w:val="32"/>
          <w:szCs w:val="32"/>
        </w:rPr>
        <w:t>收</w:t>
      </w:r>
      <w:r>
        <w:rPr>
          <w:rStyle w:val="30"/>
          <w:rFonts w:hint="eastAsia" w:ascii="黑体" w:hAnsi="黑体" w:eastAsia="黑体"/>
          <w:b w:val="0"/>
        </w:rPr>
        <w:t>入决算情况说明</w:t>
      </w:r>
      <w:bookmarkEnd w:id="36"/>
      <w:bookmarkEnd w:id="37"/>
      <w:bookmarkEnd w:id="38"/>
      <w:bookmarkEnd w:id="39"/>
    </w:p>
    <w:p w14:paraId="1DEA92D2">
      <w:pPr>
        <w:spacing w:line="600" w:lineRule="exact"/>
        <w:ind w:firstLine="640" w:firstLineChars="200"/>
        <w:rPr>
          <w:rFonts w:ascii="仿宋_GB2312" w:eastAsia="仿宋_GB2312"/>
          <w:color w:val="FF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年本年收入合计</w:t>
      </w:r>
      <w:r>
        <w:rPr>
          <w:rFonts w:hint="eastAsia" w:ascii="仿宋" w:hAnsi="仿宋" w:eastAsia="仿宋"/>
          <w:color w:val="000000"/>
          <w:sz w:val="32"/>
          <w:szCs w:val="32"/>
          <w:lang w:eastAsia="zh-CN"/>
        </w:rPr>
        <w:t>222.55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eastAsia="zh-CN"/>
        </w:rPr>
        <w:t>222.55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100.00</w:t>
      </w:r>
      <w:r>
        <w:rPr>
          <w:rFonts w:ascii="仿宋" w:hAnsi="仿宋" w:eastAsia="仿宋"/>
          <w:color w:val="000000"/>
          <w:sz w:val="32"/>
          <w:szCs w:val="32"/>
        </w:rPr>
        <w:t>%</w:t>
      </w:r>
      <w:r>
        <w:rPr>
          <w:rFonts w:hint="eastAsia" w:ascii="仿宋" w:hAnsi="仿宋" w:eastAsia="仿宋"/>
          <w:color w:val="000000"/>
          <w:sz w:val="32"/>
          <w:szCs w:val="32"/>
        </w:rPr>
        <w:t>。</w:t>
      </w:r>
    </w:p>
    <w:p w14:paraId="59E99E20">
      <w:pPr>
        <w:pStyle w:val="28"/>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inline distT="0" distB="0" distL="114300" distR="114300">
            <wp:extent cx="4119245" cy="2278380"/>
            <wp:effectExtent l="4445" t="4445" r="10160" b="222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34F15B">
      <w:pPr>
        <w:spacing w:line="600" w:lineRule="exact"/>
        <w:ind w:firstLine="1920" w:firstLineChars="6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14:paraId="2CE63568">
      <w:pPr>
        <w:pStyle w:val="40"/>
        <w:numPr>
          <w:ilvl w:val="0"/>
          <w:numId w:val="1"/>
        </w:numPr>
        <w:spacing w:line="600" w:lineRule="exact"/>
        <w:ind w:firstLineChars="0"/>
        <w:outlineLvl w:val="1"/>
        <w:rPr>
          <w:rStyle w:val="30"/>
          <w:rFonts w:ascii="黑体" w:hAnsi="黑体" w:eastAsia="黑体"/>
          <w:b w:val="0"/>
        </w:rPr>
      </w:pPr>
      <w:bookmarkStart w:id="40" w:name="_Toc79163612"/>
      <w:bookmarkStart w:id="41" w:name="_Toc15396605"/>
      <w:bookmarkStart w:id="42" w:name="_Toc30887"/>
      <w:bookmarkStart w:id="43" w:name="_Toc15377207"/>
      <w:r>
        <w:rPr>
          <w:rFonts w:hint="eastAsia" w:ascii="黑体" w:hAnsi="黑体" w:eastAsia="黑体"/>
          <w:color w:val="000000"/>
          <w:sz w:val="32"/>
          <w:szCs w:val="32"/>
        </w:rPr>
        <w:t>支</w:t>
      </w:r>
      <w:r>
        <w:rPr>
          <w:rStyle w:val="30"/>
          <w:rFonts w:hint="eastAsia" w:ascii="黑体" w:hAnsi="黑体" w:eastAsia="黑体"/>
          <w:b w:val="0"/>
        </w:rPr>
        <w:t>出决算情况说明</w:t>
      </w:r>
      <w:bookmarkEnd w:id="40"/>
      <w:bookmarkEnd w:id="41"/>
      <w:bookmarkEnd w:id="42"/>
      <w:bookmarkEnd w:id="43"/>
    </w:p>
    <w:p w14:paraId="71F2E968">
      <w:pPr>
        <w:spacing w:line="600" w:lineRule="exact"/>
        <w:ind w:firstLine="640" w:firstLineChars="200"/>
        <w:rPr>
          <w:rFonts w:hint="default" w:ascii="仿宋" w:hAnsi="仿宋" w:eastAsia="仿宋"/>
          <w:color w:val="000000"/>
          <w:sz w:val="32"/>
          <w:szCs w:val="32"/>
          <w:shd w:val="pct10" w:color="auto" w:fill="FFFFFF"/>
          <w:lang w:val="en-US"/>
        </w:rPr>
      </w:pPr>
      <w:r>
        <w:rPr>
          <w:rFonts w:hint="eastAsia" w:ascii="仿宋_GB2312" w:eastAsia="仿宋_GB2312"/>
          <w:sz w:val="32"/>
          <w:szCs w:val="32"/>
          <w:lang w:eastAsia="zh-CN"/>
        </w:rPr>
        <w:t>2023</w:t>
      </w:r>
      <w:r>
        <w:rPr>
          <w:rFonts w:hint="eastAsia" w:ascii="仿宋_GB2312" w:eastAsia="仿宋_GB2312"/>
          <w:sz w:val="32"/>
          <w:szCs w:val="32"/>
        </w:rPr>
        <w:t>年本年支出合计</w:t>
      </w:r>
      <w:r>
        <w:rPr>
          <w:rFonts w:hint="eastAsia" w:ascii="仿宋_GB2312" w:eastAsia="仿宋_GB2312"/>
          <w:sz w:val="32"/>
          <w:szCs w:val="32"/>
          <w:lang w:eastAsia="zh-CN"/>
        </w:rPr>
        <w:t>222.55</w:t>
      </w:r>
      <w:r>
        <w:rPr>
          <w:rFonts w:hint="eastAsia" w:ascii="仿宋_GB2312" w:eastAsia="仿宋_GB2312"/>
          <w:sz w:val="32"/>
          <w:szCs w:val="32"/>
        </w:rPr>
        <w:t>万元，其中：基本支出222.55万元，占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lang w:val="en-US" w:eastAsia="zh-CN"/>
        </w:rPr>
        <w:t xml:space="preserve"> 。</w:t>
      </w:r>
    </w:p>
    <w:p w14:paraId="6B7AD3EA">
      <w:pPr>
        <w:pStyle w:val="28"/>
        <w:jc w:val="center"/>
        <w:rPr>
          <w:rFonts w:hint="eastAsia" w:ascii="仿宋" w:hAnsi="仿宋" w:eastAsia="仿宋"/>
          <w:color w:val="000000"/>
          <w:sz w:val="32"/>
          <w:szCs w:val="32"/>
          <w:shd w:val="pct10" w:color="auto" w:fill="FFFFFF"/>
          <w:lang w:eastAsia="zh-CN"/>
        </w:rPr>
      </w:pPr>
      <w:r>
        <w:drawing>
          <wp:inline distT="0" distB="0" distL="114300" distR="114300">
            <wp:extent cx="4107180" cy="2176145"/>
            <wp:effectExtent l="4445" t="4445" r="15875" b="16510"/>
            <wp:docPr id="133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C5D83C">
      <w:pPr>
        <w:spacing w:line="600" w:lineRule="exact"/>
        <w:ind w:firstLine="1280" w:firstLineChars="4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14:paraId="04A4BC86">
      <w:pPr>
        <w:spacing w:line="600" w:lineRule="exact"/>
        <w:ind w:firstLine="640" w:firstLineChars="200"/>
        <w:outlineLvl w:val="1"/>
        <w:rPr>
          <w:rStyle w:val="30"/>
          <w:rFonts w:ascii="黑体" w:hAnsi="黑体" w:eastAsia="黑体"/>
          <w:b w:val="0"/>
        </w:rPr>
      </w:pPr>
      <w:bookmarkStart w:id="44" w:name="_Toc15377208"/>
      <w:bookmarkStart w:id="45" w:name="_Toc15396606"/>
      <w:bookmarkStart w:id="46" w:name="_Toc79163613"/>
      <w:bookmarkStart w:id="47" w:name="_Toc24427"/>
      <w:r>
        <w:rPr>
          <w:rFonts w:hint="eastAsia" w:ascii="黑体" w:hAnsi="黑体" w:eastAsia="黑体"/>
          <w:color w:val="000000"/>
          <w:sz w:val="32"/>
          <w:szCs w:val="32"/>
        </w:rPr>
        <w:t>四、财</w:t>
      </w:r>
      <w:r>
        <w:rPr>
          <w:rStyle w:val="30"/>
          <w:rFonts w:hint="eastAsia" w:ascii="黑体" w:hAnsi="黑体" w:eastAsia="黑体"/>
          <w:b w:val="0"/>
        </w:rPr>
        <w:t>政拨款收入支出决算总体情况说明</w:t>
      </w:r>
      <w:bookmarkEnd w:id="44"/>
      <w:bookmarkEnd w:id="45"/>
      <w:bookmarkEnd w:id="46"/>
      <w:bookmarkEnd w:id="47"/>
    </w:p>
    <w:p w14:paraId="31759751">
      <w:pPr>
        <w:pStyle w:val="28"/>
        <w:ind w:left="0" w:leftChars="0" w:firstLine="0" w:firstLineChars="0"/>
        <w:rPr>
          <w:rFonts w:hint="eastAsia"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2023年度</w:t>
      </w:r>
      <w:r>
        <w:rPr>
          <w:rFonts w:hint="eastAsia" w:ascii="仿宋" w:hAnsi="仿宋" w:eastAsia="仿宋"/>
          <w:color w:val="000000"/>
          <w:sz w:val="32"/>
          <w:szCs w:val="32"/>
        </w:rPr>
        <w:t>财政拨款</w:t>
      </w:r>
      <w:r>
        <w:rPr>
          <w:rFonts w:hint="eastAsia" w:ascii="仿宋" w:hAnsi="仿宋" w:eastAsia="仿宋"/>
          <w:color w:val="000000"/>
          <w:sz w:val="32"/>
          <w:szCs w:val="32"/>
          <w:lang w:eastAsia="zh-CN"/>
        </w:rPr>
        <w:t>收入</w:t>
      </w:r>
      <w:r>
        <w:rPr>
          <w:rFonts w:hint="eastAsia" w:ascii="仿宋" w:hAnsi="仿宋" w:eastAsia="仿宋" w:cs="仿宋"/>
          <w:color w:val="000000"/>
          <w:kern w:val="2"/>
          <w:sz w:val="32"/>
          <w:szCs w:val="32"/>
          <w:lang w:val="en-US" w:eastAsia="zh-CN" w:bidi="ar"/>
        </w:rPr>
        <w:t xml:space="preserve">总计222.55万元，与2022年相比，减少40.36万元，下降15.35%。主要变动原因：本当年基本支出减少，收支减少; </w:t>
      </w:r>
      <w:r>
        <w:rPr>
          <w:rFonts w:hint="eastAsia" w:ascii="仿宋" w:hAnsi="仿宋" w:eastAsia="仿宋"/>
          <w:color w:val="000000"/>
          <w:sz w:val="32"/>
          <w:szCs w:val="32"/>
          <w:lang w:eastAsia="zh-CN"/>
        </w:rPr>
        <w:t>2023年</w:t>
      </w:r>
      <w:r>
        <w:rPr>
          <w:rFonts w:hint="eastAsia" w:ascii="仿宋" w:hAnsi="仿宋" w:eastAsia="仿宋"/>
          <w:color w:val="000000"/>
          <w:sz w:val="32"/>
          <w:szCs w:val="32"/>
        </w:rPr>
        <w:t>财政拨款支出</w:t>
      </w:r>
      <w:r>
        <w:rPr>
          <w:rFonts w:hint="eastAsia" w:ascii="仿宋" w:hAnsi="仿宋" w:eastAsia="仿宋" w:cs="仿宋"/>
          <w:color w:val="000000"/>
          <w:kern w:val="2"/>
          <w:sz w:val="32"/>
          <w:szCs w:val="32"/>
          <w:lang w:val="en-US" w:eastAsia="zh-CN" w:bidi="ar"/>
        </w:rPr>
        <w:t>总计222.55万元。与2022年相比，减少46.76万元，下降17.36%。主要变动原因:当年基本支出减少，收支减少。</w:t>
      </w:r>
    </w:p>
    <w:p w14:paraId="743AD6D1">
      <w:pPr>
        <w:pStyle w:val="28"/>
        <w:ind w:left="0" w:leftChars="0" w:firstLine="0" w:firstLineChars="0"/>
        <w:jc w:val="center"/>
        <w:rPr>
          <w:rFonts w:ascii="仿宋" w:hAnsi="仿宋" w:eastAsia="仿宋"/>
          <w:color w:val="000000"/>
          <w:sz w:val="32"/>
          <w:szCs w:val="32"/>
        </w:rPr>
      </w:pPr>
      <w:r>
        <w:drawing>
          <wp:inline distT="0" distB="0" distL="114300" distR="114300">
            <wp:extent cx="4208780" cy="2270760"/>
            <wp:effectExtent l="4445" t="4445" r="15875" b="10795"/>
            <wp:docPr id="133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drawing>
          <wp:inline distT="0" distB="0" distL="114300" distR="114300">
            <wp:extent cx="4339590" cy="2130425"/>
            <wp:effectExtent l="4445" t="4445" r="12065" b="11430"/>
            <wp:docPr id="133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E813D7">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14:paraId="2B8C722B">
      <w:pPr>
        <w:spacing w:line="600" w:lineRule="exact"/>
        <w:ind w:firstLine="640"/>
        <w:rPr>
          <w:rFonts w:ascii="仿宋" w:hAnsi="仿宋" w:eastAsia="仿宋"/>
          <w:b/>
          <w:color w:val="00B050"/>
          <w:sz w:val="32"/>
          <w:szCs w:val="32"/>
        </w:rPr>
      </w:pPr>
    </w:p>
    <w:p w14:paraId="0DBA3D67">
      <w:pPr>
        <w:spacing w:line="600" w:lineRule="exact"/>
        <w:ind w:firstLine="640" w:firstLineChars="200"/>
        <w:outlineLvl w:val="1"/>
        <w:rPr>
          <w:rStyle w:val="30"/>
          <w:rFonts w:ascii="黑体" w:hAnsi="黑体" w:eastAsia="黑体"/>
          <w:b w:val="0"/>
        </w:rPr>
      </w:pPr>
      <w:bookmarkStart w:id="48" w:name="_Toc16632"/>
      <w:bookmarkStart w:id="49" w:name="_Toc15377209"/>
      <w:bookmarkStart w:id="50" w:name="_Toc79163614"/>
      <w:bookmarkStart w:id="51"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48"/>
      <w:bookmarkEnd w:id="49"/>
      <w:bookmarkEnd w:id="50"/>
      <w:bookmarkEnd w:id="51"/>
    </w:p>
    <w:p w14:paraId="0052FDA9">
      <w:pPr>
        <w:spacing w:line="600" w:lineRule="exact"/>
        <w:ind w:firstLine="643" w:firstLineChars="200"/>
        <w:outlineLvl w:val="2"/>
        <w:rPr>
          <w:rFonts w:ascii="仿宋" w:hAnsi="仿宋" w:eastAsia="仿宋"/>
          <w:b/>
          <w:color w:val="000000"/>
          <w:sz w:val="32"/>
          <w:szCs w:val="32"/>
        </w:rPr>
      </w:pPr>
      <w:bookmarkStart w:id="52" w:name="_Toc79163615"/>
      <w:bookmarkStart w:id="53" w:name="_Toc5046"/>
      <w:bookmarkStart w:id="54" w:name="_Toc15377210"/>
      <w:r>
        <w:rPr>
          <w:rFonts w:hint="eastAsia" w:ascii="仿宋" w:hAnsi="仿宋" w:eastAsia="仿宋"/>
          <w:b/>
          <w:color w:val="000000"/>
          <w:sz w:val="32"/>
          <w:szCs w:val="32"/>
        </w:rPr>
        <w:t>（一）一般公共预算财政拨款支出决算总体情况</w:t>
      </w:r>
      <w:bookmarkEnd w:id="52"/>
      <w:bookmarkEnd w:id="53"/>
      <w:bookmarkEnd w:id="54"/>
    </w:p>
    <w:p w14:paraId="05F0B75B">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eastAsia="zh-CN"/>
        </w:rPr>
        <w:t>222.55</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20年相比，一般公共预算财政拨款</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46.76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17.36</w:t>
      </w:r>
      <w:r>
        <w:rPr>
          <w:rFonts w:ascii="仿宋" w:hAnsi="仿宋" w:eastAsia="仿宋"/>
          <w:color w:val="000000"/>
          <w:sz w:val="32"/>
          <w:szCs w:val="32"/>
        </w:rPr>
        <w:t>%</w:t>
      </w:r>
      <w:r>
        <w:rPr>
          <w:rFonts w:hint="eastAsia" w:ascii="仿宋" w:hAnsi="仿宋" w:eastAsia="仿宋"/>
          <w:color w:val="000000"/>
          <w:sz w:val="32"/>
          <w:szCs w:val="32"/>
        </w:rPr>
        <w:t>。主要</w:t>
      </w:r>
      <w:r>
        <w:rPr>
          <w:rFonts w:hint="eastAsia" w:ascii="仿宋" w:hAnsi="仿宋" w:eastAsia="仿宋"/>
          <w:color w:val="000000"/>
          <w:sz w:val="32"/>
          <w:szCs w:val="32"/>
          <w:lang w:val="en-US" w:eastAsia="zh-CN"/>
        </w:rPr>
        <w:t>变动原因为当年基本支出减少，收支减少。</w:t>
      </w:r>
    </w:p>
    <w:p w14:paraId="4C63C112">
      <w:pPr>
        <w:pStyle w:val="28"/>
        <w:rPr>
          <w:rFonts w:hint="eastAsia" w:ascii="仿宋" w:hAnsi="仿宋" w:eastAsia="仿宋"/>
          <w:color w:val="000000"/>
          <w:sz w:val="32"/>
          <w:szCs w:val="32"/>
          <w:lang w:val="en-US" w:eastAsia="zh-CN"/>
        </w:rPr>
      </w:pPr>
      <w:r>
        <w:drawing>
          <wp:inline distT="0" distB="0" distL="114300" distR="114300">
            <wp:extent cx="4451350" cy="2411095"/>
            <wp:effectExtent l="4445" t="4445" r="14605" b="10160"/>
            <wp:docPr id="134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899DB0">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14:paraId="58E7A380">
      <w:pPr>
        <w:spacing w:line="600" w:lineRule="exact"/>
        <w:ind w:firstLine="643" w:firstLineChars="200"/>
        <w:outlineLvl w:val="2"/>
        <w:rPr>
          <w:rFonts w:ascii="仿宋" w:hAnsi="仿宋" w:eastAsia="仿宋"/>
          <w:b/>
          <w:color w:val="000000"/>
          <w:sz w:val="32"/>
          <w:szCs w:val="32"/>
        </w:rPr>
      </w:pPr>
      <w:bookmarkStart w:id="55" w:name="_Toc15377211"/>
      <w:bookmarkStart w:id="56" w:name="_Toc19073"/>
      <w:bookmarkStart w:id="57" w:name="_Toc79163616"/>
      <w:r>
        <w:rPr>
          <w:rFonts w:hint="eastAsia" w:ascii="仿宋" w:hAnsi="仿宋" w:eastAsia="仿宋"/>
          <w:b/>
          <w:color w:val="000000"/>
          <w:sz w:val="32"/>
          <w:szCs w:val="32"/>
        </w:rPr>
        <w:t>（二）一般公共预算财政拨款支出决算结构情况</w:t>
      </w:r>
      <w:bookmarkEnd w:id="55"/>
      <w:bookmarkEnd w:id="56"/>
      <w:bookmarkEnd w:id="57"/>
    </w:p>
    <w:p w14:paraId="07EA9B65">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eastAsia="zh-CN"/>
        </w:rPr>
        <w:t>222.55</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w:t>
      </w:r>
      <w:r>
        <w:rPr>
          <w:rFonts w:hint="eastAsia" w:ascii="仿宋" w:hAnsi="仿宋" w:eastAsia="仿宋"/>
          <w:color w:val="000000"/>
          <w:sz w:val="32"/>
          <w:szCs w:val="32"/>
        </w:rPr>
        <w:t>支出167.25万元，占</w:t>
      </w:r>
      <w:r>
        <w:rPr>
          <w:rFonts w:hint="eastAsia" w:ascii="仿宋" w:hAnsi="仿宋" w:eastAsia="仿宋"/>
          <w:color w:val="000000"/>
          <w:sz w:val="32"/>
          <w:szCs w:val="32"/>
          <w:lang w:val="en-US" w:eastAsia="zh-CN"/>
        </w:rPr>
        <w:t>75.16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w:t>
      </w:r>
      <w:r>
        <w:rPr>
          <w:rFonts w:hint="eastAsia" w:ascii="仿宋" w:hAnsi="仿宋" w:eastAsia="仿宋"/>
          <w:color w:val="000000"/>
          <w:sz w:val="32"/>
          <w:szCs w:val="32"/>
        </w:rPr>
        <w:t>支出28.60万元，占</w:t>
      </w:r>
      <w:r>
        <w:rPr>
          <w:rFonts w:hint="eastAsia" w:ascii="仿宋" w:hAnsi="仿宋" w:eastAsia="仿宋"/>
          <w:color w:val="000000"/>
          <w:sz w:val="32"/>
          <w:szCs w:val="32"/>
          <w:lang w:val="en-US" w:eastAsia="zh-CN"/>
        </w:rPr>
        <w:t>12.85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11.45万元，占</w:t>
      </w:r>
      <w:r>
        <w:rPr>
          <w:rFonts w:hint="eastAsia" w:ascii="仿宋" w:hAnsi="仿宋" w:eastAsia="仿宋"/>
          <w:color w:val="000000"/>
          <w:sz w:val="32"/>
          <w:szCs w:val="32"/>
          <w:lang w:val="en-US" w:eastAsia="zh-CN"/>
        </w:rPr>
        <w:t>5.15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住房保障支出</w:t>
      </w:r>
      <w:r>
        <w:rPr>
          <w:rFonts w:hint="eastAsia" w:ascii="仿宋" w:hAnsi="仿宋" w:eastAsia="仿宋"/>
          <w:color w:val="000000"/>
          <w:sz w:val="32"/>
          <w:szCs w:val="32"/>
        </w:rPr>
        <w:t>15.24万元，占</w:t>
      </w:r>
      <w:r>
        <w:rPr>
          <w:rFonts w:hint="eastAsia" w:ascii="仿宋" w:hAnsi="仿宋" w:eastAsia="仿宋"/>
          <w:color w:val="000000"/>
          <w:sz w:val="32"/>
          <w:szCs w:val="32"/>
          <w:lang w:val="en-US" w:eastAsia="zh-CN"/>
        </w:rPr>
        <w:t>6.85</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129DCD13">
      <w:pPr>
        <w:pStyle w:val="28"/>
        <w:rPr>
          <w:rFonts w:hint="eastAsia"/>
          <w:lang w:val="en-US" w:eastAsia="zh-CN"/>
        </w:rPr>
      </w:pPr>
      <w:r>
        <w:drawing>
          <wp:inline distT="0" distB="0" distL="114300" distR="114300">
            <wp:extent cx="4466590" cy="2393950"/>
            <wp:effectExtent l="4445" t="4445" r="12065" b="14605"/>
            <wp:docPr id="134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69EFC8">
      <w:pPr>
        <w:spacing w:line="600" w:lineRule="exact"/>
        <w:ind w:firstLine="640" w:firstLineChars="200"/>
        <w:outlineLvl w:val="2"/>
        <w:rPr>
          <w:rFonts w:hint="eastAsia" w:ascii="仿宋" w:hAnsi="仿宋" w:eastAsia="仿宋"/>
          <w:color w:val="000000"/>
          <w:sz w:val="32"/>
          <w:szCs w:val="32"/>
        </w:rPr>
      </w:pPr>
      <w:bookmarkStart w:id="58" w:name="_Toc6526"/>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bookmarkEnd w:id="58"/>
      <w:bookmarkStart w:id="59" w:name="_Toc15377212"/>
      <w:bookmarkStart w:id="60" w:name="_Toc79163617"/>
    </w:p>
    <w:p w14:paraId="2D233324">
      <w:pPr>
        <w:spacing w:line="600" w:lineRule="exact"/>
        <w:ind w:firstLine="643" w:firstLineChars="200"/>
        <w:outlineLvl w:val="2"/>
        <w:rPr>
          <w:rFonts w:ascii="仿宋" w:hAnsi="仿宋" w:eastAsia="仿宋"/>
          <w:b/>
          <w:color w:val="000000"/>
          <w:sz w:val="32"/>
          <w:szCs w:val="32"/>
        </w:rPr>
      </w:pPr>
      <w:bookmarkStart w:id="61" w:name="_Toc4375"/>
      <w:r>
        <w:rPr>
          <w:rFonts w:hint="eastAsia" w:ascii="仿宋" w:hAnsi="仿宋" w:eastAsia="仿宋"/>
          <w:b/>
          <w:color w:val="000000"/>
          <w:sz w:val="32"/>
          <w:szCs w:val="32"/>
        </w:rPr>
        <w:t>（三）一般公共预算财政拨款支出决算具体情况</w:t>
      </w:r>
      <w:bookmarkEnd w:id="59"/>
      <w:bookmarkEnd w:id="60"/>
      <w:bookmarkEnd w:id="61"/>
    </w:p>
    <w:p w14:paraId="4C3EB632">
      <w:pPr>
        <w:spacing w:line="600" w:lineRule="exact"/>
        <w:ind w:firstLine="643" w:firstLineChars="200"/>
        <w:rPr>
          <w:rFonts w:ascii="仿宋_GB2312" w:eastAsia="仿宋_GB2312"/>
          <w:b/>
          <w:bCs/>
          <w:sz w:val="32"/>
          <w:szCs w:val="32"/>
        </w:rPr>
      </w:pPr>
      <w:bookmarkStart w:id="62" w:name="_Toc15377213"/>
      <w:bookmarkStart w:id="63" w:name="_Toc15377444"/>
      <w:bookmarkStart w:id="64" w:name="_Toc15378460"/>
      <w:r>
        <w:rPr>
          <w:rFonts w:hint="eastAsia" w:ascii="仿宋_GB2312" w:eastAsia="仿宋_GB2312"/>
          <w:b/>
          <w:bCs/>
          <w:sz w:val="32"/>
          <w:szCs w:val="32"/>
          <w:lang w:eastAsia="zh-CN"/>
        </w:rPr>
        <w:t>2023</w:t>
      </w:r>
      <w:r>
        <w:rPr>
          <w:rFonts w:hint="eastAsia" w:ascii="仿宋_GB2312" w:eastAsia="仿宋_GB2312"/>
          <w:b/>
          <w:bCs/>
          <w:sz w:val="32"/>
          <w:szCs w:val="32"/>
        </w:rPr>
        <w:t>年一般公共预算支出决算数为</w:t>
      </w:r>
      <w:r>
        <w:rPr>
          <w:rFonts w:hint="eastAsia" w:ascii="仿宋" w:hAnsi="仿宋" w:eastAsia="仿宋"/>
          <w:color w:val="000000"/>
          <w:sz w:val="32"/>
          <w:szCs w:val="32"/>
          <w:lang w:eastAsia="zh-CN"/>
        </w:rPr>
        <w:t>222.55</w:t>
      </w:r>
      <w:r>
        <w:rPr>
          <w:rFonts w:hint="eastAsia" w:ascii="仿宋" w:hAnsi="仿宋" w:eastAsia="仿宋"/>
          <w:color w:val="000000"/>
          <w:sz w:val="32"/>
          <w:szCs w:val="32"/>
          <w:lang w:val="en-US" w:eastAsia="zh-CN"/>
        </w:rPr>
        <w:t>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100.00</w:t>
      </w:r>
      <w:r>
        <w:rPr>
          <w:rFonts w:ascii="仿宋_GB2312" w:eastAsia="仿宋_GB2312"/>
          <w:b/>
          <w:bCs/>
          <w:sz w:val="32"/>
          <w:szCs w:val="32"/>
        </w:rPr>
        <w:t>%</w:t>
      </w:r>
      <w:r>
        <w:rPr>
          <w:rFonts w:hint="eastAsia" w:ascii="仿宋_GB2312" w:eastAsia="仿宋_GB2312"/>
          <w:b/>
          <w:bCs/>
          <w:sz w:val="32"/>
          <w:szCs w:val="32"/>
        </w:rPr>
        <w:t>。其中：</w:t>
      </w:r>
      <w:bookmarkEnd w:id="62"/>
      <w:bookmarkEnd w:id="63"/>
      <w:bookmarkEnd w:id="64"/>
    </w:p>
    <w:p w14:paraId="3C0DC949">
      <w:pPr>
        <w:spacing w:line="600" w:lineRule="exact"/>
        <w:ind w:firstLine="643" w:firstLineChars="200"/>
        <w:rPr>
          <w:rFonts w:ascii="仿宋" w:hAnsi="仿宋" w:eastAsia="仿宋"/>
          <w:b/>
          <w:color w:val="000000"/>
          <w:sz w:val="32"/>
          <w:szCs w:val="32"/>
        </w:rPr>
      </w:pPr>
      <w:r>
        <w:rPr>
          <w:rStyle w:val="26"/>
          <w:rFonts w:ascii="仿宋" w:hAnsi="仿宋" w:eastAsia="仿宋"/>
          <w:bCs/>
          <w:color w:val="000000"/>
          <w:sz w:val="32"/>
          <w:szCs w:val="32"/>
        </w:rPr>
        <w:t>1.</w:t>
      </w:r>
      <w:r>
        <w:rPr>
          <w:rStyle w:val="26"/>
          <w:rFonts w:hint="eastAsia" w:ascii="仿宋" w:hAnsi="仿宋" w:eastAsia="仿宋"/>
          <w:bCs/>
          <w:color w:val="000000"/>
          <w:sz w:val="32"/>
          <w:szCs w:val="32"/>
        </w:rPr>
        <w:t>一般公共服务（类）政府办公厅（室）及相关机构事务（款）行政运行（项）</w:t>
      </w:r>
      <w:r>
        <w:rPr>
          <w:rStyle w:val="26"/>
          <w:rFonts w:ascii="仿宋" w:hAnsi="仿宋" w:eastAsia="仿宋"/>
          <w:bCs/>
          <w:color w:val="000000"/>
          <w:sz w:val="32"/>
          <w:szCs w:val="32"/>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支出决算为100.64万元，完成预算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78FE0CD8">
      <w:pPr>
        <w:spacing w:line="600" w:lineRule="exact"/>
        <w:ind w:firstLine="643" w:firstLineChars="200"/>
        <w:rPr>
          <w:rFonts w:ascii="仿宋" w:hAnsi="仿宋" w:eastAsia="仿宋"/>
          <w:b/>
          <w:color w:val="000000"/>
          <w:sz w:val="32"/>
          <w:szCs w:val="32"/>
        </w:rPr>
      </w:pPr>
      <w:r>
        <w:rPr>
          <w:rStyle w:val="26"/>
          <w:rFonts w:hint="eastAsia" w:ascii="仿宋" w:hAnsi="仿宋" w:eastAsia="仿宋"/>
          <w:bCs/>
          <w:color w:val="000000"/>
          <w:sz w:val="32"/>
          <w:szCs w:val="32"/>
          <w:lang w:val="en-US" w:eastAsia="zh-CN"/>
        </w:rPr>
        <w:t>2</w:t>
      </w:r>
      <w:r>
        <w:rPr>
          <w:rStyle w:val="26"/>
          <w:rFonts w:ascii="仿宋" w:hAnsi="仿宋" w:eastAsia="仿宋"/>
          <w:bCs/>
          <w:color w:val="000000"/>
          <w:sz w:val="32"/>
          <w:szCs w:val="32"/>
        </w:rPr>
        <w:t>.</w:t>
      </w:r>
      <w:r>
        <w:rPr>
          <w:rStyle w:val="26"/>
          <w:rFonts w:hint="eastAsia" w:ascii="仿宋" w:hAnsi="仿宋" w:eastAsia="仿宋"/>
          <w:bCs/>
          <w:color w:val="000000"/>
          <w:sz w:val="32"/>
          <w:szCs w:val="32"/>
        </w:rPr>
        <w:t>一般公共服务（类）政府办公厅（室）及相关机构事务（款）</w:t>
      </w:r>
      <w:r>
        <w:rPr>
          <w:rStyle w:val="26"/>
          <w:rFonts w:hint="eastAsia" w:ascii="仿宋" w:hAnsi="仿宋" w:eastAsia="仿宋"/>
          <w:bCs/>
          <w:color w:val="000000"/>
          <w:sz w:val="32"/>
          <w:szCs w:val="32"/>
          <w:lang w:val="en-US" w:eastAsia="zh-CN"/>
        </w:rPr>
        <w:t>事业</w:t>
      </w:r>
      <w:r>
        <w:rPr>
          <w:rStyle w:val="26"/>
          <w:rFonts w:hint="eastAsia" w:ascii="仿宋" w:hAnsi="仿宋" w:eastAsia="仿宋"/>
          <w:bCs/>
          <w:color w:val="000000"/>
          <w:sz w:val="32"/>
          <w:szCs w:val="32"/>
        </w:rPr>
        <w:t>运行（项）</w:t>
      </w:r>
      <w:r>
        <w:rPr>
          <w:rStyle w:val="26"/>
          <w:rFonts w:ascii="仿宋" w:hAnsi="仿宋" w:eastAsia="仿宋"/>
          <w:bCs/>
          <w:color w:val="000000"/>
          <w:sz w:val="32"/>
          <w:szCs w:val="32"/>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支出决算为66.61万元，完成预算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24D067DA">
      <w:pPr>
        <w:spacing w:line="600" w:lineRule="exact"/>
        <w:ind w:firstLine="643" w:firstLineChars="200"/>
        <w:rPr>
          <w:rFonts w:ascii="仿宋" w:hAnsi="仿宋" w:eastAsia="仿宋"/>
          <w:b/>
          <w:color w:val="000000"/>
          <w:sz w:val="32"/>
          <w:szCs w:val="32"/>
        </w:rPr>
      </w:pPr>
      <w:r>
        <w:rPr>
          <w:rStyle w:val="26"/>
          <w:rFonts w:hint="eastAsia" w:ascii="仿宋" w:hAnsi="仿宋" w:eastAsia="仿宋"/>
          <w:bCs/>
          <w:color w:val="000000"/>
          <w:sz w:val="32"/>
          <w:szCs w:val="32"/>
          <w:lang w:val="en-US" w:eastAsia="zh-CN"/>
        </w:rPr>
        <w:t>3</w:t>
      </w:r>
      <w:r>
        <w:rPr>
          <w:rStyle w:val="26"/>
          <w:rFonts w:ascii="仿宋" w:hAnsi="仿宋" w:eastAsia="仿宋"/>
          <w:bCs/>
          <w:color w:val="000000"/>
          <w:sz w:val="32"/>
          <w:szCs w:val="32"/>
        </w:rPr>
        <w:t>.</w:t>
      </w:r>
      <w:r>
        <w:rPr>
          <w:rStyle w:val="26"/>
          <w:rFonts w:hint="eastAsia" w:ascii="仿宋" w:hAnsi="仿宋" w:eastAsia="仿宋"/>
          <w:bCs/>
          <w:color w:val="000000"/>
          <w:sz w:val="32"/>
          <w:szCs w:val="32"/>
        </w:rPr>
        <w:t>社会保障和就业支出（类）行政事业单位养老支出（款）机关事业单位基本养老保险缴费支出（项）</w:t>
      </w:r>
      <w:r>
        <w:rPr>
          <w:rStyle w:val="26"/>
          <w:rFonts w:ascii="仿宋" w:hAnsi="仿宋" w:eastAsia="仿宋"/>
          <w:bCs/>
          <w:color w:val="000000"/>
          <w:sz w:val="32"/>
          <w:szCs w:val="32"/>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支出决算为20.27万元，完成预算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2235885E">
      <w:pPr>
        <w:spacing w:line="600" w:lineRule="exact"/>
        <w:ind w:firstLine="643" w:firstLineChars="200"/>
        <w:rPr>
          <w:rFonts w:ascii="仿宋" w:hAnsi="仿宋" w:eastAsia="仿宋"/>
          <w:b/>
          <w:color w:val="000000"/>
          <w:sz w:val="32"/>
          <w:szCs w:val="32"/>
        </w:rPr>
      </w:pPr>
      <w:r>
        <w:rPr>
          <w:rStyle w:val="26"/>
          <w:rFonts w:hint="eastAsia" w:ascii="仿宋" w:hAnsi="仿宋" w:eastAsia="仿宋"/>
          <w:bCs/>
          <w:color w:val="000000"/>
          <w:sz w:val="32"/>
          <w:szCs w:val="32"/>
          <w:lang w:val="en-US" w:eastAsia="zh-CN"/>
        </w:rPr>
        <w:t>4</w:t>
      </w:r>
      <w:r>
        <w:rPr>
          <w:rStyle w:val="26"/>
          <w:rFonts w:ascii="仿宋" w:hAnsi="仿宋" w:eastAsia="仿宋"/>
          <w:bCs/>
          <w:color w:val="000000"/>
          <w:sz w:val="32"/>
          <w:szCs w:val="32"/>
        </w:rPr>
        <w:t>.</w:t>
      </w:r>
      <w:r>
        <w:rPr>
          <w:rStyle w:val="26"/>
          <w:rFonts w:hint="eastAsia" w:ascii="仿宋" w:hAnsi="仿宋" w:eastAsia="仿宋"/>
          <w:bCs/>
          <w:color w:val="000000"/>
          <w:sz w:val="32"/>
          <w:szCs w:val="32"/>
        </w:rPr>
        <w:t>社会保障和就业支出（类）行政事业单位养老支出（款）机关事业单位职业年金缴费支出（项）</w:t>
      </w:r>
      <w:r>
        <w:rPr>
          <w:rStyle w:val="26"/>
          <w:rFonts w:ascii="仿宋" w:hAnsi="仿宋" w:eastAsia="仿宋"/>
          <w:bCs/>
          <w:color w:val="000000"/>
          <w:sz w:val="32"/>
          <w:szCs w:val="32"/>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支出决算为8.33万元，完成预算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463EE84B">
      <w:pPr>
        <w:spacing w:line="600" w:lineRule="exact"/>
        <w:ind w:firstLine="643" w:firstLineChars="200"/>
        <w:rPr>
          <w:rStyle w:val="26"/>
          <w:rFonts w:hint="eastAsia" w:ascii="仿宋" w:hAnsi="仿宋" w:eastAsia="仿宋"/>
          <w:b w:val="0"/>
          <w:bCs/>
          <w:color w:val="000000"/>
          <w:sz w:val="32"/>
          <w:szCs w:val="32"/>
        </w:rPr>
      </w:pPr>
      <w:r>
        <w:rPr>
          <w:rStyle w:val="26"/>
          <w:rFonts w:hint="eastAsia" w:ascii="仿宋" w:hAnsi="仿宋" w:eastAsia="仿宋"/>
          <w:bCs/>
          <w:color w:val="000000"/>
          <w:sz w:val="32"/>
          <w:szCs w:val="32"/>
          <w:lang w:val="en-US" w:eastAsia="zh-CN"/>
        </w:rPr>
        <w:t>5</w:t>
      </w:r>
      <w:r>
        <w:rPr>
          <w:rStyle w:val="26"/>
          <w:rFonts w:ascii="仿宋" w:hAnsi="仿宋" w:eastAsia="仿宋"/>
          <w:bCs/>
          <w:color w:val="000000"/>
          <w:sz w:val="32"/>
          <w:szCs w:val="32"/>
        </w:rPr>
        <w:t>.</w:t>
      </w:r>
      <w:r>
        <w:rPr>
          <w:rFonts w:hint="eastAsia" w:ascii="仿宋" w:hAnsi="仿宋" w:eastAsia="仿宋"/>
          <w:b/>
          <w:bCs/>
          <w:color w:val="000000"/>
          <w:sz w:val="32"/>
          <w:szCs w:val="32"/>
        </w:rPr>
        <w:t>卫生健康</w:t>
      </w:r>
      <w:r>
        <w:rPr>
          <w:rStyle w:val="26"/>
          <w:rFonts w:hint="eastAsia" w:ascii="仿宋" w:hAnsi="仿宋" w:eastAsia="仿宋"/>
          <w:bCs/>
          <w:color w:val="000000"/>
          <w:sz w:val="32"/>
          <w:szCs w:val="32"/>
        </w:rPr>
        <w:t>（类）行政事业单位医疗（款）行政单位医疗（项）</w:t>
      </w:r>
      <w:r>
        <w:rPr>
          <w:rStyle w:val="26"/>
          <w:rFonts w:ascii="仿宋" w:hAnsi="仿宋" w:eastAsia="仿宋"/>
          <w:bCs/>
          <w:color w:val="000000"/>
          <w:sz w:val="32"/>
          <w:szCs w:val="32"/>
        </w:rPr>
        <w:t>:</w:t>
      </w:r>
      <w:r>
        <w:rPr>
          <w:rStyle w:val="26"/>
          <w:rFonts w:hint="eastAsia" w:ascii="仿宋" w:hAnsi="仿宋" w:eastAsia="仿宋"/>
          <w:b w:val="0"/>
          <w:bCs/>
          <w:color w:val="000000"/>
          <w:sz w:val="32"/>
          <w:szCs w:val="32"/>
        </w:rPr>
        <w:t>支出决算为5.90万元，完成预算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0043BFC5">
      <w:pPr>
        <w:spacing w:line="600" w:lineRule="exact"/>
        <w:ind w:firstLine="643" w:firstLineChars="200"/>
        <w:rPr>
          <w:rFonts w:ascii="仿宋" w:hAnsi="仿宋" w:eastAsia="仿宋"/>
          <w:b/>
          <w:color w:val="000000"/>
          <w:sz w:val="32"/>
          <w:szCs w:val="32"/>
        </w:rPr>
      </w:pPr>
      <w:r>
        <w:rPr>
          <w:rStyle w:val="26"/>
          <w:rFonts w:ascii="仿宋" w:hAnsi="仿宋" w:eastAsia="仿宋"/>
          <w:bCs/>
          <w:color w:val="000000"/>
          <w:sz w:val="32"/>
          <w:szCs w:val="32"/>
        </w:rPr>
        <w:t>6.</w:t>
      </w:r>
      <w:r>
        <w:rPr>
          <w:rFonts w:hint="eastAsia" w:ascii="仿宋" w:hAnsi="仿宋" w:eastAsia="仿宋"/>
          <w:b/>
          <w:bCs/>
          <w:color w:val="000000"/>
          <w:sz w:val="32"/>
          <w:szCs w:val="32"/>
        </w:rPr>
        <w:t>卫生健康</w:t>
      </w:r>
      <w:r>
        <w:rPr>
          <w:rStyle w:val="26"/>
          <w:rFonts w:hint="eastAsia" w:ascii="仿宋" w:hAnsi="仿宋" w:eastAsia="仿宋"/>
          <w:bCs/>
          <w:color w:val="000000"/>
          <w:sz w:val="32"/>
          <w:szCs w:val="32"/>
        </w:rPr>
        <w:t>（类）行政事业单位医疗（款）</w:t>
      </w:r>
      <w:r>
        <w:rPr>
          <w:rStyle w:val="26"/>
          <w:rFonts w:hint="eastAsia" w:ascii="仿宋" w:hAnsi="仿宋" w:eastAsia="仿宋"/>
          <w:bCs/>
          <w:color w:val="000000"/>
          <w:sz w:val="32"/>
          <w:szCs w:val="32"/>
          <w:lang w:val="en-US" w:eastAsia="zh-CN"/>
        </w:rPr>
        <w:t>事业</w:t>
      </w:r>
      <w:r>
        <w:rPr>
          <w:rStyle w:val="26"/>
          <w:rFonts w:hint="eastAsia" w:ascii="仿宋" w:hAnsi="仿宋" w:eastAsia="仿宋"/>
          <w:bCs/>
          <w:color w:val="000000"/>
          <w:sz w:val="32"/>
          <w:szCs w:val="32"/>
        </w:rPr>
        <w:t>单位医疗（项）</w:t>
      </w:r>
      <w:r>
        <w:rPr>
          <w:rStyle w:val="26"/>
          <w:rFonts w:ascii="仿宋" w:hAnsi="仿宋" w:eastAsia="仿宋"/>
          <w:bCs/>
          <w:color w:val="000000"/>
          <w:sz w:val="32"/>
          <w:szCs w:val="32"/>
        </w:rPr>
        <w:t>:</w:t>
      </w:r>
      <w:r>
        <w:rPr>
          <w:rStyle w:val="26"/>
          <w:rFonts w:hint="eastAsia" w:ascii="仿宋" w:hAnsi="仿宋" w:eastAsia="仿宋"/>
          <w:b w:val="0"/>
          <w:bCs/>
          <w:color w:val="000000"/>
          <w:sz w:val="32"/>
          <w:szCs w:val="32"/>
        </w:rPr>
        <w:t>支出决算为3.67万元，完成预算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338E9210">
      <w:pPr>
        <w:pStyle w:val="18"/>
      </w:pPr>
    </w:p>
    <w:p w14:paraId="656ED7FD">
      <w:pPr>
        <w:numPr>
          <w:ilvl w:val="0"/>
          <w:numId w:val="0"/>
        </w:numPr>
        <w:spacing w:line="600" w:lineRule="exact"/>
        <w:ind w:firstLine="643" w:firstLineChars="200"/>
        <w:rPr>
          <w:rStyle w:val="26"/>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7.</w:t>
      </w:r>
      <w:r>
        <w:rPr>
          <w:rFonts w:hint="eastAsia" w:ascii="仿宋" w:hAnsi="仿宋" w:eastAsia="仿宋"/>
          <w:b/>
          <w:bCs/>
          <w:color w:val="000000"/>
          <w:sz w:val="32"/>
          <w:szCs w:val="32"/>
        </w:rPr>
        <w:t>卫生健康</w:t>
      </w:r>
      <w:r>
        <w:rPr>
          <w:rStyle w:val="26"/>
          <w:rFonts w:hint="eastAsia" w:ascii="仿宋" w:hAnsi="仿宋" w:eastAsia="仿宋"/>
          <w:bCs/>
          <w:color w:val="000000"/>
          <w:sz w:val="32"/>
          <w:szCs w:val="32"/>
        </w:rPr>
        <w:t>（类）行政事业单位医疗（款）公务员医疗补助（项）</w:t>
      </w:r>
      <w:r>
        <w:rPr>
          <w:rStyle w:val="26"/>
          <w:rFonts w:ascii="仿宋" w:hAnsi="仿宋" w:eastAsia="仿宋"/>
          <w:bCs/>
          <w:color w:val="000000"/>
          <w:sz w:val="32"/>
          <w:szCs w:val="32"/>
        </w:rPr>
        <w:t>:</w:t>
      </w:r>
      <w:r>
        <w:rPr>
          <w:rStyle w:val="26"/>
          <w:rFonts w:hint="eastAsia" w:ascii="仿宋" w:hAnsi="仿宋" w:eastAsia="仿宋"/>
          <w:b w:val="0"/>
          <w:bCs/>
          <w:color w:val="000000"/>
          <w:sz w:val="32"/>
          <w:szCs w:val="32"/>
        </w:rPr>
        <w:t>支出决算为1.08万元，完成预算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56DECAE3">
      <w:pPr>
        <w:numPr>
          <w:ilvl w:val="0"/>
          <w:numId w:val="0"/>
        </w:numPr>
        <w:spacing w:line="600" w:lineRule="exact"/>
        <w:ind w:left="0" w:leftChars="0" w:firstLine="643" w:firstLineChars="200"/>
        <w:rPr>
          <w:rStyle w:val="26"/>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8.</w:t>
      </w:r>
      <w:r>
        <w:rPr>
          <w:rFonts w:hint="eastAsia" w:ascii="仿宋" w:hAnsi="仿宋" w:eastAsia="仿宋"/>
          <w:b/>
          <w:bCs/>
          <w:color w:val="000000"/>
          <w:sz w:val="32"/>
          <w:szCs w:val="32"/>
        </w:rPr>
        <w:t>卫生健康</w:t>
      </w:r>
      <w:r>
        <w:rPr>
          <w:rStyle w:val="26"/>
          <w:rFonts w:hint="eastAsia" w:ascii="仿宋" w:hAnsi="仿宋" w:eastAsia="仿宋"/>
          <w:bCs/>
          <w:color w:val="000000"/>
          <w:sz w:val="32"/>
          <w:szCs w:val="32"/>
        </w:rPr>
        <w:t>（类）行政事业单位医疗（款）其他行政事业单位医疗支出（项）</w:t>
      </w:r>
      <w:r>
        <w:rPr>
          <w:rStyle w:val="26"/>
          <w:rFonts w:ascii="仿宋" w:hAnsi="仿宋" w:eastAsia="仿宋"/>
          <w:bCs/>
          <w:color w:val="000000"/>
          <w:sz w:val="32"/>
          <w:szCs w:val="32"/>
        </w:rPr>
        <w:t>:</w:t>
      </w:r>
      <w:r>
        <w:rPr>
          <w:rStyle w:val="26"/>
          <w:rFonts w:hint="eastAsia" w:ascii="仿宋" w:hAnsi="仿宋" w:eastAsia="仿宋"/>
          <w:b w:val="0"/>
          <w:bCs/>
          <w:color w:val="000000"/>
          <w:sz w:val="32"/>
          <w:szCs w:val="32"/>
        </w:rPr>
        <w:t>支出决算为0.79万元，完成预算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30769A98">
      <w:pPr>
        <w:numPr>
          <w:ilvl w:val="0"/>
          <w:numId w:val="0"/>
        </w:numPr>
        <w:spacing w:line="600" w:lineRule="exact"/>
        <w:ind w:left="0" w:leftChars="0" w:firstLine="640" w:firstLineChars="200"/>
        <w:rPr>
          <w:rStyle w:val="26"/>
          <w:rFonts w:hint="eastAsia" w:ascii="仿宋" w:hAnsi="仿宋" w:eastAsia="仿宋"/>
          <w:b w:val="0"/>
          <w:bCs/>
          <w:color w:val="000000"/>
          <w:sz w:val="32"/>
          <w:szCs w:val="32"/>
        </w:rPr>
      </w:pPr>
      <w:r>
        <w:rPr>
          <w:rStyle w:val="26"/>
          <w:rFonts w:hint="eastAsia" w:ascii="仿宋" w:hAnsi="仿宋" w:eastAsia="仿宋"/>
          <w:b w:val="0"/>
          <w:bCs/>
          <w:color w:val="000000"/>
          <w:sz w:val="32"/>
          <w:szCs w:val="32"/>
          <w:lang w:val="en-US" w:eastAsia="zh-CN"/>
        </w:rPr>
        <w:t>9.</w:t>
      </w:r>
      <w:r>
        <w:rPr>
          <w:rFonts w:hint="eastAsia" w:ascii="仿宋" w:hAnsi="仿宋" w:eastAsia="仿宋" w:cs="Times New Roman"/>
          <w:b/>
          <w:bCs/>
          <w:color w:val="000000"/>
          <w:kern w:val="2"/>
          <w:sz w:val="32"/>
          <w:szCs w:val="32"/>
          <w:lang w:val="en-US" w:eastAsia="zh-CN" w:bidi="ar-SA"/>
        </w:rPr>
        <w:t>住房保障支出（类）住房改革支出（款）住房公积金（项）：</w:t>
      </w:r>
      <w:r>
        <w:rPr>
          <w:rStyle w:val="26"/>
          <w:rFonts w:hint="eastAsia" w:ascii="仿宋" w:hAnsi="仿宋" w:eastAsia="仿宋"/>
          <w:b w:val="0"/>
          <w:bCs/>
          <w:color w:val="000000"/>
          <w:sz w:val="32"/>
          <w:szCs w:val="32"/>
        </w:rPr>
        <w:t>支出决算为14.00万元，完成预算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28185ED1">
      <w:pPr>
        <w:numPr>
          <w:ilvl w:val="0"/>
          <w:numId w:val="0"/>
        </w:numPr>
        <w:spacing w:line="600" w:lineRule="exact"/>
        <w:ind w:left="0" w:leftChars="0" w:firstLine="640" w:firstLineChars="200"/>
        <w:rPr>
          <w:rStyle w:val="26"/>
          <w:rFonts w:hint="eastAsia" w:ascii="仿宋" w:hAnsi="仿宋" w:eastAsia="仿宋"/>
          <w:b w:val="0"/>
          <w:bCs/>
          <w:color w:val="000000"/>
          <w:sz w:val="32"/>
          <w:szCs w:val="32"/>
        </w:rPr>
      </w:pPr>
      <w:r>
        <w:rPr>
          <w:rStyle w:val="26"/>
          <w:rFonts w:hint="eastAsia" w:ascii="仿宋" w:hAnsi="仿宋" w:eastAsia="仿宋"/>
          <w:b w:val="0"/>
          <w:bCs/>
          <w:color w:val="000000"/>
          <w:sz w:val="32"/>
          <w:szCs w:val="32"/>
          <w:lang w:val="en-US" w:eastAsia="zh-CN"/>
        </w:rPr>
        <w:t>10.</w:t>
      </w:r>
      <w:r>
        <w:rPr>
          <w:rFonts w:hint="eastAsia" w:ascii="仿宋" w:hAnsi="仿宋" w:eastAsia="仿宋" w:cs="Times New Roman"/>
          <w:b/>
          <w:bCs/>
          <w:color w:val="000000"/>
          <w:kern w:val="2"/>
          <w:sz w:val="32"/>
          <w:szCs w:val="32"/>
          <w:lang w:val="en-US" w:eastAsia="zh-CN" w:bidi="ar-SA"/>
        </w:rPr>
        <w:t>住房保障支出（类）住房改革支出（款）购房补贴（项）：</w:t>
      </w:r>
      <w:r>
        <w:rPr>
          <w:rStyle w:val="26"/>
          <w:rFonts w:hint="eastAsia" w:ascii="仿宋" w:hAnsi="仿宋" w:eastAsia="仿宋"/>
          <w:b w:val="0"/>
          <w:bCs/>
          <w:color w:val="000000"/>
          <w:sz w:val="32"/>
          <w:szCs w:val="32"/>
        </w:rPr>
        <w:t>支出决算为1.24万元，完成预算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3FD3B9A6">
      <w:pPr>
        <w:pStyle w:val="18"/>
        <w:rPr>
          <w:rFonts w:hint="eastAsia"/>
        </w:rPr>
      </w:pPr>
    </w:p>
    <w:p w14:paraId="28B6782B">
      <w:pPr>
        <w:pStyle w:val="18"/>
        <w:rPr>
          <w:rFonts w:hint="default" w:ascii="仿宋" w:hAnsi="仿宋" w:eastAsia="仿宋" w:cs="Times New Roman"/>
          <w:b/>
          <w:bCs/>
          <w:color w:val="000000"/>
          <w:kern w:val="2"/>
          <w:sz w:val="32"/>
          <w:szCs w:val="32"/>
          <w:lang w:val="en-US" w:eastAsia="zh-CN" w:bidi="ar-SA"/>
        </w:rPr>
      </w:pPr>
    </w:p>
    <w:p w14:paraId="368E8215">
      <w:pPr>
        <w:pStyle w:val="18"/>
        <w:numPr>
          <w:ilvl w:val="0"/>
          <w:numId w:val="0"/>
        </w:numPr>
        <w:rPr>
          <w:rFonts w:hint="default" w:eastAsia="宋体"/>
          <w:lang w:val="en-US" w:eastAsia="zh-CN"/>
        </w:rPr>
      </w:pPr>
      <w:r>
        <w:rPr>
          <w:rFonts w:hint="eastAsia"/>
          <w:lang w:val="en-US" w:eastAsia="zh-CN"/>
        </w:rPr>
        <w:t xml:space="preserve">     </w:t>
      </w:r>
    </w:p>
    <w:p w14:paraId="3C195451">
      <w:pPr>
        <w:tabs>
          <w:tab w:val="right" w:pos="8306"/>
        </w:tabs>
        <w:spacing w:line="600" w:lineRule="exact"/>
        <w:ind w:firstLine="640"/>
        <w:outlineLvl w:val="1"/>
        <w:rPr>
          <w:rStyle w:val="30"/>
        </w:rPr>
      </w:pPr>
      <w:bookmarkStart w:id="65" w:name="_Toc79163618"/>
      <w:bookmarkStart w:id="66" w:name="_Toc15396608"/>
      <w:bookmarkStart w:id="67" w:name="_Toc15377214"/>
      <w:bookmarkStart w:id="68" w:name="_Toc139"/>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65"/>
      <w:bookmarkEnd w:id="66"/>
      <w:bookmarkEnd w:id="67"/>
      <w:bookmarkEnd w:id="68"/>
      <w:r>
        <w:rPr>
          <w:rStyle w:val="30"/>
          <w:rFonts w:ascii="黑体" w:hAnsi="黑体" w:eastAsia="黑体"/>
          <w:b w:val="0"/>
        </w:rPr>
        <w:tab/>
      </w:r>
    </w:p>
    <w:p w14:paraId="33423089">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222.55</w:t>
      </w:r>
      <w:r>
        <w:rPr>
          <w:rFonts w:hint="eastAsia" w:ascii="仿宋" w:hAnsi="仿宋" w:eastAsia="仿宋"/>
          <w:color w:val="000000"/>
          <w:sz w:val="32"/>
          <w:szCs w:val="32"/>
        </w:rPr>
        <w:t>万元，其中：</w:t>
      </w:r>
    </w:p>
    <w:p w14:paraId="73F11D1D">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210.89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42C6FA5A">
      <w:pPr>
        <w:spacing w:line="600" w:lineRule="exact"/>
        <w:ind w:firstLine="640" w:firstLineChars="200"/>
        <w:rPr>
          <w:rFonts w:ascii="仿宋" w:hAnsi="仿宋" w:eastAsia="仿宋"/>
          <w:b/>
          <w:color w:val="FF0000"/>
          <w:sz w:val="32"/>
          <w:szCs w:val="32"/>
        </w:rPr>
      </w:pPr>
      <w:r>
        <w:rPr>
          <w:rFonts w:hint="eastAsia" w:ascii="仿宋" w:hAnsi="仿宋" w:eastAsia="仿宋"/>
          <w:color w:val="000000"/>
          <w:sz w:val="32"/>
          <w:szCs w:val="32"/>
        </w:rPr>
        <w:t>日常公用经费11.66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FA374DC">
      <w:pPr>
        <w:spacing w:line="600" w:lineRule="exact"/>
        <w:ind w:firstLine="640"/>
        <w:outlineLvl w:val="1"/>
        <w:rPr>
          <w:rStyle w:val="30"/>
          <w:rFonts w:ascii="黑体" w:hAnsi="黑体" w:eastAsia="黑体"/>
          <w:b w:val="0"/>
        </w:rPr>
      </w:pPr>
      <w:bookmarkStart w:id="69" w:name="_Toc25505"/>
      <w:bookmarkStart w:id="70" w:name="_Toc15396609"/>
      <w:bookmarkStart w:id="71" w:name="_Toc79163619"/>
      <w:bookmarkStart w:id="72" w:name="_Toc15377215"/>
      <w:r>
        <w:rPr>
          <w:rFonts w:hint="eastAsia" w:ascii="黑体" w:eastAsia="黑体"/>
          <w:color w:val="000000"/>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69"/>
      <w:bookmarkEnd w:id="70"/>
      <w:bookmarkEnd w:id="71"/>
      <w:bookmarkEnd w:id="72"/>
    </w:p>
    <w:p w14:paraId="3EE0130A">
      <w:pPr>
        <w:spacing w:line="600" w:lineRule="exact"/>
        <w:ind w:firstLine="640"/>
        <w:outlineLvl w:val="2"/>
        <w:rPr>
          <w:rFonts w:ascii="仿宋" w:hAnsi="仿宋" w:eastAsia="仿宋"/>
          <w:b/>
          <w:color w:val="000000"/>
          <w:sz w:val="32"/>
          <w:szCs w:val="32"/>
        </w:rPr>
      </w:pPr>
      <w:bookmarkStart w:id="73" w:name="_Toc15377216"/>
      <w:bookmarkStart w:id="74" w:name="_Toc79163620"/>
      <w:bookmarkStart w:id="75" w:name="_Toc18810"/>
      <w:r>
        <w:rPr>
          <w:rFonts w:hint="eastAsia" w:ascii="仿宋" w:hAnsi="仿宋" w:eastAsia="仿宋"/>
          <w:b/>
          <w:color w:val="000000"/>
          <w:sz w:val="32"/>
          <w:szCs w:val="32"/>
        </w:rPr>
        <w:t>（一）“三公”经费财政拨款支出决算总体情况说明</w:t>
      </w:r>
      <w:bookmarkEnd w:id="73"/>
      <w:bookmarkEnd w:id="74"/>
      <w:bookmarkEnd w:id="75"/>
    </w:p>
    <w:p w14:paraId="3268A5F6">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14:paraId="714DCD2E">
      <w:pPr>
        <w:spacing w:line="600" w:lineRule="exact"/>
        <w:ind w:firstLine="640"/>
        <w:outlineLvl w:val="2"/>
        <w:rPr>
          <w:rFonts w:ascii="仿宋" w:hAnsi="仿宋" w:eastAsia="仿宋"/>
          <w:b/>
          <w:color w:val="000000"/>
          <w:sz w:val="32"/>
          <w:szCs w:val="32"/>
        </w:rPr>
      </w:pPr>
      <w:bookmarkStart w:id="76" w:name="_Toc16467"/>
      <w:bookmarkStart w:id="77" w:name="_Toc79163621"/>
      <w:bookmarkStart w:id="78" w:name="_Toc15377217"/>
      <w:r>
        <w:rPr>
          <w:rFonts w:hint="eastAsia" w:ascii="仿宋" w:hAnsi="仿宋" w:eastAsia="仿宋"/>
          <w:b/>
          <w:color w:val="000000"/>
          <w:sz w:val="32"/>
          <w:szCs w:val="32"/>
        </w:rPr>
        <w:t>（二）“三公”经费财政拨款支出决算具体情况说明</w:t>
      </w:r>
      <w:bookmarkEnd w:id="76"/>
      <w:bookmarkEnd w:id="77"/>
      <w:bookmarkEnd w:id="78"/>
    </w:p>
    <w:p w14:paraId="266EF54F">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55BC0631">
      <w:pPr>
        <w:pStyle w:val="2"/>
        <w:rPr>
          <w:rFonts w:hint="eastAsia" w:ascii="仿宋" w:hAnsi="仿宋" w:eastAsia="仿宋"/>
          <w:color w:val="000000"/>
          <w:sz w:val="32"/>
          <w:szCs w:val="32"/>
        </w:rPr>
      </w:pPr>
    </w:p>
    <w:p w14:paraId="61A60494">
      <w:pPr>
        <w:jc w:val="center"/>
      </w:pPr>
      <w:r>
        <w:drawing>
          <wp:inline distT="0" distB="0" distL="114300" distR="114300">
            <wp:extent cx="4623435" cy="2080895"/>
            <wp:effectExtent l="4445" t="4445" r="7620" b="10160"/>
            <wp:docPr id="134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292C36">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w:t>
      </w:r>
    </w:p>
    <w:p w14:paraId="37289CE9">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hint="eastAsia" w:ascii="仿宋_GB2312" w:eastAsia="仿宋_GB2312"/>
          <w:color w:val="000000"/>
          <w:sz w:val="32"/>
          <w:szCs w:val="32"/>
          <w:lang w:eastAsia="zh-CN"/>
        </w:rPr>
        <w:t>2022年</w:t>
      </w:r>
      <w:r>
        <w:rPr>
          <w:rFonts w:hint="eastAsia" w:ascii="仿宋_GB2312" w:eastAsia="仿宋_GB2312"/>
          <w:color w:val="000000"/>
          <w:sz w:val="32"/>
          <w:szCs w:val="32"/>
        </w:rPr>
        <w:t>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2022年与2023年均无因公出国（境）经费支出</w:t>
      </w:r>
      <w:r>
        <w:rPr>
          <w:rFonts w:hint="eastAsia" w:ascii="仿宋_GB2312" w:eastAsia="仿宋_GB2312"/>
          <w:color w:val="000000"/>
          <w:sz w:val="32"/>
          <w:szCs w:val="32"/>
        </w:rPr>
        <w:t>。</w:t>
      </w:r>
    </w:p>
    <w:p w14:paraId="683CB5F1">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rPr>
        <w:t>开支内容包括：</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（团组名称、出访地点、取得成效）等。</w:t>
      </w:r>
    </w:p>
    <w:p w14:paraId="19A8B543">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 w:hAnsi="仿宋" w:eastAsia="仿宋"/>
          <w:b/>
          <w:bCs/>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26"/>
          <w:rFonts w:hint="eastAsia" w:ascii="仿宋" w:hAnsi="仿宋" w:eastAsia="仿宋"/>
          <w:b w:val="0"/>
          <w:bCs/>
          <w:color w:val="000000"/>
          <w:sz w:val="32"/>
          <w:szCs w:val="32"/>
        </w:rPr>
        <w:t>完成预算</w:t>
      </w:r>
      <w:r>
        <w:rPr>
          <w:rFonts w:hint="eastAsia" w:ascii="仿宋" w:hAnsi="仿宋" w:eastAsia="仿宋"/>
          <w:color w:val="000000"/>
          <w:sz w:val="32"/>
          <w:szCs w:val="32"/>
          <w:lang w:val="en-US" w:eastAsia="zh-CN"/>
        </w:rPr>
        <w:t>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eastAsia="zh-CN"/>
        </w:rPr>
        <w:t>2022年</w:t>
      </w:r>
      <w:r>
        <w:rPr>
          <w:rFonts w:hint="eastAsia" w:ascii="仿宋_GB2312" w:eastAsia="仿宋_GB2312"/>
          <w:color w:val="000000"/>
          <w:sz w:val="32"/>
          <w:szCs w:val="32"/>
        </w:rPr>
        <w:t>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38E39D2F">
      <w:pPr>
        <w:pageBreakBefore w:val="0"/>
        <w:widowControl w:val="0"/>
        <w:kinsoku/>
        <w:wordWrap/>
        <w:overflowPunct/>
        <w:topLinePunct w:val="0"/>
        <w:bidi w:val="0"/>
        <w:spacing w:line="560" w:lineRule="exact"/>
        <w:ind w:firstLine="640" w:firstLineChars="200"/>
        <w:textAlignment w:val="auto"/>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2023年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其他用车0辆</w:t>
      </w:r>
      <w:r>
        <w:rPr>
          <w:rFonts w:hint="eastAsia" w:ascii="仿宋_GB2312" w:eastAsia="仿宋_GB2312"/>
          <w:color w:val="000000"/>
          <w:sz w:val="32"/>
          <w:szCs w:val="32"/>
        </w:rPr>
        <w:t>。</w:t>
      </w:r>
    </w:p>
    <w:p w14:paraId="449B4734">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 w:hAnsi="仿宋" w:eastAsia="仿宋"/>
          <w:b/>
          <w:bCs/>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，主要用于</w:t>
      </w:r>
      <w:r>
        <w:rPr>
          <w:rFonts w:hint="eastAsia" w:ascii="仿宋_GB2312" w:eastAsia="仿宋_GB2312"/>
          <w:color w:val="000000"/>
          <w:sz w:val="32"/>
          <w:szCs w:val="32"/>
          <w:lang w:val="en-US" w:eastAsia="zh-CN"/>
        </w:rPr>
        <w:t>车辆日常</w:t>
      </w:r>
      <w:r>
        <w:rPr>
          <w:rFonts w:hint="eastAsia" w:ascii="仿宋_GB2312" w:eastAsia="仿宋_GB2312"/>
          <w:color w:val="000000"/>
          <w:sz w:val="32"/>
          <w:szCs w:val="32"/>
          <w:lang w:eastAsia="zh-CN"/>
        </w:rPr>
        <w:t>所需的维修费、</w:t>
      </w:r>
      <w:r>
        <w:rPr>
          <w:rFonts w:hint="eastAsia" w:ascii="仿宋_GB2312" w:eastAsia="仿宋_GB2312"/>
          <w:color w:val="000000"/>
          <w:sz w:val="32"/>
          <w:szCs w:val="32"/>
          <w:lang w:val="en-US" w:eastAsia="zh-CN"/>
        </w:rPr>
        <w:t>过路费、</w:t>
      </w:r>
      <w:r>
        <w:rPr>
          <w:rFonts w:hint="eastAsia" w:ascii="仿宋_GB2312" w:eastAsia="仿宋_GB2312"/>
          <w:color w:val="000000"/>
          <w:sz w:val="32"/>
          <w:szCs w:val="32"/>
          <w:lang w:eastAsia="zh-CN"/>
        </w:rPr>
        <w:t>保险费等支出</w:t>
      </w:r>
      <w:r>
        <w:rPr>
          <w:rFonts w:hint="eastAsia" w:ascii="仿宋_GB2312" w:eastAsia="仿宋_GB2312"/>
          <w:color w:val="000000"/>
          <w:sz w:val="32"/>
          <w:szCs w:val="32"/>
        </w:rPr>
        <w:t>。</w:t>
      </w:r>
    </w:p>
    <w:p w14:paraId="39ECE167">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eastAsia="zh-CN"/>
        </w:rPr>
        <w:t>2022年</w:t>
      </w:r>
      <w:r>
        <w:rPr>
          <w:rFonts w:hint="eastAsia" w:ascii="仿宋_GB2312" w:eastAsia="仿宋_GB2312"/>
          <w:color w:val="000000"/>
          <w:sz w:val="32"/>
          <w:szCs w:val="32"/>
        </w:rPr>
        <w:t>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2022年与2023年均无公务接待费支出</w:t>
      </w:r>
      <w:r>
        <w:rPr>
          <w:rFonts w:hint="eastAsia" w:ascii="仿宋_GB2312" w:eastAsia="仿宋_GB2312"/>
          <w:color w:val="000000"/>
          <w:sz w:val="32"/>
          <w:szCs w:val="32"/>
        </w:rPr>
        <w:t>。其中：</w:t>
      </w:r>
    </w:p>
    <w:p w14:paraId="5DAFF1A0">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591E053">
      <w:pPr>
        <w:pageBreakBefore w:val="0"/>
        <w:widowControl w:val="0"/>
        <w:kinsoku/>
        <w:wordWrap/>
        <w:overflowPunct/>
        <w:topLinePunct w:val="0"/>
        <w:bidi w:val="0"/>
        <w:spacing w:line="560" w:lineRule="exact"/>
        <w:ind w:firstLine="643" w:firstLineChars="200"/>
        <w:textAlignment w:val="auto"/>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2367424">
      <w:pPr>
        <w:spacing w:line="600" w:lineRule="exact"/>
        <w:ind w:firstLine="640" w:firstLineChars="200"/>
        <w:rPr>
          <w:rFonts w:ascii="仿宋_GB2312" w:eastAsia="仿宋_GB2312"/>
          <w:color w:val="000000"/>
          <w:sz w:val="32"/>
          <w:szCs w:val="32"/>
        </w:rPr>
      </w:pPr>
    </w:p>
    <w:p w14:paraId="405879EE">
      <w:pPr>
        <w:spacing w:line="600" w:lineRule="exact"/>
        <w:ind w:firstLine="640"/>
        <w:outlineLvl w:val="1"/>
        <w:rPr>
          <w:rStyle w:val="30"/>
          <w:rFonts w:ascii="黑体" w:hAnsi="黑体" w:eastAsia="黑体"/>
        </w:rPr>
      </w:pPr>
      <w:bookmarkStart w:id="79" w:name="_Toc15377218"/>
      <w:bookmarkStart w:id="80" w:name="_Toc8589"/>
      <w:bookmarkStart w:id="81" w:name="_Toc79163622"/>
      <w:bookmarkStart w:id="82" w:name="_Toc15396610"/>
      <w:r>
        <w:rPr>
          <w:rFonts w:hint="eastAsia" w:ascii="黑体" w:eastAsia="黑体"/>
          <w:color w:val="000000"/>
          <w:sz w:val="32"/>
          <w:szCs w:val="32"/>
        </w:rPr>
        <w:t>八、</w:t>
      </w:r>
      <w:r>
        <w:rPr>
          <w:rStyle w:val="30"/>
          <w:rFonts w:hint="eastAsia" w:ascii="黑体" w:hAnsi="黑体" w:eastAsia="黑体"/>
          <w:b w:val="0"/>
        </w:rPr>
        <w:t>政府性基金预算支出决算情况说明</w:t>
      </w:r>
      <w:bookmarkEnd w:id="79"/>
      <w:bookmarkEnd w:id="80"/>
      <w:bookmarkEnd w:id="81"/>
      <w:bookmarkEnd w:id="82"/>
    </w:p>
    <w:p w14:paraId="0EA8EA55">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BF29007">
      <w:pPr>
        <w:spacing w:line="600" w:lineRule="exact"/>
        <w:ind w:firstLine="640"/>
        <w:rPr>
          <w:rFonts w:ascii="仿宋_GB2312" w:eastAsia="仿宋_GB2312"/>
          <w:color w:val="000000"/>
          <w:sz w:val="32"/>
          <w:szCs w:val="32"/>
        </w:rPr>
      </w:pPr>
    </w:p>
    <w:p w14:paraId="38AD6A6D">
      <w:pPr>
        <w:numPr>
          <w:ilvl w:val="0"/>
          <w:numId w:val="2"/>
        </w:numPr>
        <w:spacing w:line="600" w:lineRule="exact"/>
        <w:ind w:firstLine="640"/>
        <w:outlineLvl w:val="1"/>
        <w:rPr>
          <w:rStyle w:val="30"/>
          <w:rFonts w:ascii="黑体" w:hAnsi="黑体" w:eastAsia="黑体"/>
          <w:b w:val="0"/>
        </w:rPr>
      </w:pPr>
      <w:bookmarkStart w:id="83" w:name="_Toc15396611"/>
      <w:bookmarkStart w:id="84" w:name="_Toc15377219"/>
      <w:bookmarkStart w:id="85" w:name="_Toc79163623"/>
      <w:bookmarkStart w:id="86" w:name="_Toc12219"/>
      <w:r>
        <w:rPr>
          <w:rStyle w:val="30"/>
          <w:rFonts w:hint="eastAsia" w:ascii="黑体" w:hAnsi="黑体" w:eastAsia="黑体"/>
          <w:b w:val="0"/>
        </w:rPr>
        <w:t>国有资本经营预算支出决算情况说明</w:t>
      </w:r>
      <w:bookmarkEnd w:id="83"/>
      <w:bookmarkEnd w:id="84"/>
      <w:bookmarkEnd w:id="85"/>
      <w:bookmarkEnd w:id="86"/>
    </w:p>
    <w:p w14:paraId="6361E4F4">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64A1E0D">
      <w:pPr>
        <w:spacing w:line="580" w:lineRule="exact"/>
        <w:jc w:val="center"/>
        <w:rPr>
          <w:rFonts w:ascii="方正小标宋简体" w:hAnsi="方正小标宋简体" w:eastAsia="方正小标宋简体" w:cs="方正小标宋简体"/>
          <w:sz w:val="44"/>
          <w:szCs w:val="44"/>
        </w:rPr>
      </w:pPr>
    </w:p>
    <w:p w14:paraId="31A8454D">
      <w:pPr>
        <w:spacing w:line="600" w:lineRule="exact"/>
        <w:ind w:firstLine="800" w:firstLineChars="250"/>
        <w:outlineLvl w:val="1"/>
        <w:rPr>
          <w:rStyle w:val="30"/>
          <w:rFonts w:ascii="黑体" w:hAnsi="黑体" w:eastAsia="黑体"/>
        </w:rPr>
      </w:pPr>
      <w:bookmarkStart w:id="87" w:name="_Toc9744"/>
      <w:bookmarkStart w:id="88" w:name="_Toc15377221"/>
      <w:bookmarkStart w:id="89" w:name="_Toc79163624"/>
      <w:bookmarkStart w:id="90" w:name="_Toc15396612"/>
      <w:r>
        <w:rPr>
          <w:rFonts w:hint="eastAsia" w:ascii="黑体" w:hAnsi="黑体" w:eastAsia="黑体"/>
          <w:color w:val="000000"/>
          <w:sz w:val="32"/>
          <w:szCs w:val="32"/>
        </w:rPr>
        <w:t>十</w:t>
      </w:r>
      <w:r>
        <w:rPr>
          <w:rStyle w:val="30"/>
          <w:rFonts w:hint="eastAsia" w:ascii="黑体" w:hAnsi="黑体" w:eastAsia="黑体"/>
        </w:rPr>
        <w:t>、</w:t>
      </w:r>
      <w:r>
        <w:rPr>
          <w:rStyle w:val="30"/>
          <w:rFonts w:hint="eastAsia" w:ascii="黑体" w:hAnsi="黑体" w:eastAsia="黑体"/>
          <w:b w:val="0"/>
        </w:rPr>
        <w:t>其他重要事项的情况说明</w:t>
      </w:r>
      <w:bookmarkEnd w:id="87"/>
      <w:bookmarkEnd w:id="88"/>
      <w:bookmarkEnd w:id="89"/>
      <w:bookmarkEnd w:id="90"/>
    </w:p>
    <w:p w14:paraId="47BF28A6">
      <w:pPr>
        <w:spacing w:line="600" w:lineRule="exact"/>
        <w:ind w:firstLine="643" w:firstLineChars="200"/>
        <w:outlineLvl w:val="2"/>
        <w:rPr>
          <w:rFonts w:ascii="仿宋" w:hAnsi="仿宋" w:eastAsia="仿宋"/>
          <w:color w:val="000000"/>
          <w:sz w:val="32"/>
          <w:szCs w:val="32"/>
        </w:rPr>
      </w:pPr>
      <w:bookmarkStart w:id="91" w:name="_Toc79163625"/>
      <w:bookmarkStart w:id="92" w:name="_Toc15377222"/>
      <w:bookmarkStart w:id="93" w:name="_Toc32034"/>
      <w:r>
        <w:rPr>
          <w:rFonts w:hint="eastAsia" w:ascii="仿宋" w:hAnsi="仿宋" w:eastAsia="仿宋"/>
          <w:b/>
          <w:color w:val="000000"/>
          <w:sz w:val="32"/>
          <w:szCs w:val="32"/>
        </w:rPr>
        <w:t>（一）机关运行经费支出情况</w:t>
      </w:r>
      <w:bookmarkEnd w:id="91"/>
      <w:bookmarkEnd w:id="92"/>
      <w:bookmarkEnd w:id="93"/>
    </w:p>
    <w:p w14:paraId="6053B066">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壤塘县信访工作局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9.59</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rPr>
        <w:t>20年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42.16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81.47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基本支出减少。机关运行经费减少。</w:t>
      </w:r>
    </w:p>
    <w:p w14:paraId="0869CE4A">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4" w:name="_Toc79163626"/>
      <w:bookmarkStart w:id="95" w:name="_Toc15377223"/>
      <w:bookmarkStart w:id="96" w:name="_Toc13225"/>
      <w:r>
        <w:rPr>
          <w:rFonts w:hint="eastAsia" w:ascii="仿宋" w:hAnsi="仿宋" w:eastAsia="仿宋"/>
          <w:b/>
          <w:color w:val="000000"/>
          <w:sz w:val="32"/>
          <w:szCs w:val="32"/>
        </w:rPr>
        <w:t>（二）政府采购支出情况</w:t>
      </w:r>
      <w:bookmarkEnd w:id="94"/>
      <w:bookmarkEnd w:id="95"/>
      <w:bookmarkEnd w:id="96"/>
    </w:p>
    <w:p w14:paraId="5BBD7211">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壤塘县信访工作局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EA48404">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79163627"/>
      <w:bookmarkStart w:id="98" w:name="_Toc24339"/>
      <w:bookmarkStart w:id="99" w:name="_Toc15377224"/>
      <w:r>
        <w:rPr>
          <w:rFonts w:hint="eastAsia" w:ascii="仿宋" w:hAnsi="仿宋" w:eastAsia="仿宋"/>
          <w:b/>
          <w:color w:val="000000"/>
          <w:sz w:val="32"/>
          <w:szCs w:val="32"/>
        </w:rPr>
        <w:t>（三）国有资产占有使用情况</w:t>
      </w:r>
      <w:bookmarkEnd w:id="97"/>
      <w:bookmarkEnd w:id="98"/>
      <w:bookmarkEnd w:id="99"/>
    </w:p>
    <w:p w14:paraId="759BA5DB">
      <w:pPr>
        <w:autoSpaceDE w:val="0"/>
        <w:autoSpaceDN w:val="0"/>
        <w:adjustRightInd w:val="0"/>
        <w:spacing w:line="600" w:lineRule="exact"/>
        <w:ind w:firstLine="640" w:firstLineChars="200"/>
        <w:jc w:val="left"/>
        <w:rPr>
          <w:rFonts w:hint="default" w:ascii="仿宋" w:hAnsi="仿宋" w:eastAsia="仿宋_GB2312"/>
          <w:b/>
          <w:color w:val="FF0000"/>
          <w:sz w:val="32"/>
          <w:szCs w:val="32"/>
          <w:lang w:val="en-US" w:eastAsia="zh-CN"/>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壤塘县信访工作局无公务用车。</w:t>
      </w:r>
    </w:p>
    <w:p w14:paraId="3E3A044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10566"/>
      <w:bookmarkStart w:id="101" w:name="_Toc79163628"/>
      <w:r>
        <w:rPr>
          <w:rFonts w:hint="eastAsia" w:ascii="仿宋" w:hAnsi="仿宋" w:eastAsia="仿宋"/>
          <w:b/>
          <w:color w:val="000000"/>
          <w:sz w:val="32"/>
          <w:szCs w:val="32"/>
        </w:rPr>
        <w:t>（四）预算绩效管理情况。</w:t>
      </w:r>
      <w:bookmarkEnd w:id="100"/>
      <w:bookmarkEnd w:id="101"/>
    </w:p>
    <w:p w14:paraId="779E5D0A">
      <w:pPr>
        <w:pageBreakBefore w:val="0"/>
        <w:widowControl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根根据预算绩效管理要求，本单位在年初预算编制阶段，组织对</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14:paraId="0E53A20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阿坝州壤塘县信访工作局</w:t>
      </w:r>
      <w:r>
        <w:rPr>
          <w:rFonts w:hint="eastAsia" w:ascii="仿宋_GB2312" w:hAnsi="仿宋_GB2312" w:eastAsia="仿宋_GB2312" w:cs="仿宋_GB2312"/>
          <w:sz w:val="32"/>
          <w:szCs w:val="32"/>
        </w:rPr>
        <w:t>（含部门预算项目）绩效自评报告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en-US" w:eastAsia="zh-CN"/>
        </w:rPr>
        <w:t>阿坝州壤塘县信访工作局会</w:t>
      </w:r>
      <w:r>
        <w:rPr>
          <w:rFonts w:hint="eastAsia" w:ascii="仿宋_GB2312" w:hAnsi="仿宋_GB2312" w:eastAsia="仿宋_GB2312" w:cs="仿宋_GB2312"/>
          <w:sz w:val="32"/>
          <w:szCs w:val="32"/>
        </w:rPr>
        <w:t>（含部门预算项目）绩效自评得分为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sz w:val="32"/>
          <w:szCs w:val="32"/>
          <w:lang w:val="en-US" w:eastAsia="zh-CN"/>
        </w:rPr>
        <w:t>本次部门整体支出绩效自评得分为99分总体表现良好。</w:t>
      </w:r>
      <w:r>
        <w:rPr>
          <w:rFonts w:hint="eastAsia" w:ascii="仿宋_GB2312" w:hAnsi="仿宋_GB2312" w:eastAsia="仿宋_GB2312" w:cs="仿宋_GB2312"/>
          <w:sz w:val="32"/>
          <w:szCs w:val="32"/>
        </w:rPr>
        <w:t>绩效自评报告详见附件。</w:t>
      </w:r>
    </w:p>
    <w:p w14:paraId="6B7C88C5">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1C7B01D2">
      <w:pPr>
        <w:numPr>
          <w:ilvl w:val="0"/>
          <w:numId w:val="3"/>
        </w:numPr>
        <w:spacing w:line="600" w:lineRule="exact"/>
        <w:ind w:firstLine="660" w:firstLineChars="150"/>
        <w:jc w:val="center"/>
        <w:outlineLvl w:val="0"/>
        <w:rPr>
          <w:rStyle w:val="29"/>
          <w:rFonts w:ascii="黑体" w:hAnsi="黑体" w:eastAsia="黑体"/>
          <w:b w:val="0"/>
        </w:rPr>
      </w:pPr>
      <w:bookmarkStart w:id="102" w:name="_Toc79163629"/>
      <w:bookmarkStart w:id="103" w:name="_Toc15396613"/>
      <w:bookmarkStart w:id="104" w:name="_Toc30986"/>
      <w:bookmarkStart w:id="105" w:name="_Toc15377225"/>
      <w:r>
        <w:rPr>
          <w:rFonts w:hint="eastAsia" w:ascii="黑体" w:hAnsi="黑体" w:eastAsia="黑体"/>
          <w:color w:val="000000"/>
          <w:sz w:val="44"/>
          <w:szCs w:val="44"/>
        </w:rPr>
        <w:t>名</w:t>
      </w:r>
      <w:r>
        <w:rPr>
          <w:rStyle w:val="29"/>
          <w:rFonts w:hint="eastAsia" w:ascii="黑体" w:hAnsi="黑体" w:eastAsia="黑体"/>
          <w:b w:val="0"/>
        </w:rPr>
        <w:t>词解释</w:t>
      </w:r>
      <w:bookmarkEnd w:id="102"/>
      <w:bookmarkEnd w:id="103"/>
      <w:bookmarkEnd w:id="104"/>
      <w:bookmarkEnd w:id="105"/>
    </w:p>
    <w:p w14:paraId="346E3EA3">
      <w:pPr>
        <w:spacing w:line="600" w:lineRule="exact"/>
        <w:jc w:val="left"/>
        <w:rPr>
          <w:rFonts w:ascii="宋体"/>
          <w:b/>
          <w:color w:val="000000"/>
          <w:sz w:val="44"/>
          <w:szCs w:val="44"/>
        </w:rPr>
      </w:pPr>
    </w:p>
    <w:p w14:paraId="6D77A6EC">
      <w:pPr>
        <w:pStyle w:val="39"/>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20491459">
      <w:pPr>
        <w:pStyle w:val="39"/>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3AE803E9">
      <w:pPr>
        <w:pStyle w:val="39"/>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6C91FF94">
      <w:pPr>
        <w:pStyle w:val="39"/>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w:t>
      </w:r>
      <w:r>
        <w:rPr>
          <w:rFonts w:hint="eastAsia" w:ascii="仿宋_GB2312" w:eastAsia="仿宋_GB2312"/>
          <w:sz w:val="32"/>
          <w:szCs w:val="32"/>
          <w:lang w:eastAsia="zh-CN"/>
        </w:rPr>
        <w:t>援建资金</w:t>
      </w:r>
      <w:r>
        <w:rPr>
          <w:rFonts w:hint="eastAsia" w:ascii="仿宋_GB2312" w:eastAsia="仿宋_GB2312"/>
          <w:sz w:val="32"/>
          <w:szCs w:val="32"/>
        </w:rPr>
        <w:t>。</w:t>
      </w:r>
    </w:p>
    <w:p w14:paraId="300B32A6">
      <w:pPr>
        <w:pStyle w:val="3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14:paraId="08B38D64">
      <w:pPr>
        <w:pStyle w:val="39"/>
        <w:spacing w:line="56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14:paraId="41947D67">
      <w:pPr>
        <w:ind w:firstLine="640" w:firstLineChars="200"/>
        <w:rPr>
          <w:rFonts w:hint="eastAsia"/>
          <w:lang w:eastAsia="zh-CN"/>
        </w:rPr>
      </w:pPr>
      <w:r>
        <w:rPr>
          <w:rFonts w:hint="eastAsia" w:ascii="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lang w:eastAsia="zh-CN"/>
        </w:rPr>
        <w:t>一般公共服务支出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政府办公厅（室）及相关机构事务（款</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w:t>
      </w:r>
      <w:r>
        <w:rPr>
          <w:rFonts w:hint="eastAsia" w:ascii="仿宋_GB2312" w:hAnsi="Times New Roman" w:eastAsia="仿宋_GB2312" w:cs="Times New Roman"/>
          <w:color w:val="000000"/>
          <w:sz w:val="32"/>
          <w:szCs w:val="32"/>
          <w:lang w:eastAsia="zh-CN"/>
        </w:rPr>
        <w:t>指</w:t>
      </w:r>
      <w:r>
        <w:rPr>
          <w:rFonts w:hint="eastAsia" w:ascii="仿宋_GB2312" w:hAnsi="Times New Roman" w:eastAsia="仿宋_GB2312" w:cs="Times New Roman"/>
          <w:color w:val="000000"/>
          <w:sz w:val="32"/>
          <w:szCs w:val="32"/>
          <w:lang w:val="en-US" w:eastAsia="zh-CN"/>
        </w:rPr>
        <w:t>行政单位（包括实行公务员管理的事业单位）的基本支出</w:t>
      </w:r>
      <w:r>
        <w:rPr>
          <w:rFonts w:hint="eastAsia" w:ascii="仿宋_GB2312" w:hAnsi="Times New Roman" w:eastAsia="仿宋_GB2312" w:cs="Times New Roman"/>
          <w:color w:val="000000"/>
          <w:sz w:val="32"/>
          <w:szCs w:val="32"/>
          <w:lang w:eastAsia="zh-CN"/>
        </w:rPr>
        <w:t>。</w:t>
      </w:r>
    </w:p>
    <w:p w14:paraId="016DC535">
      <w:pPr>
        <w:ind w:firstLine="640" w:firstLineChars="200"/>
        <w:rPr>
          <w:rFonts w:hint="eastAsia" w:ascii="仿宋_GB2312" w:hAnsi="Times New Roman" w:eastAsia="仿宋_GB2312" w:cs="Times New Roman"/>
          <w:color w:val="000000"/>
          <w:sz w:val="32"/>
          <w:szCs w:val="32"/>
          <w:lang w:eastAsia="zh-CN"/>
        </w:rPr>
      </w:pPr>
      <w:r>
        <w:rPr>
          <w:rFonts w:hint="eastAsia" w:ascii="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lang w:eastAsia="zh-CN"/>
        </w:rPr>
        <w:t>一般公共服务支出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政府办公厅（室）及相关机构事务（款</w:t>
      </w:r>
      <w:r>
        <w:rPr>
          <w:rFonts w:hint="eastAsia" w:ascii="仿宋_GB2312" w:eastAsia="仿宋_GB2312"/>
          <w:color w:val="000000"/>
          <w:sz w:val="32"/>
          <w:szCs w:val="32"/>
        </w:rPr>
        <w:t>）</w:t>
      </w:r>
      <w:r>
        <w:rPr>
          <w:rFonts w:hint="eastAsia" w:ascii="仿宋_GB2312" w:hAnsi="Times New Roman" w:eastAsia="仿宋_GB2312" w:cs="Times New Roman"/>
          <w:color w:val="000000"/>
          <w:sz w:val="32"/>
          <w:szCs w:val="32"/>
          <w:lang w:val="en-US" w:eastAsia="zh-CN"/>
        </w:rPr>
        <w:t>信访事务</w:t>
      </w:r>
      <w:r>
        <w:rPr>
          <w:rFonts w:hint="eastAsia" w:ascii="仿宋_GB2312" w:hAnsi="Times New Roman" w:eastAsia="仿宋_GB2312" w:cs="Times New Roman"/>
          <w:color w:val="000000"/>
          <w:sz w:val="32"/>
          <w:szCs w:val="32"/>
          <w:lang w:eastAsia="zh-CN"/>
        </w:rPr>
        <w:t>（项）：指</w:t>
      </w:r>
      <w:r>
        <w:rPr>
          <w:rFonts w:hint="eastAsia" w:ascii="仿宋_GB2312" w:eastAsia="仿宋_GB2312" w:cs="Times New Roman"/>
          <w:color w:val="000000"/>
          <w:sz w:val="32"/>
          <w:szCs w:val="32"/>
          <w:lang w:val="en-US" w:eastAsia="zh-CN"/>
        </w:rPr>
        <w:t>各级政府用于接待群众来信来访方面的支出</w:t>
      </w:r>
      <w:r>
        <w:rPr>
          <w:rFonts w:hint="eastAsia" w:ascii="仿宋_GB2312" w:hAnsi="Times New Roman" w:eastAsia="仿宋_GB2312" w:cs="Times New Roman"/>
          <w:color w:val="000000"/>
          <w:sz w:val="32"/>
          <w:szCs w:val="32"/>
          <w:lang w:eastAsia="zh-CN"/>
        </w:rPr>
        <w:t>。</w:t>
      </w:r>
    </w:p>
    <w:p w14:paraId="502D0B90">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lang w:eastAsia="zh-CN"/>
        </w:rPr>
        <w:t>社会保障和就业</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lang w:val="en-US" w:eastAsia="zh-CN"/>
        </w:rPr>
        <w:t>养老支出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机关事业单位基本养老保险缴费支出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由单位缴纳的基本养老保险费支出</w:t>
      </w:r>
      <w:r>
        <w:rPr>
          <w:rFonts w:hint="eastAsia" w:ascii="仿宋_GB2312" w:eastAsia="仿宋_GB2312"/>
          <w:color w:val="000000"/>
          <w:sz w:val="32"/>
          <w:szCs w:val="32"/>
        </w:rPr>
        <w:t>。</w:t>
      </w:r>
    </w:p>
    <w:p w14:paraId="5A59479D">
      <w:pPr>
        <w:ind w:firstLine="640" w:firstLineChars="200"/>
        <w:rPr>
          <w:rFonts w:hint="eastAsia"/>
          <w:lang w:eastAsia="zh-CN"/>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社会保</w:t>
      </w:r>
      <w:r>
        <w:rPr>
          <w:rFonts w:hint="eastAsia" w:ascii="仿宋_GB2312" w:hAnsi="Times New Roman" w:eastAsia="仿宋_GB2312" w:cs="Times New Roman"/>
          <w:color w:val="000000"/>
          <w:sz w:val="32"/>
          <w:szCs w:val="32"/>
          <w:lang w:eastAsia="zh-CN"/>
        </w:rPr>
        <w:t>障和就业（类）</w:t>
      </w:r>
      <w:r>
        <w:rPr>
          <w:rFonts w:hint="eastAsia" w:ascii="仿宋_GB2312" w:hAnsi="Times New Roman" w:eastAsia="仿宋_GB2312" w:cs="Times New Roman"/>
          <w:color w:val="000000"/>
          <w:sz w:val="32"/>
          <w:szCs w:val="32"/>
          <w:lang w:val="en-US" w:eastAsia="zh-CN"/>
        </w:rPr>
        <w:t>行政事业单位养老支出</w:t>
      </w:r>
      <w:r>
        <w:rPr>
          <w:rFonts w:hint="eastAsia" w:ascii="仿宋_GB2312" w:hAnsi="Times New Roman" w:eastAsia="仿宋_GB2312" w:cs="Times New Roman"/>
          <w:color w:val="000000"/>
          <w:sz w:val="32"/>
          <w:szCs w:val="32"/>
          <w:lang w:eastAsia="zh-CN"/>
        </w:rPr>
        <w:t>（款）</w:t>
      </w:r>
      <w:r>
        <w:rPr>
          <w:rFonts w:hint="eastAsia" w:ascii="仿宋_GB2312" w:hAnsi="Times New Roman" w:eastAsia="仿宋_GB2312" w:cs="Times New Roman"/>
          <w:color w:val="000000"/>
          <w:sz w:val="32"/>
          <w:szCs w:val="32"/>
          <w:lang w:val="en-US" w:eastAsia="zh-CN"/>
        </w:rPr>
        <w:t>机关事业单位职业年金缴费支出</w:t>
      </w:r>
      <w:r>
        <w:rPr>
          <w:rFonts w:hint="eastAsia" w:ascii="仿宋_GB2312" w:hAnsi="Times New Roman" w:eastAsia="仿宋_GB2312" w:cs="Times New Roman"/>
          <w:color w:val="000000"/>
          <w:sz w:val="32"/>
          <w:szCs w:val="32"/>
          <w:lang w:eastAsia="zh-CN"/>
        </w:rPr>
        <w:t>（项）：</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机关事业单位实施养老保险制度由单位实际缴纳的职业年金</w:t>
      </w:r>
      <w:r>
        <w:rPr>
          <w:rFonts w:hint="eastAsia" w:ascii="仿宋_GB2312" w:eastAsia="仿宋_GB2312"/>
          <w:color w:val="000000"/>
          <w:sz w:val="32"/>
          <w:szCs w:val="32"/>
        </w:rPr>
        <w:t>。</w:t>
      </w:r>
    </w:p>
    <w:p w14:paraId="08BC5174">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11</w:t>
      </w:r>
      <w:r>
        <w:rPr>
          <w:rFonts w:hint="eastAsia" w:ascii="仿宋_GB2312" w:hAnsi="Times New Roman" w:eastAsia="仿宋_GB2312" w:cs="Times New Roman"/>
          <w:color w:val="000000"/>
          <w:sz w:val="32"/>
          <w:szCs w:val="32"/>
          <w:lang w:eastAsia="zh-CN"/>
        </w:rPr>
        <w:t>.卫生健康支出（类）行政事业单位医疗（款）行政单位医疗（项）：指财政部门集中安排的行政单位基本医疗保险缴费经费。</w:t>
      </w:r>
    </w:p>
    <w:p w14:paraId="23FBCBC6">
      <w:pPr>
        <w:ind w:firstLine="640" w:firstLineChars="200"/>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12</w:t>
      </w:r>
      <w:r>
        <w:rPr>
          <w:rFonts w:hint="eastAsia" w:ascii="仿宋_GB2312" w:hAnsi="Times New Roman" w:eastAsia="仿宋_GB2312" w:cs="Times New Roman"/>
          <w:color w:val="000000"/>
          <w:sz w:val="32"/>
          <w:szCs w:val="32"/>
          <w:lang w:eastAsia="zh-CN"/>
        </w:rPr>
        <w:t>.住房</w:t>
      </w:r>
      <w:r>
        <w:rPr>
          <w:rFonts w:hint="eastAsia" w:ascii="仿宋_GB2312" w:hAnsi="Times New Roman" w:eastAsia="仿宋_GB2312" w:cs="Times New Roman"/>
          <w:color w:val="000000"/>
          <w:sz w:val="32"/>
          <w:szCs w:val="32"/>
          <w:lang w:val="en-US" w:eastAsia="zh-CN"/>
        </w:rPr>
        <w:t>保障支出（类）住房改革支出（款）住房公积金（项）：指行政事业单位</w:t>
      </w:r>
      <w:r>
        <w:rPr>
          <w:rFonts w:hint="eastAsia" w:ascii="仿宋_GB2312" w:hAnsi="Times New Roman" w:eastAsia="仿宋_GB2312" w:cs="Times New Roman"/>
          <w:color w:val="000000"/>
          <w:sz w:val="32"/>
          <w:szCs w:val="32"/>
          <w:lang w:eastAsia="zh-CN"/>
        </w:rPr>
        <w:t>安装工资比例为职工缴纳的住房公积金。</w:t>
      </w:r>
    </w:p>
    <w:p w14:paraId="6E527581">
      <w:pPr>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1</w:t>
      </w:r>
      <w:r>
        <w:rPr>
          <w:rFonts w:hint="eastAsia" w:ascii="仿宋_GB2312" w:eastAsia="仿宋_GB2312" w:cs="Times New Roman"/>
          <w:color w:val="000000"/>
          <w:sz w:val="32"/>
          <w:szCs w:val="32"/>
          <w:lang w:val="en-US" w:eastAsia="zh-CN"/>
        </w:rPr>
        <w:t>3</w:t>
      </w:r>
      <w:r>
        <w:rPr>
          <w:rFonts w:hint="eastAsia" w:ascii="仿宋_GB2312" w:hAnsi="Times New Roman" w:eastAsia="仿宋_GB2312" w:cs="Times New Roman"/>
          <w:color w:val="000000"/>
          <w:sz w:val="32"/>
          <w:szCs w:val="32"/>
          <w:lang w:eastAsia="zh-CN"/>
        </w:rPr>
        <w:t>.基本支出：指为保障机构正常运转、完成日常工作任务而发生的人员支出和公用支出。</w:t>
      </w:r>
    </w:p>
    <w:p w14:paraId="1F24FE2A">
      <w:pPr>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1</w:t>
      </w:r>
      <w:r>
        <w:rPr>
          <w:rFonts w:hint="eastAsia" w:ascii="仿宋_GB2312" w:eastAsia="仿宋_GB2312" w:cs="Times New Roman"/>
          <w:color w:val="000000"/>
          <w:sz w:val="32"/>
          <w:szCs w:val="32"/>
          <w:lang w:val="en-US" w:eastAsia="zh-CN"/>
        </w:rPr>
        <w:t>4</w:t>
      </w:r>
      <w:r>
        <w:rPr>
          <w:rFonts w:hint="eastAsia" w:ascii="仿宋_GB2312" w:hAnsi="Times New Roman" w:eastAsia="仿宋_GB2312" w:cs="Times New Roman"/>
          <w:color w:val="000000"/>
          <w:sz w:val="32"/>
          <w:szCs w:val="32"/>
          <w:lang w:eastAsia="zh-CN"/>
        </w:rPr>
        <w:t>.项目支出：指在基本支出之外为完成特定行政任务和事业发展目标所发生的支出。</w:t>
      </w:r>
    </w:p>
    <w:p w14:paraId="08130E04">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15</w:t>
      </w:r>
      <w:r>
        <w:rPr>
          <w:rFonts w:hint="eastAsia" w:ascii="仿宋_GB2312" w:hAnsi="Times New Roman" w:eastAsia="仿宋_GB2312" w:cs="Times New Roman"/>
          <w:color w:val="000000"/>
          <w:sz w:val="32"/>
          <w:szCs w:val="32"/>
          <w:lang w:eastAsia="zh-CN"/>
        </w:rPr>
        <w:t>.经营支出：指事业单位在专业业务活动及其辅助活动之外开展非独立核算经营活动发生的支出。</w:t>
      </w:r>
    </w:p>
    <w:p w14:paraId="0CE8E308">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16</w:t>
      </w:r>
      <w:r>
        <w:rPr>
          <w:rFonts w:hint="eastAsia" w:ascii="仿宋_GB2312" w:hAnsi="Times New Roman" w:eastAsia="仿宋_GB2312" w:cs="Times New Roman"/>
          <w:color w:val="000000"/>
          <w:sz w:val="32"/>
          <w:szCs w:val="32"/>
          <w:lang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7EEBE0F">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17</w:t>
      </w:r>
      <w:r>
        <w:rPr>
          <w:rFonts w:hint="eastAsia" w:ascii="仿宋_GB2312" w:hAnsi="Times New Roman" w:eastAsia="仿宋_GB2312" w:cs="Times New Roman"/>
          <w:color w:val="000000"/>
          <w:sz w:val="32"/>
          <w:szCs w:val="32"/>
          <w:lang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5A045B1">
      <w:pPr>
        <w:pStyle w:val="18"/>
        <w:rPr>
          <w:rFonts w:hint="eastAsia" w:ascii="仿宋_GB2312" w:hAnsi="Times New Roman" w:eastAsia="仿宋_GB2312" w:cs="Times New Roman"/>
          <w:color w:val="000000"/>
          <w:sz w:val="32"/>
          <w:szCs w:val="32"/>
          <w:lang w:eastAsia="zh-CN"/>
        </w:rPr>
      </w:pPr>
    </w:p>
    <w:p w14:paraId="62A1BB85">
      <w:pPr>
        <w:pStyle w:val="2"/>
        <w:rPr>
          <w:rFonts w:hint="eastAsia" w:ascii="仿宋_GB2312" w:hAnsi="Times New Roman" w:eastAsia="仿宋_GB2312" w:cs="Times New Roman"/>
          <w:color w:val="000000"/>
          <w:sz w:val="32"/>
          <w:szCs w:val="32"/>
          <w:lang w:eastAsia="zh-CN"/>
        </w:rPr>
      </w:pPr>
    </w:p>
    <w:p w14:paraId="7EFB4685">
      <w:pPr>
        <w:pStyle w:val="2"/>
        <w:rPr>
          <w:rFonts w:hint="eastAsia" w:ascii="仿宋_GB2312" w:hAnsi="Times New Roman" w:eastAsia="仿宋_GB2312" w:cs="Times New Roman"/>
          <w:color w:val="000000"/>
          <w:sz w:val="32"/>
          <w:szCs w:val="32"/>
          <w:lang w:eastAsia="zh-CN"/>
        </w:rPr>
      </w:pPr>
    </w:p>
    <w:p w14:paraId="12830A2A">
      <w:pPr>
        <w:pStyle w:val="2"/>
        <w:rPr>
          <w:rFonts w:hint="eastAsia" w:ascii="仿宋_GB2312" w:hAnsi="Times New Roman" w:eastAsia="仿宋_GB2312" w:cs="Times New Roman"/>
          <w:color w:val="000000"/>
          <w:sz w:val="32"/>
          <w:szCs w:val="32"/>
          <w:lang w:eastAsia="zh-CN"/>
        </w:rPr>
      </w:pPr>
    </w:p>
    <w:p w14:paraId="471293AF">
      <w:pPr>
        <w:pStyle w:val="2"/>
        <w:rPr>
          <w:rFonts w:hint="eastAsia" w:ascii="仿宋_GB2312" w:hAnsi="Times New Roman" w:eastAsia="仿宋_GB2312" w:cs="Times New Roman"/>
          <w:color w:val="000000"/>
          <w:sz w:val="32"/>
          <w:szCs w:val="32"/>
          <w:lang w:eastAsia="zh-CN"/>
        </w:rPr>
      </w:pPr>
    </w:p>
    <w:p w14:paraId="3ACC76CD">
      <w:pPr>
        <w:pStyle w:val="2"/>
        <w:rPr>
          <w:rFonts w:hint="eastAsia" w:ascii="仿宋_GB2312" w:hAnsi="Times New Roman" w:eastAsia="仿宋_GB2312" w:cs="Times New Roman"/>
          <w:color w:val="000000"/>
          <w:sz w:val="32"/>
          <w:szCs w:val="32"/>
          <w:lang w:eastAsia="zh-CN"/>
        </w:rPr>
      </w:pPr>
    </w:p>
    <w:p w14:paraId="58D97F0E">
      <w:pPr>
        <w:pStyle w:val="2"/>
        <w:rPr>
          <w:rFonts w:hint="eastAsia" w:ascii="仿宋_GB2312" w:hAnsi="Times New Roman" w:eastAsia="仿宋_GB2312" w:cs="Times New Roman"/>
          <w:color w:val="000000"/>
          <w:sz w:val="32"/>
          <w:szCs w:val="32"/>
          <w:lang w:eastAsia="zh-CN"/>
        </w:rPr>
      </w:pPr>
    </w:p>
    <w:p w14:paraId="47C6837B">
      <w:pPr>
        <w:pStyle w:val="2"/>
        <w:rPr>
          <w:rFonts w:hint="eastAsia" w:ascii="仿宋_GB2312" w:hAnsi="Times New Roman" w:eastAsia="仿宋_GB2312" w:cs="Times New Roman"/>
          <w:color w:val="000000"/>
          <w:sz w:val="32"/>
          <w:szCs w:val="32"/>
          <w:lang w:eastAsia="zh-CN"/>
        </w:rPr>
      </w:pPr>
    </w:p>
    <w:p w14:paraId="352E21B2">
      <w:pPr>
        <w:pStyle w:val="2"/>
        <w:rPr>
          <w:rFonts w:hint="eastAsia" w:ascii="仿宋_GB2312" w:hAnsi="Times New Roman" w:eastAsia="仿宋_GB2312" w:cs="Times New Roman"/>
          <w:color w:val="000000"/>
          <w:sz w:val="32"/>
          <w:szCs w:val="32"/>
          <w:lang w:eastAsia="zh-CN"/>
        </w:rPr>
      </w:pPr>
    </w:p>
    <w:p w14:paraId="39DA4950">
      <w:pPr>
        <w:pStyle w:val="2"/>
        <w:rPr>
          <w:rFonts w:hint="eastAsia" w:ascii="仿宋_GB2312" w:hAnsi="Times New Roman" w:eastAsia="仿宋_GB2312" w:cs="Times New Roman"/>
          <w:color w:val="000000"/>
          <w:sz w:val="32"/>
          <w:szCs w:val="32"/>
          <w:lang w:eastAsia="zh-CN"/>
        </w:rPr>
      </w:pPr>
    </w:p>
    <w:p w14:paraId="1F2A437C">
      <w:pPr>
        <w:pStyle w:val="2"/>
        <w:rPr>
          <w:rFonts w:hint="eastAsia" w:ascii="仿宋_GB2312" w:hAnsi="Times New Roman" w:eastAsia="仿宋_GB2312" w:cs="Times New Roman"/>
          <w:color w:val="000000"/>
          <w:sz w:val="32"/>
          <w:szCs w:val="32"/>
          <w:lang w:eastAsia="zh-CN"/>
        </w:rPr>
      </w:pPr>
    </w:p>
    <w:p w14:paraId="689D470A">
      <w:pPr>
        <w:pStyle w:val="2"/>
        <w:rPr>
          <w:rFonts w:hint="eastAsia" w:ascii="仿宋_GB2312" w:hAnsi="Times New Roman" w:eastAsia="仿宋_GB2312" w:cs="Times New Roman"/>
          <w:color w:val="000000"/>
          <w:sz w:val="32"/>
          <w:szCs w:val="32"/>
          <w:lang w:eastAsia="zh-CN"/>
        </w:rPr>
      </w:pPr>
    </w:p>
    <w:p w14:paraId="51BC2E54">
      <w:pPr>
        <w:pStyle w:val="2"/>
        <w:rPr>
          <w:rFonts w:hint="eastAsia" w:ascii="仿宋_GB2312" w:hAnsi="Times New Roman" w:eastAsia="仿宋_GB2312" w:cs="Times New Roman"/>
          <w:color w:val="000000"/>
          <w:sz w:val="32"/>
          <w:szCs w:val="32"/>
          <w:lang w:eastAsia="zh-CN"/>
        </w:rPr>
      </w:pPr>
    </w:p>
    <w:p w14:paraId="7E837382">
      <w:pPr>
        <w:spacing w:line="600" w:lineRule="exact"/>
        <w:jc w:val="center"/>
        <w:outlineLvl w:val="0"/>
        <w:rPr>
          <w:rStyle w:val="29"/>
          <w:rFonts w:ascii="黑体" w:hAnsi="黑体" w:eastAsia="黑体"/>
          <w:b w:val="0"/>
        </w:rPr>
      </w:pPr>
      <w:bookmarkStart w:id="106" w:name="_Toc79163630"/>
      <w:bookmarkStart w:id="107" w:name="_Toc15396614"/>
      <w:bookmarkStart w:id="108" w:name="_Toc919"/>
      <w:bookmarkStart w:id="109" w:name="_Toc15377226"/>
      <w:r>
        <w:rPr>
          <w:rFonts w:hint="eastAsia" w:ascii="黑体" w:hAnsi="黑体" w:eastAsia="黑体"/>
          <w:color w:val="000000"/>
          <w:sz w:val="44"/>
          <w:szCs w:val="44"/>
        </w:rPr>
        <w:t>第</w:t>
      </w:r>
      <w:r>
        <w:rPr>
          <w:rStyle w:val="29"/>
          <w:rFonts w:hint="eastAsia" w:ascii="黑体" w:hAnsi="黑体" w:eastAsia="黑体"/>
          <w:b w:val="0"/>
        </w:rPr>
        <w:t>四部分</w:t>
      </w:r>
      <w:r>
        <w:rPr>
          <w:rStyle w:val="29"/>
          <w:rFonts w:ascii="黑体" w:hAnsi="黑体" w:eastAsia="黑体"/>
          <w:b w:val="0"/>
        </w:rPr>
        <w:t xml:space="preserve"> </w:t>
      </w:r>
      <w:r>
        <w:rPr>
          <w:rStyle w:val="29"/>
          <w:rFonts w:hint="eastAsia" w:ascii="黑体" w:hAnsi="黑体" w:eastAsia="黑体"/>
          <w:b w:val="0"/>
        </w:rPr>
        <w:t>附件</w:t>
      </w:r>
      <w:bookmarkEnd w:id="106"/>
      <w:bookmarkEnd w:id="107"/>
      <w:bookmarkEnd w:id="108"/>
    </w:p>
    <w:p w14:paraId="40896418">
      <w:pPr>
        <w:spacing w:line="600" w:lineRule="exact"/>
        <w:jc w:val="left"/>
        <w:outlineLvl w:val="0"/>
        <w:rPr>
          <w:rFonts w:ascii="方正小标宋简体" w:hAnsi="方正小标宋简体" w:eastAsia="方正小标宋简体" w:cs="方正小标宋简体"/>
          <w:sz w:val="32"/>
          <w:szCs w:val="32"/>
        </w:rPr>
      </w:pPr>
      <w:bookmarkStart w:id="110" w:name="_Toc79163631"/>
      <w:bookmarkStart w:id="111" w:name="_Toc10130"/>
      <w:r>
        <w:rPr>
          <w:rFonts w:hint="eastAsia" w:ascii="黑体" w:hAnsi="黑体" w:eastAsia="黑体" w:cs="黑体"/>
          <w:sz w:val="32"/>
          <w:szCs w:val="32"/>
        </w:rPr>
        <w:t>附件</w:t>
      </w:r>
      <w:r>
        <w:rPr>
          <w:rFonts w:ascii="黑体" w:hAnsi="黑体" w:eastAsia="黑体" w:cs="黑体"/>
          <w:sz w:val="32"/>
          <w:szCs w:val="32"/>
        </w:rPr>
        <w:t>1</w:t>
      </w:r>
      <w:bookmarkEnd w:id="110"/>
      <w:bookmarkEnd w:id="111"/>
    </w:p>
    <w:p w14:paraId="1B89E19E">
      <w:pPr>
        <w:spacing w:line="360" w:lineRule="auto"/>
        <w:jc w:val="center"/>
        <w:outlineLvl w:val="0"/>
        <w:rPr>
          <w:rFonts w:ascii="宋体" w:hAnsi="宋体" w:cs="宋体"/>
          <w:b/>
          <w:bCs/>
          <w:kern w:val="0"/>
          <w:sz w:val="44"/>
          <w:szCs w:val="44"/>
        </w:rPr>
      </w:pPr>
      <w:r>
        <w:rPr>
          <w:rFonts w:hint="eastAsia" w:ascii="宋体" w:hAnsi="宋体" w:cs="宋体"/>
          <w:b/>
          <w:bCs/>
          <w:kern w:val="0"/>
          <w:sz w:val="44"/>
          <w:szCs w:val="44"/>
        </w:rPr>
        <w:t>壤塘县</w:t>
      </w:r>
      <w:r>
        <w:rPr>
          <w:rFonts w:hint="eastAsia" w:ascii="宋体" w:hAnsi="宋体" w:cs="宋体"/>
          <w:b/>
          <w:bCs/>
          <w:kern w:val="0"/>
          <w:sz w:val="44"/>
          <w:szCs w:val="44"/>
          <w:lang w:eastAsia="zh-CN"/>
        </w:rPr>
        <w:t>信访工作局</w:t>
      </w:r>
      <w:r>
        <w:rPr>
          <w:rFonts w:hint="eastAsia" w:ascii="宋体" w:hAnsi="宋体" w:cs="宋体"/>
          <w:b/>
          <w:bCs/>
          <w:kern w:val="0"/>
          <w:sz w:val="44"/>
          <w:szCs w:val="44"/>
        </w:rPr>
        <w:t>202</w:t>
      </w:r>
      <w:r>
        <w:rPr>
          <w:rFonts w:hint="eastAsia" w:ascii="宋体" w:hAnsi="宋体" w:cs="宋体"/>
          <w:b/>
          <w:bCs/>
          <w:kern w:val="0"/>
          <w:sz w:val="44"/>
          <w:szCs w:val="44"/>
          <w:lang w:val="en-US" w:eastAsia="zh-CN"/>
        </w:rPr>
        <w:t>3</w:t>
      </w:r>
      <w:r>
        <w:rPr>
          <w:rFonts w:hint="eastAsia" w:ascii="宋体" w:hAnsi="宋体" w:cs="宋体"/>
          <w:b/>
          <w:bCs/>
          <w:kern w:val="0"/>
          <w:sz w:val="44"/>
          <w:szCs w:val="44"/>
        </w:rPr>
        <w:t>年度部门整体支出绩效评价自评报告</w:t>
      </w:r>
    </w:p>
    <w:p w14:paraId="0A61441B">
      <w:pPr>
        <w:spacing w:line="360" w:lineRule="auto"/>
        <w:jc w:val="center"/>
        <w:rPr>
          <w:rFonts w:ascii="宋体" w:hAnsi="宋体" w:cs="宋体"/>
          <w:kern w:val="0"/>
          <w:szCs w:val="21"/>
        </w:rPr>
      </w:pPr>
    </w:p>
    <w:p w14:paraId="33369A9D">
      <w:pPr>
        <w:spacing w:line="360" w:lineRule="auto"/>
        <w:ind w:firstLine="643" w:firstLineChars="200"/>
        <w:outlineLvl w:val="0"/>
        <w:rPr>
          <w:rFonts w:hint="eastAsia" w:ascii="仿宋" w:hAnsi="仿宋" w:eastAsia="仿宋" w:cs="仿宋"/>
          <w:b/>
          <w:bCs/>
          <w:sz w:val="32"/>
          <w:szCs w:val="32"/>
        </w:rPr>
      </w:pPr>
      <w:r>
        <w:rPr>
          <w:rFonts w:hint="eastAsia" w:ascii="仿宋" w:hAnsi="仿宋" w:eastAsia="仿宋" w:cs="仿宋"/>
          <w:b/>
          <w:bCs/>
          <w:kern w:val="0"/>
          <w:sz w:val="32"/>
          <w:szCs w:val="32"/>
        </w:rPr>
        <w:t>一、部门（单位）概况</w:t>
      </w:r>
    </w:p>
    <w:p w14:paraId="4B3321A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壤塘县</w:t>
      </w:r>
      <w:r>
        <w:rPr>
          <w:rFonts w:hint="eastAsia" w:ascii="仿宋" w:hAnsi="仿宋" w:eastAsia="仿宋" w:cs="仿宋"/>
          <w:sz w:val="32"/>
          <w:szCs w:val="32"/>
          <w:lang w:eastAsia="zh-CN"/>
        </w:rPr>
        <w:t>信访工作局</w:t>
      </w:r>
      <w:r>
        <w:rPr>
          <w:rFonts w:hint="eastAsia" w:ascii="仿宋" w:hAnsi="仿宋" w:eastAsia="仿宋" w:cs="仿宋"/>
          <w:sz w:val="32"/>
          <w:szCs w:val="32"/>
        </w:rPr>
        <w:t>：行政，机构地址：四川省阿坝藏族羌族自治州壤塘县</w:t>
      </w:r>
      <w:r>
        <w:rPr>
          <w:rFonts w:hint="eastAsia" w:ascii="仿宋" w:hAnsi="仿宋" w:eastAsia="仿宋" w:cs="仿宋"/>
          <w:sz w:val="32"/>
          <w:szCs w:val="32"/>
          <w:lang w:eastAsia="zh-CN"/>
        </w:rPr>
        <w:t>岗木达镇</w:t>
      </w:r>
      <w:bookmarkStart w:id="162" w:name="_GoBack"/>
      <w:bookmarkEnd w:id="162"/>
      <w:r>
        <w:rPr>
          <w:rFonts w:hint="eastAsia" w:ascii="仿宋" w:hAnsi="仿宋" w:eastAsia="仿宋" w:cs="仿宋"/>
          <w:sz w:val="32"/>
          <w:szCs w:val="32"/>
        </w:rPr>
        <w:t>罗吾塘前街22号，单位负责人：</w:t>
      </w:r>
      <w:r>
        <w:rPr>
          <w:rFonts w:hint="eastAsia" w:ascii="仿宋" w:hAnsi="仿宋" w:eastAsia="仿宋" w:cs="仿宋"/>
          <w:sz w:val="32"/>
          <w:szCs w:val="32"/>
          <w:lang w:val="en-US" w:eastAsia="zh-CN"/>
        </w:rPr>
        <w:t>银凤</w:t>
      </w:r>
      <w:r>
        <w:rPr>
          <w:rFonts w:hint="eastAsia" w:ascii="仿宋" w:hAnsi="仿宋" w:eastAsia="仿宋" w:cs="仿宋"/>
          <w:sz w:val="32"/>
          <w:szCs w:val="32"/>
        </w:rPr>
        <w:t>。</w:t>
      </w:r>
    </w:p>
    <w:p w14:paraId="60045179">
      <w:pPr>
        <w:widowControl/>
        <w:adjustRightInd w:val="0"/>
        <w:snapToGrid w:val="0"/>
        <w:spacing w:line="560" w:lineRule="exact"/>
        <w:ind w:firstLine="640" w:firstLineChars="200"/>
        <w:contextualSpacing/>
        <w:jc w:val="left"/>
        <w:outlineLvl w:val="1"/>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bidi="ar"/>
        </w:rPr>
        <w:t>（一）机构组成</w:t>
      </w:r>
    </w:p>
    <w:p w14:paraId="18A51E8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壤塘县</w:t>
      </w:r>
      <w:r>
        <w:rPr>
          <w:rFonts w:hint="eastAsia" w:ascii="仿宋" w:hAnsi="仿宋" w:eastAsia="仿宋" w:cs="仿宋"/>
          <w:sz w:val="32"/>
          <w:szCs w:val="32"/>
          <w:lang w:eastAsia="zh-CN"/>
        </w:rPr>
        <w:t>信访工作局</w:t>
      </w:r>
      <w:r>
        <w:rPr>
          <w:rFonts w:hint="eastAsia" w:ascii="仿宋" w:hAnsi="仿宋" w:eastAsia="仿宋" w:cs="仿宋"/>
          <w:sz w:val="32"/>
          <w:szCs w:val="32"/>
        </w:rPr>
        <w:t>（简称县</w:t>
      </w:r>
      <w:r>
        <w:rPr>
          <w:rFonts w:hint="eastAsia" w:ascii="仿宋" w:hAnsi="仿宋" w:eastAsia="仿宋" w:cs="仿宋"/>
          <w:sz w:val="32"/>
          <w:szCs w:val="32"/>
          <w:lang w:eastAsia="zh-CN"/>
        </w:rPr>
        <w:t>信访工作局</w:t>
      </w:r>
      <w:r>
        <w:rPr>
          <w:rFonts w:hint="eastAsia" w:ascii="仿宋" w:hAnsi="仿宋" w:eastAsia="仿宋" w:cs="仿宋"/>
          <w:sz w:val="32"/>
          <w:szCs w:val="32"/>
        </w:rPr>
        <w:t>）是壤塘县人民政府工作部门，为正科级。</w:t>
      </w:r>
    </w:p>
    <w:p w14:paraId="00CE64E5">
      <w:pPr>
        <w:widowControl/>
        <w:adjustRightInd w:val="0"/>
        <w:snapToGrid w:val="0"/>
        <w:spacing w:line="560" w:lineRule="exact"/>
        <w:ind w:firstLine="640" w:firstLineChars="200"/>
        <w:contextualSpacing/>
        <w:jc w:val="left"/>
        <w:rPr>
          <w:rFonts w:hint="eastAsia" w:ascii="仿宋" w:hAnsi="仿宋" w:eastAsia="仿宋" w:cs="仿宋"/>
          <w:b/>
          <w:bCs/>
          <w:sz w:val="32"/>
          <w:szCs w:val="32"/>
        </w:rPr>
      </w:pPr>
      <w:r>
        <w:rPr>
          <w:rFonts w:hint="eastAsia" w:ascii="仿宋" w:hAnsi="仿宋" w:eastAsia="仿宋" w:cs="仿宋"/>
          <w:color w:val="000000"/>
          <w:kern w:val="0"/>
          <w:sz w:val="32"/>
          <w:szCs w:val="32"/>
          <w:shd w:val="clear" w:color="auto" w:fill="FFFFFF"/>
          <w:lang w:bidi="ar"/>
        </w:rPr>
        <w:t>（二）机构职能</w:t>
      </w:r>
    </w:p>
    <w:p w14:paraId="5A5AA594">
      <w:pPr>
        <w:widowControl/>
        <w:adjustRightInd w:val="0"/>
        <w:snapToGrid w:val="0"/>
        <w:spacing w:line="560" w:lineRule="exact"/>
        <w:ind w:firstLine="640" w:firstLineChars="200"/>
        <w:contextualSpacing/>
        <w:jc w:val="left"/>
        <w:rPr>
          <w:rFonts w:hint="eastAsia" w:ascii="仿宋" w:hAnsi="仿宋" w:eastAsia="仿宋" w:cs="仿宋"/>
          <w:bCs/>
          <w:sz w:val="32"/>
          <w:szCs w:val="32"/>
        </w:rPr>
      </w:pPr>
      <w:r>
        <w:rPr>
          <w:rFonts w:hint="eastAsia" w:ascii="仿宋" w:hAnsi="仿宋" w:eastAsia="仿宋" w:cs="仿宋"/>
          <w:bCs/>
          <w:sz w:val="32"/>
          <w:szCs w:val="32"/>
        </w:rPr>
        <w:t>1.履行政治领导责任，做好理论武装和思想政治工作，负责学习、宣传、贯彻执行党的理论和路线方针政策，贯彻落实党中央、省委、州委、县委的决策部署，发挥好把方向、管大局、保落实的重要作用。</w:t>
      </w:r>
    </w:p>
    <w:p w14:paraId="6DD647FD">
      <w:pPr>
        <w:widowControl/>
        <w:adjustRightInd w:val="0"/>
        <w:snapToGrid w:val="0"/>
        <w:spacing w:line="560" w:lineRule="exact"/>
        <w:ind w:firstLine="640" w:firstLineChars="200"/>
        <w:contextualSpacing/>
        <w:jc w:val="left"/>
        <w:rPr>
          <w:rFonts w:hint="eastAsia" w:ascii="仿宋" w:hAnsi="仿宋" w:eastAsia="仿宋" w:cs="仿宋"/>
          <w:bCs/>
          <w:sz w:val="32"/>
          <w:szCs w:val="32"/>
        </w:rPr>
      </w:pPr>
      <w:r>
        <w:rPr>
          <w:rFonts w:hint="eastAsia" w:ascii="仿宋" w:hAnsi="仿宋" w:eastAsia="仿宋" w:cs="仿宋"/>
          <w:bCs/>
          <w:sz w:val="32"/>
          <w:szCs w:val="32"/>
        </w:rPr>
        <w:t>2.讨论和决定本单位下列重大问题。党的路线方针政策、国家法律法规和上级党组织重要会议、重要文件、重大决策部署的贯彻落实事项。需要向上级党组织请示报告的重要事项。内部机构设置、职责、人员编制等事项。重大决策、重要人事任免、重大项目安排、大额资金使用等事项。基层党组织和党员队伍建设方面的重要事项。意识形态工作、思想政治工作和精神文明建设方面的重要事项。党风廉政建设和反腐败工作方面的重要事项。其他应当由党组讨论和决定的重大问题。</w:t>
      </w:r>
    </w:p>
    <w:p w14:paraId="7484A390">
      <w:pPr>
        <w:widowControl/>
        <w:adjustRightInd w:val="0"/>
        <w:snapToGrid w:val="0"/>
        <w:spacing w:line="560" w:lineRule="exact"/>
        <w:ind w:firstLine="640" w:firstLineChars="200"/>
        <w:contextualSpacing/>
        <w:jc w:val="left"/>
        <w:rPr>
          <w:rFonts w:hint="eastAsia" w:ascii="仿宋" w:hAnsi="仿宋" w:eastAsia="仿宋" w:cs="仿宋"/>
          <w:bCs/>
          <w:sz w:val="32"/>
          <w:szCs w:val="32"/>
        </w:rPr>
      </w:pPr>
      <w:r>
        <w:rPr>
          <w:rFonts w:hint="eastAsia" w:ascii="仿宋" w:hAnsi="仿宋" w:eastAsia="仿宋" w:cs="仿宋"/>
          <w:bCs/>
          <w:sz w:val="32"/>
          <w:szCs w:val="32"/>
        </w:rPr>
        <w:t>3.贯彻党管干部原则，加强干部队伍建设，完善干部培养选拔机制，加强干部教育管理监督。贯彻党管人才原则，加强人才队伍建设。加强对本单位工会、共青团、妇联等群团工作的领导。</w:t>
      </w:r>
    </w:p>
    <w:p w14:paraId="697A0A8D">
      <w:pPr>
        <w:widowControl/>
        <w:adjustRightInd w:val="0"/>
        <w:snapToGrid w:val="0"/>
        <w:spacing w:line="560" w:lineRule="exact"/>
        <w:ind w:firstLine="640" w:firstLineChars="200"/>
        <w:contextualSpacing/>
        <w:jc w:val="left"/>
        <w:rPr>
          <w:rFonts w:hint="eastAsia" w:ascii="仿宋" w:hAnsi="仿宋" w:eastAsia="仿宋" w:cs="仿宋"/>
          <w:bCs/>
          <w:sz w:val="32"/>
          <w:szCs w:val="32"/>
        </w:rPr>
      </w:pPr>
      <w:r>
        <w:rPr>
          <w:rFonts w:hint="eastAsia" w:ascii="仿宋" w:hAnsi="仿宋" w:eastAsia="仿宋" w:cs="仿宋"/>
          <w:bCs/>
          <w:sz w:val="32"/>
          <w:szCs w:val="32"/>
        </w:rPr>
        <w:t>4.履行党要管党、从严治党责任，加强对本单位党的建设的领导，落实党建工作责任制。认真履行党风廉政建设主体责任，支持纪检监察机构履行监督责任。</w:t>
      </w:r>
    </w:p>
    <w:p w14:paraId="509B1723">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（三）人员概况</w:t>
      </w:r>
    </w:p>
    <w:p w14:paraId="1D38E30C">
      <w:pPr>
        <w:ind w:firstLine="640" w:firstLineChars="200"/>
        <w:rPr>
          <w:rFonts w:hint="eastAsia" w:ascii="仿宋" w:hAnsi="仿宋" w:eastAsia="仿宋" w:cs="仿宋"/>
          <w:sz w:val="32"/>
          <w:szCs w:val="32"/>
          <w:highlight w:val="none"/>
        </w:rPr>
      </w:pPr>
      <w:r>
        <w:rPr>
          <w:rFonts w:hint="eastAsia" w:ascii="仿宋" w:hAnsi="仿宋" w:eastAsia="仿宋" w:cs="仿宋"/>
          <w:kern w:val="0"/>
          <w:sz w:val="32"/>
          <w:szCs w:val="32"/>
          <w:highlight w:val="none"/>
        </w:rPr>
        <w:t>单位总编制</w:t>
      </w:r>
      <w:r>
        <w:rPr>
          <w:rFonts w:hint="eastAsia" w:ascii="仿宋" w:hAnsi="仿宋" w:eastAsia="仿宋" w:cs="仿宋"/>
          <w:kern w:val="0"/>
          <w:sz w:val="32"/>
          <w:szCs w:val="32"/>
          <w:highlight w:val="none"/>
          <w:lang w:val="en-US" w:eastAsia="zh-CN"/>
        </w:rPr>
        <w:t>8</w:t>
      </w:r>
      <w:r>
        <w:rPr>
          <w:rFonts w:hint="eastAsia" w:ascii="仿宋" w:hAnsi="仿宋" w:eastAsia="仿宋" w:cs="仿宋"/>
          <w:kern w:val="0"/>
          <w:sz w:val="32"/>
          <w:szCs w:val="32"/>
          <w:highlight w:val="none"/>
        </w:rPr>
        <w:t>名,其中:行政编制</w:t>
      </w:r>
      <w:r>
        <w:rPr>
          <w:rFonts w:hint="eastAsia" w:ascii="仿宋" w:hAnsi="仿宋" w:eastAsia="仿宋" w:cs="仿宋"/>
          <w:kern w:val="0"/>
          <w:sz w:val="32"/>
          <w:szCs w:val="32"/>
          <w:highlight w:val="none"/>
          <w:lang w:val="en-US" w:eastAsia="zh-CN"/>
        </w:rPr>
        <w:t>4</w:t>
      </w:r>
      <w:r>
        <w:rPr>
          <w:rFonts w:hint="eastAsia" w:ascii="仿宋" w:hAnsi="仿宋" w:eastAsia="仿宋" w:cs="仿宋"/>
          <w:kern w:val="0"/>
          <w:sz w:val="32"/>
          <w:szCs w:val="32"/>
          <w:highlight w:val="none"/>
        </w:rPr>
        <w:t>人、事业编制</w:t>
      </w: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人，事业工勤编制</w:t>
      </w:r>
      <w:r>
        <w:rPr>
          <w:rFonts w:hint="eastAsia" w:ascii="仿宋" w:hAnsi="仿宋" w:eastAsia="仿宋" w:cs="仿宋"/>
          <w:kern w:val="0"/>
          <w:sz w:val="32"/>
          <w:szCs w:val="32"/>
          <w:highlight w:val="none"/>
          <w:lang w:val="en-US" w:eastAsia="zh-CN"/>
        </w:rPr>
        <w:t>1</w:t>
      </w:r>
      <w:r>
        <w:rPr>
          <w:rFonts w:hint="eastAsia" w:ascii="仿宋" w:hAnsi="仿宋" w:eastAsia="仿宋" w:cs="仿宋"/>
          <w:kern w:val="0"/>
          <w:sz w:val="32"/>
          <w:szCs w:val="32"/>
          <w:highlight w:val="none"/>
        </w:rPr>
        <w:t>人。</w:t>
      </w:r>
    </w:p>
    <w:p w14:paraId="660B6268">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bidi="ar"/>
        </w:rPr>
        <w:t>二、部门财政资金收支情况</w:t>
      </w:r>
    </w:p>
    <w:p w14:paraId="29007D71">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bidi="ar"/>
        </w:rPr>
        <w:t>（一）部门财政资金收入情况</w:t>
      </w:r>
    </w:p>
    <w:p w14:paraId="6AA64A71">
      <w:pPr>
        <w:pStyle w:val="28"/>
        <w:spacing w:line="360" w:lineRule="auto"/>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23年财</w:t>
      </w:r>
      <w:r>
        <w:rPr>
          <w:rFonts w:hint="eastAsia" w:ascii="仿宋" w:hAnsi="仿宋" w:eastAsia="仿宋" w:cs="仿宋"/>
          <w:sz w:val="32"/>
          <w:szCs w:val="32"/>
          <w:lang w:eastAsia="zh-CN"/>
        </w:rPr>
        <w:t>政下达壤塘县信访工作局年初预算收入</w:t>
      </w:r>
      <w:r>
        <w:rPr>
          <w:rFonts w:hint="eastAsia" w:ascii="仿宋" w:hAnsi="仿宋" w:eastAsia="仿宋" w:cs="仿宋"/>
          <w:sz w:val="32"/>
          <w:szCs w:val="32"/>
          <w:lang w:val="en-US" w:eastAsia="zh-CN"/>
        </w:rPr>
        <w:t>191.08</w:t>
      </w:r>
      <w:r>
        <w:rPr>
          <w:rFonts w:hint="eastAsia" w:ascii="仿宋" w:hAnsi="仿宋" w:eastAsia="仿宋" w:cs="仿宋"/>
          <w:sz w:val="32"/>
          <w:szCs w:val="32"/>
          <w:lang w:eastAsia="zh-CN"/>
        </w:rPr>
        <w:t>万元，</w:t>
      </w:r>
      <w:r>
        <w:rPr>
          <w:rFonts w:hint="eastAsia" w:ascii="仿宋" w:hAnsi="仿宋" w:eastAsia="仿宋" w:cs="仿宋"/>
          <w:sz w:val="32"/>
          <w:szCs w:val="32"/>
          <w:lang w:val="en-US" w:eastAsia="zh-CN"/>
        </w:rPr>
        <w:t>当年追加预算31.47万元，年末收入总计为222.55万元。</w:t>
      </w:r>
      <w:r>
        <w:rPr>
          <w:rFonts w:hint="eastAsia" w:ascii="仿宋" w:hAnsi="仿宋" w:eastAsia="仿宋" w:cs="仿宋"/>
          <w:sz w:val="32"/>
          <w:szCs w:val="32"/>
          <w:lang w:eastAsia="zh-CN"/>
        </w:rPr>
        <w:t xml:space="preserve">   </w:t>
      </w:r>
    </w:p>
    <w:p w14:paraId="51C0ACCF">
      <w:pPr>
        <w:widowControl/>
        <w:adjustRightInd w:val="0"/>
        <w:snapToGrid w:val="0"/>
        <w:spacing w:line="560" w:lineRule="exact"/>
        <w:ind w:firstLine="640" w:firstLineChars="200"/>
        <w:contextualSpacing/>
        <w:jc w:val="left"/>
        <w:rPr>
          <w:rFonts w:hint="default" w:ascii="仿宋" w:hAnsi="仿宋" w:eastAsia="仿宋" w:cs="仿宋"/>
          <w:sz w:val="32"/>
          <w:szCs w:val="32"/>
          <w:lang w:val="en-US" w:eastAsia="zh-CN"/>
        </w:rPr>
      </w:pPr>
      <w:r>
        <w:rPr>
          <w:rFonts w:hint="eastAsia" w:ascii="仿宋" w:hAnsi="仿宋" w:eastAsia="仿宋" w:cs="仿宋"/>
          <w:color w:val="000000"/>
          <w:kern w:val="0"/>
          <w:sz w:val="32"/>
          <w:szCs w:val="32"/>
          <w:shd w:val="clear" w:color="auto" w:fill="FFFFFF"/>
          <w:lang w:bidi="ar"/>
        </w:rPr>
        <w:t>（二）部门财政资金支出情况</w:t>
      </w:r>
    </w:p>
    <w:p w14:paraId="7FFDF196">
      <w:pPr>
        <w:pStyle w:val="28"/>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eastAsia="zh-CN"/>
        </w:rPr>
        <w:t>壤塘县信访工作局</w:t>
      </w:r>
      <w:r>
        <w:rPr>
          <w:rFonts w:hint="eastAsia" w:ascii="仿宋" w:hAnsi="仿宋" w:eastAsia="仿宋" w:cs="仿宋"/>
          <w:sz w:val="32"/>
          <w:szCs w:val="32"/>
        </w:rPr>
        <w:t>共计预算支出</w:t>
      </w:r>
      <w:r>
        <w:rPr>
          <w:rFonts w:hint="eastAsia" w:ascii="仿宋" w:hAnsi="仿宋" w:eastAsia="仿宋" w:cs="仿宋"/>
          <w:sz w:val="32"/>
          <w:szCs w:val="32"/>
          <w:lang w:val="en-US" w:eastAsia="zh-CN"/>
        </w:rPr>
        <w:t>222.55</w:t>
      </w:r>
      <w:r>
        <w:rPr>
          <w:rFonts w:hint="eastAsia" w:ascii="仿宋" w:hAnsi="仿宋" w:eastAsia="仿宋" w:cs="仿宋"/>
          <w:sz w:val="32"/>
          <w:szCs w:val="32"/>
        </w:rPr>
        <w:t>万元，基本支出</w:t>
      </w:r>
      <w:r>
        <w:rPr>
          <w:rFonts w:hint="eastAsia" w:ascii="仿宋" w:hAnsi="仿宋" w:eastAsia="仿宋" w:cs="仿宋"/>
          <w:sz w:val="32"/>
          <w:szCs w:val="32"/>
          <w:lang w:val="en-US" w:eastAsia="zh-CN"/>
        </w:rPr>
        <w:t>222.55</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0.00</w:t>
      </w:r>
      <w:r>
        <w:rPr>
          <w:rFonts w:hint="eastAsia" w:ascii="仿宋" w:hAnsi="仿宋" w:eastAsia="仿宋" w:cs="仿宋"/>
          <w:sz w:val="32"/>
          <w:szCs w:val="32"/>
        </w:rPr>
        <w:t>万元。</w:t>
      </w:r>
    </w:p>
    <w:p w14:paraId="6D316D09">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bidi="ar"/>
        </w:rPr>
        <w:t>三、部门整体预算绩效管理情况</w:t>
      </w:r>
    </w:p>
    <w:p w14:paraId="4F074B48">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（一）部门预算管理</w:t>
      </w:r>
    </w:p>
    <w:p w14:paraId="74BFA167">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bidi="ar"/>
        </w:rPr>
        <w:t>1、部门绩效目标制定情况</w:t>
      </w:r>
    </w:p>
    <w:p w14:paraId="6B6B120B">
      <w:pPr>
        <w:widowControl/>
        <w:adjustRightInd w:val="0"/>
        <w:snapToGrid w:val="0"/>
        <w:spacing w:line="560" w:lineRule="exact"/>
        <w:ind w:firstLine="640" w:firstLineChars="200"/>
        <w:contextualSpacing/>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坚按照预算绩效管理要求，本部门对202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年一般公共预算项目支出开展了绩效目标管理，共编制绩效目标覆盖率达到100%。</w:t>
      </w:r>
    </w:p>
    <w:p w14:paraId="257BF744">
      <w:pPr>
        <w:widowControl/>
        <w:adjustRightInd w:val="0"/>
        <w:snapToGrid w:val="0"/>
        <w:spacing w:line="560" w:lineRule="exact"/>
        <w:ind w:firstLine="640" w:firstLineChars="200"/>
        <w:contextualSpacing/>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2、202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年整体目标如下：</w:t>
      </w:r>
    </w:p>
    <w:p w14:paraId="2AE60CAC">
      <w:pPr>
        <w:widowControl/>
        <w:adjustRightInd w:val="0"/>
        <w:snapToGrid w:val="0"/>
        <w:spacing w:line="560" w:lineRule="exact"/>
        <w:ind w:firstLine="640" w:firstLineChars="200"/>
        <w:contextualSpacing/>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坚持以人民为中心，以社会治理创新为动力、以依法及时就地解决合理诉求为目标，深入信访工作制度改革，持续开展信访矛盾化解攻坚战，紧紧围绕信访工作目标责任，始终把信访工作摆在突出的重要位置，加强信访积案化解工作力度，强化领导干部下访，积极排查信访矛盾纠纷，解决好信访突出问题，扎实做好我县信访稳控工作，对信访重点人员落实稳控责任，逐一落实包案领导、责任单位和责任人，促进我县的社会和谐稳定。</w:t>
      </w:r>
    </w:p>
    <w:p w14:paraId="1C931110">
      <w:pPr>
        <w:widowControl/>
        <w:adjustRightInd w:val="0"/>
        <w:snapToGrid w:val="0"/>
        <w:spacing w:line="560" w:lineRule="exact"/>
        <w:ind w:firstLine="640" w:firstLineChars="200"/>
        <w:contextualSpacing/>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.预算编制准确</w:t>
      </w:r>
    </w:p>
    <w:p w14:paraId="0A8F63C8">
      <w:pPr>
        <w:widowControl/>
        <w:adjustRightInd w:val="0"/>
        <w:snapToGrid w:val="0"/>
        <w:spacing w:line="560" w:lineRule="exact"/>
        <w:ind w:firstLine="640" w:firstLineChars="200"/>
        <w:contextualSpacing/>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在预算编制中进一步夯实预算编制基础，及时更新相关基础数据，严格控制“三公”经费预算及支出，预算编制及决算编制做到了及时、完整、准确、合理、高效。</w:t>
      </w:r>
    </w:p>
    <w:p w14:paraId="7DC7723D">
      <w:pPr>
        <w:widowControl/>
        <w:numPr>
          <w:ilvl w:val="0"/>
          <w:numId w:val="4"/>
        </w:numPr>
        <w:adjustRightInd w:val="0"/>
        <w:snapToGrid w:val="0"/>
        <w:spacing w:line="56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bidi="ar"/>
        </w:rPr>
      </w:pPr>
      <w:r>
        <w:rPr>
          <w:rFonts w:hint="eastAsia" w:ascii="仿宋" w:hAnsi="仿宋" w:eastAsia="仿宋" w:cs="仿宋"/>
          <w:color w:val="000000"/>
          <w:kern w:val="0"/>
          <w:sz w:val="32"/>
          <w:szCs w:val="32"/>
          <w:highlight w:val="none"/>
          <w:shd w:val="clear" w:color="auto" w:fill="FFFFFF"/>
          <w:lang w:bidi="ar"/>
        </w:rPr>
        <w:t>目标完成情况</w:t>
      </w:r>
    </w:p>
    <w:p w14:paraId="29BFE179">
      <w:pPr>
        <w:pStyle w:val="2"/>
        <w:numPr>
          <w:ilvl w:val="0"/>
          <w:numId w:val="0"/>
        </w:numPr>
        <w:ind w:firstLine="640" w:firstLineChars="200"/>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我局坚持以习近平新时代中国特色社会主义思想为指导，深入贯彻落实习近平总书记关于加强和改进人民信访工作的重要思想，加强学习党的二十大和省、州、县历次全会精神，增强“四个意识”、坚定“四个自信”、做到“两个维护”，认真学习贯彻《信访工作条例》，坚持人民至上，坚持稳字当头，以做好成都大运会及建州70周年大庆信访安全保障工作为主线，以学习宣传贯彻信访工作党内法规、大督查大接访大调研、全国信访工作示范县创建三大专项活动为抓手，深化推进信访法治化建设，持续提升法治信访、阳光信访、责任信访水平，不断提升壤塘信访工作质效和群众满意度。</w:t>
      </w:r>
    </w:p>
    <w:p w14:paraId="2E6AAD1C">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bidi="ar"/>
        </w:rPr>
        <w:t>5</w:t>
      </w:r>
      <w:r>
        <w:rPr>
          <w:rFonts w:hint="eastAsia" w:ascii="仿宋" w:hAnsi="仿宋" w:eastAsia="仿宋" w:cs="仿宋"/>
          <w:color w:val="000000"/>
          <w:kern w:val="0"/>
          <w:sz w:val="32"/>
          <w:szCs w:val="32"/>
          <w:shd w:val="clear" w:color="auto" w:fill="FFFFFF"/>
          <w:lang w:bidi="ar"/>
        </w:rPr>
        <w:t>、执行进度情况</w:t>
      </w:r>
    </w:p>
    <w:p w14:paraId="21066859">
      <w:pPr>
        <w:pStyle w:val="28"/>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年财政下达</w:t>
      </w:r>
      <w:r>
        <w:rPr>
          <w:rFonts w:hint="eastAsia" w:ascii="仿宋" w:hAnsi="仿宋" w:eastAsia="仿宋" w:cs="仿宋"/>
          <w:sz w:val="32"/>
          <w:szCs w:val="32"/>
          <w:lang w:eastAsia="zh-CN"/>
        </w:rPr>
        <w:t>壤塘县信访工作局</w:t>
      </w:r>
      <w:r>
        <w:rPr>
          <w:rFonts w:hint="eastAsia" w:ascii="仿宋" w:hAnsi="仿宋" w:eastAsia="仿宋" w:cs="仿宋"/>
          <w:sz w:val="32"/>
          <w:szCs w:val="32"/>
        </w:rPr>
        <w:t>年初预算收入</w:t>
      </w:r>
      <w:r>
        <w:rPr>
          <w:rFonts w:hint="eastAsia" w:ascii="仿宋" w:hAnsi="仿宋" w:eastAsia="仿宋" w:cs="仿宋"/>
          <w:sz w:val="32"/>
          <w:szCs w:val="32"/>
          <w:lang w:val="en-US" w:eastAsia="zh-CN"/>
        </w:rPr>
        <w:t>191.08</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当年追加预算31.47万元，年末收入总计为222.55万元。</w:t>
      </w:r>
      <w:r>
        <w:rPr>
          <w:rFonts w:hint="eastAsia" w:ascii="仿宋" w:hAnsi="仿宋" w:eastAsia="仿宋" w:cs="仿宋"/>
          <w:sz w:val="32"/>
          <w:szCs w:val="32"/>
        </w:rPr>
        <w:t xml:space="preserve">   </w:t>
      </w:r>
    </w:p>
    <w:p w14:paraId="66337EEF">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bidi="ar"/>
        </w:rPr>
        <w:t>6</w:t>
      </w:r>
      <w:r>
        <w:rPr>
          <w:rFonts w:hint="eastAsia" w:ascii="仿宋" w:hAnsi="仿宋" w:eastAsia="仿宋" w:cs="仿宋"/>
          <w:color w:val="000000"/>
          <w:kern w:val="0"/>
          <w:sz w:val="32"/>
          <w:szCs w:val="32"/>
          <w:shd w:val="clear" w:color="auto" w:fill="FFFFFF"/>
          <w:lang w:bidi="ar"/>
        </w:rPr>
        <w:t>、预算完成情况</w:t>
      </w:r>
    </w:p>
    <w:p w14:paraId="6F449BAE">
      <w:pPr>
        <w:pStyle w:val="28"/>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年财政下达</w:t>
      </w:r>
      <w:r>
        <w:rPr>
          <w:rFonts w:hint="eastAsia" w:ascii="仿宋" w:hAnsi="仿宋" w:eastAsia="仿宋" w:cs="仿宋"/>
          <w:sz w:val="32"/>
          <w:szCs w:val="32"/>
          <w:lang w:eastAsia="zh-CN"/>
        </w:rPr>
        <w:t>壤塘县信访工作局</w:t>
      </w:r>
      <w:r>
        <w:rPr>
          <w:rFonts w:hint="eastAsia" w:ascii="仿宋" w:hAnsi="仿宋" w:eastAsia="仿宋" w:cs="仿宋"/>
          <w:sz w:val="32"/>
          <w:szCs w:val="32"/>
        </w:rPr>
        <w:t>年初预算收入</w:t>
      </w:r>
      <w:r>
        <w:rPr>
          <w:rFonts w:hint="eastAsia" w:ascii="仿宋" w:hAnsi="仿宋" w:eastAsia="仿宋" w:cs="仿宋"/>
          <w:sz w:val="32"/>
          <w:szCs w:val="32"/>
          <w:lang w:val="en-US" w:eastAsia="zh-CN"/>
        </w:rPr>
        <w:t>191.08</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当年追加预算31.47万元，年末收入总计为222.55万元。</w:t>
      </w:r>
      <w:r>
        <w:rPr>
          <w:rFonts w:hint="eastAsia" w:ascii="仿宋" w:hAnsi="仿宋" w:eastAsia="仿宋" w:cs="仿宋"/>
          <w:sz w:val="32"/>
          <w:szCs w:val="32"/>
        </w:rPr>
        <w:t xml:space="preserve">   </w:t>
      </w:r>
    </w:p>
    <w:p w14:paraId="36DE3B3E">
      <w:pPr>
        <w:pStyle w:val="28"/>
        <w:spacing w:line="360" w:lineRule="auto"/>
        <w:ind w:firstLine="640"/>
        <w:rPr>
          <w:rFonts w:hint="eastAsia" w:ascii="仿宋" w:hAnsi="仿宋" w:eastAsia="仿宋" w:cs="仿宋"/>
          <w:b/>
          <w:bCs/>
          <w:kern w:val="0"/>
          <w:sz w:val="32"/>
          <w:szCs w:val="32"/>
        </w:rPr>
      </w:pPr>
      <w:r>
        <w:rPr>
          <w:rFonts w:hint="eastAsia" w:ascii="仿宋" w:hAnsi="仿宋" w:eastAsia="仿宋" w:cs="仿宋"/>
          <w:b/>
          <w:bCs/>
          <w:kern w:val="0"/>
          <w:sz w:val="32"/>
          <w:szCs w:val="32"/>
          <w:lang w:val="en-US" w:eastAsia="zh-CN"/>
        </w:rPr>
        <w:t>6、</w:t>
      </w:r>
      <w:r>
        <w:rPr>
          <w:rFonts w:hint="eastAsia" w:ascii="仿宋" w:hAnsi="仿宋" w:eastAsia="仿宋" w:cs="仿宋"/>
          <w:b/>
          <w:bCs/>
          <w:kern w:val="0"/>
          <w:sz w:val="32"/>
          <w:szCs w:val="32"/>
        </w:rPr>
        <w:t>行政成本</w:t>
      </w:r>
    </w:p>
    <w:p w14:paraId="6F0F4CCC">
      <w:pPr>
        <w:pStyle w:val="28"/>
        <w:spacing w:line="360" w:lineRule="auto"/>
        <w:ind w:firstLine="640"/>
        <w:rPr>
          <w:rFonts w:hint="eastAsia" w:ascii="仿宋" w:hAnsi="仿宋" w:eastAsia="仿宋" w:cs="仿宋"/>
          <w:sz w:val="32"/>
          <w:szCs w:val="32"/>
          <w:lang w:eastAsia="zh-CN"/>
        </w:rPr>
      </w:pPr>
      <w:r>
        <w:rPr>
          <w:rFonts w:hint="eastAsia" w:ascii="仿宋" w:hAnsi="仿宋" w:eastAsia="仿宋" w:cs="仿宋"/>
          <w:sz w:val="32"/>
          <w:szCs w:val="32"/>
        </w:rPr>
        <w:t>“三公”经费控制。</w:t>
      </w:r>
      <w:r>
        <w:rPr>
          <w:rFonts w:hint="eastAsia" w:ascii="仿宋" w:hAnsi="仿宋" w:eastAsia="仿宋" w:cs="仿宋"/>
          <w:sz w:val="32"/>
          <w:szCs w:val="32"/>
          <w:lang w:eastAsia="zh-CN"/>
        </w:rPr>
        <w:t>壤塘县信访工作局会202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无</w:t>
      </w:r>
      <w:r>
        <w:rPr>
          <w:rFonts w:hint="eastAsia" w:ascii="仿宋" w:hAnsi="仿宋" w:eastAsia="仿宋" w:cs="仿宋"/>
          <w:sz w:val="32"/>
          <w:szCs w:val="32"/>
          <w:lang w:eastAsia="zh-CN"/>
        </w:rPr>
        <w:t>“三公”经费</w:t>
      </w:r>
      <w:r>
        <w:rPr>
          <w:rFonts w:hint="eastAsia" w:ascii="仿宋" w:hAnsi="仿宋" w:eastAsia="仿宋" w:cs="仿宋"/>
          <w:sz w:val="32"/>
          <w:szCs w:val="32"/>
          <w:lang w:val="en-US" w:eastAsia="zh-CN"/>
        </w:rPr>
        <w:t>支出。</w:t>
      </w:r>
    </w:p>
    <w:p w14:paraId="7940C5D8">
      <w:pPr>
        <w:pStyle w:val="28"/>
        <w:spacing w:line="360" w:lineRule="auto"/>
        <w:ind w:firstLine="640"/>
        <w:outlineLvl w:val="1"/>
        <w:rPr>
          <w:rFonts w:hint="eastAsia" w:ascii="仿宋" w:hAnsi="仿宋" w:eastAsia="仿宋" w:cs="仿宋"/>
          <w:b/>
          <w:bCs/>
          <w:kern w:val="0"/>
          <w:sz w:val="32"/>
          <w:szCs w:val="32"/>
        </w:rPr>
      </w:pPr>
      <w:bookmarkStart w:id="112" w:name="_Toc16180"/>
      <w:bookmarkStart w:id="113" w:name="_Toc28206"/>
      <w:r>
        <w:rPr>
          <w:rFonts w:hint="eastAsia" w:ascii="仿宋" w:hAnsi="仿宋" w:eastAsia="仿宋" w:cs="仿宋"/>
          <w:b/>
          <w:bCs/>
          <w:kern w:val="0"/>
          <w:sz w:val="32"/>
          <w:szCs w:val="32"/>
          <w:lang w:val="en-US" w:eastAsia="zh-CN"/>
        </w:rPr>
        <w:t>7、</w:t>
      </w:r>
      <w:r>
        <w:rPr>
          <w:rFonts w:hint="eastAsia" w:ascii="仿宋" w:hAnsi="仿宋" w:eastAsia="仿宋" w:cs="仿宋"/>
          <w:b/>
          <w:bCs/>
          <w:kern w:val="0"/>
          <w:sz w:val="32"/>
          <w:szCs w:val="32"/>
        </w:rPr>
        <w:t>政府采购</w:t>
      </w:r>
      <w:bookmarkEnd w:id="112"/>
      <w:bookmarkEnd w:id="113"/>
    </w:p>
    <w:p w14:paraId="51461751">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年壤塘县信访工作局</w:t>
      </w:r>
      <w:r>
        <w:rPr>
          <w:rFonts w:hint="eastAsia" w:ascii="仿宋" w:hAnsi="仿宋" w:eastAsia="仿宋" w:cs="仿宋"/>
          <w:sz w:val="32"/>
          <w:szCs w:val="32"/>
          <w:lang w:val="en-US" w:eastAsia="zh-CN"/>
        </w:rPr>
        <w:t>无“</w:t>
      </w:r>
      <w:r>
        <w:rPr>
          <w:rFonts w:hint="eastAsia" w:ascii="仿宋" w:hAnsi="仿宋" w:eastAsia="仿宋" w:cs="仿宋"/>
          <w:sz w:val="32"/>
          <w:szCs w:val="32"/>
        </w:rPr>
        <w:t>政府采购</w:t>
      </w:r>
      <w:r>
        <w:rPr>
          <w:rFonts w:hint="eastAsia" w:ascii="仿宋" w:hAnsi="仿宋" w:eastAsia="仿宋" w:cs="仿宋"/>
          <w:sz w:val="32"/>
          <w:szCs w:val="32"/>
          <w:lang w:val="en-US" w:eastAsia="zh-CN"/>
        </w:rPr>
        <w:t>”支出</w:t>
      </w:r>
      <w:r>
        <w:rPr>
          <w:rFonts w:hint="eastAsia" w:ascii="仿宋" w:hAnsi="仿宋" w:eastAsia="仿宋" w:cs="仿宋"/>
          <w:sz w:val="32"/>
          <w:szCs w:val="32"/>
        </w:rPr>
        <w:t>。</w:t>
      </w:r>
    </w:p>
    <w:p w14:paraId="035B12AD">
      <w:pPr>
        <w:numPr>
          <w:ilvl w:val="0"/>
          <w:numId w:val="0"/>
        </w:numPr>
        <w:snapToGrid w:val="0"/>
        <w:spacing w:line="360" w:lineRule="auto"/>
        <w:ind w:firstLine="643" w:firstLineChars="200"/>
        <w:outlineLvl w:val="1"/>
        <w:rPr>
          <w:rFonts w:hint="eastAsia" w:ascii="仿宋" w:hAnsi="仿宋" w:eastAsia="仿宋" w:cs="仿宋"/>
          <w:b/>
          <w:bCs/>
          <w:sz w:val="32"/>
          <w:szCs w:val="32"/>
        </w:rPr>
      </w:pPr>
      <w:bookmarkStart w:id="114" w:name="_Toc7598"/>
      <w:bookmarkStart w:id="115" w:name="_Toc7148"/>
      <w:r>
        <w:rPr>
          <w:rFonts w:hint="eastAsia" w:ascii="仿宋" w:hAnsi="仿宋" w:eastAsia="仿宋" w:cs="仿宋"/>
          <w:b/>
          <w:bCs/>
          <w:kern w:val="0"/>
          <w:sz w:val="32"/>
          <w:szCs w:val="32"/>
          <w:lang w:val="en-US" w:eastAsia="zh-CN"/>
        </w:rPr>
        <w:t>8、</w:t>
      </w:r>
      <w:r>
        <w:rPr>
          <w:rFonts w:hint="eastAsia" w:ascii="仿宋" w:hAnsi="仿宋" w:eastAsia="仿宋" w:cs="仿宋"/>
          <w:b/>
          <w:bCs/>
          <w:kern w:val="0"/>
          <w:sz w:val="32"/>
          <w:szCs w:val="32"/>
        </w:rPr>
        <w:t>资产管理</w:t>
      </w:r>
      <w:bookmarkEnd w:id="114"/>
      <w:bookmarkEnd w:id="115"/>
      <w:r>
        <w:rPr>
          <w:rFonts w:hint="eastAsia" w:ascii="仿宋" w:hAnsi="仿宋" w:eastAsia="仿宋" w:cs="仿宋"/>
          <w:b/>
          <w:bCs/>
          <w:kern w:val="0"/>
          <w:sz w:val="32"/>
          <w:szCs w:val="32"/>
        </w:rPr>
        <w:t xml:space="preserve"> </w:t>
      </w:r>
      <w:r>
        <w:rPr>
          <w:rFonts w:hint="eastAsia" w:ascii="仿宋" w:hAnsi="仿宋" w:eastAsia="仿宋" w:cs="仿宋"/>
          <w:b/>
          <w:bCs/>
          <w:sz w:val="32"/>
          <w:szCs w:val="32"/>
        </w:rPr>
        <w:t xml:space="preserve"> </w:t>
      </w:r>
    </w:p>
    <w:p w14:paraId="396CA8DE">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固定资产在用率。截止</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12月31日，</w:t>
      </w:r>
      <w:r>
        <w:rPr>
          <w:rFonts w:hint="eastAsia" w:ascii="仿宋" w:hAnsi="仿宋" w:eastAsia="仿宋" w:cs="仿宋"/>
          <w:sz w:val="32"/>
          <w:szCs w:val="32"/>
          <w:lang w:eastAsia="zh-CN"/>
        </w:rPr>
        <w:t>壤塘县信访工作局会</w:t>
      </w:r>
      <w:r>
        <w:rPr>
          <w:rFonts w:hint="eastAsia" w:ascii="仿宋" w:hAnsi="仿宋" w:eastAsia="仿宋" w:cs="仿宋"/>
          <w:sz w:val="32"/>
          <w:szCs w:val="32"/>
        </w:rPr>
        <w:t>《行政单位资产管理系统》固定资产总计</w:t>
      </w:r>
      <w:r>
        <w:rPr>
          <w:rFonts w:hint="eastAsia" w:ascii="仿宋" w:hAnsi="仿宋" w:eastAsia="仿宋" w:cs="仿宋"/>
          <w:sz w:val="32"/>
          <w:szCs w:val="32"/>
          <w:lang w:val="en-US" w:eastAsia="zh-CN"/>
        </w:rPr>
        <w:t>5.4</w:t>
      </w:r>
      <w:r>
        <w:rPr>
          <w:rFonts w:hint="eastAsia" w:ascii="仿宋" w:hAnsi="仿宋" w:eastAsia="仿宋" w:cs="仿宋"/>
          <w:sz w:val="32"/>
          <w:szCs w:val="32"/>
        </w:rPr>
        <w:t>万元，在用的固定资产总计</w:t>
      </w:r>
      <w:r>
        <w:rPr>
          <w:rFonts w:hint="eastAsia" w:ascii="仿宋" w:hAnsi="仿宋" w:eastAsia="仿宋" w:cs="仿宋"/>
          <w:sz w:val="32"/>
          <w:szCs w:val="32"/>
          <w:lang w:val="en-US" w:eastAsia="zh-CN"/>
        </w:rPr>
        <w:t>5.4</w:t>
      </w:r>
      <w:r>
        <w:rPr>
          <w:rFonts w:hint="eastAsia" w:ascii="仿宋" w:hAnsi="仿宋" w:eastAsia="仿宋" w:cs="仿宋"/>
          <w:sz w:val="32"/>
          <w:szCs w:val="32"/>
        </w:rPr>
        <w:t>万元，固定资产在用率达100%。</w:t>
      </w:r>
    </w:p>
    <w:p w14:paraId="05A4673F">
      <w:pPr>
        <w:pStyle w:val="28"/>
        <w:spacing w:line="360" w:lineRule="auto"/>
        <w:ind w:left="420" w:leftChars="200" w:firstLine="321" w:firstLineChars="100"/>
        <w:rPr>
          <w:rFonts w:hint="eastAsia" w:ascii="仿宋" w:hAnsi="仿宋" w:eastAsia="仿宋" w:cs="仿宋"/>
          <w:b/>
          <w:bCs/>
          <w:kern w:val="0"/>
          <w:sz w:val="32"/>
          <w:szCs w:val="32"/>
        </w:rPr>
      </w:pPr>
      <w:r>
        <w:rPr>
          <w:rFonts w:hint="eastAsia" w:ascii="仿宋" w:hAnsi="仿宋" w:eastAsia="仿宋" w:cs="仿宋"/>
          <w:b/>
          <w:bCs/>
          <w:kern w:val="0"/>
          <w:sz w:val="32"/>
          <w:szCs w:val="32"/>
          <w:lang w:val="en-US" w:eastAsia="zh-CN"/>
        </w:rPr>
        <w:t>9、</w:t>
      </w:r>
      <w:r>
        <w:rPr>
          <w:rFonts w:hint="eastAsia" w:ascii="仿宋" w:hAnsi="仿宋" w:eastAsia="仿宋" w:cs="仿宋"/>
          <w:b/>
          <w:bCs/>
          <w:kern w:val="0"/>
          <w:sz w:val="32"/>
          <w:szCs w:val="32"/>
        </w:rPr>
        <w:t>信息公开</w:t>
      </w:r>
    </w:p>
    <w:p w14:paraId="5980D75F">
      <w:pPr>
        <w:pStyle w:val="28"/>
        <w:spacing w:line="360" w:lineRule="auto"/>
        <w:ind w:firstLine="640"/>
        <w:outlineLvl w:val="0"/>
        <w:rPr>
          <w:rFonts w:hint="eastAsia" w:ascii="仿宋" w:hAnsi="仿宋" w:eastAsia="仿宋" w:cs="仿宋"/>
          <w:b/>
          <w:bCs/>
          <w:kern w:val="0"/>
          <w:sz w:val="32"/>
          <w:szCs w:val="32"/>
          <w:lang w:val="en-US" w:eastAsia="zh-CN"/>
        </w:rPr>
      </w:pPr>
      <w:bookmarkStart w:id="116" w:name="_Toc30560"/>
      <w:bookmarkStart w:id="117" w:name="_Toc15471"/>
      <w:r>
        <w:rPr>
          <w:rFonts w:hint="eastAsia" w:ascii="仿宋" w:hAnsi="仿宋" w:eastAsia="仿宋" w:cs="仿宋"/>
          <w:sz w:val="32"/>
          <w:szCs w:val="32"/>
        </w:rPr>
        <w:t>信息公开。</w:t>
      </w:r>
      <w:r>
        <w:rPr>
          <w:rFonts w:hint="eastAsia" w:ascii="仿宋" w:hAnsi="仿宋" w:eastAsia="仿宋" w:cs="仿宋"/>
          <w:sz w:val="32"/>
          <w:szCs w:val="32"/>
          <w:lang w:eastAsia="zh-CN"/>
        </w:rPr>
        <w:t>壤塘县信访工作局会</w:t>
      </w:r>
      <w:r>
        <w:rPr>
          <w:rFonts w:hint="eastAsia" w:ascii="仿宋" w:hAnsi="仿宋" w:eastAsia="仿宋" w:cs="仿宋"/>
          <w:sz w:val="32"/>
          <w:szCs w:val="32"/>
        </w:rPr>
        <w:t>已经按财政要求及时完成预算、决算、绩效等信息公开工作，信息公开在壤塘县人民政府门户网站中。</w:t>
      </w:r>
      <w:bookmarkEnd w:id="116"/>
      <w:bookmarkEnd w:id="117"/>
    </w:p>
    <w:p w14:paraId="7CB3708E">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bidi="ar"/>
        </w:rPr>
        <w:t>（二）结果应用情况</w:t>
      </w:r>
    </w:p>
    <w:p w14:paraId="1311ED83">
      <w:pPr>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绩效目标填报执行了《四川省省级财政专项资金绩效分配管理暂行办法》，实施绩效分配。在项目资金管理方面，单位建立和健全项目资金管理制度和管理办法。严格资金的使用和划拨流程，确保资金使用安全、公平、合理。项目资金做到了专款专用，及时支付。资金的支付均通过对公账户，直接支付到供应商,切实保障了资金使用的准确性和安全性。在绩效目标评价方面，根据县财政局要求，我会成立自评工作小组，组织实施本单位202</w:t>
      </w:r>
      <w:r>
        <w:rPr>
          <w:rFonts w:hint="eastAsia" w:ascii="仿宋" w:hAnsi="仿宋" w:eastAsia="仿宋" w:cs="仿宋"/>
          <w:color w:val="000000"/>
          <w:kern w:val="0"/>
          <w:sz w:val="32"/>
          <w:szCs w:val="32"/>
          <w:lang w:val="en-US" w:eastAsia="zh-CN" w:bidi="ar"/>
        </w:rPr>
        <w:t>3</w:t>
      </w:r>
      <w:r>
        <w:rPr>
          <w:rFonts w:hint="eastAsia" w:ascii="仿宋" w:hAnsi="仿宋" w:eastAsia="仿宋" w:cs="仿宋"/>
          <w:color w:val="000000"/>
          <w:kern w:val="0"/>
          <w:sz w:val="32"/>
          <w:szCs w:val="32"/>
          <w:lang w:bidi="ar"/>
        </w:rPr>
        <w:t>年绩效管理自评工作。信息公开情况。按照财政要求，及时在预决算批复后20日内，在壤塘县人民政府的网站进行了信息公开，公开内容真实、完整。依法接受财政、审计、纪检监察、巡查等部门的监督检查。严守财经法规，严格财经纪律，依法接受财政、审计、巡察、派驻纪检监督，按时上报各类资料。严格遵守中央八项规定及省市县有关厉行勤俭节约相关规定，严格执行财务管理制度，根据年初预算合理安排日常公用经费资金，做到厉行节约、精打细算，把有效的资金用到刀刃上，让财政资金发挥最大的社会及经济效益并保证我单位各项工作的正常运转。</w:t>
      </w:r>
    </w:p>
    <w:p w14:paraId="70DC1FF2">
      <w:pPr>
        <w:widowControl/>
        <w:numPr>
          <w:ilvl w:val="0"/>
          <w:numId w:val="5"/>
        </w:numPr>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评价结论及建议</w:t>
      </w:r>
    </w:p>
    <w:p w14:paraId="63395154">
      <w:pPr>
        <w:widowControl/>
        <w:numPr>
          <w:ilvl w:val="0"/>
          <w:numId w:val="6"/>
        </w:numPr>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评价结论</w:t>
      </w:r>
    </w:p>
    <w:p w14:paraId="472576F0">
      <w:pPr>
        <w:pStyle w:val="20"/>
        <w:ind w:left="0" w:leftChars="0"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val="zh-CN" w:bidi="ar"/>
        </w:rPr>
        <w:t>我</w:t>
      </w:r>
      <w:r>
        <w:rPr>
          <w:rFonts w:hint="eastAsia" w:ascii="仿宋" w:hAnsi="仿宋" w:eastAsia="仿宋" w:cs="仿宋"/>
          <w:color w:val="000000"/>
          <w:kern w:val="0"/>
          <w:sz w:val="32"/>
          <w:szCs w:val="32"/>
          <w:lang w:val="en-US" w:eastAsia="zh-CN" w:bidi="ar"/>
        </w:rPr>
        <w:t>单位</w:t>
      </w:r>
      <w:r>
        <w:rPr>
          <w:rFonts w:hint="eastAsia" w:ascii="仿宋" w:hAnsi="仿宋" w:eastAsia="仿宋" w:cs="仿宋"/>
          <w:color w:val="000000"/>
          <w:kern w:val="0"/>
          <w:sz w:val="32"/>
          <w:szCs w:val="32"/>
          <w:lang w:val="zh-CN" w:bidi="ar"/>
        </w:rPr>
        <w:t>通过加强预算收支管理，不断建立健全内部管理制度，强化内部管理流程，部门整体支出管理情况得到提升，也能较好完成部门决算的编制、送审、批复和公开工作。同时也认识到在编制决算过程中存在项目分类不够精细、功能科目分类不够准确等不足。在下一年度的部门预算编制、执行决算中，我</w:t>
      </w:r>
      <w:r>
        <w:rPr>
          <w:rFonts w:hint="eastAsia" w:ascii="仿宋" w:hAnsi="仿宋" w:eastAsia="仿宋" w:cs="仿宋"/>
          <w:color w:val="000000"/>
          <w:kern w:val="0"/>
          <w:sz w:val="32"/>
          <w:szCs w:val="32"/>
          <w:lang w:bidi="ar"/>
        </w:rPr>
        <w:t>会</w:t>
      </w:r>
      <w:r>
        <w:rPr>
          <w:rFonts w:hint="eastAsia" w:ascii="仿宋" w:hAnsi="仿宋" w:eastAsia="仿宋" w:cs="仿宋"/>
          <w:color w:val="000000"/>
          <w:kern w:val="0"/>
          <w:sz w:val="32"/>
          <w:szCs w:val="32"/>
          <w:lang w:val="zh-CN" w:bidi="ar"/>
        </w:rPr>
        <w:t>将继续努力，科学合理编制预决算，进行绩效评价，加强精细管理，完善不足。</w:t>
      </w:r>
      <w:r>
        <w:rPr>
          <w:rFonts w:hint="eastAsia" w:ascii="仿宋" w:hAnsi="仿宋" w:eastAsia="仿宋" w:cs="仿宋"/>
          <w:color w:val="000000"/>
          <w:kern w:val="0"/>
          <w:sz w:val="32"/>
          <w:szCs w:val="32"/>
          <w:lang w:bidi="ar"/>
        </w:rPr>
        <w:t>根据《壤塘县202</w:t>
      </w:r>
      <w:r>
        <w:rPr>
          <w:rFonts w:hint="eastAsia" w:ascii="仿宋" w:hAnsi="仿宋" w:eastAsia="仿宋" w:cs="仿宋"/>
          <w:color w:val="000000"/>
          <w:kern w:val="0"/>
          <w:sz w:val="32"/>
          <w:szCs w:val="32"/>
          <w:lang w:val="en-US" w:eastAsia="zh-CN" w:bidi="ar"/>
        </w:rPr>
        <w:t>3</w:t>
      </w:r>
      <w:r>
        <w:rPr>
          <w:rFonts w:hint="eastAsia" w:ascii="仿宋" w:hAnsi="仿宋" w:eastAsia="仿宋" w:cs="仿宋"/>
          <w:color w:val="000000"/>
          <w:kern w:val="0"/>
          <w:sz w:val="32"/>
          <w:szCs w:val="32"/>
          <w:lang w:bidi="ar"/>
        </w:rPr>
        <w:t>年部门整体支出绩效评价指标体系》评分，得分9</w:t>
      </w:r>
      <w:r>
        <w:rPr>
          <w:rFonts w:hint="eastAsia" w:ascii="仿宋" w:hAnsi="仿宋" w:eastAsia="仿宋" w:cs="仿宋"/>
          <w:color w:val="000000"/>
          <w:kern w:val="0"/>
          <w:sz w:val="32"/>
          <w:szCs w:val="32"/>
          <w:lang w:val="en-US" w:eastAsia="zh-CN" w:bidi="ar"/>
        </w:rPr>
        <w:t>9</w:t>
      </w:r>
      <w:r>
        <w:rPr>
          <w:rFonts w:hint="eastAsia" w:ascii="仿宋" w:hAnsi="仿宋" w:eastAsia="仿宋" w:cs="仿宋"/>
          <w:color w:val="000000"/>
          <w:kern w:val="0"/>
          <w:sz w:val="32"/>
          <w:szCs w:val="32"/>
          <w:lang w:bidi="ar"/>
        </w:rPr>
        <w:t>分，绩效评价结果优秀。</w:t>
      </w:r>
    </w:p>
    <w:p w14:paraId="5E6D798A">
      <w:pPr>
        <w:widowControl/>
        <w:numPr>
          <w:ilvl w:val="0"/>
          <w:numId w:val="6"/>
        </w:numPr>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存在问题</w:t>
      </w:r>
    </w:p>
    <w:p w14:paraId="637001C2">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lang w:val="zh-CN" w:bidi="ar"/>
        </w:rPr>
      </w:pPr>
      <w:r>
        <w:rPr>
          <w:rFonts w:hint="eastAsia" w:ascii="仿宋" w:hAnsi="仿宋" w:eastAsia="仿宋" w:cs="仿宋"/>
          <w:color w:val="000000"/>
          <w:kern w:val="0"/>
          <w:sz w:val="32"/>
          <w:szCs w:val="32"/>
          <w:lang w:bidi="ar"/>
        </w:rPr>
        <w:t>1、预算编制前根据年度内单位可预见的工作任务，确定了单位年度预算目标，细化了预算指标，但预算编制的精准性有待进一步提高。</w:t>
      </w:r>
    </w:p>
    <w:p w14:paraId="2F063CEE">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w:t>
      </w:r>
      <w:r>
        <w:rPr>
          <w:rFonts w:hint="eastAsia" w:ascii="仿宋" w:hAnsi="仿宋" w:eastAsia="仿宋" w:cs="仿宋"/>
          <w:color w:val="000000"/>
          <w:kern w:val="0"/>
          <w:sz w:val="32"/>
          <w:szCs w:val="32"/>
          <w:lang w:val="zh-CN" w:bidi="ar"/>
        </w:rPr>
        <w:t>是对部门整体支出预算评价工作不够重视，没有把预算财务分析作为常态化工作。</w:t>
      </w:r>
    </w:p>
    <w:p w14:paraId="16A19CBB">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（三）改进建议</w:t>
      </w:r>
    </w:p>
    <w:p w14:paraId="1CAD4CD5">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1.加强学习，提高思想认识。组织单位财务人员认真学习《预算法》、《项目支出绩效评价》等文件精神及相关法规、制度，提高单位领导对全面预算管理及绩效评价工作的重视程度，增强意识。</w:t>
      </w:r>
    </w:p>
    <w:p w14:paraId="77445BDA">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lang w:bidi="ar"/>
        </w:rPr>
      </w:pPr>
      <w:r>
        <w:rPr>
          <w:rFonts w:hint="eastAsia" w:ascii="仿宋" w:hAnsi="仿宋" w:eastAsia="仿宋" w:cs="仿宋"/>
          <w:color w:val="000000"/>
          <w:kern w:val="0"/>
          <w:sz w:val="32"/>
          <w:szCs w:val="32"/>
          <w:lang w:bidi="ar"/>
        </w:rPr>
        <w:t>2.提高预算编制的可操作性，强化预算执行约束力，尽量减少预算调整。</w:t>
      </w:r>
    </w:p>
    <w:p w14:paraId="33B280C2">
      <w:pPr>
        <w:widowControl/>
        <w:jc w:val="left"/>
        <w:rPr>
          <w:rStyle w:val="29"/>
          <w:rFonts w:ascii="黑体" w:hAnsi="黑体" w:eastAsia="黑体"/>
          <w:b w:val="0"/>
        </w:rPr>
      </w:pPr>
      <w:r>
        <w:drawing>
          <wp:inline distT="0" distB="0" distL="114300" distR="114300">
            <wp:extent cx="5271135" cy="4107180"/>
            <wp:effectExtent l="0" t="0" r="12065" b="762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6"/>
                    <a:stretch>
                      <a:fillRect/>
                    </a:stretch>
                  </pic:blipFill>
                  <pic:spPr>
                    <a:xfrm>
                      <a:off x="0" y="0"/>
                      <a:ext cx="5271135" cy="4107180"/>
                    </a:xfrm>
                    <a:prstGeom prst="rect">
                      <a:avLst/>
                    </a:prstGeom>
                    <a:noFill/>
                    <a:ln>
                      <a:noFill/>
                    </a:ln>
                  </pic:spPr>
                </pic:pic>
              </a:graphicData>
            </a:graphic>
          </wp:inline>
        </w:drawing>
      </w:r>
    </w:p>
    <w:p w14:paraId="2507C474">
      <w:pPr>
        <w:widowControl/>
        <w:jc w:val="left"/>
        <w:rPr>
          <w:rStyle w:val="29"/>
          <w:rFonts w:ascii="黑体" w:hAnsi="黑体" w:eastAsia="黑体"/>
          <w:b w:val="0"/>
        </w:rPr>
      </w:pPr>
      <w:r>
        <w:rPr>
          <w:rStyle w:val="29"/>
          <w:rFonts w:ascii="黑体" w:hAnsi="黑体" w:eastAsia="黑体"/>
          <w:b w:val="0"/>
        </w:rPr>
        <w:br w:type="page"/>
      </w:r>
    </w:p>
    <w:p w14:paraId="1CDF22E1">
      <w:pPr>
        <w:spacing w:line="600" w:lineRule="exact"/>
        <w:jc w:val="center"/>
        <w:outlineLvl w:val="0"/>
        <w:rPr>
          <w:rStyle w:val="29"/>
          <w:rFonts w:ascii="黑体" w:hAnsi="黑体" w:eastAsia="黑体"/>
          <w:b w:val="0"/>
        </w:rPr>
      </w:pPr>
      <w:bookmarkStart w:id="118" w:name="_Toc32233"/>
      <w:bookmarkStart w:id="119" w:name="_Toc15396618"/>
      <w:bookmarkStart w:id="120" w:name="_Toc79163635"/>
      <w:r>
        <w:rPr>
          <w:rFonts w:hint="eastAsia" w:ascii="黑体" w:hAnsi="黑体" w:eastAsia="黑体"/>
          <w:color w:val="000000"/>
          <w:sz w:val="44"/>
          <w:szCs w:val="44"/>
        </w:rPr>
        <w:t>第</w:t>
      </w:r>
      <w:r>
        <w:rPr>
          <w:rStyle w:val="29"/>
          <w:rFonts w:hint="eastAsia" w:ascii="黑体" w:hAnsi="黑体" w:eastAsia="黑体"/>
          <w:b w:val="0"/>
        </w:rPr>
        <w:t>五部分</w:t>
      </w:r>
      <w:r>
        <w:rPr>
          <w:rStyle w:val="29"/>
          <w:rFonts w:ascii="黑体" w:hAnsi="黑体" w:eastAsia="黑体"/>
          <w:b w:val="0"/>
        </w:rPr>
        <w:t xml:space="preserve"> </w:t>
      </w:r>
      <w:r>
        <w:rPr>
          <w:rStyle w:val="29"/>
          <w:rFonts w:hint="eastAsia" w:ascii="黑体" w:hAnsi="黑体" w:eastAsia="黑体"/>
          <w:b w:val="0"/>
        </w:rPr>
        <w:t>附表</w:t>
      </w:r>
      <w:bookmarkEnd w:id="109"/>
      <w:bookmarkEnd w:id="118"/>
      <w:bookmarkEnd w:id="119"/>
      <w:bookmarkEnd w:id="120"/>
    </w:p>
    <w:p w14:paraId="359F39B0">
      <w:pPr>
        <w:pStyle w:val="5"/>
        <w:rPr>
          <w:rFonts w:ascii="仿宋" w:hAnsi="仿宋" w:eastAsia="仿宋"/>
          <w:color w:val="000000"/>
        </w:rPr>
      </w:pPr>
      <w:bookmarkStart w:id="121" w:name="_Toc15396619"/>
      <w:bookmarkStart w:id="122" w:name="_Toc23912"/>
      <w:bookmarkStart w:id="123" w:name="_Toc79163636"/>
      <w:r>
        <w:rPr>
          <w:rFonts w:hint="eastAsia" w:ascii="仿宋" w:hAnsi="仿宋" w:eastAsia="仿宋"/>
          <w:b w:val="0"/>
          <w:color w:val="000000"/>
        </w:rPr>
        <w:t>一、收</w:t>
      </w:r>
      <w:r>
        <w:rPr>
          <w:rStyle w:val="30"/>
          <w:rFonts w:hint="eastAsia" w:ascii="仿宋" w:hAnsi="仿宋" w:eastAsia="仿宋"/>
          <w:b w:val="0"/>
          <w:bCs w:val="0"/>
        </w:rPr>
        <w:t>入支出决算总表</w:t>
      </w:r>
      <w:bookmarkEnd w:id="121"/>
      <w:bookmarkEnd w:id="122"/>
      <w:bookmarkEnd w:id="123"/>
    </w:p>
    <w:p w14:paraId="6922812E">
      <w:pPr>
        <w:pStyle w:val="5"/>
        <w:rPr>
          <w:rFonts w:ascii="仿宋" w:hAnsi="仿宋" w:eastAsia="仿宋"/>
          <w:color w:val="000000"/>
        </w:rPr>
      </w:pPr>
      <w:bookmarkStart w:id="124" w:name="_Toc10372"/>
      <w:bookmarkStart w:id="125" w:name="_Toc79163637"/>
      <w:bookmarkStart w:id="126" w:name="_Toc15396620"/>
      <w:r>
        <w:rPr>
          <w:rFonts w:hint="eastAsia" w:ascii="仿宋" w:hAnsi="仿宋" w:eastAsia="仿宋"/>
          <w:b w:val="0"/>
          <w:color w:val="000000"/>
        </w:rPr>
        <w:t>二、收</w:t>
      </w:r>
      <w:r>
        <w:rPr>
          <w:rStyle w:val="30"/>
          <w:rFonts w:hint="eastAsia" w:ascii="仿宋" w:hAnsi="仿宋" w:eastAsia="仿宋"/>
          <w:b w:val="0"/>
          <w:bCs w:val="0"/>
        </w:rPr>
        <w:t>入决算表</w:t>
      </w:r>
      <w:bookmarkEnd w:id="124"/>
      <w:bookmarkEnd w:id="125"/>
      <w:bookmarkEnd w:id="126"/>
    </w:p>
    <w:p w14:paraId="5BD5534F">
      <w:pPr>
        <w:pStyle w:val="5"/>
        <w:rPr>
          <w:rFonts w:ascii="仿宋" w:hAnsi="仿宋" w:eastAsia="仿宋"/>
          <w:color w:val="000000"/>
        </w:rPr>
      </w:pPr>
      <w:bookmarkStart w:id="127" w:name="_Toc79163638"/>
      <w:bookmarkStart w:id="128" w:name="_Toc22551"/>
      <w:bookmarkStart w:id="129" w:name="_Toc15396621"/>
      <w:r>
        <w:rPr>
          <w:rStyle w:val="30"/>
          <w:rFonts w:hint="eastAsia" w:ascii="仿宋" w:hAnsi="仿宋" w:eastAsia="仿宋"/>
          <w:b w:val="0"/>
          <w:bCs w:val="0"/>
        </w:rPr>
        <w:t>三、</w:t>
      </w:r>
      <w:r>
        <w:rPr>
          <w:rFonts w:hint="eastAsia" w:ascii="仿宋" w:hAnsi="仿宋" w:eastAsia="仿宋"/>
          <w:b w:val="0"/>
          <w:color w:val="000000"/>
        </w:rPr>
        <w:t>支</w:t>
      </w:r>
      <w:r>
        <w:rPr>
          <w:rStyle w:val="30"/>
          <w:rFonts w:hint="eastAsia" w:ascii="仿宋" w:hAnsi="仿宋" w:eastAsia="仿宋"/>
          <w:b w:val="0"/>
          <w:bCs w:val="0"/>
        </w:rPr>
        <w:t>出决算表</w:t>
      </w:r>
      <w:bookmarkEnd w:id="127"/>
      <w:bookmarkEnd w:id="128"/>
      <w:bookmarkEnd w:id="129"/>
    </w:p>
    <w:p w14:paraId="109220CE">
      <w:pPr>
        <w:pStyle w:val="5"/>
        <w:rPr>
          <w:rFonts w:ascii="仿宋" w:hAnsi="仿宋" w:eastAsia="仿宋"/>
          <w:b w:val="0"/>
          <w:color w:val="000000"/>
        </w:rPr>
      </w:pPr>
      <w:bookmarkStart w:id="130" w:name="_Toc28052"/>
      <w:bookmarkStart w:id="131" w:name="_Toc15396622"/>
      <w:bookmarkStart w:id="132" w:name="_Toc79163639"/>
      <w:r>
        <w:rPr>
          <w:rStyle w:val="30"/>
          <w:rFonts w:hint="eastAsia" w:ascii="仿宋" w:hAnsi="仿宋" w:eastAsia="仿宋"/>
          <w:b w:val="0"/>
          <w:bCs w:val="0"/>
        </w:rPr>
        <w:t>四、</w:t>
      </w:r>
      <w:r>
        <w:rPr>
          <w:rFonts w:hint="eastAsia" w:ascii="仿宋" w:hAnsi="仿宋" w:eastAsia="仿宋"/>
          <w:b w:val="0"/>
          <w:color w:val="000000"/>
        </w:rPr>
        <w:t>财</w:t>
      </w:r>
      <w:r>
        <w:rPr>
          <w:rStyle w:val="30"/>
          <w:rFonts w:hint="eastAsia" w:ascii="仿宋" w:hAnsi="仿宋" w:eastAsia="仿宋"/>
          <w:b w:val="0"/>
          <w:bCs w:val="0"/>
        </w:rPr>
        <w:t>政拨款收入支出决算总表</w:t>
      </w:r>
      <w:bookmarkEnd w:id="130"/>
      <w:bookmarkEnd w:id="131"/>
      <w:bookmarkEnd w:id="132"/>
    </w:p>
    <w:p w14:paraId="3322FE55">
      <w:pPr>
        <w:pStyle w:val="5"/>
        <w:rPr>
          <w:rStyle w:val="30"/>
          <w:rFonts w:ascii="仿宋" w:hAnsi="仿宋" w:eastAsia="仿宋"/>
          <w:b w:val="0"/>
          <w:bCs w:val="0"/>
        </w:rPr>
      </w:pPr>
      <w:bookmarkStart w:id="133" w:name="_Toc15396623"/>
      <w:bookmarkStart w:id="134" w:name="_Toc31661"/>
      <w:bookmarkStart w:id="135" w:name="_Toc79163640"/>
      <w:r>
        <w:rPr>
          <w:rStyle w:val="30"/>
          <w:rFonts w:hint="eastAsia" w:ascii="仿宋" w:hAnsi="仿宋" w:eastAsia="仿宋"/>
          <w:b w:val="0"/>
          <w:bCs w:val="0"/>
        </w:rPr>
        <w:t>五、</w:t>
      </w:r>
      <w:r>
        <w:rPr>
          <w:rFonts w:hint="eastAsia" w:ascii="仿宋" w:hAnsi="仿宋" w:eastAsia="仿宋"/>
          <w:b w:val="0"/>
          <w:color w:val="000000"/>
        </w:rPr>
        <w:t>财</w:t>
      </w:r>
      <w:r>
        <w:rPr>
          <w:rStyle w:val="30"/>
          <w:rFonts w:hint="eastAsia" w:ascii="仿宋" w:hAnsi="仿宋" w:eastAsia="仿宋"/>
          <w:b w:val="0"/>
          <w:bCs w:val="0"/>
        </w:rPr>
        <w:t>政拨款支出决算明细表</w:t>
      </w:r>
      <w:bookmarkEnd w:id="133"/>
      <w:bookmarkEnd w:id="134"/>
      <w:bookmarkEnd w:id="135"/>
      <w:bookmarkStart w:id="136" w:name="_Toc15396624"/>
    </w:p>
    <w:p w14:paraId="2D47D92F">
      <w:pPr>
        <w:pStyle w:val="5"/>
        <w:rPr>
          <w:rFonts w:ascii="仿宋" w:hAnsi="仿宋" w:eastAsia="仿宋"/>
          <w:color w:val="000000"/>
        </w:rPr>
      </w:pPr>
      <w:bookmarkStart w:id="137" w:name="_Toc29728"/>
      <w:bookmarkStart w:id="138" w:name="_Toc79163641"/>
      <w:r>
        <w:rPr>
          <w:rStyle w:val="30"/>
          <w:rFonts w:hint="eastAsia" w:ascii="仿宋" w:hAnsi="仿宋" w:eastAsia="仿宋"/>
          <w:b w:val="0"/>
          <w:bCs w:val="0"/>
        </w:rPr>
        <w:t>六、</w:t>
      </w:r>
      <w:r>
        <w:rPr>
          <w:rFonts w:hint="eastAsia" w:ascii="仿宋" w:hAnsi="仿宋" w:eastAsia="仿宋"/>
          <w:b w:val="0"/>
          <w:color w:val="000000"/>
        </w:rPr>
        <w:t>一</w:t>
      </w:r>
      <w:r>
        <w:rPr>
          <w:rStyle w:val="30"/>
          <w:rFonts w:hint="eastAsia" w:ascii="仿宋" w:hAnsi="仿宋" w:eastAsia="仿宋"/>
          <w:b w:val="0"/>
          <w:bCs w:val="0"/>
        </w:rPr>
        <w:t>般公共预算财政拨款支出决算表</w:t>
      </w:r>
      <w:bookmarkEnd w:id="136"/>
      <w:bookmarkEnd w:id="137"/>
      <w:bookmarkEnd w:id="138"/>
    </w:p>
    <w:p w14:paraId="1BE94821">
      <w:pPr>
        <w:pStyle w:val="5"/>
        <w:rPr>
          <w:rFonts w:ascii="仿宋" w:hAnsi="仿宋" w:eastAsia="仿宋"/>
          <w:color w:val="000000"/>
        </w:rPr>
      </w:pPr>
      <w:bookmarkStart w:id="139" w:name="_Toc79163642"/>
      <w:bookmarkStart w:id="140" w:name="_Toc14143"/>
      <w:bookmarkStart w:id="141" w:name="_Toc15396625"/>
      <w:r>
        <w:rPr>
          <w:rStyle w:val="30"/>
          <w:rFonts w:hint="eastAsia" w:ascii="仿宋" w:hAnsi="仿宋" w:eastAsia="仿宋"/>
          <w:b w:val="0"/>
          <w:bCs w:val="0"/>
        </w:rPr>
        <w:t>七、</w:t>
      </w:r>
      <w:r>
        <w:rPr>
          <w:rFonts w:hint="eastAsia" w:ascii="仿宋" w:hAnsi="仿宋" w:eastAsia="仿宋"/>
          <w:b w:val="0"/>
          <w:color w:val="000000"/>
        </w:rPr>
        <w:t>一</w:t>
      </w:r>
      <w:r>
        <w:rPr>
          <w:rStyle w:val="30"/>
          <w:rFonts w:hint="eastAsia" w:ascii="仿宋" w:hAnsi="仿宋" w:eastAsia="仿宋"/>
          <w:b w:val="0"/>
          <w:bCs w:val="0"/>
        </w:rPr>
        <w:t>般公共预算财政拨款支出决算明细表</w:t>
      </w:r>
      <w:bookmarkEnd w:id="139"/>
      <w:bookmarkEnd w:id="140"/>
      <w:bookmarkEnd w:id="141"/>
    </w:p>
    <w:p w14:paraId="684CA196">
      <w:pPr>
        <w:pStyle w:val="5"/>
        <w:rPr>
          <w:rFonts w:ascii="仿宋" w:hAnsi="仿宋" w:eastAsia="仿宋"/>
          <w:color w:val="000000"/>
        </w:rPr>
      </w:pPr>
      <w:bookmarkStart w:id="142" w:name="_Toc79163643"/>
      <w:bookmarkStart w:id="143" w:name="_Toc15396626"/>
      <w:bookmarkStart w:id="144" w:name="_Toc27243"/>
      <w:r>
        <w:rPr>
          <w:rStyle w:val="30"/>
          <w:rFonts w:hint="eastAsia" w:ascii="仿宋" w:hAnsi="仿宋" w:eastAsia="仿宋"/>
          <w:b w:val="0"/>
          <w:bCs w:val="0"/>
        </w:rPr>
        <w:t>八、</w:t>
      </w:r>
      <w:r>
        <w:rPr>
          <w:rFonts w:hint="eastAsia" w:ascii="仿宋" w:hAnsi="仿宋" w:eastAsia="仿宋"/>
          <w:b w:val="0"/>
          <w:color w:val="000000"/>
        </w:rPr>
        <w:t>一</w:t>
      </w:r>
      <w:r>
        <w:rPr>
          <w:rStyle w:val="30"/>
          <w:rFonts w:hint="eastAsia" w:ascii="仿宋" w:hAnsi="仿宋" w:eastAsia="仿宋"/>
          <w:b w:val="0"/>
          <w:bCs w:val="0"/>
        </w:rPr>
        <w:t>般公共预算财政拨款基本支出决算表</w:t>
      </w:r>
      <w:bookmarkEnd w:id="142"/>
      <w:bookmarkEnd w:id="143"/>
      <w:bookmarkEnd w:id="144"/>
    </w:p>
    <w:p w14:paraId="708B231F">
      <w:pPr>
        <w:pStyle w:val="5"/>
        <w:rPr>
          <w:rFonts w:ascii="仿宋" w:hAnsi="仿宋" w:eastAsia="仿宋"/>
          <w:color w:val="000000"/>
        </w:rPr>
      </w:pPr>
      <w:bookmarkStart w:id="145" w:name="_Toc15396627"/>
      <w:bookmarkStart w:id="146" w:name="_Toc5502"/>
      <w:bookmarkStart w:id="147" w:name="_Toc79163644"/>
      <w:r>
        <w:rPr>
          <w:rStyle w:val="30"/>
          <w:rFonts w:hint="eastAsia" w:ascii="仿宋" w:hAnsi="仿宋" w:eastAsia="仿宋"/>
          <w:b w:val="0"/>
          <w:bCs w:val="0"/>
        </w:rPr>
        <w:t>九、</w:t>
      </w:r>
      <w:r>
        <w:rPr>
          <w:rFonts w:hint="eastAsia" w:ascii="仿宋" w:hAnsi="仿宋" w:eastAsia="仿宋"/>
          <w:b w:val="0"/>
          <w:color w:val="000000"/>
        </w:rPr>
        <w:t>一</w:t>
      </w:r>
      <w:r>
        <w:rPr>
          <w:rStyle w:val="30"/>
          <w:rFonts w:hint="eastAsia" w:ascii="仿宋" w:hAnsi="仿宋" w:eastAsia="仿宋"/>
          <w:b w:val="0"/>
          <w:bCs w:val="0"/>
        </w:rPr>
        <w:t>般公共预算财政拨款项目支出决算表</w:t>
      </w:r>
      <w:bookmarkEnd w:id="145"/>
      <w:bookmarkEnd w:id="146"/>
      <w:bookmarkEnd w:id="147"/>
    </w:p>
    <w:p w14:paraId="6876E7CD">
      <w:pPr>
        <w:pStyle w:val="5"/>
        <w:rPr>
          <w:rFonts w:ascii="仿宋" w:hAnsi="仿宋" w:eastAsia="仿宋"/>
          <w:color w:val="000000"/>
        </w:rPr>
      </w:pPr>
      <w:bookmarkStart w:id="148" w:name="_Toc22516"/>
      <w:bookmarkStart w:id="149" w:name="_Toc79163645"/>
      <w:bookmarkStart w:id="150" w:name="_Toc15396628"/>
      <w:r>
        <w:rPr>
          <w:rStyle w:val="30"/>
          <w:rFonts w:hint="eastAsia" w:ascii="仿宋" w:hAnsi="仿宋" w:eastAsia="仿宋"/>
          <w:b w:val="0"/>
          <w:bCs w:val="0"/>
        </w:rPr>
        <w:t>十、</w:t>
      </w:r>
      <w:r>
        <w:rPr>
          <w:rFonts w:hint="eastAsia" w:ascii="仿宋" w:hAnsi="仿宋" w:eastAsia="仿宋"/>
          <w:b w:val="0"/>
          <w:color w:val="000000"/>
        </w:rPr>
        <w:t>一</w:t>
      </w:r>
      <w:r>
        <w:rPr>
          <w:rStyle w:val="30"/>
          <w:rFonts w:hint="eastAsia" w:ascii="仿宋" w:hAnsi="仿宋" w:eastAsia="仿宋"/>
          <w:b w:val="0"/>
          <w:bCs w:val="0"/>
        </w:rPr>
        <w:t>般公共预算财政拨款“三公”经费支出决算表</w:t>
      </w:r>
      <w:bookmarkEnd w:id="148"/>
      <w:bookmarkEnd w:id="149"/>
      <w:bookmarkEnd w:id="150"/>
    </w:p>
    <w:p w14:paraId="29CCC453">
      <w:pPr>
        <w:pStyle w:val="5"/>
        <w:rPr>
          <w:rFonts w:ascii="仿宋" w:hAnsi="仿宋" w:eastAsia="仿宋"/>
          <w:color w:val="000000"/>
        </w:rPr>
      </w:pPr>
      <w:bookmarkStart w:id="151" w:name="_Toc79163646"/>
      <w:bookmarkStart w:id="152" w:name="_Toc15396629"/>
      <w:bookmarkStart w:id="153" w:name="_Toc20787"/>
      <w:r>
        <w:rPr>
          <w:rStyle w:val="30"/>
          <w:rFonts w:hint="eastAsia" w:ascii="仿宋" w:hAnsi="仿宋" w:eastAsia="仿宋"/>
          <w:b w:val="0"/>
          <w:bCs w:val="0"/>
        </w:rPr>
        <w:t>十一、</w:t>
      </w:r>
      <w:r>
        <w:rPr>
          <w:rFonts w:hint="eastAsia" w:ascii="仿宋" w:hAnsi="仿宋" w:eastAsia="仿宋"/>
          <w:b w:val="0"/>
          <w:color w:val="000000"/>
        </w:rPr>
        <w:t>政</w:t>
      </w:r>
      <w:r>
        <w:rPr>
          <w:rStyle w:val="30"/>
          <w:rFonts w:hint="eastAsia" w:ascii="仿宋" w:hAnsi="仿宋" w:eastAsia="仿宋"/>
          <w:b w:val="0"/>
          <w:bCs w:val="0"/>
        </w:rPr>
        <w:t>府性基金预算财政拨款收入支出决算表</w:t>
      </w:r>
      <w:bookmarkEnd w:id="151"/>
      <w:bookmarkEnd w:id="152"/>
      <w:bookmarkEnd w:id="153"/>
    </w:p>
    <w:p w14:paraId="59040F93">
      <w:pPr>
        <w:pStyle w:val="5"/>
        <w:rPr>
          <w:rFonts w:ascii="仿宋" w:hAnsi="仿宋" w:eastAsia="仿宋"/>
          <w:color w:val="000000"/>
        </w:rPr>
      </w:pPr>
      <w:bookmarkStart w:id="154" w:name="_Toc79163647"/>
      <w:bookmarkStart w:id="155" w:name="_Toc15396630"/>
      <w:bookmarkStart w:id="156" w:name="_Toc16510"/>
      <w:r>
        <w:rPr>
          <w:rStyle w:val="30"/>
          <w:rFonts w:hint="eastAsia" w:ascii="仿宋" w:hAnsi="仿宋" w:eastAsia="仿宋"/>
          <w:b w:val="0"/>
          <w:bCs w:val="0"/>
        </w:rPr>
        <w:t>十二、</w:t>
      </w:r>
      <w:r>
        <w:rPr>
          <w:rFonts w:hint="eastAsia" w:ascii="仿宋" w:hAnsi="仿宋" w:eastAsia="仿宋"/>
          <w:b w:val="0"/>
          <w:color w:val="000000"/>
        </w:rPr>
        <w:t>政</w:t>
      </w:r>
      <w:r>
        <w:rPr>
          <w:rStyle w:val="30"/>
          <w:rFonts w:hint="eastAsia" w:ascii="仿宋" w:hAnsi="仿宋" w:eastAsia="仿宋"/>
          <w:b w:val="0"/>
          <w:bCs w:val="0"/>
        </w:rPr>
        <w:t>府性基金预算财政拨款“三公”经费支出决算表</w:t>
      </w:r>
      <w:bookmarkEnd w:id="154"/>
      <w:bookmarkEnd w:id="155"/>
      <w:bookmarkEnd w:id="156"/>
    </w:p>
    <w:p w14:paraId="37EEF0F0">
      <w:pPr>
        <w:pStyle w:val="5"/>
        <w:rPr>
          <w:rStyle w:val="30"/>
          <w:rFonts w:ascii="仿宋" w:hAnsi="仿宋" w:eastAsia="仿宋"/>
          <w:b w:val="0"/>
          <w:bCs w:val="0"/>
        </w:rPr>
      </w:pPr>
      <w:bookmarkStart w:id="157" w:name="_Toc19124"/>
      <w:bookmarkStart w:id="158" w:name="_Toc15396631"/>
      <w:bookmarkStart w:id="159" w:name="_Toc79163648"/>
      <w:r>
        <w:rPr>
          <w:rStyle w:val="30"/>
          <w:rFonts w:hint="eastAsia" w:ascii="仿宋" w:hAnsi="仿宋" w:eastAsia="仿宋"/>
          <w:b w:val="0"/>
          <w:bCs w:val="0"/>
        </w:rPr>
        <w:t>十三、</w:t>
      </w:r>
      <w:r>
        <w:rPr>
          <w:rFonts w:hint="eastAsia" w:ascii="仿宋" w:hAnsi="仿宋" w:eastAsia="仿宋"/>
          <w:b w:val="0"/>
          <w:color w:val="000000"/>
        </w:rPr>
        <w:t>国</w:t>
      </w:r>
      <w:r>
        <w:rPr>
          <w:rStyle w:val="30"/>
          <w:rFonts w:hint="eastAsia" w:ascii="仿宋" w:hAnsi="仿宋" w:eastAsia="仿宋"/>
          <w:b w:val="0"/>
          <w:bCs w:val="0"/>
        </w:rPr>
        <w:t>有资本经营预算财政拨款支出决算表</w:t>
      </w:r>
      <w:bookmarkEnd w:id="157"/>
      <w:bookmarkEnd w:id="158"/>
      <w:bookmarkEnd w:id="159"/>
    </w:p>
    <w:p w14:paraId="6E2D6BBA">
      <w:pPr>
        <w:pStyle w:val="5"/>
        <w:rPr>
          <w:rStyle w:val="30"/>
          <w:rFonts w:ascii="仿宋" w:hAnsi="仿宋" w:eastAsia="仿宋"/>
          <w:b w:val="0"/>
          <w:bCs w:val="0"/>
        </w:rPr>
      </w:pPr>
      <w:bookmarkStart w:id="160" w:name="_Toc10304"/>
      <w:bookmarkStart w:id="161" w:name="_Toc79163649"/>
      <w:r>
        <w:rPr>
          <w:rStyle w:val="30"/>
          <w:rFonts w:hint="eastAsia" w:ascii="仿宋" w:hAnsi="仿宋" w:eastAsia="仿宋"/>
          <w:b w:val="0"/>
          <w:bCs w:val="0"/>
        </w:rPr>
        <w:t>十四、国有资本经营预算财政拨款支出决算表</w:t>
      </w:r>
      <w:bookmarkEnd w:id="160"/>
      <w:bookmarkEnd w:id="161"/>
    </w:p>
    <w:sectPr>
      <w:footerReference r:id="rId5" w:type="firs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
    <w:altName w:val="宋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593B3">
    <w:pPr>
      <w:pStyle w:val="14"/>
      <w:jc w:val="center"/>
    </w:pPr>
    <w:r>
      <w:fldChar w:fldCharType="begin"/>
    </w:r>
    <w:r>
      <w:instrText xml:space="preserve">PAGE   \* MERGEFORMAT</w:instrText>
    </w:r>
    <w:r>
      <w:fldChar w:fldCharType="separate"/>
    </w:r>
    <w:r>
      <w:t>25</w:t>
    </w:r>
    <w:r>
      <w:fldChar w:fldCharType="end"/>
    </w:r>
  </w:p>
  <w:p w14:paraId="0323FA2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8B5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4476C">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06CCE1D5"/>
    <w:multiLevelType w:val="singleLevel"/>
    <w:tmpl w:val="06CCE1D5"/>
    <w:lvl w:ilvl="0" w:tentative="0">
      <w:start w:val="4"/>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2B905EE6"/>
    <w:multiLevelType w:val="singleLevel"/>
    <w:tmpl w:val="2B905EE6"/>
    <w:lvl w:ilvl="0" w:tentative="0">
      <w:start w:val="4"/>
      <w:numFmt w:val="decimal"/>
      <w:suff w:val="nothing"/>
      <w:lvlText w:val="%1、"/>
      <w:lvlJc w:val="left"/>
    </w:lvl>
  </w:abstractNum>
  <w:abstractNum w:abstractNumId="5">
    <w:nsid w:val="43BF398C"/>
    <w:multiLevelType w:val="singleLevel"/>
    <w:tmpl w:val="43BF398C"/>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NlYmU3NGU2NGQ5ZDViNDUxMTZkNjBhMzg5ZjY4NT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2B96468"/>
    <w:rsid w:val="0A2032A3"/>
    <w:rsid w:val="0CC84116"/>
    <w:rsid w:val="10C055FF"/>
    <w:rsid w:val="111D6E87"/>
    <w:rsid w:val="118107EC"/>
    <w:rsid w:val="163C4F8E"/>
    <w:rsid w:val="16BB723D"/>
    <w:rsid w:val="1D155CEE"/>
    <w:rsid w:val="1F8A45CD"/>
    <w:rsid w:val="22437A53"/>
    <w:rsid w:val="240371BF"/>
    <w:rsid w:val="29FD04D3"/>
    <w:rsid w:val="2D004C0F"/>
    <w:rsid w:val="2D0637A8"/>
    <w:rsid w:val="319F7F4E"/>
    <w:rsid w:val="326B7F22"/>
    <w:rsid w:val="335C6514"/>
    <w:rsid w:val="3B015A41"/>
    <w:rsid w:val="4ECE2238"/>
    <w:rsid w:val="588A4517"/>
    <w:rsid w:val="5D1555AB"/>
    <w:rsid w:val="5DC97BCB"/>
    <w:rsid w:val="5F385194"/>
    <w:rsid w:val="61CB62CF"/>
    <w:rsid w:val="670441FA"/>
    <w:rsid w:val="6C4A05C8"/>
    <w:rsid w:val="6E4D34AC"/>
    <w:rsid w:val="72734D90"/>
    <w:rsid w:val="73944A74"/>
    <w:rsid w:val="7F076C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31"/>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qFormat/>
    <w:uiPriority w:val="0"/>
    <w:pPr>
      <w:spacing w:after="120"/>
      <w:ind w:leftChars="200"/>
    </w:pPr>
    <w:rPr>
      <w:rFonts w:ascii="仿宋_GB2312"/>
      <w:szCs w:val="32"/>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index 8"/>
    <w:basedOn w:val="1"/>
    <w:next w:val="1"/>
    <w:unhideWhenUsed/>
    <w:qFormat/>
    <w:uiPriority w:val="99"/>
    <w:pPr>
      <w:ind w:left="2940"/>
    </w:pPr>
  </w:style>
  <w:style w:type="paragraph" w:styleId="9">
    <w:name w:val="Body Text"/>
    <w:basedOn w:val="1"/>
    <w:next w:val="8"/>
    <w:link w:val="38"/>
    <w:qFormat/>
    <w:uiPriority w:val="99"/>
    <w:pPr>
      <w:spacing w:beforeLines="30"/>
    </w:pPr>
    <w:rPr>
      <w:rFonts w:ascii="仿宋_GB2312" w:eastAsia="仿宋_GB2312"/>
      <w:kern w:val="0"/>
      <w:sz w:val="24"/>
      <w:szCs w:val="20"/>
      <w:lang w:val="zh-CN"/>
    </w:rPr>
  </w:style>
  <w:style w:type="paragraph" w:styleId="10">
    <w:name w:val="toc 5"/>
    <w:basedOn w:val="1"/>
    <w:next w:val="1"/>
    <w:unhideWhenUsed/>
    <w:qFormat/>
    <w:uiPriority w:val="39"/>
    <w:pPr>
      <w:ind w:left="840"/>
      <w:jc w:val="left"/>
    </w:pPr>
    <w:rPr>
      <w:rFonts w:asciiTheme="minorHAnsi" w:eastAsiaTheme="minorHAnsi"/>
      <w:sz w:val="18"/>
      <w:szCs w:val="18"/>
    </w:rPr>
  </w:style>
  <w:style w:type="paragraph" w:styleId="11">
    <w:name w:val="toc 3"/>
    <w:basedOn w:val="1"/>
    <w:next w:val="1"/>
    <w:unhideWhenUsed/>
    <w:qFormat/>
    <w:uiPriority w:val="39"/>
    <w:pPr>
      <w:ind w:left="420"/>
      <w:jc w:val="left"/>
    </w:pPr>
    <w:rPr>
      <w:rFonts w:asciiTheme="minorHAnsi" w:eastAsiaTheme="minorHAnsi"/>
      <w:i/>
      <w:iCs/>
      <w:sz w:val="20"/>
      <w:szCs w:val="20"/>
    </w:rPr>
  </w:style>
  <w:style w:type="paragraph" w:styleId="12">
    <w:name w:val="toc 8"/>
    <w:basedOn w:val="1"/>
    <w:next w:val="1"/>
    <w:unhideWhenUsed/>
    <w:qFormat/>
    <w:uiPriority w:val="39"/>
    <w:pPr>
      <w:ind w:left="1470"/>
      <w:jc w:val="left"/>
    </w:pPr>
    <w:rPr>
      <w:rFonts w:asciiTheme="minorHAnsi" w:eastAsiaTheme="minorHAnsi"/>
      <w:sz w:val="18"/>
      <w:szCs w:val="18"/>
    </w:rPr>
  </w:style>
  <w:style w:type="paragraph" w:styleId="13">
    <w:name w:val="Balloon Text"/>
    <w:basedOn w:val="1"/>
    <w:link w:val="33"/>
    <w:semiHidden/>
    <w:unhideWhenUsed/>
    <w:qFormat/>
    <w:uiPriority w:val="99"/>
    <w:rPr>
      <w:sz w:val="18"/>
      <w:szCs w:val="18"/>
    </w:rPr>
  </w:style>
  <w:style w:type="paragraph" w:styleId="14">
    <w:name w:val="footer"/>
    <w:basedOn w:val="1"/>
    <w:link w:val="37"/>
    <w:qFormat/>
    <w:uiPriority w:val="99"/>
    <w:pPr>
      <w:tabs>
        <w:tab w:val="center" w:pos="4153"/>
        <w:tab w:val="right" w:pos="8306"/>
      </w:tabs>
      <w:snapToGrid w:val="0"/>
      <w:jc w:val="left"/>
    </w:pPr>
    <w:rPr>
      <w:rFonts w:ascii="Calibri" w:hAnsi="Calibri"/>
      <w:kern w:val="0"/>
      <w:sz w:val="18"/>
      <w:szCs w:val="20"/>
      <w:lang w:val="zh-CN"/>
    </w:rPr>
  </w:style>
  <w:style w:type="paragraph" w:styleId="15">
    <w:name w:val="header"/>
    <w:basedOn w:val="1"/>
    <w:link w:val="36"/>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footnote text"/>
    <w:basedOn w:val="1"/>
    <w:next w:val="2"/>
    <w:semiHidden/>
    <w:qFormat/>
    <w:uiPriority w:val="0"/>
    <w:pPr>
      <w:snapToGrid w:val="0"/>
      <w:jc w:val="left"/>
    </w:pPr>
    <w:rPr>
      <w:sz w:val="18"/>
      <w:szCs w:val="18"/>
    </w:rPr>
  </w:style>
  <w:style w:type="paragraph" w:styleId="19">
    <w:name w:val="toc 6"/>
    <w:basedOn w:val="1"/>
    <w:next w:val="1"/>
    <w:unhideWhenUsed/>
    <w:qFormat/>
    <w:uiPriority w:val="39"/>
    <w:pPr>
      <w:ind w:left="1050"/>
      <w:jc w:val="left"/>
    </w:pPr>
    <w:rPr>
      <w:rFonts w:asciiTheme="minorHAnsi" w:eastAsiaTheme="minorHAnsi"/>
      <w:sz w:val="18"/>
      <w:szCs w:val="18"/>
    </w:rPr>
  </w:style>
  <w:style w:type="paragraph" w:styleId="20">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21">
    <w:name w:val="toc 2"/>
    <w:basedOn w:val="1"/>
    <w:next w:val="1"/>
    <w:unhideWhenUsed/>
    <w:qFormat/>
    <w:uiPriority w:val="39"/>
    <w:pPr>
      <w:ind w:left="210"/>
      <w:jc w:val="left"/>
    </w:pPr>
    <w:rPr>
      <w:rFonts w:asciiTheme="minorHAnsi" w:eastAsiaTheme="minorHAnsi"/>
      <w:smallCaps/>
      <w:sz w:val="20"/>
      <w:szCs w:val="20"/>
    </w:rPr>
  </w:style>
  <w:style w:type="paragraph" w:styleId="22">
    <w:name w:val="toc 9"/>
    <w:basedOn w:val="1"/>
    <w:next w:val="1"/>
    <w:unhideWhenUsed/>
    <w:qFormat/>
    <w:uiPriority w:val="39"/>
    <w:pPr>
      <w:ind w:left="1680"/>
      <w:jc w:val="left"/>
    </w:pPr>
    <w:rPr>
      <w:rFonts w:asciiTheme="minorHAnsi" w:eastAsiaTheme="minorHAnsi"/>
      <w:sz w:val="18"/>
      <w:szCs w:val="18"/>
    </w:rPr>
  </w:style>
  <w:style w:type="paragraph" w:styleId="23">
    <w:name w:val="Normal (Web)"/>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0"/>
      <w:position w:val="0"/>
      <w:sz w:val="24"/>
      <w:szCs w:val="21"/>
      <w:u w:val="none" w:color="auto"/>
      <w:vertAlign w:val="baseline"/>
      <w:lang w:val="en-US" w:eastAsia="zh-CN" w:bidi="ar-SA"/>
    </w:rPr>
  </w:style>
  <w:style w:type="character" w:styleId="26">
    <w:name w:val="Strong"/>
    <w:basedOn w:val="25"/>
    <w:qFormat/>
    <w:uiPriority w:val="99"/>
    <w:rPr>
      <w:rFonts w:cs="Times New Roman"/>
      <w:b/>
    </w:rPr>
  </w:style>
  <w:style w:type="character" w:styleId="27">
    <w:name w:val="Hyperlink"/>
    <w:basedOn w:val="25"/>
    <w:unhideWhenUsed/>
    <w:qFormat/>
    <w:uiPriority w:val="99"/>
    <w:rPr>
      <w:rFonts w:cs="Times New Roman"/>
      <w:color w:val="0000FF"/>
      <w:u w:val="single"/>
    </w:rPr>
  </w:style>
  <w:style w:type="paragraph" w:customStyle="1" w:styleId="28">
    <w:name w:val="列出段落1"/>
    <w:basedOn w:val="1"/>
    <w:qFormat/>
    <w:uiPriority w:val="34"/>
    <w:pPr>
      <w:ind w:firstLine="420" w:firstLineChars="200"/>
    </w:pPr>
    <w:rPr>
      <w:rFonts w:ascii="Calibri" w:hAnsi="Calibri" w:eastAsia="宋体" w:cs="Times New Roman"/>
    </w:rPr>
  </w:style>
  <w:style w:type="character" w:customStyle="1" w:styleId="29">
    <w:name w:val="标题 1 Char"/>
    <w:basedOn w:val="25"/>
    <w:link w:val="4"/>
    <w:qFormat/>
    <w:locked/>
    <w:uiPriority w:val="9"/>
    <w:rPr>
      <w:rFonts w:ascii="Times New Roman" w:hAnsi="Times New Roman" w:cs="Times New Roman"/>
      <w:b/>
      <w:bCs/>
      <w:kern w:val="44"/>
      <w:sz w:val="44"/>
      <w:szCs w:val="44"/>
    </w:rPr>
  </w:style>
  <w:style w:type="character" w:customStyle="1" w:styleId="30">
    <w:name w:val="标题 2 Char"/>
    <w:basedOn w:val="25"/>
    <w:link w:val="5"/>
    <w:qFormat/>
    <w:locked/>
    <w:uiPriority w:val="9"/>
    <w:rPr>
      <w:rFonts w:ascii="Cambria" w:hAnsi="Cambria" w:eastAsia="宋体" w:cs="Times New Roman"/>
      <w:b/>
      <w:bCs/>
      <w:kern w:val="2"/>
      <w:sz w:val="32"/>
      <w:szCs w:val="32"/>
    </w:rPr>
  </w:style>
  <w:style w:type="character" w:customStyle="1" w:styleId="31">
    <w:name w:val="标题 3 Char"/>
    <w:basedOn w:val="25"/>
    <w:link w:val="6"/>
    <w:qFormat/>
    <w:locked/>
    <w:uiPriority w:val="9"/>
    <w:rPr>
      <w:rFonts w:ascii="Times New Roman" w:hAnsi="Times New Roman" w:cs="Times New Roman"/>
      <w:b/>
      <w:bCs/>
      <w:kern w:val="2"/>
      <w:sz w:val="32"/>
      <w:szCs w:val="32"/>
    </w:rPr>
  </w:style>
  <w:style w:type="character" w:customStyle="1" w:styleId="32">
    <w:name w:val="Body Text Char"/>
    <w:basedOn w:val="25"/>
    <w:semiHidden/>
    <w:qFormat/>
    <w:uiPriority w:val="99"/>
    <w:rPr>
      <w:rFonts w:ascii="Times New Roman" w:hAnsi="Times New Roman" w:cs="Times New Roman"/>
      <w:sz w:val="24"/>
      <w:szCs w:val="24"/>
    </w:rPr>
  </w:style>
  <w:style w:type="character" w:customStyle="1" w:styleId="33">
    <w:name w:val="批注框文本 Char"/>
    <w:basedOn w:val="25"/>
    <w:link w:val="13"/>
    <w:semiHidden/>
    <w:qFormat/>
    <w:locked/>
    <w:uiPriority w:val="99"/>
    <w:rPr>
      <w:rFonts w:ascii="Times New Roman" w:hAnsi="Times New Roman" w:cs="Times New Roman"/>
      <w:kern w:val="2"/>
      <w:sz w:val="18"/>
      <w:szCs w:val="18"/>
    </w:rPr>
  </w:style>
  <w:style w:type="character" w:customStyle="1" w:styleId="34">
    <w:name w:val="Footer Char"/>
    <w:basedOn w:val="25"/>
    <w:semiHidden/>
    <w:qFormat/>
    <w:uiPriority w:val="99"/>
    <w:rPr>
      <w:rFonts w:ascii="Times New Roman" w:hAnsi="Times New Roman" w:cs="Times New Roman"/>
      <w:sz w:val="18"/>
      <w:szCs w:val="18"/>
    </w:rPr>
  </w:style>
  <w:style w:type="character" w:customStyle="1" w:styleId="35">
    <w:name w:val="Header Char"/>
    <w:basedOn w:val="25"/>
    <w:semiHidden/>
    <w:qFormat/>
    <w:uiPriority w:val="99"/>
    <w:rPr>
      <w:rFonts w:ascii="Times New Roman" w:hAnsi="Times New Roman" w:cs="Times New Roman"/>
      <w:sz w:val="18"/>
      <w:szCs w:val="18"/>
    </w:rPr>
  </w:style>
  <w:style w:type="character" w:customStyle="1" w:styleId="36">
    <w:name w:val="页眉 Char"/>
    <w:link w:val="15"/>
    <w:semiHidden/>
    <w:qFormat/>
    <w:locked/>
    <w:uiPriority w:val="99"/>
    <w:rPr>
      <w:sz w:val="18"/>
    </w:rPr>
  </w:style>
  <w:style w:type="character" w:customStyle="1" w:styleId="37">
    <w:name w:val="页脚 Char"/>
    <w:link w:val="14"/>
    <w:qFormat/>
    <w:locked/>
    <w:uiPriority w:val="99"/>
    <w:rPr>
      <w:sz w:val="18"/>
    </w:rPr>
  </w:style>
  <w:style w:type="character" w:customStyle="1" w:styleId="38">
    <w:name w:val="正文文本 Char"/>
    <w:link w:val="9"/>
    <w:qFormat/>
    <w:locked/>
    <w:uiPriority w:val="99"/>
    <w:rPr>
      <w:rFonts w:ascii="仿宋_GB2312" w:hAnsi="Times New Roman" w:eastAsia="仿宋_GB2312"/>
      <w:sz w:val="24"/>
    </w:rPr>
  </w:style>
  <w:style w:type="paragraph" w:customStyle="1" w:styleId="3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40">
    <w:name w:val="列表段落1"/>
    <w:basedOn w:val="1"/>
    <w:qFormat/>
    <w:uiPriority w:val="34"/>
    <w:pPr>
      <w:ind w:firstLine="420" w:firstLineChars="200"/>
    </w:pPr>
  </w:style>
  <w:style w:type="paragraph" w:customStyle="1" w:styleId="41">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3">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png"/><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[决算公开分析图表.xls]Sheet1!$A$3:$B$3</c:f>
              <c:strCache>
                <c:ptCount val="2"/>
                <c:pt idx="0">
                  <c:v>2022年</c:v>
                </c:pt>
                <c:pt idx="1">
                  <c:v>2023年</c:v>
                </c:pt>
              </c:strCache>
            </c:strRef>
          </c:cat>
          <c:val>
            <c:numRef>
              <c:f>[决算公开分析图表.xls]Sheet1!$A$4:$B$4</c:f>
              <c:numCache>
                <c:formatCode>#,##0.00</c:formatCode>
                <c:ptCount val="2"/>
                <c:pt idx="0">
                  <c:v>262.9</c:v>
                </c:pt>
                <c:pt idx="1">
                  <c:v>222.55</c:v>
                </c:pt>
              </c:numCache>
            </c:numRef>
          </c:val>
        </c:ser>
        <c:dLbls>
          <c:showLegendKey val="0"/>
          <c:showVal val="0"/>
          <c:showCatName val="0"/>
          <c:showSerName val="0"/>
          <c:showPercent val="0"/>
          <c:showBubbleSize val="0"/>
        </c:dLbls>
        <c:gapWidth val="219"/>
        <c:overlap val="-27"/>
        <c:axId val="462472636"/>
        <c:axId val="812528997"/>
      </c:barChart>
      <c:catAx>
        <c:axId val="46247263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2528997"/>
        <c:crosses val="autoZero"/>
        <c:auto val="1"/>
        <c:lblAlgn val="ctr"/>
        <c:lblOffset val="100"/>
        <c:noMultiLvlLbl val="0"/>
      </c:catAx>
      <c:valAx>
        <c:axId val="81252899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24726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[决算公开分析图表.xls]Sheet1!$A$24:$B$24</c:f>
              <c:strCache>
                <c:ptCount val="2"/>
                <c:pt idx="0">
                  <c:v>2022年</c:v>
                </c:pt>
                <c:pt idx="1">
                  <c:v>2023年</c:v>
                </c:pt>
              </c:strCache>
            </c:strRef>
          </c:cat>
          <c:val>
            <c:numRef>
              <c:f>[决算公开分析图表.xls]Sheet1!$A$25:$B$25</c:f>
              <c:numCache>
                <c:formatCode>#,##0.00</c:formatCode>
                <c:ptCount val="2"/>
                <c:pt idx="0">
                  <c:v>269.3</c:v>
                </c:pt>
                <c:pt idx="1">
                  <c:v>349.34</c:v>
                </c:pt>
              </c:numCache>
            </c:numRef>
          </c:val>
        </c:ser>
        <c:dLbls>
          <c:showLegendKey val="0"/>
          <c:showVal val="0"/>
          <c:showCatName val="0"/>
          <c:showSerName val="0"/>
          <c:showPercent val="0"/>
          <c:showBubbleSize val="0"/>
        </c:dLbls>
        <c:gapWidth val="219"/>
        <c:overlap val="-27"/>
        <c:axId val="999168921"/>
        <c:axId val="516495566"/>
      </c:barChart>
      <c:catAx>
        <c:axId val="99916892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6495566"/>
        <c:crosses val="autoZero"/>
        <c:auto val="1"/>
        <c:lblAlgn val="ctr"/>
        <c:lblOffset val="100"/>
        <c:noMultiLvlLbl val="0"/>
      </c:catAx>
      <c:valAx>
        <c:axId val="51649556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916892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财政拨款收入</c:v>
                </c:pt>
              </c:strCache>
            </c:strRef>
          </c:cat>
          <c:val>
            <c:numRef>
              <c:f>Sheet1!$B$2</c:f>
              <c:numCache>
                <c:formatCode>General</c:formatCode>
                <c:ptCount val="1"/>
                <c:pt idx="0">
                  <c:v>179.77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Lbls>
            <c:delete val="1"/>
          </c:dLbls>
          <c:cat>
            <c:strRef>
              <c:f>[决算公开分析图表.xls]Sheet1!$C$58:$C$62</c:f>
              <c:strCache>
                <c:ptCount val="5"/>
                <c:pt idx="0">
                  <c:v>基本支出</c:v>
                </c:pt>
                <c:pt idx="1">
                  <c:v>项目支出</c:v>
                </c:pt>
                <c:pt idx="2">
                  <c:v>上缴上级支出</c:v>
                </c:pt>
                <c:pt idx="3">
                  <c:v>经营支出</c:v>
                </c:pt>
                <c:pt idx="4">
                  <c:v>对附属单位补助支出</c:v>
                </c:pt>
              </c:strCache>
            </c:strRef>
          </c:cat>
          <c:val>
            <c:numRef>
              <c:f>[决算公开分析图表.xls]Sheet1!$D$58:$D$62</c:f>
              <c:numCache>
                <c:formatCode>#,##0.00</c:formatCode>
                <c:ptCount val="5"/>
                <c:pt idx="0">
                  <c:v>222.55</c:v>
                </c:pt>
                <c:pt idx="1">
                  <c:v>0</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220883534136546"/>
          <c:y val="0.894951852932594"/>
          <c:w val="0.928328699413037"/>
          <c:h val="0.096002334403268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[决算公开分析图表.xls]Sheet1!$A$83:$B$83</c:f>
              <c:strCache>
                <c:ptCount val="2"/>
                <c:pt idx="0">
                  <c:v>2022年</c:v>
                </c:pt>
                <c:pt idx="1">
                  <c:v>2023年</c:v>
                </c:pt>
              </c:strCache>
            </c:strRef>
          </c:cat>
          <c:val>
            <c:numRef>
              <c:f>[决算公开分析图表.xls]Sheet1!$A$84:$B$84</c:f>
              <c:numCache>
                <c:formatCode>#,##0.00</c:formatCode>
                <c:ptCount val="2"/>
                <c:pt idx="0">
                  <c:v>262.9</c:v>
                </c:pt>
                <c:pt idx="1">
                  <c:v>222.55</c:v>
                </c:pt>
              </c:numCache>
            </c:numRef>
          </c:val>
        </c:ser>
        <c:dLbls>
          <c:showLegendKey val="0"/>
          <c:showVal val="0"/>
          <c:showCatName val="0"/>
          <c:showSerName val="0"/>
          <c:showPercent val="0"/>
          <c:showBubbleSize val="0"/>
        </c:dLbls>
        <c:gapWidth val="219"/>
        <c:overlap val="-27"/>
        <c:axId val="596747768"/>
        <c:axId val="259697986"/>
      </c:barChart>
      <c:catAx>
        <c:axId val="59674776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9697986"/>
        <c:crosses val="autoZero"/>
        <c:auto val="1"/>
        <c:lblAlgn val="ctr"/>
        <c:lblOffset val="100"/>
        <c:noMultiLvlLbl val="0"/>
      </c:catAx>
      <c:valAx>
        <c:axId val="25969798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6747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[决算公开分析图表.xls]Sheet1!$A$100:$B$100</c:f>
              <c:strCache>
                <c:ptCount val="2"/>
                <c:pt idx="0">
                  <c:v>2022年</c:v>
                </c:pt>
                <c:pt idx="1">
                  <c:v>2023年</c:v>
                </c:pt>
              </c:strCache>
            </c:strRef>
          </c:cat>
          <c:val>
            <c:numRef>
              <c:f>[决算公开分析图表.xls]Sheet1!$A$101:$B$101</c:f>
              <c:numCache>
                <c:formatCode>#,##0.00</c:formatCode>
                <c:ptCount val="2"/>
                <c:pt idx="0">
                  <c:v>269.3</c:v>
                </c:pt>
                <c:pt idx="1">
                  <c:v>222.55</c:v>
                </c:pt>
              </c:numCache>
            </c:numRef>
          </c:val>
        </c:ser>
        <c:dLbls>
          <c:showLegendKey val="0"/>
          <c:showVal val="0"/>
          <c:showCatName val="0"/>
          <c:showSerName val="0"/>
          <c:showPercent val="0"/>
          <c:showBubbleSize val="0"/>
        </c:dLbls>
        <c:gapWidth val="219"/>
        <c:overlap val="-27"/>
        <c:axId val="686168744"/>
        <c:axId val="681193638"/>
      </c:barChart>
      <c:catAx>
        <c:axId val="68616874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1193638"/>
        <c:crosses val="autoZero"/>
        <c:auto val="1"/>
        <c:lblAlgn val="ctr"/>
        <c:lblOffset val="100"/>
        <c:noMultiLvlLbl val="0"/>
      </c:catAx>
      <c:valAx>
        <c:axId val="6811936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6168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
          <c:y val="0.0616061606160616"/>
        </c:manualLayout>
      </c:layout>
      <c:overlay val="0"/>
      <c:spPr>
        <a:noFill/>
        <a:ln>
          <a:noFill/>
        </a:ln>
        <a:effectLst/>
      </c:spPr>
    </c:title>
    <c:autoTitleDeleted val="0"/>
    <c:plotArea>
      <c:layout>
        <c:manualLayout>
          <c:layoutTarget val="inner"/>
          <c:xMode val="edge"/>
          <c:yMode val="edge"/>
          <c:x val="0.058544689334367"/>
          <c:y val="0.255962378233121"/>
          <c:w val="0.915981836305239"/>
          <c:h val="0.581592206919718"/>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[决算公开分析图表.xls]Sheet1!$A$116:$B$116</c:f>
              <c:strCache>
                <c:ptCount val="2"/>
                <c:pt idx="0">
                  <c:v>2022年</c:v>
                </c:pt>
                <c:pt idx="1">
                  <c:v>2023年</c:v>
                </c:pt>
              </c:strCache>
            </c:strRef>
          </c:cat>
          <c:val>
            <c:numRef>
              <c:f>[决算公开分析图表.xls]Sheet1!$A$117:$B$117</c:f>
              <c:numCache>
                <c:formatCode>#,##0.00</c:formatCode>
                <c:ptCount val="2"/>
                <c:pt idx="0">
                  <c:v>269.3</c:v>
                </c:pt>
                <c:pt idx="1">
                  <c:v>222.55</c:v>
                </c:pt>
              </c:numCache>
            </c:numRef>
          </c:val>
        </c:ser>
        <c:dLbls>
          <c:showLegendKey val="0"/>
          <c:showVal val="0"/>
          <c:showCatName val="0"/>
          <c:showSerName val="0"/>
          <c:showPercent val="0"/>
          <c:showBubbleSize val="0"/>
        </c:dLbls>
        <c:gapWidth val="219"/>
        <c:overlap val="-27"/>
        <c:axId val="386678014"/>
        <c:axId val="17953381"/>
      </c:barChart>
      <c:catAx>
        <c:axId val="38667801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953381"/>
        <c:crosses val="autoZero"/>
        <c:auto val="1"/>
        <c:lblAlgn val="ctr"/>
        <c:lblOffset val="100"/>
        <c:noMultiLvlLbl val="0"/>
      </c:catAx>
      <c:valAx>
        <c:axId val="1795338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67801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elete val="1"/>
          </c:dLbls>
          <c:cat>
            <c:strRef>
              <c:f>[决算公开分析图表.xls]Sheet1!$C$140:$C$143</c:f>
              <c:strCache>
                <c:ptCount val="4"/>
                <c:pt idx="0">
                  <c:v>一般公共服务</c:v>
                </c:pt>
                <c:pt idx="1">
                  <c:v>社会保障和就业支出</c:v>
                </c:pt>
                <c:pt idx="2">
                  <c:v>卫生健康支出</c:v>
                </c:pt>
                <c:pt idx="3">
                  <c:v>住房保障支出</c:v>
                </c:pt>
              </c:strCache>
            </c:strRef>
          </c:cat>
          <c:val>
            <c:numRef>
              <c:f>[决算公开分析图表.xls]Sheet1!$D$140:$D$143</c:f>
              <c:numCache>
                <c:formatCode>General</c:formatCode>
                <c:ptCount val="4"/>
                <c:pt idx="0">
                  <c:v>167.25</c:v>
                </c:pt>
                <c:pt idx="1" c:formatCode="#,##0.00">
                  <c:v>28.6</c:v>
                </c:pt>
                <c:pt idx="2" c:formatCode="#,##0.00">
                  <c:v>11.45</c:v>
                </c:pt>
                <c:pt idx="3" c:formatCode="#,##0.00">
                  <c:v>15.24</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delete val="1"/>
          </c:dLbls>
          <c:cat>
            <c:strRef>
              <c:f>[决算公开分析图表.xls]Sheet1!$A$164:$A$166</c:f>
              <c:strCache>
                <c:ptCount val="3"/>
                <c:pt idx="0">
                  <c:v>因公出国（境）费</c:v>
                </c:pt>
                <c:pt idx="1">
                  <c:v>公务接待费</c:v>
                </c:pt>
                <c:pt idx="2">
                  <c:v>公务用车购置及运行维护费</c:v>
                </c:pt>
              </c:strCache>
            </c:strRef>
          </c:cat>
          <c:val>
            <c:numRef>
              <c:f>[决算公开分析图表.xls]Sheet1!$B$164:$B$166</c:f>
              <c:numCache>
                <c:formatCode>General</c:formatCode>
                <c:ptCount val="3"/>
                <c:pt idx="0">
                  <c:v>0</c:v>
                </c:pt>
                <c:pt idx="1">
                  <c:v>0</c:v>
                </c:pt>
                <c:pt idx="2">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329715620277511"/>
          <c:y val="0.894993894993895"/>
          <c:w val="0.928698997114988"/>
          <c:h val="0.077533577533577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0A26A-4F96-4E33-A4F8-80E1B883F3E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7705</Words>
  <Characters>8245</Characters>
  <Lines>74</Lines>
  <Paragraphs>21</Paragraphs>
  <TotalTime>11</TotalTime>
  <ScaleCrop>false</ScaleCrop>
  <LinksUpToDate>false</LinksUpToDate>
  <CharactersWithSpaces>8309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Lenovo</cp:lastModifiedBy>
  <cp:lastPrinted>2021-07-29T03:56:00Z</cp:lastPrinted>
  <dcterms:modified xsi:type="dcterms:W3CDTF">2024-10-23T02:09:55Z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8183EF685DCE403F82BCB21F70CD30A2</vt:lpwstr>
  </property>
</Properties>
</file>