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9FE35">
      <w:pPr>
        <w:spacing w:line="600" w:lineRule="exact"/>
        <w:jc w:val="center"/>
        <w:outlineLvl w:val="0"/>
        <w:rPr>
          <w:rFonts w:ascii="方正小标宋简体" w:hAnsi="宋体" w:eastAsia="方正小标宋简体"/>
          <w:color w:val="000000"/>
          <w:sz w:val="72"/>
          <w:szCs w:val="72"/>
        </w:rPr>
      </w:pPr>
      <w:bookmarkStart w:id="0" w:name="_Toc15306267"/>
    </w:p>
    <w:p w14:paraId="074A3313">
      <w:pPr>
        <w:spacing w:line="600" w:lineRule="exact"/>
        <w:jc w:val="center"/>
        <w:outlineLvl w:val="0"/>
        <w:rPr>
          <w:rFonts w:ascii="方正小标宋简体" w:hAnsi="宋体" w:eastAsia="方正小标宋简体"/>
          <w:color w:val="000000"/>
          <w:sz w:val="72"/>
          <w:szCs w:val="72"/>
        </w:rPr>
      </w:pPr>
    </w:p>
    <w:p w14:paraId="6CEACFC9">
      <w:pPr>
        <w:spacing w:line="600" w:lineRule="exact"/>
        <w:jc w:val="center"/>
        <w:outlineLvl w:val="0"/>
        <w:rPr>
          <w:rFonts w:ascii="方正小标宋简体" w:hAnsi="宋体" w:eastAsia="方正小标宋简体"/>
          <w:color w:val="000000"/>
          <w:sz w:val="72"/>
          <w:szCs w:val="72"/>
        </w:rPr>
      </w:pPr>
    </w:p>
    <w:p w14:paraId="1D34AA72">
      <w:pPr>
        <w:jc w:val="center"/>
        <w:rPr>
          <w:rFonts w:ascii="黑体" w:hAnsi="黑体" w:eastAsia="黑体"/>
          <w:sz w:val="72"/>
          <w:szCs w:val="72"/>
        </w:rPr>
      </w:pPr>
      <w:bookmarkStart w:id="1" w:name="_Toc15377193"/>
      <w:bookmarkStart w:id="2" w:name="_Toc15378441"/>
      <w:bookmarkStart w:id="3" w:name="_Toc15396475"/>
      <w:bookmarkStart w:id="4" w:name="_Toc15377425"/>
      <w:bookmarkStart w:id="5" w:name="_Toc15396597"/>
      <w:r>
        <w:rPr>
          <w:rFonts w:hint="eastAsia" w:ascii="黑体" w:hAnsi="黑体" w:eastAsia="黑体"/>
          <w:sz w:val="72"/>
          <w:szCs w:val="72"/>
          <w:lang w:eastAsia="zh-CN"/>
        </w:rPr>
        <w:t>2023</w:t>
      </w:r>
      <w:r>
        <w:rPr>
          <w:rFonts w:hint="eastAsia" w:ascii="黑体" w:hAnsi="黑体" w:eastAsia="黑体"/>
          <w:sz w:val="72"/>
          <w:szCs w:val="72"/>
        </w:rPr>
        <w:t>年度</w:t>
      </w:r>
      <w:bookmarkEnd w:id="1"/>
      <w:bookmarkEnd w:id="2"/>
      <w:bookmarkEnd w:id="3"/>
      <w:bookmarkEnd w:id="4"/>
      <w:bookmarkEnd w:id="5"/>
    </w:p>
    <w:p w14:paraId="4CD4551A">
      <w:pPr>
        <w:jc w:val="center"/>
        <w:rPr>
          <w:rFonts w:ascii="方正小标宋简体" w:eastAsia="方正小标宋简体"/>
          <w:sz w:val="72"/>
          <w:szCs w:val="72"/>
        </w:rPr>
      </w:pPr>
      <w:bookmarkStart w:id="6" w:name="_Toc15377426"/>
      <w:bookmarkStart w:id="7" w:name="_Toc15396476"/>
      <w:bookmarkStart w:id="8" w:name="_Toc15396598"/>
      <w:bookmarkStart w:id="9" w:name="_Toc15377194"/>
      <w:bookmarkStart w:id="10" w:name="_Toc15378442"/>
      <w:r>
        <w:rPr>
          <w:rFonts w:hint="eastAsia" w:ascii="方正小标宋简体" w:eastAsia="方正小标宋简体"/>
          <w:sz w:val="72"/>
          <w:szCs w:val="72"/>
        </w:rPr>
        <w:t>阿坝州壤塘县</w:t>
      </w:r>
      <w:bookmarkEnd w:id="0"/>
      <w:bookmarkStart w:id="11" w:name="_Toc15306268"/>
      <w:r>
        <w:rPr>
          <w:rFonts w:hint="eastAsia" w:ascii="方正小标宋简体" w:eastAsia="方正小标宋简体"/>
          <w:sz w:val="72"/>
          <w:szCs w:val="72"/>
          <w:lang w:val="en-US" w:eastAsia="zh-CN"/>
        </w:rPr>
        <w:t>信访工作局</w:t>
      </w:r>
      <w:r>
        <w:rPr>
          <w:rFonts w:hint="eastAsia" w:ascii="方正小标宋简体" w:eastAsia="方正小标宋简体"/>
          <w:sz w:val="72"/>
          <w:szCs w:val="72"/>
        </w:rPr>
        <w:t>部门决算</w:t>
      </w:r>
      <w:bookmarkEnd w:id="6"/>
      <w:bookmarkEnd w:id="7"/>
      <w:bookmarkEnd w:id="8"/>
      <w:bookmarkEnd w:id="9"/>
      <w:bookmarkEnd w:id="10"/>
      <w:bookmarkEnd w:id="11"/>
    </w:p>
    <w:p w14:paraId="5D70F2AE">
      <w:pPr>
        <w:widowControl/>
        <w:jc w:val="center"/>
        <w:rPr>
          <w:rFonts w:ascii="方正小标宋简体" w:hAnsi="宋体" w:eastAsia="方正小标宋简体"/>
          <w:color w:val="000000"/>
          <w:sz w:val="36"/>
          <w:szCs w:val="36"/>
        </w:rPr>
      </w:pPr>
    </w:p>
    <w:p w14:paraId="087FB4A9">
      <w:pPr>
        <w:rPr>
          <w:rFonts w:ascii="方正小标宋简体" w:hAnsi="宋体" w:eastAsia="方正小标宋简体"/>
          <w:sz w:val="36"/>
          <w:szCs w:val="36"/>
        </w:rPr>
      </w:pPr>
    </w:p>
    <w:p w14:paraId="042ADD9E">
      <w:pPr>
        <w:rPr>
          <w:rFonts w:ascii="方正小标宋简体" w:hAnsi="宋体" w:eastAsia="方正小标宋简体"/>
          <w:sz w:val="36"/>
          <w:szCs w:val="36"/>
        </w:rPr>
      </w:pPr>
    </w:p>
    <w:p w14:paraId="2A8CCA39">
      <w:pPr>
        <w:rPr>
          <w:rFonts w:ascii="方正小标宋简体" w:hAnsi="宋体" w:eastAsia="方正小标宋简体"/>
          <w:sz w:val="36"/>
          <w:szCs w:val="36"/>
        </w:rPr>
      </w:pPr>
    </w:p>
    <w:p w14:paraId="6FAA97BC">
      <w:pPr>
        <w:rPr>
          <w:rFonts w:ascii="方正小标宋简体" w:hAnsi="宋体" w:eastAsia="方正小标宋简体"/>
          <w:sz w:val="36"/>
          <w:szCs w:val="36"/>
        </w:rPr>
      </w:pPr>
    </w:p>
    <w:p w14:paraId="137A190E">
      <w:pPr>
        <w:rPr>
          <w:rFonts w:ascii="方正小标宋简体" w:hAnsi="宋体" w:eastAsia="方正小标宋简体"/>
          <w:sz w:val="36"/>
          <w:szCs w:val="36"/>
        </w:rPr>
      </w:pPr>
    </w:p>
    <w:p w14:paraId="52E42C12">
      <w:pPr>
        <w:pStyle w:val="9"/>
        <w:rPr>
          <w:rFonts w:ascii="方正小标宋简体" w:hAnsi="宋体" w:eastAsia="方正小标宋简体"/>
          <w:sz w:val="36"/>
          <w:szCs w:val="36"/>
        </w:rPr>
      </w:pPr>
    </w:p>
    <w:p w14:paraId="3F9F5A4C">
      <w:pPr>
        <w:pStyle w:val="8"/>
        <w:rPr>
          <w:rFonts w:ascii="方正小标宋简体" w:hAnsi="宋体" w:eastAsia="方正小标宋简体"/>
          <w:sz w:val="36"/>
          <w:szCs w:val="36"/>
        </w:rPr>
      </w:pPr>
    </w:p>
    <w:p w14:paraId="5D57A782">
      <w:pPr>
        <w:rPr>
          <w:rFonts w:ascii="方正小标宋简体" w:hAnsi="宋体" w:eastAsia="方正小标宋简体"/>
          <w:sz w:val="36"/>
          <w:szCs w:val="36"/>
        </w:rPr>
      </w:pPr>
    </w:p>
    <w:p w14:paraId="3A57B2B1">
      <w:pPr>
        <w:pStyle w:val="9"/>
        <w:rPr>
          <w:rFonts w:ascii="方正小标宋简体" w:hAnsi="宋体" w:eastAsia="方正小标宋简体"/>
          <w:sz w:val="36"/>
          <w:szCs w:val="36"/>
        </w:rPr>
      </w:pPr>
    </w:p>
    <w:p w14:paraId="4192CFC3">
      <w:pPr>
        <w:pStyle w:val="8"/>
        <w:rPr>
          <w:rFonts w:ascii="方正小标宋简体" w:hAnsi="宋体" w:eastAsia="方正小标宋简体"/>
          <w:sz w:val="36"/>
          <w:szCs w:val="36"/>
        </w:rPr>
      </w:pPr>
    </w:p>
    <w:p w14:paraId="6EEAA7A8">
      <w:pPr>
        <w:rPr>
          <w:rFonts w:ascii="方正小标宋简体" w:hAnsi="宋体" w:eastAsia="方正小标宋简体"/>
          <w:sz w:val="36"/>
          <w:szCs w:val="36"/>
        </w:rPr>
      </w:pPr>
    </w:p>
    <w:p w14:paraId="1674DAE2">
      <w:pPr>
        <w:pStyle w:val="9"/>
        <w:rPr>
          <w:rFonts w:ascii="方正小标宋简体" w:hAnsi="宋体" w:eastAsia="方正小标宋简体"/>
          <w:sz w:val="36"/>
          <w:szCs w:val="36"/>
        </w:rPr>
      </w:pPr>
    </w:p>
    <w:p w14:paraId="3B574BCF">
      <w:pPr>
        <w:widowControl/>
        <w:suppressAutoHyphens/>
        <w:bidi w:val="0"/>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9A574EB">
      <w:pPr>
        <w:pStyle w:val="9"/>
      </w:pPr>
    </w:p>
    <w:p w14:paraId="37063957">
      <w:pPr>
        <w:pStyle w:val="16"/>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TOC \o \u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仿宋" w:hAnsi="仿宋" w:eastAsia="仿宋"/>
          <w:b w:val="0"/>
          <w:bCs w:val="0"/>
          <w:caps w:val="0"/>
          <w:color w:val="auto"/>
          <w:sz w:val="24"/>
          <w:szCs w:val="28"/>
          <w:highlight w:val="none"/>
          <w:lang w:val="en-US" w:eastAsia="zh-CN"/>
        </w:rPr>
        <w:t>第一部分 部门概况</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_Toc17124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6F90B76">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一、部门职责</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t>1</w:t>
      </w:r>
    </w:p>
    <w:p w14:paraId="03627581">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smallCaps w:val="0"/>
          <w:color w:val="auto"/>
          <w:sz w:val="24"/>
          <w:szCs w:val="24"/>
          <w:highlight w:val="none"/>
          <w:lang w:val="en-US" w:eastAsia="zh-CN"/>
        </w:rPr>
        <w:t>二、机构设置</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_Toc29784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EC8CDF0">
      <w:pPr>
        <w:pStyle w:val="16"/>
        <w:tabs>
          <w:tab w:val="right" w:leader="dot" w:pos="8296"/>
        </w:tabs>
        <w:adjustRightInd w:val="0"/>
        <w:snapToGrid w:val="0"/>
        <w:spacing w:before="0" w:line="440" w:lineRule="exact"/>
        <w:jc w:val="left"/>
        <w:rPr>
          <w:rFonts w:hint="default"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第二部分 2023年度部门决算情况说明</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t>3</w:t>
      </w:r>
    </w:p>
    <w:p w14:paraId="62063566">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一</w:t>
      </w:r>
      <w:r>
        <w:rPr>
          <w:rFonts w:hint="default" w:ascii="Calibri" w:hAnsi="Calibri" w:eastAsia="宋体"/>
          <w:smallCaps w:val="0"/>
          <w:color w:val="auto"/>
          <w:sz w:val="24"/>
          <w:szCs w:val="24"/>
          <w:highlight w:val="none"/>
          <w:lang w:val="en-US" w:eastAsia="zh-CN"/>
        </w:rPr>
        <w:t>、</w:t>
      </w:r>
      <w:r>
        <w:rPr>
          <w:rFonts w:hint="eastAsia" w:ascii="Calibri" w:hAnsi="Calibri" w:eastAsia="宋体"/>
          <w:smallCaps w:val="0"/>
          <w:color w:val="auto"/>
          <w:sz w:val="24"/>
          <w:szCs w:val="24"/>
          <w:highlight w:val="none"/>
          <w:lang w:val="en-US" w:eastAsia="zh-CN"/>
        </w:rPr>
        <w:t>收入支出决算总体情况说明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_Toc12061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3</w:t>
      </w:r>
      <w:r>
        <w:rPr>
          <w:rFonts w:hint="eastAsia" w:ascii="Calibri" w:hAnsi="Calibri" w:eastAsia="宋体"/>
          <w:smallCaps w:val="0"/>
          <w:color w:val="auto"/>
          <w:sz w:val="24"/>
          <w:szCs w:val="24"/>
          <w:highlight w:val="none"/>
          <w:lang w:val="en-US" w:eastAsia="zh-CN"/>
        </w:rPr>
        <w:fldChar w:fldCharType="end"/>
      </w:r>
    </w:p>
    <w:p w14:paraId="46F8F5C4">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default" w:ascii="Calibri" w:hAnsi="Calibri" w:eastAsia="宋体"/>
          <w:smallCaps w:val="0"/>
          <w:color w:val="auto"/>
          <w:sz w:val="24"/>
          <w:szCs w:val="24"/>
          <w:highlight w:val="none"/>
          <w:lang w:val="en-US" w:eastAsia="zh-CN"/>
        </w:rPr>
        <w:t>二、</w:t>
      </w:r>
      <w:r>
        <w:rPr>
          <w:rFonts w:hint="eastAsia" w:ascii="Calibri" w:hAnsi="Calibri" w:eastAsia="宋体"/>
          <w:smallCaps w:val="0"/>
          <w:color w:val="auto"/>
          <w:sz w:val="24"/>
          <w:szCs w:val="24"/>
          <w:highlight w:val="none"/>
          <w:lang w:val="en-US" w:eastAsia="zh-CN"/>
        </w:rPr>
        <w:t>收入决算情况说明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_Toc15938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p>
    <w:p w14:paraId="3534CD94">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default" w:ascii="Calibri" w:hAnsi="Calibri" w:eastAsia="宋体"/>
          <w:smallCaps w:val="0"/>
          <w:color w:val="auto"/>
          <w:sz w:val="24"/>
          <w:szCs w:val="24"/>
          <w:highlight w:val="none"/>
          <w:lang w:val="en-US" w:eastAsia="zh-CN"/>
        </w:rPr>
        <w:t>三、</w:t>
      </w:r>
      <w:r>
        <w:rPr>
          <w:rFonts w:hint="eastAsia" w:ascii="Calibri" w:hAnsi="Calibri" w:eastAsia="宋体"/>
          <w:smallCaps w:val="0"/>
          <w:color w:val="auto"/>
          <w:sz w:val="24"/>
          <w:szCs w:val="24"/>
          <w:highlight w:val="none"/>
          <w:lang w:val="en-US" w:eastAsia="zh-CN"/>
        </w:rPr>
        <w:t>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_Toc30887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p>
    <w:p w14:paraId="09D63BE2">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四、财政拨款收入支出决算总体情况说明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_Toc24427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5</w:t>
      </w:r>
      <w:r>
        <w:rPr>
          <w:rFonts w:hint="eastAsia" w:ascii="Calibri" w:hAnsi="Calibri" w:eastAsia="宋体"/>
          <w:smallCaps w:val="0"/>
          <w:color w:val="auto"/>
          <w:sz w:val="24"/>
          <w:szCs w:val="24"/>
          <w:highlight w:val="none"/>
          <w:lang w:val="en-US" w:eastAsia="zh-CN"/>
        </w:rPr>
        <w:fldChar w:fldCharType="end"/>
      </w:r>
    </w:p>
    <w:p w14:paraId="1D967C4F">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五、一般公共预算财政拨款支出决算情况说明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_Toc16632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5</w:t>
      </w:r>
      <w:r>
        <w:rPr>
          <w:rFonts w:hint="eastAsia" w:ascii="Calibri" w:hAnsi="Calibri" w:eastAsia="宋体"/>
          <w:smallCaps w:val="0"/>
          <w:color w:val="auto"/>
          <w:sz w:val="24"/>
          <w:szCs w:val="24"/>
          <w:highlight w:val="none"/>
          <w:lang w:val="en-US" w:eastAsia="zh-CN"/>
        </w:rPr>
        <w:fldChar w:fldCharType="end"/>
      </w:r>
    </w:p>
    <w:p w14:paraId="07D22507">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六、一般公共预算财政拨款基本支出决算情况说明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_Toc139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8</w:t>
      </w:r>
      <w:r>
        <w:rPr>
          <w:rFonts w:hint="eastAsia" w:ascii="Calibri" w:hAnsi="Calibri" w:eastAsia="宋体"/>
          <w:smallCaps w:val="0"/>
          <w:color w:val="auto"/>
          <w:sz w:val="24"/>
          <w:szCs w:val="24"/>
          <w:highlight w:val="none"/>
          <w:lang w:val="en-US" w:eastAsia="zh-CN"/>
        </w:rPr>
        <w:fldChar w:fldCharType="end"/>
      </w:r>
    </w:p>
    <w:p w14:paraId="3B92E30E">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七、“三公”经费财政拨款支出决算情况说明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_Toc25505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9</w:t>
      </w:r>
      <w:r>
        <w:rPr>
          <w:rFonts w:hint="eastAsia" w:ascii="Calibri" w:hAnsi="Calibri" w:eastAsia="宋体"/>
          <w:smallCaps w:val="0"/>
          <w:color w:val="auto"/>
          <w:sz w:val="24"/>
          <w:szCs w:val="24"/>
          <w:highlight w:val="none"/>
          <w:lang w:val="en-US" w:eastAsia="zh-CN"/>
        </w:rPr>
        <w:fldChar w:fldCharType="end"/>
      </w:r>
    </w:p>
    <w:p w14:paraId="1697F42D">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八、政府性基金预算支出决算情况说明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_Toc8589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10</w:t>
      </w:r>
      <w:r>
        <w:rPr>
          <w:rFonts w:hint="eastAsia" w:ascii="Calibri" w:hAnsi="Calibri" w:eastAsia="宋体"/>
          <w:smallCaps w:val="0"/>
          <w:color w:val="auto"/>
          <w:sz w:val="24"/>
          <w:szCs w:val="24"/>
          <w:highlight w:val="none"/>
          <w:lang w:val="en-US" w:eastAsia="zh-CN"/>
        </w:rPr>
        <w:fldChar w:fldCharType="end"/>
      </w:r>
    </w:p>
    <w:p w14:paraId="4258B62D">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九、国有资本经营预算支出决算情况说明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_Toc12219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10</w:t>
      </w:r>
      <w:r>
        <w:rPr>
          <w:rFonts w:hint="eastAsia" w:ascii="Calibri" w:hAnsi="Calibri" w:eastAsia="宋体"/>
          <w:smallCaps w:val="0"/>
          <w:color w:val="auto"/>
          <w:sz w:val="24"/>
          <w:szCs w:val="24"/>
          <w:highlight w:val="none"/>
          <w:lang w:val="en-US" w:eastAsia="zh-CN"/>
        </w:rPr>
        <w:fldChar w:fldCharType="end"/>
      </w:r>
    </w:p>
    <w:p w14:paraId="1D777A90">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smallCaps w:val="0"/>
          <w:color w:val="auto"/>
          <w:sz w:val="24"/>
          <w:szCs w:val="24"/>
          <w:highlight w:val="none"/>
          <w:lang w:val="en-US" w:eastAsia="zh-CN"/>
        </w:rPr>
        <w:t>十、其他重要事项的情况说明</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_Toc9744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11</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A6CCB55">
      <w:pPr>
        <w:pStyle w:val="16"/>
        <w:tabs>
          <w:tab w:val="right" w:leader="dot" w:pos="8296"/>
        </w:tabs>
        <w:suppressAutoHyphens/>
        <w:bidi w:val="0"/>
        <w:adjustRightInd w:val="0"/>
        <w:snapToGrid w:val="0"/>
        <w:spacing w:before="0" w:after="0" w:line="440" w:lineRule="exact"/>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第三部分 名词解释</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_Toc30986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12</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5DC7274">
      <w:pPr>
        <w:pStyle w:val="16"/>
        <w:tabs>
          <w:tab w:val="right" w:leader="dot" w:pos="8296"/>
        </w:tabs>
        <w:suppressAutoHyphens/>
        <w:bidi w:val="0"/>
        <w:adjustRightInd w:val="0"/>
        <w:snapToGrid w:val="0"/>
        <w:spacing w:before="0" w:after="0" w:line="440" w:lineRule="exact"/>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第四部分 附件</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_Toc919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15</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4111670">
      <w:pPr>
        <w:pStyle w:val="16"/>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第五部分 附表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_Toc32233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C549428">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一、收入支出决算总表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_Toc23912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366C624">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二、收入决算表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_Toc10372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834A677">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三、支出决算表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_Toc22551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4C8912E">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四、财政拨款收入支出决算总表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_Toc28052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DFC2C9C">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五、财政拨款支出决算明细表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_Toc31661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763743D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六、一般公共预算财政拨款支出决算表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_Toc29728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80D9E11">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七、一般公共预算财政拨款支出决算明细表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_Toc14143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0A1BE93E">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八、一般公共预算财政拨款基本支出决算表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_Toc27243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06799F1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九、一般公共预算财政拨款项目支出决算表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_Toc5502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CE66D7C">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十、一般公共预算财政拨款“三公”经费支出决算表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_Toc22516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6EEADBE7">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十一、政府性基金预算财政拨款收入支出决算表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_Toc20787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67DC8DE2">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十二、政府性基金预算财政拨款“三公”经费支出决算表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_Toc16510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35EC2C1">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十三、国有资本经营预算财政拨款支出决算表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_Toc19124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7A5A2BF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十四、国有资本经营预算财政拨款支出决算表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_Toc10304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A9B5A5B">
      <w:pPr>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0FC166BF">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alibri" w:hAnsi="Calibri" w:eastAsia="宋体" w:cs="Times New Roman"/>
          <w:b w:val="0"/>
          <w:bCs w:val="0"/>
          <w:caps w:val="0"/>
          <w:smallCaps w:val="0"/>
          <w:color w:val="auto"/>
          <w:kern w:val="2"/>
          <w:sz w:val="24"/>
          <w:szCs w:val="24"/>
          <w:highlight w:val="none"/>
          <w:lang w:val="en-US" w:eastAsia="zh-CN" w:bidi="ar-SA"/>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77196"/>
      <w:bookmarkStart w:id="13" w:name="_Toc17124"/>
      <w:bookmarkStart w:id="14" w:name="_Toc15396599"/>
      <w:bookmarkStart w:id="15" w:name="_Toc79163601"/>
    </w:p>
    <w:p w14:paraId="5DE541FC">
      <w:pPr>
        <w:pStyle w:val="4"/>
        <w:suppressAutoHyphens/>
        <w:bidi w:val="0"/>
        <w:jc w:val="center"/>
        <w:rPr>
          <w:rFonts w:hint="eastAsia" w:ascii="黑体" w:hAnsi="黑体" w:eastAsia="黑体"/>
          <w:b w:val="0"/>
          <w:color w:val="auto"/>
          <w:highlight w:val="none"/>
        </w:rPr>
      </w:pPr>
      <w:r>
        <w:rPr>
          <w:rFonts w:hint="eastAsia" w:ascii="黑体" w:hAnsi="黑体" w:eastAsia="黑体"/>
          <w:b w:val="0"/>
          <w:color w:val="auto"/>
          <w:highlight w:val="none"/>
        </w:rPr>
        <w:t>第一部分 部门概况</w:t>
      </w:r>
      <w:bookmarkEnd w:id="12"/>
      <w:bookmarkEnd w:id="13"/>
      <w:bookmarkEnd w:id="14"/>
      <w:bookmarkEnd w:id="15"/>
    </w:p>
    <w:p w14:paraId="31491FE4">
      <w:pPr>
        <w:pStyle w:val="5"/>
        <w:rPr>
          <w:rStyle w:val="30"/>
          <w:rFonts w:hint="eastAsia" w:ascii="仿宋" w:hAnsi="仿宋" w:eastAsia="黑体"/>
          <w:b w:val="0"/>
          <w:bCs w:val="0"/>
          <w:color w:val="auto"/>
          <w:highlight w:val="none"/>
          <w:lang w:eastAsia="zh-CN"/>
        </w:rPr>
      </w:pPr>
      <w:bookmarkStart w:id="16" w:name="_Toc15396600"/>
      <w:bookmarkStart w:id="17" w:name="_Toc15377197"/>
      <w:bookmarkStart w:id="18" w:name="_Toc29481"/>
      <w:bookmarkStart w:id="19" w:name="_Toc79163603"/>
      <w:bookmarkStart w:id="20" w:name="_Toc15377198"/>
      <w:bookmarkStart w:id="21" w:name="_Toc15378445"/>
      <w:r>
        <w:rPr>
          <w:rFonts w:hint="eastAsia" w:ascii="黑体" w:hAnsi="黑体" w:eastAsia="黑体"/>
          <w:b w:val="0"/>
          <w:color w:val="auto"/>
          <w:highlight w:val="none"/>
        </w:rPr>
        <w:t>一、</w:t>
      </w:r>
      <w:bookmarkEnd w:id="16"/>
      <w:bookmarkEnd w:id="17"/>
      <w:r>
        <w:rPr>
          <w:rFonts w:hint="eastAsia" w:ascii="黑体" w:hAnsi="黑体" w:eastAsia="黑体"/>
          <w:b w:val="0"/>
          <w:color w:val="auto"/>
          <w:highlight w:val="none"/>
          <w:lang w:eastAsia="zh-CN"/>
        </w:rPr>
        <w:t>部门职责</w:t>
      </w:r>
    </w:p>
    <w:p w14:paraId="4D0B45FE">
      <w:pPr>
        <w:pStyle w:val="9"/>
        <w:pageBreakBefore w:val="0"/>
        <w:kinsoku/>
        <w:wordWrap/>
        <w:overflowPunct/>
        <w:topLinePunct w:val="0"/>
        <w:autoSpaceDE/>
        <w:autoSpaceDN/>
        <w:bidi w:val="0"/>
        <w:adjustRightInd w:val="0"/>
        <w:snapToGrid w:val="0"/>
        <w:spacing w:beforeLines="0" w:line="560" w:lineRule="exact"/>
        <w:textAlignment w:val="auto"/>
        <w:outlineLvl w:val="2"/>
        <w:rPr>
          <w:rFonts w:ascii="仿宋" w:hAnsi="仿宋" w:eastAsia="仿宋"/>
          <w:bCs/>
          <w:color w:val="000000"/>
          <w:sz w:val="32"/>
          <w:szCs w:val="32"/>
        </w:rPr>
      </w:pPr>
      <w:r>
        <w:rPr>
          <w:rFonts w:hint="eastAsia" w:ascii="仿宋" w:hAnsi="仿宋" w:eastAsia="仿宋"/>
          <w:bCs/>
          <w:color w:val="000000"/>
          <w:sz w:val="32"/>
          <w:szCs w:val="32"/>
        </w:rPr>
        <w:t>（一）主要职能</w:t>
      </w:r>
      <w:bookmarkEnd w:id="18"/>
      <w:bookmarkEnd w:id="19"/>
    </w:p>
    <w:bookmarkEnd w:id="20"/>
    <w:bookmarkEnd w:id="21"/>
    <w:p w14:paraId="1FD8845D">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bCs/>
          <w:color w:val="000000"/>
          <w:kern w:val="0"/>
          <w:sz w:val="32"/>
          <w:szCs w:val="32"/>
          <w:lang w:val="zh-CN" w:eastAsia="zh-CN" w:bidi="ar-SA"/>
        </w:rPr>
      </w:pPr>
      <w:bookmarkStart w:id="22" w:name="_Toc79163604"/>
      <w:bookmarkStart w:id="23" w:name="_Toc15377199"/>
      <w:bookmarkStart w:id="24" w:name="_Toc15378446"/>
      <w:r>
        <w:rPr>
          <w:rFonts w:hint="eastAsia" w:ascii="仿宋" w:hAnsi="仿宋" w:eastAsia="仿宋" w:cs="Times New Roman"/>
          <w:bCs/>
          <w:color w:val="000000"/>
          <w:kern w:val="0"/>
          <w:sz w:val="32"/>
          <w:szCs w:val="32"/>
          <w:lang w:val="en-US" w:eastAsia="zh-CN" w:bidi="ar-SA"/>
        </w:rPr>
        <w:t>1.</w:t>
      </w:r>
      <w:r>
        <w:rPr>
          <w:rFonts w:hint="eastAsia" w:ascii="仿宋" w:hAnsi="仿宋" w:eastAsia="仿宋" w:cs="Times New Roman"/>
          <w:bCs/>
          <w:color w:val="000000"/>
          <w:kern w:val="0"/>
          <w:sz w:val="32"/>
          <w:szCs w:val="32"/>
          <w:lang w:val="zh-CN" w:eastAsia="zh-CN" w:bidi="ar-SA"/>
        </w:rPr>
        <w:t>履行政治领导责任，做好理论武装和思想政治工作，负责学习、宣传、贯彻执行党的理论和路线方针政策，贯彻落实党中央、省委、州委、县委的决策部署，发挥好把方向、管大局、保落实的重要作用。</w:t>
      </w:r>
    </w:p>
    <w:p w14:paraId="0E15CCD2">
      <w:pPr>
        <w:widowControl/>
        <w:adjustRightInd w:val="0"/>
        <w:snapToGrid w:val="0"/>
        <w:spacing w:line="560" w:lineRule="exact"/>
        <w:ind w:firstLine="640" w:firstLineChars="200"/>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2.</w:t>
      </w:r>
      <w:r>
        <w:rPr>
          <w:rFonts w:hint="eastAsia" w:ascii="仿宋" w:hAnsi="仿宋" w:eastAsia="仿宋" w:cs="Times New Roman"/>
          <w:bCs/>
          <w:color w:val="000000"/>
          <w:kern w:val="0"/>
          <w:sz w:val="32"/>
          <w:szCs w:val="32"/>
          <w:lang w:val="zh-CN" w:eastAsia="zh-CN" w:bidi="ar-SA"/>
        </w:rPr>
        <w:t>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1069410E">
      <w:pPr>
        <w:widowControl/>
        <w:adjustRightInd w:val="0"/>
        <w:snapToGrid w:val="0"/>
        <w:spacing w:line="560" w:lineRule="exact"/>
        <w:ind w:firstLine="640" w:firstLineChars="200"/>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3.</w:t>
      </w:r>
      <w:r>
        <w:rPr>
          <w:rFonts w:hint="eastAsia" w:ascii="仿宋" w:hAnsi="仿宋" w:eastAsia="仿宋" w:cs="Times New Roman"/>
          <w:bCs/>
          <w:color w:val="000000"/>
          <w:kern w:val="0"/>
          <w:sz w:val="32"/>
          <w:szCs w:val="32"/>
          <w:lang w:val="zh-CN" w:eastAsia="zh-CN" w:bidi="ar-SA"/>
        </w:rPr>
        <w:t>贯彻党管干部原则，加强干部队伍建设，完善干部培养选拔机制，加强干部教育管理监督。贯彻党管人才原则，加强人才队伍建设。加强对本单位工会、共青团、妇联等群团工作的领导。</w:t>
      </w:r>
    </w:p>
    <w:p w14:paraId="37D14CC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4.</w:t>
      </w:r>
      <w:r>
        <w:rPr>
          <w:rFonts w:hint="eastAsia" w:ascii="仿宋" w:hAnsi="仿宋" w:eastAsia="仿宋" w:cs="Times New Roman"/>
          <w:bCs/>
          <w:color w:val="000000"/>
          <w:kern w:val="0"/>
          <w:sz w:val="32"/>
          <w:szCs w:val="32"/>
          <w:lang w:val="zh-CN" w:eastAsia="zh-CN" w:bidi="ar-SA"/>
        </w:rPr>
        <w:t>履行党要管党、从严治党责任，加强对本单位党的建设的领导，落实党建工作责任制。认真履行党风廉政建设主体责任，支持纪检监察机构履行监督责任。</w:t>
      </w:r>
    </w:p>
    <w:bookmarkEnd w:id="22"/>
    <w:bookmarkEnd w:id="23"/>
    <w:bookmarkEnd w:id="24"/>
    <w:p w14:paraId="249E340B">
      <w:pPr>
        <w:pStyle w:val="5"/>
        <w:keepNext/>
        <w:keepLines/>
        <w:pageBreakBefore w:val="0"/>
        <w:widowControl w:val="0"/>
        <w:kinsoku/>
        <w:wordWrap/>
        <w:overflowPunct/>
        <w:topLinePunct w:val="0"/>
        <w:autoSpaceDE/>
        <w:autoSpaceDN/>
        <w:bidi w:val="0"/>
        <w:adjustRightInd/>
        <w:snapToGrid/>
        <w:spacing w:before="0" w:after="0" w:line="560" w:lineRule="exact"/>
        <w:textAlignment w:val="auto"/>
        <w:rPr>
          <w:rStyle w:val="30"/>
          <w:b w:val="0"/>
          <w:bCs w:val="0"/>
        </w:rPr>
      </w:pPr>
      <w:bookmarkStart w:id="25" w:name="_Toc79163605"/>
      <w:bookmarkStart w:id="26" w:name="_Toc15396601"/>
      <w:bookmarkStart w:id="27" w:name="_Toc29784"/>
      <w:bookmarkStart w:id="28" w:name="_Toc15377200"/>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5"/>
      <w:bookmarkEnd w:id="26"/>
      <w:bookmarkEnd w:id="27"/>
      <w:bookmarkEnd w:id="28"/>
    </w:p>
    <w:p w14:paraId="6C94D822">
      <w:pPr>
        <w:pStyle w:val="9"/>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rPr>
          <w:rFonts w:ascii="仿宋" w:hAnsi="仿宋" w:eastAsia="仿宋"/>
          <w:color w:val="000000"/>
          <w:sz w:val="32"/>
          <w:szCs w:val="32"/>
        </w:rPr>
      </w:pPr>
      <w:r>
        <w:rPr>
          <w:rFonts w:hint="eastAsia" w:ascii="仿宋" w:hAnsi="仿宋" w:eastAsia="仿宋"/>
          <w:sz w:val="32"/>
          <w:szCs w:val="32"/>
          <w:lang w:val="en-US" w:eastAsia="zh-CN"/>
        </w:rPr>
        <w:t>阿坝州壤塘县信访工作局为下属二级单位，本单位为行政单位。</w:t>
      </w:r>
    </w:p>
    <w:p w14:paraId="452B8F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b w:val="0"/>
          <w:color w:val="000000"/>
          <w:sz w:val="44"/>
          <w:szCs w:val="44"/>
        </w:rPr>
      </w:pPr>
      <w:bookmarkStart w:id="29" w:name="_Toc15377204"/>
      <w:bookmarkStart w:id="30" w:name="_Toc15396602"/>
      <w:bookmarkStart w:id="31" w:name="_Toc79163609"/>
    </w:p>
    <w:p w14:paraId="0BEB3390">
      <w:pPr>
        <w:pStyle w:val="18"/>
        <w:rPr>
          <w:rFonts w:hint="eastAsia" w:ascii="方正小标宋" w:hAnsi="方正小标宋" w:eastAsia="方正小标宋" w:cs="方正小标宋"/>
          <w:b w:val="0"/>
          <w:color w:val="000000"/>
          <w:sz w:val="44"/>
          <w:szCs w:val="44"/>
        </w:rPr>
      </w:pPr>
    </w:p>
    <w:p w14:paraId="29F2A3AB">
      <w:pPr>
        <w:pStyle w:val="2"/>
        <w:rPr>
          <w:rFonts w:hint="eastAsia" w:ascii="方正小标宋" w:hAnsi="方正小标宋" w:eastAsia="方正小标宋" w:cs="方正小标宋"/>
          <w:b w:val="0"/>
          <w:color w:val="000000"/>
          <w:sz w:val="44"/>
          <w:szCs w:val="44"/>
        </w:rPr>
      </w:pPr>
    </w:p>
    <w:p w14:paraId="21786413">
      <w:pPr>
        <w:pStyle w:val="2"/>
        <w:rPr>
          <w:rFonts w:hint="eastAsia" w:ascii="方正小标宋" w:hAnsi="方正小标宋" w:eastAsia="方正小标宋" w:cs="方正小标宋"/>
          <w:b w:val="0"/>
          <w:color w:val="000000"/>
          <w:sz w:val="44"/>
          <w:szCs w:val="44"/>
        </w:rPr>
      </w:pPr>
    </w:p>
    <w:p w14:paraId="0FE96524">
      <w:pPr>
        <w:pStyle w:val="2"/>
        <w:rPr>
          <w:rFonts w:hint="eastAsia" w:ascii="方正小标宋" w:hAnsi="方正小标宋" w:eastAsia="方正小标宋" w:cs="方正小标宋"/>
          <w:b w:val="0"/>
          <w:color w:val="000000"/>
          <w:sz w:val="44"/>
          <w:szCs w:val="44"/>
        </w:rPr>
      </w:pPr>
    </w:p>
    <w:p w14:paraId="7E50AD5B">
      <w:pPr>
        <w:pStyle w:val="2"/>
        <w:rPr>
          <w:rFonts w:hint="eastAsia" w:ascii="方正小标宋" w:hAnsi="方正小标宋" w:eastAsia="方正小标宋" w:cs="方正小标宋"/>
          <w:b w:val="0"/>
          <w:color w:val="000000"/>
          <w:sz w:val="44"/>
          <w:szCs w:val="44"/>
        </w:rPr>
      </w:pPr>
    </w:p>
    <w:p w14:paraId="40E31E3A">
      <w:pPr>
        <w:pStyle w:val="2"/>
        <w:rPr>
          <w:rFonts w:hint="eastAsia" w:ascii="方正小标宋" w:hAnsi="方正小标宋" w:eastAsia="方正小标宋" w:cs="方正小标宋"/>
          <w:b w:val="0"/>
          <w:color w:val="000000"/>
          <w:sz w:val="44"/>
          <w:szCs w:val="44"/>
        </w:rPr>
      </w:pPr>
    </w:p>
    <w:p w14:paraId="674BAA31">
      <w:pPr>
        <w:pStyle w:val="2"/>
        <w:rPr>
          <w:rFonts w:hint="eastAsia" w:ascii="方正小标宋" w:hAnsi="方正小标宋" w:eastAsia="方正小标宋" w:cs="方正小标宋"/>
          <w:b w:val="0"/>
          <w:color w:val="000000"/>
          <w:sz w:val="44"/>
          <w:szCs w:val="44"/>
        </w:rPr>
      </w:pPr>
    </w:p>
    <w:p w14:paraId="543C4C21">
      <w:pPr>
        <w:pStyle w:val="2"/>
        <w:rPr>
          <w:rFonts w:hint="eastAsia" w:ascii="方正小标宋" w:hAnsi="方正小标宋" w:eastAsia="方正小标宋" w:cs="方正小标宋"/>
          <w:b w:val="0"/>
          <w:color w:val="000000"/>
          <w:sz w:val="44"/>
          <w:szCs w:val="44"/>
        </w:rPr>
      </w:pPr>
    </w:p>
    <w:p w14:paraId="79F8FF77">
      <w:pPr>
        <w:pStyle w:val="2"/>
        <w:rPr>
          <w:rFonts w:hint="eastAsia" w:ascii="方正小标宋" w:hAnsi="方正小标宋" w:eastAsia="方正小标宋" w:cs="方正小标宋"/>
          <w:b w:val="0"/>
          <w:color w:val="000000"/>
          <w:sz w:val="44"/>
          <w:szCs w:val="44"/>
        </w:rPr>
      </w:pPr>
    </w:p>
    <w:p w14:paraId="37F9CACA">
      <w:pPr>
        <w:pStyle w:val="2"/>
        <w:rPr>
          <w:rFonts w:hint="eastAsia" w:ascii="方正小标宋" w:hAnsi="方正小标宋" w:eastAsia="方正小标宋" w:cs="方正小标宋"/>
          <w:b w:val="0"/>
          <w:color w:val="000000"/>
          <w:sz w:val="44"/>
          <w:szCs w:val="44"/>
        </w:rPr>
      </w:pPr>
    </w:p>
    <w:p w14:paraId="72A3D3C3">
      <w:pPr>
        <w:pStyle w:val="2"/>
        <w:rPr>
          <w:rFonts w:hint="eastAsia" w:ascii="方正小标宋" w:hAnsi="方正小标宋" w:eastAsia="方正小标宋" w:cs="方正小标宋"/>
          <w:b w:val="0"/>
          <w:color w:val="000000"/>
          <w:sz w:val="44"/>
          <w:szCs w:val="44"/>
        </w:rPr>
      </w:pPr>
    </w:p>
    <w:p w14:paraId="19657986">
      <w:pPr>
        <w:pStyle w:val="2"/>
        <w:rPr>
          <w:rFonts w:hint="eastAsia" w:ascii="方正小标宋" w:hAnsi="方正小标宋" w:eastAsia="方正小标宋" w:cs="方正小标宋"/>
          <w:b w:val="0"/>
          <w:color w:val="000000"/>
          <w:sz w:val="44"/>
          <w:szCs w:val="44"/>
        </w:rPr>
      </w:pPr>
    </w:p>
    <w:p w14:paraId="434434B6">
      <w:pPr>
        <w:pStyle w:val="2"/>
        <w:rPr>
          <w:rFonts w:hint="eastAsia" w:ascii="方正小标宋" w:hAnsi="方正小标宋" w:eastAsia="方正小标宋" w:cs="方正小标宋"/>
          <w:b w:val="0"/>
          <w:color w:val="000000"/>
          <w:sz w:val="44"/>
          <w:szCs w:val="44"/>
        </w:rPr>
      </w:pPr>
    </w:p>
    <w:p w14:paraId="56BFCD26">
      <w:pPr>
        <w:widowControl/>
        <w:jc w:val="center"/>
        <w:rPr>
          <w:rFonts w:hint="eastAsia" w:ascii="黑体" w:hAnsi="黑体" w:eastAsia="黑体" w:cs="Times New Roman"/>
          <w:b w:val="0"/>
          <w:bCs/>
          <w:color w:val="auto"/>
          <w:kern w:val="44"/>
          <w:sz w:val="44"/>
          <w:szCs w:val="44"/>
          <w:highlight w:val="none"/>
          <w:lang w:val="en-US" w:eastAsia="zh-CN" w:bidi="ar-SA"/>
        </w:rPr>
      </w:pPr>
      <w:r>
        <w:rPr>
          <w:rFonts w:hint="eastAsia" w:ascii="黑体" w:hAnsi="黑体" w:eastAsia="黑体" w:cs="Times New Roman"/>
          <w:b w:val="0"/>
          <w:bCs/>
          <w:color w:val="auto"/>
          <w:kern w:val="44"/>
          <w:sz w:val="44"/>
          <w:szCs w:val="44"/>
          <w:highlight w:val="none"/>
          <w:lang w:val="en-US" w:eastAsia="zh-CN" w:bidi="ar-SA"/>
        </w:rPr>
        <w:t>第二部分 2023年度部门决算情况说明</w:t>
      </w:r>
      <w:bookmarkEnd w:id="29"/>
      <w:bookmarkEnd w:id="30"/>
      <w:bookmarkEnd w:id="31"/>
    </w:p>
    <w:p w14:paraId="58A2D0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b w:val="0"/>
          <w:color w:val="000000"/>
          <w:sz w:val="44"/>
          <w:szCs w:val="44"/>
        </w:rPr>
      </w:pPr>
    </w:p>
    <w:p w14:paraId="3203DBCE">
      <w:pPr>
        <w:pStyle w:val="40"/>
        <w:numPr>
          <w:ilvl w:val="0"/>
          <w:numId w:val="1"/>
        </w:numPr>
        <w:spacing w:line="600" w:lineRule="exact"/>
        <w:ind w:firstLineChars="0"/>
        <w:outlineLvl w:val="1"/>
        <w:rPr>
          <w:rStyle w:val="30"/>
          <w:rFonts w:ascii="黑体" w:hAnsi="黑体" w:eastAsia="黑体"/>
          <w:b w:val="0"/>
        </w:rPr>
      </w:pPr>
      <w:bookmarkStart w:id="32" w:name="_Toc12061"/>
      <w:bookmarkStart w:id="33" w:name="_Toc79163610"/>
      <w:bookmarkStart w:id="34" w:name="_Toc15396603"/>
      <w:bookmarkStart w:id="35" w:name="_Toc15377205"/>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32"/>
      <w:bookmarkEnd w:id="33"/>
      <w:bookmarkEnd w:id="34"/>
      <w:bookmarkEnd w:id="35"/>
    </w:p>
    <w:p w14:paraId="61C8F73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2023年度收入总计134.53万元，与2022年相比，减少53.00万元，下降28.26%。主要变动原因：本当年基本支出减少，收支减少; 支出总计134.53万元。与2022年相比，减少54.02万元，下降28.65%。主要变动原因:当年基本支出减少，收支减少。</w:t>
      </w:r>
    </w:p>
    <w:p w14:paraId="2F1291C0">
      <w:pPr>
        <w:pStyle w:val="28"/>
        <w:ind w:left="0" w:leftChars="0" w:firstLine="0" w:firstLineChars="0"/>
        <w:jc w:val="center"/>
      </w:pPr>
      <w:r>
        <w:drawing>
          <wp:inline distT="0" distB="0" distL="114300" distR="114300">
            <wp:extent cx="4705350" cy="2576195"/>
            <wp:effectExtent l="4445" t="4445" r="14605" b="10160"/>
            <wp:docPr id="135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drawing>
          <wp:inline distT="0" distB="0" distL="114300" distR="114300">
            <wp:extent cx="4617085" cy="2406015"/>
            <wp:effectExtent l="4445" t="4445" r="13970" b="15240"/>
            <wp:docPr id="134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D14534">
      <w:pPr>
        <w:pStyle w:val="28"/>
        <w:ind w:left="0" w:leftChars="0" w:firstLine="0" w:firstLineChars="0"/>
        <w:jc w:val="center"/>
        <w:rPr>
          <w:rFonts w:hint="eastAsia"/>
          <w:lang w:eastAsia="zh-CN"/>
        </w:rPr>
      </w:pPr>
    </w:p>
    <w:p w14:paraId="4E94E60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3BAD8F89">
      <w:pPr>
        <w:spacing w:line="600" w:lineRule="exact"/>
        <w:ind w:firstLine="640" w:firstLineChars="200"/>
        <w:jc w:val="left"/>
        <w:rPr>
          <w:rFonts w:ascii="仿宋_GB2312" w:eastAsia="仿宋_GB2312"/>
          <w:color w:val="000000"/>
          <w:sz w:val="32"/>
          <w:szCs w:val="32"/>
        </w:rPr>
      </w:pPr>
    </w:p>
    <w:p w14:paraId="0ACF0DF8">
      <w:pPr>
        <w:pStyle w:val="40"/>
        <w:numPr>
          <w:ilvl w:val="0"/>
          <w:numId w:val="1"/>
        </w:numPr>
        <w:spacing w:line="600" w:lineRule="exact"/>
        <w:ind w:firstLineChars="0"/>
        <w:outlineLvl w:val="1"/>
        <w:rPr>
          <w:rStyle w:val="30"/>
          <w:rFonts w:ascii="黑体" w:hAnsi="黑体" w:eastAsia="黑体"/>
          <w:b w:val="0"/>
        </w:rPr>
      </w:pPr>
      <w:bookmarkStart w:id="36" w:name="_Toc15396604"/>
      <w:bookmarkStart w:id="37" w:name="_Toc79163611"/>
      <w:bookmarkStart w:id="38" w:name="_Toc15938"/>
      <w:bookmarkStart w:id="39" w:name="_Toc15377206"/>
      <w:r>
        <w:rPr>
          <w:rFonts w:hint="eastAsia" w:ascii="黑体" w:hAnsi="黑体" w:eastAsia="黑体"/>
          <w:color w:val="000000"/>
          <w:sz w:val="32"/>
          <w:szCs w:val="32"/>
        </w:rPr>
        <w:t>收</w:t>
      </w:r>
      <w:r>
        <w:rPr>
          <w:rStyle w:val="30"/>
          <w:rFonts w:hint="eastAsia" w:ascii="黑体" w:hAnsi="黑体" w:eastAsia="黑体"/>
          <w:b w:val="0"/>
        </w:rPr>
        <w:t>入决算情况说明</w:t>
      </w:r>
      <w:bookmarkEnd w:id="36"/>
      <w:bookmarkEnd w:id="37"/>
      <w:bookmarkEnd w:id="38"/>
      <w:bookmarkEnd w:id="39"/>
    </w:p>
    <w:p w14:paraId="1DEA92D2">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年本年收入合计</w:t>
      </w:r>
      <w:r>
        <w:rPr>
          <w:rFonts w:hint="eastAsia" w:ascii="仿宋" w:hAnsi="仿宋" w:eastAsia="仿宋"/>
          <w:color w:val="000000"/>
          <w:sz w:val="32"/>
          <w:szCs w:val="32"/>
          <w:lang w:eastAsia="zh-CN"/>
        </w:rPr>
        <w:t>134.53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eastAsia="zh-CN"/>
        </w:rPr>
        <w:t>134.53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w:t>
      </w:r>
    </w:p>
    <w:p w14:paraId="59E99E20">
      <w:pPr>
        <w:pStyle w:val="28"/>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119245" cy="2278380"/>
            <wp:effectExtent l="4445" t="4445" r="10160"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34F15B">
      <w:pPr>
        <w:spacing w:line="600" w:lineRule="exact"/>
        <w:ind w:firstLine="1920" w:firstLineChars="6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2CE63568">
      <w:pPr>
        <w:pStyle w:val="40"/>
        <w:numPr>
          <w:ilvl w:val="0"/>
          <w:numId w:val="1"/>
        </w:numPr>
        <w:spacing w:line="600" w:lineRule="exact"/>
        <w:ind w:firstLineChars="0"/>
        <w:outlineLvl w:val="1"/>
        <w:rPr>
          <w:rStyle w:val="30"/>
          <w:rFonts w:ascii="黑体" w:hAnsi="黑体" w:eastAsia="黑体"/>
          <w:b w:val="0"/>
        </w:rPr>
      </w:pPr>
      <w:bookmarkStart w:id="40" w:name="_Toc15396605"/>
      <w:bookmarkStart w:id="41" w:name="_Toc30887"/>
      <w:bookmarkStart w:id="42" w:name="_Toc15377207"/>
      <w:bookmarkStart w:id="43" w:name="_Toc79163612"/>
      <w:r>
        <w:rPr>
          <w:rFonts w:hint="eastAsia" w:ascii="黑体" w:hAnsi="黑体" w:eastAsia="黑体"/>
          <w:color w:val="000000"/>
          <w:sz w:val="32"/>
          <w:szCs w:val="32"/>
        </w:rPr>
        <w:t>支</w:t>
      </w:r>
      <w:r>
        <w:rPr>
          <w:rStyle w:val="30"/>
          <w:rFonts w:hint="eastAsia" w:ascii="黑体" w:hAnsi="黑体" w:eastAsia="黑体"/>
          <w:b w:val="0"/>
        </w:rPr>
        <w:t>出决算情况说明</w:t>
      </w:r>
      <w:bookmarkEnd w:id="40"/>
      <w:bookmarkEnd w:id="41"/>
      <w:bookmarkEnd w:id="42"/>
      <w:bookmarkEnd w:id="43"/>
    </w:p>
    <w:p w14:paraId="71F2E968">
      <w:pPr>
        <w:spacing w:line="600" w:lineRule="exact"/>
        <w:ind w:firstLine="640" w:firstLineChars="200"/>
        <w:rPr>
          <w:rFonts w:hint="default" w:ascii="仿宋" w:hAnsi="仿宋" w:eastAsia="仿宋"/>
          <w:color w:val="000000"/>
          <w:sz w:val="32"/>
          <w:szCs w:val="32"/>
          <w:shd w:val="pct10" w:color="auto" w:fill="FFFFFF"/>
          <w:lang w:val="en-US"/>
        </w:rPr>
      </w:pPr>
      <w:r>
        <w:rPr>
          <w:rFonts w:hint="eastAsia" w:ascii="仿宋_GB2312" w:eastAsia="仿宋_GB2312"/>
          <w:sz w:val="32"/>
          <w:szCs w:val="32"/>
          <w:lang w:eastAsia="zh-CN"/>
        </w:rPr>
        <w:t>2023</w:t>
      </w:r>
      <w:r>
        <w:rPr>
          <w:rFonts w:hint="eastAsia" w:ascii="仿宋_GB2312" w:eastAsia="仿宋_GB2312"/>
          <w:sz w:val="32"/>
          <w:szCs w:val="32"/>
        </w:rPr>
        <w:t>年本年支出合计</w:t>
      </w:r>
      <w:r>
        <w:rPr>
          <w:rFonts w:hint="eastAsia" w:ascii="仿宋_GB2312" w:eastAsia="仿宋_GB2312"/>
          <w:sz w:val="32"/>
          <w:szCs w:val="32"/>
          <w:lang w:eastAsia="zh-CN"/>
        </w:rPr>
        <w:t>134.53</w:t>
      </w:r>
      <w:r>
        <w:rPr>
          <w:rFonts w:hint="eastAsia" w:ascii="仿宋_GB2312" w:eastAsia="仿宋_GB2312"/>
          <w:sz w:val="32"/>
          <w:szCs w:val="32"/>
        </w:rPr>
        <w:t>万元，其中：基本支出</w:t>
      </w:r>
      <w:r>
        <w:rPr>
          <w:rFonts w:hint="eastAsia" w:ascii="仿宋_GB2312" w:eastAsia="仿宋_GB2312"/>
          <w:sz w:val="32"/>
          <w:szCs w:val="32"/>
          <w:lang w:eastAsia="zh-CN"/>
        </w:rPr>
        <w:t>134.53</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val="en-US" w:eastAsia="zh-CN"/>
        </w:rPr>
        <w:t xml:space="preserve"> 。</w:t>
      </w:r>
    </w:p>
    <w:p w14:paraId="6B7AD3EA">
      <w:pPr>
        <w:pStyle w:val="28"/>
        <w:jc w:val="center"/>
        <w:rPr>
          <w:rFonts w:hint="eastAsia" w:ascii="仿宋" w:hAnsi="仿宋" w:eastAsia="仿宋"/>
          <w:color w:val="000000"/>
          <w:sz w:val="32"/>
          <w:szCs w:val="32"/>
          <w:shd w:val="pct10" w:color="auto" w:fill="FFFFFF"/>
          <w:lang w:eastAsia="zh-CN"/>
        </w:rPr>
      </w:pPr>
      <w:r>
        <w:drawing>
          <wp:inline distT="0" distB="0" distL="114300" distR="114300">
            <wp:extent cx="4107180" cy="2176145"/>
            <wp:effectExtent l="4445" t="4445" r="15875" b="1651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C5D83C">
      <w:pPr>
        <w:spacing w:line="600" w:lineRule="exact"/>
        <w:ind w:firstLine="1280" w:firstLineChars="4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41326361">
      <w:pPr>
        <w:pStyle w:val="2"/>
        <w:rPr>
          <w:rFonts w:hint="eastAsia" w:ascii="仿宋" w:hAnsi="仿宋" w:eastAsia="仿宋"/>
          <w:color w:val="000000"/>
          <w:sz w:val="32"/>
          <w:szCs w:val="32"/>
        </w:rPr>
      </w:pPr>
    </w:p>
    <w:p w14:paraId="73FDC02F"/>
    <w:p w14:paraId="04A4BC86">
      <w:pPr>
        <w:spacing w:line="600" w:lineRule="exact"/>
        <w:ind w:firstLine="640" w:firstLineChars="200"/>
        <w:outlineLvl w:val="1"/>
        <w:rPr>
          <w:rStyle w:val="30"/>
          <w:rFonts w:ascii="黑体" w:hAnsi="黑体" w:eastAsia="黑体"/>
          <w:b w:val="0"/>
        </w:rPr>
      </w:pPr>
      <w:bookmarkStart w:id="44" w:name="_Toc15396606"/>
      <w:bookmarkStart w:id="45" w:name="_Toc79163613"/>
      <w:bookmarkStart w:id="46" w:name="_Toc24427"/>
      <w:bookmarkStart w:id="47" w:name="_Toc15377208"/>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44"/>
      <w:bookmarkEnd w:id="45"/>
      <w:bookmarkEnd w:id="46"/>
      <w:bookmarkEnd w:id="47"/>
    </w:p>
    <w:p w14:paraId="31759751">
      <w:pPr>
        <w:pStyle w:val="28"/>
        <w:ind w:left="0" w:leftChars="0" w:firstLine="640" w:firstLineChars="200"/>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2023年度</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s="仿宋"/>
          <w:color w:val="000000"/>
          <w:kern w:val="2"/>
          <w:sz w:val="32"/>
          <w:szCs w:val="32"/>
          <w:lang w:val="en-US" w:eastAsia="zh-CN" w:bidi="ar"/>
        </w:rPr>
        <w:t xml:space="preserve">总计134.53万元，与2022年相比，减少53.00万元，下降28.26%。主要变动原因：本当年基本支出减少，收支减少; </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财政拨款支出</w:t>
      </w:r>
      <w:r>
        <w:rPr>
          <w:rFonts w:hint="eastAsia" w:ascii="仿宋" w:hAnsi="仿宋" w:eastAsia="仿宋" w:cs="仿宋"/>
          <w:color w:val="000000"/>
          <w:kern w:val="2"/>
          <w:sz w:val="32"/>
          <w:szCs w:val="32"/>
          <w:lang w:val="en-US" w:eastAsia="zh-CN" w:bidi="ar"/>
        </w:rPr>
        <w:t>总计134.53万元。与2022年相比，减少54.02万元，下降28.65%。主要变动原因:当年基本支出减少，收支减少。</w:t>
      </w:r>
    </w:p>
    <w:p w14:paraId="743AD6D1">
      <w:pPr>
        <w:pStyle w:val="28"/>
        <w:ind w:left="0" w:leftChars="0" w:firstLine="0" w:firstLineChars="0"/>
        <w:jc w:val="center"/>
        <w:rPr>
          <w:rFonts w:ascii="仿宋" w:hAnsi="仿宋" w:eastAsia="仿宋"/>
          <w:color w:val="000000"/>
          <w:sz w:val="32"/>
          <w:szCs w:val="32"/>
        </w:rPr>
      </w:pPr>
      <w:r>
        <w:drawing>
          <wp:inline distT="0" distB="0" distL="114300" distR="114300">
            <wp:extent cx="4208780" cy="2270760"/>
            <wp:effectExtent l="4445" t="4445" r="15875" b="10795"/>
            <wp:docPr id="134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drawing>
          <wp:inline distT="0" distB="0" distL="114300" distR="114300">
            <wp:extent cx="4340225" cy="2130425"/>
            <wp:effectExtent l="4445" t="4445" r="11430" b="11430"/>
            <wp:docPr id="134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813D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2B8C722B">
      <w:pPr>
        <w:spacing w:line="600" w:lineRule="exact"/>
        <w:ind w:firstLine="640"/>
        <w:rPr>
          <w:rFonts w:ascii="仿宋" w:hAnsi="仿宋" w:eastAsia="仿宋"/>
          <w:b/>
          <w:color w:val="00B050"/>
          <w:sz w:val="32"/>
          <w:szCs w:val="32"/>
        </w:rPr>
      </w:pPr>
    </w:p>
    <w:p w14:paraId="0DBA3D67">
      <w:pPr>
        <w:spacing w:line="600" w:lineRule="exact"/>
        <w:ind w:firstLine="640" w:firstLineChars="200"/>
        <w:outlineLvl w:val="1"/>
        <w:rPr>
          <w:rStyle w:val="30"/>
          <w:rFonts w:ascii="黑体" w:hAnsi="黑体" w:eastAsia="黑体"/>
          <w:b w:val="0"/>
        </w:rPr>
      </w:pPr>
      <w:bookmarkStart w:id="48" w:name="_Toc79163614"/>
      <w:bookmarkStart w:id="49" w:name="_Toc15377209"/>
      <w:bookmarkStart w:id="50" w:name="_Toc15396607"/>
      <w:bookmarkStart w:id="51" w:name="_Toc1663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48"/>
      <w:bookmarkEnd w:id="49"/>
      <w:bookmarkEnd w:id="50"/>
      <w:bookmarkEnd w:id="51"/>
    </w:p>
    <w:p w14:paraId="0052FDA9">
      <w:pPr>
        <w:spacing w:line="600" w:lineRule="exact"/>
        <w:ind w:firstLine="643" w:firstLineChars="200"/>
        <w:outlineLvl w:val="2"/>
        <w:rPr>
          <w:rFonts w:ascii="仿宋" w:hAnsi="仿宋" w:eastAsia="仿宋"/>
          <w:b/>
          <w:color w:val="000000"/>
          <w:sz w:val="32"/>
          <w:szCs w:val="32"/>
        </w:rPr>
      </w:pPr>
      <w:bookmarkStart w:id="52" w:name="_Toc5046"/>
      <w:bookmarkStart w:id="53" w:name="_Toc79163615"/>
      <w:bookmarkStart w:id="54" w:name="_Toc15377210"/>
      <w:r>
        <w:rPr>
          <w:rFonts w:hint="eastAsia" w:ascii="仿宋" w:hAnsi="仿宋" w:eastAsia="仿宋"/>
          <w:b/>
          <w:color w:val="000000"/>
          <w:sz w:val="32"/>
          <w:szCs w:val="32"/>
        </w:rPr>
        <w:t>（一）一般公共预算财政拨款支出决算总体情况</w:t>
      </w:r>
      <w:bookmarkEnd w:id="52"/>
      <w:bookmarkEnd w:id="53"/>
      <w:bookmarkEnd w:id="54"/>
    </w:p>
    <w:p w14:paraId="05F0B75B">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134.53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54.02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28.65</w:t>
      </w:r>
      <w:r>
        <w:rPr>
          <w:rFonts w:ascii="仿宋" w:hAnsi="仿宋" w:eastAsia="仿宋"/>
          <w:color w:val="000000"/>
          <w:sz w:val="32"/>
          <w:szCs w:val="32"/>
        </w:rPr>
        <w:t>%</w:t>
      </w:r>
      <w:r>
        <w:rPr>
          <w:rFonts w:hint="eastAsia" w:ascii="仿宋" w:hAnsi="仿宋" w:eastAsia="仿宋"/>
          <w:color w:val="000000"/>
          <w:sz w:val="32"/>
          <w:szCs w:val="32"/>
        </w:rPr>
        <w:t>。主要</w:t>
      </w:r>
      <w:r>
        <w:rPr>
          <w:rFonts w:hint="eastAsia" w:ascii="仿宋" w:hAnsi="仿宋" w:eastAsia="仿宋"/>
          <w:color w:val="000000"/>
          <w:sz w:val="32"/>
          <w:szCs w:val="32"/>
          <w:lang w:val="en-US" w:eastAsia="zh-CN"/>
        </w:rPr>
        <w:t>变动原因为当年基本支出减少，收支减少。</w:t>
      </w:r>
    </w:p>
    <w:p w14:paraId="4C63C112">
      <w:pPr>
        <w:pStyle w:val="28"/>
        <w:rPr>
          <w:rFonts w:hint="eastAsia" w:ascii="仿宋" w:hAnsi="仿宋" w:eastAsia="仿宋"/>
          <w:color w:val="000000"/>
          <w:sz w:val="32"/>
          <w:szCs w:val="32"/>
          <w:lang w:val="en-US" w:eastAsia="zh-CN"/>
        </w:rPr>
      </w:pPr>
      <w:r>
        <w:drawing>
          <wp:inline distT="0" distB="0" distL="114300" distR="114300">
            <wp:extent cx="4451350" cy="2411095"/>
            <wp:effectExtent l="4445" t="4445" r="14605" b="10160"/>
            <wp:docPr id="135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899DB0">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14:paraId="58E7A380">
      <w:pPr>
        <w:spacing w:line="600" w:lineRule="exact"/>
        <w:ind w:firstLine="643" w:firstLineChars="200"/>
        <w:outlineLvl w:val="2"/>
        <w:rPr>
          <w:rFonts w:ascii="仿宋" w:hAnsi="仿宋" w:eastAsia="仿宋"/>
          <w:b/>
          <w:color w:val="000000"/>
          <w:sz w:val="32"/>
          <w:szCs w:val="32"/>
        </w:rPr>
      </w:pPr>
      <w:bookmarkStart w:id="55" w:name="_Toc79163616"/>
      <w:bookmarkStart w:id="56" w:name="_Toc19073"/>
      <w:bookmarkStart w:id="57" w:name="_Toc15377211"/>
      <w:r>
        <w:rPr>
          <w:rFonts w:hint="eastAsia" w:ascii="仿宋" w:hAnsi="仿宋" w:eastAsia="仿宋"/>
          <w:b/>
          <w:color w:val="000000"/>
          <w:sz w:val="32"/>
          <w:szCs w:val="32"/>
        </w:rPr>
        <w:t>（二）一般公共预算财政拨款支出决算结构情况</w:t>
      </w:r>
      <w:bookmarkEnd w:id="55"/>
      <w:bookmarkEnd w:id="56"/>
      <w:bookmarkEnd w:id="57"/>
    </w:p>
    <w:p w14:paraId="07EA9B65">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134.53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w:t>
      </w:r>
      <w:r>
        <w:rPr>
          <w:rFonts w:hint="eastAsia" w:ascii="仿宋" w:hAnsi="仿宋" w:eastAsia="仿宋"/>
          <w:color w:val="000000"/>
          <w:sz w:val="32"/>
          <w:szCs w:val="32"/>
        </w:rPr>
        <w:t>支出100.64万元，占</w:t>
      </w:r>
      <w:r>
        <w:rPr>
          <w:rFonts w:hint="eastAsia" w:ascii="仿宋" w:hAnsi="仿宋" w:eastAsia="仿宋"/>
          <w:color w:val="000000"/>
          <w:sz w:val="32"/>
          <w:szCs w:val="32"/>
          <w:lang w:val="en-US" w:eastAsia="zh-CN"/>
        </w:rPr>
        <w:t>74.81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支出17.52万元，占</w:t>
      </w:r>
      <w:r>
        <w:rPr>
          <w:rFonts w:hint="eastAsia" w:ascii="仿宋" w:hAnsi="仿宋" w:eastAsia="仿宋"/>
          <w:color w:val="000000"/>
          <w:sz w:val="32"/>
          <w:szCs w:val="32"/>
          <w:lang w:val="en-US" w:eastAsia="zh-CN"/>
        </w:rPr>
        <w:t>13.02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6.98万元，占</w:t>
      </w:r>
      <w:r>
        <w:rPr>
          <w:rFonts w:hint="eastAsia" w:ascii="仿宋" w:hAnsi="仿宋" w:eastAsia="仿宋"/>
          <w:color w:val="000000"/>
          <w:sz w:val="32"/>
          <w:szCs w:val="32"/>
          <w:lang w:val="en-US" w:eastAsia="zh-CN"/>
        </w:rPr>
        <w:t>5.19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住房保障支出</w:t>
      </w:r>
      <w:r>
        <w:rPr>
          <w:rFonts w:hint="eastAsia" w:ascii="仿宋" w:hAnsi="仿宋" w:eastAsia="仿宋"/>
          <w:color w:val="000000"/>
          <w:sz w:val="32"/>
          <w:szCs w:val="32"/>
        </w:rPr>
        <w:t>9.38万元，占</w:t>
      </w:r>
      <w:r>
        <w:rPr>
          <w:rFonts w:hint="eastAsia" w:ascii="仿宋" w:hAnsi="仿宋" w:eastAsia="仿宋"/>
          <w:color w:val="000000"/>
          <w:sz w:val="32"/>
          <w:szCs w:val="32"/>
          <w:lang w:val="en-US" w:eastAsia="zh-CN"/>
        </w:rPr>
        <w:t>6.97</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129DCD13">
      <w:pPr>
        <w:pStyle w:val="28"/>
        <w:rPr>
          <w:rFonts w:hint="eastAsia"/>
          <w:lang w:val="en-US" w:eastAsia="zh-CN"/>
        </w:rPr>
      </w:pPr>
      <w:r>
        <w:drawing>
          <wp:inline distT="0" distB="0" distL="114300" distR="114300">
            <wp:extent cx="4466590" cy="2393950"/>
            <wp:effectExtent l="4445" t="4445" r="12065" b="14605"/>
            <wp:docPr id="135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69EFC8">
      <w:pPr>
        <w:spacing w:line="600" w:lineRule="exact"/>
        <w:ind w:firstLine="640" w:firstLineChars="200"/>
        <w:outlineLvl w:val="2"/>
        <w:rPr>
          <w:rFonts w:hint="eastAsia" w:ascii="仿宋" w:hAnsi="仿宋" w:eastAsia="仿宋"/>
          <w:color w:val="000000"/>
          <w:sz w:val="32"/>
          <w:szCs w:val="32"/>
        </w:rPr>
      </w:pPr>
      <w:bookmarkStart w:id="58" w:name="_Toc6526"/>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bookmarkEnd w:id="58"/>
      <w:bookmarkStart w:id="59" w:name="_Toc15377212"/>
      <w:bookmarkStart w:id="60" w:name="_Toc79163617"/>
    </w:p>
    <w:p w14:paraId="2D233324">
      <w:pPr>
        <w:spacing w:line="600" w:lineRule="exact"/>
        <w:ind w:firstLine="643" w:firstLineChars="200"/>
        <w:outlineLvl w:val="2"/>
        <w:rPr>
          <w:rFonts w:ascii="仿宋" w:hAnsi="仿宋" w:eastAsia="仿宋"/>
          <w:b/>
          <w:color w:val="000000"/>
          <w:sz w:val="32"/>
          <w:szCs w:val="32"/>
        </w:rPr>
      </w:pPr>
      <w:bookmarkStart w:id="61" w:name="_Toc4375"/>
      <w:r>
        <w:rPr>
          <w:rFonts w:hint="eastAsia" w:ascii="仿宋" w:hAnsi="仿宋" w:eastAsia="仿宋"/>
          <w:b/>
          <w:color w:val="000000"/>
          <w:sz w:val="32"/>
          <w:szCs w:val="32"/>
        </w:rPr>
        <w:t>（三）一般公共预算财政拨款支出决算具体情况</w:t>
      </w:r>
      <w:bookmarkEnd w:id="59"/>
      <w:bookmarkEnd w:id="60"/>
      <w:bookmarkEnd w:id="61"/>
    </w:p>
    <w:p w14:paraId="4C3EB632">
      <w:pPr>
        <w:spacing w:line="600" w:lineRule="exact"/>
        <w:ind w:firstLine="643" w:firstLineChars="200"/>
        <w:rPr>
          <w:rFonts w:ascii="仿宋_GB2312" w:eastAsia="仿宋_GB2312"/>
          <w:b/>
          <w:bCs/>
          <w:sz w:val="32"/>
          <w:szCs w:val="32"/>
        </w:rPr>
      </w:pPr>
      <w:bookmarkStart w:id="62" w:name="_Toc15377444"/>
      <w:bookmarkStart w:id="63" w:name="_Toc15377213"/>
      <w:bookmarkStart w:id="64" w:name="_Toc15378460"/>
      <w:r>
        <w:rPr>
          <w:rFonts w:hint="eastAsia" w:ascii="仿宋_GB2312" w:eastAsia="仿宋_GB2312"/>
          <w:b/>
          <w:bCs/>
          <w:sz w:val="32"/>
          <w:szCs w:val="32"/>
          <w:lang w:eastAsia="zh-CN"/>
        </w:rPr>
        <w:t>2023</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eastAsia="zh-CN"/>
        </w:rPr>
        <w:t>134.53</w:t>
      </w:r>
      <w:r>
        <w:rPr>
          <w:rFonts w:hint="eastAsia" w:ascii="仿宋" w:hAnsi="仿宋" w:eastAsia="仿宋"/>
          <w:color w:val="000000"/>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100.00</w:t>
      </w:r>
      <w:r>
        <w:rPr>
          <w:rFonts w:ascii="仿宋_GB2312" w:eastAsia="仿宋_GB2312"/>
          <w:b/>
          <w:bCs/>
          <w:sz w:val="32"/>
          <w:szCs w:val="32"/>
        </w:rPr>
        <w:t>%</w:t>
      </w:r>
      <w:r>
        <w:rPr>
          <w:rFonts w:hint="eastAsia" w:ascii="仿宋_GB2312" w:eastAsia="仿宋_GB2312"/>
          <w:b/>
          <w:bCs/>
          <w:sz w:val="32"/>
          <w:szCs w:val="32"/>
        </w:rPr>
        <w:t>。其中：</w:t>
      </w:r>
      <w:bookmarkEnd w:id="62"/>
      <w:bookmarkEnd w:id="63"/>
      <w:bookmarkEnd w:id="64"/>
    </w:p>
    <w:p w14:paraId="3C0DC949">
      <w:pPr>
        <w:spacing w:line="600" w:lineRule="exact"/>
        <w:ind w:firstLine="643" w:firstLineChars="200"/>
        <w:rPr>
          <w:rFonts w:ascii="仿宋" w:hAnsi="仿宋" w:eastAsia="仿宋"/>
          <w:b/>
          <w:color w:val="000000"/>
          <w:sz w:val="32"/>
          <w:szCs w:val="32"/>
        </w:rPr>
      </w:pPr>
      <w:r>
        <w:rPr>
          <w:rStyle w:val="26"/>
          <w:rFonts w:ascii="仿宋" w:hAnsi="仿宋" w:eastAsia="仿宋"/>
          <w:bCs/>
          <w:color w:val="000000"/>
          <w:sz w:val="32"/>
          <w:szCs w:val="32"/>
        </w:rPr>
        <w:t>1.</w:t>
      </w:r>
      <w:r>
        <w:rPr>
          <w:rStyle w:val="26"/>
          <w:rFonts w:hint="eastAsia" w:ascii="仿宋" w:hAnsi="仿宋" w:eastAsia="仿宋"/>
          <w:bCs/>
          <w:color w:val="000000"/>
          <w:sz w:val="32"/>
          <w:szCs w:val="32"/>
        </w:rPr>
        <w:t>一般公共服务（类）政府办公厅（室）及相关机构事务（款）行政运行（项）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支出决算为100.64万元，完成预算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4D067DA">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2</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社会保障和就业支出（类）行政事业单位养老支出（款）机关事业单位基本养老保险缴费支出（项）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支出决算为12.24万元，完成预算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235885E">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3</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社会保障和就业支出（类）行政事业单位养老支出（款）机关事业单位职业年金缴费支出（项）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支出决算为5.27万元，完成预算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38E9210">
      <w:pPr>
        <w:spacing w:line="600" w:lineRule="exact"/>
        <w:ind w:firstLine="643" w:firstLineChars="200"/>
      </w:pPr>
      <w:r>
        <w:rPr>
          <w:rStyle w:val="26"/>
          <w:rFonts w:hint="eastAsia" w:ascii="仿宋" w:hAnsi="仿宋" w:eastAsia="仿宋"/>
          <w:bCs/>
          <w:color w:val="000000"/>
          <w:sz w:val="32"/>
          <w:szCs w:val="32"/>
          <w:lang w:val="en-US" w:eastAsia="zh-CN"/>
        </w:rPr>
        <w:t>4</w:t>
      </w:r>
      <w:r>
        <w:rPr>
          <w:rStyle w:val="26"/>
          <w:rFonts w:ascii="仿宋" w:hAnsi="仿宋" w:eastAsia="仿宋"/>
          <w:bCs/>
          <w:color w:val="000000"/>
          <w:sz w:val="32"/>
          <w:szCs w:val="32"/>
        </w:rPr>
        <w:t>.</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（类）行政事业单位医疗（款）行政单位医疗（项）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支出决算为5.90万元，完成预算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656ED7FD">
      <w:pPr>
        <w:numPr>
          <w:ilvl w:val="0"/>
          <w:numId w:val="0"/>
        </w:numPr>
        <w:spacing w:line="600" w:lineRule="exact"/>
        <w:ind w:firstLine="643" w:firstLineChars="200"/>
        <w:rPr>
          <w:rStyle w:val="26"/>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5.</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（类）行政事业单位医疗（款）公务员医疗补助（项）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支出决算为1.08万元，完成预算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0769A98">
      <w:pPr>
        <w:numPr>
          <w:ilvl w:val="0"/>
          <w:numId w:val="0"/>
        </w:numPr>
        <w:spacing w:line="600" w:lineRule="exact"/>
        <w:ind w:left="0" w:leftChars="0" w:firstLine="640" w:firstLineChars="200"/>
        <w:rPr>
          <w:rStyle w:val="26"/>
          <w:rFonts w:hint="eastAsia" w:ascii="仿宋" w:hAnsi="仿宋" w:eastAsia="仿宋"/>
          <w:b w:val="0"/>
          <w:bCs/>
          <w:color w:val="000000"/>
          <w:sz w:val="32"/>
          <w:szCs w:val="32"/>
        </w:rPr>
      </w:pPr>
      <w:r>
        <w:rPr>
          <w:rStyle w:val="26"/>
          <w:rFonts w:hint="eastAsia" w:ascii="仿宋" w:hAnsi="仿宋" w:eastAsia="仿宋"/>
          <w:b w:val="0"/>
          <w:bCs/>
          <w:color w:val="000000"/>
          <w:sz w:val="32"/>
          <w:szCs w:val="32"/>
          <w:lang w:val="en-US" w:eastAsia="zh-CN"/>
        </w:rPr>
        <w:t>6.</w:t>
      </w:r>
      <w:r>
        <w:rPr>
          <w:rFonts w:hint="eastAsia" w:ascii="仿宋" w:hAnsi="仿宋" w:eastAsia="仿宋" w:cs="Times New Roman"/>
          <w:b/>
          <w:bCs/>
          <w:color w:val="000000"/>
          <w:kern w:val="2"/>
          <w:sz w:val="32"/>
          <w:szCs w:val="32"/>
          <w:lang w:val="en-US" w:eastAsia="zh-CN" w:bidi="ar-SA"/>
        </w:rPr>
        <w:t>住房保障支出（类）住房改革支出（款）住房公积金（项）：</w:t>
      </w:r>
      <w:r>
        <w:rPr>
          <w:rStyle w:val="26"/>
          <w:rFonts w:hint="eastAsia" w:ascii="仿宋" w:hAnsi="仿宋" w:eastAsia="仿宋"/>
          <w:b w:val="0"/>
          <w:bCs/>
          <w:color w:val="000000"/>
          <w:sz w:val="32"/>
          <w:szCs w:val="32"/>
        </w:rPr>
        <w:t>支出决算为8.14万元，完成预算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8185ED1">
      <w:pPr>
        <w:numPr>
          <w:ilvl w:val="0"/>
          <w:numId w:val="0"/>
        </w:numPr>
        <w:spacing w:line="600" w:lineRule="exact"/>
        <w:ind w:left="0" w:leftChars="0" w:firstLine="640" w:firstLineChars="200"/>
        <w:rPr>
          <w:rStyle w:val="26"/>
          <w:rFonts w:hint="eastAsia" w:ascii="仿宋" w:hAnsi="仿宋" w:eastAsia="仿宋"/>
          <w:b w:val="0"/>
          <w:bCs/>
          <w:color w:val="000000"/>
          <w:sz w:val="32"/>
          <w:szCs w:val="32"/>
        </w:rPr>
      </w:pPr>
      <w:r>
        <w:rPr>
          <w:rStyle w:val="26"/>
          <w:rFonts w:hint="eastAsia" w:ascii="仿宋" w:hAnsi="仿宋" w:eastAsia="仿宋"/>
          <w:b w:val="0"/>
          <w:bCs/>
          <w:color w:val="000000"/>
          <w:sz w:val="32"/>
          <w:szCs w:val="32"/>
          <w:lang w:val="en-US" w:eastAsia="zh-CN"/>
        </w:rPr>
        <w:t>7.</w:t>
      </w:r>
      <w:r>
        <w:rPr>
          <w:rFonts w:hint="eastAsia" w:ascii="仿宋" w:hAnsi="仿宋" w:eastAsia="仿宋" w:cs="Times New Roman"/>
          <w:b/>
          <w:bCs/>
          <w:color w:val="000000"/>
          <w:kern w:val="2"/>
          <w:sz w:val="32"/>
          <w:szCs w:val="32"/>
          <w:lang w:val="en-US" w:eastAsia="zh-CN" w:bidi="ar-SA"/>
        </w:rPr>
        <w:t>住房保障支出（类）住房改革支出（款）购房补贴（项）：</w:t>
      </w:r>
      <w:r>
        <w:rPr>
          <w:rStyle w:val="26"/>
          <w:rFonts w:hint="eastAsia" w:ascii="仿宋" w:hAnsi="仿宋" w:eastAsia="仿宋"/>
          <w:b w:val="0"/>
          <w:bCs/>
          <w:color w:val="000000"/>
          <w:sz w:val="32"/>
          <w:szCs w:val="32"/>
        </w:rPr>
        <w:t>支出决算为1.24万元，完成预算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FD3B9A6">
      <w:pPr>
        <w:pStyle w:val="18"/>
        <w:rPr>
          <w:rFonts w:hint="eastAsia"/>
        </w:rPr>
      </w:pPr>
    </w:p>
    <w:p w14:paraId="28B6782B">
      <w:pPr>
        <w:pStyle w:val="18"/>
        <w:rPr>
          <w:rFonts w:hint="default" w:ascii="仿宋" w:hAnsi="仿宋" w:eastAsia="仿宋" w:cs="Times New Roman"/>
          <w:b/>
          <w:bCs/>
          <w:color w:val="000000"/>
          <w:kern w:val="2"/>
          <w:sz w:val="32"/>
          <w:szCs w:val="32"/>
          <w:lang w:val="en-US" w:eastAsia="zh-CN" w:bidi="ar-SA"/>
        </w:rPr>
      </w:pPr>
    </w:p>
    <w:p w14:paraId="368E8215">
      <w:pPr>
        <w:pStyle w:val="18"/>
        <w:numPr>
          <w:ilvl w:val="0"/>
          <w:numId w:val="0"/>
        </w:numPr>
        <w:rPr>
          <w:rFonts w:hint="default" w:eastAsia="宋体"/>
          <w:lang w:val="en-US" w:eastAsia="zh-CN"/>
        </w:rPr>
      </w:pPr>
      <w:r>
        <w:rPr>
          <w:rFonts w:hint="eastAsia"/>
          <w:lang w:val="en-US" w:eastAsia="zh-CN"/>
        </w:rPr>
        <w:t xml:space="preserve">     </w:t>
      </w:r>
    </w:p>
    <w:p w14:paraId="3C195451">
      <w:pPr>
        <w:tabs>
          <w:tab w:val="right" w:pos="8306"/>
        </w:tabs>
        <w:spacing w:line="600" w:lineRule="exact"/>
        <w:ind w:firstLine="640"/>
        <w:outlineLvl w:val="1"/>
        <w:rPr>
          <w:rStyle w:val="30"/>
        </w:rPr>
      </w:pPr>
      <w:bookmarkStart w:id="65" w:name="_Toc79163618"/>
      <w:bookmarkStart w:id="66" w:name="_Toc139"/>
      <w:bookmarkStart w:id="67" w:name="_Toc15396608"/>
      <w:bookmarkStart w:id="6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65"/>
      <w:bookmarkEnd w:id="66"/>
      <w:bookmarkEnd w:id="67"/>
      <w:bookmarkEnd w:id="68"/>
      <w:r>
        <w:rPr>
          <w:rStyle w:val="30"/>
          <w:rFonts w:ascii="黑体" w:hAnsi="黑体" w:eastAsia="黑体"/>
          <w:b w:val="0"/>
        </w:rPr>
        <w:tab/>
      </w:r>
    </w:p>
    <w:p w14:paraId="3342308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134.53</w:t>
      </w:r>
      <w:r>
        <w:rPr>
          <w:rFonts w:hint="eastAsia" w:ascii="仿宋" w:hAnsi="仿宋" w:eastAsia="仿宋"/>
          <w:color w:val="000000"/>
          <w:sz w:val="32"/>
          <w:szCs w:val="32"/>
        </w:rPr>
        <w:t>万元，其中：</w:t>
      </w:r>
    </w:p>
    <w:p w14:paraId="73F11D1D">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124.94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A828BB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日常公用经费9.59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8FD9AB7">
      <w:pPr>
        <w:spacing w:line="600" w:lineRule="exact"/>
        <w:ind w:firstLine="640"/>
        <w:rPr>
          <w:rFonts w:ascii="仿宋" w:hAnsi="仿宋" w:eastAsia="仿宋"/>
          <w:b/>
          <w:color w:val="FF0000"/>
          <w:sz w:val="32"/>
          <w:szCs w:val="32"/>
        </w:rPr>
      </w:pPr>
    </w:p>
    <w:p w14:paraId="3D902F72">
      <w:pPr>
        <w:pStyle w:val="18"/>
        <w:rPr>
          <w:rFonts w:ascii="仿宋" w:hAnsi="仿宋" w:eastAsia="仿宋"/>
          <w:b/>
          <w:color w:val="FF0000"/>
          <w:sz w:val="32"/>
          <w:szCs w:val="32"/>
        </w:rPr>
      </w:pPr>
    </w:p>
    <w:p w14:paraId="178E3229">
      <w:pPr>
        <w:pStyle w:val="2"/>
        <w:rPr>
          <w:rFonts w:ascii="仿宋" w:hAnsi="仿宋" w:eastAsia="仿宋"/>
          <w:b/>
          <w:color w:val="FF0000"/>
          <w:sz w:val="32"/>
          <w:szCs w:val="32"/>
        </w:rPr>
      </w:pPr>
    </w:p>
    <w:p w14:paraId="42C6FA5A">
      <w:pPr>
        <w:pStyle w:val="2"/>
        <w:rPr>
          <w:rFonts w:ascii="仿宋" w:hAnsi="仿宋" w:eastAsia="仿宋"/>
          <w:b/>
          <w:color w:val="FF0000"/>
          <w:sz w:val="32"/>
          <w:szCs w:val="32"/>
        </w:rPr>
      </w:pPr>
    </w:p>
    <w:p w14:paraId="287A6EAA">
      <w:pPr>
        <w:rPr>
          <w:rFonts w:ascii="仿宋" w:hAnsi="仿宋" w:eastAsia="仿宋"/>
          <w:b/>
          <w:color w:val="FF0000"/>
          <w:sz w:val="32"/>
          <w:szCs w:val="32"/>
        </w:rPr>
      </w:pPr>
    </w:p>
    <w:p w14:paraId="665444CE">
      <w:pPr>
        <w:pStyle w:val="2"/>
      </w:pPr>
    </w:p>
    <w:p w14:paraId="7FA374DC">
      <w:pPr>
        <w:spacing w:line="600" w:lineRule="exact"/>
        <w:ind w:firstLine="640"/>
        <w:outlineLvl w:val="1"/>
        <w:rPr>
          <w:rStyle w:val="30"/>
          <w:rFonts w:ascii="黑体" w:hAnsi="黑体" w:eastAsia="黑体"/>
          <w:b w:val="0"/>
        </w:rPr>
      </w:pPr>
      <w:bookmarkStart w:id="69" w:name="_Toc79163619"/>
      <w:bookmarkStart w:id="70" w:name="_Toc15396609"/>
      <w:bookmarkStart w:id="71" w:name="_Toc25505"/>
      <w:bookmarkStart w:id="72" w:name="_Toc15377215"/>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69"/>
      <w:bookmarkEnd w:id="70"/>
      <w:bookmarkEnd w:id="71"/>
      <w:bookmarkEnd w:id="72"/>
    </w:p>
    <w:p w14:paraId="3EE0130A">
      <w:pPr>
        <w:spacing w:line="600" w:lineRule="exact"/>
        <w:ind w:firstLine="640"/>
        <w:outlineLvl w:val="2"/>
        <w:rPr>
          <w:rFonts w:ascii="仿宋" w:hAnsi="仿宋" w:eastAsia="仿宋"/>
          <w:b/>
          <w:color w:val="000000"/>
          <w:sz w:val="32"/>
          <w:szCs w:val="32"/>
        </w:rPr>
      </w:pPr>
      <w:bookmarkStart w:id="73" w:name="_Toc79163620"/>
      <w:bookmarkStart w:id="74" w:name="_Toc15377216"/>
      <w:bookmarkStart w:id="75" w:name="_Toc18810"/>
      <w:r>
        <w:rPr>
          <w:rFonts w:hint="eastAsia" w:ascii="仿宋" w:hAnsi="仿宋" w:eastAsia="仿宋"/>
          <w:b/>
          <w:color w:val="000000"/>
          <w:sz w:val="32"/>
          <w:szCs w:val="32"/>
        </w:rPr>
        <w:t>（一）“三公”经费财政拨款支出决算总体情况说明</w:t>
      </w:r>
      <w:bookmarkEnd w:id="73"/>
      <w:bookmarkEnd w:id="74"/>
      <w:bookmarkEnd w:id="75"/>
    </w:p>
    <w:p w14:paraId="3268A5F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14:paraId="714DCD2E">
      <w:pPr>
        <w:spacing w:line="600" w:lineRule="exact"/>
        <w:ind w:firstLine="640"/>
        <w:outlineLvl w:val="2"/>
        <w:rPr>
          <w:rFonts w:ascii="仿宋" w:hAnsi="仿宋" w:eastAsia="仿宋"/>
          <w:b/>
          <w:color w:val="000000"/>
          <w:sz w:val="32"/>
          <w:szCs w:val="32"/>
        </w:rPr>
      </w:pPr>
      <w:bookmarkStart w:id="76" w:name="_Toc79163621"/>
      <w:bookmarkStart w:id="77" w:name="_Toc15377217"/>
      <w:bookmarkStart w:id="78" w:name="_Toc16467"/>
      <w:r>
        <w:rPr>
          <w:rFonts w:hint="eastAsia" w:ascii="仿宋" w:hAnsi="仿宋" w:eastAsia="仿宋"/>
          <w:b/>
          <w:color w:val="000000"/>
          <w:sz w:val="32"/>
          <w:szCs w:val="32"/>
        </w:rPr>
        <w:t>（二）“三公”经费财政拨款支出决算具体情况说明</w:t>
      </w:r>
      <w:bookmarkEnd w:id="76"/>
      <w:bookmarkEnd w:id="77"/>
      <w:bookmarkEnd w:id="78"/>
    </w:p>
    <w:p w14:paraId="266EF54F">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5BC0631">
      <w:pPr>
        <w:pStyle w:val="2"/>
        <w:rPr>
          <w:rFonts w:hint="eastAsia" w:ascii="仿宋" w:hAnsi="仿宋" w:eastAsia="仿宋"/>
          <w:color w:val="000000"/>
          <w:sz w:val="32"/>
          <w:szCs w:val="32"/>
        </w:rPr>
      </w:pPr>
    </w:p>
    <w:p w14:paraId="61A60494">
      <w:pPr>
        <w:jc w:val="center"/>
      </w:pPr>
      <w:r>
        <w:drawing>
          <wp:inline distT="0" distB="0" distL="114300" distR="114300">
            <wp:extent cx="4623435" cy="2080895"/>
            <wp:effectExtent l="4445" t="4445" r="7620" b="10160"/>
            <wp:docPr id="134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292C36">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14:paraId="37289CE9">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2022年与2023年均无因公出国（境）经费支出</w:t>
      </w:r>
      <w:r>
        <w:rPr>
          <w:rFonts w:hint="eastAsia" w:ascii="仿宋_GB2312" w:eastAsia="仿宋_GB2312"/>
          <w:color w:val="000000"/>
          <w:sz w:val="32"/>
          <w:szCs w:val="32"/>
        </w:rPr>
        <w:t>。</w:t>
      </w:r>
    </w:p>
    <w:p w14:paraId="683CB5F1">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14:paraId="19A8B543">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b/>
          <w:bCs/>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6"/>
          <w:rFonts w:hint="eastAsia" w:ascii="仿宋" w:hAnsi="仿宋" w:eastAsia="仿宋"/>
          <w:b w:val="0"/>
          <w:bCs/>
          <w:color w:val="000000"/>
          <w:sz w:val="32"/>
          <w:szCs w:val="32"/>
        </w:rPr>
        <w:t>完成预算</w:t>
      </w:r>
      <w:r>
        <w:rPr>
          <w:rFonts w:hint="eastAsia" w:ascii="仿宋" w:hAnsi="仿宋" w:eastAsia="仿宋"/>
          <w:color w:val="000000"/>
          <w:sz w:val="32"/>
          <w:szCs w:val="32"/>
          <w:lang w:val="en-US" w:eastAsia="zh-CN"/>
        </w:rPr>
        <w:t>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38E39D2F">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其他用车0辆</w:t>
      </w:r>
      <w:r>
        <w:rPr>
          <w:rFonts w:hint="eastAsia" w:ascii="仿宋_GB2312" w:eastAsia="仿宋_GB2312"/>
          <w:color w:val="000000"/>
          <w:sz w:val="32"/>
          <w:szCs w:val="32"/>
        </w:rPr>
        <w:t>。</w:t>
      </w:r>
    </w:p>
    <w:p w14:paraId="449B4734">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b/>
          <w:bCs/>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w:t>
      </w:r>
      <w:r>
        <w:rPr>
          <w:rFonts w:hint="eastAsia" w:ascii="仿宋_GB2312" w:eastAsia="仿宋_GB2312"/>
          <w:color w:val="000000"/>
          <w:sz w:val="32"/>
          <w:szCs w:val="32"/>
          <w:lang w:val="en-US" w:eastAsia="zh-CN"/>
        </w:rPr>
        <w:t>车辆日常</w:t>
      </w:r>
      <w:r>
        <w:rPr>
          <w:rFonts w:hint="eastAsia" w:ascii="仿宋_GB2312" w:eastAsia="仿宋_GB2312"/>
          <w:color w:val="000000"/>
          <w:sz w:val="32"/>
          <w:szCs w:val="32"/>
          <w:lang w:eastAsia="zh-CN"/>
        </w:rPr>
        <w:t>所需的维修费、</w:t>
      </w:r>
      <w:r>
        <w:rPr>
          <w:rFonts w:hint="eastAsia" w:ascii="仿宋_GB2312" w:eastAsia="仿宋_GB2312"/>
          <w:color w:val="000000"/>
          <w:sz w:val="32"/>
          <w:szCs w:val="32"/>
          <w:lang w:val="en-US" w:eastAsia="zh-CN"/>
        </w:rPr>
        <w:t>过路费、</w:t>
      </w:r>
      <w:r>
        <w:rPr>
          <w:rFonts w:hint="eastAsia" w:ascii="仿宋_GB2312" w:eastAsia="仿宋_GB2312"/>
          <w:color w:val="000000"/>
          <w:sz w:val="32"/>
          <w:szCs w:val="32"/>
          <w:lang w:eastAsia="zh-CN"/>
        </w:rPr>
        <w:t>保险费等支出</w:t>
      </w:r>
      <w:r>
        <w:rPr>
          <w:rFonts w:hint="eastAsia" w:ascii="仿宋_GB2312" w:eastAsia="仿宋_GB2312"/>
          <w:color w:val="000000"/>
          <w:sz w:val="32"/>
          <w:szCs w:val="32"/>
        </w:rPr>
        <w:t>。</w:t>
      </w:r>
    </w:p>
    <w:p w14:paraId="39ECE167">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2022年与2023年均无公务接待费支出</w:t>
      </w:r>
      <w:r>
        <w:rPr>
          <w:rFonts w:hint="eastAsia" w:ascii="仿宋_GB2312" w:eastAsia="仿宋_GB2312"/>
          <w:color w:val="000000"/>
          <w:sz w:val="32"/>
          <w:szCs w:val="32"/>
        </w:rPr>
        <w:t>。其中：</w:t>
      </w:r>
    </w:p>
    <w:p w14:paraId="5DAFF1A0">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591E053">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2367424">
      <w:pPr>
        <w:spacing w:line="600" w:lineRule="exact"/>
        <w:ind w:firstLine="640" w:firstLineChars="200"/>
        <w:rPr>
          <w:rFonts w:ascii="仿宋_GB2312" w:eastAsia="仿宋_GB2312"/>
          <w:color w:val="000000"/>
          <w:sz w:val="32"/>
          <w:szCs w:val="32"/>
        </w:rPr>
      </w:pPr>
    </w:p>
    <w:p w14:paraId="405879EE">
      <w:pPr>
        <w:spacing w:line="600" w:lineRule="exact"/>
        <w:ind w:firstLine="640"/>
        <w:outlineLvl w:val="1"/>
        <w:rPr>
          <w:rStyle w:val="30"/>
          <w:rFonts w:ascii="黑体" w:hAnsi="黑体" w:eastAsia="黑体"/>
        </w:rPr>
      </w:pPr>
      <w:bookmarkStart w:id="79" w:name="_Toc8589"/>
      <w:bookmarkStart w:id="80" w:name="_Toc15377218"/>
      <w:bookmarkStart w:id="81" w:name="_Toc15396610"/>
      <w:bookmarkStart w:id="82" w:name="_Toc79163622"/>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79"/>
      <w:bookmarkEnd w:id="80"/>
      <w:bookmarkEnd w:id="81"/>
      <w:bookmarkEnd w:id="82"/>
    </w:p>
    <w:p w14:paraId="2BF29007">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8AD6A6D">
      <w:pPr>
        <w:numPr>
          <w:ilvl w:val="0"/>
          <w:numId w:val="2"/>
        </w:numPr>
        <w:spacing w:line="600" w:lineRule="exact"/>
        <w:ind w:firstLine="640"/>
        <w:outlineLvl w:val="1"/>
        <w:rPr>
          <w:rStyle w:val="30"/>
          <w:rFonts w:ascii="黑体" w:hAnsi="黑体" w:eastAsia="黑体"/>
          <w:b w:val="0"/>
        </w:rPr>
      </w:pPr>
      <w:bookmarkStart w:id="83" w:name="_Toc12219"/>
      <w:bookmarkStart w:id="84" w:name="_Toc15377219"/>
      <w:bookmarkStart w:id="85" w:name="_Toc15396611"/>
      <w:bookmarkStart w:id="86" w:name="_Toc79163623"/>
      <w:r>
        <w:rPr>
          <w:rStyle w:val="30"/>
          <w:rFonts w:hint="eastAsia" w:ascii="黑体" w:hAnsi="黑体" w:eastAsia="黑体"/>
          <w:b w:val="0"/>
        </w:rPr>
        <w:t>国有资本经营预算支出决算情况说明</w:t>
      </w:r>
      <w:bookmarkEnd w:id="83"/>
      <w:bookmarkEnd w:id="84"/>
      <w:bookmarkEnd w:id="85"/>
      <w:bookmarkEnd w:id="86"/>
    </w:p>
    <w:p w14:paraId="264A1E0D">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bookmarkStart w:id="156" w:name="_GoBack"/>
      <w:bookmarkEnd w:id="156"/>
    </w:p>
    <w:p w14:paraId="31A8454D">
      <w:pPr>
        <w:spacing w:line="600" w:lineRule="exact"/>
        <w:ind w:firstLine="800" w:firstLineChars="250"/>
        <w:outlineLvl w:val="1"/>
        <w:rPr>
          <w:rStyle w:val="30"/>
          <w:rFonts w:ascii="黑体" w:hAnsi="黑体" w:eastAsia="黑体"/>
        </w:rPr>
      </w:pPr>
      <w:bookmarkStart w:id="87" w:name="_Toc9744"/>
      <w:bookmarkStart w:id="88" w:name="_Toc79163624"/>
      <w:bookmarkStart w:id="89" w:name="_Toc15377221"/>
      <w:bookmarkStart w:id="90" w:name="_Toc15396612"/>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87"/>
      <w:bookmarkEnd w:id="88"/>
      <w:bookmarkEnd w:id="89"/>
      <w:bookmarkEnd w:id="90"/>
    </w:p>
    <w:p w14:paraId="47BF28A6">
      <w:pPr>
        <w:spacing w:line="600" w:lineRule="exact"/>
        <w:ind w:firstLine="643" w:firstLineChars="200"/>
        <w:outlineLvl w:val="2"/>
        <w:rPr>
          <w:rFonts w:ascii="仿宋" w:hAnsi="仿宋" w:eastAsia="仿宋"/>
          <w:color w:val="000000"/>
          <w:sz w:val="32"/>
          <w:szCs w:val="32"/>
        </w:rPr>
      </w:pPr>
      <w:bookmarkStart w:id="91" w:name="_Toc79163625"/>
      <w:bookmarkStart w:id="92" w:name="_Toc32034"/>
      <w:bookmarkStart w:id="93" w:name="_Toc15377222"/>
      <w:r>
        <w:rPr>
          <w:rFonts w:hint="eastAsia" w:ascii="仿宋" w:hAnsi="仿宋" w:eastAsia="仿宋"/>
          <w:b/>
          <w:color w:val="000000"/>
          <w:sz w:val="32"/>
          <w:szCs w:val="32"/>
        </w:rPr>
        <w:t>（一）机关运行经费支出情况</w:t>
      </w:r>
      <w:bookmarkEnd w:id="91"/>
      <w:bookmarkEnd w:id="92"/>
      <w:bookmarkEnd w:id="93"/>
    </w:p>
    <w:p w14:paraId="6053B066">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壤塘县信访工作局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9.59</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42.16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81.47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基本支出减少。机关运行经费减少。</w:t>
      </w:r>
    </w:p>
    <w:p w14:paraId="0869CE4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4" w:name="_Toc13225"/>
      <w:bookmarkStart w:id="95" w:name="_Toc79163626"/>
      <w:bookmarkStart w:id="96" w:name="_Toc15377223"/>
      <w:r>
        <w:rPr>
          <w:rFonts w:hint="eastAsia" w:ascii="仿宋" w:hAnsi="仿宋" w:eastAsia="仿宋"/>
          <w:b/>
          <w:color w:val="000000"/>
          <w:sz w:val="32"/>
          <w:szCs w:val="32"/>
        </w:rPr>
        <w:t>（二）政府采购支出情况</w:t>
      </w:r>
      <w:bookmarkEnd w:id="94"/>
      <w:bookmarkEnd w:id="95"/>
      <w:bookmarkEnd w:id="96"/>
    </w:p>
    <w:p w14:paraId="5BBD7211">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壤塘县信访工作局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EA4840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627"/>
      <w:bookmarkStart w:id="98" w:name="_Toc15377224"/>
      <w:bookmarkStart w:id="99" w:name="_Toc24339"/>
      <w:r>
        <w:rPr>
          <w:rFonts w:hint="eastAsia" w:ascii="仿宋" w:hAnsi="仿宋" w:eastAsia="仿宋"/>
          <w:b/>
          <w:color w:val="000000"/>
          <w:sz w:val="32"/>
          <w:szCs w:val="32"/>
        </w:rPr>
        <w:t>（三）国有资产占有使用情况</w:t>
      </w:r>
      <w:bookmarkEnd w:id="97"/>
      <w:bookmarkEnd w:id="98"/>
      <w:bookmarkEnd w:id="99"/>
    </w:p>
    <w:p w14:paraId="759BA5DB">
      <w:pPr>
        <w:autoSpaceDE w:val="0"/>
        <w:autoSpaceDN w:val="0"/>
        <w:adjustRightInd w:val="0"/>
        <w:spacing w:line="600" w:lineRule="exact"/>
        <w:ind w:firstLine="640" w:firstLineChars="200"/>
        <w:jc w:val="left"/>
        <w:rPr>
          <w:rFonts w:hint="default" w:ascii="仿宋" w:hAnsi="仿宋" w:eastAsia="仿宋_GB2312"/>
          <w:b/>
          <w:color w:val="FF0000"/>
          <w:sz w:val="32"/>
          <w:szCs w:val="32"/>
          <w:lang w:val="en-US" w:eastAsia="zh-CN"/>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壤塘县信访工作局无公务用车。</w:t>
      </w:r>
    </w:p>
    <w:p w14:paraId="3E3A044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628"/>
      <w:bookmarkStart w:id="101" w:name="_Toc10566"/>
      <w:r>
        <w:rPr>
          <w:rFonts w:hint="eastAsia" w:ascii="仿宋" w:hAnsi="仿宋" w:eastAsia="仿宋"/>
          <w:b/>
          <w:color w:val="000000"/>
          <w:sz w:val="32"/>
          <w:szCs w:val="32"/>
        </w:rPr>
        <w:t>（四）预算绩效管理情况。</w:t>
      </w:r>
      <w:bookmarkEnd w:id="100"/>
      <w:bookmarkEnd w:id="101"/>
    </w:p>
    <w:p w14:paraId="779E5D0A">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根根据预算绩效管理要求，本单位在年初预算编制阶段，组织对</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0E53A20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阿坝州壤塘县信访工作局</w:t>
      </w:r>
      <w:r>
        <w:rPr>
          <w:rFonts w:hint="eastAsia" w:ascii="仿宋_GB2312" w:hAnsi="仿宋_GB2312" w:eastAsia="仿宋_GB2312" w:cs="仿宋_GB2312"/>
          <w:sz w:val="32"/>
          <w:szCs w:val="32"/>
        </w:rPr>
        <w:t>（含部门预算项目）绩效自评报告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阿坝州壤塘县信访工作局会</w:t>
      </w:r>
      <w:r>
        <w:rPr>
          <w:rFonts w:hint="eastAsia" w:ascii="仿宋_GB2312" w:hAnsi="仿宋_GB2312" w:eastAsia="仿宋_GB2312" w:cs="仿宋_GB2312"/>
          <w:sz w:val="32"/>
          <w:szCs w:val="32"/>
        </w:rPr>
        <w:t>（含部门预算项目）绩效自评得分为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en-US" w:eastAsia="zh-CN"/>
        </w:rPr>
        <w:t>本次部门整体支出绩效自评得分为99分总体表现良好，</w:t>
      </w:r>
      <w:r>
        <w:rPr>
          <w:rFonts w:hint="eastAsia" w:ascii="仿宋_GB2312" w:hAnsi="仿宋_GB2312" w:eastAsia="仿宋_GB2312" w:cs="仿宋_GB2312"/>
          <w:sz w:val="32"/>
          <w:szCs w:val="32"/>
        </w:rPr>
        <w:t>绩效自评报告详见附件。</w:t>
      </w:r>
    </w:p>
    <w:p w14:paraId="6B7C88C5">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C7B01D2">
      <w:pPr>
        <w:numPr>
          <w:ilvl w:val="0"/>
          <w:numId w:val="3"/>
        </w:numPr>
        <w:spacing w:line="600" w:lineRule="exact"/>
        <w:ind w:firstLine="660" w:firstLineChars="150"/>
        <w:jc w:val="center"/>
        <w:outlineLvl w:val="0"/>
        <w:rPr>
          <w:rStyle w:val="29"/>
          <w:rFonts w:ascii="黑体" w:hAnsi="黑体" w:eastAsia="黑体"/>
          <w:b w:val="0"/>
        </w:rPr>
      </w:pPr>
      <w:bookmarkStart w:id="102" w:name="_Toc15377225"/>
      <w:bookmarkStart w:id="103" w:name="_Toc15396613"/>
      <w:bookmarkStart w:id="104" w:name="_Toc79163629"/>
      <w:bookmarkStart w:id="105" w:name="_Toc30986"/>
      <w:r>
        <w:rPr>
          <w:rFonts w:hint="eastAsia" w:ascii="黑体" w:hAnsi="黑体" w:eastAsia="黑体"/>
          <w:color w:val="000000"/>
          <w:sz w:val="44"/>
          <w:szCs w:val="44"/>
        </w:rPr>
        <w:t>名</w:t>
      </w:r>
      <w:r>
        <w:rPr>
          <w:rStyle w:val="29"/>
          <w:rFonts w:hint="eastAsia" w:ascii="黑体" w:hAnsi="黑体" w:eastAsia="黑体"/>
          <w:b w:val="0"/>
        </w:rPr>
        <w:t>词解释</w:t>
      </w:r>
      <w:bookmarkEnd w:id="102"/>
      <w:bookmarkEnd w:id="103"/>
      <w:bookmarkEnd w:id="104"/>
      <w:bookmarkEnd w:id="105"/>
    </w:p>
    <w:p w14:paraId="346E3EA3">
      <w:pPr>
        <w:spacing w:line="600" w:lineRule="exact"/>
        <w:jc w:val="left"/>
        <w:rPr>
          <w:rFonts w:ascii="宋体"/>
          <w:b/>
          <w:color w:val="000000"/>
          <w:sz w:val="44"/>
          <w:szCs w:val="44"/>
        </w:rPr>
      </w:pPr>
    </w:p>
    <w:p w14:paraId="6D77A6EC">
      <w:pPr>
        <w:pStyle w:val="3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0491459">
      <w:pPr>
        <w:pStyle w:val="3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AE803E9">
      <w:pPr>
        <w:pStyle w:val="3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6C91FF94">
      <w:pPr>
        <w:pStyle w:val="3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援建资金</w:t>
      </w:r>
      <w:r>
        <w:rPr>
          <w:rFonts w:hint="eastAsia" w:ascii="仿宋_GB2312" w:eastAsia="仿宋_GB2312"/>
          <w:sz w:val="32"/>
          <w:szCs w:val="32"/>
        </w:rPr>
        <w:t>。</w:t>
      </w:r>
    </w:p>
    <w:p w14:paraId="300B32A6">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14:paraId="08B38D64">
      <w:pPr>
        <w:pStyle w:val="39"/>
        <w:spacing w:line="56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14:paraId="41947D67">
      <w:pPr>
        <w:ind w:firstLine="640" w:firstLineChars="200"/>
        <w:rPr>
          <w:rFonts w:hint="eastAsia"/>
          <w:lang w:eastAsia="zh-CN"/>
        </w:rPr>
      </w:pPr>
      <w:r>
        <w:rPr>
          <w:rFonts w:hint="eastAsia" w:ascii="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一般公共服务支出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w:t>
      </w:r>
      <w:r>
        <w:rPr>
          <w:rFonts w:hint="eastAsia" w:ascii="仿宋_GB2312" w:hAnsi="Times New Roman" w:eastAsia="仿宋_GB2312" w:cs="Times New Roman"/>
          <w:color w:val="000000"/>
          <w:sz w:val="32"/>
          <w:szCs w:val="32"/>
          <w:lang w:eastAsia="zh-CN"/>
        </w:rPr>
        <w:t>指</w:t>
      </w:r>
      <w:r>
        <w:rPr>
          <w:rFonts w:hint="eastAsia" w:ascii="仿宋_GB2312" w:hAnsi="Times New Roman" w:eastAsia="仿宋_GB2312" w:cs="Times New Roman"/>
          <w:color w:val="000000"/>
          <w:sz w:val="32"/>
          <w:szCs w:val="32"/>
          <w:lang w:val="en-US" w:eastAsia="zh-CN"/>
        </w:rPr>
        <w:t>行政单位（包括实行公务员管理的事业单位）的基本支出</w:t>
      </w:r>
      <w:r>
        <w:rPr>
          <w:rFonts w:hint="eastAsia" w:ascii="仿宋_GB2312" w:hAnsi="Times New Roman" w:eastAsia="仿宋_GB2312" w:cs="Times New Roman"/>
          <w:color w:val="000000"/>
          <w:sz w:val="32"/>
          <w:szCs w:val="32"/>
          <w:lang w:eastAsia="zh-CN"/>
        </w:rPr>
        <w:t>。</w:t>
      </w:r>
    </w:p>
    <w:p w14:paraId="016DC535">
      <w:pPr>
        <w:ind w:firstLine="640" w:firstLineChars="200"/>
        <w:rPr>
          <w:rFonts w:hint="eastAsia" w:ascii="仿宋_GB2312" w:hAnsi="Times New Roman" w:eastAsia="仿宋_GB2312" w:cs="Times New Roman"/>
          <w:color w:val="000000"/>
          <w:sz w:val="32"/>
          <w:szCs w:val="32"/>
          <w:lang w:eastAsia="zh-CN"/>
        </w:rPr>
      </w:pPr>
      <w:r>
        <w:rPr>
          <w:rFonts w:hint="eastAsia" w:ascii="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lang w:eastAsia="zh-CN"/>
        </w:rPr>
        <w:t>一般公共服务支出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政府办公厅（室）及相关机构事务（款</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lang w:val="en-US" w:eastAsia="zh-CN"/>
        </w:rPr>
        <w:t>信访事务</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各级政府用于接待群众来信来访方面的支出</w:t>
      </w:r>
      <w:r>
        <w:rPr>
          <w:rFonts w:hint="eastAsia" w:ascii="仿宋_GB2312" w:hAnsi="Times New Roman" w:eastAsia="仿宋_GB2312" w:cs="Times New Roman"/>
          <w:color w:val="000000"/>
          <w:sz w:val="32"/>
          <w:szCs w:val="32"/>
          <w:lang w:eastAsia="zh-CN"/>
        </w:rPr>
        <w:t>。</w:t>
      </w:r>
    </w:p>
    <w:p w14:paraId="502D0B9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lang w:val="en-US" w:eastAsia="zh-CN"/>
        </w:rPr>
        <w:t>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由单位缴纳的基本养老保险费支出</w:t>
      </w:r>
      <w:r>
        <w:rPr>
          <w:rFonts w:hint="eastAsia" w:ascii="仿宋_GB2312" w:eastAsia="仿宋_GB2312"/>
          <w:color w:val="000000"/>
          <w:sz w:val="32"/>
          <w:szCs w:val="32"/>
        </w:rPr>
        <w:t>。</w:t>
      </w:r>
    </w:p>
    <w:p w14:paraId="5A59479D">
      <w:pPr>
        <w:ind w:firstLine="640" w:firstLineChars="200"/>
        <w:rPr>
          <w:rFonts w:hint="eastAsia"/>
          <w:lang w:eastAsia="zh-CN"/>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社会保</w:t>
      </w:r>
      <w:r>
        <w:rPr>
          <w:rFonts w:hint="eastAsia" w:ascii="仿宋_GB2312" w:hAnsi="Times New Roman" w:eastAsia="仿宋_GB2312" w:cs="Times New Roman"/>
          <w:color w:val="000000"/>
          <w:sz w:val="32"/>
          <w:szCs w:val="32"/>
          <w:lang w:eastAsia="zh-CN"/>
        </w:rPr>
        <w:t>障和就业（类）</w:t>
      </w:r>
      <w:r>
        <w:rPr>
          <w:rFonts w:hint="eastAsia" w:ascii="仿宋_GB2312" w:hAnsi="Times New Roman" w:eastAsia="仿宋_GB2312" w:cs="Times New Roman"/>
          <w:color w:val="000000"/>
          <w:sz w:val="32"/>
          <w:szCs w:val="32"/>
          <w:lang w:val="en-US" w:eastAsia="zh-CN"/>
        </w:rPr>
        <w:t>行政事业单位养老支出</w:t>
      </w:r>
      <w:r>
        <w:rPr>
          <w:rFonts w:hint="eastAsia" w:ascii="仿宋_GB2312" w:hAnsi="Times New Roman" w:eastAsia="仿宋_GB2312" w:cs="Times New Roman"/>
          <w:color w:val="000000"/>
          <w:sz w:val="32"/>
          <w:szCs w:val="32"/>
          <w:lang w:eastAsia="zh-CN"/>
        </w:rPr>
        <w:t>（款）</w:t>
      </w:r>
      <w:r>
        <w:rPr>
          <w:rFonts w:hint="eastAsia" w:ascii="仿宋_GB2312" w:hAnsi="Times New Roman" w:eastAsia="仿宋_GB2312" w:cs="Times New Roman"/>
          <w:color w:val="000000"/>
          <w:sz w:val="32"/>
          <w:szCs w:val="32"/>
          <w:lang w:val="en-US" w:eastAsia="zh-CN"/>
        </w:rPr>
        <w:t>机关事业单位职业年金缴费支出</w:t>
      </w:r>
      <w:r>
        <w:rPr>
          <w:rFonts w:hint="eastAsia" w:ascii="仿宋_GB2312" w:hAnsi="Times New Roman" w:eastAsia="仿宋_GB2312" w:cs="Times New Roman"/>
          <w:color w:val="000000"/>
          <w:sz w:val="32"/>
          <w:szCs w:val="32"/>
          <w:lang w:eastAsia="zh-CN"/>
        </w:rPr>
        <w:t>（项）：</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机关事业单位实施养老保险制度由单位实际缴纳的职业年金</w:t>
      </w:r>
      <w:r>
        <w:rPr>
          <w:rFonts w:hint="eastAsia" w:ascii="仿宋_GB2312" w:eastAsia="仿宋_GB2312"/>
          <w:color w:val="000000"/>
          <w:sz w:val="32"/>
          <w:szCs w:val="32"/>
        </w:rPr>
        <w:t>。</w:t>
      </w:r>
    </w:p>
    <w:p w14:paraId="08BC5174">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11</w:t>
      </w:r>
      <w:r>
        <w:rPr>
          <w:rFonts w:hint="eastAsia" w:ascii="仿宋_GB2312" w:hAnsi="Times New Roman" w:eastAsia="仿宋_GB2312" w:cs="Times New Roman"/>
          <w:color w:val="000000"/>
          <w:sz w:val="32"/>
          <w:szCs w:val="32"/>
          <w:lang w:eastAsia="zh-CN"/>
        </w:rPr>
        <w:t>.卫生健康支出（类）行政事业单位医疗（款）行政单位医疗（项）：指财政部门集中安排的行政单位基本医疗保险缴费经费。</w:t>
      </w:r>
    </w:p>
    <w:p w14:paraId="23FBCBC6">
      <w:pPr>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12</w:t>
      </w:r>
      <w:r>
        <w:rPr>
          <w:rFonts w:hint="eastAsia" w:ascii="仿宋_GB2312" w:hAnsi="Times New Roman" w:eastAsia="仿宋_GB2312" w:cs="Times New Roman"/>
          <w:color w:val="000000"/>
          <w:sz w:val="32"/>
          <w:szCs w:val="32"/>
          <w:lang w:eastAsia="zh-CN"/>
        </w:rPr>
        <w:t>.住房</w:t>
      </w:r>
      <w:r>
        <w:rPr>
          <w:rFonts w:hint="eastAsia" w:ascii="仿宋_GB2312" w:hAnsi="Times New Roman" w:eastAsia="仿宋_GB2312" w:cs="Times New Roman"/>
          <w:color w:val="000000"/>
          <w:sz w:val="32"/>
          <w:szCs w:val="32"/>
          <w:lang w:val="en-US" w:eastAsia="zh-CN"/>
        </w:rPr>
        <w:t>保障支出（类）住房改革支出（款）住房公积金（项）：指行政事业单位</w:t>
      </w:r>
      <w:r>
        <w:rPr>
          <w:rFonts w:hint="eastAsia" w:ascii="仿宋_GB2312" w:hAnsi="Times New Roman" w:eastAsia="仿宋_GB2312" w:cs="Times New Roman"/>
          <w:color w:val="000000"/>
          <w:sz w:val="32"/>
          <w:szCs w:val="32"/>
          <w:lang w:eastAsia="zh-CN"/>
        </w:rPr>
        <w:t>安装工资比例为职工缴纳的住房公积金。</w:t>
      </w:r>
    </w:p>
    <w:p w14:paraId="6E527581">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w:t>
      </w:r>
      <w:r>
        <w:rPr>
          <w:rFonts w:hint="eastAsia" w:ascii="仿宋_GB2312"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lang w:eastAsia="zh-CN"/>
        </w:rPr>
        <w:t>.基本支出：指为保障机构正常运转、完成日常工作任务而发生的人员支出和公用支出。</w:t>
      </w:r>
    </w:p>
    <w:p w14:paraId="1F24FE2A">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w:t>
      </w:r>
      <w:r>
        <w:rPr>
          <w:rFonts w:hint="eastAsia" w:ascii="仿宋_GB2312"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lang w:eastAsia="zh-CN"/>
        </w:rPr>
        <w:t>.项目支出：指在基本支出之外为完成特定行政任务和事业发展目标所发生的支出。</w:t>
      </w:r>
    </w:p>
    <w:p w14:paraId="08130E04">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15</w:t>
      </w:r>
      <w:r>
        <w:rPr>
          <w:rFonts w:hint="eastAsia" w:ascii="仿宋_GB2312" w:hAnsi="Times New Roman" w:eastAsia="仿宋_GB2312" w:cs="Times New Roman"/>
          <w:color w:val="000000"/>
          <w:sz w:val="32"/>
          <w:szCs w:val="32"/>
          <w:lang w:eastAsia="zh-CN"/>
        </w:rPr>
        <w:t>.经营支出：指事业单位在专业业务活动及其辅助活动之外开展非独立核算经营活动发生的支出。</w:t>
      </w:r>
    </w:p>
    <w:p w14:paraId="0CE8E308">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16</w:t>
      </w:r>
      <w:r>
        <w:rPr>
          <w:rFonts w:hint="eastAsia" w:ascii="仿宋_GB2312" w:hAnsi="Times New Roman" w:eastAsia="仿宋_GB2312" w:cs="Times New Roman"/>
          <w:color w:val="000000"/>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EEBE0F">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17</w:t>
      </w:r>
      <w:r>
        <w:rPr>
          <w:rFonts w:hint="eastAsia" w:ascii="仿宋_GB2312" w:hAnsi="Times New Roman" w:eastAsia="仿宋_GB2312" w:cs="Times New Roman"/>
          <w:color w:val="000000"/>
          <w:sz w:val="32"/>
          <w:szCs w:val="32"/>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A045B1">
      <w:pPr>
        <w:pStyle w:val="18"/>
        <w:rPr>
          <w:rFonts w:hint="eastAsia" w:ascii="仿宋_GB2312" w:hAnsi="Times New Roman" w:eastAsia="仿宋_GB2312" w:cs="Times New Roman"/>
          <w:color w:val="000000"/>
          <w:sz w:val="32"/>
          <w:szCs w:val="32"/>
          <w:lang w:eastAsia="zh-CN"/>
        </w:rPr>
      </w:pPr>
    </w:p>
    <w:p w14:paraId="62A1BB85">
      <w:pPr>
        <w:pStyle w:val="2"/>
        <w:rPr>
          <w:rFonts w:hint="eastAsia" w:ascii="仿宋_GB2312" w:hAnsi="Times New Roman" w:eastAsia="仿宋_GB2312" w:cs="Times New Roman"/>
          <w:color w:val="000000"/>
          <w:sz w:val="32"/>
          <w:szCs w:val="32"/>
          <w:lang w:eastAsia="zh-CN"/>
        </w:rPr>
      </w:pPr>
    </w:p>
    <w:p w14:paraId="7EFB4685">
      <w:pPr>
        <w:pStyle w:val="2"/>
        <w:rPr>
          <w:rFonts w:hint="eastAsia" w:ascii="仿宋_GB2312" w:hAnsi="Times New Roman" w:eastAsia="仿宋_GB2312" w:cs="Times New Roman"/>
          <w:color w:val="000000"/>
          <w:sz w:val="32"/>
          <w:szCs w:val="32"/>
          <w:lang w:eastAsia="zh-CN"/>
        </w:rPr>
      </w:pPr>
    </w:p>
    <w:p w14:paraId="12830A2A">
      <w:pPr>
        <w:pStyle w:val="2"/>
        <w:rPr>
          <w:rFonts w:hint="eastAsia" w:ascii="仿宋_GB2312" w:hAnsi="Times New Roman" w:eastAsia="仿宋_GB2312" w:cs="Times New Roman"/>
          <w:color w:val="000000"/>
          <w:sz w:val="32"/>
          <w:szCs w:val="32"/>
          <w:lang w:eastAsia="zh-CN"/>
        </w:rPr>
      </w:pPr>
    </w:p>
    <w:p w14:paraId="471293AF">
      <w:pPr>
        <w:pStyle w:val="2"/>
        <w:rPr>
          <w:rFonts w:hint="eastAsia" w:ascii="仿宋_GB2312" w:hAnsi="Times New Roman" w:eastAsia="仿宋_GB2312" w:cs="Times New Roman"/>
          <w:color w:val="000000"/>
          <w:sz w:val="32"/>
          <w:szCs w:val="32"/>
          <w:lang w:eastAsia="zh-CN"/>
        </w:rPr>
      </w:pPr>
    </w:p>
    <w:p w14:paraId="3ACC76CD">
      <w:pPr>
        <w:pStyle w:val="2"/>
        <w:rPr>
          <w:rFonts w:hint="eastAsia" w:ascii="仿宋_GB2312" w:hAnsi="Times New Roman" w:eastAsia="仿宋_GB2312" w:cs="Times New Roman"/>
          <w:color w:val="000000"/>
          <w:sz w:val="32"/>
          <w:szCs w:val="32"/>
          <w:lang w:eastAsia="zh-CN"/>
        </w:rPr>
      </w:pPr>
    </w:p>
    <w:p w14:paraId="58D97F0E">
      <w:pPr>
        <w:pStyle w:val="2"/>
        <w:rPr>
          <w:rFonts w:hint="eastAsia" w:ascii="仿宋_GB2312" w:hAnsi="Times New Roman" w:eastAsia="仿宋_GB2312" w:cs="Times New Roman"/>
          <w:color w:val="000000"/>
          <w:sz w:val="32"/>
          <w:szCs w:val="32"/>
          <w:lang w:eastAsia="zh-CN"/>
        </w:rPr>
      </w:pPr>
    </w:p>
    <w:p w14:paraId="47C6837B">
      <w:pPr>
        <w:pStyle w:val="2"/>
        <w:rPr>
          <w:rFonts w:hint="eastAsia" w:ascii="仿宋_GB2312" w:hAnsi="Times New Roman" w:eastAsia="仿宋_GB2312" w:cs="Times New Roman"/>
          <w:color w:val="000000"/>
          <w:sz w:val="32"/>
          <w:szCs w:val="32"/>
          <w:lang w:eastAsia="zh-CN"/>
        </w:rPr>
      </w:pPr>
    </w:p>
    <w:p w14:paraId="352E21B2">
      <w:pPr>
        <w:pStyle w:val="2"/>
        <w:rPr>
          <w:rFonts w:hint="eastAsia" w:ascii="仿宋_GB2312" w:hAnsi="Times New Roman" w:eastAsia="仿宋_GB2312" w:cs="Times New Roman"/>
          <w:color w:val="000000"/>
          <w:sz w:val="32"/>
          <w:szCs w:val="32"/>
          <w:lang w:eastAsia="zh-CN"/>
        </w:rPr>
      </w:pPr>
    </w:p>
    <w:p w14:paraId="39DA4950">
      <w:pPr>
        <w:pStyle w:val="2"/>
        <w:rPr>
          <w:rFonts w:hint="eastAsia" w:ascii="仿宋_GB2312" w:hAnsi="Times New Roman" w:eastAsia="仿宋_GB2312" w:cs="Times New Roman"/>
          <w:color w:val="000000"/>
          <w:sz w:val="32"/>
          <w:szCs w:val="32"/>
          <w:lang w:eastAsia="zh-CN"/>
        </w:rPr>
      </w:pPr>
    </w:p>
    <w:p w14:paraId="1F2A437C">
      <w:pPr>
        <w:pStyle w:val="2"/>
        <w:rPr>
          <w:rFonts w:hint="eastAsia" w:ascii="仿宋_GB2312" w:hAnsi="Times New Roman" w:eastAsia="仿宋_GB2312" w:cs="Times New Roman"/>
          <w:color w:val="000000"/>
          <w:sz w:val="32"/>
          <w:szCs w:val="32"/>
          <w:lang w:eastAsia="zh-CN"/>
        </w:rPr>
      </w:pPr>
    </w:p>
    <w:p w14:paraId="689D470A">
      <w:pPr>
        <w:pStyle w:val="2"/>
        <w:rPr>
          <w:rFonts w:hint="eastAsia" w:ascii="仿宋_GB2312" w:hAnsi="Times New Roman" w:eastAsia="仿宋_GB2312" w:cs="Times New Roman"/>
          <w:color w:val="000000"/>
          <w:sz w:val="32"/>
          <w:szCs w:val="32"/>
          <w:lang w:eastAsia="zh-CN"/>
        </w:rPr>
      </w:pPr>
    </w:p>
    <w:p w14:paraId="51BC2E54">
      <w:pPr>
        <w:pStyle w:val="2"/>
        <w:rPr>
          <w:rFonts w:hint="eastAsia" w:ascii="仿宋_GB2312" w:hAnsi="Times New Roman" w:eastAsia="仿宋_GB2312" w:cs="Times New Roman"/>
          <w:color w:val="000000"/>
          <w:sz w:val="32"/>
          <w:szCs w:val="32"/>
          <w:lang w:eastAsia="zh-CN"/>
        </w:rPr>
      </w:pPr>
    </w:p>
    <w:p w14:paraId="7E837382">
      <w:pPr>
        <w:spacing w:line="600" w:lineRule="exact"/>
        <w:jc w:val="center"/>
        <w:outlineLvl w:val="0"/>
        <w:rPr>
          <w:rStyle w:val="29"/>
          <w:rFonts w:ascii="黑体" w:hAnsi="黑体" w:eastAsia="黑体"/>
          <w:b w:val="0"/>
        </w:rPr>
      </w:pPr>
      <w:bookmarkStart w:id="106" w:name="_Toc79163630"/>
      <w:bookmarkStart w:id="107" w:name="_Toc919"/>
      <w:bookmarkStart w:id="108" w:name="_Toc15396614"/>
      <w:bookmarkStart w:id="109" w:name="_Toc15377226"/>
      <w:r>
        <w:rPr>
          <w:rFonts w:hint="eastAsia" w:ascii="黑体" w:hAnsi="黑体" w:eastAsia="黑体"/>
          <w:color w:val="000000"/>
          <w:sz w:val="44"/>
          <w:szCs w:val="44"/>
        </w:rPr>
        <w:t>第</w:t>
      </w:r>
      <w:r>
        <w:rPr>
          <w:rStyle w:val="29"/>
          <w:rFonts w:hint="eastAsia" w:ascii="黑体" w:hAnsi="黑体" w:eastAsia="黑体"/>
          <w:b w:val="0"/>
        </w:rPr>
        <w:t>四部分</w:t>
      </w:r>
      <w:r>
        <w:rPr>
          <w:rStyle w:val="29"/>
          <w:rFonts w:ascii="黑体" w:hAnsi="黑体" w:eastAsia="黑体"/>
          <w:b w:val="0"/>
        </w:rPr>
        <w:t xml:space="preserve"> </w:t>
      </w:r>
      <w:r>
        <w:rPr>
          <w:rStyle w:val="29"/>
          <w:rFonts w:hint="eastAsia" w:ascii="黑体" w:hAnsi="黑体" w:eastAsia="黑体"/>
          <w:b w:val="0"/>
        </w:rPr>
        <w:t>附件</w:t>
      </w:r>
      <w:bookmarkEnd w:id="106"/>
      <w:bookmarkEnd w:id="107"/>
      <w:bookmarkEnd w:id="108"/>
    </w:p>
    <w:p w14:paraId="40896418">
      <w:pPr>
        <w:spacing w:line="600" w:lineRule="exact"/>
        <w:jc w:val="left"/>
        <w:outlineLvl w:val="0"/>
        <w:rPr>
          <w:rFonts w:ascii="方正小标宋简体" w:hAnsi="方正小标宋简体" w:eastAsia="方正小标宋简体" w:cs="方正小标宋简体"/>
          <w:sz w:val="32"/>
          <w:szCs w:val="32"/>
        </w:rPr>
      </w:pPr>
      <w:bookmarkStart w:id="110" w:name="_Toc10130"/>
      <w:bookmarkStart w:id="111" w:name="_Toc79163631"/>
      <w:r>
        <w:rPr>
          <w:rFonts w:hint="eastAsia" w:ascii="黑体" w:hAnsi="黑体" w:eastAsia="黑体" w:cs="黑体"/>
          <w:sz w:val="32"/>
          <w:szCs w:val="32"/>
        </w:rPr>
        <w:t>附件</w:t>
      </w:r>
      <w:r>
        <w:rPr>
          <w:rFonts w:ascii="黑体" w:hAnsi="黑体" w:eastAsia="黑体" w:cs="黑体"/>
          <w:sz w:val="32"/>
          <w:szCs w:val="32"/>
        </w:rPr>
        <w:t>1</w:t>
      </w:r>
      <w:bookmarkEnd w:id="110"/>
      <w:bookmarkEnd w:id="111"/>
    </w:p>
    <w:p w14:paraId="33B280C2">
      <w:pPr>
        <w:widowControl/>
        <w:jc w:val="left"/>
        <w:rPr>
          <w:rStyle w:val="29"/>
          <w:rFonts w:ascii="黑体" w:hAnsi="黑体" w:eastAsia="黑体"/>
          <w:b w:val="0"/>
        </w:rPr>
      </w:pPr>
      <w:r>
        <w:drawing>
          <wp:inline distT="0" distB="0" distL="114300" distR="114300">
            <wp:extent cx="5271135" cy="4107180"/>
            <wp:effectExtent l="0" t="0" r="12065"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271135" cy="4107180"/>
                    </a:xfrm>
                    <a:prstGeom prst="rect">
                      <a:avLst/>
                    </a:prstGeom>
                    <a:noFill/>
                    <a:ln>
                      <a:noFill/>
                    </a:ln>
                  </pic:spPr>
                </pic:pic>
              </a:graphicData>
            </a:graphic>
          </wp:inline>
        </w:drawing>
      </w:r>
    </w:p>
    <w:p w14:paraId="2507C474">
      <w:pPr>
        <w:widowControl/>
        <w:jc w:val="left"/>
        <w:rPr>
          <w:rStyle w:val="29"/>
          <w:rFonts w:ascii="黑体" w:hAnsi="黑体" w:eastAsia="黑体"/>
          <w:b w:val="0"/>
        </w:rPr>
      </w:pPr>
      <w:r>
        <w:rPr>
          <w:rStyle w:val="29"/>
          <w:rFonts w:ascii="黑体" w:hAnsi="黑体" w:eastAsia="黑体"/>
          <w:b w:val="0"/>
        </w:rPr>
        <w:br w:type="page"/>
      </w:r>
    </w:p>
    <w:p w14:paraId="1CDF22E1">
      <w:pPr>
        <w:spacing w:line="600" w:lineRule="exact"/>
        <w:jc w:val="center"/>
        <w:outlineLvl w:val="0"/>
        <w:rPr>
          <w:rStyle w:val="29"/>
          <w:rFonts w:ascii="黑体" w:hAnsi="黑体" w:eastAsia="黑体"/>
          <w:b w:val="0"/>
        </w:rPr>
      </w:pPr>
      <w:bookmarkStart w:id="112" w:name="_Toc32233"/>
      <w:bookmarkStart w:id="113" w:name="_Toc79163635"/>
      <w:bookmarkStart w:id="114" w:name="_Toc15396618"/>
      <w:r>
        <w:rPr>
          <w:rFonts w:hint="eastAsia" w:ascii="黑体" w:hAnsi="黑体" w:eastAsia="黑体"/>
          <w:color w:val="000000"/>
          <w:sz w:val="44"/>
          <w:szCs w:val="44"/>
        </w:rPr>
        <w:t>第</w:t>
      </w:r>
      <w:r>
        <w:rPr>
          <w:rStyle w:val="29"/>
          <w:rFonts w:hint="eastAsia" w:ascii="黑体" w:hAnsi="黑体" w:eastAsia="黑体"/>
          <w:b w:val="0"/>
        </w:rPr>
        <w:t>五部分</w:t>
      </w:r>
      <w:r>
        <w:rPr>
          <w:rStyle w:val="29"/>
          <w:rFonts w:ascii="黑体" w:hAnsi="黑体" w:eastAsia="黑体"/>
          <w:b w:val="0"/>
        </w:rPr>
        <w:t xml:space="preserve"> </w:t>
      </w:r>
      <w:r>
        <w:rPr>
          <w:rStyle w:val="29"/>
          <w:rFonts w:hint="eastAsia" w:ascii="黑体" w:hAnsi="黑体" w:eastAsia="黑体"/>
          <w:b w:val="0"/>
        </w:rPr>
        <w:t>附表</w:t>
      </w:r>
      <w:bookmarkEnd w:id="109"/>
      <w:bookmarkEnd w:id="112"/>
      <w:bookmarkEnd w:id="113"/>
      <w:bookmarkEnd w:id="114"/>
    </w:p>
    <w:p w14:paraId="359F39B0">
      <w:pPr>
        <w:pStyle w:val="5"/>
        <w:rPr>
          <w:rFonts w:ascii="仿宋" w:hAnsi="仿宋" w:eastAsia="仿宋"/>
          <w:color w:val="000000"/>
        </w:rPr>
      </w:pPr>
      <w:bookmarkStart w:id="115" w:name="_Toc23912"/>
      <w:bookmarkStart w:id="116" w:name="_Toc79163636"/>
      <w:bookmarkStart w:id="117" w:name="_Toc15396619"/>
      <w:r>
        <w:rPr>
          <w:rFonts w:hint="eastAsia" w:ascii="仿宋" w:hAnsi="仿宋" w:eastAsia="仿宋"/>
          <w:b w:val="0"/>
          <w:color w:val="000000"/>
        </w:rPr>
        <w:t>一、收</w:t>
      </w:r>
      <w:r>
        <w:rPr>
          <w:rStyle w:val="30"/>
          <w:rFonts w:hint="eastAsia" w:ascii="仿宋" w:hAnsi="仿宋" w:eastAsia="仿宋"/>
          <w:b w:val="0"/>
          <w:bCs w:val="0"/>
        </w:rPr>
        <w:t>入支出决算总表</w:t>
      </w:r>
      <w:bookmarkEnd w:id="115"/>
      <w:bookmarkEnd w:id="116"/>
      <w:bookmarkEnd w:id="117"/>
    </w:p>
    <w:p w14:paraId="6922812E">
      <w:pPr>
        <w:pStyle w:val="5"/>
        <w:rPr>
          <w:rFonts w:ascii="仿宋" w:hAnsi="仿宋" w:eastAsia="仿宋"/>
          <w:color w:val="000000"/>
        </w:rPr>
      </w:pPr>
      <w:bookmarkStart w:id="118" w:name="_Toc10372"/>
      <w:bookmarkStart w:id="119" w:name="_Toc79163637"/>
      <w:bookmarkStart w:id="120" w:name="_Toc15396620"/>
      <w:r>
        <w:rPr>
          <w:rFonts w:hint="eastAsia" w:ascii="仿宋" w:hAnsi="仿宋" w:eastAsia="仿宋"/>
          <w:b w:val="0"/>
          <w:color w:val="000000"/>
        </w:rPr>
        <w:t>二、收</w:t>
      </w:r>
      <w:r>
        <w:rPr>
          <w:rStyle w:val="30"/>
          <w:rFonts w:hint="eastAsia" w:ascii="仿宋" w:hAnsi="仿宋" w:eastAsia="仿宋"/>
          <w:b w:val="0"/>
          <w:bCs w:val="0"/>
        </w:rPr>
        <w:t>入决算表</w:t>
      </w:r>
      <w:bookmarkEnd w:id="118"/>
      <w:bookmarkEnd w:id="119"/>
      <w:bookmarkEnd w:id="120"/>
    </w:p>
    <w:p w14:paraId="5BD5534F">
      <w:pPr>
        <w:pStyle w:val="5"/>
        <w:rPr>
          <w:rFonts w:ascii="仿宋" w:hAnsi="仿宋" w:eastAsia="仿宋"/>
          <w:color w:val="000000"/>
        </w:rPr>
      </w:pPr>
      <w:bookmarkStart w:id="121" w:name="_Toc15396621"/>
      <w:bookmarkStart w:id="122" w:name="_Toc22551"/>
      <w:bookmarkStart w:id="123" w:name="_Toc79163638"/>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121"/>
      <w:bookmarkEnd w:id="122"/>
      <w:bookmarkEnd w:id="123"/>
    </w:p>
    <w:p w14:paraId="109220CE">
      <w:pPr>
        <w:pStyle w:val="5"/>
        <w:rPr>
          <w:rFonts w:ascii="仿宋" w:hAnsi="仿宋" w:eastAsia="仿宋"/>
          <w:b w:val="0"/>
          <w:color w:val="000000"/>
        </w:rPr>
      </w:pPr>
      <w:bookmarkStart w:id="124" w:name="_Toc28052"/>
      <w:bookmarkStart w:id="125" w:name="_Toc15396622"/>
      <w:bookmarkStart w:id="126" w:name="_Toc79163639"/>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124"/>
      <w:bookmarkEnd w:id="125"/>
      <w:bookmarkEnd w:id="126"/>
    </w:p>
    <w:p w14:paraId="3322FE55">
      <w:pPr>
        <w:pStyle w:val="5"/>
        <w:rPr>
          <w:rStyle w:val="30"/>
          <w:rFonts w:ascii="仿宋" w:hAnsi="仿宋" w:eastAsia="仿宋"/>
          <w:b w:val="0"/>
          <w:bCs w:val="0"/>
        </w:rPr>
      </w:pPr>
      <w:bookmarkStart w:id="127" w:name="_Toc79163640"/>
      <w:bookmarkStart w:id="128" w:name="_Toc31661"/>
      <w:bookmarkStart w:id="129"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127"/>
      <w:bookmarkEnd w:id="128"/>
      <w:bookmarkEnd w:id="129"/>
      <w:bookmarkStart w:id="130" w:name="_Toc15396624"/>
    </w:p>
    <w:p w14:paraId="2D47D92F">
      <w:pPr>
        <w:pStyle w:val="5"/>
        <w:rPr>
          <w:rFonts w:ascii="仿宋" w:hAnsi="仿宋" w:eastAsia="仿宋"/>
          <w:color w:val="000000"/>
        </w:rPr>
      </w:pPr>
      <w:bookmarkStart w:id="131" w:name="_Toc79163641"/>
      <w:bookmarkStart w:id="132" w:name="_Toc29728"/>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130"/>
      <w:bookmarkEnd w:id="131"/>
      <w:bookmarkEnd w:id="132"/>
    </w:p>
    <w:p w14:paraId="1BE94821">
      <w:pPr>
        <w:pStyle w:val="5"/>
        <w:rPr>
          <w:rFonts w:ascii="仿宋" w:hAnsi="仿宋" w:eastAsia="仿宋"/>
          <w:color w:val="000000"/>
        </w:rPr>
      </w:pPr>
      <w:bookmarkStart w:id="133" w:name="_Toc15396625"/>
      <w:bookmarkStart w:id="134" w:name="_Toc79163642"/>
      <w:bookmarkStart w:id="135" w:name="_Toc14143"/>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133"/>
      <w:bookmarkEnd w:id="134"/>
      <w:bookmarkEnd w:id="135"/>
    </w:p>
    <w:p w14:paraId="684CA196">
      <w:pPr>
        <w:pStyle w:val="5"/>
        <w:rPr>
          <w:rFonts w:ascii="仿宋" w:hAnsi="仿宋" w:eastAsia="仿宋"/>
          <w:color w:val="000000"/>
        </w:rPr>
      </w:pPr>
      <w:bookmarkStart w:id="136" w:name="_Toc15396626"/>
      <w:bookmarkStart w:id="137" w:name="_Toc79163643"/>
      <w:bookmarkStart w:id="138" w:name="_Toc27243"/>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136"/>
      <w:bookmarkEnd w:id="137"/>
      <w:bookmarkEnd w:id="138"/>
    </w:p>
    <w:p w14:paraId="708B231F">
      <w:pPr>
        <w:pStyle w:val="5"/>
        <w:rPr>
          <w:rFonts w:ascii="仿宋" w:hAnsi="仿宋" w:eastAsia="仿宋"/>
          <w:color w:val="000000"/>
        </w:rPr>
      </w:pPr>
      <w:bookmarkStart w:id="139" w:name="_Toc79163644"/>
      <w:bookmarkStart w:id="140" w:name="_Toc15396627"/>
      <w:bookmarkStart w:id="141" w:name="_Toc5502"/>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139"/>
      <w:bookmarkEnd w:id="140"/>
      <w:bookmarkEnd w:id="141"/>
    </w:p>
    <w:p w14:paraId="6876E7CD">
      <w:pPr>
        <w:pStyle w:val="5"/>
        <w:rPr>
          <w:rFonts w:ascii="仿宋" w:hAnsi="仿宋" w:eastAsia="仿宋"/>
          <w:color w:val="000000"/>
        </w:rPr>
      </w:pPr>
      <w:bookmarkStart w:id="142" w:name="_Toc79163645"/>
      <w:bookmarkStart w:id="143" w:name="_Toc22516"/>
      <w:bookmarkStart w:id="144" w:name="_Toc15396628"/>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142"/>
      <w:bookmarkEnd w:id="143"/>
      <w:bookmarkEnd w:id="144"/>
    </w:p>
    <w:p w14:paraId="29CCC453">
      <w:pPr>
        <w:pStyle w:val="5"/>
        <w:rPr>
          <w:rFonts w:ascii="仿宋" w:hAnsi="仿宋" w:eastAsia="仿宋"/>
          <w:color w:val="000000"/>
        </w:rPr>
      </w:pPr>
      <w:bookmarkStart w:id="145" w:name="_Toc15396629"/>
      <w:bookmarkStart w:id="146" w:name="_Toc20787"/>
      <w:bookmarkStart w:id="147" w:name="_Toc79163646"/>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145"/>
      <w:bookmarkEnd w:id="146"/>
      <w:bookmarkEnd w:id="147"/>
    </w:p>
    <w:p w14:paraId="59040F93">
      <w:pPr>
        <w:pStyle w:val="5"/>
        <w:rPr>
          <w:rFonts w:ascii="仿宋" w:hAnsi="仿宋" w:eastAsia="仿宋"/>
          <w:color w:val="000000"/>
        </w:rPr>
      </w:pPr>
      <w:bookmarkStart w:id="148" w:name="_Toc15396630"/>
      <w:bookmarkStart w:id="149" w:name="_Toc79163647"/>
      <w:bookmarkStart w:id="150" w:name="_Toc1651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148"/>
      <w:bookmarkEnd w:id="149"/>
      <w:bookmarkEnd w:id="150"/>
    </w:p>
    <w:p w14:paraId="37EEF0F0">
      <w:pPr>
        <w:pStyle w:val="5"/>
        <w:rPr>
          <w:rStyle w:val="30"/>
          <w:rFonts w:ascii="仿宋" w:hAnsi="仿宋" w:eastAsia="仿宋"/>
          <w:b w:val="0"/>
          <w:bCs w:val="0"/>
        </w:rPr>
      </w:pPr>
      <w:bookmarkStart w:id="151" w:name="_Toc79163648"/>
      <w:bookmarkStart w:id="152" w:name="_Toc19124"/>
      <w:bookmarkStart w:id="153" w:name="_Toc15396631"/>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有资本经营预算财政拨款支出决算表</w:t>
      </w:r>
      <w:bookmarkEnd w:id="151"/>
      <w:bookmarkEnd w:id="152"/>
      <w:bookmarkEnd w:id="153"/>
    </w:p>
    <w:p w14:paraId="6E2D6BBA">
      <w:pPr>
        <w:pStyle w:val="5"/>
        <w:rPr>
          <w:rStyle w:val="30"/>
          <w:rFonts w:ascii="仿宋" w:hAnsi="仿宋" w:eastAsia="仿宋"/>
          <w:b w:val="0"/>
          <w:bCs w:val="0"/>
        </w:rPr>
      </w:pPr>
      <w:bookmarkStart w:id="154" w:name="_Toc10304"/>
      <w:bookmarkStart w:id="155" w:name="_Toc79163649"/>
      <w:r>
        <w:rPr>
          <w:rStyle w:val="30"/>
          <w:rFonts w:hint="eastAsia" w:ascii="仿宋" w:hAnsi="仿宋" w:eastAsia="仿宋"/>
          <w:b w:val="0"/>
          <w:bCs w:val="0"/>
        </w:rPr>
        <w:t>十四、国有资本经营预算财政拨款支出决算表</w:t>
      </w:r>
      <w:bookmarkEnd w:id="154"/>
      <w:bookmarkEnd w:id="155"/>
    </w:p>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
    <w:altName w:val="宋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93B3">
    <w:pPr>
      <w:pStyle w:val="14"/>
      <w:jc w:val="center"/>
    </w:pPr>
    <w:r>
      <w:fldChar w:fldCharType="begin"/>
    </w:r>
    <w:r>
      <w:instrText xml:space="preserve">PAGE   \* MERGEFORMAT</w:instrText>
    </w:r>
    <w:r>
      <w:fldChar w:fldCharType="separate"/>
    </w:r>
    <w:r>
      <w:t>25</w:t>
    </w:r>
    <w:r>
      <w:fldChar w:fldCharType="end"/>
    </w:r>
  </w:p>
  <w:p w14:paraId="0323FA2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B5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476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YmU3NGU2NGQ5ZDViNDUxMTZkNjBhMzg5ZjY4NT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2B96468"/>
    <w:rsid w:val="0A2032A3"/>
    <w:rsid w:val="10C055FF"/>
    <w:rsid w:val="111D6E87"/>
    <w:rsid w:val="118107EC"/>
    <w:rsid w:val="163C4F8E"/>
    <w:rsid w:val="16BB723D"/>
    <w:rsid w:val="1C0D7D76"/>
    <w:rsid w:val="1D155CEE"/>
    <w:rsid w:val="1F8A45CD"/>
    <w:rsid w:val="22437A53"/>
    <w:rsid w:val="240371BF"/>
    <w:rsid w:val="257E6913"/>
    <w:rsid w:val="29FD04D3"/>
    <w:rsid w:val="2D004C0F"/>
    <w:rsid w:val="2D0637A8"/>
    <w:rsid w:val="319F7F4E"/>
    <w:rsid w:val="326B7F22"/>
    <w:rsid w:val="335C6514"/>
    <w:rsid w:val="3B015A41"/>
    <w:rsid w:val="4ECE2238"/>
    <w:rsid w:val="588A4517"/>
    <w:rsid w:val="5D1555AB"/>
    <w:rsid w:val="5DC97BCB"/>
    <w:rsid w:val="5F385194"/>
    <w:rsid w:val="61CB62CF"/>
    <w:rsid w:val="68F853FB"/>
    <w:rsid w:val="6ACB1886"/>
    <w:rsid w:val="6C4A05C8"/>
    <w:rsid w:val="6E4D34AC"/>
    <w:rsid w:val="72734D90"/>
    <w:rsid w:val="73944A74"/>
    <w:rsid w:val="7F076C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index 8"/>
    <w:basedOn w:val="1"/>
    <w:next w:val="1"/>
    <w:unhideWhenUsed/>
    <w:qFormat/>
    <w:uiPriority w:val="99"/>
    <w:pPr>
      <w:ind w:left="2940"/>
    </w:pPr>
  </w:style>
  <w:style w:type="paragraph" w:styleId="9">
    <w:name w:val="Body Text"/>
    <w:basedOn w:val="1"/>
    <w:next w:val="8"/>
    <w:link w:val="38"/>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3"/>
    <w:semiHidden/>
    <w:unhideWhenUsed/>
    <w:qFormat/>
    <w:uiPriority w:val="99"/>
    <w:rPr>
      <w:sz w:val="18"/>
      <w:szCs w:val="18"/>
    </w:rPr>
  </w:style>
  <w:style w:type="paragraph" w:styleId="14">
    <w:name w:val="footer"/>
    <w:basedOn w:val="1"/>
    <w:link w:val="37"/>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6"/>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footnote text"/>
    <w:basedOn w:val="1"/>
    <w:next w:val="2"/>
    <w:semiHidden/>
    <w:qFormat/>
    <w:uiPriority w:val="0"/>
    <w:pPr>
      <w:snapToGrid w:val="0"/>
      <w:jc w:val="left"/>
    </w:pPr>
    <w:rPr>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1">
    <w:name w:val="toc 2"/>
    <w:basedOn w:val="1"/>
    <w:next w:val="1"/>
    <w:unhideWhenUsed/>
    <w:qFormat/>
    <w:uiPriority w:val="39"/>
    <w:pPr>
      <w:ind w:left="210"/>
      <w:jc w:val="left"/>
    </w:pPr>
    <w:rPr>
      <w:rFonts w:asciiTheme="minorHAnsi" w:eastAsiaTheme="minorHAnsi"/>
      <w:smallCaps/>
      <w:sz w:val="20"/>
      <w:szCs w:val="20"/>
    </w:rPr>
  </w:style>
  <w:style w:type="paragraph" w:styleId="22">
    <w:name w:val="toc 9"/>
    <w:basedOn w:val="1"/>
    <w:next w:val="1"/>
    <w:unhideWhenUsed/>
    <w:qFormat/>
    <w:uiPriority w:val="39"/>
    <w:pPr>
      <w:ind w:left="1680"/>
      <w:jc w:val="left"/>
    </w:pPr>
    <w:rPr>
      <w:rFonts w:asciiTheme="minorHAnsi" w:eastAsiaTheme="minorHAnsi"/>
      <w:sz w:val="18"/>
      <w:szCs w:val="18"/>
    </w:rPr>
  </w:style>
  <w:style w:type="paragraph" w:styleId="23">
    <w:name w:val="Normal (Web)"/>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26">
    <w:name w:val="Strong"/>
    <w:basedOn w:val="25"/>
    <w:qFormat/>
    <w:uiPriority w:val="99"/>
    <w:rPr>
      <w:rFonts w:cs="Times New Roman"/>
      <w:b/>
    </w:rPr>
  </w:style>
  <w:style w:type="character" w:styleId="27">
    <w:name w:val="Hyperlink"/>
    <w:basedOn w:val="25"/>
    <w:unhideWhenUsed/>
    <w:qFormat/>
    <w:uiPriority w:val="99"/>
    <w:rPr>
      <w:rFonts w:cs="Times New Roman"/>
      <w:color w:val="0000FF"/>
      <w:u w:val="single"/>
    </w:rPr>
  </w:style>
  <w:style w:type="paragraph" w:customStyle="1" w:styleId="28">
    <w:name w:val="列出段落1"/>
    <w:basedOn w:val="1"/>
    <w:qFormat/>
    <w:uiPriority w:val="34"/>
    <w:pPr>
      <w:ind w:firstLine="420" w:firstLineChars="200"/>
    </w:pPr>
    <w:rPr>
      <w:rFonts w:ascii="Calibri" w:hAnsi="Calibri" w:eastAsia="宋体" w:cs="Times New Roman"/>
    </w:rPr>
  </w:style>
  <w:style w:type="character" w:customStyle="1" w:styleId="29">
    <w:name w:val="标题 1 Char"/>
    <w:basedOn w:val="25"/>
    <w:link w:val="4"/>
    <w:qFormat/>
    <w:locked/>
    <w:uiPriority w:val="9"/>
    <w:rPr>
      <w:rFonts w:ascii="Times New Roman" w:hAnsi="Times New Roman" w:cs="Times New Roman"/>
      <w:b/>
      <w:bCs/>
      <w:kern w:val="44"/>
      <w:sz w:val="44"/>
      <w:szCs w:val="44"/>
    </w:rPr>
  </w:style>
  <w:style w:type="character" w:customStyle="1" w:styleId="30">
    <w:name w:val="标题 2 Char"/>
    <w:basedOn w:val="25"/>
    <w:link w:val="5"/>
    <w:qFormat/>
    <w:locked/>
    <w:uiPriority w:val="9"/>
    <w:rPr>
      <w:rFonts w:ascii="Cambria" w:hAnsi="Cambria" w:eastAsia="宋体" w:cs="Times New Roman"/>
      <w:b/>
      <w:bCs/>
      <w:kern w:val="2"/>
      <w:sz w:val="32"/>
      <w:szCs w:val="32"/>
    </w:rPr>
  </w:style>
  <w:style w:type="character" w:customStyle="1" w:styleId="31">
    <w:name w:val="标题 3 Char"/>
    <w:basedOn w:val="25"/>
    <w:link w:val="6"/>
    <w:qFormat/>
    <w:locked/>
    <w:uiPriority w:val="9"/>
    <w:rPr>
      <w:rFonts w:ascii="Times New Roman" w:hAnsi="Times New Roman" w:cs="Times New Roman"/>
      <w:b/>
      <w:bCs/>
      <w:kern w:val="2"/>
      <w:sz w:val="32"/>
      <w:szCs w:val="32"/>
    </w:rPr>
  </w:style>
  <w:style w:type="character" w:customStyle="1" w:styleId="32">
    <w:name w:val="Body Text Char"/>
    <w:basedOn w:val="25"/>
    <w:semiHidden/>
    <w:qFormat/>
    <w:uiPriority w:val="99"/>
    <w:rPr>
      <w:rFonts w:ascii="Times New Roman" w:hAnsi="Times New Roman" w:cs="Times New Roman"/>
      <w:sz w:val="24"/>
      <w:szCs w:val="24"/>
    </w:rPr>
  </w:style>
  <w:style w:type="character" w:customStyle="1" w:styleId="33">
    <w:name w:val="批注框文本 Char"/>
    <w:basedOn w:val="25"/>
    <w:link w:val="13"/>
    <w:semiHidden/>
    <w:qFormat/>
    <w:locked/>
    <w:uiPriority w:val="99"/>
    <w:rPr>
      <w:rFonts w:ascii="Times New Roman" w:hAnsi="Times New Roman" w:cs="Times New Roman"/>
      <w:kern w:val="2"/>
      <w:sz w:val="18"/>
      <w:szCs w:val="18"/>
    </w:rPr>
  </w:style>
  <w:style w:type="character" w:customStyle="1" w:styleId="34">
    <w:name w:val="Footer Char"/>
    <w:basedOn w:val="25"/>
    <w:semiHidden/>
    <w:qFormat/>
    <w:uiPriority w:val="99"/>
    <w:rPr>
      <w:rFonts w:ascii="Times New Roman" w:hAnsi="Times New Roman" w:cs="Times New Roman"/>
      <w:sz w:val="18"/>
      <w:szCs w:val="18"/>
    </w:rPr>
  </w:style>
  <w:style w:type="character" w:customStyle="1" w:styleId="35">
    <w:name w:val="Header Char"/>
    <w:basedOn w:val="25"/>
    <w:semiHidden/>
    <w:qFormat/>
    <w:uiPriority w:val="99"/>
    <w:rPr>
      <w:rFonts w:ascii="Times New Roman" w:hAnsi="Times New Roman" w:cs="Times New Roman"/>
      <w:sz w:val="18"/>
      <w:szCs w:val="18"/>
    </w:rPr>
  </w:style>
  <w:style w:type="character" w:customStyle="1" w:styleId="36">
    <w:name w:val="页眉 Char"/>
    <w:link w:val="15"/>
    <w:semiHidden/>
    <w:qFormat/>
    <w:locked/>
    <w:uiPriority w:val="99"/>
    <w:rPr>
      <w:sz w:val="18"/>
    </w:rPr>
  </w:style>
  <w:style w:type="character" w:customStyle="1" w:styleId="37">
    <w:name w:val="页脚 Char"/>
    <w:link w:val="14"/>
    <w:qFormat/>
    <w:locked/>
    <w:uiPriority w:val="99"/>
    <w:rPr>
      <w:sz w:val="18"/>
    </w:rPr>
  </w:style>
  <w:style w:type="character" w:customStyle="1" w:styleId="38">
    <w:name w:val="正文文本 Char"/>
    <w:link w:val="9"/>
    <w:qFormat/>
    <w:locked/>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[2023信访决算图表.xls]Sheet1!$A$3:$B$3</c:f>
              <c:strCache>
                <c:ptCount val="2"/>
                <c:pt idx="0">
                  <c:v>2022年</c:v>
                </c:pt>
                <c:pt idx="1">
                  <c:v>2023年</c:v>
                </c:pt>
              </c:strCache>
            </c:strRef>
          </c:cat>
          <c:val>
            <c:numRef>
              <c:f>[2023信访决算图表.xls]Sheet1!$A$4:$B$4</c:f>
              <c:numCache>
                <c:formatCode>#,##0.00</c:formatCode>
                <c:ptCount val="2"/>
                <c:pt idx="0">
                  <c:v>187.53</c:v>
                </c:pt>
                <c:pt idx="1">
                  <c:v>134.53</c:v>
                </c:pt>
              </c:numCache>
            </c:numRef>
          </c:val>
        </c:ser>
        <c:dLbls>
          <c:showLegendKey val="0"/>
          <c:showVal val="0"/>
          <c:showCatName val="0"/>
          <c:showSerName val="0"/>
          <c:showPercent val="0"/>
          <c:showBubbleSize val="0"/>
        </c:dLbls>
        <c:gapWidth val="219"/>
        <c:overlap val="-27"/>
        <c:axId val="206347515"/>
        <c:axId val="758525655"/>
      </c:barChart>
      <c:catAx>
        <c:axId val="20634751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525655"/>
        <c:crosses val="autoZero"/>
        <c:auto val="1"/>
        <c:lblAlgn val="ctr"/>
        <c:lblOffset val="100"/>
        <c:noMultiLvlLbl val="0"/>
      </c:catAx>
      <c:valAx>
        <c:axId val="7585256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3475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[2023信访决算图表.xls]Sheet1!$A$24:$B$24</c:f>
              <c:strCache>
                <c:ptCount val="2"/>
                <c:pt idx="0">
                  <c:v>2022年</c:v>
                </c:pt>
                <c:pt idx="1">
                  <c:v>2023年</c:v>
                </c:pt>
              </c:strCache>
            </c:strRef>
          </c:cat>
          <c:val>
            <c:numRef>
              <c:f>[2023信访决算图表.xls]Sheet1!$A$25:$B$25</c:f>
              <c:numCache>
                <c:formatCode>#,##0.00</c:formatCode>
                <c:ptCount val="2"/>
                <c:pt idx="0">
                  <c:v>188.55</c:v>
                </c:pt>
                <c:pt idx="1">
                  <c:v>134.53</c:v>
                </c:pt>
              </c:numCache>
            </c:numRef>
          </c:val>
        </c:ser>
        <c:dLbls>
          <c:showLegendKey val="0"/>
          <c:showVal val="0"/>
          <c:showCatName val="0"/>
          <c:showSerName val="0"/>
          <c:showPercent val="0"/>
          <c:showBubbleSize val="0"/>
        </c:dLbls>
        <c:gapWidth val="219"/>
        <c:overlap val="-27"/>
        <c:axId val="341655944"/>
        <c:axId val="724386277"/>
      </c:barChart>
      <c:catAx>
        <c:axId val="3416559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386277"/>
        <c:crosses val="autoZero"/>
        <c:auto val="1"/>
        <c:lblAlgn val="ctr"/>
        <c:lblOffset val="100"/>
        <c:noMultiLvlLbl val="0"/>
      </c:catAx>
      <c:valAx>
        <c:axId val="72438627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655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财政拨款收入</c:v>
                </c:pt>
              </c:strCache>
            </c:strRef>
          </c:cat>
          <c:val>
            <c:numRef>
              <c:f>Sheet1!$B$2</c:f>
              <c:numCache>
                <c:formatCode>General</c:formatCode>
                <c:ptCount val="1"/>
                <c:pt idx="0">
                  <c:v>179.77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222.55</c:v>
                </c:pt>
                <c:pt idx="1">
                  <c:v>0</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[2023信访决算图表.xls]Sheet1!$A$83:$B$83</c:f>
              <c:strCache>
                <c:ptCount val="2"/>
                <c:pt idx="0">
                  <c:v>2022年</c:v>
                </c:pt>
                <c:pt idx="1">
                  <c:v>2023年</c:v>
                </c:pt>
              </c:strCache>
            </c:strRef>
          </c:cat>
          <c:val>
            <c:numRef>
              <c:f>[2023信访决算图表.xls]Sheet1!$A$84:$B$84</c:f>
              <c:numCache>
                <c:formatCode>#,##0.00</c:formatCode>
                <c:ptCount val="2"/>
                <c:pt idx="0">
                  <c:v>187.53</c:v>
                </c:pt>
                <c:pt idx="1">
                  <c:v>134.53</c:v>
                </c:pt>
              </c:numCache>
            </c:numRef>
          </c:val>
        </c:ser>
        <c:dLbls>
          <c:showLegendKey val="0"/>
          <c:showVal val="0"/>
          <c:showCatName val="0"/>
          <c:showSerName val="0"/>
          <c:showPercent val="0"/>
          <c:showBubbleSize val="0"/>
        </c:dLbls>
        <c:gapWidth val="219"/>
        <c:overlap val="-27"/>
        <c:axId val="298052255"/>
        <c:axId val="536592220"/>
      </c:barChart>
      <c:catAx>
        <c:axId val="29805225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592220"/>
        <c:crosses val="autoZero"/>
        <c:auto val="1"/>
        <c:lblAlgn val="ctr"/>
        <c:lblOffset val="100"/>
        <c:noMultiLvlLbl val="0"/>
      </c:catAx>
      <c:valAx>
        <c:axId val="5365922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8052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[2023信访决算图表.xls]Sheet1!$A$100:$B$100</c:f>
              <c:strCache>
                <c:ptCount val="2"/>
                <c:pt idx="0">
                  <c:v>2022年</c:v>
                </c:pt>
                <c:pt idx="1">
                  <c:v>2023年</c:v>
                </c:pt>
              </c:strCache>
            </c:strRef>
          </c:cat>
          <c:val>
            <c:numRef>
              <c:f>[2023信访决算图表.xls]Sheet1!$A$101:$B$101</c:f>
              <c:numCache>
                <c:formatCode>#,##0.00</c:formatCode>
                <c:ptCount val="2"/>
                <c:pt idx="0">
                  <c:v>188.55</c:v>
                </c:pt>
                <c:pt idx="1">
                  <c:v>134.53</c:v>
                </c:pt>
              </c:numCache>
            </c:numRef>
          </c:val>
        </c:ser>
        <c:dLbls>
          <c:showLegendKey val="0"/>
          <c:showVal val="0"/>
          <c:showCatName val="0"/>
          <c:showSerName val="0"/>
          <c:showPercent val="0"/>
          <c:showBubbleSize val="0"/>
        </c:dLbls>
        <c:gapWidth val="219"/>
        <c:overlap val="-27"/>
        <c:axId val="535273489"/>
        <c:axId val="198440663"/>
      </c:barChart>
      <c:catAx>
        <c:axId val="53527348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440663"/>
        <c:crosses val="autoZero"/>
        <c:auto val="1"/>
        <c:lblAlgn val="ctr"/>
        <c:lblOffset val="100"/>
        <c:noMultiLvlLbl val="0"/>
      </c:catAx>
      <c:valAx>
        <c:axId val="19844066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2734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[2023信访决算图表.xls]Sheet1!$A$116:$B$116</c:f>
              <c:strCache>
                <c:ptCount val="2"/>
                <c:pt idx="0">
                  <c:v>2022年</c:v>
                </c:pt>
                <c:pt idx="1">
                  <c:v>2023年</c:v>
                </c:pt>
              </c:strCache>
            </c:strRef>
          </c:cat>
          <c:val>
            <c:numRef>
              <c:f>[2023信访决算图表.xls]Sheet1!$A$117:$B$117</c:f>
              <c:numCache>
                <c:formatCode>#,##0.00</c:formatCode>
                <c:ptCount val="2"/>
                <c:pt idx="0">
                  <c:v>188.55</c:v>
                </c:pt>
                <c:pt idx="1">
                  <c:v>134.53</c:v>
                </c:pt>
              </c:numCache>
            </c:numRef>
          </c:val>
        </c:ser>
        <c:dLbls>
          <c:showLegendKey val="0"/>
          <c:showVal val="0"/>
          <c:showCatName val="0"/>
          <c:showSerName val="0"/>
          <c:showPercent val="0"/>
          <c:showBubbleSize val="0"/>
        </c:dLbls>
        <c:gapWidth val="219"/>
        <c:overlap val="-27"/>
        <c:axId val="254606711"/>
        <c:axId val="137861572"/>
      </c:barChart>
      <c:catAx>
        <c:axId val="2546067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861572"/>
        <c:crosses val="autoZero"/>
        <c:auto val="1"/>
        <c:lblAlgn val="ctr"/>
        <c:lblOffset val="100"/>
        <c:noMultiLvlLbl val="0"/>
      </c:catAx>
      <c:valAx>
        <c:axId val="1378615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6067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[2023信访决算图表.xls]Sheet1!$C$140:$C$143</c:f>
              <c:strCache>
                <c:ptCount val="4"/>
                <c:pt idx="0">
                  <c:v>一般公共服务</c:v>
                </c:pt>
                <c:pt idx="1">
                  <c:v>社会保障和就业支出</c:v>
                </c:pt>
                <c:pt idx="2">
                  <c:v>卫生健康支出</c:v>
                </c:pt>
                <c:pt idx="3">
                  <c:v>住房保障支出</c:v>
                </c:pt>
              </c:strCache>
            </c:strRef>
          </c:cat>
          <c:val>
            <c:numRef>
              <c:f>[2023信访决算图表.xls]Sheet1!$D$140:$D$143</c:f>
              <c:numCache>
                <c:formatCode>General</c:formatCode>
                <c:ptCount val="4"/>
                <c:pt idx="0">
                  <c:v>100.64</c:v>
                </c:pt>
                <c:pt idx="1" c:formatCode="#,##0.00">
                  <c:v>17.52</c:v>
                </c:pt>
                <c:pt idx="2" c:formatCode="#,##0.00">
                  <c:v>6.98</c:v>
                </c:pt>
                <c:pt idx="3" c:formatCode="#,##0.00">
                  <c:v>9.38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elete val="1"/>
          </c:dLbls>
          <c:cat>
            <c:strRef>
              <c:f>[决算公开分析图表.xls]Sheet1!$A$164:$A$166</c:f>
              <c:strCache>
                <c:ptCount val="3"/>
                <c:pt idx="0">
                  <c:v>因公出国（境）费</c:v>
                </c:pt>
                <c:pt idx="1">
                  <c:v>公务接待费</c:v>
                </c:pt>
                <c:pt idx="2">
                  <c:v>公务用车购置及运行维护费</c:v>
                </c:pt>
              </c:strCache>
            </c:strRef>
          </c:cat>
          <c:val>
            <c:numRef>
              <c:f>[决算公开分析图表.xls]Sheet1!$B$164:$B$166</c:f>
              <c:numCache>
                <c:formatCode>General</c:formatCode>
                <c:ptCount val="3"/>
                <c:pt idx="0">
                  <c:v>0</c:v>
                </c:pt>
                <c:pt idx="1">
                  <c:v>0</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4917</Words>
  <Characters>5316</Characters>
  <Lines>74</Lines>
  <Paragraphs>21</Paragraphs>
  <TotalTime>28</TotalTime>
  <ScaleCrop>false</ScaleCrop>
  <LinksUpToDate>false</LinksUpToDate>
  <CharactersWithSpaces>5368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Lenovo</cp:lastModifiedBy>
  <cp:lastPrinted>2021-07-29T03:56:00Z</cp:lastPrinted>
  <dcterms:modified xsi:type="dcterms:W3CDTF">2024-10-23T02:07:48Z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EBC5087BDAE9456789F12866FE243076_13</vt:lpwstr>
  </property>
</Properties>
</file>