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77425"/>
      <w:bookmarkStart w:id="3" w:name="_Toc15378441"/>
      <w:bookmarkStart w:id="4" w:name="_Toc15396475"/>
      <w:bookmarkStart w:id="5" w:name="_Toc15396597"/>
      <w:bookmarkStart w:id="72" w:name="_GoBack"/>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194"/>
      <w:bookmarkStart w:id="7" w:name="_Toc15377426"/>
      <w:bookmarkStart w:id="8" w:name="_Toc15378442"/>
      <w:bookmarkStart w:id="9" w:name="_Toc15396476"/>
      <w:bookmarkStart w:id="10" w:name="_Toc15396598"/>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壤塘县群众和信访工作局部门决算</w:t>
      </w:r>
      <w:bookmarkEnd w:id="6"/>
      <w:bookmarkEnd w:id="7"/>
      <w:bookmarkEnd w:id="8"/>
      <w:bookmarkEnd w:id="9"/>
      <w:bookmarkEnd w:id="10"/>
      <w:bookmarkEnd w:id="11"/>
    </w:p>
    <w:bookmarkEnd w:id="72"/>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
      <w:pPr>
        <w:pStyle w:val="10"/>
        <w:rPr>
          <w:rFonts w:cstheme="minorBidi"/>
        </w:rPr>
      </w:pPr>
      <w:r>
        <w:fldChar w:fldCharType="begin"/>
      </w:r>
      <w:r>
        <w:instrText xml:space="preserve"> HYPERLINK \l "_Toc15396599" </w:instrText>
      </w:r>
      <w:r>
        <w:fldChar w:fldCharType="separate"/>
      </w:r>
      <w:r>
        <w:rPr>
          <w:rStyle w:val="14"/>
          <w:rFonts w:hint="eastAsia"/>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4"/>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4"/>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4"/>
          <w:rFonts w:hint="eastAsia"/>
        </w:rPr>
        <w:t>第二部分</w:t>
      </w:r>
      <w:r>
        <w:rPr>
          <w:rStyle w:val="14"/>
        </w:rPr>
        <w:t xml:space="preserve"> 2018</w:t>
      </w:r>
      <w:r>
        <w:rPr>
          <w:rStyle w:val="14"/>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4"/>
          <w:rFonts w:hint="eastAsia" w:ascii="仿宋" w:hAnsi="仿宋" w:eastAsia="仿宋" w:cstheme="majorBidi"/>
          <w:bCs/>
          <w:sz w:val="28"/>
          <w:szCs w:val="28"/>
        </w:rPr>
        <w:t>一、</w:t>
      </w:r>
      <w:r>
        <w:rPr>
          <w:rStyle w:val="14"/>
          <w:rFonts w:hint="eastAsia" w:ascii="仿宋" w:hAnsi="仿宋" w:eastAsia="仿宋"/>
          <w:sz w:val="28"/>
          <w:szCs w:val="28"/>
        </w:rPr>
        <w:t>收</w:t>
      </w:r>
      <w:r>
        <w:rPr>
          <w:rStyle w:val="14"/>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4"/>
          <w:rFonts w:hint="eastAsia" w:ascii="仿宋" w:hAnsi="仿宋" w:eastAsia="仿宋" w:cstheme="majorBidi"/>
          <w:bCs/>
          <w:sz w:val="28"/>
          <w:szCs w:val="28"/>
        </w:rPr>
        <w:t>二、</w:t>
      </w:r>
      <w:r>
        <w:rPr>
          <w:rStyle w:val="14"/>
          <w:rFonts w:hint="eastAsia" w:ascii="仿宋" w:hAnsi="仿宋" w:eastAsia="仿宋"/>
          <w:sz w:val="28"/>
          <w:szCs w:val="28"/>
        </w:rPr>
        <w:t>收</w:t>
      </w:r>
      <w:r>
        <w:rPr>
          <w:rStyle w:val="14"/>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4"/>
          <w:rFonts w:hint="eastAsia" w:ascii="仿宋" w:hAnsi="仿宋" w:eastAsia="仿宋" w:cstheme="majorBidi"/>
          <w:bCs/>
          <w:sz w:val="28"/>
          <w:szCs w:val="28"/>
        </w:rPr>
        <w:t>三、</w:t>
      </w:r>
      <w:r>
        <w:rPr>
          <w:rStyle w:val="14"/>
          <w:rFonts w:hint="eastAsia" w:ascii="仿宋" w:hAnsi="仿宋" w:eastAsia="仿宋"/>
          <w:sz w:val="28"/>
          <w:szCs w:val="28"/>
        </w:rPr>
        <w:t>支</w:t>
      </w:r>
      <w:r>
        <w:rPr>
          <w:rStyle w:val="14"/>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4"/>
          <w:rFonts w:hint="eastAsia" w:ascii="仿宋" w:hAnsi="仿宋" w:eastAsia="仿宋"/>
          <w:sz w:val="28"/>
          <w:szCs w:val="28"/>
        </w:rPr>
        <w:t>四、财</w:t>
      </w:r>
      <w:r>
        <w:rPr>
          <w:rStyle w:val="14"/>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4"/>
          <w:rFonts w:hint="eastAsia" w:ascii="仿宋" w:hAnsi="仿宋" w:eastAsia="仿宋"/>
          <w:sz w:val="28"/>
          <w:szCs w:val="28"/>
        </w:rPr>
        <w:t>五、一</w:t>
      </w:r>
      <w:r>
        <w:rPr>
          <w:rStyle w:val="14"/>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4"/>
          <w:rFonts w:hint="eastAsia" w:ascii="仿宋" w:hAnsi="仿宋" w:eastAsia="仿宋"/>
          <w:sz w:val="28"/>
          <w:szCs w:val="28"/>
        </w:rPr>
        <w:t>六、一</w:t>
      </w:r>
      <w:r>
        <w:rPr>
          <w:rStyle w:val="14"/>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4"/>
          <w:rFonts w:hint="eastAsia" w:ascii="仿宋" w:hAnsi="仿宋" w:eastAsia="仿宋"/>
          <w:sz w:val="28"/>
          <w:szCs w:val="28"/>
        </w:rPr>
        <w:t>七、</w:t>
      </w:r>
      <w:r>
        <w:rPr>
          <w:rStyle w:val="14"/>
          <w:rFonts w:ascii="仿宋" w:hAnsi="仿宋" w:eastAsia="仿宋"/>
          <w:sz w:val="28"/>
          <w:szCs w:val="28"/>
        </w:rPr>
        <w:t>“</w:t>
      </w:r>
      <w:r>
        <w:rPr>
          <w:rStyle w:val="14"/>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4"/>
          <w:rFonts w:hint="eastAsia" w:ascii="仿宋" w:hAnsi="仿宋" w:eastAsia="仿宋"/>
          <w:sz w:val="28"/>
          <w:szCs w:val="28"/>
        </w:rPr>
        <w:t>八、</w:t>
      </w:r>
      <w:r>
        <w:rPr>
          <w:rStyle w:val="14"/>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pPr>
      <w:r>
        <w:fldChar w:fldCharType="begin"/>
      </w:r>
      <w:r>
        <w:instrText xml:space="preserve"> HYPERLINK \l "_Toc15396611" </w:instrText>
      </w:r>
      <w:r>
        <w:fldChar w:fldCharType="separate"/>
      </w:r>
      <w:r>
        <w:rPr>
          <w:rStyle w:val="14"/>
          <w:rFonts w:hint="eastAsia" w:ascii="仿宋" w:hAnsi="仿宋" w:eastAsia="仿宋" w:cstheme="majorBidi"/>
          <w:bCs/>
          <w:sz w:val="28"/>
          <w:szCs w:val="28"/>
        </w:rPr>
        <w:t>九、</w:t>
      </w:r>
      <w:r>
        <w:rPr>
          <w:rStyle w:val="14"/>
          <w:rFonts w:hint="eastAsia" w:ascii="仿宋" w:hAnsi="仿宋" w:eastAsia="仿宋"/>
          <w:sz w:val="28"/>
          <w:szCs w:val="28"/>
        </w:rPr>
        <w:t xml:space="preserve"> 国</w:t>
      </w:r>
      <w:r>
        <w:rPr>
          <w:rStyle w:val="14"/>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rPr>
          <w:color w:val="000000" w:themeColor="text1"/>
        </w:rPr>
      </w:pPr>
      <w:r>
        <w:rPr>
          <w:rFonts w:hint="eastAsia"/>
        </w:rPr>
        <w:t xml:space="preserve">    </w:t>
      </w:r>
      <w:r>
        <w:rPr>
          <w:rStyle w:val="14"/>
          <w:rFonts w:hint="eastAsia" w:ascii="仿宋" w:hAnsi="仿宋" w:eastAsia="仿宋" w:cstheme="majorBidi"/>
          <w:bCs/>
          <w:color w:val="000000" w:themeColor="text1"/>
          <w:sz w:val="28"/>
          <w:szCs w:val="28"/>
          <w:u w:val="none"/>
        </w:rPr>
        <w:t>十、预算绩效情况说明</w:t>
      </w:r>
      <w:r>
        <w:rPr>
          <w:rStyle w:val="14"/>
          <w:rFonts w:ascii="仿宋" w:hAnsi="仿宋" w:eastAsia="仿宋" w:cstheme="majorBidi"/>
          <w:bCs/>
          <w:color w:val="000000" w:themeColor="text1"/>
          <w:sz w:val="28"/>
          <w:szCs w:val="28"/>
          <w:u w:val="none"/>
        </w:rPr>
        <w:t>…………………………………………</w:t>
      </w:r>
      <w:r>
        <w:rPr>
          <w:rStyle w:val="14"/>
          <w:rFonts w:hint="eastAsia" w:ascii="仿宋" w:hAnsi="仿宋" w:eastAsia="仿宋" w:cstheme="majorBidi"/>
          <w:bCs/>
          <w:color w:val="000000" w:themeColor="text1"/>
          <w:sz w:val="28"/>
          <w:szCs w:val="28"/>
          <w:u w:val="none"/>
        </w:rPr>
        <w:t xml:space="preserve">  13</w:t>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4"/>
          <w:rFonts w:hint="eastAsia" w:ascii="仿宋" w:hAnsi="仿宋" w:eastAsia="仿宋"/>
          <w:sz w:val="28"/>
          <w:szCs w:val="28"/>
        </w:rPr>
        <w:t>十</w:t>
      </w:r>
      <w:r>
        <w:rPr>
          <w:rStyle w:val="14"/>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4"/>
          <w:rFonts w:hint="eastAsia"/>
          <w:bCs/>
          <w:kern w:val="44"/>
        </w:rPr>
        <w:t>第三部分</w:t>
      </w:r>
      <w:r>
        <w:rPr>
          <w:rStyle w:val="14"/>
          <w:rFonts w:hint="eastAsia"/>
        </w:rPr>
        <w:t xml:space="preserve"> 名</w:t>
      </w:r>
      <w:r>
        <w:rPr>
          <w:rStyle w:val="14"/>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4"/>
          <w:rFonts w:hint="eastAsia"/>
        </w:rPr>
        <w:t>第</w:t>
      </w:r>
      <w:r>
        <w:rPr>
          <w:rStyle w:val="14"/>
          <w:rFonts w:hint="eastAsia"/>
          <w:bCs/>
          <w:kern w:val="44"/>
        </w:rPr>
        <w:t>四部分附件</w:t>
      </w:r>
      <w:r>
        <w:tab/>
      </w:r>
      <w:r>
        <w:fldChar w:fldCharType="begin"/>
      </w:r>
      <w:r>
        <w:instrText xml:space="preserve"> PAGEREF _Toc15396614 \h </w:instrText>
      </w:r>
      <w:r>
        <w:fldChar w:fldCharType="separate"/>
      </w:r>
      <w:r>
        <w:t>19</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4"/>
          <w:rFonts w:hint="eastAsia" w:ascii="仿宋" w:hAnsi="仿宋" w:eastAsia="仿宋"/>
          <w:kern w:val="44"/>
          <w:sz w:val="28"/>
          <w:szCs w:val="28"/>
        </w:rPr>
        <w:t>附件</w:t>
      </w:r>
      <w:r>
        <w:rPr>
          <w:rStyle w:val="14"/>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4"/>
          <w:rFonts w:hint="eastAsia" w:ascii="仿宋" w:hAnsi="仿宋" w:eastAsia="仿宋"/>
          <w:kern w:val="44"/>
          <w:sz w:val="28"/>
          <w:szCs w:val="28"/>
        </w:rPr>
        <w:t>附件</w:t>
      </w:r>
      <w:r>
        <w:rPr>
          <w:rStyle w:val="14"/>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4"/>
          <w:rFonts w:hint="eastAsia"/>
        </w:rPr>
        <w:t>第</w:t>
      </w:r>
      <w:r>
        <w:rPr>
          <w:rStyle w:val="14"/>
          <w:rFonts w:hint="eastAsia"/>
          <w:bCs/>
          <w:kern w:val="44"/>
        </w:rPr>
        <w:t>五部分附表</w:t>
      </w:r>
      <w:r>
        <w:tab/>
      </w:r>
      <w:r>
        <w:fldChar w:fldCharType="begin"/>
      </w:r>
      <w:r>
        <w:instrText xml:space="preserve"> PAGEREF _Toc15396618 \h </w:instrText>
      </w:r>
      <w:r>
        <w:fldChar w:fldCharType="separate"/>
      </w:r>
      <w:r>
        <w:t>22</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4"/>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4"/>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4"/>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4"/>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4"/>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4"/>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4"/>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4"/>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4"/>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4"/>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4"/>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4"/>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p>
    <w:p>
      <w:pPr>
        <w:spacing w:line="560" w:lineRule="exact"/>
        <w:ind w:firstLine="640" w:firstLineChars="200"/>
        <w:rPr>
          <w:rFonts w:ascii="仿宋_GB2312" w:eastAsia="仿宋_GB2312"/>
          <w:sz w:val="32"/>
          <w:szCs w:val="22"/>
        </w:rPr>
      </w:pPr>
      <w:r>
        <w:rPr>
          <w:rFonts w:hint="eastAsia" w:ascii="仿宋_GB2312" w:eastAsia="仿宋_GB2312"/>
          <w:sz w:val="32"/>
          <w:szCs w:val="22"/>
        </w:rPr>
        <w:t>一、</w:t>
      </w:r>
      <w:r>
        <w:rPr>
          <w:rFonts w:ascii="仿宋_GB2312" w:eastAsia="仿宋_GB2312"/>
          <w:sz w:val="32"/>
          <w:szCs w:val="22"/>
        </w:rPr>
        <w:t>受理人民群众来信、</w:t>
      </w:r>
      <w:r>
        <w:rPr>
          <w:rFonts w:hint="eastAsia" w:ascii="仿宋_GB2312" w:eastAsia="仿宋_GB2312"/>
          <w:sz w:val="32"/>
          <w:szCs w:val="22"/>
        </w:rPr>
        <w:t>负责县委、县政府上访</w:t>
      </w:r>
      <w:r>
        <w:rPr>
          <w:rFonts w:ascii="仿宋_GB2312" w:eastAsia="仿宋_GB2312"/>
          <w:sz w:val="32"/>
          <w:szCs w:val="22"/>
        </w:rPr>
        <w:t>群众</w:t>
      </w:r>
      <w:r>
        <w:rPr>
          <w:rFonts w:hint="eastAsia" w:ascii="仿宋_GB2312" w:eastAsia="仿宋_GB2312"/>
          <w:sz w:val="32"/>
          <w:szCs w:val="22"/>
        </w:rPr>
        <w:t>的接访工作；</w:t>
      </w:r>
      <w:r>
        <w:rPr>
          <w:rFonts w:ascii="仿宋_GB2312" w:eastAsia="仿宋_GB2312"/>
          <w:sz w:val="32"/>
          <w:szCs w:val="22"/>
        </w:rPr>
        <w:t>承办</w:t>
      </w:r>
      <w:r>
        <w:rPr>
          <w:rFonts w:hint="eastAsia" w:ascii="仿宋_GB2312" w:eastAsia="仿宋_GB2312"/>
          <w:sz w:val="32"/>
          <w:szCs w:val="22"/>
        </w:rPr>
        <w:t>县</w:t>
      </w:r>
      <w:r>
        <w:rPr>
          <w:rFonts w:ascii="仿宋_GB2312" w:eastAsia="仿宋_GB2312"/>
          <w:sz w:val="32"/>
          <w:szCs w:val="22"/>
        </w:rPr>
        <w:t>委、</w:t>
      </w:r>
      <w:r>
        <w:rPr>
          <w:rFonts w:hint="eastAsia" w:ascii="仿宋_GB2312" w:eastAsia="仿宋_GB2312"/>
          <w:sz w:val="32"/>
          <w:szCs w:val="22"/>
        </w:rPr>
        <w:t>县</w:t>
      </w:r>
      <w:r>
        <w:rPr>
          <w:rFonts w:ascii="仿宋_GB2312" w:eastAsia="仿宋_GB2312"/>
          <w:sz w:val="32"/>
          <w:szCs w:val="22"/>
        </w:rPr>
        <w:t>政府领导及上级机关领导批示交办、转办的信访案件</w:t>
      </w:r>
      <w:r>
        <w:rPr>
          <w:rFonts w:hint="eastAsia" w:ascii="仿宋_GB2312" w:eastAsia="仿宋_GB2312"/>
          <w:sz w:val="32"/>
          <w:szCs w:val="22"/>
        </w:rPr>
        <w:t>。</w:t>
      </w:r>
    </w:p>
    <w:p>
      <w:pPr>
        <w:spacing w:line="560" w:lineRule="exact"/>
        <w:ind w:firstLine="640" w:firstLineChars="200"/>
        <w:rPr>
          <w:rFonts w:ascii="仿宋_GB2312" w:eastAsia="仿宋_GB2312"/>
          <w:sz w:val="32"/>
          <w:szCs w:val="18"/>
        </w:rPr>
      </w:pPr>
      <w:r>
        <w:rPr>
          <w:rFonts w:hint="eastAsia" w:ascii="仿宋_GB2312" w:eastAsia="仿宋_GB2312"/>
          <w:sz w:val="32"/>
          <w:szCs w:val="22"/>
        </w:rPr>
        <w:t>二、</w:t>
      </w:r>
      <w:r>
        <w:rPr>
          <w:rFonts w:ascii="仿宋_GB2312" w:eastAsia="仿宋_GB2312"/>
          <w:sz w:val="32"/>
          <w:szCs w:val="22"/>
        </w:rPr>
        <w:t>根据</w:t>
      </w:r>
      <w:r>
        <w:rPr>
          <w:rFonts w:hint="eastAsia" w:ascii="仿宋_GB2312" w:eastAsia="仿宋_GB2312"/>
          <w:sz w:val="32"/>
          <w:szCs w:val="22"/>
        </w:rPr>
        <w:t>县</w:t>
      </w:r>
      <w:r>
        <w:rPr>
          <w:rFonts w:ascii="仿宋_GB2312" w:eastAsia="仿宋_GB2312"/>
          <w:sz w:val="32"/>
          <w:szCs w:val="22"/>
        </w:rPr>
        <w:t>委、</w:t>
      </w:r>
      <w:r>
        <w:rPr>
          <w:rFonts w:hint="eastAsia" w:ascii="仿宋_GB2312" w:eastAsia="仿宋_GB2312"/>
          <w:sz w:val="32"/>
          <w:szCs w:val="22"/>
        </w:rPr>
        <w:t>县</w:t>
      </w:r>
      <w:r>
        <w:rPr>
          <w:rFonts w:ascii="仿宋_GB2312" w:eastAsia="仿宋_GB2312"/>
          <w:sz w:val="32"/>
          <w:szCs w:val="22"/>
        </w:rPr>
        <w:t>政府领导意见，向</w:t>
      </w:r>
      <w:r>
        <w:rPr>
          <w:rFonts w:hint="eastAsia" w:ascii="仿宋_GB2312" w:eastAsia="仿宋_GB2312"/>
          <w:sz w:val="32"/>
          <w:szCs w:val="22"/>
        </w:rPr>
        <w:t>乡</w:t>
      </w:r>
      <w:r>
        <w:rPr>
          <w:rFonts w:ascii="仿宋_GB2312" w:eastAsia="仿宋_GB2312"/>
          <w:sz w:val="32"/>
          <w:szCs w:val="22"/>
        </w:rPr>
        <w:t>（镇）及有关部门、企事业单位交办、转办有关信访案件</w:t>
      </w:r>
      <w:r>
        <w:rPr>
          <w:rFonts w:hint="eastAsia" w:ascii="仿宋_GB2312" w:eastAsia="仿宋_GB2312"/>
          <w:sz w:val="32"/>
          <w:szCs w:val="22"/>
        </w:rPr>
        <w:t>。</w:t>
      </w:r>
      <w:r>
        <w:rPr>
          <w:rFonts w:ascii="仿宋_GB2312" w:eastAsia="仿宋_GB2312"/>
          <w:sz w:val="32"/>
          <w:szCs w:val="22"/>
        </w:rPr>
        <w:t xml:space="preserve"> </w:t>
      </w:r>
    </w:p>
    <w:p>
      <w:pPr>
        <w:spacing w:line="560" w:lineRule="exact"/>
        <w:ind w:firstLine="640" w:firstLineChars="200"/>
        <w:rPr>
          <w:rFonts w:ascii="仿宋_GB2312" w:eastAsia="仿宋_GB2312"/>
          <w:sz w:val="32"/>
          <w:szCs w:val="18"/>
        </w:rPr>
      </w:pPr>
      <w:r>
        <w:rPr>
          <w:rFonts w:hint="eastAsia" w:ascii="仿宋_GB2312" w:eastAsia="仿宋_GB2312"/>
          <w:sz w:val="32"/>
          <w:szCs w:val="22"/>
        </w:rPr>
        <w:t>（三</w:t>
      </w:r>
      <w:r>
        <w:rPr>
          <w:rFonts w:ascii="仿宋_GB2312" w:eastAsia="仿宋_GB2312"/>
          <w:sz w:val="32"/>
          <w:szCs w:val="22"/>
        </w:rPr>
        <w:t>）协调处理跨地区、跨部门的重要信访问题</w:t>
      </w:r>
      <w:r>
        <w:rPr>
          <w:rFonts w:hint="eastAsia" w:ascii="仿宋_GB2312" w:eastAsia="仿宋_GB2312"/>
          <w:sz w:val="32"/>
          <w:szCs w:val="22"/>
        </w:rPr>
        <w:t>；</w:t>
      </w:r>
      <w:r>
        <w:rPr>
          <w:rFonts w:ascii="仿宋_GB2312" w:eastAsia="仿宋_GB2312"/>
          <w:sz w:val="32"/>
          <w:szCs w:val="22"/>
        </w:rPr>
        <w:t>直接调查处理信访老户和重要信访案件</w:t>
      </w:r>
      <w:r>
        <w:rPr>
          <w:rFonts w:hint="eastAsia" w:ascii="仿宋_GB2312" w:eastAsia="仿宋_GB2312"/>
          <w:sz w:val="32"/>
          <w:szCs w:val="22"/>
        </w:rPr>
        <w:t>。</w:t>
      </w:r>
      <w:r>
        <w:rPr>
          <w:rFonts w:ascii="仿宋_GB2312" w:eastAsia="仿宋_GB2312"/>
          <w:sz w:val="32"/>
          <w:szCs w:val="22"/>
        </w:rPr>
        <w:t xml:space="preserve"> </w:t>
      </w:r>
    </w:p>
    <w:p>
      <w:pPr>
        <w:spacing w:line="560" w:lineRule="exact"/>
        <w:ind w:firstLine="640" w:firstLineChars="200"/>
        <w:rPr>
          <w:rFonts w:ascii="仿宋_GB2312" w:eastAsia="仿宋_GB2312"/>
          <w:sz w:val="32"/>
          <w:szCs w:val="18"/>
        </w:rPr>
      </w:pPr>
      <w:r>
        <w:rPr>
          <w:rFonts w:hint="eastAsia" w:ascii="仿宋_GB2312" w:eastAsia="仿宋_GB2312"/>
          <w:sz w:val="32"/>
          <w:szCs w:val="22"/>
        </w:rPr>
        <w:t>（四</w:t>
      </w:r>
      <w:r>
        <w:rPr>
          <w:rFonts w:ascii="仿宋_GB2312" w:eastAsia="仿宋_GB2312"/>
          <w:sz w:val="32"/>
          <w:szCs w:val="22"/>
        </w:rPr>
        <w:t>）检查、指导、督促各</w:t>
      </w:r>
      <w:r>
        <w:rPr>
          <w:rFonts w:hint="eastAsia" w:ascii="仿宋_GB2312" w:eastAsia="仿宋_GB2312"/>
          <w:sz w:val="32"/>
          <w:szCs w:val="22"/>
        </w:rPr>
        <w:t>乡</w:t>
      </w:r>
      <w:r>
        <w:rPr>
          <w:rFonts w:ascii="仿宋_GB2312" w:eastAsia="仿宋_GB2312"/>
          <w:sz w:val="32"/>
          <w:szCs w:val="22"/>
        </w:rPr>
        <w:t>（镇）、</w:t>
      </w:r>
      <w:r>
        <w:rPr>
          <w:rFonts w:hint="eastAsia" w:ascii="仿宋_GB2312" w:eastAsia="仿宋_GB2312"/>
          <w:sz w:val="32"/>
          <w:szCs w:val="22"/>
        </w:rPr>
        <w:t>县</w:t>
      </w:r>
      <w:r>
        <w:rPr>
          <w:rFonts w:ascii="仿宋_GB2312" w:eastAsia="仿宋_GB2312"/>
          <w:sz w:val="32"/>
          <w:szCs w:val="22"/>
        </w:rPr>
        <w:t>级机关各部门、各单位的信访工作</w:t>
      </w:r>
      <w:r>
        <w:rPr>
          <w:rFonts w:hint="eastAsia" w:ascii="仿宋_GB2312" w:eastAsia="仿宋_GB2312"/>
          <w:sz w:val="32"/>
          <w:szCs w:val="22"/>
        </w:rPr>
        <w:t>。</w:t>
      </w:r>
    </w:p>
    <w:p>
      <w:pPr>
        <w:spacing w:line="560" w:lineRule="exact"/>
        <w:ind w:firstLine="640" w:firstLineChars="200"/>
        <w:rPr>
          <w:rFonts w:ascii="仿宋_GB2312" w:eastAsia="仿宋_GB2312"/>
          <w:sz w:val="32"/>
          <w:szCs w:val="18"/>
        </w:rPr>
      </w:pPr>
      <w:r>
        <w:rPr>
          <w:rFonts w:hint="eastAsia" w:ascii="仿宋_GB2312" w:eastAsia="仿宋_GB2312"/>
          <w:sz w:val="32"/>
          <w:szCs w:val="22"/>
        </w:rPr>
        <w:t>（五</w:t>
      </w:r>
      <w:r>
        <w:rPr>
          <w:rFonts w:ascii="仿宋_GB2312" w:eastAsia="仿宋_GB2312"/>
          <w:sz w:val="32"/>
          <w:szCs w:val="22"/>
        </w:rPr>
        <w:t>）为来信、来电、来访人员提供有关政策咨询，做好信访人员的思想疏导、矛盾化解工作</w:t>
      </w:r>
      <w:r>
        <w:rPr>
          <w:rFonts w:hint="eastAsia" w:ascii="仿宋_GB2312" w:eastAsia="仿宋_GB2312"/>
          <w:sz w:val="32"/>
          <w:szCs w:val="22"/>
        </w:rPr>
        <w:t>。</w:t>
      </w:r>
      <w:r>
        <w:rPr>
          <w:rFonts w:ascii="仿宋_GB2312" w:eastAsia="仿宋_GB2312"/>
          <w:sz w:val="32"/>
          <w:szCs w:val="22"/>
        </w:rPr>
        <w:t xml:space="preserve"> </w:t>
      </w:r>
    </w:p>
    <w:p>
      <w:pPr>
        <w:spacing w:line="560" w:lineRule="exact"/>
        <w:ind w:firstLine="640" w:firstLineChars="200"/>
        <w:rPr>
          <w:rFonts w:ascii="仿宋_GB2312" w:eastAsia="仿宋_GB2312"/>
          <w:sz w:val="32"/>
          <w:szCs w:val="18"/>
        </w:rPr>
      </w:pPr>
      <w:r>
        <w:rPr>
          <w:rFonts w:hint="eastAsia" w:ascii="仿宋_GB2312" w:eastAsia="仿宋_GB2312"/>
          <w:sz w:val="32"/>
          <w:szCs w:val="22"/>
        </w:rPr>
        <w:t>（六</w:t>
      </w:r>
      <w:r>
        <w:rPr>
          <w:rFonts w:ascii="仿宋_GB2312" w:eastAsia="仿宋_GB2312"/>
          <w:sz w:val="32"/>
          <w:szCs w:val="22"/>
        </w:rPr>
        <w:t>）综合分析人民群众来信来访反映的问题和情况，征集、筛选和提供信访信息和建议；对带有全局性</w:t>
      </w:r>
      <w:r>
        <w:rPr>
          <w:rFonts w:hint="eastAsia" w:ascii="仿宋_GB2312" w:eastAsia="仿宋_GB2312"/>
          <w:sz w:val="32"/>
          <w:szCs w:val="22"/>
        </w:rPr>
        <w:t>的</w:t>
      </w:r>
      <w:r>
        <w:rPr>
          <w:rFonts w:ascii="仿宋_GB2312" w:eastAsia="仿宋_GB2312"/>
          <w:sz w:val="32"/>
          <w:szCs w:val="22"/>
        </w:rPr>
        <w:t>重要信访问题开展调查研究，向</w:t>
      </w:r>
      <w:r>
        <w:rPr>
          <w:rFonts w:hint="eastAsia" w:ascii="仿宋_GB2312" w:eastAsia="仿宋_GB2312"/>
          <w:sz w:val="32"/>
          <w:szCs w:val="22"/>
        </w:rPr>
        <w:t>县</w:t>
      </w:r>
      <w:r>
        <w:rPr>
          <w:rFonts w:ascii="仿宋_GB2312" w:eastAsia="仿宋_GB2312"/>
          <w:sz w:val="32"/>
          <w:szCs w:val="22"/>
        </w:rPr>
        <w:t>委、</w:t>
      </w:r>
      <w:r>
        <w:rPr>
          <w:rFonts w:hint="eastAsia" w:ascii="仿宋_GB2312" w:eastAsia="仿宋_GB2312"/>
          <w:sz w:val="32"/>
          <w:szCs w:val="22"/>
        </w:rPr>
        <w:t>县</w:t>
      </w:r>
      <w:r>
        <w:rPr>
          <w:rFonts w:ascii="仿宋_GB2312" w:eastAsia="仿宋_GB2312"/>
          <w:sz w:val="32"/>
          <w:szCs w:val="22"/>
        </w:rPr>
        <w:t>政府提出解决问题的意见或办法</w:t>
      </w:r>
      <w:r>
        <w:rPr>
          <w:rFonts w:hint="eastAsia" w:ascii="仿宋_GB2312" w:eastAsia="仿宋_GB2312"/>
          <w:sz w:val="32"/>
          <w:szCs w:val="22"/>
        </w:rPr>
        <w:t>。</w:t>
      </w:r>
      <w:r>
        <w:rPr>
          <w:rFonts w:ascii="仿宋_GB2312" w:eastAsia="仿宋_GB2312"/>
          <w:sz w:val="32"/>
          <w:szCs w:val="22"/>
        </w:rPr>
        <w:t xml:space="preserve"> </w:t>
      </w:r>
    </w:p>
    <w:p>
      <w:pPr>
        <w:spacing w:line="560" w:lineRule="exact"/>
        <w:ind w:firstLine="640" w:firstLineChars="200"/>
        <w:rPr>
          <w:rFonts w:ascii="仿宋_GB2312" w:eastAsia="仿宋_GB2312"/>
          <w:sz w:val="32"/>
          <w:szCs w:val="18"/>
        </w:rPr>
      </w:pPr>
      <w:r>
        <w:rPr>
          <w:rFonts w:hint="eastAsia" w:ascii="仿宋_GB2312" w:eastAsia="仿宋_GB2312"/>
          <w:sz w:val="32"/>
          <w:szCs w:val="22"/>
        </w:rPr>
        <w:t>（七</w:t>
      </w:r>
      <w:r>
        <w:rPr>
          <w:rFonts w:ascii="仿宋_GB2312" w:eastAsia="仿宋_GB2312"/>
          <w:sz w:val="32"/>
          <w:szCs w:val="22"/>
        </w:rPr>
        <w:t>）负责组织实施全</w:t>
      </w:r>
      <w:r>
        <w:rPr>
          <w:rFonts w:hint="eastAsia" w:ascii="仿宋_GB2312" w:eastAsia="仿宋_GB2312"/>
          <w:sz w:val="32"/>
          <w:szCs w:val="22"/>
        </w:rPr>
        <w:t>县</w:t>
      </w:r>
      <w:r>
        <w:rPr>
          <w:rFonts w:ascii="仿宋_GB2312" w:eastAsia="仿宋_GB2312"/>
          <w:sz w:val="32"/>
          <w:szCs w:val="22"/>
        </w:rPr>
        <w:t>信访工作目标管理，提高信访工作质量，开展信访干部培训和信访宣传工作</w:t>
      </w:r>
      <w:r>
        <w:rPr>
          <w:rFonts w:hint="eastAsia" w:ascii="仿宋_GB2312" w:eastAsia="仿宋_GB2312"/>
          <w:sz w:val="32"/>
          <w:szCs w:val="22"/>
        </w:rPr>
        <w:t>。</w:t>
      </w:r>
      <w:r>
        <w:rPr>
          <w:rFonts w:ascii="仿宋_GB2312" w:eastAsia="仿宋_GB2312"/>
          <w:sz w:val="32"/>
          <w:szCs w:val="22"/>
        </w:rPr>
        <w:t xml:space="preserve"> </w:t>
      </w:r>
    </w:p>
    <w:p>
      <w:pPr>
        <w:spacing w:line="560" w:lineRule="exact"/>
        <w:ind w:firstLine="640" w:firstLineChars="200"/>
        <w:rPr>
          <w:rFonts w:ascii="仿宋_GB2312" w:eastAsia="仿宋_GB2312"/>
          <w:sz w:val="32"/>
          <w:szCs w:val="18"/>
        </w:rPr>
      </w:pPr>
      <w:r>
        <w:rPr>
          <w:rFonts w:hint="eastAsia" w:ascii="仿宋_GB2312" w:eastAsia="仿宋_GB2312"/>
          <w:sz w:val="32"/>
          <w:szCs w:val="22"/>
        </w:rPr>
        <w:t>（八</w:t>
      </w:r>
      <w:r>
        <w:rPr>
          <w:rFonts w:ascii="仿宋_GB2312" w:eastAsia="仿宋_GB2312"/>
          <w:sz w:val="32"/>
          <w:szCs w:val="22"/>
        </w:rPr>
        <w:t>）配合</w:t>
      </w:r>
      <w:r>
        <w:rPr>
          <w:rFonts w:hint="eastAsia" w:ascii="仿宋_GB2312" w:eastAsia="仿宋_GB2312"/>
          <w:sz w:val="32"/>
          <w:szCs w:val="22"/>
        </w:rPr>
        <w:t>政法、</w:t>
      </w:r>
      <w:r>
        <w:rPr>
          <w:rFonts w:ascii="仿宋_GB2312" w:eastAsia="仿宋_GB2312"/>
          <w:sz w:val="32"/>
          <w:szCs w:val="22"/>
        </w:rPr>
        <w:t>公安、司法等部门处理以群众集体上访为由而进行的游行、集会、请愿活动</w:t>
      </w:r>
      <w:r>
        <w:rPr>
          <w:rFonts w:hint="eastAsia" w:ascii="仿宋_GB2312" w:eastAsia="仿宋_GB2312"/>
          <w:sz w:val="32"/>
          <w:szCs w:val="22"/>
        </w:rPr>
        <w:t>。</w:t>
      </w:r>
      <w:r>
        <w:rPr>
          <w:rFonts w:ascii="仿宋_GB2312" w:eastAsia="仿宋_GB2312"/>
          <w:sz w:val="32"/>
          <w:szCs w:val="22"/>
        </w:rPr>
        <w:t xml:space="preserve"> </w:t>
      </w:r>
    </w:p>
    <w:p>
      <w:pPr>
        <w:spacing w:line="560" w:lineRule="exact"/>
        <w:ind w:firstLine="640" w:firstLineChars="200"/>
        <w:rPr>
          <w:rFonts w:ascii="仿宋_GB2312" w:eastAsia="仿宋_GB2312"/>
          <w:sz w:val="32"/>
          <w:szCs w:val="18"/>
        </w:rPr>
      </w:pPr>
      <w:r>
        <w:rPr>
          <w:rFonts w:hint="eastAsia" w:ascii="仿宋_GB2312" w:eastAsia="仿宋_GB2312"/>
          <w:sz w:val="32"/>
          <w:szCs w:val="22"/>
        </w:rPr>
        <w:t>（九</w:t>
      </w:r>
      <w:r>
        <w:rPr>
          <w:rFonts w:ascii="仿宋_GB2312" w:eastAsia="仿宋_GB2312"/>
          <w:sz w:val="32"/>
          <w:szCs w:val="22"/>
        </w:rPr>
        <w:t>）加强信访队伍的自身建设，不断提高信访干部的政治和业务素质</w:t>
      </w:r>
      <w:r>
        <w:rPr>
          <w:rFonts w:hint="eastAsia" w:ascii="仿宋_GB2312" w:eastAsia="仿宋_GB2312"/>
          <w:sz w:val="32"/>
          <w:szCs w:val="22"/>
        </w:rPr>
        <w:t>。</w:t>
      </w:r>
      <w:r>
        <w:rPr>
          <w:rFonts w:ascii="仿宋_GB2312" w:eastAsia="仿宋_GB2312"/>
          <w:sz w:val="32"/>
          <w:szCs w:val="22"/>
        </w:rPr>
        <w:t>以实事求是的科学态度，研究和探讨信访工作的规律和理论、指导信访工作实践，充分发挥信访工作的社会效益</w:t>
      </w:r>
      <w:r>
        <w:rPr>
          <w:rFonts w:hint="eastAsia" w:ascii="仿宋_GB2312" w:eastAsia="仿宋_GB2312"/>
          <w:sz w:val="32"/>
          <w:szCs w:val="22"/>
        </w:rPr>
        <w:t>。</w:t>
      </w:r>
      <w:r>
        <w:rPr>
          <w:rFonts w:ascii="仿宋_GB2312" w:eastAsia="仿宋_GB2312"/>
          <w:sz w:val="32"/>
          <w:szCs w:val="22"/>
        </w:rPr>
        <w:t xml:space="preserve"> </w:t>
      </w:r>
    </w:p>
    <w:p>
      <w:pPr>
        <w:spacing w:line="560" w:lineRule="exact"/>
        <w:ind w:firstLine="640" w:firstLineChars="200"/>
        <w:rPr>
          <w:rFonts w:ascii="仿宋_GB2312" w:eastAsia="仿宋_GB2312"/>
          <w:sz w:val="32"/>
          <w:szCs w:val="22"/>
        </w:rPr>
      </w:pPr>
      <w:r>
        <w:rPr>
          <w:rFonts w:hint="eastAsia" w:ascii="仿宋_GB2312" w:eastAsia="仿宋_GB2312"/>
          <w:sz w:val="32"/>
          <w:szCs w:val="22"/>
        </w:rPr>
        <w:t>（十</w:t>
      </w:r>
      <w:r>
        <w:rPr>
          <w:rFonts w:ascii="仿宋_GB2312" w:eastAsia="仿宋_GB2312"/>
          <w:sz w:val="32"/>
          <w:szCs w:val="22"/>
        </w:rPr>
        <w:t>）</w:t>
      </w:r>
      <w:r>
        <w:rPr>
          <w:rFonts w:hint="eastAsia" w:ascii="仿宋_GB2312" w:eastAsia="仿宋_GB2312"/>
          <w:sz w:val="32"/>
          <w:szCs w:val="22"/>
        </w:rPr>
        <w:t>负责宣传和贯彻落实</w:t>
      </w:r>
      <w:r>
        <w:rPr>
          <w:rFonts w:ascii="仿宋_GB2312" w:eastAsia="仿宋_GB2312"/>
          <w:sz w:val="32"/>
          <w:szCs w:val="22"/>
        </w:rPr>
        <w:t>《信访条例》</w:t>
      </w:r>
      <w:r>
        <w:rPr>
          <w:rFonts w:hint="eastAsia" w:ascii="仿宋_GB2312" w:eastAsia="仿宋_GB2312"/>
          <w:sz w:val="32"/>
          <w:szCs w:val="22"/>
        </w:rPr>
        <w:t>，</w:t>
      </w:r>
      <w:r>
        <w:rPr>
          <w:rFonts w:ascii="仿宋_GB2312" w:eastAsia="仿宋_GB2312"/>
          <w:sz w:val="32"/>
          <w:szCs w:val="22"/>
        </w:rPr>
        <w:t>按照《信访条例》规定，对有关信访干部和信访群众提出奖励或处罚的建议</w:t>
      </w:r>
      <w:r>
        <w:rPr>
          <w:rFonts w:hint="eastAsia" w:ascii="仿宋_GB2312" w:eastAsia="仿宋_GB2312"/>
          <w:sz w:val="32"/>
          <w:szCs w:val="22"/>
        </w:rPr>
        <w:t>。</w:t>
      </w:r>
    </w:p>
    <w:p>
      <w:pPr>
        <w:spacing w:line="560" w:lineRule="exact"/>
        <w:ind w:firstLine="640" w:firstLineChars="200"/>
        <w:rPr>
          <w:rFonts w:ascii="仿宋_GB2312" w:eastAsia="仿宋_GB2312"/>
          <w:sz w:val="32"/>
          <w:szCs w:val="22"/>
        </w:rPr>
      </w:pPr>
      <w:r>
        <w:rPr>
          <w:rFonts w:hint="eastAsia" w:ascii="仿宋_GB2312" w:eastAsia="仿宋_GB2312"/>
          <w:sz w:val="32"/>
          <w:szCs w:val="22"/>
        </w:rPr>
        <w:t>(十一)承办县委、县政府交办的其他事项。</w:t>
      </w:r>
    </w:p>
    <w:bookmarkEnd w:id="16"/>
    <w:bookmarkEnd w:id="17"/>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p>
    <w:p>
      <w:pPr>
        <w:spacing w:line="540" w:lineRule="exact"/>
        <w:ind w:firstLine="643" w:firstLineChars="200"/>
        <w:rPr>
          <w:rFonts w:eastAsia="仿宋_GB2312"/>
          <w:sz w:val="32"/>
          <w:szCs w:val="32"/>
        </w:rPr>
      </w:pPr>
      <w:r>
        <w:rPr>
          <w:rFonts w:eastAsia="楷体_GB2312"/>
          <w:b/>
          <w:sz w:val="32"/>
          <w:szCs w:val="32"/>
        </w:rPr>
        <w:t>（一）来信来访情况。</w:t>
      </w:r>
      <w:r>
        <w:rPr>
          <w:rFonts w:eastAsia="仿宋_GB2312"/>
          <w:sz w:val="32"/>
          <w:szCs w:val="32"/>
        </w:rPr>
        <w:t>截止201</w:t>
      </w:r>
      <w:r>
        <w:rPr>
          <w:rFonts w:hint="eastAsia" w:eastAsia="仿宋_GB2312"/>
          <w:sz w:val="32"/>
          <w:szCs w:val="32"/>
        </w:rPr>
        <w:t>8</w:t>
      </w:r>
      <w:r>
        <w:rPr>
          <w:rFonts w:eastAsia="仿宋_GB2312"/>
          <w:sz w:val="32"/>
          <w:szCs w:val="32"/>
        </w:rPr>
        <w:t>年</w:t>
      </w:r>
      <w:r>
        <w:rPr>
          <w:rFonts w:hint="eastAsia" w:eastAsia="仿宋_GB2312"/>
          <w:sz w:val="32"/>
          <w:szCs w:val="32"/>
        </w:rPr>
        <w:t>12</w:t>
      </w:r>
      <w:r>
        <w:rPr>
          <w:rFonts w:eastAsia="仿宋_GB2312"/>
          <w:sz w:val="32"/>
          <w:szCs w:val="32"/>
        </w:rPr>
        <w:t>月，我局共接到群众来信来访</w:t>
      </w:r>
      <w:r>
        <w:rPr>
          <w:rFonts w:hint="eastAsia" w:eastAsia="仿宋_GB2312"/>
          <w:sz w:val="32"/>
          <w:szCs w:val="32"/>
        </w:rPr>
        <w:t>28</w:t>
      </w:r>
      <w:r>
        <w:rPr>
          <w:rFonts w:eastAsia="仿宋_GB2312"/>
          <w:sz w:val="32"/>
          <w:szCs w:val="32"/>
        </w:rPr>
        <w:t>件，其中，接到</w:t>
      </w:r>
      <w:r>
        <w:rPr>
          <w:rFonts w:hint="eastAsia" w:eastAsia="仿宋_GB2312"/>
          <w:sz w:val="32"/>
          <w:szCs w:val="32"/>
        </w:rPr>
        <w:t>领导信箱</w:t>
      </w:r>
      <w:r>
        <w:rPr>
          <w:rFonts w:eastAsia="仿宋_GB2312"/>
          <w:sz w:val="32"/>
          <w:szCs w:val="32"/>
        </w:rPr>
        <w:t>信访件</w:t>
      </w:r>
      <w:r>
        <w:rPr>
          <w:rFonts w:hint="eastAsia" w:eastAsia="仿宋_GB2312"/>
          <w:sz w:val="32"/>
          <w:szCs w:val="32"/>
        </w:rPr>
        <w:t>1</w:t>
      </w:r>
      <w:r>
        <w:rPr>
          <w:rFonts w:eastAsia="仿宋_GB2312"/>
          <w:sz w:val="32"/>
          <w:szCs w:val="32"/>
        </w:rPr>
        <w:t>件，交办、转办</w:t>
      </w:r>
      <w:r>
        <w:rPr>
          <w:rFonts w:hint="eastAsia" w:eastAsia="仿宋_GB2312"/>
          <w:sz w:val="32"/>
          <w:szCs w:val="32"/>
        </w:rPr>
        <w:t>28</w:t>
      </w:r>
      <w:r>
        <w:rPr>
          <w:rFonts w:eastAsia="仿宋_GB2312"/>
          <w:sz w:val="32"/>
          <w:szCs w:val="32"/>
        </w:rPr>
        <w:t>件。共录入全国信访信息系统</w:t>
      </w:r>
      <w:r>
        <w:rPr>
          <w:rFonts w:hint="eastAsia" w:eastAsia="仿宋_GB2312"/>
          <w:sz w:val="32"/>
          <w:szCs w:val="32"/>
        </w:rPr>
        <w:t>20</w:t>
      </w:r>
      <w:r>
        <w:rPr>
          <w:rFonts w:eastAsia="仿宋_GB2312"/>
          <w:sz w:val="32"/>
          <w:szCs w:val="32"/>
        </w:rPr>
        <w:t>件。截至目前：办结</w:t>
      </w:r>
      <w:r>
        <w:rPr>
          <w:rFonts w:hint="eastAsia" w:eastAsia="仿宋_GB2312"/>
          <w:sz w:val="32"/>
          <w:szCs w:val="32"/>
        </w:rPr>
        <w:t>28</w:t>
      </w:r>
      <w:r>
        <w:rPr>
          <w:rFonts w:eastAsia="仿宋_GB2312"/>
          <w:sz w:val="32"/>
          <w:szCs w:val="32"/>
        </w:rPr>
        <w:t>件；按照州信访联席办要求，治理重复来信</w:t>
      </w:r>
      <w:r>
        <w:rPr>
          <w:rFonts w:hint="eastAsia" w:eastAsia="仿宋_GB2312"/>
          <w:sz w:val="32"/>
          <w:szCs w:val="32"/>
        </w:rPr>
        <w:t>1</w:t>
      </w:r>
      <w:r>
        <w:rPr>
          <w:rFonts w:eastAsia="仿宋_GB2312"/>
          <w:sz w:val="32"/>
          <w:szCs w:val="32"/>
        </w:rPr>
        <w:t>件。协调解决拖欠农民工工资、工程机具费、运输费、民间借贷等1500余万元，圆满完成年初制定的工作目标。</w:t>
      </w:r>
    </w:p>
    <w:p>
      <w:pPr>
        <w:spacing w:line="540" w:lineRule="exact"/>
        <w:ind w:firstLine="643" w:firstLineChars="200"/>
        <w:rPr>
          <w:rFonts w:eastAsia="仿宋_GB2312"/>
          <w:sz w:val="32"/>
          <w:szCs w:val="32"/>
        </w:rPr>
      </w:pPr>
      <w:r>
        <w:rPr>
          <w:rFonts w:eastAsia="楷体_GB2312"/>
          <w:b/>
          <w:sz w:val="32"/>
          <w:szCs w:val="32"/>
        </w:rPr>
        <w:t>（二）夯实信访工作基础。</w:t>
      </w:r>
      <w:r>
        <w:rPr>
          <w:rFonts w:eastAsia="仿宋_GB2312"/>
          <w:sz w:val="32"/>
          <w:szCs w:val="32"/>
        </w:rPr>
        <w:t>矛盾纠纷的排查化解是信访工作的基础。为此，我们以“矛盾纠纷大调解工作机制”为平台，加强与县法院、检察院、公安局、维稳办、综治办、法制办和司法局的协作，共同建立台帐、及时排除化解，有效地将矛盾化解在基层。</w:t>
      </w:r>
    </w:p>
    <w:p>
      <w:pPr>
        <w:spacing w:line="540" w:lineRule="exact"/>
        <w:ind w:firstLine="643" w:firstLineChars="200"/>
        <w:rPr>
          <w:rFonts w:eastAsia="仿宋_GB2312"/>
          <w:sz w:val="32"/>
          <w:szCs w:val="32"/>
        </w:rPr>
      </w:pPr>
      <w:r>
        <w:rPr>
          <w:rFonts w:eastAsia="楷体_GB2312"/>
          <w:b/>
          <w:sz w:val="32"/>
          <w:szCs w:val="32"/>
        </w:rPr>
        <w:t>（三）落实信访稳控责任。</w:t>
      </w:r>
      <w:r>
        <w:rPr>
          <w:rFonts w:eastAsia="仿宋_GB2312"/>
          <w:sz w:val="32"/>
          <w:szCs w:val="32"/>
        </w:rPr>
        <w:t>我县高度重视群众和信访工作，深刻认识到做好新时期群众和信访工作的重大意义，把思想认识统一到中央和省委、州委的决策部署上来。成立了由县委、县政府主要领导和分管领导，相关部门负责人，乡（镇）党委书记组成的群众和信访工作领导小组，形成党政主要领导亲自抓，分管领导具体抓，乡镇部门配合抓的工作格局。形成“县、乡、村、组”四级信访网络。在党政领导班子中落实“一岗双责”，采取“一个问题、一名领导、一套班子、一个方案、一抓到底”的“五个一”办法，及时进行办理。在部门推行挂案办理制，凡是因部门工作原因引发的群众信访案件，由涉案部门牵头，相关责任单位配合，主动解决难题，坚决做到不推、不拖、不压、不训，确保群众信访问题及时妥善解决。涉及群众政策性疑虑的一般信访案件，落实专人专案及时处理，负责向信访群众宣传解释相关政策法规，消除群众心中疑虑。同时，坚持把信访和群众工作纳入各乡镇、县级各部门年度工作目标管理内容，进一步完善了信访工作机制。严格工作考核和责任追究。把信访工作作为建设“平安壤塘”和构建矛盾纠纷“大调解”体系的重要内容，纳入年度目标考核，实行一票否决。</w:t>
      </w:r>
    </w:p>
    <w:p>
      <w:pPr>
        <w:spacing w:line="540" w:lineRule="exact"/>
        <w:ind w:firstLine="643" w:firstLineChars="200"/>
        <w:rPr>
          <w:rFonts w:eastAsia="仿宋_GB2312"/>
          <w:sz w:val="32"/>
          <w:szCs w:val="32"/>
        </w:rPr>
      </w:pPr>
      <w:r>
        <w:rPr>
          <w:rFonts w:eastAsia="楷体_GB2312"/>
          <w:b/>
          <w:sz w:val="32"/>
          <w:szCs w:val="32"/>
        </w:rPr>
        <w:t>（四）深化领导干部下访。</w:t>
      </w:r>
      <w:r>
        <w:rPr>
          <w:rFonts w:eastAsia="仿宋_GB2312"/>
          <w:b/>
          <w:sz w:val="32"/>
          <w:szCs w:val="32"/>
        </w:rPr>
        <w:t>一是</w:t>
      </w:r>
      <w:r>
        <w:rPr>
          <w:rFonts w:eastAsia="仿宋_GB2312"/>
          <w:sz w:val="32"/>
          <w:szCs w:val="32"/>
        </w:rPr>
        <w:t>深化领导干部联动下访。截止201</w:t>
      </w:r>
      <w:r>
        <w:rPr>
          <w:rFonts w:hint="eastAsia" w:eastAsia="仿宋_GB2312"/>
          <w:sz w:val="32"/>
          <w:szCs w:val="32"/>
        </w:rPr>
        <w:t>8</w:t>
      </w:r>
      <w:r>
        <w:rPr>
          <w:rFonts w:eastAsia="仿宋_GB2312"/>
          <w:sz w:val="32"/>
          <w:szCs w:val="32"/>
        </w:rPr>
        <w:t>年1</w:t>
      </w:r>
      <w:r>
        <w:rPr>
          <w:rFonts w:hint="eastAsia" w:eastAsia="仿宋_GB2312"/>
          <w:sz w:val="32"/>
          <w:szCs w:val="32"/>
        </w:rPr>
        <w:t>2</w:t>
      </w:r>
      <w:r>
        <w:rPr>
          <w:rFonts w:eastAsia="仿宋_GB2312"/>
          <w:sz w:val="32"/>
          <w:szCs w:val="32"/>
        </w:rPr>
        <w:t>月，县级领导共下访208批268人/次，县级部门领导共下访356批1312人/次，当场解决问题148批804人/次。</w:t>
      </w:r>
      <w:r>
        <w:rPr>
          <w:rFonts w:eastAsia="仿宋_GB2312"/>
          <w:b/>
          <w:sz w:val="32"/>
          <w:szCs w:val="32"/>
        </w:rPr>
        <w:t>二是</w:t>
      </w:r>
      <w:r>
        <w:rPr>
          <w:rFonts w:eastAsia="仿宋_GB2312"/>
          <w:sz w:val="32"/>
          <w:szCs w:val="32"/>
        </w:rPr>
        <w:t>全面推行重点信访案件领导包案制度，特别采取“老案领导包、新案要倒查”的办法，做到包协调、包督办、包落实、包稳控。</w:t>
      </w:r>
      <w:r>
        <w:rPr>
          <w:rFonts w:eastAsia="仿宋_GB2312"/>
          <w:b/>
          <w:color w:val="000000"/>
          <w:sz w:val="32"/>
          <w:szCs w:val="32"/>
        </w:rPr>
        <w:t>三是</w:t>
      </w:r>
      <w:r>
        <w:rPr>
          <w:rFonts w:eastAsia="仿宋_GB2312"/>
          <w:sz w:val="32"/>
          <w:szCs w:val="32"/>
        </w:rPr>
        <w:t>制定了重大节假日非正常集访应急预案，落实预防制度和责任。同时，加强对驻蓉稳控办的联系，及时协助州委群众工作局做好越级到州赴省进京上访人员的劝返工作。</w:t>
      </w:r>
    </w:p>
    <w:p>
      <w:pPr>
        <w:spacing w:line="540" w:lineRule="exact"/>
        <w:ind w:firstLine="643" w:firstLineChars="200"/>
        <w:rPr>
          <w:rFonts w:eastAsia="仿宋_GB2312"/>
          <w:sz w:val="32"/>
          <w:szCs w:val="32"/>
        </w:rPr>
      </w:pPr>
      <w:r>
        <w:rPr>
          <w:rFonts w:eastAsia="楷体_GB2312"/>
          <w:b/>
          <w:sz w:val="32"/>
          <w:szCs w:val="32"/>
        </w:rPr>
        <w:t>（五）全力做好信访风险评估。</w:t>
      </w:r>
      <w:r>
        <w:rPr>
          <w:rFonts w:eastAsia="仿宋_GB2312"/>
          <w:sz w:val="32"/>
          <w:szCs w:val="32"/>
        </w:rPr>
        <w:t>结合我县实际，由县维稳办牵头，我局积极配合开展此项工作，制定并下发了《壤塘县社会稳定风险评估工作的实施意见》，组织国土、环保、发改、交通、城建等相关部门主要负责人和工作人员进行了社会稳定风险评估工作的培训，深入学习了稳定风险评估的各项政策，进一步规范了社会稳定风险评估工作操作流程。并召集各项目多的重点部门就我县在建和拟建的项目进行梳理，建立了重大建设项目社会稳定风险评估台账，对各项目在实施过程中可能引发的矛盾纠纷和隐患进行了深入细致的分析，并对各种可能出现的问题提出了解决方案。</w:t>
      </w:r>
    </w:p>
    <w:p>
      <w:pPr>
        <w:spacing w:line="540" w:lineRule="exact"/>
        <w:ind w:firstLine="643" w:firstLineChars="200"/>
        <w:rPr>
          <w:rFonts w:eastAsia="仿宋_GB2312"/>
          <w:sz w:val="32"/>
          <w:szCs w:val="32"/>
        </w:rPr>
      </w:pPr>
      <w:r>
        <w:rPr>
          <w:rFonts w:eastAsia="楷体_GB2312"/>
          <w:b/>
          <w:sz w:val="32"/>
          <w:szCs w:val="32"/>
        </w:rPr>
        <w:t>（六）全力做好帮村工作。</w:t>
      </w:r>
      <w:r>
        <w:rPr>
          <w:rFonts w:eastAsia="仿宋_GB2312"/>
          <w:sz w:val="32"/>
          <w:szCs w:val="32"/>
        </w:rPr>
        <w:t>按照县委安排，我局负责上杜柯乡吉拉村帮村，一年来，我局始终如一地重视这项工作，全局干部职工以极大的热情参与这项工作。</w:t>
      </w:r>
      <w:r>
        <w:rPr>
          <w:rFonts w:eastAsia="仿宋_GB2312"/>
          <w:b/>
          <w:sz w:val="32"/>
          <w:szCs w:val="32"/>
        </w:rPr>
        <w:t>一是</w:t>
      </w:r>
      <w:r>
        <w:rPr>
          <w:rFonts w:eastAsia="仿宋_GB2312"/>
          <w:sz w:val="32"/>
          <w:szCs w:val="32"/>
        </w:rPr>
        <w:t>开展“7+2”工程，走访群众78户，慰问党员、精准扶贫户27户，为精准扶贫户“办好事、办实事”4件；</w:t>
      </w:r>
      <w:r>
        <w:rPr>
          <w:rFonts w:eastAsia="仿宋_GB2312"/>
          <w:b/>
          <w:sz w:val="32"/>
          <w:szCs w:val="32"/>
        </w:rPr>
        <w:t>二是</w:t>
      </w:r>
      <w:r>
        <w:rPr>
          <w:rFonts w:eastAsia="仿宋_GB2312"/>
          <w:sz w:val="32"/>
          <w:szCs w:val="32"/>
        </w:rPr>
        <w:t>积极开展慰问困难群众活动，全年共慰问困难群众8户/24人，发放慰问金2000余元。由于计划周密、措施实在，包村工作取得较大成效，为解决村民的实际困难，维护社会稳定和促进全县改革稳定的大局作出了积极的贡献，同时也促进了我局的作风建设，密切了党群关系。</w:t>
      </w:r>
    </w:p>
    <w:p>
      <w:pPr>
        <w:pStyle w:val="3"/>
        <w:rPr>
          <w:rStyle w:val="25"/>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ind w:firstLine="800" w:firstLineChars="250"/>
        <w:rPr>
          <w:rFonts w:ascii="仿宋" w:hAnsi="仿宋" w:eastAsia="仿宋"/>
          <w:sz w:val="32"/>
          <w:szCs w:val="32"/>
        </w:rPr>
      </w:pPr>
      <w:r>
        <w:rPr>
          <w:rFonts w:hint="eastAsia" w:ascii="仿宋" w:hAnsi="仿宋" w:eastAsia="仿宋"/>
          <w:sz w:val="32"/>
          <w:szCs w:val="32"/>
        </w:rPr>
        <w:t>壤塘县群众和信访工作局属行政单位。</w:t>
      </w:r>
    </w:p>
    <w:p>
      <w:pPr>
        <w:pStyle w:val="5"/>
        <w:adjustRightInd w:val="0"/>
        <w:snapToGrid w:val="0"/>
        <w:spacing w:before="93" w:line="600" w:lineRule="exact"/>
        <w:ind w:firstLine="672" w:firstLineChars="210"/>
        <w:rPr>
          <w:rFonts w:ascii="仿宋" w:hAnsi="仿宋" w:eastAsia="仿宋"/>
          <w:color w:val="000000"/>
          <w:sz w:val="32"/>
          <w:szCs w:val="32"/>
        </w:rPr>
      </w:pP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4"/>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Style w:val="24"/>
          <w:rFonts w:hint="eastAsia" w:ascii="黑体" w:hAnsi="黑体" w:eastAsia="黑体"/>
          <w:b w:val="0"/>
          <w:bCs w:val="0"/>
        </w:rPr>
        <w:t>2018年度部门决算情况说明</w:t>
      </w:r>
      <w:bookmarkEnd w:id="22"/>
      <w:bookmarkEnd w:id="23"/>
    </w:p>
    <w:p/>
    <w:p>
      <w:pPr>
        <w:pStyle w:val="23"/>
        <w:numPr>
          <w:ilvl w:val="0"/>
          <w:numId w:val="1"/>
        </w:numPr>
        <w:spacing w:line="600" w:lineRule="exact"/>
        <w:ind w:firstLineChars="0"/>
        <w:outlineLvl w:val="1"/>
        <w:rPr>
          <w:rStyle w:val="25"/>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2018年度收入总计117.48万元，支出总计129.05。与2017年相比，收入总计减少6.83万元，下降5.49</w:t>
      </w:r>
      <w:r>
        <w:rPr>
          <w:rFonts w:ascii="仿宋" w:hAnsi="仿宋" w:eastAsia="仿宋"/>
          <w:color w:val="000000"/>
          <w:sz w:val="32"/>
          <w:szCs w:val="32"/>
        </w:rPr>
        <w:t>%</w:t>
      </w:r>
      <w:r>
        <w:rPr>
          <w:rFonts w:hint="eastAsia" w:ascii="仿宋" w:hAnsi="仿宋" w:eastAsia="仿宋"/>
          <w:color w:val="000000"/>
          <w:sz w:val="32"/>
          <w:szCs w:val="32"/>
        </w:rPr>
        <w:t>，主要变动原因是支出项减少。支出总计增加4.73万元，增加3.81%，主要是疑难特殊上访户困难补助增加。</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drawing>
          <wp:inline distT="0" distB="0" distL="114300" distR="114300">
            <wp:extent cx="5270500" cy="3076575"/>
            <wp:effectExtent l="0" t="0" r="6350" b="9525"/>
            <wp:docPr id="1" name="图片 1" descr="图片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1"/>
                    <pic:cNvPicPr>
                      <a:picLocks noChangeAspect="1"/>
                    </pic:cNvPicPr>
                  </pic:nvPicPr>
                  <pic:blipFill>
                    <a:blip r:embed="rId6"/>
                    <a:stretch>
                      <a:fillRect/>
                    </a:stretch>
                  </pic:blipFill>
                  <pic:spPr>
                    <a:xfrm>
                      <a:off x="0" y="0"/>
                      <a:ext cx="5270500" cy="3076575"/>
                    </a:xfrm>
                    <a:prstGeom prst="rect">
                      <a:avLst/>
                    </a:prstGeom>
                  </pic:spPr>
                </pic:pic>
              </a:graphicData>
            </a:graphic>
          </wp:inline>
        </w:drawing>
      </w:r>
    </w:p>
    <w:p>
      <w:pPr>
        <w:pStyle w:val="23"/>
        <w:numPr>
          <w:ilvl w:val="0"/>
          <w:numId w:val="1"/>
        </w:numPr>
        <w:spacing w:line="600" w:lineRule="exact"/>
        <w:ind w:firstLineChars="0"/>
        <w:outlineLvl w:val="1"/>
        <w:rPr>
          <w:rStyle w:val="25"/>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hint="eastAsia" w:ascii="仿宋" w:hAnsi="仿宋" w:eastAsia="仿宋"/>
          <w:color w:val="000000"/>
          <w:sz w:val="32"/>
          <w:szCs w:val="32"/>
        </w:rPr>
        <w:drawing>
          <wp:inline distT="0" distB="0" distL="114300" distR="114300">
            <wp:extent cx="5270500" cy="3076575"/>
            <wp:effectExtent l="0" t="0" r="6350" b="9525"/>
            <wp:docPr id="2" name="图片 2" descr="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 2"/>
                    <pic:cNvPicPr>
                      <a:picLocks noChangeAspect="1"/>
                    </pic:cNvPicPr>
                  </pic:nvPicPr>
                  <pic:blipFill>
                    <a:blip r:embed="rId7"/>
                    <a:stretch>
                      <a:fillRect/>
                    </a:stretch>
                  </pic:blipFill>
                  <pic:spPr>
                    <a:xfrm>
                      <a:off x="0" y="0"/>
                      <a:ext cx="5270500" cy="3076575"/>
                    </a:xfrm>
                    <a:prstGeom prst="rect">
                      <a:avLst/>
                    </a:prstGeom>
                  </pic:spPr>
                </pic:pic>
              </a:graphicData>
            </a:graphic>
          </wp:inline>
        </w:drawing>
      </w:r>
      <w:r>
        <w:rPr>
          <w:rFonts w:hint="eastAsia" w:ascii="仿宋" w:hAnsi="仿宋" w:eastAsia="仿宋"/>
          <w:color w:val="000000"/>
          <w:sz w:val="32"/>
          <w:szCs w:val="32"/>
        </w:rPr>
        <w:t>算财政拨款收入117.48万元，占100</w:t>
      </w:r>
      <w:r>
        <w:rPr>
          <w:rFonts w:ascii="仿宋" w:hAnsi="仿宋" w:eastAsia="仿宋"/>
          <w:color w:val="000000"/>
          <w:sz w:val="32"/>
          <w:szCs w:val="32"/>
        </w:rPr>
        <w:t>%</w:t>
      </w:r>
      <w:r>
        <w:rPr>
          <w:rFonts w:hint="eastAsia" w:ascii="仿宋" w:hAnsi="仿宋" w:eastAsia="仿宋"/>
          <w:color w:val="000000"/>
          <w:sz w:val="32"/>
          <w:szCs w:val="32"/>
        </w:rPr>
        <w:t>。上年结转11.56万元。</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p>
    <w:p>
      <w:pPr>
        <w:ind w:firstLine="640" w:firstLineChars="200"/>
        <w:rPr>
          <w:rFonts w:ascii="仿宋_GB2312" w:eastAsia="仿宋_GB2312"/>
          <w:color w:val="FF0000"/>
          <w:sz w:val="32"/>
          <w:szCs w:val="32"/>
        </w:rPr>
      </w:pPr>
      <w:r>
        <w:rPr>
          <w:rFonts w:hint="eastAsia" w:ascii="仿宋_GB2312" w:eastAsia="仿宋_GB2312"/>
          <w:color w:val="FF0000"/>
          <w:sz w:val="32"/>
          <w:szCs w:val="32"/>
        </w:rPr>
        <w:drawing>
          <wp:inline distT="0" distB="0" distL="114300" distR="114300">
            <wp:extent cx="5270500" cy="3076575"/>
            <wp:effectExtent l="0" t="0" r="6350" b="9525"/>
            <wp:docPr id="3" name="图片 3" descr="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 2"/>
                    <pic:cNvPicPr>
                      <a:picLocks noChangeAspect="1"/>
                    </pic:cNvPicPr>
                  </pic:nvPicPr>
                  <pic:blipFill>
                    <a:blip r:embed="rId7"/>
                    <a:stretch>
                      <a:fillRect/>
                    </a:stretch>
                  </pic:blipFill>
                  <pic:spPr>
                    <a:xfrm>
                      <a:off x="0" y="0"/>
                      <a:ext cx="5270500" cy="3076575"/>
                    </a:xfrm>
                    <a:prstGeom prst="rect">
                      <a:avLst/>
                    </a:prstGeom>
                  </pic:spPr>
                </pic:pic>
              </a:graphicData>
            </a:graphic>
          </wp:inline>
        </w:drawing>
      </w:r>
    </w:p>
    <w:p>
      <w:pPr>
        <w:pStyle w:val="23"/>
        <w:numPr>
          <w:ilvl w:val="0"/>
          <w:numId w:val="1"/>
        </w:numPr>
        <w:spacing w:line="600" w:lineRule="exact"/>
        <w:ind w:firstLineChars="0"/>
        <w:outlineLvl w:val="1"/>
        <w:rPr>
          <w:rStyle w:val="25"/>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8年本年支出合计129.05万元，其中：基本支出129.05万元，占100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ind w:firstLine="640" w:firstLineChars="200"/>
        <w:rPr>
          <w:rFonts w:ascii="仿宋_GB2312" w:eastAsia="仿宋_GB2312"/>
          <w:color w:val="FF0000"/>
          <w:sz w:val="32"/>
          <w:szCs w:val="32"/>
        </w:rPr>
      </w:pPr>
      <w:r>
        <w:rPr>
          <w:rFonts w:hint="eastAsia" w:ascii="仿宋_GB2312" w:eastAsia="仿宋_GB2312"/>
          <w:color w:val="FF0000"/>
          <w:sz w:val="32"/>
          <w:szCs w:val="32"/>
        </w:rPr>
        <w:drawing>
          <wp:inline distT="0" distB="0" distL="114300" distR="114300">
            <wp:extent cx="5270500" cy="3076575"/>
            <wp:effectExtent l="0" t="0" r="6350" b="9525"/>
            <wp:docPr id="4" name="图片 4" descr="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  3"/>
                    <pic:cNvPicPr>
                      <a:picLocks noChangeAspect="1"/>
                    </pic:cNvPicPr>
                  </pic:nvPicPr>
                  <pic:blipFill>
                    <a:blip r:embed="rId8"/>
                    <a:stretch>
                      <a:fillRect/>
                    </a:stretch>
                  </pic:blipFill>
                  <pic:spPr>
                    <a:xfrm>
                      <a:off x="0" y="0"/>
                      <a:ext cx="5270500" cy="3076575"/>
                    </a:xfrm>
                    <a:prstGeom prst="rect">
                      <a:avLst/>
                    </a:prstGeom>
                  </pic:spPr>
                </pic:pic>
              </a:graphicData>
            </a:graphic>
          </wp:inline>
        </w:drawing>
      </w:r>
    </w:p>
    <w:p>
      <w:pPr>
        <w:spacing w:line="600" w:lineRule="exact"/>
        <w:ind w:firstLine="640" w:firstLineChars="200"/>
        <w:outlineLvl w:val="1"/>
        <w:rPr>
          <w:rStyle w:val="25"/>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8年财政拨款收入总计117.48万元，支出总计129.05万元。与</w:t>
      </w:r>
      <w:r>
        <w:rPr>
          <w:rFonts w:ascii="仿宋" w:hAnsi="仿宋" w:eastAsia="仿宋"/>
          <w:color w:val="000000"/>
          <w:sz w:val="32"/>
          <w:szCs w:val="32"/>
        </w:rPr>
        <w:t>201</w:t>
      </w:r>
      <w:r>
        <w:rPr>
          <w:rFonts w:hint="eastAsia" w:ascii="仿宋" w:hAnsi="仿宋" w:eastAsia="仿宋"/>
          <w:color w:val="000000"/>
          <w:sz w:val="32"/>
          <w:szCs w:val="32"/>
        </w:rPr>
        <w:t>7年相比，财政拨款收入总计减少6.83万元，下降5.49%，支总计增加4.73万元，增长3.81</w:t>
      </w:r>
      <w:r>
        <w:rPr>
          <w:rFonts w:ascii="仿宋" w:hAnsi="仿宋" w:eastAsia="仿宋"/>
          <w:color w:val="000000"/>
          <w:sz w:val="32"/>
          <w:szCs w:val="32"/>
        </w:rPr>
        <w:t>%</w:t>
      </w:r>
      <w:r>
        <w:rPr>
          <w:rFonts w:hint="eastAsia" w:ascii="仿宋" w:hAnsi="仿宋" w:eastAsia="仿宋"/>
          <w:color w:val="000000"/>
          <w:sz w:val="32"/>
          <w:szCs w:val="32"/>
        </w:rPr>
        <w:t>。主要变动原因是疑难特殊上访户困难补助增加。</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ind w:firstLine="640"/>
        <w:rPr>
          <w:rFonts w:ascii="仿宋" w:hAnsi="仿宋" w:eastAsia="仿宋"/>
          <w:b/>
          <w:color w:val="00B050"/>
          <w:sz w:val="32"/>
          <w:szCs w:val="32"/>
        </w:rPr>
      </w:pPr>
      <w:r>
        <w:rPr>
          <w:rFonts w:hint="eastAsia" w:ascii="仿宋" w:hAnsi="仿宋" w:eastAsia="仿宋"/>
          <w:b/>
          <w:color w:val="00B050"/>
          <w:sz w:val="32"/>
          <w:szCs w:val="32"/>
        </w:rPr>
        <w:drawing>
          <wp:inline distT="0" distB="0" distL="114300" distR="114300">
            <wp:extent cx="5270500" cy="3076575"/>
            <wp:effectExtent l="0" t="0" r="6350" b="9525"/>
            <wp:docPr id="5" name="图片 5" descr="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 4"/>
                    <pic:cNvPicPr>
                      <a:picLocks noChangeAspect="1"/>
                    </pic:cNvPicPr>
                  </pic:nvPicPr>
                  <pic:blipFill>
                    <a:blip r:embed="rId6"/>
                    <a:stretch>
                      <a:fillRect/>
                    </a:stretch>
                  </pic:blipFill>
                  <pic:spPr>
                    <a:xfrm>
                      <a:off x="0" y="0"/>
                      <a:ext cx="5270500" cy="3076575"/>
                    </a:xfrm>
                    <a:prstGeom prst="rect">
                      <a:avLst/>
                    </a:prstGeom>
                  </pic:spPr>
                </pic:pic>
              </a:graphicData>
            </a:graphic>
          </wp:inline>
        </w:drawing>
      </w:r>
    </w:p>
    <w:p>
      <w:pPr>
        <w:spacing w:line="600" w:lineRule="exact"/>
        <w:ind w:firstLine="640" w:firstLineChars="200"/>
        <w:outlineLvl w:val="1"/>
        <w:rPr>
          <w:rStyle w:val="25"/>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8年一般公共预算财政拨款支出129.05万元，占本年支出合计的100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7年相比，一般公共预算财政拨款增加4.73万元，增长3.81</w:t>
      </w:r>
      <w:r>
        <w:rPr>
          <w:rFonts w:ascii="仿宋" w:hAnsi="仿宋" w:eastAsia="仿宋"/>
          <w:color w:val="000000"/>
          <w:sz w:val="32"/>
          <w:szCs w:val="32"/>
        </w:rPr>
        <w:t>%</w:t>
      </w:r>
      <w:r>
        <w:rPr>
          <w:rFonts w:hint="eastAsia" w:ascii="仿宋" w:hAnsi="仿宋" w:eastAsia="仿宋"/>
          <w:color w:val="000000"/>
          <w:sz w:val="32"/>
          <w:szCs w:val="32"/>
        </w:rPr>
        <w:t>。主要变动原因是疑难特殊上访户困难补助增加.</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drawing>
          <wp:inline distT="0" distB="0" distL="114300" distR="114300">
            <wp:extent cx="5270500" cy="3076575"/>
            <wp:effectExtent l="0" t="0" r="6350" b="9525"/>
            <wp:docPr id="6" name="图片 6" descr="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  5"/>
                    <pic:cNvPicPr>
                      <a:picLocks noChangeAspect="1"/>
                    </pic:cNvPicPr>
                  </pic:nvPicPr>
                  <pic:blipFill>
                    <a:blip r:embed="rId9"/>
                    <a:stretch>
                      <a:fillRect/>
                    </a:stretch>
                  </pic:blipFill>
                  <pic:spPr>
                    <a:xfrm>
                      <a:off x="0" y="0"/>
                      <a:ext cx="5270500" cy="3076575"/>
                    </a:xfrm>
                    <a:prstGeom prst="rect">
                      <a:avLst/>
                    </a:prstGeom>
                  </pic:spPr>
                </pic:pic>
              </a:graphicData>
            </a:graphic>
          </wp:inline>
        </w:drawing>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rPr>
        <w:t>政拨款支出129.05万元，主要用于以下方面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支出100.53万元，占77.90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支出16.18万元，占12.54</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医疗卫生与计划生育</w:t>
      </w:r>
      <w:r>
        <w:rPr>
          <w:rFonts w:hint="eastAsia" w:ascii="仿宋" w:hAnsi="仿宋" w:eastAsia="仿宋"/>
          <w:color w:val="000000" w:themeColor="text1"/>
          <w:sz w:val="32"/>
          <w:szCs w:val="32"/>
        </w:rPr>
        <w:t>支出3.81万元，占2.95</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住房保障</w:t>
      </w:r>
      <w:r>
        <w:rPr>
          <w:rFonts w:hint="eastAsia" w:ascii="仿宋" w:hAnsi="仿宋" w:eastAsia="仿宋"/>
          <w:color w:val="000000" w:themeColor="text1"/>
          <w:sz w:val="32"/>
          <w:szCs w:val="32"/>
        </w:rPr>
        <w:t>支出8.53万元，占6.61</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drawing>
          <wp:inline distT="0" distB="0" distL="114300" distR="114300">
            <wp:extent cx="4584065" cy="3615055"/>
            <wp:effectExtent l="0" t="0" r="6985" b="4445"/>
            <wp:docPr id="7" name="图片 7" descr="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  6"/>
                    <pic:cNvPicPr>
                      <a:picLocks noChangeAspect="1"/>
                    </pic:cNvPicPr>
                  </pic:nvPicPr>
                  <pic:blipFill>
                    <a:blip r:embed="rId10"/>
                    <a:stretch>
                      <a:fillRect/>
                    </a:stretch>
                  </pic:blipFill>
                  <pic:spPr>
                    <a:xfrm>
                      <a:off x="0" y="0"/>
                      <a:ext cx="4584065" cy="3615055"/>
                    </a:xfrm>
                    <a:prstGeom prst="rect">
                      <a:avLst/>
                    </a:prstGeom>
                  </pic:spPr>
                </pic:pic>
              </a:graphicData>
            </a:graphic>
          </wp:inline>
        </w:drawing>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7444"/>
      <w:bookmarkStart w:id="39" w:name="_Toc15378460"/>
      <w:r>
        <w:rPr>
          <w:rFonts w:hint="eastAsia" w:ascii="仿宋" w:hAnsi="仿宋" w:eastAsia="仿宋"/>
          <w:b/>
          <w:color w:val="000000" w:themeColor="text1"/>
          <w:sz w:val="32"/>
          <w:szCs w:val="32"/>
        </w:rPr>
        <w:t>2018年般公共预算支出决算数为129.05</w:t>
      </w:r>
      <w:r>
        <w:rPr>
          <w:rFonts w:hint="eastAsia" w:ascii="仿宋" w:hAnsi="仿宋" w:eastAsia="仿宋"/>
          <w:color w:val="000000" w:themeColor="text1"/>
          <w:sz w:val="32"/>
          <w:szCs w:val="32"/>
        </w:rPr>
        <w:t>，</w:t>
      </w:r>
      <w:r>
        <w:rPr>
          <w:rStyle w:val="13"/>
          <w:rFonts w:hint="eastAsia" w:ascii="仿宋" w:hAnsi="仿宋" w:eastAsia="仿宋"/>
          <w:bCs/>
          <w:color w:val="000000" w:themeColor="text1"/>
          <w:sz w:val="32"/>
          <w:szCs w:val="32"/>
        </w:rPr>
        <w:t>完成</w:t>
      </w:r>
      <w:r>
        <w:rPr>
          <w:rStyle w:val="13"/>
          <w:rFonts w:hint="eastAsia" w:ascii="仿宋" w:hAnsi="仿宋" w:eastAsia="仿宋"/>
          <w:bCs/>
          <w:color w:val="000000"/>
          <w:sz w:val="32"/>
          <w:szCs w:val="32"/>
        </w:rPr>
        <w:t>预算100</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。其中：</w:t>
      </w:r>
      <w:bookmarkEnd w:id="37"/>
      <w:bookmarkEnd w:id="38"/>
      <w:bookmarkEnd w:id="39"/>
    </w:p>
    <w:p>
      <w:pPr>
        <w:spacing w:line="600" w:lineRule="exact"/>
        <w:ind w:firstLine="643" w:firstLineChars="200"/>
        <w:rPr>
          <w:rStyle w:val="13"/>
          <w:rFonts w:ascii="仿宋" w:hAnsi="仿宋" w:eastAsia="仿宋"/>
          <w:b w:val="0"/>
          <w:bCs/>
          <w:color w:val="000000"/>
          <w:sz w:val="32"/>
          <w:szCs w:val="32"/>
        </w:rPr>
      </w:pPr>
      <w:r>
        <w:rPr>
          <w:rStyle w:val="13"/>
          <w:rFonts w:ascii="仿宋" w:hAnsi="仿宋" w:eastAsia="仿宋"/>
          <w:bCs/>
          <w:color w:val="000000"/>
          <w:sz w:val="32"/>
          <w:szCs w:val="32"/>
        </w:rPr>
        <w:t>1.</w:t>
      </w:r>
      <w:r>
        <w:rPr>
          <w:rStyle w:val="13"/>
          <w:rFonts w:hint="eastAsia" w:ascii="仿宋" w:hAnsi="仿宋" w:eastAsia="仿宋"/>
          <w:bCs/>
          <w:color w:val="000000"/>
          <w:sz w:val="32"/>
          <w:szCs w:val="32"/>
        </w:rPr>
        <w:t>一般公共服务（类）政府办公厅（室）及相关机构事务（款）行政运行（项）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支出决算为94.53万元，完成预算100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Style w:val="13"/>
          <w:rFonts w:ascii="仿宋" w:hAnsi="仿宋" w:eastAsia="仿宋"/>
          <w:b w:val="0"/>
          <w:bCs/>
          <w:color w:val="000000"/>
          <w:sz w:val="32"/>
          <w:szCs w:val="32"/>
        </w:rPr>
      </w:pPr>
      <w:r>
        <w:rPr>
          <w:rStyle w:val="13"/>
          <w:rFonts w:hint="eastAsia" w:ascii="仿宋" w:hAnsi="仿宋" w:eastAsia="仿宋"/>
          <w:bCs/>
          <w:color w:val="000000"/>
          <w:sz w:val="32"/>
          <w:szCs w:val="32"/>
        </w:rPr>
        <w:t>2</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一般公共服务（类）其他共产党事务（款）一般行政管理事务（项）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支出决算为6.00万元，完成预算100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Style w:val="13"/>
          <w:rFonts w:ascii="仿宋" w:hAnsi="仿宋" w:eastAsia="仿宋"/>
          <w:b w:val="0"/>
          <w:bCs/>
          <w:color w:val="000000"/>
          <w:sz w:val="32"/>
          <w:szCs w:val="32"/>
        </w:rPr>
      </w:pPr>
      <w:r>
        <w:rPr>
          <w:rStyle w:val="13"/>
          <w:rFonts w:hint="eastAsia" w:ascii="仿宋" w:hAnsi="仿宋" w:eastAsia="仿宋"/>
          <w:bCs/>
          <w:color w:val="000000"/>
          <w:sz w:val="32"/>
          <w:szCs w:val="32"/>
        </w:rPr>
        <w:t>3</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社会保障和就业（类）行政事业单位离退休（款）机关事业单位基本养老保险缴费支出（项）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支出决算为11.56万元，完成预算100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Style w:val="13"/>
          <w:rFonts w:ascii="仿宋" w:hAnsi="仿宋" w:eastAsia="仿宋"/>
          <w:b w:val="0"/>
          <w:bCs/>
          <w:color w:val="000000"/>
          <w:sz w:val="32"/>
          <w:szCs w:val="32"/>
        </w:rPr>
      </w:pPr>
      <w:r>
        <w:rPr>
          <w:rStyle w:val="13"/>
          <w:rFonts w:hint="eastAsia" w:ascii="仿宋" w:hAnsi="仿宋" w:eastAsia="仿宋"/>
          <w:bCs/>
          <w:color w:val="000000"/>
          <w:sz w:val="32"/>
          <w:szCs w:val="32"/>
        </w:rPr>
        <w:t>4</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社会保障和就业（类）行政事业单位离退休（款）机关事业单位职业年金缴费支出（项）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支出决算为4.62万元，完成预算100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Style w:val="13"/>
          <w:rFonts w:ascii="仿宋" w:hAnsi="仿宋" w:eastAsia="仿宋"/>
          <w:b w:val="0"/>
          <w:bCs/>
          <w:color w:val="000000"/>
          <w:sz w:val="32"/>
          <w:szCs w:val="32"/>
        </w:rPr>
      </w:pPr>
      <w:r>
        <w:rPr>
          <w:rStyle w:val="13"/>
          <w:rFonts w:hint="eastAsia" w:ascii="仿宋" w:hAnsi="仿宋" w:eastAsia="仿宋"/>
          <w:bCs/>
          <w:color w:val="000000"/>
          <w:sz w:val="32"/>
          <w:szCs w:val="32"/>
        </w:rPr>
        <w:t>5</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医疗卫生与计划生育（类）行政事业单位医疗（款）行政单位医疗（项）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支出决算为3.81万元，完成预算100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hint="eastAsia" w:ascii="仿宋" w:hAnsi="仿宋" w:eastAsia="仿宋"/>
          <w:bCs/>
          <w:color w:val="000000"/>
          <w:sz w:val="32"/>
          <w:szCs w:val="32"/>
        </w:rPr>
        <w:t>5</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住房保障支出（类）住房改革政策（款）住房公积金（项）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支出决算为8.53万元，完成预算100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rPr>
          <w:rFonts w:ascii="仿宋" w:hAnsi="仿宋" w:eastAsia="仿宋"/>
          <w:b/>
          <w:color w:val="000000"/>
          <w:sz w:val="32"/>
          <w:szCs w:val="32"/>
        </w:rPr>
      </w:pPr>
    </w:p>
    <w:p>
      <w:pPr>
        <w:tabs>
          <w:tab w:val="right" w:pos="8306"/>
        </w:tabs>
        <w:spacing w:line="600" w:lineRule="exact"/>
        <w:ind w:firstLine="640"/>
        <w:outlineLvl w:val="1"/>
        <w:rPr>
          <w:rStyle w:val="25"/>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8年一般公共预算财政拨款基本支出129.05万元，其中：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100.00万元，主要包括：基本工资23.61万元、津贴补贴41.34万元、奖金1.91万元、伙食补助费0.30万元、机关事业单位基本养老保险缴费11.56万元、职业年金缴费4.62万元、其他社会保障缴费1.31万元、职工基本医疗保险3.81万元、生活补助3.00、医疗费、奖励金0.01万元、住房公积金8.53万元等。</w:t>
      </w:r>
      <w:r>
        <w:rPr>
          <w:rFonts w:ascii="仿宋" w:hAnsi="仿宋" w:eastAsia="仿宋"/>
          <w:color w:val="000000"/>
          <w:sz w:val="32"/>
          <w:szCs w:val="32"/>
        </w:rPr>
        <w:br w:type="textWrapping"/>
      </w:r>
      <w:r>
        <w:rPr>
          <w:rFonts w:hint="eastAsia" w:ascii="仿宋" w:hAnsi="仿宋" w:eastAsia="仿宋"/>
          <w:color w:val="000000"/>
          <w:sz w:val="32"/>
          <w:szCs w:val="32"/>
        </w:rPr>
        <w:t>　　公用经费29.05万元，主要包括：办公费9.08万元、电费0.03万元、邮电费0.15万元、取暖费0.53万元、差旅费5.36万元、维修（护）费0.83万元、其他交通费0.96万元、办公设备购置12.11万元等。</w:t>
      </w:r>
    </w:p>
    <w:p>
      <w:pPr>
        <w:spacing w:line="600" w:lineRule="exact"/>
        <w:ind w:firstLine="640"/>
        <w:rPr>
          <w:rFonts w:ascii="仿宋" w:hAnsi="仿宋" w:eastAsia="仿宋"/>
          <w:b/>
          <w:color w:val="FF0000"/>
          <w:sz w:val="32"/>
          <w:szCs w:val="32"/>
        </w:rPr>
      </w:pPr>
    </w:p>
    <w:p>
      <w:pPr>
        <w:spacing w:line="600" w:lineRule="exact"/>
        <w:ind w:firstLine="640"/>
        <w:outlineLvl w:val="1"/>
        <w:rPr>
          <w:rStyle w:val="25"/>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8年“三公”经费财政拨款支出决算为0万元，完成预算0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；公务接待费支出决算0万元，占0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3"/>
          <w:rFonts w:hint="eastAsia" w:ascii="仿宋" w:hAnsi="仿宋" w:eastAsia="仿宋"/>
          <w:b w:val="0"/>
          <w:bCs/>
          <w:color w:val="000000"/>
          <w:sz w:val="32"/>
          <w:szCs w:val="32"/>
        </w:rPr>
        <w:t>完成预算0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r>
        <w:rPr>
          <w:rStyle w:val="13"/>
          <w:rFonts w:hint="eastAsia" w:ascii="仿宋" w:hAnsi="仿宋" w:eastAsia="仿宋"/>
          <w:b w:val="0"/>
          <w:bCs/>
          <w:color w:val="000000"/>
          <w:sz w:val="32"/>
          <w:szCs w:val="32"/>
        </w:rPr>
        <w:t>完成预算0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0万元。全年按规定更新购置公务用车0辆，其中：轿车0辆、金额0万元，越野车0辆、金额0万元，载客汽车0辆、金额0万元。截至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月底，单位共有公务用车0辆，其中：轿车0辆、越野车0辆、载客汽车0辆。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0万元。</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0万元，</w:t>
      </w:r>
      <w:r>
        <w:rPr>
          <w:rStyle w:val="13"/>
          <w:rFonts w:hint="eastAsia" w:ascii="仿宋" w:hAnsi="仿宋" w:eastAsia="仿宋"/>
          <w:b w:val="0"/>
          <w:bCs/>
          <w:color w:val="000000"/>
          <w:sz w:val="32"/>
          <w:szCs w:val="32"/>
        </w:rPr>
        <w:t>完成预算0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Fonts w:ascii="仿宋_GB2312" w:eastAsia="仿宋_GB2312"/>
          <w:color w:val="000000" w:themeColor="text1"/>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，外事接待0批次，0人，共计支出0万元。</w:t>
      </w:r>
      <w:r>
        <w:rPr>
          <w:rFonts w:ascii="仿宋_GB2312" w:eastAsia="仿宋_GB2312"/>
          <w:color w:val="000000" w:themeColor="text1"/>
          <w:sz w:val="32"/>
          <w:szCs w:val="32"/>
        </w:rPr>
        <w:t xml:space="preserve"> </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其他国内公务接待支出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p>
    <w:p>
      <w:pPr>
        <w:spacing w:line="600" w:lineRule="exact"/>
        <w:ind w:firstLine="640"/>
        <w:outlineLvl w:val="1"/>
        <w:rPr>
          <w:rFonts w:ascii="黑体" w:eastAsia="黑体"/>
          <w:color w:val="000000"/>
          <w:sz w:val="32"/>
          <w:szCs w:val="32"/>
        </w:rPr>
      </w:pPr>
      <w:bookmarkStart w:id="46" w:name="_Toc15396610"/>
      <w:bookmarkStart w:id="47" w:name="_Toc15377218"/>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8年政府性基金预算拨款支出0万元。</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25"/>
          <w:rFonts w:ascii="黑体" w:hAnsi="黑体" w:eastAsia="黑体"/>
          <w:b w:val="0"/>
        </w:rPr>
      </w:pPr>
      <w:bookmarkStart w:id="48" w:name="_Toc15377219"/>
      <w:bookmarkStart w:id="49" w:name="_Toc15396611"/>
      <w:r>
        <w:rPr>
          <w:rStyle w:val="25"/>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8年国有资本经营预算拨款支出0万元。</w:t>
      </w:r>
    </w:p>
    <w:p>
      <w:pPr>
        <w:pStyle w:val="23"/>
        <w:numPr>
          <w:ilvl w:val="0"/>
          <w:numId w:val="3"/>
        </w:numPr>
        <w:spacing w:line="580" w:lineRule="exact"/>
        <w:ind w:firstLineChars="0"/>
        <w:rPr>
          <w:rStyle w:val="25"/>
          <w:rFonts w:ascii="黑体" w:hAnsi="黑体" w:eastAsia="黑体"/>
          <w:b w:val="0"/>
        </w:rPr>
      </w:pPr>
      <w:r>
        <w:rPr>
          <w:rStyle w:val="25"/>
          <w:rFonts w:hint="eastAsia" w:ascii="黑体" w:hAnsi="黑体" w:eastAsia="黑体"/>
          <w:b w:val="0"/>
        </w:rPr>
        <w:t>预算绩效情况说明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我单位没有开展预算绩效评价。</w:t>
      </w:r>
    </w:p>
    <w:p>
      <w:pPr>
        <w:spacing w:line="600" w:lineRule="exact"/>
        <w:ind w:firstLine="800" w:firstLineChars="250"/>
        <w:outlineLvl w:val="1"/>
        <w:rPr>
          <w:rStyle w:val="25"/>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8年，机关运行经费支出22.06万元，比</w:t>
      </w:r>
      <w:r>
        <w:rPr>
          <w:rFonts w:ascii="仿宋_GB2312" w:eastAsia="仿宋_GB2312"/>
          <w:color w:val="000000"/>
          <w:sz w:val="32"/>
          <w:szCs w:val="32"/>
        </w:rPr>
        <w:t>201</w:t>
      </w:r>
      <w:r>
        <w:rPr>
          <w:rFonts w:hint="eastAsia" w:ascii="仿宋_GB2312" w:eastAsia="仿宋_GB2312"/>
          <w:color w:val="000000"/>
          <w:sz w:val="32"/>
          <w:szCs w:val="32"/>
        </w:rPr>
        <w:t>7年增加2.31万元，增长11.16</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主要原因是办公费增加。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8年，壤塘县信访局政府采购支出总额0万元，其中：政府采购货物支出0万元、政府采购工程支出0万元、政府采购服务支出0万元。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日，壤塘县信访局共有车辆0辆，其中：部级领导干部用车0辆、一般公务用车0辆、一般执法执勤用车0辆、特种专业技术用车0辆、其他用车0辆。</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万元以上通用设备0台（套），单价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jc w:val="left"/>
        <w:outlineLvl w:val="2"/>
        <w:rPr>
          <w:rFonts w:ascii="仿宋" w:hAnsi="仿宋" w:eastAsia="仿宋"/>
          <w:b/>
          <w:color w:val="000000"/>
          <w:sz w:val="32"/>
          <w:szCs w:val="32"/>
        </w:rPr>
      </w:pP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firstLine="663" w:firstLineChars="150"/>
        <w:jc w:val="center"/>
        <w:outlineLvl w:val="0"/>
        <w:rPr>
          <w:rStyle w:val="24"/>
          <w:rFonts w:ascii="黑体" w:hAnsi="黑体" w:eastAsia="黑体"/>
          <w:b w:val="0"/>
        </w:rPr>
      </w:pPr>
      <w:bookmarkStart w:id="55" w:name="_Toc15396613"/>
      <w:bookmarkStart w:id="56" w:name="_Toc15377225"/>
      <w:r>
        <w:rPr>
          <w:rFonts w:hint="eastAsia" w:ascii="黑体" w:hAnsi="黑体" w:eastAsia="黑体"/>
          <w:b/>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4、年末结转和结余：指单位按有关规定结转到下年或以后年度继续使用的资金。</w:t>
      </w:r>
    </w:p>
    <w:p>
      <w:pPr>
        <w:ind w:firstLine="640" w:firstLineChars="200"/>
        <w:rPr>
          <w:rFonts w:hint="eastAsia" w:ascii="仿宋_GB2312" w:eastAsia="仿宋_GB2312"/>
          <w:color w:val="000000"/>
          <w:sz w:val="32"/>
          <w:szCs w:val="32"/>
        </w:rPr>
      </w:pPr>
      <w:r>
        <w:rPr>
          <w:rStyle w:val="13"/>
          <w:rFonts w:hint="eastAsia" w:ascii="仿宋" w:hAnsi="仿宋" w:eastAsia="仿宋"/>
          <w:b w:val="0"/>
          <w:bCs/>
          <w:color w:val="000000"/>
          <w:sz w:val="32"/>
          <w:szCs w:val="32"/>
        </w:rPr>
        <w:t>5、一般公共服务（类）政府办公厅（室）及相关机构事务（款）行政运行（项）</w:t>
      </w:r>
      <w:r>
        <w:rPr>
          <w:rFonts w:hint="eastAsia" w:ascii="仿宋_GB2312" w:eastAsia="仿宋_GB2312"/>
          <w:color w:val="000000"/>
          <w:sz w:val="32"/>
          <w:szCs w:val="32"/>
        </w:rPr>
        <w:t>指用于相关机构行政运行事务方面的支出。</w:t>
      </w:r>
    </w:p>
    <w:p>
      <w:pPr>
        <w:ind w:firstLine="640" w:firstLineChars="200"/>
        <w:rPr>
          <w:rStyle w:val="13"/>
          <w:rFonts w:hint="eastAsia" w:ascii="仿宋" w:hAnsi="仿宋" w:eastAsia="仿宋"/>
          <w:b w:val="0"/>
          <w:bCs/>
          <w:color w:val="000000"/>
          <w:sz w:val="32"/>
          <w:szCs w:val="32"/>
        </w:rPr>
      </w:pPr>
      <w:r>
        <w:rPr>
          <w:rStyle w:val="13"/>
          <w:rFonts w:hint="eastAsia" w:ascii="仿宋" w:hAnsi="仿宋" w:eastAsia="仿宋"/>
          <w:b w:val="0"/>
          <w:bCs/>
          <w:color w:val="000000"/>
          <w:sz w:val="32"/>
          <w:szCs w:val="32"/>
        </w:rPr>
        <w:t>6、一般公共服务（类）其他共产党事务（款）一般行政管理事务（项）指用于其他共产党一般行政管理事务的支出。</w:t>
      </w:r>
    </w:p>
    <w:p>
      <w:pPr>
        <w:ind w:firstLine="640" w:firstLineChars="200"/>
        <w:rPr>
          <w:rFonts w:ascii="仿宋_GB2312" w:eastAsia="仿宋_GB2312"/>
          <w:b/>
          <w:color w:val="000000"/>
          <w:sz w:val="32"/>
          <w:szCs w:val="32"/>
        </w:rPr>
      </w:pPr>
      <w:r>
        <w:rPr>
          <w:rStyle w:val="13"/>
          <w:rFonts w:hint="eastAsia" w:ascii="仿宋" w:hAnsi="仿宋" w:eastAsia="仿宋"/>
          <w:b w:val="0"/>
          <w:bCs/>
          <w:color w:val="000000"/>
          <w:sz w:val="32"/>
          <w:szCs w:val="32"/>
        </w:rPr>
        <w:t>7、医疗卫生与计划生育（类）行政事业单位医疗（款）行政单位医疗（项）指用于行政事务单位的医疗支出。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8、社会保障和就业（类）行政事业单位离退休（款）机关事业单位职业年金缴费支出（项）：指事业单位实施养老保险制度由单位实际缴纳的职业年金支出。</w:t>
      </w:r>
    </w:p>
    <w:p>
      <w:pPr>
        <w:ind w:firstLine="640" w:firstLineChars="200"/>
        <w:rPr>
          <w:rFonts w:ascii="仿宋" w:hAnsi="仿宋" w:eastAsia="仿宋"/>
          <w:b/>
          <w:color w:val="000000"/>
          <w:sz w:val="32"/>
          <w:szCs w:val="32"/>
        </w:rPr>
      </w:pPr>
      <w:r>
        <w:rPr>
          <w:rFonts w:hint="eastAsia" w:ascii="仿宋_GB2312" w:eastAsia="仿宋_GB2312"/>
          <w:color w:val="000000"/>
          <w:sz w:val="32"/>
          <w:szCs w:val="32"/>
        </w:rPr>
        <w:t>9、住房保障（类）住房改革支出（款）住房公积金（项）：指反映行政事业单位按人力资源和社会保障部、财政部规定的基本工资和津贴补贴以及规定比例为职工缴纳的住房公积金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11、项目支出：指在基本支出之外为完成特定行政任务和事业发展目标所发生的支出。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12、经营支出：指事业单位在专业业务活动及其辅助活动之外开展非独立核算经营活动发生的支出。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13、 “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14、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仿宋" w:hAnsi="仿宋" w:eastAsia="仿宋" w:cs="仿宋_GB2312"/>
          <w:sz w:val="32"/>
          <w:szCs w:val="32"/>
        </w:rPr>
      </w:pPr>
      <w:bookmarkStart w:id="57" w:name="_Toc15377226"/>
      <w:r>
        <w:rPr>
          <w:rFonts w:ascii="宋体"/>
          <w:b/>
          <w:color w:val="000000"/>
          <w:sz w:val="44"/>
          <w:szCs w:val="44"/>
        </w:rPr>
        <w:br w:type="page"/>
      </w:r>
      <w:r>
        <w:rPr>
          <w:rFonts w:ascii="仿宋" w:hAnsi="仿宋" w:eastAsia="仿宋" w:cs="仿宋_GB2312"/>
          <w:sz w:val="32"/>
          <w:szCs w:val="32"/>
        </w:rPr>
        <w:t xml:space="preserve"> </w:t>
      </w: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600" w:lineRule="exact"/>
        <w:jc w:val="center"/>
        <w:outlineLvl w:val="0"/>
        <w:rPr>
          <w:rStyle w:val="24"/>
          <w:rFonts w:ascii="黑体" w:hAnsi="黑体" w:eastAsia="黑体"/>
          <w:b w:val="0"/>
        </w:rPr>
      </w:pPr>
      <w:bookmarkStart w:id="58" w:name="_Toc15396618"/>
      <w:r>
        <w:rPr>
          <w:rFonts w:hint="eastAsia" w:ascii="黑体" w:hAnsi="黑体" w:eastAsia="黑体"/>
          <w:color w:val="000000"/>
          <w:sz w:val="44"/>
          <w:szCs w:val="44"/>
        </w:rPr>
        <w:t>、第</w:t>
      </w:r>
      <w:r>
        <w:rPr>
          <w:rStyle w:val="24"/>
          <w:rFonts w:hint="eastAsia" w:ascii="黑体" w:hAnsi="黑体" w:eastAsia="黑体"/>
          <w:b w:val="0"/>
        </w:rPr>
        <w:t>四部分 附表</w:t>
      </w:r>
      <w:bookmarkEnd w:id="57"/>
      <w:bookmarkEnd w:id="58"/>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59"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59"/>
    </w:p>
    <w:p>
      <w:pPr>
        <w:pStyle w:val="3"/>
        <w:rPr>
          <w:rFonts w:ascii="仿宋" w:hAnsi="仿宋" w:eastAsia="仿宋"/>
          <w:color w:val="000000"/>
        </w:rPr>
      </w:pPr>
      <w:bookmarkStart w:id="60"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0"/>
    </w:p>
    <w:p>
      <w:pPr>
        <w:pStyle w:val="3"/>
        <w:rPr>
          <w:rFonts w:ascii="仿宋" w:hAnsi="仿宋" w:eastAsia="仿宋"/>
          <w:color w:val="000000"/>
        </w:rPr>
      </w:pPr>
      <w:bookmarkStart w:id="61"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1"/>
    </w:p>
    <w:p>
      <w:pPr>
        <w:pStyle w:val="3"/>
        <w:rPr>
          <w:rFonts w:ascii="仿宋" w:hAnsi="仿宋" w:eastAsia="仿宋"/>
          <w:b w:val="0"/>
          <w:color w:val="000000"/>
        </w:rPr>
      </w:pPr>
      <w:bookmarkStart w:id="62"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2"/>
    </w:p>
    <w:p>
      <w:pPr>
        <w:pStyle w:val="3"/>
        <w:rPr>
          <w:rFonts w:ascii="仿宋" w:hAnsi="仿宋" w:eastAsia="仿宋"/>
          <w:color w:val="000000"/>
        </w:rPr>
      </w:pPr>
      <w:bookmarkStart w:id="63"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63"/>
    </w:p>
    <w:p>
      <w:pPr>
        <w:pStyle w:val="3"/>
        <w:rPr>
          <w:rFonts w:ascii="仿宋" w:hAnsi="仿宋" w:eastAsia="仿宋"/>
          <w:color w:val="000000"/>
        </w:rPr>
      </w:pPr>
      <w:bookmarkStart w:id="64"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4"/>
    </w:p>
    <w:p>
      <w:pPr>
        <w:pStyle w:val="3"/>
        <w:rPr>
          <w:rFonts w:ascii="仿宋" w:hAnsi="仿宋" w:eastAsia="仿宋"/>
          <w:color w:val="000000"/>
        </w:rPr>
      </w:pPr>
      <w:bookmarkStart w:id="65"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5"/>
    </w:p>
    <w:p>
      <w:pPr>
        <w:pStyle w:val="3"/>
        <w:rPr>
          <w:rFonts w:ascii="仿宋" w:hAnsi="仿宋" w:eastAsia="仿宋"/>
          <w:color w:val="000000"/>
        </w:rPr>
      </w:pPr>
      <w:bookmarkStart w:id="66"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6"/>
    </w:p>
    <w:p>
      <w:pPr>
        <w:pStyle w:val="3"/>
        <w:rPr>
          <w:rFonts w:ascii="仿宋" w:hAnsi="仿宋" w:eastAsia="仿宋"/>
          <w:color w:val="000000"/>
        </w:rPr>
      </w:pPr>
      <w:bookmarkStart w:id="67"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7"/>
    </w:p>
    <w:p>
      <w:pPr>
        <w:pStyle w:val="3"/>
        <w:rPr>
          <w:rFonts w:ascii="仿宋" w:hAnsi="仿宋" w:eastAsia="仿宋"/>
          <w:color w:val="000000"/>
        </w:rPr>
      </w:pPr>
      <w:bookmarkStart w:id="68"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8"/>
    </w:p>
    <w:p>
      <w:pPr>
        <w:pStyle w:val="3"/>
        <w:rPr>
          <w:rFonts w:ascii="仿宋" w:hAnsi="仿宋" w:eastAsia="仿宋"/>
          <w:color w:val="000000"/>
        </w:rPr>
      </w:pPr>
      <w:bookmarkStart w:id="69"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69"/>
    </w:p>
    <w:p>
      <w:pPr>
        <w:pStyle w:val="3"/>
        <w:rPr>
          <w:rFonts w:ascii="仿宋" w:hAnsi="仿宋" w:eastAsia="仿宋"/>
          <w:color w:val="000000"/>
        </w:rPr>
      </w:pPr>
      <w:bookmarkStart w:id="70"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0"/>
    </w:p>
    <w:p>
      <w:pPr>
        <w:pStyle w:val="3"/>
        <w:rPr>
          <w:rFonts w:ascii="仿宋" w:hAnsi="仿宋" w:eastAsia="仿宋"/>
          <w:color w:val="000000" w:themeColor="text1"/>
        </w:rPr>
      </w:pPr>
      <w:bookmarkStart w:id="71"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1"/>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19</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37F7E"/>
    <w:rsid w:val="000428A8"/>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00BD1"/>
    <w:rsid w:val="00114E9B"/>
    <w:rsid w:val="0014729F"/>
    <w:rsid w:val="00157BAB"/>
    <w:rsid w:val="001654D1"/>
    <w:rsid w:val="0018106D"/>
    <w:rsid w:val="001877A7"/>
    <w:rsid w:val="00191536"/>
    <w:rsid w:val="00196687"/>
    <w:rsid w:val="001B6622"/>
    <w:rsid w:val="001C0962"/>
    <w:rsid w:val="001D7531"/>
    <w:rsid w:val="001E506F"/>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0EF5"/>
    <w:rsid w:val="003A484F"/>
    <w:rsid w:val="003B0BE0"/>
    <w:rsid w:val="003B0C1B"/>
    <w:rsid w:val="003B688C"/>
    <w:rsid w:val="003C0291"/>
    <w:rsid w:val="003C39AE"/>
    <w:rsid w:val="003C7B60"/>
    <w:rsid w:val="003D1FB2"/>
    <w:rsid w:val="003D66DA"/>
    <w:rsid w:val="003E1310"/>
    <w:rsid w:val="003E6F55"/>
    <w:rsid w:val="00406254"/>
    <w:rsid w:val="004223DE"/>
    <w:rsid w:val="00430984"/>
    <w:rsid w:val="00431DB9"/>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1F6B"/>
    <w:rsid w:val="00505A47"/>
    <w:rsid w:val="00512FDA"/>
    <w:rsid w:val="00520DA0"/>
    <w:rsid w:val="005426DB"/>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37F55"/>
    <w:rsid w:val="006440E4"/>
    <w:rsid w:val="0066343B"/>
    <w:rsid w:val="00664777"/>
    <w:rsid w:val="00672385"/>
    <w:rsid w:val="006748A4"/>
    <w:rsid w:val="00683E73"/>
    <w:rsid w:val="006A3141"/>
    <w:rsid w:val="006A5E34"/>
    <w:rsid w:val="006B2422"/>
    <w:rsid w:val="006B2B9A"/>
    <w:rsid w:val="006C1937"/>
    <w:rsid w:val="006F020C"/>
    <w:rsid w:val="006F2245"/>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26E56"/>
    <w:rsid w:val="00833C3D"/>
    <w:rsid w:val="0083706E"/>
    <w:rsid w:val="008423A5"/>
    <w:rsid w:val="00850625"/>
    <w:rsid w:val="00853718"/>
    <w:rsid w:val="00855221"/>
    <w:rsid w:val="00860645"/>
    <w:rsid w:val="00871F71"/>
    <w:rsid w:val="00885AF4"/>
    <w:rsid w:val="008939CD"/>
    <w:rsid w:val="008B768C"/>
    <w:rsid w:val="008C4DB1"/>
    <w:rsid w:val="008C4EAF"/>
    <w:rsid w:val="008C5176"/>
    <w:rsid w:val="008C5EFB"/>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7264D"/>
    <w:rsid w:val="00976806"/>
    <w:rsid w:val="0098660A"/>
    <w:rsid w:val="009931C3"/>
    <w:rsid w:val="009B2C43"/>
    <w:rsid w:val="009B4EAE"/>
    <w:rsid w:val="009B7573"/>
    <w:rsid w:val="009C22F4"/>
    <w:rsid w:val="009C2E98"/>
    <w:rsid w:val="009D3447"/>
    <w:rsid w:val="009D4711"/>
    <w:rsid w:val="009F1185"/>
    <w:rsid w:val="009F18CD"/>
    <w:rsid w:val="009F2A13"/>
    <w:rsid w:val="00A04EB0"/>
    <w:rsid w:val="00A07FE6"/>
    <w:rsid w:val="00A13CC1"/>
    <w:rsid w:val="00A16847"/>
    <w:rsid w:val="00A237D8"/>
    <w:rsid w:val="00A268C4"/>
    <w:rsid w:val="00A307CD"/>
    <w:rsid w:val="00A40A00"/>
    <w:rsid w:val="00A4142F"/>
    <w:rsid w:val="00A56DF2"/>
    <w:rsid w:val="00A67AB5"/>
    <w:rsid w:val="00A91760"/>
    <w:rsid w:val="00A93B00"/>
    <w:rsid w:val="00A93C21"/>
    <w:rsid w:val="00A96695"/>
    <w:rsid w:val="00AA536B"/>
    <w:rsid w:val="00AC3C6A"/>
    <w:rsid w:val="00AD5620"/>
    <w:rsid w:val="00AD7C1B"/>
    <w:rsid w:val="00AE16BA"/>
    <w:rsid w:val="00AE1EBE"/>
    <w:rsid w:val="00B03C9D"/>
    <w:rsid w:val="00B060AE"/>
    <w:rsid w:val="00B10517"/>
    <w:rsid w:val="00B14E76"/>
    <w:rsid w:val="00B161B8"/>
    <w:rsid w:val="00B2048C"/>
    <w:rsid w:val="00B24855"/>
    <w:rsid w:val="00B310B9"/>
    <w:rsid w:val="00B35F3F"/>
    <w:rsid w:val="00B36CBB"/>
    <w:rsid w:val="00B425E0"/>
    <w:rsid w:val="00B440AA"/>
    <w:rsid w:val="00B44B70"/>
    <w:rsid w:val="00B53C56"/>
    <w:rsid w:val="00B61E5D"/>
    <w:rsid w:val="00B77EA6"/>
    <w:rsid w:val="00B81598"/>
    <w:rsid w:val="00B82D13"/>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069AE"/>
    <w:rsid w:val="00D20620"/>
    <w:rsid w:val="00D26091"/>
    <w:rsid w:val="00D34E7C"/>
    <w:rsid w:val="00D35489"/>
    <w:rsid w:val="00D51276"/>
    <w:rsid w:val="00D7035F"/>
    <w:rsid w:val="00DA65AC"/>
    <w:rsid w:val="00DB1913"/>
    <w:rsid w:val="00DC410D"/>
    <w:rsid w:val="00DC68CA"/>
    <w:rsid w:val="00DC7CBA"/>
    <w:rsid w:val="00DD73B7"/>
    <w:rsid w:val="00DE0C94"/>
    <w:rsid w:val="00DF28BC"/>
    <w:rsid w:val="00DF34B9"/>
    <w:rsid w:val="00DF5F4C"/>
    <w:rsid w:val="00E01053"/>
    <w:rsid w:val="00E07ACF"/>
    <w:rsid w:val="00E331A1"/>
    <w:rsid w:val="00E33202"/>
    <w:rsid w:val="00E336A9"/>
    <w:rsid w:val="00E50624"/>
    <w:rsid w:val="00E568DF"/>
    <w:rsid w:val="00E64269"/>
    <w:rsid w:val="00E82267"/>
    <w:rsid w:val="00EA010F"/>
    <w:rsid w:val="00EB7F1F"/>
    <w:rsid w:val="00ED1B63"/>
    <w:rsid w:val="00ED3C1F"/>
    <w:rsid w:val="00ED4085"/>
    <w:rsid w:val="00ED420E"/>
    <w:rsid w:val="00EE2F57"/>
    <w:rsid w:val="00EF4C34"/>
    <w:rsid w:val="00EF77C6"/>
    <w:rsid w:val="00F05438"/>
    <w:rsid w:val="00F1361C"/>
    <w:rsid w:val="00F160C7"/>
    <w:rsid w:val="00F36D8F"/>
    <w:rsid w:val="00F37C48"/>
    <w:rsid w:val="00F417B1"/>
    <w:rsid w:val="00F602DF"/>
    <w:rsid w:val="00F61B31"/>
    <w:rsid w:val="00F81FD9"/>
    <w:rsid w:val="00F841AA"/>
    <w:rsid w:val="00FA23E8"/>
    <w:rsid w:val="00FB4BEE"/>
    <w:rsid w:val="00FD3CC1"/>
    <w:rsid w:val="00FF1E02"/>
    <w:rsid w:val="00FF30B4"/>
    <w:rsid w:val="10C055FF"/>
    <w:rsid w:val="16BB723D"/>
    <w:rsid w:val="240371BF"/>
    <w:rsid w:val="29FD04D3"/>
    <w:rsid w:val="31223463"/>
    <w:rsid w:val="319F7F4E"/>
    <w:rsid w:val="3205748C"/>
    <w:rsid w:val="47E13D2B"/>
    <w:rsid w:val="55B32B6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3">
    <w:name w:val="Strong"/>
    <w:basedOn w:val="12"/>
    <w:qFormat/>
    <w:uiPriority w:val="99"/>
    <w:rPr>
      <w:b/>
    </w:rPr>
  </w:style>
  <w:style w:type="character" w:styleId="14">
    <w:name w:val="Hyperlink"/>
    <w:basedOn w:val="12"/>
    <w:unhideWhenUsed/>
    <w:qFormat/>
    <w:uiPriority w:val="99"/>
    <w:rPr>
      <w:color w:val="0000FF" w:themeColor="hyperlink"/>
      <w:u w:val="single"/>
    </w:rPr>
  </w:style>
  <w:style w:type="character" w:customStyle="1" w:styleId="16">
    <w:name w:val="Header Char"/>
    <w:basedOn w:val="12"/>
    <w:semiHidden/>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2"/>
    <w:semiHidden/>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2"/>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2"/>
    <w:link w:val="2"/>
    <w:uiPriority w:val="9"/>
    <w:rPr>
      <w:rFonts w:ascii="Times New Roman" w:hAnsi="Times New Roman"/>
      <w:b/>
      <w:bCs/>
      <w:kern w:val="44"/>
      <w:sz w:val="44"/>
      <w:szCs w:val="44"/>
    </w:rPr>
  </w:style>
  <w:style w:type="character" w:customStyle="1" w:styleId="25">
    <w:name w:val="标题 2 Char"/>
    <w:basedOn w:val="12"/>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2"/>
    <w:link w:val="7"/>
    <w:semiHidden/>
    <w:qFormat/>
    <w:uiPriority w:val="99"/>
    <w:rPr>
      <w:rFonts w:ascii="Times New Roman" w:hAnsi="Times New Roman"/>
      <w:kern w:val="2"/>
      <w:sz w:val="18"/>
      <w:szCs w:val="18"/>
    </w:rPr>
  </w:style>
  <w:style w:type="character" w:customStyle="1" w:styleId="28">
    <w:name w:val="标题 3 Char"/>
    <w:basedOn w:val="12"/>
    <w:link w:val="4"/>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C4550C-D8DB-4FA7-BE6F-0C35AE34E324}">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19</Pages>
  <Words>5738</Words>
  <Characters>2595</Characters>
  <Lines>21</Lines>
  <Paragraphs>16</Paragraphs>
  <TotalTime>167</TotalTime>
  <ScaleCrop>false</ScaleCrop>
  <LinksUpToDate>false</LinksUpToDate>
  <CharactersWithSpaces>8317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陶淑群</cp:lastModifiedBy>
  <cp:lastPrinted>2019-08-01T00:48:00Z</cp:lastPrinted>
  <dcterms:modified xsi:type="dcterms:W3CDTF">2019-10-31T08:14:02Z</dcterms:modified>
  <dc:title>四川省***</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