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tabs>
          <w:tab w:val="center" w:pos="4153"/>
        </w:tabs>
        <w:rPr>
          <w:rFonts w:hint="eastAsia" w:ascii="仿宋" w:hAnsi="仿宋" w:eastAsia="仿宋" w:cs="仿宋"/>
          <w:color w:val="auto"/>
          <w:kern w:val="2"/>
          <w:sz w:val="44"/>
          <w:szCs w:val="44"/>
          <w:highlight w:val="none"/>
          <w:lang w:val="en-US" w:eastAsia="zh-CN" w:bidi="ar-SA"/>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spacing w:line="600" w:lineRule="exact"/>
        <w:jc w:val="center"/>
        <w:outlineLvl w:val="0"/>
        <w:rPr>
          <w:rFonts w:hint="default" w:ascii="方正小标宋简体" w:hAnsi="宋体" w:eastAsia="方正小标宋简体"/>
          <w:color w:val="000000"/>
          <w:sz w:val="72"/>
          <w:szCs w:val="72"/>
          <w:lang w:val="en-US" w:eastAsia="zh-CN"/>
        </w:rPr>
      </w:pPr>
      <w:r>
        <w:rPr>
          <w:rFonts w:hint="eastAsia" w:ascii="方正小标宋简体" w:hAnsi="宋体" w:eastAsia="方正小标宋简体"/>
          <w:color w:val="000000"/>
          <w:sz w:val="56"/>
          <w:szCs w:val="56"/>
          <w:lang w:val="en-US" w:eastAsia="zh-CN"/>
        </w:rPr>
        <w:t>阿坝州壤塘县</w:t>
      </w:r>
    </w:p>
    <w:p>
      <w:pPr>
        <w:widowControl/>
        <w:jc w:val="center"/>
        <w:rPr>
          <w:rFonts w:hint="default" w:ascii="方正小标宋简体" w:eastAsia="方正小标宋简体"/>
          <w:sz w:val="56"/>
          <w:szCs w:val="56"/>
          <w:lang w:val="en-US" w:eastAsia="zh-CN"/>
        </w:rPr>
      </w:pPr>
      <w:bookmarkStart w:id="0" w:name="_Toc15377193"/>
      <w:bookmarkStart w:id="1" w:name="_Toc15378441"/>
      <w:bookmarkStart w:id="2" w:name="_Toc15396597"/>
      <w:bookmarkStart w:id="3" w:name="_Toc15377425"/>
      <w:bookmarkStart w:id="4" w:name="_Toc15396475"/>
      <w:r>
        <w:rPr>
          <w:rFonts w:hint="eastAsia" w:ascii="方正小标宋简体" w:eastAsia="方正小标宋简体"/>
          <w:sz w:val="56"/>
          <w:szCs w:val="56"/>
          <w:lang w:eastAsia="zh-CN"/>
        </w:rPr>
        <w:t>202</w:t>
      </w:r>
      <w:r>
        <w:rPr>
          <w:rFonts w:hint="eastAsia" w:ascii="方正小标宋简体" w:eastAsia="方正小标宋简体"/>
          <w:sz w:val="56"/>
          <w:szCs w:val="56"/>
          <w:lang w:val="en-US" w:eastAsia="zh-CN"/>
        </w:rPr>
        <w:t>5</w:t>
      </w:r>
      <w:r>
        <w:rPr>
          <w:rFonts w:hint="eastAsia" w:ascii="方正小标宋简体" w:eastAsia="方正小标宋简体"/>
          <w:sz w:val="56"/>
          <w:szCs w:val="56"/>
          <w:lang w:eastAsia="zh-CN"/>
        </w:rPr>
        <w:t>年度</w:t>
      </w:r>
      <w:bookmarkEnd w:id="0"/>
      <w:bookmarkEnd w:id="1"/>
      <w:bookmarkEnd w:id="2"/>
      <w:bookmarkEnd w:id="3"/>
      <w:bookmarkEnd w:id="4"/>
      <w:bookmarkStart w:id="5" w:name="_Toc15396598"/>
      <w:bookmarkStart w:id="6" w:name="_Toc15306268"/>
      <w:bookmarkStart w:id="7" w:name="_Toc15377194"/>
      <w:bookmarkStart w:id="8" w:name="_Toc15396476"/>
      <w:bookmarkStart w:id="9" w:name="_Toc15377426"/>
      <w:bookmarkStart w:id="10" w:name="_Toc15378442"/>
      <w:r>
        <w:rPr>
          <w:rFonts w:hint="eastAsia" w:ascii="方正小标宋简体" w:eastAsia="方正小标宋简体"/>
          <w:sz w:val="56"/>
          <w:szCs w:val="56"/>
          <w:lang w:val="en-US" w:eastAsia="zh-CN"/>
        </w:rPr>
        <w:t>壤塘县工商业联合会</w:t>
      </w:r>
    </w:p>
    <w:bookmarkEnd w:id="5"/>
    <w:bookmarkEnd w:id="6"/>
    <w:bookmarkEnd w:id="7"/>
    <w:bookmarkEnd w:id="8"/>
    <w:bookmarkEnd w:id="9"/>
    <w:bookmarkEnd w:id="10"/>
    <w:p>
      <w:pPr>
        <w:widowControl/>
        <w:jc w:val="center"/>
        <w:rPr>
          <w:rFonts w:hint="eastAsia" w:ascii="方正小标宋简体" w:eastAsia="方正小标宋简体"/>
          <w:sz w:val="56"/>
          <w:szCs w:val="56"/>
          <w:lang w:eastAsia="zh-CN"/>
        </w:rPr>
      </w:pPr>
      <w:r>
        <w:rPr>
          <w:rFonts w:hint="eastAsia" w:ascii="方正小标宋简体" w:eastAsia="方正小标宋简体"/>
          <w:sz w:val="56"/>
          <w:szCs w:val="56"/>
          <w:lang w:val="en-US" w:eastAsia="zh-CN"/>
        </w:rPr>
        <w:t>部门</w:t>
      </w:r>
      <w:r>
        <w:rPr>
          <w:rFonts w:hint="eastAsia" w:ascii="方正小标宋简体" w:eastAsia="方正小标宋简体"/>
          <w:sz w:val="56"/>
          <w:szCs w:val="56"/>
          <w:lang w:eastAsia="zh-CN"/>
        </w:rPr>
        <w:t>决算</w:t>
      </w:r>
    </w:p>
    <w:p>
      <w:pPr>
        <w:widowControl/>
        <w:jc w:val="center"/>
        <w:rPr>
          <w:rFonts w:ascii="方正小标宋简体" w:hAnsi="宋体" w:eastAsia="方正小标宋简体"/>
          <w:color w:val="000000"/>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pStyle w:val="8"/>
        <w:tabs>
          <w:tab w:val="center" w:pos="4153"/>
        </w:tabs>
        <w:rPr>
          <w:rFonts w:hint="eastAsia" w:ascii="仿宋" w:hAnsi="仿宋" w:eastAsia="仿宋" w:cs="仿宋"/>
          <w:color w:val="auto"/>
          <w:kern w:val="2"/>
          <w:sz w:val="44"/>
          <w:szCs w:val="44"/>
          <w:highlight w:val="none"/>
          <w:lang w:val="en-US" w:eastAsia="zh-CN" w:bidi="ar-SA"/>
        </w:rPr>
      </w:pPr>
    </w:p>
    <w:p>
      <w:pPr>
        <w:widowControl/>
        <w:jc w:val="center"/>
        <w:rPr>
          <w:rFonts w:hint="eastAsia" w:ascii="方正小标宋简体" w:hAnsi="Times New Roman" w:eastAsia="方正小标宋简体" w:cs="Times New Roman"/>
          <w:sz w:val="44"/>
          <w:szCs w:val="44"/>
          <w:lang w:val="en-US" w:eastAsia="zh-CN"/>
        </w:rPr>
      </w:pPr>
      <w:r>
        <w:rPr>
          <w:rFonts w:hint="eastAsia" w:ascii="方正小标宋简体" w:hAnsi="Times New Roman" w:eastAsia="方正小标宋简体" w:cs="Times New Roman"/>
          <w:sz w:val="44"/>
          <w:szCs w:val="44"/>
          <w:lang w:val="en-US" w:eastAsia="zh-CN"/>
        </w:rPr>
        <w:t>阿坝州壤塘县2025年度工商联合会</w:t>
      </w:r>
    </w:p>
    <w:p>
      <w:pPr>
        <w:widowControl/>
        <w:jc w:val="center"/>
        <w:rPr>
          <w:rFonts w:hint="eastAsia" w:ascii="方正小标宋简体" w:hAnsi="Times New Roman" w:eastAsia="方正小标宋简体" w:cs="Times New Roman"/>
          <w:sz w:val="44"/>
          <w:szCs w:val="44"/>
          <w:lang w:val="en-US" w:eastAsia="zh-CN"/>
        </w:rPr>
      </w:pPr>
      <w:r>
        <w:rPr>
          <w:rFonts w:hint="eastAsia" w:ascii="方正小标宋简体" w:hAnsi="Times New Roman" w:eastAsia="方正小标宋简体" w:cs="Times New Roman"/>
          <w:sz w:val="44"/>
          <w:szCs w:val="44"/>
          <w:lang w:val="en-US" w:eastAsia="zh-CN"/>
        </w:rPr>
        <w:t>部门决算公开</w:t>
      </w:r>
    </w:p>
    <w:p>
      <w:pPr>
        <w:widowControl/>
        <w:jc w:val="center"/>
        <w:rPr>
          <w:rFonts w:hint="eastAsia" w:ascii="仿宋" w:hAnsi="仿宋" w:eastAsia="仿宋" w:cs="仿宋"/>
          <w:color w:val="auto"/>
          <w:sz w:val="48"/>
          <w:szCs w:val="48"/>
          <w:highlight w:val="none"/>
        </w:rPr>
      </w:pPr>
      <w:r>
        <w:rPr>
          <w:rFonts w:hint="eastAsia" w:ascii="仿宋" w:hAnsi="仿宋" w:eastAsia="仿宋" w:cs="仿宋"/>
          <w:color w:val="auto"/>
          <w:sz w:val="48"/>
          <w:szCs w:val="48"/>
          <w:highlight w:val="none"/>
        </w:rPr>
        <w:t>目录</w:t>
      </w:r>
    </w:p>
    <w:p>
      <w:pPr>
        <w:widowControl/>
        <w:jc w:val="center"/>
        <w:rPr>
          <w:rFonts w:hint="eastAsia" w:ascii="仿宋" w:hAnsi="仿宋" w:eastAsia="仿宋" w:cs="仿宋"/>
          <w:color w:val="auto"/>
          <w:sz w:val="28"/>
          <w:szCs w:val="28"/>
          <w:highlight w:val="none"/>
        </w:rPr>
      </w:pPr>
    </w:p>
    <w:p>
      <w:pPr>
        <w:pStyle w:val="14"/>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公开时间：20</w:t>
      </w:r>
      <w:r>
        <w:rPr>
          <w:rFonts w:hint="eastAsia" w:ascii="仿宋" w:hAnsi="仿宋" w:eastAsia="仿宋" w:cs="仿宋"/>
          <w:color w:val="auto"/>
          <w:sz w:val="32"/>
          <w:szCs w:val="32"/>
          <w:highlight w:val="none"/>
          <w:lang w:val="en-US" w:eastAsia="zh-CN"/>
        </w:rPr>
        <w:t>2</w:t>
      </w:r>
      <w:r>
        <w:rPr>
          <w:rFonts w:hint="eastAsia" w:cs="仿宋"/>
          <w:color w:val="auto"/>
          <w:sz w:val="32"/>
          <w:szCs w:val="32"/>
          <w:highlight w:val="none"/>
          <w:lang w:val="en-US" w:eastAsia="zh-CN"/>
        </w:rPr>
        <w:t>6</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 xml:space="preserve"> 10 </w:t>
      </w:r>
      <w:r>
        <w:rPr>
          <w:rFonts w:hint="eastAsia" w:ascii="仿宋" w:hAnsi="仿宋" w:eastAsia="仿宋" w:cs="仿宋"/>
          <w:color w:val="auto"/>
          <w:sz w:val="32"/>
          <w:szCs w:val="32"/>
          <w:highlight w:val="none"/>
        </w:rPr>
        <w:t>月</w:t>
      </w:r>
      <w:r>
        <w:rPr>
          <w:rFonts w:hint="eastAsia" w:cs="仿宋"/>
          <w:color w:val="auto"/>
          <w:sz w:val="32"/>
          <w:szCs w:val="32"/>
          <w:highlight w:val="none"/>
          <w:lang w:val="en-US" w:eastAsia="zh-CN"/>
        </w:rPr>
        <w:t>15</w:t>
      </w:r>
      <w:r>
        <w:rPr>
          <w:rFonts w:hint="eastAsia" w:ascii="仿宋" w:hAnsi="仿宋" w:eastAsia="仿宋" w:cs="仿宋"/>
          <w:color w:val="auto"/>
          <w:sz w:val="32"/>
          <w:szCs w:val="32"/>
          <w:highlight w:val="none"/>
        </w:rPr>
        <w:t>日</w:t>
      </w:r>
    </w:p>
    <w:p>
      <w:pPr>
        <w:rPr>
          <w:rFonts w:hint="eastAsia" w:ascii="仿宋" w:hAnsi="仿宋" w:eastAsia="仿宋" w:cs="仿宋"/>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w:t>
      </w:r>
      <w:r>
        <w:rPr>
          <w:rFonts w:hint="eastAsia" w:ascii="仿宋" w:hAnsi="仿宋" w:eastAsia="仿宋" w:cs="仿宋"/>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二、机构设置</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第二部分</w:t>
      </w:r>
      <w:r>
        <w:rPr>
          <w:rFonts w:hint="eastAsia" w:ascii="仿宋" w:hAnsi="仿宋" w:eastAsia="仿宋" w:cs="仿宋"/>
          <w:color w:val="auto"/>
          <w:sz w:val="32"/>
          <w:szCs w:val="32"/>
          <w:highlight w:val="none"/>
          <w:lang w:val="en-US" w:eastAsia="zh-CN"/>
        </w:rPr>
        <w:t xml:space="preserve"> 2025年度</w:t>
      </w:r>
      <w:r>
        <w:rPr>
          <w:rFonts w:hint="eastAsia" w:ascii="仿宋" w:hAnsi="仿宋" w:eastAsia="仿宋" w:cs="仿宋"/>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七、财政拨款</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九、</w:t>
      </w:r>
      <w:r>
        <w:rPr>
          <w:rFonts w:hint="eastAsia" w:ascii="仿宋" w:hAnsi="仿宋" w:eastAsia="仿宋" w:cs="仿宋"/>
          <w:color w:val="auto"/>
          <w:sz w:val="32"/>
          <w:szCs w:val="32"/>
          <w:highlight w:val="none"/>
          <w:lang w:eastAsia="zh-CN"/>
        </w:rPr>
        <w:t>国</w:t>
      </w:r>
      <w:r>
        <w:rPr>
          <w:rFonts w:hint="eastAsia" w:ascii="仿宋" w:hAnsi="仿宋" w:eastAsia="仿宋" w:cs="仿宋"/>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十</w:t>
      </w:r>
      <w:r>
        <w:rPr>
          <w:rFonts w:hint="eastAsia" w:ascii="仿宋" w:hAnsi="仿宋" w:eastAsia="仿宋" w:cs="仿宋"/>
          <w:color w:val="auto"/>
          <w:sz w:val="32"/>
          <w:szCs w:val="32"/>
          <w:highlight w:val="none"/>
        </w:rPr>
        <w:t>、其他重要事项的情况说明</w:t>
      </w:r>
    </w:p>
    <w:p>
      <w:pPr>
        <w:pStyle w:val="14"/>
        <w:keepNext w:val="0"/>
        <w:keepLines w:val="0"/>
        <w:pageBreakBefore w:val="0"/>
        <w:kinsoku/>
        <w:wordWrap/>
        <w:overflowPunct/>
        <w:topLinePunct w:val="0"/>
        <w:autoSpaceDE/>
        <w:autoSpaceDN/>
        <w:bidi w:val="0"/>
        <w:adjustRightInd w:val="0"/>
        <w:snapToGrid w:val="0"/>
        <w:spacing w:before="0" w:line="56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第三部分 名词解释</w:t>
      </w:r>
    </w:p>
    <w:p>
      <w:pPr>
        <w:pStyle w:val="14"/>
        <w:keepNext w:val="0"/>
        <w:keepLines w:val="0"/>
        <w:pageBreakBefore w:val="0"/>
        <w:kinsoku/>
        <w:wordWrap/>
        <w:overflowPunct/>
        <w:topLinePunct w:val="0"/>
        <w:autoSpaceDE/>
        <w:autoSpaceDN/>
        <w:bidi w:val="0"/>
        <w:adjustRightInd w:val="0"/>
        <w:snapToGrid w:val="0"/>
        <w:spacing w:before="0" w:line="56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第四部分 附件</w:t>
      </w:r>
    </w:p>
    <w:p>
      <w:pPr>
        <w:pStyle w:val="14"/>
        <w:keepNext w:val="0"/>
        <w:keepLines w:val="0"/>
        <w:pageBreakBefore w:val="0"/>
        <w:kinsoku/>
        <w:wordWrap/>
        <w:overflowPunct/>
        <w:topLinePunct w:val="0"/>
        <w:autoSpaceDE/>
        <w:autoSpaceDN/>
        <w:bidi w:val="0"/>
        <w:adjustRightInd w:val="0"/>
        <w:snapToGrid w:val="0"/>
        <w:spacing w:before="0" w:line="56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八、一般公共预算财政拨款基本支出决算</w:t>
      </w:r>
      <w:r>
        <w:rPr>
          <w:rFonts w:hint="eastAsia" w:ascii="仿宋" w:hAnsi="仿宋" w:eastAsia="仿宋" w:cs="仿宋"/>
          <w:color w:val="auto"/>
          <w:sz w:val="32"/>
          <w:szCs w:val="32"/>
          <w:highlight w:val="none"/>
          <w:lang w:eastAsia="zh-CN"/>
        </w:rPr>
        <w:t>明细</w:t>
      </w:r>
      <w:r>
        <w:rPr>
          <w:rFonts w:hint="eastAsia" w:ascii="仿宋" w:hAnsi="仿宋" w:eastAsia="仿宋" w:cs="仿宋"/>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十二、</w:t>
      </w:r>
      <w:r>
        <w:rPr>
          <w:rFonts w:hint="eastAsia" w:ascii="仿宋" w:hAnsi="仿宋" w:eastAsia="仿宋" w:cs="仿宋"/>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十三、财政拨款“三公”经费支出决算表</w:t>
      </w:r>
    </w:p>
    <w:p>
      <w:pPr>
        <w:pStyle w:val="5"/>
        <w:jc w:val="center"/>
        <w:rPr>
          <w:rFonts w:hint="eastAsia" w:ascii="方正小标宋简体" w:hAnsi="Times New Roman" w:eastAsia="方正小标宋简体" w:cs="Times New Roman"/>
          <w:b w:val="0"/>
          <w:bCs w:val="0"/>
          <w:kern w:val="2"/>
          <w:sz w:val="44"/>
          <w:szCs w:val="44"/>
          <w:lang w:val="en-US" w:eastAsia="zh-CN" w:bidi="ar-SA"/>
        </w:rPr>
      </w:pPr>
      <w:bookmarkStart w:id="11" w:name="_Toc15377196"/>
      <w:bookmarkStart w:id="12" w:name="_Toc15396599"/>
      <w:r>
        <w:rPr>
          <w:rFonts w:hint="eastAsia" w:ascii="方正小标宋简体" w:hAnsi="Times New Roman" w:eastAsia="方正小标宋简体" w:cs="Times New Roman"/>
          <w:b w:val="0"/>
          <w:bCs w:val="0"/>
          <w:kern w:val="2"/>
          <w:sz w:val="44"/>
          <w:szCs w:val="44"/>
          <w:lang w:val="en-US" w:eastAsia="zh-CN" w:bidi="ar-SA"/>
        </w:rPr>
        <w:t>第一部分  部门概况</w:t>
      </w:r>
      <w:bookmarkEnd w:id="11"/>
      <w:bookmarkEnd w:id="12"/>
    </w:p>
    <w:p>
      <w:pPr>
        <w:pStyle w:val="6"/>
        <w:bidi w:val="0"/>
        <w:rPr>
          <w:rFonts w:hint="eastAsia" w:ascii="黑体" w:hAnsi="黑体" w:eastAsia="黑体" w:cs="黑体"/>
          <w:b w:val="0"/>
          <w:bCs w:val="0"/>
          <w:lang w:eastAsia="zh-CN"/>
        </w:rPr>
      </w:pPr>
      <w:r>
        <w:rPr>
          <w:rFonts w:hint="eastAsia" w:ascii="黑体" w:hAnsi="黑体" w:eastAsia="黑体" w:cs="黑体"/>
          <w:b w:val="0"/>
          <w:bCs w:val="0"/>
          <w:lang w:val="en-US" w:eastAsia="zh-CN"/>
        </w:rPr>
        <w:t>一、</w:t>
      </w:r>
      <w:r>
        <w:rPr>
          <w:rFonts w:hint="eastAsia" w:ascii="黑体" w:hAnsi="黑体" w:eastAsia="黑体" w:cs="黑体"/>
          <w:b w:val="0"/>
          <w:bCs w:val="0"/>
          <w:lang w:eastAsia="zh-CN"/>
        </w:rPr>
        <w:t>部门职责</w:t>
      </w:r>
    </w:p>
    <w:p>
      <w:pPr>
        <w:pStyle w:val="6"/>
        <w:numPr>
          <w:ilvl w:val="0"/>
          <w:numId w:val="0"/>
        </w:numPr>
        <w:ind w:firstLine="640" w:firstLineChars="200"/>
        <w:rPr>
          <w:rFonts w:hint="eastAsia" w:ascii="仿宋" w:hAnsi="仿宋" w:eastAsia="仿宋" w:cs="仿宋"/>
          <w:lang w:eastAsia="zh-CN"/>
        </w:rPr>
      </w:pPr>
      <w:r>
        <w:rPr>
          <w:rFonts w:hint="eastAsia" w:ascii="仿宋" w:hAnsi="仿宋" w:eastAsia="仿宋" w:cs="仿宋"/>
          <w:b w:val="0"/>
          <w:bCs w:val="0"/>
          <w:sz w:val="32"/>
          <w:szCs w:val="32"/>
        </w:rPr>
        <w:t>综合办公室。负责综合和反映全县工商联商会工作情况及贯彻落实县政府重大决策的情况；负责文件、机要、档案、文印管理工作；负责秘书实务、会议组织、日常值班及保卫保密工作；负责行政事务、财务和资产管理、内部协调和工勤人员</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后勤服务等工作；负责政府与商会工作的协调；负责督办领导集体决定事项的执行；指导商会的各项工作。</w:t>
      </w:r>
    </w:p>
    <w:p>
      <w:pPr>
        <w:pStyle w:val="6"/>
        <w:rPr>
          <w:rStyle w:val="30"/>
          <w:rFonts w:hint="eastAsia" w:ascii="仿宋" w:hAnsi="仿宋" w:eastAsia="仿宋" w:cs="仿宋"/>
          <w:b w:val="0"/>
          <w:bCs w:val="0"/>
          <w:color w:val="auto"/>
          <w:highlight w:val="none"/>
        </w:rPr>
      </w:pPr>
      <w:bookmarkStart w:id="13" w:name="_Toc15377200"/>
      <w:bookmarkStart w:id="14" w:name="_Toc15396601"/>
      <w:r>
        <w:rPr>
          <w:rFonts w:hint="eastAsia" w:ascii="仿宋" w:hAnsi="仿宋" w:eastAsia="仿宋" w:cs="仿宋"/>
          <w:b w:val="0"/>
          <w:color w:val="auto"/>
          <w:highlight w:val="none"/>
        </w:rPr>
        <w:t>二、机</w:t>
      </w:r>
      <w:r>
        <w:rPr>
          <w:rStyle w:val="30"/>
          <w:rFonts w:hint="eastAsia" w:ascii="仿宋" w:hAnsi="仿宋" w:eastAsia="仿宋" w:cs="仿宋"/>
          <w:b w:val="0"/>
          <w:bCs w:val="0"/>
          <w:color w:val="auto"/>
          <w:highlight w:val="none"/>
        </w:rPr>
        <w:t>构设置</w:t>
      </w:r>
      <w:bookmarkEnd w:id="13"/>
      <w:bookmarkEnd w:id="14"/>
    </w:p>
    <w:p>
      <w:pPr>
        <w:pStyle w:val="8"/>
        <w:pageBreakBefore w:val="0"/>
        <w:widowControl w:val="0"/>
        <w:kinsoku/>
        <w:wordWrap/>
        <w:overflowPunct/>
        <w:topLinePunct w:val="0"/>
        <w:bidi w:val="0"/>
        <w:adjustRightInd w:val="0"/>
        <w:snapToGrid w:val="0"/>
        <w:spacing w:before="93" w:line="560" w:lineRule="exact"/>
        <w:ind w:firstLine="672" w:firstLineChars="210"/>
        <w:textAlignment w:val="auto"/>
        <w:rPr>
          <w:rFonts w:hint="eastAsia" w:ascii="仿宋" w:hAnsi="仿宋" w:eastAsia="仿宋" w:cs="仿宋"/>
          <w:color w:val="auto"/>
          <w:sz w:val="32"/>
          <w:szCs w:val="32"/>
          <w:highlight w:val="none"/>
        </w:rPr>
      </w:pPr>
      <w:bookmarkStart w:id="15" w:name="_Toc30939"/>
      <w:bookmarkStart w:id="16" w:name="_Toc10699"/>
      <w:bookmarkStart w:id="17" w:name="_Toc12356"/>
      <w:r>
        <w:rPr>
          <w:rFonts w:hint="eastAsia" w:ascii="仿宋" w:hAnsi="仿宋" w:eastAsia="仿宋" w:cs="仿宋"/>
          <w:b w:val="0"/>
          <w:bCs w:val="0"/>
          <w:kern w:val="2"/>
          <w:sz w:val="32"/>
          <w:szCs w:val="32"/>
          <w:highlight w:val="none"/>
          <w:lang w:val="en-US" w:eastAsia="zh-CN" w:bidi="ar-SA"/>
        </w:rPr>
        <w:t>壤塘县工商业联合会无下属二级单位，本单位属行政单位。</w:t>
      </w:r>
      <w:bookmarkEnd w:id="15"/>
      <w:bookmarkEnd w:id="16"/>
      <w:bookmarkEnd w:id="17"/>
    </w:p>
    <w:p>
      <w:pPr>
        <w:pStyle w:val="5"/>
        <w:jc w:val="center"/>
        <w:rPr>
          <w:rFonts w:hint="eastAsia" w:ascii="方正小标宋简体" w:hAnsi="Times New Roman" w:eastAsia="方正小标宋简体" w:cs="Times New Roman"/>
          <w:b w:val="0"/>
          <w:bCs w:val="0"/>
          <w:kern w:val="2"/>
          <w:sz w:val="44"/>
          <w:szCs w:val="44"/>
          <w:lang w:val="en-US" w:eastAsia="zh-CN" w:bidi="ar-SA"/>
        </w:rPr>
      </w:pPr>
      <w:bookmarkStart w:id="18" w:name="_Toc15396602"/>
      <w:bookmarkStart w:id="19" w:name="_Toc15377204"/>
      <w:r>
        <w:rPr>
          <w:rFonts w:hint="eastAsia" w:ascii="方正小标宋简体" w:hAnsi="Times New Roman" w:eastAsia="方正小标宋简体" w:cs="Times New Roman"/>
          <w:b w:val="0"/>
          <w:bCs w:val="0"/>
          <w:kern w:val="2"/>
          <w:sz w:val="44"/>
          <w:szCs w:val="44"/>
          <w:lang w:val="en-US" w:eastAsia="zh-CN" w:bidi="ar-SA"/>
        </w:rPr>
        <w:t>第二部分2025年度部门决算情况说明</w:t>
      </w:r>
      <w:bookmarkEnd w:id="18"/>
      <w:bookmarkEnd w:id="19"/>
      <w:bookmarkStart w:id="20" w:name="_Toc15377205"/>
      <w:bookmarkStart w:id="21" w:name="_Toc15396603"/>
    </w:p>
    <w:p>
      <w:pPr>
        <w:pStyle w:val="5"/>
        <w:jc w:val="both"/>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一、</w:t>
      </w:r>
      <w:r>
        <w:rPr>
          <w:rFonts w:hint="eastAsia" w:ascii="仿宋" w:hAnsi="仿宋" w:eastAsia="仿宋" w:cs="仿宋"/>
          <w:b/>
          <w:bCs/>
          <w:color w:val="auto"/>
          <w:sz w:val="32"/>
          <w:szCs w:val="32"/>
          <w:highlight w:val="none"/>
        </w:rPr>
        <w:t>收</w:t>
      </w:r>
      <w:r>
        <w:rPr>
          <w:rStyle w:val="30"/>
          <w:rFonts w:hint="eastAsia" w:ascii="仿宋" w:hAnsi="仿宋" w:eastAsia="仿宋" w:cs="仿宋"/>
          <w:b/>
          <w:bCs/>
          <w:color w:val="auto"/>
          <w:highlight w:val="none"/>
        </w:rPr>
        <w:t>入支出决算总体情况说明</w:t>
      </w:r>
      <w:bookmarkEnd w:id="20"/>
      <w:bookmarkEnd w:id="21"/>
    </w:p>
    <w:p>
      <w:pPr>
        <w:pStyle w:val="5"/>
        <w:numPr>
          <w:ilvl w:val="0"/>
          <w:numId w:val="0"/>
        </w:numPr>
        <w:ind w:firstLine="640" w:firstLineChars="200"/>
        <w:jc w:val="both"/>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2025年度收入112.25万元、支出总计均为112.25万元。与2024年度相比，收入增加2.93万元，增长2.68%。主要变动原因是；主要变动原因：本年度工资变化导致人员经费；（图1：收入、支出决算总计变动情况图）（柱状图）</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仿宋" w:hAnsi="仿宋" w:eastAsia="仿宋" w:cs="仿宋"/>
          <w:color w:val="auto"/>
          <w:sz w:val="32"/>
          <w:szCs w:val="32"/>
          <w:highlight w:val="none"/>
        </w:rPr>
      </w:pPr>
      <w:r>
        <w:rPr>
          <w:rFonts w:hint="eastAsia" w:ascii="仿宋" w:hAnsi="仿宋" w:eastAsia="仿宋" w:cs="仿宋"/>
        </w:rPr>
        <w:drawing>
          <wp:inline distT="0" distB="0" distL="114300" distR="114300">
            <wp:extent cx="4613275" cy="2900045"/>
            <wp:effectExtent l="4445" t="5080" r="11430" b="9525"/>
            <wp:docPr id="105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b/>
          <w:bCs/>
          <w:color w:val="auto"/>
          <w:sz w:val="32"/>
          <w:szCs w:val="32"/>
          <w:highlight w:val="none"/>
          <w:lang w:eastAsia="zh-CN"/>
        </w:rPr>
      </w:pPr>
      <w:bookmarkStart w:id="22" w:name="_Toc15377206"/>
      <w:bookmarkStart w:id="23" w:name="_Toc15396604"/>
      <w:r>
        <w:rPr>
          <w:rFonts w:hint="eastAsia" w:ascii="仿宋" w:hAnsi="仿宋" w:eastAsia="仿宋" w:cs="仿宋"/>
          <w:color w:val="auto"/>
          <w:sz w:val="32"/>
          <w:szCs w:val="32"/>
          <w:highlight w:val="none"/>
          <w:lang w:eastAsia="zh-CN"/>
        </w:rPr>
        <w:t>二</w:t>
      </w:r>
      <w:r>
        <w:rPr>
          <w:rFonts w:hint="eastAsia" w:ascii="仿宋" w:hAnsi="仿宋" w:eastAsia="仿宋" w:cs="仿宋"/>
          <w:b/>
          <w:bCs/>
          <w:color w:val="auto"/>
          <w:sz w:val="32"/>
          <w:szCs w:val="32"/>
          <w:highlight w:val="none"/>
          <w:lang w:eastAsia="zh-CN"/>
        </w:rPr>
        <w:t>、收入决算情况说明</w:t>
      </w:r>
      <w:bookmarkEnd w:id="22"/>
      <w:bookmarkEnd w:id="23"/>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2025年度本年收入合计</w:t>
      </w:r>
      <w:r>
        <w:rPr>
          <w:rFonts w:hint="eastAsia" w:ascii="仿宋" w:hAnsi="仿宋" w:eastAsia="仿宋" w:cs="仿宋"/>
          <w:color w:val="auto"/>
          <w:sz w:val="32"/>
          <w:szCs w:val="32"/>
          <w:highlight w:val="none"/>
          <w:lang w:val="en-US" w:eastAsia="zh-CN"/>
        </w:rPr>
        <w:t>112.25</w:t>
      </w:r>
      <w:r>
        <w:rPr>
          <w:rFonts w:hint="eastAsia" w:ascii="仿宋" w:hAnsi="仿宋" w:eastAsia="仿宋" w:cs="仿宋"/>
          <w:color w:val="auto"/>
          <w:sz w:val="32"/>
          <w:szCs w:val="32"/>
          <w:highlight w:val="none"/>
          <w:lang w:eastAsia="zh-CN"/>
        </w:rPr>
        <w:t>万元，其中：一般公共预算财政拨款收入</w:t>
      </w:r>
      <w:r>
        <w:rPr>
          <w:rFonts w:hint="eastAsia" w:ascii="仿宋" w:hAnsi="仿宋" w:eastAsia="仿宋" w:cs="仿宋"/>
          <w:color w:val="auto"/>
          <w:sz w:val="32"/>
          <w:szCs w:val="32"/>
          <w:highlight w:val="none"/>
          <w:lang w:val="en-US" w:eastAsia="zh-CN"/>
        </w:rPr>
        <w:t>112.25</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100</w:t>
      </w:r>
      <w:r>
        <w:rPr>
          <w:rFonts w:hint="eastAsia" w:ascii="仿宋" w:hAnsi="仿宋" w:eastAsia="仿宋" w:cs="仿宋"/>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rPr>
        <w:drawing>
          <wp:anchor distT="0" distB="0" distL="114300" distR="114300" simplePos="0" relativeHeight="251659264" behindDoc="1" locked="0" layoutInCell="1" allowOverlap="1">
            <wp:simplePos x="0" y="0"/>
            <wp:positionH relativeFrom="column">
              <wp:posOffset>309245</wp:posOffset>
            </wp:positionH>
            <wp:positionV relativeFrom="paragraph">
              <wp:posOffset>299720</wp:posOffset>
            </wp:positionV>
            <wp:extent cx="4572000" cy="2743200"/>
            <wp:effectExtent l="4445" t="4445" r="14605" b="14605"/>
            <wp:wrapTight wrapText="bothSides">
              <wp:wrapPolygon>
                <wp:start x="-21" y="-35"/>
                <wp:lineTo x="-21" y="21565"/>
                <wp:lineTo x="21579" y="21565"/>
                <wp:lineTo x="21579" y="-35"/>
                <wp:lineTo x="-21" y="-35"/>
              </wp:wrapPolygon>
            </wp:wrapTight>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p>
    <w:p>
      <w:pPr>
        <w:ind w:firstLine="800" w:firstLineChars="250"/>
        <w:rPr>
          <w:rFonts w:hint="eastAsia" w:ascii="仿宋" w:hAnsi="仿宋" w:eastAsia="仿宋" w:cs="仿宋"/>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bookmarkStart w:id="24" w:name="_Toc15377207"/>
      <w:bookmarkStart w:id="25" w:name="_Toc15396605"/>
    </w:p>
    <w:p>
      <w:pPr>
        <w:keepNext w:val="0"/>
        <w:keepLines w:val="0"/>
        <w:widowControl w:val="0"/>
        <w:suppressLineNumbers w:val="0"/>
        <w:spacing w:before="0" w:beforeAutospacing="0" w:after="0" w:afterAutospacing="0" w:line="560" w:lineRule="exact"/>
        <w:ind w:left="0" w:right="0" w:firstLine="640" w:firstLineChars="200"/>
        <w:jc w:val="center"/>
        <w:rPr>
          <w:rFonts w:hint="eastAsia" w:ascii="仿宋" w:hAnsi="仿宋" w:eastAsia="仿宋" w:cs="仿宋"/>
          <w:color w:val="auto"/>
          <w:sz w:val="32"/>
          <w:szCs w:val="32"/>
          <w:highlight w:val="none"/>
          <w:lang w:eastAsia="zh-CN"/>
        </w:rPr>
      </w:pPr>
      <w:r>
        <w:rPr>
          <w:rFonts w:hint="eastAsia" w:ascii="仿宋" w:hAnsi="仿宋" w:eastAsia="仿宋" w:cs="仿宋"/>
          <w:color w:val="000000"/>
          <w:kern w:val="2"/>
          <w:sz w:val="32"/>
          <w:szCs w:val="32"/>
          <w:lang w:val="en-US" w:eastAsia="zh-CN" w:bidi="ar"/>
        </w:rPr>
        <w:t>（图2：收入决算结构图）（饼状图）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仿宋" w:hAnsi="仿宋" w:eastAsia="仿宋" w:cs="仿宋"/>
          <w:b/>
          <w:bCs/>
          <w:color w:val="auto"/>
          <w:highlight w:val="none"/>
        </w:rPr>
      </w:pPr>
      <w:r>
        <w:rPr>
          <w:rFonts w:hint="eastAsia" w:ascii="仿宋" w:hAnsi="仿宋" w:eastAsia="仿宋" w:cs="仿宋"/>
          <w:color w:val="auto"/>
          <w:sz w:val="32"/>
          <w:szCs w:val="32"/>
          <w:highlight w:val="none"/>
          <w:lang w:eastAsia="zh-CN"/>
        </w:rPr>
        <w:t>三</w:t>
      </w:r>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rPr>
        <w:t>支</w:t>
      </w:r>
      <w:r>
        <w:rPr>
          <w:rStyle w:val="30"/>
          <w:rFonts w:hint="eastAsia" w:ascii="仿宋" w:hAnsi="仿宋" w:eastAsia="仿宋" w:cs="仿宋"/>
          <w:b/>
          <w:bCs/>
          <w:color w:val="auto"/>
          <w:highlight w:val="none"/>
        </w:rPr>
        <w:t>出决算情况说明</w:t>
      </w:r>
      <w:bookmarkEnd w:id="24"/>
      <w:bookmarkEnd w:id="25"/>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2025年度本年支出合计</w:t>
      </w:r>
      <w:r>
        <w:rPr>
          <w:rFonts w:hint="eastAsia" w:ascii="仿宋" w:hAnsi="仿宋" w:eastAsia="仿宋" w:cs="仿宋"/>
          <w:color w:val="auto"/>
          <w:sz w:val="32"/>
          <w:szCs w:val="32"/>
          <w:highlight w:val="none"/>
          <w:lang w:val="en-US" w:eastAsia="zh-CN"/>
        </w:rPr>
        <w:t>112.25</w:t>
      </w:r>
      <w:r>
        <w:rPr>
          <w:rFonts w:hint="eastAsia" w:ascii="仿宋" w:hAnsi="仿宋" w:eastAsia="仿宋" w:cs="仿宋"/>
          <w:color w:val="auto"/>
          <w:sz w:val="32"/>
          <w:szCs w:val="32"/>
          <w:highlight w:val="none"/>
          <w:lang w:eastAsia="zh-CN"/>
        </w:rPr>
        <w:t>万元，其中：基本支出</w:t>
      </w:r>
      <w:r>
        <w:rPr>
          <w:rFonts w:hint="eastAsia" w:ascii="仿宋" w:hAnsi="仿宋" w:eastAsia="仿宋" w:cs="仿宋"/>
          <w:color w:val="auto"/>
          <w:sz w:val="32"/>
          <w:szCs w:val="32"/>
          <w:highlight w:val="none"/>
          <w:lang w:val="en-US" w:eastAsia="zh-CN"/>
        </w:rPr>
        <w:t>111.35</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99.20</w:t>
      </w:r>
      <w:r>
        <w:rPr>
          <w:rFonts w:hint="eastAsia" w:ascii="仿宋" w:hAnsi="仿宋" w:eastAsia="仿宋" w:cs="仿宋"/>
          <w:color w:val="auto"/>
          <w:sz w:val="32"/>
          <w:szCs w:val="32"/>
          <w:highlight w:val="none"/>
          <w:lang w:eastAsia="zh-CN"/>
        </w:rPr>
        <w:t>%；项目支出</w:t>
      </w:r>
      <w:r>
        <w:rPr>
          <w:rFonts w:hint="eastAsia" w:ascii="仿宋" w:hAnsi="仿宋" w:eastAsia="仿宋" w:cs="仿宋"/>
          <w:color w:val="auto"/>
          <w:sz w:val="32"/>
          <w:szCs w:val="32"/>
          <w:highlight w:val="none"/>
          <w:lang w:val="en-US" w:eastAsia="zh-CN"/>
        </w:rPr>
        <w:t>0.90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0.80</w:t>
      </w:r>
      <w:r>
        <w:rPr>
          <w:rFonts w:hint="eastAsia" w:ascii="仿宋" w:hAnsi="仿宋" w:eastAsia="仿宋" w:cs="仿宋"/>
          <w:color w:val="auto"/>
          <w:sz w:val="32"/>
          <w:szCs w:val="32"/>
          <w:highlight w:val="none"/>
          <w:lang w:eastAsia="zh-CN"/>
        </w:rPr>
        <w:t>%；上缴上级支出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%；经营支出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%；对附</w:t>
      </w:r>
    </w:p>
    <w:p>
      <w:pPr>
        <w:bidi w:val="0"/>
        <w:jc w:val="left"/>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属单位补助支出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w:t>
      </w:r>
    </w:p>
    <w:p>
      <w:pPr>
        <w:pStyle w:val="3"/>
        <w:ind w:left="0" w:leftChars="0" w:firstLine="0" w:firstLineChars="0"/>
        <w:rPr>
          <w:rFonts w:hint="eastAsia" w:ascii="仿宋" w:hAnsi="仿宋" w:eastAsia="仿宋" w:cs="仿宋"/>
          <w:color w:val="auto"/>
          <w:sz w:val="32"/>
          <w:szCs w:val="32"/>
          <w:highlight w:val="none"/>
          <w:lang w:eastAsia="zh-CN"/>
        </w:rPr>
      </w:pPr>
      <w:r>
        <w:rPr>
          <w:rFonts w:hint="eastAsia" w:ascii="仿宋" w:hAnsi="仿宋" w:eastAsia="仿宋" w:cs="仿宋"/>
        </w:rPr>
        <w:drawing>
          <wp:inline distT="0" distB="0" distL="114300" distR="114300">
            <wp:extent cx="4703445" cy="2183765"/>
            <wp:effectExtent l="4445" t="4445" r="16510" b="21590"/>
            <wp:docPr id="1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仿宋" w:hAnsi="仿宋" w:eastAsia="仿宋" w:cs="仿宋"/>
          <w:b w:val="0"/>
          <w:color w:val="auto"/>
          <w:highlight w:val="none"/>
        </w:rPr>
      </w:pPr>
      <w:bookmarkStart w:id="26" w:name="_Toc15396606"/>
      <w:bookmarkStart w:id="27" w:name="_Toc15377208"/>
      <w:r>
        <w:rPr>
          <w:rFonts w:hint="eastAsia" w:ascii="仿宋" w:hAnsi="仿宋" w:eastAsia="仿宋" w:cs="仿宋"/>
          <w:color w:val="auto"/>
          <w:sz w:val="32"/>
          <w:szCs w:val="32"/>
          <w:highlight w:val="none"/>
        </w:rPr>
        <w:t>四、财</w:t>
      </w:r>
      <w:r>
        <w:rPr>
          <w:rStyle w:val="30"/>
          <w:rFonts w:hint="eastAsia" w:ascii="仿宋" w:hAnsi="仿宋" w:eastAsia="仿宋" w:cs="仿宋"/>
          <w:b w:val="0"/>
          <w:color w:val="auto"/>
          <w:highlight w:val="none"/>
        </w:rPr>
        <w:t>政拨款收入支出决算总体情况说明</w:t>
      </w:r>
      <w:bookmarkEnd w:id="26"/>
      <w:bookmarkEnd w:id="27"/>
    </w:p>
    <w:p>
      <w:pPr>
        <w:spacing w:line="600" w:lineRule="exact"/>
        <w:ind w:firstLine="640"/>
        <w:rPr>
          <w:rFonts w:hint="eastAsia" w:ascii="仿宋" w:hAnsi="仿宋" w:eastAsia="仿宋" w:cs="仿宋"/>
          <w:color w:val="000000"/>
          <w:kern w:val="2"/>
          <w:sz w:val="32"/>
          <w:szCs w:val="32"/>
          <w:lang w:val="en-US" w:eastAsia="zh-CN" w:bidi="ar"/>
        </w:rPr>
      </w:pPr>
      <w:r>
        <w:rPr>
          <w:rFonts w:hint="eastAsia" w:ascii="仿宋" w:hAnsi="仿宋" w:eastAsia="仿宋" w:cs="仿宋"/>
          <w:color w:val="auto"/>
          <w:kern w:val="2"/>
          <w:sz w:val="32"/>
          <w:szCs w:val="32"/>
          <w:highlight w:val="none"/>
          <w:lang w:val="en-US" w:eastAsia="zh-CN" w:bidi="ar-SA"/>
        </w:rPr>
        <w:t>2025年度财政拨款收入112.25万元、支出总计均为112.25万元。与2024年度相比，财政拨款增加</w:t>
      </w:r>
      <w:r>
        <w:rPr>
          <w:rFonts w:hint="eastAsia" w:ascii="仿宋" w:hAnsi="仿宋" w:eastAsia="仿宋" w:cs="仿宋"/>
          <w:color w:val="auto"/>
          <w:sz w:val="32"/>
          <w:szCs w:val="32"/>
          <w:highlight w:val="none"/>
          <w:lang w:val="en-US" w:eastAsia="zh-CN"/>
        </w:rPr>
        <w:t>2.93，增长2.68</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w:t>
      </w:r>
      <w:r>
        <w:rPr>
          <w:rFonts w:hint="eastAsia" w:ascii="仿宋" w:hAnsi="仿宋" w:eastAsia="仿宋" w:cs="仿宋"/>
          <w:color w:val="000000"/>
          <w:kern w:val="2"/>
          <w:sz w:val="32"/>
          <w:szCs w:val="32"/>
          <w:lang w:val="en-US" w:eastAsia="zh-CN" w:bidi="ar"/>
        </w:rPr>
        <w:t>项目经费增加，相应收入增加</w:t>
      </w:r>
      <w:r>
        <w:rPr>
          <w:rFonts w:hint="eastAsia" w:ascii="仿宋" w:hAnsi="仿宋" w:eastAsia="仿宋" w:cs="仿宋"/>
          <w:color w:val="000000"/>
          <w:sz w:val="32"/>
          <w:szCs w:val="32"/>
          <w:lang w:val="en-US" w:eastAsia="zh-CN"/>
        </w:rPr>
        <w:t>；</w:t>
      </w:r>
      <w:r>
        <w:rPr>
          <w:rFonts w:hint="eastAsia" w:ascii="仿宋" w:hAnsi="仿宋" w:eastAsia="仿宋" w:cs="仿宋"/>
          <w:color w:val="auto"/>
          <w:kern w:val="2"/>
          <w:sz w:val="32"/>
          <w:szCs w:val="32"/>
          <w:highlight w:val="none"/>
          <w:lang w:val="en-US" w:eastAsia="zh-CN" w:bidi="ar-SA"/>
        </w:rPr>
        <w:t>主要变动原因</w:t>
      </w:r>
      <w:r>
        <w:rPr>
          <w:rFonts w:hint="eastAsia" w:ascii="仿宋" w:hAnsi="仿宋" w:eastAsia="仿宋" w:cs="仿宋"/>
          <w:color w:val="000000"/>
          <w:kern w:val="2"/>
          <w:sz w:val="32"/>
          <w:szCs w:val="32"/>
          <w:lang w:val="en-US" w:eastAsia="zh-CN" w:bidi="ar"/>
        </w:rPr>
        <w:t>本年度项目经费增加，相应收入增加。</w:t>
      </w:r>
    </w:p>
    <w:p>
      <w:pPr>
        <w:pStyle w:val="2"/>
        <w:rPr>
          <w:rFonts w:hint="eastAsia" w:ascii="仿宋" w:hAnsi="仿宋" w:eastAsia="仿宋" w:cs="仿宋"/>
          <w:color w:val="000000"/>
          <w:kern w:val="2"/>
          <w:sz w:val="32"/>
          <w:szCs w:val="32"/>
          <w:lang w:val="en-US" w:eastAsia="zh-CN" w:bidi="ar"/>
        </w:rPr>
      </w:pPr>
    </w:p>
    <w:p>
      <w:pPr>
        <w:pStyle w:val="3"/>
        <w:rPr>
          <w:rFonts w:hint="eastAsia" w:ascii="仿宋" w:hAnsi="仿宋" w:eastAsia="仿宋" w:cs="仿宋"/>
          <w:color w:val="000000"/>
          <w:kern w:val="2"/>
          <w:sz w:val="32"/>
          <w:szCs w:val="32"/>
          <w:lang w:val="en-US" w:eastAsia="zh-CN" w:bidi="ar"/>
        </w:rPr>
      </w:pPr>
      <w:r>
        <w:rPr>
          <w:rFonts w:hint="eastAsia" w:ascii="仿宋" w:hAnsi="仿宋" w:eastAsia="仿宋" w:cs="仿宋"/>
        </w:rPr>
        <w:drawing>
          <wp:inline distT="0" distB="0" distL="114300" distR="114300">
            <wp:extent cx="4274185" cy="2106930"/>
            <wp:effectExtent l="4445" t="4445" r="7620" b="22225"/>
            <wp:docPr id="1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（图4：财政拨款收、支决算总计变动情况）（柱状图）</w:t>
      </w:r>
    </w:p>
    <w:p>
      <w:pPr>
        <w:pStyle w:val="3"/>
        <w:numPr>
          <w:ilvl w:val="0"/>
          <w:numId w:val="1"/>
        </w:numPr>
        <w:ind w:left="0" w:leftChars="0" w:firstLine="0" w:firstLineChars="0"/>
        <w:rPr>
          <w:rStyle w:val="30"/>
          <w:rFonts w:hint="eastAsia" w:ascii="仿宋" w:hAnsi="仿宋" w:eastAsia="仿宋" w:cs="仿宋"/>
          <w:b w:val="0"/>
          <w:color w:val="auto"/>
          <w:highlight w:val="none"/>
        </w:rPr>
      </w:pPr>
      <w:bookmarkStart w:id="28" w:name="_Toc15396607"/>
      <w:bookmarkStart w:id="29" w:name="_Toc15377209"/>
      <w:r>
        <w:rPr>
          <w:rFonts w:hint="eastAsia" w:ascii="仿宋" w:hAnsi="仿宋" w:eastAsia="仿宋" w:cs="仿宋"/>
          <w:b/>
          <w:color w:val="auto"/>
          <w:sz w:val="32"/>
          <w:szCs w:val="32"/>
          <w:highlight w:val="none"/>
        </w:rPr>
        <w:t>一</w:t>
      </w:r>
      <w:r>
        <w:rPr>
          <w:rStyle w:val="30"/>
          <w:rFonts w:hint="eastAsia" w:ascii="仿宋" w:hAnsi="仿宋" w:eastAsia="仿宋" w:cs="仿宋"/>
          <w:b w:val="0"/>
          <w:color w:val="auto"/>
          <w:highlight w:val="none"/>
        </w:rPr>
        <w:t>般公共预算财政拨款支出决算情况说明</w:t>
      </w:r>
      <w:bookmarkEnd w:id="28"/>
      <w:bookmarkEnd w:id="29"/>
      <w:bookmarkStart w:id="30" w:name="_Toc15377210"/>
    </w:p>
    <w:p>
      <w:pPr>
        <w:pStyle w:val="3"/>
        <w:numPr>
          <w:ilvl w:val="0"/>
          <w:numId w:val="0"/>
        </w:numPr>
        <w:ind w:leftChars="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（一）一般公共预算财政拨款支出决算总体情况</w:t>
      </w:r>
      <w:bookmarkEnd w:id="30"/>
    </w:p>
    <w:p>
      <w:p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2025年度一般公共预算财政拨款支出112.25万元，占本年支出合计的100%。与2024年度相比增加，一般公共预算财政拨款支出增加2.93万元，增长2.68%。主要变动原因是</w:t>
      </w:r>
      <w:r>
        <w:rPr>
          <w:rFonts w:hint="eastAsia" w:ascii="仿宋" w:hAnsi="仿宋" w:eastAsia="仿宋" w:cs="仿宋"/>
          <w:color w:val="000000"/>
          <w:kern w:val="2"/>
          <w:sz w:val="32"/>
          <w:szCs w:val="32"/>
          <w:lang w:val="en-US" w:eastAsia="zh-CN" w:bidi="ar"/>
        </w:rPr>
        <w:t>本年度项目经费增加，相应收入增加。</w:t>
      </w:r>
    </w:p>
    <w:p>
      <w:pPr>
        <w:spacing w:line="600" w:lineRule="exac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（图5：一般公共预算财政拨款支出决算变动情况）（柱状图）</w:t>
      </w:r>
    </w:p>
    <w:p>
      <w:pPr>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rPr>
        <w:drawing>
          <wp:inline distT="0" distB="0" distL="114300" distR="114300">
            <wp:extent cx="5268595" cy="3451225"/>
            <wp:effectExtent l="5080" t="4445" r="22225" b="11430"/>
            <wp:docPr id="106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outlineLvl w:val="2"/>
        <w:rPr>
          <w:rFonts w:hint="eastAsia" w:ascii="仿宋" w:hAnsi="仿宋" w:eastAsia="仿宋" w:cs="仿宋"/>
          <w:b/>
          <w:color w:val="auto"/>
          <w:sz w:val="32"/>
          <w:szCs w:val="32"/>
          <w:highlight w:val="none"/>
        </w:rPr>
      </w:pPr>
      <w:bookmarkStart w:id="31" w:name="_Toc15377211"/>
      <w:r>
        <w:rPr>
          <w:rFonts w:hint="eastAsia" w:ascii="仿宋" w:hAnsi="仿宋" w:eastAsia="仿宋" w:cs="仿宋"/>
          <w:b/>
          <w:color w:val="auto"/>
          <w:sz w:val="32"/>
          <w:szCs w:val="32"/>
          <w:highlight w:val="none"/>
        </w:rPr>
        <w:t>（二）一般公共预算财政拨款支出决算结构情况</w:t>
      </w:r>
      <w:bookmarkEnd w:id="31"/>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支出112.25万元，主要用于以下方面：一般公共服务支出81.20万元，占72.34%；教育支出0万元，占0%；科学技术支出0万元，占0%；文化旅游体育与传媒支出0万元，占0%；社会保障和就业支出17.24万元，占15.36%；卫生健康支出5.82万元，占5.18%；住房保障支出7.99万元，占7.12%。</w:t>
      </w:r>
    </w:p>
    <w:p>
      <w:pPr>
        <w:spacing w:line="600" w:lineRule="exac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（图6：一般公共预算财政拨款支出决算结构）（饼状图）</w:t>
      </w:r>
    </w:p>
    <w:p>
      <w:pPr>
        <w:pStyle w:val="3"/>
        <w:ind w:left="0" w:leftChars="0" w:firstLine="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rPr>
        <w:drawing>
          <wp:inline distT="0" distB="0" distL="114300" distR="114300">
            <wp:extent cx="5128260" cy="2497455"/>
            <wp:effectExtent l="4445" t="4445" r="10795" b="1270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2" w:firstLineChars="200"/>
        <w:outlineLvl w:val="2"/>
        <w:rPr>
          <w:rFonts w:hint="eastAsia" w:ascii="仿宋" w:hAnsi="仿宋" w:eastAsia="仿宋" w:cs="仿宋"/>
          <w:b/>
          <w:color w:val="auto"/>
          <w:sz w:val="32"/>
          <w:szCs w:val="32"/>
          <w:highlight w:val="none"/>
        </w:rPr>
      </w:pPr>
      <w:bookmarkStart w:id="32" w:name="_Toc15377212"/>
      <w:r>
        <w:rPr>
          <w:rFonts w:hint="eastAsia" w:ascii="仿宋" w:hAnsi="仿宋" w:eastAsia="仿宋" w:cs="仿宋"/>
          <w:b/>
          <w:color w:val="auto"/>
          <w:sz w:val="32"/>
          <w:szCs w:val="32"/>
          <w:highlight w:val="none"/>
        </w:rPr>
        <w:t>（三）一般公共预算财政拨款支出决算具体情况</w:t>
      </w:r>
      <w:bookmarkEnd w:id="32"/>
    </w:p>
    <w:p>
      <w:pPr>
        <w:spacing w:line="600" w:lineRule="exact"/>
        <w:ind w:firstLine="640"/>
        <w:rPr>
          <w:rFonts w:hint="eastAsia" w:ascii="仿宋" w:hAnsi="仿宋" w:eastAsia="仿宋" w:cs="仿宋"/>
          <w:color w:val="auto"/>
          <w:kern w:val="2"/>
          <w:sz w:val="32"/>
          <w:szCs w:val="32"/>
          <w:highlight w:val="none"/>
          <w:lang w:val="en-US" w:eastAsia="zh-CN" w:bidi="ar-SA"/>
        </w:rPr>
      </w:pPr>
      <w:bookmarkStart w:id="33" w:name="_Toc15378460"/>
      <w:bookmarkStart w:id="34" w:name="_Toc15377444"/>
      <w:bookmarkStart w:id="35" w:name="_Toc15377213"/>
      <w:r>
        <w:rPr>
          <w:rFonts w:hint="eastAsia" w:ascii="仿宋" w:hAnsi="仿宋" w:eastAsia="仿宋" w:cs="仿宋"/>
          <w:color w:val="auto"/>
          <w:kern w:val="2"/>
          <w:sz w:val="32"/>
          <w:szCs w:val="32"/>
          <w:highlight w:val="none"/>
          <w:lang w:val="en-US" w:eastAsia="zh-CN" w:bidi="ar-SA"/>
        </w:rPr>
        <w:t>2025年度一般公共预算支出决算数为112.25，完成预算100%。其中：</w:t>
      </w:r>
      <w:bookmarkEnd w:id="33"/>
      <w:bookmarkEnd w:id="34"/>
      <w:bookmarkEnd w:id="35"/>
    </w:p>
    <w:p>
      <w:pPr>
        <w:numPr>
          <w:ilvl w:val="0"/>
          <w:numId w:val="2"/>
        </w:num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一般公共服务（类）支出民主党派及工商联事务（款）：支出决算为81.20万元，完成预算100%，</w:t>
      </w:r>
    </w:p>
    <w:p>
      <w:pPr>
        <w:numPr>
          <w:ilvl w:val="0"/>
          <w:numId w:val="2"/>
        </w:numPr>
        <w:spacing w:line="600" w:lineRule="exact"/>
        <w:ind w:left="0" w:leftChars="0" w:firstLine="64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一般公共服务支出（类）民主党派及工商联事务（款）    一般行政管理事务（项）: 支出决算为0.09万元，完成预算100%。</w:t>
      </w:r>
    </w:p>
    <w:p>
      <w:pPr>
        <w:numPr>
          <w:ilvl w:val="0"/>
          <w:numId w:val="0"/>
        </w:numPr>
        <w:spacing w:line="600" w:lineRule="exact"/>
        <w:ind w:firstLine="640" w:firstLineChars="200"/>
        <w:rPr>
          <w:rFonts w:hint="eastAsia" w:ascii="仿宋" w:hAnsi="仿宋" w:eastAsia="仿宋" w:cs="仿宋"/>
          <w:b/>
          <w:color w:val="000000"/>
          <w:sz w:val="32"/>
          <w:szCs w:val="32"/>
          <w:lang w:eastAsia="zh-CN"/>
        </w:rPr>
      </w:pPr>
      <w:r>
        <w:rPr>
          <w:rFonts w:hint="eastAsia" w:ascii="仿宋" w:hAnsi="仿宋" w:eastAsia="仿宋" w:cs="仿宋"/>
          <w:color w:val="auto"/>
          <w:kern w:val="2"/>
          <w:sz w:val="32"/>
          <w:szCs w:val="32"/>
          <w:highlight w:val="none"/>
          <w:lang w:val="en-US" w:eastAsia="zh-CN" w:bidi="ar-SA"/>
        </w:rPr>
        <w:t>3.一般公共服务支出（类）民主党派及工商联事务（款）    事业运行（项）: 支出决算为34.16万元，完成</w:t>
      </w:r>
      <w:r>
        <w:rPr>
          <w:rStyle w:val="18"/>
          <w:rFonts w:hint="eastAsia" w:ascii="仿宋" w:hAnsi="仿宋" w:eastAsia="仿宋" w:cs="仿宋"/>
          <w:b w:val="0"/>
          <w:bCs/>
          <w:color w:val="000000"/>
          <w:sz w:val="32"/>
          <w:szCs w:val="32"/>
        </w:rPr>
        <w:t>预算</w:t>
      </w:r>
      <w:r>
        <w:rPr>
          <w:rStyle w:val="18"/>
          <w:rFonts w:hint="eastAsia" w:ascii="仿宋" w:hAnsi="仿宋" w:eastAsia="仿宋" w:cs="仿宋"/>
          <w:b w:val="0"/>
          <w:bCs/>
          <w:color w:val="000000"/>
          <w:sz w:val="32"/>
          <w:szCs w:val="32"/>
          <w:lang w:val="en-US" w:eastAsia="zh-CN"/>
        </w:rPr>
        <w:t>100</w:t>
      </w:r>
      <w:r>
        <w:rPr>
          <w:rStyle w:val="18"/>
          <w:rFonts w:hint="eastAsia" w:ascii="仿宋" w:hAnsi="仿宋" w:eastAsia="仿宋" w:cs="仿宋"/>
          <w:b w:val="0"/>
          <w:bCs/>
          <w:color w:val="000000"/>
          <w:sz w:val="32"/>
          <w:szCs w:val="32"/>
        </w:rPr>
        <w:t>%</w:t>
      </w:r>
      <w:r>
        <w:rPr>
          <w:rStyle w:val="18"/>
          <w:rFonts w:hint="eastAsia" w:ascii="仿宋" w:hAnsi="仿宋" w:eastAsia="仿宋" w:cs="仿宋"/>
          <w:b w:val="0"/>
          <w:bCs/>
          <w:color w:val="000000"/>
          <w:sz w:val="32"/>
          <w:szCs w:val="32"/>
          <w:lang w:eastAsia="zh-CN"/>
        </w:rPr>
        <w:t>。</w:t>
      </w:r>
    </w:p>
    <w:p>
      <w:pPr>
        <w:numPr>
          <w:ilvl w:val="0"/>
          <w:numId w:val="2"/>
        </w:numPr>
        <w:spacing w:line="600" w:lineRule="exact"/>
        <w:ind w:left="0" w:leftChars="0" w:firstLine="64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4.社会保障和就业支出（类）行政事业单位养老支出（款）机关事业单位基本养老保险缴费支出（项）: 支出决算为17.24万元，完成预算100%。</w:t>
      </w:r>
    </w:p>
    <w:p>
      <w:pPr>
        <w:numPr>
          <w:ilvl w:val="0"/>
          <w:numId w:val="2"/>
        </w:numPr>
        <w:spacing w:line="600" w:lineRule="exact"/>
        <w:ind w:left="0" w:leftChars="0" w:firstLine="64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5.社会保障和就业（类）（款）行政运行：支出决算为46.14万元，完成预算100%。</w:t>
      </w:r>
    </w:p>
    <w:p>
      <w:pPr>
        <w:numPr>
          <w:ilvl w:val="0"/>
          <w:numId w:val="2"/>
        </w:numPr>
        <w:spacing w:line="600" w:lineRule="exact"/>
        <w:ind w:left="0" w:leftChars="0" w:firstLine="64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6.社会保障和就业支出（类）行政事业单位养老支出（款）机关事业单位职业年金缴费支出（项）:支出决算为5.75万元，完成预算100%。</w:t>
      </w:r>
    </w:p>
    <w:p>
      <w:pPr>
        <w:numPr>
          <w:ilvl w:val="0"/>
          <w:numId w:val="2"/>
        </w:numPr>
        <w:spacing w:line="600" w:lineRule="exact"/>
        <w:ind w:left="0" w:leftChars="0" w:firstLine="64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6.卫生健康支出（类）行政事业单位医疗（款）行政单位医疗（项）: 支出决算为2.52万元，完成预算100%。</w:t>
      </w:r>
    </w:p>
    <w:p>
      <w:pPr>
        <w:numPr>
          <w:ilvl w:val="0"/>
          <w:numId w:val="2"/>
        </w:numPr>
        <w:spacing w:line="600" w:lineRule="exact"/>
        <w:ind w:left="0" w:leftChars="0" w:firstLine="640" w:firstLineChars="0"/>
        <w:rPr>
          <w:rFonts w:hint="eastAsia" w:ascii="仿宋" w:hAnsi="仿宋" w:eastAsia="仿宋" w:cs="仿宋"/>
          <w:color w:val="auto"/>
          <w:kern w:val="2"/>
          <w:sz w:val="32"/>
          <w:szCs w:val="32"/>
          <w:highlight w:val="none"/>
          <w:lang w:val="en-US" w:eastAsia="zh-CN" w:bidi="ar-SA"/>
        </w:rPr>
      </w:pPr>
    </w:p>
    <w:p>
      <w:pPr>
        <w:numPr>
          <w:ilvl w:val="0"/>
          <w:numId w:val="2"/>
        </w:numPr>
        <w:spacing w:line="600" w:lineRule="exact"/>
        <w:ind w:left="0" w:leftChars="0" w:firstLine="64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卫生健康支出（类）行政事业单位医疗（款）事业单位医疗（项）: 支出决算为2.04万元，完成预算100%。</w:t>
      </w:r>
    </w:p>
    <w:p>
      <w:pPr>
        <w:numPr>
          <w:ilvl w:val="0"/>
          <w:numId w:val="2"/>
        </w:numPr>
        <w:spacing w:line="600" w:lineRule="exact"/>
        <w:ind w:left="0" w:leftChars="0" w:firstLine="64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卫生健康支出（类）行政事业单位医疗（款）公务员医疗补助（项）: 支出决算为0.90万元，完成预算100%。</w:t>
      </w:r>
    </w:p>
    <w:p>
      <w:pPr>
        <w:numPr>
          <w:ilvl w:val="0"/>
          <w:numId w:val="2"/>
        </w:numPr>
        <w:spacing w:line="600" w:lineRule="exact"/>
        <w:ind w:left="0" w:leftChars="0" w:firstLine="64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卫生健康支出（类）行政事业单位医疗（款）其他行政事业单位医疗支出（项）: 支出决算为0.36万元，完成预算100%。</w:t>
      </w:r>
    </w:p>
    <w:p>
      <w:pPr>
        <w:numPr>
          <w:ilvl w:val="0"/>
          <w:numId w:val="2"/>
        </w:numPr>
        <w:spacing w:line="600" w:lineRule="exact"/>
        <w:ind w:left="0" w:leftChars="0" w:firstLine="64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10.住房保障支出（类）住房改革支出（款）住房公积金（项）:支出决算为7.99万元，完成预算100%。</w:t>
      </w:r>
    </w:p>
    <w:p>
      <w:pPr>
        <w:tabs>
          <w:tab w:val="right" w:pos="8306"/>
        </w:tabs>
        <w:spacing w:line="600" w:lineRule="exact"/>
        <w:ind w:firstLine="640"/>
        <w:outlineLvl w:val="1"/>
        <w:rPr>
          <w:rStyle w:val="30"/>
          <w:rFonts w:hint="eastAsia" w:ascii="仿宋" w:hAnsi="仿宋" w:eastAsia="仿宋" w:cs="仿宋"/>
          <w:color w:val="auto"/>
          <w:highlight w:val="none"/>
        </w:rPr>
      </w:pPr>
      <w:bookmarkStart w:id="36" w:name="_Toc15377214"/>
      <w:bookmarkStart w:id="37" w:name="_Toc15396608"/>
      <w:r>
        <w:rPr>
          <w:rFonts w:hint="eastAsia" w:ascii="仿宋" w:hAnsi="仿宋" w:eastAsia="仿宋" w:cs="仿宋"/>
          <w:color w:val="auto"/>
          <w:sz w:val="32"/>
          <w:szCs w:val="32"/>
          <w:highlight w:val="none"/>
        </w:rPr>
        <w:t>六</w:t>
      </w:r>
      <w:r>
        <w:rPr>
          <w:rFonts w:hint="eastAsia" w:ascii="仿宋" w:hAnsi="仿宋" w:eastAsia="仿宋" w:cs="仿宋"/>
          <w:b/>
          <w:color w:val="auto"/>
          <w:sz w:val="32"/>
          <w:szCs w:val="32"/>
          <w:highlight w:val="none"/>
        </w:rPr>
        <w:t>、一</w:t>
      </w:r>
      <w:r>
        <w:rPr>
          <w:rStyle w:val="30"/>
          <w:rFonts w:hint="eastAsia" w:ascii="仿宋" w:hAnsi="仿宋" w:eastAsia="仿宋" w:cs="仿宋"/>
          <w:b w:val="0"/>
          <w:color w:val="auto"/>
          <w:highlight w:val="none"/>
        </w:rPr>
        <w:t>般公共预算财政拨款基本支出决算情况说明</w:t>
      </w:r>
      <w:bookmarkEnd w:id="36"/>
      <w:bookmarkEnd w:id="37"/>
      <w:r>
        <w:rPr>
          <w:rStyle w:val="30"/>
          <w:rFonts w:hint="eastAsia" w:ascii="仿宋" w:hAnsi="仿宋" w:eastAsia="仿宋" w:cs="仿宋"/>
          <w:b w:val="0"/>
          <w:color w:val="auto"/>
          <w:highlight w:val="none"/>
        </w:rPr>
        <w:tab/>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2025年度一般公共预算财政拨款基本支出111.35万元，其中：</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人员经费104.23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 w:hAnsi="仿宋" w:eastAsia="仿宋" w:cs="仿宋"/>
          <w:color w:val="auto"/>
          <w:kern w:val="2"/>
          <w:sz w:val="32"/>
          <w:szCs w:val="32"/>
          <w:highlight w:val="none"/>
          <w:lang w:val="en-US" w:eastAsia="zh-CN" w:bidi="ar-SA"/>
        </w:rPr>
        <w:br w:type="textWrapping"/>
      </w:r>
      <w:r>
        <w:rPr>
          <w:rFonts w:hint="eastAsia" w:ascii="仿宋" w:hAnsi="仿宋" w:eastAsia="仿宋" w:cs="仿宋"/>
          <w:color w:val="auto"/>
          <w:kern w:val="2"/>
          <w:sz w:val="32"/>
          <w:szCs w:val="32"/>
          <w:highlight w:val="none"/>
          <w:lang w:val="en-US" w:eastAsia="zh-CN" w:bidi="ar-SA"/>
        </w:rPr>
        <w:t>　　公用经费7.12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30"/>
          <w:rFonts w:hint="eastAsia" w:ascii="仿宋" w:hAnsi="仿宋" w:eastAsia="仿宋" w:cs="仿宋"/>
          <w:b w:val="0"/>
          <w:color w:val="auto"/>
          <w:highlight w:val="none"/>
        </w:rPr>
      </w:pPr>
      <w:bookmarkStart w:id="38" w:name="_Toc15396609"/>
      <w:bookmarkStart w:id="39" w:name="_Toc15377215"/>
      <w:r>
        <w:rPr>
          <w:rFonts w:hint="eastAsia" w:ascii="仿宋" w:hAnsi="仿宋" w:eastAsia="仿宋" w:cs="仿宋"/>
          <w:color w:val="auto"/>
          <w:sz w:val="32"/>
          <w:szCs w:val="32"/>
          <w:highlight w:val="none"/>
        </w:rPr>
        <w:t>七、</w:t>
      </w:r>
      <w:r>
        <w:rPr>
          <w:rStyle w:val="30"/>
          <w:rFonts w:hint="eastAsia" w:ascii="仿宋" w:hAnsi="仿宋" w:eastAsia="仿宋" w:cs="仿宋"/>
          <w:b w:val="0"/>
          <w:color w:val="auto"/>
          <w:highlight w:val="none"/>
        </w:rPr>
        <w:t>财政拨款</w:t>
      </w:r>
      <w:r>
        <w:rPr>
          <w:rStyle w:val="30"/>
          <w:rFonts w:hint="eastAsia" w:ascii="仿宋" w:hAnsi="仿宋" w:eastAsia="仿宋" w:cs="仿宋"/>
          <w:color w:val="auto"/>
          <w:highlight w:val="none"/>
        </w:rPr>
        <w:t>“</w:t>
      </w:r>
      <w:r>
        <w:rPr>
          <w:rStyle w:val="30"/>
          <w:rFonts w:hint="eastAsia" w:ascii="仿宋" w:hAnsi="仿宋" w:eastAsia="仿宋" w:cs="仿宋"/>
          <w:b w:val="0"/>
          <w:color w:val="auto"/>
          <w:highlight w:val="none"/>
        </w:rPr>
        <w:t>三公”经费支出决算情况说明</w:t>
      </w:r>
      <w:bookmarkEnd w:id="38"/>
      <w:bookmarkEnd w:id="39"/>
    </w:p>
    <w:p>
      <w:pPr>
        <w:spacing w:line="600" w:lineRule="exact"/>
        <w:ind w:firstLine="642" w:firstLineChars="200"/>
        <w:outlineLvl w:val="2"/>
        <w:rPr>
          <w:rFonts w:hint="eastAsia" w:ascii="仿宋" w:hAnsi="仿宋" w:eastAsia="仿宋" w:cs="仿宋"/>
          <w:b/>
          <w:color w:val="auto"/>
          <w:sz w:val="32"/>
          <w:szCs w:val="32"/>
          <w:highlight w:val="none"/>
        </w:rPr>
      </w:pPr>
      <w:bookmarkStart w:id="40" w:name="_Toc15377216"/>
      <w:r>
        <w:rPr>
          <w:rFonts w:hint="eastAsia" w:ascii="仿宋" w:hAnsi="仿宋" w:eastAsia="仿宋" w:cs="仿宋"/>
          <w:b/>
          <w:color w:val="auto"/>
          <w:sz w:val="32"/>
          <w:szCs w:val="32"/>
          <w:highlight w:val="none"/>
        </w:rPr>
        <w:t>（一）财政拨款“三公”经费支出决算总体情况说明</w:t>
      </w:r>
      <w:bookmarkEnd w:id="40"/>
    </w:p>
    <w:p>
      <w:pPr>
        <w:spacing w:line="600" w:lineRule="exact"/>
        <w:ind w:firstLine="640" w:firstLineChars="200"/>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color w:val="000000"/>
          <w:sz w:val="32"/>
          <w:szCs w:val="32"/>
          <w:lang w:eastAsia="zh-CN"/>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lang w:eastAsia="zh-CN"/>
        </w:rPr>
        <w:t>年</w:t>
      </w:r>
      <w:r>
        <w:rPr>
          <w:rFonts w:hint="eastAsia" w:ascii="仿宋" w:hAnsi="仿宋" w:eastAsia="仿宋" w:cs="仿宋"/>
          <w:color w:val="000000"/>
          <w:sz w:val="32"/>
          <w:szCs w:val="32"/>
        </w:rPr>
        <w:t>“三公”经费财政拨款支出决算为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万元。决算数或与预算数持平的主要原因是</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本年度无“三公”经费财政拨款支出，无相关预算安排</w:t>
      </w:r>
      <w:r>
        <w:rPr>
          <w:rFonts w:hint="eastAsia" w:ascii="仿宋" w:hAnsi="仿宋" w:eastAsia="仿宋" w:cs="仿宋"/>
          <w:color w:val="000000"/>
          <w:sz w:val="32"/>
          <w:szCs w:val="32"/>
        </w:rPr>
        <w:t>。</w:t>
      </w:r>
    </w:p>
    <w:p>
      <w:pPr>
        <w:spacing w:line="600" w:lineRule="exact"/>
        <w:ind w:firstLine="642" w:firstLineChars="200"/>
        <w:outlineLvl w:val="2"/>
        <w:rPr>
          <w:rFonts w:hint="eastAsia" w:ascii="仿宋" w:hAnsi="仿宋" w:eastAsia="仿宋" w:cs="仿宋"/>
          <w:b/>
          <w:color w:val="auto"/>
          <w:sz w:val="32"/>
          <w:szCs w:val="32"/>
          <w:highlight w:val="none"/>
        </w:rPr>
      </w:pPr>
      <w:bookmarkStart w:id="41" w:name="_Toc15377217"/>
      <w:r>
        <w:rPr>
          <w:rFonts w:hint="eastAsia" w:ascii="仿宋" w:hAnsi="仿宋" w:eastAsia="仿宋" w:cs="仿宋"/>
          <w:b/>
          <w:color w:val="auto"/>
          <w:sz w:val="32"/>
          <w:szCs w:val="32"/>
          <w:highlight w:val="none"/>
        </w:rPr>
        <w:t>（二）财政拨款“三公”经费支出决算具体情况说明</w:t>
      </w:r>
      <w:bookmarkEnd w:id="41"/>
    </w:p>
    <w:p>
      <w:pPr>
        <w:pageBreakBefore w:val="0"/>
        <w:widowControl w:val="0"/>
        <w:kinsoku/>
        <w:wordWrap/>
        <w:overflowPunct/>
        <w:topLinePunct w:val="0"/>
        <w:bidi w:val="0"/>
        <w:spacing w:line="560" w:lineRule="exact"/>
        <w:ind w:firstLine="64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2024年</w:t>
      </w:r>
      <w:r>
        <w:rPr>
          <w:rFonts w:hint="eastAsia" w:ascii="仿宋" w:hAnsi="仿宋" w:eastAsia="仿宋" w:cs="仿宋"/>
          <w:color w:val="000000"/>
          <w:sz w:val="32"/>
          <w:szCs w:val="32"/>
        </w:rPr>
        <w:t>“三公”经费财政拨款支出决算中，因公出国（境）费支出决算</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万元；公务用车购置及运行维护费支出决算</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万元；公务接待费支出决算</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具体情况如下：</w:t>
      </w:r>
    </w:p>
    <w:p>
      <w:pPr>
        <w:pageBreakBefore w:val="0"/>
        <w:widowControl w:val="0"/>
        <w:kinsoku/>
        <w:wordWrap/>
        <w:overflowPunct/>
        <w:topLinePunct w:val="0"/>
        <w:bidi w:val="0"/>
        <w:spacing w:line="560" w:lineRule="exact"/>
        <w:ind w:firstLine="642" w:firstLineChars="200"/>
        <w:textAlignment w:val="auto"/>
        <w:rPr>
          <w:rFonts w:hint="eastAsia" w:ascii="仿宋" w:hAnsi="仿宋" w:eastAsia="仿宋" w:cs="仿宋"/>
          <w:b w:val="0"/>
          <w:bCs/>
          <w:color w:val="000000"/>
          <w:sz w:val="32"/>
          <w:szCs w:val="32"/>
        </w:rPr>
      </w:pPr>
      <w:r>
        <w:rPr>
          <w:rFonts w:hint="eastAsia" w:ascii="仿宋" w:hAnsi="仿宋" w:eastAsia="仿宋" w:cs="仿宋"/>
          <w:b/>
          <w:color w:val="000000"/>
          <w:sz w:val="32"/>
          <w:szCs w:val="32"/>
          <w:lang w:val="en-US" w:eastAsia="zh-CN"/>
        </w:rPr>
        <w:t>1.</w:t>
      </w:r>
      <w:r>
        <w:rPr>
          <w:rFonts w:hint="eastAsia" w:ascii="仿宋" w:hAnsi="仿宋" w:eastAsia="仿宋" w:cs="仿宋"/>
          <w:b w:val="0"/>
          <w:bCs/>
          <w:color w:val="000000"/>
          <w:sz w:val="32"/>
          <w:szCs w:val="32"/>
        </w:rPr>
        <w:t>因公出国（境）经费支出</w:t>
      </w:r>
      <w:r>
        <w:rPr>
          <w:rFonts w:hint="eastAsia" w:ascii="仿宋" w:hAnsi="仿宋" w:eastAsia="仿宋" w:cs="仿宋"/>
          <w:b w:val="0"/>
          <w:bCs/>
          <w:color w:val="000000"/>
          <w:sz w:val="32"/>
          <w:szCs w:val="32"/>
          <w:lang w:val="en-US" w:eastAsia="zh-CN"/>
        </w:rPr>
        <w:t>0</w:t>
      </w:r>
      <w:r>
        <w:rPr>
          <w:rFonts w:hint="eastAsia" w:ascii="仿宋" w:hAnsi="仿宋" w:eastAsia="仿宋" w:cs="仿宋"/>
          <w:b w:val="0"/>
          <w:bCs/>
          <w:color w:val="000000"/>
          <w:sz w:val="32"/>
          <w:szCs w:val="32"/>
        </w:rPr>
        <w:t>万元。</w:t>
      </w:r>
    </w:p>
    <w:p>
      <w:pPr>
        <w:pageBreakBefore w:val="0"/>
        <w:widowControl w:val="0"/>
        <w:kinsoku/>
        <w:wordWrap/>
        <w:overflowPunct/>
        <w:topLinePunct w:val="0"/>
        <w:bidi w:val="0"/>
        <w:spacing w:line="560" w:lineRule="exact"/>
        <w:ind w:firstLine="640"/>
        <w:textAlignment w:val="auto"/>
        <w:rPr>
          <w:rFonts w:hint="eastAsia" w:ascii="仿宋" w:hAnsi="仿宋" w:eastAsia="仿宋" w:cs="仿宋"/>
          <w:b/>
          <w:color w:val="auto"/>
          <w:sz w:val="32"/>
          <w:szCs w:val="32"/>
          <w:lang w:val="en-US" w:eastAsia="zh-CN"/>
        </w:rPr>
      </w:pPr>
      <w:r>
        <w:rPr>
          <w:rFonts w:hint="eastAsia" w:ascii="仿宋" w:hAnsi="仿宋" w:eastAsia="仿宋" w:cs="仿宋"/>
          <w:b w:val="0"/>
          <w:bCs/>
          <w:color w:val="000000"/>
          <w:sz w:val="32"/>
          <w:szCs w:val="32"/>
        </w:rPr>
        <w:t>2.公务用车购置及运行维护费支出</w:t>
      </w:r>
      <w:r>
        <w:rPr>
          <w:rFonts w:hint="eastAsia" w:ascii="仿宋" w:hAnsi="仿宋" w:eastAsia="仿宋" w:cs="仿宋"/>
          <w:b w:val="0"/>
          <w:bCs/>
          <w:color w:val="000000"/>
          <w:sz w:val="32"/>
          <w:szCs w:val="32"/>
          <w:lang w:val="en-US" w:eastAsia="zh-CN"/>
        </w:rPr>
        <w:t>0</w:t>
      </w:r>
      <w:r>
        <w:rPr>
          <w:rFonts w:hint="eastAsia" w:ascii="仿宋" w:hAnsi="仿宋" w:eastAsia="仿宋" w:cs="仿宋"/>
          <w:b w:val="0"/>
          <w:bCs/>
          <w:color w:val="auto"/>
          <w:sz w:val="32"/>
          <w:szCs w:val="32"/>
        </w:rPr>
        <w:t>万</w:t>
      </w:r>
      <w:r>
        <w:rPr>
          <w:rFonts w:hint="eastAsia" w:ascii="仿宋" w:hAnsi="仿宋" w:eastAsia="仿宋" w:cs="仿宋"/>
          <w:color w:val="auto"/>
          <w:sz w:val="32"/>
          <w:szCs w:val="32"/>
        </w:rPr>
        <w:t>元</w:t>
      </w:r>
      <w:r>
        <w:rPr>
          <w:rFonts w:hint="eastAsia" w:ascii="仿宋" w:hAnsi="仿宋" w:eastAsia="仿宋" w:cs="仿宋"/>
          <w:color w:val="auto"/>
          <w:sz w:val="32"/>
          <w:szCs w:val="32"/>
          <w:lang w:eastAsia="zh-CN"/>
        </w:rPr>
        <w:t>，</w:t>
      </w:r>
    </w:p>
    <w:p>
      <w:pPr>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其中：</w:t>
      </w:r>
      <w:r>
        <w:rPr>
          <w:rFonts w:hint="eastAsia" w:ascii="仿宋" w:hAnsi="仿宋" w:eastAsia="仿宋" w:cs="仿宋"/>
          <w:b w:val="0"/>
          <w:bCs/>
          <w:color w:val="000000"/>
          <w:sz w:val="32"/>
          <w:szCs w:val="32"/>
        </w:rPr>
        <w:t>公务用车购置支出</w:t>
      </w:r>
      <w:r>
        <w:rPr>
          <w:rFonts w:hint="eastAsia" w:ascii="仿宋" w:hAnsi="仿宋" w:eastAsia="仿宋" w:cs="仿宋"/>
          <w:b w:val="0"/>
          <w:bCs/>
          <w:color w:val="000000"/>
          <w:sz w:val="32"/>
          <w:szCs w:val="32"/>
          <w:lang w:val="en-US" w:eastAsia="zh-CN"/>
        </w:rPr>
        <w:t>0</w:t>
      </w:r>
      <w:r>
        <w:rPr>
          <w:rFonts w:hint="eastAsia" w:ascii="仿宋" w:hAnsi="仿宋" w:eastAsia="仿宋" w:cs="仿宋"/>
          <w:color w:val="000000"/>
          <w:sz w:val="32"/>
          <w:szCs w:val="32"/>
        </w:rPr>
        <w:t>万元。全年按规定更新购置公务用车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辆，其中：轿车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万元，越野车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万元，载客汽车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。2024年</w:t>
      </w:r>
      <w:r>
        <w:rPr>
          <w:rFonts w:hint="eastAsia" w:ascii="仿宋" w:hAnsi="仿宋" w:eastAsia="仿宋" w:cs="仿宋"/>
          <w:color w:val="000000"/>
          <w:sz w:val="32"/>
          <w:szCs w:val="32"/>
        </w:rPr>
        <w:t>12月底，单位共有公</w:t>
      </w:r>
      <w:r>
        <w:rPr>
          <w:rFonts w:hint="eastAsia" w:ascii="仿宋" w:hAnsi="仿宋" w:eastAsia="仿宋" w:cs="仿宋"/>
          <w:color w:val="auto"/>
          <w:sz w:val="32"/>
          <w:szCs w:val="32"/>
        </w:rPr>
        <w:t>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辆，其中：轿车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辆、越野车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辆、载客汽车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其他用车0辆</w:t>
      </w:r>
      <w:r>
        <w:rPr>
          <w:rFonts w:hint="eastAsia" w:ascii="仿宋" w:hAnsi="仿宋" w:eastAsia="仿宋" w:cs="仿宋"/>
          <w:color w:val="auto"/>
          <w:sz w:val="32"/>
          <w:szCs w:val="32"/>
        </w:rPr>
        <w:t>。</w:t>
      </w:r>
      <w:r>
        <w:rPr>
          <w:rFonts w:hint="eastAsia" w:ascii="仿宋" w:hAnsi="仿宋" w:eastAsia="仿宋" w:cs="仿宋"/>
          <w:b w:val="0"/>
          <w:bCs/>
          <w:color w:val="000000"/>
          <w:sz w:val="32"/>
          <w:szCs w:val="32"/>
        </w:rPr>
        <w:t>公务用车运行维护费支出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p>
    <w:p>
      <w:pPr>
        <w:pageBreakBefore w:val="0"/>
        <w:widowControl w:val="0"/>
        <w:kinsoku/>
        <w:wordWrap/>
        <w:overflowPunct/>
        <w:topLinePunct w:val="0"/>
        <w:bidi w:val="0"/>
        <w:spacing w:line="560" w:lineRule="exact"/>
        <w:ind w:firstLine="642" w:firstLineChars="200"/>
        <w:textAlignment w:val="auto"/>
        <w:rPr>
          <w:rFonts w:hint="eastAsia" w:ascii="仿宋" w:hAnsi="仿宋" w:eastAsia="仿宋" w:cs="仿宋"/>
          <w:color w:val="000000"/>
          <w:sz w:val="32"/>
          <w:szCs w:val="32"/>
        </w:rPr>
      </w:pPr>
      <w:r>
        <w:rPr>
          <w:rFonts w:hint="eastAsia" w:ascii="仿宋" w:hAnsi="仿宋" w:eastAsia="仿宋" w:cs="仿宋"/>
          <w:b/>
          <w:color w:val="000000"/>
          <w:sz w:val="32"/>
          <w:szCs w:val="32"/>
          <w:lang w:val="en-US" w:eastAsia="zh-CN"/>
        </w:rPr>
        <w:t>3</w:t>
      </w:r>
      <w:r>
        <w:rPr>
          <w:rFonts w:hint="eastAsia" w:ascii="仿宋" w:hAnsi="仿宋" w:eastAsia="仿宋" w:cs="仿宋"/>
          <w:b/>
          <w:color w:val="000000"/>
          <w:sz w:val="32"/>
          <w:szCs w:val="32"/>
        </w:rPr>
        <w:t>.</w:t>
      </w:r>
      <w:r>
        <w:rPr>
          <w:rFonts w:hint="eastAsia" w:ascii="仿宋" w:hAnsi="仿宋" w:eastAsia="仿宋" w:cs="仿宋"/>
          <w:b w:val="0"/>
          <w:bCs/>
          <w:color w:val="000000"/>
          <w:sz w:val="32"/>
          <w:szCs w:val="32"/>
        </w:rPr>
        <w:t>公务接待费支出</w:t>
      </w:r>
      <w:r>
        <w:rPr>
          <w:rFonts w:hint="eastAsia" w:ascii="仿宋" w:hAnsi="仿宋" w:eastAsia="仿宋" w:cs="仿宋"/>
          <w:b w:val="0"/>
          <w:bCs/>
          <w:color w:val="000000"/>
          <w:sz w:val="32"/>
          <w:szCs w:val="32"/>
          <w:lang w:val="en-US" w:eastAsia="zh-CN"/>
        </w:rPr>
        <w:t>0</w:t>
      </w:r>
      <w:r>
        <w:rPr>
          <w:rFonts w:hint="eastAsia" w:ascii="仿宋" w:hAnsi="仿宋" w:eastAsia="仿宋" w:cs="仿宋"/>
          <w:b w:val="0"/>
          <w:bCs/>
          <w:color w:val="000000"/>
          <w:sz w:val="32"/>
          <w:szCs w:val="32"/>
        </w:rPr>
        <w:t>万元。</w:t>
      </w:r>
    </w:p>
    <w:p>
      <w:pPr>
        <w:spacing w:line="600" w:lineRule="exact"/>
        <w:ind w:firstLine="640"/>
        <w:outlineLvl w:val="1"/>
        <w:rPr>
          <w:rStyle w:val="30"/>
          <w:rFonts w:hint="eastAsia" w:ascii="仿宋" w:hAnsi="仿宋" w:eastAsia="仿宋" w:cs="仿宋"/>
          <w:color w:val="auto"/>
          <w:highlight w:val="none"/>
        </w:rPr>
      </w:pPr>
      <w:r>
        <w:rPr>
          <w:rFonts w:hint="eastAsia" w:ascii="仿宋" w:hAnsi="仿宋" w:eastAsia="仿宋" w:cs="仿宋"/>
          <w:color w:val="auto"/>
          <w:sz w:val="32"/>
          <w:szCs w:val="32"/>
          <w:highlight w:val="none"/>
        </w:rPr>
        <w:t>八、</w:t>
      </w:r>
      <w:r>
        <w:rPr>
          <w:rStyle w:val="30"/>
          <w:rFonts w:hint="eastAsia" w:ascii="仿宋" w:hAnsi="仿宋" w:eastAsia="仿宋" w:cs="仿宋"/>
          <w:b w:val="0"/>
          <w:color w:val="auto"/>
          <w:highlight w:val="none"/>
        </w:rPr>
        <w:t>政府性基金预算支出决算情况说明</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2025年度政府性基金预算财政拨款支出0万元，占本年支出合计的0%。</w:t>
      </w:r>
    </w:p>
    <w:p>
      <w:pPr>
        <w:numPr>
          <w:ilvl w:val="0"/>
          <w:numId w:val="0"/>
        </w:numPr>
        <w:spacing w:line="600" w:lineRule="exact"/>
        <w:ind w:left="630" w:leftChars="0"/>
        <w:outlineLvl w:val="1"/>
        <w:rPr>
          <w:rStyle w:val="30"/>
          <w:rFonts w:hint="eastAsia" w:ascii="仿宋" w:hAnsi="仿宋" w:eastAsia="仿宋" w:cs="仿宋"/>
          <w:b w:val="0"/>
          <w:color w:val="auto"/>
          <w:highlight w:val="none"/>
        </w:rPr>
      </w:pPr>
      <w:bookmarkStart w:id="42" w:name="_Toc15377219"/>
      <w:bookmarkStart w:id="43" w:name="_Toc15396611"/>
      <w:r>
        <w:rPr>
          <w:rStyle w:val="30"/>
          <w:rFonts w:hint="eastAsia" w:ascii="仿宋" w:hAnsi="仿宋" w:eastAsia="仿宋" w:cs="仿宋"/>
          <w:b w:val="0"/>
          <w:color w:val="auto"/>
          <w:highlight w:val="none"/>
          <w:lang w:eastAsia="zh-CN"/>
        </w:rPr>
        <w:t>九、</w:t>
      </w:r>
      <w:r>
        <w:rPr>
          <w:rStyle w:val="30"/>
          <w:rFonts w:hint="eastAsia" w:ascii="仿宋" w:hAnsi="仿宋" w:eastAsia="仿宋" w:cs="仿宋"/>
          <w:b w:val="0"/>
          <w:color w:val="auto"/>
          <w:highlight w:val="none"/>
        </w:rPr>
        <w:t>国有资本经营预算支出决算情况说明</w:t>
      </w:r>
      <w:bookmarkEnd w:id="42"/>
      <w:bookmarkEnd w:id="43"/>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2025年度国有资本经营预算财政拨款支出0万元，占本年支出合计的0%。</w:t>
      </w:r>
    </w:p>
    <w:p>
      <w:pPr>
        <w:numPr>
          <w:ilvl w:val="0"/>
          <w:numId w:val="0"/>
        </w:numPr>
        <w:spacing w:line="600" w:lineRule="exact"/>
        <w:ind w:left="630" w:leftChars="0"/>
        <w:outlineLvl w:val="1"/>
        <w:rPr>
          <w:rStyle w:val="30"/>
          <w:rFonts w:hint="eastAsia" w:ascii="仿宋" w:hAnsi="仿宋" w:eastAsia="仿宋" w:cs="仿宋"/>
          <w:b w:val="0"/>
          <w:color w:val="auto"/>
          <w:highlight w:val="none"/>
        </w:rPr>
      </w:pPr>
      <w:bookmarkStart w:id="44" w:name="_Toc15377221"/>
      <w:bookmarkStart w:id="45" w:name="_Toc15396612"/>
      <w:r>
        <w:rPr>
          <w:rStyle w:val="30"/>
          <w:rFonts w:hint="eastAsia" w:ascii="仿宋" w:hAnsi="仿宋" w:eastAsia="仿宋" w:cs="仿宋"/>
          <w:b w:val="0"/>
          <w:color w:val="auto"/>
          <w:highlight w:val="none"/>
          <w:lang w:eastAsia="zh-CN"/>
        </w:rPr>
        <w:t>十、</w:t>
      </w:r>
      <w:r>
        <w:rPr>
          <w:rStyle w:val="30"/>
          <w:rFonts w:hint="eastAsia" w:ascii="仿宋" w:hAnsi="仿宋" w:eastAsia="仿宋" w:cs="仿宋"/>
          <w:b w:val="0"/>
          <w:color w:val="auto"/>
          <w:highlight w:val="none"/>
        </w:rPr>
        <w:t>其他重要事项的情况说明</w:t>
      </w:r>
      <w:bookmarkEnd w:id="44"/>
      <w:bookmarkEnd w:id="45"/>
    </w:p>
    <w:p>
      <w:pPr>
        <w:spacing w:line="600" w:lineRule="exact"/>
        <w:ind w:firstLine="642" w:firstLineChars="200"/>
        <w:outlineLvl w:val="2"/>
        <w:rPr>
          <w:rFonts w:hint="eastAsia" w:ascii="仿宋" w:hAnsi="仿宋" w:eastAsia="仿宋" w:cs="仿宋"/>
          <w:b/>
          <w:color w:val="000000" w:themeColor="text1"/>
          <w:sz w:val="32"/>
          <w:szCs w:val="32"/>
          <w:highlight w:val="none"/>
          <w14:textFill>
            <w14:solidFill>
              <w14:schemeClr w14:val="tx1"/>
            </w14:solidFill>
          </w14:textFill>
        </w:rPr>
      </w:pPr>
      <w:bookmarkStart w:id="46" w:name="_Toc15377222"/>
      <w:r>
        <w:rPr>
          <w:rFonts w:hint="eastAsia" w:ascii="仿宋" w:hAnsi="仿宋" w:eastAsia="仿宋" w:cs="仿宋"/>
          <w:b/>
          <w:color w:val="000000" w:themeColor="text1"/>
          <w:sz w:val="32"/>
          <w:szCs w:val="32"/>
          <w:highlight w:val="none"/>
          <w14:textFill>
            <w14:solidFill>
              <w14:schemeClr w14:val="tx1"/>
            </w14:solidFill>
          </w14:textFill>
        </w:rPr>
        <w:t>（一）机关运行经费支出情况</w:t>
      </w:r>
      <w:bookmarkEnd w:id="46"/>
    </w:p>
    <w:p>
      <w:pPr>
        <w:spacing w:line="600" w:lineRule="exact"/>
        <w:ind w:firstLine="640" w:firstLineChars="200"/>
        <w:outlineLvl w:val="2"/>
        <w:rPr>
          <w:rFonts w:hint="eastAsia" w:ascii="仿宋" w:hAnsi="仿宋" w:eastAsia="仿宋" w:cs="仿宋"/>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SA"/>
          <w14:textFill>
            <w14:solidFill>
              <w14:schemeClr w14:val="tx1"/>
            </w14:solidFill>
          </w14:textFill>
        </w:rPr>
        <w:t>2025年度，壤塘县工商联合会机关运行经费支出4.61万元，比上年度增加0.52万元，增长11.27%（或与上年度决算数持平）。主要原因是</w:t>
      </w:r>
      <w:bookmarkStart w:id="47" w:name="_Toc15377223"/>
      <w:r>
        <w:rPr>
          <w:rFonts w:hint="eastAsia" w:ascii="仿宋" w:hAnsi="仿宋" w:eastAsia="仿宋" w:cs="仿宋"/>
          <w:color w:val="000000" w:themeColor="text1"/>
          <w:kern w:val="2"/>
          <w:sz w:val="32"/>
          <w:szCs w:val="32"/>
          <w:highlight w:val="none"/>
          <w:lang w:val="en-US" w:eastAsia="zh-CN" w:bidi="ar-SA"/>
          <w14:textFill>
            <w14:solidFill>
              <w14:schemeClr w14:val="tx1"/>
            </w14:solidFill>
          </w14:textFill>
        </w:rPr>
        <w:t>下乡及开展活动次数增多。</w:t>
      </w:r>
    </w:p>
    <w:p>
      <w:pPr>
        <w:spacing w:line="600" w:lineRule="exact"/>
        <w:ind w:firstLine="642" w:firstLineChars="200"/>
        <w:outlineLvl w:val="2"/>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（二）政府采购支出情况</w:t>
      </w:r>
      <w:bookmarkEnd w:id="47"/>
    </w:p>
    <w:p>
      <w:pPr>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000000"/>
          <w:sz w:val="32"/>
          <w:szCs w:val="32"/>
          <w:lang w:eastAsia="zh-CN"/>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lang w:eastAsia="zh-CN"/>
        </w:rPr>
        <w:t>年</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壤塘县</w:t>
      </w:r>
      <w:r>
        <w:rPr>
          <w:rFonts w:hint="eastAsia" w:ascii="仿宋" w:hAnsi="仿宋" w:eastAsia="仿宋" w:cs="仿宋"/>
          <w:color w:val="000000"/>
          <w:sz w:val="32"/>
          <w:szCs w:val="32"/>
          <w:lang w:val="en-US" w:eastAsia="zh-CN"/>
        </w:rPr>
        <w:t>工商业联合会</w:t>
      </w:r>
      <w:r>
        <w:rPr>
          <w:rFonts w:hint="eastAsia" w:ascii="仿宋" w:hAnsi="仿宋" w:eastAsia="仿宋" w:cs="仿宋"/>
          <w:color w:val="000000"/>
          <w:sz w:val="32"/>
          <w:szCs w:val="32"/>
        </w:rPr>
        <w:t>政府采购支出总额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元，其中：政府采购货物支出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万元、政府采购工程支出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万元、政府采购服务支出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val="en-US" w:eastAsia="zh-CN"/>
        </w:rPr>
        <w:t>其中：</w:t>
      </w:r>
      <w:r>
        <w:rPr>
          <w:rFonts w:hint="eastAsia" w:ascii="仿宋" w:hAnsi="仿宋" w:eastAsia="仿宋" w:cs="仿宋"/>
          <w:color w:val="000000"/>
          <w:sz w:val="32"/>
          <w:szCs w:val="32"/>
        </w:rPr>
        <w:t>授予中小企业合同金额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万元，占政府采购支出总额的</w:t>
      </w:r>
      <w:r>
        <w:rPr>
          <w:rFonts w:hint="eastAsia" w:ascii="仿宋" w:hAnsi="仿宋" w:eastAsia="仿宋" w:cs="仿宋"/>
          <w:color w:val="000000"/>
          <w:sz w:val="32"/>
          <w:szCs w:val="32"/>
          <w:lang w:val="en-US" w:eastAsia="zh-CN"/>
        </w:rPr>
        <w:t>100</w:t>
      </w:r>
      <w:r>
        <w:rPr>
          <w:rFonts w:hint="eastAsia" w:ascii="仿宋" w:hAnsi="仿宋" w:eastAsia="仿宋" w:cs="仿宋"/>
          <w:color w:val="000000"/>
          <w:sz w:val="32"/>
          <w:szCs w:val="32"/>
        </w:rPr>
        <w:t>%，其中：授予小微企业合同金额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万元，占政府采购支出总额的</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w:t>
      </w:r>
    </w:p>
    <w:p>
      <w:pPr>
        <w:spacing w:line="600" w:lineRule="exact"/>
        <w:ind w:firstLine="642" w:firstLineChars="200"/>
        <w:outlineLvl w:val="2"/>
        <w:rPr>
          <w:rFonts w:hint="eastAsia" w:ascii="仿宋" w:hAnsi="仿宋" w:eastAsia="仿宋" w:cs="仿宋"/>
          <w:b/>
          <w:color w:val="auto"/>
          <w:sz w:val="32"/>
          <w:szCs w:val="32"/>
          <w:highlight w:val="none"/>
        </w:rPr>
      </w:pPr>
      <w:bookmarkStart w:id="48" w:name="_Toc15377224"/>
      <w:r>
        <w:rPr>
          <w:rFonts w:hint="eastAsia" w:ascii="仿宋" w:hAnsi="仿宋" w:eastAsia="仿宋" w:cs="仿宋"/>
          <w:b/>
          <w:color w:val="auto"/>
          <w:sz w:val="32"/>
          <w:szCs w:val="32"/>
          <w:highlight w:val="none"/>
        </w:rPr>
        <w:t>（三）国有资产占有使用情况</w:t>
      </w:r>
      <w:bookmarkEnd w:id="48"/>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截至2025年12月31日，0共有车辆0辆，其中：副部（省）级及以上领导用车0辆、主要负责人用车0辆、机要通信用车0辆、应急保障用车1辆、执法执勤用车0辆、特种专业技术用车0辆、离退休干部服务用车0辆、其他用车0辆，应急保障用车主要是用于开展应急工作。单价100万元（含）以上设备（不含车辆）0台（套）。</w:t>
      </w:r>
    </w:p>
    <w:p>
      <w:pPr>
        <w:pageBreakBefore w:val="0"/>
        <w:widowControl w:val="0"/>
        <w:kinsoku/>
        <w:wordWrap/>
        <w:overflowPunct/>
        <w:topLinePunct w:val="0"/>
        <w:autoSpaceDE w:val="0"/>
        <w:autoSpaceDN w:val="0"/>
        <w:bidi w:val="0"/>
        <w:adjustRightInd w:val="0"/>
        <w:spacing w:line="560" w:lineRule="exact"/>
        <w:ind w:firstLine="642" w:firstLineChars="200"/>
        <w:jc w:val="left"/>
        <w:textAlignment w:val="auto"/>
        <w:outlineLvl w:val="2"/>
        <w:rPr>
          <w:rFonts w:hint="eastAsia" w:ascii="仿宋" w:hAnsi="仿宋" w:eastAsia="仿宋" w:cs="仿宋"/>
          <w:b/>
          <w:color w:val="000000"/>
          <w:sz w:val="32"/>
          <w:szCs w:val="32"/>
        </w:rPr>
      </w:pPr>
      <w:bookmarkStart w:id="49" w:name="_Toc79163628"/>
      <w:bookmarkStart w:id="50" w:name="_Toc79163878"/>
      <w:r>
        <w:rPr>
          <w:rFonts w:hint="eastAsia" w:ascii="仿宋" w:hAnsi="仿宋" w:eastAsia="仿宋" w:cs="仿宋"/>
          <w:b/>
          <w:color w:val="000000"/>
          <w:sz w:val="32"/>
          <w:szCs w:val="32"/>
        </w:rPr>
        <w:t>（四）预算绩效管理情况。</w:t>
      </w:r>
      <w:bookmarkEnd w:id="49"/>
      <w:bookmarkEnd w:id="50"/>
    </w:p>
    <w:p>
      <w:pPr>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sz w:val="32"/>
          <w:szCs w:val="32"/>
          <w:lang w:val="en-US"/>
        </w:rPr>
      </w:pPr>
      <w:r>
        <w:rPr>
          <w:rFonts w:hint="eastAsia" w:ascii="仿宋" w:hAnsi="仿宋" w:eastAsia="仿宋" w:cs="仿宋"/>
          <w:color w:val="auto"/>
          <w:sz w:val="32"/>
          <w:szCs w:val="32"/>
          <w:highlight w:val="none"/>
        </w:rPr>
        <w:t>根据预算绩效管理要求，本部门在</w:t>
      </w:r>
      <w:r>
        <w:rPr>
          <w:rFonts w:hint="eastAsia" w:ascii="仿宋" w:hAnsi="仿宋" w:eastAsia="仿宋" w:cs="仿宋"/>
          <w:color w:val="auto"/>
          <w:sz w:val="32"/>
          <w:szCs w:val="32"/>
          <w:highlight w:val="none"/>
          <w:lang w:val="en-US" w:eastAsia="zh-CN"/>
        </w:rPr>
        <w:t>2025年度</w:t>
      </w:r>
      <w:r>
        <w:rPr>
          <w:rFonts w:hint="eastAsia" w:ascii="仿宋" w:hAnsi="仿宋" w:eastAsia="仿宋" w:cs="仿宋"/>
          <w:color w:val="auto"/>
          <w:sz w:val="32"/>
          <w:szCs w:val="32"/>
          <w:highlight w:val="none"/>
        </w:rPr>
        <w:t>预算编制阶段，</w:t>
      </w:r>
      <w:r>
        <w:rPr>
          <w:rFonts w:hint="eastAsia" w:ascii="仿宋" w:hAnsi="仿宋" w:eastAsia="仿宋" w:cs="仿宋"/>
          <w:color w:val="auto"/>
          <w:sz w:val="32"/>
          <w:szCs w:val="32"/>
          <w:highlight w:val="none"/>
          <w:lang w:val="en-US" w:eastAsia="zh-CN"/>
        </w:rPr>
        <w:t>本单位无专项项目。</w:t>
      </w:r>
    </w:p>
    <w:p>
      <w:pPr>
        <w:spacing w:line="580" w:lineRule="exact"/>
        <w:ind w:firstLine="640" w:firstLineChars="200"/>
        <w:rPr>
          <w:rFonts w:hint="eastAsia" w:ascii="仿宋" w:hAnsi="仿宋" w:eastAsia="仿宋" w:cs="仿宋"/>
          <w:color w:val="FF0000"/>
          <w:kern w:val="2"/>
          <w:sz w:val="32"/>
          <w:szCs w:val="32"/>
          <w:highlight w:val="none"/>
          <w:lang w:val="en-US" w:eastAsia="zh-CN" w:bidi="ar-SA"/>
        </w:rPr>
      </w:pPr>
      <w:r>
        <w:rPr>
          <w:rFonts w:hint="eastAsia" w:ascii="仿宋" w:hAnsi="仿宋" w:eastAsia="仿宋" w:cs="仿宋"/>
          <w:sz w:val="32"/>
          <w:szCs w:val="32"/>
        </w:rPr>
        <w:t>组织对</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年度一般公共预算、政府性基金预算、国有资本经营预算、社会保险基金预算以及资本资产、债券资金等全面开展绩效自评，形成</w:t>
      </w:r>
      <w:r>
        <w:rPr>
          <w:rFonts w:hint="eastAsia" w:ascii="仿宋" w:hAnsi="仿宋" w:eastAsia="仿宋" w:cs="仿宋"/>
          <w:sz w:val="32"/>
          <w:szCs w:val="32"/>
          <w:lang w:val="en-US" w:eastAsia="zh-CN"/>
        </w:rPr>
        <w:t>壤塘县工商业联合会</w:t>
      </w:r>
      <w:r>
        <w:rPr>
          <w:rFonts w:hint="eastAsia" w:ascii="仿宋" w:hAnsi="仿宋" w:eastAsia="仿宋" w:cs="仿宋"/>
          <w:sz w:val="32"/>
          <w:szCs w:val="32"/>
        </w:rPr>
        <w:t>（含部门预算项目）绩效自评报告</w:t>
      </w:r>
      <w:r>
        <w:rPr>
          <w:rFonts w:hint="eastAsia" w:ascii="仿宋" w:hAnsi="仿宋" w:eastAsia="仿宋" w:cs="仿宋"/>
          <w:sz w:val="32"/>
          <w:szCs w:val="32"/>
          <w:lang w:eastAsia="zh-CN"/>
        </w:rPr>
        <w:t>，</w:t>
      </w:r>
      <w:r>
        <w:rPr>
          <w:rFonts w:hint="eastAsia" w:ascii="仿宋" w:hAnsi="仿宋" w:eastAsia="仿宋" w:cs="仿宋"/>
          <w:sz w:val="32"/>
          <w:szCs w:val="32"/>
        </w:rPr>
        <w:t>其中，</w:t>
      </w:r>
      <w:r>
        <w:rPr>
          <w:rFonts w:hint="eastAsia" w:ascii="仿宋" w:hAnsi="仿宋" w:eastAsia="仿宋" w:cs="仿宋"/>
          <w:sz w:val="32"/>
          <w:szCs w:val="32"/>
          <w:lang w:val="en-US" w:eastAsia="zh-CN"/>
        </w:rPr>
        <w:t>壤塘县工商业联合会</w:t>
      </w:r>
      <w:r>
        <w:rPr>
          <w:rFonts w:hint="eastAsia" w:ascii="仿宋" w:hAnsi="仿宋" w:eastAsia="仿宋" w:cs="仿宋"/>
          <w:sz w:val="32"/>
          <w:szCs w:val="32"/>
        </w:rPr>
        <w:t>（含部门预算项目）绩效自评得分为</w:t>
      </w:r>
      <w:r>
        <w:rPr>
          <w:rFonts w:hint="eastAsia" w:ascii="仿宋" w:hAnsi="仿宋" w:eastAsia="仿宋" w:cs="仿宋"/>
          <w:sz w:val="32"/>
          <w:szCs w:val="32"/>
          <w:lang w:val="en-US" w:eastAsia="zh-CN"/>
        </w:rPr>
        <w:t>96</w:t>
      </w:r>
      <w:r>
        <w:rPr>
          <w:rFonts w:hint="eastAsia" w:ascii="仿宋" w:hAnsi="仿宋" w:eastAsia="仿宋" w:cs="仿宋"/>
          <w:sz w:val="32"/>
          <w:szCs w:val="32"/>
        </w:rPr>
        <w:t>分，绩效自评综述：</w:t>
      </w:r>
      <w:r>
        <w:rPr>
          <w:rFonts w:hint="eastAsia" w:ascii="仿宋" w:hAnsi="仿宋" w:eastAsia="仿宋" w:cs="仿宋"/>
          <w:sz w:val="32"/>
          <w:szCs w:val="32"/>
          <w:lang w:val="en-US" w:eastAsia="zh-CN"/>
        </w:rPr>
        <w:t>本次部门整体支出绩效自评得分为96分，总体表现良好；本单位无专项项目，故未开展专项自评；整体</w:t>
      </w:r>
      <w:r>
        <w:rPr>
          <w:rFonts w:hint="eastAsia" w:ascii="仿宋" w:hAnsi="仿宋" w:eastAsia="仿宋" w:cs="仿宋"/>
          <w:sz w:val="32"/>
          <w:szCs w:val="32"/>
        </w:rPr>
        <w:t>绩效自评报告详见附件。</w:t>
      </w:r>
    </w:p>
    <w:p>
      <w:pPr>
        <w:numPr>
          <w:ilvl w:val="0"/>
          <w:numId w:val="0"/>
        </w:numPr>
        <w:spacing w:line="600" w:lineRule="exact"/>
        <w:jc w:val="center"/>
        <w:outlineLvl w:val="0"/>
        <w:rPr>
          <w:rFonts w:hint="eastAsia" w:ascii="仿宋" w:hAnsi="仿宋" w:eastAsia="仿宋" w:cs="仿宋"/>
          <w:color w:val="auto"/>
          <w:sz w:val="44"/>
          <w:szCs w:val="44"/>
          <w:highlight w:val="none"/>
        </w:rPr>
      </w:pPr>
      <w:bookmarkStart w:id="51" w:name="_Toc15377225"/>
      <w:bookmarkStart w:id="52" w:name="_Toc15396613"/>
    </w:p>
    <w:p>
      <w:pPr>
        <w:numPr>
          <w:ilvl w:val="0"/>
          <w:numId w:val="0"/>
        </w:numPr>
        <w:spacing w:line="600" w:lineRule="exact"/>
        <w:jc w:val="center"/>
        <w:outlineLvl w:val="0"/>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第</w:t>
      </w:r>
      <w:r>
        <w:rPr>
          <w:rFonts w:hint="eastAsia" w:ascii="仿宋" w:hAnsi="仿宋" w:eastAsia="仿宋" w:cs="仿宋"/>
          <w:color w:val="auto"/>
          <w:sz w:val="44"/>
          <w:szCs w:val="44"/>
          <w:highlight w:val="none"/>
          <w:lang w:eastAsia="zh-CN"/>
        </w:rPr>
        <w:t>三</w:t>
      </w:r>
      <w:r>
        <w:rPr>
          <w:rFonts w:hint="eastAsia" w:ascii="仿宋" w:hAnsi="仿宋" w:eastAsia="仿宋" w:cs="仿宋"/>
          <w:color w:val="auto"/>
          <w:sz w:val="44"/>
          <w:szCs w:val="44"/>
          <w:highlight w:val="none"/>
        </w:rPr>
        <w:t>部分</w:t>
      </w:r>
      <w:r>
        <w:rPr>
          <w:rFonts w:hint="eastAsia" w:ascii="仿宋" w:hAnsi="仿宋" w:eastAsia="仿宋" w:cs="仿宋"/>
          <w:color w:val="auto"/>
          <w:sz w:val="44"/>
          <w:szCs w:val="44"/>
          <w:highlight w:val="none"/>
          <w:lang w:val="en-US" w:eastAsia="zh-CN"/>
        </w:rPr>
        <w:t xml:space="preserve">  </w:t>
      </w:r>
      <w:r>
        <w:rPr>
          <w:rFonts w:hint="eastAsia" w:ascii="仿宋" w:hAnsi="仿宋" w:eastAsia="仿宋" w:cs="仿宋"/>
          <w:color w:val="auto"/>
          <w:sz w:val="44"/>
          <w:szCs w:val="44"/>
          <w:highlight w:val="none"/>
        </w:rPr>
        <w:t>名词解释</w:t>
      </w:r>
      <w:bookmarkEnd w:id="51"/>
      <w:bookmarkEnd w:id="52"/>
    </w:p>
    <w:p>
      <w:pPr>
        <w:spacing w:line="600" w:lineRule="exact"/>
        <w:jc w:val="left"/>
        <w:rPr>
          <w:rFonts w:hint="eastAsia" w:ascii="仿宋" w:hAnsi="仿宋" w:eastAsia="仿宋" w:cs="仿宋"/>
          <w:b/>
          <w:color w:val="auto"/>
          <w:sz w:val="44"/>
          <w:szCs w:val="44"/>
          <w:highlight w:val="none"/>
        </w:rPr>
      </w:pP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bookmarkStart w:id="53" w:name="_Toc15396614"/>
      <w:bookmarkStart w:id="54" w:name="_Toc15377226"/>
      <w:r>
        <w:rPr>
          <w:rFonts w:hint="eastAsia" w:ascii="仿宋" w:hAnsi="仿宋" w:eastAsia="仿宋" w:cs="仿宋"/>
          <w:kern w:val="2"/>
          <w:sz w:val="32"/>
          <w:szCs w:val="32"/>
          <w:lang w:val="en-US" w:eastAsia="zh-CN" w:bidi="ar-SA"/>
        </w:rPr>
        <w:t>1.财政拨款收入：指单位从同级财政部门取得的财政预算资金。</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2.事业收入：指事业单位开展专业业务活动及辅助活动取得的收入。</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3.经营收入：指事业单位在专业业务活动及其辅助活动之外开展非独立核算经营活动取得的收入。</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4.其他收入：指单位取得的除上述收入以外的各项收入。 </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6.年初结转和结余：指以前年度尚未完成、结转到本年按有关规定继续使用的资金。 </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7.结余分配：指事业单位按照事业单位会计制度的规定从非财政补助结余中分配的事业基金和职工福利基金等。</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8.年末结转和结余：指单位按有关规定结转到下年或以后年度继续使用的资金。</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9.一般公共服务：指反映政府提供一般公共服务的支出。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10.外交：指反映政府外交事务支出。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11.公共安全：指反映政府维护社会公共安全方面的支出。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12.教育：指反映政府教育事务支出。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13.科学技术：指反映科学技术方面的支出。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14.文化体育与传媒 ：指反映政府在文化、体育、文物、广播影视、新闻出版等方面的支出。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15.社会保障和就业 ：指反映政府在社会保障与就业方面的支出。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16.医疗卫生与计划生育：指反映医疗卫生与计划生育、中医等管理事务方面的支出。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17.节能环保：指反映政府节能环保支出。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18.城乡社区（类）：指反映政府城乡管理事务支出。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19.农林水：指反映政府农林水支出。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20.交通运输：指反映交通运输和邮政业务相关的支出。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21.资源勘探信息等：指反映用于资源勘探、制造业、建筑业、工业信息等方面的支出。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22.商业服务业：指反映商业服务等方面的支出。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23.金融：指反映金融方面的支出。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24.国土海洋气象：指反映政府用于国土资源、海洋、测绘、地震、气象等公益服务事业方面的支出。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25.住房保障：指集中反映政府用于住房方面的支出。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26.粮油物资储备：指反映政府用于粮油物资储备方面的支出。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27.基本支出：指为保障机构正常运转、完成日常工作任务而发生的人员支出和公用支出。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28.项目支出：指在基本支出之外为完成特定行政任务和事业发展目标所发生的支出。 </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29.经营支出：指事业单位在专业业务活动及其辅助活动之外开展非独立核算经营活动发生的支出。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
        <w:pageBreakBefore w:val="0"/>
        <w:kinsoku/>
        <w:wordWrap/>
        <w:overflowPunct/>
        <w:topLinePunct w:val="0"/>
        <w:bidi w:val="0"/>
        <w:spacing w:after="0" w:line="560" w:lineRule="exact"/>
        <w:ind w:left="0" w:left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仿宋" w:hAnsi="仿宋" w:eastAsia="仿宋" w:cs="仿宋"/>
          <w:color w:val="auto"/>
          <w:sz w:val="44"/>
          <w:szCs w:val="44"/>
          <w:highlight w:val="none"/>
          <w:lang w:val="en-US" w:eastAsia="zh-CN"/>
        </w:rPr>
      </w:pPr>
      <w:r>
        <w:rPr>
          <w:rFonts w:hint="eastAsia" w:ascii="仿宋" w:hAnsi="仿宋" w:eastAsia="仿宋" w:cs="仿宋"/>
          <w:color w:val="auto"/>
          <w:kern w:val="2"/>
          <w:sz w:val="32"/>
          <w:szCs w:val="32"/>
          <w:highlight w:val="none"/>
          <w:lang w:val="en-US" w:eastAsia="zh-CN" w:bidi="ar-SA"/>
        </w:rPr>
        <w:br w:type="page"/>
      </w:r>
      <w:bookmarkEnd w:id="53"/>
    </w:p>
    <w:p>
      <w:pPr>
        <w:spacing w:line="600" w:lineRule="exact"/>
        <w:jc w:val="center"/>
        <w:outlineLvl w:val="0"/>
        <w:rPr>
          <w:rStyle w:val="29"/>
          <w:rFonts w:hint="eastAsia" w:ascii="仿宋" w:hAnsi="仿宋" w:eastAsia="仿宋" w:cs="仿宋"/>
          <w:b w:val="0"/>
        </w:rPr>
      </w:pPr>
      <w:bookmarkStart w:id="55" w:name="_Toc79163880"/>
      <w:bookmarkStart w:id="56" w:name="_Toc79163630"/>
      <w:r>
        <w:rPr>
          <w:rFonts w:hint="eastAsia" w:ascii="仿宋" w:hAnsi="仿宋" w:eastAsia="仿宋" w:cs="仿宋"/>
          <w:color w:val="000000"/>
          <w:sz w:val="44"/>
          <w:szCs w:val="44"/>
        </w:rPr>
        <w:t>第</w:t>
      </w:r>
      <w:r>
        <w:rPr>
          <w:rStyle w:val="29"/>
          <w:rFonts w:hint="eastAsia" w:ascii="仿宋" w:hAnsi="仿宋" w:eastAsia="仿宋" w:cs="仿宋"/>
          <w:b w:val="0"/>
        </w:rPr>
        <w:t>四部分 附件</w:t>
      </w:r>
      <w:bookmarkEnd w:id="55"/>
      <w:bookmarkEnd w:id="56"/>
    </w:p>
    <w:p>
      <w:pPr>
        <w:spacing w:line="600" w:lineRule="exact"/>
        <w:jc w:val="left"/>
        <w:outlineLvl w:val="0"/>
        <w:rPr>
          <w:rFonts w:hint="eastAsia" w:ascii="仿宋" w:hAnsi="仿宋" w:eastAsia="仿宋" w:cs="仿宋"/>
          <w:sz w:val="32"/>
          <w:szCs w:val="32"/>
        </w:rPr>
      </w:pPr>
      <w:bookmarkStart w:id="57" w:name="_Toc79163881"/>
      <w:bookmarkStart w:id="58" w:name="_Toc79163631"/>
      <w:r>
        <w:rPr>
          <w:rFonts w:hint="eastAsia" w:ascii="仿宋" w:hAnsi="仿宋" w:eastAsia="仿宋" w:cs="仿宋"/>
          <w:sz w:val="32"/>
          <w:szCs w:val="32"/>
        </w:rPr>
        <w:t>附件1</w:t>
      </w:r>
      <w:bookmarkEnd w:id="57"/>
      <w:bookmarkEnd w:id="58"/>
    </w:p>
    <w:p>
      <w:pPr>
        <w:spacing w:line="580" w:lineRule="exact"/>
        <w:jc w:val="center"/>
        <w:rPr>
          <w:rFonts w:hint="eastAsia" w:ascii="仿宋" w:hAnsi="仿宋" w:eastAsia="仿宋" w:cs="仿宋"/>
          <w:sz w:val="44"/>
          <w:szCs w:val="44"/>
        </w:rPr>
      </w:pPr>
    </w:p>
    <w:p>
      <w:pPr>
        <w:spacing w:line="360" w:lineRule="auto"/>
        <w:jc w:val="center"/>
        <w:rPr>
          <w:rFonts w:hint="eastAsia" w:ascii="仿宋" w:hAnsi="仿宋" w:eastAsia="仿宋" w:cs="仿宋"/>
          <w:b/>
          <w:bCs/>
          <w:kern w:val="0"/>
          <w:sz w:val="44"/>
          <w:szCs w:val="44"/>
        </w:rPr>
      </w:pPr>
      <w:r>
        <w:rPr>
          <w:rFonts w:hint="eastAsia" w:ascii="仿宋" w:hAnsi="仿宋" w:eastAsia="仿宋" w:cs="仿宋"/>
          <w:b/>
          <w:bCs/>
          <w:kern w:val="0"/>
          <w:sz w:val="44"/>
          <w:szCs w:val="44"/>
        </w:rPr>
        <w:t>壤塘县工商业联合会</w:t>
      </w:r>
    </w:p>
    <w:p>
      <w:pPr>
        <w:spacing w:line="360" w:lineRule="auto"/>
        <w:jc w:val="center"/>
        <w:rPr>
          <w:rFonts w:hint="eastAsia" w:ascii="仿宋" w:hAnsi="仿宋" w:eastAsia="仿宋" w:cs="仿宋"/>
          <w:kern w:val="0"/>
          <w:szCs w:val="21"/>
        </w:rPr>
      </w:pPr>
      <w:r>
        <w:rPr>
          <w:rFonts w:hint="eastAsia" w:ascii="仿宋" w:hAnsi="仿宋" w:eastAsia="仿宋" w:cs="仿宋"/>
          <w:b/>
          <w:bCs/>
          <w:kern w:val="0"/>
          <w:sz w:val="44"/>
          <w:szCs w:val="44"/>
          <w:lang w:eastAsia="zh-CN"/>
        </w:rPr>
        <w:t>202</w:t>
      </w:r>
      <w:r>
        <w:rPr>
          <w:rFonts w:hint="eastAsia" w:ascii="仿宋" w:hAnsi="仿宋" w:eastAsia="仿宋" w:cs="仿宋"/>
          <w:b/>
          <w:bCs/>
          <w:kern w:val="0"/>
          <w:sz w:val="44"/>
          <w:szCs w:val="44"/>
          <w:lang w:val="en-US" w:eastAsia="zh-CN"/>
        </w:rPr>
        <w:t>5</w:t>
      </w:r>
      <w:r>
        <w:rPr>
          <w:rFonts w:hint="eastAsia" w:ascii="仿宋" w:hAnsi="仿宋" w:eastAsia="仿宋" w:cs="仿宋"/>
          <w:b/>
          <w:bCs/>
          <w:kern w:val="0"/>
          <w:sz w:val="44"/>
          <w:szCs w:val="44"/>
        </w:rPr>
        <w:t>年度部门整体支出绩效评价自评报告</w:t>
      </w:r>
      <w:bookmarkStart w:id="59" w:name="_Toc15396618"/>
    </w:p>
    <w:p>
      <w:pPr>
        <w:spacing w:line="360" w:lineRule="auto"/>
        <w:ind w:firstLine="642" w:firstLineChars="200"/>
        <w:rPr>
          <w:rFonts w:hint="eastAsia" w:ascii="仿宋" w:hAnsi="仿宋" w:eastAsia="仿宋" w:cs="仿宋"/>
          <w:b/>
          <w:bCs/>
          <w:sz w:val="32"/>
          <w:szCs w:val="32"/>
        </w:rPr>
      </w:pPr>
      <w:r>
        <w:rPr>
          <w:rFonts w:hint="eastAsia" w:ascii="仿宋" w:hAnsi="仿宋" w:eastAsia="仿宋" w:cs="仿宋"/>
          <w:b/>
          <w:bCs/>
          <w:kern w:val="0"/>
          <w:sz w:val="32"/>
          <w:szCs w:val="32"/>
        </w:rPr>
        <w:t>一、部门（单位）概况</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壤塘县工商业联合会机构性质：</w:t>
      </w:r>
      <w:r>
        <w:rPr>
          <w:rFonts w:hint="eastAsia" w:ascii="仿宋" w:hAnsi="仿宋" w:eastAsia="仿宋" w:cs="仿宋"/>
          <w:sz w:val="32"/>
          <w:szCs w:val="32"/>
          <w:lang w:val="en-US" w:eastAsia="zh-CN"/>
        </w:rPr>
        <w:t>行政</w:t>
      </w:r>
      <w:r>
        <w:rPr>
          <w:rFonts w:hint="eastAsia" w:ascii="仿宋" w:hAnsi="仿宋" w:eastAsia="仿宋" w:cs="仿宋"/>
          <w:sz w:val="32"/>
          <w:szCs w:val="32"/>
        </w:rPr>
        <w:t>机关，机构地址：四川省壤塘县</w:t>
      </w:r>
      <w:r>
        <w:rPr>
          <w:rFonts w:hint="eastAsia" w:ascii="仿宋" w:hAnsi="仿宋" w:eastAsia="仿宋" w:cs="仿宋"/>
          <w:sz w:val="32"/>
          <w:szCs w:val="32"/>
          <w:lang w:val="en-US" w:eastAsia="zh-CN"/>
        </w:rPr>
        <w:t>罗吾塘</w:t>
      </w:r>
      <w:r>
        <w:rPr>
          <w:rFonts w:hint="eastAsia" w:ascii="仿宋" w:hAnsi="仿宋" w:eastAsia="仿宋" w:cs="仿宋"/>
          <w:sz w:val="32"/>
          <w:szCs w:val="32"/>
        </w:rPr>
        <w:t>中街90号，单位负责人：刘麟。</w:t>
      </w:r>
    </w:p>
    <w:p>
      <w:pPr>
        <w:spacing w:line="360" w:lineRule="auto"/>
        <w:ind w:firstLine="642" w:firstLineChars="200"/>
        <w:rPr>
          <w:rFonts w:hint="eastAsia" w:ascii="仿宋" w:hAnsi="仿宋" w:eastAsia="仿宋" w:cs="仿宋"/>
          <w:b/>
          <w:bCs/>
          <w:kern w:val="0"/>
          <w:sz w:val="32"/>
          <w:szCs w:val="32"/>
        </w:rPr>
      </w:pPr>
      <w:r>
        <w:rPr>
          <w:rFonts w:hint="eastAsia" w:ascii="仿宋" w:hAnsi="仿宋" w:eastAsia="仿宋" w:cs="仿宋"/>
          <w:b/>
          <w:bCs/>
          <w:kern w:val="0"/>
          <w:sz w:val="32"/>
          <w:szCs w:val="32"/>
        </w:rPr>
        <w:t>（一）机构组成</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zh-CN"/>
        </w:rPr>
        <w:t>壤塘县工商业联合会</w:t>
      </w:r>
      <w:r>
        <w:rPr>
          <w:rFonts w:hint="eastAsia" w:ascii="仿宋" w:hAnsi="仿宋" w:eastAsia="仿宋" w:cs="仿宋"/>
          <w:color w:val="auto"/>
          <w:sz w:val="32"/>
          <w:szCs w:val="32"/>
          <w:lang w:val="zh-CN"/>
        </w:rPr>
        <w:t>由</w:t>
      </w:r>
      <w:r>
        <w:rPr>
          <w:rFonts w:hint="eastAsia" w:ascii="仿宋" w:hAnsi="仿宋" w:eastAsia="仿宋" w:cs="仿宋"/>
          <w:color w:val="auto"/>
          <w:sz w:val="32"/>
          <w:szCs w:val="32"/>
        </w:rPr>
        <w:t>综合办公室</w:t>
      </w:r>
      <w:r>
        <w:rPr>
          <w:rFonts w:hint="eastAsia" w:ascii="仿宋" w:hAnsi="仿宋" w:eastAsia="仿宋" w:cs="仿宋"/>
          <w:color w:val="auto"/>
          <w:sz w:val="32"/>
          <w:szCs w:val="32"/>
          <w:lang w:val="zh-CN"/>
        </w:rPr>
        <w:t>组</w:t>
      </w:r>
      <w:r>
        <w:rPr>
          <w:rFonts w:hint="eastAsia" w:ascii="仿宋" w:hAnsi="仿宋" w:eastAsia="仿宋" w:cs="仿宋"/>
          <w:sz w:val="32"/>
          <w:szCs w:val="32"/>
          <w:lang w:val="zh-CN"/>
        </w:rPr>
        <w:t>成</w:t>
      </w:r>
      <w:r>
        <w:rPr>
          <w:rFonts w:hint="eastAsia" w:ascii="仿宋" w:hAnsi="仿宋" w:eastAsia="仿宋" w:cs="仿宋"/>
          <w:sz w:val="32"/>
          <w:szCs w:val="32"/>
        </w:rPr>
        <w:t>。</w:t>
      </w:r>
    </w:p>
    <w:p>
      <w:pPr>
        <w:numPr>
          <w:ilvl w:val="0"/>
          <w:numId w:val="3"/>
        </w:numPr>
        <w:spacing w:line="360" w:lineRule="auto"/>
        <w:ind w:firstLine="642" w:firstLineChars="200"/>
        <w:rPr>
          <w:rFonts w:hint="eastAsia" w:ascii="仿宋" w:hAnsi="仿宋" w:eastAsia="仿宋" w:cs="仿宋"/>
          <w:b/>
          <w:bCs/>
          <w:sz w:val="32"/>
          <w:szCs w:val="32"/>
        </w:rPr>
      </w:pPr>
      <w:r>
        <w:rPr>
          <w:rFonts w:hint="eastAsia" w:ascii="仿宋" w:hAnsi="仿宋" w:eastAsia="仿宋" w:cs="仿宋"/>
          <w:b/>
          <w:bCs/>
          <w:kern w:val="0"/>
          <w:sz w:val="32"/>
          <w:szCs w:val="32"/>
        </w:rPr>
        <w:t>机构职能</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kern w:val="10"/>
          <w:sz w:val="32"/>
          <w:szCs w:val="32"/>
        </w:rPr>
        <w:t>综合办公室。负责综合和反映全县工商联商会工作情况及贯彻落实县政府重大决策的情况；负责文件、机要、档案、文印管理工作；负责秘书实务、会议组织、日常值班及保卫保密工作；负责行政事务、财务和资产管理、内部协调和工勤人员、车辆管理、后勤服务等工作；负责政府与商会工作的协调；负责督办领导集体决定事项的执行；指导商会的各项工作</w:t>
      </w:r>
      <w:r>
        <w:rPr>
          <w:rFonts w:hint="eastAsia" w:ascii="仿宋" w:hAnsi="仿宋" w:eastAsia="仿宋" w:cs="仿宋"/>
          <w:sz w:val="32"/>
          <w:szCs w:val="32"/>
        </w:rPr>
        <w:t>。</w:t>
      </w:r>
    </w:p>
    <w:p>
      <w:pPr>
        <w:numPr>
          <w:ilvl w:val="0"/>
          <w:numId w:val="3"/>
        </w:numPr>
        <w:spacing w:line="360" w:lineRule="auto"/>
        <w:ind w:firstLine="642" w:firstLineChars="200"/>
        <w:rPr>
          <w:rFonts w:hint="eastAsia" w:ascii="仿宋" w:hAnsi="仿宋" w:eastAsia="仿宋" w:cs="仿宋"/>
          <w:b/>
          <w:bCs/>
          <w:kern w:val="0"/>
          <w:sz w:val="32"/>
          <w:szCs w:val="32"/>
        </w:rPr>
      </w:pPr>
      <w:r>
        <w:rPr>
          <w:rFonts w:hint="eastAsia" w:ascii="仿宋" w:hAnsi="仿宋" w:eastAsia="仿宋" w:cs="仿宋"/>
          <w:b/>
          <w:bCs/>
          <w:kern w:val="0"/>
          <w:sz w:val="32"/>
          <w:szCs w:val="32"/>
        </w:rPr>
        <w:t>人员概况</w:t>
      </w:r>
    </w:p>
    <w:p>
      <w:pPr>
        <w:ind w:firstLine="800" w:firstLineChars="250"/>
        <w:rPr>
          <w:rFonts w:hint="eastAsia" w:ascii="仿宋" w:hAnsi="仿宋" w:eastAsia="仿宋" w:cs="仿宋"/>
          <w:color w:val="000000"/>
          <w:sz w:val="32"/>
          <w:szCs w:val="32"/>
        </w:rPr>
      </w:pPr>
      <w:r>
        <w:rPr>
          <w:rFonts w:hint="eastAsia" w:ascii="仿宋" w:hAnsi="仿宋" w:eastAsia="仿宋" w:cs="仿宋"/>
          <w:color w:val="000000"/>
          <w:kern w:val="0"/>
          <w:sz w:val="32"/>
          <w:szCs w:val="32"/>
        </w:rPr>
        <w:t>人员情况：总编制</w:t>
      </w:r>
      <w:r>
        <w:rPr>
          <w:rFonts w:hint="eastAsia" w:ascii="仿宋" w:hAnsi="仿宋" w:eastAsia="仿宋" w:cs="仿宋"/>
          <w:color w:val="000000"/>
          <w:kern w:val="0"/>
          <w:sz w:val="32"/>
          <w:szCs w:val="32"/>
          <w:lang w:val="en-US" w:eastAsia="zh-CN"/>
        </w:rPr>
        <w:t>4</w:t>
      </w:r>
      <w:r>
        <w:rPr>
          <w:rFonts w:hint="eastAsia" w:ascii="仿宋" w:hAnsi="仿宋" w:eastAsia="仿宋" w:cs="仿宋"/>
          <w:color w:val="000000"/>
          <w:kern w:val="0"/>
          <w:sz w:val="32"/>
          <w:szCs w:val="32"/>
        </w:rPr>
        <w:t>名,其中:行政编制</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人、事业编制2</w:t>
      </w:r>
      <w:r>
        <w:rPr>
          <w:rFonts w:hint="eastAsia" w:ascii="仿宋" w:hAnsi="仿宋" w:eastAsia="仿宋" w:cs="仿宋"/>
          <w:color w:val="000000"/>
          <w:sz w:val="32"/>
          <w:szCs w:val="32"/>
        </w:rPr>
        <w:t>。</w:t>
      </w:r>
    </w:p>
    <w:p>
      <w:pPr>
        <w:spacing w:line="360" w:lineRule="auto"/>
        <w:ind w:firstLine="642" w:firstLineChars="200"/>
        <w:rPr>
          <w:rFonts w:hint="eastAsia" w:ascii="仿宋" w:hAnsi="仿宋" w:eastAsia="仿宋" w:cs="仿宋"/>
          <w:b/>
          <w:bCs/>
          <w:kern w:val="0"/>
          <w:sz w:val="32"/>
          <w:szCs w:val="32"/>
        </w:rPr>
      </w:pPr>
      <w:r>
        <w:rPr>
          <w:rFonts w:hint="eastAsia" w:ascii="仿宋" w:hAnsi="仿宋" w:eastAsia="仿宋" w:cs="仿宋"/>
          <w:b/>
          <w:bCs/>
          <w:kern w:val="0"/>
          <w:sz w:val="32"/>
          <w:szCs w:val="32"/>
        </w:rPr>
        <w:t>二、部门财政资金收支情况</w:t>
      </w:r>
    </w:p>
    <w:p>
      <w:pPr>
        <w:spacing w:line="360" w:lineRule="auto"/>
        <w:ind w:firstLine="642" w:firstLineChars="200"/>
        <w:rPr>
          <w:rFonts w:hint="eastAsia" w:ascii="仿宋" w:hAnsi="仿宋" w:eastAsia="仿宋" w:cs="仿宋"/>
          <w:b/>
          <w:bCs/>
          <w:sz w:val="32"/>
          <w:szCs w:val="32"/>
        </w:rPr>
      </w:pPr>
      <w:r>
        <w:rPr>
          <w:rFonts w:hint="eastAsia" w:ascii="仿宋" w:hAnsi="仿宋" w:eastAsia="仿宋" w:cs="仿宋"/>
          <w:b/>
          <w:bCs/>
          <w:sz w:val="32"/>
          <w:szCs w:val="32"/>
        </w:rPr>
        <w:t>（一）部门财政资金收入情况</w:t>
      </w:r>
    </w:p>
    <w:p>
      <w:pPr>
        <w:pStyle w:val="36"/>
        <w:spacing w:line="360" w:lineRule="auto"/>
        <w:ind w:firstLine="640"/>
        <w:rPr>
          <w:rFonts w:hint="eastAsia" w:ascii="仿宋" w:hAnsi="仿宋" w:eastAsia="仿宋" w:cs="仿宋"/>
          <w:sz w:val="32"/>
          <w:szCs w:val="32"/>
        </w:rPr>
      </w:pPr>
      <w:r>
        <w:rPr>
          <w:rFonts w:hint="eastAsia" w:ascii="仿宋" w:hAnsi="仿宋" w:eastAsia="仿宋" w:cs="仿宋"/>
          <w:sz w:val="32"/>
          <w:szCs w:val="32"/>
          <w:lang w:eastAsia="zh-CN"/>
        </w:rPr>
        <w:t>2025</w:t>
      </w:r>
      <w:r>
        <w:rPr>
          <w:rFonts w:hint="eastAsia" w:ascii="仿宋" w:hAnsi="仿宋" w:eastAsia="仿宋" w:cs="仿宋"/>
          <w:sz w:val="32"/>
          <w:szCs w:val="32"/>
        </w:rPr>
        <w:t>年财政下达壤塘县工商业联合会年初预算收入</w:t>
      </w:r>
      <w:r>
        <w:rPr>
          <w:rFonts w:hint="eastAsia" w:ascii="仿宋" w:hAnsi="仿宋" w:eastAsia="仿宋" w:cs="仿宋"/>
          <w:sz w:val="32"/>
          <w:szCs w:val="32"/>
          <w:lang w:val="en-US" w:eastAsia="zh-CN"/>
        </w:rPr>
        <w:t>101.46万</w:t>
      </w:r>
      <w:r>
        <w:rPr>
          <w:rFonts w:hint="eastAsia" w:ascii="仿宋" w:hAnsi="仿宋" w:eastAsia="仿宋" w:cs="仿宋"/>
          <w:sz w:val="32"/>
          <w:szCs w:val="32"/>
        </w:rPr>
        <w:t>元，执行期中追加收入</w:t>
      </w:r>
      <w:r>
        <w:rPr>
          <w:rFonts w:hint="eastAsia" w:ascii="仿宋" w:hAnsi="仿宋" w:eastAsia="仿宋" w:cs="仿宋"/>
          <w:sz w:val="32"/>
          <w:szCs w:val="32"/>
          <w:lang w:val="en-US" w:eastAsia="zh-CN"/>
        </w:rPr>
        <w:t>10.79</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全年实际收入合计为112.25万元，本年度无财政应返还额度</w:t>
      </w:r>
      <w:r>
        <w:rPr>
          <w:rFonts w:hint="eastAsia" w:ascii="仿宋" w:hAnsi="仿宋" w:eastAsia="仿宋" w:cs="仿宋"/>
          <w:sz w:val="32"/>
          <w:szCs w:val="32"/>
        </w:rPr>
        <w:t xml:space="preserve">。 </w:t>
      </w:r>
    </w:p>
    <w:p>
      <w:pPr>
        <w:pStyle w:val="36"/>
        <w:spacing w:line="360" w:lineRule="auto"/>
        <w:ind w:firstLine="640"/>
        <w:rPr>
          <w:rFonts w:hint="eastAsia" w:ascii="仿宋" w:hAnsi="仿宋" w:eastAsia="仿宋" w:cs="仿宋"/>
          <w:sz w:val="32"/>
          <w:szCs w:val="32"/>
        </w:rPr>
      </w:pPr>
      <w:r>
        <w:rPr>
          <w:rFonts w:hint="eastAsia" w:ascii="仿宋" w:hAnsi="仿宋" w:eastAsia="仿宋" w:cs="仿宋"/>
          <w:b/>
          <w:bCs/>
          <w:sz w:val="32"/>
          <w:szCs w:val="32"/>
        </w:rPr>
        <w:t>（二）部门财政资金支出情况</w:t>
      </w:r>
      <w:r>
        <w:rPr>
          <w:rFonts w:hint="eastAsia" w:ascii="仿宋" w:hAnsi="仿宋" w:eastAsia="仿宋" w:cs="仿宋"/>
          <w:sz w:val="32"/>
          <w:szCs w:val="32"/>
        </w:rPr>
        <w:t xml:space="preserve">  </w:t>
      </w:r>
    </w:p>
    <w:p>
      <w:pPr>
        <w:pStyle w:val="36"/>
        <w:spacing w:line="360" w:lineRule="auto"/>
        <w:ind w:firstLine="640"/>
        <w:rPr>
          <w:rFonts w:hint="eastAsia" w:ascii="仿宋" w:hAnsi="仿宋" w:eastAsia="仿宋" w:cs="仿宋"/>
          <w:sz w:val="32"/>
          <w:szCs w:val="32"/>
        </w:rPr>
      </w:pPr>
      <w:r>
        <w:rPr>
          <w:rFonts w:hint="eastAsia" w:ascii="仿宋" w:hAnsi="仿宋" w:eastAsia="仿宋" w:cs="仿宋"/>
          <w:sz w:val="32"/>
          <w:szCs w:val="32"/>
          <w:lang w:eastAsia="zh-CN"/>
        </w:rPr>
        <w:t>2025</w:t>
      </w:r>
      <w:r>
        <w:rPr>
          <w:rFonts w:hint="eastAsia" w:ascii="仿宋" w:hAnsi="仿宋" w:eastAsia="仿宋" w:cs="仿宋"/>
          <w:sz w:val="32"/>
          <w:szCs w:val="32"/>
        </w:rPr>
        <w:t>年壤塘县工商业联合会支出全年预算数共计</w:t>
      </w:r>
      <w:r>
        <w:rPr>
          <w:rFonts w:hint="eastAsia" w:ascii="仿宋" w:hAnsi="仿宋" w:eastAsia="仿宋" w:cs="仿宋"/>
          <w:sz w:val="32"/>
          <w:szCs w:val="32"/>
          <w:lang w:val="en-US" w:eastAsia="zh-CN"/>
        </w:rPr>
        <w:t>112.25</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111.35</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0.90</w:t>
      </w:r>
      <w:r>
        <w:rPr>
          <w:rFonts w:hint="eastAsia" w:ascii="仿宋" w:hAnsi="仿宋" w:eastAsia="仿宋" w:cs="仿宋"/>
          <w:sz w:val="32"/>
          <w:szCs w:val="32"/>
        </w:rPr>
        <w:t>万元。</w:t>
      </w:r>
    </w:p>
    <w:p>
      <w:pPr>
        <w:spacing w:line="360" w:lineRule="auto"/>
        <w:ind w:firstLine="642" w:firstLineChars="200"/>
        <w:rPr>
          <w:rFonts w:hint="eastAsia" w:ascii="仿宋" w:hAnsi="仿宋" w:eastAsia="仿宋" w:cs="仿宋"/>
          <w:b/>
          <w:bCs/>
          <w:kern w:val="0"/>
          <w:sz w:val="32"/>
          <w:szCs w:val="32"/>
        </w:rPr>
      </w:pPr>
      <w:r>
        <w:rPr>
          <w:rFonts w:hint="eastAsia" w:ascii="仿宋" w:hAnsi="仿宋" w:eastAsia="仿宋" w:cs="仿宋"/>
          <w:b/>
          <w:bCs/>
          <w:kern w:val="0"/>
          <w:sz w:val="32"/>
          <w:szCs w:val="32"/>
        </w:rPr>
        <w:t>三、部门整体预算绩效管理情况</w:t>
      </w:r>
    </w:p>
    <w:p>
      <w:pPr>
        <w:pStyle w:val="36"/>
        <w:spacing w:line="360" w:lineRule="auto"/>
        <w:ind w:firstLine="640"/>
        <w:rPr>
          <w:rFonts w:hint="eastAsia" w:ascii="仿宋" w:hAnsi="仿宋" w:eastAsia="仿宋" w:cs="仿宋"/>
          <w:b/>
          <w:bCs/>
          <w:kern w:val="0"/>
          <w:sz w:val="32"/>
          <w:szCs w:val="32"/>
        </w:rPr>
      </w:pPr>
      <w:r>
        <w:rPr>
          <w:rFonts w:hint="eastAsia" w:ascii="仿宋" w:hAnsi="仿宋" w:eastAsia="仿宋" w:cs="仿宋"/>
          <w:b/>
          <w:bCs/>
          <w:kern w:val="0"/>
          <w:sz w:val="32"/>
          <w:szCs w:val="32"/>
        </w:rPr>
        <w:t>（一）部门预算管理</w:t>
      </w:r>
    </w:p>
    <w:p>
      <w:pPr>
        <w:pStyle w:val="36"/>
        <w:spacing w:line="360" w:lineRule="auto"/>
        <w:ind w:firstLine="640"/>
        <w:rPr>
          <w:rFonts w:hint="eastAsia" w:ascii="仿宋" w:hAnsi="仿宋" w:eastAsia="仿宋" w:cs="仿宋"/>
          <w:b/>
          <w:bCs/>
          <w:kern w:val="0"/>
          <w:sz w:val="32"/>
          <w:szCs w:val="32"/>
        </w:rPr>
      </w:pPr>
      <w:r>
        <w:rPr>
          <w:rFonts w:hint="eastAsia" w:ascii="仿宋" w:hAnsi="仿宋" w:eastAsia="仿宋" w:cs="仿宋"/>
          <w:b/>
          <w:bCs/>
          <w:kern w:val="0"/>
          <w:sz w:val="32"/>
          <w:szCs w:val="32"/>
        </w:rPr>
        <w:t>1.部门整体绩效目标制定情况</w:t>
      </w:r>
    </w:p>
    <w:p>
      <w:pPr>
        <w:keepNext w:val="0"/>
        <w:keepLines w:val="0"/>
        <w:pageBreakBefore w:val="0"/>
        <w:widowControl/>
        <w:kinsoku w:val="0"/>
        <w:wordWrap w:val="0"/>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2025年，县工商联在县委、县政府的坚强领导和州工商联的有力指导下，坚持以习近平新时代中国特色社会主义思想为指导，深入贯彻落实中央、省、州关于促进民营经济发展壮大的系列决策部署，州工商联“强化政治引领、优化精准服务、深化联动协作、夯实组织基础”工作要求，聚焦“两个健康”核心主题，坚守“政治建会、团结立会、服务兴会、改革强军”根本宗旨，紧扣我县“农牧立县、文旅兴县、能源富县、开放活县”发展战略和“一城三副”城乡融合高质量发展体系，锚定县委“146”目标任务，充分发挥“联”字优势，以教育聚共识、以引导明方向、以服务解难题、以团结凝合力、以信任促发展，凝心聚力、真抓实干，在推动县域经济高质量发展和经济社会进步中展现了工商联新担当、新作为。</w:t>
      </w:r>
    </w:p>
    <w:p>
      <w:pPr>
        <w:pStyle w:val="36"/>
        <w:spacing w:line="360" w:lineRule="auto"/>
        <w:ind w:firstLine="640"/>
        <w:rPr>
          <w:rFonts w:hint="eastAsia" w:ascii="仿宋" w:hAnsi="仿宋" w:eastAsia="仿宋" w:cs="仿宋"/>
          <w:kern w:val="2"/>
          <w:sz w:val="32"/>
          <w:szCs w:val="32"/>
          <w:lang w:val="en-US" w:eastAsia="zh-CN" w:bidi="ar-SA"/>
        </w:rPr>
      </w:pPr>
    </w:p>
    <w:p>
      <w:pPr>
        <w:pStyle w:val="36"/>
        <w:spacing w:line="360" w:lineRule="auto"/>
        <w:ind w:firstLine="640"/>
        <w:rPr>
          <w:rFonts w:hint="eastAsia" w:ascii="仿宋" w:hAnsi="仿宋" w:eastAsia="仿宋" w:cs="仿宋"/>
          <w:b/>
          <w:bCs/>
          <w:kern w:val="0"/>
          <w:sz w:val="32"/>
          <w:szCs w:val="32"/>
        </w:rPr>
      </w:pPr>
      <w:r>
        <w:rPr>
          <w:rFonts w:hint="eastAsia" w:ascii="仿宋" w:hAnsi="仿宋" w:eastAsia="仿宋" w:cs="仿宋"/>
          <w:b/>
          <w:bCs/>
          <w:kern w:val="0"/>
          <w:sz w:val="32"/>
          <w:szCs w:val="32"/>
        </w:rPr>
        <w:t>2.部门整体绩效目标完成情况</w:t>
      </w:r>
    </w:p>
    <w:p>
      <w:pPr>
        <w:keepNext w:val="0"/>
        <w:keepLines w:val="0"/>
        <w:pageBreakBefore w:val="0"/>
        <w:widowControl/>
        <w:kinsoku w:val="0"/>
        <w:wordWrap w:val="0"/>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始终把党的政治建设摆在首位，多措并举筑牢民营经济人士思想根基。一是深化理想信念教育，组织青年民营企业家开展义务植树活动，践行“绿水青山就是金山银山”理念，激发创业热情与协作意识；创新“线下+线上”学习模式，依托全国工商联“民营经济大讲堂”、川商云课堂等平台，全年组织省州级线上政策宣讲、企业合规、低碳发展等培训</w:t>
      </w:r>
      <w:r>
        <w:rPr>
          <w:rFonts w:hint="eastAsia" w:ascii="仿宋" w:hAnsi="仿宋" w:eastAsia="仿宋" w:cs="仿宋"/>
          <w:b w:val="0"/>
          <w:bCs w:val="0"/>
          <w:color w:val="auto"/>
          <w:sz w:val="32"/>
          <w:szCs w:val="32"/>
          <w:highlight w:val="none"/>
          <w:lang w:val="en-US" w:eastAsia="zh-CN"/>
        </w:rPr>
        <w:t>10</w:t>
      </w:r>
      <w:r>
        <w:rPr>
          <w:rFonts w:hint="eastAsia" w:ascii="仿宋" w:hAnsi="仿宋" w:eastAsia="仿宋" w:cs="仿宋"/>
          <w:color w:val="auto"/>
          <w:kern w:val="2"/>
          <w:sz w:val="32"/>
          <w:szCs w:val="32"/>
          <w:highlight w:val="none"/>
          <w:lang w:val="en-US" w:eastAsia="zh-CN" w:bidi="ar-SA"/>
        </w:rPr>
        <w:t>次，线下开展党的二十大精神、习近平总书记关于民营经济发展的重要论述及《民营经济促进法》宣讲</w:t>
      </w:r>
      <w:r>
        <w:rPr>
          <w:rFonts w:hint="eastAsia" w:ascii="仿宋" w:hAnsi="仿宋" w:eastAsia="仿宋" w:cs="仿宋"/>
          <w:b w:val="0"/>
          <w:bCs w:val="0"/>
          <w:color w:val="auto"/>
          <w:sz w:val="32"/>
          <w:szCs w:val="32"/>
          <w:highlight w:val="none"/>
          <w:lang w:val="en-US" w:eastAsia="zh-CN"/>
        </w:rPr>
        <w:t>6</w:t>
      </w:r>
      <w:r>
        <w:rPr>
          <w:rFonts w:hint="eastAsia" w:ascii="仿宋" w:hAnsi="仿宋" w:eastAsia="仿宋" w:cs="仿宋"/>
          <w:color w:val="auto"/>
          <w:kern w:val="2"/>
          <w:sz w:val="32"/>
          <w:szCs w:val="32"/>
          <w:highlight w:val="none"/>
          <w:lang w:val="en-US" w:eastAsia="zh-CN" w:bidi="ar-SA"/>
        </w:rPr>
        <w:t>次，推动政策精神入脑入心。二是推进清廉民企与法治民企建设，将《中华人民共和国民法典》《中华人民共和国公司法》等法律法规学习融入培训体系，开展普法宣传4次，覆盖企业</w:t>
      </w:r>
      <w:r>
        <w:rPr>
          <w:rFonts w:hint="eastAsia" w:ascii="仿宋" w:hAnsi="仿宋" w:eastAsia="仿宋" w:cs="仿宋"/>
          <w:b w:val="0"/>
          <w:bCs w:val="0"/>
          <w:color w:val="auto"/>
          <w:sz w:val="32"/>
          <w:szCs w:val="32"/>
          <w:highlight w:val="none"/>
          <w:lang w:val="en-US" w:eastAsia="zh-CN"/>
        </w:rPr>
        <w:t>40</w:t>
      </w:r>
      <w:r>
        <w:rPr>
          <w:rFonts w:hint="eastAsia" w:ascii="仿宋" w:hAnsi="仿宋" w:eastAsia="仿宋" w:cs="仿宋"/>
          <w:color w:val="auto"/>
          <w:kern w:val="2"/>
          <w:sz w:val="32"/>
          <w:szCs w:val="32"/>
          <w:highlight w:val="none"/>
          <w:lang w:val="en-US" w:eastAsia="zh-CN" w:bidi="ar-SA"/>
        </w:rPr>
        <w:t>余家，发放资料</w:t>
      </w:r>
      <w:r>
        <w:rPr>
          <w:rFonts w:hint="eastAsia" w:ascii="仿宋" w:hAnsi="仿宋" w:eastAsia="仿宋" w:cs="仿宋"/>
          <w:b w:val="0"/>
          <w:bCs w:val="0"/>
          <w:color w:val="auto"/>
          <w:sz w:val="32"/>
          <w:szCs w:val="32"/>
          <w:highlight w:val="none"/>
          <w:lang w:val="en-US" w:eastAsia="zh-CN"/>
        </w:rPr>
        <w:t>180</w:t>
      </w:r>
      <w:r>
        <w:rPr>
          <w:rFonts w:hint="eastAsia" w:ascii="仿宋" w:hAnsi="仿宋" w:eastAsia="仿宋" w:cs="仿宋"/>
          <w:color w:val="auto"/>
          <w:kern w:val="2"/>
          <w:sz w:val="32"/>
          <w:szCs w:val="32"/>
          <w:highlight w:val="none"/>
          <w:lang w:val="en-US" w:eastAsia="zh-CN" w:bidi="ar-SA"/>
        </w:rPr>
        <w:t>余份，引导企业诚信守法经营、廉洁合规发展。三是选树先进标杆，壤塘县推荐</w:t>
      </w:r>
      <w:r>
        <w:rPr>
          <w:rFonts w:hint="eastAsia" w:ascii="仿宋" w:hAnsi="仿宋" w:eastAsia="仿宋" w:cs="仿宋"/>
          <w:b w:val="0"/>
          <w:bCs w:val="0"/>
          <w:color w:val="auto"/>
          <w:sz w:val="32"/>
          <w:szCs w:val="32"/>
          <w:highlight w:val="none"/>
          <w:lang w:val="en-US" w:eastAsia="zh-CN"/>
        </w:rPr>
        <w:t>4</w:t>
      </w:r>
      <w:r>
        <w:rPr>
          <w:rFonts w:hint="eastAsia" w:ascii="仿宋" w:hAnsi="仿宋" w:eastAsia="仿宋" w:cs="仿宋"/>
          <w:color w:val="auto"/>
          <w:kern w:val="2"/>
          <w:sz w:val="32"/>
          <w:szCs w:val="32"/>
          <w:highlight w:val="none"/>
          <w:lang w:val="en-US" w:eastAsia="zh-CN" w:bidi="ar-SA"/>
        </w:rPr>
        <w:t>家企业荣获首届阿商大会“优秀民营企业”荣誉，切实彰显了,“爱国守法、阳光诚信、感恩友善、坚韧奋进”的阿商精神。</w:t>
      </w:r>
    </w:p>
    <w:p>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bCs/>
          <w:color w:val="auto"/>
          <w:kern w:val="2"/>
          <w:sz w:val="32"/>
          <w:szCs w:val="32"/>
          <w:highlight w:val="none"/>
          <w:lang w:val="en-US" w:eastAsia="zh-CN" w:bidi="ar-SA"/>
        </w:rPr>
        <w:sectPr>
          <w:headerReference r:id="rId3" w:type="default"/>
          <w:footerReference r:id="rId4" w:type="default"/>
          <w:pgSz w:w="11906" w:h="16839"/>
          <w:pgMar w:top="2098" w:right="1474" w:bottom="1984" w:left="1587" w:header="0" w:footer="1277" w:gutter="0"/>
          <w:pgNumType w:fmt="decimal"/>
          <w:cols w:space="720" w:num="1"/>
        </w:sectPr>
      </w:pPr>
      <w:r>
        <w:rPr>
          <w:rFonts w:hint="eastAsia" w:ascii="仿宋" w:hAnsi="仿宋" w:eastAsia="仿宋" w:cs="仿宋"/>
          <w:kern w:val="2"/>
          <w:sz w:val="32"/>
          <w:szCs w:val="32"/>
          <w:lang w:val="en-US" w:eastAsia="zh-CN" w:bidi="ar-SA"/>
        </w:rPr>
        <w:t>（</w:t>
      </w:r>
      <w:r>
        <w:rPr>
          <w:rFonts w:hint="eastAsia" w:ascii="仿宋" w:hAnsi="仿宋" w:eastAsia="仿宋" w:cs="仿宋"/>
          <w:b/>
          <w:bCs/>
          <w:color w:val="auto"/>
          <w:kern w:val="2"/>
          <w:sz w:val="32"/>
          <w:szCs w:val="32"/>
          <w:highlight w:val="none"/>
          <w:lang w:val="en-US" w:eastAsia="zh-CN" w:bidi="ar-SA"/>
        </w:rPr>
        <w:t>（二）精准聚焦服务</w:t>
      </w:r>
    </w:p>
    <w:p>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line="560" w:lineRule="exact"/>
        <w:ind w:firstLine="642" w:firstLineChars="200"/>
        <w:textAlignment w:val="baseline"/>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保障，破解企业发展难题</w:t>
      </w:r>
    </w:p>
    <w:p>
      <w:pPr>
        <w:keepNext w:val="0"/>
        <w:keepLines w:val="0"/>
        <w:pageBreakBefore w:val="0"/>
        <w:widowControl/>
        <w:kinsoku w:val="0"/>
        <w:wordWrap w:val="0"/>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秉持“服务兴会”理念，全力当好民营企业“贴心人”。一是畅通政企沟通渠道，召开统战部部长与民营企业家“面对面+键对键”协商活动</w:t>
      </w:r>
      <w:r>
        <w:rPr>
          <w:rFonts w:hint="eastAsia" w:ascii="仿宋" w:hAnsi="仿宋" w:eastAsia="仿宋" w:cs="仿宋"/>
          <w:b w:val="0"/>
          <w:bCs w:val="0"/>
          <w:color w:val="auto"/>
          <w:sz w:val="32"/>
          <w:szCs w:val="32"/>
          <w:highlight w:val="none"/>
          <w:lang w:val="en-US" w:eastAsia="zh-CN"/>
        </w:rPr>
        <w:t>1</w:t>
      </w:r>
      <w:r>
        <w:rPr>
          <w:rFonts w:hint="eastAsia" w:ascii="仿宋" w:hAnsi="仿宋" w:eastAsia="仿宋" w:cs="仿宋"/>
          <w:color w:val="auto"/>
          <w:kern w:val="2"/>
          <w:sz w:val="32"/>
          <w:szCs w:val="32"/>
          <w:highlight w:val="none"/>
          <w:lang w:val="en-US" w:eastAsia="zh-CN" w:bidi="ar-SA"/>
        </w:rPr>
        <w:t>次，深入开展“进企业、解难题、送政策、促发展”行动，走访企业</w:t>
      </w:r>
      <w:r>
        <w:rPr>
          <w:rFonts w:hint="eastAsia" w:ascii="仿宋" w:hAnsi="仿宋" w:eastAsia="仿宋" w:cs="仿宋"/>
          <w:b w:val="0"/>
          <w:bCs w:val="0"/>
          <w:color w:val="auto"/>
          <w:sz w:val="32"/>
          <w:szCs w:val="32"/>
          <w:highlight w:val="none"/>
          <w:lang w:val="en-US" w:eastAsia="zh-CN"/>
        </w:rPr>
        <w:t>21家</w:t>
      </w:r>
      <w:r>
        <w:rPr>
          <w:rFonts w:hint="eastAsia" w:ascii="仿宋" w:hAnsi="仿宋" w:eastAsia="仿宋" w:cs="仿宋"/>
          <w:color w:val="auto"/>
          <w:kern w:val="2"/>
          <w:sz w:val="32"/>
          <w:szCs w:val="32"/>
          <w:highlight w:val="none"/>
          <w:lang w:val="en-US" w:eastAsia="zh-CN" w:bidi="ar-SA"/>
        </w:rPr>
        <w:t>，完成各类问卷调查</w:t>
      </w:r>
      <w:r>
        <w:rPr>
          <w:rFonts w:hint="eastAsia" w:ascii="仿宋" w:hAnsi="仿宋" w:eastAsia="仿宋" w:cs="仿宋"/>
          <w:b w:val="0"/>
          <w:bCs w:val="0"/>
          <w:color w:val="auto"/>
          <w:sz w:val="32"/>
          <w:szCs w:val="32"/>
          <w:highlight w:val="none"/>
          <w:lang w:val="en-US" w:eastAsia="zh-CN"/>
        </w:rPr>
        <w:t>8</w:t>
      </w:r>
      <w:r>
        <w:rPr>
          <w:rFonts w:hint="eastAsia" w:ascii="仿宋" w:hAnsi="仿宋" w:eastAsia="仿宋" w:cs="仿宋"/>
          <w:color w:val="auto"/>
          <w:kern w:val="2"/>
          <w:sz w:val="32"/>
          <w:szCs w:val="32"/>
          <w:highlight w:val="none"/>
          <w:lang w:val="en-US" w:eastAsia="zh-CN" w:bidi="ar-SA"/>
        </w:rPr>
        <w:t>次，现场交办并跟踪解决企业诉求。二是搭建银企对接平台，联合发改、金融部门举办融资座谈会</w:t>
      </w:r>
      <w:r>
        <w:rPr>
          <w:rFonts w:hint="eastAsia" w:ascii="仿宋" w:hAnsi="仿宋" w:eastAsia="仿宋" w:cs="仿宋"/>
          <w:b w:val="0"/>
          <w:bCs w:val="0"/>
          <w:color w:val="auto"/>
          <w:sz w:val="32"/>
          <w:szCs w:val="32"/>
          <w:highlight w:val="none"/>
          <w:lang w:val="en-US" w:eastAsia="zh-CN"/>
        </w:rPr>
        <w:t>2</w:t>
      </w:r>
      <w:r>
        <w:rPr>
          <w:rFonts w:hint="eastAsia" w:ascii="仿宋" w:hAnsi="仿宋" w:eastAsia="仿宋" w:cs="仿宋"/>
          <w:color w:val="auto"/>
          <w:kern w:val="2"/>
          <w:sz w:val="32"/>
          <w:szCs w:val="32"/>
          <w:highlight w:val="none"/>
          <w:lang w:val="en-US" w:eastAsia="zh-CN" w:bidi="ar-SA"/>
        </w:rPr>
        <w:t>次，解读州级融资扶持政策，帮助企业争取贷款</w:t>
      </w:r>
      <w:r>
        <w:rPr>
          <w:rFonts w:hint="eastAsia" w:ascii="仿宋" w:hAnsi="仿宋" w:eastAsia="仿宋" w:cs="仿宋"/>
          <w:b w:val="0"/>
          <w:bCs w:val="0"/>
          <w:color w:val="auto"/>
          <w:sz w:val="32"/>
          <w:szCs w:val="32"/>
          <w:highlight w:val="none"/>
          <w:lang w:val="en-US" w:eastAsia="zh-CN"/>
        </w:rPr>
        <w:t>200</w:t>
      </w:r>
      <w:r>
        <w:rPr>
          <w:rFonts w:hint="eastAsia" w:ascii="仿宋" w:hAnsi="仿宋" w:eastAsia="仿宋" w:cs="仿宋"/>
          <w:color w:val="auto"/>
          <w:kern w:val="2"/>
          <w:sz w:val="32"/>
          <w:szCs w:val="32"/>
          <w:highlight w:val="none"/>
          <w:lang w:val="en-US" w:eastAsia="zh-CN" w:bidi="ar-SA"/>
        </w:rPr>
        <w:t>万元，有效缓解资金压力。三是深化暖心服务举措，开展“暖冬行新春慰问”活动，为驻外及县内</w:t>
      </w:r>
      <w:r>
        <w:rPr>
          <w:rFonts w:hint="eastAsia" w:ascii="仿宋" w:hAnsi="仿宋" w:eastAsia="仿宋" w:cs="仿宋"/>
          <w:b w:val="0"/>
          <w:bCs w:val="0"/>
          <w:color w:val="auto"/>
          <w:sz w:val="32"/>
          <w:szCs w:val="32"/>
          <w:highlight w:val="none"/>
          <w:lang w:val="en-US" w:eastAsia="zh-CN"/>
        </w:rPr>
        <w:t>50</w:t>
      </w:r>
      <w:r>
        <w:rPr>
          <w:rFonts w:hint="eastAsia" w:ascii="仿宋" w:hAnsi="仿宋" w:eastAsia="仿宋" w:cs="仿宋"/>
          <w:color w:val="auto"/>
          <w:kern w:val="2"/>
          <w:sz w:val="32"/>
          <w:szCs w:val="32"/>
          <w:highlight w:val="none"/>
          <w:lang w:val="en-US" w:eastAsia="zh-CN" w:bidi="ar-SA"/>
        </w:rPr>
        <w:t>名民营经济人士送上关怀与礼包，增强归属感；配合州工商联完成农产品品牌建设及营商环境调研，共商发展良策。四是落实州工商联法律服务要求，为会员企业提供法律咨询、纠纷调解等服务，助力企业防范经营风险。</w:t>
      </w:r>
    </w:p>
    <w:p>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line="560" w:lineRule="exact"/>
        <w:ind w:firstLine="642" w:firstLineChars="200"/>
        <w:textAlignment w:val="baseline"/>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（三）聚焦发展中心发力，彰显民营经济责任担当</w:t>
      </w:r>
    </w:p>
    <w:p>
      <w:pPr>
        <w:keepNext w:val="0"/>
        <w:keepLines w:val="0"/>
        <w:pageBreakBefore w:val="0"/>
        <w:widowControl/>
        <w:kinsoku w:val="0"/>
        <w:wordWrap w:val="0"/>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引导民营企业主动融入县域发展，在服务大局中展现作为。一是助力产业提质，推动四川珍正中药有限公司落地运营，道地中药材业务产值达</w:t>
      </w:r>
      <w:r>
        <w:rPr>
          <w:rFonts w:hint="eastAsia" w:ascii="仿宋" w:hAnsi="仿宋" w:eastAsia="仿宋" w:cs="仿宋"/>
          <w:b w:val="0"/>
          <w:bCs w:val="0"/>
          <w:color w:val="auto"/>
          <w:sz w:val="32"/>
          <w:szCs w:val="32"/>
          <w:highlight w:val="none"/>
          <w:lang w:val="en-US" w:eastAsia="zh-CN"/>
        </w:rPr>
        <w:t>3000</w:t>
      </w:r>
      <w:r>
        <w:rPr>
          <w:rFonts w:hint="eastAsia" w:ascii="仿宋" w:hAnsi="仿宋" w:eastAsia="仿宋" w:cs="仿宋"/>
          <w:color w:val="auto"/>
          <w:kern w:val="2"/>
          <w:sz w:val="32"/>
          <w:szCs w:val="32"/>
          <w:highlight w:val="none"/>
          <w:lang w:val="en-US" w:eastAsia="zh-CN" w:bidi="ar-SA"/>
        </w:rPr>
        <w:t>万元，新入驻企业</w:t>
      </w:r>
      <w:r>
        <w:rPr>
          <w:rFonts w:hint="eastAsia" w:ascii="仿宋" w:hAnsi="仿宋" w:eastAsia="仿宋" w:cs="仿宋"/>
          <w:b w:val="0"/>
          <w:bCs w:val="0"/>
          <w:color w:val="auto"/>
          <w:sz w:val="32"/>
          <w:szCs w:val="32"/>
          <w:highlight w:val="none"/>
          <w:lang w:val="en-US" w:eastAsia="zh-CN"/>
        </w:rPr>
        <w:t>2</w:t>
      </w:r>
      <w:r>
        <w:rPr>
          <w:rFonts w:hint="eastAsia" w:ascii="仿宋" w:hAnsi="仿宋" w:eastAsia="仿宋" w:cs="仿宋"/>
          <w:color w:val="auto"/>
          <w:kern w:val="2"/>
          <w:sz w:val="32"/>
          <w:szCs w:val="32"/>
          <w:highlight w:val="none"/>
          <w:lang w:val="en-US" w:eastAsia="zh-CN" w:bidi="ar-SA"/>
        </w:rPr>
        <w:t>家，</w:t>
      </w:r>
      <w:r>
        <w:rPr>
          <w:rFonts w:hint="eastAsia" w:ascii="仿宋" w:hAnsi="仿宋" w:eastAsia="仿宋" w:cs="仿宋"/>
          <w:b w:val="0"/>
          <w:bCs w:val="0"/>
          <w:color w:val="auto"/>
          <w:sz w:val="32"/>
          <w:szCs w:val="32"/>
          <w:highlight w:val="none"/>
          <w:lang w:val="en-US" w:eastAsia="zh-CN"/>
        </w:rPr>
        <w:t>1</w:t>
      </w:r>
      <w:r>
        <w:rPr>
          <w:rFonts w:hint="eastAsia" w:ascii="仿宋" w:hAnsi="仿宋" w:eastAsia="仿宋" w:cs="仿宋"/>
          <w:color w:val="auto"/>
          <w:kern w:val="2"/>
          <w:sz w:val="32"/>
          <w:szCs w:val="32"/>
          <w:highlight w:val="none"/>
          <w:lang w:val="en-US" w:eastAsia="zh-CN" w:bidi="ar-SA"/>
        </w:rPr>
        <w:t>家纳入升规培育，为经济增长注入新动能。二是践行社会责任，“</w:t>
      </w:r>
      <w:r>
        <w:rPr>
          <w:rFonts w:hint="eastAsia" w:ascii="仿宋" w:hAnsi="仿宋" w:eastAsia="仿宋" w:cs="仿宋"/>
          <w:b w:val="0"/>
          <w:bCs w:val="0"/>
          <w:color w:val="auto"/>
          <w:sz w:val="32"/>
          <w:szCs w:val="32"/>
          <w:highlight w:val="none"/>
          <w:lang w:val="en-US" w:eastAsia="zh-CN"/>
        </w:rPr>
        <w:t>2.5</w:t>
      </w:r>
      <w:r>
        <w:rPr>
          <w:rFonts w:hint="eastAsia" w:ascii="仿宋" w:hAnsi="仿宋" w:eastAsia="仿宋" w:cs="仿宋"/>
          <w:color w:val="auto"/>
          <w:kern w:val="2"/>
          <w:sz w:val="32"/>
          <w:szCs w:val="32"/>
          <w:highlight w:val="none"/>
          <w:lang w:val="en-US" w:eastAsia="zh-CN" w:bidi="ar-SA"/>
        </w:rPr>
        <w:t>”火情发生后，倡议民营经济人士捐款捐物折合</w:t>
      </w:r>
      <w:r>
        <w:rPr>
          <w:rFonts w:hint="eastAsia" w:ascii="仿宋" w:hAnsi="仿宋" w:eastAsia="仿宋" w:cs="仿宋"/>
          <w:b w:val="0"/>
          <w:bCs w:val="0"/>
          <w:color w:val="auto"/>
          <w:sz w:val="32"/>
          <w:szCs w:val="32"/>
          <w:highlight w:val="none"/>
          <w:lang w:val="en-US" w:eastAsia="zh-CN"/>
        </w:rPr>
        <w:t>2.28</w:t>
      </w:r>
      <w:r>
        <w:rPr>
          <w:rFonts w:hint="eastAsia" w:ascii="仿宋" w:hAnsi="仿宋" w:eastAsia="仿宋" w:cs="仿宋"/>
          <w:color w:val="auto"/>
          <w:kern w:val="2"/>
          <w:sz w:val="32"/>
          <w:szCs w:val="32"/>
          <w:highlight w:val="none"/>
          <w:lang w:val="en-US" w:eastAsia="zh-CN" w:bidi="ar-SA"/>
        </w:rPr>
        <w:t>万元；成功争取全国工商联</w:t>
      </w:r>
      <w:r>
        <w:rPr>
          <w:rFonts w:hint="eastAsia" w:ascii="仿宋" w:hAnsi="仿宋" w:eastAsia="仿宋" w:cs="仿宋"/>
          <w:b w:val="0"/>
          <w:bCs w:val="0"/>
          <w:color w:val="auto"/>
          <w:sz w:val="32"/>
          <w:szCs w:val="32"/>
          <w:highlight w:val="none"/>
          <w:lang w:val="en-US" w:eastAsia="zh-CN"/>
        </w:rPr>
        <w:t>10</w:t>
      </w:r>
      <w:r>
        <w:rPr>
          <w:rFonts w:hint="eastAsia" w:ascii="仿宋" w:hAnsi="仿宋" w:eastAsia="仿宋" w:cs="仿宋"/>
          <w:color w:val="auto"/>
          <w:kern w:val="2"/>
          <w:sz w:val="32"/>
          <w:szCs w:val="32"/>
          <w:highlight w:val="none"/>
          <w:lang w:val="en-US" w:eastAsia="zh-CN" w:bidi="ar-SA"/>
        </w:rPr>
        <w:t>万元公益资金，建成上壤塘乡中心幼儿园操场，改善乡村教育条件。三是深化民族团结进步，将“石榴籽工程”融入日常工作，组织民营企业参与民族团结宣传</w:t>
      </w:r>
      <w:r>
        <w:rPr>
          <w:rFonts w:hint="eastAsia" w:ascii="仿宋" w:hAnsi="仿宋" w:eastAsia="仿宋" w:cs="仿宋"/>
          <w:b w:val="0"/>
          <w:bCs w:val="0"/>
          <w:color w:val="auto"/>
          <w:sz w:val="32"/>
          <w:szCs w:val="32"/>
          <w:highlight w:val="none"/>
          <w:lang w:val="en-US" w:eastAsia="zh-CN"/>
        </w:rPr>
        <w:t>3</w:t>
      </w:r>
      <w:r>
        <w:rPr>
          <w:rFonts w:hint="eastAsia" w:ascii="仿宋" w:hAnsi="仿宋" w:eastAsia="仿宋" w:cs="仿宋"/>
          <w:color w:val="auto"/>
          <w:kern w:val="2"/>
          <w:sz w:val="32"/>
          <w:szCs w:val="32"/>
          <w:highlight w:val="none"/>
          <w:lang w:val="en-US" w:eastAsia="zh-CN" w:bidi="ar-SA"/>
        </w:rPr>
        <w:t>次，会员企业新增少数民族就业岗位</w:t>
      </w:r>
      <w:r>
        <w:rPr>
          <w:rFonts w:hint="eastAsia" w:ascii="仿宋" w:hAnsi="仿宋" w:eastAsia="仿宋" w:cs="仿宋"/>
          <w:b w:val="0"/>
          <w:bCs w:val="0"/>
          <w:color w:val="auto"/>
          <w:sz w:val="32"/>
          <w:szCs w:val="32"/>
          <w:highlight w:val="none"/>
          <w:lang w:val="en-US" w:eastAsia="zh-CN"/>
        </w:rPr>
        <w:t>30</w:t>
      </w:r>
      <w:r>
        <w:rPr>
          <w:rFonts w:hint="eastAsia" w:ascii="仿宋" w:hAnsi="仿宋" w:eastAsia="仿宋" w:cs="仿宋"/>
          <w:color w:val="auto"/>
          <w:kern w:val="2"/>
          <w:sz w:val="32"/>
          <w:szCs w:val="32"/>
          <w:highlight w:val="none"/>
          <w:lang w:val="en-US" w:eastAsia="zh-CN" w:bidi="ar-SA"/>
        </w:rPr>
        <w:t>余个，推动各民族企业家互帮互助、共同发展。</w:t>
      </w:r>
    </w:p>
    <w:p>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line="560" w:lineRule="exact"/>
        <w:ind w:firstLine="642" w:firstLineChars="200"/>
        <w:textAlignment w:val="baseline"/>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 xml:space="preserve">（四）夯实组织建设基础，提升工商联履职效能 </w:t>
      </w:r>
    </w:p>
    <w:p>
      <w:pPr>
        <w:keepNext w:val="0"/>
        <w:keepLines w:val="0"/>
        <w:pageBreakBefore w:val="0"/>
        <w:widowControl/>
        <w:kinsoku w:val="0"/>
        <w:wordWrap w:val="0"/>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以“五好”县级工商联创建为抓手，不断增强组织凝聚力与战斗力。一是优化班子与会员结构，召开第六届二次执委会议，调整完善领导班子成员</w:t>
      </w:r>
      <w:r>
        <w:rPr>
          <w:rFonts w:hint="eastAsia" w:ascii="仿宋" w:hAnsi="仿宋" w:eastAsia="仿宋" w:cs="仿宋"/>
          <w:b w:val="0"/>
          <w:bCs w:val="0"/>
          <w:color w:val="auto"/>
          <w:sz w:val="32"/>
          <w:szCs w:val="32"/>
          <w:highlight w:val="none"/>
          <w:lang w:val="en-US" w:eastAsia="zh-CN"/>
        </w:rPr>
        <w:t>17</w:t>
      </w:r>
      <w:r>
        <w:rPr>
          <w:rFonts w:hint="eastAsia" w:ascii="仿宋" w:hAnsi="仿宋" w:eastAsia="仿宋" w:cs="仿宋"/>
          <w:color w:val="auto"/>
          <w:kern w:val="2"/>
          <w:sz w:val="32"/>
          <w:szCs w:val="32"/>
          <w:highlight w:val="none"/>
          <w:lang w:val="en-US" w:eastAsia="zh-CN" w:bidi="ar-SA"/>
        </w:rPr>
        <w:t>名，吸收</w:t>
      </w:r>
      <w:r>
        <w:rPr>
          <w:rFonts w:hint="eastAsia" w:ascii="仿宋" w:hAnsi="仿宋" w:eastAsia="仿宋" w:cs="仿宋"/>
          <w:b w:val="0"/>
          <w:bCs w:val="0"/>
          <w:color w:val="auto"/>
          <w:sz w:val="32"/>
          <w:szCs w:val="32"/>
          <w:highlight w:val="none"/>
          <w:lang w:val="en-US" w:eastAsia="zh-CN"/>
        </w:rPr>
        <w:t>16</w:t>
      </w:r>
      <w:r>
        <w:rPr>
          <w:rFonts w:hint="eastAsia" w:ascii="仿宋" w:hAnsi="仿宋" w:eastAsia="仿宋" w:cs="仿宋"/>
          <w:color w:val="auto"/>
          <w:kern w:val="2"/>
          <w:sz w:val="32"/>
          <w:szCs w:val="32"/>
          <w:highlight w:val="none"/>
          <w:lang w:val="en-US" w:eastAsia="zh-CN" w:bidi="ar-SA"/>
        </w:rPr>
        <w:t>家优质企业及个体工商户入会，会员总数达</w:t>
      </w:r>
      <w:r>
        <w:rPr>
          <w:rFonts w:hint="eastAsia" w:ascii="仿宋" w:hAnsi="仿宋" w:eastAsia="仿宋" w:cs="仿宋"/>
          <w:b w:val="0"/>
          <w:bCs w:val="0"/>
          <w:color w:val="auto"/>
          <w:sz w:val="32"/>
          <w:szCs w:val="32"/>
          <w:highlight w:val="none"/>
          <w:lang w:val="en-US" w:eastAsia="zh-CN"/>
        </w:rPr>
        <w:t>145</w:t>
      </w:r>
      <w:r>
        <w:rPr>
          <w:rFonts w:hint="eastAsia" w:ascii="仿宋" w:hAnsi="仿宋" w:eastAsia="仿宋" w:cs="仿宋"/>
          <w:color w:val="auto"/>
          <w:kern w:val="2"/>
          <w:sz w:val="32"/>
          <w:szCs w:val="32"/>
          <w:highlight w:val="none"/>
          <w:lang w:val="en-US" w:eastAsia="zh-CN" w:bidi="ar-SA"/>
        </w:rPr>
        <w:t>家，结构持续优化，年初获评州工商联</w:t>
      </w:r>
      <w:r>
        <w:rPr>
          <w:rFonts w:hint="eastAsia" w:ascii="仿宋" w:hAnsi="仿宋" w:eastAsia="仿宋" w:cs="仿宋"/>
          <w:b w:val="0"/>
          <w:bCs w:val="0"/>
          <w:color w:val="auto"/>
          <w:sz w:val="32"/>
          <w:szCs w:val="32"/>
          <w:highlight w:val="none"/>
          <w:lang w:val="en-US" w:eastAsia="zh-CN"/>
        </w:rPr>
        <w:t>2024</w:t>
      </w:r>
      <w:r>
        <w:rPr>
          <w:rFonts w:hint="eastAsia" w:ascii="仿宋" w:hAnsi="仿宋" w:eastAsia="仿宋" w:cs="仿宋"/>
          <w:color w:val="auto"/>
          <w:kern w:val="2"/>
          <w:sz w:val="32"/>
          <w:szCs w:val="32"/>
          <w:highlight w:val="none"/>
          <w:lang w:val="en-US" w:eastAsia="zh-CN" w:bidi="ar-SA"/>
        </w:rPr>
        <w:t>年度综合工作优秀单位。二是加强队伍建设，常态化开展政治理论与业务学习，强化机关干部责任担当，形成“以能力促作风、以作风强能力”的良好氛围。三是严守工作底线，每季度开展意识形态分析研判，落实党风廉政建设责任制，开展廉政警示教育</w:t>
      </w:r>
      <w:r>
        <w:rPr>
          <w:rFonts w:hint="eastAsia" w:ascii="仿宋" w:hAnsi="仿宋" w:eastAsia="仿宋" w:cs="仿宋"/>
          <w:b w:val="0"/>
          <w:bCs w:val="0"/>
          <w:color w:val="auto"/>
          <w:sz w:val="32"/>
          <w:szCs w:val="32"/>
          <w:highlight w:val="none"/>
          <w:lang w:val="en-US" w:eastAsia="zh-CN"/>
        </w:rPr>
        <w:t>2</w:t>
      </w:r>
      <w:r>
        <w:rPr>
          <w:rFonts w:hint="eastAsia" w:ascii="仿宋" w:hAnsi="仿宋" w:eastAsia="仿宋" w:cs="仿宋"/>
          <w:color w:val="auto"/>
          <w:kern w:val="2"/>
          <w:sz w:val="32"/>
          <w:szCs w:val="32"/>
          <w:highlight w:val="none"/>
          <w:lang w:val="en-US" w:eastAsia="zh-CN" w:bidi="ar-SA"/>
        </w:rPr>
        <w:t>次，筑牢思想与廉洁防线。</w:t>
      </w:r>
    </w:p>
    <w:p>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line="560" w:lineRule="exact"/>
        <w:ind w:firstLine="642" w:firstLineChars="200"/>
        <w:textAlignment w:val="baseline"/>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（五）深化为民服务实践，践行初心使命担当</w:t>
      </w:r>
    </w:p>
    <w:p>
      <w:pPr>
        <w:keepNext w:val="0"/>
        <w:keepLines w:val="0"/>
        <w:pageBreakBefore w:val="0"/>
        <w:widowControl/>
        <w:kinsoku w:val="0"/>
        <w:wordWrap w:val="0"/>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坚持以人民为中心的发展思想，扎实开展群众工作。一是落实结对帮扶，包联干部每季度走村入户，为群众送去生活物资、解决生产生活困难，每月保持电话沟通，传递党和政府温暖。二是深化“联心同行”工作，前往查卡村、相关寺院及修行安置点开展活动</w:t>
      </w:r>
      <w:r>
        <w:rPr>
          <w:rFonts w:hint="eastAsia" w:ascii="仿宋" w:hAnsi="仿宋" w:eastAsia="仿宋" w:cs="仿宋"/>
          <w:b w:val="0"/>
          <w:bCs w:val="0"/>
          <w:color w:val="auto"/>
          <w:sz w:val="32"/>
          <w:szCs w:val="32"/>
          <w:highlight w:val="none"/>
          <w:lang w:val="en-US" w:eastAsia="zh-CN"/>
        </w:rPr>
        <w:t>9</w:t>
      </w:r>
      <w:r>
        <w:rPr>
          <w:rFonts w:hint="eastAsia" w:ascii="仿宋" w:hAnsi="仿宋" w:eastAsia="仿宋" w:cs="仿宋"/>
          <w:color w:val="auto"/>
          <w:kern w:val="2"/>
          <w:sz w:val="32"/>
          <w:szCs w:val="32"/>
          <w:highlight w:val="none"/>
          <w:lang w:val="en-US" w:eastAsia="zh-CN" w:bidi="ar-SA"/>
        </w:rPr>
        <w:t>次，引导宗教界人士与党委政府同心同向。三是开展“爱心爸妈”结对帮扶，</w:t>
      </w:r>
      <w:r>
        <w:rPr>
          <w:rFonts w:hint="eastAsia" w:ascii="仿宋" w:hAnsi="仿宋" w:eastAsia="仿宋" w:cs="仿宋"/>
          <w:b w:val="0"/>
          <w:bCs w:val="0"/>
          <w:color w:val="auto"/>
          <w:sz w:val="32"/>
          <w:szCs w:val="32"/>
          <w:highlight w:val="none"/>
          <w:lang w:val="en-US" w:eastAsia="zh-CN"/>
        </w:rPr>
        <w:t>3</w:t>
      </w:r>
      <w:r>
        <w:rPr>
          <w:rFonts w:hint="eastAsia" w:ascii="仿宋" w:hAnsi="仿宋" w:eastAsia="仿宋" w:cs="仿宋"/>
          <w:color w:val="auto"/>
          <w:kern w:val="2"/>
          <w:sz w:val="32"/>
          <w:szCs w:val="32"/>
          <w:highlight w:val="none"/>
          <w:lang w:val="en-US" w:eastAsia="zh-CN" w:bidi="ar-SA"/>
        </w:rPr>
        <w:t>名干部与</w:t>
      </w:r>
      <w:r>
        <w:rPr>
          <w:rFonts w:hint="eastAsia" w:ascii="仿宋" w:hAnsi="仿宋" w:eastAsia="仿宋" w:cs="仿宋"/>
          <w:b w:val="0"/>
          <w:bCs w:val="0"/>
          <w:color w:val="auto"/>
          <w:sz w:val="32"/>
          <w:szCs w:val="32"/>
          <w:highlight w:val="none"/>
          <w:lang w:val="en-US" w:eastAsia="zh-CN"/>
        </w:rPr>
        <w:t>5</w:t>
      </w:r>
      <w:r>
        <w:rPr>
          <w:rFonts w:hint="eastAsia" w:ascii="仿宋" w:hAnsi="仿宋" w:eastAsia="仿宋" w:cs="仿宋"/>
          <w:color w:val="auto"/>
          <w:kern w:val="2"/>
          <w:sz w:val="32"/>
          <w:szCs w:val="32"/>
          <w:highlight w:val="none"/>
          <w:lang w:val="en-US" w:eastAsia="zh-CN" w:bidi="ar-SA"/>
        </w:rPr>
        <w:t>名儿童常态化开展关爱活动</w:t>
      </w:r>
      <w:r>
        <w:rPr>
          <w:rFonts w:hint="eastAsia" w:ascii="仿宋" w:hAnsi="仿宋" w:eastAsia="仿宋" w:cs="仿宋"/>
          <w:b w:val="0"/>
          <w:bCs w:val="0"/>
          <w:color w:val="auto"/>
          <w:sz w:val="32"/>
          <w:szCs w:val="32"/>
          <w:highlight w:val="none"/>
          <w:lang w:val="en-US" w:eastAsia="zh-CN"/>
        </w:rPr>
        <w:t>60</w:t>
      </w:r>
      <w:r>
        <w:rPr>
          <w:rFonts w:hint="eastAsia" w:ascii="仿宋" w:hAnsi="仿宋" w:eastAsia="仿宋" w:cs="仿宋"/>
          <w:color w:val="auto"/>
          <w:kern w:val="2"/>
          <w:sz w:val="32"/>
          <w:szCs w:val="32"/>
          <w:highlight w:val="none"/>
          <w:lang w:val="en-US" w:eastAsia="zh-CN" w:bidi="ar-SA"/>
        </w:rPr>
        <w:t>余次，送去价值</w:t>
      </w:r>
      <w:r>
        <w:rPr>
          <w:rFonts w:hint="eastAsia" w:ascii="仿宋" w:hAnsi="仿宋" w:eastAsia="仿宋" w:cs="仿宋"/>
          <w:b w:val="0"/>
          <w:bCs w:val="0"/>
          <w:color w:val="auto"/>
          <w:sz w:val="32"/>
          <w:szCs w:val="32"/>
          <w:highlight w:val="none"/>
          <w:lang w:val="en-US" w:eastAsia="zh-CN"/>
        </w:rPr>
        <w:t>2000</w:t>
      </w:r>
      <w:r>
        <w:rPr>
          <w:rFonts w:hint="eastAsia" w:ascii="仿宋" w:hAnsi="仿宋" w:eastAsia="仿宋" w:cs="仿宋"/>
          <w:color w:val="auto"/>
          <w:kern w:val="2"/>
          <w:sz w:val="32"/>
          <w:szCs w:val="32"/>
          <w:highlight w:val="none"/>
          <w:lang w:val="en-US" w:eastAsia="zh-CN" w:bidi="ar-SA"/>
        </w:rPr>
        <w:t>余元慰问品，用实际行动践行为民初心。</w:t>
      </w:r>
    </w:p>
    <w:p>
      <w:pPr>
        <w:pStyle w:val="36"/>
        <w:spacing w:line="360" w:lineRule="auto"/>
        <w:ind w:left="0" w:leftChars="0" w:firstLine="0" w:firstLineChars="0"/>
        <w:rPr>
          <w:rFonts w:hint="eastAsia" w:ascii="仿宋" w:hAnsi="仿宋" w:eastAsia="仿宋" w:cs="仿宋"/>
          <w:b/>
          <w:bCs/>
          <w:sz w:val="32"/>
          <w:szCs w:val="32"/>
        </w:rPr>
      </w:pPr>
      <w:r>
        <w:rPr>
          <w:rFonts w:hint="eastAsia" w:ascii="仿宋" w:hAnsi="仿宋" w:eastAsia="仿宋" w:cs="仿宋"/>
          <w:b/>
          <w:bCs/>
          <w:sz w:val="32"/>
          <w:szCs w:val="32"/>
        </w:rPr>
        <w:t>3.预算编制情况</w:t>
      </w:r>
    </w:p>
    <w:p>
      <w:pPr>
        <w:pStyle w:val="36"/>
        <w:spacing w:line="360" w:lineRule="auto"/>
        <w:ind w:firstLine="640"/>
        <w:rPr>
          <w:rFonts w:hint="eastAsia" w:ascii="仿宋" w:hAnsi="仿宋" w:eastAsia="仿宋" w:cs="仿宋"/>
          <w:sz w:val="32"/>
          <w:szCs w:val="32"/>
        </w:rPr>
      </w:pPr>
      <w:r>
        <w:rPr>
          <w:rFonts w:hint="eastAsia" w:ascii="仿宋" w:hAnsi="仿宋" w:eastAsia="仿宋" w:cs="仿宋"/>
          <w:sz w:val="32"/>
          <w:szCs w:val="32"/>
          <w:lang w:eastAsia="zh-CN"/>
        </w:rPr>
        <w:t>2025</w:t>
      </w:r>
      <w:r>
        <w:rPr>
          <w:rFonts w:hint="eastAsia" w:ascii="仿宋" w:hAnsi="仿宋" w:eastAsia="仿宋" w:cs="仿宋"/>
          <w:sz w:val="32"/>
          <w:szCs w:val="32"/>
        </w:rPr>
        <w:t>年壤塘县工商业联合会年初预算数为</w:t>
      </w:r>
      <w:r>
        <w:rPr>
          <w:rFonts w:hint="eastAsia" w:ascii="仿宋" w:hAnsi="仿宋" w:eastAsia="仿宋" w:cs="仿宋"/>
          <w:sz w:val="32"/>
          <w:szCs w:val="32"/>
          <w:lang w:val="en-US" w:eastAsia="zh-CN"/>
        </w:rPr>
        <w:t>101.46</w:t>
      </w:r>
      <w:r>
        <w:rPr>
          <w:rFonts w:hint="eastAsia" w:ascii="仿宋" w:hAnsi="仿宋" w:eastAsia="仿宋" w:cs="仿宋"/>
          <w:sz w:val="32"/>
          <w:szCs w:val="32"/>
        </w:rPr>
        <w:t>万元，执行期间根据工作安排和开展情况追加收入</w:t>
      </w:r>
      <w:r>
        <w:rPr>
          <w:rFonts w:hint="eastAsia" w:ascii="仿宋" w:hAnsi="仿宋" w:eastAsia="仿宋" w:cs="仿宋"/>
          <w:sz w:val="32"/>
          <w:szCs w:val="32"/>
          <w:lang w:val="en-US" w:eastAsia="zh-CN"/>
        </w:rPr>
        <w:t>10.79</w:t>
      </w:r>
      <w:r>
        <w:rPr>
          <w:rFonts w:hint="eastAsia" w:ascii="仿宋" w:hAnsi="仿宋" w:eastAsia="仿宋" w:cs="仿宋"/>
          <w:sz w:val="32"/>
          <w:szCs w:val="32"/>
        </w:rPr>
        <w:t>万元，调整预算数为</w:t>
      </w:r>
      <w:r>
        <w:rPr>
          <w:rFonts w:hint="eastAsia" w:ascii="仿宋" w:hAnsi="仿宋" w:eastAsia="仿宋" w:cs="仿宋"/>
          <w:sz w:val="32"/>
          <w:szCs w:val="32"/>
          <w:lang w:val="en-US" w:eastAsia="zh-CN"/>
        </w:rPr>
        <w:t>112.25</w:t>
      </w:r>
      <w:r>
        <w:rPr>
          <w:rFonts w:hint="eastAsia" w:ascii="仿宋" w:hAnsi="仿宋" w:eastAsia="仿宋" w:cs="仿宋"/>
          <w:sz w:val="32"/>
          <w:szCs w:val="32"/>
        </w:rPr>
        <w:t>万元，预算安排</w:t>
      </w:r>
      <w:r>
        <w:rPr>
          <w:rFonts w:hint="eastAsia" w:ascii="仿宋" w:hAnsi="仿宋" w:eastAsia="仿宋" w:cs="仿宋"/>
          <w:sz w:val="32"/>
          <w:szCs w:val="32"/>
          <w:lang w:val="en-US" w:eastAsia="zh-CN"/>
        </w:rPr>
        <w:t>较为</w:t>
      </w:r>
      <w:r>
        <w:rPr>
          <w:rFonts w:hint="eastAsia" w:ascii="仿宋" w:hAnsi="仿宋" w:eastAsia="仿宋" w:cs="仿宋"/>
          <w:sz w:val="32"/>
          <w:szCs w:val="32"/>
        </w:rPr>
        <w:t>准确。</w:t>
      </w:r>
    </w:p>
    <w:p>
      <w:pPr>
        <w:pStyle w:val="36"/>
        <w:spacing w:line="360" w:lineRule="auto"/>
        <w:ind w:firstLine="640"/>
        <w:rPr>
          <w:rFonts w:hint="eastAsia" w:ascii="仿宋" w:hAnsi="仿宋" w:eastAsia="仿宋" w:cs="仿宋"/>
          <w:b/>
          <w:bCs/>
          <w:kern w:val="0"/>
          <w:sz w:val="32"/>
          <w:szCs w:val="32"/>
        </w:rPr>
      </w:pPr>
      <w:r>
        <w:rPr>
          <w:rFonts w:hint="eastAsia" w:ascii="仿宋" w:hAnsi="仿宋" w:eastAsia="仿宋" w:cs="仿宋"/>
          <w:b/>
          <w:bCs/>
          <w:kern w:val="0"/>
          <w:sz w:val="32"/>
          <w:szCs w:val="32"/>
        </w:rPr>
        <w:t>4.执行进度</w:t>
      </w:r>
    </w:p>
    <w:p>
      <w:pPr>
        <w:pStyle w:val="36"/>
        <w:spacing w:line="360" w:lineRule="auto"/>
        <w:ind w:firstLine="640"/>
        <w:rPr>
          <w:rFonts w:hint="eastAsia" w:ascii="仿宋" w:hAnsi="仿宋" w:eastAsia="仿宋" w:cs="仿宋"/>
          <w:sz w:val="32"/>
          <w:szCs w:val="32"/>
        </w:rPr>
      </w:pPr>
      <w:r>
        <w:rPr>
          <w:rFonts w:hint="eastAsia" w:ascii="仿宋" w:hAnsi="仿宋" w:eastAsia="仿宋" w:cs="仿宋"/>
          <w:sz w:val="32"/>
          <w:szCs w:val="32"/>
          <w:lang w:eastAsia="zh-CN"/>
        </w:rPr>
        <w:t>2025</w:t>
      </w:r>
      <w:r>
        <w:rPr>
          <w:rFonts w:hint="eastAsia" w:ascii="仿宋" w:hAnsi="仿宋" w:eastAsia="仿宋" w:cs="仿宋"/>
          <w:sz w:val="32"/>
          <w:szCs w:val="32"/>
        </w:rPr>
        <w:t>年壤塘县工商业联合会财政拨款执行数</w:t>
      </w:r>
      <w:r>
        <w:rPr>
          <w:rFonts w:hint="eastAsia" w:ascii="仿宋" w:hAnsi="仿宋" w:eastAsia="仿宋" w:cs="仿宋"/>
          <w:sz w:val="32"/>
          <w:szCs w:val="32"/>
          <w:lang w:val="en-US" w:eastAsia="zh-CN"/>
        </w:rPr>
        <w:t>112.25</w:t>
      </w:r>
      <w:r>
        <w:rPr>
          <w:rFonts w:hint="eastAsia" w:ascii="仿宋" w:hAnsi="仿宋" w:eastAsia="仿宋" w:cs="仿宋"/>
          <w:sz w:val="32"/>
          <w:szCs w:val="32"/>
        </w:rPr>
        <w:t>万元，财政拨款调整预算数</w:t>
      </w:r>
      <w:r>
        <w:rPr>
          <w:rFonts w:hint="eastAsia" w:ascii="仿宋" w:hAnsi="仿宋" w:eastAsia="仿宋" w:cs="仿宋"/>
          <w:sz w:val="32"/>
          <w:szCs w:val="32"/>
          <w:lang w:val="en-US" w:eastAsia="zh-CN"/>
        </w:rPr>
        <w:t>112.25</w:t>
      </w:r>
      <w:r>
        <w:rPr>
          <w:rFonts w:hint="eastAsia" w:ascii="仿宋" w:hAnsi="仿宋" w:eastAsia="仿宋" w:cs="仿宋"/>
          <w:sz w:val="32"/>
          <w:szCs w:val="32"/>
        </w:rPr>
        <w:t>万元，部门总体执行进度</w:t>
      </w:r>
      <w:r>
        <w:rPr>
          <w:rFonts w:hint="eastAsia" w:ascii="仿宋" w:hAnsi="仿宋" w:eastAsia="仿宋" w:cs="仿宋"/>
          <w:sz w:val="32"/>
          <w:szCs w:val="32"/>
          <w:lang w:val="en-US" w:eastAsia="zh-CN"/>
        </w:rPr>
        <w:t>为100%，执行进度较高</w:t>
      </w:r>
      <w:r>
        <w:rPr>
          <w:rFonts w:hint="eastAsia" w:ascii="仿宋" w:hAnsi="仿宋" w:eastAsia="仿宋" w:cs="仿宋"/>
          <w:sz w:val="32"/>
          <w:szCs w:val="32"/>
        </w:rPr>
        <w:t>。</w:t>
      </w:r>
    </w:p>
    <w:p>
      <w:pPr>
        <w:pStyle w:val="36"/>
        <w:spacing w:line="360" w:lineRule="auto"/>
        <w:ind w:firstLine="640"/>
        <w:rPr>
          <w:rFonts w:hint="eastAsia" w:ascii="仿宋" w:hAnsi="仿宋" w:eastAsia="仿宋" w:cs="仿宋"/>
          <w:b/>
          <w:bCs/>
          <w:sz w:val="32"/>
          <w:szCs w:val="32"/>
        </w:rPr>
      </w:pPr>
      <w:r>
        <w:rPr>
          <w:rFonts w:hint="eastAsia" w:ascii="仿宋" w:hAnsi="仿宋" w:eastAsia="仿宋" w:cs="仿宋"/>
          <w:b/>
          <w:bCs/>
          <w:sz w:val="32"/>
          <w:szCs w:val="32"/>
        </w:rPr>
        <w:t>5.预算完成情况</w:t>
      </w:r>
    </w:p>
    <w:p>
      <w:pPr>
        <w:pStyle w:val="36"/>
        <w:spacing w:line="360" w:lineRule="auto"/>
        <w:ind w:firstLine="640"/>
        <w:rPr>
          <w:rFonts w:hint="eastAsia" w:ascii="仿宋" w:hAnsi="仿宋" w:eastAsia="仿宋" w:cs="仿宋"/>
          <w:b/>
          <w:bCs/>
          <w:sz w:val="32"/>
          <w:szCs w:val="32"/>
        </w:rPr>
      </w:pPr>
      <w:r>
        <w:rPr>
          <w:rFonts w:hint="eastAsia" w:ascii="仿宋" w:hAnsi="仿宋" w:eastAsia="仿宋" w:cs="仿宋"/>
          <w:sz w:val="32"/>
          <w:szCs w:val="32"/>
          <w:lang w:eastAsia="zh-CN"/>
        </w:rPr>
        <w:t>2025</w:t>
      </w:r>
      <w:r>
        <w:rPr>
          <w:rFonts w:hint="eastAsia" w:ascii="仿宋" w:hAnsi="仿宋" w:eastAsia="仿宋" w:cs="仿宋"/>
          <w:sz w:val="32"/>
          <w:szCs w:val="32"/>
        </w:rPr>
        <w:t>年壤塘县工商业联合会年初预算数为</w:t>
      </w:r>
      <w:r>
        <w:rPr>
          <w:rFonts w:hint="eastAsia" w:ascii="仿宋" w:hAnsi="仿宋" w:eastAsia="仿宋" w:cs="仿宋"/>
          <w:sz w:val="32"/>
          <w:szCs w:val="32"/>
          <w:lang w:val="en-US" w:eastAsia="zh-CN"/>
        </w:rPr>
        <w:t>101.46</w:t>
      </w:r>
      <w:r>
        <w:rPr>
          <w:rFonts w:hint="eastAsia" w:ascii="仿宋" w:hAnsi="仿宋" w:eastAsia="仿宋" w:cs="仿宋"/>
          <w:sz w:val="32"/>
          <w:szCs w:val="32"/>
        </w:rPr>
        <w:t>万元，执行期间根据工作安排和开展情况追加收入</w:t>
      </w:r>
      <w:r>
        <w:rPr>
          <w:rFonts w:hint="eastAsia" w:ascii="仿宋" w:hAnsi="仿宋" w:eastAsia="仿宋" w:cs="仿宋"/>
          <w:sz w:val="32"/>
          <w:szCs w:val="32"/>
          <w:lang w:val="en-US" w:eastAsia="zh-CN"/>
        </w:rPr>
        <w:t>10.79</w:t>
      </w:r>
      <w:r>
        <w:rPr>
          <w:rFonts w:hint="eastAsia" w:ascii="仿宋" w:hAnsi="仿宋" w:eastAsia="仿宋" w:cs="仿宋"/>
          <w:sz w:val="32"/>
          <w:szCs w:val="32"/>
        </w:rPr>
        <w:t>万元，调整预算数为</w:t>
      </w:r>
      <w:r>
        <w:rPr>
          <w:rFonts w:hint="eastAsia" w:ascii="仿宋" w:hAnsi="仿宋" w:eastAsia="仿宋" w:cs="仿宋"/>
          <w:sz w:val="32"/>
          <w:szCs w:val="32"/>
          <w:lang w:val="en-US" w:eastAsia="zh-CN"/>
        </w:rPr>
        <w:t>112.25</w:t>
      </w:r>
      <w:r>
        <w:rPr>
          <w:rFonts w:hint="eastAsia" w:ascii="仿宋" w:hAnsi="仿宋" w:eastAsia="仿宋" w:cs="仿宋"/>
          <w:sz w:val="32"/>
          <w:szCs w:val="32"/>
        </w:rPr>
        <w:t>万元，</w:t>
      </w:r>
      <w:r>
        <w:rPr>
          <w:rFonts w:hint="eastAsia" w:ascii="仿宋" w:hAnsi="仿宋" w:eastAsia="仿宋" w:cs="仿宋"/>
          <w:sz w:val="32"/>
          <w:szCs w:val="32"/>
          <w:lang w:val="en-US" w:eastAsia="zh-CN"/>
        </w:rPr>
        <w:t>年末无结转结余</w:t>
      </w:r>
      <w:r>
        <w:rPr>
          <w:rFonts w:hint="eastAsia" w:ascii="仿宋" w:hAnsi="仿宋" w:eastAsia="仿宋" w:cs="仿宋"/>
          <w:sz w:val="32"/>
          <w:szCs w:val="32"/>
        </w:rPr>
        <w:t>，预算完成度较高。</w:t>
      </w:r>
    </w:p>
    <w:p>
      <w:pPr>
        <w:pStyle w:val="36"/>
        <w:spacing w:line="360" w:lineRule="auto"/>
        <w:ind w:firstLine="640"/>
        <w:rPr>
          <w:rFonts w:hint="eastAsia" w:ascii="仿宋" w:hAnsi="仿宋" w:eastAsia="仿宋" w:cs="仿宋"/>
          <w:b/>
          <w:bCs/>
          <w:sz w:val="32"/>
          <w:szCs w:val="32"/>
        </w:rPr>
      </w:pPr>
      <w:r>
        <w:rPr>
          <w:rFonts w:hint="eastAsia" w:ascii="仿宋" w:hAnsi="仿宋" w:eastAsia="仿宋" w:cs="仿宋"/>
          <w:b/>
          <w:bCs/>
          <w:sz w:val="32"/>
          <w:szCs w:val="32"/>
        </w:rPr>
        <w:t>6.违规纪录</w:t>
      </w:r>
    </w:p>
    <w:p>
      <w:pPr>
        <w:pStyle w:val="36"/>
        <w:spacing w:line="360" w:lineRule="auto"/>
        <w:ind w:firstLine="640"/>
        <w:rPr>
          <w:rFonts w:hint="eastAsia" w:ascii="仿宋" w:hAnsi="仿宋" w:eastAsia="仿宋" w:cs="仿宋"/>
          <w:sz w:val="32"/>
          <w:szCs w:val="32"/>
        </w:rPr>
      </w:pPr>
      <w:r>
        <w:rPr>
          <w:rFonts w:hint="eastAsia" w:ascii="仿宋" w:hAnsi="仿宋" w:eastAsia="仿宋" w:cs="仿宋"/>
          <w:sz w:val="32"/>
          <w:szCs w:val="32"/>
        </w:rPr>
        <w:t>截至</w:t>
      </w:r>
      <w:r>
        <w:rPr>
          <w:rFonts w:hint="eastAsia" w:ascii="仿宋" w:hAnsi="仿宋" w:eastAsia="仿宋" w:cs="仿宋"/>
          <w:sz w:val="32"/>
          <w:szCs w:val="32"/>
          <w:lang w:eastAsia="zh-CN"/>
        </w:rPr>
        <w:t>2025</w:t>
      </w:r>
      <w:r>
        <w:rPr>
          <w:rFonts w:hint="eastAsia" w:ascii="仿宋" w:hAnsi="仿宋" w:eastAsia="仿宋" w:cs="仿宋"/>
          <w:sz w:val="32"/>
          <w:szCs w:val="32"/>
        </w:rPr>
        <w:t>年12月31日，我单位无违规纪录情况。</w:t>
      </w:r>
    </w:p>
    <w:p>
      <w:pPr>
        <w:pStyle w:val="36"/>
        <w:spacing w:line="360" w:lineRule="auto"/>
        <w:ind w:firstLine="64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7.“三公”经费</w:t>
      </w:r>
    </w:p>
    <w:p>
      <w:pPr>
        <w:pStyle w:val="36"/>
        <w:spacing w:line="360" w:lineRule="auto"/>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“三公”经费控制。壤塘县工商业联合会2025年“三公”经费预算0万元，决算支出0万元。未发生公务用车购置及运行维护费、因公出国（境）费及公务接待费，2025年“三公”经费决算均未超过预算。</w:t>
      </w:r>
    </w:p>
    <w:p>
      <w:pPr>
        <w:pStyle w:val="36"/>
        <w:spacing w:line="360" w:lineRule="auto"/>
        <w:ind w:firstLine="64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8.政府采购</w:t>
      </w:r>
    </w:p>
    <w:p>
      <w:pPr>
        <w:pStyle w:val="36"/>
        <w:spacing w:line="360" w:lineRule="auto"/>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采购规范性。壤塘县工商业联合会2025年度政府采购货物支出0万元，政府采购工程支出0万元，政府采购服务支出0万元。</w:t>
      </w:r>
    </w:p>
    <w:p>
      <w:pPr>
        <w:pStyle w:val="36"/>
        <w:spacing w:line="360" w:lineRule="auto"/>
        <w:ind w:firstLine="64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9.资产管理</w:t>
      </w:r>
      <w:r>
        <w:rPr>
          <w:rFonts w:hint="eastAsia" w:ascii="仿宋" w:hAnsi="仿宋" w:eastAsia="仿宋" w:cs="仿宋"/>
          <w:sz w:val="32"/>
          <w:szCs w:val="32"/>
          <w:lang w:val="en-US" w:eastAsia="zh-CN"/>
        </w:rPr>
        <w:t xml:space="preserve">  </w:t>
      </w:r>
    </w:p>
    <w:p>
      <w:pPr>
        <w:pStyle w:val="36"/>
        <w:spacing w:line="360" w:lineRule="auto"/>
        <w:ind w:firstLine="640"/>
        <w:rPr>
          <w:rFonts w:hint="eastAsia" w:ascii="仿宋" w:hAnsi="仿宋" w:eastAsia="仿宋" w:cs="仿宋"/>
          <w:sz w:val="32"/>
          <w:szCs w:val="32"/>
        </w:rPr>
      </w:pPr>
      <w:r>
        <w:rPr>
          <w:rFonts w:hint="eastAsia" w:ascii="仿宋" w:hAnsi="仿宋" w:eastAsia="仿宋" w:cs="仿宋"/>
          <w:sz w:val="32"/>
          <w:szCs w:val="32"/>
          <w:lang w:val="en-US" w:eastAsia="zh-CN"/>
        </w:rPr>
        <w:t>固定资产在用率。截至2025年12月31日，壤塘县工商业联合会《行政单位资产管理系统》固定资产总计8.98万元，在用的固定资产总计8.98万元，固定资产在用率达100%。</w:t>
      </w:r>
    </w:p>
    <w:p>
      <w:pPr>
        <w:pStyle w:val="36"/>
        <w:numPr>
          <w:ilvl w:val="0"/>
          <w:numId w:val="4"/>
        </w:numPr>
        <w:spacing w:line="360" w:lineRule="auto"/>
        <w:ind w:firstLine="640"/>
        <w:rPr>
          <w:rFonts w:hint="eastAsia" w:ascii="仿宋" w:hAnsi="仿宋" w:eastAsia="仿宋" w:cs="仿宋"/>
          <w:b/>
          <w:bCs/>
          <w:kern w:val="0"/>
          <w:sz w:val="32"/>
          <w:szCs w:val="32"/>
        </w:rPr>
      </w:pPr>
      <w:r>
        <w:rPr>
          <w:rFonts w:hint="eastAsia" w:ascii="仿宋" w:hAnsi="仿宋" w:eastAsia="仿宋" w:cs="仿宋"/>
          <w:b/>
          <w:bCs/>
          <w:kern w:val="0"/>
          <w:sz w:val="32"/>
          <w:szCs w:val="32"/>
        </w:rPr>
        <w:t>结果应用情况</w:t>
      </w:r>
    </w:p>
    <w:p>
      <w:pPr>
        <w:pStyle w:val="36"/>
        <w:spacing w:line="360" w:lineRule="auto"/>
        <w:ind w:firstLine="0" w:firstLineChars="0"/>
        <w:rPr>
          <w:rFonts w:hint="eastAsia" w:ascii="仿宋" w:hAnsi="仿宋" w:eastAsia="仿宋" w:cs="仿宋"/>
          <w:sz w:val="32"/>
          <w:szCs w:val="32"/>
        </w:rPr>
      </w:pPr>
      <w:r>
        <w:rPr>
          <w:rFonts w:hint="eastAsia" w:ascii="仿宋" w:hAnsi="仿宋" w:eastAsia="仿宋" w:cs="仿宋"/>
          <w:b/>
          <w:bCs/>
          <w:kern w:val="0"/>
          <w:sz w:val="32"/>
          <w:szCs w:val="32"/>
        </w:rPr>
        <w:t>　</w:t>
      </w:r>
      <w:r>
        <w:rPr>
          <w:rFonts w:hint="eastAsia" w:ascii="仿宋" w:hAnsi="仿宋" w:eastAsia="仿宋" w:cs="仿宋"/>
          <w:sz w:val="32"/>
          <w:szCs w:val="32"/>
        </w:rPr>
        <w:t>　根据县财政局要求，我会成立自评工作小组，组织实施本单位</w:t>
      </w:r>
      <w:r>
        <w:rPr>
          <w:rFonts w:hint="eastAsia" w:ascii="仿宋" w:hAnsi="仿宋" w:eastAsia="仿宋" w:cs="仿宋"/>
          <w:sz w:val="32"/>
          <w:szCs w:val="32"/>
          <w:lang w:eastAsia="zh-CN"/>
        </w:rPr>
        <w:t>2025</w:t>
      </w:r>
      <w:r>
        <w:rPr>
          <w:rFonts w:hint="eastAsia" w:ascii="仿宋" w:hAnsi="仿宋" w:eastAsia="仿宋" w:cs="仿宋"/>
          <w:sz w:val="32"/>
          <w:szCs w:val="32"/>
        </w:rPr>
        <w:t>年绩效管理自评工作。信息公开情况：按照财政要求，及时在预决算批复后20日内，在壤塘县人民</w:t>
      </w:r>
      <w:r>
        <w:rPr>
          <w:rFonts w:hint="eastAsia" w:ascii="仿宋" w:hAnsi="仿宋" w:eastAsia="仿宋" w:cs="仿宋"/>
          <w:sz w:val="32"/>
          <w:szCs w:val="32"/>
          <w:lang w:eastAsia="zh-CN"/>
        </w:rPr>
        <w:t>政府网站</w:t>
      </w:r>
      <w:r>
        <w:rPr>
          <w:rFonts w:hint="eastAsia" w:ascii="仿宋" w:hAnsi="仿宋" w:eastAsia="仿宋" w:cs="仿宋"/>
          <w:sz w:val="32"/>
          <w:szCs w:val="32"/>
        </w:rPr>
        <w:t>进行了信息公开，公开内容真实、完整。依法接受财政、审计、纪检监察、巡查等部门的监督检查。严守财经法规，</w:t>
      </w:r>
      <w:r>
        <w:rPr>
          <w:rFonts w:hint="eastAsia" w:ascii="仿宋" w:hAnsi="仿宋" w:eastAsia="仿宋" w:cs="仿宋"/>
          <w:sz w:val="32"/>
          <w:szCs w:val="32"/>
          <w:lang w:eastAsia="zh-CN"/>
        </w:rPr>
        <w:t>严肃财经纪律</w:t>
      </w:r>
      <w:r>
        <w:rPr>
          <w:rFonts w:hint="eastAsia" w:ascii="仿宋" w:hAnsi="仿宋" w:eastAsia="仿宋" w:cs="仿宋"/>
          <w:sz w:val="32"/>
          <w:szCs w:val="32"/>
        </w:rPr>
        <w:t>，依法接受财政、审计、巡察、派驻</w:t>
      </w:r>
      <w:r>
        <w:rPr>
          <w:rFonts w:hint="eastAsia" w:ascii="仿宋" w:hAnsi="仿宋" w:eastAsia="仿宋" w:cs="仿宋"/>
          <w:sz w:val="32"/>
          <w:szCs w:val="32"/>
          <w:lang w:eastAsia="zh-CN"/>
        </w:rPr>
        <w:t>纪检监察</w:t>
      </w:r>
      <w:r>
        <w:rPr>
          <w:rFonts w:hint="eastAsia" w:ascii="仿宋" w:hAnsi="仿宋" w:eastAsia="仿宋" w:cs="仿宋"/>
          <w:sz w:val="32"/>
          <w:szCs w:val="32"/>
        </w:rPr>
        <w:t>，按时上报各类资料。严格遵守中央八项规定及省市县有关厉行勤俭节约相关规定，严格执行财务管理制度，根据年初预算合理安排日常公用经费资金，做到厉行节约、精打细算，把有效的资金用到刀刃上，让财政资金发挥最大的社会及经济效益并保证全局各项工作的正常运转。</w:t>
      </w:r>
    </w:p>
    <w:p>
      <w:pPr>
        <w:pStyle w:val="36"/>
        <w:spacing w:line="360" w:lineRule="auto"/>
        <w:ind w:firstLine="640"/>
        <w:rPr>
          <w:rFonts w:hint="eastAsia" w:ascii="仿宋" w:hAnsi="仿宋" w:eastAsia="仿宋" w:cs="仿宋"/>
          <w:b/>
          <w:bCs/>
          <w:kern w:val="0"/>
          <w:sz w:val="32"/>
          <w:szCs w:val="32"/>
        </w:rPr>
      </w:pPr>
      <w:r>
        <w:rPr>
          <w:rFonts w:hint="eastAsia" w:ascii="仿宋" w:hAnsi="仿宋" w:eastAsia="仿宋" w:cs="仿宋"/>
          <w:b/>
          <w:bCs/>
          <w:kern w:val="0"/>
          <w:sz w:val="32"/>
          <w:szCs w:val="32"/>
        </w:rPr>
        <w:t>四、评价结论及措施</w:t>
      </w:r>
    </w:p>
    <w:p>
      <w:pPr>
        <w:pStyle w:val="36"/>
        <w:spacing w:line="360" w:lineRule="auto"/>
        <w:ind w:firstLine="640"/>
        <w:rPr>
          <w:rFonts w:hint="eastAsia" w:ascii="仿宋" w:hAnsi="仿宋" w:eastAsia="仿宋" w:cs="仿宋"/>
          <w:b/>
          <w:bCs/>
          <w:sz w:val="32"/>
          <w:szCs w:val="32"/>
        </w:rPr>
      </w:pPr>
      <w:r>
        <w:rPr>
          <w:rFonts w:hint="eastAsia" w:ascii="仿宋" w:hAnsi="仿宋" w:eastAsia="仿宋" w:cs="仿宋"/>
          <w:b/>
          <w:bCs/>
          <w:sz w:val="32"/>
          <w:szCs w:val="32"/>
        </w:rPr>
        <w:t>（一）评价结论</w:t>
      </w:r>
    </w:p>
    <w:p>
      <w:pPr>
        <w:pStyle w:val="36"/>
        <w:spacing w:line="360" w:lineRule="auto"/>
        <w:ind w:firstLine="640"/>
        <w:rPr>
          <w:rFonts w:hint="eastAsia" w:ascii="仿宋" w:hAnsi="仿宋" w:eastAsia="仿宋" w:cs="仿宋"/>
          <w:b/>
          <w:bCs/>
          <w:sz w:val="32"/>
          <w:szCs w:val="32"/>
        </w:rPr>
      </w:pPr>
      <w:r>
        <w:rPr>
          <w:rFonts w:hint="eastAsia" w:ascii="仿宋" w:hAnsi="仿宋" w:eastAsia="仿宋" w:cs="仿宋"/>
          <w:sz w:val="32"/>
          <w:szCs w:val="32"/>
          <w:lang w:val="zh-CN"/>
        </w:rPr>
        <w:t>我</w:t>
      </w:r>
      <w:r>
        <w:rPr>
          <w:rFonts w:hint="eastAsia" w:ascii="仿宋" w:hAnsi="仿宋" w:eastAsia="仿宋" w:cs="仿宋"/>
          <w:sz w:val="32"/>
          <w:szCs w:val="32"/>
        </w:rPr>
        <w:t>会</w:t>
      </w:r>
      <w:r>
        <w:rPr>
          <w:rFonts w:hint="eastAsia" w:ascii="仿宋" w:hAnsi="仿宋" w:eastAsia="仿宋" w:cs="仿宋"/>
          <w:sz w:val="32"/>
          <w:szCs w:val="32"/>
          <w:lang w:val="zh-CN"/>
        </w:rPr>
        <w:t>通过</w:t>
      </w:r>
      <w:bookmarkStart w:id="73" w:name="_GoBack"/>
      <w:bookmarkEnd w:id="73"/>
      <w:r>
        <w:rPr>
          <w:rFonts w:hint="eastAsia" w:ascii="仿宋" w:hAnsi="仿宋" w:eastAsia="仿宋" w:cs="仿宋"/>
          <w:sz w:val="32"/>
          <w:szCs w:val="32"/>
          <w:lang w:val="zh-CN"/>
        </w:rPr>
        <w:t>加强预算绩效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w:t>
      </w:r>
      <w:r>
        <w:rPr>
          <w:rFonts w:hint="eastAsia" w:ascii="仿宋" w:hAnsi="仿宋" w:eastAsia="仿宋" w:cs="仿宋"/>
          <w:sz w:val="32"/>
          <w:szCs w:val="32"/>
        </w:rPr>
        <w:t>会</w:t>
      </w:r>
      <w:r>
        <w:rPr>
          <w:rFonts w:hint="eastAsia" w:ascii="仿宋" w:hAnsi="仿宋" w:eastAsia="仿宋" w:cs="仿宋"/>
          <w:sz w:val="32"/>
          <w:szCs w:val="32"/>
          <w:lang w:val="zh-CN"/>
        </w:rPr>
        <w:t>将继续努力，科学合理编制预决算，进行绩效评价，加强精细管理，完善不足</w:t>
      </w:r>
      <w:r>
        <w:rPr>
          <w:rFonts w:hint="eastAsia" w:ascii="仿宋" w:hAnsi="仿宋" w:eastAsia="仿宋" w:cs="仿宋"/>
          <w:sz w:val="32"/>
          <w:szCs w:val="32"/>
        </w:rPr>
        <w:t>。</w:t>
      </w:r>
    </w:p>
    <w:p>
      <w:pPr>
        <w:pStyle w:val="36"/>
        <w:spacing w:line="360" w:lineRule="auto"/>
        <w:ind w:firstLine="640"/>
        <w:rPr>
          <w:rFonts w:hint="eastAsia" w:ascii="仿宋" w:hAnsi="仿宋" w:eastAsia="仿宋" w:cs="仿宋"/>
          <w:b/>
          <w:bCs/>
          <w:sz w:val="32"/>
          <w:szCs w:val="32"/>
        </w:rPr>
      </w:pPr>
      <w:r>
        <w:rPr>
          <w:rFonts w:hint="eastAsia" w:ascii="仿宋" w:hAnsi="仿宋" w:eastAsia="仿宋" w:cs="仿宋"/>
          <w:b/>
          <w:bCs/>
          <w:sz w:val="32"/>
          <w:szCs w:val="32"/>
        </w:rPr>
        <w:t>（二）存在问题</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zh-CN"/>
        </w:rPr>
      </w:pPr>
      <w:r>
        <w:rPr>
          <w:rFonts w:hint="eastAsia" w:ascii="仿宋" w:hAnsi="仿宋" w:eastAsia="仿宋" w:cs="仿宋"/>
          <w:sz w:val="32"/>
          <w:szCs w:val="32"/>
          <w:lang w:val="en-US" w:eastAsia="zh-CN"/>
        </w:rPr>
        <w:t>1.执行期间根据工作安排和开展情况追加收入较多，年初预算数与调整预算数差别较大，预算安排不准确</w:t>
      </w:r>
      <w:r>
        <w:rPr>
          <w:rFonts w:hint="eastAsia" w:ascii="仿宋" w:hAnsi="仿宋" w:eastAsia="仿宋" w:cs="仿宋"/>
          <w:sz w:val="32"/>
          <w:szCs w:val="32"/>
          <w:lang w:val="zh-CN"/>
        </w:rPr>
        <w:t>。</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2.未制定明确的财务监控监督措施。</w:t>
      </w:r>
    </w:p>
    <w:p>
      <w:pPr>
        <w:keepNext w:val="0"/>
        <w:keepLines w:val="0"/>
        <w:pageBreakBefore w:val="0"/>
        <w:widowControl/>
        <w:kinsoku/>
        <w:wordWrap/>
        <w:overflowPunct/>
        <w:topLinePunct w:val="0"/>
        <w:autoSpaceDE/>
        <w:autoSpaceDN/>
        <w:bidi w:val="0"/>
        <w:adjustRightInd/>
        <w:snapToGrid/>
        <w:ind w:firstLine="642" w:firstLineChars="200"/>
        <w:textAlignment w:val="auto"/>
        <w:rPr>
          <w:rFonts w:hint="eastAsia" w:ascii="仿宋" w:hAnsi="仿宋" w:eastAsia="仿宋" w:cs="仿宋"/>
          <w:b/>
          <w:bCs/>
          <w:sz w:val="32"/>
          <w:szCs w:val="32"/>
          <w:lang w:val="zh-CN"/>
        </w:rPr>
      </w:pPr>
      <w:r>
        <w:rPr>
          <w:rFonts w:hint="eastAsia" w:ascii="仿宋" w:hAnsi="仿宋" w:eastAsia="仿宋" w:cs="仿宋"/>
          <w:b/>
          <w:bCs/>
          <w:sz w:val="32"/>
          <w:szCs w:val="32"/>
          <w:lang w:val="zh-CN"/>
        </w:rPr>
        <w:t>（三）改进建议</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1.加强预算安排准确性，尽量减少执行中期追加数。</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rPr>
      </w:pPr>
      <w:r>
        <w:rPr>
          <w:rFonts w:hint="eastAsia" w:ascii="仿宋" w:hAnsi="仿宋" w:eastAsia="仿宋" w:cs="仿宋"/>
          <w:sz w:val="32"/>
          <w:szCs w:val="32"/>
          <w:lang w:val="en-US" w:eastAsia="zh-CN"/>
        </w:rPr>
        <w:t>2.制定明确的财务监控监督措施且确保监控监督措施执行有效。</w:t>
      </w:r>
    </w:p>
    <w:p>
      <w:pPr>
        <w:pStyle w:val="8"/>
        <w:rPr>
          <w:rFonts w:hint="eastAsia" w:ascii="仿宋" w:hAnsi="仿宋" w:eastAsia="仿宋" w:cs="仿宋"/>
          <w:color w:val="auto"/>
          <w:kern w:val="0"/>
          <w:sz w:val="32"/>
          <w:szCs w:val="32"/>
          <w:highlight w:val="none"/>
          <w:shd w:val="clear" w:color="auto" w:fill="FFFFFF"/>
          <w:lang w:val="zh-CN"/>
        </w:rPr>
      </w:pPr>
    </w:p>
    <w:p>
      <w:pPr>
        <w:pStyle w:val="8"/>
        <w:rPr>
          <w:rFonts w:hint="eastAsia" w:ascii="仿宋" w:hAnsi="仿宋" w:eastAsia="仿宋" w:cs="仿宋"/>
          <w:color w:val="auto"/>
          <w:kern w:val="0"/>
          <w:sz w:val="32"/>
          <w:szCs w:val="32"/>
          <w:highlight w:val="none"/>
          <w:shd w:val="clear" w:color="auto" w:fill="FFFFFF"/>
          <w:lang w:val="zh-CN"/>
        </w:rPr>
      </w:pPr>
    </w:p>
    <w:p>
      <w:pPr>
        <w:pStyle w:val="8"/>
        <w:rPr>
          <w:rFonts w:hint="eastAsia" w:ascii="仿宋" w:hAnsi="仿宋" w:eastAsia="仿宋" w:cs="仿宋"/>
          <w:color w:val="auto"/>
          <w:kern w:val="0"/>
          <w:sz w:val="32"/>
          <w:szCs w:val="32"/>
          <w:highlight w:val="none"/>
          <w:shd w:val="clear" w:color="auto" w:fill="FFFFFF"/>
          <w:lang w:val="zh-CN"/>
        </w:rPr>
      </w:pPr>
    </w:p>
    <w:p>
      <w:pPr>
        <w:pStyle w:val="8"/>
        <w:rPr>
          <w:rFonts w:hint="eastAsia" w:ascii="仿宋" w:hAnsi="仿宋" w:eastAsia="仿宋" w:cs="仿宋"/>
          <w:color w:val="auto"/>
          <w:kern w:val="0"/>
          <w:sz w:val="32"/>
          <w:szCs w:val="32"/>
          <w:highlight w:val="none"/>
          <w:shd w:val="clear" w:color="auto" w:fill="FFFFFF"/>
          <w:lang w:val="zh-CN"/>
        </w:rPr>
      </w:pPr>
    </w:p>
    <w:p>
      <w:pPr>
        <w:pStyle w:val="8"/>
        <w:rPr>
          <w:rFonts w:hint="eastAsia" w:ascii="仿宋" w:hAnsi="仿宋" w:eastAsia="仿宋" w:cs="仿宋"/>
          <w:color w:val="auto"/>
          <w:kern w:val="0"/>
          <w:sz w:val="32"/>
          <w:szCs w:val="32"/>
          <w:highlight w:val="none"/>
          <w:shd w:val="clear" w:color="auto" w:fill="FFFFFF"/>
          <w:lang w:val="zh-CN"/>
        </w:rPr>
      </w:pPr>
    </w:p>
    <w:p>
      <w:pPr>
        <w:pStyle w:val="8"/>
        <w:rPr>
          <w:rFonts w:hint="eastAsia" w:ascii="仿宋" w:hAnsi="仿宋" w:eastAsia="仿宋" w:cs="仿宋"/>
          <w:color w:val="auto"/>
          <w:kern w:val="0"/>
          <w:sz w:val="32"/>
          <w:szCs w:val="32"/>
          <w:highlight w:val="none"/>
          <w:shd w:val="clear" w:color="auto" w:fill="FFFFFF"/>
          <w:lang w:val="zh-CN"/>
        </w:rPr>
      </w:pPr>
    </w:p>
    <w:p>
      <w:pPr>
        <w:pStyle w:val="8"/>
        <w:rPr>
          <w:rFonts w:hint="eastAsia" w:ascii="仿宋" w:hAnsi="仿宋" w:eastAsia="仿宋" w:cs="仿宋"/>
          <w:color w:val="auto"/>
          <w:kern w:val="0"/>
          <w:sz w:val="32"/>
          <w:szCs w:val="32"/>
          <w:highlight w:val="none"/>
          <w:shd w:val="clear" w:color="auto" w:fill="FFFFFF"/>
          <w:lang w:val="zh-CN"/>
        </w:rPr>
      </w:pPr>
    </w:p>
    <w:p>
      <w:pPr>
        <w:pStyle w:val="8"/>
        <w:rPr>
          <w:rFonts w:hint="eastAsia" w:ascii="仿宋" w:hAnsi="仿宋" w:eastAsia="仿宋" w:cs="仿宋"/>
          <w:color w:val="auto"/>
          <w:kern w:val="0"/>
          <w:sz w:val="32"/>
          <w:szCs w:val="32"/>
          <w:highlight w:val="none"/>
          <w:shd w:val="clear" w:color="auto" w:fill="FFFFFF"/>
          <w:lang w:val="zh-CN"/>
        </w:rPr>
      </w:pPr>
    </w:p>
    <w:p>
      <w:pPr>
        <w:pStyle w:val="8"/>
        <w:rPr>
          <w:rFonts w:hint="eastAsia" w:ascii="仿宋" w:hAnsi="仿宋" w:eastAsia="仿宋" w:cs="仿宋"/>
          <w:color w:val="auto"/>
          <w:kern w:val="0"/>
          <w:sz w:val="32"/>
          <w:szCs w:val="32"/>
          <w:highlight w:val="none"/>
          <w:shd w:val="clear" w:color="auto" w:fill="FFFFFF"/>
          <w:lang w:val="zh-CN"/>
        </w:rPr>
      </w:pPr>
    </w:p>
    <w:p>
      <w:pPr>
        <w:pStyle w:val="8"/>
        <w:rPr>
          <w:rFonts w:hint="eastAsia" w:ascii="仿宋" w:hAnsi="仿宋" w:eastAsia="仿宋" w:cs="仿宋"/>
          <w:color w:val="auto"/>
          <w:sz w:val="32"/>
          <w:szCs w:val="32"/>
          <w:highlight w:val="none"/>
          <w:lang w:val="en-US" w:eastAsia="zh-CN"/>
        </w:rPr>
      </w:pPr>
      <w:r>
        <w:rPr>
          <w:rFonts w:hint="eastAsia" w:ascii="仿宋" w:hAnsi="仿宋" w:eastAsia="仿宋" w:cs="仿宋"/>
          <w:color w:val="auto"/>
          <w:kern w:val="0"/>
          <w:sz w:val="32"/>
          <w:szCs w:val="32"/>
          <w:highlight w:val="none"/>
          <w:shd w:val="clear" w:color="auto" w:fill="FFFFFF"/>
          <w:lang w:val="zh-CN"/>
        </w:rPr>
        <w:t>附件</w:t>
      </w:r>
      <w:r>
        <w:rPr>
          <w:rFonts w:hint="eastAsia" w:ascii="仿宋" w:hAnsi="仿宋" w:eastAsia="仿宋" w:cs="仿宋"/>
          <w:color w:val="auto"/>
          <w:kern w:val="0"/>
          <w:sz w:val="32"/>
          <w:szCs w:val="32"/>
          <w:highlight w:val="none"/>
          <w:shd w:val="clear" w:color="auto" w:fill="FFFFFF"/>
          <w:lang w:val="en-US" w:eastAsia="zh-CN"/>
        </w:rPr>
        <w:t>2</w:t>
      </w:r>
    </w:p>
    <w:p>
      <w:pPr>
        <w:widowControl/>
        <w:jc w:val="center"/>
        <w:rPr>
          <w:rFonts w:hint="eastAsia" w:ascii="仿宋" w:hAnsi="仿宋" w:eastAsia="仿宋" w:cs="仿宋"/>
          <w:color w:val="auto"/>
          <w:sz w:val="44"/>
          <w:szCs w:val="44"/>
          <w:highlight w:val="none"/>
        </w:rPr>
      </w:pP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仿宋" w:hAnsi="仿宋" w:eastAsia="仿宋" w:cs="仿宋"/>
          <w:color w:val="auto"/>
          <w:kern w:val="2"/>
          <w:sz w:val="44"/>
          <w:szCs w:val="44"/>
          <w:highlight w:val="none"/>
          <w:lang w:val="en-US" w:eastAsia="zh-CN"/>
        </w:rPr>
      </w:pPr>
      <w:r>
        <w:rPr>
          <w:rFonts w:hint="eastAsia" w:ascii="仿宋" w:hAnsi="仿宋" w:eastAsia="仿宋" w:cs="仿宋"/>
          <w:color w:val="auto"/>
          <w:kern w:val="2"/>
          <w:sz w:val="44"/>
          <w:szCs w:val="44"/>
          <w:highlight w:val="none"/>
          <w:lang w:val="en-US" w:eastAsia="zh-CN"/>
        </w:rPr>
        <w:t>专项预算项目绩效评价报告范本</w:t>
      </w:r>
    </w:p>
    <w:p>
      <w:pPr>
        <w:widowControl/>
        <w:jc w:val="center"/>
        <w:rPr>
          <w:rFonts w:hint="eastAsia" w:ascii="仿宋" w:hAnsi="仿宋" w:eastAsia="仿宋" w:cs="仿宋"/>
          <w:color w:val="auto"/>
          <w:sz w:val="44"/>
          <w:szCs w:val="44"/>
          <w:highlight w:val="none"/>
        </w:rPr>
      </w:pPr>
    </w:p>
    <w:p>
      <w:pPr>
        <w:widowControl/>
        <w:jc w:val="center"/>
        <w:rPr>
          <w:rFonts w:hint="eastAsia" w:ascii="仿宋" w:hAnsi="仿宋" w:eastAsia="仿宋" w:cs="仿宋"/>
          <w:color w:val="auto"/>
          <w:sz w:val="44"/>
          <w:szCs w:val="44"/>
          <w:highlight w:val="none"/>
        </w:rPr>
      </w:pPr>
    </w:p>
    <w:p>
      <w:pPr>
        <w:widowControl/>
        <w:jc w:val="center"/>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2025年壤塘县工商联合会无专项项目</w:t>
      </w:r>
    </w:p>
    <w:p>
      <w:pPr>
        <w:widowControl/>
        <w:jc w:val="center"/>
        <w:rPr>
          <w:rFonts w:hint="eastAsia" w:ascii="仿宋" w:hAnsi="仿宋" w:eastAsia="仿宋" w:cs="仿宋"/>
          <w:kern w:val="2"/>
          <w:sz w:val="32"/>
          <w:szCs w:val="32"/>
          <w:lang w:val="zh-CN" w:eastAsia="zh-CN" w:bidi="ar-SA"/>
        </w:rPr>
      </w:pPr>
    </w:p>
    <w:p>
      <w:pPr>
        <w:widowControl/>
        <w:jc w:val="center"/>
        <w:rPr>
          <w:rFonts w:hint="eastAsia" w:ascii="仿宋" w:hAnsi="仿宋" w:eastAsia="仿宋" w:cs="仿宋"/>
          <w:color w:val="auto"/>
          <w:sz w:val="44"/>
          <w:szCs w:val="44"/>
          <w:highlight w:val="none"/>
        </w:rPr>
      </w:pPr>
    </w:p>
    <w:p>
      <w:pPr>
        <w:widowControl/>
        <w:jc w:val="center"/>
        <w:rPr>
          <w:rFonts w:hint="eastAsia" w:ascii="仿宋" w:hAnsi="仿宋" w:eastAsia="仿宋" w:cs="仿宋"/>
          <w:color w:val="auto"/>
          <w:sz w:val="44"/>
          <w:szCs w:val="44"/>
          <w:highlight w:val="none"/>
        </w:rPr>
      </w:pPr>
    </w:p>
    <w:p>
      <w:pPr>
        <w:widowControl/>
        <w:jc w:val="center"/>
        <w:rPr>
          <w:rFonts w:hint="eastAsia" w:ascii="仿宋" w:hAnsi="仿宋" w:eastAsia="仿宋" w:cs="仿宋"/>
          <w:color w:val="auto"/>
          <w:sz w:val="44"/>
          <w:szCs w:val="44"/>
          <w:highlight w:val="none"/>
        </w:rPr>
      </w:pPr>
    </w:p>
    <w:p>
      <w:pPr>
        <w:widowControl/>
        <w:jc w:val="center"/>
        <w:rPr>
          <w:rFonts w:hint="eastAsia" w:ascii="仿宋" w:hAnsi="仿宋" w:eastAsia="仿宋" w:cs="仿宋"/>
          <w:color w:val="auto"/>
          <w:sz w:val="44"/>
          <w:szCs w:val="44"/>
          <w:highlight w:val="none"/>
        </w:rPr>
      </w:pPr>
    </w:p>
    <w:p>
      <w:pPr>
        <w:widowControl/>
        <w:jc w:val="center"/>
        <w:rPr>
          <w:rFonts w:hint="eastAsia" w:ascii="仿宋" w:hAnsi="仿宋" w:eastAsia="仿宋" w:cs="仿宋"/>
          <w:color w:val="auto"/>
          <w:sz w:val="44"/>
          <w:szCs w:val="44"/>
          <w:highlight w:val="none"/>
        </w:rPr>
      </w:pPr>
    </w:p>
    <w:p>
      <w:pPr>
        <w:widowControl/>
        <w:jc w:val="center"/>
        <w:rPr>
          <w:rFonts w:hint="eastAsia" w:ascii="仿宋" w:hAnsi="仿宋" w:eastAsia="仿宋" w:cs="仿宋"/>
          <w:color w:val="auto"/>
          <w:sz w:val="44"/>
          <w:szCs w:val="44"/>
          <w:highlight w:val="none"/>
        </w:rPr>
      </w:pPr>
    </w:p>
    <w:p>
      <w:pPr>
        <w:widowControl/>
        <w:jc w:val="center"/>
        <w:rPr>
          <w:rFonts w:hint="eastAsia" w:ascii="仿宋" w:hAnsi="仿宋" w:eastAsia="仿宋" w:cs="仿宋"/>
          <w:color w:val="auto"/>
          <w:sz w:val="44"/>
          <w:szCs w:val="44"/>
          <w:highlight w:val="none"/>
        </w:rPr>
      </w:pPr>
    </w:p>
    <w:p>
      <w:pPr>
        <w:widowControl/>
        <w:jc w:val="center"/>
        <w:rPr>
          <w:rFonts w:hint="eastAsia" w:ascii="仿宋" w:hAnsi="仿宋" w:eastAsia="仿宋" w:cs="仿宋"/>
          <w:color w:val="auto"/>
          <w:sz w:val="44"/>
          <w:szCs w:val="44"/>
          <w:highlight w:val="none"/>
        </w:rPr>
      </w:pPr>
    </w:p>
    <w:p>
      <w:pPr>
        <w:pStyle w:val="2"/>
        <w:rPr>
          <w:rFonts w:hint="eastAsia" w:ascii="仿宋" w:hAnsi="仿宋" w:eastAsia="仿宋" w:cs="仿宋"/>
          <w:color w:val="auto"/>
          <w:sz w:val="44"/>
          <w:szCs w:val="44"/>
          <w:highlight w:val="none"/>
        </w:rPr>
      </w:pPr>
    </w:p>
    <w:p>
      <w:pPr>
        <w:pStyle w:val="3"/>
        <w:rPr>
          <w:rFonts w:hint="eastAsia" w:ascii="仿宋" w:hAnsi="仿宋" w:eastAsia="仿宋" w:cs="仿宋"/>
          <w:color w:val="auto"/>
          <w:sz w:val="44"/>
          <w:szCs w:val="44"/>
          <w:highlight w:val="none"/>
        </w:rPr>
      </w:pPr>
    </w:p>
    <w:p>
      <w:pPr>
        <w:rPr>
          <w:rFonts w:hint="eastAsia" w:ascii="仿宋" w:hAnsi="仿宋" w:eastAsia="仿宋" w:cs="仿宋"/>
          <w:color w:val="auto"/>
          <w:sz w:val="44"/>
          <w:szCs w:val="44"/>
          <w:highlight w:val="none"/>
        </w:rPr>
      </w:pPr>
    </w:p>
    <w:p>
      <w:pPr>
        <w:pStyle w:val="2"/>
        <w:rPr>
          <w:rFonts w:hint="eastAsia" w:ascii="仿宋" w:hAnsi="仿宋" w:eastAsia="仿宋" w:cs="仿宋"/>
          <w:color w:val="auto"/>
          <w:sz w:val="44"/>
          <w:szCs w:val="44"/>
          <w:highlight w:val="none"/>
        </w:rPr>
      </w:pPr>
    </w:p>
    <w:p>
      <w:pPr>
        <w:pStyle w:val="3"/>
        <w:rPr>
          <w:rFonts w:hint="eastAsia" w:ascii="仿宋" w:hAnsi="仿宋" w:eastAsia="仿宋" w:cs="仿宋"/>
        </w:rPr>
      </w:pPr>
    </w:p>
    <w:p>
      <w:pPr>
        <w:widowControl/>
        <w:jc w:val="center"/>
        <w:rPr>
          <w:rFonts w:hint="eastAsia" w:ascii="仿宋" w:hAnsi="仿宋" w:eastAsia="仿宋" w:cs="仿宋"/>
          <w:color w:val="auto"/>
          <w:sz w:val="44"/>
          <w:szCs w:val="44"/>
          <w:highlight w:val="none"/>
        </w:rPr>
      </w:pPr>
    </w:p>
    <w:p>
      <w:pPr>
        <w:widowControl/>
        <w:jc w:val="center"/>
        <w:rPr>
          <w:rFonts w:hint="eastAsia" w:ascii="仿宋" w:hAnsi="仿宋" w:eastAsia="仿宋" w:cs="仿宋"/>
          <w:color w:val="auto"/>
          <w:sz w:val="44"/>
          <w:szCs w:val="44"/>
          <w:highlight w:val="none"/>
        </w:rPr>
      </w:pPr>
    </w:p>
    <w:p>
      <w:pPr>
        <w:widowControl/>
        <w:jc w:val="center"/>
        <w:rPr>
          <w:rFonts w:hint="eastAsia" w:ascii="仿宋" w:hAnsi="仿宋" w:eastAsia="仿宋" w:cs="仿宋"/>
          <w:b w:val="0"/>
          <w:color w:val="auto"/>
          <w:highlight w:val="none"/>
        </w:rPr>
      </w:pPr>
      <w:r>
        <w:rPr>
          <w:rFonts w:hint="eastAsia" w:ascii="仿宋" w:hAnsi="仿宋" w:eastAsia="仿宋" w:cs="仿宋"/>
          <w:color w:val="auto"/>
          <w:sz w:val="44"/>
          <w:szCs w:val="44"/>
          <w:highlight w:val="none"/>
        </w:rPr>
        <w:t>第</w:t>
      </w:r>
      <w:r>
        <w:rPr>
          <w:rStyle w:val="29"/>
          <w:rFonts w:hint="eastAsia" w:ascii="仿宋" w:hAnsi="仿宋" w:eastAsia="仿宋" w:cs="仿宋"/>
          <w:b w:val="0"/>
          <w:color w:val="auto"/>
          <w:highlight w:val="none"/>
        </w:rPr>
        <w:t>五部分 附表</w:t>
      </w:r>
      <w:bookmarkEnd w:id="54"/>
      <w:bookmarkEnd w:id="59"/>
      <w:bookmarkStart w:id="60"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一、收入支出决算总表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1" w:name="_Toc15396620"/>
      <w:r>
        <w:rPr>
          <w:rFonts w:hint="eastAsia" w:ascii="仿宋" w:hAnsi="仿宋" w:eastAsia="仿宋" w:cs="仿宋"/>
          <w:color w:val="auto"/>
          <w:sz w:val="32"/>
          <w:szCs w:val="32"/>
          <w:highlight w:val="none"/>
        </w:rPr>
        <w:t>二、收入决算表</w:t>
      </w:r>
      <w:bookmarkEnd w:id="6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2" w:name="_Toc15396621"/>
      <w:r>
        <w:rPr>
          <w:rFonts w:hint="eastAsia" w:ascii="仿宋" w:hAnsi="仿宋" w:eastAsia="仿宋" w:cs="仿宋"/>
          <w:color w:val="auto"/>
          <w:sz w:val="32"/>
          <w:szCs w:val="32"/>
          <w:highlight w:val="none"/>
        </w:rPr>
        <w:t>三、支出决算表</w:t>
      </w:r>
      <w:bookmarkEnd w:id="6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3" w:name="_Toc15396622"/>
      <w:r>
        <w:rPr>
          <w:rFonts w:hint="eastAsia" w:ascii="仿宋" w:hAnsi="仿宋" w:eastAsia="仿宋" w:cs="仿宋"/>
          <w:color w:val="auto"/>
          <w:sz w:val="32"/>
          <w:szCs w:val="32"/>
          <w:highlight w:val="none"/>
        </w:rPr>
        <w:t>四、财政拨款收入支出决算总表</w:t>
      </w:r>
      <w:bookmarkEnd w:id="6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4" w:name="_Toc15396623"/>
      <w:r>
        <w:rPr>
          <w:rFonts w:hint="eastAsia" w:ascii="仿宋" w:hAnsi="仿宋" w:eastAsia="仿宋" w:cs="仿宋"/>
          <w:color w:val="auto"/>
          <w:sz w:val="32"/>
          <w:szCs w:val="32"/>
          <w:highlight w:val="none"/>
        </w:rPr>
        <w:t>五、财政拨款支出决算明细表</w:t>
      </w:r>
      <w:bookmarkEnd w:id="64"/>
      <w:bookmarkStart w:id="65"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六、一般公共预算财政拨款支出决算表</w:t>
      </w:r>
      <w:bookmarkEnd w:id="6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6" w:name="_Toc15396625"/>
      <w:r>
        <w:rPr>
          <w:rFonts w:hint="eastAsia" w:ascii="仿宋" w:hAnsi="仿宋" w:eastAsia="仿宋" w:cs="仿宋"/>
          <w:color w:val="auto"/>
          <w:sz w:val="32"/>
          <w:szCs w:val="32"/>
          <w:highlight w:val="none"/>
        </w:rPr>
        <w:t>七、一般公共预算财政拨款支出决算明细表</w:t>
      </w:r>
      <w:bookmarkEnd w:id="6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7" w:name="_Toc15396626"/>
      <w:r>
        <w:rPr>
          <w:rFonts w:hint="eastAsia" w:ascii="仿宋" w:hAnsi="仿宋" w:eastAsia="仿宋" w:cs="仿宋"/>
          <w:color w:val="auto"/>
          <w:sz w:val="32"/>
          <w:szCs w:val="32"/>
          <w:highlight w:val="none"/>
        </w:rPr>
        <w:t>八、一般公共预算财政拨款基本支出决算表</w:t>
      </w:r>
      <w:bookmarkEnd w:id="6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8" w:name="_Toc15396627"/>
      <w:r>
        <w:rPr>
          <w:rFonts w:hint="eastAsia" w:ascii="仿宋" w:hAnsi="仿宋" w:eastAsia="仿宋" w:cs="仿宋"/>
          <w:color w:val="auto"/>
          <w:sz w:val="32"/>
          <w:szCs w:val="32"/>
          <w:highlight w:val="none"/>
        </w:rPr>
        <w:t>九、一般公共预算财政拨款项目支出决算表</w:t>
      </w:r>
      <w:bookmarkEnd w:id="6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9" w:name="_Toc15396628"/>
      <w:r>
        <w:rPr>
          <w:rFonts w:hint="eastAsia" w:ascii="仿宋" w:hAnsi="仿宋" w:eastAsia="仿宋" w:cs="仿宋"/>
          <w:color w:val="auto"/>
          <w:sz w:val="32"/>
          <w:szCs w:val="32"/>
          <w:highlight w:val="none"/>
        </w:rPr>
        <w:t>十、</w:t>
      </w:r>
      <w:bookmarkEnd w:id="69"/>
      <w:r>
        <w:rPr>
          <w:rFonts w:hint="eastAsia" w:ascii="仿宋" w:hAnsi="仿宋" w:eastAsia="仿宋" w:cs="仿宋"/>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70" w:name="_Toc15396629"/>
      <w:r>
        <w:rPr>
          <w:rFonts w:hint="eastAsia" w:ascii="仿宋" w:hAnsi="仿宋" w:eastAsia="仿宋" w:cs="仿宋"/>
          <w:color w:val="auto"/>
          <w:sz w:val="32"/>
          <w:szCs w:val="32"/>
          <w:highlight w:val="none"/>
        </w:rPr>
        <w:t>十一、</w:t>
      </w:r>
      <w:bookmarkEnd w:id="70"/>
      <w:r>
        <w:rPr>
          <w:rFonts w:hint="eastAsia" w:ascii="仿宋" w:hAnsi="仿宋" w:eastAsia="仿宋" w:cs="仿宋"/>
          <w:color w:val="auto"/>
          <w:sz w:val="32"/>
          <w:szCs w:val="32"/>
          <w:highlight w:val="none"/>
        </w:rPr>
        <w:t>国有资本经营预算</w:t>
      </w:r>
      <w:r>
        <w:rPr>
          <w:rFonts w:hint="eastAsia" w:ascii="仿宋" w:hAnsi="仿宋" w:eastAsia="仿宋" w:cs="仿宋"/>
          <w:color w:val="auto"/>
          <w:sz w:val="32"/>
          <w:szCs w:val="32"/>
          <w:highlight w:val="none"/>
          <w:lang w:eastAsia="zh-CN"/>
        </w:rPr>
        <w:t>财政拨款收入</w:t>
      </w:r>
      <w:r>
        <w:rPr>
          <w:rFonts w:hint="eastAsia" w:ascii="仿宋" w:hAnsi="仿宋" w:eastAsia="仿宋" w:cs="仿宋"/>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71" w:name="_Toc15396630"/>
      <w:r>
        <w:rPr>
          <w:rFonts w:hint="eastAsia" w:ascii="仿宋" w:hAnsi="仿宋" w:eastAsia="仿宋" w:cs="仿宋"/>
          <w:color w:val="auto"/>
          <w:sz w:val="32"/>
          <w:szCs w:val="32"/>
          <w:highlight w:val="none"/>
        </w:rPr>
        <w:t>十二、</w:t>
      </w:r>
      <w:bookmarkEnd w:id="71"/>
      <w:r>
        <w:rPr>
          <w:rFonts w:hint="eastAsia" w:ascii="仿宋" w:hAnsi="仿宋" w:eastAsia="仿宋" w:cs="仿宋"/>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lang w:eastAsia="zh-CN"/>
        </w:rPr>
      </w:pPr>
      <w:bookmarkStart w:id="72" w:name="_Toc15396631"/>
      <w:r>
        <w:rPr>
          <w:rFonts w:hint="eastAsia" w:ascii="仿宋" w:hAnsi="仿宋" w:eastAsia="仿宋" w:cs="仿宋"/>
          <w:color w:val="auto"/>
          <w:sz w:val="32"/>
          <w:szCs w:val="32"/>
          <w:highlight w:val="none"/>
        </w:rPr>
        <w:t>十三、</w:t>
      </w:r>
      <w:bookmarkEnd w:id="72"/>
      <w:r>
        <w:rPr>
          <w:rFonts w:hint="eastAsia" w:ascii="仿宋" w:hAnsi="仿宋" w:eastAsia="仿宋" w:cs="仿宋"/>
          <w:color w:val="auto"/>
          <w:sz w:val="32"/>
          <w:szCs w:val="32"/>
          <w:highlight w:val="none"/>
          <w:lang w:eastAsia="zh-CN"/>
        </w:rPr>
        <w:t>财政拨款“三公”经费支出决算表</w:t>
      </w:r>
    </w:p>
    <w:p>
      <w:pPr>
        <w:rPr>
          <w:rFonts w:hint="eastAsia" w:ascii="仿宋" w:hAnsi="仿宋" w:eastAsia="仿宋" w:cs="仿宋"/>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E33080"/>
    <w:multiLevelType w:val="singleLevel"/>
    <w:tmpl w:val="ACE33080"/>
    <w:lvl w:ilvl="0" w:tentative="0">
      <w:start w:val="2"/>
      <w:numFmt w:val="chineseCounting"/>
      <w:suff w:val="nothing"/>
      <w:lvlText w:val="（%1）"/>
      <w:lvlJc w:val="left"/>
      <w:rPr>
        <w:rFonts w:hint="eastAsia"/>
      </w:rPr>
    </w:lvl>
  </w:abstractNum>
  <w:abstractNum w:abstractNumId="1">
    <w:nsid w:val="C83C292B"/>
    <w:multiLevelType w:val="singleLevel"/>
    <w:tmpl w:val="C83C292B"/>
    <w:lvl w:ilvl="0" w:tentative="0">
      <w:start w:val="5"/>
      <w:numFmt w:val="chineseCounting"/>
      <w:suff w:val="nothing"/>
      <w:lvlText w:val="%1、"/>
      <w:lvlJc w:val="left"/>
      <w:rPr>
        <w:rFonts w:hint="eastAsia"/>
      </w:rPr>
    </w:lvl>
  </w:abstractNum>
  <w:abstractNum w:abstractNumId="2">
    <w:nsid w:val="E0F5EBED"/>
    <w:multiLevelType w:val="singleLevel"/>
    <w:tmpl w:val="E0F5EBED"/>
    <w:lvl w:ilvl="0" w:tentative="0">
      <w:start w:val="1"/>
      <w:numFmt w:val="decimal"/>
      <w:lvlText w:val="%1."/>
      <w:lvlJc w:val="left"/>
      <w:pPr>
        <w:tabs>
          <w:tab w:val="left" w:pos="312"/>
        </w:tabs>
      </w:pPr>
    </w:lvl>
  </w:abstractNum>
  <w:abstractNum w:abstractNumId="3">
    <w:nsid w:val="27BE6324"/>
    <w:multiLevelType w:val="singleLevel"/>
    <w:tmpl w:val="27BE6324"/>
    <w:lvl w:ilvl="0" w:tentative="0">
      <w:start w:val="2"/>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B62B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352DC5"/>
    <w:rsid w:val="015975B8"/>
    <w:rsid w:val="02317B1B"/>
    <w:rsid w:val="02FEBE30"/>
    <w:rsid w:val="061E35DE"/>
    <w:rsid w:val="066E0107"/>
    <w:rsid w:val="07996F6E"/>
    <w:rsid w:val="07DFD8BA"/>
    <w:rsid w:val="08DB07E4"/>
    <w:rsid w:val="093C2CC2"/>
    <w:rsid w:val="09867E8F"/>
    <w:rsid w:val="0A2032A3"/>
    <w:rsid w:val="0B220EAB"/>
    <w:rsid w:val="0BD025A7"/>
    <w:rsid w:val="0C6C4794"/>
    <w:rsid w:val="0C9A49A7"/>
    <w:rsid w:val="0CA8290A"/>
    <w:rsid w:val="0CB23B35"/>
    <w:rsid w:val="0D35B1ED"/>
    <w:rsid w:val="0DE07E2B"/>
    <w:rsid w:val="0E8E210E"/>
    <w:rsid w:val="0F98263C"/>
    <w:rsid w:val="0FF7298F"/>
    <w:rsid w:val="101860EC"/>
    <w:rsid w:val="101A4A57"/>
    <w:rsid w:val="106B5473"/>
    <w:rsid w:val="10C055FF"/>
    <w:rsid w:val="11772AA4"/>
    <w:rsid w:val="118107EC"/>
    <w:rsid w:val="12070D49"/>
    <w:rsid w:val="13923E69"/>
    <w:rsid w:val="13D50BC4"/>
    <w:rsid w:val="14022904"/>
    <w:rsid w:val="14101F69"/>
    <w:rsid w:val="151E76CB"/>
    <w:rsid w:val="152F2A07"/>
    <w:rsid w:val="165E0673"/>
    <w:rsid w:val="16BB723D"/>
    <w:rsid w:val="186504BB"/>
    <w:rsid w:val="1938089F"/>
    <w:rsid w:val="19A445FC"/>
    <w:rsid w:val="1B7D550C"/>
    <w:rsid w:val="1BE8440E"/>
    <w:rsid w:val="1C3863CF"/>
    <w:rsid w:val="1D155CEE"/>
    <w:rsid w:val="1D165619"/>
    <w:rsid w:val="1DBA4240"/>
    <w:rsid w:val="1E085B75"/>
    <w:rsid w:val="1E740ACF"/>
    <w:rsid w:val="1FF35744"/>
    <w:rsid w:val="1FF6BC77"/>
    <w:rsid w:val="21962A9E"/>
    <w:rsid w:val="21AE7C77"/>
    <w:rsid w:val="21F55A82"/>
    <w:rsid w:val="22B54051"/>
    <w:rsid w:val="22BC3C41"/>
    <w:rsid w:val="23860B96"/>
    <w:rsid w:val="240371BF"/>
    <w:rsid w:val="24F73438"/>
    <w:rsid w:val="260F557C"/>
    <w:rsid w:val="281408E2"/>
    <w:rsid w:val="28631A25"/>
    <w:rsid w:val="293A50DC"/>
    <w:rsid w:val="296476E0"/>
    <w:rsid w:val="29FD04D3"/>
    <w:rsid w:val="2AC224D9"/>
    <w:rsid w:val="2BFF7BC6"/>
    <w:rsid w:val="2C8A61B5"/>
    <w:rsid w:val="2D2E01CF"/>
    <w:rsid w:val="2DF04E50"/>
    <w:rsid w:val="2E8451BD"/>
    <w:rsid w:val="2E9545B0"/>
    <w:rsid w:val="2F040D46"/>
    <w:rsid w:val="2FAE5751"/>
    <w:rsid w:val="2FB1A395"/>
    <w:rsid w:val="2FD9A7D8"/>
    <w:rsid w:val="319F7F4E"/>
    <w:rsid w:val="321B2544"/>
    <w:rsid w:val="32E25D9D"/>
    <w:rsid w:val="3304709D"/>
    <w:rsid w:val="34281836"/>
    <w:rsid w:val="349D6851"/>
    <w:rsid w:val="35B4439A"/>
    <w:rsid w:val="35BA6CAF"/>
    <w:rsid w:val="364D14C1"/>
    <w:rsid w:val="36AA5135"/>
    <w:rsid w:val="36BD5901"/>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221130"/>
    <w:rsid w:val="3E78745D"/>
    <w:rsid w:val="3FF4CAE0"/>
    <w:rsid w:val="3FF7B227"/>
    <w:rsid w:val="40E54C45"/>
    <w:rsid w:val="425D0DFD"/>
    <w:rsid w:val="43A407DF"/>
    <w:rsid w:val="44515BEA"/>
    <w:rsid w:val="44E268DA"/>
    <w:rsid w:val="453F7E5B"/>
    <w:rsid w:val="486A6C7A"/>
    <w:rsid w:val="48727578"/>
    <w:rsid w:val="49176D9B"/>
    <w:rsid w:val="4A627F82"/>
    <w:rsid w:val="4B0E749A"/>
    <w:rsid w:val="4B4F25DA"/>
    <w:rsid w:val="4BDA0CFB"/>
    <w:rsid w:val="4BE068DB"/>
    <w:rsid w:val="4D1B5291"/>
    <w:rsid w:val="4D3C0CCC"/>
    <w:rsid w:val="4D577224"/>
    <w:rsid w:val="4D7F2623"/>
    <w:rsid w:val="4DBF1CEB"/>
    <w:rsid w:val="4E027201"/>
    <w:rsid w:val="4EAB630A"/>
    <w:rsid w:val="4ECE2238"/>
    <w:rsid w:val="4F833267"/>
    <w:rsid w:val="4FE9BD67"/>
    <w:rsid w:val="4FFB052F"/>
    <w:rsid w:val="52441438"/>
    <w:rsid w:val="53083A92"/>
    <w:rsid w:val="537E6D0A"/>
    <w:rsid w:val="53AF27A2"/>
    <w:rsid w:val="53F74C96"/>
    <w:rsid w:val="56E47B74"/>
    <w:rsid w:val="570A4690"/>
    <w:rsid w:val="57BD3DD4"/>
    <w:rsid w:val="5AF92295"/>
    <w:rsid w:val="5B066B6B"/>
    <w:rsid w:val="5BDD79E6"/>
    <w:rsid w:val="5BF561CA"/>
    <w:rsid w:val="5BFF5DFC"/>
    <w:rsid w:val="5CD71FC4"/>
    <w:rsid w:val="5D1F11B5"/>
    <w:rsid w:val="5DAE1B18"/>
    <w:rsid w:val="5DE7D9E5"/>
    <w:rsid w:val="5E247D6D"/>
    <w:rsid w:val="5ECEC941"/>
    <w:rsid w:val="5F493CB7"/>
    <w:rsid w:val="5FBF9FF3"/>
    <w:rsid w:val="5FCD4E2C"/>
    <w:rsid w:val="5FD15F49"/>
    <w:rsid w:val="5FEF394A"/>
    <w:rsid w:val="5FF67715"/>
    <w:rsid w:val="62BF3928"/>
    <w:rsid w:val="63D9111E"/>
    <w:rsid w:val="647F5392"/>
    <w:rsid w:val="65CC7EDD"/>
    <w:rsid w:val="664B1D71"/>
    <w:rsid w:val="66617107"/>
    <w:rsid w:val="67AA3209"/>
    <w:rsid w:val="681C4F0D"/>
    <w:rsid w:val="69046D0F"/>
    <w:rsid w:val="690F0668"/>
    <w:rsid w:val="698D0931"/>
    <w:rsid w:val="69A003FA"/>
    <w:rsid w:val="6A993CED"/>
    <w:rsid w:val="6B053271"/>
    <w:rsid w:val="6BCE6674"/>
    <w:rsid w:val="6C4A05C8"/>
    <w:rsid w:val="6C8742B8"/>
    <w:rsid w:val="6C8A170F"/>
    <w:rsid w:val="6CB54609"/>
    <w:rsid w:val="6D55687B"/>
    <w:rsid w:val="6DBF5E93"/>
    <w:rsid w:val="6DFF077E"/>
    <w:rsid w:val="6E7E3605"/>
    <w:rsid w:val="6E7FDCC7"/>
    <w:rsid w:val="6ED6A62E"/>
    <w:rsid w:val="6EE00B15"/>
    <w:rsid w:val="6F543F9D"/>
    <w:rsid w:val="6F544B20"/>
    <w:rsid w:val="6F6FB3EB"/>
    <w:rsid w:val="6F784160"/>
    <w:rsid w:val="6F8731EA"/>
    <w:rsid w:val="6FCE6052"/>
    <w:rsid w:val="6FD57C00"/>
    <w:rsid w:val="6FEFFFD8"/>
    <w:rsid w:val="6FF5CC65"/>
    <w:rsid w:val="6FFB47EC"/>
    <w:rsid w:val="6FFF034A"/>
    <w:rsid w:val="70496804"/>
    <w:rsid w:val="712A28F1"/>
    <w:rsid w:val="715C0E4B"/>
    <w:rsid w:val="71896317"/>
    <w:rsid w:val="72233669"/>
    <w:rsid w:val="72734D90"/>
    <w:rsid w:val="7332FE48"/>
    <w:rsid w:val="73AB61DA"/>
    <w:rsid w:val="73AD73D5"/>
    <w:rsid w:val="73B6EB34"/>
    <w:rsid w:val="73FA497D"/>
    <w:rsid w:val="744731E5"/>
    <w:rsid w:val="74527205"/>
    <w:rsid w:val="74B77CF6"/>
    <w:rsid w:val="74BBD01D"/>
    <w:rsid w:val="74ED5379"/>
    <w:rsid w:val="74FC2395"/>
    <w:rsid w:val="75DEEEC2"/>
    <w:rsid w:val="76E3355F"/>
    <w:rsid w:val="76FF5125"/>
    <w:rsid w:val="772616F3"/>
    <w:rsid w:val="775545EF"/>
    <w:rsid w:val="776F6FFA"/>
    <w:rsid w:val="778769C8"/>
    <w:rsid w:val="77DC22F5"/>
    <w:rsid w:val="79086DAD"/>
    <w:rsid w:val="79590003"/>
    <w:rsid w:val="79974F09"/>
    <w:rsid w:val="79D7FD79"/>
    <w:rsid w:val="79EE5BA4"/>
    <w:rsid w:val="7A894339"/>
    <w:rsid w:val="7AAF669E"/>
    <w:rsid w:val="7AFF7572"/>
    <w:rsid w:val="7B6C7DFB"/>
    <w:rsid w:val="7BBFBED0"/>
    <w:rsid w:val="7BC3E394"/>
    <w:rsid w:val="7C1F3737"/>
    <w:rsid w:val="7C7A6994"/>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BFFD443"/>
    <w:rsid w:val="FD7FFE2B"/>
    <w:rsid w:val="FD9E4F19"/>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99"/>
    <w:rPr>
      <w:rFonts w:ascii="宋体" w:hAnsi="Courier New" w:eastAsia="仿宋" w:cs="Arial Unicode MS"/>
      <w:kern w:val="0"/>
      <w:sz w:val="32"/>
      <w:szCs w:val="21"/>
      <w:lang w:bidi="bo-CN"/>
    </w:r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22270;&#34920;%20&#22312;%202024&#24180;&#20915;&#31639;&#20998;&#26512;&#25253;&#21578;&#24635;&#24037;&#20250;&#65288;&#20107;&#19994;&#65289;.doc"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15\xwechat_files\wxid_j3wyrhkou2n121_b56f\msg\file\2026-10\Sheet_20261013.csv"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22270;&#34920;%20&#22312;%202024&#24180;&#20915;&#31639;&#20998;&#26512;&#25253;&#21578;&#24635;&#24037;&#20250;&#65288;&#20107;&#19994;&#65289;.doc"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22270;&#34920;%20&#22312;%202024&#24180;&#20915;&#31639;&#20998;&#26512;&#25253;&#21578;&#24635;&#24037;&#20250;&#65288;&#20107;&#19994;&#65289;.doc"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22270;&#34920;%20&#22312;%202024&#24180;&#20915;&#31639;&#20998;&#26512;&#25253;&#21578;&#24635;&#24037;&#20250;&#65288;&#20107;&#19994;&#65289;.doc"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15\xwechat_files\wxid_j3wyrhkou2n121_b56f\msg\file\2026-10\Sheet_20261013.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r>
              <a:t>收入支出预算</a:t>
            </a:r>
            <a:endParaRPr sz="1400" b="0" i="0" u="none" strike="noStrike" baseline="0">
              <a:solidFill>
                <a:srgbClr val="333333">
                  <a:alpha val="100000"/>
                </a:srgbClr>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manualLayout>
          <c:layoutTarget val="inner"/>
          <c:xMode val="edge"/>
          <c:yMode val="edge"/>
          <c:x val="0.105773184601925"/>
          <c:y val="0.140439932318105"/>
          <c:w val="0.894226815398075"/>
          <c:h val="0.666987755972128"/>
        </c:manualLayout>
      </c:layout>
      <c:barChart>
        <c:barDir val="col"/>
        <c:grouping val="clustered"/>
        <c:varyColors val="0"/>
        <c:ser>
          <c:idx val="0"/>
          <c:order val="0"/>
          <c:tx>
            <c:strRef>
              <c:f>'[图表 在 2024年决算分析报告总工会（事业）.doc]Sheet1'!$B$3</c:f>
              <c:strCache>
                <c:ptCount val="1"/>
                <c:pt idx="0">
                  <c:v>2024</c:v>
                </c:pt>
              </c:strCache>
            </c:strRef>
          </c:tx>
          <c:spPr>
            <a:solidFill>
              <a:schemeClr val="accent1">
                <a:alpha val="100000"/>
              </a:schemeClr>
            </a:solidFill>
            <a:ln w="3175">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 在 2024年决算分析报告总工会（事业）.doc]Sheet1'!$C$2:$D$2</c:f>
              <c:strCache>
                <c:ptCount val="2"/>
                <c:pt idx="0">
                  <c:v>预算收入</c:v>
                </c:pt>
                <c:pt idx="1">
                  <c:v>预算支出</c:v>
                </c:pt>
              </c:strCache>
            </c:strRef>
          </c:cat>
          <c:val>
            <c:numRef>
              <c:f>'[图表 在 2024年决算分析报告总工会（事业）.doc]Sheet1'!$C$3:$D$3</c:f>
              <c:numCache>
                <c:formatCode>General</c:formatCode>
                <c:ptCount val="2"/>
                <c:pt idx="0">
                  <c:v>109.32</c:v>
                </c:pt>
                <c:pt idx="1">
                  <c:v>109.32</c:v>
                </c:pt>
              </c:numCache>
            </c:numRef>
          </c:val>
        </c:ser>
        <c:ser>
          <c:idx val="1"/>
          <c:order val="1"/>
          <c:tx>
            <c:strRef>
              <c:f>'[图表 在 2024年决算分析报告总工会（事业）.doc]Sheet1'!$B$4</c:f>
              <c:strCache>
                <c:ptCount val="1"/>
                <c:pt idx="0">
                  <c:v>2025</c:v>
                </c:pt>
              </c:strCache>
            </c:strRef>
          </c:tx>
          <c:spPr>
            <a:solidFill>
              <a:schemeClr val="accent2">
                <a:alpha val="100000"/>
              </a:schemeClr>
            </a:solidFill>
            <a:ln w="3175">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 在 2024年决算分析报告总工会（事业）.doc]Sheet1'!$C$2:$D$2</c:f>
              <c:strCache>
                <c:ptCount val="2"/>
                <c:pt idx="0">
                  <c:v>预算收入</c:v>
                </c:pt>
                <c:pt idx="1">
                  <c:v>预算支出</c:v>
                </c:pt>
              </c:strCache>
            </c:strRef>
          </c:cat>
          <c:val>
            <c:numRef>
              <c:f>'[图表 在 2024年决算分析报告总工会（事业）.doc]Sheet1'!$C$4:$D$4</c:f>
              <c:numCache>
                <c:formatCode>General</c:formatCode>
                <c:ptCount val="2"/>
                <c:pt idx="0">
                  <c:v>112.25</c:v>
                </c:pt>
                <c:pt idx="1">
                  <c:v>112.25</c:v>
                </c:pt>
              </c:numCache>
            </c:numRef>
          </c:val>
        </c:ser>
        <c:dLbls>
          <c:showLegendKey val="0"/>
          <c:showVal val="0"/>
          <c:showCatName val="0"/>
          <c:showSerName val="0"/>
          <c:showPercent val="0"/>
          <c:showBubbleSize val="0"/>
        </c:dLbls>
        <c:gapWidth val="219"/>
        <c:overlap val="-27"/>
        <c:axId val="594031714"/>
        <c:axId val="621214946"/>
      </c:barChart>
      <c:catAx>
        <c:axId val="59403171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621214946"/>
        <c:crosses val="autoZero"/>
        <c:auto val="1"/>
        <c:lblAlgn val="ctr"/>
        <c:lblOffset val="100"/>
        <c:noMultiLvlLbl val="0"/>
      </c:catAx>
      <c:valAx>
        <c:axId val="62121494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594031714"/>
        <c:crosses val="autoZero"/>
        <c:crossBetween val="between"/>
      </c:valAx>
      <c:spPr>
        <a:noFill/>
        <a:ln w="3175">
          <a:noFill/>
        </a:ln>
      </c:spPr>
    </c:plotArea>
    <c:legend>
      <c:legendPos val="r"/>
      <c:layout>
        <c:manualLayout>
          <c:xMode val="edge"/>
          <c:yMode val="edge"/>
          <c:x val="0.44275"/>
          <c:y val="0.9045"/>
          <c:w val="0.17825"/>
          <c:h val="0.05575"/>
        </c:manualLayout>
      </c:layout>
      <c:overlay val="0"/>
      <c:spPr>
        <a:noFill/>
        <a:ln w="3175">
          <a:noFill/>
        </a:ln>
      </c:spPr>
      <c:txPr>
        <a:bodyPr rot="0" spcFirstLastPara="0" vertOverflow="ellipsis" vert="horz" wrap="square" anchor="ctr" anchorCtr="1"/>
        <a:lstStyle/>
        <a:p>
          <a:pPr>
            <a:defRPr lang="zh-CN" sz="11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wrap="square" anchor="ctr" anchorCtr="1"/>
    <a:lstStyle/>
    <a:p>
      <a:pPr>
        <a:defRPr lang="zh-CN" sz="10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收入决算结构图财政拨</a:t>
            </a:r>
          </a:p>
        </c:rich>
      </c:tx>
      <c:layout>
        <c:manualLayout>
          <c:xMode val="edge"/>
          <c:yMode val="edge"/>
          <c:x val="0.404722222222222"/>
          <c:y val="0.0243055555555556"/>
        </c:manualLayout>
      </c:layout>
      <c:overlay val="0"/>
      <c:spPr>
        <a:noFill/>
        <a:ln>
          <a:noFill/>
        </a:ln>
        <a:effectLst/>
      </c:spPr>
    </c:title>
    <c:autoTitleDeleted val="0"/>
    <c:plotArea>
      <c:layout/>
      <c:pieChart>
        <c:varyColors val="1"/>
        <c:ser>
          <c:idx val="0"/>
          <c:order val="0"/>
          <c:tx>
            <c:strRef>
              <c:f>Sheet_20261013.csv!$B$1</c:f>
              <c:strCache>
                <c:ptCount val="1"/>
                <c:pt idx="0">
                  <c:v>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Sheet_20261013.csv!$A$2:$A$5</c:f>
              <c:strCache>
                <c:ptCount val="4"/>
                <c:pt idx="1">
                  <c:v>一般公共预算财政拨款</c:v>
                </c:pt>
              </c:strCache>
            </c:strRef>
          </c:cat>
          <c:val>
            <c:numRef>
              <c:f>Sheet_20261013.csv!$B$2:$B$5</c:f>
              <c:numCache>
                <c:formatCode>General</c:formatCode>
                <c:ptCount val="4"/>
                <c:pt idx="0">
                  <c:v>112.25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r>
              <a:rPr altLang="en-US" sz="1400" b="0" i="0" u="none" strike="noStrike" baseline="0">
                <a:solidFill>
                  <a:srgbClr val="333333">
                    <a:alpha val="100000"/>
                  </a:srgbClr>
                </a:solidFill>
                <a:latin typeface="宋体" panose="02010600030101010101" charset="-122"/>
                <a:ea typeface="宋体" panose="02010600030101010101" charset="-122"/>
                <a:cs typeface="宋体" panose="02010600030101010101" charset="-122"/>
              </a:rPr>
              <a:t>财政拨款收入总计变动表</a:t>
            </a:r>
            <a:endParaRPr lang="en-US" altLang="zh-CN" sz="1400" b="0" i="0" u="none" strike="noStrike" baseline="0">
              <a:solidFill>
                <a:srgbClr val="333333">
                  <a:alpha val="100000"/>
                </a:srgbClr>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manualLayout>
          <c:layoutTarget val="inner"/>
          <c:xMode val="edge"/>
          <c:yMode val="edge"/>
          <c:x val="0.105773184601925"/>
          <c:y val="0.140439932318105"/>
          <c:w val="0.894226815398075"/>
          <c:h val="0.666987755972128"/>
        </c:manualLayout>
      </c:layout>
      <c:barChart>
        <c:barDir val="col"/>
        <c:grouping val="clustered"/>
        <c:varyColors val="0"/>
        <c:ser>
          <c:idx val="0"/>
          <c:order val="0"/>
          <c:tx>
            <c:strRef>
              <c:f>'[图表 在 2024年决算分析报告总工会（事业）.doc]Sheet1'!$B$3</c:f>
              <c:strCache>
                <c:ptCount val="1"/>
                <c:pt idx="0">
                  <c:v>112.35</c:v>
                </c:pt>
              </c:strCache>
            </c:strRef>
          </c:tx>
          <c:spPr>
            <a:solidFill>
              <a:schemeClr val="accent1">
                <a:alpha val="100000"/>
              </a:schemeClr>
            </a:solidFill>
            <a:ln w="3175">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 在 2024年决算分析报告总工会（事业）.doc]Sheet1'!$C$2:$D$2</c:f>
              <c:strCache>
                <c:ptCount val="2"/>
                <c:pt idx="0">
                  <c:v>基本支出</c:v>
                </c:pt>
                <c:pt idx="1">
                  <c:v>项目支出</c:v>
                </c:pt>
              </c:strCache>
            </c:strRef>
          </c:cat>
          <c:val>
            <c:numRef>
              <c:f>'[图表 在 2024年决算分析报告总工会（事业）.doc]Sheet1'!$C$3:$D$3</c:f>
              <c:numCache>
                <c:formatCode>General</c:formatCode>
                <c:ptCount val="2"/>
              </c:numCache>
            </c:numRef>
          </c:val>
        </c:ser>
        <c:ser>
          <c:idx val="1"/>
          <c:order val="1"/>
          <c:tx>
            <c:strRef>
              <c:f>'[图表 在 2024年决算分析报告总工会（事业）.doc]Sheet1'!$B$4</c:f>
              <c:strCache>
                <c:ptCount val="1"/>
                <c:pt idx="0">
                  <c:v/>
                </c:pt>
              </c:strCache>
            </c:strRef>
          </c:tx>
          <c:spPr>
            <a:solidFill>
              <a:schemeClr val="accent2">
                <a:alpha val="100000"/>
              </a:schemeClr>
            </a:solidFill>
            <a:ln w="3175">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 在 2024年决算分析报告总工会（事业）.doc]Sheet1'!$C$2:$D$2</c:f>
              <c:strCache>
                <c:ptCount val="2"/>
                <c:pt idx="0">
                  <c:v>基本支出</c:v>
                </c:pt>
                <c:pt idx="1">
                  <c:v>项目支出</c:v>
                </c:pt>
              </c:strCache>
            </c:strRef>
          </c:cat>
          <c:val>
            <c:numRef>
              <c:f>'[图表 在 2024年决算分析报告总工会（事业）.doc]Sheet1'!$C$4:$D$4</c:f>
              <c:numCache>
                <c:formatCode>General</c:formatCode>
                <c:ptCount val="2"/>
                <c:pt idx="0">
                  <c:v>111.35</c:v>
                </c:pt>
                <c:pt idx="1">
                  <c:v>0.9</c:v>
                </c:pt>
              </c:numCache>
            </c:numRef>
          </c:val>
        </c:ser>
        <c:dLbls>
          <c:showLegendKey val="0"/>
          <c:showVal val="0"/>
          <c:showCatName val="0"/>
          <c:showSerName val="0"/>
          <c:showPercent val="0"/>
          <c:showBubbleSize val="0"/>
        </c:dLbls>
        <c:gapWidth val="219"/>
        <c:overlap val="-27"/>
        <c:axId val="578287013"/>
        <c:axId val="759343443"/>
      </c:barChart>
      <c:catAx>
        <c:axId val="57828701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759343443"/>
        <c:crosses val="autoZero"/>
        <c:auto val="1"/>
        <c:lblAlgn val="ctr"/>
        <c:lblOffset val="100"/>
        <c:noMultiLvlLbl val="0"/>
      </c:catAx>
      <c:valAx>
        <c:axId val="75934344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578287013"/>
        <c:crosses val="autoZero"/>
        <c:crossBetween val="between"/>
      </c:valAx>
      <c:spPr>
        <a:noFill/>
        <a:ln w="3175">
          <a:noFill/>
        </a:ln>
      </c:spPr>
    </c:plotArea>
    <c:legend>
      <c:legendPos val="r"/>
      <c:layout>
        <c:manualLayout>
          <c:xMode val="edge"/>
          <c:yMode val="edge"/>
          <c:x val="0.44275"/>
          <c:y val="0.9045"/>
          <c:w val="0.178"/>
          <c:h val="0.05575"/>
        </c:manualLayout>
      </c:layout>
      <c:overlay val="0"/>
      <c:spPr>
        <a:noFill/>
        <a:ln w="3175">
          <a:noFill/>
        </a:ln>
      </c:spPr>
      <c:txPr>
        <a:bodyPr rot="0" spcFirstLastPara="0" vertOverflow="ellipsis" vert="horz" wrap="square" anchor="ctr" anchorCtr="1"/>
        <a:lstStyle/>
        <a:p>
          <a:pPr>
            <a:defRPr lang="zh-CN" sz="11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wrap="square" anchor="ctr" anchorCtr="1"/>
    <a:lstStyle/>
    <a:p>
      <a:pPr>
        <a:defRPr lang="zh-CN" sz="10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r>
              <a:rPr altLang="en-US" sz="1400" b="0" i="0" u="none" strike="noStrike" baseline="0">
                <a:solidFill>
                  <a:srgbClr val="333333">
                    <a:alpha val="100000"/>
                  </a:srgbClr>
                </a:solidFill>
                <a:latin typeface="宋体" panose="02010600030101010101" charset="-122"/>
                <a:ea typeface="宋体" panose="02010600030101010101" charset="-122"/>
                <a:cs typeface="宋体" panose="02010600030101010101" charset="-122"/>
              </a:rPr>
              <a:t>财政拨款收入总计变动表</a:t>
            </a:r>
            <a:endParaRPr lang="en-US" altLang="zh-CN" sz="1400" b="0" i="0" u="none" strike="noStrike" baseline="0">
              <a:solidFill>
                <a:srgbClr val="333333">
                  <a:alpha val="100000"/>
                </a:srgbClr>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manualLayout>
          <c:layoutTarget val="inner"/>
          <c:xMode val="edge"/>
          <c:yMode val="edge"/>
          <c:x val="0.105773184601925"/>
          <c:y val="0.140439932318105"/>
          <c:w val="0.894226815398075"/>
          <c:h val="0.666987755972128"/>
        </c:manualLayout>
      </c:layout>
      <c:barChart>
        <c:barDir val="col"/>
        <c:grouping val="clustered"/>
        <c:varyColors val="0"/>
        <c:ser>
          <c:idx val="0"/>
          <c:order val="0"/>
          <c:tx>
            <c:strRef>
              <c:f>'[图表 在 2024年决算分析报告总工会（事业）.doc]Sheet1'!$B$3</c:f>
              <c:strCache>
                <c:ptCount val="1"/>
                <c:pt idx="0">
                  <c:v>2024</c:v>
                </c:pt>
              </c:strCache>
            </c:strRef>
          </c:tx>
          <c:spPr>
            <a:solidFill>
              <a:schemeClr val="accent1">
                <a:alpha val="100000"/>
              </a:schemeClr>
            </a:solidFill>
            <a:ln w="3175">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 在 2024年决算分析报告总工会（事业）.doc]Sheet1'!$C$2:$D$2</c:f>
              <c:strCache>
                <c:ptCount val="2"/>
                <c:pt idx="0">
                  <c:v>预算收入</c:v>
                </c:pt>
                <c:pt idx="1">
                  <c:v>预算支出</c:v>
                </c:pt>
              </c:strCache>
            </c:strRef>
          </c:cat>
          <c:val>
            <c:numRef>
              <c:f>'[图表 在 2024年决算分析报告总工会（事业）.doc]Sheet1'!$C$3:$D$3</c:f>
              <c:numCache>
                <c:formatCode>General</c:formatCode>
                <c:ptCount val="2"/>
                <c:pt idx="0">
                  <c:v>109.32</c:v>
                </c:pt>
                <c:pt idx="1">
                  <c:v>109.32</c:v>
                </c:pt>
              </c:numCache>
            </c:numRef>
          </c:val>
        </c:ser>
        <c:ser>
          <c:idx val="1"/>
          <c:order val="1"/>
          <c:tx>
            <c:strRef>
              <c:f>'[图表 在 2024年决算分析报告总工会（事业）.doc]Sheet1'!$B$4</c:f>
              <c:strCache>
                <c:ptCount val="1"/>
                <c:pt idx="0">
                  <c:v>2025</c:v>
                </c:pt>
              </c:strCache>
            </c:strRef>
          </c:tx>
          <c:spPr>
            <a:solidFill>
              <a:schemeClr val="accent2">
                <a:alpha val="100000"/>
              </a:schemeClr>
            </a:solidFill>
            <a:ln w="3175">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 在 2024年决算分析报告总工会（事业）.doc]Sheet1'!$C$2:$D$2</c:f>
              <c:strCache>
                <c:ptCount val="2"/>
                <c:pt idx="0">
                  <c:v>预算收入</c:v>
                </c:pt>
                <c:pt idx="1">
                  <c:v>预算支出</c:v>
                </c:pt>
              </c:strCache>
            </c:strRef>
          </c:cat>
          <c:val>
            <c:numRef>
              <c:f>'[图表 在 2024年决算分析报告总工会（事业）.doc]Sheet1'!$C$4:$D$4</c:f>
              <c:numCache>
                <c:formatCode>General</c:formatCode>
                <c:ptCount val="2"/>
                <c:pt idx="0">
                  <c:v>112.25</c:v>
                </c:pt>
                <c:pt idx="1">
                  <c:v>112.25</c:v>
                </c:pt>
              </c:numCache>
            </c:numRef>
          </c:val>
        </c:ser>
        <c:dLbls>
          <c:showLegendKey val="0"/>
          <c:showVal val="0"/>
          <c:showCatName val="0"/>
          <c:showSerName val="0"/>
          <c:showPercent val="0"/>
          <c:showBubbleSize val="0"/>
        </c:dLbls>
        <c:gapWidth val="219"/>
        <c:overlap val="-27"/>
        <c:axId val="578287013"/>
        <c:axId val="759343443"/>
      </c:barChart>
      <c:catAx>
        <c:axId val="57828701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759343443"/>
        <c:crosses val="autoZero"/>
        <c:auto val="1"/>
        <c:lblAlgn val="ctr"/>
        <c:lblOffset val="100"/>
        <c:noMultiLvlLbl val="0"/>
      </c:catAx>
      <c:valAx>
        <c:axId val="75934344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578287013"/>
        <c:crosses val="autoZero"/>
        <c:crossBetween val="between"/>
      </c:valAx>
      <c:spPr>
        <a:noFill/>
        <a:ln w="3175">
          <a:noFill/>
        </a:ln>
      </c:spPr>
    </c:plotArea>
    <c:legend>
      <c:legendPos val="r"/>
      <c:layout>
        <c:manualLayout>
          <c:xMode val="edge"/>
          <c:yMode val="edge"/>
          <c:x val="0.44275"/>
          <c:y val="0.9045"/>
          <c:w val="0.178"/>
          <c:h val="0.05575"/>
        </c:manualLayout>
      </c:layout>
      <c:overlay val="0"/>
      <c:spPr>
        <a:noFill/>
        <a:ln w="3175">
          <a:noFill/>
        </a:ln>
      </c:spPr>
      <c:txPr>
        <a:bodyPr rot="0" spcFirstLastPara="0" vertOverflow="ellipsis" vert="horz" wrap="square" anchor="ctr" anchorCtr="1"/>
        <a:lstStyle/>
        <a:p>
          <a:pPr>
            <a:defRPr lang="zh-CN" sz="11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wrap="square" anchor="ctr" anchorCtr="1"/>
    <a:lstStyle/>
    <a:p>
      <a:pPr>
        <a:defRPr lang="zh-CN" sz="10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r>
              <a:t>收入支出预算对比</a:t>
            </a:r>
            <a:endParaRPr sz="1400" b="0" i="0" u="none" strike="noStrike" baseline="0">
              <a:solidFill>
                <a:srgbClr val="333333">
                  <a:alpha val="100000"/>
                </a:srgbClr>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manualLayout>
          <c:layoutTarget val="inner"/>
          <c:xMode val="edge"/>
          <c:yMode val="edge"/>
          <c:x val="0.105773184601925"/>
          <c:y val="0.140439932318105"/>
          <c:w val="0.894226815398075"/>
          <c:h val="0.666987755972128"/>
        </c:manualLayout>
      </c:layout>
      <c:barChart>
        <c:barDir val="col"/>
        <c:grouping val="clustered"/>
        <c:varyColors val="0"/>
        <c:ser>
          <c:idx val="0"/>
          <c:order val="0"/>
          <c:tx>
            <c:strRef>
              <c:f>'[图表 在 2024年决算分析报告总工会（事业）.doc]Sheet1'!$B$3</c:f>
              <c:strCache>
                <c:ptCount val="1"/>
                <c:pt idx="0">
                  <c:v>2024</c:v>
                </c:pt>
              </c:strCache>
            </c:strRef>
          </c:tx>
          <c:spPr>
            <a:solidFill>
              <a:schemeClr val="accent1">
                <a:alpha val="100000"/>
              </a:schemeClr>
            </a:solidFill>
            <a:ln w="3175">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[000fc8871]Sheet1!$C$2:$D$2</c:f>
              <c:strCache>
                <c:ptCount val="2"/>
                <c:pt idx="0">
                  <c:v>预算收入</c:v>
                </c:pt>
                <c:pt idx="1">
                  <c:v>预算支出</c:v>
                </c:pt>
              </c:strCache>
            </c:strRef>
          </c:cat>
          <c:val>
            <c:numRef>
              <c:f>[000fc8871]Sheet1!$C$3:$D$3</c:f>
              <c:numCache>
                <c:formatCode>General</c:formatCode>
                <c:ptCount val="2"/>
                <c:pt idx="0">
                  <c:v>109.32</c:v>
                </c:pt>
                <c:pt idx="1">
                  <c:v>109.32</c:v>
                </c:pt>
              </c:numCache>
            </c:numRef>
          </c:val>
        </c:ser>
        <c:ser>
          <c:idx val="1"/>
          <c:order val="1"/>
          <c:tx>
            <c:strRef>
              <c:f>'[图表 在 2024年决算分析报告总工会（事业）.doc]Sheet1'!$B$4</c:f>
              <c:strCache>
                <c:ptCount val="1"/>
                <c:pt idx="0">
                  <c:v>2025</c:v>
                </c:pt>
              </c:strCache>
            </c:strRef>
          </c:tx>
          <c:spPr>
            <a:solidFill>
              <a:schemeClr val="accent2">
                <a:alpha val="100000"/>
              </a:schemeClr>
            </a:solidFill>
            <a:ln w="3175">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[000fc8871]Sheet1!$C$2:$D$2</c:f>
              <c:strCache>
                <c:ptCount val="2"/>
                <c:pt idx="0">
                  <c:v>预算收入</c:v>
                </c:pt>
                <c:pt idx="1">
                  <c:v>预算支出</c:v>
                </c:pt>
              </c:strCache>
            </c:strRef>
          </c:cat>
          <c:val>
            <c:numRef>
              <c:f>[000fc8871]Sheet1!$C$4:$D$4</c:f>
              <c:numCache>
                <c:formatCode>General</c:formatCode>
                <c:ptCount val="2"/>
                <c:pt idx="0">
                  <c:v>112.25</c:v>
                </c:pt>
                <c:pt idx="1">
                  <c:v>112.25</c:v>
                </c:pt>
              </c:numCache>
            </c:numRef>
          </c:val>
        </c:ser>
        <c:dLbls>
          <c:showLegendKey val="0"/>
          <c:showVal val="0"/>
          <c:showCatName val="0"/>
          <c:showSerName val="0"/>
          <c:showPercent val="0"/>
          <c:showBubbleSize val="0"/>
        </c:dLbls>
        <c:gapWidth val="219"/>
        <c:overlap val="-27"/>
        <c:axId val="578287013"/>
        <c:axId val="759343443"/>
      </c:barChart>
      <c:catAx>
        <c:axId val="57828701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759343443"/>
        <c:crosses val="autoZero"/>
        <c:auto val="1"/>
        <c:lblAlgn val="ctr"/>
        <c:lblOffset val="100"/>
        <c:noMultiLvlLbl val="0"/>
      </c:catAx>
      <c:valAx>
        <c:axId val="75934344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578287013"/>
        <c:crosses val="autoZero"/>
        <c:crossBetween val="between"/>
      </c:valAx>
      <c:spPr>
        <a:noFill/>
        <a:ln w="3175">
          <a:noFill/>
        </a:ln>
      </c:spPr>
    </c:plotArea>
    <c:legend>
      <c:legendPos val="r"/>
      <c:layout>
        <c:manualLayout>
          <c:xMode val="edge"/>
          <c:yMode val="edge"/>
          <c:x val="0.44275"/>
          <c:y val="0.9045"/>
          <c:w val="0.178"/>
          <c:h val="0.05575"/>
        </c:manualLayout>
      </c:layout>
      <c:overlay val="0"/>
      <c:spPr>
        <a:noFill/>
        <a:ln w="3175">
          <a:noFill/>
        </a:ln>
      </c:spPr>
      <c:txPr>
        <a:bodyPr rot="0" spcFirstLastPara="0" vertOverflow="ellipsis" vert="horz" wrap="square" anchor="ctr" anchorCtr="1"/>
        <a:lstStyle/>
        <a:p>
          <a:pPr>
            <a:defRPr lang="zh-CN" sz="11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wrap="square" anchor="ctr" anchorCtr="1"/>
    <a:lstStyle/>
    <a:p>
      <a:pPr>
        <a:defRPr lang="zh-CN" sz="10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一般公共财政拨款支出决算结构</a:t>
            </a:r>
            <a:endParaRPr lang="en-US" altLang="zh-CN"/>
          </a:p>
        </c:rich>
      </c:tx>
      <c:layout>
        <c:manualLayout>
          <c:xMode val="edge"/>
          <c:yMode val="edge"/>
          <c:x val="0.404722222222222"/>
          <c:y val="0.0243055555555556"/>
        </c:manualLayout>
      </c:layout>
      <c:overlay val="0"/>
      <c:spPr>
        <a:noFill/>
        <a:ln>
          <a:noFill/>
        </a:ln>
        <a:effectLst/>
      </c:spPr>
    </c:title>
    <c:autoTitleDeleted val="0"/>
    <c:plotArea>
      <c:layout/>
      <c:pieChart>
        <c:varyColors val="1"/>
        <c:ser>
          <c:idx val="0"/>
          <c:order val="0"/>
          <c:tx>
            <c:strRef>
              <c:f>Sheet_20261013.csv!$B$1</c:f>
              <c:strCache>
                <c:ptCount val="1"/>
                <c:pt idx="0">
                  <c:v>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Sheet_20261013.csv!$A$2:$A$5</c:f>
              <c:strCache>
                <c:ptCount val="4"/>
                <c:pt idx="0">
                  <c:v>一般公共服务支出</c:v>
                </c:pt>
                <c:pt idx="1">
                  <c:v>社会保障和就业支出</c:v>
                </c:pt>
                <c:pt idx="2">
                  <c:v>卫生健康支出</c:v>
                </c:pt>
                <c:pt idx="3">
                  <c:v>住房保障支出</c:v>
                </c:pt>
              </c:strCache>
            </c:strRef>
          </c:cat>
          <c:val>
            <c:numRef>
              <c:f>Sheet_20261013.csv!$B$2:$B$5</c:f>
              <c:numCache>
                <c:formatCode>General</c:formatCode>
                <c:ptCount val="4"/>
                <c:pt idx="0">
                  <c:v>81.2</c:v>
                </c:pt>
                <c:pt idx="1">
                  <c:v>17.24</c:v>
                </c:pt>
                <c:pt idx="2">
                  <c:v>5.82</c:v>
                </c:pt>
                <c:pt idx="3">
                  <c:v>7.99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1299</Words>
  <Characters>7410</Characters>
  <Lines>61</Lines>
  <Paragraphs>17</Paragraphs>
  <TotalTime>22</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2026-10-15T17:51:00Z</cp:lastPrinted>
  <dcterms:modified xsi:type="dcterms:W3CDTF">2026-10-15T11:43:01Z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