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83A346">
      <w:pPr>
        <w:spacing w:line="600" w:lineRule="exact"/>
        <w:jc w:val="center"/>
        <w:outlineLvl w:val="0"/>
        <w:rPr>
          <w:rFonts w:hint="default" w:ascii="Times New Roman" w:hAnsi="Times New Roman" w:eastAsia="微软雅黑" w:cs="Times New Roman"/>
          <w:color w:val="000000"/>
          <w:sz w:val="72"/>
          <w:szCs w:val="72"/>
        </w:rPr>
      </w:pPr>
      <w:bookmarkStart w:id="0" w:name="_Toc15306267"/>
    </w:p>
    <w:p w14:paraId="0613617C">
      <w:pPr>
        <w:spacing w:line="600" w:lineRule="exact"/>
        <w:jc w:val="center"/>
        <w:outlineLvl w:val="0"/>
        <w:rPr>
          <w:rFonts w:hint="default" w:ascii="Times New Roman" w:hAnsi="Times New Roman" w:eastAsia="微软雅黑" w:cs="Times New Roman"/>
          <w:color w:val="000000"/>
          <w:sz w:val="72"/>
          <w:szCs w:val="72"/>
        </w:rPr>
      </w:pPr>
    </w:p>
    <w:p w14:paraId="0639A115">
      <w:pPr>
        <w:spacing w:line="600" w:lineRule="exact"/>
        <w:jc w:val="center"/>
        <w:outlineLvl w:val="0"/>
        <w:rPr>
          <w:rFonts w:hint="default" w:ascii="Times New Roman" w:hAnsi="Times New Roman" w:eastAsia="微软雅黑" w:cs="Times New Roman"/>
          <w:color w:val="000000"/>
          <w:sz w:val="72"/>
          <w:szCs w:val="72"/>
        </w:rPr>
      </w:pPr>
    </w:p>
    <w:p w14:paraId="51717D82">
      <w:pPr>
        <w:jc w:val="center"/>
        <w:rPr>
          <w:rFonts w:hint="default" w:ascii="Times New Roman" w:hAnsi="Times New Roman" w:eastAsia="黑体" w:cs="Times New Roman"/>
          <w:sz w:val="72"/>
          <w:szCs w:val="72"/>
        </w:rPr>
      </w:pPr>
      <w:bookmarkStart w:id="159" w:name="_GoBack"/>
      <w:bookmarkStart w:id="1" w:name="_Toc15377425"/>
      <w:bookmarkStart w:id="2" w:name="_Toc15396475"/>
      <w:bookmarkStart w:id="3" w:name="_Toc15396597"/>
      <w:bookmarkStart w:id="4" w:name="_Toc15378441"/>
      <w:bookmarkStart w:id="5" w:name="_Toc15377193"/>
      <w:r>
        <w:rPr>
          <w:rFonts w:hint="default" w:ascii="Times New Roman" w:hAnsi="Times New Roman" w:eastAsia="黑体" w:cs="Times New Roman"/>
          <w:sz w:val="72"/>
          <w:szCs w:val="72"/>
          <w:lang w:val="en-US" w:eastAsia="zh-CN"/>
        </w:rPr>
        <w:t>2023</w:t>
      </w:r>
      <w:r>
        <w:rPr>
          <w:rFonts w:hint="default" w:ascii="Times New Roman" w:hAnsi="Times New Roman" w:eastAsia="黑体" w:cs="Times New Roman"/>
          <w:sz w:val="72"/>
          <w:szCs w:val="72"/>
          <w:lang w:eastAsia="zh-CN"/>
        </w:rPr>
        <w:t>年</w:t>
      </w:r>
      <w:r>
        <w:rPr>
          <w:rFonts w:hint="default" w:ascii="Times New Roman" w:hAnsi="Times New Roman" w:eastAsia="黑体" w:cs="Times New Roman"/>
          <w:sz w:val="72"/>
          <w:szCs w:val="72"/>
        </w:rPr>
        <w:t>度</w:t>
      </w:r>
      <w:bookmarkEnd w:id="1"/>
      <w:bookmarkEnd w:id="2"/>
      <w:bookmarkEnd w:id="3"/>
      <w:bookmarkEnd w:id="4"/>
      <w:bookmarkEnd w:id="5"/>
    </w:p>
    <w:bookmarkEnd w:id="0"/>
    <w:p w14:paraId="61EAC7D4">
      <w:pPr>
        <w:jc w:val="center"/>
        <w:rPr>
          <w:rFonts w:hint="default" w:ascii="Times New Roman" w:hAnsi="Times New Roman" w:eastAsia="微软雅黑" w:cs="Times New Roman"/>
          <w:sz w:val="72"/>
          <w:szCs w:val="72"/>
          <w:lang w:val="en-US" w:eastAsia="zh-CN"/>
        </w:rPr>
      </w:pPr>
      <w:bookmarkStart w:id="6" w:name="_Toc15378442"/>
      <w:bookmarkStart w:id="7" w:name="_Toc15377426"/>
      <w:bookmarkStart w:id="8" w:name="_Toc15306268"/>
      <w:bookmarkStart w:id="9" w:name="_Toc15377194"/>
      <w:bookmarkStart w:id="10" w:name="_Toc15396598"/>
      <w:bookmarkStart w:id="11" w:name="_Toc15396476"/>
      <w:r>
        <w:rPr>
          <w:rFonts w:hint="default" w:ascii="Times New Roman" w:hAnsi="Times New Roman" w:eastAsia="微软雅黑" w:cs="Times New Roman"/>
          <w:sz w:val="72"/>
          <w:szCs w:val="72"/>
          <w:lang w:eastAsia="zh-CN"/>
        </w:rPr>
        <w:t>壤塘县工商业联合会</w:t>
      </w:r>
      <w:r>
        <w:rPr>
          <w:rFonts w:hint="default" w:ascii="Times New Roman" w:hAnsi="Times New Roman" w:eastAsia="微软雅黑" w:cs="Times New Roman"/>
          <w:sz w:val="72"/>
          <w:szCs w:val="72"/>
          <w:lang w:val="en-US" w:eastAsia="zh-CN"/>
        </w:rPr>
        <w:t>本级</w:t>
      </w:r>
    </w:p>
    <w:p w14:paraId="52AB7985">
      <w:pPr>
        <w:jc w:val="center"/>
        <w:rPr>
          <w:rFonts w:hint="default" w:ascii="Times New Roman" w:hAnsi="Times New Roman" w:eastAsia="微软雅黑" w:cs="Times New Roman"/>
          <w:sz w:val="72"/>
          <w:szCs w:val="72"/>
        </w:rPr>
      </w:pPr>
      <w:r>
        <w:rPr>
          <w:rFonts w:hint="default" w:ascii="Times New Roman" w:hAnsi="Times New Roman" w:eastAsia="微软雅黑" w:cs="Times New Roman"/>
          <w:sz w:val="72"/>
          <w:szCs w:val="72"/>
        </w:rPr>
        <w:t>部门决算</w:t>
      </w:r>
      <w:bookmarkEnd w:id="6"/>
      <w:bookmarkEnd w:id="7"/>
      <w:bookmarkEnd w:id="8"/>
      <w:bookmarkEnd w:id="9"/>
      <w:bookmarkEnd w:id="10"/>
      <w:bookmarkEnd w:id="11"/>
    </w:p>
    <w:bookmarkEnd w:id="159"/>
    <w:p w14:paraId="538302AB">
      <w:pPr>
        <w:widowControl/>
        <w:jc w:val="center"/>
        <w:rPr>
          <w:rFonts w:hint="default" w:ascii="Times New Roman" w:hAnsi="Times New Roman" w:eastAsia="微软雅黑" w:cs="Times New Roman"/>
          <w:color w:val="000000"/>
          <w:sz w:val="36"/>
          <w:szCs w:val="36"/>
        </w:rPr>
      </w:pPr>
    </w:p>
    <w:p w14:paraId="52E9B04E">
      <w:pPr>
        <w:rPr>
          <w:rFonts w:hint="default" w:ascii="Times New Roman" w:hAnsi="Times New Roman" w:eastAsia="微软雅黑" w:cs="Times New Roman"/>
          <w:sz w:val="36"/>
          <w:szCs w:val="36"/>
        </w:rPr>
      </w:pPr>
    </w:p>
    <w:p w14:paraId="79D0318E">
      <w:pPr>
        <w:rPr>
          <w:rFonts w:hint="default" w:ascii="Times New Roman" w:hAnsi="Times New Roman" w:eastAsia="微软雅黑" w:cs="Times New Roman"/>
          <w:sz w:val="36"/>
          <w:szCs w:val="36"/>
        </w:rPr>
      </w:pPr>
    </w:p>
    <w:p w14:paraId="02393784">
      <w:pPr>
        <w:rPr>
          <w:rFonts w:hint="default" w:ascii="Times New Roman" w:hAnsi="Times New Roman" w:eastAsia="微软雅黑" w:cs="Times New Roman"/>
          <w:sz w:val="36"/>
          <w:szCs w:val="36"/>
        </w:rPr>
      </w:pPr>
    </w:p>
    <w:p w14:paraId="36B5148C">
      <w:pPr>
        <w:rPr>
          <w:rFonts w:hint="default" w:ascii="Times New Roman" w:hAnsi="Times New Roman" w:eastAsia="微软雅黑" w:cs="Times New Roman"/>
          <w:sz w:val="36"/>
          <w:szCs w:val="36"/>
        </w:rPr>
      </w:pPr>
    </w:p>
    <w:p w14:paraId="1C326AC2">
      <w:pPr>
        <w:rPr>
          <w:rFonts w:hint="default" w:ascii="Times New Roman" w:hAnsi="Times New Roman" w:eastAsia="微软雅黑" w:cs="Times New Roman"/>
          <w:sz w:val="36"/>
          <w:szCs w:val="36"/>
        </w:rPr>
      </w:pPr>
    </w:p>
    <w:p w14:paraId="49F160EF">
      <w:pPr>
        <w:pStyle w:val="2"/>
        <w:rPr>
          <w:rFonts w:hint="default" w:ascii="Times New Roman" w:hAnsi="Times New Roman" w:eastAsia="微软雅黑" w:cs="Times New Roman"/>
          <w:sz w:val="36"/>
          <w:szCs w:val="36"/>
        </w:rPr>
      </w:pPr>
    </w:p>
    <w:p w14:paraId="0C37D045">
      <w:pPr>
        <w:rPr>
          <w:rFonts w:hint="default" w:ascii="Times New Roman" w:hAnsi="Times New Roman" w:eastAsia="微软雅黑" w:cs="Times New Roman"/>
          <w:sz w:val="36"/>
          <w:szCs w:val="36"/>
        </w:rPr>
      </w:pPr>
    </w:p>
    <w:p w14:paraId="7D19CEE0">
      <w:pPr>
        <w:pStyle w:val="2"/>
        <w:rPr>
          <w:rFonts w:hint="default" w:ascii="Times New Roman" w:hAnsi="Times New Roman" w:eastAsia="微软雅黑" w:cs="Times New Roman"/>
          <w:sz w:val="36"/>
          <w:szCs w:val="36"/>
        </w:rPr>
      </w:pPr>
    </w:p>
    <w:p w14:paraId="494BEEAD">
      <w:pPr>
        <w:rPr>
          <w:rFonts w:hint="default" w:ascii="Times New Roman" w:hAnsi="Times New Roman" w:cs="Times New Roman"/>
        </w:rPr>
      </w:pPr>
    </w:p>
    <w:p w14:paraId="43315DF9">
      <w:pPr>
        <w:rPr>
          <w:rFonts w:hint="default" w:ascii="Times New Roman" w:hAnsi="Times New Roman" w:eastAsia="微软雅黑" w:cs="Times New Roman"/>
          <w:sz w:val="44"/>
          <w:szCs w:val="44"/>
        </w:rPr>
      </w:pPr>
    </w:p>
    <w:p w14:paraId="282F26C3">
      <w:pPr>
        <w:pStyle w:val="17"/>
        <w:keepNext w:val="0"/>
        <w:keepLines w:val="0"/>
        <w:pageBreakBefore w:val="0"/>
        <w:kinsoku/>
        <w:wordWrap/>
        <w:overflowPunct/>
        <w:topLinePunct w:val="0"/>
        <w:autoSpaceDE/>
        <w:autoSpaceDN/>
        <w:bidi w:val="0"/>
        <w:adjustRightInd/>
        <w:snapToGrid/>
        <w:spacing w:line="500" w:lineRule="exact"/>
        <w:ind w:firstLine="1920" w:firstLineChars="600"/>
        <w:jc w:val="both"/>
        <w:textAlignment w:val="auto"/>
        <w:rPr>
          <w:rFonts w:hint="default" w:ascii="Times New Roman" w:hAnsi="Times New Roman" w:cs="Times New Roman"/>
          <w:b w:val="0"/>
          <w:bCs w:val="0"/>
          <w:sz w:val="32"/>
          <w:szCs w:val="32"/>
        </w:rPr>
      </w:pPr>
      <w:r>
        <w:rPr>
          <w:rFonts w:hint="default" w:ascii="Times New Roman" w:hAnsi="Times New Roman" w:cs="Times New Roman"/>
          <w:b w:val="0"/>
          <w:bCs w:val="0"/>
          <w:sz w:val="32"/>
          <w:szCs w:val="32"/>
        </w:rPr>
        <w:t>公开时间：202</w:t>
      </w:r>
      <w:r>
        <w:rPr>
          <w:rFonts w:hint="default" w:ascii="Times New Roman" w:hAnsi="Times New Roman" w:cs="Times New Roman"/>
          <w:b w:val="0"/>
          <w:bCs w:val="0"/>
          <w:sz w:val="32"/>
          <w:szCs w:val="32"/>
          <w:lang w:val="en-US" w:eastAsia="zh-CN"/>
        </w:rPr>
        <w:t>4</w:t>
      </w:r>
      <w:r>
        <w:rPr>
          <w:rFonts w:hint="default" w:ascii="Times New Roman" w:hAnsi="Times New Roman" w:cs="Times New Roman"/>
          <w:b w:val="0"/>
          <w:bCs w:val="0"/>
          <w:sz w:val="32"/>
          <w:szCs w:val="32"/>
        </w:rPr>
        <w:t>年</w:t>
      </w:r>
      <w:r>
        <w:rPr>
          <w:rFonts w:hint="default" w:ascii="Times New Roman" w:hAnsi="Times New Roman" w:cs="Times New Roman"/>
          <w:b w:val="0"/>
          <w:bCs w:val="0"/>
          <w:sz w:val="32"/>
          <w:szCs w:val="32"/>
          <w:lang w:val="en-US" w:eastAsia="zh-CN"/>
        </w:rPr>
        <w:t>10</w:t>
      </w:r>
      <w:r>
        <w:rPr>
          <w:rFonts w:hint="default" w:ascii="Times New Roman" w:hAnsi="Times New Roman" w:cs="Times New Roman"/>
          <w:b w:val="0"/>
          <w:bCs w:val="0"/>
          <w:sz w:val="32"/>
          <w:szCs w:val="32"/>
        </w:rPr>
        <w:t>月</w:t>
      </w:r>
      <w:r>
        <w:rPr>
          <w:rFonts w:hint="default" w:ascii="Times New Roman" w:hAnsi="Times New Roman" w:cs="Times New Roman"/>
          <w:b w:val="0"/>
          <w:bCs w:val="0"/>
          <w:sz w:val="32"/>
          <w:szCs w:val="32"/>
          <w:lang w:val="en-US" w:eastAsia="zh-CN"/>
        </w:rPr>
        <w:t>24</w:t>
      </w:r>
      <w:r>
        <w:rPr>
          <w:rFonts w:hint="default" w:ascii="Times New Roman" w:hAnsi="Times New Roman" w:cs="Times New Roman"/>
          <w:b w:val="0"/>
          <w:bCs w:val="0"/>
          <w:sz w:val="32"/>
          <w:szCs w:val="32"/>
        </w:rPr>
        <w:t>日</w:t>
      </w:r>
    </w:p>
    <w:p w14:paraId="1A5FADB7">
      <w:pPr>
        <w:pStyle w:val="12"/>
        <w:rPr>
          <w:rFonts w:hint="default" w:ascii="Times New Roman" w:hAnsi="Times New Roman" w:eastAsia="微软雅黑" w:cs="Times New Roman"/>
          <w:color w:val="000000"/>
          <w:sz w:val="44"/>
          <w:szCs w:val="44"/>
        </w:rPr>
      </w:pPr>
    </w:p>
    <w:p w14:paraId="2FE52E25">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Times New Roman" w:hAnsi="Times New Roman" w:eastAsia="黑体" w:cs="Times New Roman"/>
          <w:color w:val="000000"/>
          <w:sz w:val="48"/>
          <w:szCs w:val="48"/>
        </w:rPr>
      </w:pPr>
    </w:p>
    <w:p w14:paraId="083EA44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Times New Roman" w:hAnsi="Times New Roman" w:eastAsia="黑体" w:cs="Times New Roman"/>
          <w:color w:val="000000"/>
          <w:sz w:val="48"/>
          <w:szCs w:val="48"/>
        </w:rPr>
      </w:pPr>
      <w:r>
        <w:rPr>
          <w:rFonts w:hint="default" w:ascii="Times New Roman" w:hAnsi="Times New Roman" w:eastAsia="黑体" w:cs="Times New Roman"/>
          <w:color w:val="000000"/>
          <w:sz w:val="48"/>
          <w:szCs w:val="48"/>
        </w:rPr>
        <w:t>目录</w:t>
      </w:r>
    </w:p>
    <w:p w14:paraId="67E85271">
      <w:pPr>
        <w:pStyle w:val="17"/>
        <w:tabs>
          <w:tab w:val="right" w:leader="dot" w:pos="8306"/>
        </w:tabs>
        <w:rPr>
          <w:rFonts w:hint="default" w:ascii="Times New Roman" w:hAnsi="Times New Roman" w:cs="Times New Roman"/>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TOC \o \u </w:instrText>
      </w:r>
      <w:r>
        <w:rPr>
          <w:rFonts w:hint="default" w:ascii="Times New Roman" w:hAnsi="Times New Roman" w:cs="Times New Roman"/>
          <w:b w:val="0"/>
          <w:bCs w:val="0"/>
          <w:caps w:val="0"/>
        </w:rPr>
        <w:fldChar w:fldCharType="separate"/>
      </w:r>
      <w:r>
        <w:rPr>
          <w:rFonts w:hint="default" w:ascii="Times New Roman" w:hAnsi="Times New Roman" w:eastAsia="黑体" w:cs="Times New Roman"/>
        </w:rPr>
        <w:t xml:space="preserve">第一部分 </w:t>
      </w:r>
      <w:r>
        <w:rPr>
          <w:rFonts w:hint="default" w:ascii="Times New Roman" w:hAnsi="Times New Roman" w:eastAsia="黑体" w:cs="Times New Roman"/>
          <w:bCs w:val="0"/>
        </w:rPr>
        <w:t>部门概况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_Toc7945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p w14:paraId="3B4B27D5">
      <w:pPr>
        <w:pStyle w:val="20"/>
        <w:tabs>
          <w:tab w:val="right" w:leader="dot" w:pos="8306"/>
        </w:tabs>
        <w:rPr>
          <w:rFonts w:hint="default" w:ascii="Times New Roman" w:hAnsi="Times New Roman" w:cs="Times New Roman"/>
        </w:rPr>
      </w:pPr>
      <w:r>
        <w:rPr>
          <w:rFonts w:hint="default" w:ascii="Times New Roman" w:hAnsi="Times New Roman" w:eastAsia="黑体" w:cs="Times New Roman"/>
          <w:bCs w:val="0"/>
        </w:rPr>
        <w:t xml:space="preserve">一、 </w:t>
      </w:r>
      <w:r>
        <w:rPr>
          <w:rFonts w:hint="default" w:ascii="Times New Roman" w:hAnsi="Times New Roman" w:eastAsia="黑体" w:cs="Times New Roman"/>
          <w:color w:val="000000"/>
          <w:lang w:val="en-US" w:eastAsia="zh-CN"/>
        </w:rPr>
        <w:t>部门职责</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_Toc9110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p w14:paraId="25A5BB4F">
      <w:pPr>
        <w:pStyle w:val="20"/>
        <w:tabs>
          <w:tab w:val="right" w:leader="dot" w:pos="8306"/>
        </w:tabs>
        <w:rPr>
          <w:rFonts w:hint="default" w:ascii="Times New Roman" w:hAnsi="Times New Roman" w:cs="Times New Roman"/>
        </w:rPr>
      </w:pPr>
      <w:r>
        <w:rPr>
          <w:rFonts w:hint="default" w:ascii="Times New Roman" w:hAnsi="Times New Roman" w:eastAsia="黑体" w:cs="Times New Roman"/>
          <w:color w:val="000000"/>
        </w:rPr>
        <w:t>二、机</w:t>
      </w:r>
      <w:r>
        <w:rPr>
          <w:rFonts w:hint="default" w:ascii="Times New Roman" w:hAnsi="Times New Roman" w:eastAsia="黑体" w:cs="Times New Roman"/>
          <w:bCs w:val="0"/>
        </w:rPr>
        <w:t>构设置</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_Toc4403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p w14:paraId="0BA190CC">
      <w:pPr>
        <w:pStyle w:val="17"/>
        <w:tabs>
          <w:tab w:val="right" w:leader="dot" w:pos="8306"/>
        </w:tabs>
        <w:rPr>
          <w:rFonts w:hint="default" w:ascii="Times New Roman" w:hAnsi="Times New Roman" w:cs="Times New Roman"/>
        </w:rPr>
      </w:pPr>
      <w:r>
        <w:rPr>
          <w:rFonts w:hint="default" w:ascii="Times New Roman" w:hAnsi="Times New Roman" w:eastAsia="黑体" w:cs="Times New Roman"/>
          <w:color w:val="000000"/>
        </w:rPr>
        <w:t xml:space="preserve">第二部分 </w:t>
      </w:r>
      <w:r>
        <w:rPr>
          <w:rFonts w:hint="default" w:ascii="Times New Roman" w:hAnsi="Times New Roman" w:eastAsia="黑体" w:cs="Times New Roman"/>
          <w:bCs w:val="0"/>
          <w:lang w:eastAsia="zh-CN"/>
        </w:rPr>
        <w:t>2023年</w:t>
      </w:r>
      <w:r>
        <w:rPr>
          <w:rFonts w:hint="default" w:ascii="Times New Roman" w:hAnsi="Times New Roman" w:eastAsia="黑体" w:cs="Times New Roman"/>
          <w:bCs w:val="0"/>
        </w:rPr>
        <w:t>度部门决算情况说明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_Toc17595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p>
    <w:p w14:paraId="4893145D">
      <w:pPr>
        <w:pStyle w:val="20"/>
        <w:tabs>
          <w:tab w:val="right" w:leader="dot" w:pos="8306"/>
        </w:tabs>
        <w:rPr>
          <w:rFonts w:hint="default" w:ascii="Times New Roman" w:hAnsi="Times New Roman" w:cs="Times New Roman"/>
        </w:rPr>
      </w:pPr>
      <w:r>
        <w:rPr>
          <w:rFonts w:hint="default" w:ascii="Times New Roman" w:hAnsi="Times New Roman" w:eastAsia="黑体" w:cs="Times New Roman"/>
          <w:lang w:val="en-US" w:eastAsia="zh-CN"/>
        </w:rPr>
        <w:t>一、收入支出决算总体情况说明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_Toc10872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p>
    <w:p w14:paraId="2F97AF85">
      <w:pPr>
        <w:pStyle w:val="20"/>
        <w:tabs>
          <w:tab w:val="right" w:leader="dot" w:pos="8306"/>
        </w:tabs>
        <w:rPr>
          <w:rFonts w:hint="default" w:ascii="Times New Roman" w:hAnsi="Times New Roman" w:cs="Times New Roman"/>
        </w:rPr>
      </w:pPr>
      <w:r>
        <w:rPr>
          <w:rFonts w:hint="default" w:ascii="Times New Roman" w:hAnsi="Times New Roman" w:eastAsia="黑体" w:cs="Times New Roman"/>
          <w:bCs w:val="0"/>
          <w:color w:val="000000"/>
          <w:kern w:val="2"/>
          <w:szCs w:val="32"/>
          <w:lang w:val="en-US" w:eastAsia="zh-CN" w:bidi="ar-SA"/>
        </w:rPr>
        <w:t>二、收入决算情况说明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_Toc22517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p>
    <w:p w14:paraId="096EEAC3">
      <w:pPr>
        <w:pStyle w:val="20"/>
        <w:tabs>
          <w:tab w:val="right" w:leader="dot" w:pos="8306"/>
        </w:tabs>
        <w:rPr>
          <w:rFonts w:hint="default" w:ascii="Times New Roman" w:hAnsi="Times New Roman" w:cs="Times New Roman"/>
        </w:rPr>
      </w:pPr>
      <w:r>
        <w:rPr>
          <w:rFonts w:hint="default" w:ascii="Times New Roman" w:hAnsi="Times New Roman" w:eastAsia="黑体" w:cs="Times New Roman"/>
          <w:bCs w:val="0"/>
          <w:color w:val="000000"/>
          <w:kern w:val="2"/>
          <w:szCs w:val="32"/>
          <w:lang w:val="en-US" w:eastAsia="zh-CN" w:bidi="ar-SA"/>
        </w:rPr>
        <w:t>三、支出决算情况说</w:t>
      </w:r>
      <w:r>
        <w:rPr>
          <w:rFonts w:hint="default" w:ascii="Times New Roman" w:hAnsi="Times New Roman" w:cs="Times New Roman"/>
          <w:lang w:val="en-US" w:eastAsia="zh-CN"/>
        </w:rPr>
        <w:t>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_Toc21587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p>
    <w:p w14:paraId="4F06316F">
      <w:pPr>
        <w:pStyle w:val="20"/>
        <w:tabs>
          <w:tab w:val="right" w:leader="dot" w:pos="8306"/>
        </w:tabs>
        <w:rPr>
          <w:rFonts w:hint="default" w:ascii="Times New Roman" w:hAnsi="Times New Roman" w:cs="Times New Roman"/>
        </w:rPr>
      </w:pPr>
      <w:r>
        <w:rPr>
          <w:rFonts w:hint="default" w:ascii="Times New Roman" w:hAnsi="Times New Roman" w:eastAsia="黑体" w:cs="Times New Roman"/>
          <w:color w:val="000000"/>
          <w:szCs w:val="32"/>
        </w:rPr>
        <w:t>四、财</w:t>
      </w:r>
      <w:r>
        <w:rPr>
          <w:rFonts w:hint="default" w:ascii="Times New Roman" w:hAnsi="Times New Roman" w:eastAsia="黑体" w:cs="Times New Roman"/>
        </w:rPr>
        <w:t>政拨款收入支出决算总体情况说明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_Toc11753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p>
    <w:p w14:paraId="6DFFBA15">
      <w:pPr>
        <w:pStyle w:val="20"/>
        <w:tabs>
          <w:tab w:val="right" w:leader="dot" w:pos="8306"/>
        </w:tabs>
        <w:rPr>
          <w:rFonts w:hint="default" w:ascii="Times New Roman" w:hAnsi="Times New Roman" w:cs="Times New Roman"/>
        </w:rPr>
      </w:pPr>
      <w:r>
        <w:rPr>
          <w:rFonts w:hint="default" w:ascii="Times New Roman" w:hAnsi="Times New Roman" w:eastAsia="黑体" w:cs="Times New Roman"/>
          <w:color w:val="000000"/>
          <w:szCs w:val="32"/>
        </w:rPr>
        <w:t>五、一</w:t>
      </w:r>
      <w:r>
        <w:rPr>
          <w:rFonts w:hint="default" w:ascii="Times New Roman" w:hAnsi="Times New Roman" w:eastAsia="黑体" w:cs="Times New Roman"/>
        </w:rPr>
        <w:t>般公共预算财政拨款支出决算情况说明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_Toc23945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p>
    <w:p w14:paraId="1E7208F2">
      <w:pPr>
        <w:pStyle w:val="11"/>
        <w:tabs>
          <w:tab w:val="right" w:leader="dot" w:pos="8306"/>
        </w:tabs>
        <w:rPr>
          <w:rFonts w:hint="default" w:ascii="Times New Roman" w:hAnsi="Times New Roman" w:cs="Times New Roman"/>
        </w:rPr>
      </w:pPr>
      <w:r>
        <w:rPr>
          <w:rFonts w:hint="default" w:ascii="Times New Roman" w:hAnsi="Times New Roman" w:eastAsia="仿宋" w:cs="Times New Roman"/>
          <w:color w:val="000000"/>
          <w:szCs w:val="32"/>
        </w:rPr>
        <w:t>（一）一般公共预算财政拨款支出决算总体情况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_Toc24627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p>
    <w:p w14:paraId="533A1DF4">
      <w:pPr>
        <w:pStyle w:val="11"/>
        <w:tabs>
          <w:tab w:val="right" w:leader="dot" w:pos="8306"/>
        </w:tabs>
        <w:rPr>
          <w:rFonts w:hint="default" w:ascii="Times New Roman" w:hAnsi="Times New Roman" w:cs="Times New Roman"/>
        </w:rPr>
      </w:pPr>
      <w:r>
        <w:rPr>
          <w:rFonts w:hint="default" w:ascii="Times New Roman" w:hAnsi="Times New Roman" w:eastAsia="仿宋" w:cs="Times New Roman"/>
          <w:color w:val="000000"/>
          <w:szCs w:val="32"/>
        </w:rPr>
        <w:t>（二）一般公共预算财政拨款支出决算结构情况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_Toc3974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p>
    <w:p w14:paraId="378F9A55">
      <w:pPr>
        <w:pStyle w:val="11"/>
        <w:tabs>
          <w:tab w:val="right" w:leader="dot" w:pos="8306"/>
        </w:tabs>
        <w:rPr>
          <w:rFonts w:hint="default" w:ascii="Times New Roman" w:hAnsi="Times New Roman" w:cs="Times New Roman"/>
        </w:rPr>
      </w:pPr>
      <w:r>
        <w:rPr>
          <w:rFonts w:hint="default" w:ascii="Times New Roman" w:hAnsi="Times New Roman" w:eastAsia="仿宋" w:cs="Times New Roman"/>
          <w:color w:val="000000"/>
          <w:szCs w:val="32"/>
        </w:rPr>
        <w:t>（三）一般公共预算财政拨款支出决算具体情况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_Toc22474 \h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p>
    <w:p w14:paraId="2C19410C">
      <w:pPr>
        <w:pStyle w:val="20"/>
        <w:tabs>
          <w:tab w:val="right" w:leader="dot" w:pos="8306"/>
        </w:tabs>
        <w:rPr>
          <w:rFonts w:hint="default" w:ascii="Times New Roman" w:hAnsi="Times New Roman" w:cs="Times New Roman"/>
        </w:rPr>
      </w:pPr>
      <w:r>
        <w:rPr>
          <w:rFonts w:hint="default" w:ascii="Times New Roman" w:hAnsi="Times New Roman" w:eastAsia="黑体" w:cs="Times New Roman"/>
          <w:color w:val="000000"/>
          <w:szCs w:val="32"/>
        </w:rPr>
        <w:t>六、一</w:t>
      </w:r>
      <w:r>
        <w:rPr>
          <w:rFonts w:hint="default" w:ascii="Times New Roman" w:hAnsi="Times New Roman" w:eastAsia="黑体" w:cs="Times New Roman"/>
        </w:rPr>
        <w:t>般公共预算财政拨款基本支出决算情况说明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_Toc18362 \h </w:instrText>
      </w:r>
      <w:r>
        <w:rPr>
          <w:rFonts w:hint="default" w:ascii="Times New Roman" w:hAnsi="Times New Roman" w:cs="Times New Roman"/>
        </w:rPr>
        <w:fldChar w:fldCharType="separate"/>
      </w:r>
      <w:r>
        <w:rPr>
          <w:rFonts w:hint="default" w:ascii="Times New Roman" w:hAnsi="Times New Roman" w:cs="Times New Roman"/>
        </w:rPr>
        <w:t>7</w:t>
      </w:r>
      <w:r>
        <w:rPr>
          <w:rFonts w:hint="default" w:ascii="Times New Roman" w:hAnsi="Times New Roman" w:cs="Times New Roman"/>
        </w:rPr>
        <w:fldChar w:fldCharType="end"/>
      </w:r>
    </w:p>
    <w:p w14:paraId="26BB2F2E">
      <w:pPr>
        <w:pStyle w:val="20"/>
        <w:tabs>
          <w:tab w:val="right" w:leader="dot" w:pos="8306"/>
        </w:tabs>
        <w:rPr>
          <w:rFonts w:hint="default" w:ascii="Times New Roman" w:hAnsi="Times New Roman" w:cs="Times New Roman"/>
        </w:rPr>
      </w:pPr>
      <w:r>
        <w:rPr>
          <w:rFonts w:hint="default" w:ascii="Times New Roman" w:hAnsi="Times New Roman" w:eastAsia="黑体" w:cs="Times New Roman"/>
          <w:color w:val="000000"/>
          <w:szCs w:val="32"/>
        </w:rPr>
        <w:t>七、</w:t>
      </w:r>
      <w:r>
        <w:rPr>
          <w:rFonts w:hint="default" w:ascii="Times New Roman" w:hAnsi="Times New Roman" w:eastAsia="黑体" w:cs="Times New Roman"/>
        </w:rPr>
        <w:t>“三公”经费财政拨款支出决算情况说明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_Toc31590 \h </w:instrText>
      </w:r>
      <w:r>
        <w:rPr>
          <w:rFonts w:hint="default" w:ascii="Times New Roman" w:hAnsi="Times New Roman" w:cs="Times New Roman"/>
        </w:rPr>
        <w:fldChar w:fldCharType="separate"/>
      </w:r>
      <w:r>
        <w:rPr>
          <w:rFonts w:hint="default" w:ascii="Times New Roman" w:hAnsi="Times New Roman" w:cs="Times New Roman"/>
        </w:rPr>
        <w:t>7</w:t>
      </w:r>
      <w:r>
        <w:rPr>
          <w:rFonts w:hint="default" w:ascii="Times New Roman" w:hAnsi="Times New Roman" w:cs="Times New Roman"/>
        </w:rPr>
        <w:fldChar w:fldCharType="end"/>
      </w:r>
    </w:p>
    <w:p w14:paraId="5743F067">
      <w:pPr>
        <w:pStyle w:val="11"/>
        <w:tabs>
          <w:tab w:val="right" w:leader="dot" w:pos="8306"/>
        </w:tabs>
        <w:rPr>
          <w:rFonts w:hint="default" w:ascii="Times New Roman" w:hAnsi="Times New Roman" w:cs="Times New Roman"/>
        </w:rPr>
      </w:pPr>
      <w:r>
        <w:rPr>
          <w:rFonts w:hint="default" w:ascii="Times New Roman" w:hAnsi="Times New Roman" w:eastAsia="仿宋" w:cs="Times New Roman"/>
          <w:color w:val="000000"/>
          <w:szCs w:val="32"/>
        </w:rPr>
        <w:t>（一）“三公”经费财政拨款支出决算总体情况说明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_Toc31963 \h </w:instrText>
      </w:r>
      <w:r>
        <w:rPr>
          <w:rFonts w:hint="default" w:ascii="Times New Roman" w:hAnsi="Times New Roman" w:cs="Times New Roman"/>
        </w:rPr>
        <w:fldChar w:fldCharType="separate"/>
      </w:r>
      <w:r>
        <w:rPr>
          <w:rFonts w:hint="default" w:ascii="Times New Roman" w:hAnsi="Times New Roman" w:cs="Times New Roman"/>
        </w:rPr>
        <w:t>7</w:t>
      </w:r>
      <w:r>
        <w:rPr>
          <w:rFonts w:hint="default" w:ascii="Times New Roman" w:hAnsi="Times New Roman" w:cs="Times New Roman"/>
        </w:rPr>
        <w:fldChar w:fldCharType="end"/>
      </w:r>
    </w:p>
    <w:p w14:paraId="53EB83F1">
      <w:pPr>
        <w:pStyle w:val="11"/>
        <w:tabs>
          <w:tab w:val="right" w:leader="dot" w:pos="8306"/>
        </w:tabs>
        <w:rPr>
          <w:rFonts w:hint="default" w:ascii="Times New Roman" w:hAnsi="Times New Roman" w:cs="Times New Roman"/>
        </w:rPr>
      </w:pPr>
      <w:r>
        <w:rPr>
          <w:rFonts w:hint="default" w:ascii="Times New Roman" w:hAnsi="Times New Roman" w:eastAsia="仿宋" w:cs="Times New Roman"/>
          <w:color w:val="000000"/>
          <w:szCs w:val="32"/>
        </w:rPr>
        <w:t>（二）“三公”经费财政拨款支出决算具体情况说明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_Toc28223 \h </w:instrText>
      </w:r>
      <w:r>
        <w:rPr>
          <w:rFonts w:hint="default" w:ascii="Times New Roman" w:hAnsi="Times New Roman" w:cs="Times New Roman"/>
        </w:rPr>
        <w:fldChar w:fldCharType="separate"/>
      </w:r>
      <w:r>
        <w:rPr>
          <w:rFonts w:hint="default" w:ascii="Times New Roman" w:hAnsi="Times New Roman" w:cs="Times New Roman"/>
        </w:rPr>
        <w:t>7</w:t>
      </w:r>
      <w:r>
        <w:rPr>
          <w:rFonts w:hint="default" w:ascii="Times New Roman" w:hAnsi="Times New Roman" w:cs="Times New Roman"/>
        </w:rPr>
        <w:fldChar w:fldCharType="end"/>
      </w:r>
    </w:p>
    <w:p w14:paraId="61DA6D55">
      <w:pPr>
        <w:pStyle w:val="20"/>
        <w:tabs>
          <w:tab w:val="right" w:leader="dot" w:pos="8306"/>
        </w:tabs>
        <w:rPr>
          <w:rFonts w:hint="default" w:ascii="Times New Roman" w:hAnsi="Times New Roman" w:cs="Times New Roman"/>
        </w:rPr>
      </w:pPr>
      <w:r>
        <w:rPr>
          <w:rFonts w:hint="default" w:ascii="Times New Roman" w:hAnsi="Times New Roman" w:eastAsia="黑体" w:cs="Times New Roman"/>
          <w:color w:val="000000"/>
          <w:szCs w:val="32"/>
        </w:rPr>
        <w:t>八、</w:t>
      </w:r>
      <w:r>
        <w:rPr>
          <w:rFonts w:hint="default" w:ascii="Times New Roman" w:hAnsi="Times New Roman" w:eastAsia="黑体" w:cs="Times New Roman"/>
        </w:rPr>
        <w:t>政府性基金预算支出决算情况说明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_Toc5940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p>
    <w:p w14:paraId="401E85C8">
      <w:pPr>
        <w:pStyle w:val="20"/>
        <w:tabs>
          <w:tab w:val="right" w:leader="dot" w:pos="8306"/>
        </w:tabs>
        <w:rPr>
          <w:rFonts w:hint="default" w:ascii="Times New Roman" w:hAnsi="Times New Roman" w:cs="Times New Roman"/>
        </w:rPr>
      </w:pPr>
      <w:r>
        <w:rPr>
          <w:rFonts w:hint="default" w:ascii="Times New Roman" w:hAnsi="Times New Roman" w:eastAsia="黑体" w:cs="Times New Roman"/>
        </w:rPr>
        <w:t>九、 国有资本经营预算支出决算情况说明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_Toc18849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p>
    <w:p w14:paraId="02D520A8">
      <w:pPr>
        <w:pStyle w:val="20"/>
        <w:tabs>
          <w:tab w:val="right" w:leader="dot" w:pos="8306"/>
        </w:tabs>
        <w:rPr>
          <w:rFonts w:hint="default" w:ascii="Times New Roman" w:hAnsi="Times New Roman" w:cs="Times New Roman"/>
        </w:rPr>
      </w:pPr>
      <w:r>
        <w:rPr>
          <w:rFonts w:hint="default" w:ascii="Times New Roman" w:hAnsi="Times New Roman" w:eastAsia="黑体" w:cs="Times New Roman"/>
          <w:color w:val="000000"/>
          <w:szCs w:val="32"/>
        </w:rPr>
        <w:t>十</w:t>
      </w:r>
      <w:r>
        <w:rPr>
          <w:rFonts w:hint="default" w:ascii="Times New Roman" w:hAnsi="Times New Roman" w:eastAsia="黑体" w:cs="Times New Roman"/>
        </w:rPr>
        <w:t>、其他重要事项的情况说明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_Toc31848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p>
    <w:p w14:paraId="38ECA233">
      <w:pPr>
        <w:pStyle w:val="11"/>
        <w:tabs>
          <w:tab w:val="right" w:leader="dot" w:pos="8306"/>
        </w:tabs>
        <w:rPr>
          <w:rFonts w:hint="default" w:ascii="Times New Roman" w:hAnsi="Times New Roman" w:cs="Times New Roman"/>
        </w:rPr>
      </w:pPr>
      <w:r>
        <w:rPr>
          <w:rFonts w:hint="default" w:ascii="Times New Roman" w:hAnsi="Times New Roman" w:eastAsia="仿宋" w:cs="Times New Roman"/>
          <w:color w:val="000000"/>
          <w:szCs w:val="32"/>
        </w:rPr>
        <w:t>（一）机关运行经费支出情况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_Toc20509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p>
    <w:p w14:paraId="7D93E788">
      <w:pPr>
        <w:pStyle w:val="11"/>
        <w:tabs>
          <w:tab w:val="right" w:leader="dot" w:pos="8306"/>
        </w:tabs>
        <w:rPr>
          <w:rFonts w:hint="default" w:ascii="Times New Roman" w:hAnsi="Times New Roman" w:cs="Times New Roman"/>
        </w:rPr>
      </w:pPr>
      <w:r>
        <w:rPr>
          <w:rFonts w:hint="default" w:ascii="Times New Roman" w:hAnsi="Times New Roman" w:eastAsia="仿宋" w:cs="Times New Roman"/>
          <w:color w:val="000000"/>
          <w:szCs w:val="32"/>
        </w:rPr>
        <w:t>（二）政府采购支出情况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_Toc29265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p>
    <w:p w14:paraId="0A7E2100">
      <w:pPr>
        <w:pStyle w:val="11"/>
        <w:tabs>
          <w:tab w:val="right" w:leader="dot" w:pos="8306"/>
        </w:tabs>
        <w:rPr>
          <w:rFonts w:hint="default" w:ascii="Times New Roman" w:hAnsi="Times New Roman" w:cs="Times New Roman"/>
        </w:rPr>
      </w:pPr>
      <w:r>
        <w:rPr>
          <w:rFonts w:hint="default" w:ascii="Times New Roman" w:hAnsi="Times New Roman" w:eastAsia="仿宋" w:cs="Times New Roman"/>
          <w:color w:val="000000"/>
          <w:szCs w:val="32"/>
        </w:rPr>
        <w:t>（三）国有资产占有使用情况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_Toc20331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p>
    <w:p w14:paraId="79F69311">
      <w:pPr>
        <w:pStyle w:val="11"/>
        <w:tabs>
          <w:tab w:val="right" w:leader="dot" w:pos="8306"/>
        </w:tabs>
        <w:rPr>
          <w:rFonts w:hint="default" w:ascii="Times New Roman" w:hAnsi="Times New Roman" w:cs="Times New Roman"/>
        </w:rPr>
      </w:pPr>
      <w:r>
        <w:rPr>
          <w:rFonts w:hint="default" w:ascii="Times New Roman" w:hAnsi="Times New Roman" w:eastAsia="仿宋" w:cs="Times New Roman"/>
          <w:color w:val="000000"/>
          <w:szCs w:val="32"/>
        </w:rPr>
        <w:t>（四）预算绩效管理情况。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_Toc23018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p>
    <w:p w14:paraId="72CC9692">
      <w:pPr>
        <w:pStyle w:val="17"/>
        <w:tabs>
          <w:tab w:val="right" w:leader="dot" w:pos="8306"/>
        </w:tabs>
        <w:rPr>
          <w:rFonts w:hint="default" w:ascii="Times New Roman" w:hAnsi="Times New Roman" w:cs="Times New Roman"/>
        </w:rPr>
      </w:pPr>
      <w:r>
        <w:rPr>
          <w:rFonts w:hint="default" w:ascii="Times New Roman" w:hAnsi="Times New Roman" w:eastAsia="黑体" w:cs="Times New Roman"/>
        </w:rPr>
        <w:t xml:space="preserve">第三部分 </w:t>
      </w:r>
      <w:r>
        <w:rPr>
          <w:rFonts w:hint="default" w:ascii="Times New Roman" w:hAnsi="Times New Roman" w:eastAsia="黑体" w:cs="Times New Roman"/>
          <w:color w:val="000000"/>
          <w:szCs w:val="44"/>
        </w:rPr>
        <w:t>名</w:t>
      </w:r>
      <w:r>
        <w:rPr>
          <w:rFonts w:hint="default" w:ascii="Times New Roman" w:hAnsi="Times New Roman" w:eastAsia="黑体" w:cs="Times New Roman"/>
        </w:rPr>
        <w:t>词解释</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_Toc20025 \h </w:instrText>
      </w:r>
      <w:r>
        <w:rPr>
          <w:rFonts w:hint="default" w:ascii="Times New Roman" w:hAnsi="Times New Roman" w:cs="Times New Roman"/>
        </w:rPr>
        <w:fldChar w:fldCharType="separate"/>
      </w:r>
      <w:r>
        <w:rPr>
          <w:rFonts w:hint="default" w:ascii="Times New Roman" w:hAnsi="Times New Roman" w:cs="Times New Roman"/>
        </w:rPr>
        <w:t>10</w:t>
      </w:r>
      <w:r>
        <w:rPr>
          <w:rFonts w:hint="default" w:ascii="Times New Roman" w:hAnsi="Times New Roman" w:cs="Times New Roman"/>
        </w:rPr>
        <w:fldChar w:fldCharType="end"/>
      </w:r>
    </w:p>
    <w:p w14:paraId="77C15EE4">
      <w:pPr>
        <w:pStyle w:val="17"/>
        <w:tabs>
          <w:tab w:val="right" w:leader="dot" w:pos="8306"/>
        </w:tabs>
        <w:rPr>
          <w:rFonts w:hint="default" w:ascii="Times New Roman" w:hAnsi="Times New Roman" w:cs="Times New Roman"/>
        </w:rPr>
      </w:pPr>
      <w:r>
        <w:rPr>
          <w:rFonts w:hint="default" w:ascii="Times New Roman" w:hAnsi="Times New Roman" w:eastAsia="黑体" w:cs="Times New Roman"/>
          <w:color w:val="000000"/>
          <w:szCs w:val="44"/>
        </w:rPr>
        <w:t>第</w:t>
      </w:r>
      <w:r>
        <w:rPr>
          <w:rFonts w:hint="default" w:ascii="Times New Roman" w:hAnsi="Times New Roman" w:eastAsia="黑体" w:cs="Times New Roman"/>
        </w:rPr>
        <w:t>四部分 附件</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_Toc2652 \h </w:instrText>
      </w:r>
      <w:r>
        <w:rPr>
          <w:rFonts w:hint="default" w:ascii="Times New Roman" w:hAnsi="Times New Roman" w:cs="Times New Roman"/>
        </w:rPr>
        <w:fldChar w:fldCharType="separate"/>
      </w:r>
      <w:r>
        <w:rPr>
          <w:rFonts w:hint="default" w:ascii="Times New Roman" w:hAnsi="Times New Roman" w:cs="Times New Roman"/>
        </w:rPr>
        <w:t>13</w:t>
      </w:r>
      <w:r>
        <w:rPr>
          <w:rFonts w:hint="default" w:ascii="Times New Roman" w:hAnsi="Times New Roman" w:cs="Times New Roman"/>
        </w:rPr>
        <w:fldChar w:fldCharType="end"/>
      </w:r>
    </w:p>
    <w:p w14:paraId="49C945C9">
      <w:pPr>
        <w:pStyle w:val="17"/>
        <w:tabs>
          <w:tab w:val="right" w:leader="dot" w:pos="8306"/>
        </w:tabs>
        <w:rPr>
          <w:rFonts w:hint="default" w:ascii="Times New Roman" w:hAnsi="Times New Roman" w:cs="Times New Roman"/>
        </w:rPr>
      </w:pPr>
      <w:r>
        <w:rPr>
          <w:rFonts w:hint="default" w:ascii="Times New Roman" w:hAnsi="Times New Roman" w:eastAsia="黑体" w:cs="Times New Roman"/>
          <w:lang w:val="en-US" w:eastAsia="zh-CN"/>
        </w:rPr>
        <w:t>第五部分 附表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_Toc19824 \h </w:instrText>
      </w:r>
      <w:r>
        <w:rPr>
          <w:rFonts w:hint="default" w:ascii="Times New Roman" w:hAnsi="Times New Roman" w:cs="Times New Roman"/>
        </w:rPr>
        <w:fldChar w:fldCharType="separate"/>
      </w:r>
      <w:r>
        <w:rPr>
          <w:rFonts w:hint="default" w:ascii="Times New Roman" w:hAnsi="Times New Roman" w:cs="Times New Roman"/>
        </w:rPr>
        <w:t>20</w:t>
      </w:r>
      <w:r>
        <w:rPr>
          <w:rFonts w:hint="default" w:ascii="Times New Roman" w:hAnsi="Times New Roman" w:cs="Times New Roman"/>
        </w:rPr>
        <w:fldChar w:fldCharType="end"/>
      </w:r>
    </w:p>
    <w:p w14:paraId="14DF2D8B">
      <w:pPr>
        <w:pStyle w:val="20"/>
        <w:tabs>
          <w:tab w:val="right" w:leader="dot" w:pos="8306"/>
        </w:tabs>
        <w:rPr>
          <w:rFonts w:hint="default" w:ascii="Times New Roman" w:hAnsi="Times New Roman" w:cs="Times New Roman"/>
        </w:rPr>
      </w:pPr>
      <w:r>
        <w:rPr>
          <w:rFonts w:hint="default" w:ascii="Times New Roman" w:hAnsi="Times New Roman" w:eastAsia="仿宋" w:cs="Times New Roman"/>
          <w:color w:val="000000"/>
        </w:rPr>
        <w:t>一、收</w:t>
      </w:r>
      <w:r>
        <w:rPr>
          <w:rFonts w:hint="default" w:ascii="Times New Roman" w:hAnsi="Times New Roman" w:eastAsia="仿宋" w:cs="Times New Roman"/>
          <w:bCs w:val="0"/>
        </w:rPr>
        <w:t>入支出决算总表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_Toc5547 \h </w:instrText>
      </w:r>
      <w:r>
        <w:rPr>
          <w:rFonts w:hint="default" w:ascii="Times New Roman" w:hAnsi="Times New Roman" w:cs="Times New Roman"/>
        </w:rPr>
        <w:fldChar w:fldCharType="separate"/>
      </w:r>
      <w:r>
        <w:rPr>
          <w:rFonts w:hint="default" w:ascii="Times New Roman" w:hAnsi="Times New Roman" w:cs="Times New Roman"/>
        </w:rPr>
        <w:t>20</w:t>
      </w:r>
      <w:r>
        <w:rPr>
          <w:rFonts w:hint="default" w:ascii="Times New Roman" w:hAnsi="Times New Roman" w:cs="Times New Roman"/>
        </w:rPr>
        <w:fldChar w:fldCharType="end"/>
      </w:r>
    </w:p>
    <w:p w14:paraId="0A72C682">
      <w:pPr>
        <w:pStyle w:val="20"/>
        <w:tabs>
          <w:tab w:val="right" w:leader="dot" w:pos="8306"/>
        </w:tabs>
        <w:rPr>
          <w:rFonts w:hint="default" w:ascii="Times New Roman" w:hAnsi="Times New Roman" w:cs="Times New Roman"/>
        </w:rPr>
      </w:pPr>
      <w:r>
        <w:rPr>
          <w:rFonts w:hint="default" w:ascii="Times New Roman" w:hAnsi="Times New Roman" w:eastAsia="仿宋" w:cs="Times New Roman"/>
          <w:color w:val="000000"/>
        </w:rPr>
        <w:t>二、收</w:t>
      </w:r>
      <w:r>
        <w:rPr>
          <w:rFonts w:hint="default" w:ascii="Times New Roman" w:hAnsi="Times New Roman" w:eastAsia="仿宋" w:cs="Times New Roman"/>
          <w:bCs w:val="0"/>
        </w:rPr>
        <w:t>入决算表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_Toc24770 \h </w:instrText>
      </w:r>
      <w:r>
        <w:rPr>
          <w:rFonts w:hint="default" w:ascii="Times New Roman" w:hAnsi="Times New Roman" w:cs="Times New Roman"/>
        </w:rPr>
        <w:fldChar w:fldCharType="separate"/>
      </w:r>
      <w:r>
        <w:rPr>
          <w:rFonts w:hint="default" w:ascii="Times New Roman" w:hAnsi="Times New Roman" w:cs="Times New Roman"/>
        </w:rPr>
        <w:t>20</w:t>
      </w:r>
      <w:r>
        <w:rPr>
          <w:rFonts w:hint="default" w:ascii="Times New Roman" w:hAnsi="Times New Roman" w:cs="Times New Roman"/>
        </w:rPr>
        <w:fldChar w:fldCharType="end"/>
      </w:r>
    </w:p>
    <w:p w14:paraId="3562866C">
      <w:pPr>
        <w:pStyle w:val="20"/>
        <w:tabs>
          <w:tab w:val="right" w:leader="dot" w:pos="8306"/>
        </w:tabs>
        <w:rPr>
          <w:rFonts w:hint="default" w:ascii="Times New Roman" w:hAnsi="Times New Roman" w:cs="Times New Roman"/>
        </w:rPr>
      </w:pPr>
      <w:r>
        <w:rPr>
          <w:rFonts w:hint="default" w:ascii="Times New Roman" w:hAnsi="Times New Roman" w:eastAsia="仿宋" w:cs="Times New Roman"/>
          <w:bCs w:val="0"/>
        </w:rPr>
        <w:t>三、</w:t>
      </w:r>
      <w:r>
        <w:rPr>
          <w:rFonts w:hint="default" w:ascii="Times New Roman" w:hAnsi="Times New Roman" w:eastAsia="仿宋" w:cs="Times New Roman"/>
          <w:color w:val="000000"/>
        </w:rPr>
        <w:t>支</w:t>
      </w:r>
      <w:r>
        <w:rPr>
          <w:rFonts w:hint="default" w:ascii="Times New Roman" w:hAnsi="Times New Roman" w:eastAsia="仿宋" w:cs="Times New Roman"/>
          <w:bCs w:val="0"/>
        </w:rPr>
        <w:t>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_Toc19352 \h </w:instrText>
      </w:r>
      <w:r>
        <w:rPr>
          <w:rFonts w:hint="default" w:ascii="Times New Roman" w:hAnsi="Times New Roman" w:cs="Times New Roman"/>
        </w:rPr>
        <w:fldChar w:fldCharType="separate"/>
      </w:r>
      <w:r>
        <w:rPr>
          <w:rFonts w:hint="default" w:ascii="Times New Roman" w:hAnsi="Times New Roman" w:cs="Times New Roman"/>
        </w:rPr>
        <w:t>20</w:t>
      </w:r>
      <w:r>
        <w:rPr>
          <w:rFonts w:hint="default" w:ascii="Times New Roman" w:hAnsi="Times New Roman" w:cs="Times New Roman"/>
        </w:rPr>
        <w:fldChar w:fldCharType="end"/>
      </w:r>
    </w:p>
    <w:p w14:paraId="05E4332C">
      <w:pPr>
        <w:pStyle w:val="20"/>
        <w:tabs>
          <w:tab w:val="right" w:leader="dot" w:pos="8306"/>
        </w:tabs>
        <w:rPr>
          <w:rFonts w:hint="default" w:ascii="Times New Roman" w:hAnsi="Times New Roman" w:cs="Times New Roman"/>
        </w:rPr>
      </w:pPr>
      <w:r>
        <w:rPr>
          <w:rFonts w:hint="default" w:ascii="Times New Roman" w:hAnsi="Times New Roman" w:eastAsia="仿宋" w:cs="Times New Roman"/>
          <w:bCs w:val="0"/>
        </w:rPr>
        <w:t>四、</w:t>
      </w:r>
      <w:r>
        <w:rPr>
          <w:rFonts w:hint="default" w:ascii="Times New Roman" w:hAnsi="Times New Roman" w:eastAsia="仿宋" w:cs="Times New Roman"/>
          <w:color w:val="000000"/>
        </w:rPr>
        <w:t>财</w:t>
      </w:r>
      <w:r>
        <w:rPr>
          <w:rFonts w:hint="default" w:ascii="Times New Roman" w:hAnsi="Times New Roman" w:eastAsia="仿宋" w:cs="Times New Roman"/>
          <w:bCs w:val="0"/>
        </w:rPr>
        <w:t>政拨款收入支出决算总表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_Toc16503 \h </w:instrText>
      </w:r>
      <w:r>
        <w:rPr>
          <w:rFonts w:hint="default" w:ascii="Times New Roman" w:hAnsi="Times New Roman" w:cs="Times New Roman"/>
        </w:rPr>
        <w:fldChar w:fldCharType="separate"/>
      </w:r>
      <w:r>
        <w:rPr>
          <w:rFonts w:hint="default" w:ascii="Times New Roman" w:hAnsi="Times New Roman" w:cs="Times New Roman"/>
        </w:rPr>
        <w:t>20</w:t>
      </w:r>
      <w:r>
        <w:rPr>
          <w:rFonts w:hint="default" w:ascii="Times New Roman" w:hAnsi="Times New Roman" w:cs="Times New Roman"/>
        </w:rPr>
        <w:fldChar w:fldCharType="end"/>
      </w:r>
    </w:p>
    <w:p w14:paraId="2B194214">
      <w:pPr>
        <w:pStyle w:val="20"/>
        <w:tabs>
          <w:tab w:val="right" w:leader="dot" w:pos="8306"/>
        </w:tabs>
        <w:rPr>
          <w:rFonts w:hint="default" w:ascii="Times New Roman" w:hAnsi="Times New Roman" w:cs="Times New Roman"/>
        </w:rPr>
      </w:pPr>
      <w:r>
        <w:rPr>
          <w:rFonts w:hint="default" w:ascii="Times New Roman" w:hAnsi="Times New Roman" w:eastAsia="仿宋" w:cs="Times New Roman"/>
          <w:bCs w:val="0"/>
        </w:rPr>
        <w:t>五、</w:t>
      </w:r>
      <w:r>
        <w:rPr>
          <w:rFonts w:hint="default" w:ascii="Times New Roman" w:hAnsi="Times New Roman" w:eastAsia="仿宋" w:cs="Times New Roman"/>
          <w:color w:val="000000"/>
        </w:rPr>
        <w:t>财</w:t>
      </w:r>
      <w:r>
        <w:rPr>
          <w:rFonts w:hint="default" w:ascii="Times New Roman" w:hAnsi="Times New Roman" w:eastAsia="仿宋" w:cs="Times New Roman"/>
          <w:bCs w:val="0"/>
        </w:rPr>
        <w:t>政拨款支出决算明细表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_Toc13481 \h </w:instrText>
      </w:r>
      <w:r>
        <w:rPr>
          <w:rFonts w:hint="default" w:ascii="Times New Roman" w:hAnsi="Times New Roman" w:cs="Times New Roman"/>
        </w:rPr>
        <w:fldChar w:fldCharType="separate"/>
      </w:r>
      <w:r>
        <w:rPr>
          <w:rFonts w:hint="default" w:ascii="Times New Roman" w:hAnsi="Times New Roman" w:cs="Times New Roman"/>
        </w:rPr>
        <w:t>20</w:t>
      </w:r>
      <w:r>
        <w:rPr>
          <w:rFonts w:hint="default" w:ascii="Times New Roman" w:hAnsi="Times New Roman" w:cs="Times New Roman"/>
        </w:rPr>
        <w:fldChar w:fldCharType="end"/>
      </w:r>
    </w:p>
    <w:p w14:paraId="5A2AF85E">
      <w:pPr>
        <w:pStyle w:val="20"/>
        <w:tabs>
          <w:tab w:val="right" w:leader="dot" w:pos="8306"/>
        </w:tabs>
        <w:rPr>
          <w:rFonts w:hint="default" w:ascii="Times New Roman" w:hAnsi="Times New Roman" w:cs="Times New Roman"/>
        </w:rPr>
      </w:pPr>
      <w:r>
        <w:rPr>
          <w:rFonts w:hint="default" w:ascii="Times New Roman" w:hAnsi="Times New Roman" w:eastAsia="仿宋" w:cs="Times New Roman"/>
          <w:bCs w:val="0"/>
        </w:rPr>
        <w:t>六、</w:t>
      </w:r>
      <w:r>
        <w:rPr>
          <w:rFonts w:hint="default" w:ascii="Times New Roman" w:hAnsi="Times New Roman" w:eastAsia="仿宋" w:cs="Times New Roman"/>
          <w:color w:val="000000"/>
        </w:rPr>
        <w:t>一</w:t>
      </w:r>
      <w:r>
        <w:rPr>
          <w:rFonts w:hint="default" w:ascii="Times New Roman" w:hAnsi="Times New Roman" w:eastAsia="仿宋" w:cs="Times New Roman"/>
          <w:bCs w:val="0"/>
        </w:rPr>
        <w:t>般公共预算财政拨款支出决算表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_Toc18132 \h </w:instrText>
      </w:r>
      <w:r>
        <w:rPr>
          <w:rFonts w:hint="default" w:ascii="Times New Roman" w:hAnsi="Times New Roman" w:cs="Times New Roman"/>
        </w:rPr>
        <w:fldChar w:fldCharType="separate"/>
      </w:r>
      <w:r>
        <w:rPr>
          <w:rFonts w:hint="default" w:ascii="Times New Roman" w:hAnsi="Times New Roman" w:cs="Times New Roman"/>
        </w:rPr>
        <w:t>20</w:t>
      </w:r>
      <w:r>
        <w:rPr>
          <w:rFonts w:hint="default" w:ascii="Times New Roman" w:hAnsi="Times New Roman" w:cs="Times New Roman"/>
        </w:rPr>
        <w:fldChar w:fldCharType="end"/>
      </w:r>
    </w:p>
    <w:p w14:paraId="7C4B6D4E">
      <w:pPr>
        <w:pStyle w:val="20"/>
        <w:tabs>
          <w:tab w:val="right" w:leader="dot" w:pos="8306"/>
        </w:tabs>
        <w:rPr>
          <w:rFonts w:hint="default" w:ascii="Times New Roman" w:hAnsi="Times New Roman" w:cs="Times New Roman"/>
        </w:rPr>
      </w:pPr>
      <w:r>
        <w:rPr>
          <w:rFonts w:hint="default" w:ascii="Times New Roman" w:hAnsi="Times New Roman" w:eastAsia="仿宋" w:cs="Times New Roman"/>
          <w:bCs w:val="0"/>
        </w:rPr>
        <w:t>七、</w:t>
      </w:r>
      <w:r>
        <w:rPr>
          <w:rFonts w:hint="default" w:ascii="Times New Roman" w:hAnsi="Times New Roman" w:eastAsia="仿宋" w:cs="Times New Roman"/>
          <w:color w:val="000000"/>
        </w:rPr>
        <w:t>一</w:t>
      </w:r>
      <w:r>
        <w:rPr>
          <w:rFonts w:hint="default" w:ascii="Times New Roman" w:hAnsi="Times New Roman" w:eastAsia="仿宋" w:cs="Times New Roman"/>
          <w:bCs w:val="0"/>
        </w:rPr>
        <w:t>般公共预算财政拨款支出决算明细表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_Toc20099 \h </w:instrText>
      </w:r>
      <w:r>
        <w:rPr>
          <w:rFonts w:hint="default" w:ascii="Times New Roman" w:hAnsi="Times New Roman" w:cs="Times New Roman"/>
        </w:rPr>
        <w:fldChar w:fldCharType="separate"/>
      </w:r>
      <w:r>
        <w:rPr>
          <w:rFonts w:hint="default" w:ascii="Times New Roman" w:hAnsi="Times New Roman" w:cs="Times New Roman"/>
        </w:rPr>
        <w:t>20</w:t>
      </w:r>
      <w:r>
        <w:rPr>
          <w:rFonts w:hint="default" w:ascii="Times New Roman" w:hAnsi="Times New Roman" w:cs="Times New Roman"/>
        </w:rPr>
        <w:fldChar w:fldCharType="end"/>
      </w:r>
    </w:p>
    <w:p w14:paraId="0F31A993">
      <w:pPr>
        <w:pStyle w:val="20"/>
        <w:tabs>
          <w:tab w:val="right" w:leader="dot" w:pos="8306"/>
        </w:tabs>
        <w:rPr>
          <w:rFonts w:hint="default" w:ascii="Times New Roman" w:hAnsi="Times New Roman" w:cs="Times New Roman"/>
        </w:rPr>
      </w:pPr>
      <w:r>
        <w:rPr>
          <w:rFonts w:hint="default" w:ascii="Times New Roman" w:hAnsi="Times New Roman" w:eastAsia="仿宋" w:cs="Times New Roman"/>
          <w:bCs w:val="0"/>
        </w:rPr>
        <w:t>八、</w:t>
      </w:r>
      <w:r>
        <w:rPr>
          <w:rFonts w:hint="default" w:ascii="Times New Roman" w:hAnsi="Times New Roman" w:eastAsia="仿宋" w:cs="Times New Roman"/>
          <w:color w:val="000000"/>
        </w:rPr>
        <w:t>一</w:t>
      </w:r>
      <w:r>
        <w:rPr>
          <w:rFonts w:hint="default" w:ascii="Times New Roman" w:hAnsi="Times New Roman" w:eastAsia="仿宋" w:cs="Times New Roman"/>
          <w:bCs w:val="0"/>
        </w:rPr>
        <w:t>般公共预算财政拨款基本支出决算表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_Toc7572 \h </w:instrText>
      </w:r>
      <w:r>
        <w:rPr>
          <w:rFonts w:hint="default" w:ascii="Times New Roman" w:hAnsi="Times New Roman" w:cs="Times New Roman"/>
        </w:rPr>
        <w:fldChar w:fldCharType="separate"/>
      </w:r>
      <w:r>
        <w:rPr>
          <w:rFonts w:hint="default" w:ascii="Times New Roman" w:hAnsi="Times New Roman" w:cs="Times New Roman"/>
        </w:rPr>
        <w:t>20</w:t>
      </w:r>
      <w:r>
        <w:rPr>
          <w:rFonts w:hint="default" w:ascii="Times New Roman" w:hAnsi="Times New Roman" w:cs="Times New Roman"/>
        </w:rPr>
        <w:fldChar w:fldCharType="end"/>
      </w:r>
    </w:p>
    <w:p w14:paraId="2DD7011B">
      <w:pPr>
        <w:pStyle w:val="20"/>
        <w:tabs>
          <w:tab w:val="right" w:leader="dot" w:pos="8306"/>
        </w:tabs>
        <w:rPr>
          <w:rFonts w:hint="default" w:ascii="Times New Roman" w:hAnsi="Times New Roman" w:cs="Times New Roman"/>
        </w:rPr>
      </w:pPr>
      <w:r>
        <w:rPr>
          <w:rFonts w:hint="default" w:ascii="Times New Roman" w:hAnsi="Times New Roman" w:eastAsia="仿宋" w:cs="Times New Roman"/>
          <w:bCs w:val="0"/>
        </w:rPr>
        <w:t>九、</w:t>
      </w:r>
      <w:r>
        <w:rPr>
          <w:rFonts w:hint="default" w:ascii="Times New Roman" w:hAnsi="Times New Roman" w:eastAsia="仿宋" w:cs="Times New Roman"/>
          <w:color w:val="000000"/>
        </w:rPr>
        <w:t>一</w:t>
      </w:r>
      <w:r>
        <w:rPr>
          <w:rFonts w:hint="default" w:ascii="Times New Roman" w:hAnsi="Times New Roman" w:eastAsia="仿宋" w:cs="Times New Roman"/>
          <w:bCs w:val="0"/>
        </w:rPr>
        <w:t>般公共预算财政拨款项目支出决算表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_Toc23540 \h </w:instrText>
      </w:r>
      <w:r>
        <w:rPr>
          <w:rFonts w:hint="default" w:ascii="Times New Roman" w:hAnsi="Times New Roman" w:cs="Times New Roman"/>
        </w:rPr>
        <w:fldChar w:fldCharType="separate"/>
      </w:r>
      <w:r>
        <w:rPr>
          <w:rFonts w:hint="default" w:ascii="Times New Roman" w:hAnsi="Times New Roman" w:cs="Times New Roman"/>
        </w:rPr>
        <w:t>20</w:t>
      </w:r>
      <w:r>
        <w:rPr>
          <w:rFonts w:hint="default" w:ascii="Times New Roman" w:hAnsi="Times New Roman" w:cs="Times New Roman"/>
        </w:rPr>
        <w:fldChar w:fldCharType="end"/>
      </w:r>
    </w:p>
    <w:p w14:paraId="637253B4">
      <w:pPr>
        <w:pStyle w:val="20"/>
        <w:tabs>
          <w:tab w:val="right" w:leader="dot" w:pos="8306"/>
        </w:tabs>
        <w:rPr>
          <w:rFonts w:hint="default" w:ascii="Times New Roman" w:hAnsi="Times New Roman" w:cs="Times New Roman"/>
        </w:rPr>
      </w:pPr>
      <w:r>
        <w:rPr>
          <w:rFonts w:hint="default" w:ascii="Times New Roman" w:hAnsi="Times New Roman" w:eastAsia="仿宋" w:cs="Times New Roman"/>
          <w:bCs w:val="0"/>
        </w:rPr>
        <w:t>十、</w:t>
      </w:r>
      <w:r>
        <w:rPr>
          <w:rFonts w:hint="default" w:ascii="Times New Roman" w:hAnsi="Times New Roman" w:eastAsia="仿宋" w:cs="Times New Roman"/>
          <w:color w:val="000000"/>
        </w:rPr>
        <w:t>政</w:t>
      </w:r>
      <w:r>
        <w:rPr>
          <w:rFonts w:hint="default" w:ascii="Times New Roman" w:hAnsi="Times New Roman" w:eastAsia="仿宋" w:cs="Times New Roman"/>
          <w:bCs w:val="0"/>
        </w:rPr>
        <w:t>府性基金预算财政拨款收入支出决算表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_Toc17481 \h </w:instrText>
      </w:r>
      <w:r>
        <w:rPr>
          <w:rFonts w:hint="default" w:ascii="Times New Roman" w:hAnsi="Times New Roman" w:cs="Times New Roman"/>
        </w:rPr>
        <w:fldChar w:fldCharType="separate"/>
      </w:r>
      <w:r>
        <w:rPr>
          <w:rFonts w:hint="default" w:ascii="Times New Roman" w:hAnsi="Times New Roman" w:cs="Times New Roman"/>
        </w:rPr>
        <w:t>20</w:t>
      </w:r>
      <w:r>
        <w:rPr>
          <w:rFonts w:hint="default" w:ascii="Times New Roman" w:hAnsi="Times New Roman" w:cs="Times New Roman"/>
        </w:rPr>
        <w:fldChar w:fldCharType="end"/>
      </w:r>
    </w:p>
    <w:p w14:paraId="3279C155">
      <w:pPr>
        <w:pStyle w:val="20"/>
        <w:tabs>
          <w:tab w:val="right" w:leader="dot" w:pos="8306"/>
        </w:tabs>
        <w:rPr>
          <w:rFonts w:hint="default" w:ascii="Times New Roman" w:hAnsi="Times New Roman" w:cs="Times New Roman"/>
        </w:rPr>
      </w:pPr>
      <w:r>
        <w:rPr>
          <w:rFonts w:hint="default" w:ascii="Times New Roman" w:hAnsi="Times New Roman" w:eastAsia="仿宋" w:cs="Times New Roman"/>
          <w:bCs w:val="0"/>
        </w:rPr>
        <w:t>十</w:t>
      </w:r>
      <w:r>
        <w:rPr>
          <w:rFonts w:hint="default" w:ascii="Times New Roman" w:hAnsi="Times New Roman" w:eastAsia="仿宋" w:cs="Times New Roman"/>
          <w:bCs w:val="0"/>
          <w:lang w:val="en-US" w:eastAsia="zh-CN"/>
        </w:rPr>
        <w:t>一</w:t>
      </w:r>
      <w:r>
        <w:rPr>
          <w:rFonts w:hint="default" w:ascii="Times New Roman" w:hAnsi="Times New Roman" w:eastAsia="仿宋" w:cs="Times New Roman"/>
          <w:bCs w:val="0"/>
        </w:rPr>
        <w:t>、</w:t>
      </w:r>
      <w:r>
        <w:rPr>
          <w:rFonts w:hint="default" w:ascii="Times New Roman" w:hAnsi="Times New Roman" w:eastAsia="仿宋" w:cs="Times New Roman"/>
          <w:color w:val="000000"/>
        </w:rPr>
        <w:t>国</w:t>
      </w:r>
      <w:r>
        <w:rPr>
          <w:rFonts w:hint="default" w:ascii="Times New Roman" w:hAnsi="Times New Roman" w:eastAsia="仿宋" w:cs="Times New Roman"/>
          <w:bCs w:val="0"/>
        </w:rPr>
        <w:t>有资本经营预算财政拨款</w:t>
      </w:r>
      <w:r>
        <w:rPr>
          <w:rFonts w:hint="default" w:ascii="Times New Roman" w:hAnsi="Times New Roman" w:eastAsia="仿宋" w:cs="Times New Roman"/>
          <w:bCs w:val="0"/>
          <w:lang w:val="en-US" w:eastAsia="zh-CN"/>
        </w:rPr>
        <w:t>收入</w:t>
      </w:r>
      <w:r>
        <w:rPr>
          <w:rFonts w:hint="default" w:ascii="Times New Roman" w:hAnsi="Times New Roman" w:eastAsia="仿宋" w:cs="Times New Roman"/>
          <w:bCs w:val="0"/>
        </w:rPr>
        <w:t>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_Toc28251 \h </w:instrText>
      </w:r>
      <w:r>
        <w:rPr>
          <w:rFonts w:hint="default" w:ascii="Times New Roman" w:hAnsi="Times New Roman" w:cs="Times New Roman"/>
        </w:rPr>
        <w:fldChar w:fldCharType="separate"/>
      </w:r>
      <w:r>
        <w:rPr>
          <w:rFonts w:hint="default" w:ascii="Times New Roman" w:hAnsi="Times New Roman" w:cs="Times New Roman"/>
        </w:rPr>
        <w:t>20</w:t>
      </w:r>
      <w:r>
        <w:rPr>
          <w:rFonts w:hint="default" w:ascii="Times New Roman" w:hAnsi="Times New Roman" w:cs="Times New Roman"/>
        </w:rPr>
        <w:fldChar w:fldCharType="end"/>
      </w:r>
    </w:p>
    <w:p w14:paraId="1E42978E">
      <w:pPr>
        <w:pStyle w:val="20"/>
        <w:tabs>
          <w:tab w:val="right" w:leader="dot" w:pos="8306"/>
        </w:tabs>
        <w:rPr>
          <w:rFonts w:hint="default" w:ascii="Times New Roman" w:hAnsi="Times New Roman" w:cs="Times New Roman"/>
        </w:rPr>
      </w:pPr>
      <w:r>
        <w:rPr>
          <w:rFonts w:hint="default" w:ascii="Times New Roman" w:hAnsi="Times New Roman" w:eastAsia="仿宋" w:cs="Times New Roman"/>
          <w:bCs w:val="0"/>
        </w:rPr>
        <w:t>十</w:t>
      </w:r>
      <w:r>
        <w:rPr>
          <w:rFonts w:hint="default" w:ascii="Times New Roman" w:hAnsi="Times New Roman" w:eastAsia="仿宋" w:cs="Times New Roman"/>
          <w:bCs w:val="0"/>
          <w:lang w:val="en-US" w:eastAsia="zh-CN"/>
        </w:rPr>
        <w:t>二</w:t>
      </w:r>
      <w:r>
        <w:rPr>
          <w:rFonts w:hint="default" w:ascii="Times New Roman" w:hAnsi="Times New Roman" w:eastAsia="仿宋" w:cs="Times New Roman"/>
          <w:bCs w:val="0"/>
        </w:rPr>
        <w:t>、国有资本经营预算财政拨款支出决算表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_Toc7839 \h </w:instrText>
      </w:r>
      <w:r>
        <w:rPr>
          <w:rFonts w:hint="default" w:ascii="Times New Roman" w:hAnsi="Times New Roman" w:cs="Times New Roman"/>
        </w:rPr>
        <w:fldChar w:fldCharType="separate"/>
      </w:r>
      <w:r>
        <w:rPr>
          <w:rFonts w:hint="default" w:ascii="Times New Roman" w:hAnsi="Times New Roman" w:cs="Times New Roman"/>
        </w:rPr>
        <w:t>20</w:t>
      </w:r>
      <w:r>
        <w:rPr>
          <w:rFonts w:hint="default" w:ascii="Times New Roman" w:hAnsi="Times New Roman" w:cs="Times New Roman"/>
        </w:rPr>
        <w:fldChar w:fldCharType="end"/>
      </w:r>
    </w:p>
    <w:p w14:paraId="5323AB79">
      <w:pPr>
        <w:pStyle w:val="20"/>
        <w:tabs>
          <w:tab w:val="right" w:leader="dot" w:pos="8306"/>
        </w:tabs>
        <w:rPr>
          <w:rFonts w:hint="default" w:ascii="Times New Roman" w:hAnsi="Times New Roman" w:cs="Times New Roman"/>
        </w:rPr>
      </w:pPr>
      <w:r>
        <w:rPr>
          <w:rFonts w:hint="default" w:ascii="Times New Roman" w:hAnsi="Times New Roman" w:eastAsia="仿宋" w:cs="Times New Roman"/>
          <w:bCs w:val="0"/>
          <w:lang w:val="en-US" w:eastAsia="zh-CN"/>
        </w:rPr>
        <w:t>十三、</w:t>
      </w:r>
      <w:r>
        <w:rPr>
          <w:rFonts w:hint="default" w:ascii="Times New Roman" w:hAnsi="Times New Roman" w:eastAsia="仿宋" w:cs="Times New Roman"/>
          <w:bCs w:val="0"/>
        </w:rPr>
        <w:t>财政拨款“三公”经费支出决算表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_Toc15192 \h </w:instrText>
      </w:r>
      <w:r>
        <w:rPr>
          <w:rFonts w:hint="default" w:ascii="Times New Roman" w:hAnsi="Times New Roman" w:cs="Times New Roman"/>
        </w:rPr>
        <w:fldChar w:fldCharType="separate"/>
      </w:r>
      <w:r>
        <w:rPr>
          <w:rFonts w:hint="default" w:ascii="Times New Roman" w:hAnsi="Times New Roman" w:cs="Times New Roman"/>
        </w:rPr>
        <w:t>20</w:t>
      </w:r>
      <w:r>
        <w:rPr>
          <w:rFonts w:hint="default" w:ascii="Times New Roman" w:hAnsi="Times New Roman" w:cs="Times New Roman"/>
        </w:rPr>
        <w:fldChar w:fldCharType="end"/>
      </w:r>
    </w:p>
    <w:p w14:paraId="5AA18D65">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黑体" w:cs="Times New Roman"/>
          <w:b w:val="0"/>
        </w:rPr>
        <w:sectPr>
          <w:headerReference r:id="rId3" w:type="default"/>
          <w:pgSz w:w="11906" w:h="16838"/>
          <w:pgMar w:top="1440" w:right="1800" w:bottom="1440" w:left="1800" w:header="851" w:footer="992" w:gutter="0"/>
          <w:pgNumType w:start="1"/>
          <w:cols w:space="425" w:num="1"/>
          <w:titlePg/>
          <w:docGrid w:type="lines" w:linePitch="312" w:charSpace="0"/>
        </w:sectPr>
      </w:pPr>
      <w:r>
        <w:rPr>
          <w:rFonts w:hint="default" w:ascii="Times New Roman" w:hAnsi="Times New Roman" w:cs="Times New Roman" w:eastAsiaTheme="minorHAnsi"/>
          <w:bCs/>
          <w:caps/>
          <w:szCs w:val="20"/>
        </w:rPr>
        <w:fldChar w:fldCharType="end"/>
      </w:r>
      <w:bookmarkStart w:id="12" w:name="_Toc79163601"/>
      <w:bookmarkStart w:id="13" w:name="_Toc15377196"/>
      <w:bookmarkStart w:id="14" w:name="_Toc15396599"/>
    </w:p>
    <w:p w14:paraId="6FE392AE">
      <w:pPr>
        <w:pStyle w:val="3"/>
        <w:jc w:val="center"/>
        <w:rPr>
          <w:rStyle w:val="28"/>
          <w:rFonts w:hint="default" w:ascii="Times New Roman" w:hAnsi="Times New Roman" w:eastAsia="黑体" w:cs="Times New Roman"/>
          <w:b/>
          <w:bCs w:val="0"/>
        </w:rPr>
      </w:pPr>
      <w:bookmarkStart w:id="15" w:name="_Toc7945"/>
      <w:r>
        <w:rPr>
          <w:rFonts w:hint="default" w:ascii="Times New Roman" w:hAnsi="Times New Roman" w:eastAsia="黑体" w:cs="Times New Roman"/>
          <w:b w:val="0"/>
        </w:rPr>
        <w:t xml:space="preserve">第一部分 </w:t>
      </w:r>
      <w:r>
        <w:rPr>
          <w:rStyle w:val="28"/>
          <w:rFonts w:hint="default" w:ascii="Times New Roman" w:hAnsi="Times New Roman" w:eastAsia="黑体" w:cs="Times New Roman"/>
          <w:b w:val="0"/>
          <w:bCs w:val="0"/>
        </w:rPr>
        <w:t>部门概况</w:t>
      </w:r>
      <w:bookmarkEnd w:id="12"/>
      <w:bookmarkEnd w:id="13"/>
      <w:bookmarkEnd w:id="14"/>
      <w:bookmarkEnd w:id="15"/>
    </w:p>
    <w:p w14:paraId="590A9BB9">
      <w:pPr>
        <w:pStyle w:val="4"/>
        <w:keepNext/>
        <w:keepLines/>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Style w:val="29"/>
          <w:rFonts w:hint="default" w:ascii="Times New Roman" w:hAnsi="Times New Roman" w:eastAsia="黑体" w:cs="Times New Roman"/>
          <w:b w:val="0"/>
          <w:bCs w:val="0"/>
        </w:rPr>
      </w:pPr>
      <w:bookmarkStart w:id="16" w:name="_Toc15377197"/>
      <w:bookmarkStart w:id="17" w:name="_Toc79163602"/>
      <w:bookmarkStart w:id="18" w:name="_Toc15396600"/>
      <w:bookmarkStart w:id="19" w:name="_Toc9110"/>
      <w:r>
        <w:rPr>
          <w:rFonts w:hint="eastAsia" w:ascii="Times New Roman" w:hAnsi="Times New Roman" w:eastAsia="黑体" w:cs="Times New Roman"/>
          <w:b w:val="0"/>
          <w:bCs w:val="0"/>
          <w:kern w:val="2"/>
          <w:sz w:val="32"/>
          <w:szCs w:val="32"/>
          <w:lang w:val="en-US" w:eastAsia="zh-CN" w:bidi="ar-SA"/>
        </w:rPr>
        <w:t>一、</w:t>
      </w:r>
      <w:r>
        <w:rPr>
          <w:rFonts w:hint="default" w:ascii="Times New Roman" w:hAnsi="Times New Roman" w:eastAsia="黑体" w:cs="Times New Roman"/>
          <w:b w:val="0"/>
          <w:color w:val="000000"/>
          <w:lang w:val="en-US" w:eastAsia="zh-CN"/>
        </w:rPr>
        <w:t>部门职责</w:t>
      </w:r>
      <w:bookmarkEnd w:id="16"/>
      <w:bookmarkEnd w:id="17"/>
      <w:bookmarkEnd w:id="18"/>
      <w:bookmarkEnd w:id="19"/>
      <w:bookmarkStart w:id="20" w:name="_Toc15378445"/>
      <w:bookmarkStart w:id="21" w:name="_Toc79163853"/>
      <w:bookmarkStart w:id="22" w:name="_Toc15377198"/>
      <w:bookmarkStart w:id="23" w:name="_Toc79163603"/>
    </w:p>
    <w:bookmarkEnd w:id="20"/>
    <w:bookmarkEnd w:id="21"/>
    <w:bookmarkEnd w:id="22"/>
    <w:bookmarkEnd w:id="23"/>
    <w:p w14:paraId="7DF7805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b w:val="0"/>
          <w:bCs w:val="0"/>
          <w:kern w:val="2"/>
          <w:sz w:val="32"/>
          <w:szCs w:val="32"/>
          <w:highlight w:val="none"/>
          <w:lang w:val="en-US" w:eastAsia="zh-CN" w:bidi="ar-SA"/>
        </w:rPr>
      </w:pPr>
      <w:bookmarkStart w:id="24" w:name="_Toc79163605"/>
      <w:bookmarkStart w:id="25" w:name="_Toc15377200"/>
      <w:bookmarkStart w:id="26" w:name="_Toc15396601"/>
      <w:r>
        <w:rPr>
          <w:rFonts w:hint="default" w:ascii="Times New Roman" w:hAnsi="Times New Roman" w:eastAsia="仿宋_GB2312" w:cs="Times New Roman"/>
          <w:b w:val="0"/>
          <w:bCs w:val="0"/>
          <w:kern w:val="2"/>
          <w:sz w:val="32"/>
          <w:szCs w:val="32"/>
          <w:highlight w:val="none"/>
          <w:lang w:val="en-US" w:eastAsia="zh-CN" w:bidi="ar-SA"/>
        </w:rPr>
        <w:t>综合办公室。负责综合和反映全县工商联</w:t>
      </w:r>
      <w:r>
        <w:rPr>
          <w:rFonts w:hint="eastAsia" w:eastAsia="仿宋_GB2312" w:cs="Times New Roman"/>
          <w:b w:val="0"/>
          <w:bCs w:val="0"/>
          <w:kern w:val="2"/>
          <w:sz w:val="32"/>
          <w:szCs w:val="32"/>
          <w:highlight w:val="none"/>
          <w:lang w:val="en-US" w:eastAsia="zh-CN" w:bidi="ar-SA"/>
        </w:rPr>
        <w:t>（</w:t>
      </w:r>
      <w:r>
        <w:rPr>
          <w:rFonts w:hint="default" w:ascii="Times New Roman" w:hAnsi="Times New Roman" w:eastAsia="仿宋_GB2312" w:cs="Times New Roman"/>
          <w:b w:val="0"/>
          <w:bCs w:val="0"/>
          <w:kern w:val="2"/>
          <w:sz w:val="32"/>
          <w:szCs w:val="32"/>
          <w:highlight w:val="none"/>
          <w:lang w:val="en-US" w:eastAsia="zh-CN" w:bidi="ar-SA"/>
        </w:rPr>
        <w:t>商会</w:t>
      </w:r>
      <w:r>
        <w:rPr>
          <w:rFonts w:hint="eastAsia" w:eastAsia="仿宋_GB2312" w:cs="Times New Roman"/>
          <w:b w:val="0"/>
          <w:bCs w:val="0"/>
          <w:kern w:val="2"/>
          <w:sz w:val="32"/>
          <w:szCs w:val="32"/>
          <w:highlight w:val="none"/>
          <w:lang w:val="en-US" w:eastAsia="zh-CN" w:bidi="ar-SA"/>
        </w:rPr>
        <w:t>）</w:t>
      </w:r>
      <w:r>
        <w:rPr>
          <w:rFonts w:hint="default" w:ascii="Times New Roman" w:hAnsi="Times New Roman" w:eastAsia="仿宋_GB2312" w:cs="Times New Roman"/>
          <w:b w:val="0"/>
          <w:bCs w:val="0"/>
          <w:kern w:val="2"/>
          <w:sz w:val="32"/>
          <w:szCs w:val="32"/>
          <w:highlight w:val="none"/>
          <w:lang w:val="en-US" w:eastAsia="zh-CN" w:bidi="ar-SA"/>
        </w:rPr>
        <w:t>工作情况及贯彻落实县</w:t>
      </w:r>
      <w:r>
        <w:rPr>
          <w:rFonts w:hint="eastAsia" w:eastAsia="仿宋_GB2312" w:cs="Times New Roman"/>
          <w:b w:val="0"/>
          <w:bCs w:val="0"/>
          <w:kern w:val="2"/>
          <w:sz w:val="32"/>
          <w:szCs w:val="32"/>
          <w:highlight w:val="none"/>
          <w:lang w:val="en-US" w:eastAsia="zh-CN" w:bidi="ar-SA"/>
        </w:rPr>
        <w:t>委县</w:t>
      </w:r>
      <w:r>
        <w:rPr>
          <w:rFonts w:hint="default" w:ascii="Times New Roman" w:hAnsi="Times New Roman" w:eastAsia="仿宋_GB2312" w:cs="Times New Roman"/>
          <w:b w:val="0"/>
          <w:bCs w:val="0"/>
          <w:kern w:val="2"/>
          <w:sz w:val="32"/>
          <w:szCs w:val="32"/>
          <w:highlight w:val="none"/>
          <w:lang w:val="en-US" w:eastAsia="zh-CN" w:bidi="ar-SA"/>
        </w:rPr>
        <w:t>政府重大决策</w:t>
      </w:r>
      <w:r>
        <w:rPr>
          <w:rFonts w:hint="eastAsia" w:eastAsia="仿宋_GB2312" w:cs="Times New Roman"/>
          <w:b w:val="0"/>
          <w:bCs w:val="0"/>
          <w:kern w:val="2"/>
          <w:sz w:val="32"/>
          <w:szCs w:val="32"/>
          <w:highlight w:val="none"/>
          <w:lang w:val="en-US" w:eastAsia="zh-CN" w:bidi="ar-SA"/>
        </w:rPr>
        <w:t>部署</w:t>
      </w:r>
      <w:r>
        <w:rPr>
          <w:rFonts w:hint="default" w:ascii="Times New Roman" w:hAnsi="Times New Roman" w:eastAsia="仿宋_GB2312" w:cs="Times New Roman"/>
          <w:b w:val="0"/>
          <w:bCs w:val="0"/>
          <w:kern w:val="2"/>
          <w:sz w:val="32"/>
          <w:szCs w:val="32"/>
          <w:highlight w:val="none"/>
          <w:lang w:val="en-US" w:eastAsia="zh-CN" w:bidi="ar-SA"/>
        </w:rPr>
        <w:t>；负责文件、机要、档案、文印管理工作；负责秘书实务、会议组织、日常值班及保卫保密工作；负责行政事务、财务和资产管理、内部协调和后勤服务等工作；负责</w:t>
      </w:r>
      <w:r>
        <w:rPr>
          <w:rFonts w:hint="eastAsia" w:eastAsia="仿宋_GB2312" w:cs="Times New Roman"/>
          <w:b w:val="0"/>
          <w:bCs w:val="0"/>
          <w:kern w:val="2"/>
          <w:sz w:val="32"/>
          <w:szCs w:val="32"/>
          <w:highlight w:val="none"/>
          <w:lang w:val="en-US" w:eastAsia="zh-CN" w:bidi="ar-SA"/>
        </w:rPr>
        <w:t>县委县</w:t>
      </w:r>
      <w:r>
        <w:rPr>
          <w:rFonts w:hint="default" w:ascii="Times New Roman" w:hAnsi="Times New Roman" w:eastAsia="仿宋_GB2312" w:cs="Times New Roman"/>
          <w:b w:val="0"/>
          <w:bCs w:val="0"/>
          <w:kern w:val="2"/>
          <w:sz w:val="32"/>
          <w:szCs w:val="32"/>
          <w:highlight w:val="none"/>
          <w:lang w:val="en-US" w:eastAsia="zh-CN" w:bidi="ar-SA"/>
        </w:rPr>
        <w:t>政府与商会工作的协调；负责督办领导集体决定事项的执行；指导商会的各项工作。</w:t>
      </w:r>
    </w:p>
    <w:p w14:paraId="5420A6A7">
      <w:pPr>
        <w:pStyle w:val="4"/>
        <w:pageBreakBefore w:val="0"/>
        <w:widowControl w:val="0"/>
        <w:kinsoku/>
        <w:wordWrap/>
        <w:overflowPunct/>
        <w:topLinePunct w:val="0"/>
        <w:bidi w:val="0"/>
        <w:spacing w:line="560" w:lineRule="exact"/>
        <w:ind w:firstLine="640" w:firstLineChars="200"/>
        <w:textAlignment w:val="auto"/>
        <w:rPr>
          <w:rStyle w:val="29"/>
          <w:rFonts w:hint="default" w:ascii="Times New Roman" w:hAnsi="Times New Roman" w:cs="Times New Roman"/>
          <w:b w:val="0"/>
          <w:bCs w:val="0"/>
        </w:rPr>
      </w:pPr>
      <w:bookmarkStart w:id="27" w:name="_Toc4403"/>
      <w:r>
        <w:rPr>
          <w:rFonts w:hint="default" w:ascii="Times New Roman" w:hAnsi="Times New Roman" w:eastAsia="黑体" w:cs="Times New Roman"/>
          <w:b w:val="0"/>
          <w:color w:val="000000"/>
        </w:rPr>
        <w:t>二、机</w:t>
      </w:r>
      <w:r>
        <w:rPr>
          <w:rStyle w:val="29"/>
          <w:rFonts w:hint="default" w:ascii="Times New Roman" w:hAnsi="Times New Roman" w:eastAsia="黑体" w:cs="Times New Roman"/>
          <w:b w:val="0"/>
          <w:bCs w:val="0"/>
        </w:rPr>
        <w:t>构设置</w:t>
      </w:r>
      <w:bookmarkEnd w:id="24"/>
      <w:bookmarkEnd w:id="25"/>
      <w:bookmarkEnd w:id="26"/>
      <w:bookmarkEnd w:id="27"/>
    </w:p>
    <w:p w14:paraId="771F41F8">
      <w:pPr>
        <w:pStyle w:val="8"/>
        <w:pageBreakBefore w:val="0"/>
        <w:widowControl w:val="0"/>
        <w:kinsoku/>
        <w:wordWrap/>
        <w:overflowPunct/>
        <w:topLinePunct w:val="0"/>
        <w:bidi w:val="0"/>
        <w:adjustRightInd w:val="0"/>
        <w:snapToGrid w:val="0"/>
        <w:spacing w:before="93" w:line="560" w:lineRule="exact"/>
        <w:ind w:firstLine="672" w:firstLineChars="210"/>
        <w:textAlignment w:val="auto"/>
        <w:rPr>
          <w:rFonts w:hint="default" w:ascii="Times New Roman" w:hAnsi="Times New Roman" w:cs="Times New Roman"/>
          <w:b w:val="0"/>
          <w:bCs w:val="0"/>
          <w:kern w:val="2"/>
          <w:sz w:val="32"/>
          <w:szCs w:val="32"/>
          <w:highlight w:val="none"/>
          <w:lang w:val="en-US" w:eastAsia="zh-CN" w:bidi="ar-SA"/>
        </w:rPr>
      </w:pPr>
      <w:bookmarkStart w:id="28" w:name="_Toc30939"/>
      <w:bookmarkStart w:id="29" w:name="_Toc12356"/>
      <w:bookmarkStart w:id="30" w:name="_Toc10699"/>
      <w:r>
        <w:rPr>
          <w:rFonts w:hint="eastAsia" w:hAnsi="仿宋" w:cs="Times New Roman"/>
          <w:b w:val="0"/>
          <w:bCs w:val="0"/>
          <w:kern w:val="2"/>
          <w:sz w:val="32"/>
          <w:szCs w:val="32"/>
          <w:highlight w:val="none"/>
          <w:lang w:val="en-US" w:eastAsia="zh-CN" w:bidi="ar-SA"/>
        </w:rPr>
        <w:t>壤塘县工商业联合会</w:t>
      </w:r>
      <w:r>
        <w:rPr>
          <w:rFonts w:hint="eastAsia" w:ascii="仿宋_GB2312" w:hAnsi="仿宋" w:eastAsia="仿宋_GB2312" w:cs="Times New Roman"/>
          <w:b w:val="0"/>
          <w:bCs w:val="0"/>
          <w:kern w:val="2"/>
          <w:sz w:val="32"/>
          <w:szCs w:val="32"/>
          <w:highlight w:val="none"/>
          <w:lang w:val="en-US" w:eastAsia="zh-CN" w:bidi="ar-SA"/>
        </w:rPr>
        <w:t>无下属二级单位，本单位属</w:t>
      </w:r>
      <w:r>
        <w:rPr>
          <w:rFonts w:hint="eastAsia" w:hAnsi="仿宋" w:cs="Times New Roman"/>
          <w:b w:val="0"/>
          <w:bCs w:val="0"/>
          <w:kern w:val="2"/>
          <w:sz w:val="32"/>
          <w:szCs w:val="32"/>
          <w:highlight w:val="none"/>
          <w:lang w:val="en-US" w:eastAsia="zh-CN" w:bidi="ar-SA"/>
        </w:rPr>
        <w:t>行政</w:t>
      </w:r>
      <w:r>
        <w:rPr>
          <w:rFonts w:hint="eastAsia" w:ascii="仿宋_GB2312" w:hAnsi="仿宋" w:eastAsia="仿宋_GB2312" w:cs="Times New Roman"/>
          <w:b w:val="0"/>
          <w:bCs w:val="0"/>
          <w:kern w:val="2"/>
          <w:sz w:val="32"/>
          <w:szCs w:val="32"/>
          <w:highlight w:val="none"/>
          <w:lang w:val="en-US" w:eastAsia="zh-CN" w:bidi="ar-SA"/>
        </w:rPr>
        <w:t>单位。</w:t>
      </w:r>
      <w:bookmarkEnd w:id="28"/>
      <w:bookmarkEnd w:id="29"/>
      <w:bookmarkEnd w:id="30"/>
    </w:p>
    <w:p w14:paraId="6ED9C12E">
      <w:pPr>
        <w:pStyle w:val="8"/>
        <w:pageBreakBefore w:val="0"/>
        <w:widowControl w:val="0"/>
        <w:kinsoku/>
        <w:wordWrap/>
        <w:overflowPunct/>
        <w:topLinePunct w:val="0"/>
        <w:bidi w:val="0"/>
        <w:adjustRightInd w:val="0"/>
        <w:snapToGrid w:val="0"/>
        <w:spacing w:before="93" w:line="560" w:lineRule="exact"/>
        <w:ind w:firstLine="672" w:firstLineChars="210"/>
        <w:textAlignment w:val="auto"/>
        <w:rPr>
          <w:rFonts w:hint="default" w:ascii="Times New Roman" w:hAnsi="Times New Roman" w:cs="Times New Roman"/>
          <w:b w:val="0"/>
          <w:bCs w:val="0"/>
          <w:kern w:val="2"/>
          <w:sz w:val="32"/>
          <w:szCs w:val="32"/>
          <w:highlight w:val="none"/>
          <w:lang w:val="en-US" w:eastAsia="zh-CN" w:bidi="ar-SA"/>
        </w:rPr>
      </w:pPr>
    </w:p>
    <w:p w14:paraId="7F291893">
      <w:pPr>
        <w:pStyle w:val="8"/>
        <w:pageBreakBefore w:val="0"/>
        <w:widowControl w:val="0"/>
        <w:kinsoku/>
        <w:wordWrap/>
        <w:overflowPunct/>
        <w:topLinePunct w:val="0"/>
        <w:bidi w:val="0"/>
        <w:adjustRightInd w:val="0"/>
        <w:snapToGrid w:val="0"/>
        <w:spacing w:before="93" w:line="560" w:lineRule="exact"/>
        <w:ind w:firstLine="672" w:firstLineChars="210"/>
        <w:textAlignment w:val="auto"/>
        <w:rPr>
          <w:rFonts w:hint="default" w:ascii="Times New Roman" w:hAnsi="Times New Roman" w:cs="Times New Roman"/>
          <w:b w:val="0"/>
          <w:bCs w:val="0"/>
          <w:kern w:val="2"/>
          <w:sz w:val="32"/>
          <w:szCs w:val="32"/>
          <w:highlight w:val="none"/>
          <w:lang w:val="en-US" w:eastAsia="zh-CN" w:bidi="ar-SA"/>
        </w:rPr>
      </w:pPr>
    </w:p>
    <w:p w14:paraId="119837E5">
      <w:pPr>
        <w:pStyle w:val="8"/>
        <w:pageBreakBefore w:val="0"/>
        <w:widowControl w:val="0"/>
        <w:kinsoku/>
        <w:wordWrap/>
        <w:overflowPunct/>
        <w:topLinePunct w:val="0"/>
        <w:bidi w:val="0"/>
        <w:adjustRightInd w:val="0"/>
        <w:snapToGrid w:val="0"/>
        <w:spacing w:before="93" w:line="560" w:lineRule="exact"/>
        <w:ind w:firstLine="672" w:firstLineChars="210"/>
        <w:textAlignment w:val="auto"/>
        <w:rPr>
          <w:rFonts w:hint="default" w:ascii="Times New Roman" w:hAnsi="Times New Roman" w:cs="Times New Roman"/>
          <w:b w:val="0"/>
          <w:bCs w:val="0"/>
          <w:kern w:val="2"/>
          <w:sz w:val="32"/>
          <w:szCs w:val="32"/>
          <w:highlight w:val="none"/>
          <w:lang w:val="en-US" w:eastAsia="zh-CN" w:bidi="ar-SA"/>
        </w:rPr>
      </w:pPr>
    </w:p>
    <w:p w14:paraId="4752C2DA">
      <w:pPr>
        <w:pStyle w:val="8"/>
        <w:pageBreakBefore w:val="0"/>
        <w:widowControl w:val="0"/>
        <w:kinsoku/>
        <w:wordWrap/>
        <w:overflowPunct/>
        <w:topLinePunct w:val="0"/>
        <w:bidi w:val="0"/>
        <w:adjustRightInd w:val="0"/>
        <w:snapToGrid w:val="0"/>
        <w:spacing w:before="93" w:line="560" w:lineRule="exact"/>
        <w:ind w:firstLine="672" w:firstLineChars="210"/>
        <w:textAlignment w:val="auto"/>
        <w:rPr>
          <w:rFonts w:hint="default" w:ascii="Times New Roman" w:hAnsi="Times New Roman" w:cs="Times New Roman"/>
          <w:b w:val="0"/>
          <w:bCs w:val="0"/>
          <w:kern w:val="2"/>
          <w:sz w:val="32"/>
          <w:szCs w:val="32"/>
          <w:highlight w:val="none"/>
          <w:lang w:val="en-US" w:eastAsia="zh-CN" w:bidi="ar-SA"/>
        </w:rPr>
      </w:pPr>
    </w:p>
    <w:p w14:paraId="2D347DDD">
      <w:pPr>
        <w:pStyle w:val="3"/>
        <w:pageBreakBefore w:val="0"/>
        <w:widowControl w:val="0"/>
        <w:kinsoku/>
        <w:wordWrap/>
        <w:overflowPunct/>
        <w:topLinePunct w:val="0"/>
        <w:bidi w:val="0"/>
        <w:spacing w:line="560" w:lineRule="exact"/>
        <w:ind w:right="440"/>
        <w:jc w:val="right"/>
        <w:textAlignment w:val="auto"/>
        <w:rPr>
          <w:rFonts w:hint="default" w:ascii="Times New Roman" w:hAnsi="Times New Roman" w:eastAsia="黑体" w:cs="Times New Roman"/>
          <w:b w:val="0"/>
          <w:color w:val="000000"/>
        </w:rPr>
      </w:pPr>
      <w:bookmarkStart w:id="31" w:name="_Toc15377204"/>
      <w:bookmarkStart w:id="32" w:name="_Toc79163859"/>
      <w:bookmarkStart w:id="33" w:name="_Toc79163609"/>
      <w:bookmarkStart w:id="34" w:name="_Toc17595"/>
      <w:bookmarkStart w:id="35" w:name="_Toc15396602"/>
    </w:p>
    <w:p w14:paraId="71E33D4B">
      <w:pPr>
        <w:pStyle w:val="3"/>
        <w:pageBreakBefore w:val="0"/>
        <w:widowControl w:val="0"/>
        <w:kinsoku/>
        <w:wordWrap/>
        <w:overflowPunct/>
        <w:topLinePunct w:val="0"/>
        <w:bidi w:val="0"/>
        <w:spacing w:line="560" w:lineRule="exact"/>
        <w:ind w:right="440"/>
        <w:jc w:val="right"/>
        <w:textAlignment w:val="auto"/>
        <w:rPr>
          <w:rStyle w:val="28"/>
          <w:rFonts w:hint="default" w:ascii="Times New Roman" w:hAnsi="Times New Roman" w:eastAsia="黑体" w:cs="Times New Roman"/>
          <w:b w:val="0"/>
          <w:bCs w:val="0"/>
        </w:rPr>
      </w:pPr>
      <w:r>
        <w:rPr>
          <w:rFonts w:hint="default" w:ascii="Times New Roman" w:hAnsi="Times New Roman" w:eastAsia="黑体" w:cs="Times New Roman"/>
          <w:b w:val="0"/>
          <w:color w:val="000000"/>
        </w:rPr>
        <w:t>第二部分</w:t>
      </w:r>
      <w:r>
        <w:rPr>
          <w:rFonts w:hint="default" w:ascii="Times New Roman" w:hAnsi="Times New Roman" w:eastAsia="黑体" w:cs="Times New Roman"/>
          <w:color w:val="000000"/>
        </w:rPr>
        <w:t xml:space="preserve"> </w:t>
      </w:r>
      <w:r>
        <w:rPr>
          <w:rStyle w:val="28"/>
          <w:rFonts w:hint="default" w:ascii="Times New Roman" w:hAnsi="Times New Roman" w:eastAsia="黑体" w:cs="Times New Roman"/>
          <w:b w:val="0"/>
          <w:bCs w:val="0"/>
          <w:lang w:eastAsia="zh-CN"/>
        </w:rPr>
        <w:t>2023年</w:t>
      </w:r>
      <w:r>
        <w:rPr>
          <w:rStyle w:val="28"/>
          <w:rFonts w:hint="default" w:ascii="Times New Roman" w:hAnsi="Times New Roman" w:eastAsia="黑体" w:cs="Times New Roman"/>
          <w:b w:val="0"/>
          <w:bCs w:val="0"/>
        </w:rPr>
        <w:t>度部门决算情况说明</w:t>
      </w:r>
      <w:bookmarkEnd w:id="31"/>
      <w:bookmarkEnd w:id="32"/>
      <w:bookmarkEnd w:id="33"/>
      <w:bookmarkEnd w:id="34"/>
      <w:bookmarkEnd w:id="35"/>
    </w:p>
    <w:p w14:paraId="0C62BECB">
      <w:pPr>
        <w:pStyle w:val="4"/>
        <w:keepNext/>
        <w:keepLines/>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黑体" w:cs="Times New Roman"/>
          <w:lang w:val="en-US" w:eastAsia="zh-CN"/>
        </w:rPr>
      </w:pPr>
      <w:bookmarkStart w:id="36" w:name="_Toc10872"/>
      <w:r>
        <w:rPr>
          <w:rFonts w:hint="default" w:ascii="Times New Roman" w:hAnsi="Times New Roman" w:eastAsia="黑体" w:cs="Times New Roman"/>
          <w:lang w:val="en-US" w:eastAsia="zh-CN"/>
        </w:rPr>
        <w:t>一、收入支出决算总体情况说明</w:t>
      </w:r>
      <w:bookmarkEnd w:id="36"/>
    </w:p>
    <w:p w14:paraId="17FD95FD">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 w:cs="Times New Roman"/>
          <w:color w:val="000000"/>
          <w:kern w:val="2"/>
          <w:sz w:val="32"/>
          <w:szCs w:val="32"/>
        </w:rPr>
      </w:pPr>
      <w:r>
        <w:rPr>
          <w:rFonts w:hint="default" w:ascii="Times New Roman" w:hAnsi="Times New Roman" w:eastAsia="仿宋" w:cs="Times New Roman"/>
          <w:color w:val="000000"/>
          <w:kern w:val="2"/>
          <w:sz w:val="32"/>
          <w:szCs w:val="32"/>
          <w:lang w:val="en-US" w:eastAsia="zh-CN" w:bidi="ar"/>
        </w:rPr>
        <w:t>2023年度收入总计108.73万元，与2022年相比，增加10.66万元，增长10.87%。主要变动原因：本年度工资变动变化导致人员经费增加，相应收支增加; 支出总计108.73万元。与2022年相比，增加6.21万元，增长6.06%。主要变动原因:本年度工资变动变化导致人员经费增加，相应收支增加。</w:t>
      </w:r>
    </w:p>
    <w:p w14:paraId="4B773D92">
      <w:pPr>
        <w:pStyle w:val="22"/>
        <w:keepNext w:val="0"/>
        <w:keepLines w:val="0"/>
        <w:widowControl w:val="0"/>
        <w:suppressLineNumbers w:val="0"/>
        <w:spacing w:before="0" w:beforeAutospacing="1" w:after="0" w:afterAutospacing="0" w:line="360" w:lineRule="auto"/>
        <w:ind w:left="0" w:leftChars="0" w:right="0" w:firstLine="0" w:firstLineChars="0"/>
        <w:jc w:val="center"/>
        <w:rPr>
          <w:rFonts w:hint="default" w:ascii="Times New Roman" w:hAnsi="Times New Roman" w:eastAsia="宋体" w:cs="Times New Roman"/>
          <w:kern w:val="2"/>
          <w:sz w:val="21"/>
          <w:szCs w:val="21"/>
        </w:rPr>
      </w:pPr>
      <w:r>
        <w:rPr>
          <w:rFonts w:hint="default" w:ascii="Times New Roman" w:hAnsi="Times New Roman" w:cs="Times New Roman"/>
        </w:rPr>
        <w:drawing>
          <wp:inline distT="0" distB="0" distL="114300" distR="114300">
            <wp:extent cx="4465320" cy="1681480"/>
            <wp:effectExtent l="4445" t="4445" r="13335" b="1587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Pr>
          <w:rFonts w:hint="default" w:ascii="Times New Roman" w:hAnsi="Times New Roman" w:cs="Times New Roman"/>
        </w:rPr>
        <w:drawing>
          <wp:inline distT="0" distB="0" distL="114300" distR="114300">
            <wp:extent cx="4483100" cy="1755775"/>
            <wp:effectExtent l="4445" t="5080" r="8255" b="44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8872684">
      <w:pPr>
        <w:keepNext w:val="0"/>
        <w:keepLines w:val="0"/>
        <w:widowControl w:val="0"/>
        <w:suppressLineNumbers w:val="0"/>
        <w:spacing w:before="0" w:beforeAutospacing="0" w:after="0" w:afterAutospacing="0" w:line="560" w:lineRule="exact"/>
        <w:ind w:left="0" w:right="0" w:firstLine="640" w:firstLineChars="200"/>
        <w:jc w:val="center"/>
        <w:rPr>
          <w:rFonts w:hint="default" w:ascii="Times New Roman" w:hAnsi="Times New Roman" w:eastAsia="仿宋" w:cs="Times New Roman"/>
          <w:color w:val="000000"/>
          <w:kern w:val="2"/>
          <w:sz w:val="32"/>
          <w:szCs w:val="32"/>
        </w:rPr>
      </w:pPr>
      <w:r>
        <w:rPr>
          <w:rFonts w:hint="default" w:ascii="Times New Roman" w:hAnsi="Times New Roman" w:eastAsia="仿宋" w:cs="Times New Roman"/>
          <w:color w:val="000000"/>
          <w:kern w:val="2"/>
          <w:sz w:val="32"/>
          <w:szCs w:val="32"/>
          <w:lang w:val="en-US" w:eastAsia="zh-CN" w:bidi="ar"/>
        </w:rPr>
        <w:t>（图1：收、支决算总计变动情况图）（柱状图）</w:t>
      </w:r>
    </w:p>
    <w:p w14:paraId="38C10D69">
      <w:pPr>
        <w:keepNext w:val="0"/>
        <w:keepLines w:val="0"/>
        <w:widowControl w:val="0"/>
        <w:suppressLineNumbers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 xml:space="preserve"> </w:t>
      </w:r>
    </w:p>
    <w:p w14:paraId="68640196">
      <w:pPr>
        <w:pStyle w:val="4"/>
        <w:keepNext/>
        <w:keepLines/>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lang w:val="en-US" w:eastAsia="zh-CN"/>
        </w:rPr>
      </w:pPr>
      <w:bookmarkStart w:id="37" w:name="_Toc22517"/>
      <w:r>
        <w:rPr>
          <w:rFonts w:hint="default" w:ascii="Times New Roman" w:hAnsi="Times New Roman" w:eastAsia="黑体" w:cs="Times New Roman"/>
          <w:b w:val="0"/>
          <w:bCs w:val="0"/>
          <w:color w:val="000000"/>
          <w:kern w:val="2"/>
          <w:sz w:val="32"/>
          <w:szCs w:val="32"/>
          <w:lang w:val="en-US" w:eastAsia="zh-CN" w:bidi="ar-SA"/>
        </w:rPr>
        <w:t>二、收入决算情况说明</w:t>
      </w:r>
      <w:bookmarkEnd w:id="37"/>
    </w:p>
    <w:p w14:paraId="6E14870A">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 w:cs="Times New Roman"/>
          <w:color w:val="000000"/>
          <w:kern w:val="2"/>
          <w:sz w:val="32"/>
          <w:szCs w:val="32"/>
        </w:rPr>
      </w:pPr>
      <w:r>
        <w:rPr>
          <w:rFonts w:hint="default" w:ascii="Times New Roman" w:hAnsi="Times New Roman" w:eastAsia="仿宋" w:cs="Times New Roman"/>
          <w:color w:val="000000"/>
          <w:kern w:val="2"/>
          <w:sz w:val="32"/>
          <w:szCs w:val="32"/>
          <w:lang w:val="en-US" w:eastAsia="zh-CN" w:bidi="ar"/>
        </w:rPr>
        <w:t>2023年本年收入合计108.73万元，其中：一般公共预算财政拨款收入108.73万元，占100%；政府性基金预算财政拨款收入0万元，占0%；上级补助收入0万元，占0%；事业收入0万元，占0%；经营收入0万元，占0%；附属单位上缴收入0万元，占0%；其他收入0万元，占0%。</w:t>
      </w:r>
    </w:p>
    <w:p w14:paraId="76262D5D">
      <w:pPr>
        <w:pStyle w:val="22"/>
        <w:keepNext w:val="0"/>
        <w:keepLines w:val="0"/>
        <w:widowControl w:val="0"/>
        <w:suppressLineNumbers w:val="0"/>
        <w:spacing w:before="0" w:beforeAutospacing="1" w:after="120" w:afterAutospacing="0" w:line="360" w:lineRule="auto"/>
        <w:ind w:left="0" w:leftChars="0" w:right="0" w:firstLine="420" w:firstLineChars="200"/>
        <w:jc w:val="center"/>
        <w:rPr>
          <w:rFonts w:hint="default" w:ascii="Times New Roman" w:hAnsi="Times New Roman" w:eastAsia="宋体" w:cs="Times New Roman"/>
          <w:kern w:val="2"/>
          <w:sz w:val="21"/>
          <w:szCs w:val="21"/>
        </w:rPr>
      </w:pPr>
      <w:r>
        <w:rPr>
          <w:rFonts w:hint="default" w:ascii="Times New Roman" w:hAnsi="Times New Roman" w:cs="Times New Roman"/>
        </w:rPr>
        <w:drawing>
          <wp:inline distT="0" distB="0" distL="114300" distR="114300">
            <wp:extent cx="3807460" cy="1847215"/>
            <wp:effectExtent l="0" t="0" r="2540" b="6985"/>
            <wp:docPr id="134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 name="图片 4" descr="IMG_256"/>
                    <pic:cNvPicPr>
                      <a:picLocks noChangeAspect="1"/>
                    </pic:cNvPicPr>
                  </pic:nvPicPr>
                  <pic:blipFill>
                    <a:blip r:embed="rId9"/>
                    <a:stretch>
                      <a:fillRect/>
                    </a:stretch>
                  </pic:blipFill>
                  <pic:spPr>
                    <a:xfrm>
                      <a:off x="0" y="0"/>
                      <a:ext cx="3807460" cy="1847215"/>
                    </a:xfrm>
                    <a:prstGeom prst="rect">
                      <a:avLst/>
                    </a:prstGeom>
                    <a:noFill/>
                    <a:ln w="9525">
                      <a:noFill/>
                    </a:ln>
                  </pic:spPr>
                </pic:pic>
              </a:graphicData>
            </a:graphic>
          </wp:inline>
        </w:drawing>
      </w:r>
    </w:p>
    <w:p w14:paraId="65306BEE">
      <w:pPr>
        <w:keepNext w:val="0"/>
        <w:keepLines w:val="0"/>
        <w:widowControl w:val="0"/>
        <w:suppressLineNumbers w:val="0"/>
        <w:spacing w:before="0" w:beforeAutospacing="0" w:after="0" w:afterAutospacing="0" w:line="560" w:lineRule="exact"/>
        <w:ind w:left="0" w:right="0" w:firstLine="640" w:firstLineChars="200"/>
        <w:jc w:val="center"/>
        <w:rPr>
          <w:rFonts w:hint="default" w:ascii="Times New Roman" w:hAnsi="Times New Roman" w:eastAsia="仿宋_GB2312" w:cs="Times New Roman"/>
          <w:color w:val="FF0000"/>
          <w:kern w:val="2"/>
          <w:sz w:val="32"/>
          <w:szCs w:val="32"/>
        </w:rPr>
      </w:pPr>
      <w:r>
        <w:rPr>
          <w:rFonts w:hint="default" w:ascii="Times New Roman" w:hAnsi="Times New Roman" w:eastAsia="仿宋" w:cs="Times New Roman"/>
          <w:color w:val="000000"/>
          <w:kern w:val="2"/>
          <w:sz w:val="32"/>
          <w:szCs w:val="32"/>
          <w:lang w:val="en-US" w:eastAsia="zh-CN" w:bidi="ar"/>
        </w:rPr>
        <w:t>（图2：收入决算结构图）（饼状图）</w:t>
      </w:r>
    </w:p>
    <w:p w14:paraId="7DEC59A1">
      <w:pPr>
        <w:pStyle w:val="4"/>
        <w:keepNext/>
        <w:keepLines/>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rPr>
      </w:pPr>
      <w:bookmarkStart w:id="38" w:name="_Toc21587"/>
      <w:r>
        <w:rPr>
          <w:rFonts w:hint="default" w:ascii="Times New Roman" w:hAnsi="Times New Roman" w:eastAsia="黑体" w:cs="Times New Roman"/>
          <w:b w:val="0"/>
          <w:bCs w:val="0"/>
          <w:color w:val="000000"/>
          <w:kern w:val="2"/>
          <w:sz w:val="32"/>
          <w:szCs w:val="32"/>
          <w:lang w:val="en-US" w:eastAsia="zh-CN" w:bidi="ar-SA"/>
        </w:rPr>
        <w:t>三、支出决算情况说</w:t>
      </w:r>
      <w:r>
        <w:rPr>
          <w:rFonts w:hint="default" w:ascii="Times New Roman" w:hAnsi="Times New Roman" w:cs="Times New Roman"/>
          <w:lang w:val="en-US" w:eastAsia="zh-CN"/>
        </w:rPr>
        <w:t>明</w:t>
      </w:r>
      <w:bookmarkEnd w:id="38"/>
    </w:p>
    <w:p w14:paraId="5FE16F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2"/>
          <w:sz w:val="32"/>
          <w:szCs w:val="32"/>
          <w:lang w:val="en-US" w:eastAsia="zh-CN" w:bidi="ar"/>
        </w:rPr>
        <w:t>2023年本年支出合计108.73万元</w:t>
      </w:r>
      <w:r>
        <w:rPr>
          <w:rFonts w:hint="default" w:ascii="Times New Roman" w:hAnsi="Times New Roman" w:eastAsia="仿宋_GB2312" w:cs="Times New Roman"/>
          <w:sz w:val="32"/>
          <w:szCs w:val="32"/>
        </w:rPr>
        <w:t>，其中：基本支出</w:t>
      </w:r>
      <w:r>
        <w:rPr>
          <w:rFonts w:hint="default" w:ascii="Times New Roman" w:hAnsi="Times New Roman" w:eastAsia="仿宋_GB2312" w:cs="Times New Roman"/>
          <w:kern w:val="2"/>
          <w:sz w:val="32"/>
          <w:szCs w:val="32"/>
          <w:lang w:val="en-US" w:eastAsia="zh-CN" w:bidi="ar"/>
        </w:rPr>
        <w:t>107.59万</w:t>
      </w:r>
      <w:r>
        <w:rPr>
          <w:rFonts w:hint="default" w:ascii="Times New Roman" w:hAnsi="Times New Roman" w:eastAsia="仿宋_GB2312" w:cs="Times New Roman"/>
          <w:sz w:val="32"/>
          <w:szCs w:val="32"/>
        </w:rPr>
        <w:t>元，占</w:t>
      </w:r>
      <w:r>
        <w:rPr>
          <w:rFonts w:hint="default" w:ascii="Times New Roman" w:hAnsi="Times New Roman" w:eastAsia="仿宋_GB2312" w:cs="Times New Roman"/>
          <w:sz w:val="32"/>
          <w:szCs w:val="32"/>
          <w:lang w:val="en-US" w:eastAsia="zh-CN"/>
        </w:rPr>
        <w:t>98.95</w:t>
      </w:r>
      <w:r>
        <w:rPr>
          <w:rFonts w:hint="default" w:ascii="Times New Roman" w:hAnsi="Times New Roman" w:eastAsia="仿宋_GB2312" w:cs="Times New Roman"/>
          <w:sz w:val="32"/>
          <w:szCs w:val="32"/>
        </w:rPr>
        <w:t>%；项目支出</w:t>
      </w:r>
      <w:r>
        <w:rPr>
          <w:rFonts w:hint="default" w:ascii="Times New Roman" w:hAnsi="Times New Roman" w:eastAsia="仿宋_GB2312" w:cs="Times New Roman"/>
          <w:sz w:val="32"/>
          <w:szCs w:val="32"/>
          <w:lang w:val="en-US" w:eastAsia="zh-CN"/>
        </w:rPr>
        <w:t>1.14</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1.05</w:t>
      </w:r>
      <w:r>
        <w:rPr>
          <w:rFonts w:hint="default" w:ascii="Times New Roman" w:hAnsi="Times New Roman" w:eastAsia="仿宋_GB2312" w:cs="Times New Roman"/>
          <w:sz w:val="32"/>
          <w:szCs w:val="32"/>
        </w:rPr>
        <w:t>%；上缴上级支出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%；经营支出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%；对附属单位补助支出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w:t>
      </w:r>
    </w:p>
    <w:p w14:paraId="56B284D8">
      <w:pPr>
        <w:pStyle w:val="23"/>
        <w:jc w:val="center"/>
        <w:rPr>
          <w:rFonts w:hint="default" w:ascii="Times New Roman" w:hAnsi="Times New Roman" w:eastAsia="仿宋" w:cs="Times New Roman"/>
          <w:color w:val="000000"/>
          <w:sz w:val="32"/>
          <w:szCs w:val="32"/>
          <w:shd w:val="pct10" w:color="auto" w:fill="FFFFFF"/>
        </w:rPr>
      </w:pPr>
      <w:r>
        <w:rPr>
          <w:rFonts w:hint="default" w:ascii="Times New Roman" w:hAnsi="Times New Roman" w:cs="Times New Roman"/>
        </w:rPr>
        <w:drawing>
          <wp:inline distT="0" distB="0" distL="114300" distR="114300">
            <wp:extent cx="4086225" cy="1935480"/>
            <wp:effectExtent l="4445" t="4445" r="11430" b="15875"/>
            <wp:docPr id="3"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27449E5">
      <w:pPr>
        <w:pageBreakBefore w:val="0"/>
        <w:widowControl w:val="0"/>
        <w:kinsoku/>
        <w:wordWrap/>
        <w:overflowPunct/>
        <w:topLinePunct w:val="0"/>
        <w:bidi w:val="0"/>
        <w:spacing w:line="560" w:lineRule="exact"/>
        <w:ind w:firstLine="640" w:firstLineChars="200"/>
        <w:jc w:val="center"/>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（图3：支出决算结构图）（饼状图）</w:t>
      </w:r>
    </w:p>
    <w:p w14:paraId="3178E54C">
      <w:pPr>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FF0000"/>
          <w:sz w:val="32"/>
          <w:szCs w:val="32"/>
        </w:rPr>
      </w:pPr>
    </w:p>
    <w:p w14:paraId="2884B7A1">
      <w:pPr>
        <w:pageBreakBefore w:val="0"/>
        <w:widowControl w:val="0"/>
        <w:kinsoku/>
        <w:wordWrap/>
        <w:overflowPunct/>
        <w:topLinePunct w:val="0"/>
        <w:bidi w:val="0"/>
        <w:spacing w:line="560" w:lineRule="exact"/>
        <w:ind w:firstLine="640" w:firstLineChars="200"/>
        <w:textAlignment w:val="auto"/>
        <w:outlineLvl w:val="1"/>
        <w:rPr>
          <w:rStyle w:val="29"/>
          <w:rFonts w:hint="default" w:ascii="Times New Roman" w:hAnsi="Times New Roman" w:eastAsia="黑体" w:cs="Times New Roman"/>
          <w:b w:val="0"/>
        </w:rPr>
      </w:pPr>
      <w:bookmarkStart w:id="39" w:name="_Toc79163613"/>
      <w:bookmarkStart w:id="40" w:name="_Toc15396606"/>
      <w:bookmarkStart w:id="41" w:name="_Toc15377208"/>
      <w:bookmarkStart w:id="42" w:name="_Toc11753"/>
      <w:r>
        <w:rPr>
          <w:rFonts w:hint="default" w:ascii="Times New Roman" w:hAnsi="Times New Roman" w:eastAsia="黑体" w:cs="Times New Roman"/>
          <w:color w:val="000000"/>
          <w:sz w:val="32"/>
          <w:szCs w:val="32"/>
        </w:rPr>
        <w:t>四、财</w:t>
      </w:r>
      <w:r>
        <w:rPr>
          <w:rStyle w:val="29"/>
          <w:rFonts w:hint="default" w:ascii="Times New Roman" w:hAnsi="Times New Roman" w:eastAsia="黑体" w:cs="Times New Roman"/>
          <w:b w:val="0"/>
        </w:rPr>
        <w:t>政拨款收入支出决算总体情况说明</w:t>
      </w:r>
      <w:bookmarkEnd w:id="39"/>
      <w:bookmarkEnd w:id="40"/>
      <w:bookmarkEnd w:id="41"/>
      <w:bookmarkEnd w:id="42"/>
    </w:p>
    <w:p w14:paraId="11280922">
      <w:pPr>
        <w:pageBreakBefore w:val="0"/>
        <w:widowControl w:val="0"/>
        <w:kinsoku/>
        <w:wordWrap/>
        <w:overflowPunct/>
        <w:topLinePunct w:val="0"/>
        <w:bidi w:val="0"/>
        <w:spacing w:line="560" w:lineRule="exact"/>
        <w:ind w:firstLine="640"/>
        <w:textAlignment w:val="auto"/>
        <w:rPr>
          <w:rFonts w:hint="default" w:ascii="Times New Roman" w:hAnsi="Times New Roman" w:eastAsia="仿宋" w:cs="Times New Roman"/>
          <w:color w:val="000000"/>
          <w:sz w:val="32"/>
          <w:szCs w:val="32"/>
          <w:lang w:eastAsia="zh-CN"/>
        </w:rPr>
      </w:pPr>
      <w:r>
        <w:rPr>
          <w:rFonts w:hint="default" w:ascii="Times New Roman" w:hAnsi="Times New Roman" w:eastAsia="仿宋" w:cs="Times New Roman"/>
          <w:color w:val="000000"/>
          <w:sz w:val="32"/>
          <w:szCs w:val="32"/>
          <w:lang w:eastAsia="zh-CN"/>
        </w:rPr>
        <w:t>2023年</w:t>
      </w:r>
      <w:r>
        <w:rPr>
          <w:rFonts w:hint="default" w:ascii="Times New Roman" w:hAnsi="Times New Roman" w:eastAsia="仿宋" w:cs="Times New Roman"/>
          <w:color w:val="000000"/>
          <w:sz w:val="32"/>
          <w:szCs w:val="32"/>
        </w:rPr>
        <w:t>财政拨款</w:t>
      </w:r>
      <w:r>
        <w:rPr>
          <w:rFonts w:hint="default" w:ascii="Times New Roman" w:hAnsi="Times New Roman" w:eastAsia="仿宋" w:cs="Times New Roman"/>
          <w:color w:val="000000"/>
          <w:sz w:val="32"/>
          <w:szCs w:val="32"/>
          <w:lang w:eastAsia="zh-CN"/>
        </w:rPr>
        <w:t>收入</w:t>
      </w:r>
      <w:r>
        <w:rPr>
          <w:rFonts w:hint="default" w:ascii="Times New Roman" w:hAnsi="Times New Roman" w:eastAsia="仿宋" w:cs="Times New Roman"/>
          <w:color w:val="000000"/>
          <w:sz w:val="32"/>
          <w:szCs w:val="32"/>
        </w:rPr>
        <w:t>总计</w:t>
      </w:r>
      <w:r>
        <w:rPr>
          <w:rFonts w:hint="default" w:ascii="Times New Roman" w:hAnsi="Times New Roman" w:eastAsia="仿宋" w:cs="Times New Roman"/>
          <w:color w:val="000000"/>
          <w:sz w:val="32"/>
          <w:szCs w:val="32"/>
          <w:lang w:val="en-US" w:eastAsia="zh-CN"/>
        </w:rPr>
        <w:t>108.73万元，与2022年相比，</w:t>
      </w:r>
      <w:r>
        <w:rPr>
          <w:rFonts w:hint="default" w:ascii="Times New Roman" w:hAnsi="Times New Roman" w:eastAsia="仿宋" w:cs="Times New Roman"/>
          <w:color w:val="000000"/>
          <w:kern w:val="2"/>
          <w:sz w:val="32"/>
          <w:szCs w:val="32"/>
          <w:lang w:val="en-US" w:eastAsia="zh-CN" w:bidi="ar"/>
        </w:rPr>
        <w:t>增加10.66万元，增长10.87%。主要变动原因：本年新增项目，项目收入增加;</w:t>
      </w:r>
      <w:r>
        <w:rPr>
          <w:rFonts w:hint="default" w:ascii="Times New Roman" w:hAnsi="Times New Roman" w:eastAsia="仿宋" w:cs="Times New Roman"/>
          <w:color w:val="000000"/>
          <w:sz w:val="32"/>
          <w:szCs w:val="32"/>
          <w:lang w:eastAsia="zh-CN"/>
        </w:rPr>
        <w:t>2023年</w:t>
      </w:r>
      <w:r>
        <w:rPr>
          <w:rFonts w:hint="default" w:ascii="Times New Roman" w:hAnsi="Times New Roman" w:eastAsia="仿宋" w:cs="Times New Roman"/>
          <w:color w:val="000000"/>
          <w:sz w:val="32"/>
          <w:szCs w:val="32"/>
        </w:rPr>
        <w:t>财政拨款支出总计</w:t>
      </w:r>
      <w:r>
        <w:rPr>
          <w:rFonts w:hint="default" w:ascii="Times New Roman" w:hAnsi="Times New Roman" w:eastAsia="仿宋" w:cs="Times New Roman"/>
          <w:color w:val="000000"/>
          <w:sz w:val="32"/>
          <w:szCs w:val="32"/>
          <w:lang w:val="en-US" w:eastAsia="zh-CN"/>
        </w:rPr>
        <w:t>108.73万元，与2022年相比，</w:t>
      </w:r>
      <w:r>
        <w:rPr>
          <w:rFonts w:hint="default" w:ascii="Times New Roman" w:hAnsi="Times New Roman" w:eastAsia="仿宋" w:cs="Times New Roman"/>
          <w:color w:val="000000"/>
          <w:kern w:val="2"/>
          <w:sz w:val="32"/>
          <w:szCs w:val="32"/>
          <w:lang w:val="en-US" w:eastAsia="zh-CN" w:bidi="ar"/>
        </w:rPr>
        <w:t>增加6.21万元，增长6.06%。主要变动原因:本年度工资变动变化导致人员经费增加，相应收支增加</w:t>
      </w:r>
    </w:p>
    <w:p w14:paraId="430B0174">
      <w:pPr>
        <w:pStyle w:val="23"/>
        <w:jc w:val="center"/>
        <w:rPr>
          <w:rFonts w:hint="default" w:ascii="Times New Roman" w:hAnsi="Times New Roman" w:cs="Times New Roman"/>
        </w:rPr>
      </w:pPr>
      <w:r>
        <w:rPr>
          <w:rFonts w:hint="default" w:ascii="Times New Roman" w:hAnsi="Times New Roman" w:cs="Times New Roman"/>
        </w:rPr>
        <w:drawing>
          <wp:inline distT="0" distB="0" distL="114300" distR="114300">
            <wp:extent cx="4264660" cy="1819910"/>
            <wp:effectExtent l="4445" t="5080" r="10795" b="16510"/>
            <wp:docPr id="4"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A1C245E">
      <w:pPr>
        <w:pStyle w:val="23"/>
        <w:jc w:val="center"/>
        <w:rPr>
          <w:rFonts w:hint="default" w:ascii="Times New Roman" w:hAnsi="Times New Roman" w:eastAsia="仿宋" w:cs="Times New Roman"/>
          <w:color w:val="000000"/>
          <w:sz w:val="32"/>
          <w:szCs w:val="32"/>
        </w:rPr>
      </w:pPr>
      <w:r>
        <w:rPr>
          <w:rFonts w:hint="default" w:ascii="Times New Roman" w:hAnsi="Times New Roman" w:cs="Times New Roman"/>
        </w:rPr>
        <w:drawing>
          <wp:inline distT="0" distB="0" distL="114300" distR="114300">
            <wp:extent cx="4388485" cy="1960245"/>
            <wp:effectExtent l="4445" t="5080" r="13970" b="15875"/>
            <wp:docPr id="5"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1134681">
      <w:pPr>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（图4：财政拨款收、支决算总计变动情况）（柱状图）</w:t>
      </w:r>
    </w:p>
    <w:p w14:paraId="5BDDD707">
      <w:pPr>
        <w:pageBreakBefore w:val="0"/>
        <w:widowControl w:val="0"/>
        <w:kinsoku/>
        <w:wordWrap/>
        <w:overflowPunct/>
        <w:topLinePunct w:val="0"/>
        <w:bidi w:val="0"/>
        <w:spacing w:line="560" w:lineRule="exact"/>
        <w:ind w:firstLine="640"/>
        <w:textAlignment w:val="auto"/>
        <w:rPr>
          <w:rFonts w:hint="default" w:ascii="Times New Roman" w:hAnsi="Times New Roman" w:eastAsia="仿宋" w:cs="Times New Roman"/>
          <w:b/>
          <w:color w:val="00B050"/>
          <w:sz w:val="32"/>
          <w:szCs w:val="32"/>
        </w:rPr>
      </w:pPr>
    </w:p>
    <w:p w14:paraId="7BB46228">
      <w:pPr>
        <w:pageBreakBefore w:val="0"/>
        <w:widowControl w:val="0"/>
        <w:kinsoku/>
        <w:wordWrap/>
        <w:overflowPunct/>
        <w:topLinePunct w:val="0"/>
        <w:bidi w:val="0"/>
        <w:spacing w:line="560" w:lineRule="exact"/>
        <w:ind w:firstLine="640" w:firstLineChars="200"/>
        <w:textAlignment w:val="auto"/>
        <w:outlineLvl w:val="1"/>
        <w:rPr>
          <w:rStyle w:val="29"/>
          <w:rFonts w:hint="default" w:ascii="Times New Roman" w:hAnsi="Times New Roman" w:eastAsia="黑体" w:cs="Times New Roman"/>
          <w:b w:val="0"/>
        </w:rPr>
      </w:pPr>
      <w:bookmarkStart w:id="43" w:name="_Toc79163864"/>
      <w:bookmarkStart w:id="44" w:name="_Toc79163614"/>
      <w:bookmarkStart w:id="45" w:name="_Toc23945"/>
      <w:bookmarkStart w:id="46" w:name="_Toc15377209"/>
      <w:bookmarkStart w:id="47" w:name="_Toc15396607"/>
      <w:r>
        <w:rPr>
          <w:rFonts w:hint="default" w:ascii="Times New Roman" w:hAnsi="Times New Roman" w:eastAsia="黑体" w:cs="Times New Roman"/>
          <w:color w:val="000000"/>
          <w:sz w:val="32"/>
          <w:szCs w:val="32"/>
        </w:rPr>
        <w:t>五、</w:t>
      </w:r>
      <w:r>
        <w:rPr>
          <w:rFonts w:hint="default" w:ascii="Times New Roman" w:hAnsi="Times New Roman" w:eastAsia="黑体" w:cs="Times New Roman"/>
          <w:b/>
          <w:color w:val="000000"/>
          <w:sz w:val="32"/>
          <w:szCs w:val="32"/>
        </w:rPr>
        <w:t>一</w:t>
      </w:r>
      <w:r>
        <w:rPr>
          <w:rStyle w:val="29"/>
          <w:rFonts w:hint="default" w:ascii="Times New Roman" w:hAnsi="Times New Roman" w:eastAsia="黑体" w:cs="Times New Roman"/>
          <w:b w:val="0"/>
        </w:rPr>
        <w:t>般公共预算财政拨款支出决算情况说明</w:t>
      </w:r>
      <w:bookmarkEnd w:id="43"/>
      <w:bookmarkEnd w:id="44"/>
      <w:bookmarkEnd w:id="45"/>
      <w:bookmarkEnd w:id="46"/>
      <w:bookmarkEnd w:id="47"/>
    </w:p>
    <w:p w14:paraId="7838BE95">
      <w:pPr>
        <w:pageBreakBefore w:val="0"/>
        <w:widowControl w:val="0"/>
        <w:kinsoku/>
        <w:wordWrap/>
        <w:overflowPunct/>
        <w:topLinePunct w:val="0"/>
        <w:bidi w:val="0"/>
        <w:spacing w:line="560" w:lineRule="exact"/>
        <w:ind w:firstLine="643" w:firstLineChars="200"/>
        <w:textAlignment w:val="auto"/>
        <w:outlineLvl w:val="2"/>
        <w:rPr>
          <w:rFonts w:hint="default" w:ascii="Times New Roman" w:hAnsi="Times New Roman" w:eastAsia="仿宋" w:cs="Times New Roman"/>
          <w:b/>
          <w:color w:val="000000"/>
          <w:sz w:val="32"/>
          <w:szCs w:val="32"/>
        </w:rPr>
      </w:pPr>
      <w:bookmarkStart w:id="48" w:name="_Toc79163615"/>
      <w:bookmarkStart w:id="49" w:name="_Toc24627"/>
      <w:bookmarkStart w:id="50" w:name="_Toc79163865"/>
      <w:bookmarkStart w:id="51" w:name="_Toc15377210"/>
      <w:r>
        <w:rPr>
          <w:rFonts w:hint="default" w:ascii="Times New Roman" w:hAnsi="Times New Roman" w:eastAsia="仿宋" w:cs="Times New Roman"/>
          <w:b/>
          <w:color w:val="000000"/>
          <w:sz w:val="32"/>
          <w:szCs w:val="32"/>
        </w:rPr>
        <w:t>（一）一般公共预算财政拨款支出决算总体情况</w:t>
      </w:r>
      <w:bookmarkEnd w:id="48"/>
      <w:bookmarkEnd w:id="49"/>
      <w:bookmarkEnd w:id="50"/>
      <w:bookmarkEnd w:id="51"/>
    </w:p>
    <w:p w14:paraId="21916BFB">
      <w:pPr>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 w:cs="Times New Roman"/>
          <w:color w:val="000000"/>
          <w:sz w:val="32"/>
          <w:szCs w:val="32"/>
          <w:lang w:val="en-US" w:eastAsia="zh-CN"/>
        </w:rPr>
      </w:pPr>
      <w:r>
        <w:rPr>
          <w:rFonts w:hint="default" w:ascii="Times New Roman" w:hAnsi="Times New Roman" w:eastAsia="仿宋" w:cs="Times New Roman"/>
          <w:color w:val="000000"/>
          <w:sz w:val="32"/>
          <w:szCs w:val="32"/>
          <w:lang w:eastAsia="zh-CN"/>
        </w:rPr>
        <w:t>2023年</w:t>
      </w:r>
      <w:r>
        <w:rPr>
          <w:rFonts w:hint="default" w:ascii="Times New Roman" w:hAnsi="Times New Roman" w:eastAsia="仿宋" w:cs="Times New Roman"/>
          <w:color w:val="000000"/>
          <w:sz w:val="32"/>
          <w:szCs w:val="32"/>
        </w:rPr>
        <w:t>一般公共预算财政拨款支出</w:t>
      </w:r>
      <w:r>
        <w:rPr>
          <w:rFonts w:hint="default" w:ascii="Times New Roman" w:hAnsi="Times New Roman" w:eastAsia="仿宋" w:cs="Times New Roman"/>
          <w:color w:val="000000"/>
          <w:sz w:val="32"/>
          <w:szCs w:val="32"/>
          <w:lang w:val="en-US" w:eastAsia="zh-CN"/>
        </w:rPr>
        <w:t>108.73万</w:t>
      </w:r>
      <w:r>
        <w:rPr>
          <w:rFonts w:hint="default" w:ascii="Times New Roman" w:hAnsi="Times New Roman" w:eastAsia="仿宋" w:cs="Times New Roman"/>
          <w:color w:val="000000"/>
          <w:sz w:val="32"/>
          <w:szCs w:val="32"/>
        </w:rPr>
        <w:t>元，占本年支出合计的</w:t>
      </w:r>
      <w:r>
        <w:rPr>
          <w:rFonts w:hint="default" w:ascii="Times New Roman" w:hAnsi="Times New Roman" w:eastAsia="仿宋" w:cs="Times New Roman"/>
          <w:color w:val="000000"/>
          <w:sz w:val="32"/>
          <w:szCs w:val="32"/>
          <w:lang w:val="en-US" w:eastAsia="zh-CN"/>
        </w:rPr>
        <w:t>100</w:t>
      </w:r>
      <w:r>
        <w:rPr>
          <w:rFonts w:hint="default" w:ascii="Times New Roman" w:hAnsi="Times New Roman" w:eastAsia="仿宋" w:cs="Times New Roman"/>
          <w:color w:val="000000"/>
          <w:sz w:val="32"/>
          <w:szCs w:val="32"/>
        </w:rPr>
        <w:t>%。与</w:t>
      </w:r>
      <w:r>
        <w:rPr>
          <w:rFonts w:hint="default" w:ascii="Times New Roman" w:hAnsi="Times New Roman" w:eastAsia="仿宋" w:cs="Times New Roman"/>
          <w:color w:val="000000"/>
          <w:sz w:val="32"/>
          <w:szCs w:val="32"/>
          <w:lang w:eastAsia="zh-CN"/>
        </w:rPr>
        <w:t>2022年</w:t>
      </w:r>
      <w:r>
        <w:rPr>
          <w:rFonts w:hint="default" w:ascii="Times New Roman" w:hAnsi="Times New Roman" w:eastAsia="仿宋" w:cs="Times New Roman"/>
          <w:color w:val="000000"/>
          <w:sz w:val="32"/>
          <w:szCs w:val="32"/>
        </w:rPr>
        <w:t>相比，一般公共预算财政拨款</w:t>
      </w:r>
      <w:r>
        <w:rPr>
          <w:rFonts w:hint="default" w:ascii="Times New Roman" w:hAnsi="Times New Roman" w:eastAsia="仿宋" w:cs="Times New Roman"/>
          <w:color w:val="000000"/>
          <w:kern w:val="2"/>
          <w:sz w:val="32"/>
          <w:szCs w:val="32"/>
          <w:lang w:val="en-US" w:eastAsia="zh-CN" w:bidi="ar"/>
        </w:rPr>
        <w:t>增加6.21万元，增长6.06%。主要变动原因:本年度工资变动变化导致人员经费增加，相应收支增加</w:t>
      </w:r>
    </w:p>
    <w:p w14:paraId="0D5B9F6C">
      <w:pPr>
        <w:jc w:val="center"/>
        <w:rPr>
          <w:rFonts w:hint="default" w:ascii="Times New Roman" w:hAnsi="Times New Roman" w:eastAsia="仿宋" w:cs="Times New Roman"/>
          <w:color w:val="000000"/>
          <w:sz w:val="32"/>
          <w:szCs w:val="32"/>
        </w:rPr>
      </w:pPr>
      <w:r>
        <w:rPr>
          <w:rFonts w:hint="default" w:ascii="Times New Roman" w:hAnsi="Times New Roman" w:cs="Times New Roman"/>
        </w:rPr>
        <w:drawing>
          <wp:inline distT="0" distB="0" distL="114300" distR="114300">
            <wp:extent cx="4451350" cy="2128520"/>
            <wp:effectExtent l="4445" t="4445" r="14605" b="13335"/>
            <wp:docPr id="6"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58956CA">
      <w:pPr>
        <w:pageBreakBefore w:val="0"/>
        <w:widowControl w:val="0"/>
        <w:kinsoku/>
        <w:wordWrap/>
        <w:overflowPunct/>
        <w:topLinePunct w:val="0"/>
        <w:bidi w:val="0"/>
        <w:spacing w:line="560" w:lineRule="exact"/>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（图5：一般公共预算财政拨款支出决算变动情况）（柱状图）</w:t>
      </w:r>
    </w:p>
    <w:p w14:paraId="4A6D32CB">
      <w:pPr>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 w:cs="Times New Roman"/>
          <w:color w:val="000000"/>
          <w:sz w:val="32"/>
          <w:szCs w:val="32"/>
        </w:rPr>
      </w:pPr>
    </w:p>
    <w:p w14:paraId="544F4DC4">
      <w:pPr>
        <w:pageBreakBefore w:val="0"/>
        <w:widowControl w:val="0"/>
        <w:kinsoku/>
        <w:wordWrap/>
        <w:overflowPunct/>
        <w:topLinePunct w:val="0"/>
        <w:bidi w:val="0"/>
        <w:spacing w:line="560" w:lineRule="exact"/>
        <w:ind w:firstLine="643" w:firstLineChars="200"/>
        <w:textAlignment w:val="auto"/>
        <w:outlineLvl w:val="2"/>
        <w:rPr>
          <w:rFonts w:hint="default" w:ascii="Times New Roman" w:hAnsi="Times New Roman" w:eastAsia="仿宋" w:cs="Times New Roman"/>
          <w:b/>
          <w:color w:val="000000"/>
          <w:sz w:val="32"/>
          <w:szCs w:val="32"/>
        </w:rPr>
      </w:pPr>
      <w:bookmarkStart w:id="52" w:name="_Toc79163866"/>
      <w:bookmarkStart w:id="53" w:name="_Toc3974"/>
      <w:bookmarkStart w:id="54" w:name="_Toc15377211"/>
      <w:bookmarkStart w:id="55" w:name="_Toc79163616"/>
      <w:r>
        <w:rPr>
          <w:rFonts w:hint="default" w:ascii="Times New Roman" w:hAnsi="Times New Roman" w:eastAsia="仿宋" w:cs="Times New Roman"/>
          <w:b/>
          <w:color w:val="000000"/>
          <w:sz w:val="32"/>
          <w:szCs w:val="32"/>
        </w:rPr>
        <w:t>（二）一般公共预算财政拨款支出决算结构情况</w:t>
      </w:r>
      <w:bookmarkEnd w:id="52"/>
      <w:bookmarkEnd w:id="53"/>
      <w:bookmarkEnd w:id="54"/>
      <w:bookmarkEnd w:id="55"/>
    </w:p>
    <w:p w14:paraId="51D28794">
      <w:pPr>
        <w:pageBreakBefore w:val="0"/>
        <w:widowControl w:val="0"/>
        <w:kinsoku/>
        <w:wordWrap/>
        <w:overflowPunct/>
        <w:topLinePunct w:val="0"/>
        <w:bidi w:val="0"/>
        <w:spacing w:line="560" w:lineRule="exact"/>
        <w:ind w:firstLine="640"/>
        <w:textAlignment w:val="auto"/>
        <w:rPr>
          <w:rFonts w:hint="default" w:ascii="Times New Roman" w:hAnsi="Times New Roman" w:eastAsia="仿宋" w:cs="Times New Roman"/>
          <w:b/>
          <w:color w:val="000000"/>
          <w:sz w:val="32"/>
          <w:szCs w:val="32"/>
        </w:rPr>
      </w:pPr>
      <w:r>
        <w:rPr>
          <w:rFonts w:hint="default" w:ascii="Times New Roman" w:hAnsi="Times New Roman" w:eastAsia="仿宋" w:cs="Times New Roman"/>
          <w:color w:val="000000"/>
          <w:sz w:val="32"/>
          <w:szCs w:val="32"/>
          <w:lang w:eastAsia="zh-CN"/>
        </w:rPr>
        <w:t>2023年</w:t>
      </w:r>
      <w:r>
        <w:rPr>
          <w:rFonts w:hint="default" w:ascii="Times New Roman" w:hAnsi="Times New Roman" w:eastAsia="仿宋" w:cs="Times New Roman"/>
          <w:color w:val="000000"/>
          <w:sz w:val="32"/>
          <w:szCs w:val="32"/>
        </w:rPr>
        <w:t>一般公共预算财政拨款支出</w:t>
      </w:r>
      <w:r>
        <w:rPr>
          <w:rFonts w:hint="default" w:ascii="Times New Roman" w:hAnsi="Times New Roman" w:eastAsia="仿宋" w:cs="Times New Roman"/>
          <w:color w:val="000000"/>
          <w:sz w:val="32"/>
          <w:szCs w:val="32"/>
          <w:lang w:eastAsia="zh-CN"/>
        </w:rPr>
        <w:t>108.73万</w:t>
      </w:r>
      <w:r>
        <w:rPr>
          <w:rFonts w:hint="default" w:ascii="Times New Roman" w:hAnsi="Times New Roman" w:eastAsia="仿宋" w:cs="Times New Roman"/>
          <w:color w:val="000000"/>
          <w:sz w:val="32"/>
          <w:szCs w:val="32"/>
        </w:rPr>
        <w:t>元，主要用于以下方面:</w:t>
      </w:r>
      <w:r>
        <w:rPr>
          <w:rFonts w:hint="default" w:ascii="Times New Roman" w:hAnsi="Times New Roman" w:eastAsia="仿宋" w:cs="Times New Roman"/>
          <w:b/>
          <w:color w:val="000000"/>
          <w:sz w:val="32"/>
          <w:szCs w:val="32"/>
        </w:rPr>
        <w:t>一般公共服务支出</w:t>
      </w:r>
      <w:r>
        <w:rPr>
          <w:rFonts w:hint="default" w:ascii="Times New Roman" w:hAnsi="Times New Roman" w:eastAsia="仿宋" w:cs="Times New Roman"/>
          <w:b/>
          <w:color w:val="000000"/>
          <w:sz w:val="32"/>
          <w:szCs w:val="32"/>
          <w:lang w:val="en-US" w:eastAsia="zh-CN"/>
        </w:rPr>
        <w:t>83.58</w:t>
      </w:r>
      <w:r>
        <w:rPr>
          <w:rFonts w:hint="default" w:ascii="Times New Roman" w:hAnsi="Times New Roman" w:eastAsia="仿宋" w:cs="Times New Roman"/>
          <w:color w:val="000000"/>
          <w:sz w:val="32"/>
          <w:szCs w:val="32"/>
        </w:rPr>
        <w:t>万元，占</w:t>
      </w:r>
      <w:r>
        <w:rPr>
          <w:rFonts w:hint="default" w:ascii="Times New Roman" w:hAnsi="Times New Roman" w:eastAsia="仿宋" w:cs="Times New Roman"/>
          <w:color w:val="000000"/>
          <w:sz w:val="32"/>
          <w:szCs w:val="32"/>
          <w:lang w:val="en-US" w:eastAsia="zh-CN"/>
        </w:rPr>
        <w:t>76.87</w:t>
      </w:r>
      <w:r>
        <w:rPr>
          <w:rFonts w:hint="default" w:ascii="Times New Roman" w:hAnsi="Times New Roman" w:eastAsia="仿宋" w:cs="Times New Roman"/>
          <w:color w:val="000000"/>
          <w:sz w:val="32"/>
          <w:szCs w:val="32"/>
        </w:rPr>
        <w:t>%；</w:t>
      </w:r>
      <w:r>
        <w:rPr>
          <w:rFonts w:hint="default" w:ascii="Times New Roman" w:hAnsi="Times New Roman" w:eastAsia="仿宋" w:cs="Times New Roman"/>
          <w:b/>
          <w:color w:val="000000"/>
          <w:sz w:val="32"/>
          <w:szCs w:val="32"/>
        </w:rPr>
        <w:t>社会保障和就业</w:t>
      </w:r>
      <w:r>
        <w:rPr>
          <w:rFonts w:hint="default" w:ascii="Times New Roman" w:hAnsi="Times New Roman" w:eastAsia="仿宋" w:cs="Times New Roman"/>
          <w:color w:val="000000"/>
          <w:sz w:val="32"/>
          <w:szCs w:val="32"/>
        </w:rPr>
        <w:t>支出</w:t>
      </w:r>
      <w:r>
        <w:rPr>
          <w:rFonts w:hint="default" w:ascii="Times New Roman" w:hAnsi="Times New Roman" w:eastAsia="仿宋" w:cs="Times New Roman"/>
          <w:color w:val="000000"/>
          <w:sz w:val="32"/>
          <w:szCs w:val="32"/>
          <w:lang w:val="en-US" w:eastAsia="zh-CN"/>
        </w:rPr>
        <w:t>12.90</w:t>
      </w:r>
      <w:r>
        <w:rPr>
          <w:rFonts w:hint="default" w:ascii="Times New Roman" w:hAnsi="Times New Roman" w:eastAsia="仿宋" w:cs="Times New Roman"/>
          <w:color w:val="000000"/>
          <w:sz w:val="32"/>
          <w:szCs w:val="32"/>
        </w:rPr>
        <w:t>万元，占</w:t>
      </w:r>
      <w:r>
        <w:rPr>
          <w:rFonts w:hint="default" w:ascii="Times New Roman" w:hAnsi="Times New Roman" w:eastAsia="仿宋" w:cs="Times New Roman"/>
          <w:color w:val="000000"/>
          <w:sz w:val="32"/>
          <w:szCs w:val="32"/>
          <w:lang w:val="en-US" w:eastAsia="zh-CN"/>
        </w:rPr>
        <w:t>11.86</w:t>
      </w:r>
      <w:r>
        <w:rPr>
          <w:rFonts w:hint="default" w:ascii="Times New Roman" w:hAnsi="Times New Roman" w:eastAsia="仿宋" w:cs="Times New Roman"/>
          <w:color w:val="000000"/>
          <w:sz w:val="32"/>
          <w:szCs w:val="32"/>
        </w:rPr>
        <w:t>%；</w:t>
      </w:r>
      <w:r>
        <w:rPr>
          <w:rFonts w:hint="default" w:ascii="Times New Roman" w:hAnsi="Times New Roman" w:eastAsia="仿宋" w:cs="Times New Roman"/>
          <w:b/>
          <w:bCs/>
          <w:color w:val="000000"/>
          <w:sz w:val="32"/>
          <w:szCs w:val="32"/>
        </w:rPr>
        <w:t>卫生健康支出</w:t>
      </w:r>
      <w:r>
        <w:rPr>
          <w:rFonts w:hint="default" w:ascii="Times New Roman" w:hAnsi="Times New Roman" w:eastAsia="仿宋" w:cs="Times New Roman"/>
          <w:b w:val="0"/>
          <w:bCs w:val="0"/>
          <w:color w:val="000000"/>
          <w:sz w:val="32"/>
          <w:szCs w:val="32"/>
          <w:lang w:eastAsia="zh-CN"/>
        </w:rPr>
        <w:t>5.74</w:t>
      </w:r>
      <w:r>
        <w:rPr>
          <w:rFonts w:hint="default" w:ascii="Times New Roman" w:hAnsi="Times New Roman" w:eastAsia="仿宋" w:cs="Times New Roman"/>
          <w:color w:val="000000"/>
          <w:sz w:val="32"/>
          <w:szCs w:val="32"/>
        </w:rPr>
        <w:t>万元，占</w:t>
      </w:r>
      <w:r>
        <w:rPr>
          <w:rFonts w:hint="default" w:ascii="Times New Roman" w:hAnsi="Times New Roman" w:eastAsia="仿宋" w:cs="Times New Roman"/>
          <w:color w:val="000000"/>
          <w:sz w:val="32"/>
          <w:szCs w:val="32"/>
          <w:lang w:val="en-US" w:eastAsia="zh-CN"/>
        </w:rPr>
        <w:t>5</w:t>
      </w:r>
      <w:r>
        <w:rPr>
          <w:rFonts w:hint="default" w:ascii="Times New Roman" w:hAnsi="Times New Roman" w:eastAsia="仿宋" w:cs="Times New Roman"/>
          <w:color w:val="000000"/>
          <w:sz w:val="32"/>
          <w:szCs w:val="32"/>
        </w:rPr>
        <w:t>.</w:t>
      </w:r>
      <w:r>
        <w:rPr>
          <w:rFonts w:hint="default" w:ascii="Times New Roman" w:hAnsi="Times New Roman" w:eastAsia="仿宋" w:cs="Times New Roman"/>
          <w:color w:val="000000"/>
          <w:sz w:val="32"/>
          <w:szCs w:val="32"/>
          <w:lang w:val="en-US" w:eastAsia="zh-CN"/>
        </w:rPr>
        <w:t>28</w:t>
      </w:r>
      <w:r>
        <w:rPr>
          <w:rFonts w:hint="default" w:ascii="Times New Roman" w:hAnsi="Times New Roman" w:eastAsia="仿宋" w:cs="Times New Roman"/>
          <w:color w:val="000000"/>
          <w:sz w:val="32"/>
          <w:szCs w:val="32"/>
        </w:rPr>
        <w:t>%；</w:t>
      </w:r>
      <w:r>
        <w:rPr>
          <w:rFonts w:hint="default" w:ascii="Times New Roman" w:hAnsi="Times New Roman" w:eastAsia="仿宋" w:cs="Times New Roman"/>
          <w:b/>
          <w:bCs/>
          <w:color w:val="000000"/>
          <w:sz w:val="32"/>
          <w:szCs w:val="32"/>
          <w:lang w:eastAsia="zh-CN"/>
        </w:rPr>
        <w:t>住房保障支出</w:t>
      </w:r>
      <w:r>
        <w:rPr>
          <w:rFonts w:hint="default" w:ascii="Times New Roman" w:hAnsi="Times New Roman" w:eastAsia="仿宋" w:cs="Times New Roman"/>
          <w:color w:val="000000"/>
          <w:sz w:val="32"/>
          <w:szCs w:val="32"/>
          <w:lang w:val="en-US" w:eastAsia="zh-CN"/>
        </w:rPr>
        <w:t>6.51</w:t>
      </w:r>
      <w:r>
        <w:rPr>
          <w:rFonts w:hint="default" w:ascii="Times New Roman" w:hAnsi="Times New Roman" w:eastAsia="仿宋" w:cs="Times New Roman"/>
          <w:color w:val="000000"/>
          <w:sz w:val="32"/>
          <w:szCs w:val="32"/>
          <w:lang w:eastAsia="zh-CN"/>
        </w:rPr>
        <w:t>万元，占</w:t>
      </w:r>
      <w:r>
        <w:rPr>
          <w:rFonts w:hint="default" w:ascii="Times New Roman" w:hAnsi="Times New Roman" w:eastAsia="仿宋" w:cs="Times New Roman"/>
          <w:color w:val="000000"/>
          <w:sz w:val="32"/>
          <w:szCs w:val="32"/>
          <w:lang w:val="en-US" w:eastAsia="zh-CN"/>
        </w:rPr>
        <w:t>5.99%</w:t>
      </w:r>
      <w:r>
        <w:rPr>
          <w:rFonts w:hint="default" w:ascii="Times New Roman" w:hAnsi="Times New Roman" w:eastAsia="仿宋" w:cs="Times New Roman"/>
          <w:color w:val="000000"/>
          <w:sz w:val="32"/>
          <w:szCs w:val="32"/>
          <w:lang w:eastAsia="zh-CN"/>
        </w:rPr>
        <w:t>。</w:t>
      </w:r>
    </w:p>
    <w:p w14:paraId="7C30C770">
      <w:pPr>
        <w:jc w:val="center"/>
        <w:rPr>
          <w:rFonts w:hint="default" w:ascii="Times New Roman" w:hAnsi="Times New Roman" w:eastAsia="仿宋" w:cs="Times New Roman"/>
          <w:color w:val="000000"/>
          <w:sz w:val="32"/>
          <w:szCs w:val="32"/>
        </w:rPr>
      </w:pPr>
      <w:r>
        <w:rPr>
          <w:rFonts w:hint="default" w:ascii="Times New Roman" w:hAnsi="Times New Roman" w:cs="Times New Roman"/>
        </w:rPr>
        <w:drawing>
          <wp:inline distT="0" distB="0" distL="114300" distR="114300">
            <wp:extent cx="4466590" cy="2112010"/>
            <wp:effectExtent l="4445" t="4445" r="12065" b="17145"/>
            <wp:docPr id="1352"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9CC20E1">
      <w:pPr>
        <w:pageBreakBefore w:val="0"/>
        <w:widowControl w:val="0"/>
        <w:kinsoku/>
        <w:wordWrap/>
        <w:overflowPunct/>
        <w:topLinePunct w:val="0"/>
        <w:bidi w:val="0"/>
        <w:spacing w:line="560" w:lineRule="exact"/>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（图6：一般公共预算财政拨款支出决算结构）（饼状图）</w:t>
      </w:r>
    </w:p>
    <w:p w14:paraId="1A805681">
      <w:pPr>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 w:cs="Times New Roman"/>
          <w:color w:val="000000"/>
          <w:sz w:val="32"/>
          <w:szCs w:val="32"/>
        </w:rPr>
      </w:pPr>
    </w:p>
    <w:p w14:paraId="7B910007">
      <w:pPr>
        <w:pageBreakBefore w:val="0"/>
        <w:widowControl w:val="0"/>
        <w:kinsoku/>
        <w:wordWrap/>
        <w:overflowPunct/>
        <w:topLinePunct w:val="0"/>
        <w:bidi w:val="0"/>
        <w:spacing w:line="560" w:lineRule="exact"/>
        <w:ind w:firstLine="643" w:firstLineChars="200"/>
        <w:textAlignment w:val="auto"/>
        <w:outlineLvl w:val="2"/>
        <w:rPr>
          <w:rFonts w:hint="default" w:ascii="Times New Roman" w:hAnsi="Times New Roman" w:eastAsia="仿宋" w:cs="Times New Roman"/>
          <w:b/>
          <w:color w:val="000000"/>
          <w:sz w:val="32"/>
          <w:szCs w:val="32"/>
        </w:rPr>
      </w:pPr>
      <w:bookmarkStart w:id="56" w:name="_Toc22474"/>
      <w:bookmarkStart w:id="57" w:name="_Toc15377212"/>
      <w:bookmarkStart w:id="58" w:name="_Toc79163617"/>
      <w:r>
        <w:rPr>
          <w:rFonts w:hint="default" w:ascii="Times New Roman" w:hAnsi="Times New Roman" w:eastAsia="仿宋" w:cs="Times New Roman"/>
          <w:b/>
          <w:color w:val="000000"/>
          <w:sz w:val="32"/>
          <w:szCs w:val="32"/>
        </w:rPr>
        <w:t>（三）一般公共预算财政拨款支出决算具体情况</w:t>
      </w:r>
      <w:bookmarkEnd w:id="56"/>
      <w:bookmarkEnd w:id="57"/>
      <w:bookmarkEnd w:id="58"/>
    </w:p>
    <w:p w14:paraId="43DB915C">
      <w:pPr>
        <w:pageBreakBefore w:val="0"/>
        <w:widowControl w:val="0"/>
        <w:kinsoku/>
        <w:wordWrap/>
        <w:overflowPunct/>
        <w:topLinePunct w:val="0"/>
        <w:bidi w:val="0"/>
        <w:spacing w:line="560" w:lineRule="exact"/>
        <w:ind w:firstLine="643" w:firstLineChars="200"/>
        <w:textAlignment w:val="auto"/>
        <w:rPr>
          <w:rFonts w:hint="default" w:ascii="Times New Roman" w:hAnsi="Times New Roman" w:eastAsia="仿宋_GB2312" w:cs="Times New Roman"/>
          <w:b/>
          <w:bCs/>
          <w:sz w:val="32"/>
          <w:szCs w:val="32"/>
        </w:rPr>
      </w:pPr>
      <w:bookmarkStart w:id="59" w:name="_Toc15378460"/>
      <w:bookmarkStart w:id="60" w:name="_Toc15377444"/>
      <w:bookmarkStart w:id="61" w:name="_Toc15377213"/>
      <w:r>
        <w:rPr>
          <w:rFonts w:hint="default" w:ascii="Times New Roman" w:hAnsi="Times New Roman" w:eastAsia="仿宋_GB2312" w:cs="Times New Roman"/>
          <w:b/>
          <w:bCs/>
          <w:sz w:val="32"/>
          <w:szCs w:val="32"/>
          <w:lang w:eastAsia="zh-CN"/>
        </w:rPr>
        <w:t>2023年</w:t>
      </w:r>
      <w:r>
        <w:rPr>
          <w:rFonts w:hint="default" w:ascii="Times New Roman" w:hAnsi="Times New Roman" w:eastAsia="仿宋_GB2312" w:cs="Times New Roman"/>
          <w:b/>
          <w:bCs/>
          <w:sz w:val="32"/>
          <w:szCs w:val="32"/>
        </w:rPr>
        <w:t>一般公共预算支出决算数为</w:t>
      </w:r>
      <w:r>
        <w:rPr>
          <w:rFonts w:hint="default" w:ascii="Times New Roman" w:hAnsi="Times New Roman" w:eastAsia="仿宋_GB2312" w:cs="Times New Roman"/>
          <w:b/>
          <w:bCs/>
          <w:sz w:val="32"/>
          <w:szCs w:val="32"/>
          <w:lang w:eastAsia="zh-CN"/>
        </w:rPr>
        <w:t>108.73万</w:t>
      </w:r>
      <w:r>
        <w:rPr>
          <w:rFonts w:hint="default" w:ascii="Times New Roman" w:hAnsi="Times New Roman" w:eastAsia="仿宋_GB2312" w:cs="Times New Roman"/>
          <w:b/>
          <w:bCs/>
          <w:sz w:val="32"/>
          <w:szCs w:val="32"/>
          <w:lang w:val="en-US" w:eastAsia="zh-CN"/>
        </w:rPr>
        <w:t>元</w:t>
      </w:r>
      <w:r>
        <w:rPr>
          <w:rFonts w:hint="default" w:ascii="Times New Roman" w:hAnsi="Times New Roman" w:eastAsia="仿宋_GB2312" w:cs="Times New Roman"/>
          <w:b/>
          <w:bCs/>
          <w:sz w:val="32"/>
          <w:szCs w:val="32"/>
        </w:rPr>
        <w:t>，完成预算</w:t>
      </w:r>
      <w:r>
        <w:rPr>
          <w:rFonts w:hint="default" w:ascii="Times New Roman" w:hAnsi="Times New Roman" w:eastAsia="仿宋_GB2312" w:cs="Times New Roman"/>
          <w:b/>
          <w:bCs/>
          <w:sz w:val="32"/>
          <w:szCs w:val="32"/>
          <w:lang w:val="en-US" w:eastAsia="zh-CN"/>
        </w:rPr>
        <w:t>100</w:t>
      </w:r>
      <w:r>
        <w:rPr>
          <w:rFonts w:hint="default" w:ascii="Times New Roman" w:hAnsi="Times New Roman" w:eastAsia="仿宋_GB2312" w:cs="Times New Roman"/>
          <w:b/>
          <w:bCs/>
          <w:sz w:val="32"/>
          <w:szCs w:val="32"/>
        </w:rPr>
        <w:t>%。其中：</w:t>
      </w:r>
      <w:bookmarkEnd w:id="59"/>
      <w:bookmarkEnd w:id="60"/>
      <w:bookmarkEnd w:id="61"/>
    </w:p>
    <w:p w14:paraId="4CFE7103">
      <w:pPr>
        <w:pageBreakBefore w:val="0"/>
        <w:widowControl w:val="0"/>
        <w:kinsoku/>
        <w:wordWrap/>
        <w:overflowPunct/>
        <w:topLinePunct w:val="0"/>
        <w:bidi w:val="0"/>
        <w:spacing w:line="560" w:lineRule="exact"/>
        <w:ind w:firstLine="643" w:firstLineChars="200"/>
        <w:textAlignment w:val="auto"/>
        <w:rPr>
          <w:rStyle w:val="26"/>
          <w:rFonts w:hint="default" w:ascii="Times New Roman" w:hAnsi="Times New Roman" w:eastAsia="仿宋" w:cs="Times New Roman"/>
          <w:b w:val="0"/>
          <w:bCs/>
          <w:color w:val="000000"/>
          <w:sz w:val="32"/>
          <w:szCs w:val="32"/>
        </w:rPr>
      </w:pPr>
      <w:r>
        <w:rPr>
          <w:rStyle w:val="26"/>
          <w:rFonts w:hint="default" w:ascii="Times New Roman" w:hAnsi="Times New Roman" w:eastAsia="仿宋" w:cs="Times New Roman"/>
          <w:bCs/>
          <w:color w:val="000000"/>
          <w:sz w:val="32"/>
          <w:szCs w:val="32"/>
        </w:rPr>
        <w:t>1.一般公共服务支出（类）民主党派及工商联事务（款）  行政运行（项）:</w:t>
      </w:r>
      <w:r>
        <w:rPr>
          <w:rStyle w:val="26"/>
          <w:rFonts w:hint="default" w:ascii="Times New Roman" w:hAnsi="Times New Roman" w:eastAsia="仿宋" w:cs="Times New Roman"/>
          <w:b w:val="0"/>
          <w:bCs/>
          <w:color w:val="000000"/>
          <w:sz w:val="32"/>
          <w:szCs w:val="32"/>
        </w:rPr>
        <w:t xml:space="preserve"> 支出决算为</w:t>
      </w:r>
      <w:r>
        <w:rPr>
          <w:rStyle w:val="26"/>
          <w:rFonts w:hint="default" w:ascii="Times New Roman" w:hAnsi="Times New Roman" w:eastAsia="仿宋" w:cs="Times New Roman"/>
          <w:b w:val="0"/>
          <w:bCs/>
          <w:color w:val="000000"/>
          <w:sz w:val="32"/>
          <w:szCs w:val="32"/>
          <w:lang w:val="en-US" w:eastAsia="zh-CN"/>
        </w:rPr>
        <w:t>51.03</w:t>
      </w:r>
      <w:r>
        <w:rPr>
          <w:rStyle w:val="26"/>
          <w:rFonts w:hint="default" w:ascii="Times New Roman" w:hAnsi="Times New Roman" w:eastAsia="仿宋" w:cs="Times New Roman"/>
          <w:b w:val="0"/>
          <w:bCs/>
          <w:color w:val="000000"/>
          <w:sz w:val="32"/>
          <w:szCs w:val="32"/>
        </w:rPr>
        <w:t>万元，完成预算</w:t>
      </w:r>
      <w:r>
        <w:rPr>
          <w:rStyle w:val="26"/>
          <w:rFonts w:hint="default" w:ascii="Times New Roman" w:hAnsi="Times New Roman" w:eastAsia="仿宋" w:cs="Times New Roman"/>
          <w:b w:val="0"/>
          <w:bCs/>
          <w:color w:val="000000"/>
          <w:sz w:val="32"/>
          <w:szCs w:val="32"/>
          <w:lang w:val="en-US" w:eastAsia="zh-CN"/>
        </w:rPr>
        <w:t>100</w:t>
      </w:r>
      <w:r>
        <w:rPr>
          <w:rStyle w:val="26"/>
          <w:rFonts w:hint="default" w:ascii="Times New Roman" w:hAnsi="Times New Roman" w:eastAsia="仿宋" w:cs="Times New Roman"/>
          <w:b w:val="0"/>
          <w:bCs/>
          <w:color w:val="000000"/>
          <w:sz w:val="32"/>
          <w:szCs w:val="32"/>
        </w:rPr>
        <w:t>%。</w:t>
      </w:r>
    </w:p>
    <w:p w14:paraId="2CD5F782">
      <w:pPr>
        <w:pageBreakBefore w:val="0"/>
        <w:widowControl w:val="0"/>
        <w:kinsoku/>
        <w:wordWrap/>
        <w:overflowPunct/>
        <w:topLinePunct w:val="0"/>
        <w:bidi w:val="0"/>
        <w:spacing w:line="560" w:lineRule="exact"/>
        <w:ind w:firstLine="643" w:firstLineChars="200"/>
        <w:textAlignment w:val="auto"/>
        <w:rPr>
          <w:rStyle w:val="26"/>
          <w:rFonts w:hint="default" w:ascii="Times New Roman" w:hAnsi="Times New Roman" w:eastAsia="仿宋" w:cs="Times New Roman"/>
          <w:b w:val="0"/>
          <w:bCs/>
          <w:color w:val="000000"/>
          <w:sz w:val="32"/>
          <w:szCs w:val="32"/>
          <w:lang w:eastAsia="zh-CN"/>
        </w:rPr>
      </w:pPr>
      <w:r>
        <w:rPr>
          <w:rStyle w:val="26"/>
          <w:rFonts w:hint="default" w:ascii="Times New Roman" w:hAnsi="Times New Roman" w:eastAsia="仿宋" w:cs="Times New Roman"/>
          <w:bCs/>
          <w:color w:val="000000"/>
          <w:sz w:val="32"/>
          <w:szCs w:val="32"/>
          <w:lang w:val="en-US" w:eastAsia="zh-CN"/>
        </w:rPr>
        <w:t>2</w:t>
      </w:r>
      <w:r>
        <w:rPr>
          <w:rStyle w:val="26"/>
          <w:rFonts w:hint="default" w:ascii="Times New Roman" w:hAnsi="Times New Roman" w:eastAsia="仿宋" w:cs="Times New Roman"/>
          <w:bCs/>
          <w:color w:val="000000"/>
          <w:sz w:val="32"/>
          <w:szCs w:val="32"/>
        </w:rPr>
        <w:t>.一般公共服务支出（类）民主党派及工商联事务（款）    一般行政管理事务（项）:</w:t>
      </w:r>
      <w:r>
        <w:rPr>
          <w:rStyle w:val="26"/>
          <w:rFonts w:hint="default" w:ascii="Times New Roman" w:hAnsi="Times New Roman" w:eastAsia="仿宋" w:cs="Times New Roman"/>
          <w:b w:val="0"/>
          <w:bCs/>
          <w:color w:val="000000"/>
          <w:sz w:val="32"/>
          <w:szCs w:val="32"/>
        </w:rPr>
        <w:t xml:space="preserve"> 支出决算为</w:t>
      </w:r>
      <w:r>
        <w:rPr>
          <w:rStyle w:val="26"/>
          <w:rFonts w:hint="default" w:ascii="Times New Roman" w:hAnsi="Times New Roman" w:eastAsia="仿宋" w:cs="Times New Roman"/>
          <w:b w:val="0"/>
          <w:bCs/>
          <w:color w:val="000000"/>
          <w:sz w:val="32"/>
          <w:szCs w:val="32"/>
          <w:lang w:val="en-US" w:eastAsia="zh-CN"/>
        </w:rPr>
        <w:t>1.14</w:t>
      </w:r>
      <w:r>
        <w:rPr>
          <w:rStyle w:val="26"/>
          <w:rFonts w:hint="default" w:ascii="Times New Roman" w:hAnsi="Times New Roman" w:eastAsia="仿宋" w:cs="Times New Roman"/>
          <w:b w:val="0"/>
          <w:bCs/>
          <w:color w:val="000000"/>
          <w:sz w:val="32"/>
          <w:szCs w:val="32"/>
        </w:rPr>
        <w:t>万元，完成预算</w:t>
      </w:r>
      <w:r>
        <w:rPr>
          <w:rStyle w:val="26"/>
          <w:rFonts w:hint="default" w:ascii="Times New Roman" w:hAnsi="Times New Roman" w:eastAsia="仿宋" w:cs="Times New Roman"/>
          <w:b w:val="0"/>
          <w:bCs/>
          <w:color w:val="000000"/>
          <w:sz w:val="32"/>
          <w:szCs w:val="32"/>
          <w:lang w:val="en-US" w:eastAsia="zh-CN"/>
        </w:rPr>
        <w:t>100</w:t>
      </w:r>
      <w:r>
        <w:rPr>
          <w:rStyle w:val="26"/>
          <w:rFonts w:hint="default" w:ascii="Times New Roman" w:hAnsi="Times New Roman" w:eastAsia="仿宋" w:cs="Times New Roman"/>
          <w:b w:val="0"/>
          <w:bCs/>
          <w:color w:val="000000"/>
          <w:sz w:val="32"/>
          <w:szCs w:val="32"/>
        </w:rPr>
        <w:t>%</w:t>
      </w:r>
      <w:r>
        <w:rPr>
          <w:rStyle w:val="26"/>
          <w:rFonts w:hint="default" w:ascii="Times New Roman" w:hAnsi="Times New Roman" w:eastAsia="仿宋" w:cs="Times New Roman"/>
          <w:b w:val="0"/>
          <w:bCs/>
          <w:color w:val="000000"/>
          <w:sz w:val="32"/>
          <w:szCs w:val="32"/>
          <w:lang w:eastAsia="zh-CN"/>
        </w:rPr>
        <w:t>。</w:t>
      </w:r>
    </w:p>
    <w:p w14:paraId="1403DEF3">
      <w:pPr>
        <w:pageBreakBefore w:val="0"/>
        <w:widowControl w:val="0"/>
        <w:kinsoku/>
        <w:wordWrap/>
        <w:overflowPunct/>
        <w:topLinePunct w:val="0"/>
        <w:bidi w:val="0"/>
        <w:spacing w:line="560" w:lineRule="exact"/>
        <w:ind w:firstLine="643" w:firstLineChars="200"/>
        <w:textAlignment w:val="auto"/>
        <w:rPr>
          <w:rFonts w:hint="default" w:ascii="Times New Roman" w:hAnsi="Times New Roman" w:eastAsia="仿宋" w:cs="Times New Roman"/>
          <w:b/>
          <w:color w:val="000000"/>
          <w:sz w:val="32"/>
          <w:szCs w:val="32"/>
          <w:lang w:eastAsia="zh-CN"/>
        </w:rPr>
      </w:pPr>
      <w:r>
        <w:rPr>
          <w:rStyle w:val="26"/>
          <w:rFonts w:hint="default" w:ascii="Times New Roman" w:hAnsi="Times New Roman" w:eastAsia="仿宋" w:cs="Times New Roman"/>
          <w:bCs/>
          <w:color w:val="000000"/>
          <w:sz w:val="32"/>
          <w:szCs w:val="32"/>
          <w:lang w:val="en-US" w:eastAsia="zh-CN"/>
        </w:rPr>
        <w:t>3</w:t>
      </w:r>
      <w:r>
        <w:rPr>
          <w:rStyle w:val="26"/>
          <w:rFonts w:hint="default" w:ascii="Times New Roman" w:hAnsi="Times New Roman" w:eastAsia="仿宋" w:cs="Times New Roman"/>
          <w:bCs/>
          <w:color w:val="000000"/>
          <w:sz w:val="32"/>
          <w:szCs w:val="32"/>
        </w:rPr>
        <w:t>.一般公共服务支出（类）民主党派及工商联事务（款）    事业运行（项）:</w:t>
      </w:r>
      <w:r>
        <w:rPr>
          <w:rStyle w:val="26"/>
          <w:rFonts w:hint="default" w:ascii="Times New Roman" w:hAnsi="Times New Roman" w:eastAsia="仿宋" w:cs="Times New Roman"/>
          <w:b w:val="0"/>
          <w:bCs/>
          <w:color w:val="000000"/>
          <w:sz w:val="32"/>
          <w:szCs w:val="32"/>
        </w:rPr>
        <w:t xml:space="preserve"> 支出决算为</w:t>
      </w:r>
      <w:r>
        <w:rPr>
          <w:rStyle w:val="26"/>
          <w:rFonts w:hint="default" w:ascii="Times New Roman" w:hAnsi="Times New Roman" w:eastAsia="仿宋" w:cs="Times New Roman"/>
          <w:b w:val="0"/>
          <w:bCs/>
          <w:color w:val="000000"/>
          <w:sz w:val="32"/>
          <w:szCs w:val="32"/>
          <w:lang w:val="en-US" w:eastAsia="zh-CN"/>
        </w:rPr>
        <w:t>31.41</w:t>
      </w:r>
      <w:r>
        <w:rPr>
          <w:rStyle w:val="26"/>
          <w:rFonts w:hint="default" w:ascii="Times New Roman" w:hAnsi="Times New Roman" w:eastAsia="仿宋" w:cs="Times New Roman"/>
          <w:b w:val="0"/>
          <w:bCs/>
          <w:color w:val="000000"/>
          <w:sz w:val="32"/>
          <w:szCs w:val="32"/>
        </w:rPr>
        <w:t>万元，完成预算</w:t>
      </w:r>
      <w:r>
        <w:rPr>
          <w:rStyle w:val="26"/>
          <w:rFonts w:hint="default" w:ascii="Times New Roman" w:hAnsi="Times New Roman" w:eastAsia="仿宋" w:cs="Times New Roman"/>
          <w:b w:val="0"/>
          <w:bCs/>
          <w:color w:val="000000"/>
          <w:sz w:val="32"/>
          <w:szCs w:val="32"/>
          <w:lang w:val="en-US" w:eastAsia="zh-CN"/>
        </w:rPr>
        <w:t>100</w:t>
      </w:r>
      <w:r>
        <w:rPr>
          <w:rStyle w:val="26"/>
          <w:rFonts w:hint="default" w:ascii="Times New Roman" w:hAnsi="Times New Roman" w:eastAsia="仿宋" w:cs="Times New Roman"/>
          <w:b w:val="0"/>
          <w:bCs/>
          <w:color w:val="000000"/>
          <w:sz w:val="32"/>
          <w:szCs w:val="32"/>
        </w:rPr>
        <w:t>%</w:t>
      </w:r>
      <w:r>
        <w:rPr>
          <w:rStyle w:val="26"/>
          <w:rFonts w:hint="default" w:ascii="Times New Roman" w:hAnsi="Times New Roman" w:eastAsia="仿宋" w:cs="Times New Roman"/>
          <w:b w:val="0"/>
          <w:bCs/>
          <w:color w:val="000000"/>
          <w:sz w:val="32"/>
          <w:szCs w:val="32"/>
          <w:lang w:eastAsia="zh-CN"/>
        </w:rPr>
        <w:t>。</w:t>
      </w:r>
    </w:p>
    <w:p w14:paraId="7716AA70">
      <w:pPr>
        <w:pageBreakBefore w:val="0"/>
        <w:widowControl w:val="0"/>
        <w:kinsoku/>
        <w:wordWrap/>
        <w:overflowPunct/>
        <w:topLinePunct w:val="0"/>
        <w:bidi w:val="0"/>
        <w:spacing w:line="560" w:lineRule="exact"/>
        <w:ind w:firstLine="643" w:firstLineChars="200"/>
        <w:textAlignment w:val="auto"/>
        <w:rPr>
          <w:rFonts w:hint="default" w:ascii="Times New Roman" w:hAnsi="Times New Roman" w:eastAsia="仿宋" w:cs="Times New Roman"/>
          <w:b/>
          <w:color w:val="000000"/>
          <w:sz w:val="32"/>
          <w:szCs w:val="32"/>
        </w:rPr>
      </w:pPr>
      <w:r>
        <w:rPr>
          <w:rStyle w:val="26"/>
          <w:rFonts w:hint="default" w:ascii="Times New Roman" w:hAnsi="Times New Roman" w:eastAsia="仿宋" w:cs="Times New Roman"/>
          <w:bCs/>
          <w:color w:val="000000"/>
          <w:sz w:val="32"/>
          <w:szCs w:val="32"/>
          <w:lang w:val="en-US" w:eastAsia="zh-CN"/>
        </w:rPr>
        <w:t>4</w:t>
      </w:r>
      <w:r>
        <w:rPr>
          <w:rStyle w:val="26"/>
          <w:rFonts w:hint="default" w:ascii="Times New Roman" w:hAnsi="Times New Roman" w:eastAsia="仿宋" w:cs="Times New Roman"/>
          <w:bCs/>
          <w:color w:val="000000"/>
          <w:sz w:val="32"/>
          <w:szCs w:val="32"/>
        </w:rPr>
        <w:t>.社会保障和就业支出（类）行政事业单位养老支出（款）机关事业单位基本养老保险缴费支出（项）:</w:t>
      </w:r>
      <w:r>
        <w:rPr>
          <w:rStyle w:val="26"/>
          <w:rFonts w:hint="default" w:ascii="Times New Roman" w:hAnsi="Times New Roman" w:eastAsia="仿宋" w:cs="Times New Roman"/>
          <w:b w:val="0"/>
          <w:bCs/>
          <w:color w:val="000000"/>
          <w:sz w:val="32"/>
          <w:szCs w:val="32"/>
        </w:rPr>
        <w:t xml:space="preserve"> 支出决算为</w:t>
      </w:r>
      <w:r>
        <w:rPr>
          <w:rStyle w:val="26"/>
          <w:rFonts w:hint="default" w:ascii="Times New Roman" w:hAnsi="Times New Roman" w:eastAsia="仿宋" w:cs="Times New Roman"/>
          <w:b w:val="0"/>
          <w:bCs/>
          <w:color w:val="000000"/>
          <w:sz w:val="32"/>
          <w:szCs w:val="32"/>
          <w:lang w:val="en-US" w:eastAsia="zh-CN"/>
        </w:rPr>
        <w:t>8.60</w:t>
      </w:r>
      <w:r>
        <w:rPr>
          <w:rStyle w:val="26"/>
          <w:rFonts w:hint="default" w:ascii="Times New Roman" w:hAnsi="Times New Roman" w:eastAsia="仿宋" w:cs="Times New Roman"/>
          <w:b w:val="0"/>
          <w:bCs/>
          <w:color w:val="000000"/>
          <w:sz w:val="32"/>
          <w:szCs w:val="32"/>
        </w:rPr>
        <w:t>元，完成预算</w:t>
      </w:r>
      <w:r>
        <w:rPr>
          <w:rStyle w:val="26"/>
          <w:rFonts w:hint="default" w:ascii="Times New Roman" w:hAnsi="Times New Roman" w:eastAsia="仿宋" w:cs="Times New Roman"/>
          <w:b w:val="0"/>
          <w:bCs/>
          <w:color w:val="000000"/>
          <w:sz w:val="32"/>
          <w:szCs w:val="32"/>
          <w:lang w:val="en-US" w:eastAsia="zh-CN"/>
        </w:rPr>
        <w:t>100</w:t>
      </w:r>
      <w:r>
        <w:rPr>
          <w:rStyle w:val="26"/>
          <w:rFonts w:hint="default" w:ascii="Times New Roman" w:hAnsi="Times New Roman" w:eastAsia="仿宋" w:cs="Times New Roman"/>
          <w:b w:val="0"/>
          <w:bCs/>
          <w:color w:val="000000"/>
          <w:sz w:val="32"/>
          <w:szCs w:val="32"/>
        </w:rPr>
        <w:t>%。</w:t>
      </w:r>
    </w:p>
    <w:p w14:paraId="6A2CE9F7">
      <w:pPr>
        <w:spacing w:beforeLines="0" w:afterLines="0" w:line="560" w:lineRule="exact"/>
        <w:ind w:firstLine="643" w:firstLineChars="200"/>
        <w:rPr>
          <w:rStyle w:val="26"/>
          <w:rFonts w:hint="default" w:ascii="Times New Roman" w:hAnsi="Times New Roman" w:eastAsia="仿宋" w:cs="Times New Roman"/>
          <w:b w:val="0"/>
          <w:bCs/>
          <w:color w:val="000000"/>
          <w:sz w:val="32"/>
          <w:szCs w:val="32"/>
        </w:rPr>
      </w:pPr>
      <w:r>
        <w:rPr>
          <w:rStyle w:val="26"/>
          <w:rFonts w:hint="default" w:ascii="Times New Roman" w:hAnsi="Times New Roman" w:eastAsia="仿宋" w:cs="Times New Roman"/>
          <w:bCs/>
          <w:color w:val="000000"/>
          <w:sz w:val="32"/>
          <w:szCs w:val="32"/>
          <w:lang w:val="en-US" w:eastAsia="zh-CN"/>
        </w:rPr>
        <w:t>5</w:t>
      </w:r>
      <w:r>
        <w:rPr>
          <w:rStyle w:val="26"/>
          <w:rFonts w:hint="default" w:ascii="Times New Roman" w:hAnsi="Times New Roman" w:eastAsia="仿宋" w:cs="Times New Roman"/>
          <w:bCs/>
          <w:color w:val="000000"/>
          <w:sz w:val="32"/>
          <w:szCs w:val="32"/>
        </w:rPr>
        <w:t>.</w:t>
      </w:r>
      <w:r>
        <w:rPr>
          <w:rFonts w:hint="default" w:ascii="Times New Roman" w:hAnsi="Times New Roman" w:eastAsia="仿宋" w:cs="Times New Roman"/>
          <w:b/>
          <w:bCs/>
          <w:color w:val="000000"/>
          <w:sz w:val="32"/>
          <w:szCs w:val="32"/>
        </w:rPr>
        <w:t>社会保障和就业支出（类）行政事业单位养老支出（款）机关事业单位职业年金缴费支出（项）</w:t>
      </w:r>
      <w:r>
        <w:rPr>
          <w:rStyle w:val="26"/>
          <w:rFonts w:hint="default" w:ascii="Times New Roman" w:hAnsi="Times New Roman" w:eastAsia="仿宋" w:cs="Times New Roman"/>
          <w:bCs/>
          <w:color w:val="000000"/>
          <w:sz w:val="32"/>
          <w:szCs w:val="32"/>
        </w:rPr>
        <w:t>:</w:t>
      </w:r>
      <w:r>
        <w:rPr>
          <w:rStyle w:val="26"/>
          <w:rFonts w:hint="default" w:ascii="Times New Roman" w:hAnsi="Times New Roman" w:eastAsia="仿宋" w:cs="Times New Roman"/>
          <w:b w:val="0"/>
          <w:bCs/>
          <w:color w:val="000000"/>
          <w:sz w:val="32"/>
          <w:szCs w:val="32"/>
        </w:rPr>
        <w:t>支出决算为</w:t>
      </w:r>
      <w:r>
        <w:rPr>
          <w:rStyle w:val="26"/>
          <w:rFonts w:hint="default" w:ascii="Times New Roman" w:hAnsi="Times New Roman" w:eastAsia="仿宋" w:cs="Times New Roman"/>
          <w:b w:val="0"/>
          <w:bCs/>
          <w:color w:val="000000"/>
          <w:sz w:val="32"/>
          <w:szCs w:val="32"/>
          <w:lang w:val="en-US" w:eastAsia="zh-CN"/>
        </w:rPr>
        <w:t>4.30</w:t>
      </w:r>
      <w:r>
        <w:rPr>
          <w:rStyle w:val="26"/>
          <w:rFonts w:hint="default" w:ascii="Times New Roman" w:hAnsi="Times New Roman" w:eastAsia="仿宋" w:cs="Times New Roman"/>
          <w:b w:val="0"/>
          <w:bCs/>
          <w:color w:val="000000"/>
          <w:sz w:val="32"/>
          <w:szCs w:val="32"/>
        </w:rPr>
        <w:t>万元，完成预算</w:t>
      </w:r>
      <w:r>
        <w:rPr>
          <w:rStyle w:val="26"/>
          <w:rFonts w:hint="default" w:ascii="Times New Roman" w:hAnsi="Times New Roman" w:eastAsia="仿宋" w:cs="Times New Roman"/>
          <w:b w:val="0"/>
          <w:bCs/>
          <w:color w:val="000000"/>
          <w:sz w:val="32"/>
          <w:szCs w:val="32"/>
          <w:lang w:val="en-US" w:eastAsia="zh-CN"/>
        </w:rPr>
        <w:t>100</w:t>
      </w:r>
      <w:r>
        <w:rPr>
          <w:rStyle w:val="26"/>
          <w:rFonts w:hint="default" w:ascii="Times New Roman" w:hAnsi="Times New Roman" w:eastAsia="仿宋" w:cs="Times New Roman"/>
          <w:b w:val="0"/>
          <w:bCs/>
          <w:color w:val="000000"/>
          <w:sz w:val="32"/>
          <w:szCs w:val="32"/>
        </w:rPr>
        <w:t>%。</w:t>
      </w:r>
    </w:p>
    <w:p w14:paraId="2EBE2232">
      <w:pPr>
        <w:spacing w:beforeLines="0" w:afterLines="0" w:line="560" w:lineRule="exact"/>
        <w:ind w:firstLine="643" w:firstLineChars="200"/>
        <w:rPr>
          <w:rFonts w:hint="default" w:ascii="Times New Roman" w:hAnsi="Times New Roman" w:eastAsia="仿宋" w:cs="Times New Roman"/>
          <w:b/>
          <w:color w:val="000000"/>
          <w:sz w:val="32"/>
          <w:szCs w:val="32"/>
        </w:rPr>
      </w:pPr>
      <w:r>
        <w:rPr>
          <w:rStyle w:val="26"/>
          <w:rFonts w:hint="default" w:ascii="Times New Roman" w:hAnsi="Times New Roman" w:eastAsia="仿宋" w:cs="Times New Roman"/>
          <w:color w:val="000000"/>
          <w:sz w:val="32"/>
          <w:szCs w:val="32"/>
          <w:lang w:val="en-US" w:eastAsia="zh-CN"/>
        </w:rPr>
        <w:t>6</w:t>
      </w:r>
      <w:r>
        <w:rPr>
          <w:rStyle w:val="26"/>
          <w:rFonts w:hint="default" w:ascii="Times New Roman" w:hAnsi="Times New Roman" w:eastAsia="仿宋" w:cs="Times New Roman"/>
          <w:color w:val="000000"/>
          <w:sz w:val="32"/>
          <w:szCs w:val="32"/>
        </w:rPr>
        <w:t>.卫生健康支出（类）行政事业单位医疗（款）行政单位医疗（项）:</w:t>
      </w:r>
      <w:r>
        <w:rPr>
          <w:rStyle w:val="26"/>
          <w:rFonts w:hint="default" w:ascii="Times New Roman" w:hAnsi="Times New Roman" w:eastAsia="仿宋" w:cs="Times New Roman"/>
          <w:b w:val="0"/>
          <w:color w:val="000000"/>
          <w:sz w:val="32"/>
          <w:szCs w:val="32"/>
        </w:rPr>
        <w:t xml:space="preserve"> 支出决算为</w:t>
      </w:r>
      <w:r>
        <w:rPr>
          <w:rStyle w:val="26"/>
          <w:rFonts w:hint="default" w:ascii="Times New Roman" w:hAnsi="Times New Roman" w:eastAsia="仿宋" w:cs="Times New Roman"/>
          <w:b w:val="0"/>
          <w:color w:val="000000"/>
          <w:sz w:val="32"/>
          <w:szCs w:val="32"/>
          <w:lang w:val="en-US" w:eastAsia="zh-CN"/>
        </w:rPr>
        <w:t>2.47</w:t>
      </w:r>
      <w:r>
        <w:rPr>
          <w:rStyle w:val="26"/>
          <w:rFonts w:hint="default" w:ascii="Times New Roman" w:hAnsi="Times New Roman" w:eastAsia="仿宋" w:cs="Times New Roman"/>
          <w:b w:val="0"/>
          <w:color w:val="000000"/>
          <w:sz w:val="32"/>
          <w:szCs w:val="32"/>
        </w:rPr>
        <w:t>万元，完成预算100%。</w:t>
      </w:r>
    </w:p>
    <w:p w14:paraId="2F95A829">
      <w:pPr>
        <w:spacing w:beforeLines="0" w:afterLines="0" w:line="560" w:lineRule="exact"/>
        <w:ind w:firstLine="643" w:firstLineChars="200"/>
        <w:rPr>
          <w:rStyle w:val="26"/>
          <w:rFonts w:hint="default" w:ascii="Times New Roman" w:hAnsi="Times New Roman" w:eastAsia="仿宋" w:cs="Times New Roman"/>
          <w:b w:val="0"/>
          <w:color w:val="000000"/>
          <w:sz w:val="32"/>
          <w:szCs w:val="32"/>
        </w:rPr>
      </w:pPr>
      <w:r>
        <w:rPr>
          <w:rStyle w:val="26"/>
          <w:rFonts w:hint="default" w:ascii="Times New Roman" w:hAnsi="Times New Roman" w:eastAsia="仿宋" w:cs="Times New Roman"/>
          <w:color w:val="000000"/>
          <w:sz w:val="32"/>
          <w:szCs w:val="32"/>
          <w:lang w:val="en-US" w:eastAsia="zh-CN"/>
        </w:rPr>
        <w:t>7</w:t>
      </w:r>
      <w:r>
        <w:rPr>
          <w:rStyle w:val="26"/>
          <w:rFonts w:hint="default" w:ascii="Times New Roman" w:hAnsi="Times New Roman" w:eastAsia="仿宋" w:cs="Times New Roman"/>
          <w:color w:val="000000"/>
          <w:sz w:val="32"/>
          <w:szCs w:val="32"/>
        </w:rPr>
        <w:t xml:space="preserve">.卫生健康支出（类）行政事业单位医疗（款）事业单位医疗（项）: </w:t>
      </w:r>
      <w:r>
        <w:rPr>
          <w:rStyle w:val="26"/>
          <w:rFonts w:hint="default" w:ascii="Times New Roman" w:hAnsi="Times New Roman" w:eastAsia="仿宋" w:cs="Times New Roman"/>
          <w:b w:val="0"/>
          <w:color w:val="000000"/>
          <w:sz w:val="32"/>
          <w:szCs w:val="32"/>
        </w:rPr>
        <w:t>支出决算为</w:t>
      </w:r>
      <w:r>
        <w:rPr>
          <w:rStyle w:val="26"/>
          <w:rFonts w:hint="default" w:ascii="Times New Roman" w:hAnsi="Times New Roman" w:eastAsia="仿宋" w:cs="Times New Roman"/>
          <w:b w:val="0"/>
          <w:color w:val="000000"/>
          <w:sz w:val="32"/>
          <w:szCs w:val="32"/>
          <w:lang w:eastAsia="zh-CN"/>
        </w:rPr>
        <w:t>1.75</w:t>
      </w:r>
      <w:r>
        <w:rPr>
          <w:rStyle w:val="26"/>
          <w:rFonts w:hint="default" w:ascii="Times New Roman" w:hAnsi="Times New Roman" w:eastAsia="仿宋" w:cs="Times New Roman"/>
          <w:b w:val="0"/>
          <w:color w:val="000000"/>
          <w:sz w:val="32"/>
          <w:szCs w:val="32"/>
        </w:rPr>
        <w:t>万元，完成预算100%。</w:t>
      </w:r>
    </w:p>
    <w:p w14:paraId="3C374D11">
      <w:pPr>
        <w:spacing w:beforeLines="0" w:afterLines="0" w:line="560" w:lineRule="exact"/>
        <w:ind w:firstLine="643" w:firstLineChars="200"/>
        <w:rPr>
          <w:rFonts w:hint="default" w:ascii="Times New Roman" w:hAnsi="Times New Roman" w:eastAsia="仿宋" w:cs="Times New Roman"/>
          <w:b/>
          <w:color w:val="000000"/>
          <w:sz w:val="32"/>
          <w:szCs w:val="32"/>
        </w:rPr>
      </w:pPr>
      <w:r>
        <w:rPr>
          <w:rStyle w:val="26"/>
          <w:rFonts w:hint="default" w:ascii="Times New Roman" w:hAnsi="Times New Roman" w:eastAsia="仿宋" w:cs="Times New Roman"/>
          <w:color w:val="000000"/>
          <w:sz w:val="32"/>
          <w:szCs w:val="32"/>
          <w:lang w:val="en-US" w:eastAsia="zh-CN"/>
        </w:rPr>
        <w:t>8</w:t>
      </w:r>
      <w:r>
        <w:rPr>
          <w:rStyle w:val="26"/>
          <w:rFonts w:hint="default" w:ascii="Times New Roman" w:hAnsi="Times New Roman" w:eastAsia="仿宋" w:cs="Times New Roman"/>
          <w:color w:val="000000"/>
          <w:sz w:val="32"/>
          <w:szCs w:val="32"/>
        </w:rPr>
        <w:t>.卫生健康支出（类）行政事业单位医疗（款）公务员医疗补助（项）:</w:t>
      </w:r>
      <w:r>
        <w:rPr>
          <w:rStyle w:val="26"/>
          <w:rFonts w:hint="default" w:ascii="Times New Roman" w:hAnsi="Times New Roman" w:eastAsia="仿宋" w:cs="Times New Roman"/>
          <w:b w:val="0"/>
          <w:color w:val="000000"/>
          <w:sz w:val="32"/>
          <w:szCs w:val="32"/>
        </w:rPr>
        <w:t xml:space="preserve"> 支出决算为</w:t>
      </w:r>
      <w:r>
        <w:rPr>
          <w:rStyle w:val="26"/>
          <w:rFonts w:hint="default" w:ascii="Times New Roman" w:hAnsi="Times New Roman" w:eastAsia="仿宋" w:cs="Times New Roman"/>
          <w:b w:val="0"/>
          <w:color w:val="000000"/>
          <w:sz w:val="32"/>
          <w:szCs w:val="32"/>
          <w:lang w:val="en-US" w:eastAsia="zh-CN"/>
        </w:rPr>
        <w:t>1.08</w:t>
      </w:r>
      <w:r>
        <w:rPr>
          <w:rStyle w:val="26"/>
          <w:rFonts w:hint="default" w:ascii="Times New Roman" w:hAnsi="Times New Roman" w:eastAsia="仿宋" w:cs="Times New Roman"/>
          <w:b w:val="0"/>
          <w:color w:val="000000"/>
          <w:sz w:val="32"/>
          <w:szCs w:val="32"/>
        </w:rPr>
        <w:t>万元，完成预算100%。</w:t>
      </w:r>
    </w:p>
    <w:p w14:paraId="6FCC7A4E">
      <w:pPr>
        <w:pStyle w:val="12"/>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ascii="Times New Roman" w:hAnsi="Times New Roman" w:eastAsia="仿宋" w:cs="Times New Roman"/>
          <w:lang w:val="en-US" w:eastAsia="zh-CN"/>
        </w:rPr>
      </w:pPr>
      <w:r>
        <w:rPr>
          <w:rStyle w:val="26"/>
          <w:rFonts w:hint="default" w:ascii="Times New Roman" w:hAnsi="Times New Roman" w:cs="Times New Roman"/>
          <w:color w:val="000000"/>
          <w:sz w:val="32"/>
          <w:szCs w:val="32"/>
          <w:lang w:val="en-US" w:eastAsia="zh-CN"/>
        </w:rPr>
        <w:t>9</w:t>
      </w:r>
      <w:r>
        <w:rPr>
          <w:rStyle w:val="26"/>
          <w:rFonts w:hint="default" w:ascii="Times New Roman" w:hAnsi="Times New Roman" w:eastAsia="仿宋" w:cs="Times New Roman"/>
          <w:color w:val="000000"/>
          <w:sz w:val="32"/>
          <w:szCs w:val="32"/>
        </w:rPr>
        <w:t xml:space="preserve">.卫生健康支出（类）行政事业单位医疗（款）其他行政事业单位医疗支出（项）: </w:t>
      </w:r>
      <w:r>
        <w:rPr>
          <w:rStyle w:val="26"/>
          <w:rFonts w:hint="default" w:ascii="Times New Roman" w:hAnsi="Times New Roman" w:eastAsia="仿宋" w:cs="Times New Roman"/>
          <w:b w:val="0"/>
          <w:color w:val="000000"/>
          <w:sz w:val="32"/>
          <w:szCs w:val="32"/>
        </w:rPr>
        <w:t>支出决算为</w:t>
      </w:r>
      <w:r>
        <w:rPr>
          <w:rStyle w:val="26"/>
          <w:rFonts w:hint="default" w:ascii="Times New Roman" w:hAnsi="Times New Roman" w:cs="Times New Roman"/>
          <w:b w:val="0"/>
          <w:color w:val="000000"/>
          <w:sz w:val="32"/>
          <w:szCs w:val="32"/>
          <w:lang w:eastAsia="zh-CN"/>
        </w:rPr>
        <w:t>0.43</w:t>
      </w:r>
      <w:r>
        <w:rPr>
          <w:rStyle w:val="26"/>
          <w:rFonts w:hint="default" w:ascii="Times New Roman" w:hAnsi="Times New Roman" w:eastAsia="仿宋" w:cs="Times New Roman"/>
          <w:b w:val="0"/>
          <w:color w:val="000000"/>
          <w:sz w:val="32"/>
          <w:szCs w:val="32"/>
        </w:rPr>
        <w:t>万元，完成预算100%</w:t>
      </w:r>
      <w:r>
        <w:rPr>
          <w:rStyle w:val="26"/>
          <w:rFonts w:hint="default" w:ascii="Times New Roman" w:hAnsi="Times New Roman" w:cs="Times New Roman"/>
          <w:b w:val="0"/>
          <w:color w:val="000000"/>
          <w:sz w:val="32"/>
          <w:szCs w:val="32"/>
          <w:lang w:eastAsia="zh-CN"/>
        </w:rPr>
        <w:t>。</w:t>
      </w:r>
    </w:p>
    <w:p w14:paraId="32F8BD4F">
      <w:pPr>
        <w:pageBreakBefore w:val="0"/>
        <w:widowControl w:val="0"/>
        <w:kinsoku/>
        <w:wordWrap/>
        <w:overflowPunct/>
        <w:topLinePunct w:val="0"/>
        <w:bidi w:val="0"/>
        <w:spacing w:line="560" w:lineRule="exact"/>
        <w:ind w:firstLine="643" w:firstLineChars="200"/>
        <w:textAlignment w:val="auto"/>
        <w:rPr>
          <w:rFonts w:hint="default" w:ascii="Times New Roman" w:hAnsi="Times New Roman" w:eastAsia="仿宋" w:cs="Times New Roman"/>
          <w:b w:val="0"/>
          <w:color w:val="000000"/>
          <w:kern w:val="2"/>
          <w:sz w:val="32"/>
          <w:szCs w:val="32"/>
          <w:lang w:val="en-US" w:eastAsia="zh-CN" w:bidi="ar"/>
        </w:rPr>
      </w:pPr>
      <w:r>
        <w:rPr>
          <w:rStyle w:val="26"/>
          <w:rFonts w:hint="default" w:ascii="Times New Roman" w:hAnsi="Times New Roman" w:eastAsia="仿宋" w:cs="Times New Roman"/>
          <w:color w:val="000000"/>
          <w:sz w:val="32"/>
          <w:szCs w:val="32"/>
          <w:lang w:val="en-US" w:eastAsia="zh-CN"/>
        </w:rPr>
        <w:t>10</w:t>
      </w:r>
      <w:r>
        <w:rPr>
          <w:rFonts w:hint="default" w:ascii="Times New Roman" w:hAnsi="Times New Roman" w:eastAsia="仿宋" w:cs="Times New Roman"/>
          <w:b/>
          <w:bCs w:val="0"/>
          <w:color w:val="000000"/>
          <w:kern w:val="2"/>
          <w:sz w:val="32"/>
          <w:szCs w:val="32"/>
          <w:lang w:val="en-US" w:eastAsia="zh-CN" w:bidi="ar"/>
        </w:rPr>
        <w:t>.住房保障支出（类）住房改革支出（款）住房公积金（项）:</w:t>
      </w:r>
      <w:r>
        <w:rPr>
          <w:rFonts w:hint="default" w:ascii="Times New Roman" w:hAnsi="Times New Roman" w:eastAsia="仿宋" w:cs="Times New Roman"/>
          <w:b w:val="0"/>
          <w:color w:val="000000"/>
          <w:kern w:val="2"/>
          <w:sz w:val="32"/>
          <w:szCs w:val="32"/>
          <w:lang w:val="en-US" w:eastAsia="zh-CN" w:bidi="ar"/>
        </w:rPr>
        <w:t>支出决算为6.51万元，完成预算100%。</w:t>
      </w:r>
    </w:p>
    <w:p w14:paraId="239C6274">
      <w:pPr>
        <w:pageBreakBefore w:val="0"/>
        <w:widowControl w:val="0"/>
        <w:kinsoku/>
        <w:wordWrap/>
        <w:overflowPunct/>
        <w:topLinePunct w:val="0"/>
        <w:bidi w:val="0"/>
        <w:spacing w:line="560" w:lineRule="exact"/>
        <w:ind w:firstLine="640"/>
        <w:textAlignment w:val="auto"/>
        <w:rPr>
          <w:rFonts w:hint="default" w:ascii="Times New Roman" w:hAnsi="Times New Roman" w:eastAsia="仿宋" w:cs="Times New Roman"/>
          <w:b/>
          <w:color w:val="000000"/>
          <w:sz w:val="32"/>
          <w:szCs w:val="32"/>
        </w:rPr>
      </w:pPr>
    </w:p>
    <w:p w14:paraId="1B4F04C8">
      <w:pPr>
        <w:pageBreakBefore w:val="0"/>
        <w:widowControl w:val="0"/>
        <w:tabs>
          <w:tab w:val="right" w:pos="8306"/>
        </w:tabs>
        <w:kinsoku/>
        <w:wordWrap/>
        <w:overflowPunct/>
        <w:topLinePunct w:val="0"/>
        <w:bidi w:val="0"/>
        <w:spacing w:line="560" w:lineRule="exact"/>
        <w:ind w:firstLine="640"/>
        <w:textAlignment w:val="auto"/>
        <w:outlineLvl w:val="1"/>
        <w:rPr>
          <w:rStyle w:val="29"/>
          <w:rFonts w:hint="default" w:ascii="Times New Roman" w:hAnsi="Times New Roman" w:cs="Times New Roman"/>
        </w:rPr>
      </w:pPr>
      <w:bookmarkStart w:id="62" w:name="_Toc15396608"/>
      <w:bookmarkStart w:id="63" w:name="_Toc79163618"/>
      <w:bookmarkStart w:id="64" w:name="_Toc15377214"/>
      <w:bookmarkStart w:id="65" w:name="_Toc18362"/>
      <w:r>
        <w:rPr>
          <w:rFonts w:hint="default" w:ascii="Times New Roman" w:hAnsi="Times New Roman" w:eastAsia="黑体" w:cs="Times New Roman"/>
          <w:color w:val="000000"/>
          <w:sz w:val="32"/>
          <w:szCs w:val="32"/>
        </w:rPr>
        <w:t>六</w:t>
      </w:r>
      <w:r>
        <w:rPr>
          <w:rFonts w:hint="default" w:ascii="Times New Roman" w:hAnsi="Times New Roman" w:eastAsia="黑体" w:cs="Times New Roman"/>
          <w:b/>
          <w:color w:val="000000"/>
          <w:sz w:val="32"/>
          <w:szCs w:val="32"/>
        </w:rPr>
        <w:t>、一</w:t>
      </w:r>
      <w:r>
        <w:rPr>
          <w:rStyle w:val="29"/>
          <w:rFonts w:hint="default" w:ascii="Times New Roman" w:hAnsi="Times New Roman" w:eastAsia="黑体" w:cs="Times New Roman"/>
          <w:b w:val="0"/>
        </w:rPr>
        <w:t>般公共预算财政拨款基本支出决算情况说明</w:t>
      </w:r>
      <w:bookmarkEnd w:id="62"/>
      <w:bookmarkEnd w:id="63"/>
      <w:bookmarkEnd w:id="64"/>
      <w:bookmarkEnd w:id="65"/>
      <w:r>
        <w:rPr>
          <w:rStyle w:val="29"/>
          <w:rFonts w:hint="default" w:ascii="Times New Roman" w:hAnsi="Times New Roman" w:eastAsia="黑体" w:cs="Times New Roman"/>
          <w:b w:val="0"/>
        </w:rPr>
        <w:tab/>
      </w:r>
    </w:p>
    <w:p w14:paraId="670E8F46">
      <w:pPr>
        <w:pageBreakBefore w:val="0"/>
        <w:widowControl w:val="0"/>
        <w:kinsoku/>
        <w:wordWrap/>
        <w:overflowPunct/>
        <w:topLinePunct w:val="0"/>
        <w:bidi w:val="0"/>
        <w:spacing w:line="560" w:lineRule="exact"/>
        <w:ind w:firstLine="645"/>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lang w:eastAsia="zh-CN"/>
        </w:rPr>
        <w:t>2023年</w:t>
      </w:r>
      <w:r>
        <w:rPr>
          <w:rFonts w:hint="default" w:ascii="Times New Roman" w:hAnsi="Times New Roman" w:eastAsia="仿宋" w:cs="Times New Roman"/>
          <w:color w:val="000000"/>
          <w:sz w:val="32"/>
          <w:szCs w:val="32"/>
        </w:rPr>
        <w:t>一般公共预算财政拨款基本支出</w:t>
      </w:r>
      <w:r>
        <w:rPr>
          <w:rFonts w:hint="default" w:ascii="Times New Roman" w:hAnsi="Times New Roman" w:eastAsia="仿宋" w:cs="Times New Roman"/>
          <w:color w:val="000000"/>
          <w:sz w:val="32"/>
          <w:szCs w:val="32"/>
          <w:lang w:val="en-US" w:eastAsia="zh-CN"/>
        </w:rPr>
        <w:t>107.59万</w:t>
      </w:r>
      <w:r>
        <w:rPr>
          <w:rFonts w:hint="default" w:ascii="Times New Roman" w:hAnsi="Times New Roman" w:eastAsia="仿宋" w:cs="Times New Roman"/>
          <w:color w:val="000000"/>
          <w:sz w:val="32"/>
          <w:szCs w:val="32"/>
        </w:rPr>
        <w:t>元，其中：</w:t>
      </w:r>
    </w:p>
    <w:p w14:paraId="7EEDD2B2">
      <w:pPr>
        <w:pageBreakBefore w:val="0"/>
        <w:widowControl w:val="0"/>
        <w:kinsoku/>
        <w:wordWrap/>
        <w:overflowPunct/>
        <w:topLinePunct w:val="0"/>
        <w:bidi w:val="0"/>
        <w:spacing w:line="560" w:lineRule="exact"/>
        <w:ind w:firstLine="645"/>
        <w:textAlignment w:val="auto"/>
        <w:rPr>
          <w:rFonts w:hint="default" w:ascii="Times New Roman" w:hAnsi="Times New Roman" w:eastAsia="仿宋" w:cs="Times New Roman"/>
          <w:color w:val="000000"/>
          <w:sz w:val="32"/>
          <w:szCs w:val="32"/>
          <w:lang w:eastAsia="zh-CN"/>
        </w:rPr>
      </w:pPr>
      <w:r>
        <w:rPr>
          <w:rFonts w:hint="default" w:ascii="Times New Roman" w:hAnsi="Times New Roman" w:eastAsia="仿宋" w:cs="Times New Roman"/>
          <w:color w:val="000000"/>
          <w:sz w:val="32"/>
          <w:szCs w:val="32"/>
        </w:rPr>
        <w:t>人员经费</w:t>
      </w:r>
      <w:r>
        <w:rPr>
          <w:rFonts w:hint="default" w:ascii="Times New Roman" w:hAnsi="Times New Roman" w:eastAsia="仿宋" w:cs="Times New Roman"/>
          <w:color w:val="000000"/>
          <w:sz w:val="32"/>
          <w:szCs w:val="32"/>
          <w:lang w:val="en-US" w:eastAsia="zh-CN"/>
        </w:rPr>
        <w:t>102.10</w:t>
      </w:r>
      <w:r>
        <w:rPr>
          <w:rFonts w:hint="default" w:ascii="Times New Roman" w:hAnsi="Times New Roman" w:eastAsia="仿宋" w:cs="Times New Roman"/>
          <w:color w:val="000000"/>
          <w:sz w:val="32"/>
          <w:szCs w:val="32"/>
        </w:rPr>
        <w:t>万元，主要包括：基本工资、津贴补贴</w:t>
      </w:r>
      <w:r>
        <w:rPr>
          <w:rFonts w:hint="default" w:ascii="Times New Roman" w:hAnsi="Times New Roman" w:eastAsia="仿宋" w:cs="Times New Roman"/>
          <w:color w:val="000000"/>
          <w:sz w:val="32"/>
          <w:szCs w:val="32"/>
          <w:lang w:eastAsia="zh-CN"/>
        </w:rPr>
        <w:t>、奖金、绩效工资、机关事业单位基本养老保险费、职业年金缴费、职工基本医疗保险缴费、公务员医疗补助缴费、其他社会保障缴费、住房公积金、医疗费补助、</w:t>
      </w:r>
      <w:r>
        <w:rPr>
          <w:rFonts w:hint="default" w:ascii="Times New Roman" w:hAnsi="Times New Roman" w:eastAsia="仿宋" w:cs="Times New Roman"/>
          <w:color w:val="000000"/>
          <w:sz w:val="32"/>
          <w:szCs w:val="32"/>
          <w:lang w:val="en-US" w:eastAsia="zh-CN"/>
        </w:rPr>
        <w:t>生活补助、对个人和家庭的补助</w:t>
      </w:r>
      <w:r>
        <w:rPr>
          <w:rFonts w:hint="default" w:ascii="Times New Roman" w:hAnsi="Times New Roman" w:eastAsia="仿宋" w:cs="Times New Roman"/>
          <w:color w:val="000000"/>
          <w:sz w:val="32"/>
          <w:szCs w:val="32"/>
        </w:rPr>
        <w:t>。</w:t>
      </w:r>
    </w:p>
    <w:p w14:paraId="45360ED4">
      <w:pPr>
        <w:pageBreakBefore w:val="0"/>
        <w:widowControl w:val="0"/>
        <w:kinsoku/>
        <w:wordWrap/>
        <w:overflowPunct/>
        <w:topLinePunct w:val="0"/>
        <w:bidi w:val="0"/>
        <w:spacing w:line="560" w:lineRule="exact"/>
        <w:ind w:firstLine="645"/>
        <w:textAlignment w:val="auto"/>
        <w:rPr>
          <w:rFonts w:hint="default" w:ascii="Times New Roman" w:hAnsi="Times New Roman" w:eastAsia="仿宋" w:cs="Times New Roman"/>
          <w:b/>
          <w:color w:val="FF0000"/>
          <w:sz w:val="32"/>
          <w:szCs w:val="32"/>
        </w:rPr>
      </w:pPr>
      <w:r>
        <w:rPr>
          <w:rFonts w:hint="default" w:ascii="Times New Roman" w:hAnsi="Times New Roman" w:eastAsia="仿宋" w:cs="Times New Roman"/>
          <w:color w:val="000000"/>
          <w:sz w:val="32"/>
          <w:szCs w:val="32"/>
        </w:rPr>
        <w:t>日常公用经费</w:t>
      </w:r>
      <w:r>
        <w:rPr>
          <w:rFonts w:hint="default" w:ascii="Times New Roman" w:hAnsi="Times New Roman" w:eastAsia="仿宋" w:cs="Times New Roman"/>
          <w:color w:val="000000"/>
          <w:sz w:val="32"/>
          <w:szCs w:val="32"/>
          <w:lang w:val="en-US" w:eastAsia="zh-CN"/>
        </w:rPr>
        <w:t>5.49</w:t>
      </w:r>
      <w:r>
        <w:rPr>
          <w:rFonts w:hint="default" w:ascii="Times New Roman" w:hAnsi="Times New Roman" w:eastAsia="仿宋" w:cs="Times New Roman"/>
          <w:color w:val="000000"/>
          <w:sz w:val="32"/>
          <w:szCs w:val="32"/>
        </w:rPr>
        <w:t>万元，主要包括：办公费、</w:t>
      </w:r>
      <w:r>
        <w:rPr>
          <w:rFonts w:hint="default" w:ascii="Times New Roman" w:hAnsi="Times New Roman" w:eastAsia="仿宋" w:cs="Times New Roman"/>
          <w:color w:val="000000"/>
          <w:sz w:val="32"/>
          <w:szCs w:val="32"/>
          <w:lang w:eastAsia="zh-CN"/>
        </w:rPr>
        <w:t>印刷</w:t>
      </w:r>
      <w:r>
        <w:rPr>
          <w:rFonts w:hint="default" w:ascii="Times New Roman" w:hAnsi="Times New Roman" w:eastAsia="仿宋" w:cs="Times New Roman"/>
          <w:color w:val="000000"/>
          <w:sz w:val="32"/>
          <w:szCs w:val="32"/>
        </w:rPr>
        <w:t>费</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lang w:val="en-US" w:eastAsia="zh-CN"/>
        </w:rPr>
        <w:t>取暖费、</w:t>
      </w:r>
      <w:r>
        <w:rPr>
          <w:rFonts w:hint="default" w:ascii="Times New Roman" w:hAnsi="Times New Roman" w:eastAsia="仿宋" w:cs="Times New Roman"/>
          <w:color w:val="000000"/>
          <w:sz w:val="32"/>
          <w:szCs w:val="32"/>
          <w:lang w:eastAsia="zh-CN"/>
        </w:rPr>
        <w:t>差旅费</w:t>
      </w:r>
      <w:r>
        <w:rPr>
          <w:rFonts w:hint="default" w:ascii="Times New Roman" w:hAnsi="Times New Roman" w:eastAsia="仿宋" w:cs="Times New Roman"/>
          <w:color w:val="000000"/>
          <w:sz w:val="32"/>
          <w:szCs w:val="32"/>
          <w:lang w:val="en-US" w:eastAsia="zh-CN"/>
        </w:rPr>
        <w:t>、</w:t>
      </w:r>
      <w:r>
        <w:rPr>
          <w:rFonts w:hint="default" w:ascii="Times New Roman" w:hAnsi="Times New Roman" w:eastAsia="仿宋" w:cs="Times New Roman"/>
          <w:color w:val="000000"/>
          <w:sz w:val="32"/>
          <w:szCs w:val="32"/>
          <w:lang w:eastAsia="zh-CN"/>
        </w:rPr>
        <w:t>其他交通费用</w:t>
      </w:r>
      <w:r>
        <w:rPr>
          <w:rFonts w:hint="default" w:ascii="Times New Roman" w:hAnsi="Times New Roman" w:eastAsia="仿宋" w:cs="Times New Roman"/>
          <w:color w:val="000000"/>
          <w:sz w:val="32"/>
          <w:szCs w:val="32"/>
        </w:rPr>
        <w:t>。</w:t>
      </w:r>
    </w:p>
    <w:p w14:paraId="1506BBEC">
      <w:pPr>
        <w:pageBreakBefore w:val="0"/>
        <w:widowControl w:val="0"/>
        <w:kinsoku/>
        <w:wordWrap/>
        <w:overflowPunct/>
        <w:topLinePunct w:val="0"/>
        <w:bidi w:val="0"/>
        <w:spacing w:line="560" w:lineRule="exact"/>
        <w:ind w:firstLine="640"/>
        <w:textAlignment w:val="auto"/>
        <w:rPr>
          <w:rFonts w:hint="default" w:ascii="Times New Roman" w:hAnsi="Times New Roman" w:eastAsia="仿宋" w:cs="Times New Roman"/>
          <w:b/>
          <w:color w:val="FF0000"/>
          <w:sz w:val="32"/>
          <w:szCs w:val="32"/>
        </w:rPr>
      </w:pPr>
    </w:p>
    <w:p w14:paraId="69EECD65">
      <w:pPr>
        <w:pageBreakBefore w:val="0"/>
        <w:widowControl w:val="0"/>
        <w:kinsoku/>
        <w:wordWrap/>
        <w:overflowPunct/>
        <w:topLinePunct w:val="0"/>
        <w:bidi w:val="0"/>
        <w:spacing w:line="560" w:lineRule="exact"/>
        <w:ind w:firstLine="640"/>
        <w:textAlignment w:val="auto"/>
        <w:outlineLvl w:val="1"/>
        <w:rPr>
          <w:rStyle w:val="29"/>
          <w:rFonts w:hint="default" w:ascii="Times New Roman" w:hAnsi="Times New Roman" w:eastAsia="黑体" w:cs="Times New Roman"/>
          <w:b w:val="0"/>
        </w:rPr>
      </w:pPr>
      <w:bookmarkStart w:id="66" w:name="_Toc15377215"/>
      <w:bookmarkStart w:id="67" w:name="_Toc15396609"/>
      <w:bookmarkStart w:id="68" w:name="_Toc31590"/>
      <w:bookmarkStart w:id="69" w:name="_Toc79163619"/>
      <w:r>
        <w:rPr>
          <w:rFonts w:hint="default" w:ascii="Times New Roman" w:hAnsi="Times New Roman" w:eastAsia="黑体" w:cs="Times New Roman"/>
          <w:color w:val="000000"/>
          <w:sz w:val="32"/>
          <w:szCs w:val="32"/>
        </w:rPr>
        <w:t>七、</w:t>
      </w:r>
      <w:r>
        <w:rPr>
          <w:rStyle w:val="29"/>
          <w:rFonts w:hint="default" w:ascii="Times New Roman" w:hAnsi="Times New Roman" w:eastAsia="黑体" w:cs="Times New Roman"/>
        </w:rPr>
        <w:t>“</w:t>
      </w:r>
      <w:r>
        <w:rPr>
          <w:rStyle w:val="29"/>
          <w:rFonts w:hint="default" w:ascii="Times New Roman" w:hAnsi="Times New Roman" w:eastAsia="黑体" w:cs="Times New Roman"/>
          <w:b w:val="0"/>
        </w:rPr>
        <w:t>三公”经费财政拨款支出决算情况说明</w:t>
      </w:r>
      <w:bookmarkEnd w:id="66"/>
      <w:bookmarkEnd w:id="67"/>
      <w:bookmarkEnd w:id="68"/>
      <w:bookmarkEnd w:id="69"/>
    </w:p>
    <w:p w14:paraId="079A629F">
      <w:pPr>
        <w:pageBreakBefore w:val="0"/>
        <w:widowControl w:val="0"/>
        <w:kinsoku/>
        <w:wordWrap/>
        <w:overflowPunct/>
        <w:topLinePunct w:val="0"/>
        <w:bidi w:val="0"/>
        <w:spacing w:line="560" w:lineRule="exact"/>
        <w:ind w:firstLine="640"/>
        <w:textAlignment w:val="auto"/>
        <w:outlineLvl w:val="2"/>
        <w:rPr>
          <w:rFonts w:hint="default" w:ascii="Times New Roman" w:hAnsi="Times New Roman" w:eastAsia="仿宋" w:cs="Times New Roman"/>
          <w:b/>
          <w:color w:val="000000"/>
          <w:sz w:val="32"/>
          <w:szCs w:val="32"/>
        </w:rPr>
      </w:pPr>
      <w:bookmarkStart w:id="70" w:name="_Toc15377216"/>
      <w:bookmarkStart w:id="71" w:name="_Toc79163620"/>
      <w:bookmarkStart w:id="72" w:name="_Toc31963"/>
      <w:r>
        <w:rPr>
          <w:rFonts w:hint="default" w:ascii="Times New Roman" w:hAnsi="Times New Roman" w:eastAsia="仿宋" w:cs="Times New Roman"/>
          <w:b/>
          <w:color w:val="000000"/>
          <w:sz w:val="32"/>
          <w:szCs w:val="32"/>
        </w:rPr>
        <w:t>（一）“三公”经费财政拨款支出决算总体情况说明</w:t>
      </w:r>
      <w:bookmarkEnd w:id="70"/>
      <w:bookmarkEnd w:id="71"/>
      <w:bookmarkEnd w:id="72"/>
    </w:p>
    <w:p w14:paraId="49D706C1">
      <w:pPr>
        <w:pageBreakBefore w:val="0"/>
        <w:widowControl w:val="0"/>
        <w:kinsoku/>
        <w:wordWrap/>
        <w:overflowPunct/>
        <w:topLinePunct w:val="0"/>
        <w:bidi w:val="0"/>
        <w:spacing w:line="560" w:lineRule="exact"/>
        <w:ind w:firstLine="640"/>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lang w:eastAsia="zh-CN"/>
        </w:rPr>
        <w:t>2023年</w:t>
      </w:r>
      <w:r>
        <w:rPr>
          <w:rFonts w:hint="default" w:ascii="Times New Roman" w:hAnsi="Times New Roman" w:eastAsia="仿宋" w:cs="Times New Roman"/>
          <w:color w:val="000000"/>
          <w:sz w:val="32"/>
          <w:szCs w:val="32"/>
        </w:rPr>
        <w:t>“三公”经费财政拨款支出决算为</w:t>
      </w:r>
      <w:r>
        <w:rPr>
          <w:rFonts w:hint="default" w:ascii="Times New Roman" w:hAnsi="Times New Roman"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lang w:val="en-US" w:eastAsia="zh-CN"/>
        </w:rPr>
        <w:t>2022年与2023年均无“三公”经费财政拨款支出</w:t>
      </w:r>
      <w:r>
        <w:rPr>
          <w:rFonts w:hint="default" w:ascii="Times New Roman" w:hAnsi="Times New Roman" w:eastAsia="仿宋" w:cs="Times New Roman"/>
          <w:color w:val="000000"/>
          <w:sz w:val="32"/>
          <w:szCs w:val="32"/>
        </w:rPr>
        <w:t>。</w:t>
      </w:r>
    </w:p>
    <w:p w14:paraId="0F9E197A">
      <w:pPr>
        <w:pageBreakBefore w:val="0"/>
        <w:widowControl w:val="0"/>
        <w:kinsoku/>
        <w:wordWrap/>
        <w:overflowPunct/>
        <w:topLinePunct w:val="0"/>
        <w:bidi w:val="0"/>
        <w:spacing w:line="560" w:lineRule="exact"/>
        <w:ind w:firstLine="640"/>
        <w:textAlignment w:val="auto"/>
        <w:outlineLvl w:val="2"/>
        <w:rPr>
          <w:rFonts w:hint="default" w:ascii="Times New Roman" w:hAnsi="Times New Roman" w:eastAsia="仿宋" w:cs="Times New Roman"/>
          <w:b/>
          <w:color w:val="000000"/>
          <w:sz w:val="32"/>
          <w:szCs w:val="32"/>
        </w:rPr>
      </w:pPr>
      <w:bookmarkStart w:id="73" w:name="_Toc79163621"/>
      <w:bookmarkStart w:id="74" w:name="_Toc15377217"/>
      <w:bookmarkStart w:id="75" w:name="_Toc28223"/>
      <w:r>
        <w:rPr>
          <w:rFonts w:hint="default" w:ascii="Times New Roman" w:hAnsi="Times New Roman" w:eastAsia="仿宋" w:cs="Times New Roman"/>
          <w:b/>
          <w:color w:val="000000"/>
          <w:sz w:val="32"/>
          <w:szCs w:val="32"/>
        </w:rPr>
        <w:t>（二）“三公”经费财政拨款支出决算具体情况说明</w:t>
      </w:r>
      <w:bookmarkEnd w:id="73"/>
      <w:bookmarkEnd w:id="74"/>
      <w:bookmarkEnd w:id="75"/>
    </w:p>
    <w:p w14:paraId="66BCE88A">
      <w:pPr>
        <w:pageBreakBefore w:val="0"/>
        <w:widowControl w:val="0"/>
        <w:kinsoku/>
        <w:wordWrap/>
        <w:overflowPunct/>
        <w:topLinePunct w:val="0"/>
        <w:bidi w:val="0"/>
        <w:spacing w:line="560" w:lineRule="exact"/>
        <w:ind w:firstLine="640"/>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lang w:eastAsia="zh-CN"/>
        </w:rPr>
        <w:t>2023年</w:t>
      </w:r>
      <w:r>
        <w:rPr>
          <w:rFonts w:hint="default" w:ascii="Times New Roman" w:hAnsi="Times New Roman" w:eastAsia="仿宋" w:cs="Times New Roman"/>
          <w:color w:val="000000"/>
          <w:sz w:val="32"/>
          <w:szCs w:val="32"/>
        </w:rPr>
        <w:t>“三公”经费财政拨款支出决算中，因公出国（境）费支出决算</w:t>
      </w:r>
      <w:r>
        <w:rPr>
          <w:rFonts w:hint="default" w:ascii="Times New Roman" w:hAnsi="Times New Roman"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万元；公务用车购置及运行维护费支出决算</w:t>
      </w:r>
      <w:r>
        <w:rPr>
          <w:rFonts w:hint="default" w:ascii="Times New Roman" w:hAnsi="Times New Roman"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万元；公务接待费支出决算</w:t>
      </w:r>
      <w:r>
        <w:rPr>
          <w:rFonts w:hint="default" w:ascii="Times New Roman" w:hAnsi="Times New Roman"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w:t>
      </w:r>
    </w:p>
    <w:p w14:paraId="587C3367">
      <w:pPr>
        <w:pageBreakBefore w:val="0"/>
        <w:widowControl w:val="0"/>
        <w:kinsoku/>
        <w:wordWrap/>
        <w:overflowPunct/>
        <w:topLinePunct w:val="0"/>
        <w:bidi w:val="0"/>
        <w:spacing w:line="56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1.因公出国（境）经费支出</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p>
    <w:p w14:paraId="1AADA575">
      <w:pPr>
        <w:pageBreakBefore w:val="0"/>
        <w:widowControl w:val="0"/>
        <w:kinsoku/>
        <w:wordWrap/>
        <w:overflowPunct/>
        <w:topLinePunct w:val="0"/>
        <w:bidi w:val="0"/>
        <w:spacing w:line="56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2.公务用车购置及运行维护费支出</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p>
    <w:p w14:paraId="6FFD5797">
      <w:pPr>
        <w:pageBreakBefore w:val="0"/>
        <w:widowControl w:val="0"/>
        <w:kinsoku/>
        <w:wordWrap/>
        <w:overflowPunct/>
        <w:topLinePunct w:val="0"/>
        <w:bidi w:val="0"/>
        <w:spacing w:line="56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3.公务接待费支出</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p>
    <w:p w14:paraId="6C24745F">
      <w:pPr>
        <w:pStyle w:val="2"/>
        <w:rPr>
          <w:rFonts w:hint="default" w:ascii="Times New Roman" w:hAnsi="Times New Roman" w:cs="Times New Roman"/>
        </w:rPr>
      </w:pPr>
    </w:p>
    <w:p w14:paraId="10EAA6FE">
      <w:pPr>
        <w:pageBreakBefore w:val="0"/>
        <w:widowControl w:val="0"/>
        <w:kinsoku/>
        <w:wordWrap/>
        <w:overflowPunct/>
        <w:topLinePunct w:val="0"/>
        <w:bidi w:val="0"/>
        <w:spacing w:line="560" w:lineRule="exact"/>
        <w:ind w:firstLine="640"/>
        <w:textAlignment w:val="auto"/>
        <w:outlineLvl w:val="1"/>
        <w:rPr>
          <w:rStyle w:val="29"/>
          <w:rFonts w:hint="default" w:ascii="Times New Roman" w:hAnsi="Times New Roman" w:eastAsia="黑体" w:cs="Times New Roman"/>
        </w:rPr>
      </w:pPr>
      <w:bookmarkStart w:id="76" w:name="_Toc5940"/>
      <w:bookmarkStart w:id="77" w:name="_Toc15377218"/>
      <w:bookmarkStart w:id="78" w:name="_Toc15396610"/>
      <w:bookmarkStart w:id="79" w:name="_Toc79163622"/>
      <w:r>
        <w:rPr>
          <w:rFonts w:hint="default" w:ascii="Times New Roman" w:hAnsi="Times New Roman" w:eastAsia="黑体" w:cs="Times New Roman"/>
          <w:color w:val="000000"/>
          <w:sz w:val="32"/>
          <w:szCs w:val="32"/>
        </w:rPr>
        <w:t>八、</w:t>
      </w:r>
      <w:r>
        <w:rPr>
          <w:rStyle w:val="29"/>
          <w:rFonts w:hint="default" w:ascii="Times New Roman" w:hAnsi="Times New Roman" w:eastAsia="黑体" w:cs="Times New Roman"/>
          <w:b w:val="0"/>
        </w:rPr>
        <w:t>政府性基金预算支出决算情况说明</w:t>
      </w:r>
      <w:bookmarkEnd w:id="76"/>
      <w:bookmarkEnd w:id="77"/>
      <w:bookmarkEnd w:id="78"/>
      <w:bookmarkEnd w:id="79"/>
    </w:p>
    <w:p w14:paraId="35FBD11B">
      <w:pPr>
        <w:pageBreakBefore w:val="0"/>
        <w:widowControl w:val="0"/>
        <w:kinsoku/>
        <w:wordWrap/>
        <w:overflowPunct/>
        <w:topLinePunct w:val="0"/>
        <w:bidi w:val="0"/>
        <w:spacing w:line="56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eastAsia="zh-CN"/>
        </w:rPr>
        <w:t>2023年</w:t>
      </w:r>
      <w:r>
        <w:rPr>
          <w:rFonts w:hint="default" w:ascii="Times New Roman" w:hAnsi="Times New Roman" w:eastAsia="仿宋_GB2312" w:cs="Times New Roman"/>
          <w:color w:val="000000"/>
          <w:sz w:val="32"/>
          <w:szCs w:val="32"/>
        </w:rPr>
        <w:t>政府性基金预算拨款支出</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p>
    <w:p w14:paraId="0E7C698F">
      <w:pPr>
        <w:pageBreakBefore w:val="0"/>
        <w:widowControl w:val="0"/>
        <w:kinsoku/>
        <w:wordWrap/>
        <w:overflowPunct/>
        <w:topLinePunct w:val="0"/>
        <w:bidi w:val="0"/>
        <w:spacing w:line="560" w:lineRule="exact"/>
        <w:ind w:firstLine="640"/>
        <w:textAlignment w:val="auto"/>
        <w:rPr>
          <w:rFonts w:hint="default" w:ascii="Times New Roman" w:hAnsi="Times New Roman" w:eastAsia="仿宋_GB2312" w:cs="Times New Roman"/>
          <w:color w:val="000000"/>
          <w:sz w:val="32"/>
          <w:szCs w:val="32"/>
        </w:rPr>
      </w:pPr>
    </w:p>
    <w:p w14:paraId="0A37D422">
      <w:pPr>
        <w:pageBreakBefore w:val="0"/>
        <w:widowControl w:val="0"/>
        <w:numPr>
          <w:ilvl w:val="0"/>
          <w:numId w:val="1"/>
        </w:numPr>
        <w:kinsoku/>
        <w:wordWrap/>
        <w:overflowPunct/>
        <w:topLinePunct w:val="0"/>
        <w:bidi w:val="0"/>
        <w:spacing w:line="560" w:lineRule="exact"/>
        <w:ind w:firstLine="640"/>
        <w:textAlignment w:val="auto"/>
        <w:outlineLvl w:val="1"/>
        <w:rPr>
          <w:rStyle w:val="29"/>
          <w:rFonts w:hint="default" w:ascii="Times New Roman" w:hAnsi="Times New Roman" w:eastAsia="黑体" w:cs="Times New Roman"/>
          <w:b w:val="0"/>
        </w:rPr>
      </w:pPr>
      <w:bookmarkStart w:id="80" w:name="_Toc18849"/>
      <w:bookmarkStart w:id="81" w:name="_Toc15377219"/>
      <w:bookmarkStart w:id="82" w:name="_Toc15396611"/>
      <w:bookmarkStart w:id="83" w:name="_Toc79163623"/>
      <w:r>
        <w:rPr>
          <w:rStyle w:val="29"/>
          <w:rFonts w:hint="default" w:ascii="Times New Roman" w:hAnsi="Times New Roman" w:eastAsia="黑体" w:cs="Times New Roman"/>
          <w:b w:val="0"/>
        </w:rPr>
        <w:t>国有资本经营预算支出决算情况说明</w:t>
      </w:r>
      <w:bookmarkEnd w:id="80"/>
      <w:bookmarkEnd w:id="81"/>
      <w:bookmarkEnd w:id="82"/>
      <w:bookmarkEnd w:id="83"/>
    </w:p>
    <w:p w14:paraId="58BDA3FE">
      <w:pPr>
        <w:pageBreakBefore w:val="0"/>
        <w:widowControl w:val="0"/>
        <w:kinsoku/>
        <w:wordWrap/>
        <w:overflowPunct/>
        <w:topLinePunct w:val="0"/>
        <w:bidi w:val="0"/>
        <w:spacing w:line="56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eastAsia="zh-CN"/>
        </w:rPr>
        <w:t>2023年</w:t>
      </w:r>
      <w:r>
        <w:rPr>
          <w:rFonts w:hint="default" w:ascii="Times New Roman" w:hAnsi="Times New Roman" w:eastAsia="仿宋_GB2312" w:cs="Times New Roman"/>
          <w:color w:val="000000"/>
          <w:sz w:val="32"/>
          <w:szCs w:val="32"/>
        </w:rPr>
        <w:t>国有资本经营预算拨款支出</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p>
    <w:p w14:paraId="7FCB21CC">
      <w:pPr>
        <w:pageBreakBefore w:val="0"/>
        <w:widowControl w:val="0"/>
        <w:kinsoku/>
        <w:wordWrap/>
        <w:overflowPunct/>
        <w:topLinePunct w:val="0"/>
        <w:bidi w:val="0"/>
        <w:spacing w:line="560" w:lineRule="exact"/>
        <w:jc w:val="center"/>
        <w:textAlignment w:val="auto"/>
        <w:rPr>
          <w:rFonts w:hint="default" w:ascii="Times New Roman" w:hAnsi="Times New Roman" w:eastAsia="微软雅黑" w:cs="Times New Roman"/>
          <w:sz w:val="44"/>
          <w:szCs w:val="44"/>
        </w:rPr>
      </w:pPr>
    </w:p>
    <w:p w14:paraId="2FE8B3C8">
      <w:pPr>
        <w:pageBreakBefore w:val="0"/>
        <w:widowControl w:val="0"/>
        <w:kinsoku/>
        <w:wordWrap/>
        <w:overflowPunct/>
        <w:topLinePunct w:val="0"/>
        <w:bidi w:val="0"/>
        <w:spacing w:line="560" w:lineRule="exact"/>
        <w:ind w:firstLine="800" w:firstLineChars="250"/>
        <w:textAlignment w:val="auto"/>
        <w:outlineLvl w:val="1"/>
        <w:rPr>
          <w:rStyle w:val="29"/>
          <w:rFonts w:hint="default" w:ascii="Times New Roman" w:hAnsi="Times New Roman" w:eastAsia="黑体" w:cs="Times New Roman"/>
        </w:rPr>
      </w:pPr>
      <w:bookmarkStart w:id="84" w:name="_Toc15396612"/>
      <w:bookmarkStart w:id="85" w:name="_Toc31848"/>
      <w:bookmarkStart w:id="86" w:name="_Toc15377221"/>
      <w:bookmarkStart w:id="87" w:name="_Toc79163624"/>
      <w:r>
        <w:rPr>
          <w:rFonts w:hint="default" w:ascii="Times New Roman" w:hAnsi="Times New Roman" w:eastAsia="黑体" w:cs="Times New Roman"/>
          <w:color w:val="000000"/>
          <w:sz w:val="32"/>
          <w:szCs w:val="32"/>
        </w:rPr>
        <w:t>十</w:t>
      </w:r>
      <w:r>
        <w:rPr>
          <w:rStyle w:val="29"/>
          <w:rFonts w:hint="default" w:ascii="Times New Roman" w:hAnsi="Times New Roman" w:eastAsia="黑体" w:cs="Times New Roman"/>
        </w:rPr>
        <w:t>、</w:t>
      </w:r>
      <w:r>
        <w:rPr>
          <w:rStyle w:val="29"/>
          <w:rFonts w:hint="default" w:ascii="Times New Roman" w:hAnsi="Times New Roman" w:eastAsia="黑体" w:cs="Times New Roman"/>
          <w:b w:val="0"/>
        </w:rPr>
        <w:t>其他重要事项的情况说明</w:t>
      </w:r>
      <w:bookmarkEnd w:id="84"/>
      <w:bookmarkEnd w:id="85"/>
      <w:bookmarkEnd w:id="86"/>
      <w:bookmarkEnd w:id="87"/>
    </w:p>
    <w:p w14:paraId="39396973">
      <w:pPr>
        <w:pageBreakBefore w:val="0"/>
        <w:widowControl w:val="0"/>
        <w:kinsoku/>
        <w:wordWrap/>
        <w:overflowPunct/>
        <w:topLinePunct w:val="0"/>
        <w:bidi w:val="0"/>
        <w:spacing w:line="560" w:lineRule="exact"/>
        <w:ind w:firstLine="643" w:firstLineChars="200"/>
        <w:textAlignment w:val="auto"/>
        <w:outlineLvl w:val="2"/>
        <w:rPr>
          <w:rFonts w:hint="default" w:ascii="Times New Roman" w:hAnsi="Times New Roman" w:eastAsia="仿宋" w:cs="Times New Roman"/>
          <w:color w:val="000000"/>
          <w:sz w:val="32"/>
          <w:szCs w:val="32"/>
        </w:rPr>
      </w:pPr>
      <w:bookmarkStart w:id="88" w:name="_Toc20509"/>
      <w:bookmarkStart w:id="89" w:name="_Toc79163625"/>
      <w:bookmarkStart w:id="90" w:name="_Toc15377222"/>
      <w:r>
        <w:rPr>
          <w:rFonts w:hint="default" w:ascii="Times New Roman" w:hAnsi="Times New Roman" w:eastAsia="仿宋" w:cs="Times New Roman"/>
          <w:b/>
          <w:color w:val="000000"/>
          <w:sz w:val="32"/>
          <w:szCs w:val="32"/>
        </w:rPr>
        <w:t>（一）机关运行经费支出情况</w:t>
      </w:r>
      <w:bookmarkEnd w:id="88"/>
      <w:bookmarkEnd w:id="89"/>
      <w:bookmarkEnd w:id="90"/>
    </w:p>
    <w:p w14:paraId="09DB0FB8">
      <w:pPr>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eastAsia="zh-CN"/>
        </w:rPr>
        <w:t>2023年</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eastAsia="zh-CN"/>
        </w:rPr>
        <w:t>壤塘县工商业联合会</w:t>
      </w:r>
      <w:r>
        <w:rPr>
          <w:rFonts w:hint="default" w:ascii="Times New Roman" w:hAnsi="Times New Roman" w:eastAsia="仿宋_GB2312" w:cs="Times New Roman"/>
          <w:color w:val="000000"/>
          <w:sz w:val="32"/>
          <w:szCs w:val="32"/>
          <w:lang w:val="en-US" w:eastAsia="zh-CN"/>
        </w:rPr>
        <w:t>本级</w:t>
      </w:r>
      <w:r>
        <w:rPr>
          <w:rFonts w:hint="default" w:ascii="Times New Roman" w:hAnsi="Times New Roman" w:eastAsia="仿宋_GB2312" w:cs="Times New Roman"/>
          <w:color w:val="000000"/>
          <w:sz w:val="32"/>
          <w:szCs w:val="32"/>
        </w:rPr>
        <w:t>机关运行经费支出</w:t>
      </w:r>
      <w:r>
        <w:rPr>
          <w:rFonts w:hint="default" w:ascii="Times New Roman" w:hAnsi="Times New Roman" w:eastAsia="仿宋_GB2312" w:cs="Times New Roman"/>
          <w:color w:val="000000"/>
          <w:sz w:val="32"/>
          <w:szCs w:val="32"/>
          <w:lang w:val="en-US" w:eastAsia="zh-CN"/>
        </w:rPr>
        <w:t>4.19</w:t>
      </w:r>
      <w:r>
        <w:rPr>
          <w:rFonts w:hint="default" w:ascii="Times New Roman" w:hAnsi="Times New Roman" w:eastAsia="仿宋_GB2312" w:cs="Times New Roman"/>
          <w:color w:val="000000"/>
          <w:sz w:val="32"/>
          <w:szCs w:val="32"/>
        </w:rPr>
        <w:t>万元，比</w:t>
      </w:r>
      <w:r>
        <w:rPr>
          <w:rFonts w:hint="default" w:ascii="Times New Roman" w:hAnsi="Times New Roman" w:eastAsia="仿宋_GB2312" w:cs="Times New Roman"/>
          <w:color w:val="000000"/>
          <w:sz w:val="32"/>
          <w:szCs w:val="32"/>
          <w:lang w:eastAsia="zh-CN"/>
        </w:rPr>
        <w:t>2022年</w:t>
      </w:r>
      <w:r>
        <w:rPr>
          <w:rFonts w:hint="default" w:ascii="Times New Roman" w:hAnsi="Times New Roman" w:eastAsia="仿宋_GB2312" w:cs="Times New Roman"/>
          <w:color w:val="000000"/>
          <w:sz w:val="32"/>
          <w:szCs w:val="32"/>
          <w:lang w:val="en-US" w:eastAsia="zh-CN"/>
        </w:rPr>
        <w:t>减少</w:t>
      </w:r>
      <w:r>
        <w:rPr>
          <w:rFonts w:hint="default" w:ascii="Times New Roman" w:hAnsi="Times New Roman" w:eastAsia="仿宋_GB2312" w:cs="Times New Roman"/>
          <w:color w:val="000000"/>
          <w:sz w:val="32"/>
          <w:szCs w:val="32"/>
        </w:rPr>
        <w:t>0.19万元，</w:t>
      </w:r>
      <w:r>
        <w:rPr>
          <w:rFonts w:hint="default" w:ascii="Times New Roman" w:hAnsi="Times New Roman" w:eastAsia="仿宋_GB2312" w:cs="Times New Roman"/>
          <w:color w:val="000000"/>
          <w:sz w:val="32"/>
          <w:szCs w:val="32"/>
          <w:lang w:val="en-US" w:eastAsia="zh-CN"/>
        </w:rPr>
        <w:t>下降4.44</w:t>
      </w:r>
      <w:r>
        <w:rPr>
          <w:rFonts w:hint="default" w:ascii="Times New Roman" w:hAnsi="Times New Roman" w:eastAsia="仿宋_GB2312" w:cs="Times New Roman"/>
          <w:color w:val="000000"/>
          <w:sz w:val="32"/>
          <w:szCs w:val="32"/>
        </w:rPr>
        <w:t>%。主要原因是</w:t>
      </w:r>
      <w:r>
        <w:rPr>
          <w:rFonts w:hint="default" w:ascii="Times New Roman" w:hAnsi="Times New Roman" w:eastAsia="仿宋_GB2312" w:cs="Times New Roman"/>
          <w:color w:val="000000"/>
          <w:sz w:val="32"/>
          <w:szCs w:val="32"/>
          <w:lang w:val="en-US" w:eastAsia="zh-CN"/>
        </w:rPr>
        <w:t>本年度业务活动减少，相应费用减少</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 xml:space="preserve">                                                                                                                                                                                                                                                                                                                                 </w:t>
      </w:r>
    </w:p>
    <w:p w14:paraId="52F70874">
      <w:pPr>
        <w:pageBreakBefore w:val="0"/>
        <w:widowControl w:val="0"/>
        <w:kinsoku/>
        <w:wordWrap/>
        <w:overflowPunct/>
        <w:topLinePunct w:val="0"/>
        <w:autoSpaceDE w:val="0"/>
        <w:autoSpaceDN w:val="0"/>
        <w:bidi w:val="0"/>
        <w:adjustRightInd w:val="0"/>
        <w:spacing w:line="560" w:lineRule="exact"/>
        <w:ind w:firstLine="643" w:firstLineChars="200"/>
        <w:jc w:val="left"/>
        <w:textAlignment w:val="auto"/>
        <w:outlineLvl w:val="2"/>
        <w:rPr>
          <w:rFonts w:hint="default" w:ascii="Times New Roman" w:hAnsi="Times New Roman" w:eastAsia="仿宋" w:cs="Times New Roman"/>
          <w:b/>
          <w:color w:val="000000"/>
          <w:sz w:val="32"/>
          <w:szCs w:val="32"/>
        </w:rPr>
      </w:pPr>
      <w:bookmarkStart w:id="91" w:name="_Toc29265"/>
      <w:bookmarkStart w:id="92" w:name="_Toc15377223"/>
      <w:bookmarkStart w:id="93" w:name="_Toc79163626"/>
      <w:r>
        <w:rPr>
          <w:rFonts w:hint="default" w:ascii="Times New Roman" w:hAnsi="Times New Roman" w:eastAsia="仿宋" w:cs="Times New Roman"/>
          <w:b/>
          <w:color w:val="000000"/>
          <w:sz w:val="32"/>
          <w:szCs w:val="32"/>
        </w:rPr>
        <w:t>（二）政府采购支出情况</w:t>
      </w:r>
      <w:bookmarkEnd w:id="91"/>
      <w:bookmarkEnd w:id="92"/>
      <w:bookmarkEnd w:id="93"/>
    </w:p>
    <w:p w14:paraId="2E080088">
      <w:pPr>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eastAsia="zh-CN"/>
        </w:rPr>
        <w:t>2023年</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eastAsia="zh-CN"/>
        </w:rPr>
        <w:t>壤塘县工商业联合会</w:t>
      </w:r>
      <w:r>
        <w:rPr>
          <w:rFonts w:hint="default" w:ascii="Times New Roman" w:hAnsi="Times New Roman" w:eastAsia="仿宋_GB2312" w:cs="Times New Roman"/>
          <w:color w:val="000000"/>
          <w:sz w:val="32"/>
          <w:szCs w:val="32"/>
          <w:lang w:val="en-US" w:eastAsia="zh-CN"/>
        </w:rPr>
        <w:t>本级</w:t>
      </w:r>
      <w:r>
        <w:rPr>
          <w:rFonts w:hint="default" w:ascii="Times New Roman" w:hAnsi="Times New Roman" w:eastAsia="仿宋_GB2312" w:cs="Times New Roman"/>
          <w:color w:val="000000"/>
          <w:sz w:val="32"/>
          <w:szCs w:val="32"/>
        </w:rPr>
        <w:t>政府采购支出总额</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万元，其中：政府采购货物支出</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万元、政府采购工程支出</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万元、政府采购服务支出</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授予中小企业合同金额</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万元，其中：授予小微企业合同金额</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p>
    <w:p w14:paraId="4C1E0A2F">
      <w:pPr>
        <w:pageBreakBefore w:val="0"/>
        <w:widowControl w:val="0"/>
        <w:kinsoku/>
        <w:wordWrap/>
        <w:overflowPunct/>
        <w:topLinePunct w:val="0"/>
        <w:autoSpaceDE w:val="0"/>
        <w:autoSpaceDN w:val="0"/>
        <w:bidi w:val="0"/>
        <w:adjustRightInd w:val="0"/>
        <w:spacing w:line="560" w:lineRule="exact"/>
        <w:ind w:firstLine="643" w:firstLineChars="200"/>
        <w:jc w:val="left"/>
        <w:textAlignment w:val="auto"/>
        <w:outlineLvl w:val="2"/>
        <w:rPr>
          <w:rFonts w:hint="default" w:ascii="Times New Roman" w:hAnsi="Times New Roman" w:eastAsia="仿宋" w:cs="Times New Roman"/>
          <w:b/>
          <w:color w:val="000000"/>
          <w:sz w:val="32"/>
          <w:szCs w:val="32"/>
        </w:rPr>
      </w:pPr>
      <w:bookmarkStart w:id="94" w:name="_Toc15377224"/>
      <w:bookmarkStart w:id="95" w:name="_Toc20331"/>
      <w:bookmarkStart w:id="96" w:name="_Toc79163627"/>
      <w:r>
        <w:rPr>
          <w:rFonts w:hint="default" w:ascii="Times New Roman" w:hAnsi="Times New Roman" w:eastAsia="仿宋" w:cs="Times New Roman"/>
          <w:b/>
          <w:color w:val="000000"/>
          <w:sz w:val="32"/>
          <w:szCs w:val="32"/>
        </w:rPr>
        <w:t>（三）国有资产占有使用情况</w:t>
      </w:r>
      <w:bookmarkEnd w:id="94"/>
      <w:bookmarkEnd w:id="95"/>
      <w:bookmarkEnd w:id="96"/>
    </w:p>
    <w:p w14:paraId="574220D9">
      <w:pPr>
        <w:pageBreakBefore w:val="0"/>
        <w:widowControl w:val="0"/>
        <w:kinsoku/>
        <w:wordWrap/>
        <w:overflowPunct/>
        <w:topLinePunct w:val="0"/>
        <w:autoSpaceDE w:val="0"/>
        <w:autoSpaceDN w:val="0"/>
        <w:bidi w:val="0"/>
        <w:adjustRightInd w:val="0"/>
        <w:spacing w:line="560" w:lineRule="exact"/>
        <w:ind w:firstLine="640" w:firstLineChars="200"/>
        <w:jc w:val="left"/>
        <w:textAlignment w:val="auto"/>
        <w:rPr>
          <w:rFonts w:hint="default" w:ascii="Times New Roman" w:hAnsi="Times New Roman" w:eastAsia="仿宋" w:cs="Times New Roman"/>
          <w:b/>
          <w:color w:val="FF0000"/>
          <w:sz w:val="32"/>
          <w:szCs w:val="32"/>
        </w:rPr>
      </w:pPr>
      <w:r>
        <w:rPr>
          <w:rFonts w:hint="default" w:ascii="Times New Roman" w:hAnsi="Times New Roman" w:eastAsia="仿宋_GB2312" w:cs="Times New Roman"/>
          <w:color w:val="000000"/>
          <w:sz w:val="32"/>
          <w:szCs w:val="32"/>
          <w:lang w:eastAsia="zh-CN"/>
        </w:rPr>
        <w:t>2023年</w:t>
      </w:r>
      <w:r>
        <w:rPr>
          <w:rFonts w:hint="default" w:ascii="Times New Roman" w:hAnsi="Times New Roman" w:eastAsia="仿宋_GB2312" w:cs="Times New Roman"/>
          <w:color w:val="000000"/>
          <w:sz w:val="32"/>
          <w:szCs w:val="32"/>
        </w:rPr>
        <w:t>12月31日，</w:t>
      </w:r>
      <w:r>
        <w:rPr>
          <w:rFonts w:hint="default" w:ascii="Times New Roman" w:hAnsi="Times New Roman" w:eastAsia="仿宋_GB2312" w:cs="Times New Roman"/>
          <w:color w:val="000000"/>
          <w:sz w:val="32"/>
          <w:szCs w:val="32"/>
          <w:lang w:eastAsia="zh-CN"/>
        </w:rPr>
        <w:t>壤塘县工商业联合会</w:t>
      </w:r>
      <w:r>
        <w:rPr>
          <w:rFonts w:hint="default" w:ascii="Times New Roman" w:hAnsi="Times New Roman" w:eastAsia="仿宋_GB2312" w:cs="Times New Roman"/>
          <w:color w:val="000000"/>
          <w:sz w:val="32"/>
          <w:szCs w:val="32"/>
          <w:lang w:val="en-US" w:eastAsia="zh-CN"/>
        </w:rPr>
        <w:t>本级</w:t>
      </w:r>
      <w:r>
        <w:rPr>
          <w:rFonts w:hint="default" w:ascii="Times New Roman" w:hAnsi="Times New Roman" w:eastAsia="仿宋_GB2312" w:cs="Times New Roman"/>
          <w:color w:val="000000"/>
          <w:sz w:val="32"/>
          <w:szCs w:val="32"/>
        </w:rPr>
        <w:t>共有车辆</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辆，其中：主要领导干部用车</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辆、机要通信用车</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辆、应急保障用车</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辆、其他用车</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辆</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单价50万元以上通用设备</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台（套），单价100万元以上专用设备</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台（套）。</w:t>
      </w:r>
    </w:p>
    <w:p w14:paraId="494101E9">
      <w:pPr>
        <w:pageBreakBefore w:val="0"/>
        <w:widowControl w:val="0"/>
        <w:kinsoku/>
        <w:wordWrap/>
        <w:overflowPunct/>
        <w:topLinePunct w:val="0"/>
        <w:autoSpaceDE w:val="0"/>
        <w:autoSpaceDN w:val="0"/>
        <w:bidi w:val="0"/>
        <w:adjustRightInd w:val="0"/>
        <w:spacing w:line="560" w:lineRule="exact"/>
        <w:ind w:firstLine="643" w:firstLineChars="200"/>
        <w:jc w:val="left"/>
        <w:textAlignment w:val="auto"/>
        <w:outlineLvl w:val="2"/>
        <w:rPr>
          <w:rFonts w:hint="default" w:ascii="Times New Roman" w:hAnsi="Times New Roman" w:eastAsia="仿宋" w:cs="Times New Roman"/>
          <w:b/>
          <w:color w:val="000000"/>
          <w:sz w:val="32"/>
          <w:szCs w:val="32"/>
        </w:rPr>
      </w:pPr>
      <w:bookmarkStart w:id="97" w:name="_Toc79163628"/>
      <w:bookmarkStart w:id="98" w:name="_Toc23018"/>
      <w:r>
        <w:rPr>
          <w:rFonts w:hint="default" w:ascii="Times New Roman" w:hAnsi="Times New Roman" w:eastAsia="仿宋" w:cs="Times New Roman"/>
          <w:b/>
          <w:color w:val="000000"/>
          <w:sz w:val="32"/>
          <w:szCs w:val="32"/>
        </w:rPr>
        <w:t>（四）预算绩效管理情况。</w:t>
      </w:r>
      <w:bookmarkEnd w:id="97"/>
      <w:bookmarkEnd w:id="98"/>
    </w:p>
    <w:p w14:paraId="16C90C5C">
      <w:pPr>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根据预算绩效管理要求，本单位在年初预算编制阶段，组织对</w:t>
      </w:r>
      <w:r>
        <w:rPr>
          <w:rFonts w:hint="default" w:ascii="Times New Roman" w:hAnsi="Times New Roman" w:eastAsia="仿宋_GB2312" w:cs="Times New Roman"/>
          <w:sz w:val="32"/>
          <w:szCs w:val="32"/>
          <w:lang w:val="en-US" w:eastAsia="zh-CN"/>
        </w:rPr>
        <w:t>解决中国狮子联会四川星空服务队赴壤开展捐赠活动的资金</w:t>
      </w:r>
      <w:r>
        <w:rPr>
          <w:rFonts w:hint="default" w:ascii="Times New Roman" w:hAnsi="Times New Roman" w:eastAsia="仿宋_GB2312" w:cs="Times New Roman"/>
          <w:sz w:val="32"/>
          <w:szCs w:val="32"/>
        </w:rPr>
        <w:t>项目开展了预算事前绩效评估，对</w:t>
      </w:r>
      <w:r>
        <w:rPr>
          <w:rFonts w:hint="default" w:ascii="Times New Roman" w:hAnsi="Times New Roman" w:eastAsia="仿宋_GB2312" w:cs="Times New Roman"/>
          <w:sz w:val="32"/>
          <w:szCs w:val="32"/>
          <w:lang w:val="en-US" w:eastAsia="zh-CN"/>
        </w:rPr>
        <w:t>本</w:t>
      </w:r>
      <w:r>
        <w:rPr>
          <w:rFonts w:hint="default" w:ascii="Times New Roman" w:hAnsi="Times New Roman" w:eastAsia="仿宋_GB2312" w:cs="Times New Roman"/>
          <w:sz w:val="32"/>
          <w:szCs w:val="32"/>
        </w:rPr>
        <w:t>项目编制了绩效目标，预算执行过程中，</w:t>
      </w:r>
      <w:r>
        <w:rPr>
          <w:rFonts w:hint="default" w:ascii="Times New Roman" w:hAnsi="Times New Roman" w:eastAsia="仿宋_GB2312" w:cs="Times New Roman"/>
          <w:sz w:val="32"/>
          <w:szCs w:val="32"/>
          <w:lang w:val="en-US" w:eastAsia="zh-CN"/>
        </w:rPr>
        <w:t>对本</w:t>
      </w:r>
      <w:r>
        <w:rPr>
          <w:rFonts w:hint="default" w:ascii="Times New Roman" w:hAnsi="Times New Roman" w:eastAsia="仿宋_GB2312" w:cs="Times New Roman"/>
          <w:sz w:val="32"/>
          <w:szCs w:val="32"/>
        </w:rPr>
        <w:t>项目开展绩效监控，年终执行完毕后，对</w:t>
      </w:r>
      <w:r>
        <w:rPr>
          <w:rFonts w:hint="default" w:ascii="Times New Roman" w:hAnsi="Times New Roman" w:eastAsia="仿宋_GB2312" w:cs="Times New Roman"/>
          <w:sz w:val="32"/>
          <w:szCs w:val="32"/>
          <w:lang w:val="en-US" w:eastAsia="zh-CN"/>
        </w:rPr>
        <w:t>本</w:t>
      </w:r>
      <w:r>
        <w:rPr>
          <w:rFonts w:hint="default" w:ascii="Times New Roman" w:hAnsi="Times New Roman" w:eastAsia="仿宋_GB2312" w:cs="Times New Roman"/>
          <w:sz w:val="32"/>
          <w:szCs w:val="32"/>
        </w:rPr>
        <w:t>项目开展了绩效目标完成情况自评。</w:t>
      </w:r>
    </w:p>
    <w:p w14:paraId="6A5BD7F4">
      <w:pPr>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组织对2023年度一般公共预算、政府性基金预算、国有资本经营预算、社会保险基金预算以及资本资产、债券资金等全面开展绩效自评，形成</w:t>
      </w:r>
      <w:r>
        <w:rPr>
          <w:rFonts w:hint="default" w:ascii="Times New Roman" w:hAnsi="Times New Roman" w:eastAsia="仿宋_GB2312" w:cs="Times New Roman"/>
          <w:sz w:val="32"/>
          <w:szCs w:val="32"/>
          <w:lang w:val="en-US" w:eastAsia="zh-CN"/>
        </w:rPr>
        <w:t>壤塘县工商业联合会</w:t>
      </w:r>
      <w:r>
        <w:rPr>
          <w:rFonts w:hint="default" w:ascii="Times New Roman" w:hAnsi="Times New Roman" w:eastAsia="仿宋_GB2312" w:cs="Times New Roman"/>
          <w:sz w:val="32"/>
          <w:szCs w:val="32"/>
        </w:rPr>
        <w:t>（含部门预算项目）绩效自评报告</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其中，</w:t>
      </w:r>
      <w:r>
        <w:rPr>
          <w:rFonts w:hint="default" w:ascii="Times New Roman" w:hAnsi="Times New Roman" w:eastAsia="仿宋_GB2312" w:cs="Times New Roman"/>
          <w:sz w:val="32"/>
          <w:szCs w:val="32"/>
          <w:lang w:val="en-US" w:eastAsia="zh-CN"/>
        </w:rPr>
        <w:t>壤塘县工商业联合会</w:t>
      </w:r>
      <w:r>
        <w:rPr>
          <w:rFonts w:hint="default" w:ascii="Times New Roman" w:hAnsi="Times New Roman" w:eastAsia="仿宋_GB2312" w:cs="Times New Roman"/>
          <w:sz w:val="32"/>
          <w:szCs w:val="32"/>
        </w:rPr>
        <w:t>（含部门预算项目）绩效自评得分为</w:t>
      </w:r>
      <w:r>
        <w:rPr>
          <w:rFonts w:hint="default" w:ascii="Times New Roman" w:hAnsi="Times New Roman" w:eastAsia="仿宋_GB2312" w:cs="Times New Roman"/>
          <w:sz w:val="32"/>
          <w:szCs w:val="32"/>
          <w:lang w:val="en-US" w:eastAsia="zh-CN"/>
        </w:rPr>
        <w:t>9</w:t>
      </w:r>
      <w:r>
        <w:rPr>
          <w:rFonts w:hint="eastAsia" w:eastAsia="仿宋_GB2312" w:cs="Times New Roman"/>
          <w:sz w:val="32"/>
          <w:szCs w:val="32"/>
          <w:lang w:val="en-US" w:eastAsia="zh-CN"/>
        </w:rPr>
        <w:t>0以上</w:t>
      </w:r>
      <w:r>
        <w:rPr>
          <w:rFonts w:hint="default" w:ascii="Times New Roman" w:hAnsi="Times New Roman" w:eastAsia="仿宋_GB2312" w:cs="Times New Roman"/>
          <w:sz w:val="32"/>
          <w:szCs w:val="32"/>
        </w:rPr>
        <w:t>分，绩效自评综述：</w:t>
      </w:r>
      <w:r>
        <w:rPr>
          <w:rFonts w:hint="default" w:ascii="Times New Roman" w:hAnsi="Times New Roman" w:eastAsia="仿宋_GB2312" w:cs="Times New Roman"/>
          <w:sz w:val="32"/>
          <w:szCs w:val="32"/>
          <w:lang w:val="en-US" w:eastAsia="zh-CN"/>
        </w:rPr>
        <w:t>本次部门整体支出绩效自评得分为</w:t>
      </w:r>
      <w:r>
        <w:rPr>
          <w:rFonts w:hint="eastAsia" w:eastAsia="仿宋_GB2312" w:cs="Times New Roman"/>
          <w:sz w:val="32"/>
          <w:szCs w:val="32"/>
          <w:lang w:val="en-US" w:eastAsia="zh-CN"/>
        </w:rPr>
        <w:t>90以上</w:t>
      </w:r>
      <w:r>
        <w:rPr>
          <w:rFonts w:hint="default" w:ascii="Times New Roman" w:hAnsi="Times New Roman" w:eastAsia="仿宋_GB2312" w:cs="Times New Roman"/>
          <w:sz w:val="32"/>
          <w:szCs w:val="32"/>
          <w:lang w:val="en-US" w:eastAsia="zh-CN"/>
        </w:rPr>
        <w:t>分，总体表现较好；整体支出绩效自评见第四部分附件。</w:t>
      </w:r>
    </w:p>
    <w:p w14:paraId="3BA2CC2B">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05E8ABB2">
      <w:pPr>
        <w:pStyle w:val="2"/>
        <w:rPr>
          <w:rFonts w:hint="default" w:ascii="Times New Roman" w:hAnsi="Times New Roman" w:cs="Times New Roman"/>
        </w:rPr>
      </w:pPr>
    </w:p>
    <w:p w14:paraId="4073DEC2">
      <w:pPr>
        <w:numPr>
          <w:ilvl w:val="0"/>
          <w:numId w:val="2"/>
        </w:numPr>
        <w:spacing w:line="600" w:lineRule="exact"/>
        <w:ind w:firstLine="660" w:firstLineChars="150"/>
        <w:jc w:val="center"/>
        <w:outlineLvl w:val="0"/>
        <w:rPr>
          <w:rStyle w:val="28"/>
          <w:rFonts w:hint="default" w:ascii="Times New Roman" w:hAnsi="Times New Roman" w:eastAsia="黑体" w:cs="Times New Roman"/>
          <w:b w:val="0"/>
        </w:rPr>
      </w:pPr>
      <w:bookmarkStart w:id="99" w:name="_Toc15377225"/>
      <w:bookmarkStart w:id="100" w:name="_Toc15396613"/>
      <w:bookmarkStart w:id="101" w:name="_Toc20025"/>
      <w:bookmarkStart w:id="102" w:name="_Toc79163629"/>
      <w:r>
        <w:rPr>
          <w:rFonts w:hint="default" w:ascii="Times New Roman" w:hAnsi="Times New Roman" w:eastAsia="黑体" w:cs="Times New Roman"/>
          <w:color w:val="000000"/>
          <w:sz w:val="44"/>
          <w:szCs w:val="44"/>
        </w:rPr>
        <w:t>名</w:t>
      </w:r>
      <w:r>
        <w:rPr>
          <w:rStyle w:val="28"/>
          <w:rFonts w:hint="default" w:ascii="Times New Roman" w:hAnsi="Times New Roman" w:eastAsia="黑体" w:cs="Times New Roman"/>
          <w:b w:val="0"/>
        </w:rPr>
        <w:t>词解释</w:t>
      </w:r>
      <w:bookmarkEnd w:id="99"/>
      <w:bookmarkEnd w:id="100"/>
      <w:bookmarkEnd w:id="101"/>
      <w:bookmarkEnd w:id="102"/>
    </w:p>
    <w:p w14:paraId="17C69F1F">
      <w:pPr>
        <w:spacing w:line="600" w:lineRule="exact"/>
        <w:jc w:val="left"/>
        <w:rPr>
          <w:rFonts w:hint="default" w:ascii="Times New Roman" w:hAnsi="Times New Roman" w:cs="Times New Roman"/>
          <w:b/>
          <w:color w:val="000000"/>
          <w:sz w:val="44"/>
          <w:szCs w:val="44"/>
        </w:rPr>
      </w:pPr>
    </w:p>
    <w:p w14:paraId="3B6767A5">
      <w:pPr>
        <w:pStyle w:val="38"/>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1.财政拨款收入：指单位从同级财政部门取得的财政预算资金。</w:t>
      </w:r>
    </w:p>
    <w:p w14:paraId="5CDFE88B">
      <w:pPr>
        <w:pStyle w:val="38"/>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2.事业收入：指事业单位开展专业业务活动及辅助活动取得的收入。（二级预算单位事业收入情况）等。</w:t>
      </w:r>
    </w:p>
    <w:p w14:paraId="69AC2B21">
      <w:pPr>
        <w:pStyle w:val="38"/>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3.经营收入：指事业单位在专业业务活动及其辅助活动之外开展非独立核算经营活动取得的收入。（二级预算单位经营收入情况）等。</w:t>
      </w:r>
    </w:p>
    <w:p w14:paraId="61404B8B">
      <w:pPr>
        <w:pStyle w:val="38"/>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4.其他收入：指单位取得的除上述收入以外的各项收入。主要是（收入类型）等。 </w:t>
      </w:r>
    </w:p>
    <w:p w14:paraId="52BDB192">
      <w:pPr>
        <w:pStyle w:val="38"/>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5.使用非财政拨款结余：指事业单位使用以前年度积累的非财政拨款结余弥补当年收支差额的金额。 </w:t>
      </w:r>
    </w:p>
    <w:p w14:paraId="69CC19A4">
      <w:pPr>
        <w:pStyle w:val="38"/>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6.年初结转和结余：指以前年度尚未完成、结转到本年按有关规定继续使用的资金。 </w:t>
      </w:r>
    </w:p>
    <w:p w14:paraId="757E5CF8">
      <w:pPr>
        <w:pStyle w:val="38"/>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7.结余分配：指事业单位按照会计制度规定缴纳的所得税、提取的专用结余以及转入非财政拨款结余的金额等。</w:t>
      </w:r>
    </w:p>
    <w:p w14:paraId="215A1425">
      <w:pPr>
        <w:pStyle w:val="38"/>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、年末结转和结余：指单位按有关规定结转到下年或以后年度继续使用的资金。</w:t>
      </w:r>
    </w:p>
    <w:p w14:paraId="0D173C20">
      <w:pPr>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9.社会保障和就业（类）行政事业单位养老支出（款）机关事业单位基本养老保险缴费支出（项）：指由单位缴纳的基本养老保险费支出。</w:t>
      </w:r>
    </w:p>
    <w:p w14:paraId="34C7B8F0">
      <w:pPr>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10.社会保障和就业（类）行政事业单位养老支出（款）  机关事业单位职业年金缴费支出（项）：指机关事业单位实施养老保险制度由单位实际缴纳的职业年金。</w:t>
      </w:r>
    </w:p>
    <w:p w14:paraId="1E4E41E9">
      <w:pPr>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11.一般公共服务支出（类）民主党派及工商联事务（款）行政运行（项）：指行政单位（包括实行公务员管理的事业单位）的基本支出。</w:t>
      </w:r>
    </w:p>
    <w:p w14:paraId="29968D42">
      <w:pPr>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12.一般公共服务支出（类）民主党派及工商联事务（款）  其他民主党派及工商联事务支出（项）：指其他用于民主党派及工商联事务方面的支出。</w:t>
      </w:r>
    </w:p>
    <w:p w14:paraId="15459CC5">
      <w:pPr>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13.卫生健康支出（类）行政事业单位医疗（款）行政单位医疗（项）：指财政部门集中安排的行政单位基本医疗保险缴费经费。</w:t>
      </w:r>
    </w:p>
    <w:p w14:paraId="401896BC">
      <w:pPr>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14.住房保障支出（类）住房改革支出（款）住房公积金（项）：指行政事业单位安装工资比例为职工缴纳的住房公积金</w:t>
      </w:r>
      <w:r>
        <w:rPr>
          <w:rFonts w:hint="default" w:ascii="Times New Roman" w:hAnsi="Times New Roman" w:eastAsia="仿宋_GB2312" w:cs="Times New Roman"/>
          <w:color w:val="000000"/>
          <w:sz w:val="32"/>
          <w:szCs w:val="32"/>
        </w:rPr>
        <w:t>。</w:t>
      </w:r>
    </w:p>
    <w:p w14:paraId="474CE251">
      <w:pPr>
        <w:pStyle w:val="38"/>
        <w:spacing w:line="56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w:t>
      </w:r>
      <w:r>
        <w:rPr>
          <w:rFonts w:hint="default" w:ascii="Times New Roman" w:hAnsi="Times New Roman"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rPr>
        <w:t>.基本支出：指为保障机构正常运转、完成日常工作任务而发生的人员支出和公用支出。</w:t>
      </w:r>
    </w:p>
    <w:p w14:paraId="201F64BD">
      <w:pPr>
        <w:pStyle w:val="38"/>
        <w:spacing w:line="56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w:t>
      </w:r>
      <w:r>
        <w:rPr>
          <w:rFonts w:hint="default" w:ascii="Times New Roman" w:hAnsi="Times New Roman" w:eastAsia="仿宋_GB2312" w:cs="Times New Roman"/>
          <w:color w:val="000000"/>
          <w:sz w:val="32"/>
          <w:szCs w:val="32"/>
          <w:lang w:val="en-US" w:eastAsia="zh-CN"/>
        </w:rPr>
        <w:t>6</w:t>
      </w:r>
      <w:r>
        <w:rPr>
          <w:rFonts w:hint="default" w:ascii="Times New Roman" w:hAnsi="Times New Roman" w:eastAsia="仿宋_GB2312" w:cs="Times New Roman"/>
          <w:color w:val="000000"/>
          <w:sz w:val="32"/>
          <w:szCs w:val="32"/>
        </w:rPr>
        <w:t>.项目支出：指在基本支出之外为完成特定行政任务和事业发展目标所发生的支出。</w:t>
      </w:r>
    </w:p>
    <w:p w14:paraId="6611307B">
      <w:pPr>
        <w:pStyle w:val="38"/>
        <w:spacing w:line="56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w:t>
      </w:r>
      <w:r>
        <w:rPr>
          <w:rFonts w:hint="default" w:ascii="Times New Roman" w:hAnsi="Times New Roman" w:eastAsia="仿宋_GB2312" w:cs="Times New Roman"/>
          <w:color w:val="000000"/>
          <w:sz w:val="32"/>
          <w:szCs w:val="32"/>
          <w:lang w:val="en-US" w:eastAsia="zh-CN"/>
        </w:rPr>
        <w:t>7</w:t>
      </w:r>
      <w:r>
        <w:rPr>
          <w:rFonts w:hint="default" w:ascii="Times New Roman" w:hAnsi="Times New Roman" w:eastAsia="仿宋_GB2312" w:cs="Times New Roman"/>
          <w:color w:val="000000"/>
          <w:sz w:val="32"/>
          <w:szCs w:val="32"/>
        </w:rPr>
        <w:t>.经营支出：指事业单位在专业业务活动及其辅助活动之外开展非独立核算经营活动发生的支出。</w:t>
      </w:r>
    </w:p>
    <w:p w14:paraId="775FCC72">
      <w:pPr>
        <w:pStyle w:val="38"/>
        <w:spacing w:line="56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w:t>
      </w:r>
      <w:r>
        <w:rPr>
          <w:rFonts w:hint="default" w:ascii="Times New Roman" w:hAnsi="Times New Roman" w:eastAsia="仿宋_GB2312" w:cs="Times New Roman"/>
          <w:color w:val="000000"/>
          <w:sz w:val="32"/>
          <w:szCs w:val="32"/>
          <w:lang w:val="en-US" w:eastAsia="zh-CN"/>
        </w:rPr>
        <w:t>8</w:t>
      </w:r>
      <w:r>
        <w:rPr>
          <w:rFonts w:hint="default" w:ascii="Times New Roman" w:hAnsi="Times New Roman" w:eastAsia="仿宋_GB2312" w:cs="Times New Roman"/>
          <w:color w:val="000000"/>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6265BB2">
      <w:pPr>
        <w:pStyle w:val="38"/>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rPr>
        <w:t>1</w:t>
      </w:r>
      <w:r>
        <w:rPr>
          <w:rFonts w:hint="default" w:ascii="Times New Roman" w:hAnsi="Times New Roman" w:eastAsia="仿宋_GB2312" w:cs="Times New Roman"/>
          <w:color w:val="000000"/>
          <w:sz w:val="32"/>
          <w:szCs w:val="32"/>
          <w:lang w:val="en-US" w:eastAsia="zh-CN"/>
        </w:rPr>
        <w:t>9</w:t>
      </w:r>
      <w:r>
        <w:rPr>
          <w:rFonts w:hint="default" w:ascii="Times New Roman" w:hAnsi="Times New Roman" w:eastAsia="仿宋_GB2312" w:cs="Times New Roman"/>
          <w:color w:val="00000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default" w:ascii="Times New Roman" w:hAnsi="Times New Roman" w:eastAsia="仿宋_GB2312" w:cs="Times New Roman"/>
          <w:sz w:val="32"/>
          <w:szCs w:val="32"/>
        </w:rPr>
        <w:t>。</w:t>
      </w:r>
    </w:p>
    <w:p w14:paraId="6EE86904">
      <w:pPr>
        <w:spacing w:line="600" w:lineRule="exact"/>
        <w:jc w:val="center"/>
        <w:outlineLvl w:val="0"/>
        <w:rPr>
          <w:rStyle w:val="28"/>
          <w:rFonts w:hint="default" w:ascii="Times New Roman" w:hAnsi="Times New Roman" w:eastAsia="黑体" w:cs="Times New Roman"/>
          <w:b w:val="0"/>
        </w:rPr>
      </w:pPr>
      <w:bookmarkStart w:id="103" w:name="_Toc15377226"/>
      <w:r>
        <w:rPr>
          <w:rFonts w:hint="default" w:ascii="Times New Roman" w:hAnsi="Times New Roman" w:cs="Times New Roman"/>
          <w:b/>
          <w:color w:val="000000"/>
          <w:sz w:val="44"/>
          <w:szCs w:val="44"/>
        </w:rPr>
        <w:br w:type="page"/>
      </w:r>
      <w:bookmarkStart w:id="104" w:name="_Toc2652"/>
      <w:bookmarkStart w:id="105" w:name="_Toc79163630"/>
      <w:bookmarkStart w:id="106" w:name="_Toc15396614"/>
      <w:r>
        <w:rPr>
          <w:rFonts w:hint="default" w:ascii="Times New Roman" w:hAnsi="Times New Roman" w:eastAsia="黑体" w:cs="Times New Roman"/>
          <w:color w:val="000000"/>
          <w:sz w:val="44"/>
          <w:szCs w:val="44"/>
        </w:rPr>
        <w:t>第</w:t>
      </w:r>
      <w:r>
        <w:rPr>
          <w:rStyle w:val="28"/>
          <w:rFonts w:hint="default" w:ascii="Times New Roman" w:hAnsi="Times New Roman" w:eastAsia="黑体" w:cs="Times New Roman"/>
          <w:b w:val="0"/>
        </w:rPr>
        <w:t>四部分 附件</w:t>
      </w:r>
      <w:bookmarkEnd w:id="104"/>
      <w:bookmarkEnd w:id="105"/>
      <w:bookmarkEnd w:id="106"/>
    </w:p>
    <w:p w14:paraId="7C188931">
      <w:pPr>
        <w:bidi w:val="0"/>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附件1</w:t>
      </w:r>
    </w:p>
    <w:p w14:paraId="0FAAC6D7">
      <w:pPr>
        <w:spacing w:line="360" w:lineRule="auto"/>
        <w:jc w:val="center"/>
        <w:rPr>
          <w:rFonts w:hint="default" w:ascii="Times New Roman" w:hAnsi="Times New Roman" w:cs="Times New Roman"/>
          <w:b/>
          <w:bCs/>
          <w:kern w:val="0"/>
          <w:sz w:val="44"/>
          <w:szCs w:val="44"/>
        </w:rPr>
      </w:pPr>
      <w:r>
        <w:rPr>
          <w:rFonts w:hint="default" w:ascii="Times New Roman" w:hAnsi="Times New Roman" w:cs="Times New Roman"/>
          <w:b/>
          <w:bCs/>
          <w:kern w:val="0"/>
          <w:sz w:val="44"/>
          <w:szCs w:val="44"/>
        </w:rPr>
        <w:t>壤塘县工商业联合会</w:t>
      </w:r>
    </w:p>
    <w:p w14:paraId="56252BBD">
      <w:pPr>
        <w:spacing w:line="360" w:lineRule="auto"/>
        <w:jc w:val="center"/>
        <w:rPr>
          <w:rFonts w:hint="default" w:ascii="Times New Roman" w:hAnsi="Times New Roman" w:cs="Times New Roman"/>
          <w:b/>
          <w:bCs/>
          <w:kern w:val="0"/>
          <w:sz w:val="44"/>
          <w:szCs w:val="44"/>
        </w:rPr>
      </w:pPr>
      <w:r>
        <w:rPr>
          <w:rFonts w:hint="default" w:ascii="Times New Roman" w:hAnsi="Times New Roman" w:cs="Times New Roman"/>
          <w:b/>
          <w:bCs/>
          <w:kern w:val="0"/>
          <w:sz w:val="44"/>
          <w:szCs w:val="44"/>
          <w:lang w:eastAsia="zh-CN"/>
        </w:rPr>
        <w:t>2023</w:t>
      </w:r>
      <w:r>
        <w:rPr>
          <w:rFonts w:hint="default" w:ascii="Times New Roman" w:hAnsi="Times New Roman" w:cs="Times New Roman"/>
          <w:b/>
          <w:bCs/>
          <w:kern w:val="0"/>
          <w:sz w:val="44"/>
          <w:szCs w:val="44"/>
        </w:rPr>
        <w:t>年度部门整体支出绩效评价自评报告</w:t>
      </w:r>
    </w:p>
    <w:p w14:paraId="7D22019B">
      <w:pPr>
        <w:spacing w:line="360" w:lineRule="auto"/>
        <w:jc w:val="center"/>
        <w:rPr>
          <w:rFonts w:hint="default" w:ascii="Times New Roman" w:hAnsi="Times New Roman" w:cs="Times New Roman"/>
          <w:kern w:val="0"/>
          <w:szCs w:val="21"/>
        </w:rPr>
      </w:pPr>
    </w:p>
    <w:p w14:paraId="5095992A">
      <w:pPr>
        <w:spacing w:line="360" w:lineRule="auto"/>
        <w:ind w:firstLine="643" w:firstLineChars="20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kern w:val="0"/>
          <w:sz w:val="32"/>
          <w:szCs w:val="32"/>
        </w:rPr>
        <w:t>一、部门（单位）概况</w:t>
      </w:r>
    </w:p>
    <w:p w14:paraId="00F0048E">
      <w:pPr>
        <w:spacing w:line="360" w:lineRule="auto"/>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壤塘县工商业联合会机构性质：</w:t>
      </w:r>
      <w:r>
        <w:rPr>
          <w:rFonts w:hint="default" w:ascii="Times New Roman" w:hAnsi="Times New Roman" w:eastAsia="仿宋_GB2312" w:cs="Times New Roman"/>
          <w:sz w:val="32"/>
          <w:szCs w:val="32"/>
          <w:lang w:val="en-US" w:eastAsia="zh-CN"/>
        </w:rPr>
        <w:t>行政</w:t>
      </w:r>
      <w:r>
        <w:rPr>
          <w:rFonts w:hint="default" w:ascii="Times New Roman" w:hAnsi="Times New Roman" w:eastAsia="仿宋_GB2312" w:cs="Times New Roman"/>
          <w:sz w:val="32"/>
          <w:szCs w:val="32"/>
        </w:rPr>
        <w:t>机关，机构地址：四川省壤塘县</w:t>
      </w:r>
      <w:r>
        <w:rPr>
          <w:rFonts w:hint="default" w:ascii="Times New Roman" w:hAnsi="Times New Roman" w:eastAsia="仿宋_GB2312" w:cs="Times New Roman"/>
          <w:sz w:val="32"/>
          <w:szCs w:val="32"/>
          <w:lang w:val="en-US" w:eastAsia="zh-CN"/>
        </w:rPr>
        <w:t>罗吾塘</w:t>
      </w:r>
      <w:r>
        <w:rPr>
          <w:rFonts w:hint="default" w:ascii="Times New Roman" w:hAnsi="Times New Roman" w:eastAsia="仿宋_GB2312" w:cs="Times New Roman"/>
          <w:sz w:val="32"/>
          <w:szCs w:val="32"/>
        </w:rPr>
        <w:t>中街90号，单位负责人：刘麟。</w:t>
      </w:r>
    </w:p>
    <w:p w14:paraId="6DA9F47A">
      <w:pPr>
        <w:spacing w:line="360" w:lineRule="auto"/>
        <w:ind w:firstLine="643" w:firstLineChars="200"/>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（一）机构组成</w:t>
      </w:r>
    </w:p>
    <w:p w14:paraId="722FBE42">
      <w:pPr>
        <w:spacing w:line="360" w:lineRule="auto"/>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zh-CN"/>
        </w:rPr>
        <w:t>壤塘县工商业联合会</w:t>
      </w:r>
      <w:r>
        <w:rPr>
          <w:rFonts w:hint="default" w:ascii="Times New Roman" w:hAnsi="Times New Roman" w:eastAsia="仿宋_GB2312" w:cs="Times New Roman"/>
          <w:color w:val="auto"/>
          <w:sz w:val="32"/>
          <w:szCs w:val="32"/>
          <w:lang w:val="zh-CN"/>
        </w:rPr>
        <w:t>由</w:t>
      </w:r>
      <w:r>
        <w:rPr>
          <w:rFonts w:hint="default" w:ascii="Times New Roman" w:hAnsi="Times New Roman" w:eastAsia="仿宋_GB2312" w:cs="Times New Roman"/>
          <w:color w:val="auto"/>
          <w:sz w:val="32"/>
          <w:szCs w:val="32"/>
        </w:rPr>
        <w:t>综合办公室</w:t>
      </w:r>
      <w:r>
        <w:rPr>
          <w:rFonts w:hint="default" w:ascii="Times New Roman" w:hAnsi="Times New Roman" w:eastAsia="仿宋_GB2312" w:cs="Times New Roman"/>
          <w:color w:val="auto"/>
          <w:sz w:val="32"/>
          <w:szCs w:val="32"/>
          <w:lang w:val="zh-CN"/>
        </w:rPr>
        <w:t>组</w:t>
      </w:r>
      <w:r>
        <w:rPr>
          <w:rFonts w:hint="default" w:ascii="Times New Roman" w:hAnsi="Times New Roman" w:eastAsia="仿宋_GB2312" w:cs="Times New Roman"/>
          <w:sz w:val="32"/>
          <w:szCs w:val="32"/>
          <w:lang w:val="zh-CN"/>
        </w:rPr>
        <w:t>成</w:t>
      </w:r>
      <w:r>
        <w:rPr>
          <w:rFonts w:hint="default" w:ascii="Times New Roman" w:hAnsi="Times New Roman" w:eastAsia="仿宋_GB2312" w:cs="Times New Roman"/>
          <w:sz w:val="32"/>
          <w:szCs w:val="32"/>
        </w:rPr>
        <w:t>。</w:t>
      </w:r>
    </w:p>
    <w:p w14:paraId="228B7F91">
      <w:pPr>
        <w:numPr>
          <w:ilvl w:val="0"/>
          <w:numId w:val="3"/>
        </w:numPr>
        <w:spacing w:line="360" w:lineRule="auto"/>
        <w:ind w:firstLine="643" w:firstLineChars="20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kern w:val="0"/>
          <w:sz w:val="32"/>
          <w:szCs w:val="32"/>
        </w:rPr>
        <w:t>机构职能</w:t>
      </w:r>
    </w:p>
    <w:p w14:paraId="2467214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综合办公室。负责综合和反映全县工商联</w:t>
      </w:r>
      <w:r>
        <w:rPr>
          <w:rFonts w:hint="eastAsia" w:eastAsia="仿宋_GB2312" w:cs="Times New Roman"/>
          <w:b w:val="0"/>
          <w:bCs w:val="0"/>
          <w:kern w:val="2"/>
          <w:sz w:val="32"/>
          <w:szCs w:val="32"/>
          <w:highlight w:val="none"/>
          <w:lang w:val="en-US" w:eastAsia="zh-CN" w:bidi="ar-SA"/>
        </w:rPr>
        <w:t>（</w:t>
      </w:r>
      <w:r>
        <w:rPr>
          <w:rFonts w:hint="default" w:ascii="Times New Roman" w:hAnsi="Times New Roman" w:eastAsia="仿宋_GB2312" w:cs="Times New Roman"/>
          <w:b w:val="0"/>
          <w:bCs w:val="0"/>
          <w:kern w:val="2"/>
          <w:sz w:val="32"/>
          <w:szCs w:val="32"/>
          <w:highlight w:val="none"/>
          <w:lang w:val="en-US" w:eastAsia="zh-CN" w:bidi="ar-SA"/>
        </w:rPr>
        <w:t>商会</w:t>
      </w:r>
      <w:r>
        <w:rPr>
          <w:rFonts w:hint="eastAsia" w:eastAsia="仿宋_GB2312" w:cs="Times New Roman"/>
          <w:b w:val="0"/>
          <w:bCs w:val="0"/>
          <w:kern w:val="2"/>
          <w:sz w:val="32"/>
          <w:szCs w:val="32"/>
          <w:highlight w:val="none"/>
          <w:lang w:val="en-US" w:eastAsia="zh-CN" w:bidi="ar-SA"/>
        </w:rPr>
        <w:t>）</w:t>
      </w:r>
      <w:r>
        <w:rPr>
          <w:rFonts w:hint="default" w:ascii="Times New Roman" w:hAnsi="Times New Roman" w:eastAsia="仿宋_GB2312" w:cs="Times New Roman"/>
          <w:b w:val="0"/>
          <w:bCs w:val="0"/>
          <w:kern w:val="2"/>
          <w:sz w:val="32"/>
          <w:szCs w:val="32"/>
          <w:highlight w:val="none"/>
          <w:lang w:val="en-US" w:eastAsia="zh-CN" w:bidi="ar-SA"/>
        </w:rPr>
        <w:t>工作情况及贯彻落实</w:t>
      </w:r>
      <w:r>
        <w:rPr>
          <w:rFonts w:hint="eastAsia" w:eastAsia="仿宋_GB2312" w:cs="Times New Roman"/>
          <w:b w:val="0"/>
          <w:bCs w:val="0"/>
          <w:kern w:val="2"/>
          <w:sz w:val="32"/>
          <w:szCs w:val="32"/>
          <w:highlight w:val="none"/>
          <w:lang w:val="en-US" w:eastAsia="zh-CN" w:bidi="ar-SA"/>
        </w:rPr>
        <w:t>县委县政府</w:t>
      </w:r>
      <w:r>
        <w:rPr>
          <w:rFonts w:hint="default" w:ascii="Times New Roman" w:hAnsi="Times New Roman" w:eastAsia="仿宋_GB2312" w:cs="Times New Roman"/>
          <w:b w:val="0"/>
          <w:bCs w:val="0"/>
          <w:kern w:val="2"/>
          <w:sz w:val="32"/>
          <w:szCs w:val="32"/>
          <w:highlight w:val="none"/>
          <w:lang w:val="en-US" w:eastAsia="zh-CN" w:bidi="ar-SA"/>
        </w:rPr>
        <w:t>重大决策</w:t>
      </w:r>
      <w:r>
        <w:rPr>
          <w:rFonts w:hint="eastAsia" w:eastAsia="仿宋_GB2312" w:cs="Times New Roman"/>
          <w:b w:val="0"/>
          <w:bCs w:val="0"/>
          <w:kern w:val="2"/>
          <w:sz w:val="32"/>
          <w:szCs w:val="32"/>
          <w:highlight w:val="none"/>
          <w:lang w:val="en-US" w:eastAsia="zh-CN" w:bidi="ar-SA"/>
        </w:rPr>
        <w:t>部署</w:t>
      </w:r>
      <w:r>
        <w:rPr>
          <w:rFonts w:hint="default" w:ascii="Times New Roman" w:hAnsi="Times New Roman" w:eastAsia="仿宋_GB2312" w:cs="Times New Roman"/>
          <w:b w:val="0"/>
          <w:bCs w:val="0"/>
          <w:kern w:val="2"/>
          <w:sz w:val="32"/>
          <w:szCs w:val="32"/>
          <w:highlight w:val="none"/>
          <w:lang w:val="en-US" w:eastAsia="zh-CN" w:bidi="ar-SA"/>
        </w:rPr>
        <w:t>；负责文件、机要、档案、文印管理工作；负责秘书实务、会议组织、日常值班及保卫保密工作；负责行政事务、财务和资产管理、内部协调和后勤服务等工作；负责</w:t>
      </w:r>
      <w:r>
        <w:rPr>
          <w:rFonts w:hint="eastAsia" w:eastAsia="仿宋_GB2312" w:cs="Times New Roman"/>
          <w:b w:val="0"/>
          <w:bCs w:val="0"/>
          <w:kern w:val="2"/>
          <w:sz w:val="32"/>
          <w:szCs w:val="32"/>
          <w:highlight w:val="none"/>
          <w:lang w:val="en-US" w:eastAsia="zh-CN" w:bidi="ar-SA"/>
        </w:rPr>
        <w:t>县委县政府</w:t>
      </w:r>
      <w:r>
        <w:rPr>
          <w:rFonts w:hint="default" w:ascii="Times New Roman" w:hAnsi="Times New Roman" w:eastAsia="仿宋_GB2312" w:cs="Times New Roman"/>
          <w:b w:val="0"/>
          <w:bCs w:val="0"/>
          <w:kern w:val="2"/>
          <w:sz w:val="32"/>
          <w:szCs w:val="32"/>
          <w:highlight w:val="none"/>
          <w:lang w:val="en-US" w:eastAsia="zh-CN" w:bidi="ar-SA"/>
        </w:rPr>
        <w:t>与商会工作的协调；负责督办领导集体决定事项的执行；指导商会的各项工作。</w:t>
      </w:r>
    </w:p>
    <w:p w14:paraId="3C109337">
      <w:pPr>
        <w:numPr>
          <w:ilvl w:val="0"/>
          <w:numId w:val="3"/>
        </w:numPr>
        <w:spacing w:line="360" w:lineRule="auto"/>
        <w:ind w:firstLine="643" w:firstLineChars="200"/>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人员概况</w:t>
      </w:r>
    </w:p>
    <w:p w14:paraId="2D1A365A">
      <w:pPr>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rPr>
        <w:t>人员情况：总编制</w:t>
      </w:r>
      <w:r>
        <w:rPr>
          <w:rFonts w:hint="default" w:ascii="Times New Roman" w:hAnsi="Times New Roman" w:eastAsia="仿宋_GB2312" w:cs="Times New Roman"/>
          <w:kern w:val="0"/>
          <w:sz w:val="32"/>
          <w:szCs w:val="32"/>
          <w:lang w:val="en-US" w:eastAsia="zh-CN"/>
        </w:rPr>
        <w:t>4</w:t>
      </w:r>
      <w:r>
        <w:rPr>
          <w:rFonts w:hint="default" w:ascii="Times New Roman" w:hAnsi="Times New Roman" w:eastAsia="仿宋_GB2312" w:cs="Times New Roman"/>
          <w:kern w:val="0"/>
          <w:sz w:val="32"/>
          <w:szCs w:val="32"/>
        </w:rPr>
        <w:t>名,其中:行政编制1人、</w:t>
      </w:r>
      <w:r>
        <w:rPr>
          <w:rFonts w:hint="default" w:ascii="Times New Roman" w:hAnsi="Times New Roman" w:eastAsia="仿宋_GB2312" w:cs="Times New Roman"/>
          <w:kern w:val="0"/>
          <w:sz w:val="32"/>
          <w:szCs w:val="32"/>
          <w:lang w:val="en-US" w:eastAsia="zh-CN"/>
        </w:rPr>
        <w:t>机关工勤编制1人，</w:t>
      </w:r>
      <w:r>
        <w:rPr>
          <w:rFonts w:hint="default" w:ascii="Times New Roman" w:hAnsi="Times New Roman" w:eastAsia="仿宋_GB2312" w:cs="Times New Roman"/>
          <w:kern w:val="0"/>
          <w:sz w:val="32"/>
          <w:szCs w:val="32"/>
        </w:rPr>
        <w:t>事业编制2人</w:t>
      </w:r>
      <w:r>
        <w:rPr>
          <w:rFonts w:hint="default" w:ascii="Times New Roman" w:hAnsi="Times New Roman" w:eastAsia="仿宋_GB2312" w:cs="Times New Roman"/>
          <w:sz w:val="32"/>
          <w:szCs w:val="32"/>
        </w:rPr>
        <w:t>。</w:t>
      </w:r>
    </w:p>
    <w:p w14:paraId="6328FB51">
      <w:pPr>
        <w:spacing w:line="360" w:lineRule="auto"/>
        <w:ind w:firstLine="643" w:firstLineChars="200"/>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二、部门财政资金收支情况</w:t>
      </w:r>
    </w:p>
    <w:p w14:paraId="7593BEAF">
      <w:pPr>
        <w:spacing w:line="360" w:lineRule="auto"/>
        <w:ind w:firstLine="643" w:firstLineChars="20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（一）部门财政资金收入情况</w:t>
      </w:r>
    </w:p>
    <w:p w14:paraId="552EC011">
      <w:pPr>
        <w:pStyle w:val="44"/>
        <w:spacing w:line="360" w:lineRule="auto"/>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2023</w:t>
      </w:r>
      <w:r>
        <w:rPr>
          <w:rFonts w:hint="default" w:ascii="Times New Roman" w:hAnsi="Times New Roman" w:eastAsia="仿宋_GB2312" w:cs="Times New Roman"/>
          <w:sz w:val="32"/>
          <w:szCs w:val="32"/>
        </w:rPr>
        <w:t>年财政下达壤塘县工商业联合会年初预算收入</w:t>
      </w:r>
      <w:r>
        <w:rPr>
          <w:rFonts w:hint="default" w:ascii="Times New Roman" w:hAnsi="Times New Roman" w:eastAsia="仿宋_GB2312" w:cs="Times New Roman"/>
          <w:sz w:val="32"/>
          <w:szCs w:val="32"/>
          <w:lang w:val="en-US" w:eastAsia="zh-CN"/>
        </w:rPr>
        <w:t>74.86</w:t>
      </w:r>
      <w:r>
        <w:rPr>
          <w:rFonts w:hint="default" w:ascii="Times New Roman" w:hAnsi="Times New Roman" w:eastAsia="仿宋_GB2312" w:cs="Times New Roman"/>
          <w:sz w:val="32"/>
          <w:szCs w:val="32"/>
        </w:rPr>
        <w:t>万元，执行期中追加收入</w:t>
      </w:r>
      <w:r>
        <w:rPr>
          <w:rFonts w:hint="default" w:ascii="Times New Roman" w:hAnsi="Times New Roman" w:eastAsia="仿宋_GB2312" w:cs="Times New Roman"/>
          <w:sz w:val="32"/>
          <w:szCs w:val="32"/>
          <w:lang w:eastAsia="zh-CN"/>
        </w:rPr>
        <w:t>33.87</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全年实际收入合计为108.73万元，本年度无财政应返还额度</w:t>
      </w:r>
      <w:r>
        <w:rPr>
          <w:rFonts w:hint="default" w:ascii="Times New Roman" w:hAnsi="Times New Roman" w:eastAsia="仿宋_GB2312" w:cs="Times New Roman"/>
          <w:sz w:val="32"/>
          <w:szCs w:val="32"/>
        </w:rPr>
        <w:t xml:space="preserve">。 </w:t>
      </w:r>
    </w:p>
    <w:p w14:paraId="6EE8E98F">
      <w:pPr>
        <w:pStyle w:val="44"/>
        <w:spacing w:line="360" w:lineRule="auto"/>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（二）部门财政资金支出情况</w:t>
      </w:r>
      <w:r>
        <w:rPr>
          <w:rFonts w:hint="default" w:ascii="Times New Roman" w:hAnsi="Times New Roman" w:eastAsia="仿宋_GB2312" w:cs="Times New Roman"/>
          <w:sz w:val="32"/>
          <w:szCs w:val="32"/>
        </w:rPr>
        <w:t xml:space="preserve">  </w:t>
      </w:r>
    </w:p>
    <w:p w14:paraId="14BC8FCF">
      <w:pPr>
        <w:pStyle w:val="44"/>
        <w:spacing w:line="360" w:lineRule="auto"/>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2023</w:t>
      </w:r>
      <w:r>
        <w:rPr>
          <w:rFonts w:hint="default" w:ascii="Times New Roman" w:hAnsi="Times New Roman" w:eastAsia="仿宋_GB2312" w:cs="Times New Roman"/>
          <w:sz w:val="32"/>
          <w:szCs w:val="32"/>
        </w:rPr>
        <w:t>年壤塘县工商业联合会支出全年预算数共计</w:t>
      </w:r>
      <w:r>
        <w:rPr>
          <w:rFonts w:hint="default" w:ascii="Times New Roman" w:hAnsi="Times New Roman" w:eastAsia="仿宋_GB2312" w:cs="Times New Roman"/>
          <w:sz w:val="32"/>
          <w:szCs w:val="32"/>
          <w:lang w:eastAsia="zh-CN"/>
        </w:rPr>
        <w:t>108.73</w:t>
      </w:r>
      <w:r>
        <w:rPr>
          <w:rFonts w:hint="default" w:ascii="Times New Roman" w:hAnsi="Times New Roman" w:eastAsia="仿宋_GB2312" w:cs="Times New Roman"/>
          <w:sz w:val="32"/>
          <w:szCs w:val="32"/>
        </w:rPr>
        <w:t>万元，其中基本支出</w:t>
      </w:r>
      <w:r>
        <w:rPr>
          <w:rFonts w:hint="default" w:ascii="Times New Roman" w:hAnsi="Times New Roman" w:eastAsia="仿宋_GB2312" w:cs="Times New Roman"/>
          <w:sz w:val="32"/>
          <w:szCs w:val="32"/>
          <w:lang w:val="en-US" w:eastAsia="zh-CN"/>
        </w:rPr>
        <w:t>107.59</w:t>
      </w:r>
      <w:r>
        <w:rPr>
          <w:rFonts w:hint="default" w:ascii="Times New Roman" w:hAnsi="Times New Roman" w:eastAsia="仿宋_GB2312" w:cs="Times New Roman"/>
          <w:sz w:val="32"/>
          <w:szCs w:val="32"/>
        </w:rPr>
        <w:t>万元，项目支出</w:t>
      </w:r>
      <w:r>
        <w:rPr>
          <w:rFonts w:hint="default" w:ascii="Times New Roman" w:hAnsi="Times New Roman" w:eastAsia="仿宋_GB2312" w:cs="Times New Roman"/>
          <w:sz w:val="32"/>
          <w:szCs w:val="32"/>
          <w:lang w:val="en-US" w:eastAsia="zh-CN"/>
        </w:rPr>
        <w:t>1.14</w:t>
      </w:r>
      <w:r>
        <w:rPr>
          <w:rFonts w:hint="default" w:ascii="Times New Roman" w:hAnsi="Times New Roman" w:eastAsia="仿宋_GB2312" w:cs="Times New Roman"/>
          <w:sz w:val="32"/>
          <w:szCs w:val="32"/>
        </w:rPr>
        <w:t>万元。</w:t>
      </w:r>
    </w:p>
    <w:p w14:paraId="547FE91A">
      <w:pPr>
        <w:spacing w:line="360" w:lineRule="auto"/>
        <w:ind w:firstLine="643" w:firstLineChars="200"/>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三、部门整体预算绩效管理情况</w:t>
      </w:r>
    </w:p>
    <w:p w14:paraId="3DCD4D13">
      <w:pPr>
        <w:pStyle w:val="44"/>
        <w:spacing w:line="360" w:lineRule="auto"/>
        <w:ind w:firstLine="640"/>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（一）部门预算管理</w:t>
      </w:r>
    </w:p>
    <w:p w14:paraId="521D9E4D">
      <w:pPr>
        <w:pStyle w:val="44"/>
        <w:spacing w:line="360" w:lineRule="auto"/>
        <w:ind w:firstLine="640"/>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1.部门整体绩效目标制定情况</w:t>
      </w:r>
    </w:p>
    <w:p w14:paraId="5463C544">
      <w:pPr>
        <w:pStyle w:val="44"/>
        <w:spacing w:line="360" w:lineRule="auto"/>
        <w:ind w:firstLine="640"/>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坚持以习近平新时代中国特色社会主义思想为指导，全面贯彻党的二十大精神，在县委、县政府统一领导和州工商联、县委统战部</w:t>
      </w:r>
      <w:r>
        <w:rPr>
          <w:rFonts w:hint="eastAsia" w:ascii="仿宋_GB2312" w:hAnsi="仿宋_GB2312" w:eastAsia="仿宋_GB2312" w:cs="仿宋_GB2312"/>
          <w:b w:val="0"/>
          <w:bCs w:val="0"/>
          <w:kern w:val="0"/>
          <w:sz w:val="32"/>
          <w:szCs w:val="32"/>
          <w:lang w:val="en-US" w:eastAsia="zh-CN"/>
        </w:rPr>
        <w:t>的</w:t>
      </w:r>
      <w:r>
        <w:rPr>
          <w:rFonts w:hint="eastAsia" w:ascii="仿宋_GB2312" w:hAnsi="仿宋_GB2312" w:eastAsia="仿宋_GB2312" w:cs="仿宋_GB2312"/>
          <w:b w:val="0"/>
          <w:bCs w:val="0"/>
          <w:kern w:val="0"/>
          <w:sz w:val="32"/>
          <w:szCs w:val="32"/>
        </w:rPr>
        <w:t>指导下，深入落实习近平总书记来川视察及对阿坝工作系列重要指示批示精神。紧扣省、州及县委各项工作部署，立足工商联统战性、经济性、民间性职能属性，聚焦民营经济“两个健康”发展目标，以服务民营经济为主责主业，充分发挥桥梁纽带和参谋助手作用，科学制定年度绩效目标，全力推动各项工作有序落地。</w:t>
      </w:r>
    </w:p>
    <w:p w14:paraId="4A486B77">
      <w:pPr>
        <w:pStyle w:val="44"/>
        <w:spacing w:line="360" w:lineRule="auto"/>
        <w:ind w:firstLine="640"/>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2.部门整体绩效目标完成情况</w:t>
      </w:r>
    </w:p>
    <w:p w14:paraId="5E786136">
      <w:pPr>
        <w:pStyle w:val="44"/>
        <w:spacing w:line="360" w:lineRule="auto"/>
        <w:ind w:firstLine="64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（一）深耕光彩事业，助力乡村振兴发展</w:t>
      </w:r>
    </w:p>
    <w:p w14:paraId="3E849E2F">
      <w:pPr>
        <w:pStyle w:val="44"/>
        <w:spacing w:line="360" w:lineRule="auto"/>
        <w:ind w:firstLine="64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 xml:space="preserve"> 紧扣“万企兴万村”行动部署，积极引导民营经济人士投身乡村振兴、公益帮扶工作。2023年，我会对接中国狮子联会四川代表处星空服务队，先后在我县开展3场公益捐赠活动：向上杜柯乡中心校捐赠校服440套，价值20万元；在县总工会壤巴拉职工之家开展端午慰问活动，捐赠物资价值25万元；向中壤塘镇中心校捐赠校服583套，价值15万元。</w:t>
      </w:r>
    </w:p>
    <w:p w14:paraId="5A47F8FA">
      <w:pPr>
        <w:pStyle w:val="44"/>
        <w:spacing w:line="360" w:lineRule="auto"/>
        <w:ind w:left="0" w:leftChars="0" w:firstLine="640"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严格落实川委办〔2023〕24号文件及省、州、县委全会工作部署，按照平等自愿、互利共赢原则，推进欠发达县域托底性帮扶工作。主动对接县经信局谋划招商引企工作，依托省州工商联平台对接优质企业，已与成都蓉绿达冷链运输有限责任公司开展对接洽谈，企业有意向参与我县南木达镇冷链物流基础设施建设项目，助力县域产业经济发展。</w:t>
      </w:r>
    </w:p>
    <w:p w14:paraId="37B8B134">
      <w:pPr>
        <w:pStyle w:val="44"/>
        <w:spacing w:line="360" w:lineRule="auto"/>
        <w:ind w:left="0" w:leftChars="0" w:firstLine="643" w:firstLineChars="20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（二）夯实组织建设，壮大民营经济会员队伍</w:t>
      </w:r>
    </w:p>
    <w:p w14:paraId="6BD64BDB">
      <w:pPr>
        <w:pStyle w:val="44"/>
        <w:spacing w:line="360" w:lineRule="auto"/>
        <w:ind w:firstLine="64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 xml:space="preserve"> 持续加强自身组织建设，稳步扩大会员队伍规模。本年度我会企业会员由52家增至57家，个体会员由98名增至105名。下一步将持续吸纳优质民营企业及优秀民营经济人士入会，密切联系服务会员企业；规范主席会、常委会会议制度，落实党政领导联系重点民营企业工作机制，持续夯实工作基础，助推全县民营经济平稳健康发展。</w:t>
      </w:r>
    </w:p>
    <w:p w14:paraId="73AE1BBE">
      <w:pPr>
        <w:pStyle w:val="44"/>
        <w:spacing w:line="360" w:lineRule="auto"/>
        <w:ind w:firstLine="64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3.预算编制情况</w:t>
      </w:r>
    </w:p>
    <w:p w14:paraId="7BC8E495">
      <w:pPr>
        <w:pStyle w:val="44"/>
        <w:spacing w:line="360" w:lineRule="auto"/>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2023</w:t>
      </w:r>
      <w:r>
        <w:rPr>
          <w:rFonts w:hint="default" w:ascii="Times New Roman" w:hAnsi="Times New Roman" w:eastAsia="仿宋_GB2312" w:cs="Times New Roman"/>
          <w:sz w:val="32"/>
          <w:szCs w:val="32"/>
        </w:rPr>
        <w:t>年壤塘县工商业联合会年初预算数为</w:t>
      </w:r>
      <w:r>
        <w:rPr>
          <w:rFonts w:hint="default" w:ascii="Times New Roman" w:hAnsi="Times New Roman" w:eastAsia="仿宋_GB2312" w:cs="Times New Roman"/>
          <w:sz w:val="32"/>
          <w:szCs w:val="32"/>
          <w:lang w:eastAsia="zh-CN"/>
        </w:rPr>
        <w:t>74.86</w:t>
      </w:r>
      <w:r>
        <w:rPr>
          <w:rFonts w:hint="default" w:ascii="Times New Roman" w:hAnsi="Times New Roman" w:eastAsia="仿宋_GB2312" w:cs="Times New Roman"/>
          <w:sz w:val="32"/>
          <w:szCs w:val="32"/>
        </w:rPr>
        <w:t>万元，执行期间根据工作安排和开展情况追加收入</w:t>
      </w:r>
      <w:r>
        <w:rPr>
          <w:rFonts w:hint="default" w:ascii="Times New Roman" w:hAnsi="Times New Roman" w:eastAsia="仿宋_GB2312" w:cs="Times New Roman"/>
          <w:sz w:val="32"/>
          <w:szCs w:val="32"/>
          <w:lang w:eastAsia="zh-CN"/>
        </w:rPr>
        <w:t>33.87</w:t>
      </w:r>
      <w:r>
        <w:rPr>
          <w:rFonts w:hint="default" w:ascii="Times New Roman" w:hAnsi="Times New Roman" w:eastAsia="仿宋_GB2312" w:cs="Times New Roman"/>
          <w:sz w:val="32"/>
          <w:szCs w:val="32"/>
        </w:rPr>
        <w:t>万元，调整预算数为</w:t>
      </w:r>
      <w:r>
        <w:rPr>
          <w:rFonts w:hint="default" w:ascii="Times New Roman" w:hAnsi="Times New Roman" w:eastAsia="仿宋_GB2312" w:cs="Times New Roman"/>
          <w:sz w:val="32"/>
          <w:szCs w:val="32"/>
          <w:lang w:eastAsia="zh-CN"/>
        </w:rPr>
        <w:t>108.73</w:t>
      </w:r>
      <w:r>
        <w:rPr>
          <w:rFonts w:hint="default" w:ascii="Times New Roman" w:hAnsi="Times New Roman" w:eastAsia="仿宋_GB2312" w:cs="Times New Roman"/>
          <w:sz w:val="32"/>
          <w:szCs w:val="32"/>
        </w:rPr>
        <w:t>万元，预算安排</w:t>
      </w:r>
      <w:r>
        <w:rPr>
          <w:rFonts w:hint="default" w:ascii="Times New Roman" w:hAnsi="Times New Roman" w:eastAsia="仿宋_GB2312" w:cs="Times New Roman"/>
          <w:sz w:val="32"/>
          <w:szCs w:val="32"/>
          <w:lang w:val="en-US" w:eastAsia="zh-CN"/>
        </w:rPr>
        <w:t>不</w:t>
      </w:r>
      <w:r>
        <w:rPr>
          <w:rFonts w:hint="default" w:ascii="Times New Roman" w:hAnsi="Times New Roman" w:eastAsia="仿宋_GB2312" w:cs="Times New Roman"/>
          <w:sz w:val="32"/>
          <w:szCs w:val="32"/>
        </w:rPr>
        <w:t>准确。</w:t>
      </w:r>
    </w:p>
    <w:p w14:paraId="5C68EE5D">
      <w:pPr>
        <w:pStyle w:val="44"/>
        <w:spacing w:line="360" w:lineRule="auto"/>
        <w:ind w:firstLine="640"/>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4.执行进度</w:t>
      </w:r>
    </w:p>
    <w:p w14:paraId="5AAC99C4">
      <w:pPr>
        <w:pStyle w:val="44"/>
        <w:spacing w:line="360" w:lineRule="auto"/>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2023</w:t>
      </w:r>
      <w:r>
        <w:rPr>
          <w:rFonts w:hint="default" w:ascii="Times New Roman" w:hAnsi="Times New Roman" w:eastAsia="仿宋_GB2312" w:cs="Times New Roman"/>
          <w:sz w:val="32"/>
          <w:szCs w:val="32"/>
        </w:rPr>
        <w:t>年壤塘县工商业联合会财政拨款执行数</w:t>
      </w:r>
      <w:r>
        <w:rPr>
          <w:rFonts w:hint="default" w:ascii="Times New Roman" w:hAnsi="Times New Roman" w:eastAsia="仿宋_GB2312" w:cs="Times New Roman"/>
          <w:sz w:val="32"/>
          <w:szCs w:val="32"/>
          <w:lang w:eastAsia="zh-CN"/>
        </w:rPr>
        <w:t>108.73</w:t>
      </w:r>
      <w:r>
        <w:rPr>
          <w:rFonts w:hint="default" w:ascii="Times New Roman" w:hAnsi="Times New Roman" w:eastAsia="仿宋_GB2312" w:cs="Times New Roman"/>
          <w:sz w:val="32"/>
          <w:szCs w:val="32"/>
        </w:rPr>
        <w:t>万元，财政拨款调整预算数</w:t>
      </w:r>
      <w:r>
        <w:rPr>
          <w:rFonts w:hint="default" w:ascii="Times New Roman" w:hAnsi="Times New Roman" w:eastAsia="仿宋_GB2312" w:cs="Times New Roman"/>
          <w:sz w:val="32"/>
          <w:szCs w:val="32"/>
          <w:lang w:val="en-US" w:eastAsia="zh-CN"/>
        </w:rPr>
        <w:t>108.73</w:t>
      </w:r>
      <w:r>
        <w:rPr>
          <w:rFonts w:hint="default" w:ascii="Times New Roman" w:hAnsi="Times New Roman" w:eastAsia="仿宋_GB2312" w:cs="Times New Roman"/>
          <w:sz w:val="32"/>
          <w:szCs w:val="32"/>
        </w:rPr>
        <w:t>万元，部门总体执行进度</w:t>
      </w:r>
      <w:r>
        <w:rPr>
          <w:rFonts w:hint="default" w:ascii="Times New Roman" w:hAnsi="Times New Roman" w:eastAsia="仿宋_GB2312" w:cs="Times New Roman"/>
          <w:sz w:val="32"/>
          <w:szCs w:val="32"/>
          <w:lang w:val="en-US" w:eastAsia="zh-CN"/>
        </w:rPr>
        <w:t>为100%，执行进度较高</w:t>
      </w:r>
      <w:r>
        <w:rPr>
          <w:rFonts w:hint="default" w:ascii="Times New Roman" w:hAnsi="Times New Roman" w:eastAsia="仿宋_GB2312" w:cs="Times New Roman"/>
          <w:sz w:val="32"/>
          <w:szCs w:val="32"/>
        </w:rPr>
        <w:t>。</w:t>
      </w:r>
    </w:p>
    <w:p w14:paraId="1C14FB2F">
      <w:pPr>
        <w:pStyle w:val="44"/>
        <w:spacing w:line="360" w:lineRule="auto"/>
        <w:ind w:firstLine="64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5.预算完成情况</w:t>
      </w:r>
    </w:p>
    <w:p w14:paraId="46A24BC8">
      <w:pPr>
        <w:pStyle w:val="44"/>
        <w:spacing w:line="360" w:lineRule="auto"/>
        <w:ind w:firstLine="640"/>
        <w:rPr>
          <w:rFonts w:hint="default" w:ascii="Times New Roman" w:hAnsi="Times New Roman" w:eastAsia="仿宋_GB2312" w:cs="Times New Roman"/>
          <w:b/>
          <w:bCs/>
          <w:sz w:val="32"/>
          <w:szCs w:val="32"/>
        </w:rPr>
      </w:pPr>
      <w:r>
        <w:rPr>
          <w:rFonts w:hint="default" w:ascii="Times New Roman" w:hAnsi="Times New Roman" w:eastAsia="仿宋_GB2312" w:cs="Times New Roman"/>
          <w:sz w:val="32"/>
          <w:szCs w:val="32"/>
          <w:lang w:eastAsia="zh-CN"/>
        </w:rPr>
        <w:t>2023</w:t>
      </w:r>
      <w:r>
        <w:rPr>
          <w:rFonts w:hint="default" w:ascii="Times New Roman" w:hAnsi="Times New Roman" w:eastAsia="仿宋_GB2312" w:cs="Times New Roman"/>
          <w:sz w:val="32"/>
          <w:szCs w:val="32"/>
        </w:rPr>
        <w:t>年壤塘县工商业联合会年初预算数为</w:t>
      </w:r>
      <w:r>
        <w:rPr>
          <w:rFonts w:hint="default" w:ascii="Times New Roman" w:hAnsi="Times New Roman" w:eastAsia="仿宋_GB2312" w:cs="Times New Roman"/>
          <w:sz w:val="32"/>
          <w:szCs w:val="32"/>
          <w:lang w:eastAsia="zh-CN"/>
        </w:rPr>
        <w:t>74.86</w:t>
      </w:r>
      <w:r>
        <w:rPr>
          <w:rFonts w:hint="default" w:ascii="Times New Roman" w:hAnsi="Times New Roman" w:eastAsia="仿宋_GB2312" w:cs="Times New Roman"/>
          <w:sz w:val="32"/>
          <w:szCs w:val="32"/>
        </w:rPr>
        <w:t>万元，执行期间根据工作安排和开展情况追加收入</w:t>
      </w:r>
      <w:r>
        <w:rPr>
          <w:rFonts w:hint="default" w:ascii="Times New Roman" w:hAnsi="Times New Roman" w:eastAsia="仿宋_GB2312" w:cs="Times New Roman"/>
          <w:sz w:val="32"/>
          <w:szCs w:val="32"/>
          <w:lang w:eastAsia="zh-CN"/>
        </w:rPr>
        <w:t>33.87</w:t>
      </w:r>
      <w:r>
        <w:rPr>
          <w:rFonts w:hint="default" w:ascii="Times New Roman" w:hAnsi="Times New Roman" w:eastAsia="仿宋_GB2312" w:cs="Times New Roman"/>
          <w:sz w:val="32"/>
          <w:szCs w:val="32"/>
        </w:rPr>
        <w:t>万元，调整预算数为</w:t>
      </w:r>
      <w:r>
        <w:rPr>
          <w:rFonts w:hint="default" w:ascii="Times New Roman" w:hAnsi="Times New Roman" w:eastAsia="仿宋_GB2312" w:cs="Times New Roman"/>
          <w:sz w:val="32"/>
          <w:szCs w:val="32"/>
          <w:lang w:eastAsia="zh-CN"/>
        </w:rPr>
        <w:t>108.73</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val="en-US" w:eastAsia="zh-CN"/>
        </w:rPr>
        <w:t>年末无结转结余</w:t>
      </w:r>
      <w:r>
        <w:rPr>
          <w:rFonts w:hint="default" w:ascii="Times New Roman" w:hAnsi="Times New Roman" w:eastAsia="仿宋_GB2312" w:cs="Times New Roman"/>
          <w:sz w:val="32"/>
          <w:szCs w:val="32"/>
        </w:rPr>
        <w:t>，预算完成度较高。</w:t>
      </w:r>
    </w:p>
    <w:p w14:paraId="1F33A9B1">
      <w:pPr>
        <w:pStyle w:val="44"/>
        <w:spacing w:line="360" w:lineRule="auto"/>
        <w:ind w:firstLine="64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6.违规纪录</w:t>
      </w:r>
    </w:p>
    <w:p w14:paraId="2CA7336F">
      <w:pPr>
        <w:pStyle w:val="44"/>
        <w:spacing w:line="360" w:lineRule="auto"/>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2023</w:t>
      </w:r>
      <w:r>
        <w:rPr>
          <w:rFonts w:hint="default" w:ascii="Times New Roman" w:hAnsi="Times New Roman" w:eastAsia="仿宋_GB2312" w:cs="Times New Roman"/>
          <w:sz w:val="32"/>
          <w:szCs w:val="32"/>
        </w:rPr>
        <w:t>年12月31日，我单位无违规纪录情况。</w:t>
      </w:r>
    </w:p>
    <w:p w14:paraId="389A6C3C">
      <w:pPr>
        <w:pStyle w:val="44"/>
        <w:spacing w:line="360" w:lineRule="auto"/>
        <w:ind w:firstLine="640"/>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7.</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三公</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经费</w:t>
      </w:r>
    </w:p>
    <w:p w14:paraId="5816B78F">
      <w:pPr>
        <w:pStyle w:val="44"/>
        <w:spacing w:line="360" w:lineRule="auto"/>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“三公”经费控制。壤塘县工商业联合会2023年“三公”经费预算0万元，决算支出0万元。未发生公务用车购置及运行维护费、因公出国（境）费及公务接待费，2023年“三公”经费决算均未超过预算。</w:t>
      </w:r>
    </w:p>
    <w:p w14:paraId="0CDC8B7C">
      <w:pPr>
        <w:pStyle w:val="44"/>
        <w:spacing w:line="360" w:lineRule="auto"/>
        <w:ind w:firstLine="640"/>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8.政府采购</w:t>
      </w:r>
    </w:p>
    <w:p w14:paraId="42CA0319">
      <w:pPr>
        <w:pStyle w:val="44"/>
        <w:spacing w:line="360" w:lineRule="auto"/>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采购规范性。壤塘县工商业联合会2023年度政府采购货物支出0万元，政府采购工程支出0万元，政府采购服务支出0万元。</w:t>
      </w:r>
    </w:p>
    <w:p w14:paraId="2E8E96D4">
      <w:pPr>
        <w:pStyle w:val="44"/>
        <w:spacing w:line="360" w:lineRule="auto"/>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9.资产管理</w:t>
      </w:r>
      <w:r>
        <w:rPr>
          <w:rFonts w:hint="default" w:ascii="Times New Roman" w:hAnsi="Times New Roman" w:eastAsia="仿宋_GB2312" w:cs="Times New Roman"/>
          <w:sz w:val="32"/>
          <w:szCs w:val="32"/>
          <w:lang w:val="en-US" w:eastAsia="zh-CN"/>
        </w:rPr>
        <w:t xml:space="preserve">  </w:t>
      </w:r>
    </w:p>
    <w:p w14:paraId="455B7922">
      <w:pPr>
        <w:pStyle w:val="44"/>
        <w:spacing w:line="360" w:lineRule="auto"/>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固定资产在用率。截至2023年12月31日，壤塘县工商业联合会《行政单位资产管理系统》固定资产总计8.98万元，在用的固定资产总计8.98万元，固定资产在用率达100%。</w:t>
      </w:r>
    </w:p>
    <w:p w14:paraId="72D09634">
      <w:pPr>
        <w:pStyle w:val="44"/>
        <w:numPr>
          <w:ilvl w:val="0"/>
          <w:numId w:val="4"/>
        </w:numPr>
        <w:spacing w:line="360" w:lineRule="auto"/>
        <w:ind w:firstLine="640"/>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结果应用情况</w:t>
      </w:r>
    </w:p>
    <w:p w14:paraId="2FC5CCE0">
      <w:pPr>
        <w:pStyle w:val="44"/>
        <w:spacing w:line="360" w:lineRule="auto"/>
        <w:ind w:firstLine="0" w:firstLineChars="0"/>
        <w:rPr>
          <w:rFonts w:hint="default" w:ascii="Times New Roman" w:hAnsi="Times New Roman" w:eastAsia="仿宋_GB2312" w:cs="Times New Roman"/>
          <w:sz w:val="32"/>
          <w:szCs w:val="32"/>
        </w:rPr>
      </w:pPr>
      <w:r>
        <w:rPr>
          <w:rFonts w:hint="default" w:ascii="Times New Roman" w:hAnsi="Times New Roman" w:eastAsia="仿宋_GB2312" w:cs="Times New Roman"/>
          <w:b/>
          <w:bCs/>
          <w:kern w:val="0"/>
          <w:sz w:val="32"/>
          <w:szCs w:val="32"/>
        </w:rPr>
        <w:t>　</w:t>
      </w:r>
      <w:r>
        <w:rPr>
          <w:rFonts w:hint="default" w:ascii="Times New Roman" w:hAnsi="Times New Roman" w:eastAsia="仿宋_GB2312" w:cs="Times New Roman"/>
          <w:sz w:val="32"/>
          <w:szCs w:val="32"/>
        </w:rPr>
        <w:t>　根据县财政局要求，我会成立自评工作小组，组织实施本单位</w:t>
      </w:r>
      <w:r>
        <w:rPr>
          <w:rFonts w:hint="default" w:ascii="Times New Roman" w:hAnsi="Times New Roman" w:eastAsia="仿宋_GB2312" w:cs="Times New Roman"/>
          <w:sz w:val="32"/>
          <w:szCs w:val="32"/>
          <w:lang w:eastAsia="zh-CN"/>
        </w:rPr>
        <w:t>2023</w:t>
      </w:r>
      <w:r>
        <w:rPr>
          <w:rFonts w:hint="default" w:ascii="Times New Roman" w:hAnsi="Times New Roman" w:eastAsia="仿宋_GB2312" w:cs="Times New Roman"/>
          <w:sz w:val="32"/>
          <w:szCs w:val="32"/>
        </w:rPr>
        <w:t>年绩效管理自评工作。信息公开情况：按照财政要求，及时在预决算批复后20日内，在壤塘县人民政府的网站进行了信息公开，公开内容真实、完整。依法接受财政、审计、纪检监察、巡查等部门的监督检查。严守财经法规，严格财经纪律，依法接受财政、审计、巡察、派驻纪检监督，按时上报各类资料。严格遵守中央八项规定及省市县有关厉行勤俭节约相关规定，严格执行财务管理制度，根据年初预算合理安排日常公用经费资金，做到厉行节约、精打细算，把有效的资金用到刀刃上，让财政资金发挥最大的社会及经济效益并保证全局各项工作的正常运转。</w:t>
      </w:r>
    </w:p>
    <w:p w14:paraId="3DB9CA07">
      <w:pPr>
        <w:pStyle w:val="44"/>
        <w:spacing w:line="360" w:lineRule="auto"/>
        <w:ind w:firstLine="640"/>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四、评价结论及措施</w:t>
      </w:r>
    </w:p>
    <w:p w14:paraId="4A260B0F">
      <w:pPr>
        <w:pStyle w:val="44"/>
        <w:spacing w:line="360" w:lineRule="auto"/>
        <w:ind w:firstLine="64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（一）评价结论</w:t>
      </w:r>
    </w:p>
    <w:p w14:paraId="6639EB64">
      <w:pPr>
        <w:pStyle w:val="44"/>
        <w:spacing w:line="360" w:lineRule="auto"/>
        <w:ind w:firstLine="640"/>
        <w:rPr>
          <w:rFonts w:hint="default" w:ascii="Times New Roman" w:hAnsi="Times New Roman" w:eastAsia="仿宋_GB2312" w:cs="Times New Roman"/>
          <w:b/>
          <w:bCs/>
          <w:sz w:val="32"/>
          <w:szCs w:val="32"/>
        </w:rPr>
      </w:pPr>
      <w:r>
        <w:rPr>
          <w:rFonts w:hint="default" w:ascii="Times New Roman" w:hAnsi="Times New Roman" w:eastAsia="仿宋_GB2312" w:cs="Times New Roman"/>
          <w:sz w:val="32"/>
          <w:szCs w:val="32"/>
          <w:lang w:val="zh-CN"/>
        </w:rPr>
        <w:t>我</w:t>
      </w:r>
      <w:r>
        <w:rPr>
          <w:rFonts w:hint="default" w:ascii="Times New Roman" w:hAnsi="Times New Roman" w:eastAsia="仿宋_GB2312" w:cs="Times New Roman"/>
          <w:sz w:val="32"/>
          <w:szCs w:val="32"/>
        </w:rPr>
        <w:t>会</w:t>
      </w:r>
      <w:r>
        <w:rPr>
          <w:rFonts w:hint="default" w:ascii="Times New Roman" w:hAnsi="Times New Roman" w:eastAsia="仿宋_GB2312" w:cs="Times New Roman"/>
          <w:sz w:val="32"/>
          <w:szCs w:val="32"/>
          <w:lang w:val="zh-CN"/>
        </w:rPr>
        <w:t>通过加强预算收支管理，不断建立健全内部管理制度，强化内部管理流程，部门整体支出管理情况得到提升，也能较好完成部门决算的编制、送审、批复和公开工作。同时也认识到在编制决算过程中存在项目分类不够精细、功能科目分类不够准确等不足。在下一年度的部门预算编制、执行决算中，我</w:t>
      </w:r>
      <w:r>
        <w:rPr>
          <w:rFonts w:hint="default" w:ascii="Times New Roman" w:hAnsi="Times New Roman" w:eastAsia="仿宋_GB2312" w:cs="Times New Roman"/>
          <w:sz w:val="32"/>
          <w:szCs w:val="32"/>
        </w:rPr>
        <w:t>会</w:t>
      </w:r>
      <w:r>
        <w:rPr>
          <w:rFonts w:hint="default" w:ascii="Times New Roman" w:hAnsi="Times New Roman" w:eastAsia="仿宋_GB2312" w:cs="Times New Roman"/>
          <w:sz w:val="32"/>
          <w:szCs w:val="32"/>
          <w:lang w:val="zh-CN"/>
        </w:rPr>
        <w:t>将继续努力，科学合理编制预决算，进行绩效评价，加强精细管理，完善不足</w:t>
      </w:r>
      <w:r>
        <w:rPr>
          <w:rFonts w:hint="default" w:ascii="Times New Roman" w:hAnsi="Times New Roman" w:eastAsia="仿宋_GB2312" w:cs="Times New Roman"/>
          <w:sz w:val="32"/>
          <w:szCs w:val="32"/>
        </w:rPr>
        <w:t>。</w:t>
      </w:r>
    </w:p>
    <w:p w14:paraId="20A46EB8">
      <w:pPr>
        <w:pStyle w:val="44"/>
        <w:spacing w:line="360" w:lineRule="auto"/>
        <w:ind w:firstLine="64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（二）存在问题</w:t>
      </w:r>
    </w:p>
    <w:p w14:paraId="692CFC60">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en-US" w:eastAsia="zh-CN"/>
        </w:rPr>
        <w:t>1.执行期间根据工作安排和开展情况追加收入较多，年初预算数与调整预算数差别较大，预算安排不准确</w:t>
      </w:r>
      <w:r>
        <w:rPr>
          <w:rFonts w:hint="default" w:ascii="Times New Roman" w:hAnsi="Times New Roman" w:eastAsia="仿宋_GB2312" w:cs="Times New Roman"/>
          <w:sz w:val="32"/>
          <w:szCs w:val="32"/>
          <w:lang w:val="zh-CN"/>
        </w:rPr>
        <w:t>。</w:t>
      </w:r>
    </w:p>
    <w:p w14:paraId="2024038E">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2.未制定明确的财务监控监督措施。</w:t>
      </w:r>
    </w:p>
    <w:p w14:paraId="11532DEA">
      <w:pPr>
        <w:keepNext w:val="0"/>
        <w:keepLines w:val="0"/>
        <w:pageBreakBefore w:val="0"/>
        <w:widowControl/>
        <w:kinsoku/>
        <w:wordWrap/>
        <w:overflowPunct/>
        <w:topLinePunct w:val="0"/>
        <w:autoSpaceDE/>
        <w:autoSpaceDN/>
        <w:bidi w:val="0"/>
        <w:adjustRightInd/>
        <w:snapToGrid/>
        <w:ind w:firstLine="643" w:firstLineChars="200"/>
        <w:textAlignment w:val="auto"/>
        <w:rPr>
          <w:rFonts w:hint="default" w:ascii="Times New Roman" w:hAnsi="Times New Roman" w:eastAsia="仿宋_GB2312" w:cs="Times New Roman"/>
          <w:b/>
          <w:bCs/>
          <w:sz w:val="32"/>
          <w:szCs w:val="32"/>
          <w:lang w:val="zh-CN"/>
        </w:rPr>
      </w:pPr>
      <w:r>
        <w:rPr>
          <w:rFonts w:hint="default" w:ascii="Times New Roman" w:hAnsi="Times New Roman" w:eastAsia="仿宋_GB2312" w:cs="Times New Roman"/>
          <w:b/>
          <w:bCs/>
          <w:sz w:val="32"/>
          <w:szCs w:val="32"/>
          <w:lang w:val="zh-CN"/>
        </w:rPr>
        <w:t>（三）改进建议</w:t>
      </w:r>
    </w:p>
    <w:p w14:paraId="7711847F">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1.加强预算安排准确性，尽量减少执行中期追加数。</w:t>
      </w:r>
    </w:p>
    <w:p w14:paraId="3A17E495">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2.制定明确的财务监控监督措施且确保监控监督措施执行有效。</w:t>
      </w:r>
    </w:p>
    <w:p w14:paraId="79FE4B28">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黑体" w:cs="Times New Roman"/>
          <w:sz w:val="32"/>
          <w:szCs w:val="32"/>
          <w:lang w:val="en-US" w:eastAsia="zh-CN"/>
        </w:rPr>
      </w:pPr>
    </w:p>
    <w:p w14:paraId="66FAF2B0">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黑体" w:cs="Times New Roman"/>
          <w:sz w:val="32"/>
          <w:szCs w:val="32"/>
          <w:lang w:val="en-US" w:eastAsia="zh-CN"/>
        </w:rPr>
      </w:pPr>
    </w:p>
    <w:p w14:paraId="279EA626">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黑体" w:cs="Times New Roman"/>
          <w:sz w:val="32"/>
          <w:szCs w:val="32"/>
          <w:lang w:val="en-US" w:eastAsia="zh-CN"/>
        </w:rPr>
      </w:pPr>
    </w:p>
    <w:p w14:paraId="5F1C736A">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黑体" w:cs="Times New Roman"/>
          <w:sz w:val="32"/>
          <w:szCs w:val="32"/>
          <w:lang w:val="en-US" w:eastAsia="zh-CN"/>
        </w:rPr>
      </w:pPr>
    </w:p>
    <w:p w14:paraId="7857586C">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黑体" w:cs="Times New Roman"/>
          <w:sz w:val="32"/>
          <w:szCs w:val="32"/>
          <w:lang w:val="en-US" w:eastAsia="zh-CN"/>
        </w:rPr>
      </w:pPr>
    </w:p>
    <w:p w14:paraId="258F3AAC">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黑体" w:cs="Times New Roman"/>
          <w:sz w:val="32"/>
          <w:szCs w:val="32"/>
          <w:lang w:val="en-US" w:eastAsia="zh-CN"/>
        </w:rPr>
      </w:pPr>
    </w:p>
    <w:p w14:paraId="3B2A5E3D">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黑体" w:cs="Times New Roman"/>
          <w:sz w:val="32"/>
          <w:szCs w:val="32"/>
          <w:lang w:val="en-US" w:eastAsia="zh-CN"/>
        </w:rPr>
      </w:pPr>
    </w:p>
    <w:p w14:paraId="71E1FCF9">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黑体" w:cs="Times New Roman"/>
          <w:sz w:val="32"/>
          <w:szCs w:val="32"/>
          <w:lang w:val="en-US" w:eastAsia="zh-CN"/>
        </w:rPr>
      </w:pPr>
    </w:p>
    <w:p w14:paraId="0A2908A2">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黑体" w:cs="Times New Roman"/>
          <w:sz w:val="32"/>
          <w:szCs w:val="32"/>
          <w:lang w:val="en-US" w:eastAsia="zh-CN"/>
        </w:rPr>
      </w:pPr>
    </w:p>
    <w:p w14:paraId="3B92EC13">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黑体" w:cs="Times New Roman"/>
          <w:sz w:val="32"/>
          <w:szCs w:val="32"/>
          <w:lang w:val="en-US" w:eastAsia="zh-CN"/>
        </w:rPr>
      </w:pPr>
    </w:p>
    <w:p w14:paraId="441F3B8F">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黑体" w:cs="Times New Roman"/>
          <w:sz w:val="32"/>
          <w:szCs w:val="32"/>
          <w:lang w:val="en-US" w:eastAsia="zh-CN"/>
        </w:rPr>
      </w:pPr>
    </w:p>
    <w:p w14:paraId="116DBAB3">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黑体" w:cs="Times New Roman"/>
          <w:sz w:val="32"/>
          <w:szCs w:val="32"/>
          <w:lang w:val="en-US" w:eastAsia="zh-CN"/>
        </w:rPr>
      </w:pPr>
    </w:p>
    <w:p w14:paraId="37618C0E">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黑体" w:cs="Times New Roman"/>
          <w:sz w:val="32"/>
          <w:szCs w:val="32"/>
          <w:lang w:val="en-US" w:eastAsia="zh-CN"/>
        </w:rPr>
      </w:pPr>
    </w:p>
    <w:p w14:paraId="5F6F993A">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黑体" w:cs="Times New Roman"/>
          <w:sz w:val="32"/>
          <w:szCs w:val="32"/>
          <w:lang w:val="en-US" w:eastAsia="zh-CN"/>
        </w:rPr>
      </w:pPr>
    </w:p>
    <w:p w14:paraId="2FF71990">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cs="Times New Roman"/>
          <w:lang w:val="en-US" w:eastAsia="zh-CN"/>
        </w:rPr>
      </w:pPr>
      <w:r>
        <w:rPr>
          <w:rFonts w:hint="default" w:ascii="Times New Roman" w:hAnsi="Times New Roman" w:eastAsia="黑体" w:cs="Times New Roman"/>
          <w:sz w:val="32"/>
          <w:szCs w:val="32"/>
          <w:lang w:val="en-US" w:eastAsia="zh-CN"/>
        </w:rPr>
        <w:t>附件2</w:t>
      </w:r>
    </w:p>
    <w:p w14:paraId="7B04F853">
      <w:pPr>
        <w:rPr>
          <w:rFonts w:hint="default" w:ascii="Times New Roman" w:hAnsi="Times New Roman" w:cs="Times New Roman"/>
        </w:rPr>
      </w:pPr>
      <w:r>
        <w:rPr>
          <w:rFonts w:hint="default" w:ascii="Times New Roman" w:hAnsi="Times New Roman" w:cs="Times New Roman"/>
        </w:rPr>
        <w:drawing>
          <wp:inline distT="0" distB="0" distL="114300" distR="114300">
            <wp:extent cx="5916930" cy="8380730"/>
            <wp:effectExtent l="0" t="0" r="7620" b="1270"/>
            <wp:docPr id="1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3"/>
                    <pic:cNvPicPr>
                      <a:picLocks noChangeAspect="1"/>
                    </pic:cNvPicPr>
                  </pic:nvPicPr>
                  <pic:blipFill>
                    <a:blip r:embed="rId15"/>
                    <a:stretch>
                      <a:fillRect/>
                    </a:stretch>
                  </pic:blipFill>
                  <pic:spPr>
                    <a:xfrm>
                      <a:off x="0" y="0"/>
                      <a:ext cx="5916930" cy="8380730"/>
                    </a:xfrm>
                    <a:prstGeom prst="rect">
                      <a:avLst/>
                    </a:prstGeom>
                    <a:noFill/>
                    <a:ln>
                      <a:noFill/>
                    </a:ln>
                  </pic:spPr>
                </pic:pic>
              </a:graphicData>
            </a:graphic>
          </wp:inline>
        </w:drawing>
      </w:r>
    </w:p>
    <w:p w14:paraId="4F3F6B49">
      <w:pPr>
        <w:rPr>
          <w:rFonts w:hint="default" w:ascii="Times New Roman" w:hAnsi="Times New Roman" w:cs="Times New Roman"/>
        </w:rPr>
      </w:pPr>
    </w:p>
    <w:bookmarkEnd w:id="103"/>
    <w:p w14:paraId="7BB9D52C">
      <w:pPr>
        <w:pStyle w:val="3"/>
        <w:bidi w:val="0"/>
        <w:jc w:val="center"/>
        <w:rPr>
          <w:rFonts w:hint="default" w:ascii="Times New Roman" w:hAnsi="Times New Roman" w:eastAsia="黑体" w:cs="Times New Roman"/>
          <w:lang w:val="en-US" w:eastAsia="zh-CN"/>
        </w:rPr>
      </w:pPr>
      <w:bookmarkStart w:id="107" w:name="_Toc19824"/>
      <w:r>
        <w:rPr>
          <w:rFonts w:hint="default" w:ascii="Times New Roman" w:hAnsi="Times New Roman" w:eastAsia="黑体" w:cs="Times New Roman"/>
          <w:lang w:val="en-US" w:eastAsia="zh-CN"/>
        </w:rPr>
        <w:t>第五部分 附表</w:t>
      </w:r>
      <w:bookmarkEnd w:id="107"/>
    </w:p>
    <w:p w14:paraId="6200C191">
      <w:pPr>
        <w:pStyle w:val="4"/>
        <w:rPr>
          <w:rFonts w:hint="default" w:ascii="Times New Roman" w:hAnsi="Times New Roman" w:eastAsia="仿宋" w:cs="Times New Roman"/>
          <w:color w:val="000000"/>
        </w:rPr>
      </w:pPr>
      <w:bookmarkStart w:id="108" w:name="_Toc5547"/>
      <w:r>
        <w:rPr>
          <w:rFonts w:hint="default" w:ascii="Times New Roman" w:hAnsi="Times New Roman" w:eastAsia="仿宋" w:cs="Times New Roman"/>
          <w:b w:val="0"/>
          <w:color w:val="000000"/>
        </w:rPr>
        <w:t>一、收</w:t>
      </w:r>
      <w:r>
        <w:rPr>
          <w:rStyle w:val="29"/>
          <w:rFonts w:hint="default" w:ascii="Times New Roman" w:hAnsi="Times New Roman" w:eastAsia="仿宋" w:cs="Times New Roman"/>
          <w:b w:val="0"/>
          <w:bCs w:val="0"/>
        </w:rPr>
        <w:t>入支出决算总表</w:t>
      </w:r>
      <w:bookmarkEnd w:id="108"/>
    </w:p>
    <w:p w14:paraId="7A3DC477">
      <w:pPr>
        <w:pStyle w:val="4"/>
        <w:rPr>
          <w:rFonts w:hint="default" w:ascii="Times New Roman" w:hAnsi="Times New Roman" w:eastAsia="仿宋" w:cs="Times New Roman"/>
          <w:color w:val="000000"/>
        </w:rPr>
      </w:pPr>
      <w:bookmarkStart w:id="109" w:name="_Toc79163887"/>
      <w:bookmarkStart w:id="110" w:name="_Toc24770"/>
      <w:bookmarkStart w:id="111" w:name="_Toc79163637"/>
      <w:bookmarkStart w:id="112" w:name="_Toc15396620"/>
      <w:r>
        <w:rPr>
          <w:rFonts w:hint="default" w:ascii="Times New Roman" w:hAnsi="Times New Roman" w:eastAsia="仿宋" w:cs="Times New Roman"/>
          <w:b w:val="0"/>
          <w:color w:val="000000"/>
        </w:rPr>
        <w:t>二、收</w:t>
      </w:r>
      <w:r>
        <w:rPr>
          <w:rStyle w:val="29"/>
          <w:rFonts w:hint="default" w:ascii="Times New Roman" w:hAnsi="Times New Roman" w:eastAsia="仿宋" w:cs="Times New Roman"/>
          <w:b w:val="0"/>
          <w:bCs w:val="0"/>
        </w:rPr>
        <w:t>入决算表</w:t>
      </w:r>
      <w:bookmarkEnd w:id="109"/>
      <w:bookmarkEnd w:id="110"/>
      <w:bookmarkEnd w:id="111"/>
      <w:bookmarkEnd w:id="112"/>
    </w:p>
    <w:p w14:paraId="35307559">
      <w:pPr>
        <w:pStyle w:val="4"/>
        <w:rPr>
          <w:rFonts w:hint="default" w:ascii="Times New Roman" w:hAnsi="Times New Roman" w:eastAsia="仿宋" w:cs="Times New Roman"/>
          <w:color w:val="000000"/>
        </w:rPr>
      </w:pPr>
      <w:bookmarkStart w:id="113" w:name="_Toc15396621"/>
      <w:bookmarkStart w:id="114" w:name="_Toc79163888"/>
      <w:bookmarkStart w:id="115" w:name="_Toc79163638"/>
      <w:bookmarkStart w:id="116" w:name="_Toc19352"/>
      <w:r>
        <w:rPr>
          <w:rStyle w:val="29"/>
          <w:rFonts w:hint="default" w:ascii="Times New Roman" w:hAnsi="Times New Roman" w:eastAsia="仿宋" w:cs="Times New Roman"/>
          <w:b w:val="0"/>
          <w:bCs w:val="0"/>
        </w:rPr>
        <w:t>三、</w:t>
      </w:r>
      <w:r>
        <w:rPr>
          <w:rFonts w:hint="default" w:ascii="Times New Roman" w:hAnsi="Times New Roman" w:eastAsia="仿宋" w:cs="Times New Roman"/>
          <w:b w:val="0"/>
          <w:color w:val="000000"/>
        </w:rPr>
        <w:t>支</w:t>
      </w:r>
      <w:r>
        <w:rPr>
          <w:rStyle w:val="29"/>
          <w:rFonts w:hint="default" w:ascii="Times New Roman" w:hAnsi="Times New Roman" w:eastAsia="仿宋" w:cs="Times New Roman"/>
          <w:b w:val="0"/>
          <w:bCs w:val="0"/>
        </w:rPr>
        <w:t>出决算表</w:t>
      </w:r>
      <w:bookmarkEnd w:id="113"/>
      <w:bookmarkEnd w:id="114"/>
      <w:bookmarkEnd w:id="115"/>
      <w:bookmarkEnd w:id="116"/>
    </w:p>
    <w:p w14:paraId="5BD0B2E4">
      <w:pPr>
        <w:pStyle w:val="4"/>
        <w:rPr>
          <w:rFonts w:hint="default" w:ascii="Times New Roman" w:hAnsi="Times New Roman" w:eastAsia="仿宋" w:cs="Times New Roman"/>
          <w:b w:val="0"/>
          <w:color w:val="000000"/>
        </w:rPr>
      </w:pPr>
      <w:bookmarkStart w:id="117" w:name="_Toc16503"/>
      <w:bookmarkStart w:id="118" w:name="_Toc79163639"/>
      <w:bookmarkStart w:id="119" w:name="_Toc79163889"/>
      <w:bookmarkStart w:id="120" w:name="_Toc15396622"/>
      <w:r>
        <w:rPr>
          <w:rStyle w:val="29"/>
          <w:rFonts w:hint="default" w:ascii="Times New Roman" w:hAnsi="Times New Roman" w:eastAsia="仿宋" w:cs="Times New Roman"/>
          <w:b w:val="0"/>
          <w:bCs w:val="0"/>
        </w:rPr>
        <w:t>四、</w:t>
      </w:r>
      <w:r>
        <w:rPr>
          <w:rFonts w:hint="default" w:ascii="Times New Roman" w:hAnsi="Times New Roman" w:eastAsia="仿宋" w:cs="Times New Roman"/>
          <w:b w:val="0"/>
          <w:color w:val="000000"/>
        </w:rPr>
        <w:t>财</w:t>
      </w:r>
      <w:r>
        <w:rPr>
          <w:rStyle w:val="29"/>
          <w:rFonts w:hint="default" w:ascii="Times New Roman" w:hAnsi="Times New Roman" w:eastAsia="仿宋" w:cs="Times New Roman"/>
          <w:b w:val="0"/>
          <w:bCs w:val="0"/>
        </w:rPr>
        <w:t>政拨款收入支出决算总表</w:t>
      </w:r>
      <w:bookmarkEnd w:id="117"/>
      <w:bookmarkEnd w:id="118"/>
      <w:bookmarkEnd w:id="119"/>
      <w:bookmarkEnd w:id="120"/>
    </w:p>
    <w:p w14:paraId="730CF303">
      <w:pPr>
        <w:pStyle w:val="4"/>
        <w:rPr>
          <w:rStyle w:val="29"/>
          <w:rFonts w:hint="default" w:ascii="Times New Roman" w:hAnsi="Times New Roman" w:eastAsia="仿宋" w:cs="Times New Roman"/>
          <w:b w:val="0"/>
          <w:bCs w:val="0"/>
        </w:rPr>
      </w:pPr>
      <w:bookmarkStart w:id="121" w:name="_Toc15396623"/>
      <w:bookmarkStart w:id="122" w:name="_Toc79163890"/>
      <w:bookmarkStart w:id="123" w:name="_Toc79163640"/>
      <w:bookmarkStart w:id="124" w:name="_Toc13481"/>
      <w:r>
        <w:rPr>
          <w:rStyle w:val="29"/>
          <w:rFonts w:hint="default" w:ascii="Times New Roman" w:hAnsi="Times New Roman" w:eastAsia="仿宋" w:cs="Times New Roman"/>
          <w:b w:val="0"/>
          <w:bCs w:val="0"/>
        </w:rPr>
        <w:t>五、</w:t>
      </w:r>
      <w:r>
        <w:rPr>
          <w:rFonts w:hint="default" w:ascii="Times New Roman" w:hAnsi="Times New Roman" w:eastAsia="仿宋" w:cs="Times New Roman"/>
          <w:b w:val="0"/>
          <w:color w:val="000000"/>
        </w:rPr>
        <w:t>财</w:t>
      </w:r>
      <w:r>
        <w:rPr>
          <w:rStyle w:val="29"/>
          <w:rFonts w:hint="default" w:ascii="Times New Roman" w:hAnsi="Times New Roman" w:eastAsia="仿宋" w:cs="Times New Roman"/>
          <w:b w:val="0"/>
          <w:bCs w:val="0"/>
        </w:rPr>
        <w:t>政拨款支出决算明细表</w:t>
      </w:r>
      <w:bookmarkEnd w:id="121"/>
      <w:bookmarkEnd w:id="122"/>
      <w:bookmarkEnd w:id="123"/>
      <w:bookmarkEnd w:id="124"/>
      <w:bookmarkStart w:id="125" w:name="_Toc15396624"/>
    </w:p>
    <w:p w14:paraId="41A268C1">
      <w:pPr>
        <w:pStyle w:val="4"/>
        <w:rPr>
          <w:rFonts w:hint="default" w:ascii="Times New Roman" w:hAnsi="Times New Roman" w:eastAsia="仿宋" w:cs="Times New Roman"/>
          <w:color w:val="000000"/>
        </w:rPr>
      </w:pPr>
      <w:bookmarkStart w:id="126" w:name="_Toc18132"/>
      <w:bookmarkStart w:id="127" w:name="_Toc79163641"/>
      <w:bookmarkStart w:id="128" w:name="_Toc79163891"/>
      <w:r>
        <w:rPr>
          <w:rStyle w:val="29"/>
          <w:rFonts w:hint="default" w:ascii="Times New Roman" w:hAnsi="Times New Roman" w:eastAsia="仿宋" w:cs="Times New Roman"/>
          <w:b w:val="0"/>
          <w:bCs w:val="0"/>
        </w:rPr>
        <w:t>六、</w:t>
      </w:r>
      <w:r>
        <w:rPr>
          <w:rFonts w:hint="default" w:ascii="Times New Roman" w:hAnsi="Times New Roman" w:eastAsia="仿宋" w:cs="Times New Roman"/>
          <w:b w:val="0"/>
          <w:color w:val="000000"/>
        </w:rPr>
        <w:t>一</w:t>
      </w:r>
      <w:r>
        <w:rPr>
          <w:rStyle w:val="29"/>
          <w:rFonts w:hint="default" w:ascii="Times New Roman" w:hAnsi="Times New Roman" w:eastAsia="仿宋" w:cs="Times New Roman"/>
          <w:b w:val="0"/>
          <w:bCs w:val="0"/>
        </w:rPr>
        <w:t>般公共预算财政拨款支出决算表</w:t>
      </w:r>
      <w:bookmarkEnd w:id="125"/>
      <w:bookmarkEnd w:id="126"/>
      <w:bookmarkEnd w:id="127"/>
      <w:bookmarkEnd w:id="128"/>
    </w:p>
    <w:p w14:paraId="3729AEA9">
      <w:pPr>
        <w:pStyle w:val="4"/>
        <w:rPr>
          <w:rFonts w:hint="default" w:ascii="Times New Roman" w:hAnsi="Times New Roman" w:eastAsia="仿宋" w:cs="Times New Roman"/>
          <w:color w:val="000000"/>
        </w:rPr>
      </w:pPr>
      <w:bookmarkStart w:id="129" w:name="_Toc79163642"/>
      <w:bookmarkStart w:id="130" w:name="_Toc79163892"/>
      <w:bookmarkStart w:id="131" w:name="_Toc20099"/>
      <w:bookmarkStart w:id="132" w:name="_Toc15396625"/>
      <w:r>
        <w:rPr>
          <w:rStyle w:val="29"/>
          <w:rFonts w:hint="default" w:ascii="Times New Roman" w:hAnsi="Times New Roman" w:eastAsia="仿宋" w:cs="Times New Roman"/>
          <w:b w:val="0"/>
          <w:bCs w:val="0"/>
        </w:rPr>
        <w:t>七、</w:t>
      </w:r>
      <w:r>
        <w:rPr>
          <w:rFonts w:hint="default" w:ascii="Times New Roman" w:hAnsi="Times New Roman" w:eastAsia="仿宋" w:cs="Times New Roman"/>
          <w:b w:val="0"/>
          <w:color w:val="000000"/>
        </w:rPr>
        <w:t>一</w:t>
      </w:r>
      <w:r>
        <w:rPr>
          <w:rStyle w:val="29"/>
          <w:rFonts w:hint="default" w:ascii="Times New Roman" w:hAnsi="Times New Roman" w:eastAsia="仿宋" w:cs="Times New Roman"/>
          <w:b w:val="0"/>
          <w:bCs w:val="0"/>
        </w:rPr>
        <w:t>般公共预算财政拨款支出决算明细表</w:t>
      </w:r>
      <w:bookmarkEnd w:id="129"/>
      <w:bookmarkEnd w:id="130"/>
      <w:bookmarkEnd w:id="131"/>
      <w:bookmarkEnd w:id="132"/>
    </w:p>
    <w:p w14:paraId="36777F91">
      <w:pPr>
        <w:pStyle w:val="4"/>
        <w:rPr>
          <w:rFonts w:hint="default" w:ascii="Times New Roman" w:hAnsi="Times New Roman" w:eastAsia="仿宋" w:cs="Times New Roman"/>
          <w:color w:val="000000"/>
        </w:rPr>
      </w:pPr>
      <w:bookmarkStart w:id="133" w:name="_Toc7572"/>
      <w:bookmarkStart w:id="134" w:name="_Toc79163893"/>
      <w:bookmarkStart w:id="135" w:name="_Toc79163643"/>
      <w:bookmarkStart w:id="136" w:name="_Toc15396626"/>
      <w:r>
        <w:rPr>
          <w:rStyle w:val="29"/>
          <w:rFonts w:hint="default" w:ascii="Times New Roman" w:hAnsi="Times New Roman" w:eastAsia="仿宋" w:cs="Times New Roman"/>
          <w:b w:val="0"/>
          <w:bCs w:val="0"/>
        </w:rPr>
        <w:t>八、</w:t>
      </w:r>
      <w:r>
        <w:rPr>
          <w:rFonts w:hint="default" w:ascii="Times New Roman" w:hAnsi="Times New Roman" w:eastAsia="仿宋" w:cs="Times New Roman"/>
          <w:b w:val="0"/>
          <w:color w:val="000000"/>
        </w:rPr>
        <w:t>一</w:t>
      </w:r>
      <w:r>
        <w:rPr>
          <w:rStyle w:val="29"/>
          <w:rFonts w:hint="default" w:ascii="Times New Roman" w:hAnsi="Times New Roman" w:eastAsia="仿宋" w:cs="Times New Roman"/>
          <w:b w:val="0"/>
          <w:bCs w:val="0"/>
        </w:rPr>
        <w:t>般公共预算财政拨款基本支出决算表</w:t>
      </w:r>
      <w:bookmarkEnd w:id="133"/>
      <w:bookmarkEnd w:id="134"/>
      <w:bookmarkEnd w:id="135"/>
      <w:bookmarkEnd w:id="136"/>
    </w:p>
    <w:p w14:paraId="1C6658F7">
      <w:pPr>
        <w:pStyle w:val="4"/>
        <w:rPr>
          <w:rFonts w:hint="default" w:ascii="Times New Roman" w:hAnsi="Times New Roman" w:eastAsia="仿宋" w:cs="Times New Roman"/>
          <w:color w:val="000000"/>
        </w:rPr>
      </w:pPr>
      <w:bookmarkStart w:id="137" w:name="_Toc79163894"/>
      <w:bookmarkStart w:id="138" w:name="_Toc15396627"/>
      <w:bookmarkStart w:id="139" w:name="_Toc79163644"/>
      <w:bookmarkStart w:id="140" w:name="_Toc23540"/>
      <w:r>
        <w:rPr>
          <w:rStyle w:val="29"/>
          <w:rFonts w:hint="default" w:ascii="Times New Roman" w:hAnsi="Times New Roman" w:eastAsia="仿宋" w:cs="Times New Roman"/>
          <w:b w:val="0"/>
          <w:bCs w:val="0"/>
        </w:rPr>
        <w:t>九、</w:t>
      </w:r>
      <w:r>
        <w:rPr>
          <w:rFonts w:hint="default" w:ascii="Times New Roman" w:hAnsi="Times New Roman" w:eastAsia="仿宋" w:cs="Times New Roman"/>
          <w:b w:val="0"/>
          <w:color w:val="000000"/>
        </w:rPr>
        <w:t>一</w:t>
      </w:r>
      <w:r>
        <w:rPr>
          <w:rStyle w:val="29"/>
          <w:rFonts w:hint="default" w:ascii="Times New Roman" w:hAnsi="Times New Roman" w:eastAsia="仿宋" w:cs="Times New Roman"/>
          <w:b w:val="0"/>
          <w:bCs w:val="0"/>
        </w:rPr>
        <w:t>般公共预算财政拨款项目支出决算表</w:t>
      </w:r>
      <w:bookmarkEnd w:id="137"/>
      <w:bookmarkEnd w:id="138"/>
      <w:bookmarkEnd w:id="139"/>
      <w:bookmarkEnd w:id="140"/>
    </w:p>
    <w:p w14:paraId="7651EA81">
      <w:pPr>
        <w:pStyle w:val="4"/>
        <w:rPr>
          <w:rFonts w:hint="default" w:ascii="Times New Roman" w:hAnsi="Times New Roman" w:eastAsia="仿宋" w:cs="Times New Roman"/>
          <w:color w:val="000000"/>
        </w:rPr>
      </w:pPr>
      <w:bookmarkStart w:id="141" w:name="_Toc15396628"/>
      <w:bookmarkStart w:id="142" w:name="_Toc79163895"/>
      <w:bookmarkStart w:id="143" w:name="_Toc79163645"/>
      <w:bookmarkStart w:id="144" w:name="_Toc17481"/>
      <w:r>
        <w:rPr>
          <w:rStyle w:val="29"/>
          <w:rFonts w:hint="default" w:ascii="Times New Roman" w:hAnsi="Times New Roman" w:eastAsia="仿宋" w:cs="Times New Roman"/>
          <w:b w:val="0"/>
          <w:bCs w:val="0"/>
        </w:rPr>
        <w:t>十、</w:t>
      </w:r>
      <w:bookmarkEnd w:id="141"/>
      <w:bookmarkEnd w:id="142"/>
      <w:bookmarkEnd w:id="143"/>
      <w:bookmarkStart w:id="145" w:name="_Toc79163646"/>
      <w:bookmarkStart w:id="146" w:name="_Toc79163896"/>
      <w:bookmarkStart w:id="147" w:name="_Toc15396629"/>
      <w:r>
        <w:rPr>
          <w:rFonts w:hint="default" w:ascii="Times New Roman" w:hAnsi="Times New Roman" w:eastAsia="仿宋" w:cs="Times New Roman"/>
          <w:b w:val="0"/>
          <w:color w:val="000000"/>
        </w:rPr>
        <w:t>政</w:t>
      </w:r>
      <w:r>
        <w:rPr>
          <w:rStyle w:val="29"/>
          <w:rFonts w:hint="default" w:ascii="Times New Roman" w:hAnsi="Times New Roman" w:eastAsia="仿宋" w:cs="Times New Roman"/>
          <w:b w:val="0"/>
          <w:bCs w:val="0"/>
        </w:rPr>
        <w:t>府性基金预算财政拨款收入支出决算表</w:t>
      </w:r>
      <w:bookmarkEnd w:id="144"/>
      <w:bookmarkEnd w:id="145"/>
      <w:bookmarkEnd w:id="146"/>
      <w:bookmarkEnd w:id="147"/>
    </w:p>
    <w:p w14:paraId="3860AE01">
      <w:pPr>
        <w:pStyle w:val="4"/>
        <w:rPr>
          <w:rStyle w:val="29"/>
          <w:rFonts w:hint="default" w:ascii="Times New Roman" w:hAnsi="Times New Roman" w:eastAsia="仿宋" w:cs="Times New Roman"/>
          <w:b w:val="0"/>
          <w:bCs w:val="0"/>
        </w:rPr>
      </w:pPr>
      <w:bookmarkStart w:id="148" w:name="_Toc79163897"/>
      <w:bookmarkStart w:id="149" w:name="_Toc15396630"/>
      <w:bookmarkStart w:id="150" w:name="_Toc79163647"/>
      <w:bookmarkStart w:id="151" w:name="_Toc28251"/>
      <w:r>
        <w:rPr>
          <w:rStyle w:val="29"/>
          <w:rFonts w:hint="default" w:ascii="Times New Roman" w:hAnsi="Times New Roman" w:eastAsia="仿宋" w:cs="Times New Roman"/>
          <w:b w:val="0"/>
          <w:bCs w:val="0"/>
        </w:rPr>
        <w:t>十</w:t>
      </w:r>
      <w:bookmarkEnd w:id="148"/>
      <w:bookmarkEnd w:id="149"/>
      <w:bookmarkEnd w:id="150"/>
      <w:bookmarkStart w:id="152" w:name="_Toc15396631"/>
      <w:bookmarkStart w:id="153" w:name="_Toc79163648"/>
      <w:bookmarkStart w:id="154" w:name="_Toc79163898"/>
      <w:r>
        <w:rPr>
          <w:rStyle w:val="29"/>
          <w:rFonts w:hint="default" w:ascii="Times New Roman" w:hAnsi="Times New Roman" w:eastAsia="仿宋" w:cs="Times New Roman"/>
          <w:b w:val="0"/>
          <w:bCs w:val="0"/>
          <w:lang w:val="en-US" w:eastAsia="zh-CN"/>
        </w:rPr>
        <w:t>一</w:t>
      </w:r>
      <w:r>
        <w:rPr>
          <w:rStyle w:val="29"/>
          <w:rFonts w:hint="default" w:ascii="Times New Roman" w:hAnsi="Times New Roman" w:eastAsia="仿宋" w:cs="Times New Roman"/>
          <w:b w:val="0"/>
          <w:bCs w:val="0"/>
        </w:rPr>
        <w:t>、</w:t>
      </w:r>
      <w:r>
        <w:rPr>
          <w:rFonts w:hint="default" w:ascii="Times New Roman" w:hAnsi="Times New Roman" w:eastAsia="仿宋" w:cs="Times New Roman"/>
          <w:b w:val="0"/>
          <w:color w:val="000000"/>
        </w:rPr>
        <w:t>国</w:t>
      </w:r>
      <w:r>
        <w:rPr>
          <w:rStyle w:val="29"/>
          <w:rFonts w:hint="default" w:ascii="Times New Roman" w:hAnsi="Times New Roman" w:eastAsia="仿宋" w:cs="Times New Roman"/>
          <w:b w:val="0"/>
          <w:bCs w:val="0"/>
        </w:rPr>
        <w:t>有资本经营预算财政拨款</w:t>
      </w:r>
      <w:r>
        <w:rPr>
          <w:rStyle w:val="29"/>
          <w:rFonts w:hint="default" w:ascii="Times New Roman" w:hAnsi="Times New Roman" w:eastAsia="仿宋" w:cs="Times New Roman"/>
          <w:b w:val="0"/>
          <w:bCs w:val="0"/>
          <w:lang w:val="en-US" w:eastAsia="zh-CN"/>
        </w:rPr>
        <w:t>收入</w:t>
      </w:r>
      <w:r>
        <w:rPr>
          <w:rStyle w:val="29"/>
          <w:rFonts w:hint="default" w:ascii="Times New Roman" w:hAnsi="Times New Roman" w:eastAsia="仿宋" w:cs="Times New Roman"/>
          <w:b w:val="0"/>
          <w:bCs w:val="0"/>
        </w:rPr>
        <w:t>支出决算表</w:t>
      </w:r>
      <w:bookmarkEnd w:id="151"/>
      <w:bookmarkEnd w:id="152"/>
      <w:bookmarkEnd w:id="153"/>
      <w:bookmarkEnd w:id="154"/>
    </w:p>
    <w:p w14:paraId="43189D06">
      <w:pPr>
        <w:pStyle w:val="4"/>
        <w:rPr>
          <w:rStyle w:val="29"/>
          <w:rFonts w:hint="default" w:ascii="Times New Roman" w:hAnsi="Times New Roman" w:eastAsia="仿宋" w:cs="Times New Roman"/>
          <w:b w:val="0"/>
          <w:bCs w:val="0"/>
        </w:rPr>
      </w:pPr>
      <w:bookmarkStart w:id="155" w:name="_Toc79163649"/>
      <w:bookmarkStart w:id="156" w:name="_Toc7839"/>
      <w:bookmarkStart w:id="157" w:name="_Toc79163899"/>
      <w:r>
        <w:rPr>
          <w:rStyle w:val="29"/>
          <w:rFonts w:hint="default" w:ascii="Times New Roman" w:hAnsi="Times New Roman" w:eastAsia="仿宋" w:cs="Times New Roman"/>
          <w:b w:val="0"/>
          <w:bCs w:val="0"/>
        </w:rPr>
        <w:t>十</w:t>
      </w:r>
      <w:r>
        <w:rPr>
          <w:rStyle w:val="29"/>
          <w:rFonts w:hint="default" w:ascii="Times New Roman" w:hAnsi="Times New Roman" w:eastAsia="仿宋" w:cs="Times New Roman"/>
          <w:b w:val="0"/>
          <w:bCs w:val="0"/>
          <w:lang w:val="en-US" w:eastAsia="zh-CN"/>
        </w:rPr>
        <w:t>二</w:t>
      </w:r>
      <w:r>
        <w:rPr>
          <w:rStyle w:val="29"/>
          <w:rFonts w:hint="default" w:ascii="Times New Roman" w:hAnsi="Times New Roman" w:eastAsia="仿宋" w:cs="Times New Roman"/>
          <w:b w:val="0"/>
          <w:bCs w:val="0"/>
        </w:rPr>
        <w:t>、国有资本经营预算财政拨款支出决算表</w:t>
      </w:r>
      <w:bookmarkEnd w:id="155"/>
      <w:bookmarkEnd w:id="156"/>
      <w:bookmarkEnd w:id="157"/>
    </w:p>
    <w:p w14:paraId="64233827">
      <w:pPr>
        <w:rPr>
          <w:rStyle w:val="29"/>
          <w:rFonts w:hint="default" w:ascii="Times New Roman" w:hAnsi="Times New Roman" w:eastAsia="仿宋" w:cs="Times New Roman"/>
          <w:b w:val="0"/>
          <w:bCs w:val="0"/>
        </w:rPr>
      </w:pPr>
      <w:bookmarkStart w:id="158" w:name="_Toc15192"/>
      <w:r>
        <w:rPr>
          <w:rStyle w:val="29"/>
          <w:rFonts w:hint="default" w:ascii="Times New Roman" w:hAnsi="Times New Roman" w:eastAsia="仿宋" w:cs="Times New Roman"/>
          <w:b w:val="0"/>
          <w:bCs w:val="0"/>
          <w:lang w:val="en-US" w:eastAsia="zh-CN"/>
        </w:rPr>
        <w:t>十三、</w:t>
      </w:r>
      <w:r>
        <w:rPr>
          <w:rStyle w:val="29"/>
          <w:rFonts w:hint="default" w:ascii="Times New Roman" w:hAnsi="Times New Roman" w:eastAsia="仿宋" w:cs="Times New Roman"/>
          <w:b w:val="0"/>
          <w:bCs w:val="0"/>
        </w:rPr>
        <w:t>财政拨款“三公”经费支出决算表</w:t>
      </w:r>
    </w:p>
    <w:bookmarkEnd w:id="158"/>
    <w:sectPr>
      <w:footerReference r:id="rId5" w:type="first"/>
      <w:footerReference r:id="rId4"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黑体_GBK">
    <w:panose1 w:val="02000000000000000000"/>
    <w:charset w:val="86"/>
    <w:family w:val="auto"/>
    <w:pitch w:val="default"/>
    <w:sig w:usb0="A00002BF" w:usb1="38CF7CFA" w:usb2="00082016" w:usb3="00000000" w:csb0="00040001"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Arial Unicode MS">
    <w:altName w:val="Times New Roman"/>
    <w:panose1 w:val="020B0604020202020204"/>
    <w:charset w:val="86"/>
    <w:family w:val="roman"/>
    <w:pitch w:val="default"/>
    <w:sig w:usb0="00000000" w:usb1="00000000" w:usb2="0000003F" w:usb3="00000000" w:csb0="603F01FF" w:csb1="FFFF0000"/>
  </w:font>
  <w:font w:name="等线 Light">
    <w:altName w:val="汉仪中宋简"/>
    <w:panose1 w:val="02010600030101010101"/>
    <w:charset w:val="86"/>
    <w:family w:val="auto"/>
    <w:pitch w:val="default"/>
    <w:sig w:usb0="00000000" w:usb1="00000000" w:usb2="00000016" w:usb3="00000000" w:csb0="0004000F" w:csb1="00000000"/>
  </w:font>
  <w:font w:name="微软雅黑">
    <w:altName w:val="方正黑体_GBK"/>
    <w:panose1 w:val="020B0503020204020204"/>
    <w:charset w:val="86"/>
    <w:family w:val="auto"/>
    <w:pitch w:val="default"/>
    <w:sig w:usb0="00000000" w:usb1="00000000" w:usb2="00000016" w:usb3="00000000" w:csb0="0004001F" w:csb1="00000000"/>
  </w:font>
  <w:font w:name="等线">
    <w:altName w:val="仿宋_GB2312"/>
    <w:panose1 w:val="00000000000000000000"/>
    <w:charset w:val="00"/>
    <w:family w:val="auto"/>
    <w:pitch w:val="default"/>
    <w:sig w:usb0="00000000" w:usb1="00000000" w:usb2="00000000" w:usb3="00000000" w:csb0="00000000" w:csb1="00000000"/>
  </w:font>
  <w:font w:name="方正宋体S-超大字符集(SIP)">
    <w:panose1 w:val="03000509000000000000"/>
    <w:charset w:val="86"/>
    <w:family w:val="auto"/>
    <w:pitch w:val="default"/>
    <w:sig w:usb0="00000003" w:usb1="0A0E0800" w:usb2="00000006" w:usb3="00000000" w:csb0="00040001" w:csb1="00000000"/>
  </w:font>
  <w:font w:name="等线 Light">
    <w:altName w:val="仿宋_GB2312"/>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A1C2B">
    <w:pPr>
      <w:pStyle w:val="15"/>
      <w:jc w:val="center"/>
    </w:pPr>
    <w:r>
      <w:fldChar w:fldCharType="begin"/>
    </w:r>
    <w:r>
      <w:instrText xml:space="preserve">PAGE   \* MERGEFORMAT</w:instrText>
    </w:r>
    <w:r>
      <w:fldChar w:fldCharType="separate"/>
    </w:r>
    <w:r>
      <w:t>25</w:t>
    </w:r>
    <w:r>
      <w:fldChar w:fldCharType="end"/>
    </w:r>
  </w:p>
  <w:p w14:paraId="7F007FE0">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5D17E">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AF5ED">
    <w:pPr>
      <w:pStyle w:val="1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E33080"/>
    <w:multiLevelType w:val="singleLevel"/>
    <w:tmpl w:val="ACE33080"/>
    <w:lvl w:ilvl="0" w:tentative="0">
      <w:start w:val="2"/>
      <w:numFmt w:val="chineseCounting"/>
      <w:suff w:val="nothing"/>
      <w:lvlText w:val="（%1）"/>
      <w:lvlJc w:val="left"/>
      <w:rPr>
        <w:rFonts w:hint="eastAsia"/>
      </w:rPr>
    </w:lvl>
  </w:abstractNum>
  <w:abstractNum w:abstractNumId="1">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2">
    <w:nsid w:val="E2FA047D"/>
    <w:multiLevelType w:val="singleLevel"/>
    <w:tmpl w:val="E2FA047D"/>
    <w:lvl w:ilvl="0" w:tentative="0">
      <w:start w:val="3"/>
      <w:numFmt w:val="chineseCounting"/>
      <w:suff w:val="space"/>
      <w:lvlText w:val="第%1部分"/>
      <w:lvlJc w:val="left"/>
      <w:rPr>
        <w:rFonts w:hint="eastAsia" w:cs="Times New Roman"/>
      </w:rPr>
    </w:lvl>
  </w:abstractNum>
  <w:abstractNum w:abstractNumId="3">
    <w:nsid w:val="27BE6324"/>
    <w:multiLevelType w:val="singleLevel"/>
    <w:tmpl w:val="27BE6324"/>
    <w:lvl w:ilvl="0" w:tentative="0">
      <w:start w:val="2"/>
      <w:numFmt w:val="chineseCounting"/>
      <w:suff w:val="nothing"/>
      <w:lvlText w:val="（%1）"/>
      <w:lvlJc w:val="left"/>
      <w:rPr>
        <w:rFonts w:hint="eastAsia"/>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xYzJjZDljMTQ2N2VmZDllNWFjOWYwOWI4M2E2NTgifQ=="/>
  </w:docVars>
  <w:rsids>
    <w:rsidRoot w:val="00172A27"/>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15301"/>
    <w:rsid w:val="001319E1"/>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26640"/>
    <w:rsid w:val="00235629"/>
    <w:rsid w:val="00256262"/>
    <w:rsid w:val="00260C38"/>
    <w:rsid w:val="002616C0"/>
    <w:rsid w:val="00264FA2"/>
    <w:rsid w:val="00265372"/>
    <w:rsid w:val="002662AA"/>
    <w:rsid w:val="0027224D"/>
    <w:rsid w:val="00280496"/>
    <w:rsid w:val="00294DC9"/>
    <w:rsid w:val="00295495"/>
    <w:rsid w:val="002A31DE"/>
    <w:rsid w:val="002B2613"/>
    <w:rsid w:val="002D6D05"/>
    <w:rsid w:val="002F1818"/>
    <w:rsid w:val="002F567B"/>
    <w:rsid w:val="003216A9"/>
    <w:rsid w:val="00335A74"/>
    <w:rsid w:val="0036561B"/>
    <w:rsid w:val="0037013F"/>
    <w:rsid w:val="00380C92"/>
    <w:rsid w:val="00394E7F"/>
    <w:rsid w:val="003A484F"/>
    <w:rsid w:val="003A4883"/>
    <w:rsid w:val="003B0BE0"/>
    <w:rsid w:val="003B0C1B"/>
    <w:rsid w:val="003B688C"/>
    <w:rsid w:val="003C0291"/>
    <w:rsid w:val="003C39AE"/>
    <w:rsid w:val="003C7B60"/>
    <w:rsid w:val="003D0C0F"/>
    <w:rsid w:val="003D1FB2"/>
    <w:rsid w:val="003D53FE"/>
    <w:rsid w:val="003D66DA"/>
    <w:rsid w:val="003E1310"/>
    <w:rsid w:val="003E6F55"/>
    <w:rsid w:val="003E6FE4"/>
    <w:rsid w:val="00406254"/>
    <w:rsid w:val="004223DE"/>
    <w:rsid w:val="00434489"/>
    <w:rsid w:val="00437085"/>
    <w:rsid w:val="00443880"/>
    <w:rsid w:val="00445607"/>
    <w:rsid w:val="004464F4"/>
    <w:rsid w:val="00471401"/>
    <w:rsid w:val="00473F31"/>
    <w:rsid w:val="00476DF9"/>
    <w:rsid w:val="0048263A"/>
    <w:rsid w:val="00487E5D"/>
    <w:rsid w:val="004A711F"/>
    <w:rsid w:val="004B199D"/>
    <w:rsid w:val="004B4690"/>
    <w:rsid w:val="004D5479"/>
    <w:rsid w:val="004E0A2D"/>
    <w:rsid w:val="004E206B"/>
    <w:rsid w:val="004E6DF7"/>
    <w:rsid w:val="004F0FBD"/>
    <w:rsid w:val="00505A47"/>
    <w:rsid w:val="00512FDA"/>
    <w:rsid w:val="00520DA0"/>
    <w:rsid w:val="005269A7"/>
    <w:rsid w:val="005269D7"/>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45F81"/>
    <w:rsid w:val="0065271A"/>
    <w:rsid w:val="0066343B"/>
    <w:rsid w:val="00664777"/>
    <w:rsid w:val="006748A4"/>
    <w:rsid w:val="00681A31"/>
    <w:rsid w:val="00683E73"/>
    <w:rsid w:val="006A3141"/>
    <w:rsid w:val="006A5E34"/>
    <w:rsid w:val="006B2422"/>
    <w:rsid w:val="006B2B9A"/>
    <w:rsid w:val="006C1937"/>
    <w:rsid w:val="006E2684"/>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D4A41"/>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632E0"/>
    <w:rsid w:val="00871F71"/>
    <w:rsid w:val="00872FD8"/>
    <w:rsid w:val="00885AF4"/>
    <w:rsid w:val="00892977"/>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D8"/>
    <w:rsid w:val="00935C98"/>
    <w:rsid w:val="00946945"/>
    <w:rsid w:val="00951248"/>
    <w:rsid w:val="0095152F"/>
    <w:rsid w:val="00954C49"/>
    <w:rsid w:val="00955E37"/>
    <w:rsid w:val="00962656"/>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11E4"/>
    <w:rsid w:val="00B03C9D"/>
    <w:rsid w:val="00B060AE"/>
    <w:rsid w:val="00B10517"/>
    <w:rsid w:val="00B14E76"/>
    <w:rsid w:val="00B161B8"/>
    <w:rsid w:val="00B2048C"/>
    <w:rsid w:val="00B20FF3"/>
    <w:rsid w:val="00B310B9"/>
    <w:rsid w:val="00B35F3F"/>
    <w:rsid w:val="00B36CBB"/>
    <w:rsid w:val="00B425E0"/>
    <w:rsid w:val="00B440AA"/>
    <w:rsid w:val="00B44B70"/>
    <w:rsid w:val="00B53C56"/>
    <w:rsid w:val="00B54DB4"/>
    <w:rsid w:val="00B57DAF"/>
    <w:rsid w:val="00B77EA6"/>
    <w:rsid w:val="00B81598"/>
    <w:rsid w:val="00B841F1"/>
    <w:rsid w:val="00B90E4E"/>
    <w:rsid w:val="00B944D6"/>
    <w:rsid w:val="00B965DC"/>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4B0"/>
    <w:rsid w:val="00DC7CBA"/>
    <w:rsid w:val="00DD73B7"/>
    <w:rsid w:val="00DF1C39"/>
    <w:rsid w:val="00DF28BC"/>
    <w:rsid w:val="00DF34B9"/>
    <w:rsid w:val="00E01053"/>
    <w:rsid w:val="00E07ACF"/>
    <w:rsid w:val="00E32CAD"/>
    <w:rsid w:val="00E331A1"/>
    <w:rsid w:val="00E33202"/>
    <w:rsid w:val="00E336A9"/>
    <w:rsid w:val="00E472B1"/>
    <w:rsid w:val="00E50624"/>
    <w:rsid w:val="00E568DF"/>
    <w:rsid w:val="00E64269"/>
    <w:rsid w:val="00E70975"/>
    <w:rsid w:val="00E82267"/>
    <w:rsid w:val="00E853CE"/>
    <w:rsid w:val="00E867B6"/>
    <w:rsid w:val="00EA010F"/>
    <w:rsid w:val="00ED1B63"/>
    <w:rsid w:val="00ED3C1F"/>
    <w:rsid w:val="00ED4085"/>
    <w:rsid w:val="00ED420E"/>
    <w:rsid w:val="00ED6FBE"/>
    <w:rsid w:val="00EE2F57"/>
    <w:rsid w:val="00EF4C34"/>
    <w:rsid w:val="00EF60EF"/>
    <w:rsid w:val="00EF77C6"/>
    <w:rsid w:val="00F05438"/>
    <w:rsid w:val="00F05477"/>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952C9"/>
    <w:rsid w:val="00FA23E8"/>
    <w:rsid w:val="00FD3CC1"/>
    <w:rsid w:val="00FF1E02"/>
    <w:rsid w:val="00FF30B4"/>
    <w:rsid w:val="014C4DA3"/>
    <w:rsid w:val="016D3530"/>
    <w:rsid w:val="01AC47D4"/>
    <w:rsid w:val="051200B1"/>
    <w:rsid w:val="054B365B"/>
    <w:rsid w:val="05812FF5"/>
    <w:rsid w:val="05B747B5"/>
    <w:rsid w:val="06FA704F"/>
    <w:rsid w:val="08674270"/>
    <w:rsid w:val="09844198"/>
    <w:rsid w:val="0A2032A3"/>
    <w:rsid w:val="0A5026DB"/>
    <w:rsid w:val="0B91295B"/>
    <w:rsid w:val="0C917B0E"/>
    <w:rsid w:val="0D1A52F9"/>
    <w:rsid w:val="10C055FF"/>
    <w:rsid w:val="114C04A7"/>
    <w:rsid w:val="118107EC"/>
    <w:rsid w:val="11AC7198"/>
    <w:rsid w:val="11BD58B2"/>
    <w:rsid w:val="120E4F25"/>
    <w:rsid w:val="12502837"/>
    <w:rsid w:val="12C30C3D"/>
    <w:rsid w:val="13853643"/>
    <w:rsid w:val="13D44FA7"/>
    <w:rsid w:val="13D5678A"/>
    <w:rsid w:val="150177FB"/>
    <w:rsid w:val="155D7628"/>
    <w:rsid w:val="169923E1"/>
    <w:rsid w:val="16BB723D"/>
    <w:rsid w:val="173F6CB2"/>
    <w:rsid w:val="18D53478"/>
    <w:rsid w:val="19094ED0"/>
    <w:rsid w:val="1CA4563B"/>
    <w:rsid w:val="1D155CEE"/>
    <w:rsid w:val="1EA35AC9"/>
    <w:rsid w:val="1EE47F71"/>
    <w:rsid w:val="1EE95587"/>
    <w:rsid w:val="210E5779"/>
    <w:rsid w:val="22BA200B"/>
    <w:rsid w:val="22EB717D"/>
    <w:rsid w:val="240371BF"/>
    <w:rsid w:val="245C7D28"/>
    <w:rsid w:val="24736867"/>
    <w:rsid w:val="28CD57C6"/>
    <w:rsid w:val="29FD04D3"/>
    <w:rsid w:val="2B6F5066"/>
    <w:rsid w:val="2C87457F"/>
    <w:rsid w:val="2E67780F"/>
    <w:rsid w:val="2E6C3ADF"/>
    <w:rsid w:val="2F0401BB"/>
    <w:rsid w:val="2F7D8F8C"/>
    <w:rsid w:val="2FC101D2"/>
    <w:rsid w:val="303D5733"/>
    <w:rsid w:val="319F7F4E"/>
    <w:rsid w:val="326B7F22"/>
    <w:rsid w:val="33C63C91"/>
    <w:rsid w:val="3498562E"/>
    <w:rsid w:val="34AE30A3"/>
    <w:rsid w:val="361374D2"/>
    <w:rsid w:val="36CE5337"/>
    <w:rsid w:val="371D728E"/>
    <w:rsid w:val="388D37C7"/>
    <w:rsid w:val="38F1098C"/>
    <w:rsid w:val="396D4B38"/>
    <w:rsid w:val="3B4E6126"/>
    <w:rsid w:val="3CF76B83"/>
    <w:rsid w:val="3D0C62A9"/>
    <w:rsid w:val="3D477BF1"/>
    <w:rsid w:val="3F47037C"/>
    <w:rsid w:val="3FEA2348"/>
    <w:rsid w:val="404B79F8"/>
    <w:rsid w:val="40AF442B"/>
    <w:rsid w:val="40F778EA"/>
    <w:rsid w:val="41D34149"/>
    <w:rsid w:val="41E85C2D"/>
    <w:rsid w:val="42755200"/>
    <w:rsid w:val="42864E7C"/>
    <w:rsid w:val="42E543FC"/>
    <w:rsid w:val="44627A06"/>
    <w:rsid w:val="464A0752"/>
    <w:rsid w:val="470849E8"/>
    <w:rsid w:val="47244C2A"/>
    <w:rsid w:val="47971775"/>
    <w:rsid w:val="479B75FD"/>
    <w:rsid w:val="47F0411D"/>
    <w:rsid w:val="48B85449"/>
    <w:rsid w:val="492A0FFE"/>
    <w:rsid w:val="4A235542"/>
    <w:rsid w:val="4A9B27FB"/>
    <w:rsid w:val="4C6365C5"/>
    <w:rsid w:val="4E606D65"/>
    <w:rsid w:val="4EBC7D13"/>
    <w:rsid w:val="4ECE2238"/>
    <w:rsid w:val="4F243492"/>
    <w:rsid w:val="4F3F2E1E"/>
    <w:rsid w:val="50CC248F"/>
    <w:rsid w:val="52020AD7"/>
    <w:rsid w:val="52350508"/>
    <w:rsid w:val="529B480F"/>
    <w:rsid w:val="53AB0A82"/>
    <w:rsid w:val="56441CCC"/>
    <w:rsid w:val="595D1779"/>
    <w:rsid w:val="5A221372"/>
    <w:rsid w:val="5BB37A16"/>
    <w:rsid w:val="5DC664B8"/>
    <w:rsid w:val="5E3E24F3"/>
    <w:rsid w:val="5F526256"/>
    <w:rsid w:val="5FC37F08"/>
    <w:rsid w:val="600734E4"/>
    <w:rsid w:val="60F577E0"/>
    <w:rsid w:val="61502C69"/>
    <w:rsid w:val="61F730E4"/>
    <w:rsid w:val="623600B0"/>
    <w:rsid w:val="626616D3"/>
    <w:rsid w:val="630F26B0"/>
    <w:rsid w:val="631A4274"/>
    <w:rsid w:val="64E65DA5"/>
    <w:rsid w:val="660758C0"/>
    <w:rsid w:val="67B37AAD"/>
    <w:rsid w:val="6850354E"/>
    <w:rsid w:val="69780FAF"/>
    <w:rsid w:val="6C4A05C8"/>
    <w:rsid w:val="6C845EBC"/>
    <w:rsid w:val="6EF56BFD"/>
    <w:rsid w:val="71441FB9"/>
    <w:rsid w:val="71724535"/>
    <w:rsid w:val="72020D13"/>
    <w:rsid w:val="72734D90"/>
    <w:rsid w:val="72970CF6"/>
    <w:rsid w:val="773E055C"/>
    <w:rsid w:val="79404C70"/>
    <w:rsid w:val="79725A1A"/>
    <w:rsid w:val="79BC6C95"/>
    <w:rsid w:val="79C773E8"/>
    <w:rsid w:val="7A6B246A"/>
    <w:rsid w:val="7A937B27"/>
    <w:rsid w:val="7AC71F15"/>
    <w:rsid w:val="7B580C40"/>
    <w:rsid w:val="7BFE1713"/>
    <w:rsid w:val="7D21586B"/>
    <w:rsid w:val="7D44147C"/>
    <w:rsid w:val="7E0429B9"/>
    <w:rsid w:val="7E3239CA"/>
    <w:rsid w:val="7E374E0C"/>
    <w:rsid w:val="FD7D87A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30"/>
    <w:qFormat/>
    <w:uiPriority w:val="9"/>
    <w:pPr>
      <w:keepNext/>
      <w:keepLines/>
      <w:spacing w:before="260" w:after="260" w:line="416" w:lineRule="auto"/>
      <w:outlineLvl w:val="2"/>
    </w:pPr>
    <w:rPr>
      <w:b/>
      <w:bCs/>
      <w:sz w:val="32"/>
      <w:szCs w:val="32"/>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5">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widowControl w:val="0"/>
      <w:ind w:left="400" w:leftChars="200" w:hanging="200" w:hangingChars="200"/>
      <w:jc w:val="both"/>
    </w:pPr>
    <w:rPr>
      <w:rFonts w:ascii="Calibri" w:hAnsi="Calibri" w:eastAsia="宋体" w:cs="Times New Roman"/>
      <w:kern w:val="2"/>
      <w:sz w:val="21"/>
      <w:szCs w:val="24"/>
      <w:lang w:val="en-US" w:eastAsia="zh-CN" w:bidi="ar-SA"/>
    </w:rPr>
  </w:style>
  <w:style w:type="paragraph" w:styleId="7">
    <w:name w:val="toc 7"/>
    <w:basedOn w:val="1"/>
    <w:next w:val="1"/>
    <w:unhideWhenUsed/>
    <w:qFormat/>
    <w:uiPriority w:val="39"/>
    <w:pPr>
      <w:ind w:left="1260"/>
      <w:jc w:val="left"/>
    </w:pPr>
    <w:rPr>
      <w:rFonts w:asciiTheme="minorHAnsi" w:eastAsiaTheme="minorHAnsi"/>
      <w:sz w:val="18"/>
      <w:szCs w:val="18"/>
    </w:rPr>
  </w:style>
  <w:style w:type="paragraph" w:styleId="8">
    <w:name w:val="Body Text"/>
    <w:basedOn w:val="1"/>
    <w:link w:val="37"/>
    <w:qFormat/>
    <w:uiPriority w:val="99"/>
    <w:pPr>
      <w:spacing w:beforeLines="30"/>
    </w:pPr>
    <w:rPr>
      <w:rFonts w:ascii="仿宋_GB2312" w:eastAsia="仿宋_GB2312"/>
      <w:kern w:val="0"/>
      <w:sz w:val="24"/>
      <w:szCs w:val="20"/>
      <w:lang w:val="zh-CN"/>
    </w:rPr>
  </w:style>
  <w:style w:type="paragraph" w:styleId="9">
    <w:name w:val="Body Text Indent"/>
    <w:basedOn w:val="1"/>
    <w:next w:val="1"/>
    <w:qFormat/>
    <w:uiPriority w:val="0"/>
    <w:pPr>
      <w:spacing w:after="120"/>
      <w:ind w:left="420" w:leftChars="200"/>
    </w:pPr>
    <w:rPr>
      <w:rFonts w:ascii="Calibri" w:hAnsi="Calibri"/>
      <w:szCs w:val="22"/>
    </w:rPr>
  </w:style>
  <w:style w:type="paragraph" w:styleId="10">
    <w:name w:val="toc 5"/>
    <w:basedOn w:val="1"/>
    <w:next w:val="1"/>
    <w:unhideWhenUsed/>
    <w:qFormat/>
    <w:uiPriority w:val="39"/>
    <w:pPr>
      <w:ind w:left="840"/>
      <w:jc w:val="left"/>
    </w:pPr>
    <w:rPr>
      <w:rFonts w:asciiTheme="minorHAnsi" w:eastAsiaTheme="minorHAnsi"/>
      <w:sz w:val="18"/>
      <w:szCs w:val="18"/>
    </w:rPr>
  </w:style>
  <w:style w:type="paragraph" w:styleId="11">
    <w:name w:val="toc 3"/>
    <w:basedOn w:val="1"/>
    <w:next w:val="1"/>
    <w:unhideWhenUsed/>
    <w:qFormat/>
    <w:uiPriority w:val="39"/>
    <w:pPr>
      <w:ind w:left="420"/>
      <w:jc w:val="left"/>
    </w:pPr>
    <w:rPr>
      <w:rFonts w:asciiTheme="minorHAnsi" w:eastAsiaTheme="minorHAnsi"/>
      <w:i/>
      <w:iCs/>
      <w:sz w:val="20"/>
      <w:szCs w:val="20"/>
    </w:rPr>
  </w:style>
  <w:style w:type="paragraph" w:styleId="12">
    <w:name w:val="Plain Text"/>
    <w:basedOn w:val="1"/>
    <w:qFormat/>
    <w:uiPriority w:val="99"/>
    <w:rPr>
      <w:rFonts w:ascii="宋体" w:hAnsi="Courier New" w:eastAsia="仿宋" w:cs="Arial Unicode MS"/>
      <w:kern w:val="0"/>
      <w:sz w:val="32"/>
      <w:szCs w:val="21"/>
      <w:lang w:bidi="bo-CN"/>
    </w:rPr>
  </w:style>
  <w:style w:type="paragraph" w:styleId="13">
    <w:name w:val="toc 8"/>
    <w:basedOn w:val="1"/>
    <w:next w:val="1"/>
    <w:unhideWhenUsed/>
    <w:qFormat/>
    <w:uiPriority w:val="39"/>
    <w:pPr>
      <w:ind w:left="1470"/>
      <w:jc w:val="left"/>
    </w:pPr>
    <w:rPr>
      <w:rFonts w:asciiTheme="minorHAnsi" w:eastAsiaTheme="minorHAnsi"/>
      <w:sz w:val="18"/>
      <w:szCs w:val="18"/>
    </w:rPr>
  </w:style>
  <w:style w:type="paragraph" w:styleId="14">
    <w:name w:val="Balloon Text"/>
    <w:basedOn w:val="1"/>
    <w:link w:val="32"/>
    <w:semiHidden/>
    <w:unhideWhenUsed/>
    <w:qFormat/>
    <w:uiPriority w:val="99"/>
    <w:rPr>
      <w:sz w:val="18"/>
      <w:szCs w:val="18"/>
    </w:rPr>
  </w:style>
  <w:style w:type="paragraph" w:styleId="15">
    <w:name w:val="footer"/>
    <w:basedOn w:val="1"/>
    <w:link w:val="36"/>
    <w:qFormat/>
    <w:uiPriority w:val="99"/>
    <w:pPr>
      <w:tabs>
        <w:tab w:val="center" w:pos="4153"/>
        <w:tab w:val="right" w:pos="8306"/>
      </w:tabs>
      <w:snapToGrid w:val="0"/>
      <w:jc w:val="left"/>
    </w:pPr>
    <w:rPr>
      <w:rFonts w:ascii="Calibri" w:hAnsi="Calibri"/>
      <w:kern w:val="0"/>
      <w:sz w:val="18"/>
      <w:szCs w:val="20"/>
      <w:lang w:val="zh-CN"/>
    </w:rPr>
  </w:style>
  <w:style w:type="paragraph" w:styleId="16">
    <w:name w:val="header"/>
    <w:basedOn w:val="1"/>
    <w:link w:val="35"/>
    <w:semiHidden/>
    <w:qFormat/>
    <w:uiPriority w:val="99"/>
    <w:pPr>
      <w:pBdr>
        <w:bottom w:val="single" w:color="auto" w:sz="6" w:space="1"/>
      </w:pBdr>
      <w:tabs>
        <w:tab w:val="center" w:pos="4153"/>
        <w:tab w:val="right" w:pos="8306"/>
      </w:tabs>
      <w:snapToGrid w:val="0"/>
      <w:jc w:val="center"/>
    </w:pPr>
    <w:rPr>
      <w:rFonts w:ascii="Calibri" w:hAnsi="Calibri"/>
      <w:kern w:val="0"/>
      <w:sz w:val="18"/>
      <w:szCs w:val="20"/>
      <w:lang w:val="zh-CN"/>
    </w:rPr>
  </w:style>
  <w:style w:type="paragraph" w:styleId="17">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18">
    <w:name w:val="toc 4"/>
    <w:basedOn w:val="1"/>
    <w:next w:val="1"/>
    <w:unhideWhenUsed/>
    <w:qFormat/>
    <w:uiPriority w:val="39"/>
    <w:pPr>
      <w:ind w:left="630"/>
      <w:jc w:val="left"/>
    </w:pPr>
    <w:rPr>
      <w:rFonts w:asciiTheme="minorHAnsi" w:eastAsiaTheme="minorHAnsi"/>
      <w:sz w:val="18"/>
      <w:szCs w:val="18"/>
    </w:rPr>
  </w:style>
  <w:style w:type="paragraph" w:styleId="19">
    <w:name w:val="toc 6"/>
    <w:basedOn w:val="1"/>
    <w:next w:val="1"/>
    <w:unhideWhenUsed/>
    <w:qFormat/>
    <w:uiPriority w:val="39"/>
    <w:pPr>
      <w:ind w:left="1050"/>
      <w:jc w:val="left"/>
    </w:pPr>
    <w:rPr>
      <w:rFonts w:asciiTheme="minorHAnsi" w:eastAsiaTheme="minorHAnsi"/>
      <w:sz w:val="18"/>
      <w:szCs w:val="18"/>
    </w:rPr>
  </w:style>
  <w:style w:type="paragraph" w:styleId="20">
    <w:name w:val="toc 2"/>
    <w:basedOn w:val="1"/>
    <w:next w:val="1"/>
    <w:unhideWhenUsed/>
    <w:qFormat/>
    <w:uiPriority w:val="39"/>
    <w:pPr>
      <w:ind w:left="210"/>
      <w:jc w:val="left"/>
    </w:pPr>
    <w:rPr>
      <w:rFonts w:asciiTheme="minorHAnsi" w:eastAsiaTheme="minorHAnsi"/>
      <w:smallCaps/>
      <w:sz w:val="20"/>
      <w:szCs w:val="20"/>
    </w:rPr>
  </w:style>
  <w:style w:type="paragraph" w:styleId="21">
    <w:name w:val="toc 9"/>
    <w:basedOn w:val="1"/>
    <w:next w:val="1"/>
    <w:unhideWhenUsed/>
    <w:qFormat/>
    <w:uiPriority w:val="39"/>
    <w:pPr>
      <w:ind w:left="1680"/>
      <w:jc w:val="left"/>
    </w:pPr>
    <w:rPr>
      <w:rFonts w:asciiTheme="minorHAnsi" w:eastAsiaTheme="minorHAnsi"/>
      <w:sz w:val="18"/>
      <w:szCs w:val="18"/>
    </w:rPr>
  </w:style>
  <w:style w:type="paragraph" w:styleId="22">
    <w:name w:val="Normal (Web)"/>
    <w:basedOn w:val="1"/>
    <w:unhideWhenUsed/>
    <w:qFormat/>
    <w:uiPriority w:val="0"/>
    <w:pPr>
      <w:spacing w:before="100" w:beforeAutospacing="1" w:after="100" w:afterAutospacing="1"/>
    </w:pPr>
  </w:style>
  <w:style w:type="paragraph" w:styleId="23">
    <w:name w:val="Body Text First Indent 2"/>
    <w:basedOn w:val="9"/>
    <w:next w:val="1"/>
    <w:qFormat/>
    <w:uiPriority w:val="0"/>
    <w:pPr>
      <w:spacing w:line="360" w:lineRule="auto"/>
      <w:ind w:left="0" w:leftChars="0" w:firstLine="420" w:firstLineChars="200"/>
    </w:pPr>
    <w:rPr>
      <w:rFonts w:ascii="Times New Roman" w:hAnsi="Times New Roman" w:eastAsia="宋体"/>
    </w:rPr>
  </w:style>
  <w:style w:type="character" w:styleId="26">
    <w:name w:val="Strong"/>
    <w:basedOn w:val="25"/>
    <w:qFormat/>
    <w:uiPriority w:val="99"/>
    <w:rPr>
      <w:rFonts w:cs="Times New Roman"/>
      <w:b/>
    </w:rPr>
  </w:style>
  <w:style w:type="character" w:styleId="27">
    <w:name w:val="Hyperlink"/>
    <w:basedOn w:val="25"/>
    <w:unhideWhenUsed/>
    <w:qFormat/>
    <w:uiPriority w:val="99"/>
    <w:rPr>
      <w:rFonts w:cs="Times New Roman"/>
      <w:color w:val="0000FF"/>
      <w:u w:val="single"/>
    </w:rPr>
  </w:style>
  <w:style w:type="character" w:customStyle="1" w:styleId="28">
    <w:name w:val="标题 1 Char"/>
    <w:basedOn w:val="25"/>
    <w:link w:val="3"/>
    <w:qFormat/>
    <w:locked/>
    <w:uiPriority w:val="9"/>
    <w:rPr>
      <w:rFonts w:ascii="Times New Roman" w:hAnsi="Times New Roman" w:cs="Times New Roman"/>
      <w:b/>
      <w:bCs/>
      <w:kern w:val="44"/>
      <w:sz w:val="44"/>
      <w:szCs w:val="44"/>
    </w:rPr>
  </w:style>
  <w:style w:type="character" w:customStyle="1" w:styleId="29">
    <w:name w:val="标题 2 Char"/>
    <w:basedOn w:val="25"/>
    <w:link w:val="4"/>
    <w:qFormat/>
    <w:locked/>
    <w:uiPriority w:val="9"/>
    <w:rPr>
      <w:rFonts w:ascii="Cambria" w:hAnsi="Cambria" w:eastAsia="宋体" w:cs="Times New Roman"/>
      <w:b/>
      <w:bCs/>
      <w:kern w:val="2"/>
      <w:sz w:val="32"/>
      <w:szCs w:val="32"/>
    </w:rPr>
  </w:style>
  <w:style w:type="character" w:customStyle="1" w:styleId="30">
    <w:name w:val="标题 3 Char"/>
    <w:basedOn w:val="25"/>
    <w:link w:val="5"/>
    <w:qFormat/>
    <w:locked/>
    <w:uiPriority w:val="9"/>
    <w:rPr>
      <w:rFonts w:ascii="Times New Roman" w:hAnsi="Times New Roman" w:cs="Times New Roman"/>
      <w:b/>
      <w:bCs/>
      <w:kern w:val="2"/>
      <w:sz w:val="32"/>
      <w:szCs w:val="32"/>
    </w:rPr>
  </w:style>
  <w:style w:type="character" w:customStyle="1" w:styleId="31">
    <w:name w:val="Body Text Char"/>
    <w:basedOn w:val="25"/>
    <w:semiHidden/>
    <w:qFormat/>
    <w:uiPriority w:val="99"/>
    <w:rPr>
      <w:rFonts w:ascii="Times New Roman" w:hAnsi="Times New Roman" w:cs="Times New Roman"/>
      <w:sz w:val="24"/>
      <w:szCs w:val="24"/>
    </w:rPr>
  </w:style>
  <w:style w:type="character" w:customStyle="1" w:styleId="32">
    <w:name w:val="批注框文本 Char"/>
    <w:basedOn w:val="25"/>
    <w:link w:val="14"/>
    <w:semiHidden/>
    <w:qFormat/>
    <w:locked/>
    <w:uiPriority w:val="99"/>
    <w:rPr>
      <w:rFonts w:ascii="Times New Roman" w:hAnsi="Times New Roman" w:cs="Times New Roman"/>
      <w:kern w:val="2"/>
      <w:sz w:val="18"/>
      <w:szCs w:val="18"/>
    </w:rPr>
  </w:style>
  <w:style w:type="character" w:customStyle="1" w:styleId="33">
    <w:name w:val="Footer Char"/>
    <w:basedOn w:val="25"/>
    <w:semiHidden/>
    <w:qFormat/>
    <w:uiPriority w:val="99"/>
    <w:rPr>
      <w:rFonts w:ascii="Times New Roman" w:hAnsi="Times New Roman" w:cs="Times New Roman"/>
      <w:sz w:val="18"/>
      <w:szCs w:val="18"/>
    </w:rPr>
  </w:style>
  <w:style w:type="character" w:customStyle="1" w:styleId="34">
    <w:name w:val="Header Char"/>
    <w:basedOn w:val="25"/>
    <w:semiHidden/>
    <w:qFormat/>
    <w:uiPriority w:val="99"/>
    <w:rPr>
      <w:rFonts w:ascii="Times New Roman" w:hAnsi="Times New Roman" w:cs="Times New Roman"/>
      <w:sz w:val="18"/>
      <w:szCs w:val="18"/>
    </w:rPr>
  </w:style>
  <w:style w:type="character" w:customStyle="1" w:styleId="35">
    <w:name w:val="页眉 Char"/>
    <w:link w:val="16"/>
    <w:semiHidden/>
    <w:qFormat/>
    <w:locked/>
    <w:uiPriority w:val="99"/>
    <w:rPr>
      <w:sz w:val="18"/>
    </w:rPr>
  </w:style>
  <w:style w:type="character" w:customStyle="1" w:styleId="36">
    <w:name w:val="页脚 Char"/>
    <w:link w:val="15"/>
    <w:qFormat/>
    <w:locked/>
    <w:uiPriority w:val="99"/>
    <w:rPr>
      <w:sz w:val="18"/>
    </w:rPr>
  </w:style>
  <w:style w:type="character" w:customStyle="1" w:styleId="37">
    <w:name w:val="正文文本 Char"/>
    <w:link w:val="8"/>
    <w:qFormat/>
    <w:locked/>
    <w:uiPriority w:val="99"/>
    <w:rPr>
      <w:rFonts w:ascii="仿宋_GB2312" w:hAnsi="Times New Roman" w:eastAsia="仿宋_GB2312"/>
      <w:sz w:val="24"/>
    </w:rPr>
  </w:style>
  <w:style w:type="paragraph" w:customStyle="1" w:styleId="3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39">
    <w:name w:val="列表段落1"/>
    <w:basedOn w:val="1"/>
    <w:qFormat/>
    <w:uiPriority w:val="34"/>
    <w:pPr>
      <w:ind w:firstLine="420" w:firstLineChars="200"/>
    </w:pPr>
  </w:style>
  <w:style w:type="paragraph" w:customStyle="1" w:styleId="40">
    <w:name w:val="TOC 标题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1">
    <w:name w:val="TOC Heading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2">
    <w:name w:val="TOC 标题2"/>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43">
    <w:name w:val="NormalCharacter"/>
    <w:semiHidden/>
    <w:qFormat/>
    <w:uiPriority w:val="0"/>
    <w:rPr>
      <w:rFonts w:ascii="Calibri" w:hAnsi="Calibri" w:eastAsia="宋体" w:cs="Times New Roman"/>
      <w:kern w:val="2"/>
      <w:sz w:val="21"/>
      <w:szCs w:val="24"/>
      <w:lang w:val="en-US" w:eastAsia="zh-CN" w:bidi="ar-SA"/>
    </w:rPr>
  </w:style>
  <w:style w:type="paragraph" w:customStyle="1" w:styleId="44">
    <w:name w:val="列出段落1"/>
    <w:basedOn w:val="1"/>
    <w:qFormat/>
    <w:uiPriority w:val="34"/>
    <w:pPr>
      <w:ind w:firstLine="420" w:firstLineChars="200"/>
    </w:pPr>
    <w:rPr>
      <w:rFonts w:ascii="Calibri" w:hAnsi="Calibri" w:eastAsia="宋体" w:cs="Times New Roman"/>
    </w:rPr>
  </w:style>
  <w:style w:type="character" w:customStyle="1" w:styleId="45">
    <w:name w:val="15"/>
    <w:basedOn w:val="25"/>
    <w:qFormat/>
    <w:uiPriority w:val="0"/>
    <w:rPr>
      <w:rFonts w:hint="default" w:ascii="Cambria" w:hAnsi="Cambria" w:eastAsia="宋体" w:cs="Times New Roman"/>
      <w:b/>
      <w:bCs/>
      <w:kern w:val="2"/>
      <w:sz w:val="32"/>
      <w:szCs w:val="32"/>
    </w:rPr>
  </w:style>
  <w:style w:type="character" w:customStyle="1" w:styleId="46">
    <w:name w:val="10"/>
    <w:basedOn w:val="25"/>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2.png"/><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D:\&#20210;&#26126;&#26480;\&#20210;&#26126;&#26480;\WeChat%20Files\wxid_1gbp56i1t6o422\FileStorage\File\2024-10\&#20915;&#31639;&#20844;&#24320;&#20998;&#26512;&#22270;&#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20210;&#26126;&#26480;\&#20210;&#26126;&#26480;\WeChat%20Files\wxid_1gbp56i1t6o422\FileStorage\File\2024-10\&#20915;&#31639;&#20844;&#24320;&#20998;&#26512;&#22270;&#349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20210;&#26126;&#26480;\&#20210;&#26126;&#26480;\WeChat%20Files\wxid_1gbp56i1t6o422\FileStorage\File\2024-10\&#20915;&#31639;&#20844;&#24320;&#20998;&#26512;&#22270;&#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20210;&#26126;&#26480;\&#20210;&#26126;&#26480;\WeChat%20Files\wxid_1gbp56i1t6o422\FileStorage\File\2024-10\&#20915;&#31639;&#20844;&#24320;&#20998;&#26512;&#22270;&#3492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20210;&#26126;&#26480;\&#20210;&#26126;&#26480;\WeChat%20Files\wxid_1gbp56i1t6o422\FileStorage\File\2024-10\&#20915;&#31639;&#20844;&#24320;&#20998;&#26512;&#22270;&#3492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20210;&#26126;&#26480;\&#20210;&#26126;&#26480;\WeChat%20Files\wxid_1gbp56i1t6o422\FileStorage\File\2024-10\&#20915;&#31639;&#20844;&#24320;&#20998;&#26512;&#22270;&#3492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22756;&#22616;\&#24037;&#21830;\&#20915;&#31639;&#20844;&#24320;&#20998;&#26512;&#22270;&#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收入决算总计变动情况图</a:t>
            </a:r>
            <a:endParaRPr sz="1400" b="0" i="0" u="none" strike="noStrike" baseline="0">
              <a:solidFill>
                <a:srgbClr val="595959">
                  <a:alpha val="100000"/>
                </a:srgbClr>
              </a:solidFill>
              <a:latin typeface="宋体" charset="-122"/>
              <a:ea typeface="宋体" charset="-122"/>
              <a:cs typeface="宋体" charset="-122"/>
            </a:endParaRPr>
          </a:p>
        </c:rich>
      </c:tx>
      <c:layout/>
      <c:overlay val="0"/>
      <c:spPr>
        <a:noFill/>
        <a:ln>
          <a:noFill/>
        </a:ln>
        <a:effectLst/>
      </c:spPr>
    </c:title>
    <c:autoTitleDeleted val="0"/>
    <c:plotArea>
      <c:layout>
        <c:manualLayout>
          <c:layoutTarget val="inner"/>
          <c:xMode val="edge"/>
          <c:yMode val="edge"/>
          <c:x val="0.0988333333333333"/>
          <c:y val="0.22037037037037"/>
          <c:w val="0.844222222222222"/>
          <c:h val="0.711666666666667"/>
        </c:manualLayout>
      </c:layout>
      <c:barChart>
        <c:barDir val="col"/>
        <c:grouping val="clustered"/>
        <c:varyColors val="0"/>
        <c:ser>
          <c:idx val="0"/>
          <c:order val="0"/>
          <c:spPr>
            <a:solidFill>
              <a:schemeClr val="accent1"/>
            </a:solidFill>
            <a:ln>
              <a:noFill/>
            </a:ln>
            <a:effectLst/>
          </c:spPr>
          <c:invertIfNegative val="0"/>
          <c:dLbls>
            <c:delete val="1"/>
          </c:dLbls>
          <c:cat>
            <c:strRef>
              <c:f>[决算公开分析图表.xls]Sheet1!$A$3:$B$3</c:f>
              <c:strCache>
                <c:ptCount val="2"/>
                <c:pt idx="0">
                  <c:v>2022年</c:v>
                </c:pt>
                <c:pt idx="1">
                  <c:v>2023年</c:v>
                </c:pt>
              </c:strCache>
            </c:strRef>
          </c:cat>
          <c:val>
            <c:numRef>
              <c:f>[决算公开分析图表.xls]Sheet1!$A$4:$B$4</c:f>
              <c:numCache>
                <c:formatCode>#,##0.00</c:formatCode>
                <c:ptCount val="2"/>
                <c:pt idx="0">
                  <c:v>98.07</c:v>
                </c:pt>
                <c:pt idx="1">
                  <c:v>108.73</c:v>
                </c:pt>
              </c:numCache>
            </c:numRef>
          </c:val>
        </c:ser>
        <c:dLbls>
          <c:showLegendKey val="0"/>
          <c:showVal val="0"/>
          <c:showCatName val="0"/>
          <c:showSerName val="0"/>
          <c:showPercent val="0"/>
          <c:showBubbleSize val="0"/>
        </c:dLbls>
        <c:gapWidth val="219"/>
        <c:overlap val="-27"/>
        <c:axId val="805255232"/>
        <c:axId val="347575864"/>
      </c:barChart>
      <c:catAx>
        <c:axId val="805255232"/>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7575864"/>
        <c:crosses val="autoZero"/>
        <c:auto val="1"/>
        <c:lblAlgn val="ctr"/>
        <c:lblOffset val="100"/>
        <c:noMultiLvlLbl val="0"/>
      </c:catAx>
      <c:valAx>
        <c:axId val="34757586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5255232"/>
        <c:crosses val="autoZero"/>
        <c:crossBetween val="between"/>
      </c:valAx>
      <c:spPr>
        <a:noFill/>
        <a:ln>
          <a:noFill/>
        </a:ln>
        <a:effectLst/>
      </c:spPr>
    </c:plotArea>
    <c:plotVisOnly val="1"/>
    <c:dispBlanksAs val="gap"/>
    <c:showDLblsOverMax val="0"/>
    <c:extLst>
      <c:ext uri="{0b15fc19-7d7d-44ad-8c2d-2c3a37ce22c3}">
        <chartProps xmlns="https://web.wps.cn/et/2018/main" chartId="{96816e04-c0bf-4b01-b73a-34270141acd6}"/>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支出决算总计变动情况图</a:t>
            </a:r>
            <a:endParaRPr sz="1400" b="0" i="0" u="none" strike="noStrike" baseline="0">
              <a:solidFill>
                <a:srgbClr val="595959">
                  <a:alpha val="100000"/>
                </a:srgbClr>
              </a:solidFill>
              <a:latin typeface="宋体" charset="-122"/>
              <a:ea typeface="宋体" charset="-122"/>
              <a:cs typeface="宋体" charset="-122"/>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elete val="1"/>
          </c:dLbls>
          <c:cat>
            <c:strRef>
              <c:f>[决算公开分析图表.xls]Sheet1!$A$24:$B$24</c:f>
              <c:strCache>
                <c:ptCount val="2"/>
                <c:pt idx="0">
                  <c:v>2022年</c:v>
                </c:pt>
                <c:pt idx="1">
                  <c:v>2023年</c:v>
                </c:pt>
              </c:strCache>
            </c:strRef>
          </c:cat>
          <c:val>
            <c:numRef>
              <c:f>[决算公开分析图表.xls]Sheet1!$A$25:$B$25</c:f>
              <c:numCache>
                <c:formatCode>#,##0.00</c:formatCode>
                <c:ptCount val="2"/>
                <c:pt idx="0">
                  <c:v>102.52</c:v>
                </c:pt>
                <c:pt idx="1">
                  <c:v>108.73</c:v>
                </c:pt>
              </c:numCache>
            </c:numRef>
          </c:val>
        </c:ser>
        <c:dLbls>
          <c:showLegendKey val="0"/>
          <c:showVal val="0"/>
          <c:showCatName val="0"/>
          <c:showSerName val="0"/>
          <c:showPercent val="0"/>
          <c:showBubbleSize val="0"/>
        </c:dLbls>
        <c:gapWidth val="219"/>
        <c:overlap val="-27"/>
        <c:axId val="88844311"/>
        <c:axId val="832057577"/>
      </c:barChart>
      <c:catAx>
        <c:axId val="88844311"/>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2057577"/>
        <c:crosses val="autoZero"/>
        <c:auto val="1"/>
        <c:lblAlgn val="ctr"/>
        <c:lblOffset val="100"/>
        <c:noMultiLvlLbl val="0"/>
      </c:catAx>
      <c:valAx>
        <c:axId val="832057577"/>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844311"/>
        <c:crosses val="autoZero"/>
        <c:crossBetween val="between"/>
      </c:valAx>
      <c:spPr>
        <a:noFill/>
        <a:ln>
          <a:noFill/>
        </a:ln>
        <a:effectLst/>
      </c:spPr>
    </c:plotArea>
    <c:plotVisOnly val="1"/>
    <c:dispBlanksAs val="gap"/>
    <c:showDLblsOverMax val="0"/>
    <c:extLst>
      <c:ext uri="{0b15fc19-7d7d-44ad-8c2d-2c3a37ce22c3}">
        <chartProps xmlns="https://web.wps.cn/et/2018/main" chartId="{593a04a1-29f0-4f1f-8cd5-4d51c4eccc69}"/>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endParaRPr sz="1400" b="0" i="0" u="none" strike="noStrike" baseline="0">
              <a:solidFill>
                <a:srgbClr val="595959">
                  <a:alpha val="100000"/>
                </a:srgbClr>
              </a:solidFill>
              <a:latin typeface="宋体" charset="-122"/>
              <a:ea typeface="宋体" charset="-122"/>
              <a:cs typeface="宋体" charset="-122"/>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Lbls>
            <c:delete val="1"/>
          </c:dLbls>
          <c:cat>
            <c:strRef>
              <c:f>[决算公开分析图表.xls]Sheet1!$C$58:$C$62</c:f>
              <c:strCache>
                <c:ptCount val="5"/>
                <c:pt idx="0">
                  <c:v>基本支出</c:v>
                </c:pt>
                <c:pt idx="1">
                  <c:v>项目支出</c:v>
                </c:pt>
                <c:pt idx="2">
                  <c:v>上缴上级支出</c:v>
                </c:pt>
                <c:pt idx="3">
                  <c:v>经营支出</c:v>
                </c:pt>
                <c:pt idx="4">
                  <c:v>对附属单位补助支出</c:v>
                </c:pt>
              </c:strCache>
            </c:strRef>
          </c:cat>
          <c:val>
            <c:numRef>
              <c:f>[决算公开分析图表.xls]Sheet1!$D$58:$D$62</c:f>
              <c:numCache>
                <c:formatCode>#,##0.00</c:formatCode>
                <c:ptCount val="5"/>
                <c:pt idx="0">
                  <c:v>107.59</c:v>
                </c:pt>
                <c:pt idx="1">
                  <c:v>1.14</c:v>
                </c:pt>
                <c:pt idx="2" c:formatCode="General">
                  <c:v>0</c:v>
                </c:pt>
                <c:pt idx="3" c:formatCode="General">
                  <c:v>0</c:v>
                </c:pt>
                <c:pt idx="4" c:formatCode="General">
                  <c:v>0</c:v>
                </c:pt>
              </c:numCache>
            </c:numRef>
          </c:val>
        </c:ser>
        <c:dLbls>
          <c:showLegendKey val="0"/>
          <c:showVal val="0"/>
          <c:showCatName val="0"/>
          <c:showSerName val="0"/>
          <c:showPercent val="0"/>
          <c:showBubbleSize val="0"/>
          <c:showLeaderLines val="0"/>
        </c:dLbls>
        <c:firstSliceAng val="0"/>
      </c:pieChart>
      <c:spPr>
        <a:noFill/>
        <a:ln>
          <a:noFill/>
        </a:ln>
        <a:effectLst/>
      </c:spPr>
    </c:plotArea>
    <c:legend>
      <c:legendPos val="b"/>
      <c:layout>
        <c:manualLayout>
          <c:xMode val="edge"/>
          <c:yMode val="edge"/>
          <c:x val="0.0220883534136546"/>
          <c:y val="0.894951852932594"/>
          <c:w val="0.928328699413037"/>
          <c:h val="0.096002334403268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fcf7227-1a1b-4aa7-9f62-fd8e8361585f}"/>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财政拨款收入总计变动表</a:t>
            </a:r>
            <a:endParaRPr sz="1400" b="0" i="0" u="none" strike="noStrike" baseline="0">
              <a:solidFill>
                <a:srgbClr val="595959">
                  <a:alpha val="100000"/>
                </a:srgbClr>
              </a:solidFill>
              <a:latin typeface="宋体" charset="-122"/>
              <a:ea typeface="宋体" charset="-122"/>
              <a:cs typeface="宋体" charset="-122"/>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elete val="1"/>
          </c:dLbls>
          <c:cat>
            <c:strRef>
              <c:f>[决算公开分析图表.xls]Sheet1!$A$83:$B$83</c:f>
              <c:strCache>
                <c:ptCount val="2"/>
                <c:pt idx="0">
                  <c:v>2022年</c:v>
                </c:pt>
                <c:pt idx="1">
                  <c:v>2023年</c:v>
                </c:pt>
              </c:strCache>
            </c:strRef>
          </c:cat>
          <c:val>
            <c:numRef>
              <c:f>[决算公开分析图表.xls]Sheet1!$A$84:$B$84</c:f>
              <c:numCache>
                <c:formatCode>#,##0.00</c:formatCode>
                <c:ptCount val="2"/>
                <c:pt idx="0">
                  <c:v>98.07</c:v>
                </c:pt>
                <c:pt idx="1">
                  <c:v>108.73</c:v>
                </c:pt>
              </c:numCache>
            </c:numRef>
          </c:val>
        </c:ser>
        <c:dLbls>
          <c:showLegendKey val="0"/>
          <c:showVal val="0"/>
          <c:showCatName val="0"/>
          <c:showSerName val="0"/>
          <c:showPercent val="0"/>
          <c:showBubbleSize val="0"/>
        </c:dLbls>
        <c:gapWidth val="219"/>
        <c:overlap val="-27"/>
        <c:axId val="520046684"/>
        <c:axId val="36774868"/>
      </c:barChart>
      <c:catAx>
        <c:axId val="520046684"/>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774868"/>
        <c:crosses val="autoZero"/>
        <c:auto val="1"/>
        <c:lblAlgn val="ctr"/>
        <c:lblOffset val="100"/>
        <c:noMultiLvlLbl val="0"/>
      </c:catAx>
      <c:valAx>
        <c:axId val="367748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0046684"/>
        <c:crosses val="autoZero"/>
        <c:crossBetween val="between"/>
      </c:valAx>
      <c:spPr>
        <a:noFill/>
        <a:ln>
          <a:noFill/>
        </a:ln>
        <a:effectLst/>
      </c:spPr>
    </c:plotArea>
    <c:plotVisOnly val="1"/>
    <c:dispBlanksAs val="gap"/>
    <c:showDLblsOverMax val="0"/>
    <c:extLst>
      <c:ext uri="{0b15fc19-7d7d-44ad-8c2d-2c3a37ce22c3}">
        <chartProps xmlns="https://web.wps.cn/et/2018/main" chartId="{f8515856-d41b-45c0-a740-d35b163a49a5}"/>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财政拨款支出总计变动表</a:t>
            </a:r>
            <a:endParaRPr sz="1400" b="0" i="0" u="none" strike="noStrike" baseline="0">
              <a:solidFill>
                <a:srgbClr val="595959">
                  <a:alpha val="100000"/>
                </a:srgbClr>
              </a:solidFill>
              <a:latin typeface="宋体" charset="-122"/>
              <a:ea typeface="宋体" charset="-122"/>
              <a:cs typeface="宋体" charset="-122"/>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elete val="1"/>
          </c:dLbls>
          <c:cat>
            <c:strRef>
              <c:f>[决算公开分析图表.xls]Sheet1!$A$100:$B$100</c:f>
              <c:strCache>
                <c:ptCount val="2"/>
                <c:pt idx="0">
                  <c:v>2022年</c:v>
                </c:pt>
                <c:pt idx="1">
                  <c:v>2023年</c:v>
                </c:pt>
              </c:strCache>
            </c:strRef>
          </c:cat>
          <c:val>
            <c:numRef>
              <c:f>[决算公开分析图表.xls]Sheet1!$A$101:$B$101</c:f>
              <c:numCache>
                <c:formatCode>#,##0.00</c:formatCode>
                <c:ptCount val="2"/>
                <c:pt idx="0">
                  <c:v>102.52</c:v>
                </c:pt>
                <c:pt idx="1">
                  <c:v>108.73</c:v>
                </c:pt>
              </c:numCache>
            </c:numRef>
          </c:val>
        </c:ser>
        <c:dLbls>
          <c:showLegendKey val="0"/>
          <c:showVal val="0"/>
          <c:showCatName val="0"/>
          <c:showSerName val="0"/>
          <c:showPercent val="0"/>
          <c:showBubbleSize val="0"/>
        </c:dLbls>
        <c:gapWidth val="219"/>
        <c:overlap val="-27"/>
        <c:axId val="570707421"/>
        <c:axId val="272478948"/>
      </c:barChart>
      <c:catAx>
        <c:axId val="570707421"/>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2478948"/>
        <c:crosses val="autoZero"/>
        <c:auto val="1"/>
        <c:lblAlgn val="ctr"/>
        <c:lblOffset val="100"/>
        <c:noMultiLvlLbl val="0"/>
      </c:catAx>
      <c:valAx>
        <c:axId val="2724789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0707421"/>
        <c:crosses val="autoZero"/>
        <c:crossBetween val="between"/>
      </c:valAx>
      <c:spPr>
        <a:noFill/>
        <a:ln>
          <a:noFill/>
        </a:ln>
        <a:effectLst/>
      </c:spPr>
    </c:plotArea>
    <c:plotVisOnly val="1"/>
    <c:dispBlanksAs val="gap"/>
    <c:showDLblsOverMax val="0"/>
    <c:extLst>
      <c:ext uri="{0b15fc19-7d7d-44ad-8c2d-2c3a37ce22c3}">
        <chartProps xmlns="https://web.wps.cn/et/2018/main" chartId="{2f6afb5f-88a1-46cb-ba57-5cde46aa7ffa}"/>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endParaRPr sz="1400" b="0" i="0" u="none" strike="noStrike" baseline="0">
              <a:solidFill>
                <a:srgbClr val="595959">
                  <a:alpha val="100000"/>
                </a:srgbClr>
              </a:solidFill>
              <a:latin typeface="宋体" charset="-122"/>
              <a:ea typeface="宋体" charset="-122"/>
              <a:cs typeface="宋体" charset="-122"/>
            </a:endParaRPr>
          </a:p>
        </c:rich>
      </c:tx>
      <c:layout>
        <c:manualLayout>
          <c:xMode val="edge"/>
          <c:yMode val="edge"/>
          <c:x val="0.238259236067627"/>
          <c:y val="0.0616061606160616"/>
        </c:manualLayout>
      </c:layout>
      <c:overlay val="0"/>
      <c:spPr>
        <a:noFill/>
        <a:ln>
          <a:noFill/>
        </a:ln>
        <a:effectLst/>
      </c:spPr>
    </c:title>
    <c:autoTitleDeleted val="0"/>
    <c:plotArea>
      <c:layout>
        <c:manualLayout>
          <c:layoutTarget val="inner"/>
          <c:xMode val="edge"/>
          <c:yMode val="edge"/>
          <c:x val="0.058544689334367"/>
          <c:y val="0.255962378233121"/>
          <c:w val="0.915981836305239"/>
          <c:h val="0.581592206919718"/>
        </c:manualLayout>
      </c:layout>
      <c:barChart>
        <c:barDir val="col"/>
        <c:grouping val="clustered"/>
        <c:varyColors val="0"/>
        <c:ser>
          <c:idx val="0"/>
          <c:order val="0"/>
          <c:spPr>
            <a:solidFill>
              <a:schemeClr val="accent1"/>
            </a:solidFill>
            <a:ln>
              <a:noFill/>
            </a:ln>
            <a:effectLst/>
          </c:spPr>
          <c:invertIfNegative val="0"/>
          <c:dLbls>
            <c:delete val="1"/>
          </c:dLbls>
          <c:cat>
            <c:strRef>
              <c:f>[决算公开分析图表.xls]Sheet1!$A$116:$B$116</c:f>
              <c:strCache>
                <c:ptCount val="2"/>
                <c:pt idx="0">
                  <c:v>2022年</c:v>
                </c:pt>
                <c:pt idx="1">
                  <c:v>2023年</c:v>
                </c:pt>
              </c:strCache>
            </c:strRef>
          </c:cat>
          <c:val>
            <c:numRef>
              <c:f>[决算公开分析图表.xls]Sheet1!$A$117:$B$117</c:f>
              <c:numCache>
                <c:formatCode>#,##0.00</c:formatCode>
                <c:ptCount val="2"/>
                <c:pt idx="0">
                  <c:v>102.52</c:v>
                </c:pt>
                <c:pt idx="1">
                  <c:v>108.73</c:v>
                </c:pt>
              </c:numCache>
            </c:numRef>
          </c:val>
        </c:ser>
        <c:dLbls>
          <c:showLegendKey val="0"/>
          <c:showVal val="0"/>
          <c:showCatName val="0"/>
          <c:showSerName val="0"/>
          <c:showPercent val="0"/>
          <c:showBubbleSize val="0"/>
        </c:dLbls>
        <c:gapWidth val="219"/>
        <c:overlap val="-27"/>
        <c:axId val="724400663"/>
        <c:axId val="568542193"/>
      </c:barChart>
      <c:catAx>
        <c:axId val="724400663"/>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8542193"/>
        <c:crosses val="autoZero"/>
        <c:auto val="1"/>
        <c:lblAlgn val="ctr"/>
        <c:lblOffset val="100"/>
        <c:noMultiLvlLbl val="0"/>
      </c:catAx>
      <c:valAx>
        <c:axId val="568542193"/>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4400663"/>
        <c:crosses val="autoZero"/>
        <c:crossBetween val="between"/>
      </c:valAx>
      <c:spPr>
        <a:noFill/>
        <a:ln>
          <a:noFill/>
        </a:ln>
        <a:effectLst/>
      </c:spPr>
    </c:plotArea>
    <c:plotVisOnly val="1"/>
    <c:dispBlanksAs val="gap"/>
    <c:showDLblsOverMax val="0"/>
    <c:extLst>
      <c:ext uri="{0b15fc19-7d7d-44ad-8c2d-2c3a37ce22c3}">
        <chartProps xmlns="https://web.wps.cn/et/2018/main" chartId="{143a8e74-792a-4875-b73c-f6643ce21333}"/>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endParaRPr sz="1400" b="0" i="0" u="none" strike="noStrike" baseline="0">
              <a:solidFill>
                <a:srgbClr val="595959">
                  <a:alpha val="100000"/>
                </a:srgbClr>
              </a:solidFill>
              <a:latin typeface="宋体" charset="-122"/>
              <a:ea typeface="宋体" charset="-122"/>
              <a:cs typeface="宋体" charset="-122"/>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Lbls>
            <c:delete val="1"/>
          </c:dLbls>
          <c:cat>
            <c:strRef>
              <c:f>[决算公开分析图表.xls]Sheet1!$C$140:$C$143</c:f>
              <c:strCache>
                <c:ptCount val="4"/>
                <c:pt idx="0">
                  <c:v>一般公共服务支出</c:v>
                </c:pt>
                <c:pt idx="1">
                  <c:v>社会保障和就业支出</c:v>
                </c:pt>
                <c:pt idx="2">
                  <c:v>卫生健康支出</c:v>
                </c:pt>
                <c:pt idx="3">
                  <c:v>住房保障支出</c:v>
                </c:pt>
              </c:strCache>
            </c:strRef>
          </c:cat>
          <c:val>
            <c:numRef>
              <c:f>[决算公开分析图表.xls]Sheet1!$D$140:$D$143</c:f>
              <c:numCache>
                <c:formatCode>General</c:formatCode>
                <c:ptCount val="4"/>
                <c:pt idx="0">
                  <c:v>83.58</c:v>
                </c:pt>
                <c:pt idx="1" c:formatCode="#,##0.00">
                  <c:v>12.9</c:v>
                </c:pt>
                <c:pt idx="2" c:formatCode="#,##0.00">
                  <c:v>5.74</c:v>
                </c:pt>
                <c:pt idx="3" c:formatCode="#,##0.00">
                  <c:v>6.51</c:v>
                </c:pt>
              </c:numCache>
            </c:numRef>
          </c:val>
        </c:ser>
        <c:dLbls>
          <c:showLegendKey val="0"/>
          <c:showVal val="0"/>
          <c:showCatName val="0"/>
          <c:showSerName val="0"/>
          <c:showPercent val="0"/>
          <c:showBubbleSize val="0"/>
          <c:showLeaderLines val="0"/>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4317a77-a3ed-44f1-a47b-b6e0b2e09db8}"/>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3364</Words>
  <Characters>3732</Characters>
  <Lines>1</Lines>
  <Paragraphs>1</Paragraphs>
  <TotalTime>50</TotalTime>
  <ScaleCrop>false</ScaleCrop>
  <LinksUpToDate>false</LinksUpToDate>
  <CharactersWithSpaces>4122</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2021-08-07T01:38:00Z</dcterms:created>
  <dc:creator>曹颖</dc:creator>
  <cp:lastModifiedBy>可乐.</cp:lastModifiedBy>
  <cp:lastPrinted>2023-10-23T18:55:00Z</cp:lastPrinted>
  <dcterms:modified xsi:type="dcterms:W3CDTF">2026-10-20T19:01:13Z</dcterms:modified>
  <dc:title>阿坝州部门决算说明</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AE9F81883BC54D669D63440FF4B2358B_13</vt:lpwstr>
  </property>
  <property fmtid="{D5CDD505-2E9C-101B-9397-08002B2CF9AE}" pid="4" name="KSOTemplateDocerSaveRecord">
    <vt:lpwstr>eyJoZGlkIjoiODMyOGEzMTllMjRmYzRiODdhYWIyNTI4NTM2ZjdlNTkifQ==</vt:lpwstr>
  </property>
</Properties>
</file>