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8441"/>
      <w:bookmarkStart w:id="2" w:name="_Toc15377425"/>
      <w:bookmarkStart w:id="3" w:name="_Toc15377193"/>
      <w:bookmarkStart w:id="4" w:name="_Toc15396597"/>
      <w:bookmarkStart w:id="5" w:name="_Toc15306267"/>
      <w:r>
        <w:rPr>
          <w:rFonts w:hint="eastAsia" w:ascii="黑体" w:hAnsi="黑体" w:eastAsia="黑体" w:cs="黑体"/>
          <w:color w:val="auto"/>
          <w:kern w:val="2"/>
          <w:sz w:val="32"/>
          <w:szCs w:val="32"/>
          <w:highlight w:val="none"/>
          <w:lang w:val="en-US" w:eastAsia="zh-CN" w:bidi="ar-SA"/>
        </w:rPr>
        <w:t>附件2</w:t>
      </w: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2025年度县级</w:t>
      </w:r>
      <w:r>
        <w:rPr>
          <w:rFonts w:hint="eastAsia" w:ascii="Times New Roman" w:hAnsi="Times New Roman" w:eastAsia="方正小标宋简体" w:cs="Times New Roman"/>
          <w:color w:val="auto"/>
          <w:kern w:val="2"/>
          <w:sz w:val="44"/>
          <w:szCs w:val="44"/>
          <w:highlight w:val="none"/>
          <w:lang w:val="en-US" w:eastAsia="zh-CN" w:bidi="ar-SA"/>
        </w:rPr>
        <w:t>部门（单位）决算</w:t>
      </w:r>
    </w:p>
    <w:p>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pPr>
        <w:spacing w:line="600" w:lineRule="exact"/>
        <w:jc w:val="center"/>
        <w:outlineLvl w:val="0"/>
        <w:rPr>
          <w:rFonts w:ascii="Times New Roman" w:hAnsi="Times New Roman" w:eastAsia="方正小标宋简体"/>
          <w:color w:val="auto"/>
          <w:sz w:val="72"/>
          <w:szCs w:val="72"/>
          <w:highlight w:val="none"/>
        </w:rPr>
      </w:pPr>
    </w:p>
    <w:p>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bookmarkEnd w:id="0"/>
    <w:bookmarkEnd w:id="1"/>
    <w:bookmarkEnd w:id="2"/>
    <w:bookmarkEnd w:id="3"/>
    <w:bookmarkEnd w:id="4"/>
    <w:bookmarkEnd w:id="5"/>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w:t>
      </w:r>
    </w:p>
    <w:p>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bidi="ar-SA"/>
        </w:rPr>
        <w:t>中共壤塘县委党校</w:t>
      </w:r>
    </w:p>
    <w:p>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w:t>
      </w:r>
      <w:r>
        <w:rPr>
          <w:rFonts w:hint="eastAsia" w:ascii="Times New Roman" w:eastAsia="方正小标宋简体" w:cs="Times New Roman"/>
          <w:color w:val="auto"/>
          <w:kern w:val="2"/>
          <w:sz w:val="44"/>
          <w:szCs w:val="44"/>
          <w:highlight w:val="none"/>
          <w:lang w:val="en-US" w:eastAsia="zh-CN" w:bidi="ar-SA"/>
        </w:rPr>
        <w:t>开</w:t>
      </w: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pStyle w:val="8"/>
        <w:jc w:val="center"/>
        <w:rPr>
          <w:rFonts w:hint="eastAsia" w:ascii="Times New Roman" w:eastAsia="方正小标宋简体" w:cs="Times New Roman"/>
          <w:color w:val="auto"/>
          <w:kern w:val="2"/>
          <w:sz w:val="44"/>
          <w:szCs w:val="44"/>
          <w:highlight w:val="none"/>
          <w:lang w:val="en-US" w:eastAsia="zh-CN" w:bidi="ar-SA"/>
        </w:rPr>
      </w:pPr>
    </w:p>
    <w:p>
      <w:pPr>
        <w:widowControl/>
        <w:jc w:val="both"/>
        <w:rPr>
          <w:rFonts w:hint="eastAsia" w:ascii="Times New Roman" w:hAnsi="Times New Roman" w:eastAsia="黑体"/>
          <w:color w:val="auto"/>
          <w:sz w:val="48"/>
          <w:szCs w:val="48"/>
          <w:highlight w:val="none"/>
          <w:lang w:val="en-US" w:eastAsia="zh-CN"/>
        </w:rPr>
      </w:pPr>
    </w:p>
    <w:sdt>
      <w:sdtPr>
        <w:rPr>
          <w:rFonts w:hint="eastAsia" w:ascii="Times New Roman" w:hAnsi="Times New Roman" w:eastAsia="黑体"/>
          <w:color w:val="auto"/>
          <w:sz w:val="48"/>
          <w:szCs w:val="48"/>
          <w:highlight w:val="none"/>
          <w:lang w:val="en-US" w:eastAsia="zh-CN"/>
        </w:rPr>
        <w:id w:val="659033159"/>
        <w15:color w:val="DBDBDB"/>
        <w:docPartObj>
          <w:docPartGallery w:val="Table of Contents"/>
          <w:docPartUnique/>
        </w:docPartObj>
      </w:sdtPr>
      <w:sdtEndPr>
        <w:rPr>
          <w:rFonts w:hint="eastAsia" w:ascii="Times New Roman" w:hAnsi="Times New Roman" w:eastAsia="宋体" w:cs="Times New Roman"/>
          <w:color w:val="auto"/>
          <w:kern w:val="2"/>
          <w:sz w:val="18"/>
          <w:szCs w:val="18"/>
          <w:highlight w:val="none"/>
          <w:lang w:val="en-US" w:eastAsia="zh-CN" w:bidi="ar-SA"/>
        </w:rPr>
      </w:sdtEndPr>
      <w:sdtContent>
        <w:p>
          <w:pPr>
            <w:widowControl/>
            <w:jc w:val="center"/>
            <w:rPr>
              <w:rFonts w:hint="eastAsia"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pStyle w:val="13"/>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公开时间：2026年10月16日</w:t>
          </w:r>
        </w:p>
        <w:p>
          <w:pPr>
            <w:pStyle w:val="13"/>
            <w:tabs>
              <w:tab w:val="right" w:leader="dot" w:pos="8306"/>
              <w:tab w:val="clear" w:pos="8296"/>
            </w:tabs>
          </w:pPr>
          <w:r>
            <w:rPr>
              <w:rFonts w:hint="eastAsia"/>
            </w:rPr>
            <w:fldChar w:fldCharType="begin"/>
          </w:r>
          <w:r>
            <w:rPr>
              <w:rFonts w:hint="eastAsia"/>
            </w:rPr>
            <w:instrText xml:space="preserve">TOC \o "1-2" \h \u </w:instrText>
          </w:r>
          <w:r>
            <w:rPr>
              <w:rFonts w:hint="eastAsia"/>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_Toc1616086566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第一部分部门概况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_Toc1616086566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5</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_Toc1254906012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一、部门职责</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_Toc1254906012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_Toc454912868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二、机构设置</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_Toc454912868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3"/>
            <w:tabs>
              <w:tab w:val="right" w:leader="dot" w:pos="8306"/>
              <w:tab w:val="clear" w:pos="8296"/>
            </w:tabs>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_Toc1515701605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_Toc1515701605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6</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_Toc399280082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_Toc399280082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_Toc2061350299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_Toc2061350299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_Toc1601798714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三、支出决算情况说明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_Toc1601798714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7</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_Toc1573231342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四、财政拨款收入支出决算总体情况说明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_Toc1573231342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_Toc413482363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五、一般公共预算财政拨款支出决算情况说明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_Toc413482363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9</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_Toc1956719185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六、一般公共预算财政拨款基本支出决算情况说明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_Toc1956719185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_Toc1502170874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七、财政拨款“三公”经费支出决算情况说明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_Toc1502170874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12</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_Toc346587083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八、政府性基金预算支出决算情况说明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_Toc346587083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13</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_Toc266594629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九、国有资本经营预算支出决算情况说明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_Toc266594629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14</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_Toc1528429500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十、其他重要事项的情况说明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_Toc1528429500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14</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3"/>
            <w:tabs>
              <w:tab w:val="right" w:leader="dot" w:pos="8306"/>
              <w:tab w:val="clear" w:pos="8296"/>
            </w:tabs>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_Toc188539380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lang w:val="en-US" w:eastAsia="zh-CN"/>
            </w:rPr>
            <w:t>第三部分名词解释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_Toc188539380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16</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pPr>
            <w:pStyle w:val="13"/>
            <w:tabs>
              <w:tab w:val="right" w:leader="dot" w:pos="8306"/>
              <w:tab w:val="clear" w:pos="8296"/>
            </w:tabs>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_Toc914939523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_Toc914939523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19</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_Toc1810170079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zh-CN" w:eastAsia="zh-CN"/>
            </w:rPr>
            <w:t>一、部门（单位）基本情况</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_Toc1810170079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19</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_Toc1994679014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zh-CN" w:eastAsia="zh-CN"/>
            </w:rPr>
            <w:t>二、部门资金收支情况</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_Toc1994679014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20</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_Toc1717807432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zh-CN" w:eastAsia="zh-CN"/>
            </w:rPr>
            <w:t>三、部门预算绩效分析</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_Toc1717807432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20</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_Toc800734086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zh-CN" w:eastAsia="zh-CN"/>
            </w:rPr>
            <w:t>四、评价结论及建议</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_Toc800734086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27</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pPr>
            <w:pStyle w:val="13"/>
            <w:tabs>
              <w:tab w:val="right" w:leader="dot" w:pos="8306"/>
              <w:tab w:val="clear" w:pos="8296"/>
            </w:tabs>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_Toc660719140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第五部分附表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_Toc660719140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49</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_Toc1197505744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一、收入支出决算总表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_Toc1197505744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_Toc1369229916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二、收入决算表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_Toc1369229916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_Toc136875135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三、支出决算表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_Toc136875135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_Toc202270077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四、财政拨款收入支出决算总表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_Toc202270077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_Toc1449514199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五、财政拨款支出决算明细表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_Toc1449514199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_Toc977153816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六、一般公共预算财政拨款支出决算表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_Toc977153816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_Toc808635698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七、一般公共预算财政拨款支出决算明细表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_Toc808635698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_Toc382243491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八、一般公共预算财政拨款基本支出决算表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_Toc382243491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_Toc1635325160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九、一般公共预算财政拨款项目支出决算表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_Toc1635325160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_Toc1190068439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十、政府性基金预算财政拨款收入支出决算表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_Toc1190068439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_Toc1998330057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十一、国有资本经营预算财政拨款收入支出决算表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_Toc1998330057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_Toc742747525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十二、国有资本经营预算财政拨款支出决算表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_Toc742747525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_Toc1644981308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十三、财政拨款“三公”经费支出决算表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_Toc1644981308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pPr>
            <w:pStyle w:val="2"/>
            <w:rPr>
              <w:rFonts w:hint="eastAsia" w:ascii="Times New Roman" w:hAnsi="Times New Roman" w:eastAsia="宋体" w:cs="Times New Roman"/>
              <w:kern w:val="2"/>
              <w:sz w:val="18"/>
              <w:szCs w:val="18"/>
              <w:lang w:val="en-US" w:eastAsia="zh-CN" w:bidi="ar-SA"/>
            </w:rPr>
          </w:pPr>
          <w:r>
            <w:rPr>
              <w:rFonts w:hint="eastAsia"/>
            </w:rPr>
            <w:fldChar w:fldCharType="end"/>
          </w:r>
        </w:p>
      </w:sdtContent>
    </w:sdt>
    <w:p>
      <w:pPr>
        <w:pStyle w:val="3"/>
        <w:rPr>
          <w:rFonts w:hint="eastAsia"/>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5"/>
        <w:jc w:val="center"/>
        <w:outlineLvl w:val="0"/>
        <w:rPr>
          <w:rStyle w:val="28"/>
          <w:rFonts w:hint="eastAsia" w:ascii="Times New Roman" w:hAnsi="Times New Roman" w:eastAsia="方正小标宋简体" w:cs="方正小标宋简体"/>
          <w:b/>
          <w:bCs w:val="0"/>
          <w:color w:val="auto"/>
          <w:highlight w:val="none"/>
        </w:rPr>
      </w:pPr>
      <w:bookmarkStart w:id="8" w:name="_Toc1616086566"/>
      <w:r>
        <w:rPr>
          <w:rFonts w:hint="eastAsia" w:ascii="Times New Roman" w:hAnsi="Times New Roman" w:eastAsia="方正小标宋简体" w:cs="方正小标宋简体"/>
          <w:b w:val="0"/>
          <w:color w:val="auto"/>
          <w:highlight w:val="none"/>
        </w:rPr>
        <w:t>第一部分</w:t>
      </w:r>
      <w:r>
        <w:rPr>
          <w:rFonts w:hint="eastAsia" w:eastAsia="方正小标宋简体" w:cs="方正小标宋简体"/>
          <w:b w:val="0"/>
          <w:color w:val="auto"/>
          <w:highlight w:val="none"/>
          <w:lang w:val="en-US" w:eastAsia="zh-CN"/>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pPr>
        <w:widowControl/>
        <w:jc w:val="left"/>
        <w:rPr>
          <w:rFonts w:ascii="Times New Roman" w:hAnsi="Times New Roman" w:eastAsia="黑体"/>
          <w:color w:val="auto"/>
          <w:sz w:val="32"/>
          <w:szCs w:val="32"/>
          <w:highlight w:val="none"/>
        </w:rPr>
      </w:pPr>
    </w:p>
    <w:p>
      <w:pPr>
        <w:pStyle w:val="6"/>
        <w:numPr>
          <w:ilvl w:val="0"/>
          <w:numId w:val="1"/>
        </w:numPr>
        <w:outlineLvl w:val="1"/>
        <w:rPr>
          <w:rFonts w:hint="eastAsia" w:ascii="Times New Roman" w:hAnsi="Times New Roman" w:eastAsia="黑体"/>
          <w:b w:val="0"/>
          <w:color w:val="auto"/>
          <w:highlight w:val="none"/>
          <w:lang w:eastAsia="zh-CN"/>
        </w:rPr>
      </w:pPr>
      <w:bookmarkStart w:id="9" w:name="_Toc1254906012"/>
      <w:r>
        <w:rPr>
          <w:rFonts w:hint="eastAsia" w:ascii="Times New Roman" w:hAnsi="Times New Roman" w:eastAsia="黑体"/>
          <w:b w:val="0"/>
          <w:color w:val="auto"/>
          <w:highlight w:val="none"/>
          <w:lang w:eastAsia="zh-CN"/>
        </w:rPr>
        <w:t>部门职责</w:t>
      </w:r>
      <w:bookmarkEnd w:id="9"/>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中共壤塘县委党校坚守党校姓党根本原则，牢牢把握“为党育才、为党献策”初心使命，深入学习阐释习近平新时代中国特色社会主义思想，及时宣讲贯彻中央、省州重大决策部署，紧扣基层治理、民族团结、乡村振兴发展实际，持续夯实师资队伍、擦亮红色现场教学基地，精心组织党性教育、专题研修等各类班次，紧紧围绕提升办学质效、锻造忠诚可靠基层干部队伍为目标，以质量立校为导向，以教学为中心，</w:t>
      </w:r>
      <w:r>
        <w:rPr>
          <w:rFonts w:hint="eastAsia" w:eastAsia="仿宋_GB2312" w:cs="仿宋_GB2312"/>
          <w:color w:val="auto"/>
          <w:sz w:val="32"/>
          <w:szCs w:val="32"/>
          <w:highlight w:val="none"/>
          <w:lang w:val="en-US" w:eastAsia="zh-CN"/>
        </w:rPr>
        <w:t>以</w:t>
      </w:r>
      <w:r>
        <w:rPr>
          <w:rFonts w:hint="eastAsia" w:ascii="Times New Roman" w:hAnsi="Times New Roman" w:eastAsia="仿宋_GB2312" w:cs="仿宋_GB2312"/>
          <w:color w:val="auto"/>
          <w:sz w:val="32"/>
          <w:szCs w:val="32"/>
          <w:highlight w:val="none"/>
          <w:lang w:val="en-US" w:eastAsia="zh-CN"/>
        </w:rPr>
        <w:t>科研资政为支撑，充分发挥党员干部党性锻炼熔炉和思想理论主阵地作用，扎实做好理论研究与基层宣讲，常态化开展县、乡、村党员干部轮训，不断增强全县干部党性修养与履职干事能力。</w:t>
      </w:r>
    </w:p>
    <w:p>
      <w:pPr>
        <w:numPr>
          <w:ilvl w:val="0"/>
          <w:numId w:val="0"/>
        </w:numPr>
        <w:rPr>
          <w:rFonts w:hint="eastAsia"/>
          <w:lang w:eastAsia="zh-CN"/>
        </w:rPr>
      </w:pPr>
    </w:p>
    <w:p>
      <w:pPr>
        <w:pStyle w:val="6"/>
        <w:rPr>
          <w:rStyle w:val="29"/>
          <w:rFonts w:ascii="Times New Roman" w:hAnsi="Times New Roman"/>
          <w:b w:val="0"/>
          <w:bCs w:val="0"/>
          <w:color w:val="auto"/>
          <w:highlight w:val="none"/>
        </w:rPr>
      </w:pPr>
      <w:bookmarkStart w:id="10" w:name="_Toc454912868"/>
      <w:bookmarkStart w:id="11" w:name="_Toc15377200"/>
      <w:bookmarkStart w:id="12"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pPr>
        <w:pStyle w:val="8"/>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bookmarkStart w:id="13" w:name="_Toc30939"/>
      <w:bookmarkStart w:id="14" w:name="_Toc10699"/>
      <w:bookmarkStart w:id="15" w:name="_Toc12356"/>
      <w:r>
        <w:rPr>
          <w:rFonts w:hint="eastAsia" w:hAnsi="仿宋" w:cs="Times New Roman"/>
          <w:b w:val="0"/>
          <w:bCs w:val="0"/>
          <w:kern w:val="2"/>
          <w:sz w:val="32"/>
          <w:szCs w:val="32"/>
          <w:highlight w:val="none"/>
          <w:lang w:val="en-US" w:eastAsia="zh-CN" w:bidi="ar-SA"/>
        </w:rPr>
        <w:t>中共壤塘县委党校本级有两个下属二级单位，</w:t>
      </w:r>
      <w:bookmarkEnd w:id="13"/>
      <w:bookmarkEnd w:id="14"/>
      <w:bookmarkEnd w:id="15"/>
      <w:r>
        <w:rPr>
          <w:rFonts w:hint="eastAsia" w:hAnsi="仿宋" w:cs="Times New Roman"/>
          <w:b w:val="0"/>
          <w:bCs w:val="0"/>
          <w:kern w:val="2"/>
          <w:sz w:val="32"/>
          <w:szCs w:val="32"/>
          <w:highlight w:val="none"/>
          <w:lang w:val="en-US" w:eastAsia="zh-CN" w:bidi="ar-SA"/>
        </w:rPr>
        <w:t>分别是中共壤塘县委党校和中共壤塘县委党校教研室。</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jc w:val="center"/>
        <w:rPr>
          <w:rFonts w:hint="eastAsia" w:ascii="Times New Roman" w:hAnsi="Times New Roman" w:eastAsia="方正小标宋简体" w:cs="方正小标宋简体"/>
          <w:b w:val="0"/>
          <w:color w:val="auto"/>
          <w:highlight w:val="none"/>
        </w:rPr>
      </w:pPr>
      <w:bookmarkStart w:id="16" w:name="_Toc1515701605"/>
      <w:bookmarkStart w:id="17" w:name="_Toc15396602"/>
      <w:bookmarkStart w:id="18" w:name="_Toc15377204"/>
      <w:r>
        <w:rPr>
          <w:rFonts w:hint="eastAsia" w:ascii="Times New Roman" w:hAnsi="Times New Roman" w:eastAsia="方正小标宋简体" w:cs="方正小标宋简体"/>
          <w:b w:val="0"/>
          <w:color w:val="auto"/>
          <w:highlight w:val="none"/>
        </w:rPr>
        <w:t>第二部分</w:t>
      </w:r>
      <w:r>
        <w:rPr>
          <w:rFonts w:hint="eastAsia" w:eastAsia="方正小标宋简体" w:cs="方正小标宋简体"/>
          <w:b w:val="0"/>
          <w:color w:val="auto"/>
          <w:highlight w:val="none"/>
          <w:lang w:val="en-US" w:eastAsia="zh-CN"/>
        </w:rPr>
        <w:t xml:space="preserve"> 2025年度</w:t>
      </w:r>
      <w:r>
        <w:rPr>
          <w:rFonts w:hint="eastAsia" w:ascii="Times New Roman" w:hAnsi="Times New Roman" w:eastAsia="方正小标宋简体" w:cs="方正小标宋简体"/>
          <w:b w:val="0"/>
          <w:color w:val="auto"/>
          <w:highlight w:val="none"/>
        </w:rPr>
        <w:t>部门决算情况说明</w:t>
      </w:r>
      <w:bookmarkEnd w:id="16"/>
      <w:bookmarkEnd w:id="17"/>
      <w:bookmarkEnd w:id="18"/>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9" w:name="_Toc15396603"/>
      <w:bookmarkStart w:id="20" w:name="_Toc399280082"/>
      <w:bookmarkStart w:id="2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9"/>
      <w:bookmarkEnd w:id="20"/>
      <w:bookmarkEnd w:id="21"/>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 w:eastAsia="仿宋_GB2312" w:cs="Times New Roman"/>
          <w:b w:val="0"/>
          <w:bCs w:val="0"/>
          <w:kern w:val="2"/>
          <w:sz w:val="32"/>
          <w:szCs w:val="32"/>
          <w:highlight w:val="none"/>
          <w:lang w:val="en-US" w:eastAsia="zh-CN"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490.51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79.31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19.29</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ascii="仿宋_GB2312" w:hAnsi="仿宋" w:eastAsia="仿宋_GB2312" w:cs="Times New Roman"/>
          <w:b w:val="0"/>
          <w:bCs w:val="0"/>
          <w:kern w:val="2"/>
          <w:sz w:val="32"/>
          <w:szCs w:val="32"/>
          <w:highlight w:val="none"/>
          <w:lang w:val="en-US" w:eastAsia="zh-CN" w:bidi="ar-SA"/>
        </w:rPr>
        <w:t>本年度项目增加，项目支出增加，故本年收支增加。</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103505</wp:posOffset>
            </wp:positionH>
            <wp:positionV relativeFrom="paragraph">
              <wp:posOffset>236855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p>
    <w:p>
      <w:pPr>
        <w:pStyle w:val="2"/>
        <w:rPr>
          <w:rFonts w:hint="eastAsi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2061350299"/>
      <w:bookmarkStart w:id="23" w:name="_Toc15396604"/>
      <w:bookmarkStart w:id="24" w:name="_Toc15377206"/>
      <w:r>
        <w:rPr>
          <w:rFonts w:hint="eastAsia" w:ascii="Times New Roman" w:hAnsi="Times New Roman" w:eastAsia="黑体"/>
          <w:color w:val="auto"/>
          <w:sz w:val="32"/>
          <w:szCs w:val="32"/>
          <w:highlight w:val="none"/>
          <w:lang w:eastAsia="zh-CN"/>
        </w:rPr>
        <w:t>二、收入决算情况说明</w:t>
      </w:r>
      <w:bookmarkEnd w:id="22"/>
      <w:bookmarkEnd w:id="23"/>
      <w:bookmarkEnd w:id="24"/>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489.11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430.61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88.04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58.50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11.96</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-74930</wp:posOffset>
            </wp:positionH>
            <wp:positionV relativeFrom="paragraph">
              <wp:posOffset>196850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（图2：</w:t>
      </w:r>
      <w:r>
        <w:rPr>
          <w:rFonts w:hint="eastAsia" w:eastAsia="仿宋_GB2312" w:cs="仿宋_GB2312"/>
          <w:color w:val="auto"/>
          <w:sz w:val="32"/>
          <w:szCs w:val="32"/>
          <w:highlight w:val="none"/>
          <w:lang w:val="en-US" w:eastAsia="zh-CN"/>
        </w:rPr>
        <w:t>2025年度</w:t>
      </w:r>
      <w:r>
        <w:rPr>
          <w:rFonts w:hint="eastAsia" w:ascii="Times New Roman" w:hAnsi="Times New Roman" w:eastAsia="仿宋_GB2312" w:cs="仿宋_GB2312"/>
          <w:color w:val="auto"/>
          <w:sz w:val="32"/>
          <w:szCs w:val="32"/>
          <w:highlight w:val="none"/>
          <w:lang w:eastAsia="zh-CN"/>
        </w:rPr>
        <w:t>收入决算结构图）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5" w:name="_Toc15396605"/>
      <w:bookmarkStart w:id="26" w:name="_Toc15377207"/>
      <w:bookmarkStart w:id="27" w:name="_Toc1601798714"/>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5"/>
      <w:bookmarkEnd w:id="26"/>
      <w:bookmarkEnd w:id="2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448.67</w:t>
      </w:r>
      <w:r>
        <w:rPr>
          <w:rFonts w:hint="eastAsia" w:ascii="Times New Roman" w:hAnsi="Times New Roman" w:eastAsia="仿宋_GB2312" w:cs="仿宋_GB2312"/>
          <w:color w:val="auto"/>
          <w:sz w:val="32"/>
          <w:szCs w:val="32"/>
          <w:highlight w:val="none"/>
          <w:lang w:eastAsia="zh-CN"/>
        </w:rPr>
        <w:t>万元，其中：基本支出347.33万元，占</w:t>
      </w:r>
      <w:r>
        <w:rPr>
          <w:rFonts w:hint="eastAsia" w:eastAsia="仿宋_GB2312" w:cs="仿宋_GB2312"/>
          <w:color w:val="auto"/>
          <w:sz w:val="32"/>
          <w:szCs w:val="32"/>
          <w:highlight w:val="none"/>
          <w:lang w:val="en-US" w:eastAsia="zh-CN"/>
        </w:rPr>
        <w:t>77.41</w:t>
      </w:r>
      <w:r>
        <w:rPr>
          <w:rFonts w:hint="eastAsia" w:ascii="Times New Roman" w:hAnsi="Times New Roman" w:eastAsia="仿宋_GB2312" w:cs="仿宋_GB2312"/>
          <w:color w:val="auto"/>
          <w:sz w:val="32"/>
          <w:szCs w:val="32"/>
          <w:highlight w:val="none"/>
          <w:lang w:eastAsia="zh-CN"/>
        </w:rPr>
        <w:t>%；项目支出101.34万元，占</w:t>
      </w:r>
      <w:r>
        <w:rPr>
          <w:rFonts w:hint="eastAsia" w:eastAsia="仿宋_GB2312" w:cs="仿宋_GB2312"/>
          <w:color w:val="auto"/>
          <w:sz w:val="32"/>
          <w:szCs w:val="32"/>
          <w:highlight w:val="none"/>
          <w:lang w:val="en-US" w:eastAsia="zh-CN"/>
        </w:rPr>
        <w:t>22.59</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w:t>
      </w:r>
    </w:p>
    <w:p>
      <w:pPr>
        <w:ind w:left="0" w:leftChars="0" w:firstLine="0" w:firstLineChars="0"/>
        <w:jc w:val="both"/>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4625" cy="2469515"/>
            <wp:effectExtent l="4445" t="4445" r="17780" b="2159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w:t>
      </w:r>
      <w:r>
        <w:rPr>
          <w:rFonts w:hint="eastAsia" w:eastAsia="仿宋_GB2312" w:cs="仿宋_GB2312"/>
          <w:color w:val="auto"/>
          <w:sz w:val="32"/>
          <w:szCs w:val="32"/>
          <w:highlight w:val="none"/>
          <w:lang w:val="en-US" w:eastAsia="zh-CN"/>
        </w:rPr>
        <w:t>2025年度</w:t>
      </w:r>
      <w:r>
        <w:rPr>
          <w:rFonts w:hint="eastAsia" w:ascii="Times New Roman" w:hAnsi="Times New Roman" w:eastAsia="仿宋_GB2312" w:cs="仿宋_GB2312"/>
          <w:color w:val="auto"/>
          <w:sz w:val="32"/>
          <w:szCs w:val="32"/>
          <w:highlight w:val="none"/>
          <w:lang w:eastAsia="zh-CN"/>
        </w:rPr>
        <w:t>支出决算结构图）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28" w:name="_Toc1573231342"/>
      <w:bookmarkStart w:id="29" w:name="_Toc15396606"/>
      <w:bookmarkStart w:id="30"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8"/>
      <w:bookmarkEnd w:id="29"/>
      <w:bookmarkEnd w:id="30"/>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430.61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42.06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10.82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:一2025年度新进人员，由于人员调动，人员经费增加，财政拨款支出增加；二项目支出增加，专用设备购置增加，财政拨款支出增加。</w:t>
      </w:r>
    </w:p>
    <w:p>
      <w:pPr>
        <w:pStyle w:val="2"/>
        <w:keepNext/>
        <w:keepLines w:val="0"/>
        <w:pageBreakBefore w:val="0"/>
        <w:widowControl w:val="0"/>
        <w:kinsoku/>
        <w:wordWrap/>
        <w:overflowPunct/>
        <w:topLinePunct w:val="0"/>
        <w:autoSpaceDE/>
        <w:autoSpaceDN/>
        <w:bidi w:val="0"/>
        <w:adjustRightInd/>
        <w:snapToGrid w:val="0"/>
        <w:textAlignment w:val="auto"/>
        <w:rPr>
          <w:rFonts w:hint="eastAsia"/>
          <w:lang w:val="en-US" w:eastAsia="zh-CN"/>
        </w:rPr>
      </w:pPr>
      <w:r>
        <w:rPr>
          <w:rFonts w:hint="eastAsia"/>
          <w:lang w:val="en-US" w:eastAsia="zh-CN"/>
        </w:rPr>
        <w:drawing>
          <wp:inline distT="0" distB="0" distL="114300" distR="114300">
            <wp:extent cx="5256530" cy="2988310"/>
            <wp:effectExtent l="5080" t="4445" r="1524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
        <w:rPr>
          <w:rFonts w:hint="eastAsia"/>
          <w:lang w:val="en-US" w:eastAsia="zh-CN"/>
        </w:rPr>
      </w:pPr>
    </w:p>
    <w:p>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hint="eastAsia" w:ascii="Times New Roman" w:hAnsi="Times New Roman" w:eastAsia="黑体"/>
          <w:b w:val="0"/>
          <w:color w:val="auto"/>
          <w:highlight w:val="none"/>
        </w:rPr>
      </w:pPr>
      <w:bookmarkStart w:id="31" w:name="_Toc15396607"/>
      <w:bookmarkStart w:id="32" w:name="_Toc15377209"/>
      <w:bookmarkStart w:id="33" w:name="_Toc413482363"/>
      <w:r>
        <w:rPr>
          <w:rStyle w:val="29"/>
          <w:rFonts w:hint="eastAsia" w:ascii="Times New Roman" w:hAnsi="Times New Roman" w:eastAsia="黑体"/>
          <w:b w:val="0"/>
          <w:color w:val="auto"/>
          <w:highlight w:val="none"/>
        </w:rPr>
        <w:t>五、一般公共预算财政拨款支出决算情况说明</w:t>
      </w:r>
      <w:bookmarkEnd w:id="31"/>
      <w:bookmarkEnd w:id="32"/>
      <w:bookmarkEnd w:id="3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4"/>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430.61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95.97</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42.06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10.82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：本年度人员调动，新增员工，人员经费增加，一般公共预算财政拨款支出增加。</w:t>
      </w:r>
    </w:p>
    <w:p>
      <w:pPr>
        <w:pStyle w:val="2"/>
        <w:rPr>
          <w:rFonts w:hint="eastAsia"/>
          <w:lang w:val="en-US" w:eastAsia="zh-CN"/>
        </w:rPr>
      </w:pPr>
      <w:r>
        <w:rPr>
          <w:rFonts w:hint="eastAsia"/>
          <w:lang w:val="en-US" w:eastAsia="zh-CN"/>
        </w:rPr>
        <w:drawing>
          <wp:inline distT="0" distB="0" distL="114300" distR="114300">
            <wp:extent cx="5256530" cy="2988310"/>
            <wp:effectExtent l="5080" t="4445" r="15240" b="1714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0"/>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5"/>
    </w:p>
    <w:p>
      <w:pPr>
        <w:keepNext w:val="0"/>
        <w:keepLines w:val="0"/>
        <w:pageBreakBefore w:val="0"/>
        <w:widowControl/>
        <w:kinsoku/>
        <w:wordWrap/>
        <w:overflowPunct/>
        <w:topLinePunct w:val="0"/>
        <w:autoSpaceDE/>
        <w:autoSpaceDN/>
        <w:bidi w:val="0"/>
        <w:adjustRightInd/>
        <w:snapToGrid/>
        <w:spacing w:line="6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一般公共预算财政拨款支出430.61万元，主要用于以下方面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一般公共服务支出83.13万元，占</w:t>
      </w:r>
      <w:r>
        <w:rPr>
          <w:rFonts w:hint="eastAsia" w:eastAsia="仿宋_GB2312" w:cs="仿宋_GB2312"/>
          <w:color w:val="auto"/>
          <w:kern w:val="2"/>
          <w:sz w:val="32"/>
          <w:szCs w:val="32"/>
          <w:highlight w:val="none"/>
          <w:lang w:val="en-US" w:eastAsia="zh-CN" w:bidi="ar-SA"/>
        </w:rPr>
        <w:t>19.31</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252.91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58.73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51.74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12.02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18.27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24.56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5.70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24130</wp:posOffset>
            </wp:positionH>
            <wp:positionV relativeFrom="paragraph">
              <wp:posOffset>445770</wp:posOffset>
            </wp:positionV>
            <wp:extent cx="5255260" cy="2058035"/>
            <wp:effectExtent l="4445" t="4445" r="17145" b="13970"/>
            <wp:wrapTopAndBottom/>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0"/>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7" w:name="_Toc15378460"/>
      <w:bookmarkStart w:id="38" w:name="_Toc15377213"/>
      <w:bookmarkStart w:id="39"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430.61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%。其中：</w:t>
      </w:r>
      <w:bookmarkEnd w:id="37"/>
      <w:bookmarkEnd w:id="38"/>
      <w:bookmarkEnd w:id="39"/>
    </w:p>
    <w:p>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（类）组织事务（款）其他组织事务支出（项）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55.73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（类）其他一般公共服务支出（款）其他一般公共服务支出（项）:支出决算为</w:t>
      </w:r>
      <w:r>
        <w:rPr>
          <w:rFonts w:hint="eastAsia" w:eastAsia="仿宋_GB2312" w:cs="仿宋_GB2312"/>
          <w:color w:val="auto"/>
          <w:kern w:val="2"/>
          <w:sz w:val="32"/>
          <w:szCs w:val="32"/>
          <w:highlight w:val="none"/>
          <w:lang w:val="en-US" w:eastAsia="zh-CN" w:bidi="ar-SA"/>
        </w:rPr>
        <w:t>27.40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3.教育支出（类）进修及培训（款）干部教育（项）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支出决算为252.76万元，完成预算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4.教育支出（类）进修及培训（款）其他进修及培训（项）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支出决算为34.49万元，完成预算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支出决算为17.25万元，完成预算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6.92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7.80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9.卫生健康支出（类）行政事业单位医疗（款）公务员医疗补助（项）：支出决算为2.39万元，完成预算100.00%。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10.卫生健康支出（类）行政事业单位医疗（款）其他行政事业单位医疗支出（项）：支出决算为1.16万元，完成预算100.00%。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.住房保障支出（类）住房改革支出（款）住房公积金（项）：支出决算为24.56万元，完成预算100.00%。</w:t>
      </w:r>
    </w:p>
    <w:p>
      <w:pPr>
        <w:spacing w:line="600" w:lineRule="exact"/>
        <w:ind w:firstLine="640"/>
        <w:rPr>
          <w:rFonts w:hint="eastAsia"/>
          <w:lang w:val="en-US" w:eastAsia="zh-CN"/>
        </w:rPr>
      </w:pPr>
    </w:p>
    <w:p>
      <w:pPr>
        <w:spacing w:line="600" w:lineRule="exact"/>
        <w:ind w:firstLine="640" w:firstLineChars="200"/>
        <w:outlineLvl w:val="1"/>
        <w:rPr>
          <w:rStyle w:val="29"/>
          <w:rFonts w:hint="eastAsia" w:ascii="Times New Roman" w:hAnsi="Times New Roman" w:eastAsia="黑体"/>
          <w:b w:val="0"/>
          <w:color w:val="auto"/>
          <w:highlight w:val="none"/>
        </w:rPr>
      </w:pPr>
      <w:bookmarkStart w:id="40" w:name="_Toc15396608"/>
      <w:bookmarkStart w:id="41" w:name="_Toc1956719185"/>
      <w:bookmarkStart w:id="42" w:name="_Toc15377214"/>
      <w:r>
        <w:rPr>
          <w:rStyle w:val="29"/>
          <w:rFonts w:hint="eastAsia" w:ascii="Times New Roman" w:hAnsi="Times New Roman" w:eastAsia="黑体"/>
          <w:b w:val="0"/>
          <w:color w:val="auto"/>
          <w:highlight w:val="none"/>
        </w:rPr>
        <w:t>六、一般公共预算财政拨款基本支出决算情况说明</w:t>
      </w:r>
      <w:bookmarkEnd w:id="40"/>
      <w:bookmarkEnd w:id="41"/>
      <w:bookmarkEnd w:id="42"/>
      <w:r>
        <w:rPr>
          <w:rStyle w:val="29"/>
          <w:rFonts w:hint="eastAsia"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347.33</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330.68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万元，主要包括：基本工资、津贴补贴、奖金、伙食补助费、绩效工资、机关事业单位基本养老保险缴费、职业年金缴费、职工基本医疗保险缴费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生活补助、医疗费补助、奖励金、住房公积金等。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16.65</w:t>
      </w:r>
      <w:r>
        <w:rPr>
          <w:rFonts w:hint="eastAsia" w:ascii="Times New Roman" w:hAnsi="Times New Roman" w:eastAsia="仿宋_GB2312" w:cs="仿宋_GB2312"/>
          <w:color w:val="auto"/>
          <w:kern w:val="2"/>
          <w:sz w:val="32"/>
          <w:szCs w:val="32"/>
          <w:highlight w:val="none"/>
          <w:lang w:val="en-US" w:eastAsia="zh-CN" w:bidi="ar-SA"/>
        </w:rPr>
        <w:t>万元，主要包括：办公费、印刷费、水费、电费、邮电费、差旅费、维修（护）费、公务用车运行维护费等。</w:t>
      </w:r>
    </w:p>
    <w:p>
      <w:pPr>
        <w:spacing w:line="600" w:lineRule="exact"/>
        <w:ind w:firstLine="640"/>
        <w:rPr>
          <w:rFonts w:hint="eastAsia"/>
          <w:lang w:val="en-US" w:eastAsia="zh-CN"/>
        </w:rPr>
      </w:pPr>
    </w:p>
    <w:p>
      <w:pPr>
        <w:spacing w:line="600" w:lineRule="exact"/>
        <w:ind w:firstLine="640"/>
        <w:outlineLvl w:val="1"/>
        <w:rPr>
          <w:rStyle w:val="29"/>
          <w:rFonts w:ascii="Times New Roman" w:hAnsi="Times New Roman" w:eastAsia="黑体"/>
          <w:b w:val="0"/>
          <w:color w:val="auto"/>
          <w:highlight w:val="none"/>
        </w:rPr>
      </w:pPr>
      <w:bookmarkStart w:id="43" w:name="_Toc15377215"/>
      <w:bookmarkStart w:id="44" w:name="_Toc15396609"/>
      <w:bookmarkStart w:id="45" w:name="_Toc1502170874"/>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3"/>
      <w:bookmarkEnd w:id="44"/>
      <w:bookmarkEnd w:id="4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6"/>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 w:eastAsia="仿宋_GB2312" w:cs="Times New Roman"/>
          <w:b w:val="0"/>
          <w:bCs w:val="0"/>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 w:eastAsia="仿宋_GB2312" w:cs="Times New Roman"/>
          <w:b w:val="0"/>
          <w:bCs w:val="0"/>
          <w:kern w:val="2"/>
          <w:sz w:val="32"/>
          <w:szCs w:val="32"/>
          <w:highlight w:val="none"/>
          <w:lang w:val="en-US" w:eastAsia="zh-CN" w:bidi="ar-SA"/>
        </w:rPr>
        <w:t>86.25</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0.55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15.94</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w:t>
      </w:r>
      <w:r>
        <w:rPr>
          <w:rFonts w:hint="eastAsia" w:ascii="仿宋_GB2312" w:hAnsi="仿宋" w:eastAsia="仿宋_GB2312" w:cs="Times New Roman"/>
          <w:b w:val="0"/>
          <w:bCs w:val="0"/>
          <w:kern w:val="2"/>
          <w:sz w:val="32"/>
          <w:szCs w:val="32"/>
          <w:highlight w:val="none"/>
          <w:lang w:val="en-US" w:eastAsia="zh-CN" w:bidi="ar-SA"/>
        </w:rPr>
        <w:t>厉行节约。</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4.00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2"/>
        <w:rPr>
          <w:rFonts w:hint="eastAsia"/>
          <w:lang w:val="en-US" w:eastAsia="zh-CN"/>
        </w:rPr>
      </w:pPr>
      <w:r>
        <w:rPr>
          <w:rFonts w:hint="eastAsia"/>
          <w:lang w:val="en-US" w:eastAsia="zh-CN"/>
        </w:rPr>
        <w:drawing>
          <wp:inline distT="0" distB="0" distL="114300" distR="114300">
            <wp:extent cx="5256530" cy="2988310"/>
            <wp:effectExtent l="5080" t="4445" r="15240" b="1714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r>
        <w:rPr>
          <w:rFonts w:hint="eastAsia" w:eastAsia="仿宋_GB2312" w:cs="仿宋_GB2312"/>
          <w:color w:val="auto"/>
          <w:kern w:val="2"/>
          <w:sz w:val="32"/>
          <w:szCs w:val="32"/>
          <w:highlight w:val="none"/>
          <w:lang w:val="en-US" w:eastAsia="zh-CN" w:bidi="ar-SA"/>
        </w:rPr>
        <w:t>图</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万元。</w:t>
      </w:r>
    </w:p>
    <w:p>
      <w:pPr>
        <w:pageBreakBefore w:val="0"/>
        <w:widowControl w:val="0"/>
        <w:kinsoku/>
        <w:wordWrap/>
        <w:overflowPunct/>
        <w:topLinePunct w:val="0"/>
        <w:bidi w:val="0"/>
        <w:spacing w:line="560" w:lineRule="exact"/>
        <w:ind w:firstLine="640"/>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4.00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仿宋_GB2312" w:hAnsi="仿宋" w:eastAsia="仿宋_GB2312" w:cs="Times New Roman"/>
          <w:b w:val="0"/>
          <w:bCs w:val="0"/>
          <w:kern w:val="2"/>
          <w:sz w:val="32"/>
          <w:szCs w:val="32"/>
          <w:highlight w:val="none"/>
          <w:lang w:val="en-US" w:eastAsia="zh-CN" w:bidi="ar-SA"/>
        </w:rPr>
        <w:t>86.25</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0.55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15.94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w:t>
      </w:r>
      <w:r>
        <w:rPr>
          <w:rFonts w:hint="eastAsia" w:ascii="仿宋_GB2312" w:hAnsi="仿宋" w:eastAsia="仿宋_GB2312" w:cs="Times New Roman"/>
          <w:b w:val="0"/>
          <w:bCs w:val="0"/>
          <w:kern w:val="2"/>
          <w:sz w:val="32"/>
          <w:szCs w:val="32"/>
          <w:highlight w:val="none"/>
          <w:lang w:val="en-US" w:eastAsia="zh-CN" w:bidi="ar-SA"/>
        </w:rPr>
        <w:t>本年度业务活动增加，相应费用增加。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w:t>
      </w:r>
    </w:p>
    <w:p>
      <w:pPr>
        <w:pageBreakBefore w:val="0"/>
        <w:widowControl w:val="0"/>
        <w:kinsoku/>
        <w:wordWrap/>
        <w:overflowPunct/>
        <w:topLinePunct w:val="0"/>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4.00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000000"/>
          <w:sz w:val="32"/>
          <w:szCs w:val="32"/>
          <w:lang w:val="en-US" w:eastAsia="zh-CN"/>
        </w:rPr>
        <w:t>车辆的日常维</w:t>
      </w:r>
      <w:r>
        <w:rPr>
          <w:rFonts w:hint="eastAsia" w:ascii="仿宋_GB2312" w:hAnsi="仿宋" w:eastAsia="仿宋_GB2312" w:cs="Times New Roman"/>
          <w:b w:val="0"/>
          <w:bCs w:val="0"/>
          <w:kern w:val="2"/>
          <w:sz w:val="32"/>
          <w:szCs w:val="32"/>
          <w:highlight w:val="none"/>
          <w:lang w:val="en-US" w:eastAsia="zh-CN" w:bidi="ar-SA"/>
        </w:rPr>
        <w:t>修维护费用</w:t>
      </w:r>
      <w:r>
        <w:rPr>
          <w:rFonts w:hint="eastAsia" w:ascii="仿宋_GB2312" w:eastAsia="仿宋_GB2312"/>
          <w:color w:val="000000"/>
          <w:sz w:val="32"/>
          <w:szCs w:val="32"/>
          <w:lang w:val="en-US" w:eastAsia="zh-CN"/>
        </w:rPr>
        <w:t>和过路费等</w:t>
      </w:r>
      <w:r>
        <w:rPr>
          <w:rFonts w:hint="eastAsia" w:ascii="仿宋_GB2312" w:eastAsia="仿宋_GB2312"/>
          <w:color w:val="000000"/>
          <w:sz w:val="32"/>
          <w:szCs w:val="32"/>
        </w:rPr>
        <w:t>。</w:t>
      </w:r>
    </w:p>
    <w:p>
      <w:pPr>
        <w:numPr>
          <w:ilvl w:val="0"/>
          <w:numId w:val="2"/>
        </w:numPr>
        <w:spacing w:line="600" w:lineRule="exact"/>
        <w:ind w:firstLine="640"/>
        <w:rPr>
          <w:rFonts w:hint="eastAsia"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bookmarkStart w:id="48" w:name="_Toc15377218"/>
      <w:bookmarkStart w:id="49" w:name="_Toc15396610"/>
    </w:p>
    <w:p>
      <w:pPr>
        <w:spacing w:line="600" w:lineRule="exact"/>
        <w:ind w:firstLine="640"/>
        <w:rPr>
          <w:rFonts w:hint="eastAsia"/>
          <w:lang w:val="en-US" w:eastAsia="zh-CN"/>
        </w:rPr>
      </w:pPr>
    </w:p>
    <w:p>
      <w:pPr>
        <w:spacing w:line="600" w:lineRule="exact"/>
        <w:ind w:firstLine="640"/>
        <w:outlineLvl w:val="1"/>
        <w:rPr>
          <w:rStyle w:val="29"/>
          <w:rFonts w:ascii="Times New Roman" w:hAnsi="Times New Roman" w:eastAsia="黑体"/>
          <w:color w:val="auto"/>
          <w:highlight w:val="none"/>
        </w:rPr>
      </w:pPr>
      <w:bookmarkStart w:id="50" w:name="_Toc346587083"/>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8"/>
      <w:bookmarkEnd w:id="49"/>
      <w:bookmarkEnd w:id="5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不变</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lang w:val="en-US" w:eastAsia="zh-CN"/>
        </w:rPr>
      </w:pP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1" w:name="_Toc15377219"/>
      <w:bookmarkStart w:id="52" w:name="_Toc15396611"/>
      <w:bookmarkStart w:id="53" w:name="_Toc26659462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1"/>
      <w:bookmarkEnd w:id="52"/>
      <w:bookmarkEnd w:id="53"/>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数不变。</w:t>
      </w:r>
    </w:p>
    <w:p>
      <w:pPr>
        <w:spacing w:line="600" w:lineRule="exact"/>
        <w:ind w:firstLine="640"/>
        <w:rPr>
          <w:rFonts w:hint="eastAsia"/>
          <w:lang w:val="en-US" w:eastAsia="zh-CN"/>
        </w:rPr>
      </w:pP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4" w:name="_Toc1528429500"/>
      <w:bookmarkStart w:id="55" w:name="_Toc15396612"/>
      <w:bookmarkStart w:id="56"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4"/>
      <w:bookmarkEnd w:id="55"/>
      <w:bookmarkEnd w:id="5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7" w:name="_Toc15377222"/>
      <w:r>
        <w:rPr>
          <w:rFonts w:hint="eastAsia" w:ascii="Times New Roman" w:hAnsi="Times New Roman" w:eastAsia="楷体_GB2312" w:cs="楷体_GB2312"/>
          <w:b/>
          <w:color w:val="auto"/>
          <w:sz w:val="32"/>
          <w:szCs w:val="32"/>
          <w:highlight w:val="none"/>
        </w:rPr>
        <w:t>（一）机关运行经费支出情况</w:t>
      </w:r>
      <w:bookmarkEnd w:id="57"/>
    </w:p>
    <w:p>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16.65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4.72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39.56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。业务活动增加，相应费用增加。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8" w:name="_Toc15377223"/>
      <w:r>
        <w:rPr>
          <w:rFonts w:hint="eastAsia" w:ascii="Times New Roman" w:hAnsi="Times New Roman" w:eastAsia="楷体_GB2312" w:cs="楷体_GB2312"/>
          <w:b/>
          <w:color w:val="auto"/>
          <w:sz w:val="32"/>
          <w:szCs w:val="32"/>
          <w:highlight w:val="none"/>
        </w:rPr>
        <w:t>（二）政府采购支出情况</w:t>
      </w:r>
      <w:bookmarkEnd w:id="5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9" w:name="_Toc15377224"/>
      <w:r>
        <w:rPr>
          <w:rFonts w:hint="eastAsia" w:ascii="Times New Roman" w:hAnsi="Times New Roman" w:eastAsia="楷体_GB2312" w:cs="楷体_GB2312"/>
          <w:b/>
          <w:color w:val="auto"/>
          <w:sz w:val="32"/>
          <w:szCs w:val="32"/>
          <w:highlight w:val="none"/>
        </w:rPr>
        <w:t>（三）国有资产占有使用情况</w:t>
      </w:r>
      <w:bookmarkEnd w:id="59"/>
    </w:p>
    <w:p>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止</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单位日常活动。</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壤塘县2024年中青班干部培训</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178.1</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87</w:t>
      </w:r>
      <w:r>
        <w:rPr>
          <w:rFonts w:hint="eastAsia" w:ascii="Times New Roman" w:hAnsi="Times New Roman" w:eastAsia="仿宋_GB2312" w:cs="仿宋_GB2312"/>
          <w:color w:val="auto"/>
          <w:kern w:val="2"/>
          <w:sz w:val="32"/>
          <w:szCs w:val="32"/>
          <w:highlight w:val="none"/>
          <w:lang w:val="en-US" w:eastAsia="zh-CN" w:bidi="ar-SA"/>
        </w:rPr>
        <w:t>分，绩效自评综述绩效等级为良好。绩效自评报告详见附件。</w:t>
      </w:r>
    </w:p>
    <w:p>
      <w:pPr>
        <w:pStyle w:val="5"/>
        <w:jc w:val="center"/>
        <w:rPr>
          <w:rFonts w:hint="eastAsia" w:ascii="Times New Roman" w:hAnsi="Times New Roman" w:eastAsia="方正小标宋简体" w:cs="方正小标宋简体"/>
          <w:b w:val="0"/>
          <w:color w:val="auto"/>
          <w:highlight w:val="none"/>
          <w:lang w:val="en-US" w:eastAsia="zh-CN"/>
        </w:rPr>
      </w:pPr>
      <w:bookmarkStart w:id="60" w:name="_Toc15396613"/>
      <w:bookmarkStart w:id="61" w:name="_Toc15377225"/>
      <w:bookmarkStart w:id="62" w:name="_Toc188539380"/>
    </w:p>
    <w:p>
      <w:pPr>
        <w:pStyle w:val="5"/>
        <w:jc w:val="center"/>
        <w:rPr>
          <w:rFonts w:hint="eastAsia" w:ascii="Times New Roman" w:hAnsi="Times New Roman" w:eastAsia="方正小标宋简体" w:cs="方正小标宋简体"/>
          <w:b w:val="0"/>
          <w:color w:val="auto"/>
          <w:highlight w:val="none"/>
          <w:lang w:val="en-US" w:eastAsia="zh-CN"/>
        </w:rPr>
      </w:pPr>
    </w:p>
    <w:p>
      <w:pPr>
        <w:pStyle w:val="5"/>
        <w:jc w:val="both"/>
        <w:rPr>
          <w:rFonts w:hint="eastAsia" w:ascii="Times New Roman" w:hAnsi="Times New Roman" w:eastAsia="方正小标宋简体" w:cs="方正小标宋简体"/>
          <w:b w:val="0"/>
          <w:color w:val="auto"/>
          <w:highlight w:val="none"/>
          <w:lang w:val="en-US" w:eastAsia="zh-CN"/>
        </w:rPr>
      </w:pPr>
    </w:p>
    <w:p>
      <w:pPr>
        <w:rPr>
          <w:rFonts w:hint="eastAsia"/>
          <w:lang w:val="en-US" w:eastAsia="zh-CN"/>
        </w:rPr>
      </w:pPr>
    </w:p>
    <w:p>
      <w:pPr>
        <w:pStyle w:val="5"/>
        <w:jc w:val="center"/>
        <w:rPr>
          <w:rFonts w:hint="eastAsia" w:ascii="Times New Roman" w:hAnsi="Times New Roman" w:eastAsia="方正小标宋简体" w:cs="方正小标宋简体"/>
          <w:b w:val="0"/>
          <w:color w:val="auto"/>
          <w:highlight w:val="none"/>
          <w:lang w:val="en-US" w:eastAsia="zh-CN"/>
        </w:rPr>
      </w:pPr>
      <w:r>
        <w:rPr>
          <w:rFonts w:hint="eastAsia" w:ascii="Times New Roman" w:hAnsi="Times New Roman" w:eastAsia="方正小标宋简体" w:cs="方正小标宋简体"/>
          <w:b w:val="0"/>
          <w:color w:val="auto"/>
          <w:highlight w:val="none"/>
          <w:lang w:val="en-US" w:eastAsia="zh-CN"/>
        </w:rPr>
        <w:t>第三部分</w:t>
      </w:r>
      <w:r>
        <w:rPr>
          <w:rFonts w:hint="eastAsia"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lang w:val="en-US" w:eastAsia="zh-CN"/>
        </w:rPr>
        <w:t>名词解释</w:t>
      </w:r>
      <w:bookmarkEnd w:id="60"/>
      <w:bookmarkEnd w:id="61"/>
      <w:bookmarkEnd w:id="62"/>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4.其他收入：指单位取得的除上述收入以外的各项收入。主要是（收入类型）等。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5.使用非财政拨款结余：指事业单位使用以前年度积累的非财政拨款结余弥补当年收支差额的金额。</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6.年初结转和结余：指以前年度尚未完成、结转到本年按有关规定继续使用的资金。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9.教育支出（类）进修及培训（款）干部教育（项）：指各级党校、行政学院、社会主义学院、国家会计学院的支出。包括机构运转、招聘师资、举办各类培训班的支出等。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10.教育支出（类）进修及培训（款）其他进修及培训（项）：指其他用于进修及培训方面的支出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11.社会保障和就业（类）行政事业单位养老支出（款）机关事业单位基本养老保险缴费支出（项）：指机关事业单位实施养老保险制度由单位缴纳的基本养老保险费支出。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12.社会保障和就业（类）行政事业单位养老支出（款）机关事业单位职业年金缴费支出（项）：指机关事业单位养老保险制度由单位缴纳的职业年金支出。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13.卫生健康支出（类）行政事业单位医疗（款）事业单位医疗（项）：指财政部门集中安排的事业单位基本医疗保险缴费。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14.住房保障（类）住房改革（款）住房公积金（项）：指行政事业单位按规定的标准和比例为职工缴纳的住房公积金。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16.项目支出：指在基本支出之外为完成特定行政任务和事业发展目标所发生的支出。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Style w:val="28"/>
          <w:rFonts w:hint="eastAsia" w:ascii="Times New Roman" w:hAnsi="Times New Roman" w:eastAsia="黑体"/>
          <w:b w:val="0"/>
          <w:color w:val="auto"/>
          <w:highlight w:val="none"/>
          <w:lang w:eastAsia="zh-CN"/>
        </w:rPr>
      </w:pPr>
      <w:bookmarkStart w:id="6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4" w:name="_Toc914939523"/>
      <w:bookmarkStart w:id="65" w:name="_Toc15396614"/>
      <w:r>
        <w:rPr>
          <w:rFonts w:hint="eastAsia" w:ascii="Times New Roman" w:hAnsi="Times New Roman" w:eastAsia="黑体"/>
          <w:color w:val="auto"/>
          <w:sz w:val="44"/>
          <w:szCs w:val="44"/>
          <w:highlight w:val="none"/>
        </w:rPr>
        <w:t>第四部分</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附件</w:t>
      </w:r>
      <w:bookmarkEnd w:id="64"/>
      <w:bookmarkEnd w:id="65"/>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78" w:lineRule="exact"/>
        <w:contextualSpacing/>
        <w:jc w:val="center"/>
        <w:rPr>
          <w:rFonts w:hint="eastAsia" w:ascii="Times New Roman" w:hAnsi="Times New Roman" w:eastAsia="方正小标宋简体" w:cs="Times New Roman"/>
          <w:bCs/>
          <w:sz w:val="44"/>
          <w:szCs w:val="44"/>
          <w:shd w:val="clear" w:color="auto" w:fill="FFFFFF"/>
        </w:rPr>
      </w:pPr>
      <w:r>
        <w:rPr>
          <w:rFonts w:hint="eastAsia" w:ascii="Times New Roman" w:hAnsi="Times New Roman" w:eastAsia="方正小标宋简体" w:cs="Times New Roman"/>
          <w:bCs/>
          <w:sz w:val="44"/>
          <w:szCs w:val="44"/>
          <w:shd w:val="clear" w:color="auto" w:fill="FFFFFF"/>
        </w:rPr>
        <w:t>中共壤塘县委党校</w:t>
      </w:r>
    </w:p>
    <w:p>
      <w:pPr>
        <w:widowControl/>
        <w:spacing w:line="578" w:lineRule="exact"/>
        <w:contextualSpacing/>
        <w:jc w:val="center"/>
        <w:rPr>
          <w:rFonts w:hint="eastAsia" w:ascii="Times New Roman" w:hAnsi="Times New Roman" w:eastAsia="方正小标宋简体" w:cs="Times New Roman"/>
          <w:bCs/>
          <w:sz w:val="44"/>
          <w:szCs w:val="44"/>
          <w:shd w:val="clear" w:color="auto" w:fill="FFFFFF"/>
        </w:rPr>
      </w:pPr>
      <w:r>
        <w:rPr>
          <w:rFonts w:hint="eastAsia" w:ascii="Times New Roman" w:hAnsi="Times New Roman" w:eastAsia="方正小标宋简体" w:cs="Times New Roman"/>
          <w:bCs/>
          <w:sz w:val="44"/>
          <w:szCs w:val="44"/>
          <w:shd w:val="clear" w:color="auto" w:fill="FFFFFF"/>
          <w:lang w:val="en-US" w:eastAsia="zh-CN"/>
        </w:rPr>
        <w:t>2025年度</w:t>
      </w:r>
      <w:r>
        <w:rPr>
          <w:rFonts w:hint="eastAsia" w:ascii="Times New Roman" w:hAnsi="Times New Roman" w:eastAsia="方正小标宋简体" w:cs="Times New Roman"/>
          <w:bCs/>
          <w:sz w:val="44"/>
          <w:szCs w:val="44"/>
          <w:shd w:val="clear" w:color="auto" w:fill="FFFFFF"/>
        </w:rPr>
        <w:t>部门预算绩效自评报告</w:t>
      </w:r>
    </w:p>
    <w:p>
      <w:pPr>
        <w:widowControl/>
        <w:adjustRightInd w:val="0"/>
        <w:snapToGrid w:val="0"/>
        <w:spacing w:line="578" w:lineRule="exact"/>
        <w:ind w:firstLine="480" w:firstLineChars="200"/>
        <w:contextualSpacing/>
        <w:jc w:val="left"/>
        <w:rPr>
          <w:rFonts w:ascii="Times New Roman" w:hAnsi="Times New Roman" w:eastAsia="黑体" w:cs="Times New Roman"/>
          <w:color w:val="000000"/>
          <w:kern w:val="0"/>
          <w:sz w:val="24"/>
          <w:szCs w:val="32"/>
          <w:shd w:val="clear" w:color="auto" w:fill="FFFFFF"/>
        </w:rPr>
      </w:pPr>
    </w:p>
    <w:p>
      <w:pPr>
        <w:numPr>
          <w:ilvl w:val="0"/>
          <w:numId w:val="0"/>
        </w:numPr>
        <w:spacing w:line="600" w:lineRule="exact"/>
        <w:ind w:left="630" w:leftChars="0"/>
        <w:outlineLvl w:val="9"/>
        <w:rPr>
          <w:rStyle w:val="29"/>
          <w:rFonts w:hint="eastAsia" w:ascii="Times New Roman" w:hAnsi="Times New Roman" w:eastAsia="黑体"/>
          <w:b w:val="0"/>
          <w:color w:val="auto"/>
          <w:highlight w:val="none"/>
        </w:rPr>
      </w:pPr>
      <w:bookmarkStart w:id="66" w:name="_Toc1810170079"/>
      <w:r>
        <w:rPr>
          <w:rStyle w:val="29"/>
          <w:rFonts w:hint="eastAsia" w:ascii="Times New Roman" w:hAnsi="Times New Roman" w:eastAsia="黑体"/>
          <w:b w:val="0"/>
          <w:color w:val="auto"/>
          <w:highlight w:val="none"/>
          <w:lang w:val="zh-CN"/>
        </w:rPr>
        <w:t>一、部门（单位）基本情况</w:t>
      </w:r>
    </w:p>
    <w:bookmarkEnd w:id="66"/>
    <w:p>
      <w:pPr>
        <w:spacing w:line="600" w:lineRule="exact"/>
        <w:ind w:firstLine="642" w:firstLineChars="200"/>
        <w:outlineLvl w:val="9"/>
        <w:rPr>
          <w:rFonts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楷体_GB2312"/>
          <w:b/>
          <w:color w:val="auto"/>
          <w:sz w:val="32"/>
          <w:szCs w:val="32"/>
          <w:highlight w:val="none"/>
          <w:lang w:val="zh-CN"/>
        </w:rPr>
        <w:t>（一）机构组成。</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中共壤塘县委党校机构性质：机关；机构地址：四川省阿坝州壤塘县岗木达镇城南路6号；单位负责人：蹇纪元。</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中共壤塘县委党校共有2个股室：办公室和教研室。</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（二）机构职能。</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中共壤塘县委党校坚持党的基本路线，以学习、宣传马列主义、毛泽东思想、邓小平理论、“三个代表”重要思想、科学发展观、习近平新时代中国特色社会主义思想为己任，联系国际国内形势，结合党和国家召开的重大会议精神以及全县各级党组织和党员实际，在抓好基础设施建设和教学手段建设的同时，努力办好主体班，紧紧围绕提高培训效果和教育教学质量、培养高素质干部队伍的目标，以教学为中心，以科研为基础，以改革为动力，充分发挥“熔炉”和“阵地”的作用，加强党的理论学习、研究和宣传，扎实开展县、乡、村党员干部的培训，切实提高全县干部素质。</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（三）人员概况。</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截至2025年末，人员情况：总人数12人，其中：行政6人、行政工勤1人，事业5人。</w:t>
      </w:r>
    </w:p>
    <w:p>
      <w:pPr>
        <w:numPr>
          <w:ilvl w:val="0"/>
          <w:numId w:val="0"/>
        </w:numPr>
        <w:spacing w:line="600" w:lineRule="exact"/>
        <w:ind w:left="630" w:leftChars="0"/>
        <w:outlineLvl w:val="9"/>
        <w:rPr>
          <w:rStyle w:val="29"/>
          <w:rFonts w:hint="eastAsia" w:ascii="Times New Roman" w:hAnsi="Times New Roman" w:eastAsia="黑体"/>
          <w:b w:val="0"/>
          <w:color w:val="auto"/>
          <w:highlight w:val="none"/>
          <w:lang w:val="zh-CN"/>
        </w:rPr>
      </w:pPr>
      <w:bookmarkStart w:id="67" w:name="_Toc1994679014"/>
      <w:r>
        <w:rPr>
          <w:rStyle w:val="29"/>
          <w:rFonts w:hint="eastAsia" w:ascii="Times New Roman" w:hAnsi="Times New Roman" w:eastAsia="黑体"/>
          <w:b w:val="0"/>
          <w:color w:val="auto"/>
          <w:highlight w:val="none"/>
          <w:lang w:val="zh-CN"/>
        </w:rPr>
        <w:t>二、部门资金收支情况</w:t>
      </w:r>
    </w:p>
    <w:bookmarkEnd w:id="67"/>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（一）收入情况。</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2025年度财政下达中共壤塘县委党校年初预算收入262.47万元，执行期中追加收入168.14万元，部门财政资金收入合计430.61万元。其他收入58.50万元，全年实际收入合计为489.11万元。</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（二）支出情况。</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2025年度年初预算支出262.47万元，全年预算支出490.51万元，决算支出448.67万元，其中基本支出347.33万元，项目支出101.34万元。</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eastAsia="zh-CN"/>
        </w:rPr>
        <w:t>（三）</w:t>
      </w:r>
      <w:r>
        <w:rPr>
          <w:rFonts w:hint="eastAsia" w:ascii="Times New Roman" w:hAnsi="Times New Roman" w:eastAsia="楷体_GB2312" w:cs="楷体_GB2312"/>
          <w:b/>
          <w:color w:val="auto"/>
          <w:sz w:val="32"/>
          <w:szCs w:val="32"/>
          <w:highlight w:val="none"/>
          <w:lang w:val="zh-CN"/>
        </w:rPr>
        <w:t>结余分配和结转结余情况。</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年末我校决算报表结转结余总额41.84万元，均为财政拨款结转结余，其中：基本支出结转0.00万元，项目支出结转41.84万元，为未完成实施的预算项目结转资金，将按规定结转至下一年度继续用于对应项目实施，无结余分配及其他资金结余情况。</w:t>
      </w:r>
    </w:p>
    <w:p>
      <w:pPr>
        <w:numPr>
          <w:ilvl w:val="0"/>
          <w:numId w:val="0"/>
        </w:numPr>
        <w:spacing w:line="600" w:lineRule="exact"/>
        <w:ind w:left="630" w:leftChars="0"/>
        <w:outlineLvl w:val="9"/>
        <w:rPr>
          <w:rStyle w:val="29"/>
          <w:rFonts w:hint="eastAsia" w:ascii="Times New Roman" w:hAnsi="Times New Roman" w:eastAsia="黑体"/>
          <w:b w:val="0"/>
          <w:color w:val="auto"/>
          <w:highlight w:val="none"/>
          <w:lang w:val="zh-CN"/>
        </w:rPr>
      </w:pPr>
      <w:bookmarkStart w:id="68" w:name="_Toc1717807432"/>
      <w:r>
        <w:rPr>
          <w:rStyle w:val="29"/>
          <w:rFonts w:hint="eastAsia" w:ascii="Times New Roman" w:hAnsi="Times New Roman" w:eastAsia="黑体"/>
          <w:b w:val="0"/>
          <w:color w:val="auto"/>
          <w:highlight w:val="none"/>
          <w:lang w:val="zh-CN"/>
        </w:rPr>
        <w:t>三、部门预算绩效分析</w:t>
      </w:r>
    </w:p>
    <w:bookmarkEnd w:id="68"/>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（一）部门预算总体绩效分析（总分65分）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本部门预算绩效评价指标体系“总体绩效”涉及二、三级指标进行逐项绩效分析并评分，依次包括履职效能、预算管理、财务管理、资产管理、采购管理等情况。</w:t>
      </w:r>
    </w:p>
    <w:p>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zh-CN" w:eastAsia="zh-CN" w:bidi="ar-SA"/>
        </w:rPr>
        <w:t>履职效能。</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本项指标围绕核心职能设置3项三级指标，总分15分，经综合评定，各项指标均超额完成既定目标，自评满分15分。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优化课程体系（5分）：紧密围绕党的最新理论成果以及壤塘县发展实际，新增《习近平法治思想》《壤塘县生态保护与绿色发展路径探索》等4个专题课程，构建起涵盖政治理论、党性教育、能力提升、地方特色等板块的课程体系，教学针对性和实效性进一步增强，超额完成新增3个专题课程的既定目标，自评5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推进培训任务（5分）：密切配合县委组织部及相关部门，全年累计完成各类教学任务，包括14个主体班（含计划外主体班）、7个协作班，培训学员达1101余人次，有效提升了干部队伍的理论素养和实践能力，为壤塘县经济社会发展提供了坚实的人才支撑，超额完成主体班12个以上、协作班6个以上、培训学员超1000人的既定目标，自评5分。</w:t>
      </w:r>
    </w:p>
    <w:p>
      <w:pPr>
        <w:adjustRightInd w:val="0"/>
        <w:snapToGrid w:val="0"/>
        <w:spacing w:line="578" w:lineRule="exact"/>
        <w:ind w:firstLine="640" w:firstLineChars="200"/>
        <w:contextualSpacing/>
        <w:jc w:val="left"/>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课题研究实现突破（5分）：围绕</w:t>
      </w:r>
      <w:bookmarkStart w:id="98" w:name="_GoBack"/>
      <w:bookmarkEnd w:id="98"/>
      <w:r>
        <w:rPr>
          <w:rFonts w:hint="eastAsia" w:eastAsia="仿宋_GB2312" w:cs="仿宋_GB2312"/>
          <w:color w:val="auto"/>
          <w:kern w:val="2"/>
          <w:sz w:val="32"/>
          <w:szCs w:val="32"/>
          <w:highlight w:val="none"/>
          <w:lang w:val="zh-CN" w:eastAsia="zh-CN" w:bidi="ar-SA"/>
        </w:rPr>
        <w:t>县委县政府“生态立县、文旅兴县、产业强县”的发展思路，聚焦民族地区治理、传统文化传承与创新等关键课题，党校教师主持和主研省州级课题4项，其中3项已顺利结题。组织教研人员深入乡镇、部门开展实地调研10余次，收集一手资料，形成一批具有深度和分量的研究成果，超额完成省州级课题3项、实地调研10次以上的既定目标，自评5分。</w:t>
      </w:r>
    </w:p>
    <w:p>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zh-CN" w:eastAsia="zh-CN" w:bidi="ar-SA"/>
        </w:rPr>
        <w:t>预算管理。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本项指标围绕预算编制质量、单位收入统筹、支出执行进度、预算年终结余、严控一般性支出5项三级指标设置，总分25分，经综合评定，自评1</w:t>
      </w:r>
      <w:r>
        <w:rPr>
          <w:rFonts w:hint="eastAsia" w:eastAsia="仿宋_GB2312" w:cs="仿宋_GB2312"/>
          <w:color w:val="auto"/>
          <w:kern w:val="2"/>
          <w:sz w:val="32"/>
          <w:szCs w:val="32"/>
          <w:highlight w:val="none"/>
          <w:lang w:val="en-US" w:eastAsia="zh-CN" w:bidi="ar-SA"/>
        </w:rPr>
        <w:t>9.5</w:t>
      </w:r>
      <w:r>
        <w:rPr>
          <w:rFonts w:hint="eastAsia" w:eastAsia="仿宋_GB2312" w:cs="仿宋_GB2312"/>
          <w:color w:val="auto"/>
          <w:kern w:val="2"/>
          <w:sz w:val="32"/>
          <w:szCs w:val="32"/>
          <w:highlight w:val="none"/>
          <w:lang w:val="zh-CN" w:eastAsia="zh-CN" w:bidi="ar-SA"/>
        </w:rPr>
        <w:t>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预算编制质量（8分）：本项指标主要评价部门年初预算编制的科学性和准确性，采用比率分值法评分。经核算，财政拨款预算偏离度0.6406，得分</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分；资产配置、政府采购偏离度0，各得2分；合计</w:t>
      </w: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分。整体预算编制严格按照财政部门要求开展，编制依据较充分，内容完整，数据基本准确，仅部分项目测算精细化程度仍需加强，自评</w:t>
      </w: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单位收入统筹（4分）：本项指标主要评价部门统筹自有收入程度，采用比率分值法评分。部门自有收入年初预算为0元，全年度执行584976.36元，无年初预算，该项按满分计，得2分；财政核定综合补助比例、实际测算综合补助比例无数据，该项按满分计，得2分。该项合计得分4分，收入来源合规，财政拨款及时足额到位，收入统筹管理规范，自评4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支出执行进度（6分）：本项指标主要评价部门1至6月、1至10月预算执行情况，采用比率分值法评分。本项指标满分6分，综合得分5.</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分。1—6月预算执行进度39.2%，无预警、违规支出，得分2.</w:t>
      </w: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分；1—10月预算执行进度67.1%，存在少量预警支出，无违规支出，得分2.60分。整体支出较为规范，后续将加快支出进度，严控预警支出，提升执行质效，自评5.</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预算年终结余（2分）：本项指标主要评价部门整体年终预算结余情况，采用比率分值法评分。本项指标满分2分，得分1.8分。当年新增预算结余结转占部门总预算7.98%，结余率可控，后续将进一步加快资金支付，降低年末结余结转规模，自评1.8分。</w:t>
      </w:r>
    </w:p>
    <w:p>
      <w:pPr>
        <w:spacing w:line="600" w:lineRule="exact"/>
        <w:ind w:firstLine="640"/>
        <w:rPr>
          <w:rFonts w:hint="eastAsia" w:ascii="Times New Roman" w:hAnsi="Times New Roman" w:eastAsia="仿宋_GB2312" w:cs="Times New Roman"/>
          <w:color w:val="000000"/>
          <w:kern w:val="0"/>
          <w:sz w:val="32"/>
          <w:szCs w:val="32"/>
          <w:shd w:val="clear" w:color="auto" w:fill="FFFFFF"/>
          <w:lang w:val="zh-CN"/>
        </w:rPr>
      </w:pPr>
      <w:r>
        <w:rPr>
          <w:rFonts w:hint="eastAsia" w:eastAsia="仿宋_GB2312" w:cs="仿宋_GB2312"/>
          <w:color w:val="auto"/>
          <w:kern w:val="2"/>
          <w:sz w:val="32"/>
          <w:szCs w:val="32"/>
          <w:highlight w:val="none"/>
          <w:lang w:val="zh-CN" w:eastAsia="zh-CN" w:bidi="ar-SA"/>
        </w:rPr>
        <w:t>严控一般性支出（5分）：本项指标主要评价部门严控8项一般性支出情况，采用比率分值法评分。经核算，2025年度一般性支出年初预算及实际执行金额，均高于2024年度同期数额，未达到支出压减要求。但因为新增两人，按人头来分配总体预算并未增加，自评</w:t>
      </w:r>
      <w:r>
        <w:rPr>
          <w:rFonts w:hint="eastAsia" w:eastAsia="仿宋_GB2312" w:cs="仿宋_GB2312"/>
          <w:color w:val="auto"/>
          <w:kern w:val="2"/>
          <w:sz w:val="32"/>
          <w:szCs w:val="32"/>
          <w:highlight w:val="none"/>
          <w:lang w:val="en-US" w:eastAsia="zh-CN" w:bidi="ar-SA"/>
        </w:rPr>
        <w:t>2.5分</w:t>
      </w:r>
      <w:r>
        <w:rPr>
          <w:rFonts w:hint="eastAsia" w:eastAsia="仿宋_GB2312" w:cs="仿宋_GB2312"/>
          <w:color w:val="auto"/>
          <w:kern w:val="2"/>
          <w:sz w:val="32"/>
          <w:szCs w:val="32"/>
          <w:highlight w:val="none"/>
          <w:lang w:val="zh-CN"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3.财务管理。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本项指标围绕财务管理制度、财务岗位设置、资金使用规范3项三级指标设置，总分10分，经综合评定，各项指标均符合管理要求，自评10分。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财务管理制度（4分）：部门已制定内部财务管理制度、收支审批、内控管理等完整的制度机制，且财务管理制度得到全面落实，符合评分标准要求，自评4分。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财务岗位设置（2分）：部门合理设置财务工作岗位，明确会计、出纳、审核等岗位职责权限，并严格实行不相容岗位分离，符合财务管理制度要求，自评2分。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资金使用规范（4分）：部门资金使用严格按照财务管理制度规定执行，会计核算规范，支付手续齐全，无违规使用资金情况，符合评分标准要求，自评4分。</w:t>
      </w:r>
    </w:p>
    <w:p>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4.资产管理。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本项指标围绕人均资产变化率、资产利用率、资产盘活率3项三级指标设置，总分9分，经综合评定，自评7分。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人均资产变化率（3分）：本年度单位资产规模与在职人员均有所变动，人均资产呈合理增长态势。结合同级单位整体资产变动水平及地方财政收入增长实际情况综合评判，对照既定评分标准，自评2分。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资产利用率（3分）：本单位办公家具、办公设备使用规范，部分资产达到规定使用年限，资产闲置较少。参照同级单位资产使用平均水平综合评判，整体资产利用情况较好，自评2分。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资产盘活率（3分）：按单位日常资产管理实际，上年度有闲置资产评价年度无闲置资产的，自评</w:t>
      </w: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分。</w:t>
      </w:r>
    </w:p>
    <w:p>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5.采购管理。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ascii="Times New Roman" w:hAnsi="Times New Roman" w:eastAsia="仿宋_GB2312" w:cs="Times New Roman"/>
          <w:color w:val="000000"/>
          <w:kern w:val="0"/>
          <w:sz w:val="32"/>
          <w:szCs w:val="32"/>
          <w:shd w:val="clear" w:color="auto" w:fill="FFFFFF"/>
          <w:lang w:val="zh-CN"/>
        </w:rPr>
        <w:t>本</w:t>
      </w:r>
      <w:r>
        <w:rPr>
          <w:rFonts w:hint="eastAsia" w:eastAsia="仿宋_GB2312" w:cs="仿宋_GB2312"/>
          <w:color w:val="auto"/>
          <w:kern w:val="2"/>
          <w:sz w:val="32"/>
          <w:szCs w:val="32"/>
          <w:highlight w:val="none"/>
          <w:lang w:val="zh-CN" w:eastAsia="zh-CN" w:bidi="ar-SA"/>
        </w:rPr>
        <w:t>项指标围绕支持中小企业发展、采购执行率2项三级指标设置，总分6分，经综合评定，自评</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支持中小企业发展（3分）：严格执行政府采购促进中小企业发展相关管理办法，对适宜由中小企业提供的采购项目和采购包，预留采购份额专门面向中小企业采购，并在采购预算中单独列示，符合评分标准要求，自评3分。</w:t>
      </w:r>
    </w:p>
    <w:p>
      <w:pPr>
        <w:spacing w:line="600" w:lineRule="exact"/>
        <w:ind w:firstLine="640"/>
        <w:rPr>
          <w:rFonts w:hint="eastAsia" w:ascii="Times New Roman" w:hAnsi="Times New Roman" w:eastAsia="仿宋_GB2312" w:cs="Times New Roman"/>
          <w:color w:val="000000"/>
          <w:kern w:val="0"/>
          <w:sz w:val="32"/>
          <w:szCs w:val="32"/>
          <w:shd w:val="clear" w:color="auto" w:fill="FFFFFF"/>
          <w:lang w:val="zh-CN"/>
        </w:rPr>
      </w:pPr>
      <w:r>
        <w:rPr>
          <w:rFonts w:hint="eastAsia" w:eastAsia="仿宋_GB2312" w:cs="仿宋_GB2312"/>
          <w:color w:val="auto"/>
          <w:kern w:val="2"/>
          <w:sz w:val="32"/>
          <w:szCs w:val="32"/>
          <w:highlight w:val="none"/>
          <w:lang w:val="zh-CN" w:eastAsia="zh-CN" w:bidi="ar-SA"/>
        </w:rPr>
        <w:t>采购执行率（3分）：本项指标主要评价部门政府采购项目资金支付比例情况，采用比率分值法评分。整体采购实施进度偏缓，资金执行率偏低，对照评分标准，自评</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分。</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（二）部门预算项目绩效分析。（总分</w:t>
      </w:r>
      <w:r>
        <w:rPr>
          <w:rFonts w:hint="eastAsia" w:ascii="Times New Roman" w:hAnsi="Times New Roman" w:eastAsia="楷体_GB2312" w:cs="楷体_GB2312"/>
          <w:b/>
          <w:color w:val="auto"/>
          <w:sz w:val="32"/>
          <w:szCs w:val="32"/>
          <w:highlight w:val="none"/>
          <w:lang w:val="en-US" w:eastAsia="zh-CN"/>
        </w:rPr>
        <w:t>35分</w:t>
      </w:r>
      <w:r>
        <w:rPr>
          <w:rFonts w:hint="eastAsia" w:ascii="Times New Roman" w:hAnsi="Times New Roman" w:eastAsia="楷体_GB2312" w:cs="楷体_GB2312"/>
          <w:b/>
          <w:color w:val="auto"/>
          <w:sz w:val="32"/>
          <w:szCs w:val="32"/>
          <w:highlight w:val="none"/>
          <w:lang w:val="zh-CN" w:eastAsia="zh-CN"/>
        </w:rPr>
        <w:t>）</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本部门常年项目绩效分析。该类项目总数</w:t>
      </w:r>
      <w:r>
        <w:rPr>
          <w:rFonts w:hint="eastAsia"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zh-CN" w:eastAsia="zh-CN" w:bidi="ar-SA"/>
        </w:rPr>
        <w:t>万元，1—12月预算执行总体进度为</w:t>
      </w:r>
      <w:r>
        <w:rPr>
          <w:rFonts w:hint="eastAsia"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zh-CN" w:eastAsia="zh-CN" w:bidi="ar-SA"/>
        </w:rPr>
        <w:t>%，其中：预算结余率大于10%的项目共计</w:t>
      </w:r>
      <w:r>
        <w:rPr>
          <w:rFonts w:hint="eastAsia"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zh-CN" w:eastAsia="zh-CN" w:bidi="ar-SA"/>
        </w:rPr>
        <w:t>个。</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阶段（含一次性）项目绩效分析。该类项目总数</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150.61</w:t>
      </w:r>
      <w:r>
        <w:rPr>
          <w:rFonts w:hint="eastAsia" w:eastAsia="仿宋_GB2312" w:cs="仿宋_GB2312"/>
          <w:color w:val="auto"/>
          <w:kern w:val="2"/>
          <w:sz w:val="32"/>
          <w:szCs w:val="32"/>
          <w:highlight w:val="none"/>
          <w:lang w:val="zh-CN" w:eastAsia="zh-CN" w:bidi="ar-SA"/>
        </w:rPr>
        <w:t>万元，</w:t>
      </w:r>
      <w:r>
        <w:rPr>
          <w:rFonts w:hint="eastAsia" w:eastAsia="仿宋_GB2312" w:cs="仿宋_GB2312"/>
          <w:color w:val="auto"/>
          <w:kern w:val="2"/>
          <w:sz w:val="32"/>
          <w:szCs w:val="32"/>
          <w:highlight w:val="none"/>
          <w:lang w:val="en-US" w:eastAsia="zh-CN" w:bidi="ar-SA"/>
        </w:rPr>
        <w:t>干部群众教育培训经费90.01%,</w:t>
      </w:r>
      <w:r>
        <w:rPr>
          <w:rFonts w:hint="eastAsia" w:eastAsia="仿宋_GB2312" w:cs="仿宋_GB2312"/>
          <w:color w:val="auto"/>
          <w:kern w:val="2"/>
          <w:sz w:val="32"/>
          <w:szCs w:val="32"/>
          <w:highlight w:val="none"/>
          <w:lang w:val="zh-CN" w:eastAsia="zh-CN" w:bidi="ar-SA"/>
        </w:rPr>
        <w:t>第一批乡村振兴五年行动资金</w:t>
      </w:r>
      <w:r>
        <w:rPr>
          <w:rFonts w:hint="eastAsia" w:eastAsia="仿宋_GB2312" w:cs="仿宋_GB2312"/>
          <w:color w:val="auto"/>
          <w:kern w:val="2"/>
          <w:sz w:val="32"/>
          <w:szCs w:val="32"/>
          <w:highlight w:val="none"/>
          <w:lang w:val="en-US" w:eastAsia="zh-CN" w:bidi="ar-SA"/>
        </w:rPr>
        <w:t>100%,</w:t>
      </w:r>
      <w:r>
        <w:rPr>
          <w:rFonts w:hint="eastAsia" w:eastAsia="仿宋_GB2312" w:cs="仿宋_GB2312"/>
          <w:color w:val="auto"/>
          <w:kern w:val="2"/>
          <w:sz w:val="32"/>
          <w:szCs w:val="32"/>
          <w:highlight w:val="none"/>
          <w:lang w:val="zh-CN" w:eastAsia="zh-CN" w:bidi="ar-SA"/>
        </w:rPr>
        <w:t>分类建设设施设备采购项目</w:t>
      </w:r>
      <w:r>
        <w:rPr>
          <w:rFonts w:hint="eastAsia" w:eastAsia="仿宋_GB2312" w:cs="仿宋_GB2312"/>
          <w:color w:val="auto"/>
          <w:kern w:val="2"/>
          <w:sz w:val="32"/>
          <w:szCs w:val="32"/>
          <w:highlight w:val="none"/>
          <w:lang w:val="en-US" w:eastAsia="zh-CN" w:bidi="ar-SA"/>
        </w:rPr>
        <w:t>100%,壤塘县2024年中青班干部尾款资金100%，干部教育培训机构质量提升专项资金52.73%，</w:t>
      </w:r>
      <w:r>
        <w:rPr>
          <w:rFonts w:hint="eastAsia" w:eastAsia="仿宋_GB2312" w:cs="仿宋_GB2312"/>
          <w:color w:val="auto"/>
          <w:kern w:val="2"/>
          <w:sz w:val="32"/>
          <w:szCs w:val="32"/>
          <w:highlight w:val="none"/>
          <w:lang w:val="zh-CN" w:eastAsia="zh-CN" w:bidi="ar-SA"/>
        </w:rPr>
        <w:t>1—12月预算执行总体进度为</w:t>
      </w:r>
      <w:r>
        <w:rPr>
          <w:rFonts w:hint="eastAsia" w:eastAsia="仿宋_GB2312" w:cs="仿宋_GB2312"/>
          <w:color w:val="auto"/>
          <w:kern w:val="2"/>
          <w:sz w:val="32"/>
          <w:szCs w:val="32"/>
          <w:highlight w:val="none"/>
          <w:lang w:val="en-US" w:eastAsia="zh-CN" w:bidi="ar-SA"/>
        </w:rPr>
        <w:t>85.69</w:t>
      </w:r>
      <w:r>
        <w:rPr>
          <w:rFonts w:hint="eastAsia" w:eastAsia="仿宋_GB2312" w:cs="仿宋_GB2312"/>
          <w:color w:val="auto"/>
          <w:kern w:val="2"/>
          <w:sz w:val="32"/>
          <w:szCs w:val="32"/>
          <w:highlight w:val="none"/>
          <w:lang w:val="zh-CN" w:eastAsia="zh-CN" w:bidi="ar-SA"/>
        </w:rPr>
        <w:t>%，其中：预算结余率大于10%的项目共计</w:t>
      </w: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个。</w:t>
      </w:r>
    </w:p>
    <w:p>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1.项目决策。</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本项指标围绕决策程序、目标设置、项目入库3项三级指标设置，总分12分，经综合评定，自评11分。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决策程序（4分）：本单位项目前期筹备有序，立项流程规范合规，整体决策程序落实到位，所有项目均按规定履行评估论证、申报程序，符合评分标准要求，自评4分。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目标设置（4分）：大部分项目绩效目标贴合工作实际，与任务、预算安排基本一致，仅个别项目存在些许偏差，整体设置较为合理，对照评分标准，自评3分。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项目入库（4分）：所有预算项目均在规定时限内完成财政项目库录入，入库进度及时，符合评分标准要求，自评4分。</w:t>
      </w:r>
    </w:p>
    <w:p>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2.项目执行。</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本项指标围绕执行同向、项目调整、执行结果3项三级指标设置，总分12分，经综合评定，自评</w:t>
      </w:r>
      <w:r>
        <w:rPr>
          <w:rFonts w:hint="eastAsia" w:eastAsia="仿宋_GB2312" w:cs="仿宋_GB2312"/>
          <w:color w:val="auto"/>
          <w:kern w:val="2"/>
          <w:sz w:val="32"/>
          <w:szCs w:val="32"/>
          <w:highlight w:val="none"/>
          <w:lang w:val="en-US" w:eastAsia="zh-CN" w:bidi="ar-SA"/>
        </w:rPr>
        <w:t>10</w:t>
      </w:r>
      <w:r>
        <w:rPr>
          <w:rFonts w:hint="eastAsia" w:eastAsia="仿宋_GB2312" w:cs="仿宋_GB2312"/>
          <w:color w:val="auto"/>
          <w:kern w:val="2"/>
          <w:sz w:val="32"/>
          <w:szCs w:val="32"/>
          <w:highlight w:val="none"/>
          <w:lang w:val="zh-CN" w:eastAsia="zh-CN" w:bidi="ar-SA"/>
        </w:rPr>
        <w:t>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执行同向（4分）：多数项目资金列支用途贴合绩效目标导向，仅个别项目执行方向稍有偏差，整体执行情况良好，对照评分标准，自评3分。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项目调整（4分）：日常项目监管落实到位，发现相关问题及时统筹梳理妥善处置，整体管控有序到位，所有应调整项目均按规定采取了对应处置措施，符合评分标准要求，自评4分。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执行结果（4分）：本项指标采用比率分值法评分，无常年项目，</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个一次性项目中</w:t>
      </w: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个预算结余率小于10%。项目资金支出节奏把控较好，多数项目资金结余控制规范，整体资金使用较为合理，自评</w:t>
      </w: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分。</w:t>
      </w:r>
    </w:p>
    <w:p>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3.目标实现。</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本项指标围绕目标完成、目标偏离、实现效果3项三级指标设置，总分1</w:t>
      </w: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分，经综合评定，自评</w:t>
      </w:r>
      <w:r>
        <w:rPr>
          <w:rFonts w:hint="eastAsia" w:eastAsia="仿宋_GB2312" w:cs="仿宋_GB2312"/>
          <w:color w:val="auto"/>
          <w:kern w:val="2"/>
          <w:sz w:val="32"/>
          <w:szCs w:val="32"/>
          <w:highlight w:val="none"/>
          <w:lang w:val="en-US" w:eastAsia="zh-CN" w:bidi="ar-SA"/>
        </w:rPr>
        <w:t>9.5</w:t>
      </w:r>
      <w:r>
        <w:rPr>
          <w:rFonts w:hint="eastAsia" w:eastAsia="仿宋_GB2312" w:cs="仿宋_GB2312"/>
          <w:color w:val="auto"/>
          <w:kern w:val="2"/>
          <w:sz w:val="32"/>
          <w:szCs w:val="32"/>
          <w:highlight w:val="none"/>
          <w:lang w:val="zh-CN" w:eastAsia="zh-CN" w:bidi="ar-SA"/>
        </w:rPr>
        <w:t>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目标完成（4分）：本项指标采用比率分值法评分，</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个项目中</w:t>
      </w: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个完成绩效目标数量指标，得分</w:t>
      </w: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分。多数项目顺利完成既定数量绩效指标，仅个别项目未如期达成，整体完成情况良好，自评3分。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目标偏离（4分）：本项指标采用比率分值法评分，已完成预期指标值的数量指标中，所有指标偏离度均在30%以内，得分4分。已完成绩效指标实际完成情况贴合预期标准，偏差幅度均在合理范围内，整体完成质量较好，自评4分。</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实现效果（3分）：大部分项目顺利达成效益类绩效目标，仅个别项目未完全实现，整体成效整体向好，对照评分标准，自评2</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分。</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zh-CN" w:eastAsia="zh-CN"/>
        </w:rPr>
        <w:t>（三）绩效结果应用情况。</w:t>
      </w:r>
      <w:r>
        <w:rPr>
          <w:rFonts w:hint="eastAsia" w:ascii="Times New Roman" w:hAnsi="Times New Roman" w:eastAsia="楷体_GB2312" w:cs="楷体_GB2312"/>
          <w:b/>
          <w:color w:val="auto"/>
          <w:sz w:val="32"/>
          <w:szCs w:val="32"/>
          <w:highlight w:val="none"/>
          <w:lang w:val="en-US" w:eastAsia="zh-CN"/>
        </w:rPr>
        <w:t>　</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内部应用：将本次绩效自评结果充分应用于内部管理优化、问题整改和后续工作提升，针对自评中发现的预算执行、采购管理、项目推进等方面的问题，逐项制定整改措施，明确整改时限和责任主体，确保整改落地见效。</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信息公开：严格按照财政部门规定的时限和内容，及时完整公开预决算及绩效相关信息，主动接受社会监督，公开内容真实、准确、完整。</w:t>
      </w:r>
    </w:p>
    <w:p>
      <w:pPr>
        <w:numPr>
          <w:ilvl w:val="0"/>
          <w:numId w:val="0"/>
        </w:numPr>
        <w:spacing w:line="600" w:lineRule="exact"/>
        <w:ind w:left="630" w:leftChars="0"/>
        <w:outlineLvl w:val="9"/>
        <w:rPr>
          <w:rStyle w:val="29"/>
          <w:rFonts w:hint="eastAsia" w:ascii="Times New Roman" w:hAnsi="Times New Roman" w:eastAsia="黑体"/>
          <w:b w:val="0"/>
          <w:color w:val="auto"/>
          <w:highlight w:val="none"/>
          <w:lang w:val="zh-CN"/>
        </w:rPr>
      </w:pPr>
      <w:bookmarkStart w:id="69" w:name="_Toc800734086"/>
      <w:r>
        <w:rPr>
          <w:rStyle w:val="29"/>
          <w:rFonts w:hint="eastAsia" w:ascii="Times New Roman" w:hAnsi="Times New Roman" w:eastAsia="黑体"/>
          <w:b w:val="0"/>
          <w:color w:val="auto"/>
          <w:highlight w:val="none"/>
          <w:lang w:val="zh-CN"/>
        </w:rPr>
        <w:t>四、评价结论及建议</w:t>
      </w:r>
    </w:p>
    <w:bookmarkEnd w:id="69"/>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（一）评价结论。</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2025年度，中共壤塘县委党校部门预算管理总体规范，履职效能成效显著，预算、财务、资产、采购管理总体到位，项目实施总体可控，核心职能目标均高质量完成，干部教育培训、科研咨政、基地建设等重点工作推进有序。总体绩效自评5</w:t>
      </w:r>
      <w:r>
        <w:rPr>
          <w:rFonts w:hint="eastAsia" w:eastAsia="仿宋_GB2312" w:cs="仿宋_GB2312"/>
          <w:color w:val="auto"/>
          <w:kern w:val="2"/>
          <w:sz w:val="32"/>
          <w:szCs w:val="32"/>
          <w:highlight w:val="none"/>
          <w:lang w:val="en-US" w:eastAsia="zh-CN" w:bidi="ar-SA"/>
        </w:rPr>
        <w:t>6.5</w:t>
      </w:r>
      <w:r>
        <w:rPr>
          <w:rFonts w:hint="eastAsia" w:eastAsia="仿宋_GB2312" w:cs="仿宋_GB2312"/>
          <w:color w:val="auto"/>
          <w:kern w:val="2"/>
          <w:sz w:val="32"/>
          <w:szCs w:val="32"/>
          <w:highlight w:val="none"/>
          <w:lang w:val="zh-CN" w:eastAsia="zh-CN" w:bidi="ar-SA"/>
        </w:rPr>
        <w:t>分，项目绩效自评</w:t>
      </w:r>
      <w:r>
        <w:rPr>
          <w:rFonts w:hint="eastAsia" w:eastAsia="仿宋_GB2312" w:cs="仿宋_GB2312"/>
          <w:color w:val="auto"/>
          <w:kern w:val="2"/>
          <w:sz w:val="32"/>
          <w:szCs w:val="32"/>
          <w:highlight w:val="none"/>
          <w:lang w:val="en-US" w:eastAsia="zh-CN" w:bidi="ar-SA"/>
        </w:rPr>
        <w:t>30.5</w:t>
      </w:r>
      <w:r>
        <w:rPr>
          <w:rFonts w:hint="eastAsia" w:eastAsia="仿宋_GB2312" w:cs="仿宋_GB2312"/>
          <w:color w:val="auto"/>
          <w:kern w:val="2"/>
          <w:sz w:val="32"/>
          <w:szCs w:val="32"/>
          <w:highlight w:val="none"/>
          <w:lang w:val="zh-CN" w:eastAsia="zh-CN" w:bidi="ar-SA"/>
        </w:rPr>
        <w:t>分，合计8</w:t>
      </w:r>
      <w:r>
        <w:rPr>
          <w:rFonts w:hint="eastAsia" w:eastAsia="仿宋_GB2312" w:cs="仿宋_GB2312"/>
          <w:color w:val="auto"/>
          <w:kern w:val="2"/>
          <w:sz w:val="32"/>
          <w:szCs w:val="32"/>
          <w:highlight w:val="none"/>
          <w:lang w:val="en-US" w:eastAsia="zh-CN" w:bidi="ar-SA"/>
        </w:rPr>
        <w:t>7</w:t>
      </w:r>
      <w:r>
        <w:rPr>
          <w:rFonts w:hint="eastAsia" w:eastAsia="仿宋_GB2312" w:cs="仿宋_GB2312"/>
          <w:color w:val="auto"/>
          <w:kern w:val="2"/>
          <w:sz w:val="32"/>
          <w:szCs w:val="32"/>
          <w:highlight w:val="none"/>
          <w:lang w:val="zh-CN" w:eastAsia="zh-CN" w:bidi="ar-SA"/>
        </w:rPr>
        <w:t>分，绩效等级为良好。</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（二）存在问题</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预算编制精细化程度不足，部分项目测算不够细化，预算执行不均衡，年末结转结余规模仍有压缩空间。</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政府采购执行进度偏慢，采购执行率偏低，个别项目前期准备周期较长，推进滞后。</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一般性支出未达到压减要求，厉行节约、过紧日子的要求落实仍需进一步强化。</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个别项目绩效目标设置不够精准，与任务、预算的匹配度仍有提升空间，个别项目未完成既定绩效目标。</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课程体系与县域发展实际的结合度仍需进一步加强，科研咨政成果的深度和转化应用能力有待提升。</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后勤保障力量不足，信息化建设水平有待提升，办学保障能力仍需进一步强化。</w:t>
      </w:r>
    </w:p>
    <w:p>
      <w:pPr>
        <w:spacing w:line="600" w:lineRule="exact"/>
        <w:ind w:firstLine="642"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（三）改进建议</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强化预算全流程管理，进一步细化预算编制，提升项目测算的精细化程度；强化预算执行调度，细化项目推进计划，加快资金支付进度，有效压降年末结转结余规模。</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规范政府采购全流程管理，提前谋划采购项目，细化采购实施方案，优化采购流程，加快采购实施进度，切实提高采购执行率。</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严格落实厉行节约、过紧日子的要求，进一步严控一般性支出，优化支出结构，细化支出管控措施，确保一般性支出管控到位。</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提升绩效目标管理水平，进一步精准设定项目绩效目标，强化绩效目标与工作任务、预算安排的匹配度；加强绩效目标执行过程跟踪管控，及时发现并解决执行中的问题，确保绩效目标高质量完成。</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深化教学科研改革，进一步优化课程体系，强化课程与县域发展实际的结合度；加强科研攻关，提升科研成果的深度和质量，推动科研成果转化应用，切实提升咨政服务能力。</w:t>
      </w:r>
    </w:p>
    <w:p>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补齐办学保障短板，进一步充实后勤保障力量，加快推进信息化建设，完善办学配套设施，切实提升办学保障能力和水平。</w:t>
      </w:r>
    </w:p>
    <w:p>
      <w:pPr>
        <w:spacing w:line="578" w:lineRule="exact"/>
        <w:ind w:firstLine="640" w:firstLineChars="200"/>
        <w:jc w:val="left"/>
        <w:rPr>
          <w:rFonts w:ascii="Times New Roman" w:hAnsi="Times New Roman" w:eastAsia="仿宋_GB2312" w:cs="Times New Roman"/>
          <w:color w:val="000000"/>
          <w:kern w:val="0"/>
          <w:sz w:val="32"/>
          <w:szCs w:val="32"/>
          <w:shd w:val="clear" w:color="auto" w:fill="FFFFFF"/>
        </w:rPr>
      </w:pPr>
    </w:p>
    <w:p>
      <w:pPr>
        <w:spacing w:line="578" w:lineRule="exact"/>
        <w:ind w:firstLine="640" w:firstLineChars="200"/>
        <w:jc w:val="left"/>
        <w:rPr>
          <w:rFonts w:ascii="Times New Roman" w:hAnsi="Times New Roman" w:eastAsia="仿宋_GB2312" w:cs="Times New Roman"/>
          <w:sz w:val="32"/>
          <w:szCs w:val="32"/>
        </w:rPr>
      </w:pPr>
      <w:r>
        <w:rPr>
          <w:rFonts w:hint="eastAsia" w:eastAsia="仿宋_GB2312" w:cs="仿宋_GB2312"/>
          <w:color w:val="auto"/>
          <w:kern w:val="2"/>
          <w:sz w:val="32"/>
          <w:szCs w:val="32"/>
          <w:highlight w:val="none"/>
          <w:lang w:val="zh-CN" w:eastAsia="zh-CN" w:bidi="ar-SA"/>
        </w:rPr>
        <w:t>附表：1.部门预算绩效自评打分表</w:t>
      </w:r>
    </w:p>
    <w:p>
      <w:pPr>
        <w:spacing w:line="600" w:lineRule="exact"/>
        <w:ind w:firstLine="1612" w:firstLineChars="504"/>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2.部门整体支出绩效目标完成情况自评表</w:t>
      </w:r>
    </w:p>
    <w:p>
      <w:pPr>
        <w:spacing w:line="578" w:lineRule="exact"/>
        <w:ind w:firstLine="1600" w:firstLineChars="500"/>
        <w:jc w:val="left"/>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shd w:val="clear" w:color="auto" w:fill="FFFFFF"/>
        </w:rPr>
        <w:t>3.</w:t>
      </w:r>
      <w:r>
        <w:rPr>
          <w:rFonts w:ascii="Times New Roman" w:hAnsi="Times New Roman" w:eastAsia="仿宋_GB2312" w:cs="Times New Roman"/>
          <w:sz w:val="32"/>
          <w:szCs w:val="32"/>
        </w:rPr>
        <w:t>部门预算项目支出绩效评价表（202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p>
    <w:p>
      <w:pPr>
        <w:sectPr>
          <w:footerReference r:id="rId6" w:type="default"/>
          <w:pgSz w:w="11906" w:h="16838"/>
          <w:pgMar w:top="1440" w:right="1800" w:bottom="1440" w:left="1800" w:header="851" w:footer="992" w:gutter="0"/>
          <w:pgNumType w:fmt="decimal"/>
          <w:cols w:space="720" w:num="1"/>
          <w:docGrid w:type="lines" w:linePitch="312" w:charSpace="0"/>
        </w:sectPr>
      </w:pPr>
    </w:p>
    <w:tbl>
      <w:tblPr>
        <w:tblStyle w:val="15"/>
        <w:tblW w:w="85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57"/>
        <w:gridCol w:w="773"/>
        <w:gridCol w:w="538"/>
        <w:gridCol w:w="477"/>
        <w:gridCol w:w="1709"/>
        <w:gridCol w:w="2662"/>
        <w:gridCol w:w="724"/>
        <w:gridCol w:w="4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tcBorders>
              <w:top w:val="nil"/>
              <w:left w:val="nil"/>
              <w:bottom w:val="nil"/>
              <w:right w:val="nil"/>
            </w:tcBorders>
            <w:noWrap/>
            <w:vAlign w:val="center"/>
          </w:tcPr>
          <w:p>
            <w:pPr>
              <w:keepNext w:val="0"/>
              <w:keepLines w:val="0"/>
              <w:widowControl/>
              <w:suppressLineNumbers w:val="0"/>
              <w:snapToGrid w:val="0"/>
              <w:jc w:val="left"/>
              <w:textAlignment w:val="center"/>
              <w:rPr>
                <w:rFonts w:ascii="黑体" w:hAnsi="宋体" w:eastAsia="黑体" w:cs="黑体"/>
                <w:i w:val="0"/>
                <w:iCs w:val="0"/>
                <w:color w:val="000000"/>
                <w:sz w:val="32"/>
                <w:szCs w:val="32"/>
                <w:u w:val="none"/>
              </w:rPr>
            </w:pPr>
            <w:r>
              <w:rPr>
                <w:rStyle w:val="36"/>
                <w:lang w:val="en-US" w:eastAsia="zh-CN" w:bidi="ar"/>
              </w:rPr>
              <w:t>附表</w:t>
            </w:r>
            <w:r>
              <w:rPr>
                <w:rStyle w:val="37"/>
                <w:rFonts w:eastAsia="黑体"/>
                <w:lang w:val="en-US" w:eastAsia="zh-CN" w:bidi="ar"/>
              </w:rPr>
              <w:t>1</w:t>
            </w:r>
          </w:p>
        </w:tc>
        <w:tc>
          <w:tcPr>
            <w:tcW w:w="773"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c>
          <w:tcPr>
            <w:tcW w:w="538"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c>
          <w:tcPr>
            <w:tcW w:w="477"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c>
          <w:tcPr>
            <w:tcW w:w="1709" w:type="dxa"/>
            <w:tcBorders>
              <w:top w:val="nil"/>
              <w:left w:val="nil"/>
              <w:bottom w:val="nil"/>
              <w:right w:val="nil"/>
            </w:tcBorders>
            <w:noWrap/>
            <w:vAlign w:val="center"/>
          </w:tcPr>
          <w:p>
            <w:pPr>
              <w:snapToGrid w:val="0"/>
              <w:jc w:val="left"/>
              <w:rPr>
                <w:rFonts w:hint="eastAsia" w:ascii="宋体" w:hAnsi="宋体" w:eastAsia="宋体" w:cs="宋体"/>
                <w:i w:val="0"/>
                <w:iCs w:val="0"/>
                <w:color w:val="000000"/>
                <w:sz w:val="22"/>
                <w:szCs w:val="22"/>
                <w:u w:val="none"/>
              </w:rPr>
            </w:pPr>
          </w:p>
        </w:tc>
        <w:tc>
          <w:tcPr>
            <w:tcW w:w="2662" w:type="dxa"/>
            <w:tcBorders>
              <w:top w:val="nil"/>
              <w:left w:val="nil"/>
              <w:bottom w:val="nil"/>
              <w:right w:val="nil"/>
            </w:tcBorders>
            <w:noWrap/>
            <w:vAlign w:val="center"/>
          </w:tcPr>
          <w:p>
            <w:pPr>
              <w:snapToGrid w:val="0"/>
              <w:jc w:val="left"/>
              <w:rPr>
                <w:rFonts w:hint="eastAsia" w:ascii="宋体" w:hAnsi="宋体" w:eastAsia="宋体" w:cs="宋体"/>
                <w:i w:val="0"/>
                <w:iCs w:val="0"/>
                <w:color w:val="000000"/>
                <w:sz w:val="22"/>
                <w:szCs w:val="22"/>
                <w:u w:val="none"/>
              </w:rPr>
            </w:pPr>
          </w:p>
        </w:tc>
        <w:tc>
          <w:tcPr>
            <w:tcW w:w="724"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c>
          <w:tcPr>
            <w:tcW w:w="477"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17" w:type="dxa"/>
            <w:gridSpan w:val="8"/>
            <w:tcBorders>
              <w:top w:val="nil"/>
              <w:left w:val="nil"/>
              <w:bottom w:val="nil"/>
              <w:right w:val="nil"/>
            </w:tcBorders>
            <w:noWrap/>
            <w:vAlign w:val="center"/>
          </w:tcPr>
          <w:p>
            <w:pPr>
              <w:keepNext w:val="0"/>
              <w:keepLines w:val="0"/>
              <w:widowControl/>
              <w:suppressLineNumbers w:val="0"/>
              <w:snapToGrid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部门预算绩效自评打分表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4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绩效评价指标指标分值</w:t>
            </w:r>
          </w:p>
        </w:tc>
        <w:tc>
          <w:tcPr>
            <w:tcW w:w="17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指标解释</w:t>
            </w:r>
          </w:p>
        </w:tc>
        <w:tc>
          <w:tcPr>
            <w:tcW w:w="266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评分说明</w:t>
            </w:r>
          </w:p>
        </w:tc>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自评得分</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一级指标</w:t>
            </w:r>
          </w:p>
        </w:tc>
        <w:tc>
          <w:tcPr>
            <w:tcW w:w="77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二级指标</w:t>
            </w:r>
          </w:p>
        </w:tc>
        <w:tc>
          <w:tcPr>
            <w:tcW w:w="53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指标</w:t>
            </w:r>
          </w:p>
        </w:tc>
        <w:tc>
          <w:tcPr>
            <w:tcW w:w="1709"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黑体" w:hAnsi="宋体" w:eastAsia="黑体" w:cs="黑体"/>
                <w:i w:val="0"/>
                <w:iCs w:val="0"/>
                <w:color w:val="000000"/>
                <w:sz w:val="21"/>
                <w:szCs w:val="21"/>
                <w:u w:val="none"/>
              </w:rPr>
            </w:pPr>
          </w:p>
        </w:tc>
        <w:tc>
          <w:tcPr>
            <w:tcW w:w="2662"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黑体" w:hAnsi="宋体" w:eastAsia="黑体" w:cs="黑体"/>
                <w:i w:val="0"/>
                <w:iCs w:val="0"/>
                <w:color w:val="000000"/>
                <w:sz w:val="21"/>
                <w:szCs w:val="21"/>
                <w:u w:val="none"/>
              </w:rPr>
            </w:pPr>
          </w:p>
        </w:tc>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黑体" w:hAnsi="宋体" w:eastAsia="黑体" w:cs="黑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黑体" w:hAnsi="宋体" w:eastAsia="黑体" w:cs="黑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黑体" w:hAnsi="宋体" w:eastAsia="黑体" w:cs="黑体"/>
                <w:i w:val="0"/>
                <w:iCs w:val="0"/>
                <w:color w:val="000000"/>
                <w:sz w:val="21"/>
                <w:szCs w:val="21"/>
                <w:u w:val="none"/>
              </w:rPr>
            </w:pPr>
          </w:p>
        </w:tc>
        <w:tc>
          <w:tcPr>
            <w:tcW w:w="773"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黑体" w:hAnsi="宋体" w:eastAsia="黑体" w:cs="黑体"/>
                <w:i w:val="0"/>
                <w:iCs w:val="0"/>
                <w:color w:val="000000"/>
                <w:sz w:val="21"/>
                <w:szCs w:val="21"/>
                <w:u w:val="none"/>
              </w:rPr>
            </w:pPr>
          </w:p>
        </w:tc>
        <w:tc>
          <w:tcPr>
            <w:tcW w:w="538"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黑体" w:hAnsi="宋体" w:eastAsia="黑体" w:cs="黑体"/>
                <w:i w:val="0"/>
                <w:iCs w:val="0"/>
                <w:color w:val="000000"/>
                <w:sz w:val="21"/>
                <w:szCs w:val="21"/>
                <w:u w:val="none"/>
              </w:rPr>
            </w:pP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分值</w:t>
            </w:r>
          </w:p>
        </w:tc>
        <w:tc>
          <w:tcPr>
            <w:tcW w:w="1709"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黑体" w:hAnsi="宋体" w:eastAsia="黑体" w:cs="黑体"/>
                <w:i w:val="0"/>
                <w:iCs w:val="0"/>
                <w:color w:val="000000"/>
                <w:sz w:val="21"/>
                <w:szCs w:val="21"/>
                <w:u w:val="none"/>
              </w:rPr>
            </w:pPr>
          </w:p>
        </w:tc>
        <w:tc>
          <w:tcPr>
            <w:tcW w:w="2662"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黑体" w:hAnsi="宋体" w:eastAsia="黑体" w:cs="黑体"/>
                <w:i w:val="0"/>
                <w:iCs w:val="0"/>
                <w:color w:val="000000"/>
                <w:sz w:val="21"/>
                <w:szCs w:val="21"/>
                <w:u w:val="none"/>
              </w:rPr>
            </w:pPr>
          </w:p>
        </w:tc>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黑体" w:hAnsi="宋体" w:eastAsia="黑体" w:cs="黑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黑体" w:hAnsi="宋体" w:eastAsia="黑体" w:cs="黑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总体绩效（65分）</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履职效能（15分）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优化课程体系</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结合壤塘实际新增3个专题课程</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紧密围绕党的最新理论成果以及壤塘县发展实际，新增《习近平法治思想》《壤塘县生态保护与绿色发展路径探索》等4个专题课程，构建起涵盖政治理论、党性教育、能力提升、地方特色等板块的课程体系。</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推进培训任务</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全年举办主体班数量12个以上（2分）；协作班6个以上（2分）；培训学员超1000人（1分）</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密切配合县委组织部及相关部门，全年累计完成各类教学任务，包括14个主体班（含计划外主体班）、7个协作班，培训学员达1101余人次，有效提升了干部队伍的理论素养和实践能力，为壤塘县经济社会发展提供了坚实的人才支撑。</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课题研究实现突破</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党校教师主持和主研省州级课题3项（2分）；组织教研人员深入乡镇、部门开展实地调研10次以上（2分）；形成至少1份具有深度和分量的研究成果（1分）。</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围绕</w:t>
            </w:r>
            <w:r>
              <w:rPr>
                <w:rFonts w:hint="eastAsia" w:ascii="宋体" w:hAnsi="宋体" w:cs="宋体"/>
                <w:i w:val="0"/>
                <w:iCs w:val="0"/>
                <w:color w:val="000000"/>
                <w:kern w:val="0"/>
                <w:sz w:val="21"/>
                <w:szCs w:val="21"/>
                <w:u w:val="none"/>
                <w:lang w:val="en-US" w:eastAsia="zh-CN" w:bidi="ar"/>
              </w:rPr>
              <w:t>县委县政府</w:t>
            </w:r>
            <w:r>
              <w:rPr>
                <w:rFonts w:hint="eastAsia" w:ascii="宋体" w:hAnsi="宋体" w:eastAsia="宋体" w:cs="宋体"/>
                <w:i w:val="0"/>
                <w:iCs w:val="0"/>
                <w:color w:val="000000"/>
                <w:kern w:val="0"/>
                <w:sz w:val="21"/>
                <w:szCs w:val="21"/>
                <w:u w:val="none"/>
                <w:lang w:val="en-US" w:eastAsia="zh-CN" w:bidi="ar"/>
              </w:rPr>
              <w:t>“生态立县、文旅兴县、产业强县”的发展思路，聚焦民族地区治理、传统文化传承与创新等关键课题，党校教师主持和主研省州级课题4项，其中3项已顺利结题。组织教研人员深入乡镇、部门开展实地调研10余次，收集一手资料，形成一批具有深度和分量的研究成果。</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预算管理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预算编制质量</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部门是否严格按要求编制年初部门预算，年初预算编制的科学性和准确性</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财政拨款预算偏离度0.6406，得分2分；资产配置、政府采购偏离度0，各得2分；合计6分。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9"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（25分）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单位收入统筹</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部门统筹自有收入努力程度</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18"/>
                <w:szCs w:val="18"/>
                <w:u w:val="none"/>
                <w:lang w:val="en-US" w:eastAsia="zh-CN" w:bidi="ar"/>
              </w:rPr>
              <w:t>部门自有收入年初预算为0元，全年执行584976.36元，无年初预算，该项按满分计，得2分；财政核定综合补助比例、实际测算综合补助比例无数据，该项按满分计，得2分。该项合计得分4分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支出执行管理</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部门1至6月、1至10月预算执行情况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项指标满分6分，综合得分5.2分。1—6月预算执行进度39.2%，无预警、违规支出，得分2.6分；1—10月预算执行进度67.1%，存在少量预警支出，无违规支出，得分2.60分。整体支出较为规范，后续将加快支出进度，严控预警支出，提升执行质效。</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5.2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预算年终结余</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部门整体年终预算结余情况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本项指标满分2分，得分1.8分。当年新增预算结余结转占部门总预算7.98%，结余率可控，后续将进一步加快资金支付，降低年末结余结转规模。</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严控一般性支出</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部门严控“三公”经费、会议、培训、差旅、办节办展、办公设备购置、信息化建设和运维、课题经费、竞赛活动、规划编制一般性支出情况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经核算，2025年一般性支出年初预算及实际执行金额，均高于2024年同期数额，未达到支出压减要求。但因为新增两人，按人头来分配总体预算并未增加，因此本项考核指标合计得分为2.5分。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2.5</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财务管理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财务管理制度</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部门财务管理制度建立情况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部门已制定内部财务管理制度等制度机制的,财务管理制度得到落实</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（10分）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财务岗位设置</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部门财务岗位设置是否符合相关财务管理制度要求</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部门合理设置财务工作岗位，明确职责权限，并实行不相容岗位分离</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资金使用规范</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部门资金使用是否符合相关财务管理制度规定</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部门资金使用符合相关财务管理制度规定的</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1"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资产管理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18"/>
                <w:szCs w:val="18"/>
                <w:u w:val="none"/>
                <w:lang w:val="en-US" w:eastAsia="zh-CN" w:bidi="ar"/>
              </w:rPr>
              <w:t>人均资产变化率</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部门人均资产变化情况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18"/>
                <w:szCs w:val="18"/>
                <w:u w:val="none"/>
                <w:lang w:val="en-US" w:eastAsia="zh-CN" w:bidi="ar"/>
              </w:rPr>
              <w:t>本年度单位资产规模与在职人员均有所变动，人均资产呈合理增长态势。结合同级单位整体资产变动水平及地方财政收入增长实际情况综合评判，对照既定评分标准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（9分）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资产利用率</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部门资产超最低使用年限情况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本单位办公家具、办公设备使用规范，部分资产达到规定使用年限，资产闲置较少。参照同级单位资产使用平均水平综合评判，整体资产利用情况较好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资产管理</w:t>
            </w:r>
          </w:p>
        </w:tc>
        <w:tc>
          <w:tcPr>
            <w:tcW w:w="53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资产盘活率</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部门闲置一年以上的资产盘活情况</w:t>
            </w:r>
          </w:p>
        </w:tc>
        <w:tc>
          <w:tcPr>
            <w:tcW w:w="266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按单位日常资产管理实际，上年度有闲置资产评价年度无闲置资产的</w:t>
            </w:r>
          </w:p>
        </w:tc>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（9分）</w:t>
            </w:r>
          </w:p>
        </w:tc>
        <w:tc>
          <w:tcPr>
            <w:tcW w:w="538"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c>
          <w:tcPr>
            <w:tcW w:w="1709"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宋体" w:hAnsi="宋体" w:eastAsia="宋体" w:cs="宋体"/>
                <w:i w:val="0"/>
                <w:iCs w:val="0"/>
                <w:color w:val="000000"/>
                <w:sz w:val="21"/>
                <w:szCs w:val="21"/>
                <w:u w:val="none"/>
              </w:rPr>
            </w:pPr>
          </w:p>
        </w:tc>
        <w:tc>
          <w:tcPr>
            <w:tcW w:w="2662"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宋体" w:hAnsi="宋体" w:eastAsia="宋体" w:cs="宋体"/>
                <w:i w:val="0"/>
                <w:iCs w:val="0"/>
                <w:color w:val="000000"/>
                <w:kern w:val="0"/>
                <w:sz w:val="21"/>
                <w:szCs w:val="21"/>
                <w:u w:val="none"/>
                <w:lang w:val="en-US" w:eastAsia="zh-CN" w:bidi="ar"/>
              </w:rPr>
            </w:pPr>
          </w:p>
        </w:tc>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采购管理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支持中小企业发展</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部门是否严格执行政府采购促进中小企业发展相关管理办法</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采购项目支持中小企业发展</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采购执行率</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部门政府采购项目资金支付比例情况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本年度采购顺利推进中，部分项目进度缓慢</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项目绩效（35分）</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项目决策</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决策程序</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部门预算项目设立是否按规定履行评估论证、申报程序</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本单位项目前期筹备有序，立项流程规范合规，整体决策程序落实到位</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（12分）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目标设置</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部门预算项目绩效目标与计划期内的任务量、预算安排的资金量匹配情况，绩效目标设置是否科学合理、规范完整、量化细化、预算匹配</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大部分项目绩效目标贴合工作实际，与任务、预算安排基本一致，仅个别项目存在些许偏差，整体设置较为合理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项目入库</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部门预算项目是否在规定时间完成项目入库</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预算项目均在规定时限内完成财政项目库录入，入库进度及时</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项目执行</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执行同向</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部门预算项目实际列支内容是否与绩效目标设置方向相符</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多数项目资金列支用途贴合绩效目标导向，仅个别项目执行方向稍有偏差，整体执行情况良好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（12分）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项目调整</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部门预算项目是否采取对应调整措施</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日常项目监管落实到位，发现相关问题及时统筹梳理妥善处置，整体管控有序到位</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执行结果</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部门预算项目预算执行情况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项目资金支出节奏把控较好，多数项目资金结余控制规范，整体资金使用较为合理。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目标实现</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目标完成</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部门预算项目绩效目标数量指标完成情况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多数项目顺利完成既定数量绩效指标，仅个别项目未如期达成，整体完成情况良好。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（11分）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目标偏离</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部门预算项目绩效目标数量指标实现程度与预期目标的偏离情况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已完成绩效指标实际完成情况贴合预期标准，偏差幅度均在合理范围内，整体完成质量较好。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实现效果</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部门预算项目绩效目标效益指标实施效果</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大部分项目顺利达成效益类绩效目标，仅个别项目未完全实现，整体成效整体向好。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2.5</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扣分项</w:t>
            </w:r>
          </w:p>
        </w:tc>
        <w:tc>
          <w:tcPr>
            <w:tcW w:w="131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被评价部门配合度</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70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被评价对象工作配合情况</w:t>
            </w:r>
          </w:p>
        </w:tc>
        <w:tc>
          <w:tcPr>
            <w:tcW w:w="2662"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宋体" w:hAnsi="宋体" w:eastAsia="宋体" w:cs="宋体"/>
                <w:i w:val="0"/>
                <w:iCs w:val="0"/>
                <w:color w:val="000000"/>
                <w:sz w:val="21"/>
                <w:szCs w:val="21"/>
                <w:u w:val="none"/>
              </w:rPr>
            </w:pPr>
          </w:p>
        </w:tc>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（10分）</w:t>
            </w:r>
          </w:p>
        </w:tc>
        <w:tc>
          <w:tcPr>
            <w:tcW w:w="131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c>
          <w:tcPr>
            <w:tcW w:w="1709"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宋体" w:hAnsi="宋体" w:eastAsia="宋体" w:cs="宋体"/>
                <w:i w:val="0"/>
                <w:iCs w:val="0"/>
                <w:color w:val="000000"/>
                <w:sz w:val="21"/>
                <w:szCs w:val="21"/>
                <w:u w:val="none"/>
              </w:rPr>
            </w:pPr>
          </w:p>
        </w:tc>
        <w:tc>
          <w:tcPr>
            <w:tcW w:w="2662"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left"/>
              <w:rPr>
                <w:rFonts w:hint="eastAsia" w:ascii="宋体" w:hAnsi="宋体" w:eastAsia="宋体" w:cs="宋体"/>
                <w:i w:val="0"/>
                <w:iCs w:val="0"/>
                <w:color w:val="000000"/>
                <w:sz w:val="21"/>
                <w:szCs w:val="21"/>
                <w:u w:val="none"/>
              </w:rPr>
            </w:pPr>
          </w:p>
        </w:tc>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pPr>
              <w:snapToGrid w:val="0"/>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tcBorders>
              <w:top w:val="nil"/>
              <w:left w:val="nil"/>
              <w:bottom w:val="nil"/>
              <w:right w:val="nil"/>
            </w:tcBorders>
            <w:noWrap/>
            <w:vAlign w:val="center"/>
          </w:tcPr>
          <w:p>
            <w:pPr>
              <w:keepNext w:val="0"/>
              <w:keepLines w:val="0"/>
              <w:widowControl/>
              <w:suppressLineNumbers w:val="0"/>
              <w:snapToGrid w:val="0"/>
              <w:jc w:val="left"/>
              <w:textAlignment w:val="center"/>
              <w:rPr>
                <w:rFonts w:hint="default" w:ascii="Arial" w:hAnsi="Arial" w:eastAsia="宋体" w:cs="Arial"/>
                <w:b/>
                <w:bCs/>
                <w:i w:val="0"/>
                <w:iCs w:val="0"/>
                <w:color w:val="000000"/>
                <w:sz w:val="24"/>
                <w:szCs w:val="24"/>
                <w:u w:val="none"/>
              </w:rPr>
            </w:pPr>
          </w:p>
        </w:tc>
        <w:tc>
          <w:tcPr>
            <w:tcW w:w="773"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c>
          <w:tcPr>
            <w:tcW w:w="538"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c>
          <w:tcPr>
            <w:tcW w:w="477"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c>
          <w:tcPr>
            <w:tcW w:w="1709" w:type="dxa"/>
            <w:tcBorders>
              <w:top w:val="nil"/>
              <w:left w:val="nil"/>
              <w:bottom w:val="nil"/>
              <w:right w:val="nil"/>
            </w:tcBorders>
            <w:noWrap/>
            <w:vAlign w:val="center"/>
          </w:tcPr>
          <w:p>
            <w:pPr>
              <w:snapToGrid w:val="0"/>
              <w:jc w:val="left"/>
              <w:rPr>
                <w:rFonts w:hint="eastAsia" w:ascii="宋体" w:hAnsi="宋体" w:eastAsia="宋体" w:cs="宋体"/>
                <w:i w:val="0"/>
                <w:iCs w:val="0"/>
                <w:color w:val="000000"/>
                <w:sz w:val="22"/>
                <w:szCs w:val="22"/>
                <w:u w:val="none"/>
              </w:rPr>
            </w:pPr>
          </w:p>
        </w:tc>
        <w:tc>
          <w:tcPr>
            <w:tcW w:w="2662" w:type="dxa"/>
            <w:tcBorders>
              <w:top w:val="nil"/>
              <w:left w:val="nil"/>
              <w:bottom w:val="nil"/>
              <w:right w:val="nil"/>
            </w:tcBorders>
            <w:noWrap/>
            <w:vAlign w:val="center"/>
          </w:tcPr>
          <w:p>
            <w:pPr>
              <w:snapToGrid w:val="0"/>
              <w:jc w:val="left"/>
              <w:rPr>
                <w:rFonts w:hint="eastAsia" w:ascii="宋体" w:hAnsi="宋体" w:eastAsia="宋体" w:cs="宋体"/>
                <w:i w:val="0"/>
                <w:iCs w:val="0"/>
                <w:color w:val="000000"/>
                <w:sz w:val="22"/>
                <w:szCs w:val="22"/>
                <w:u w:val="none"/>
              </w:rPr>
            </w:pPr>
          </w:p>
        </w:tc>
        <w:tc>
          <w:tcPr>
            <w:tcW w:w="724"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c>
          <w:tcPr>
            <w:tcW w:w="477" w:type="dxa"/>
            <w:tcBorders>
              <w:top w:val="nil"/>
              <w:left w:val="nil"/>
              <w:bottom w:val="nil"/>
              <w:right w:val="nil"/>
            </w:tcBorders>
            <w:noWrap/>
            <w:vAlign w:val="center"/>
          </w:tcPr>
          <w:p>
            <w:pPr>
              <w:snapToGrid w:val="0"/>
              <w:rPr>
                <w:rFonts w:hint="eastAsia" w:ascii="宋体" w:hAnsi="宋体" w:eastAsia="宋体" w:cs="宋体"/>
                <w:i w:val="0"/>
                <w:iCs w:val="0"/>
                <w:color w:val="000000"/>
                <w:sz w:val="22"/>
                <w:szCs w:val="22"/>
                <w:u w:val="none"/>
              </w:rPr>
            </w:pPr>
          </w:p>
        </w:tc>
      </w:tr>
    </w:tbl>
    <w:p>
      <w:pPr>
        <w:sectPr>
          <w:pgSz w:w="11906" w:h="16838"/>
          <w:pgMar w:top="1440" w:right="1800" w:bottom="1440" w:left="1800" w:header="851" w:footer="992" w:gutter="0"/>
          <w:pgNumType w:fmt="decimal"/>
          <w:cols w:space="720" w:num="1"/>
          <w:docGrid w:type="lines" w:linePitch="312" w:charSpace="0"/>
        </w:sectPr>
      </w:pPr>
    </w:p>
    <w:tbl>
      <w:tblPr>
        <w:tblStyle w:val="15"/>
        <w:tblW w:w="512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8"/>
        <w:gridCol w:w="678"/>
        <w:gridCol w:w="1256"/>
        <w:gridCol w:w="1488"/>
        <w:gridCol w:w="765"/>
        <w:gridCol w:w="850"/>
        <w:gridCol w:w="591"/>
        <w:gridCol w:w="592"/>
        <w:gridCol w:w="594"/>
        <w:gridCol w:w="12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noWrap/>
            <w:vAlign w:val="center"/>
          </w:tcPr>
          <w:p>
            <w:pPr>
              <w:keepNext w:val="0"/>
              <w:keepLines w:val="0"/>
              <w:widowControl/>
              <w:suppressLineNumbers w:val="0"/>
              <w:snapToGrid w:val="0"/>
              <w:jc w:val="left"/>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附表</w:t>
            </w:r>
            <w:r>
              <w:rPr>
                <w:rFonts w:hint="default" w:ascii="Times New Roman" w:hAnsi="Times New Roman" w:eastAsia="黑体" w:cs="Times New Roman"/>
                <w:i w:val="0"/>
                <w:iCs w:val="0"/>
                <w:color w:val="000000"/>
                <w:kern w:val="0"/>
                <w:sz w:val="32"/>
                <w:szCs w:val="3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noWrap/>
            <w:vAlign w:val="center"/>
          </w:tcPr>
          <w:p>
            <w:pPr>
              <w:keepNext w:val="0"/>
              <w:keepLines w:val="0"/>
              <w:widowControl/>
              <w:suppressLineNumbers w:val="0"/>
              <w:snapToGrid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部门整体</w:t>
            </w:r>
            <w:r>
              <w:rPr>
                <w:rStyle w:val="38"/>
                <w:lang w:val="en-US" w:eastAsia="zh-CN" w:bidi="ar"/>
              </w:rPr>
              <w:t>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76"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部门名称</w:t>
            </w:r>
          </w:p>
        </w:tc>
        <w:tc>
          <w:tcPr>
            <w:tcW w:w="4223" w:type="pct"/>
            <w:gridSpan w:val="8"/>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阿坝州壤塘县县委党校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76"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4223" w:type="pct"/>
            <w:gridSpan w:val="8"/>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年度部门整体预算</w:t>
            </w:r>
          </w:p>
        </w:tc>
        <w:tc>
          <w:tcPr>
            <w:tcW w:w="2010"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资金总额</w:t>
            </w:r>
          </w:p>
        </w:tc>
        <w:tc>
          <w:tcPr>
            <w:tcW w:w="4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1726"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收入预算</w:t>
            </w:r>
          </w:p>
        </w:tc>
        <w:tc>
          <w:tcPr>
            <w:tcW w:w="2010"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489.11万元</w:t>
            </w:r>
          </w:p>
        </w:tc>
        <w:tc>
          <w:tcPr>
            <w:tcW w:w="4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430.61万元</w:t>
            </w:r>
          </w:p>
        </w:tc>
        <w:tc>
          <w:tcPr>
            <w:tcW w:w="1726"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58.50万元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支出预算</w:t>
            </w:r>
          </w:p>
        </w:tc>
        <w:tc>
          <w:tcPr>
            <w:tcW w:w="2010"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490.51万元</w:t>
            </w:r>
          </w:p>
        </w:tc>
        <w:tc>
          <w:tcPr>
            <w:tcW w:w="4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430.61万元</w:t>
            </w:r>
          </w:p>
        </w:tc>
        <w:tc>
          <w:tcPr>
            <w:tcW w:w="1726"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59.90万元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4223"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完成年度干部教育培训、科研咨政、基地建设、日常运转任务，提升履职效能与资金使用效益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管理效率</w:t>
            </w:r>
          </w:p>
        </w:tc>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852"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3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w:t>
            </w:r>
          </w:p>
        </w:tc>
        <w:tc>
          <w:tcPr>
            <w:tcW w:w="1504"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指标设置参考值</w:t>
            </w:r>
          </w:p>
        </w:tc>
        <w:tc>
          <w:tcPr>
            <w:tcW w:w="70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指标实际完成值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486"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三年均值</w:t>
            </w:r>
          </w:p>
        </w:tc>
        <w:tc>
          <w:tcPr>
            <w:tcW w:w="33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23年</w:t>
            </w:r>
          </w:p>
        </w:tc>
        <w:tc>
          <w:tcPr>
            <w:tcW w:w="33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w:t>
            </w:r>
          </w:p>
        </w:tc>
        <w:tc>
          <w:tcPr>
            <w:tcW w:w="340"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w:t>
            </w:r>
          </w:p>
        </w:tc>
        <w:tc>
          <w:tcPr>
            <w:tcW w:w="70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486"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3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0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预算管理</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财政拨款预算编制偏离度</w:t>
            </w:r>
          </w:p>
        </w:tc>
        <w:tc>
          <w:tcPr>
            <w:tcW w:w="4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≤67.81%</w:t>
            </w:r>
          </w:p>
        </w:tc>
        <w:tc>
          <w:tcPr>
            <w:tcW w:w="4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67.81%</w:t>
            </w:r>
          </w:p>
        </w:tc>
        <w:tc>
          <w:tcPr>
            <w:tcW w:w="3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53.77%</w:t>
            </w:r>
          </w:p>
        </w:tc>
        <w:tc>
          <w:tcPr>
            <w:tcW w:w="33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56.48%</w:t>
            </w:r>
          </w:p>
        </w:tc>
        <w:tc>
          <w:tcPr>
            <w:tcW w:w="34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93.18%</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单位收入统筹度</w:t>
            </w:r>
          </w:p>
        </w:tc>
        <w:tc>
          <w:tcPr>
            <w:tcW w:w="4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≥51.94%</w:t>
            </w:r>
          </w:p>
        </w:tc>
        <w:tc>
          <w:tcPr>
            <w:tcW w:w="4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51.94%</w:t>
            </w:r>
          </w:p>
        </w:tc>
        <w:tc>
          <w:tcPr>
            <w:tcW w:w="3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50.84%</w:t>
            </w:r>
          </w:p>
        </w:tc>
        <w:tc>
          <w:tcPr>
            <w:tcW w:w="33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52.87%</w:t>
            </w:r>
          </w:p>
        </w:tc>
        <w:tc>
          <w:tcPr>
            <w:tcW w:w="34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52.10%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预算年终结余率</w:t>
            </w:r>
          </w:p>
        </w:tc>
        <w:tc>
          <w:tcPr>
            <w:tcW w:w="4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≤6.39%</w:t>
            </w:r>
          </w:p>
        </w:tc>
        <w:tc>
          <w:tcPr>
            <w:tcW w:w="4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6.39%</w:t>
            </w:r>
          </w:p>
        </w:tc>
        <w:tc>
          <w:tcPr>
            <w:tcW w:w="3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3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w:t>
            </w:r>
          </w:p>
        </w:tc>
        <w:tc>
          <w:tcPr>
            <w:tcW w:w="34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15.07%</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一般性支出金额</w:t>
            </w:r>
          </w:p>
        </w:tc>
        <w:tc>
          <w:tcPr>
            <w:tcW w:w="4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≤7.5万元</w:t>
            </w:r>
          </w:p>
        </w:tc>
        <w:tc>
          <w:tcPr>
            <w:tcW w:w="1504"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x为上年一般性支出金额</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财务管理</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财务管理规范</w:t>
            </w:r>
          </w:p>
        </w:tc>
        <w:tc>
          <w:tcPr>
            <w:tcW w:w="4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w:t>
            </w:r>
          </w:p>
        </w:tc>
        <w:tc>
          <w:tcPr>
            <w:tcW w:w="1504"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x为“优”“良”“中”或“差”</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资产管理</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资产配置预算偏离度</w:t>
            </w:r>
          </w:p>
        </w:tc>
        <w:tc>
          <w:tcPr>
            <w:tcW w:w="4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3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4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采购管理</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采购执行率</w:t>
            </w:r>
          </w:p>
        </w:tc>
        <w:tc>
          <w:tcPr>
            <w:tcW w:w="4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8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w:t>
            </w:r>
          </w:p>
        </w:tc>
        <w:tc>
          <w:tcPr>
            <w:tcW w:w="33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3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4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履职效能</w:t>
            </w:r>
          </w:p>
        </w:tc>
        <w:tc>
          <w:tcPr>
            <w:tcW w:w="38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71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新增专题课程数量</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≥3门</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主体班举办数量</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≥12个</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协作班举办数量</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≥6个</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累计培训人次</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≥1000人次</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1101人次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省州级科研课题数量</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≥3项</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基层实地调研次数</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≥10次</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10余次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新增课程验收合格率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年度培训计划完成率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到期课题结题率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培训任务按期完成率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课题研究按期完成率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基地建设项目竣工率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人均培训成本控制率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课题研究成本控制率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项目建设成本控制率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干部理论素养提升覆盖率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干部履职能力提升率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科研成果转化应用率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3"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可持续影响指标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干部教育课程体系完善度</w:t>
            </w:r>
          </w:p>
        </w:tc>
        <w:tc>
          <w:tcPr>
            <w:tcW w:w="1943"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新增专题课程≥3门、年度课程更新率≥20%、核心板块覆盖率100%|</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新增专题课程4门、年度课程更新率25%、核心板块覆盖率100%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培训学员综合满意度</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委托办班单位满意度</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县委县政府工作满意度</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95%</w:t>
            </w:r>
          </w:p>
        </w:tc>
      </w:tr>
    </w:tbl>
    <w:p>
      <w:pPr>
        <w:rPr>
          <w:rFonts w:ascii="Times New Roman" w:hAnsi="Times New Roman" w:eastAsia="仿宋_GB2312" w:cs="Times New Roman"/>
          <w:sz w:val="32"/>
        </w:rPr>
      </w:pPr>
    </w:p>
    <w:p>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8"/>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keepNext w:val="0"/>
        <w:keepLines w:val="0"/>
        <w:widowControl/>
        <w:suppressLineNumbers w:val="0"/>
        <w:snapToGrid w:val="0"/>
        <w:jc w:val="both"/>
        <w:textAlignment w:val="center"/>
        <w:rPr>
          <w:rFonts w:hint="eastAsia" w:ascii="黑体" w:hAnsi="宋体" w:eastAsia="黑体" w:cs="黑体"/>
          <w:i w:val="0"/>
          <w:iCs w:val="0"/>
          <w:color w:val="000000"/>
          <w:kern w:val="0"/>
          <w:sz w:val="32"/>
          <w:szCs w:val="32"/>
          <w:u w:val="none"/>
          <w:lang w:val="zh-CN" w:eastAsia="zh-CN" w:bidi="ar"/>
        </w:rPr>
      </w:pPr>
      <w:bookmarkStart w:id="70" w:name="_Toc15396618"/>
      <w:r>
        <w:rPr>
          <w:rFonts w:hint="eastAsia" w:ascii="黑体" w:hAnsi="宋体" w:eastAsia="黑体" w:cs="黑体"/>
          <w:i w:val="0"/>
          <w:iCs w:val="0"/>
          <w:color w:val="000000"/>
          <w:kern w:val="0"/>
          <w:sz w:val="32"/>
          <w:szCs w:val="32"/>
          <w:u w:val="none"/>
          <w:lang w:val="zh-CN" w:eastAsia="zh-CN" w:bidi="ar"/>
        </w:rPr>
        <w:t>附表</w:t>
      </w:r>
      <w:r>
        <w:rPr>
          <w:rFonts w:hint="eastAsia" w:ascii="黑体" w:hAnsi="宋体" w:eastAsia="黑体" w:cs="黑体"/>
          <w:i w:val="0"/>
          <w:iCs w:val="0"/>
          <w:color w:val="000000"/>
          <w:kern w:val="0"/>
          <w:sz w:val="32"/>
          <w:szCs w:val="32"/>
          <w:u w:val="none"/>
          <w:lang w:val="en-US" w:eastAsia="zh-CN" w:bidi="ar"/>
        </w:rPr>
        <w:t>3</w:t>
      </w:r>
      <w:r>
        <w:rPr>
          <w:rFonts w:hint="eastAsia" w:ascii="黑体" w:hAnsi="宋体" w:eastAsia="黑体" w:cs="黑体"/>
          <w:i w:val="0"/>
          <w:iCs w:val="0"/>
          <w:color w:val="000000"/>
          <w:kern w:val="0"/>
          <w:sz w:val="32"/>
          <w:szCs w:val="32"/>
          <w:u w:val="none"/>
          <w:lang w:val="zh-CN" w:eastAsia="zh-CN" w:bidi="ar"/>
        </w:rPr>
        <w:t>：</w:t>
      </w:r>
    </w:p>
    <w:p>
      <w:pPr>
        <w:keepNext w:val="0"/>
        <w:keepLines w:val="0"/>
        <w:widowControl/>
        <w:suppressLineNumbers w:val="0"/>
        <w:snapToGrid w:val="0"/>
        <w:jc w:val="center"/>
        <w:textAlignment w:val="center"/>
      </w:pPr>
      <w:r>
        <w:rPr>
          <w:rFonts w:hint="eastAsia" w:ascii="方正小标宋简体" w:hAnsi="方正小标宋简体" w:eastAsia="方正小标宋简体" w:cs="方正小标宋简体"/>
          <w:i w:val="0"/>
          <w:iCs w:val="0"/>
          <w:color w:val="000000"/>
          <w:kern w:val="0"/>
          <w:sz w:val="44"/>
          <w:szCs w:val="44"/>
          <w:u w:val="none"/>
          <w:lang w:val="en-US" w:eastAsia="zh-CN" w:bidi="ar"/>
        </w:rPr>
        <w:t>部门预算项目支出绩效自评表（2025年度）</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77"/>
        <w:gridCol w:w="833"/>
        <w:gridCol w:w="1079"/>
        <w:gridCol w:w="562"/>
        <w:gridCol w:w="628"/>
        <w:gridCol w:w="766"/>
        <w:gridCol w:w="846"/>
        <w:gridCol w:w="498"/>
        <w:gridCol w:w="486"/>
        <w:gridCol w:w="13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51323025T000012963416-壤塘县2024年中青班干部培训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培训优秀青年干部、优秀乡科级中青年干部。</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壤塘县中青年干部能力提升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培训优秀青年干部、优秀乡科级中青年干部。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这笔资金为昨年结转结余培训费，因此未纳入年初预算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开展培训天数</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30天</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30天</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培训出场率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项目完成时间</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1个月</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1个月</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培训所需费用</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培训人员对培训的满意度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中青年干部满意度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51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培训工作顺利收官，经费拨付流程规范，票据资料齐全，资金使用合理，圆满完成本次干部培训经费保障工作，整体落实到位。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费用结算核对流程偏繁琐，尾款拨付进度稍有延后，经费结算效率有待提升。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今后提前梳理培训费用清单，加快票据整理与审核流程，缩短尾款结算周期，提升经费拨付办结效率。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3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pStyle w:val="3"/>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pStyle w:val="2"/>
        <w:rPr>
          <w:rFonts w:hint="eastAsia" w:ascii="Times New Roman" w:hAnsi="Times New Roman" w:eastAsia="仿宋_GB2312" w:cs="仿宋_GB2312"/>
          <w:b w:val="0"/>
          <w:bCs w:val="0"/>
          <w:kern w:val="0"/>
          <w:position w:val="0"/>
          <w:sz w:val="32"/>
          <w:szCs w:val="32"/>
          <w:highlight w:val="none"/>
          <w:lang w:val="en-US" w:eastAsia="zh-CN" w:bidi="ar-SA"/>
        </w:rPr>
      </w:pPr>
    </w:p>
    <w:p>
      <w:pPr>
        <w:pStyle w:val="3"/>
        <w:rPr>
          <w:rFonts w:hint="eastAsia" w:ascii="Times New Roman" w:hAnsi="Times New Roman" w:eastAsia="仿宋_GB2312" w:cs="仿宋_GB2312"/>
          <w:b w:val="0"/>
          <w:bCs w:val="0"/>
          <w:kern w:val="0"/>
          <w:position w:val="0"/>
          <w:sz w:val="32"/>
          <w:szCs w:val="32"/>
          <w:highlight w:val="none"/>
          <w:lang w:val="en-US" w:eastAsia="zh-CN" w:bidi="ar-SA"/>
        </w:rPr>
      </w:pPr>
    </w:p>
    <w:p>
      <w:pPr>
        <w:rPr>
          <w:rFonts w:hint="eastAsia"/>
          <w:lang w:val="en-US" w:eastAsia="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87"/>
        <w:gridCol w:w="843"/>
        <w:gridCol w:w="1089"/>
        <w:gridCol w:w="572"/>
        <w:gridCol w:w="638"/>
        <w:gridCol w:w="776"/>
        <w:gridCol w:w="756"/>
        <w:gridCol w:w="508"/>
        <w:gridCol w:w="462"/>
        <w:gridCol w:w="1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51323025T000013413380-干部教育培训机构质量提升专项资金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聚焦提高干部教育培训机构办学质量</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2025年度，我单位围绕“聚焦提高干部教育培训机构办学质量”的整体目标，一是完成研学基地安装点位整治、布线、教学功能适配等配套工作，累计支出52.73万元，二是按期启动LED屏教学设施设备采购流程，受供应商投诉及资金统筹调度影响，采购工作跨年度推进，暂未完成全部购置闭环。目前项目仍在实施周期内，待财政局投诉复核意见下达后，将立即重启采购、安装验收等工作，全面完成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围绕办学质量提升，推进研学基地点位整治、布线及教学适配，规范列支资金；启动LED屏采购流程，因投诉及资金统筹问题暂停，待复核意见下达后重启。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52.73</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52.73%</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这是临时下达专项资金，因此未纳入年初预算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52.73</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52.73%</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0"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购置桌椅</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80套</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10月我单位已启动采购，受供应商投诉、资金统筹调度客观因素影响，采购流程未能在当年闭环，顺延至2026年推进，因资金问题采购桌椅在下一批经费中支出，此笔经费主要用于教学的LED采购，现已到货等待安装，后未及时修改绩效目标，现在该项目被供应商投诉，因此暂停采购，等待财政局复核意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措施：现需跟进财政局投诉处理进度，待复核意见下达后，尽快完成设备安装，未来设置绩效目标时我单位将认真履行，如有变动及时修改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购置设施设备验收合格率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购置工作完成时间</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12个月</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＞12个月</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2025年10月启动采购，因供应商投诉依规暂停，跨年度顺延，待财政批复后继续办。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购置所需费用</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100万元</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52.73万元</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本年度已支出52.73万元，为教学点安装点位整治、布线、教学功能适配等配套工作，2025年10月启动采购，因供应商投诉依规暂停，跨年度顺延，待财政批复后继续办。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提高干部教育培训机构办学质量</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配套整治完工、LED设备已到货，因投诉暂停安装，基地未投入使用，效益部分达成。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满意度指标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干部对培训机构设备的满意度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群众对培训的满意度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51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自评80分，项目整体按计划推进，研学基地配套工作圆满完成，资金使用合规，有效助力办学质量提升。LED屏采购未按时闭环，存在推进滞后问题，项目仍在实施周期内，待相关复核意见下达后，可完成全部绩效目标，整体成效基本达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一是LED屏采购工作推进滞后，受供应商投诉、资金统筹调度影响，未能在年度内完成购置闭环；二是项目推进统筹协调不足，对采购过程中的突发情况应对不够及时；三是资金使用与采购进度衔接不够紧密，影响项目推进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密切跟进财政局投诉复核意见，一旦下达立即重启LED屏采购、安装及验收工作，加快推进项目闭环；加强项目统筹协调，提前预判采购风险，提升突发情况应对能力；优化资金调度与使用衔接，合理安排资金拨付，确保项目按计划推进，全面完成绩效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3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pPr>
        <w:pStyle w:val="2"/>
        <w:rPr>
          <w:rFonts w:hint="eastAsia"/>
          <w:lang w:val="en-US" w:eastAsia="zh-CN"/>
        </w:rPr>
      </w:pPr>
    </w:p>
    <w:p>
      <w:pPr>
        <w:widowControl/>
        <w:jc w:val="center"/>
        <w:rPr>
          <w:rFonts w:hint="eastAsia" w:ascii="Times New Roman" w:hAnsi="Times New Roman" w:eastAsia="黑体"/>
          <w:color w:val="auto"/>
          <w:sz w:val="44"/>
          <w:szCs w:val="44"/>
          <w:highlight w:val="none"/>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80"/>
        <w:gridCol w:w="837"/>
        <w:gridCol w:w="1083"/>
        <w:gridCol w:w="566"/>
        <w:gridCol w:w="631"/>
        <w:gridCol w:w="769"/>
        <w:gridCol w:w="816"/>
        <w:gridCol w:w="501"/>
        <w:gridCol w:w="455"/>
        <w:gridCol w:w="14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51323025T000013648129-分类建设设施设备采购项目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完善分类建设和基础设施提升改造</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安装全方位、无死角的电子监控系统、安装车牌识别道闸、更换现有学员宿舍部分生活设施、在吉萨颇章会议中心加挂门牌、党校内部文化建设等。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项目全流程全部办结，设备采购、到货安装、验收结算均已完成，资金拨付到位，整体任务落地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54.80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27.40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分类建设设施设备采购项目，在建库的时候预算就是27.4万元，实际使用也是27.4万元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54.80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27.40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座谈会次数</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5次</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&gt;=5次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支持信息系统建设数量</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5个</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&gt;=5个</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评估报告数量</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20个</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&gt;=20个</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项目主要用于设施设备采购，安装全方位、无死角的电子监控系统、安装车牌识别道闸、更换现有学员宿舍部分生活设施、在吉萨颇章会议中心加挂门牌、党校内部文化建设等只有采购相关资料，没有这么多评估报告，未来我单位将会在设置绩效目标时更务实，以免影响项目绩效评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工程验收合格率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评估报告按时完成率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项目主要用于设施设备采购，安装全方位、无死角的电子监控系统、安装车牌识别道闸、更换现有学员宿舍部分生活设施、在吉萨颇章会议中心加挂门牌、党校内部文化建设等只有采购相关资料，没有这么多评估报告，未来我单位将会在设置绩效目标时更务实，以免影响项目绩效评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完善分类建设和基础设施提升改造</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&gt;=95%</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满意度指标</w:t>
            </w:r>
          </w:p>
        </w:tc>
        <w:tc>
          <w:tcPr>
            <w:tcW w:w="668"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群众对基础设施改造的满意度</w:t>
            </w:r>
          </w:p>
        </w:tc>
        <w:tc>
          <w:tcPr>
            <w:tcW w:w="36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1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&gt;=98%</w:t>
            </w:r>
          </w:p>
        </w:tc>
        <w:tc>
          <w:tcPr>
            <w:tcW w:w="327"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51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项目各项流程顺利办结，设备全部投入使用，满足日常工作运行需求，资金使用规范合规。虽整体完成建设任务，但在前期统筹规划、选型适配方面仍有欠缺，未达到最优成效，综合自评80分。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前期设备需求调研不够细致，绩效目标贴合度一般；采购前期统筹谋划不足，整体推进节奏偏慢；设备后期运维方案不够完善。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今后提前做好实地摸排，精准上报设备需求；提前统筹项目时序，加快前期筹备工作；健全设备日常管护制度，提高设备利用率，切实提升项目实施实效。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3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pPr>
        <w:widowControl/>
        <w:jc w:val="cente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3"/>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3"/>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3"/>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77"/>
        <w:gridCol w:w="833"/>
        <w:gridCol w:w="1080"/>
        <w:gridCol w:w="563"/>
        <w:gridCol w:w="628"/>
        <w:gridCol w:w="766"/>
        <w:gridCol w:w="846"/>
        <w:gridCol w:w="498"/>
        <w:gridCol w:w="452"/>
        <w:gridCol w:w="14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51323026T000014084024-第一批乡村振兴五年行动资金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统筹实施一批重点人才项目，加大对乡村振兴重点帮扶县、欠发达县和艰苦边远地区倾斜支持力度，推动人才智力向产业发展、乡村建设、基层治理一线集聚，不断增强乡村振兴内生动力，为实现城乡融合发展、乡村全面振兴提供坚强人才支撑。</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顶岗培养人员按时完成，并完成考核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顶岗培养人员按时完成，并完成考核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临时项目，未纳入年初预算，因此有调整预算数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顶岗培养紧缺专业人才1人</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w:t>
            </w:r>
          </w:p>
        </w:tc>
        <w:tc>
          <w:tcPr>
            <w:tcW w:w="32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提升本土人才专业能力和综合素质，并完成考核</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是否完成考核</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w:t>
            </w:r>
          </w:p>
        </w:tc>
        <w:tc>
          <w:tcPr>
            <w:tcW w:w="32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紧缺专业人才顶岗培养</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是否完成</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w:t>
            </w:r>
          </w:p>
        </w:tc>
        <w:tc>
          <w:tcPr>
            <w:tcW w:w="32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为基层培育一支留得住、能战斗、带不走的本土人才队伍</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提升本土人才队伍的综合能力</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本土人才队伍支撑乡村全面振兴力量较强</w:t>
            </w:r>
          </w:p>
        </w:tc>
        <w:tc>
          <w:tcPr>
            <w:tcW w:w="32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将所学知识用于日常工作中</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正在使用</w:t>
            </w:r>
          </w:p>
        </w:tc>
        <w:tc>
          <w:tcPr>
            <w:tcW w:w="32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完成顶岗培养任务并用于工作岗位</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51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资金使用合规，培养工作组织有序，人员培养进度按时达标，考核流程严谨规范，有效提升参训人员业务能力与基层工作水平，圆满达成人才培养工作实效。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培养内容贴合基层实战需求仍可优化；训后跟踪回访机制不够完善。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后续优化顶岗培养课程内容，多增设基层实操实务内容；建立训后跟踪联络机制，持续巩固培养成果，充分发挥人才培养助力乡村振兴作用。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3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pPr>
        <w:pStyle w:val="3"/>
        <w:rPr>
          <w:rFonts w:hint="eastAsia"/>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黑体"/>
          <w:color w:val="auto"/>
          <w:sz w:val="44"/>
          <w:szCs w:val="44"/>
          <w:highlight w:val="none"/>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39"/>
        <w:gridCol w:w="793"/>
        <w:gridCol w:w="1041"/>
        <w:gridCol w:w="524"/>
        <w:gridCol w:w="1026"/>
        <w:gridCol w:w="727"/>
        <w:gridCol w:w="756"/>
        <w:gridCol w:w="486"/>
        <w:gridCol w:w="397"/>
        <w:gridCol w:w="13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51323026T000014235547-干部群众教育培训经费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2024年各类干部群众教育培训产生的厨师、伙食、清洁劳务、软硬件维护维修、洗涤及厨房学员宿舍用品电费等，包括校园文化建设等经费，通过培训提升党员干部群众的思想素质。</w:t>
            </w:r>
          </w:p>
        </w:tc>
        <w:tc>
          <w:tcPr>
            <w:tcW w:w="18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2024年各类干部群众教育培训产生的厨师、伙食、清洁劳务、软硬件维护维修、洗涤及厨房学员宿舍用品电费等，包括校园文化建设等经费，通过培训提升党员干部群众的思想素质。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按规定统筹列支厨师伙食、清洁劳务、软硬件维护维修、洗涤、水电及校园文化建设等经费，规范报销审批流程，完善台账管理，全力保障各类培训落地。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20.06</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18.06</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90.01%</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培训经费是根据培训项目来的，因此未纳入年初预算，因此有调整预算数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20.06</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18.06</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90.01%</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培训期数</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培训完成时间</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＞12个月</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20043.79元年底国库收回，培训费用未支付完毕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费用预算</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200639.36</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18.06万元</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20043.79元年底国库收回，培训费用未支付完毕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提升党员干部群众的思想道德水平</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培训对象满意度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51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自评89分，经费保障及时充足，各类支出合规有序，圆满完成后勤保障及校园文化建设任务，有效支撑干部群众教育培训开展，切实提升了参训人员思想素质。整体成效良好，但在经费精细化管控、开支优化方面仍有提升空间，未达到最优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一是经费使用统筹不够精细，；二是校园文化建设经费投入分配不够合理，重点不够突出；三是经费使用台账管理不够细致，部分支出明细归档不够规范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细化经费使用方案，严控后勤各类开支，杜绝浪费，优化水电、耗材使用管理；合理分配校园文化建设经费，聚焦重点提升实效；规范经费台账归档，完善支出明细审核，提升经费使用效益，推动培训保障工作提质增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30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pPr>
        <w:widowControl/>
        <w:jc w:val="cente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3"/>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3"/>
        <w:ind w:left="0" w:leftChars="0" w:firstLine="0" w:firstLineChars="0"/>
        <w:rPr>
          <w:rFonts w:hint="eastAsia"/>
        </w:rPr>
      </w:pPr>
    </w:p>
    <w:p>
      <w:pPr>
        <w:widowControl/>
        <w:jc w:val="center"/>
        <w:outlineLvl w:val="0"/>
        <w:rPr>
          <w:rFonts w:hint="eastAsia" w:ascii="Times New Roman" w:hAnsi="Times New Roman" w:eastAsia="仿宋"/>
          <w:b w:val="0"/>
          <w:color w:val="auto"/>
          <w:highlight w:val="none"/>
        </w:rPr>
      </w:pPr>
      <w:bookmarkStart w:id="71" w:name="_Toc660719140"/>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五部分附表</w:t>
      </w:r>
      <w:bookmarkEnd w:id="63"/>
      <w:bookmarkEnd w:id="70"/>
      <w:bookmarkEnd w:id="71"/>
      <w:bookmarkStart w:id="72"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3" w:name="_Toc1197505744"/>
      <w:r>
        <w:rPr>
          <w:rFonts w:hint="eastAsia" w:ascii="Times New Roman" w:hAnsi="Times New Roman" w:eastAsia="仿宋_GB2312" w:cs="仿宋_GB2312"/>
          <w:color w:val="auto"/>
          <w:sz w:val="32"/>
          <w:szCs w:val="32"/>
          <w:highlight w:val="none"/>
        </w:rPr>
        <w:t>一、收入支出决算总表</w:t>
      </w:r>
      <w:bookmarkEnd w:id="72"/>
      <w:bookmarkEnd w:id="7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4" w:name="_Toc15396620"/>
      <w:bookmarkStart w:id="75" w:name="_Toc1369229916"/>
      <w:r>
        <w:rPr>
          <w:rFonts w:hint="eastAsia" w:ascii="Times New Roman" w:hAnsi="Times New Roman" w:eastAsia="仿宋_GB2312" w:cs="仿宋_GB2312"/>
          <w:color w:val="auto"/>
          <w:sz w:val="32"/>
          <w:szCs w:val="32"/>
          <w:highlight w:val="none"/>
        </w:rPr>
        <w:t>二、收入决算表</w:t>
      </w:r>
      <w:bookmarkEnd w:id="74"/>
      <w:bookmarkEnd w:id="7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6" w:name="_Toc136875135"/>
      <w:bookmarkStart w:id="77" w:name="_Toc15396621"/>
      <w:r>
        <w:rPr>
          <w:rFonts w:hint="eastAsia" w:ascii="Times New Roman" w:hAnsi="Times New Roman" w:eastAsia="仿宋_GB2312" w:cs="仿宋_GB2312"/>
          <w:color w:val="auto"/>
          <w:sz w:val="32"/>
          <w:szCs w:val="32"/>
          <w:highlight w:val="none"/>
        </w:rPr>
        <w:t>三、支出决算表</w:t>
      </w:r>
      <w:bookmarkEnd w:id="76"/>
      <w:bookmarkEnd w:id="7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8" w:name="_Toc15396622"/>
      <w:bookmarkStart w:id="79" w:name="_Toc202270077"/>
      <w:r>
        <w:rPr>
          <w:rFonts w:hint="eastAsia" w:ascii="Times New Roman" w:hAnsi="Times New Roman" w:eastAsia="仿宋_GB2312" w:cs="仿宋_GB2312"/>
          <w:color w:val="auto"/>
          <w:sz w:val="32"/>
          <w:szCs w:val="32"/>
          <w:highlight w:val="none"/>
        </w:rPr>
        <w:t>四、财政拨款收入支出决算总表</w:t>
      </w:r>
      <w:bookmarkEnd w:id="78"/>
      <w:bookmarkEnd w:id="7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0" w:name="_Toc15396623"/>
      <w:bookmarkStart w:id="81" w:name="_Toc1449514199"/>
      <w:r>
        <w:rPr>
          <w:rFonts w:hint="eastAsia" w:ascii="Times New Roman" w:hAnsi="Times New Roman" w:eastAsia="仿宋_GB2312" w:cs="仿宋_GB2312"/>
          <w:color w:val="auto"/>
          <w:sz w:val="32"/>
          <w:szCs w:val="32"/>
          <w:highlight w:val="none"/>
        </w:rPr>
        <w:t>五、财政拨款支出决算明细表</w:t>
      </w:r>
      <w:bookmarkEnd w:id="80"/>
      <w:bookmarkEnd w:id="81"/>
      <w:bookmarkStart w:id="82"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3" w:name="_Toc977153816"/>
      <w:r>
        <w:rPr>
          <w:rFonts w:hint="eastAsia" w:ascii="Times New Roman" w:hAnsi="Times New Roman" w:eastAsia="仿宋_GB2312" w:cs="仿宋_GB2312"/>
          <w:color w:val="auto"/>
          <w:sz w:val="32"/>
          <w:szCs w:val="32"/>
          <w:highlight w:val="none"/>
        </w:rPr>
        <w:t>六、一般公共预算财政拨款支出决算表</w:t>
      </w:r>
      <w:bookmarkEnd w:id="82"/>
      <w:bookmarkEnd w:id="8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15396625"/>
      <w:bookmarkStart w:id="85" w:name="_Toc808635698"/>
      <w:r>
        <w:rPr>
          <w:rFonts w:hint="eastAsia" w:ascii="Times New Roman" w:hAnsi="Times New Roman" w:eastAsia="仿宋_GB2312" w:cs="仿宋_GB2312"/>
          <w:color w:val="auto"/>
          <w:sz w:val="32"/>
          <w:szCs w:val="32"/>
          <w:highlight w:val="none"/>
        </w:rPr>
        <w:t>七、一般公共预算财政拨款支出决算明细表</w:t>
      </w:r>
      <w:bookmarkEnd w:id="84"/>
      <w:bookmarkEnd w:id="8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6" w:name="_Toc15396626"/>
      <w:bookmarkStart w:id="87" w:name="_Toc382243491"/>
      <w:r>
        <w:rPr>
          <w:rFonts w:hint="eastAsia" w:ascii="Times New Roman" w:hAnsi="Times New Roman" w:eastAsia="仿宋_GB2312" w:cs="仿宋_GB2312"/>
          <w:color w:val="auto"/>
          <w:sz w:val="32"/>
          <w:szCs w:val="32"/>
          <w:highlight w:val="none"/>
        </w:rPr>
        <w:t>八、一般公共预算财政拨款基本支出决算表</w:t>
      </w:r>
      <w:bookmarkEnd w:id="86"/>
      <w:bookmarkEnd w:id="8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1635325160"/>
      <w:bookmarkStart w:id="89" w:name="_Toc15396627"/>
      <w:r>
        <w:rPr>
          <w:rFonts w:hint="eastAsia" w:ascii="Times New Roman" w:hAnsi="Times New Roman" w:eastAsia="仿宋_GB2312" w:cs="仿宋_GB2312"/>
          <w:color w:val="auto"/>
          <w:sz w:val="32"/>
          <w:szCs w:val="32"/>
          <w:highlight w:val="none"/>
        </w:rPr>
        <w:t>九、一般公共预算财政拨款项目支出决算表</w:t>
      </w:r>
      <w:bookmarkEnd w:id="88"/>
      <w:bookmarkEnd w:id="8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15396628"/>
      <w:bookmarkStart w:id="91" w:name="_Toc1190068439"/>
      <w:r>
        <w:rPr>
          <w:rFonts w:hint="eastAsia" w:ascii="Times New Roman" w:hAnsi="Times New Roman" w:eastAsia="仿宋_GB2312" w:cs="仿宋_GB2312"/>
          <w:color w:val="auto"/>
          <w:sz w:val="32"/>
          <w:szCs w:val="32"/>
          <w:highlight w:val="none"/>
        </w:rPr>
        <w:t>十、</w:t>
      </w:r>
      <w:bookmarkEnd w:id="90"/>
      <w:r>
        <w:rPr>
          <w:rFonts w:hint="eastAsia" w:ascii="Times New Roman" w:hAnsi="Times New Roman" w:eastAsia="仿宋_GB2312" w:cs="仿宋_GB2312"/>
          <w:color w:val="auto"/>
          <w:sz w:val="32"/>
          <w:szCs w:val="32"/>
          <w:highlight w:val="none"/>
        </w:rPr>
        <w:t>政府性基金预算财政拨款收入支出决算表</w:t>
      </w:r>
      <w:bookmarkEnd w:id="9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2" w:name="_Toc15396629"/>
      <w:bookmarkStart w:id="93" w:name="_Toc1998330057"/>
      <w:r>
        <w:rPr>
          <w:rFonts w:hint="eastAsia" w:ascii="Times New Roman" w:hAnsi="Times New Roman" w:eastAsia="仿宋_GB2312" w:cs="仿宋_GB2312"/>
          <w:color w:val="auto"/>
          <w:sz w:val="32"/>
          <w:szCs w:val="32"/>
          <w:highlight w:val="none"/>
        </w:rPr>
        <w:t>十一、</w:t>
      </w:r>
      <w:bookmarkEnd w:id="9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9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4" w:name="_Toc15396630"/>
      <w:bookmarkStart w:id="95" w:name="_Toc742747525"/>
      <w:r>
        <w:rPr>
          <w:rFonts w:hint="eastAsia" w:ascii="Times New Roman" w:hAnsi="Times New Roman" w:eastAsia="仿宋_GB2312" w:cs="仿宋_GB2312"/>
          <w:color w:val="auto"/>
          <w:sz w:val="32"/>
          <w:szCs w:val="32"/>
          <w:highlight w:val="none"/>
        </w:rPr>
        <w:t>十二、</w:t>
      </w:r>
      <w:bookmarkEnd w:id="94"/>
      <w:r>
        <w:rPr>
          <w:rFonts w:hint="eastAsia" w:ascii="Times New Roman" w:hAnsi="Times New Roman" w:eastAsia="仿宋_GB2312" w:cs="仿宋_GB2312"/>
          <w:color w:val="auto"/>
          <w:sz w:val="32"/>
          <w:szCs w:val="32"/>
          <w:highlight w:val="none"/>
          <w:lang w:eastAsia="zh-CN"/>
        </w:rPr>
        <w:t>国有资本经营预算财政拨款支出决算表</w:t>
      </w:r>
      <w:bookmarkEnd w:id="9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6" w:name="_Toc15396631"/>
      <w:bookmarkStart w:id="97" w:name="_Toc1644981308"/>
      <w:r>
        <w:rPr>
          <w:rFonts w:hint="eastAsia" w:ascii="Times New Roman" w:hAnsi="Times New Roman" w:eastAsia="仿宋_GB2312" w:cs="仿宋_GB2312"/>
          <w:color w:val="auto"/>
          <w:sz w:val="32"/>
          <w:szCs w:val="32"/>
          <w:highlight w:val="none"/>
        </w:rPr>
        <w:t>十三、</w:t>
      </w:r>
      <w:bookmarkEnd w:id="96"/>
      <w:r>
        <w:rPr>
          <w:rFonts w:hint="eastAsia" w:ascii="Times New Roman" w:hAnsi="Times New Roman" w:eastAsia="仿宋_GB2312" w:cs="仿宋_GB2312"/>
          <w:color w:val="auto"/>
          <w:sz w:val="32"/>
          <w:szCs w:val="32"/>
          <w:highlight w:val="none"/>
          <w:lang w:eastAsia="zh-CN"/>
        </w:rPr>
        <w:t>财政拨款“三公”经费支出决算表</w:t>
      </w:r>
      <w:bookmarkEnd w:id="97"/>
    </w:p>
    <w:p>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simhei">
    <w:altName w:val="仿宋_GB2312"/>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A00002BF" w:usb1="38CF7CFA" w:usb2="00082016" w:usb3="00000000" w:csb0="00040001" w:csb1="00000000"/>
  </w:font>
  <w:font w:name="文泉驿正黑">
    <w:panose1 w:val="02000603000000000000"/>
    <w:charset w:val="86"/>
    <w:family w:val="auto"/>
    <w:pitch w:val="default"/>
    <w:sig w:usb0="900002BF" w:usb1="2BDF7DFB" w:usb2="00000036" w:usb3="00000000" w:csb0="603E000D" w:csb1="D2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1"/>
                    </w:pPr>
                    <w:r>
                      <w:t>—</w:t>
                    </w:r>
                    <w:r>
                      <w:fldChar w:fldCharType="begin"/>
                    </w:r>
                    <w:r>
                      <w:instrText xml:space="preserve"> PAGE  \* MERGEFORMAT </w:instrText>
                    </w:r>
                    <w:r>
                      <w:fldChar w:fldCharType="separate"/>
                    </w:r>
                    <w:r>
                      <w:t>1</w:t>
                    </w:r>
                    <w:r>
                      <w:fldChar w:fldCharType="end"/>
                    </w:r>
                    <w:r>
                      <w:t>—</w:t>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1"/>
                    </w:pPr>
                    <w:r>
                      <w:t>—</w:t>
                    </w:r>
                    <w:r>
                      <w:fldChar w:fldCharType="begin"/>
                    </w:r>
                    <w:r>
                      <w:instrText xml:space="preserve"> PAGE  \* MERGEFORMAT </w:instrText>
                    </w:r>
                    <w:r>
                      <w:fldChar w:fldCharType="separate"/>
                    </w:r>
                    <w:r>
                      <w:t>1</w:t>
                    </w:r>
                    <w:r>
                      <w:fldChar w:fldCharType="end"/>
                    </w:r>
                    <w: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inside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w:t>
                          </w:r>
                          <w:r>
                            <w:fldChar w:fldCharType="begin"/>
                          </w:r>
                          <w:r>
                            <w:instrText xml:space="preserve"> PAGE  \* MERGEFORMAT </w:instrText>
                          </w:r>
                          <w:r>
                            <w:fldChar w:fldCharType="separate"/>
                          </w:r>
                          <w:r>
                            <w:t>2</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1"/>
                    </w:pPr>
                    <w:r>
                      <w:t>—</w:t>
                    </w:r>
                    <w:r>
                      <w:fldChar w:fldCharType="begin"/>
                    </w:r>
                    <w:r>
                      <w:instrText xml:space="preserve"> PAGE  \* MERGEFORMAT </w:instrText>
                    </w:r>
                    <w:r>
                      <w:fldChar w:fldCharType="separate"/>
                    </w:r>
                    <w:r>
                      <w:t>2</w:t>
                    </w:r>
                    <w:r>
                      <w:fldChar w:fldCharType="end"/>
                    </w:r>
                    <w:r>
                      <w:t>—</w:t>
                    </w:r>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11"/>
                    </w:pPr>
                    <w:r>
                      <w:t>—</w:t>
                    </w:r>
                    <w:r>
                      <w:fldChar w:fldCharType="begin"/>
                    </w:r>
                    <w:r>
                      <w:instrText xml:space="preserve"> PAGE  \* MERGEFORMAT </w:instrText>
                    </w:r>
                    <w:r>
                      <w:fldChar w:fldCharType="separate"/>
                    </w:r>
                    <w:r>
                      <w:t>1</w:t>
                    </w:r>
                    <w:r>
                      <w:fldChar w:fldCharType="end"/>
                    </w:r>
                    <w:r>
                      <w:t>—</w:t>
                    </w:r>
                  </w:p>
                </w:txbxContent>
              </v:textbox>
            </v:shape>
          </w:pict>
        </mc:Fallback>
      </mc:AlternateContent>
    </w: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9F2F9E"/>
    <w:multiLevelType w:val="singleLevel"/>
    <w:tmpl w:val="F39F2F9E"/>
    <w:lvl w:ilvl="0" w:tentative="0">
      <w:start w:val="3"/>
      <w:numFmt w:val="decimal"/>
      <w:lvlText w:val="%1."/>
      <w:lvlJc w:val="left"/>
      <w:pPr>
        <w:tabs>
          <w:tab w:val="left" w:pos="312"/>
        </w:tabs>
      </w:pPr>
    </w:lvl>
  </w:abstractNum>
  <w:abstractNum w:abstractNumId="1">
    <w:nsid w:val="78BD85D0"/>
    <w:multiLevelType w:val="singleLevel"/>
    <w:tmpl w:val="78BD85D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BB1017"/>
    <w:rsid w:val="3DEE7CF3"/>
    <w:rsid w:val="3DF02244"/>
    <w:rsid w:val="3DF97B88"/>
    <w:rsid w:val="3E78745D"/>
    <w:rsid w:val="3FE7F97C"/>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EFC69AD"/>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0E8A"/>
    <w:rsid w:val="7FDA9588"/>
    <w:rsid w:val="7FDCB86B"/>
    <w:rsid w:val="7FDF220F"/>
    <w:rsid w:val="7FEDC5F7"/>
    <w:rsid w:val="7FEDD9DE"/>
    <w:rsid w:val="7FF5890D"/>
    <w:rsid w:val="7FF93490"/>
    <w:rsid w:val="7FFF1AA6"/>
    <w:rsid w:val="99FF2014"/>
    <w:rsid w:val="A6DD0D7F"/>
    <w:rsid w:val="ADC6F725"/>
    <w:rsid w:val="B49D7366"/>
    <w:rsid w:val="B74FFA11"/>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7DB22FC"/>
    <w:rsid w:val="ECFED1BC"/>
    <w:rsid w:val="ED1D69BB"/>
    <w:rsid w:val="ED7FD312"/>
    <w:rsid w:val="EF53993F"/>
    <w:rsid w:val="EF6FD633"/>
    <w:rsid w:val="EFBFB2F4"/>
    <w:rsid w:val="EFBFFA21"/>
    <w:rsid w:val="F2BEBCB8"/>
    <w:rsid w:val="F36FB518"/>
    <w:rsid w:val="F3DE1A04"/>
    <w:rsid w:val="F3F722E5"/>
    <w:rsid w:val="F3FE1D51"/>
    <w:rsid w:val="FA5F1E70"/>
    <w:rsid w:val="FA5FDB97"/>
    <w:rsid w:val="FB7F486A"/>
    <w:rsid w:val="FBEF8556"/>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列出段落1"/>
    <w:basedOn w:val="1"/>
    <w:qFormat/>
    <w:uiPriority w:val="34"/>
    <w:pPr>
      <w:ind w:firstLine="420" w:firstLineChars="200"/>
    </w:pPr>
    <w:rPr>
      <w:rFonts w:ascii="Calibri" w:hAnsi="Calibri" w:eastAsia="宋体" w:cs="Times New Roman"/>
    </w:rPr>
  </w:style>
  <w:style w:type="character" w:customStyle="1" w:styleId="36">
    <w:name w:val="font11"/>
    <w:basedOn w:val="16"/>
    <w:qFormat/>
    <w:uiPriority w:val="0"/>
    <w:rPr>
      <w:rFonts w:hint="eastAsia" w:ascii="黑体" w:hAnsi="宋体" w:eastAsia="黑体" w:cs="黑体"/>
      <w:color w:val="000000"/>
      <w:sz w:val="32"/>
      <w:szCs w:val="32"/>
      <w:u w:val="none"/>
    </w:rPr>
  </w:style>
  <w:style w:type="character" w:customStyle="1" w:styleId="37">
    <w:name w:val="font112"/>
    <w:basedOn w:val="16"/>
    <w:qFormat/>
    <w:uiPriority w:val="0"/>
    <w:rPr>
      <w:rFonts w:hint="default" w:ascii="Times New Roman" w:hAnsi="Times New Roman" w:cs="Times New Roman"/>
      <w:color w:val="000000"/>
      <w:sz w:val="32"/>
      <w:szCs w:val="32"/>
      <w:u w:val="none"/>
    </w:rPr>
  </w:style>
  <w:style w:type="character" w:customStyle="1" w:styleId="38">
    <w:name w:val="font21"/>
    <w:basedOn w:val="16"/>
    <w:qFormat/>
    <w:uiPriority w:val="0"/>
    <w:rPr>
      <w:rFonts w:hint="eastAsia" w:ascii="方正小标宋简体" w:hAnsi="方正小标宋简体" w:eastAsia="方正小标宋简体" w:cs="方正小标宋简体"/>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411.2</c:v>
                </c:pt>
                <c:pt idx="1">
                  <c:v>490.51</c:v>
                </c:pt>
              </c:numCache>
            </c:numRef>
          </c:val>
        </c:ser>
        <c:ser>
          <c:idx val="1"/>
          <c:order val="1"/>
          <c:tx>
            <c:strRef>
              <c:f>Sheet1!$C$1</c:f>
              <c:strCache>
                <c:ptCount val="1"/>
                <c:pt idx="0">
                  <c:v>支出</c:v>
                </c:pt>
              </c:strCache>
            </c:strRef>
          </c:tx>
          <c:spPr>
            <a:solidFill>
              <a:schemeClr val="accent6"/>
            </a:solidFill>
            <a:ln>
              <a:noFill/>
            </a:ln>
            <a:effectLst/>
          </c:spPr>
          <c:invertIfNegative val="0"/>
          <c:dLbls>
            <c:delete val="1"/>
          </c:dLbls>
          <c:cat>
            <c:numRef>
              <c:f>Sheet1!$A$2:$A$3</c:f>
              <c:numCache>
                <c:formatCode>General</c:formatCode>
                <c:ptCount val="2"/>
                <c:pt idx="0">
                  <c:v>2024</c:v>
                </c:pt>
                <c:pt idx="1">
                  <c:v>2025</c:v>
                </c:pt>
              </c:numCache>
            </c:numRef>
          </c:cat>
          <c:val>
            <c:numRef>
              <c:f>Sheet1!$C$2:$C$3</c:f>
              <c:numCache>
                <c:formatCode>General</c:formatCode>
                <c:ptCount val="2"/>
                <c:pt idx="0">
                  <c:v>411.2</c:v>
                </c:pt>
                <c:pt idx="1">
                  <c:v>490.51</c:v>
                </c:pt>
              </c:numCache>
            </c:numRef>
          </c:val>
        </c:ser>
        <c:dLbls>
          <c:showLegendKey val="0"/>
          <c:showVal val="0"/>
          <c:showCatName val="0"/>
          <c:showSerName val="0"/>
          <c:showPercent val="0"/>
          <c:showBubbleSize val="0"/>
        </c:dLbls>
        <c:gapWidth val="246"/>
        <c:overlap val="-28"/>
        <c:axId val="36542339"/>
        <c:axId val="614904045"/>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numRef>
                    <c:extLst>
                      <c:ext uri="{02D57815-91ED-43cb-92C2-25804820EDAC}">
                        <c15:fullRef>
                          <c15:sqref/>
                        </c15:fullRef>
                        <c15:formulaRef>
                          <c15:sqref>Sheet1!$A$2:$A$3</c15:sqref>
                        </c15:formulaRef>
                      </c:ext>
                    </c:extLst>
                    <c:numCache>
                      <c:formatCode>General</c:formatCode>
                      <c:ptCount val="2"/>
                      <c:pt idx="0">
                        <c:v>2024</c:v>
                      </c:pt>
                      <c:pt idx="1">
                        <c:v>2025</c:v>
                      </c:pt>
                    </c:numCache>
                  </c:num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365423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4904045"/>
        <c:crosses val="autoZero"/>
        <c:auto val="1"/>
        <c:lblAlgn val="ctr"/>
        <c:lblOffset val="100"/>
        <c:noMultiLvlLbl val="0"/>
      </c:catAx>
      <c:valAx>
        <c:axId val="61490404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42339"/>
        <c:crosses val="autoZero"/>
        <c:crossBetween val="between"/>
      </c:valAx>
      <c:spPr>
        <a:noFill/>
        <a:ln>
          <a:noFill/>
        </a:ln>
        <a:effectLst/>
      </c:spPr>
    </c:plotArea>
    <c:legend>
      <c:legendPos val="b"/>
      <c:layout>
        <c:manualLayout>
          <c:xMode val="edge"/>
          <c:yMode val="edge"/>
          <c:x val="0.303575742933076"/>
          <c:y val="0.903739906502337"/>
          <c:w val="0.358178303938149"/>
          <c:h val="0.07076073098172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2025年度收入决算结构图（万元）</a:t>
            </a:r>
          </a:p>
        </c:rich>
      </c:tx>
      <c:layout/>
      <c:overlay val="0"/>
      <c:spPr>
        <a:noFill/>
        <a:ln>
          <a:noFill/>
        </a:ln>
        <a:effectLst/>
      </c:spPr>
    </c:title>
    <c:autoTitleDeleted val="0"/>
    <c:plotArea>
      <c:layout/>
      <c:pieChart>
        <c:varyColors val="1"/>
        <c:ser>
          <c:idx val="0"/>
          <c:order val="0"/>
          <c:tx>
            <c:strRef>
              <c:f>Sheet1!$B$1</c:f>
              <c:strCache>
                <c:ptCount val="1"/>
                <c:pt idx="0">
                  <c:v>2025年度收入合计（万元）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elete val="1"/>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430.61</c:v>
                </c:pt>
                <c:pt idx="1">
                  <c:v>0</c:v>
                </c:pt>
                <c:pt idx="2">
                  <c:v>0</c:v>
                </c:pt>
                <c:pt idx="3">
                  <c:v>0</c:v>
                </c:pt>
                <c:pt idx="4">
                  <c:v>0</c:v>
                </c:pt>
                <c:pt idx="5">
                  <c:v>0</c:v>
                </c:pt>
                <c:pt idx="6">
                  <c:v>0</c:v>
                </c:pt>
                <c:pt idx="7">
                  <c:v>58.5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2025年度支出决算结构图（万元）</a:t>
            </a:r>
          </a:p>
        </c:rich>
      </c:tx>
      <c:layout/>
      <c:overlay val="0"/>
      <c:spPr>
        <a:noFill/>
        <a:ln>
          <a:noFill/>
        </a:ln>
        <a:effectLst/>
      </c:spPr>
    </c:title>
    <c:autoTitleDeleted val="0"/>
    <c:plotArea>
      <c:layout/>
      <c:pieChart>
        <c:varyColors val="1"/>
        <c:ser>
          <c:idx val="0"/>
          <c:order val="0"/>
          <c:tx>
            <c:strRef>
              <c:f>Sheet1!$B$1</c:f>
              <c:strCache>
                <c:ptCount val="1"/>
                <c:pt idx="0">
                  <c:v>2025年度支出合计（万元）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347.33</c:v>
                </c:pt>
                <c:pt idx="1">
                  <c:v>83.28</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740906344410876"/>
          <c:y val="0.286963229622011"/>
          <c:w val="0.24821752265861"/>
          <c:h val="0.6348675752121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财政拨款收、支决算总计变动情况（万元）</a:t>
            </a:r>
            <a:endParaRPr altLang="en-US"/>
          </a:p>
        </c:rich>
      </c:tx>
      <c:layout>
        <c:manualLayout>
          <c:xMode val="edge"/>
          <c:yMode val="edge"/>
          <c:x val="0.209108480309253"/>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388.55</c:v>
                </c:pt>
                <c:pt idx="1">
                  <c:v>430.61</c:v>
                </c:pt>
              </c:numCache>
            </c:numRef>
          </c:val>
        </c:ser>
        <c:ser>
          <c:idx val="1"/>
          <c:order val="1"/>
          <c:tx>
            <c:strRef>
              <c:f>Sheet1!$C$1</c:f>
              <c:strCache>
                <c:ptCount val="1"/>
                <c:pt idx="0">
                  <c:v>财政拨款支出</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388.55</c:v>
                </c:pt>
                <c:pt idx="1">
                  <c:v>430.61</c:v>
                </c:pt>
              </c:numCache>
            </c:numRef>
          </c:val>
        </c:ser>
        <c:dLbls>
          <c:showLegendKey val="0"/>
          <c:showVal val="0"/>
          <c:showCatName val="0"/>
          <c:showSerName val="0"/>
          <c:showPercent val="0"/>
          <c:showBubbleSize val="0"/>
        </c:dLbls>
        <c:gapWidth val="246"/>
        <c:overlap val="-28"/>
        <c:axId val="176554193"/>
        <c:axId val="768242324"/>
      </c:barChart>
      <c:catAx>
        <c:axId val="17655419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8242324"/>
        <c:crosses val="autoZero"/>
        <c:auto val="1"/>
        <c:lblAlgn val="ctr"/>
        <c:lblOffset val="100"/>
        <c:noMultiLvlLbl val="0"/>
      </c:catAx>
      <c:valAx>
        <c:axId val="76824232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6554193"/>
        <c:crosses val="autoZero"/>
        <c:crossBetween val="between"/>
      </c:valAx>
      <c:spPr>
        <a:noFill/>
        <a:ln>
          <a:noFill/>
        </a:ln>
        <a:effectLst/>
      </c:spPr>
    </c:plotArea>
    <c:legend>
      <c:legendPos val="b"/>
      <c:layout>
        <c:manualLayout>
          <c:xMode val="edge"/>
          <c:yMode val="edge"/>
          <c:x val="0.237255375694612"/>
          <c:y val="0.903739906502337"/>
          <c:w val="0.575742933075622"/>
          <c:h val="0.07076073098172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一般公共预算财政拨款支出决算变动情况</a:t>
            </a:r>
            <a:endParaRPr altLang="en-US"/>
          </a:p>
        </c:rich>
      </c:tx>
      <c:layout/>
      <c:overlay val="0"/>
      <c:spPr>
        <a:noFill/>
        <a:ln>
          <a:noFill/>
        </a:ln>
        <a:effectLst/>
      </c:spPr>
    </c:title>
    <c:autoTitleDeleted val="0"/>
    <c:plotArea>
      <c:layout/>
      <c:barChart>
        <c:barDir val="col"/>
        <c:grouping val="clustered"/>
        <c:varyColors val="0"/>
        <c:ser>
          <c:idx val="2"/>
          <c:order val="0"/>
          <c:tx>
            <c:strRef>
              <c:f>Sheet1!$D$1</c:f>
              <c:strCache>
                <c:ptCount val="1"/>
                <c:pt idx="0">
                  <c:v>一般公共预算财政拨款支出决算变动情况</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Sheet1!$D$2:$D$3</c:f>
              <c:numCache>
                <c:formatCode>General</c:formatCode>
                <c:ptCount val="2"/>
                <c:pt idx="0">
                  <c:v>388.55</c:v>
                </c:pt>
                <c:pt idx="1">
                  <c:v>430.61</c:v>
                </c:pt>
              </c:numCache>
            </c:numRef>
          </c:val>
        </c:ser>
        <c:dLbls>
          <c:showLegendKey val="0"/>
          <c:showVal val="0"/>
          <c:showCatName val="0"/>
          <c:showSerName val="0"/>
          <c:showPercent val="0"/>
          <c:showBubbleSize val="0"/>
        </c:dLbls>
        <c:gapWidth val="246"/>
        <c:overlap val="-28"/>
        <c:axId val="233803113"/>
        <c:axId val="875598097"/>
      </c:barChart>
      <c:catAx>
        <c:axId val="23380311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598097"/>
        <c:crosses val="autoZero"/>
        <c:auto val="1"/>
        <c:lblAlgn val="ctr"/>
        <c:lblOffset val="100"/>
        <c:noMultiLvlLbl val="0"/>
      </c:catAx>
      <c:valAx>
        <c:axId val="87559809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380311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2"/>
              </a:solidFill>
              <a:ln>
                <a:solidFill>
                  <a:schemeClr val="bg1"/>
                </a:solidFill>
              </a:ln>
              <a:effectLst/>
            </c:spPr>
          </c:dPt>
          <c:dPt>
            <c:idx val="1"/>
            <c:bubble3D val="0"/>
            <c:spPr>
              <a:solidFill>
                <a:schemeClr val="accent1"/>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一般公共服务支出</c:v>
                </c:pt>
                <c:pt idx="1">
                  <c:v>教育支出</c:v>
                </c:pt>
                <c:pt idx="2">
                  <c:v>社会保障和就业支出</c:v>
                </c:pt>
                <c:pt idx="3">
                  <c:v>卫生健康支出</c:v>
                </c:pt>
                <c:pt idx="4">
                  <c:v>住房保障支出</c:v>
                </c:pt>
              </c:strCache>
            </c:strRef>
          </c:cat>
          <c:val>
            <c:numRef>
              <c:f>Sheet1!$B$2:$B$6</c:f>
              <c:numCache>
                <c:formatCode>General</c:formatCode>
                <c:ptCount val="5"/>
                <c:pt idx="0">
                  <c:v>83.13</c:v>
                </c:pt>
                <c:pt idx="1">
                  <c:v>252.91</c:v>
                </c:pt>
                <c:pt idx="2">
                  <c:v>51.74</c:v>
                </c:pt>
                <c:pt idx="3">
                  <c:v>18.27</c:v>
                </c:pt>
                <c:pt idx="4">
                  <c:v>24.56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67290961817303"/>
          <c:y val="0.449244060475162"/>
          <c:w val="0.292532624456259"/>
          <c:h val="0.4415303918543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财政拨款“三公”经费支出结构图</a:t>
            </a:r>
          </a:p>
        </c:rich>
      </c:tx>
      <c:layout/>
      <c:overlay val="0"/>
      <c:spPr>
        <a:noFill/>
        <a:ln>
          <a:noFill/>
        </a:ln>
        <a:effectLst/>
      </c:spPr>
    </c:title>
    <c:autoTitleDeleted val="0"/>
    <c:plotArea>
      <c:layout/>
      <c:pieChart>
        <c:varyColors val="1"/>
        <c:ser>
          <c:idx val="0"/>
          <c:order val="0"/>
          <c:tx>
            <c:strRef>
              <c:f>Sheet1!$B$1</c:f>
              <c:strCache>
                <c:ptCount val="1"/>
                <c:pt idx="0">
                  <c:v>财政拨款“三公”经费支出结构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6"/>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因公出国（境）费支出</c:v>
                </c:pt>
                <c:pt idx="1">
                  <c:v>公务用车购置及运行维护费支出</c:v>
                </c:pt>
                <c:pt idx="2">
                  <c:v>公务接待费支出</c:v>
                </c:pt>
              </c:strCache>
            </c:strRef>
          </c:cat>
          <c:val>
            <c:numRef>
              <c:f>Sheet1!$B$2:$B$5</c:f>
              <c:numCache>
                <c:formatCode>General</c:formatCode>
                <c:ptCount val="4"/>
                <c:pt idx="0">
                  <c:v>0</c:v>
                </c:pt>
                <c:pt idx="1">
                  <c:v>4</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1299</Words>
  <Characters>7410</Characters>
  <Lines>61</Lines>
  <Paragraphs>17</Paragraphs>
  <TotalTime>68</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2020-08-12T09:49:00Z</dcterms:created>
  <dc:creator>曹颖</dc:creator>
  <cp:lastModifiedBy>user</cp:lastModifiedBy>
  <cp:lastPrinted>2026-10-16T23:06:00Z</cp:lastPrinted>
  <dcterms:modified xsi:type="dcterms:W3CDTF">2026-11-02T16:58:32Z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