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bookmarkEnd w:id="0"/>
    <w:p>
      <w:pPr>
        <w:pStyle w:val="9"/>
        <w:suppressAutoHyphens/>
        <w:bidi w:val="0"/>
        <w:spacing w:before="0" w:beforeLines="0" w:after="140" w:line="276" w:lineRule="auto"/>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阿坝州壤塘县</w:t>
      </w:r>
    </w:p>
    <w:p>
      <w:pPr>
        <w:pStyle w:val="9"/>
        <w:suppressAutoHyphens/>
        <w:bidi w:val="0"/>
        <w:spacing w:before="0" w:beforeLines="0" w:after="140" w:line="276" w:lineRule="auto"/>
        <w:jc w:val="center"/>
        <w:rPr>
          <w:rFonts w:hint="default"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2024年度中共壤塘县委党校</w:t>
      </w:r>
    </w:p>
    <w:p>
      <w:pPr>
        <w:pStyle w:val="9"/>
        <w:suppressAutoHyphens/>
        <w:bidi w:val="0"/>
        <w:spacing w:before="0" w:beforeLines="0" w:after="140" w:line="276" w:lineRule="auto"/>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部门决算公开</w:t>
      </w:r>
    </w:p>
    <w:p>
      <w:pPr>
        <w:widowControl/>
        <w:jc w:val="center"/>
        <w:rPr>
          <w:rFonts w:ascii="方正小标宋简体" w:hAnsi="宋体" w:eastAsia="方正小标宋简体"/>
          <w:color w:val="000000"/>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widowControl/>
        <w:jc w:val="center"/>
        <w:rPr>
          <w:rFonts w:ascii="方正小标宋简体" w:hAnsi="宋体" w:eastAsia="方正小标宋简体"/>
          <w:color w:val="000000"/>
          <w:sz w:val="36"/>
          <w:szCs w:val="36"/>
        </w:rPr>
      </w:pPr>
    </w:p>
    <w:p>
      <w:pPr>
        <w:pStyle w:val="27"/>
        <w:rPr>
          <w:rFonts w:ascii="方正小标宋简体" w:hAnsi="宋体" w:eastAsia="方正小标宋简体"/>
          <w:color w:val="000000"/>
          <w:sz w:val="36"/>
          <w:szCs w:val="36"/>
        </w:rPr>
      </w:pPr>
    </w:p>
    <w:p>
      <w:pPr>
        <w:pStyle w:val="27"/>
        <w:rPr>
          <w:rFonts w:ascii="方正小标宋简体" w:hAnsi="宋体" w:eastAsia="方正小标宋简体"/>
          <w:color w:val="000000"/>
          <w:sz w:val="36"/>
          <w:szCs w:val="36"/>
        </w:rPr>
      </w:pPr>
    </w:p>
    <w:p>
      <w:pPr>
        <w:widowControl/>
        <w:jc w:val="center"/>
        <w:rPr>
          <w:rFonts w:hint="eastAsia" w:ascii="黑体" w:hAnsi="黑体" w:eastAsia="黑体"/>
          <w:color w:val="000000"/>
          <w:sz w:val="48"/>
          <w:szCs w:val="48"/>
        </w:rPr>
        <w:sectPr>
          <w:footerReference r:id="rId5" w:type="first"/>
          <w:headerReference r:id="rId3" w:type="default"/>
          <w:footerReference r:id="rId4" w:type="default"/>
          <w:pgSz w:w="11906" w:h="16838"/>
          <w:pgMar w:top="1440" w:right="1800" w:bottom="1440" w:left="1800" w:header="851" w:footer="992" w:gutter="0"/>
          <w:pgNumType w:start="1"/>
          <w:cols w:space="425" w:num="1"/>
          <w:docGrid w:type="lines" w:linePitch="312" w:charSpace="0"/>
        </w:sectPr>
      </w:pPr>
      <w:bookmarkStart w:id="1" w:name="_Toc15396599"/>
      <w:bookmarkStart w:id="2" w:name="_Toc79163601"/>
      <w:bookmarkStart w:id="3" w:name="_Toc15377196"/>
      <w:bookmarkStart w:id="4" w:name="_Toc21638"/>
    </w:p>
    <w:p>
      <w:pPr>
        <w:widowControl/>
        <w:jc w:val="center"/>
        <w:rPr>
          <w:rFonts w:ascii="黑体" w:hAnsi="黑体" w:eastAsia="黑体"/>
          <w:color w:val="000000"/>
          <w:sz w:val="48"/>
          <w:szCs w:val="48"/>
        </w:rPr>
      </w:pPr>
      <w:r>
        <w:rPr>
          <w:rFonts w:hint="eastAsia" w:ascii="黑体" w:hAnsi="黑体" w:eastAsia="黑体"/>
          <w:color w:val="000000"/>
          <w:sz w:val="48"/>
          <w:szCs w:val="48"/>
        </w:rPr>
        <w:t>目录</w:t>
      </w:r>
    </w:p>
    <w:p>
      <w:pPr>
        <w:pStyle w:val="16"/>
        <w:jc w:val="center"/>
        <w:rPr>
          <w:rFonts w:hAnsi="等线"/>
          <w:b w:val="0"/>
          <w:bCs w:val="0"/>
          <w:sz w:val="24"/>
          <w:szCs w:val="24"/>
        </w:rPr>
      </w:pPr>
      <w:r>
        <w:rPr>
          <w:rFonts w:hint="eastAsia" w:hAnsi="等线"/>
          <w:b w:val="0"/>
          <w:bCs w:val="0"/>
          <w:sz w:val="24"/>
          <w:szCs w:val="24"/>
        </w:rPr>
        <w:t>公开时间：</w:t>
      </w:r>
      <w:r>
        <w:rPr>
          <w:rFonts w:hint="eastAsia" w:hAnsi="等线"/>
          <w:b w:val="0"/>
          <w:bCs w:val="0"/>
          <w:sz w:val="24"/>
          <w:szCs w:val="24"/>
          <w:lang w:eastAsia="zh-CN"/>
        </w:rPr>
        <w:t>202</w:t>
      </w:r>
      <w:r>
        <w:rPr>
          <w:rFonts w:hint="eastAsia" w:hAnsi="等线"/>
          <w:b w:val="0"/>
          <w:bCs w:val="0"/>
          <w:sz w:val="24"/>
          <w:szCs w:val="24"/>
          <w:lang w:val="en-US" w:eastAsia="zh-CN"/>
        </w:rPr>
        <w:t>5</w:t>
      </w:r>
      <w:r>
        <w:rPr>
          <w:rFonts w:hint="eastAsia" w:hAnsi="等线"/>
          <w:b w:val="0"/>
          <w:bCs w:val="0"/>
          <w:sz w:val="24"/>
          <w:szCs w:val="24"/>
        </w:rPr>
        <w:t>年</w:t>
      </w:r>
      <w:r>
        <w:rPr>
          <w:rFonts w:hint="eastAsia" w:hAnsi="等线"/>
          <w:b w:val="0"/>
          <w:bCs w:val="0"/>
          <w:sz w:val="24"/>
          <w:szCs w:val="24"/>
          <w:lang w:val="en-US" w:eastAsia="zh-CN"/>
        </w:rPr>
        <w:t>10</w:t>
      </w:r>
      <w:r>
        <w:rPr>
          <w:rFonts w:hint="eastAsia" w:hAnsi="等线"/>
          <w:b w:val="0"/>
          <w:bCs w:val="0"/>
          <w:sz w:val="24"/>
          <w:szCs w:val="24"/>
        </w:rPr>
        <w:t>月</w:t>
      </w:r>
      <w:r>
        <w:rPr>
          <w:rFonts w:hint="eastAsia" w:hAnsi="等线"/>
          <w:b w:val="0"/>
          <w:bCs w:val="0"/>
          <w:sz w:val="24"/>
          <w:szCs w:val="24"/>
          <w:lang w:val="en-US" w:eastAsia="zh-CN"/>
        </w:rPr>
        <w:t>15</w:t>
      </w:r>
      <w:r>
        <w:rPr>
          <w:rFonts w:hint="eastAsia" w:hAnsi="等线"/>
          <w:b w:val="0"/>
          <w:bCs w:val="0"/>
          <w:sz w:val="24"/>
          <w:szCs w:val="24"/>
        </w:rPr>
        <w:t>日</w:t>
      </w:r>
    </w:p>
    <w:p>
      <w:pPr>
        <w:pStyle w:val="16"/>
        <w:tabs>
          <w:tab w:val="right" w:leader="dot" w:pos="8296"/>
        </w:tabs>
        <w:rPr>
          <w:rFonts w:hint="default" w:ascii="仿宋" w:hAnsi="仿宋" w:eastAsia="仿宋"/>
          <w:b w:val="0"/>
          <w:bCs w:val="0"/>
          <w:caps w:val="0"/>
          <w:color w:val="auto"/>
          <w:sz w:val="24"/>
          <w:szCs w:val="28"/>
          <w:highlight w:val="none"/>
          <w:lang w:val="en-US" w:eastAsia="zh-CN"/>
        </w:rPr>
      </w:pPr>
      <w:r>
        <w:rPr>
          <w:b w:val="0"/>
          <w:bCs w:val="0"/>
          <w:caps w:val="0"/>
        </w:rPr>
        <w:fldChar w:fldCharType="begin"/>
      </w:r>
      <w:r>
        <w:rPr>
          <w:b w:val="0"/>
          <w:bCs w:val="0"/>
          <w:caps w:val="0"/>
        </w:rPr>
        <w:instrText xml:space="preserve"> TOC \o \u </w:instrText>
      </w:r>
      <w:r>
        <w:rPr>
          <w:b w:val="0"/>
          <w:bCs w:val="0"/>
          <w:caps w:val="0"/>
        </w:rPr>
        <w:fldChar w:fldCharType="separate"/>
      </w:r>
      <w:r>
        <w:rPr>
          <w:rFonts w:hint="eastAsia" w:ascii="仿宋" w:hAnsi="仿宋" w:eastAsia="仿宋"/>
          <w:b w:val="0"/>
          <w:bCs w:val="0"/>
          <w:caps w:val="0"/>
          <w:color w:val="auto"/>
          <w:sz w:val="24"/>
          <w:szCs w:val="28"/>
          <w:highlight w:val="none"/>
          <w:lang w:val="en-US" w:eastAsia="zh-CN"/>
        </w:rPr>
        <w:t>第一部分 部门概况</w:t>
      </w:r>
      <w:r>
        <w:rPr>
          <w:rFonts w:hint="eastAsia" w:ascii="仿宋" w:hAnsi="仿宋" w:eastAsia="仿宋"/>
          <w:b w:val="0"/>
          <w:bCs w:val="0"/>
          <w:caps w:val="0"/>
          <w:color w:val="auto"/>
          <w:sz w:val="24"/>
          <w:szCs w:val="28"/>
          <w:highlight w:val="none"/>
          <w:lang w:val="en-US" w:eastAsia="zh-CN"/>
        </w:rPr>
        <w:tab/>
      </w:r>
      <w:r>
        <w:rPr>
          <w:rFonts w:hint="eastAsia" w:ascii="仿宋" w:hAnsi="仿宋" w:eastAsia="仿宋"/>
          <w:b w:val="0"/>
          <w:bCs w:val="0"/>
          <w:caps w:val="0"/>
          <w:color w:val="auto"/>
          <w:sz w:val="24"/>
          <w:szCs w:val="28"/>
          <w:highlight w:val="none"/>
          <w:lang w:val="en-US" w:eastAsia="zh-CN"/>
        </w:rPr>
        <w:t>2</w:t>
      </w:r>
    </w:p>
    <w:p>
      <w:pPr>
        <w:pStyle w:val="20"/>
        <w:tabs>
          <w:tab w:val="left" w:pos="840"/>
          <w:tab w:val="right" w:leader="dot" w:pos="8296"/>
        </w:tabs>
        <w:rPr>
          <w:rFonts w:hint="eastAsia" w:ascii="宋体" w:hAnsi="宋体" w:eastAsia="宋体" w:cs="宋体"/>
          <w:bCs/>
          <w:sz w:val="24"/>
          <w:szCs w:val="24"/>
          <w:lang w:eastAsia="zh-CN"/>
        </w:rPr>
      </w:pPr>
      <w:r>
        <w:rPr>
          <w:rFonts w:hint="eastAsia" w:ascii="宋体" w:hAnsi="宋体" w:eastAsia="宋体" w:cs="宋体"/>
          <w:bCs/>
          <w:sz w:val="24"/>
          <w:szCs w:val="24"/>
        </w:rPr>
        <w:t>一、</w:t>
      </w:r>
      <w:r>
        <w:rPr>
          <w:rFonts w:hint="eastAsia" w:ascii="宋体" w:hAnsi="宋体" w:eastAsia="宋体" w:cs="宋体"/>
          <w:bCs/>
          <w:sz w:val="24"/>
          <w:szCs w:val="24"/>
          <w:lang w:val="en-US" w:eastAsia="zh-CN"/>
        </w:rPr>
        <w:t>部门职责</w:t>
      </w:r>
      <w:r>
        <w:rPr>
          <w:rFonts w:hint="eastAsia" w:ascii="宋体" w:hAnsi="宋体" w:eastAsia="宋体" w:cs="宋体"/>
          <w:bCs/>
          <w:sz w:val="24"/>
          <w:szCs w:val="24"/>
        </w:rPr>
        <w:tab/>
      </w:r>
      <w:r>
        <w:rPr>
          <w:rFonts w:hint="eastAsia" w:ascii="宋体" w:hAnsi="宋体" w:eastAsia="宋体" w:cs="宋体"/>
          <w:bCs/>
          <w:sz w:val="24"/>
          <w:szCs w:val="24"/>
          <w:lang w:val="en-US" w:eastAsia="zh-CN"/>
        </w:rPr>
        <w:t>2</w:t>
      </w:r>
    </w:p>
    <w:p>
      <w:pPr>
        <w:pStyle w:val="20"/>
        <w:tabs>
          <w:tab w:val="left" w:pos="840"/>
          <w:tab w:val="right" w:leader="dot" w:pos="8296"/>
        </w:tabs>
        <w:rPr>
          <w:rFonts w:hint="eastAsia" w:ascii="宋体" w:hAnsi="宋体" w:eastAsia="宋体" w:cs="宋体"/>
          <w:bCs/>
          <w:sz w:val="24"/>
          <w:szCs w:val="24"/>
          <w:lang w:eastAsia="zh-CN"/>
        </w:rPr>
      </w:pPr>
      <w:r>
        <w:rPr>
          <w:rFonts w:hint="eastAsia" w:ascii="宋体" w:hAnsi="宋体" w:eastAsia="宋体" w:cs="宋体"/>
          <w:bCs/>
          <w:sz w:val="24"/>
          <w:szCs w:val="24"/>
        </w:rPr>
        <w:t>二、机构设置</w:t>
      </w:r>
      <w:r>
        <w:rPr>
          <w:rFonts w:hint="eastAsia" w:ascii="宋体" w:hAnsi="宋体" w:eastAsia="宋体" w:cs="宋体"/>
          <w:bCs/>
          <w:sz w:val="24"/>
          <w:szCs w:val="24"/>
        </w:rPr>
        <w:tab/>
      </w:r>
      <w:r>
        <w:rPr>
          <w:rFonts w:hint="eastAsia" w:ascii="宋体" w:hAnsi="宋体" w:eastAsia="宋体" w:cs="宋体"/>
          <w:bCs/>
          <w:sz w:val="24"/>
          <w:szCs w:val="24"/>
          <w:lang w:val="en-US" w:eastAsia="zh-CN"/>
        </w:rPr>
        <w:t>2</w:t>
      </w:r>
    </w:p>
    <w:p>
      <w:pPr>
        <w:pStyle w:val="16"/>
        <w:tabs>
          <w:tab w:val="right" w:leader="dot" w:pos="8296"/>
        </w:tabs>
        <w:rPr>
          <w:rFonts w:hint="eastAsia" w:ascii="仿宋" w:hAnsi="仿宋" w:eastAsia="仿宋"/>
          <w:b w:val="0"/>
          <w:bCs w:val="0"/>
          <w:caps w:val="0"/>
          <w:color w:val="auto"/>
          <w:sz w:val="24"/>
          <w:szCs w:val="28"/>
          <w:highlight w:val="none"/>
          <w:lang w:val="en-US" w:eastAsia="zh-CN"/>
        </w:rPr>
      </w:pPr>
      <w:r>
        <w:rPr>
          <w:rFonts w:hint="eastAsia" w:ascii="仿宋" w:hAnsi="仿宋" w:eastAsia="仿宋"/>
          <w:b w:val="0"/>
          <w:bCs w:val="0"/>
          <w:caps w:val="0"/>
          <w:color w:val="auto"/>
          <w:sz w:val="24"/>
          <w:szCs w:val="28"/>
          <w:highlight w:val="none"/>
          <w:lang w:val="en-US" w:eastAsia="zh-CN"/>
        </w:rPr>
        <w:t>第二部分 2024年度部门决算情况说明</w:t>
      </w:r>
      <w:r>
        <w:rPr>
          <w:rFonts w:hint="eastAsia" w:ascii="仿宋" w:hAnsi="仿宋" w:eastAsia="仿宋"/>
          <w:b w:val="0"/>
          <w:bCs w:val="0"/>
          <w:caps w:val="0"/>
          <w:color w:val="auto"/>
          <w:sz w:val="24"/>
          <w:szCs w:val="28"/>
          <w:highlight w:val="none"/>
          <w:lang w:val="en-US" w:eastAsia="zh-CN"/>
        </w:rPr>
        <w:tab/>
      </w:r>
      <w:r>
        <w:rPr>
          <w:rFonts w:hint="eastAsia" w:ascii="仿宋" w:hAnsi="仿宋" w:eastAsia="仿宋"/>
          <w:b w:val="0"/>
          <w:bCs w:val="0"/>
          <w:caps w:val="0"/>
          <w:color w:val="auto"/>
          <w:sz w:val="24"/>
          <w:szCs w:val="28"/>
          <w:highlight w:val="none"/>
          <w:lang w:val="en-US" w:eastAsia="zh-CN"/>
        </w:rPr>
        <w:t>3</w:t>
      </w:r>
    </w:p>
    <w:p>
      <w:pPr>
        <w:pStyle w:val="20"/>
        <w:tabs>
          <w:tab w:val="left" w:pos="840"/>
          <w:tab w:val="right" w:leader="dot" w:pos="8296"/>
        </w:tabs>
        <w:rPr>
          <w:rFonts w:hint="eastAsia" w:ascii="宋体" w:hAnsi="宋体" w:eastAsia="宋体" w:cs="宋体"/>
          <w:smallCaps w:val="0"/>
          <w:sz w:val="24"/>
          <w:szCs w:val="24"/>
          <w:lang w:val="en-US" w:eastAsia="zh-CN"/>
        </w:rPr>
      </w:pPr>
      <w:r>
        <w:rPr>
          <w:rFonts w:hint="eastAsia" w:ascii="宋体" w:hAnsi="宋体" w:eastAsia="宋体" w:cs="宋体"/>
          <w:bCs/>
          <w:sz w:val="24"/>
          <w:szCs w:val="24"/>
        </w:rPr>
        <w:t>一、</w:t>
      </w:r>
      <w:r>
        <w:rPr>
          <w:rFonts w:hint="eastAsia" w:ascii="宋体" w:hAnsi="宋体" w:eastAsia="宋体" w:cs="宋体"/>
          <w:color w:val="000000"/>
          <w:sz w:val="24"/>
          <w:szCs w:val="24"/>
        </w:rPr>
        <w:t>收</w:t>
      </w:r>
      <w:r>
        <w:rPr>
          <w:rFonts w:hint="eastAsia" w:ascii="宋体" w:hAnsi="宋体" w:eastAsia="宋体" w:cs="宋体"/>
          <w:bCs/>
          <w:sz w:val="24"/>
          <w:szCs w:val="24"/>
        </w:rPr>
        <w:t>入支出决算总体情况说明</w:t>
      </w:r>
      <w:r>
        <w:rPr>
          <w:rFonts w:hint="eastAsia" w:ascii="宋体" w:hAnsi="宋体" w:eastAsia="宋体" w:cs="宋体"/>
          <w:bCs/>
          <w:sz w:val="24"/>
          <w:szCs w:val="24"/>
          <w:lang w:val="en-US" w:eastAsia="zh-CN"/>
        </w:rPr>
        <w:t xml:space="preserve"> </w:t>
      </w:r>
      <w:r>
        <w:rPr>
          <w:rFonts w:hint="eastAsia" w:ascii="宋体" w:hAnsi="宋体" w:eastAsia="宋体" w:cs="宋体"/>
          <w:sz w:val="24"/>
          <w:szCs w:val="24"/>
        </w:rPr>
        <w:tab/>
      </w:r>
      <w:r>
        <w:rPr>
          <w:rFonts w:hint="eastAsia" w:ascii="宋体" w:hAnsi="宋体" w:eastAsia="宋体" w:cs="宋体"/>
          <w:sz w:val="24"/>
          <w:szCs w:val="24"/>
          <w:lang w:val="en-US" w:eastAsia="zh-CN"/>
        </w:rPr>
        <w:t>3</w:t>
      </w:r>
    </w:p>
    <w:p>
      <w:pPr>
        <w:pStyle w:val="20"/>
        <w:tabs>
          <w:tab w:val="left" w:pos="840"/>
          <w:tab w:val="right" w:leader="dot" w:pos="8296"/>
        </w:tabs>
        <w:rPr>
          <w:rFonts w:hint="eastAsia" w:ascii="宋体" w:hAnsi="宋体" w:eastAsia="宋体" w:cs="宋体"/>
          <w:smallCaps w:val="0"/>
          <w:sz w:val="24"/>
          <w:szCs w:val="24"/>
          <w:lang w:val="en-US" w:eastAsia="zh-CN"/>
        </w:rPr>
      </w:pPr>
      <w:r>
        <w:rPr>
          <w:rFonts w:hint="eastAsia" w:ascii="宋体" w:hAnsi="宋体" w:eastAsia="宋体" w:cs="宋体"/>
          <w:bCs/>
          <w:sz w:val="24"/>
          <w:szCs w:val="24"/>
        </w:rPr>
        <w:t>二、</w:t>
      </w:r>
      <w:r>
        <w:rPr>
          <w:rFonts w:hint="eastAsia" w:ascii="宋体" w:hAnsi="宋体" w:eastAsia="宋体" w:cs="宋体"/>
          <w:color w:val="000000"/>
          <w:sz w:val="24"/>
          <w:szCs w:val="24"/>
        </w:rPr>
        <w:t>收</w:t>
      </w:r>
      <w:r>
        <w:rPr>
          <w:rFonts w:hint="eastAsia" w:ascii="宋体" w:hAnsi="宋体" w:eastAsia="宋体" w:cs="宋体"/>
          <w:bCs/>
          <w:sz w:val="24"/>
          <w:szCs w:val="24"/>
        </w:rPr>
        <w:t>入决算情况说明</w:t>
      </w:r>
      <w:r>
        <w:rPr>
          <w:rFonts w:hint="eastAsia" w:ascii="宋体" w:hAnsi="宋体" w:eastAsia="宋体" w:cs="宋体"/>
          <w:sz w:val="24"/>
          <w:szCs w:val="24"/>
        </w:rPr>
        <w:tab/>
      </w:r>
      <w:r>
        <w:rPr>
          <w:rFonts w:hint="eastAsia" w:ascii="宋体" w:hAnsi="宋体" w:eastAsia="宋体" w:cs="宋体"/>
          <w:sz w:val="24"/>
          <w:szCs w:val="24"/>
          <w:lang w:val="en-US" w:eastAsia="zh-CN"/>
        </w:rPr>
        <w:t>4</w:t>
      </w:r>
    </w:p>
    <w:p>
      <w:pPr>
        <w:pStyle w:val="20"/>
        <w:tabs>
          <w:tab w:val="left" w:pos="840"/>
          <w:tab w:val="right" w:leader="dot" w:pos="8296"/>
        </w:tabs>
        <w:rPr>
          <w:rFonts w:hint="eastAsia" w:ascii="宋体" w:hAnsi="宋体" w:eastAsia="宋体" w:cs="宋体"/>
          <w:smallCaps w:val="0"/>
          <w:sz w:val="24"/>
          <w:szCs w:val="24"/>
          <w:lang w:val="en-US" w:eastAsia="zh-CN"/>
        </w:rPr>
      </w:pPr>
      <w:r>
        <w:rPr>
          <w:rFonts w:hint="eastAsia" w:ascii="宋体" w:hAnsi="宋体" w:eastAsia="宋体" w:cs="宋体"/>
          <w:bCs/>
          <w:sz w:val="24"/>
          <w:szCs w:val="24"/>
        </w:rPr>
        <w:t>三、</w:t>
      </w:r>
      <w:r>
        <w:rPr>
          <w:rFonts w:hint="eastAsia" w:ascii="宋体" w:hAnsi="宋体" w:eastAsia="宋体" w:cs="宋体"/>
          <w:color w:val="000000"/>
          <w:sz w:val="24"/>
          <w:szCs w:val="24"/>
        </w:rPr>
        <w:t>支</w:t>
      </w:r>
      <w:r>
        <w:rPr>
          <w:rFonts w:hint="eastAsia" w:ascii="宋体" w:hAnsi="宋体" w:eastAsia="宋体" w:cs="宋体"/>
          <w:bCs/>
          <w:sz w:val="24"/>
          <w:szCs w:val="24"/>
        </w:rPr>
        <w:t>出决算情况说明</w:t>
      </w:r>
      <w:r>
        <w:rPr>
          <w:rFonts w:hint="eastAsia" w:ascii="宋体" w:hAnsi="宋体" w:eastAsia="宋体" w:cs="宋体"/>
          <w:sz w:val="24"/>
          <w:szCs w:val="24"/>
        </w:rPr>
        <w:tab/>
      </w:r>
      <w:r>
        <w:rPr>
          <w:rFonts w:hint="eastAsia" w:ascii="宋体" w:hAnsi="宋体" w:eastAsia="宋体" w:cs="宋体"/>
          <w:sz w:val="24"/>
          <w:szCs w:val="24"/>
          <w:lang w:val="en-US" w:eastAsia="zh-CN"/>
        </w:rPr>
        <w:t>4</w:t>
      </w:r>
    </w:p>
    <w:p>
      <w:pPr>
        <w:pStyle w:val="20"/>
        <w:tabs>
          <w:tab w:val="right" w:leader="dot" w:pos="8296"/>
        </w:tabs>
        <w:rPr>
          <w:rFonts w:hint="eastAsia" w:ascii="宋体" w:hAnsi="宋体" w:eastAsia="宋体" w:cs="宋体"/>
          <w:smallCaps w:val="0"/>
          <w:sz w:val="24"/>
          <w:szCs w:val="24"/>
          <w:lang w:eastAsia="zh-CN"/>
        </w:rPr>
      </w:pPr>
      <w:r>
        <w:rPr>
          <w:rFonts w:hint="eastAsia" w:ascii="宋体" w:hAnsi="宋体" w:eastAsia="宋体" w:cs="宋体"/>
          <w:color w:val="000000"/>
          <w:sz w:val="24"/>
          <w:szCs w:val="24"/>
        </w:rPr>
        <w:t>四、财</w:t>
      </w:r>
      <w:r>
        <w:rPr>
          <w:rFonts w:hint="eastAsia" w:ascii="宋体" w:hAnsi="宋体" w:eastAsia="宋体" w:cs="宋体"/>
          <w:bCs/>
          <w:sz w:val="24"/>
          <w:szCs w:val="24"/>
        </w:rPr>
        <w:t>政拨款收入支出决算总体情况说明</w:t>
      </w:r>
      <w:r>
        <w:rPr>
          <w:rFonts w:hint="eastAsia" w:ascii="宋体" w:hAnsi="宋体" w:eastAsia="宋体" w:cs="宋体"/>
          <w:sz w:val="24"/>
          <w:szCs w:val="24"/>
        </w:rPr>
        <w:tab/>
      </w:r>
      <w:r>
        <w:rPr>
          <w:rFonts w:hint="eastAsia" w:ascii="宋体" w:hAnsi="宋体" w:eastAsia="宋体" w:cs="宋体"/>
          <w:sz w:val="24"/>
          <w:szCs w:val="24"/>
          <w:lang w:val="en-US" w:eastAsia="zh-CN"/>
        </w:rPr>
        <w:t>5</w:t>
      </w:r>
    </w:p>
    <w:p>
      <w:pPr>
        <w:pStyle w:val="20"/>
        <w:tabs>
          <w:tab w:val="right" w:leader="dot" w:pos="8296"/>
        </w:tabs>
        <w:rPr>
          <w:rFonts w:hint="eastAsia" w:ascii="宋体" w:hAnsi="宋体" w:eastAsia="宋体" w:cs="宋体"/>
          <w:smallCaps w:val="0"/>
          <w:sz w:val="24"/>
          <w:szCs w:val="24"/>
          <w:lang w:eastAsia="zh-CN"/>
        </w:rPr>
      </w:pPr>
      <w:r>
        <w:rPr>
          <w:rFonts w:hint="eastAsia" w:ascii="宋体" w:hAnsi="宋体" w:eastAsia="宋体" w:cs="宋体"/>
          <w:color w:val="000000"/>
          <w:sz w:val="24"/>
          <w:szCs w:val="24"/>
        </w:rPr>
        <w:t>五、</w:t>
      </w:r>
      <w:r>
        <w:rPr>
          <w:rFonts w:hint="eastAsia" w:ascii="宋体" w:hAnsi="宋体" w:eastAsia="宋体" w:cs="宋体"/>
          <w:b/>
          <w:color w:val="000000"/>
          <w:sz w:val="24"/>
          <w:szCs w:val="24"/>
        </w:rPr>
        <w:t>一</w:t>
      </w:r>
      <w:r>
        <w:rPr>
          <w:rFonts w:hint="eastAsia" w:ascii="宋体" w:hAnsi="宋体" w:eastAsia="宋体" w:cs="宋体"/>
          <w:bCs/>
          <w:sz w:val="24"/>
          <w:szCs w:val="24"/>
        </w:rPr>
        <w:t>般公共预算财政拨款支出决算情况说明</w:t>
      </w:r>
      <w:r>
        <w:rPr>
          <w:rFonts w:hint="eastAsia" w:ascii="宋体" w:hAnsi="宋体" w:eastAsia="宋体" w:cs="宋体"/>
          <w:sz w:val="24"/>
          <w:szCs w:val="24"/>
        </w:rPr>
        <w:tab/>
      </w:r>
      <w:r>
        <w:rPr>
          <w:rFonts w:hint="eastAsia" w:ascii="宋体" w:hAnsi="宋体" w:eastAsia="宋体" w:cs="宋体"/>
          <w:sz w:val="24"/>
          <w:szCs w:val="24"/>
          <w:lang w:val="en-US" w:eastAsia="zh-CN"/>
        </w:rPr>
        <w:t>5</w:t>
      </w:r>
    </w:p>
    <w:p>
      <w:pPr>
        <w:pStyle w:val="20"/>
        <w:tabs>
          <w:tab w:val="right" w:leader="dot" w:pos="8296"/>
        </w:tabs>
        <w:rPr>
          <w:rFonts w:hint="eastAsia" w:ascii="宋体" w:hAnsi="宋体" w:eastAsia="宋体" w:cs="宋体"/>
          <w:smallCaps w:val="0"/>
          <w:sz w:val="24"/>
          <w:szCs w:val="24"/>
          <w:lang w:eastAsia="zh-CN"/>
        </w:rPr>
      </w:pPr>
      <w:r>
        <w:rPr>
          <w:rFonts w:hint="eastAsia" w:ascii="宋体" w:hAnsi="宋体" w:eastAsia="宋体" w:cs="宋体"/>
          <w:color w:val="000000"/>
          <w:sz w:val="24"/>
          <w:szCs w:val="24"/>
        </w:rPr>
        <w:t>六</w:t>
      </w:r>
      <w:r>
        <w:rPr>
          <w:rFonts w:hint="eastAsia" w:ascii="宋体" w:hAnsi="宋体" w:eastAsia="宋体" w:cs="宋体"/>
          <w:b/>
          <w:color w:val="000000"/>
          <w:sz w:val="24"/>
          <w:szCs w:val="24"/>
        </w:rPr>
        <w:t>、一</w:t>
      </w:r>
      <w:r>
        <w:rPr>
          <w:rFonts w:hint="eastAsia" w:ascii="宋体" w:hAnsi="宋体" w:eastAsia="宋体" w:cs="宋体"/>
          <w:bCs/>
          <w:sz w:val="24"/>
          <w:szCs w:val="24"/>
        </w:rPr>
        <w:t>般公共预算财政拨款基本支出决算情况说明</w:t>
      </w:r>
      <w:r>
        <w:rPr>
          <w:rFonts w:hint="eastAsia" w:ascii="宋体" w:hAnsi="宋体" w:eastAsia="宋体" w:cs="宋体"/>
          <w:sz w:val="24"/>
          <w:szCs w:val="24"/>
        </w:rPr>
        <w:tab/>
      </w:r>
      <w:r>
        <w:rPr>
          <w:rFonts w:hint="eastAsia" w:ascii="宋体" w:hAnsi="宋体" w:eastAsia="宋体" w:cs="宋体"/>
          <w:sz w:val="24"/>
          <w:szCs w:val="24"/>
          <w:lang w:val="en-US" w:eastAsia="zh-CN"/>
        </w:rPr>
        <w:t>8</w:t>
      </w:r>
    </w:p>
    <w:p>
      <w:pPr>
        <w:pStyle w:val="20"/>
        <w:tabs>
          <w:tab w:val="right" w:leader="dot" w:pos="8296"/>
        </w:tabs>
        <w:rPr>
          <w:rFonts w:hint="eastAsia" w:ascii="宋体" w:hAnsi="宋体" w:eastAsia="宋体" w:cs="宋体"/>
          <w:smallCaps w:val="0"/>
          <w:sz w:val="24"/>
          <w:szCs w:val="24"/>
          <w:lang w:eastAsia="zh-CN"/>
        </w:rPr>
      </w:pPr>
      <w:r>
        <w:rPr>
          <w:rFonts w:hint="eastAsia" w:ascii="宋体" w:hAnsi="宋体" w:eastAsia="宋体" w:cs="宋体"/>
          <w:bCs/>
          <w:sz w:val="24"/>
          <w:szCs w:val="24"/>
        </w:rPr>
        <w:t>七、财政拨款</w:t>
      </w:r>
      <w:r>
        <w:rPr>
          <w:rFonts w:hint="eastAsia" w:ascii="宋体" w:hAnsi="宋体" w:eastAsia="宋体" w:cs="宋体"/>
          <w:bCs/>
          <w:sz w:val="24"/>
          <w:szCs w:val="24"/>
          <w:lang w:eastAsia="zh-CN"/>
        </w:rPr>
        <w:t>“</w:t>
      </w:r>
      <w:r>
        <w:rPr>
          <w:rFonts w:hint="eastAsia" w:ascii="宋体" w:hAnsi="宋体" w:eastAsia="宋体" w:cs="宋体"/>
          <w:bCs/>
          <w:sz w:val="24"/>
          <w:szCs w:val="24"/>
        </w:rPr>
        <w:t>三公”经费支出决算情况说明</w:t>
      </w:r>
      <w:r>
        <w:rPr>
          <w:rFonts w:hint="eastAsia" w:ascii="宋体" w:hAnsi="宋体" w:eastAsia="宋体" w:cs="宋体"/>
          <w:sz w:val="24"/>
          <w:szCs w:val="24"/>
        </w:rPr>
        <w:tab/>
      </w:r>
      <w:r>
        <w:rPr>
          <w:rFonts w:hint="eastAsia" w:ascii="宋体" w:hAnsi="宋体" w:eastAsia="宋体" w:cs="宋体"/>
          <w:sz w:val="24"/>
          <w:szCs w:val="24"/>
          <w:lang w:val="en-US" w:eastAsia="zh-CN"/>
        </w:rPr>
        <w:t>8</w:t>
      </w:r>
    </w:p>
    <w:p>
      <w:pPr>
        <w:pStyle w:val="20"/>
        <w:tabs>
          <w:tab w:val="right" w:leader="dot" w:pos="8296"/>
        </w:tabs>
        <w:rPr>
          <w:rFonts w:hint="default" w:ascii="宋体" w:hAnsi="宋体" w:eastAsia="宋体" w:cs="宋体"/>
          <w:smallCaps w:val="0"/>
          <w:sz w:val="24"/>
          <w:szCs w:val="24"/>
          <w:lang w:val="en-US" w:eastAsia="zh-CN"/>
        </w:rPr>
      </w:pPr>
      <w:r>
        <w:rPr>
          <w:rFonts w:hint="eastAsia" w:ascii="宋体" w:hAnsi="宋体" w:eastAsia="宋体" w:cs="宋体"/>
          <w:color w:val="000000"/>
          <w:sz w:val="24"/>
          <w:szCs w:val="24"/>
        </w:rPr>
        <w:t>八、</w:t>
      </w:r>
      <w:r>
        <w:rPr>
          <w:rFonts w:hint="eastAsia" w:ascii="宋体" w:hAnsi="宋体" w:eastAsia="宋体" w:cs="宋体"/>
          <w:bCs/>
          <w:sz w:val="24"/>
          <w:szCs w:val="24"/>
        </w:rPr>
        <w:t>政府性基金预算支出决算情况说明</w:t>
      </w:r>
      <w:r>
        <w:rPr>
          <w:rFonts w:hint="eastAsia" w:ascii="宋体" w:hAnsi="宋体" w:eastAsia="宋体" w:cs="宋体"/>
          <w:sz w:val="24"/>
          <w:szCs w:val="24"/>
        </w:rPr>
        <w:tab/>
      </w:r>
      <w:r>
        <w:rPr>
          <w:rFonts w:hint="eastAsia" w:ascii="宋体" w:hAnsi="宋体" w:eastAsia="宋体" w:cs="宋体"/>
          <w:sz w:val="24"/>
          <w:szCs w:val="24"/>
          <w:lang w:val="en-US" w:eastAsia="zh-CN"/>
        </w:rPr>
        <w:t>10</w:t>
      </w:r>
    </w:p>
    <w:p>
      <w:pPr>
        <w:pStyle w:val="20"/>
        <w:tabs>
          <w:tab w:val="right" w:leader="dot" w:pos="8296"/>
        </w:tabs>
        <w:rPr>
          <w:rFonts w:hint="default" w:ascii="宋体" w:hAnsi="宋体" w:eastAsia="宋体" w:cs="宋体"/>
          <w:smallCaps w:val="0"/>
          <w:sz w:val="24"/>
          <w:szCs w:val="24"/>
          <w:lang w:val="en-US" w:eastAsia="zh-CN"/>
        </w:rPr>
      </w:pPr>
      <w:r>
        <w:rPr>
          <w:rFonts w:hint="eastAsia" w:ascii="宋体" w:hAnsi="宋体" w:eastAsia="宋体" w:cs="宋体"/>
          <w:bCs/>
          <w:sz w:val="24"/>
          <w:szCs w:val="24"/>
        </w:rPr>
        <w:t>九、 国有资本经营预算支出决算情况说明</w:t>
      </w:r>
      <w:r>
        <w:rPr>
          <w:rFonts w:hint="eastAsia" w:ascii="宋体" w:hAnsi="宋体" w:eastAsia="宋体" w:cs="宋体"/>
          <w:sz w:val="24"/>
          <w:szCs w:val="24"/>
        </w:rPr>
        <w:tab/>
      </w:r>
      <w:r>
        <w:rPr>
          <w:rFonts w:hint="eastAsia" w:ascii="宋体" w:hAnsi="宋体" w:eastAsia="宋体" w:cs="宋体"/>
          <w:sz w:val="24"/>
          <w:szCs w:val="24"/>
          <w:lang w:val="en-US" w:eastAsia="zh-CN"/>
        </w:rPr>
        <w:t>10</w:t>
      </w:r>
    </w:p>
    <w:p>
      <w:pPr>
        <w:pStyle w:val="20"/>
        <w:tabs>
          <w:tab w:val="right" w:leader="dot" w:pos="8296"/>
        </w:tabs>
        <w:rPr>
          <w:rFonts w:hint="default" w:ascii="宋体" w:hAnsi="宋体" w:eastAsia="宋体" w:cs="宋体"/>
          <w:smallCaps w:val="0"/>
          <w:sz w:val="24"/>
          <w:szCs w:val="24"/>
          <w:lang w:val="en-US" w:eastAsia="zh-CN"/>
        </w:rPr>
      </w:pPr>
      <w:r>
        <w:rPr>
          <w:rFonts w:hint="eastAsia" w:ascii="宋体" w:hAnsi="宋体" w:eastAsia="宋体" w:cs="宋体"/>
          <w:color w:val="000000"/>
          <w:sz w:val="24"/>
          <w:szCs w:val="24"/>
        </w:rPr>
        <w:t>十</w:t>
      </w:r>
      <w:r>
        <w:rPr>
          <w:rFonts w:hint="eastAsia" w:ascii="宋体" w:hAnsi="宋体" w:eastAsia="宋体" w:cs="宋体"/>
          <w:b/>
          <w:bCs/>
          <w:sz w:val="24"/>
          <w:szCs w:val="24"/>
        </w:rPr>
        <w:t>、</w:t>
      </w:r>
      <w:r>
        <w:rPr>
          <w:rFonts w:hint="eastAsia" w:ascii="宋体" w:hAnsi="宋体" w:eastAsia="宋体" w:cs="宋体"/>
          <w:bCs/>
          <w:sz w:val="24"/>
          <w:szCs w:val="24"/>
        </w:rPr>
        <w:t>其他重要事项的情况说明</w:t>
      </w:r>
      <w:r>
        <w:rPr>
          <w:rFonts w:hint="eastAsia" w:ascii="宋体" w:hAnsi="宋体" w:eastAsia="宋体" w:cs="宋体"/>
          <w:sz w:val="24"/>
          <w:szCs w:val="24"/>
        </w:rPr>
        <w:tab/>
      </w:r>
      <w:r>
        <w:rPr>
          <w:rFonts w:hint="eastAsia" w:ascii="宋体" w:hAnsi="宋体" w:eastAsia="宋体" w:cs="宋体"/>
          <w:sz w:val="24"/>
          <w:szCs w:val="24"/>
          <w:lang w:val="en-US" w:eastAsia="zh-CN"/>
        </w:rPr>
        <w:t>10</w:t>
      </w:r>
    </w:p>
    <w:p>
      <w:pPr>
        <w:pStyle w:val="16"/>
        <w:tabs>
          <w:tab w:val="right" w:leader="dot" w:pos="8296"/>
        </w:tabs>
        <w:rPr>
          <w:rFonts w:hint="default" w:ascii="仿宋" w:hAnsi="仿宋" w:eastAsia="仿宋"/>
          <w:b w:val="0"/>
          <w:bCs w:val="0"/>
          <w:caps w:val="0"/>
          <w:color w:val="auto"/>
          <w:sz w:val="24"/>
          <w:szCs w:val="28"/>
          <w:highlight w:val="none"/>
          <w:lang w:val="en-US" w:eastAsia="zh-CN"/>
        </w:rPr>
      </w:pPr>
      <w:r>
        <w:rPr>
          <w:rFonts w:hint="eastAsia" w:ascii="仿宋" w:hAnsi="仿宋" w:eastAsia="仿宋"/>
          <w:b w:val="0"/>
          <w:bCs w:val="0"/>
          <w:caps w:val="0"/>
          <w:color w:val="auto"/>
          <w:sz w:val="24"/>
          <w:szCs w:val="28"/>
          <w:highlight w:val="none"/>
          <w:lang w:val="en-US" w:eastAsia="zh-CN"/>
        </w:rPr>
        <w:t>第三部分 名词解释</w:t>
      </w:r>
      <w:r>
        <w:rPr>
          <w:rFonts w:hint="eastAsia" w:ascii="仿宋" w:hAnsi="仿宋" w:eastAsia="仿宋"/>
          <w:b w:val="0"/>
          <w:bCs w:val="0"/>
          <w:caps w:val="0"/>
          <w:color w:val="auto"/>
          <w:sz w:val="24"/>
          <w:szCs w:val="28"/>
          <w:highlight w:val="none"/>
          <w:lang w:val="en-US" w:eastAsia="zh-CN"/>
        </w:rPr>
        <w:tab/>
      </w:r>
      <w:r>
        <w:rPr>
          <w:rFonts w:hint="eastAsia" w:ascii="仿宋" w:hAnsi="仿宋" w:eastAsia="仿宋"/>
          <w:b w:val="0"/>
          <w:bCs w:val="0"/>
          <w:caps w:val="0"/>
          <w:color w:val="auto"/>
          <w:sz w:val="24"/>
          <w:szCs w:val="28"/>
          <w:highlight w:val="none"/>
          <w:lang w:val="en-US" w:eastAsia="zh-CN"/>
        </w:rPr>
        <w:t>12</w:t>
      </w:r>
    </w:p>
    <w:p>
      <w:pPr>
        <w:pStyle w:val="16"/>
        <w:tabs>
          <w:tab w:val="right" w:leader="dot" w:pos="8296"/>
        </w:tabs>
        <w:rPr>
          <w:rFonts w:hint="default" w:ascii="仿宋" w:hAnsi="仿宋" w:eastAsia="仿宋"/>
          <w:b w:val="0"/>
          <w:bCs w:val="0"/>
          <w:caps w:val="0"/>
          <w:color w:val="auto"/>
          <w:sz w:val="24"/>
          <w:szCs w:val="28"/>
          <w:highlight w:val="none"/>
          <w:lang w:val="en-US" w:eastAsia="zh-CN"/>
        </w:rPr>
      </w:pPr>
      <w:r>
        <w:rPr>
          <w:rFonts w:hint="eastAsia" w:ascii="仿宋" w:hAnsi="仿宋" w:eastAsia="仿宋"/>
          <w:b w:val="0"/>
          <w:bCs w:val="0"/>
          <w:caps w:val="0"/>
          <w:color w:val="auto"/>
          <w:sz w:val="24"/>
          <w:szCs w:val="28"/>
          <w:highlight w:val="none"/>
          <w:lang w:val="en-US" w:eastAsia="zh-CN"/>
        </w:rPr>
        <w:t>第四部分 附件</w:t>
      </w:r>
      <w:r>
        <w:rPr>
          <w:rFonts w:hint="eastAsia" w:ascii="仿宋" w:hAnsi="仿宋" w:eastAsia="仿宋"/>
          <w:b w:val="0"/>
          <w:bCs w:val="0"/>
          <w:caps w:val="0"/>
          <w:color w:val="auto"/>
          <w:sz w:val="24"/>
          <w:szCs w:val="28"/>
          <w:highlight w:val="none"/>
          <w:lang w:val="en-US" w:eastAsia="zh-CN"/>
        </w:rPr>
        <w:tab/>
      </w:r>
      <w:r>
        <w:rPr>
          <w:rFonts w:hint="eastAsia" w:ascii="仿宋" w:hAnsi="仿宋" w:eastAsia="仿宋"/>
          <w:b w:val="0"/>
          <w:bCs w:val="0"/>
          <w:caps w:val="0"/>
          <w:color w:val="auto"/>
          <w:sz w:val="24"/>
          <w:szCs w:val="28"/>
          <w:highlight w:val="none"/>
          <w:lang w:val="en-US" w:eastAsia="zh-CN"/>
        </w:rPr>
        <w:t>15</w:t>
      </w:r>
    </w:p>
    <w:p>
      <w:pPr>
        <w:pStyle w:val="16"/>
        <w:tabs>
          <w:tab w:val="right" w:leader="dot" w:pos="8296"/>
        </w:tabs>
        <w:rPr>
          <w:rFonts w:hint="eastAsia" w:ascii="仿宋" w:hAnsi="仿宋" w:eastAsia="仿宋"/>
          <w:b w:val="0"/>
          <w:bCs w:val="0"/>
          <w:caps w:val="0"/>
          <w:color w:val="auto"/>
          <w:sz w:val="24"/>
          <w:szCs w:val="28"/>
          <w:highlight w:val="none"/>
          <w:lang w:val="en-US" w:eastAsia="zh-CN"/>
        </w:rPr>
      </w:pPr>
      <w:r>
        <w:rPr>
          <w:rFonts w:hint="eastAsia" w:ascii="仿宋" w:hAnsi="仿宋" w:eastAsia="仿宋"/>
          <w:b w:val="0"/>
          <w:bCs w:val="0"/>
          <w:caps w:val="0"/>
          <w:color w:val="auto"/>
          <w:sz w:val="24"/>
          <w:szCs w:val="28"/>
          <w:highlight w:val="none"/>
          <w:lang w:val="en-US" w:eastAsia="zh-CN"/>
        </w:rPr>
        <w:t>第五部分 附表</w:t>
      </w:r>
      <w:r>
        <w:rPr>
          <w:rFonts w:hint="eastAsia" w:ascii="仿宋" w:hAnsi="仿宋" w:eastAsia="仿宋"/>
          <w:b w:val="0"/>
          <w:bCs w:val="0"/>
          <w:caps w:val="0"/>
          <w:color w:val="auto"/>
          <w:sz w:val="24"/>
          <w:szCs w:val="28"/>
          <w:highlight w:val="none"/>
          <w:lang w:val="en-US" w:eastAsia="zh-CN"/>
        </w:rPr>
        <w:tab/>
      </w:r>
      <w:r>
        <w:rPr>
          <w:rFonts w:hint="eastAsia" w:ascii="仿宋" w:hAnsi="仿宋" w:eastAsia="仿宋"/>
          <w:b w:val="0"/>
          <w:bCs w:val="0"/>
          <w:caps w:val="0"/>
          <w:color w:val="auto"/>
          <w:sz w:val="24"/>
          <w:szCs w:val="28"/>
          <w:highlight w:val="none"/>
          <w:lang w:val="en-US" w:eastAsia="zh-CN"/>
        </w:rPr>
        <w:fldChar w:fldCharType="begin"/>
      </w:r>
      <w:r>
        <w:rPr>
          <w:rFonts w:hint="eastAsia" w:ascii="仿宋" w:hAnsi="仿宋" w:eastAsia="仿宋"/>
          <w:b w:val="0"/>
          <w:bCs w:val="0"/>
          <w:caps w:val="0"/>
          <w:color w:val="auto"/>
          <w:sz w:val="24"/>
          <w:szCs w:val="28"/>
          <w:highlight w:val="none"/>
          <w:lang w:val="en-US" w:eastAsia="zh-CN"/>
        </w:rPr>
        <w:instrText xml:space="preserve"> PAGEREF _Toc79163885 \h </w:instrText>
      </w:r>
      <w:r>
        <w:rPr>
          <w:rFonts w:hint="eastAsia" w:ascii="仿宋" w:hAnsi="仿宋" w:eastAsia="仿宋"/>
          <w:b w:val="0"/>
          <w:bCs w:val="0"/>
          <w:caps w:val="0"/>
          <w:color w:val="auto"/>
          <w:sz w:val="24"/>
          <w:szCs w:val="28"/>
          <w:highlight w:val="none"/>
          <w:lang w:val="en-US" w:eastAsia="zh-CN"/>
        </w:rPr>
        <w:fldChar w:fldCharType="separate"/>
      </w:r>
      <w:r>
        <w:rPr>
          <w:rFonts w:hint="eastAsia" w:ascii="仿宋" w:hAnsi="仿宋" w:eastAsia="仿宋"/>
          <w:b w:val="0"/>
          <w:bCs w:val="0"/>
          <w:caps w:val="0"/>
          <w:color w:val="auto"/>
          <w:sz w:val="24"/>
          <w:szCs w:val="28"/>
          <w:highlight w:val="none"/>
          <w:lang w:val="en-US" w:eastAsia="zh-CN"/>
        </w:rPr>
        <w:t>29</w:t>
      </w:r>
      <w:r>
        <w:rPr>
          <w:rFonts w:hint="eastAsia" w:ascii="仿宋" w:hAnsi="仿宋" w:eastAsia="仿宋"/>
          <w:b w:val="0"/>
          <w:bCs w:val="0"/>
          <w:caps w:val="0"/>
          <w:color w:val="auto"/>
          <w:sz w:val="24"/>
          <w:szCs w:val="28"/>
          <w:highlight w:val="none"/>
          <w:lang w:val="en-US" w:eastAsia="zh-CN"/>
        </w:rPr>
        <w:fldChar w:fldCharType="end"/>
      </w:r>
    </w:p>
    <w:p>
      <w:pPr>
        <w:pStyle w:val="20"/>
        <w:tabs>
          <w:tab w:val="left" w:pos="840"/>
          <w:tab w:val="right" w:leader="dot" w:pos="8296"/>
        </w:tabs>
        <w:rPr>
          <w:rFonts w:hint="eastAsia" w:ascii="宋体" w:hAnsi="宋体" w:eastAsia="宋体" w:cs="宋体"/>
          <w:bCs/>
          <w:sz w:val="24"/>
          <w:szCs w:val="24"/>
        </w:rPr>
      </w:pPr>
      <w:r>
        <w:rPr>
          <w:rFonts w:hint="eastAsia" w:ascii="宋体" w:hAnsi="宋体" w:eastAsia="宋体" w:cs="宋体"/>
          <w:bCs/>
          <w:sz w:val="24"/>
          <w:szCs w:val="24"/>
        </w:rPr>
        <w:t>一、收入支出决算总表</w:t>
      </w:r>
      <w:r>
        <w:rPr>
          <w:rFonts w:hint="eastAsia" w:ascii="宋体" w:hAnsi="宋体" w:eastAsia="宋体" w:cs="宋体"/>
          <w:bCs/>
          <w:sz w:val="24"/>
          <w:szCs w:val="24"/>
        </w:rPr>
        <w:tab/>
      </w: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PAGEREF _Toc79163886 \h </w:instrText>
      </w:r>
      <w:r>
        <w:rPr>
          <w:rFonts w:hint="eastAsia" w:ascii="宋体" w:hAnsi="宋体" w:eastAsia="宋体" w:cs="宋体"/>
          <w:bCs/>
          <w:sz w:val="24"/>
          <w:szCs w:val="24"/>
        </w:rPr>
        <w:fldChar w:fldCharType="separate"/>
      </w:r>
      <w:r>
        <w:rPr>
          <w:rFonts w:hint="eastAsia" w:ascii="宋体" w:hAnsi="宋体" w:eastAsia="宋体" w:cs="宋体"/>
          <w:bCs/>
          <w:sz w:val="24"/>
          <w:szCs w:val="24"/>
        </w:rPr>
        <w:t>29</w:t>
      </w:r>
      <w:r>
        <w:rPr>
          <w:rFonts w:hint="eastAsia" w:ascii="宋体" w:hAnsi="宋体" w:eastAsia="宋体" w:cs="宋体"/>
          <w:bCs/>
          <w:sz w:val="24"/>
          <w:szCs w:val="24"/>
        </w:rPr>
        <w:fldChar w:fldCharType="end"/>
      </w:r>
    </w:p>
    <w:p>
      <w:pPr>
        <w:pStyle w:val="20"/>
        <w:tabs>
          <w:tab w:val="left" w:pos="840"/>
          <w:tab w:val="right" w:leader="dot" w:pos="8296"/>
        </w:tabs>
        <w:rPr>
          <w:rFonts w:hint="eastAsia" w:ascii="宋体" w:hAnsi="宋体" w:eastAsia="宋体" w:cs="宋体"/>
          <w:bCs/>
          <w:sz w:val="24"/>
          <w:szCs w:val="24"/>
        </w:rPr>
      </w:pPr>
      <w:r>
        <w:rPr>
          <w:rFonts w:hint="eastAsia" w:ascii="宋体" w:hAnsi="宋体" w:eastAsia="宋体" w:cs="宋体"/>
          <w:bCs/>
          <w:sz w:val="24"/>
          <w:szCs w:val="24"/>
        </w:rPr>
        <w:t>二、收入决算表</w:t>
      </w:r>
      <w:r>
        <w:rPr>
          <w:rFonts w:hint="eastAsia" w:ascii="宋体" w:hAnsi="宋体" w:eastAsia="宋体" w:cs="宋体"/>
          <w:bCs/>
          <w:sz w:val="24"/>
          <w:szCs w:val="24"/>
        </w:rPr>
        <w:tab/>
      </w: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PAGEREF _Toc79163887 \h </w:instrText>
      </w:r>
      <w:r>
        <w:rPr>
          <w:rFonts w:hint="eastAsia" w:ascii="宋体" w:hAnsi="宋体" w:eastAsia="宋体" w:cs="宋体"/>
          <w:bCs/>
          <w:sz w:val="24"/>
          <w:szCs w:val="24"/>
        </w:rPr>
        <w:fldChar w:fldCharType="separate"/>
      </w:r>
      <w:r>
        <w:rPr>
          <w:rFonts w:hint="eastAsia" w:ascii="宋体" w:hAnsi="宋体" w:eastAsia="宋体" w:cs="宋体"/>
          <w:bCs/>
          <w:sz w:val="24"/>
          <w:szCs w:val="24"/>
        </w:rPr>
        <w:t>29</w:t>
      </w:r>
      <w:r>
        <w:rPr>
          <w:rFonts w:hint="eastAsia" w:ascii="宋体" w:hAnsi="宋体" w:eastAsia="宋体" w:cs="宋体"/>
          <w:bCs/>
          <w:sz w:val="24"/>
          <w:szCs w:val="24"/>
        </w:rPr>
        <w:fldChar w:fldCharType="end"/>
      </w:r>
    </w:p>
    <w:p>
      <w:pPr>
        <w:pStyle w:val="20"/>
        <w:tabs>
          <w:tab w:val="left" w:pos="840"/>
          <w:tab w:val="right" w:leader="dot" w:pos="8296"/>
        </w:tabs>
        <w:rPr>
          <w:rFonts w:hint="eastAsia" w:ascii="宋体" w:hAnsi="宋体" w:eastAsia="宋体" w:cs="宋体"/>
          <w:bCs/>
          <w:sz w:val="24"/>
          <w:szCs w:val="24"/>
        </w:rPr>
      </w:pPr>
      <w:r>
        <w:rPr>
          <w:rFonts w:hint="eastAsia" w:ascii="宋体" w:hAnsi="宋体" w:eastAsia="宋体" w:cs="宋体"/>
          <w:bCs/>
          <w:sz w:val="24"/>
          <w:szCs w:val="24"/>
        </w:rPr>
        <w:t>三、支出决算表</w:t>
      </w:r>
      <w:r>
        <w:rPr>
          <w:rFonts w:hint="eastAsia" w:ascii="宋体" w:hAnsi="宋体" w:eastAsia="宋体" w:cs="宋体"/>
          <w:bCs/>
          <w:sz w:val="24"/>
          <w:szCs w:val="24"/>
        </w:rPr>
        <w:tab/>
      </w: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PAGEREF _Toc79163888 \h </w:instrText>
      </w:r>
      <w:r>
        <w:rPr>
          <w:rFonts w:hint="eastAsia" w:ascii="宋体" w:hAnsi="宋体" w:eastAsia="宋体" w:cs="宋体"/>
          <w:bCs/>
          <w:sz w:val="24"/>
          <w:szCs w:val="24"/>
        </w:rPr>
        <w:fldChar w:fldCharType="separate"/>
      </w:r>
      <w:r>
        <w:rPr>
          <w:rFonts w:hint="eastAsia" w:ascii="宋体" w:hAnsi="宋体" w:eastAsia="宋体" w:cs="宋体"/>
          <w:bCs/>
          <w:sz w:val="24"/>
          <w:szCs w:val="24"/>
        </w:rPr>
        <w:t>29</w:t>
      </w:r>
      <w:r>
        <w:rPr>
          <w:rFonts w:hint="eastAsia" w:ascii="宋体" w:hAnsi="宋体" w:eastAsia="宋体" w:cs="宋体"/>
          <w:bCs/>
          <w:sz w:val="24"/>
          <w:szCs w:val="24"/>
        </w:rPr>
        <w:fldChar w:fldCharType="end"/>
      </w:r>
    </w:p>
    <w:p>
      <w:pPr>
        <w:pStyle w:val="20"/>
        <w:tabs>
          <w:tab w:val="left" w:pos="840"/>
          <w:tab w:val="right" w:leader="dot" w:pos="8296"/>
        </w:tabs>
        <w:rPr>
          <w:rFonts w:hint="eastAsia" w:ascii="宋体" w:hAnsi="宋体" w:eastAsia="宋体" w:cs="宋体"/>
          <w:bCs/>
          <w:sz w:val="24"/>
          <w:szCs w:val="24"/>
        </w:rPr>
      </w:pPr>
      <w:r>
        <w:rPr>
          <w:rFonts w:hint="eastAsia" w:ascii="宋体" w:hAnsi="宋体" w:eastAsia="宋体" w:cs="宋体"/>
          <w:bCs/>
          <w:sz w:val="24"/>
          <w:szCs w:val="24"/>
        </w:rPr>
        <w:t>四、财政拨款收入支出决算总表</w:t>
      </w:r>
      <w:r>
        <w:rPr>
          <w:rFonts w:hint="eastAsia" w:ascii="宋体" w:hAnsi="宋体" w:eastAsia="宋体" w:cs="宋体"/>
          <w:bCs/>
          <w:sz w:val="24"/>
          <w:szCs w:val="24"/>
        </w:rPr>
        <w:tab/>
      </w: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PAGEREF _Toc79163889 \h </w:instrText>
      </w:r>
      <w:r>
        <w:rPr>
          <w:rFonts w:hint="eastAsia" w:ascii="宋体" w:hAnsi="宋体" w:eastAsia="宋体" w:cs="宋体"/>
          <w:bCs/>
          <w:sz w:val="24"/>
          <w:szCs w:val="24"/>
        </w:rPr>
        <w:fldChar w:fldCharType="separate"/>
      </w:r>
      <w:r>
        <w:rPr>
          <w:rFonts w:hint="eastAsia" w:ascii="宋体" w:hAnsi="宋体" w:eastAsia="宋体" w:cs="宋体"/>
          <w:bCs/>
          <w:sz w:val="24"/>
          <w:szCs w:val="24"/>
        </w:rPr>
        <w:t>29</w:t>
      </w:r>
      <w:r>
        <w:rPr>
          <w:rFonts w:hint="eastAsia" w:ascii="宋体" w:hAnsi="宋体" w:eastAsia="宋体" w:cs="宋体"/>
          <w:bCs/>
          <w:sz w:val="24"/>
          <w:szCs w:val="24"/>
        </w:rPr>
        <w:fldChar w:fldCharType="end"/>
      </w:r>
    </w:p>
    <w:p>
      <w:pPr>
        <w:pStyle w:val="20"/>
        <w:tabs>
          <w:tab w:val="left" w:pos="840"/>
          <w:tab w:val="right" w:leader="dot" w:pos="8296"/>
        </w:tabs>
        <w:rPr>
          <w:rFonts w:hint="eastAsia" w:ascii="宋体" w:hAnsi="宋体" w:eastAsia="宋体" w:cs="宋体"/>
          <w:bCs/>
          <w:sz w:val="24"/>
          <w:szCs w:val="24"/>
        </w:rPr>
      </w:pPr>
      <w:r>
        <w:rPr>
          <w:rFonts w:hint="eastAsia" w:ascii="宋体" w:hAnsi="宋体" w:eastAsia="宋体" w:cs="宋体"/>
          <w:bCs/>
          <w:sz w:val="24"/>
          <w:szCs w:val="24"/>
        </w:rPr>
        <w:t>五、财政拨款支出决算明细表</w:t>
      </w:r>
      <w:r>
        <w:rPr>
          <w:rFonts w:hint="eastAsia" w:ascii="宋体" w:hAnsi="宋体" w:eastAsia="宋体" w:cs="宋体"/>
          <w:bCs/>
          <w:sz w:val="24"/>
          <w:szCs w:val="24"/>
        </w:rPr>
        <w:tab/>
      </w: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PAGEREF _Toc79163890 \h </w:instrText>
      </w:r>
      <w:r>
        <w:rPr>
          <w:rFonts w:hint="eastAsia" w:ascii="宋体" w:hAnsi="宋体" w:eastAsia="宋体" w:cs="宋体"/>
          <w:bCs/>
          <w:sz w:val="24"/>
          <w:szCs w:val="24"/>
        </w:rPr>
        <w:fldChar w:fldCharType="separate"/>
      </w:r>
      <w:r>
        <w:rPr>
          <w:rFonts w:hint="eastAsia" w:ascii="宋体" w:hAnsi="宋体" w:eastAsia="宋体" w:cs="宋体"/>
          <w:bCs/>
          <w:sz w:val="24"/>
          <w:szCs w:val="24"/>
        </w:rPr>
        <w:t>29</w:t>
      </w:r>
      <w:r>
        <w:rPr>
          <w:rFonts w:hint="eastAsia" w:ascii="宋体" w:hAnsi="宋体" w:eastAsia="宋体" w:cs="宋体"/>
          <w:bCs/>
          <w:sz w:val="24"/>
          <w:szCs w:val="24"/>
        </w:rPr>
        <w:fldChar w:fldCharType="end"/>
      </w:r>
    </w:p>
    <w:p>
      <w:pPr>
        <w:pStyle w:val="20"/>
        <w:tabs>
          <w:tab w:val="left" w:pos="840"/>
          <w:tab w:val="right" w:leader="dot" w:pos="8296"/>
        </w:tabs>
        <w:rPr>
          <w:rFonts w:hint="eastAsia" w:ascii="宋体" w:hAnsi="宋体" w:eastAsia="宋体" w:cs="宋体"/>
          <w:bCs/>
          <w:sz w:val="24"/>
          <w:szCs w:val="24"/>
        </w:rPr>
      </w:pPr>
      <w:r>
        <w:rPr>
          <w:rFonts w:hint="eastAsia" w:ascii="宋体" w:hAnsi="宋体" w:eastAsia="宋体" w:cs="宋体"/>
          <w:bCs/>
          <w:sz w:val="24"/>
          <w:szCs w:val="24"/>
        </w:rPr>
        <w:t>六、一般公共预算财政拨款支出决算表</w:t>
      </w:r>
      <w:r>
        <w:rPr>
          <w:rFonts w:hint="eastAsia" w:ascii="宋体" w:hAnsi="宋体" w:eastAsia="宋体" w:cs="宋体"/>
          <w:bCs/>
          <w:sz w:val="24"/>
          <w:szCs w:val="24"/>
        </w:rPr>
        <w:tab/>
      </w: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PAGEREF _Toc79163891 \h </w:instrText>
      </w:r>
      <w:r>
        <w:rPr>
          <w:rFonts w:hint="eastAsia" w:ascii="宋体" w:hAnsi="宋体" w:eastAsia="宋体" w:cs="宋体"/>
          <w:bCs/>
          <w:sz w:val="24"/>
          <w:szCs w:val="24"/>
        </w:rPr>
        <w:fldChar w:fldCharType="separate"/>
      </w:r>
      <w:r>
        <w:rPr>
          <w:rFonts w:hint="eastAsia" w:ascii="宋体" w:hAnsi="宋体" w:eastAsia="宋体" w:cs="宋体"/>
          <w:bCs/>
          <w:sz w:val="24"/>
          <w:szCs w:val="24"/>
        </w:rPr>
        <w:t>29</w:t>
      </w:r>
      <w:r>
        <w:rPr>
          <w:rFonts w:hint="eastAsia" w:ascii="宋体" w:hAnsi="宋体" w:eastAsia="宋体" w:cs="宋体"/>
          <w:bCs/>
          <w:sz w:val="24"/>
          <w:szCs w:val="24"/>
        </w:rPr>
        <w:fldChar w:fldCharType="end"/>
      </w:r>
    </w:p>
    <w:p>
      <w:pPr>
        <w:pStyle w:val="20"/>
        <w:tabs>
          <w:tab w:val="left" w:pos="840"/>
          <w:tab w:val="right" w:leader="dot" w:pos="8296"/>
        </w:tabs>
        <w:rPr>
          <w:rFonts w:hint="eastAsia" w:ascii="宋体" w:hAnsi="宋体" w:eastAsia="宋体" w:cs="宋体"/>
          <w:bCs/>
          <w:sz w:val="24"/>
          <w:szCs w:val="24"/>
        </w:rPr>
      </w:pPr>
      <w:r>
        <w:rPr>
          <w:rFonts w:hint="eastAsia" w:ascii="宋体" w:hAnsi="宋体" w:eastAsia="宋体" w:cs="宋体"/>
          <w:bCs/>
          <w:sz w:val="24"/>
          <w:szCs w:val="24"/>
        </w:rPr>
        <w:t>七、一般公共预算财政拨款支出决算明细表</w:t>
      </w:r>
      <w:r>
        <w:rPr>
          <w:rFonts w:hint="eastAsia" w:ascii="宋体" w:hAnsi="宋体" w:eastAsia="宋体" w:cs="宋体"/>
          <w:bCs/>
          <w:sz w:val="24"/>
          <w:szCs w:val="24"/>
        </w:rPr>
        <w:tab/>
      </w: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PAGEREF _Toc79163892 \h </w:instrText>
      </w:r>
      <w:r>
        <w:rPr>
          <w:rFonts w:hint="eastAsia" w:ascii="宋体" w:hAnsi="宋体" w:eastAsia="宋体" w:cs="宋体"/>
          <w:bCs/>
          <w:sz w:val="24"/>
          <w:szCs w:val="24"/>
        </w:rPr>
        <w:fldChar w:fldCharType="separate"/>
      </w:r>
      <w:r>
        <w:rPr>
          <w:rFonts w:hint="eastAsia" w:ascii="宋体" w:hAnsi="宋体" w:eastAsia="宋体" w:cs="宋体"/>
          <w:bCs/>
          <w:sz w:val="24"/>
          <w:szCs w:val="24"/>
        </w:rPr>
        <w:t>29</w:t>
      </w:r>
      <w:r>
        <w:rPr>
          <w:rFonts w:hint="eastAsia" w:ascii="宋体" w:hAnsi="宋体" w:eastAsia="宋体" w:cs="宋体"/>
          <w:bCs/>
          <w:sz w:val="24"/>
          <w:szCs w:val="24"/>
        </w:rPr>
        <w:fldChar w:fldCharType="end"/>
      </w:r>
    </w:p>
    <w:p>
      <w:pPr>
        <w:pStyle w:val="20"/>
        <w:tabs>
          <w:tab w:val="left" w:pos="840"/>
          <w:tab w:val="right" w:leader="dot" w:pos="8296"/>
        </w:tabs>
        <w:rPr>
          <w:rFonts w:hint="eastAsia" w:ascii="宋体" w:hAnsi="宋体" w:eastAsia="宋体" w:cs="宋体"/>
          <w:bCs/>
          <w:sz w:val="24"/>
          <w:szCs w:val="24"/>
        </w:rPr>
      </w:pPr>
      <w:r>
        <w:rPr>
          <w:rFonts w:hint="eastAsia" w:ascii="宋体" w:hAnsi="宋体" w:eastAsia="宋体" w:cs="宋体"/>
          <w:bCs/>
          <w:sz w:val="24"/>
          <w:szCs w:val="24"/>
        </w:rPr>
        <w:t>八、一般公共预算财政拨款基本支出决算表</w:t>
      </w:r>
      <w:r>
        <w:rPr>
          <w:rFonts w:hint="eastAsia" w:ascii="宋体" w:hAnsi="宋体" w:eastAsia="宋体" w:cs="宋体"/>
          <w:bCs/>
          <w:sz w:val="24"/>
          <w:szCs w:val="24"/>
        </w:rPr>
        <w:tab/>
      </w: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PAGEREF _Toc79163893 \h </w:instrText>
      </w:r>
      <w:r>
        <w:rPr>
          <w:rFonts w:hint="eastAsia" w:ascii="宋体" w:hAnsi="宋体" w:eastAsia="宋体" w:cs="宋体"/>
          <w:bCs/>
          <w:sz w:val="24"/>
          <w:szCs w:val="24"/>
        </w:rPr>
        <w:fldChar w:fldCharType="separate"/>
      </w:r>
      <w:r>
        <w:rPr>
          <w:rFonts w:hint="eastAsia" w:ascii="宋体" w:hAnsi="宋体" w:eastAsia="宋体" w:cs="宋体"/>
          <w:bCs/>
          <w:sz w:val="24"/>
          <w:szCs w:val="24"/>
        </w:rPr>
        <w:t>29</w:t>
      </w:r>
      <w:r>
        <w:rPr>
          <w:rFonts w:hint="eastAsia" w:ascii="宋体" w:hAnsi="宋体" w:eastAsia="宋体" w:cs="宋体"/>
          <w:bCs/>
          <w:sz w:val="24"/>
          <w:szCs w:val="24"/>
        </w:rPr>
        <w:fldChar w:fldCharType="end"/>
      </w:r>
    </w:p>
    <w:p>
      <w:pPr>
        <w:pStyle w:val="20"/>
        <w:tabs>
          <w:tab w:val="left" w:pos="840"/>
          <w:tab w:val="right" w:leader="dot" w:pos="8296"/>
        </w:tabs>
        <w:rPr>
          <w:rFonts w:hint="eastAsia" w:ascii="宋体" w:hAnsi="宋体" w:eastAsia="宋体" w:cs="宋体"/>
          <w:bCs/>
          <w:sz w:val="24"/>
          <w:szCs w:val="24"/>
        </w:rPr>
      </w:pPr>
      <w:r>
        <w:rPr>
          <w:rFonts w:hint="eastAsia" w:ascii="宋体" w:hAnsi="宋体" w:eastAsia="宋体" w:cs="宋体"/>
          <w:bCs/>
          <w:sz w:val="24"/>
          <w:szCs w:val="24"/>
        </w:rPr>
        <w:t>九、一般公共预算财政拨款项目支出决算表</w:t>
      </w:r>
      <w:r>
        <w:rPr>
          <w:rFonts w:hint="eastAsia" w:ascii="宋体" w:hAnsi="宋体" w:eastAsia="宋体" w:cs="宋体"/>
          <w:bCs/>
          <w:sz w:val="24"/>
          <w:szCs w:val="24"/>
        </w:rPr>
        <w:tab/>
      </w: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PAGEREF _Toc79163894 \h </w:instrText>
      </w:r>
      <w:r>
        <w:rPr>
          <w:rFonts w:hint="eastAsia" w:ascii="宋体" w:hAnsi="宋体" w:eastAsia="宋体" w:cs="宋体"/>
          <w:bCs/>
          <w:sz w:val="24"/>
          <w:szCs w:val="24"/>
        </w:rPr>
        <w:fldChar w:fldCharType="separate"/>
      </w:r>
      <w:r>
        <w:rPr>
          <w:rFonts w:hint="eastAsia" w:ascii="宋体" w:hAnsi="宋体" w:eastAsia="宋体" w:cs="宋体"/>
          <w:bCs/>
          <w:sz w:val="24"/>
          <w:szCs w:val="24"/>
        </w:rPr>
        <w:t>29</w:t>
      </w:r>
      <w:r>
        <w:rPr>
          <w:rFonts w:hint="eastAsia" w:ascii="宋体" w:hAnsi="宋体" w:eastAsia="宋体" w:cs="宋体"/>
          <w:bCs/>
          <w:sz w:val="24"/>
          <w:szCs w:val="24"/>
        </w:rPr>
        <w:fldChar w:fldCharType="end"/>
      </w:r>
    </w:p>
    <w:p>
      <w:pPr>
        <w:pStyle w:val="20"/>
        <w:tabs>
          <w:tab w:val="left" w:pos="840"/>
          <w:tab w:val="right" w:leader="dot" w:pos="8296"/>
        </w:tabs>
        <w:rPr>
          <w:rFonts w:hint="eastAsia" w:ascii="宋体" w:hAnsi="宋体" w:eastAsia="宋体" w:cs="宋体"/>
          <w:bCs/>
          <w:sz w:val="24"/>
          <w:szCs w:val="24"/>
        </w:rPr>
      </w:pPr>
      <w:r>
        <w:rPr>
          <w:rFonts w:hint="eastAsia" w:ascii="宋体" w:hAnsi="宋体" w:eastAsia="宋体" w:cs="宋体"/>
          <w:bCs/>
          <w:sz w:val="24"/>
          <w:szCs w:val="24"/>
        </w:rPr>
        <w:t>十、政府性基金预算财政拨款收入支出决算表</w:t>
      </w:r>
      <w:r>
        <w:rPr>
          <w:rFonts w:hint="eastAsia" w:ascii="宋体" w:hAnsi="宋体" w:eastAsia="宋体" w:cs="宋体"/>
          <w:bCs/>
          <w:sz w:val="24"/>
          <w:szCs w:val="24"/>
        </w:rPr>
        <w:tab/>
      </w: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PAGEREF _Toc79163896 \h </w:instrText>
      </w:r>
      <w:r>
        <w:rPr>
          <w:rFonts w:hint="eastAsia" w:ascii="宋体" w:hAnsi="宋体" w:eastAsia="宋体" w:cs="宋体"/>
          <w:bCs/>
          <w:sz w:val="24"/>
          <w:szCs w:val="24"/>
        </w:rPr>
        <w:fldChar w:fldCharType="separate"/>
      </w:r>
      <w:r>
        <w:rPr>
          <w:rFonts w:hint="eastAsia" w:ascii="宋体" w:hAnsi="宋体" w:eastAsia="宋体" w:cs="宋体"/>
          <w:bCs/>
          <w:sz w:val="24"/>
          <w:szCs w:val="24"/>
        </w:rPr>
        <w:t>29</w:t>
      </w:r>
      <w:r>
        <w:rPr>
          <w:rFonts w:hint="eastAsia" w:ascii="宋体" w:hAnsi="宋体" w:eastAsia="宋体" w:cs="宋体"/>
          <w:bCs/>
          <w:sz w:val="24"/>
          <w:szCs w:val="24"/>
        </w:rPr>
        <w:fldChar w:fldCharType="end"/>
      </w:r>
    </w:p>
    <w:p>
      <w:pPr>
        <w:pStyle w:val="20"/>
        <w:tabs>
          <w:tab w:val="left" w:pos="840"/>
          <w:tab w:val="right" w:leader="dot" w:pos="8296"/>
        </w:tabs>
        <w:rPr>
          <w:rFonts w:hint="eastAsia" w:ascii="宋体" w:hAnsi="宋体" w:eastAsia="宋体" w:cs="宋体"/>
          <w:bCs/>
          <w:sz w:val="24"/>
          <w:szCs w:val="24"/>
        </w:rPr>
      </w:pPr>
      <w:r>
        <w:rPr>
          <w:rFonts w:hint="eastAsia" w:ascii="宋体" w:hAnsi="宋体" w:eastAsia="宋体" w:cs="宋体"/>
          <w:bCs/>
          <w:sz w:val="24"/>
          <w:szCs w:val="24"/>
        </w:rPr>
        <w:t>十</w:t>
      </w:r>
      <w:r>
        <w:rPr>
          <w:rFonts w:hint="eastAsia" w:ascii="宋体" w:hAnsi="宋体" w:eastAsia="宋体" w:cs="宋体"/>
          <w:bCs/>
          <w:sz w:val="24"/>
          <w:szCs w:val="24"/>
          <w:lang w:val="en-US" w:eastAsia="zh-CN"/>
        </w:rPr>
        <w:t>一</w:t>
      </w:r>
      <w:r>
        <w:rPr>
          <w:rFonts w:hint="eastAsia" w:ascii="宋体" w:hAnsi="宋体" w:eastAsia="宋体" w:cs="宋体"/>
          <w:bCs/>
          <w:sz w:val="24"/>
          <w:szCs w:val="24"/>
        </w:rPr>
        <w:t>、国有资本经营预算财政拨款收入支出决算表</w:t>
      </w:r>
      <w:r>
        <w:rPr>
          <w:rFonts w:hint="eastAsia" w:ascii="宋体" w:hAnsi="宋体" w:eastAsia="宋体" w:cs="宋体"/>
          <w:bCs/>
          <w:sz w:val="24"/>
          <w:szCs w:val="24"/>
        </w:rPr>
        <w:tab/>
      </w: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PAGEREF _Toc79163898 \h </w:instrText>
      </w:r>
      <w:r>
        <w:rPr>
          <w:rFonts w:hint="eastAsia" w:ascii="宋体" w:hAnsi="宋体" w:eastAsia="宋体" w:cs="宋体"/>
          <w:bCs/>
          <w:sz w:val="24"/>
          <w:szCs w:val="24"/>
        </w:rPr>
        <w:fldChar w:fldCharType="separate"/>
      </w:r>
      <w:r>
        <w:rPr>
          <w:rFonts w:hint="eastAsia" w:ascii="宋体" w:hAnsi="宋体" w:eastAsia="宋体" w:cs="宋体"/>
          <w:bCs/>
          <w:sz w:val="24"/>
          <w:szCs w:val="24"/>
        </w:rPr>
        <w:t>29</w:t>
      </w:r>
      <w:r>
        <w:rPr>
          <w:rFonts w:hint="eastAsia" w:ascii="宋体" w:hAnsi="宋体" w:eastAsia="宋体" w:cs="宋体"/>
          <w:bCs/>
          <w:sz w:val="24"/>
          <w:szCs w:val="24"/>
        </w:rPr>
        <w:fldChar w:fldCharType="end"/>
      </w:r>
    </w:p>
    <w:p>
      <w:pPr>
        <w:pStyle w:val="20"/>
        <w:tabs>
          <w:tab w:val="left" w:pos="840"/>
          <w:tab w:val="right" w:leader="dot" w:pos="8296"/>
        </w:tabs>
        <w:rPr>
          <w:rFonts w:hint="eastAsia" w:ascii="宋体" w:hAnsi="宋体" w:eastAsia="宋体" w:cs="宋体"/>
          <w:bCs/>
          <w:sz w:val="24"/>
          <w:szCs w:val="24"/>
        </w:rPr>
      </w:pPr>
      <w:r>
        <w:rPr>
          <w:rFonts w:hint="eastAsia" w:ascii="宋体" w:hAnsi="宋体" w:eastAsia="宋体" w:cs="宋体"/>
          <w:bCs/>
          <w:sz w:val="24"/>
          <w:szCs w:val="24"/>
        </w:rPr>
        <w:t>十</w:t>
      </w:r>
      <w:r>
        <w:rPr>
          <w:rFonts w:hint="eastAsia" w:ascii="宋体" w:hAnsi="宋体" w:eastAsia="宋体" w:cs="宋体"/>
          <w:bCs/>
          <w:sz w:val="24"/>
          <w:szCs w:val="24"/>
          <w:lang w:val="en-US" w:eastAsia="zh-CN"/>
        </w:rPr>
        <w:t>二</w:t>
      </w:r>
      <w:r>
        <w:rPr>
          <w:rFonts w:hint="eastAsia" w:ascii="宋体" w:hAnsi="宋体" w:eastAsia="宋体" w:cs="宋体"/>
          <w:bCs/>
          <w:sz w:val="24"/>
          <w:szCs w:val="24"/>
        </w:rPr>
        <w:t>、国有资本经营预算财政拨款支出决算表</w:t>
      </w:r>
      <w:r>
        <w:rPr>
          <w:rFonts w:hint="eastAsia" w:ascii="宋体" w:hAnsi="宋体" w:eastAsia="宋体" w:cs="宋体"/>
          <w:bCs/>
          <w:sz w:val="24"/>
          <w:szCs w:val="24"/>
        </w:rPr>
        <w:tab/>
      </w: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PAGEREF _Toc79163899 \h </w:instrText>
      </w:r>
      <w:r>
        <w:rPr>
          <w:rFonts w:hint="eastAsia" w:ascii="宋体" w:hAnsi="宋体" w:eastAsia="宋体" w:cs="宋体"/>
          <w:bCs/>
          <w:sz w:val="24"/>
          <w:szCs w:val="24"/>
        </w:rPr>
        <w:fldChar w:fldCharType="separate"/>
      </w:r>
      <w:r>
        <w:rPr>
          <w:rFonts w:hint="eastAsia" w:ascii="宋体" w:hAnsi="宋体" w:eastAsia="宋体" w:cs="宋体"/>
          <w:bCs/>
          <w:sz w:val="24"/>
          <w:szCs w:val="24"/>
        </w:rPr>
        <w:t>29</w:t>
      </w:r>
      <w:r>
        <w:rPr>
          <w:rFonts w:hint="eastAsia" w:ascii="宋体" w:hAnsi="宋体" w:eastAsia="宋体" w:cs="宋体"/>
          <w:bCs/>
          <w:sz w:val="24"/>
          <w:szCs w:val="24"/>
        </w:rPr>
        <w:fldChar w:fldCharType="end"/>
      </w:r>
    </w:p>
    <w:p>
      <w:pPr>
        <w:pStyle w:val="20"/>
        <w:tabs>
          <w:tab w:val="left" w:pos="840"/>
          <w:tab w:val="right" w:leader="dot" w:pos="8296"/>
        </w:tabs>
        <w:rPr>
          <w:rFonts w:hint="eastAsia" w:ascii="宋体" w:hAnsi="宋体" w:eastAsia="宋体" w:cs="宋体"/>
          <w:bCs/>
          <w:sz w:val="24"/>
          <w:szCs w:val="24"/>
        </w:rPr>
      </w:pPr>
      <w:r>
        <w:rPr>
          <w:rFonts w:hint="eastAsia" w:ascii="宋体" w:hAnsi="宋体" w:eastAsia="宋体" w:cs="宋体"/>
          <w:bCs/>
          <w:sz w:val="24"/>
          <w:szCs w:val="24"/>
        </w:rPr>
        <w:t>十</w:t>
      </w:r>
      <w:r>
        <w:rPr>
          <w:rFonts w:hint="eastAsia" w:ascii="宋体" w:hAnsi="宋体" w:eastAsia="宋体" w:cs="宋体"/>
          <w:bCs/>
          <w:sz w:val="24"/>
          <w:szCs w:val="24"/>
          <w:lang w:val="en-US" w:eastAsia="zh-CN"/>
        </w:rPr>
        <w:t>三</w:t>
      </w:r>
      <w:r>
        <w:rPr>
          <w:rFonts w:hint="eastAsia" w:ascii="宋体" w:hAnsi="宋体" w:eastAsia="宋体" w:cs="宋体"/>
          <w:bCs/>
          <w:sz w:val="24"/>
          <w:szCs w:val="24"/>
        </w:rPr>
        <w:t>、</w:t>
      </w:r>
      <w:r>
        <w:rPr>
          <w:rFonts w:hint="eastAsia" w:ascii="宋体" w:hAnsi="宋体" w:eastAsia="宋体" w:cs="宋体"/>
          <w:bCs/>
          <w:sz w:val="24"/>
          <w:szCs w:val="24"/>
          <w:lang w:val="en-US" w:eastAsia="zh-CN"/>
        </w:rPr>
        <w:t>财政拨款“三公”经费支</w:t>
      </w:r>
      <w:r>
        <w:rPr>
          <w:rFonts w:hint="eastAsia" w:ascii="宋体" w:hAnsi="宋体" w:eastAsia="宋体" w:cs="宋体"/>
          <w:bCs/>
          <w:sz w:val="24"/>
          <w:szCs w:val="24"/>
        </w:rPr>
        <w:t>出决算表</w:t>
      </w:r>
      <w:r>
        <w:rPr>
          <w:rFonts w:hint="eastAsia" w:ascii="宋体" w:hAnsi="宋体" w:eastAsia="宋体" w:cs="宋体"/>
          <w:bCs/>
          <w:sz w:val="24"/>
          <w:szCs w:val="24"/>
        </w:rPr>
        <w:tab/>
      </w: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PAGEREF _Toc79163899 \h </w:instrText>
      </w:r>
      <w:r>
        <w:rPr>
          <w:rFonts w:hint="eastAsia" w:ascii="宋体" w:hAnsi="宋体" w:eastAsia="宋体" w:cs="宋体"/>
          <w:bCs/>
          <w:sz w:val="24"/>
          <w:szCs w:val="24"/>
        </w:rPr>
        <w:fldChar w:fldCharType="separate"/>
      </w:r>
      <w:r>
        <w:rPr>
          <w:rFonts w:hint="eastAsia" w:ascii="宋体" w:hAnsi="宋体" w:eastAsia="宋体" w:cs="宋体"/>
          <w:bCs/>
          <w:sz w:val="24"/>
          <w:szCs w:val="24"/>
        </w:rPr>
        <w:t>29</w:t>
      </w:r>
      <w:r>
        <w:rPr>
          <w:rFonts w:hint="eastAsia" w:ascii="宋体" w:hAnsi="宋体" w:eastAsia="宋体" w:cs="宋体"/>
          <w:bCs/>
          <w:sz w:val="24"/>
          <w:szCs w:val="24"/>
        </w:rPr>
        <w:fldChar w:fldCharType="end"/>
      </w:r>
    </w:p>
    <w:p>
      <w:pPr>
        <w:pStyle w:val="20"/>
        <w:tabs>
          <w:tab w:val="left" w:pos="840"/>
          <w:tab w:val="right" w:leader="dot" w:pos="8296"/>
        </w:tabs>
        <w:rPr>
          <w:rFonts w:hint="eastAsia"/>
        </w:rPr>
      </w:pPr>
      <w:r>
        <w:rPr>
          <w:rFonts w:hint="eastAsia" w:ascii="宋体" w:hAnsi="宋体" w:eastAsia="宋体" w:cs="宋体"/>
          <w:bCs/>
          <w:sz w:val="24"/>
          <w:szCs w:val="24"/>
        </w:rPr>
        <w:t>十</w:t>
      </w:r>
      <w:r>
        <w:rPr>
          <w:rFonts w:hint="eastAsia" w:ascii="宋体" w:hAnsi="宋体" w:eastAsia="宋体" w:cs="宋体"/>
          <w:bCs/>
          <w:sz w:val="24"/>
          <w:szCs w:val="24"/>
          <w:lang w:val="en-US" w:eastAsia="zh-CN"/>
        </w:rPr>
        <w:t>四</w:t>
      </w:r>
      <w:r>
        <w:rPr>
          <w:rFonts w:hint="eastAsia" w:ascii="宋体" w:hAnsi="宋体" w:eastAsia="宋体" w:cs="宋体"/>
          <w:bCs/>
          <w:sz w:val="24"/>
          <w:szCs w:val="24"/>
        </w:rPr>
        <w:t>、部门预算项目支出绩效自评表</w:t>
      </w:r>
      <w:r>
        <w:rPr>
          <w:rFonts w:hint="eastAsia" w:ascii="宋体" w:hAnsi="宋体" w:eastAsia="宋体" w:cs="宋体"/>
          <w:bCs/>
          <w:sz w:val="24"/>
          <w:szCs w:val="24"/>
        </w:rPr>
        <w:tab/>
      </w: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PAGEREF _Toc79163899 \h </w:instrText>
      </w:r>
      <w:r>
        <w:rPr>
          <w:rFonts w:hint="eastAsia" w:ascii="宋体" w:hAnsi="宋体" w:eastAsia="宋体" w:cs="宋体"/>
          <w:bCs/>
          <w:sz w:val="24"/>
          <w:szCs w:val="24"/>
        </w:rPr>
        <w:fldChar w:fldCharType="separate"/>
      </w:r>
      <w:r>
        <w:rPr>
          <w:rFonts w:hint="eastAsia" w:ascii="宋体" w:hAnsi="宋体" w:eastAsia="宋体" w:cs="宋体"/>
          <w:bCs/>
          <w:sz w:val="24"/>
          <w:szCs w:val="24"/>
        </w:rPr>
        <w:t>29</w:t>
      </w:r>
      <w:r>
        <w:rPr>
          <w:rFonts w:hint="eastAsia" w:ascii="宋体" w:hAnsi="宋体" w:eastAsia="宋体" w:cs="宋体"/>
          <w:bCs/>
          <w:sz w:val="24"/>
          <w:szCs w:val="24"/>
        </w:rPr>
        <w:fldChar w:fldCharType="end"/>
      </w:r>
      <w:r>
        <w:rPr>
          <w:rFonts w:ascii="等线" w:eastAsia="等线"/>
          <w:b/>
          <w:bCs/>
          <w:caps/>
          <w:sz w:val="20"/>
          <w:szCs w:val="20"/>
        </w:rPr>
        <w:fldChar w:fldCharType="end"/>
      </w:r>
    </w:p>
    <w:p>
      <w:pPr>
        <w:pStyle w:val="5"/>
        <w:jc w:val="center"/>
        <w:rPr>
          <w:rFonts w:ascii="黑体" w:eastAsia="黑体"/>
          <w:color w:val="000000"/>
          <w:sz w:val="32"/>
          <w:szCs w:val="32"/>
        </w:rPr>
      </w:pPr>
      <w:r>
        <w:rPr>
          <w:rFonts w:hint="eastAsia" w:ascii="黑体" w:hAnsi="黑体" w:eastAsia="黑体"/>
          <w:b w:val="0"/>
        </w:rPr>
        <w:t>第一部分</w:t>
      </w:r>
      <w:r>
        <w:rPr>
          <w:rFonts w:ascii="黑体" w:hAnsi="黑体" w:eastAsia="黑体"/>
          <w:b w:val="0"/>
        </w:rPr>
        <w:t xml:space="preserve"> </w:t>
      </w:r>
      <w:r>
        <w:rPr>
          <w:rStyle w:val="28"/>
          <w:rFonts w:hint="eastAsia" w:ascii="黑体" w:hAnsi="黑体" w:eastAsia="黑体"/>
          <w:b w:val="0"/>
          <w:bCs w:val="0"/>
        </w:rPr>
        <w:t>部门概况</w:t>
      </w:r>
      <w:bookmarkEnd w:id="1"/>
      <w:bookmarkEnd w:id="2"/>
      <w:bookmarkEnd w:id="3"/>
      <w:bookmarkEnd w:id="4"/>
    </w:p>
    <w:p>
      <w:pPr>
        <w:pStyle w:val="6"/>
        <w:keepNext/>
        <w:keepLines/>
        <w:pageBreakBefore w:val="0"/>
        <w:widowControl w:val="0"/>
        <w:numPr>
          <w:ilvl w:val="0"/>
          <w:numId w:val="1"/>
        </w:numPr>
        <w:kinsoku/>
        <w:wordWrap/>
        <w:overflowPunct/>
        <w:topLinePunct w:val="0"/>
        <w:autoSpaceDE/>
        <w:autoSpaceDN/>
        <w:bidi w:val="0"/>
        <w:adjustRightInd/>
        <w:snapToGrid/>
        <w:spacing w:line="560" w:lineRule="exact"/>
        <w:textAlignment w:val="auto"/>
        <w:rPr>
          <w:rStyle w:val="29"/>
          <w:rFonts w:hint="eastAsia" w:ascii="黑体" w:hAnsi="黑体" w:eastAsia="黑体"/>
          <w:b w:val="0"/>
          <w:bCs w:val="0"/>
        </w:rPr>
      </w:pPr>
      <w:bookmarkStart w:id="5" w:name="_Toc17438"/>
      <w:bookmarkStart w:id="6" w:name="_Toc15396600"/>
      <w:bookmarkStart w:id="7" w:name="_Toc79163602"/>
      <w:bookmarkStart w:id="8" w:name="_Toc15377197"/>
      <w:r>
        <w:rPr>
          <w:rFonts w:hint="eastAsia" w:ascii="黑体" w:hAnsi="黑体" w:eastAsia="黑体"/>
          <w:b w:val="0"/>
          <w:color w:val="000000"/>
          <w:lang w:val="en-US" w:eastAsia="zh-CN"/>
        </w:rPr>
        <w:t>部门职责</w:t>
      </w:r>
      <w:bookmarkEnd w:id="5"/>
      <w:bookmarkEnd w:id="6"/>
      <w:bookmarkEnd w:id="7"/>
      <w:bookmarkEnd w:id="8"/>
      <w:bookmarkStart w:id="9" w:name="_Toc15377198"/>
      <w:bookmarkStart w:id="10" w:name="_Toc15378445"/>
      <w:bookmarkStart w:id="11" w:name="_Toc79163853"/>
      <w:bookmarkStart w:id="12" w:name="_Toc79163603"/>
    </w:p>
    <w:bookmarkEnd w:id="9"/>
    <w:bookmarkEnd w:id="10"/>
    <w:bookmarkEnd w:id="11"/>
    <w:bookmarkEnd w:id="12"/>
    <w:p>
      <w:pPr>
        <w:pStyle w:val="9"/>
        <w:keepNext w:val="0"/>
        <w:keepLines w:val="0"/>
        <w:pageBreakBefore w:val="0"/>
        <w:widowControl w:val="0"/>
        <w:kinsoku/>
        <w:wordWrap/>
        <w:overflowPunct/>
        <w:topLinePunct w:val="0"/>
        <w:autoSpaceDE/>
        <w:autoSpaceDN/>
        <w:bidi w:val="0"/>
        <w:adjustRightInd/>
        <w:snapToGrid/>
        <w:spacing w:beforeLines="0" w:line="560" w:lineRule="exact"/>
        <w:ind w:firstLine="640" w:firstLineChars="200"/>
        <w:textAlignment w:val="auto"/>
        <w:rPr>
          <w:rFonts w:hint="eastAsia" w:hAnsi="Times New Roman" w:cs="Times New Roman"/>
          <w:sz w:val="32"/>
          <w:szCs w:val="32"/>
        </w:rPr>
      </w:pPr>
      <w:r>
        <w:rPr>
          <w:rFonts w:hint="eastAsia"/>
          <w:sz w:val="32"/>
          <w:szCs w:val="32"/>
          <w:lang w:val="en-US" w:eastAsia="zh-CN"/>
        </w:rPr>
        <w:t>中共壤塘县委党校坚持党的基本路线，以学习宣传习近平新时代中国特色社会主义思想为己任，结合党和国家召开的重大会议精神，根据全县各级党组织和党员实际，在抓好基础设施建设和教学基地建设的同时，努力办好主体班和业务技能培训，紧紧围绕提高培训效果和教育教学质量、培养高素质的干部队伍为目标，以改革为动力，教学为中心，科研为基础，充分发挥“熔炉”和“阵地”的作用，加强党的理论学习、研究和宣传，搞好县、乡、村党员干部培训，切实提高全县干部政策理论水平</w:t>
      </w:r>
      <w:r>
        <w:rPr>
          <w:rFonts w:hint="eastAsia" w:hAnsi="Times New Roman" w:cs="Times New Roman"/>
          <w:sz w:val="32"/>
          <w:szCs w:val="32"/>
          <w:lang w:eastAsia="zh-CN"/>
        </w:rPr>
        <w:t>。</w:t>
      </w:r>
    </w:p>
    <w:p>
      <w:pPr>
        <w:pStyle w:val="6"/>
        <w:pageBreakBefore w:val="0"/>
        <w:widowControl w:val="0"/>
        <w:kinsoku/>
        <w:wordWrap/>
        <w:overflowPunct/>
        <w:topLinePunct w:val="0"/>
        <w:bidi w:val="0"/>
        <w:spacing w:line="560" w:lineRule="exact"/>
        <w:textAlignment w:val="auto"/>
        <w:rPr>
          <w:rStyle w:val="29"/>
          <w:b w:val="0"/>
          <w:bCs w:val="0"/>
        </w:rPr>
      </w:pPr>
      <w:bookmarkStart w:id="13" w:name="_Toc15396601"/>
      <w:bookmarkStart w:id="14" w:name="_Toc15377200"/>
      <w:bookmarkStart w:id="15" w:name="_Toc79163605"/>
      <w:bookmarkStart w:id="16" w:name="_Toc368"/>
      <w:r>
        <w:rPr>
          <w:rFonts w:hint="eastAsia" w:ascii="黑体" w:eastAsia="黑体"/>
          <w:b w:val="0"/>
          <w:color w:val="000000"/>
        </w:rPr>
        <w:t>二、</w:t>
      </w:r>
      <w:r>
        <w:rPr>
          <w:rFonts w:hint="eastAsia" w:ascii="黑体" w:hAnsi="黑体" w:eastAsia="黑体"/>
          <w:b w:val="0"/>
          <w:color w:val="000000"/>
        </w:rPr>
        <w:t>机</w:t>
      </w:r>
      <w:r>
        <w:rPr>
          <w:rStyle w:val="29"/>
          <w:rFonts w:hint="eastAsia" w:ascii="黑体" w:hAnsi="黑体" w:eastAsia="黑体"/>
          <w:b w:val="0"/>
          <w:bCs w:val="0"/>
        </w:rPr>
        <w:t>构设置</w:t>
      </w:r>
      <w:bookmarkEnd w:id="13"/>
      <w:bookmarkEnd w:id="14"/>
      <w:bookmarkEnd w:id="15"/>
      <w:bookmarkEnd w:id="16"/>
    </w:p>
    <w:p>
      <w:pPr>
        <w:pStyle w:val="9"/>
        <w:pageBreakBefore w:val="0"/>
        <w:widowControl w:val="0"/>
        <w:kinsoku/>
        <w:wordWrap/>
        <w:overflowPunct/>
        <w:topLinePunct w:val="0"/>
        <w:bidi w:val="0"/>
        <w:adjustRightInd w:val="0"/>
        <w:snapToGrid w:val="0"/>
        <w:spacing w:before="93" w:line="560" w:lineRule="exact"/>
        <w:ind w:firstLine="672" w:firstLineChars="210"/>
        <w:textAlignment w:val="auto"/>
        <w:rPr>
          <w:rFonts w:ascii="仿宋" w:hAnsi="仿宋" w:eastAsia="仿宋"/>
          <w:color w:val="000000"/>
          <w:kern w:val="0"/>
          <w:sz w:val="32"/>
          <w:szCs w:val="32"/>
        </w:rPr>
      </w:pPr>
      <w:bookmarkStart w:id="17" w:name="_Toc30939"/>
      <w:bookmarkStart w:id="18" w:name="_Toc12356"/>
      <w:bookmarkStart w:id="19" w:name="_Toc10699"/>
      <w:r>
        <w:rPr>
          <w:rFonts w:hint="eastAsia" w:hAnsi="仿宋" w:cs="Times New Roman"/>
          <w:b w:val="0"/>
          <w:bCs w:val="0"/>
          <w:kern w:val="2"/>
          <w:sz w:val="32"/>
          <w:szCs w:val="32"/>
          <w:highlight w:val="none"/>
          <w:lang w:val="en-US" w:eastAsia="zh-CN" w:bidi="ar-SA"/>
        </w:rPr>
        <w:t>中共壤塘县委党校本级有两个下属二级单位，</w:t>
      </w:r>
      <w:bookmarkEnd w:id="17"/>
      <w:bookmarkEnd w:id="18"/>
      <w:bookmarkEnd w:id="19"/>
      <w:r>
        <w:rPr>
          <w:rFonts w:hint="eastAsia" w:hAnsi="仿宋" w:cs="Times New Roman"/>
          <w:b w:val="0"/>
          <w:bCs w:val="0"/>
          <w:kern w:val="2"/>
          <w:sz w:val="32"/>
          <w:szCs w:val="32"/>
          <w:highlight w:val="none"/>
          <w:lang w:val="en-US" w:eastAsia="zh-CN" w:bidi="ar-SA"/>
        </w:rPr>
        <w:t>分别是中共壤塘县委党校和中共壤塘县委党校调研室。</w:t>
      </w:r>
      <w:r>
        <w:rPr>
          <w:rFonts w:ascii="仿宋" w:hAnsi="仿宋" w:eastAsia="仿宋"/>
          <w:color w:val="000000"/>
          <w:sz w:val="32"/>
          <w:szCs w:val="32"/>
        </w:rPr>
        <w:br w:type="page"/>
      </w:r>
    </w:p>
    <w:p>
      <w:pPr>
        <w:pStyle w:val="5"/>
        <w:pageBreakBefore w:val="0"/>
        <w:widowControl w:val="0"/>
        <w:kinsoku/>
        <w:wordWrap/>
        <w:overflowPunct/>
        <w:topLinePunct w:val="0"/>
        <w:bidi w:val="0"/>
        <w:spacing w:line="560" w:lineRule="exact"/>
        <w:ind w:right="440"/>
        <w:jc w:val="right"/>
        <w:textAlignment w:val="auto"/>
        <w:rPr>
          <w:rStyle w:val="28"/>
          <w:rFonts w:ascii="黑体" w:hAnsi="黑体" w:eastAsia="黑体"/>
          <w:b w:val="0"/>
          <w:bCs w:val="0"/>
        </w:rPr>
      </w:pPr>
      <w:bookmarkStart w:id="20" w:name="_Toc79163609"/>
      <w:bookmarkStart w:id="21" w:name="_Toc27"/>
      <w:bookmarkStart w:id="22" w:name="_Toc15396602"/>
      <w:bookmarkStart w:id="23" w:name="_Toc15377204"/>
      <w:r>
        <w:rPr>
          <w:rFonts w:hint="eastAsia" w:ascii="黑体" w:hAnsi="黑体" w:eastAsia="黑体"/>
          <w:b w:val="0"/>
          <w:color w:val="000000"/>
        </w:rPr>
        <w:t>第二部分</w:t>
      </w:r>
      <w:r>
        <w:rPr>
          <w:rFonts w:ascii="黑体" w:hAnsi="黑体" w:eastAsia="黑体"/>
          <w:color w:val="000000"/>
        </w:rPr>
        <w:t xml:space="preserve"> </w:t>
      </w:r>
      <w:r>
        <w:rPr>
          <w:rStyle w:val="28"/>
          <w:rFonts w:hint="eastAsia" w:ascii="黑体" w:hAnsi="黑体" w:eastAsia="黑体"/>
          <w:b w:val="0"/>
          <w:bCs w:val="0"/>
          <w:lang w:eastAsia="zh-CN"/>
        </w:rPr>
        <w:t>2024年</w:t>
      </w:r>
      <w:r>
        <w:rPr>
          <w:rStyle w:val="28"/>
          <w:rFonts w:hint="eastAsia" w:ascii="黑体" w:hAnsi="黑体" w:eastAsia="黑体"/>
          <w:b w:val="0"/>
          <w:bCs w:val="0"/>
        </w:rPr>
        <w:t>度部门决算情况说明</w:t>
      </w:r>
      <w:bookmarkEnd w:id="20"/>
      <w:bookmarkEnd w:id="21"/>
      <w:bookmarkEnd w:id="22"/>
      <w:bookmarkEnd w:id="23"/>
    </w:p>
    <w:p>
      <w:pPr>
        <w:pStyle w:val="6"/>
        <w:keepNext/>
        <w:keepLines/>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黑体" w:hAnsi="黑体" w:eastAsia="黑体" w:cs="黑体"/>
          <w:lang w:val="en-US" w:eastAsia="zh-CN"/>
        </w:rPr>
      </w:pPr>
      <w:bookmarkStart w:id="24" w:name="_Toc3940"/>
      <w:r>
        <w:rPr>
          <w:rFonts w:hint="eastAsia" w:ascii="黑体" w:hAnsi="黑体" w:eastAsia="黑体" w:cs="黑体"/>
          <w:lang w:val="en-US" w:eastAsia="zh-CN"/>
        </w:rPr>
        <w:t>一、收入支出决算总体情况说明</w:t>
      </w:r>
      <w:bookmarkEnd w:id="24"/>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 w:eastAsia="仿宋_GB2312" w:cs="Times New Roman"/>
          <w:b w:val="0"/>
          <w:bCs w:val="0"/>
          <w:kern w:val="2"/>
          <w:sz w:val="32"/>
          <w:szCs w:val="32"/>
          <w:highlight w:val="none"/>
          <w:lang w:val="en-US" w:eastAsia="zh-CN" w:bidi="ar-SA"/>
        </w:rPr>
      </w:pPr>
      <w:r>
        <w:rPr>
          <w:rFonts w:hint="eastAsia" w:ascii="仿宋_GB2312" w:hAnsi="仿宋" w:eastAsia="仿宋_GB2312" w:cs="Times New Roman"/>
          <w:b w:val="0"/>
          <w:bCs w:val="0"/>
          <w:kern w:val="2"/>
          <w:sz w:val="32"/>
          <w:szCs w:val="32"/>
          <w:highlight w:val="none"/>
          <w:lang w:val="en-US" w:eastAsia="zh-CN" w:bidi="ar-SA"/>
        </w:rPr>
        <w:t>2024年度收入总计411.20万元，与2023年相比，增加16.69万元，增长4.23%。主要变动原因：本年度项目增加，项目收入增加，故本年收入增加; 2024年支出总计410.85万元。与2023年相比，增加16.34万元，增长4.14%。主要变动原因:本年度项目增加，项目支出增加，故本年支出增加。</w:t>
      </w:r>
    </w:p>
    <w:p>
      <w:pPr>
        <w:pStyle w:val="22"/>
        <w:keepNext w:val="0"/>
        <w:keepLines w:val="0"/>
        <w:widowControl w:val="0"/>
        <w:suppressLineNumbers w:val="0"/>
        <w:spacing w:before="0" w:beforeAutospacing="1" w:after="0" w:afterAutospacing="0" w:line="360" w:lineRule="auto"/>
        <w:ind w:left="0" w:leftChars="0" w:right="0" w:firstLine="0" w:firstLineChars="0"/>
        <w:jc w:val="center"/>
        <w:rPr>
          <w:rFonts w:hint="eastAsia" w:ascii="Times New Roman" w:hAnsi="Times New Roman" w:eastAsia="宋体" w:cs="Times New Roman"/>
          <w:kern w:val="2"/>
          <w:sz w:val="21"/>
          <w:szCs w:val="21"/>
        </w:rPr>
      </w:pPr>
      <w:r>
        <w:drawing>
          <wp:inline distT="0" distB="0" distL="114300" distR="114300">
            <wp:extent cx="4134485" cy="2404745"/>
            <wp:effectExtent l="4445" t="4445" r="13970" b="10160"/>
            <wp:docPr id="134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drawing>
          <wp:inline distT="0" distB="0" distL="114300" distR="114300">
            <wp:extent cx="4083685" cy="2139315"/>
            <wp:effectExtent l="4445" t="4445" r="7620" b="8890"/>
            <wp:docPr id="1336"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hAnsi="Times New Roman" w:eastAsia="仿宋_GB2312" w:cs="Times New Roman"/>
          <w:color w:val="000000"/>
          <w:kern w:val="2"/>
          <w:sz w:val="32"/>
          <w:szCs w:val="32"/>
        </w:rPr>
      </w:pPr>
      <w:r>
        <w:rPr>
          <w:rFonts w:hint="eastAsia" w:ascii="仿宋" w:hAnsi="仿宋" w:eastAsia="仿宋" w:cs="仿宋"/>
          <w:color w:val="000000"/>
          <w:kern w:val="2"/>
          <w:sz w:val="32"/>
          <w:szCs w:val="32"/>
          <w:lang w:val="en-US" w:eastAsia="zh-CN" w:bidi="ar"/>
        </w:rPr>
        <w:t>（图</w:t>
      </w:r>
      <w:r>
        <w:rPr>
          <w:rFonts w:hint="eastAsia" w:ascii="仿宋" w:hAnsi="仿宋" w:eastAsia="仿宋" w:cs="Times New Roman"/>
          <w:color w:val="000000"/>
          <w:kern w:val="2"/>
          <w:sz w:val="32"/>
          <w:szCs w:val="32"/>
          <w:lang w:val="en-US" w:eastAsia="zh-CN" w:bidi="ar"/>
        </w:rPr>
        <w:t>1</w:t>
      </w:r>
      <w:r>
        <w:rPr>
          <w:rFonts w:hint="eastAsia" w:ascii="仿宋" w:hAnsi="仿宋" w:eastAsia="仿宋" w:cs="仿宋"/>
          <w:color w:val="000000"/>
          <w:kern w:val="2"/>
          <w:sz w:val="32"/>
          <w:szCs w:val="32"/>
          <w:lang w:val="en-US" w:eastAsia="zh-CN" w:bidi="ar"/>
        </w:rPr>
        <w:t>：收、支决算总计变动情况图）（柱状图）</w:t>
      </w:r>
    </w:p>
    <w:p>
      <w:pPr>
        <w:pStyle w:val="6"/>
        <w:keepNext/>
        <w:keepLines/>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bookmarkStart w:id="25" w:name="_Toc29213"/>
      <w:r>
        <w:rPr>
          <w:rFonts w:hint="eastAsia" w:ascii="黑体" w:hAnsi="黑体" w:eastAsia="黑体" w:cs="Times New Roman"/>
          <w:b w:val="0"/>
          <w:bCs w:val="0"/>
          <w:color w:val="000000"/>
          <w:kern w:val="2"/>
          <w:sz w:val="32"/>
          <w:szCs w:val="32"/>
          <w:lang w:val="en-US" w:eastAsia="zh-CN" w:bidi="ar-SA"/>
        </w:rPr>
        <w:t>二、收入决算情况说明</w:t>
      </w:r>
      <w:bookmarkEnd w:id="25"/>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 w:eastAsia="仿宋_GB2312" w:cs="Times New Roman"/>
          <w:b w:val="0"/>
          <w:bCs w:val="0"/>
          <w:kern w:val="2"/>
          <w:sz w:val="32"/>
          <w:szCs w:val="32"/>
          <w:highlight w:val="none"/>
          <w:lang w:val="en-US" w:eastAsia="zh-CN" w:bidi="ar-SA"/>
        </w:rPr>
      </w:pPr>
      <w:r>
        <w:rPr>
          <w:rFonts w:hint="eastAsia" w:ascii="仿宋_GB2312" w:hAnsi="仿宋" w:eastAsia="仿宋_GB2312" w:cs="Times New Roman"/>
          <w:b w:val="0"/>
          <w:bCs w:val="0"/>
          <w:kern w:val="2"/>
          <w:sz w:val="32"/>
          <w:szCs w:val="32"/>
          <w:highlight w:val="none"/>
          <w:lang w:val="en-US" w:eastAsia="zh-CN" w:bidi="ar-SA"/>
        </w:rPr>
        <w:t>2024年本年收入合计411.20万元，其中：一般公共预算财政拨款收入388.55万元，占94.49%；其他收入22.65万元，占5.510%。</w:t>
      </w:r>
    </w:p>
    <w:p>
      <w:pPr>
        <w:pStyle w:val="22"/>
        <w:keepNext w:val="0"/>
        <w:keepLines w:val="0"/>
        <w:widowControl w:val="0"/>
        <w:suppressLineNumbers w:val="0"/>
        <w:spacing w:before="0" w:beforeAutospacing="1" w:after="120" w:afterAutospacing="0" w:line="360" w:lineRule="auto"/>
        <w:ind w:left="0" w:leftChars="0" w:right="0" w:firstLine="420" w:firstLineChars="200"/>
        <w:jc w:val="center"/>
        <w:rPr>
          <w:rFonts w:hint="default" w:ascii="Times New Roman" w:hAnsi="Times New Roman" w:eastAsia="宋体" w:cs="Times New Roman"/>
          <w:kern w:val="2"/>
          <w:sz w:val="21"/>
          <w:szCs w:val="21"/>
        </w:rPr>
      </w:pPr>
      <w:r>
        <w:drawing>
          <wp:inline distT="0" distB="0" distL="114300" distR="114300">
            <wp:extent cx="3799840" cy="1923415"/>
            <wp:effectExtent l="4445" t="4445" r="5715" b="1524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（图</w:t>
      </w:r>
      <w:r>
        <w:rPr>
          <w:rFonts w:hint="eastAsia" w:ascii="仿宋" w:hAnsi="仿宋" w:eastAsia="仿宋" w:cs="Times New Roman"/>
          <w:color w:val="000000"/>
          <w:kern w:val="2"/>
          <w:sz w:val="32"/>
          <w:szCs w:val="32"/>
          <w:lang w:val="en-US" w:eastAsia="zh-CN" w:bidi="ar"/>
        </w:rPr>
        <w:t>2</w:t>
      </w:r>
      <w:r>
        <w:rPr>
          <w:rFonts w:hint="eastAsia" w:ascii="仿宋" w:hAnsi="仿宋" w:eastAsia="仿宋" w:cs="仿宋"/>
          <w:color w:val="000000"/>
          <w:kern w:val="2"/>
          <w:sz w:val="32"/>
          <w:szCs w:val="32"/>
          <w:lang w:val="en-US" w:eastAsia="zh-CN" w:bidi="ar"/>
        </w:rPr>
        <w:t>：收入决算结构图）（饼状图）</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hAnsi="Times New Roman" w:eastAsia="仿宋_GB2312" w:cs="Times New Roman"/>
          <w:color w:val="FF0000"/>
          <w:kern w:val="2"/>
          <w:sz w:val="32"/>
          <w:szCs w:val="32"/>
        </w:rPr>
      </w:pPr>
      <w:r>
        <w:rPr>
          <w:rFonts w:hint="default" w:ascii="仿宋_GB2312" w:hAnsi="Times New Roman" w:eastAsia="仿宋_GB2312" w:cs="Times New Roman"/>
          <w:color w:val="FF0000"/>
          <w:kern w:val="2"/>
          <w:sz w:val="32"/>
          <w:szCs w:val="32"/>
          <w:lang w:val="en-US" w:eastAsia="zh-CN" w:bidi="ar"/>
        </w:rPr>
        <w:t xml:space="preserve"> </w:t>
      </w:r>
    </w:p>
    <w:p>
      <w:pPr>
        <w:pStyle w:val="6"/>
        <w:keepNext/>
        <w:keepLines/>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bookmarkStart w:id="26" w:name="_Toc16617"/>
      <w:r>
        <w:rPr>
          <w:rFonts w:hint="eastAsia" w:ascii="黑体" w:hAnsi="黑体" w:eastAsia="黑体" w:cs="Times New Roman"/>
          <w:b w:val="0"/>
          <w:bCs w:val="0"/>
          <w:color w:val="000000"/>
          <w:kern w:val="2"/>
          <w:sz w:val="32"/>
          <w:szCs w:val="32"/>
          <w:lang w:val="en-US" w:eastAsia="zh-CN" w:bidi="ar-SA"/>
        </w:rPr>
        <w:t>三、支出决算情况说</w:t>
      </w:r>
      <w:r>
        <w:rPr>
          <w:rFonts w:hint="eastAsia"/>
          <w:lang w:val="en-US" w:eastAsia="zh-CN"/>
        </w:rPr>
        <w:t>明</w:t>
      </w:r>
      <w:bookmarkEnd w:id="26"/>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eastAsia="仿宋_GB2312"/>
          <w:sz w:val="32"/>
          <w:szCs w:val="32"/>
        </w:rPr>
      </w:pPr>
      <w:r>
        <w:rPr>
          <w:rFonts w:hint="eastAsia" w:ascii="仿宋_GB2312" w:hAnsi="仿宋" w:eastAsia="仿宋_GB2312" w:cs="Times New Roman"/>
          <w:b w:val="0"/>
          <w:bCs w:val="0"/>
          <w:kern w:val="2"/>
          <w:sz w:val="32"/>
          <w:szCs w:val="32"/>
          <w:highlight w:val="none"/>
          <w:lang w:val="en-US" w:eastAsia="zh-CN" w:bidi="ar-SA"/>
        </w:rPr>
        <w:t>2024年</w:t>
      </w:r>
      <w:r>
        <w:rPr>
          <w:rFonts w:hint="default" w:ascii="仿宋_GB2312" w:hAnsi="仿宋" w:eastAsia="仿宋_GB2312" w:cs="Times New Roman"/>
          <w:b w:val="0"/>
          <w:bCs w:val="0"/>
          <w:kern w:val="2"/>
          <w:sz w:val="32"/>
          <w:szCs w:val="32"/>
          <w:highlight w:val="none"/>
          <w:lang w:val="en-US" w:eastAsia="zh-CN" w:bidi="ar-SA"/>
        </w:rPr>
        <w:t>本年支出合计</w:t>
      </w:r>
      <w:r>
        <w:rPr>
          <w:rFonts w:hint="eastAsia" w:ascii="仿宋_GB2312" w:hAnsi="仿宋" w:eastAsia="仿宋_GB2312" w:cs="Times New Roman"/>
          <w:b w:val="0"/>
          <w:bCs w:val="0"/>
          <w:kern w:val="2"/>
          <w:sz w:val="32"/>
          <w:szCs w:val="32"/>
          <w:highlight w:val="none"/>
          <w:lang w:val="en-US" w:eastAsia="zh-CN" w:bidi="ar-SA"/>
        </w:rPr>
        <w:t>410.85万</w:t>
      </w:r>
      <w:r>
        <w:rPr>
          <w:rFonts w:hint="default" w:ascii="仿宋_GB2312" w:hAnsi="仿宋" w:eastAsia="仿宋_GB2312" w:cs="Times New Roman"/>
          <w:b w:val="0"/>
          <w:bCs w:val="0"/>
          <w:kern w:val="2"/>
          <w:sz w:val="32"/>
          <w:szCs w:val="32"/>
          <w:highlight w:val="none"/>
          <w:lang w:val="en-US" w:eastAsia="zh-CN" w:bidi="ar-SA"/>
        </w:rPr>
        <w:t>元</w:t>
      </w:r>
      <w:r>
        <w:rPr>
          <w:rFonts w:hint="eastAsia" w:ascii="仿宋_GB2312" w:hAnsi="仿宋" w:eastAsia="仿宋_GB2312" w:cs="Times New Roman"/>
          <w:b w:val="0"/>
          <w:bCs w:val="0"/>
          <w:kern w:val="2"/>
          <w:sz w:val="32"/>
          <w:szCs w:val="32"/>
          <w:highlight w:val="none"/>
          <w:lang w:val="en-US" w:eastAsia="zh-CN" w:bidi="ar-SA"/>
        </w:rPr>
        <w:t>，其中：基本支出314.74万元，占76.61%；项目支出96.11万元，占23.39%。</w:t>
      </w:r>
    </w:p>
    <w:p>
      <w:pPr>
        <w:pStyle w:val="3"/>
        <w:jc w:val="center"/>
        <w:rPr>
          <w:rFonts w:ascii="仿宋" w:hAnsi="仿宋" w:eastAsia="仿宋"/>
          <w:color w:val="000000"/>
          <w:sz w:val="32"/>
          <w:szCs w:val="32"/>
          <w:shd w:val="pct10" w:color="auto" w:fill="FFFFFF"/>
        </w:rPr>
      </w:pPr>
      <w:r>
        <w:drawing>
          <wp:inline distT="0" distB="0" distL="114300" distR="114300">
            <wp:extent cx="3373755" cy="2056765"/>
            <wp:effectExtent l="4445" t="4445" r="12700" b="15240"/>
            <wp:docPr id="1337"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ageBreakBefore w:val="0"/>
        <w:widowControl w:val="0"/>
        <w:kinsoku/>
        <w:wordWrap/>
        <w:overflowPunct/>
        <w:topLinePunct w:val="0"/>
        <w:bidi w:val="0"/>
        <w:spacing w:line="560" w:lineRule="exact"/>
        <w:ind w:firstLine="640" w:firstLineChars="200"/>
        <w:jc w:val="center"/>
        <w:textAlignment w:val="auto"/>
        <w:rPr>
          <w:rFonts w:ascii="仿宋_GB2312" w:eastAsia="仿宋_GB2312"/>
          <w:color w:val="FF0000"/>
          <w:sz w:val="32"/>
          <w:szCs w:val="32"/>
        </w:rPr>
      </w:pPr>
      <w:r>
        <w:rPr>
          <w:rFonts w:hint="eastAsia" w:ascii="仿宋" w:hAnsi="仿宋" w:eastAsia="仿宋"/>
          <w:color w:val="000000"/>
          <w:sz w:val="32"/>
          <w:szCs w:val="32"/>
        </w:rPr>
        <w:t>（图</w:t>
      </w:r>
      <w:r>
        <w:rPr>
          <w:rFonts w:ascii="仿宋" w:hAnsi="仿宋" w:eastAsia="仿宋"/>
          <w:color w:val="000000"/>
          <w:sz w:val="32"/>
          <w:szCs w:val="32"/>
        </w:rPr>
        <w:t>3</w:t>
      </w:r>
      <w:r>
        <w:rPr>
          <w:rFonts w:hint="eastAsia" w:ascii="仿宋" w:hAnsi="仿宋" w:eastAsia="仿宋"/>
          <w:color w:val="000000"/>
          <w:sz w:val="32"/>
          <w:szCs w:val="32"/>
        </w:rPr>
        <w:t>：支出决算结构图）（饼状图）</w:t>
      </w:r>
    </w:p>
    <w:p>
      <w:pPr>
        <w:pageBreakBefore w:val="0"/>
        <w:widowControl w:val="0"/>
        <w:kinsoku/>
        <w:wordWrap/>
        <w:overflowPunct/>
        <w:topLinePunct w:val="0"/>
        <w:bidi w:val="0"/>
        <w:spacing w:line="560" w:lineRule="exact"/>
        <w:ind w:firstLine="640" w:firstLineChars="200"/>
        <w:textAlignment w:val="auto"/>
        <w:outlineLvl w:val="1"/>
        <w:rPr>
          <w:rStyle w:val="29"/>
          <w:rFonts w:ascii="黑体" w:hAnsi="黑体" w:eastAsia="黑体"/>
          <w:b w:val="0"/>
        </w:rPr>
      </w:pPr>
      <w:bookmarkStart w:id="27" w:name="_Toc15396606"/>
      <w:bookmarkStart w:id="28" w:name="_Toc15377208"/>
      <w:bookmarkStart w:id="29" w:name="_Toc79163613"/>
      <w:bookmarkStart w:id="30" w:name="_Toc13707"/>
      <w:r>
        <w:rPr>
          <w:rFonts w:hint="eastAsia" w:ascii="黑体" w:hAnsi="黑体" w:eastAsia="黑体"/>
          <w:color w:val="000000"/>
          <w:sz w:val="32"/>
          <w:szCs w:val="32"/>
        </w:rPr>
        <w:t>四、财</w:t>
      </w:r>
      <w:r>
        <w:rPr>
          <w:rStyle w:val="29"/>
          <w:rFonts w:hint="eastAsia" w:ascii="黑体" w:hAnsi="黑体" w:eastAsia="黑体"/>
          <w:b w:val="0"/>
        </w:rPr>
        <w:t>政拨款收入支出决算总体情况说明</w:t>
      </w:r>
      <w:bookmarkEnd w:id="27"/>
      <w:bookmarkEnd w:id="28"/>
      <w:bookmarkEnd w:id="29"/>
      <w:bookmarkEnd w:id="30"/>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 w:eastAsia="仿宋_GB2312" w:cs="Times New Roman"/>
          <w:b w:val="0"/>
          <w:bCs w:val="0"/>
          <w:kern w:val="2"/>
          <w:sz w:val="32"/>
          <w:szCs w:val="32"/>
          <w:highlight w:val="none"/>
          <w:lang w:val="en-US" w:eastAsia="zh-CN" w:bidi="ar-SA"/>
        </w:rPr>
      </w:pPr>
      <w:r>
        <w:rPr>
          <w:rFonts w:hint="eastAsia" w:ascii="仿宋_GB2312" w:hAnsi="仿宋" w:eastAsia="仿宋_GB2312" w:cs="Times New Roman"/>
          <w:b w:val="0"/>
          <w:bCs w:val="0"/>
          <w:kern w:val="2"/>
          <w:sz w:val="32"/>
          <w:szCs w:val="32"/>
          <w:highlight w:val="none"/>
          <w:lang w:val="en-US" w:eastAsia="zh-CN" w:bidi="ar-SA"/>
        </w:rPr>
        <w:t>2024年财政拨款收入总计388.55万元，与2023年相比，减少5.96万元，下降1.51%。主要变动原因：本年度新增退休人员，人员经费减少，财政拨款收入减少;  2024年财政拨款支出总计388.55万元。与2023年相比，减少5.96万元，下降1.51%。主要变动原因：本年度新增退休人员，人员经费减少，财政拨款支出减少。</w:t>
      </w:r>
    </w:p>
    <w:p>
      <w:pPr>
        <w:pStyle w:val="3"/>
        <w:jc w:val="center"/>
      </w:pPr>
      <w:r>
        <w:drawing>
          <wp:inline distT="0" distB="0" distL="114300" distR="114300">
            <wp:extent cx="4208780" cy="2156460"/>
            <wp:effectExtent l="4445" t="4445" r="15875" b="10795"/>
            <wp:docPr id="1338"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Style w:val="3"/>
        <w:jc w:val="center"/>
        <w:rPr>
          <w:rFonts w:ascii="仿宋" w:hAnsi="仿宋" w:eastAsia="仿宋"/>
          <w:color w:val="000000"/>
          <w:sz w:val="32"/>
          <w:szCs w:val="32"/>
        </w:rPr>
      </w:pPr>
      <w:r>
        <w:drawing>
          <wp:inline distT="0" distB="0" distL="114300" distR="114300">
            <wp:extent cx="4339590" cy="2025650"/>
            <wp:effectExtent l="4445" t="4445" r="18415" b="8255"/>
            <wp:docPr id="1"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pageBreakBefore w:val="0"/>
        <w:widowControl w:val="0"/>
        <w:kinsoku/>
        <w:wordWrap/>
        <w:overflowPunct/>
        <w:topLinePunct w:val="0"/>
        <w:bidi w:val="0"/>
        <w:spacing w:line="560" w:lineRule="exact"/>
        <w:ind w:firstLine="640" w:firstLineChars="200"/>
        <w:textAlignment w:val="auto"/>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4</w:t>
      </w:r>
      <w:r>
        <w:rPr>
          <w:rFonts w:hint="eastAsia" w:ascii="仿宋" w:hAnsi="仿宋" w:eastAsia="仿宋"/>
          <w:color w:val="000000"/>
          <w:sz w:val="32"/>
          <w:szCs w:val="32"/>
        </w:rPr>
        <w:t>：财政拨款收、支决算总计变动情况）（柱状图）</w:t>
      </w:r>
    </w:p>
    <w:p>
      <w:pPr>
        <w:pageBreakBefore w:val="0"/>
        <w:widowControl w:val="0"/>
        <w:kinsoku/>
        <w:wordWrap/>
        <w:overflowPunct/>
        <w:topLinePunct w:val="0"/>
        <w:bidi w:val="0"/>
        <w:spacing w:line="560" w:lineRule="exact"/>
        <w:ind w:firstLine="640"/>
        <w:textAlignment w:val="auto"/>
        <w:rPr>
          <w:rFonts w:ascii="仿宋" w:hAnsi="仿宋" w:eastAsia="仿宋"/>
          <w:b/>
          <w:color w:val="00B050"/>
          <w:sz w:val="32"/>
          <w:szCs w:val="32"/>
        </w:rPr>
      </w:pPr>
    </w:p>
    <w:p>
      <w:pPr>
        <w:pageBreakBefore w:val="0"/>
        <w:widowControl w:val="0"/>
        <w:kinsoku/>
        <w:wordWrap/>
        <w:overflowPunct/>
        <w:topLinePunct w:val="0"/>
        <w:bidi w:val="0"/>
        <w:spacing w:line="560" w:lineRule="exact"/>
        <w:ind w:firstLine="640" w:firstLineChars="200"/>
        <w:textAlignment w:val="auto"/>
        <w:outlineLvl w:val="1"/>
        <w:rPr>
          <w:rStyle w:val="29"/>
          <w:rFonts w:ascii="黑体" w:hAnsi="黑体" w:eastAsia="黑体"/>
          <w:b w:val="0"/>
        </w:rPr>
      </w:pPr>
      <w:bookmarkStart w:id="31" w:name="_Toc79163614"/>
      <w:bookmarkStart w:id="32" w:name="_Toc8901"/>
      <w:bookmarkStart w:id="33" w:name="_Toc15396607"/>
      <w:bookmarkStart w:id="34"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9"/>
          <w:rFonts w:hint="eastAsia" w:ascii="黑体" w:hAnsi="黑体" w:eastAsia="黑体"/>
          <w:b w:val="0"/>
        </w:rPr>
        <w:t>般公共预算财政拨款支出决算情况说明</w:t>
      </w:r>
      <w:bookmarkEnd w:id="31"/>
      <w:bookmarkEnd w:id="32"/>
      <w:bookmarkEnd w:id="33"/>
      <w:bookmarkEnd w:id="34"/>
    </w:p>
    <w:p>
      <w:pPr>
        <w:pageBreakBefore w:val="0"/>
        <w:widowControl w:val="0"/>
        <w:kinsoku/>
        <w:wordWrap/>
        <w:overflowPunct/>
        <w:topLinePunct w:val="0"/>
        <w:bidi w:val="0"/>
        <w:spacing w:line="560" w:lineRule="exact"/>
        <w:ind w:firstLine="642" w:firstLineChars="200"/>
        <w:textAlignment w:val="auto"/>
        <w:outlineLvl w:val="2"/>
        <w:rPr>
          <w:rFonts w:ascii="仿宋" w:hAnsi="仿宋" w:eastAsia="仿宋"/>
          <w:b/>
          <w:color w:val="000000"/>
          <w:sz w:val="32"/>
          <w:szCs w:val="32"/>
        </w:rPr>
      </w:pPr>
      <w:bookmarkStart w:id="35" w:name="_Toc15377210"/>
      <w:bookmarkStart w:id="36" w:name="_Toc79163615"/>
      <w:bookmarkStart w:id="37" w:name="_Toc28459"/>
      <w:r>
        <w:rPr>
          <w:rFonts w:hint="eastAsia" w:ascii="仿宋" w:hAnsi="仿宋" w:eastAsia="仿宋"/>
          <w:b/>
          <w:color w:val="000000"/>
          <w:sz w:val="32"/>
          <w:szCs w:val="32"/>
        </w:rPr>
        <w:t>（一）一般公共预算财政拨款支出决算总体情况</w:t>
      </w:r>
      <w:bookmarkEnd w:id="35"/>
      <w:bookmarkEnd w:id="36"/>
      <w:bookmarkEnd w:id="37"/>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 w:eastAsia="仿宋_GB2312" w:cs="Times New Roman"/>
          <w:b w:val="0"/>
          <w:bCs w:val="0"/>
          <w:kern w:val="2"/>
          <w:sz w:val="32"/>
          <w:szCs w:val="32"/>
          <w:highlight w:val="none"/>
          <w:lang w:val="en-US" w:eastAsia="zh-CN" w:bidi="ar-SA"/>
        </w:rPr>
      </w:pPr>
      <w:r>
        <w:rPr>
          <w:rFonts w:hint="eastAsia" w:ascii="仿宋_GB2312" w:hAnsi="仿宋" w:eastAsia="仿宋_GB2312" w:cs="Times New Roman"/>
          <w:b w:val="0"/>
          <w:bCs w:val="0"/>
          <w:kern w:val="2"/>
          <w:sz w:val="32"/>
          <w:szCs w:val="32"/>
          <w:highlight w:val="none"/>
          <w:lang w:val="en-US" w:eastAsia="zh-CN" w:bidi="ar-SA"/>
        </w:rPr>
        <w:t>2024年一般公共预算财政拨款支出388.55万元，占本年支出合计的94.57%。与2023年相比，一般公共预算财政拨款减少5.96万元，下降1.51%。主要变动原因：本年度新增退休人员，人员经费减少，财政拨款支出减少。</w:t>
      </w:r>
    </w:p>
    <w:p>
      <w:pPr>
        <w:jc w:val="center"/>
        <w:rPr>
          <w:rFonts w:ascii="仿宋" w:hAnsi="仿宋" w:eastAsia="仿宋"/>
          <w:color w:val="000000"/>
          <w:sz w:val="32"/>
          <w:szCs w:val="32"/>
        </w:rPr>
      </w:pPr>
      <w:r>
        <w:drawing>
          <wp:inline distT="0" distB="0" distL="114300" distR="114300">
            <wp:extent cx="4166870" cy="2200910"/>
            <wp:effectExtent l="4445" t="4445" r="19685" b="23495"/>
            <wp:docPr id="1340"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pageBreakBefore w:val="0"/>
        <w:widowControl w:val="0"/>
        <w:kinsoku/>
        <w:wordWrap/>
        <w:overflowPunct/>
        <w:topLinePunct w:val="0"/>
        <w:bidi w:val="0"/>
        <w:spacing w:line="560" w:lineRule="exact"/>
        <w:textAlignment w:val="auto"/>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5</w:t>
      </w:r>
      <w:r>
        <w:rPr>
          <w:rFonts w:hint="eastAsia" w:ascii="仿宋" w:hAnsi="仿宋" w:eastAsia="仿宋"/>
          <w:color w:val="000000"/>
          <w:sz w:val="32"/>
          <w:szCs w:val="32"/>
        </w:rPr>
        <w:t>：一般公共预算财政拨款支出决算变动情况）（柱状图）</w:t>
      </w:r>
    </w:p>
    <w:p>
      <w:pPr>
        <w:pageBreakBefore w:val="0"/>
        <w:widowControl w:val="0"/>
        <w:kinsoku/>
        <w:wordWrap/>
        <w:overflowPunct/>
        <w:topLinePunct w:val="0"/>
        <w:bidi w:val="0"/>
        <w:spacing w:line="560" w:lineRule="exact"/>
        <w:ind w:firstLine="642" w:firstLineChars="200"/>
        <w:textAlignment w:val="auto"/>
        <w:outlineLvl w:val="2"/>
        <w:rPr>
          <w:rFonts w:ascii="仿宋" w:hAnsi="仿宋" w:eastAsia="仿宋"/>
          <w:b/>
          <w:color w:val="000000"/>
          <w:sz w:val="32"/>
          <w:szCs w:val="32"/>
        </w:rPr>
      </w:pPr>
      <w:bookmarkStart w:id="38" w:name="_Toc15377211"/>
      <w:bookmarkStart w:id="39" w:name="_Toc79163616"/>
      <w:bookmarkStart w:id="40" w:name="_Toc11626"/>
      <w:r>
        <w:rPr>
          <w:rFonts w:hint="eastAsia" w:ascii="仿宋" w:hAnsi="仿宋" w:eastAsia="仿宋"/>
          <w:b/>
          <w:color w:val="000000"/>
          <w:sz w:val="32"/>
          <w:szCs w:val="32"/>
        </w:rPr>
        <w:t>（二）一般公共预算财政拨款支出决算结构情况</w:t>
      </w:r>
      <w:bookmarkEnd w:id="38"/>
      <w:bookmarkEnd w:id="39"/>
      <w:bookmarkEnd w:id="40"/>
    </w:p>
    <w:p>
      <w:pPr>
        <w:pageBreakBefore w:val="0"/>
        <w:widowControl w:val="0"/>
        <w:kinsoku/>
        <w:wordWrap/>
        <w:overflowPunct/>
        <w:topLinePunct w:val="0"/>
        <w:bidi w:val="0"/>
        <w:spacing w:line="560" w:lineRule="exact"/>
        <w:ind w:firstLine="640"/>
        <w:textAlignment w:val="auto"/>
        <w:rPr>
          <w:rFonts w:hint="eastAsia" w:ascii="仿宋" w:hAnsi="仿宋" w:eastAsia="仿宋"/>
          <w:b/>
          <w:color w:val="000000"/>
          <w:sz w:val="32"/>
          <w:szCs w:val="32"/>
        </w:rPr>
      </w:pPr>
      <w:r>
        <w:rPr>
          <w:rFonts w:hint="eastAsia" w:ascii="仿宋" w:hAnsi="仿宋" w:eastAsia="仿宋"/>
          <w:color w:val="000000"/>
          <w:sz w:val="32"/>
          <w:szCs w:val="32"/>
          <w:lang w:eastAsia="zh-CN"/>
        </w:rPr>
        <w:t>2024年</w:t>
      </w:r>
      <w:r>
        <w:rPr>
          <w:rFonts w:hint="eastAsia" w:ascii="仿宋" w:hAnsi="仿宋" w:eastAsia="仿宋"/>
          <w:color w:val="000000"/>
          <w:sz w:val="32"/>
          <w:szCs w:val="32"/>
        </w:rPr>
        <w:t>一般公共预算财政拨款支出</w:t>
      </w:r>
      <w:r>
        <w:rPr>
          <w:rFonts w:hint="eastAsia" w:ascii="仿宋" w:hAnsi="仿宋" w:eastAsia="仿宋"/>
          <w:color w:val="000000"/>
          <w:sz w:val="32"/>
          <w:szCs w:val="32"/>
          <w:lang w:val="en-US" w:eastAsia="zh-CN"/>
        </w:rPr>
        <w:t>388.55万</w:t>
      </w:r>
      <w:r>
        <w:rPr>
          <w:rFonts w:hint="eastAsia" w:ascii="仿宋" w:hAnsi="仿宋" w:eastAsia="仿宋"/>
          <w:color w:val="000000"/>
          <w:sz w:val="32"/>
          <w:szCs w:val="32"/>
        </w:rPr>
        <w:t>元，主要用于以下方面</w:t>
      </w:r>
      <w:r>
        <w:rPr>
          <w:rFonts w:ascii="仿宋" w:hAnsi="仿宋" w:eastAsia="仿宋"/>
          <w:color w:val="000000"/>
          <w:sz w:val="32"/>
          <w:szCs w:val="32"/>
        </w:rPr>
        <w:t>:</w:t>
      </w:r>
      <w:r>
        <w:rPr>
          <w:rFonts w:hint="eastAsia" w:ascii="仿宋" w:hAnsi="仿宋" w:eastAsia="仿宋"/>
          <w:b/>
          <w:bCs/>
          <w:color w:val="000000"/>
          <w:sz w:val="32"/>
          <w:szCs w:val="32"/>
        </w:rPr>
        <w:t>一般公共服务支出</w:t>
      </w:r>
      <w:r>
        <w:rPr>
          <w:rFonts w:hint="eastAsia" w:ascii="仿宋" w:hAnsi="仿宋" w:eastAsia="仿宋"/>
          <w:color w:val="000000"/>
          <w:sz w:val="32"/>
          <w:szCs w:val="32"/>
          <w:lang w:val="en-US" w:eastAsia="zh-CN"/>
        </w:rPr>
        <w:t>28.14万元，占7.24%;</w:t>
      </w:r>
      <w:r>
        <w:rPr>
          <w:rFonts w:hint="eastAsia" w:ascii="仿宋" w:hAnsi="仿宋" w:eastAsia="仿宋"/>
          <w:b/>
          <w:color w:val="000000"/>
          <w:sz w:val="32"/>
          <w:szCs w:val="32"/>
        </w:rPr>
        <w:t>教育支出</w:t>
      </w:r>
      <w:r>
        <w:rPr>
          <w:rFonts w:hint="eastAsia" w:ascii="仿宋" w:hAnsi="仿宋" w:eastAsia="仿宋"/>
          <w:color w:val="000000"/>
          <w:sz w:val="32"/>
          <w:szCs w:val="32"/>
        </w:rPr>
        <w:t>278.22万元，占</w:t>
      </w:r>
      <w:r>
        <w:rPr>
          <w:rFonts w:hint="eastAsia" w:ascii="仿宋" w:hAnsi="仿宋" w:eastAsia="仿宋"/>
          <w:color w:val="000000"/>
          <w:sz w:val="32"/>
          <w:szCs w:val="32"/>
          <w:lang w:val="en-US" w:eastAsia="zh-CN"/>
        </w:rPr>
        <w:t>71.60</w:t>
      </w:r>
      <w:r>
        <w:rPr>
          <w:rFonts w:hint="eastAsia" w:ascii="仿宋" w:hAnsi="仿宋" w:eastAsia="仿宋"/>
          <w:color w:val="000000"/>
          <w:sz w:val="32"/>
          <w:szCs w:val="32"/>
        </w:rPr>
        <w:t>%；</w:t>
      </w:r>
      <w:r>
        <w:rPr>
          <w:rFonts w:hint="eastAsia" w:ascii="仿宋" w:hAnsi="仿宋" w:eastAsia="仿宋"/>
          <w:b/>
          <w:color w:val="000000"/>
          <w:sz w:val="32"/>
          <w:szCs w:val="32"/>
        </w:rPr>
        <w:t>社会保障和就业</w:t>
      </w:r>
      <w:r>
        <w:rPr>
          <w:rFonts w:hint="eastAsia" w:ascii="仿宋" w:hAnsi="仿宋" w:eastAsia="仿宋"/>
          <w:color w:val="000000"/>
          <w:sz w:val="32"/>
          <w:szCs w:val="32"/>
        </w:rPr>
        <w:t>支出44.17万元，占</w:t>
      </w:r>
      <w:r>
        <w:rPr>
          <w:rFonts w:hint="eastAsia" w:ascii="仿宋" w:hAnsi="仿宋" w:eastAsia="仿宋"/>
          <w:color w:val="000000"/>
          <w:sz w:val="32"/>
          <w:szCs w:val="32"/>
          <w:lang w:val="en-US" w:eastAsia="zh-CN"/>
        </w:rPr>
        <w:t>11.37</w:t>
      </w:r>
      <w:r>
        <w:rPr>
          <w:rFonts w:hint="eastAsia" w:ascii="仿宋" w:hAnsi="仿宋" w:eastAsia="仿宋"/>
          <w:color w:val="000000"/>
          <w:sz w:val="32"/>
          <w:szCs w:val="32"/>
        </w:rPr>
        <w:t>%；</w:t>
      </w:r>
      <w:r>
        <w:rPr>
          <w:rFonts w:hint="eastAsia" w:ascii="仿宋" w:hAnsi="仿宋" w:eastAsia="仿宋"/>
          <w:b/>
          <w:bCs/>
          <w:color w:val="000000"/>
          <w:sz w:val="32"/>
          <w:szCs w:val="32"/>
        </w:rPr>
        <w:t>卫生健康支出</w:t>
      </w:r>
      <w:r>
        <w:rPr>
          <w:rFonts w:hint="eastAsia" w:ascii="仿宋" w:hAnsi="仿宋" w:eastAsia="仿宋"/>
          <w:color w:val="000000"/>
          <w:sz w:val="32"/>
          <w:szCs w:val="32"/>
        </w:rPr>
        <w:t>15.53万元，占</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w:t>
      </w:r>
      <w:r>
        <w:rPr>
          <w:rFonts w:hint="eastAsia" w:ascii="仿宋" w:hAnsi="仿宋" w:eastAsia="仿宋"/>
          <w:b/>
          <w:bCs/>
          <w:color w:val="000000"/>
          <w:sz w:val="32"/>
          <w:szCs w:val="32"/>
          <w:lang w:eastAsia="zh-CN"/>
        </w:rPr>
        <w:t>住房保障支出</w:t>
      </w:r>
      <w:r>
        <w:rPr>
          <w:rFonts w:hint="eastAsia" w:ascii="仿宋" w:hAnsi="仿宋" w:eastAsia="仿宋"/>
          <w:color w:val="000000"/>
          <w:sz w:val="32"/>
          <w:szCs w:val="32"/>
          <w:lang w:val="en-US" w:eastAsia="zh-CN"/>
        </w:rPr>
        <w:t>22.49</w:t>
      </w:r>
      <w:r>
        <w:rPr>
          <w:rFonts w:hint="eastAsia" w:ascii="仿宋" w:hAnsi="仿宋" w:eastAsia="仿宋"/>
          <w:color w:val="000000"/>
          <w:sz w:val="32"/>
          <w:szCs w:val="32"/>
          <w:lang w:eastAsia="zh-CN"/>
        </w:rPr>
        <w:t>万元，占</w:t>
      </w:r>
      <w:r>
        <w:rPr>
          <w:rFonts w:hint="eastAsia" w:ascii="仿宋" w:hAnsi="仿宋" w:eastAsia="仿宋"/>
          <w:color w:val="000000"/>
          <w:sz w:val="32"/>
          <w:szCs w:val="32"/>
          <w:lang w:val="en-US" w:eastAsia="zh-CN"/>
        </w:rPr>
        <w:t>5.79</w:t>
      </w:r>
      <w:r>
        <w:rPr>
          <w:rFonts w:hint="eastAsia" w:ascii="仿宋" w:hAnsi="仿宋" w:eastAsia="仿宋"/>
          <w:color w:val="000000"/>
          <w:sz w:val="32"/>
          <w:szCs w:val="32"/>
          <w:lang w:eastAsia="zh-CN"/>
        </w:rPr>
        <w:t>%。</w:t>
      </w:r>
    </w:p>
    <w:p>
      <w:pPr>
        <w:jc w:val="center"/>
        <w:rPr>
          <w:rFonts w:ascii="仿宋" w:hAnsi="仿宋" w:eastAsia="仿宋"/>
          <w:color w:val="000000"/>
          <w:sz w:val="32"/>
          <w:szCs w:val="32"/>
        </w:rPr>
      </w:pPr>
      <w:r>
        <w:drawing>
          <wp:inline distT="0" distB="0" distL="114300" distR="114300">
            <wp:extent cx="4180840" cy="2260600"/>
            <wp:effectExtent l="4445" t="4445" r="5715" b="20955"/>
            <wp:docPr id="1342"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pageBreakBefore w:val="0"/>
        <w:widowControl w:val="0"/>
        <w:kinsoku/>
        <w:wordWrap/>
        <w:overflowPunct/>
        <w:topLinePunct w:val="0"/>
        <w:bidi w:val="0"/>
        <w:spacing w:line="560" w:lineRule="exact"/>
        <w:textAlignment w:val="auto"/>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6</w:t>
      </w:r>
      <w:r>
        <w:rPr>
          <w:rFonts w:hint="eastAsia" w:ascii="仿宋" w:hAnsi="仿宋" w:eastAsia="仿宋"/>
          <w:color w:val="000000"/>
          <w:sz w:val="32"/>
          <w:szCs w:val="32"/>
        </w:rPr>
        <w:t>：一般公共预算财政拨款支出决算结构）（饼状图）</w:t>
      </w:r>
    </w:p>
    <w:p>
      <w:pPr>
        <w:pageBreakBefore w:val="0"/>
        <w:widowControl w:val="0"/>
        <w:kinsoku/>
        <w:wordWrap/>
        <w:overflowPunct/>
        <w:topLinePunct w:val="0"/>
        <w:bidi w:val="0"/>
        <w:spacing w:line="560" w:lineRule="exact"/>
        <w:ind w:firstLine="640" w:firstLineChars="200"/>
        <w:textAlignment w:val="auto"/>
        <w:rPr>
          <w:rFonts w:ascii="仿宋" w:hAnsi="仿宋" w:eastAsia="仿宋"/>
          <w:color w:val="000000"/>
          <w:sz w:val="32"/>
          <w:szCs w:val="32"/>
        </w:rPr>
      </w:pPr>
    </w:p>
    <w:p>
      <w:pPr>
        <w:pageBreakBefore w:val="0"/>
        <w:widowControl w:val="0"/>
        <w:kinsoku/>
        <w:wordWrap/>
        <w:overflowPunct/>
        <w:topLinePunct w:val="0"/>
        <w:bidi w:val="0"/>
        <w:spacing w:line="560" w:lineRule="exact"/>
        <w:ind w:firstLine="642" w:firstLineChars="200"/>
        <w:textAlignment w:val="auto"/>
        <w:outlineLvl w:val="2"/>
        <w:rPr>
          <w:rFonts w:ascii="仿宋" w:hAnsi="仿宋" w:eastAsia="仿宋"/>
          <w:b/>
          <w:color w:val="000000"/>
          <w:sz w:val="32"/>
          <w:szCs w:val="32"/>
        </w:rPr>
      </w:pPr>
      <w:bookmarkStart w:id="41" w:name="_Toc79163617"/>
      <w:bookmarkStart w:id="42" w:name="_Toc15377212"/>
      <w:bookmarkStart w:id="43" w:name="_Toc10564"/>
      <w:r>
        <w:rPr>
          <w:rFonts w:hint="eastAsia" w:ascii="仿宋" w:hAnsi="仿宋" w:eastAsia="仿宋"/>
          <w:b/>
          <w:color w:val="000000"/>
          <w:sz w:val="32"/>
          <w:szCs w:val="32"/>
        </w:rPr>
        <w:t>（三）一般公共预算财政拨款支出决算具体情况</w:t>
      </w:r>
      <w:bookmarkEnd w:id="41"/>
      <w:bookmarkEnd w:id="42"/>
      <w:bookmarkEnd w:id="43"/>
    </w:p>
    <w:p>
      <w:pPr>
        <w:keepNext w:val="0"/>
        <w:keepLines w:val="0"/>
        <w:widowControl w:val="0"/>
        <w:suppressLineNumbers w:val="0"/>
        <w:spacing w:before="0" w:beforeAutospacing="0" w:after="0" w:afterAutospacing="0" w:line="560" w:lineRule="exact"/>
        <w:ind w:left="0" w:right="0" w:firstLine="642" w:firstLineChars="200"/>
        <w:jc w:val="both"/>
        <w:rPr>
          <w:rFonts w:hint="eastAsia" w:ascii="仿宋_GB2312" w:eastAsia="仿宋_GB2312"/>
          <w:b/>
          <w:bCs/>
          <w:sz w:val="32"/>
          <w:szCs w:val="32"/>
        </w:rPr>
      </w:pPr>
      <w:bookmarkStart w:id="44" w:name="_Toc15378460"/>
      <w:bookmarkStart w:id="45" w:name="_Toc15377444"/>
      <w:bookmarkStart w:id="46" w:name="_Toc15377213"/>
      <w:r>
        <w:rPr>
          <w:rFonts w:hint="eastAsia" w:ascii="仿宋_GB2312" w:eastAsia="仿宋_GB2312"/>
          <w:b/>
          <w:bCs/>
          <w:sz w:val="32"/>
          <w:szCs w:val="32"/>
          <w:lang w:eastAsia="zh-CN"/>
        </w:rPr>
        <w:t>2024年</w:t>
      </w:r>
      <w:r>
        <w:rPr>
          <w:rFonts w:hint="eastAsia" w:ascii="仿宋_GB2312" w:eastAsia="仿宋_GB2312"/>
          <w:b/>
          <w:bCs/>
          <w:sz w:val="32"/>
          <w:szCs w:val="32"/>
        </w:rPr>
        <w:t>一般公共预算支出决算数为</w:t>
      </w:r>
      <w:r>
        <w:rPr>
          <w:rFonts w:hint="eastAsia" w:ascii="仿宋_GB2312" w:eastAsia="仿宋_GB2312"/>
          <w:b/>
          <w:bCs/>
          <w:sz w:val="32"/>
          <w:szCs w:val="32"/>
          <w:lang w:eastAsia="zh-CN"/>
        </w:rPr>
        <w:t>388.55万</w:t>
      </w:r>
      <w:r>
        <w:rPr>
          <w:rFonts w:hint="eastAsia" w:ascii="仿宋_GB2312" w:eastAsia="仿宋_GB2312"/>
          <w:b/>
          <w:bCs/>
          <w:sz w:val="32"/>
          <w:szCs w:val="32"/>
          <w:lang w:val="en-US" w:eastAsia="zh-CN"/>
        </w:rPr>
        <w:t>元</w:t>
      </w:r>
      <w:r>
        <w:rPr>
          <w:rFonts w:hint="eastAsia" w:ascii="仿宋_GB2312" w:eastAsia="仿宋_GB2312"/>
          <w:b/>
          <w:bCs/>
          <w:sz w:val="32"/>
          <w:szCs w:val="32"/>
        </w:rPr>
        <w:t>，完成预算</w:t>
      </w:r>
      <w:r>
        <w:rPr>
          <w:rFonts w:hint="eastAsia" w:ascii="仿宋_GB2312" w:eastAsia="仿宋_GB2312"/>
          <w:b/>
          <w:bCs/>
          <w:sz w:val="32"/>
          <w:szCs w:val="32"/>
          <w:lang w:val="en-US" w:eastAsia="zh-CN"/>
        </w:rPr>
        <w:t>100</w:t>
      </w:r>
      <w:r>
        <w:rPr>
          <w:rFonts w:ascii="仿宋_GB2312" w:eastAsia="仿宋_GB2312"/>
          <w:b/>
          <w:bCs/>
          <w:sz w:val="32"/>
          <w:szCs w:val="32"/>
        </w:rPr>
        <w:t>%</w:t>
      </w:r>
      <w:r>
        <w:rPr>
          <w:rFonts w:hint="eastAsia" w:ascii="仿宋_GB2312" w:eastAsia="仿宋_GB2312"/>
          <w:b/>
          <w:bCs/>
          <w:sz w:val="32"/>
          <w:szCs w:val="32"/>
        </w:rPr>
        <w:t>。其中：</w:t>
      </w:r>
      <w:bookmarkEnd w:id="44"/>
      <w:bookmarkEnd w:id="45"/>
      <w:bookmarkEnd w:id="46"/>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right="0" w:rightChars="0" w:firstLine="642" w:firstLineChars="200"/>
        <w:jc w:val="both"/>
        <w:textAlignment w:val="auto"/>
        <w:rPr>
          <w:rFonts w:hint="eastAsia" w:ascii="仿宋" w:hAnsi="仿宋" w:eastAsia="仿宋" w:cs="仿宋"/>
          <w:b w:val="0"/>
          <w:bCs/>
          <w:color w:val="000000"/>
          <w:kern w:val="2"/>
          <w:sz w:val="32"/>
          <w:szCs w:val="32"/>
          <w:lang w:val="en-US" w:eastAsia="zh-CN" w:bidi="ar"/>
        </w:rPr>
      </w:pPr>
      <w:r>
        <w:rPr>
          <w:rFonts w:hint="eastAsia" w:ascii="仿宋" w:hAnsi="仿宋" w:eastAsia="仿宋" w:cs="仿宋"/>
          <w:b/>
          <w:bCs/>
          <w:color w:val="000000"/>
          <w:kern w:val="2"/>
          <w:sz w:val="32"/>
          <w:szCs w:val="32"/>
          <w:lang w:val="en-US" w:eastAsia="zh-CN" w:bidi="ar"/>
        </w:rPr>
        <w:t>1.教育支出（类）进修及培训（款）干部教育（项）</w:t>
      </w:r>
      <w:r>
        <w:rPr>
          <w:rFonts w:hint="eastAsia" w:ascii="仿宋" w:hAnsi="仿宋" w:eastAsia="仿宋" w:cs="Times New Roman"/>
          <w:b/>
          <w:bCs/>
          <w:color w:val="000000"/>
          <w:kern w:val="2"/>
          <w:sz w:val="32"/>
          <w:szCs w:val="32"/>
          <w:lang w:val="en-US" w:eastAsia="zh-CN" w:bidi="ar"/>
        </w:rPr>
        <w:t>:</w:t>
      </w:r>
      <w:r>
        <w:rPr>
          <w:rFonts w:hint="eastAsia" w:ascii="仿宋" w:hAnsi="仿宋" w:eastAsia="仿宋" w:cs="Times New Roman"/>
          <w:b w:val="0"/>
          <w:bCs/>
          <w:color w:val="000000"/>
          <w:kern w:val="2"/>
          <w:sz w:val="32"/>
          <w:szCs w:val="32"/>
          <w:lang w:val="en-US" w:eastAsia="zh-CN" w:bidi="ar"/>
        </w:rPr>
        <w:t xml:space="preserve"> </w:t>
      </w:r>
      <w:r>
        <w:rPr>
          <w:rFonts w:hint="eastAsia" w:ascii="仿宋" w:hAnsi="仿宋" w:eastAsia="仿宋" w:cs="仿宋"/>
          <w:b w:val="0"/>
          <w:bCs/>
          <w:color w:val="000000"/>
          <w:kern w:val="2"/>
          <w:sz w:val="32"/>
          <w:szCs w:val="32"/>
          <w:lang w:val="en-US" w:eastAsia="zh-CN" w:bidi="ar"/>
        </w:rPr>
        <w:t>支出决算为232.55万元，完成预算100</w:t>
      </w:r>
      <w:r>
        <w:rPr>
          <w:rFonts w:hint="eastAsia" w:ascii="仿宋" w:hAnsi="仿宋" w:eastAsia="仿宋" w:cs="Times New Roman"/>
          <w:b w:val="0"/>
          <w:bCs/>
          <w:color w:val="000000"/>
          <w:kern w:val="2"/>
          <w:sz w:val="32"/>
          <w:szCs w:val="32"/>
          <w:lang w:val="en-US" w:eastAsia="zh-CN" w:bidi="ar"/>
        </w:rPr>
        <w:t>%</w:t>
      </w:r>
      <w:r>
        <w:rPr>
          <w:rFonts w:hint="eastAsia" w:ascii="仿宋" w:hAnsi="仿宋" w:eastAsia="仿宋" w:cs="仿宋"/>
          <w:b w:val="0"/>
          <w:bCs/>
          <w:color w:val="000000"/>
          <w:kern w:val="2"/>
          <w:sz w:val="32"/>
          <w:szCs w:val="32"/>
          <w:lang w:val="en-US" w:eastAsia="zh-CN" w:bidi="ar"/>
        </w:rPr>
        <w:t>。</w:t>
      </w:r>
    </w:p>
    <w:p>
      <w:pPr>
        <w:keepNext w:val="0"/>
        <w:keepLines w:val="0"/>
        <w:widowControl w:val="0"/>
        <w:suppressLineNumbers w:val="0"/>
        <w:spacing w:before="0" w:beforeAutospacing="0" w:after="0" w:afterAutospacing="0" w:line="560" w:lineRule="exact"/>
        <w:ind w:left="0" w:right="0" w:firstLine="642" w:firstLineChars="200"/>
        <w:jc w:val="both"/>
        <w:rPr>
          <w:rFonts w:hint="eastAsia"/>
        </w:rPr>
      </w:pPr>
      <w:r>
        <w:rPr>
          <w:rFonts w:hint="eastAsia" w:ascii="仿宋" w:hAnsi="仿宋" w:eastAsia="仿宋" w:cs="Times New Roman"/>
          <w:b/>
          <w:bCs/>
          <w:color w:val="000000"/>
          <w:kern w:val="2"/>
          <w:sz w:val="32"/>
          <w:szCs w:val="32"/>
          <w:lang w:val="en-US" w:eastAsia="zh-CN" w:bidi="ar"/>
        </w:rPr>
        <w:t>2.</w:t>
      </w:r>
      <w:r>
        <w:rPr>
          <w:rFonts w:hint="eastAsia" w:ascii="仿宋" w:hAnsi="仿宋" w:eastAsia="仿宋" w:cs="仿宋"/>
          <w:b/>
          <w:bCs/>
          <w:color w:val="000000"/>
          <w:kern w:val="2"/>
          <w:sz w:val="32"/>
          <w:szCs w:val="32"/>
          <w:lang w:val="en-US" w:eastAsia="zh-CN" w:bidi="ar"/>
        </w:rPr>
        <w:t>教育支出（类）进修及培训（款）其他进修及培训（项）</w:t>
      </w:r>
      <w:r>
        <w:rPr>
          <w:rFonts w:hint="eastAsia" w:ascii="仿宋" w:hAnsi="仿宋" w:eastAsia="仿宋" w:cs="Times New Roman"/>
          <w:b/>
          <w:bCs/>
          <w:color w:val="000000"/>
          <w:kern w:val="2"/>
          <w:sz w:val="32"/>
          <w:szCs w:val="32"/>
          <w:lang w:val="en-US" w:eastAsia="zh-CN" w:bidi="ar"/>
        </w:rPr>
        <w:t>:</w:t>
      </w:r>
      <w:r>
        <w:rPr>
          <w:rFonts w:hint="eastAsia" w:ascii="仿宋" w:hAnsi="仿宋" w:eastAsia="仿宋" w:cs="Times New Roman"/>
          <w:b w:val="0"/>
          <w:bCs/>
          <w:color w:val="000000"/>
          <w:kern w:val="2"/>
          <w:sz w:val="32"/>
          <w:szCs w:val="32"/>
          <w:lang w:val="en-US" w:eastAsia="zh-CN" w:bidi="ar"/>
        </w:rPr>
        <w:t xml:space="preserve"> </w:t>
      </w:r>
      <w:r>
        <w:rPr>
          <w:rFonts w:hint="eastAsia" w:ascii="仿宋" w:hAnsi="仿宋" w:eastAsia="仿宋" w:cs="仿宋"/>
          <w:b w:val="0"/>
          <w:bCs/>
          <w:color w:val="000000"/>
          <w:kern w:val="2"/>
          <w:sz w:val="32"/>
          <w:szCs w:val="32"/>
          <w:lang w:val="en-US" w:eastAsia="zh-CN" w:bidi="ar"/>
        </w:rPr>
        <w:t>支出决算为45.67万元，完成预算100</w:t>
      </w:r>
      <w:r>
        <w:rPr>
          <w:rFonts w:hint="eastAsia" w:ascii="仿宋" w:hAnsi="仿宋" w:eastAsia="仿宋" w:cs="Times New Roman"/>
          <w:b w:val="0"/>
          <w:bCs/>
          <w:color w:val="000000"/>
          <w:kern w:val="2"/>
          <w:sz w:val="32"/>
          <w:szCs w:val="32"/>
          <w:lang w:val="en-US" w:eastAsia="zh-CN" w:bidi="ar"/>
        </w:rPr>
        <w:t>%</w:t>
      </w:r>
      <w:r>
        <w:rPr>
          <w:rFonts w:hint="eastAsia" w:ascii="仿宋" w:hAnsi="仿宋" w:eastAsia="仿宋" w:cs="仿宋"/>
          <w:b w:val="0"/>
          <w:bCs/>
          <w:color w:val="000000"/>
          <w:kern w:val="2"/>
          <w:sz w:val="32"/>
          <w:szCs w:val="32"/>
          <w:lang w:val="en-US" w:eastAsia="zh-CN" w:bidi="ar"/>
        </w:rPr>
        <w:t>。</w:t>
      </w:r>
    </w:p>
    <w:p>
      <w:pPr>
        <w:pageBreakBefore w:val="0"/>
        <w:widowControl w:val="0"/>
        <w:kinsoku/>
        <w:wordWrap/>
        <w:overflowPunct/>
        <w:topLinePunct w:val="0"/>
        <w:bidi w:val="0"/>
        <w:spacing w:line="560" w:lineRule="exact"/>
        <w:ind w:firstLine="642" w:firstLineChars="200"/>
        <w:textAlignment w:val="auto"/>
        <w:rPr>
          <w:rFonts w:ascii="仿宋" w:hAnsi="仿宋" w:eastAsia="仿宋"/>
          <w:b/>
          <w:color w:val="000000"/>
          <w:sz w:val="32"/>
          <w:szCs w:val="32"/>
        </w:rPr>
      </w:pPr>
      <w:r>
        <w:rPr>
          <w:rStyle w:val="25"/>
          <w:rFonts w:hint="eastAsia" w:ascii="仿宋" w:hAnsi="仿宋" w:eastAsia="仿宋"/>
          <w:bCs/>
          <w:color w:val="000000"/>
          <w:sz w:val="32"/>
          <w:szCs w:val="32"/>
          <w:lang w:val="en-US" w:eastAsia="zh-CN"/>
        </w:rPr>
        <w:t>3</w:t>
      </w:r>
      <w:r>
        <w:rPr>
          <w:rStyle w:val="25"/>
          <w:rFonts w:ascii="仿宋" w:hAnsi="仿宋" w:eastAsia="仿宋"/>
          <w:bCs/>
          <w:color w:val="000000"/>
          <w:sz w:val="32"/>
          <w:szCs w:val="32"/>
        </w:rPr>
        <w:t>.</w:t>
      </w:r>
      <w:r>
        <w:rPr>
          <w:rStyle w:val="25"/>
          <w:rFonts w:hint="eastAsia" w:ascii="仿宋" w:hAnsi="仿宋" w:eastAsia="仿宋"/>
          <w:bCs/>
          <w:color w:val="000000"/>
          <w:sz w:val="32"/>
          <w:szCs w:val="32"/>
        </w:rPr>
        <w:t>社会保障和就业支出（类）行政事业单位养老支出（款）机关事业单位基本养老保险缴费支出（项）</w:t>
      </w:r>
      <w:r>
        <w:rPr>
          <w:rStyle w:val="25"/>
          <w:rFonts w:ascii="仿宋" w:hAnsi="仿宋" w:eastAsia="仿宋"/>
          <w:bCs/>
          <w:color w:val="000000"/>
          <w:sz w:val="32"/>
          <w:szCs w:val="32"/>
        </w:rPr>
        <w:t>:</w:t>
      </w:r>
      <w:r>
        <w:rPr>
          <w:rStyle w:val="25"/>
          <w:rFonts w:ascii="仿宋" w:hAnsi="仿宋" w:eastAsia="仿宋"/>
          <w:b w:val="0"/>
          <w:bCs/>
          <w:color w:val="000000"/>
          <w:sz w:val="32"/>
          <w:szCs w:val="32"/>
        </w:rPr>
        <w:t xml:space="preserve"> </w:t>
      </w:r>
      <w:r>
        <w:rPr>
          <w:rStyle w:val="25"/>
          <w:rFonts w:hint="eastAsia" w:ascii="仿宋" w:hAnsi="仿宋" w:eastAsia="仿宋"/>
          <w:b w:val="0"/>
          <w:bCs/>
          <w:color w:val="000000"/>
          <w:sz w:val="32"/>
          <w:szCs w:val="32"/>
        </w:rPr>
        <w:t>支出决算为29.45万元，完成预算</w:t>
      </w:r>
      <w:r>
        <w:rPr>
          <w:rStyle w:val="25"/>
          <w:rFonts w:hint="eastAsia" w:ascii="仿宋" w:hAnsi="仿宋" w:eastAsia="仿宋"/>
          <w:b w:val="0"/>
          <w:bCs/>
          <w:color w:val="000000"/>
          <w:sz w:val="32"/>
          <w:szCs w:val="32"/>
          <w:lang w:val="en-US" w:eastAsia="zh-CN"/>
        </w:rPr>
        <w:t>100</w:t>
      </w:r>
      <w:r>
        <w:rPr>
          <w:rStyle w:val="25"/>
          <w:rFonts w:ascii="仿宋" w:hAnsi="仿宋" w:eastAsia="仿宋"/>
          <w:b w:val="0"/>
          <w:bCs/>
          <w:color w:val="000000"/>
          <w:sz w:val="32"/>
          <w:szCs w:val="32"/>
        </w:rPr>
        <w:t>%</w:t>
      </w:r>
      <w:r>
        <w:rPr>
          <w:rStyle w:val="25"/>
          <w:rFonts w:hint="eastAsia" w:ascii="仿宋" w:hAnsi="仿宋" w:eastAsia="仿宋"/>
          <w:b w:val="0"/>
          <w:bCs/>
          <w:color w:val="000000"/>
          <w:sz w:val="32"/>
          <w:szCs w:val="32"/>
        </w:rPr>
        <w:t>。</w:t>
      </w:r>
    </w:p>
    <w:p>
      <w:pPr>
        <w:spacing w:beforeLines="0" w:afterLines="0" w:line="560" w:lineRule="exact"/>
        <w:ind w:firstLine="642" w:firstLineChars="200"/>
        <w:rPr>
          <w:rStyle w:val="25"/>
          <w:rFonts w:hint="eastAsia" w:ascii="仿宋" w:hAnsi="仿宋" w:eastAsia="仿宋"/>
          <w:b w:val="0"/>
          <w:bCs/>
          <w:color w:val="000000"/>
          <w:sz w:val="32"/>
          <w:szCs w:val="32"/>
        </w:rPr>
      </w:pPr>
      <w:r>
        <w:rPr>
          <w:rStyle w:val="25"/>
          <w:rFonts w:hint="eastAsia" w:ascii="仿宋" w:hAnsi="仿宋" w:eastAsia="仿宋"/>
          <w:bCs/>
          <w:color w:val="000000"/>
          <w:sz w:val="32"/>
          <w:szCs w:val="32"/>
          <w:lang w:val="en-US" w:eastAsia="zh-CN"/>
        </w:rPr>
        <w:t>4</w:t>
      </w:r>
      <w:r>
        <w:rPr>
          <w:rStyle w:val="25"/>
          <w:rFonts w:ascii="仿宋" w:hAnsi="仿宋" w:eastAsia="仿宋"/>
          <w:bCs/>
          <w:color w:val="000000"/>
          <w:sz w:val="32"/>
          <w:szCs w:val="32"/>
        </w:rPr>
        <w:t>.</w:t>
      </w:r>
      <w:r>
        <w:rPr>
          <w:rFonts w:hint="eastAsia" w:ascii="仿宋" w:hAnsi="仿宋" w:eastAsia="仿宋"/>
          <w:b/>
          <w:bCs/>
          <w:color w:val="000000"/>
          <w:sz w:val="32"/>
          <w:szCs w:val="32"/>
        </w:rPr>
        <w:t>社会保障和就业支出（类）行政事业单位养老支出（款）机关事业单位职业年金缴费支出（项）</w:t>
      </w:r>
      <w:r>
        <w:rPr>
          <w:rStyle w:val="25"/>
          <w:rFonts w:ascii="仿宋" w:hAnsi="仿宋" w:eastAsia="仿宋"/>
          <w:bCs/>
          <w:color w:val="000000"/>
          <w:sz w:val="32"/>
          <w:szCs w:val="32"/>
        </w:rPr>
        <w:t>:</w:t>
      </w:r>
      <w:r>
        <w:rPr>
          <w:rStyle w:val="25"/>
          <w:rFonts w:hint="eastAsia" w:ascii="仿宋" w:hAnsi="仿宋" w:eastAsia="仿宋"/>
          <w:b w:val="0"/>
          <w:bCs/>
          <w:color w:val="000000"/>
          <w:sz w:val="32"/>
          <w:szCs w:val="32"/>
        </w:rPr>
        <w:t>支出决算为14.72万元，完成预算</w:t>
      </w:r>
      <w:r>
        <w:rPr>
          <w:rStyle w:val="25"/>
          <w:rFonts w:hint="eastAsia" w:ascii="仿宋" w:hAnsi="仿宋" w:eastAsia="仿宋"/>
          <w:b w:val="0"/>
          <w:bCs/>
          <w:color w:val="000000"/>
          <w:sz w:val="32"/>
          <w:szCs w:val="32"/>
          <w:lang w:val="en-US" w:eastAsia="zh-CN"/>
        </w:rPr>
        <w:t>100</w:t>
      </w:r>
      <w:r>
        <w:rPr>
          <w:rStyle w:val="25"/>
          <w:rFonts w:ascii="仿宋" w:hAnsi="仿宋" w:eastAsia="仿宋"/>
          <w:b w:val="0"/>
          <w:bCs/>
          <w:color w:val="000000"/>
          <w:sz w:val="32"/>
          <w:szCs w:val="32"/>
        </w:rPr>
        <w:t>%</w:t>
      </w:r>
      <w:r>
        <w:rPr>
          <w:rStyle w:val="25"/>
          <w:rFonts w:hint="eastAsia" w:ascii="仿宋" w:hAnsi="仿宋" w:eastAsia="仿宋"/>
          <w:b w:val="0"/>
          <w:bCs/>
          <w:color w:val="000000"/>
          <w:sz w:val="32"/>
          <w:szCs w:val="32"/>
        </w:rPr>
        <w:t>。</w:t>
      </w:r>
    </w:p>
    <w:p>
      <w:pPr>
        <w:spacing w:beforeLines="0" w:afterLines="0" w:line="560" w:lineRule="exact"/>
        <w:ind w:firstLine="642" w:firstLineChars="200"/>
        <w:rPr>
          <w:rFonts w:hint="eastAsia" w:ascii="仿宋" w:hAnsi="仿宋" w:eastAsia="仿宋"/>
          <w:b/>
          <w:color w:val="000000"/>
          <w:sz w:val="32"/>
          <w:szCs w:val="32"/>
        </w:rPr>
      </w:pPr>
      <w:r>
        <w:rPr>
          <w:rStyle w:val="25"/>
          <w:rFonts w:hint="eastAsia" w:ascii="仿宋" w:hAnsi="仿宋" w:eastAsia="仿宋"/>
          <w:color w:val="000000"/>
          <w:sz w:val="32"/>
          <w:szCs w:val="32"/>
          <w:lang w:val="en-US" w:eastAsia="zh-CN"/>
        </w:rPr>
        <w:t>5</w:t>
      </w:r>
      <w:r>
        <w:rPr>
          <w:rStyle w:val="25"/>
          <w:rFonts w:hint="eastAsia" w:ascii="仿宋" w:hAnsi="仿宋" w:eastAsia="仿宋"/>
          <w:color w:val="000000"/>
          <w:sz w:val="32"/>
          <w:szCs w:val="32"/>
        </w:rPr>
        <w:t>.卫生健康支出（类）行政事业单位医疗（款）行政单位医疗（项）:</w:t>
      </w:r>
      <w:r>
        <w:rPr>
          <w:rStyle w:val="25"/>
          <w:rFonts w:hint="eastAsia" w:ascii="仿宋" w:hAnsi="仿宋" w:eastAsia="仿宋"/>
          <w:b w:val="0"/>
          <w:color w:val="000000"/>
          <w:sz w:val="32"/>
          <w:szCs w:val="32"/>
        </w:rPr>
        <w:t xml:space="preserve"> 支出决算为6.26万元，完成预算100%。</w:t>
      </w:r>
    </w:p>
    <w:p>
      <w:pPr>
        <w:spacing w:beforeLines="0" w:afterLines="0" w:line="560" w:lineRule="exact"/>
        <w:ind w:firstLine="642" w:firstLineChars="200"/>
        <w:rPr>
          <w:rStyle w:val="25"/>
          <w:rFonts w:hint="eastAsia" w:ascii="仿宋" w:hAnsi="仿宋" w:eastAsia="仿宋"/>
          <w:b w:val="0"/>
          <w:color w:val="000000"/>
          <w:sz w:val="32"/>
          <w:szCs w:val="32"/>
        </w:rPr>
      </w:pPr>
      <w:r>
        <w:rPr>
          <w:rStyle w:val="25"/>
          <w:rFonts w:hint="eastAsia" w:ascii="仿宋" w:hAnsi="仿宋" w:eastAsia="仿宋"/>
          <w:color w:val="000000"/>
          <w:sz w:val="32"/>
          <w:szCs w:val="32"/>
          <w:lang w:val="en-US" w:eastAsia="zh-CN"/>
        </w:rPr>
        <w:t>6</w:t>
      </w:r>
      <w:r>
        <w:rPr>
          <w:rStyle w:val="25"/>
          <w:rFonts w:hint="eastAsia" w:ascii="仿宋" w:hAnsi="仿宋" w:eastAsia="仿宋"/>
          <w:color w:val="000000"/>
          <w:sz w:val="32"/>
          <w:szCs w:val="32"/>
        </w:rPr>
        <w:t xml:space="preserve">.卫生健康支出（类）行政事业单位医疗（款）公务员医疗补助（项）: </w:t>
      </w:r>
      <w:r>
        <w:rPr>
          <w:rStyle w:val="25"/>
          <w:rFonts w:hint="eastAsia" w:ascii="仿宋" w:hAnsi="仿宋" w:eastAsia="仿宋"/>
          <w:b w:val="0"/>
          <w:color w:val="000000"/>
          <w:sz w:val="32"/>
          <w:szCs w:val="32"/>
        </w:rPr>
        <w:t>支出决算为2.85万元，完成预算100%。</w:t>
      </w:r>
    </w:p>
    <w:p>
      <w:pPr>
        <w:spacing w:beforeLines="0" w:afterLines="0" w:line="560" w:lineRule="exact"/>
        <w:ind w:firstLine="642" w:firstLineChars="200"/>
        <w:rPr>
          <w:rStyle w:val="25"/>
          <w:rFonts w:hint="eastAsia" w:ascii="仿宋" w:hAnsi="仿宋" w:eastAsia="仿宋"/>
          <w:b w:val="0"/>
          <w:color w:val="000000"/>
          <w:sz w:val="32"/>
          <w:szCs w:val="32"/>
        </w:rPr>
      </w:pPr>
      <w:r>
        <w:rPr>
          <w:rStyle w:val="25"/>
          <w:rFonts w:hint="eastAsia" w:ascii="仿宋" w:hAnsi="仿宋" w:eastAsia="仿宋"/>
          <w:color w:val="000000"/>
          <w:sz w:val="32"/>
          <w:szCs w:val="32"/>
          <w:lang w:val="en-US" w:eastAsia="zh-CN"/>
        </w:rPr>
        <w:t>7</w:t>
      </w:r>
      <w:r>
        <w:rPr>
          <w:rStyle w:val="25"/>
          <w:rFonts w:hint="eastAsia" w:ascii="仿宋" w:hAnsi="仿宋" w:eastAsia="仿宋"/>
          <w:color w:val="000000"/>
          <w:sz w:val="32"/>
          <w:szCs w:val="32"/>
        </w:rPr>
        <w:t>.卫生健康支出（类）行政事业单位医疗（款）</w:t>
      </w:r>
      <w:r>
        <w:rPr>
          <w:rStyle w:val="25"/>
          <w:rFonts w:hint="eastAsia" w:ascii="仿宋" w:hAnsi="仿宋" w:eastAsia="仿宋"/>
          <w:color w:val="000000"/>
          <w:sz w:val="32"/>
          <w:szCs w:val="32"/>
          <w:lang w:val="en-US" w:eastAsia="zh-CN"/>
        </w:rPr>
        <w:t>事业</w:t>
      </w:r>
      <w:r>
        <w:rPr>
          <w:rStyle w:val="25"/>
          <w:rFonts w:hint="eastAsia" w:ascii="仿宋" w:hAnsi="仿宋" w:eastAsia="仿宋"/>
          <w:color w:val="000000"/>
          <w:sz w:val="32"/>
          <w:szCs w:val="32"/>
        </w:rPr>
        <w:t>单位医疗（项）:</w:t>
      </w:r>
      <w:r>
        <w:rPr>
          <w:rStyle w:val="25"/>
          <w:rFonts w:hint="eastAsia" w:ascii="仿宋" w:hAnsi="仿宋" w:eastAsia="仿宋"/>
          <w:b w:val="0"/>
          <w:color w:val="000000"/>
          <w:sz w:val="32"/>
          <w:szCs w:val="32"/>
        </w:rPr>
        <w:t xml:space="preserve"> 支出决算为5.33万元，完成预算100%。</w:t>
      </w:r>
    </w:p>
    <w:p>
      <w:pPr>
        <w:spacing w:beforeLines="0" w:afterLines="0" w:line="560" w:lineRule="exact"/>
        <w:ind w:firstLine="642" w:firstLineChars="200"/>
        <w:rPr>
          <w:rFonts w:hint="eastAsia" w:eastAsia="仿宋"/>
          <w:lang w:val="en-US" w:eastAsia="zh-CN"/>
        </w:rPr>
      </w:pPr>
      <w:r>
        <w:rPr>
          <w:rStyle w:val="25"/>
          <w:rFonts w:hint="eastAsia" w:ascii="仿宋" w:hAnsi="仿宋" w:eastAsia="仿宋"/>
          <w:color w:val="000000"/>
          <w:sz w:val="32"/>
          <w:szCs w:val="32"/>
          <w:lang w:val="en-US" w:eastAsia="zh-CN"/>
        </w:rPr>
        <w:t>8</w:t>
      </w:r>
      <w:r>
        <w:rPr>
          <w:rStyle w:val="25"/>
          <w:rFonts w:hint="eastAsia" w:ascii="仿宋" w:hAnsi="仿宋" w:eastAsia="仿宋"/>
          <w:color w:val="000000"/>
          <w:sz w:val="32"/>
          <w:szCs w:val="32"/>
        </w:rPr>
        <w:t xml:space="preserve">.卫生健康支出（类）行政事业单位医疗（款）公务员医疗补助（项）: </w:t>
      </w:r>
      <w:r>
        <w:rPr>
          <w:rStyle w:val="25"/>
          <w:rFonts w:hint="eastAsia" w:ascii="仿宋" w:hAnsi="仿宋" w:eastAsia="仿宋"/>
          <w:b w:val="0"/>
          <w:color w:val="000000"/>
          <w:sz w:val="32"/>
          <w:szCs w:val="32"/>
        </w:rPr>
        <w:t>支出决算为2.84万元，完成预算100%</w:t>
      </w:r>
      <w:r>
        <w:rPr>
          <w:rStyle w:val="25"/>
          <w:rFonts w:hint="eastAsia" w:ascii="仿宋" w:hAnsi="仿宋" w:eastAsia="仿宋"/>
          <w:b w:val="0"/>
          <w:color w:val="000000"/>
          <w:sz w:val="32"/>
          <w:szCs w:val="32"/>
          <w:lang w:eastAsia="zh-CN"/>
        </w:rPr>
        <w:t>。</w:t>
      </w:r>
    </w:p>
    <w:p>
      <w:pPr>
        <w:spacing w:beforeLines="0" w:afterLines="0" w:line="560" w:lineRule="exact"/>
        <w:ind w:firstLine="642" w:firstLineChars="200"/>
        <w:rPr>
          <w:rFonts w:hint="eastAsia" w:ascii="仿宋" w:hAnsi="仿宋" w:eastAsia="仿宋"/>
          <w:b/>
          <w:color w:val="000000"/>
          <w:sz w:val="32"/>
          <w:szCs w:val="32"/>
        </w:rPr>
      </w:pPr>
      <w:r>
        <w:rPr>
          <w:rStyle w:val="25"/>
          <w:rFonts w:hint="eastAsia" w:ascii="仿宋" w:hAnsi="仿宋" w:eastAsia="仿宋"/>
          <w:color w:val="000000"/>
          <w:sz w:val="32"/>
          <w:szCs w:val="32"/>
          <w:lang w:val="en-US" w:eastAsia="zh-CN"/>
        </w:rPr>
        <w:t>9</w:t>
      </w:r>
      <w:r>
        <w:rPr>
          <w:rStyle w:val="25"/>
          <w:rFonts w:hint="eastAsia" w:ascii="仿宋" w:hAnsi="仿宋" w:eastAsia="仿宋"/>
          <w:color w:val="000000"/>
          <w:sz w:val="32"/>
          <w:szCs w:val="32"/>
        </w:rPr>
        <w:t xml:space="preserve">.卫生健康支出（类）行政事业单位医疗（款）其他行政事业单位医疗支出（项）: </w:t>
      </w:r>
      <w:r>
        <w:rPr>
          <w:rStyle w:val="25"/>
          <w:rFonts w:hint="eastAsia" w:ascii="仿宋" w:hAnsi="仿宋" w:eastAsia="仿宋"/>
          <w:b w:val="0"/>
          <w:color w:val="000000"/>
          <w:sz w:val="32"/>
          <w:szCs w:val="32"/>
        </w:rPr>
        <w:t>支出决算为</w:t>
      </w:r>
      <w:r>
        <w:rPr>
          <w:rStyle w:val="25"/>
          <w:rFonts w:hint="eastAsia" w:ascii="仿宋" w:hAnsi="仿宋" w:eastAsia="仿宋"/>
          <w:b w:val="0"/>
          <w:color w:val="000000"/>
          <w:sz w:val="32"/>
          <w:szCs w:val="32"/>
          <w:lang w:val="en-US" w:eastAsia="zh-CN"/>
        </w:rPr>
        <w:t>1.11</w:t>
      </w:r>
      <w:r>
        <w:rPr>
          <w:rStyle w:val="25"/>
          <w:rFonts w:hint="eastAsia" w:ascii="仿宋" w:hAnsi="仿宋" w:eastAsia="仿宋"/>
          <w:b w:val="0"/>
          <w:color w:val="000000"/>
          <w:sz w:val="32"/>
          <w:szCs w:val="32"/>
        </w:rPr>
        <w:t>万元，完成预算100%</w:t>
      </w:r>
    </w:p>
    <w:p>
      <w:pPr>
        <w:spacing w:beforeLines="0" w:afterLines="0" w:line="560" w:lineRule="exact"/>
        <w:ind w:firstLine="642" w:firstLineChars="200"/>
        <w:rPr>
          <w:rFonts w:hint="eastAsia" w:ascii="仿宋" w:hAnsi="仿宋" w:eastAsia="仿宋" w:cs="仿宋"/>
          <w:b w:val="0"/>
          <w:color w:val="000000"/>
          <w:kern w:val="2"/>
          <w:sz w:val="32"/>
          <w:szCs w:val="32"/>
          <w:lang w:val="en-US" w:eastAsia="zh-CN" w:bidi="ar"/>
        </w:rPr>
      </w:pPr>
      <w:r>
        <w:rPr>
          <w:rStyle w:val="25"/>
          <w:rFonts w:hint="eastAsia" w:ascii="仿宋" w:hAnsi="仿宋" w:eastAsia="仿宋"/>
          <w:color w:val="000000"/>
          <w:sz w:val="32"/>
          <w:szCs w:val="32"/>
          <w:lang w:val="en-US" w:eastAsia="zh-CN"/>
        </w:rPr>
        <w:t>10</w:t>
      </w:r>
      <w:r>
        <w:rPr>
          <w:rFonts w:hint="eastAsia" w:ascii="仿宋" w:hAnsi="仿宋" w:eastAsia="仿宋" w:cs="仿宋"/>
          <w:b/>
          <w:bCs w:val="0"/>
          <w:color w:val="000000"/>
          <w:kern w:val="2"/>
          <w:sz w:val="32"/>
          <w:szCs w:val="32"/>
          <w:lang w:val="en-US" w:eastAsia="zh-CN" w:bidi="ar"/>
        </w:rPr>
        <w:t>.住房保障支出（类）住房改革支出（款）住房公积金（项）:</w:t>
      </w:r>
      <w:r>
        <w:rPr>
          <w:rFonts w:hint="eastAsia" w:ascii="仿宋" w:hAnsi="仿宋" w:eastAsia="仿宋" w:cs="仿宋"/>
          <w:b w:val="0"/>
          <w:color w:val="000000"/>
          <w:kern w:val="2"/>
          <w:sz w:val="32"/>
          <w:szCs w:val="32"/>
          <w:lang w:val="en-US" w:eastAsia="zh-CN" w:bidi="ar"/>
        </w:rPr>
        <w:t>支出决算为21.06万元，完成预算100%。</w:t>
      </w:r>
    </w:p>
    <w:p>
      <w:pPr>
        <w:pageBreakBefore w:val="0"/>
        <w:widowControl w:val="0"/>
        <w:kinsoku/>
        <w:wordWrap/>
        <w:overflowPunct/>
        <w:topLinePunct w:val="0"/>
        <w:bidi w:val="0"/>
        <w:spacing w:line="560" w:lineRule="exact"/>
        <w:ind w:firstLine="642" w:firstLineChars="200"/>
        <w:textAlignment w:val="auto"/>
        <w:rPr>
          <w:rFonts w:hint="eastAsia" w:ascii="仿宋" w:hAnsi="仿宋" w:eastAsia="仿宋" w:cs="仿宋"/>
          <w:b w:val="0"/>
          <w:color w:val="000000"/>
          <w:kern w:val="2"/>
          <w:sz w:val="32"/>
          <w:szCs w:val="32"/>
          <w:lang w:val="en-US" w:eastAsia="zh-CN" w:bidi="ar"/>
        </w:rPr>
      </w:pPr>
      <w:r>
        <w:rPr>
          <w:rStyle w:val="25"/>
          <w:rFonts w:hint="eastAsia" w:ascii="仿宋" w:hAnsi="仿宋" w:eastAsia="仿宋"/>
          <w:color w:val="000000"/>
          <w:sz w:val="32"/>
          <w:szCs w:val="32"/>
          <w:lang w:val="en-US" w:eastAsia="zh-CN"/>
        </w:rPr>
        <w:t>11</w:t>
      </w:r>
      <w:r>
        <w:rPr>
          <w:rFonts w:hint="eastAsia" w:ascii="仿宋" w:hAnsi="仿宋" w:eastAsia="仿宋" w:cs="仿宋"/>
          <w:b/>
          <w:bCs w:val="0"/>
          <w:color w:val="000000"/>
          <w:kern w:val="2"/>
          <w:sz w:val="32"/>
          <w:szCs w:val="32"/>
          <w:lang w:val="en-US" w:eastAsia="zh-CN" w:bidi="ar"/>
        </w:rPr>
        <w:t>.住房保障支出（类）住房改革支出（款）购房补贴（项）:</w:t>
      </w:r>
      <w:r>
        <w:rPr>
          <w:rFonts w:hint="eastAsia" w:ascii="仿宋" w:hAnsi="仿宋" w:eastAsia="仿宋" w:cs="仿宋"/>
          <w:b w:val="0"/>
          <w:color w:val="000000"/>
          <w:kern w:val="2"/>
          <w:sz w:val="32"/>
          <w:szCs w:val="32"/>
          <w:lang w:val="en-US" w:eastAsia="zh-CN" w:bidi="ar"/>
        </w:rPr>
        <w:t>支出决算为1.43万元，完成预算100%。</w:t>
      </w:r>
    </w:p>
    <w:p>
      <w:pPr>
        <w:pageBreakBefore w:val="0"/>
        <w:widowControl w:val="0"/>
        <w:kinsoku/>
        <w:wordWrap/>
        <w:overflowPunct/>
        <w:topLinePunct w:val="0"/>
        <w:bidi w:val="0"/>
        <w:spacing w:line="560" w:lineRule="exact"/>
        <w:ind w:firstLine="642" w:firstLineChars="200"/>
        <w:textAlignment w:val="auto"/>
        <w:rPr>
          <w:rFonts w:ascii="仿宋" w:hAnsi="仿宋" w:eastAsia="仿宋"/>
          <w:b/>
          <w:color w:val="000000"/>
          <w:sz w:val="32"/>
          <w:szCs w:val="32"/>
        </w:rPr>
      </w:pPr>
      <w:r>
        <w:rPr>
          <w:rStyle w:val="25"/>
          <w:rFonts w:hint="eastAsia" w:ascii="仿宋" w:hAnsi="仿宋" w:eastAsia="仿宋"/>
          <w:color w:val="000000"/>
          <w:sz w:val="32"/>
          <w:szCs w:val="32"/>
          <w:lang w:val="en-US" w:eastAsia="zh-CN"/>
        </w:rPr>
        <w:t>12</w:t>
      </w:r>
      <w:r>
        <w:rPr>
          <w:rFonts w:hint="eastAsia" w:ascii="仿宋" w:hAnsi="仿宋" w:eastAsia="仿宋" w:cs="仿宋"/>
          <w:b/>
          <w:bCs w:val="0"/>
          <w:color w:val="000000"/>
          <w:kern w:val="2"/>
          <w:sz w:val="32"/>
          <w:szCs w:val="32"/>
          <w:lang w:val="en-US" w:eastAsia="zh-CN" w:bidi="ar"/>
        </w:rPr>
        <w:t>.一般公共服务支出（类）其他一般公共服务支出（款）其他一般公共服务支出（项）:</w:t>
      </w:r>
      <w:r>
        <w:rPr>
          <w:rFonts w:hint="eastAsia" w:ascii="仿宋" w:hAnsi="仿宋" w:eastAsia="仿宋" w:cs="仿宋"/>
          <w:b w:val="0"/>
          <w:color w:val="000000"/>
          <w:kern w:val="2"/>
          <w:sz w:val="32"/>
          <w:szCs w:val="32"/>
          <w:lang w:val="en-US" w:eastAsia="zh-CN" w:bidi="ar"/>
        </w:rPr>
        <w:t>支出决算为28.14万元，完成预算100%。</w:t>
      </w:r>
    </w:p>
    <w:p>
      <w:pPr>
        <w:pageBreakBefore w:val="0"/>
        <w:widowControl w:val="0"/>
        <w:kinsoku/>
        <w:wordWrap/>
        <w:overflowPunct/>
        <w:topLinePunct w:val="0"/>
        <w:bidi w:val="0"/>
        <w:spacing w:line="560" w:lineRule="exact"/>
        <w:textAlignment w:val="auto"/>
        <w:rPr>
          <w:rFonts w:ascii="仿宋" w:hAnsi="仿宋" w:eastAsia="仿宋"/>
          <w:b/>
          <w:color w:val="000000"/>
          <w:sz w:val="32"/>
          <w:szCs w:val="32"/>
        </w:rPr>
      </w:pPr>
    </w:p>
    <w:p>
      <w:pPr>
        <w:pageBreakBefore w:val="0"/>
        <w:widowControl w:val="0"/>
        <w:tabs>
          <w:tab w:val="right" w:pos="8306"/>
        </w:tabs>
        <w:kinsoku/>
        <w:wordWrap/>
        <w:overflowPunct/>
        <w:topLinePunct w:val="0"/>
        <w:bidi w:val="0"/>
        <w:spacing w:line="560" w:lineRule="exact"/>
        <w:ind w:firstLine="640"/>
        <w:textAlignment w:val="auto"/>
        <w:outlineLvl w:val="1"/>
        <w:rPr>
          <w:rStyle w:val="29"/>
        </w:rPr>
      </w:pPr>
      <w:bookmarkStart w:id="47" w:name="_Toc15377214"/>
      <w:bookmarkStart w:id="48" w:name="_Toc79163618"/>
      <w:bookmarkStart w:id="49" w:name="_Toc28455"/>
      <w:bookmarkStart w:id="50"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9"/>
          <w:rFonts w:hint="eastAsia" w:ascii="黑体" w:hAnsi="黑体" w:eastAsia="黑体"/>
          <w:b w:val="0"/>
        </w:rPr>
        <w:t>般公共预算财政拨款基本支出决算情况说明</w:t>
      </w:r>
      <w:bookmarkEnd w:id="47"/>
      <w:bookmarkEnd w:id="48"/>
      <w:bookmarkEnd w:id="49"/>
      <w:bookmarkEnd w:id="50"/>
      <w:r>
        <w:rPr>
          <w:rStyle w:val="29"/>
          <w:rFonts w:ascii="黑体" w:hAnsi="黑体" w:eastAsia="黑体"/>
          <w:b w:val="0"/>
        </w:rPr>
        <w:tab/>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 w:eastAsia="仿宋_GB2312" w:cs="Times New Roman"/>
          <w:b w:val="0"/>
          <w:bCs w:val="0"/>
          <w:kern w:val="2"/>
          <w:sz w:val="32"/>
          <w:szCs w:val="32"/>
          <w:highlight w:val="none"/>
          <w:lang w:val="en-US" w:eastAsia="zh-CN" w:bidi="ar-SA"/>
        </w:rPr>
      </w:pPr>
      <w:r>
        <w:rPr>
          <w:rFonts w:hint="eastAsia" w:ascii="仿宋_GB2312" w:hAnsi="仿宋" w:eastAsia="仿宋_GB2312" w:cs="Times New Roman"/>
          <w:b w:val="0"/>
          <w:bCs w:val="0"/>
          <w:kern w:val="2"/>
          <w:sz w:val="32"/>
          <w:szCs w:val="32"/>
          <w:highlight w:val="none"/>
          <w:lang w:val="en-US" w:eastAsia="zh-CN" w:bidi="ar-SA"/>
        </w:rPr>
        <w:t>2024年一般公共预算财政拨款基本支出314.74万元，其中：</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 w:eastAsia="仿宋_GB2312" w:cs="Times New Roman"/>
          <w:b w:val="0"/>
          <w:bCs w:val="0"/>
          <w:kern w:val="2"/>
          <w:sz w:val="32"/>
          <w:szCs w:val="32"/>
          <w:highlight w:val="none"/>
          <w:lang w:val="en-US" w:eastAsia="zh-CN" w:bidi="ar-SA"/>
        </w:rPr>
      </w:pPr>
      <w:r>
        <w:rPr>
          <w:rFonts w:hint="eastAsia" w:ascii="仿宋_GB2312" w:hAnsi="仿宋" w:eastAsia="仿宋_GB2312" w:cs="Times New Roman"/>
          <w:b w:val="0"/>
          <w:bCs w:val="0"/>
          <w:kern w:val="2"/>
          <w:sz w:val="32"/>
          <w:szCs w:val="32"/>
          <w:highlight w:val="none"/>
          <w:lang w:val="en-US" w:eastAsia="zh-CN" w:bidi="ar-SA"/>
        </w:rPr>
        <w:t>人员经费297.61万元，主要包括：基本工资、津贴补贴、奖金、绩效工资、机关事业单位基本养老保险费、职业年金缴费、职工基本医疗保险缴费、公务员医疗补助缴费、其他社会保障缴费、住房公积金、医疗费补助。</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 w:eastAsia="仿宋_GB2312" w:cs="Times New Roman"/>
          <w:b w:val="0"/>
          <w:bCs w:val="0"/>
          <w:kern w:val="2"/>
          <w:sz w:val="32"/>
          <w:szCs w:val="32"/>
          <w:highlight w:val="none"/>
          <w:lang w:val="en-US" w:eastAsia="zh-CN" w:bidi="ar-SA"/>
        </w:rPr>
      </w:pPr>
      <w:r>
        <w:rPr>
          <w:rFonts w:hint="eastAsia" w:ascii="仿宋_GB2312" w:hAnsi="仿宋" w:eastAsia="仿宋_GB2312" w:cs="Times New Roman"/>
          <w:b w:val="0"/>
          <w:bCs w:val="0"/>
          <w:kern w:val="2"/>
          <w:sz w:val="32"/>
          <w:szCs w:val="32"/>
          <w:highlight w:val="none"/>
          <w:lang w:val="en-US" w:eastAsia="zh-CN" w:bidi="ar-SA"/>
        </w:rPr>
        <w:t>日常公用经费17.13万元，主要包括：办公费、印刷费、水费、电费、邮电费、差旅费、委托业务费、维修（护）费、劳务费、公务用车运行维护费。</w:t>
      </w:r>
    </w:p>
    <w:p>
      <w:pPr>
        <w:pageBreakBefore w:val="0"/>
        <w:widowControl w:val="0"/>
        <w:kinsoku/>
        <w:wordWrap/>
        <w:overflowPunct/>
        <w:topLinePunct w:val="0"/>
        <w:bidi w:val="0"/>
        <w:spacing w:line="560" w:lineRule="exact"/>
        <w:ind w:firstLine="640"/>
        <w:textAlignment w:val="auto"/>
        <w:rPr>
          <w:rFonts w:ascii="仿宋" w:hAnsi="仿宋" w:eastAsia="仿宋"/>
          <w:b/>
          <w:color w:val="FF0000"/>
          <w:sz w:val="32"/>
          <w:szCs w:val="32"/>
        </w:rPr>
      </w:pPr>
    </w:p>
    <w:p>
      <w:pPr>
        <w:pageBreakBefore w:val="0"/>
        <w:widowControl w:val="0"/>
        <w:kinsoku/>
        <w:wordWrap/>
        <w:overflowPunct/>
        <w:topLinePunct w:val="0"/>
        <w:bidi w:val="0"/>
        <w:spacing w:line="560" w:lineRule="exact"/>
        <w:ind w:firstLine="640"/>
        <w:textAlignment w:val="auto"/>
        <w:outlineLvl w:val="1"/>
        <w:rPr>
          <w:rStyle w:val="29"/>
          <w:rFonts w:ascii="黑体" w:hAnsi="黑体" w:eastAsia="黑体"/>
          <w:b w:val="0"/>
        </w:rPr>
      </w:pPr>
      <w:bookmarkStart w:id="51" w:name="_Toc79163619"/>
      <w:bookmarkStart w:id="52" w:name="_Toc6560"/>
      <w:bookmarkStart w:id="53" w:name="_Toc15377215"/>
      <w:bookmarkStart w:id="54" w:name="_Toc15396609"/>
      <w:r>
        <w:rPr>
          <w:rFonts w:hint="eastAsia" w:ascii="黑体" w:eastAsia="黑体"/>
          <w:color w:val="000000"/>
          <w:sz w:val="32"/>
          <w:szCs w:val="32"/>
        </w:rPr>
        <w:t>七、</w:t>
      </w:r>
      <w:r>
        <w:rPr>
          <w:rStyle w:val="29"/>
          <w:rFonts w:hint="eastAsia" w:ascii="黑体" w:hAnsi="黑体" w:eastAsia="黑体"/>
        </w:rPr>
        <w:t>“</w:t>
      </w:r>
      <w:r>
        <w:rPr>
          <w:rStyle w:val="29"/>
          <w:rFonts w:hint="eastAsia" w:ascii="黑体" w:hAnsi="黑体" w:eastAsia="黑体"/>
          <w:b w:val="0"/>
        </w:rPr>
        <w:t>三公”经费财政拨款支出决算情况说明</w:t>
      </w:r>
      <w:bookmarkEnd w:id="51"/>
      <w:bookmarkEnd w:id="52"/>
      <w:bookmarkEnd w:id="53"/>
      <w:bookmarkEnd w:id="54"/>
    </w:p>
    <w:p>
      <w:pPr>
        <w:pageBreakBefore w:val="0"/>
        <w:widowControl w:val="0"/>
        <w:kinsoku/>
        <w:wordWrap/>
        <w:overflowPunct/>
        <w:topLinePunct w:val="0"/>
        <w:bidi w:val="0"/>
        <w:spacing w:line="560" w:lineRule="exact"/>
        <w:ind w:firstLine="640"/>
        <w:textAlignment w:val="auto"/>
        <w:outlineLvl w:val="2"/>
        <w:rPr>
          <w:rFonts w:ascii="仿宋" w:hAnsi="仿宋" w:eastAsia="仿宋"/>
          <w:b/>
          <w:color w:val="000000"/>
          <w:sz w:val="32"/>
          <w:szCs w:val="32"/>
        </w:rPr>
      </w:pPr>
      <w:bookmarkStart w:id="55" w:name="_Toc79163620"/>
      <w:bookmarkStart w:id="56" w:name="_Toc27774"/>
      <w:bookmarkStart w:id="57" w:name="_Toc15377216"/>
      <w:r>
        <w:rPr>
          <w:rFonts w:hint="eastAsia" w:ascii="仿宋" w:hAnsi="仿宋" w:eastAsia="仿宋"/>
          <w:b/>
          <w:color w:val="000000"/>
          <w:sz w:val="32"/>
          <w:szCs w:val="32"/>
        </w:rPr>
        <w:t>（一）“三公”经费财政拨款支出决算总体情况说明</w:t>
      </w:r>
      <w:bookmarkEnd w:id="55"/>
      <w:bookmarkEnd w:id="56"/>
      <w:bookmarkEnd w:id="57"/>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 w:eastAsia="仿宋_GB2312" w:cs="Times New Roman"/>
          <w:b w:val="0"/>
          <w:bCs w:val="0"/>
          <w:kern w:val="2"/>
          <w:sz w:val="32"/>
          <w:szCs w:val="32"/>
          <w:highlight w:val="none"/>
          <w:lang w:val="en-US" w:eastAsia="zh-CN" w:bidi="ar-SA"/>
        </w:rPr>
      </w:pPr>
      <w:r>
        <w:rPr>
          <w:rFonts w:hint="eastAsia" w:ascii="仿宋_GB2312" w:hAnsi="仿宋" w:eastAsia="仿宋_GB2312" w:cs="Times New Roman"/>
          <w:b w:val="0"/>
          <w:bCs w:val="0"/>
          <w:kern w:val="2"/>
          <w:sz w:val="32"/>
          <w:szCs w:val="32"/>
          <w:highlight w:val="none"/>
          <w:lang w:val="en-US" w:eastAsia="zh-CN" w:bidi="ar-SA"/>
        </w:rPr>
        <w:t>2024年“三公”经费财政拨款支出决算为3.45万元，完成预算86.25%，决算数小于预算数的主要原因是：厉行节约。</w:t>
      </w:r>
    </w:p>
    <w:p>
      <w:pPr>
        <w:pageBreakBefore w:val="0"/>
        <w:widowControl w:val="0"/>
        <w:kinsoku/>
        <w:wordWrap/>
        <w:overflowPunct/>
        <w:topLinePunct w:val="0"/>
        <w:bidi w:val="0"/>
        <w:spacing w:line="560" w:lineRule="exact"/>
        <w:ind w:firstLine="640"/>
        <w:textAlignment w:val="auto"/>
        <w:outlineLvl w:val="2"/>
        <w:rPr>
          <w:rFonts w:ascii="仿宋" w:hAnsi="仿宋" w:eastAsia="仿宋"/>
          <w:b/>
          <w:color w:val="000000"/>
          <w:sz w:val="32"/>
          <w:szCs w:val="32"/>
        </w:rPr>
      </w:pPr>
      <w:bookmarkStart w:id="58" w:name="_Toc26868"/>
      <w:bookmarkStart w:id="59" w:name="_Toc79163621"/>
      <w:bookmarkStart w:id="60" w:name="_Toc15377217"/>
      <w:r>
        <w:rPr>
          <w:rFonts w:hint="eastAsia" w:ascii="仿宋" w:hAnsi="仿宋" w:eastAsia="仿宋"/>
          <w:b/>
          <w:color w:val="000000"/>
          <w:sz w:val="32"/>
          <w:szCs w:val="32"/>
        </w:rPr>
        <w:t>（二）“三公”经费财政拨款支出决算具体情况说明</w:t>
      </w:r>
      <w:bookmarkEnd w:id="58"/>
      <w:bookmarkEnd w:id="59"/>
      <w:bookmarkEnd w:id="60"/>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 w:eastAsia="仿宋_GB2312" w:cs="Times New Roman"/>
          <w:b w:val="0"/>
          <w:bCs w:val="0"/>
          <w:kern w:val="2"/>
          <w:sz w:val="32"/>
          <w:szCs w:val="32"/>
          <w:highlight w:val="none"/>
          <w:lang w:val="en-US" w:eastAsia="zh-CN" w:bidi="ar-SA"/>
        </w:rPr>
      </w:pPr>
      <w:r>
        <w:rPr>
          <w:rFonts w:hint="eastAsia" w:ascii="仿宋_GB2312" w:hAnsi="仿宋" w:eastAsia="仿宋_GB2312" w:cs="Times New Roman"/>
          <w:b w:val="0"/>
          <w:bCs w:val="0"/>
          <w:kern w:val="2"/>
          <w:sz w:val="32"/>
          <w:szCs w:val="32"/>
          <w:highlight w:val="none"/>
          <w:lang w:val="en-US" w:eastAsia="zh-CN" w:bidi="ar-SA"/>
        </w:rPr>
        <w:t>2024年“三公”经费财政拨款支出决算中，因公出国（境）费支出决算0万元，占0%；公务用车购置及运行维护费支出决算3.45万元，占100%；公务接待费支出决算0万元，占0%，具体情况如下：</w:t>
      </w:r>
    </w:p>
    <w:p>
      <w:pPr>
        <w:jc w:val="center"/>
      </w:pPr>
      <w:r>
        <w:drawing>
          <wp:inline distT="0" distB="0" distL="114300" distR="114300">
            <wp:extent cx="4623435" cy="2080895"/>
            <wp:effectExtent l="4445" t="4445" r="7620" b="10160"/>
            <wp:docPr id="134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pageBreakBefore w:val="0"/>
        <w:widowControl w:val="0"/>
        <w:kinsoku/>
        <w:wordWrap/>
        <w:overflowPunct/>
        <w:topLinePunct w:val="0"/>
        <w:bidi w:val="0"/>
        <w:spacing w:line="560" w:lineRule="exact"/>
        <w:ind w:firstLine="640"/>
        <w:textAlignment w:val="auto"/>
        <w:rPr>
          <w:rFonts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pageBreakBefore w:val="0"/>
        <w:widowControl w:val="0"/>
        <w:kinsoku/>
        <w:wordWrap/>
        <w:overflowPunct/>
        <w:topLinePunct w:val="0"/>
        <w:bidi w:val="0"/>
        <w:spacing w:line="560" w:lineRule="exact"/>
        <w:ind w:firstLine="640"/>
        <w:textAlignment w:val="auto"/>
        <w:rPr>
          <w:rFonts w:hint="eastAsia" w:ascii="仿宋_GB2312" w:hAnsi="仿宋" w:eastAsia="仿宋_GB2312" w:cs="Times New Roman"/>
          <w:b w:val="0"/>
          <w:bCs w:val="0"/>
          <w:kern w:val="2"/>
          <w:sz w:val="32"/>
          <w:szCs w:val="32"/>
          <w:highlight w:val="none"/>
          <w:lang w:val="en-US" w:eastAsia="zh-CN" w:bidi="ar-SA"/>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hAnsi="仿宋" w:eastAsia="仿宋_GB2312" w:cs="Times New Roman"/>
          <w:b w:val="0"/>
          <w:bCs w:val="0"/>
          <w:kern w:val="2"/>
          <w:sz w:val="32"/>
          <w:szCs w:val="32"/>
          <w:highlight w:val="none"/>
          <w:lang w:val="en-US" w:eastAsia="zh-CN" w:bidi="ar-SA"/>
        </w:rPr>
        <w:t>3.45万元,完成预算86.25%。公务用车购置及运行维护费支出决算比2023年增加0.04万元，增长0.05%。主要原因是本年度业务活动增加，相应费用增加。</w:t>
      </w:r>
    </w:p>
    <w:p>
      <w:pPr>
        <w:pageBreakBefore w:val="0"/>
        <w:widowControl w:val="0"/>
        <w:kinsoku/>
        <w:wordWrap/>
        <w:overflowPunct/>
        <w:topLinePunct w:val="0"/>
        <w:bidi w:val="0"/>
        <w:spacing w:line="560" w:lineRule="exact"/>
        <w:ind w:firstLine="640" w:firstLineChars="200"/>
        <w:textAlignment w:val="auto"/>
        <w:rPr>
          <w:rFonts w:hint="eastAsia" w:ascii="仿宋_GB2312" w:hAnsi="仿宋" w:eastAsia="仿宋_GB2312" w:cs="Times New Roman"/>
          <w:b w:val="0"/>
          <w:bCs w:val="0"/>
          <w:kern w:val="2"/>
          <w:sz w:val="32"/>
          <w:szCs w:val="32"/>
          <w:highlight w:val="none"/>
          <w:lang w:val="en-US" w:eastAsia="zh-CN" w:bidi="ar-SA"/>
        </w:rPr>
      </w:pPr>
      <w:r>
        <w:rPr>
          <w:rFonts w:hint="eastAsia" w:ascii="仿宋_GB2312" w:hAnsi="仿宋" w:eastAsia="仿宋_GB2312" w:cs="Times New Roman"/>
          <w:b w:val="0"/>
          <w:bCs w:val="0"/>
          <w:kern w:val="2"/>
          <w:sz w:val="32"/>
          <w:szCs w:val="32"/>
          <w:highlight w:val="none"/>
          <w:lang w:val="en-US" w:eastAsia="zh-CN" w:bidi="ar-SA"/>
        </w:rPr>
        <w:t>其中：</w:t>
      </w:r>
      <w:r>
        <w:rPr>
          <w:rFonts w:hint="eastAsia" w:ascii="仿宋_GB2312" w:eastAsia="仿宋_GB2312"/>
          <w:b/>
          <w:color w:val="000000"/>
          <w:sz w:val="32"/>
          <w:szCs w:val="32"/>
        </w:rPr>
        <w:t>公务用车购置支出</w:t>
      </w:r>
      <w:r>
        <w:rPr>
          <w:rFonts w:hint="eastAsia" w:ascii="仿宋_GB2312" w:eastAsia="仿宋_GB2312"/>
          <w:b/>
          <w:color w:val="000000"/>
          <w:sz w:val="32"/>
          <w:szCs w:val="32"/>
          <w:lang w:val="en-US" w:eastAsia="zh-CN"/>
        </w:rPr>
        <w:t>0</w:t>
      </w:r>
      <w:r>
        <w:rPr>
          <w:rFonts w:hint="eastAsia" w:ascii="仿宋_GB2312" w:eastAsia="仿宋_GB2312"/>
          <w:color w:val="000000"/>
          <w:sz w:val="32"/>
          <w:szCs w:val="32"/>
        </w:rPr>
        <w:t>万元。</w:t>
      </w:r>
      <w:r>
        <w:rPr>
          <w:rFonts w:hint="eastAsia" w:ascii="仿宋_GB2312" w:hAnsi="仿宋" w:eastAsia="仿宋_GB2312" w:cs="Times New Roman"/>
          <w:b w:val="0"/>
          <w:bCs w:val="0"/>
          <w:kern w:val="2"/>
          <w:sz w:val="32"/>
          <w:szCs w:val="32"/>
          <w:highlight w:val="none"/>
          <w:lang w:val="en-US" w:eastAsia="zh-CN" w:bidi="ar-SA"/>
        </w:rPr>
        <w:t>全年按规定更新购置公务用车0辆，其中：轿车0辆、金额0万元，越野车0辆、金额0万元，载客汽车0辆、金额0万元。截至2024年12月底，单位共有公务用车1辆，其中：轿车0辆、越野车0辆、载客汽车0辆，其他用车1辆。</w:t>
      </w:r>
    </w:p>
    <w:p>
      <w:pPr>
        <w:pageBreakBefore w:val="0"/>
        <w:widowControl w:val="0"/>
        <w:kinsoku/>
        <w:wordWrap/>
        <w:overflowPunct/>
        <w:topLinePunct w:val="0"/>
        <w:bidi w:val="0"/>
        <w:spacing w:line="560" w:lineRule="exact"/>
        <w:ind w:firstLine="640"/>
        <w:textAlignment w:val="auto"/>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3.45</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主要用于车辆的日常维</w:t>
      </w:r>
      <w:r>
        <w:rPr>
          <w:rFonts w:hint="eastAsia" w:ascii="仿宋_GB2312" w:hAnsi="仿宋" w:eastAsia="仿宋_GB2312" w:cs="Times New Roman"/>
          <w:b w:val="0"/>
          <w:bCs w:val="0"/>
          <w:kern w:val="2"/>
          <w:sz w:val="32"/>
          <w:szCs w:val="32"/>
          <w:highlight w:val="none"/>
          <w:lang w:val="en-US" w:eastAsia="zh-CN" w:bidi="ar-SA"/>
        </w:rPr>
        <w:t>修维护费用</w:t>
      </w:r>
      <w:r>
        <w:rPr>
          <w:rFonts w:hint="eastAsia" w:ascii="仿宋_GB2312" w:eastAsia="仿宋_GB2312"/>
          <w:color w:val="000000"/>
          <w:sz w:val="32"/>
          <w:szCs w:val="32"/>
          <w:lang w:val="en-US" w:eastAsia="zh-CN"/>
        </w:rPr>
        <w:t>和过路费等</w:t>
      </w:r>
      <w:r>
        <w:rPr>
          <w:rFonts w:hint="eastAsia" w:ascii="仿宋_GB2312" w:eastAsia="仿宋_GB2312"/>
          <w:color w:val="000000"/>
          <w:sz w:val="32"/>
          <w:szCs w:val="32"/>
        </w:rPr>
        <w:t>。</w:t>
      </w:r>
    </w:p>
    <w:p>
      <w:pPr>
        <w:pageBreakBefore w:val="0"/>
        <w:widowControl w:val="0"/>
        <w:kinsoku/>
        <w:wordWrap/>
        <w:overflowPunct/>
        <w:topLinePunct w:val="0"/>
        <w:bidi w:val="0"/>
        <w:spacing w:line="560" w:lineRule="exact"/>
        <w:ind w:firstLine="642" w:firstLineChars="200"/>
        <w:textAlignment w:val="auto"/>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pageBreakBefore w:val="0"/>
        <w:widowControl w:val="0"/>
        <w:kinsoku/>
        <w:wordWrap/>
        <w:overflowPunct/>
        <w:topLinePunct w:val="0"/>
        <w:bidi w:val="0"/>
        <w:spacing w:line="560" w:lineRule="exact"/>
        <w:ind w:firstLine="640" w:firstLineChars="200"/>
        <w:textAlignment w:val="auto"/>
        <w:rPr>
          <w:rFonts w:ascii="仿宋_GB2312" w:eastAsia="仿宋_GB2312"/>
          <w:color w:val="000000"/>
          <w:sz w:val="32"/>
          <w:szCs w:val="32"/>
        </w:rPr>
      </w:pPr>
    </w:p>
    <w:p>
      <w:pPr>
        <w:pageBreakBefore w:val="0"/>
        <w:widowControl w:val="0"/>
        <w:kinsoku/>
        <w:wordWrap/>
        <w:overflowPunct/>
        <w:topLinePunct w:val="0"/>
        <w:bidi w:val="0"/>
        <w:spacing w:line="560" w:lineRule="exact"/>
        <w:ind w:firstLine="640"/>
        <w:textAlignment w:val="auto"/>
        <w:outlineLvl w:val="1"/>
        <w:rPr>
          <w:rStyle w:val="29"/>
          <w:rFonts w:ascii="黑体" w:hAnsi="黑体" w:eastAsia="黑体"/>
        </w:rPr>
      </w:pPr>
      <w:bookmarkStart w:id="61" w:name="_Toc4239"/>
      <w:bookmarkStart w:id="62" w:name="_Toc79163622"/>
      <w:bookmarkStart w:id="63" w:name="_Toc15396610"/>
      <w:bookmarkStart w:id="64" w:name="_Toc15377218"/>
      <w:r>
        <w:rPr>
          <w:rFonts w:hint="eastAsia" w:ascii="黑体" w:eastAsia="黑体"/>
          <w:color w:val="000000"/>
          <w:sz w:val="32"/>
          <w:szCs w:val="32"/>
        </w:rPr>
        <w:t>八、</w:t>
      </w:r>
      <w:r>
        <w:rPr>
          <w:rStyle w:val="29"/>
          <w:rFonts w:hint="eastAsia" w:ascii="黑体" w:hAnsi="黑体" w:eastAsia="黑体"/>
          <w:b w:val="0"/>
        </w:rPr>
        <w:t>政府性基金预算支出决算情况说明</w:t>
      </w:r>
      <w:bookmarkEnd w:id="61"/>
      <w:bookmarkEnd w:id="62"/>
      <w:bookmarkEnd w:id="63"/>
      <w:bookmarkEnd w:id="64"/>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 w:eastAsia="仿宋_GB2312" w:cs="Times New Roman"/>
          <w:b w:val="0"/>
          <w:bCs w:val="0"/>
          <w:kern w:val="2"/>
          <w:sz w:val="32"/>
          <w:szCs w:val="32"/>
          <w:highlight w:val="none"/>
          <w:lang w:val="en-US" w:eastAsia="zh-CN" w:bidi="ar-SA"/>
        </w:rPr>
      </w:pPr>
      <w:r>
        <w:rPr>
          <w:rFonts w:hint="eastAsia" w:ascii="仿宋_GB2312" w:hAnsi="仿宋" w:eastAsia="仿宋_GB2312" w:cs="Times New Roman"/>
          <w:b w:val="0"/>
          <w:bCs w:val="0"/>
          <w:kern w:val="2"/>
          <w:sz w:val="32"/>
          <w:szCs w:val="32"/>
          <w:highlight w:val="none"/>
          <w:lang w:val="en-US" w:eastAsia="zh-CN" w:bidi="ar-SA"/>
        </w:rPr>
        <w:t>2024年政府性基金预算拨款支出0万元。</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 w:eastAsia="仿宋_GB2312" w:cs="Times New Roman"/>
          <w:b w:val="0"/>
          <w:bCs w:val="0"/>
          <w:kern w:val="2"/>
          <w:sz w:val="32"/>
          <w:szCs w:val="32"/>
          <w:highlight w:val="none"/>
          <w:lang w:val="en-US" w:eastAsia="zh-CN" w:bidi="ar-SA"/>
        </w:rPr>
      </w:pPr>
    </w:p>
    <w:p>
      <w:pPr>
        <w:pageBreakBefore w:val="0"/>
        <w:widowControl w:val="0"/>
        <w:numPr>
          <w:ilvl w:val="0"/>
          <w:numId w:val="2"/>
        </w:numPr>
        <w:kinsoku/>
        <w:wordWrap/>
        <w:overflowPunct/>
        <w:topLinePunct w:val="0"/>
        <w:bidi w:val="0"/>
        <w:spacing w:line="560" w:lineRule="exact"/>
        <w:ind w:firstLine="640"/>
        <w:textAlignment w:val="auto"/>
        <w:outlineLvl w:val="1"/>
        <w:rPr>
          <w:rStyle w:val="29"/>
          <w:rFonts w:ascii="黑体" w:hAnsi="黑体" w:eastAsia="黑体"/>
          <w:b w:val="0"/>
        </w:rPr>
      </w:pPr>
      <w:bookmarkStart w:id="65" w:name="_Toc15396611"/>
      <w:bookmarkStart w:id="66" w:name="_Toc15377219"/>
      <w:bookmarkStart w:id="67" w:name="_Toc3640"/>
      <w:bookmarkStart w:id="68" w:name="_Toc79163623"/>
      <w:r>
        <w:rPr>
          <w:rStyle w:val="29"/>
          <w:rFonts w:hint="eastAsia" w:ascii="黑体" w:hAnsi="黑体" w:eastAsia="黑体"/>
          <w:b w:val="0"/>
        </w:rPr>
        <w:t>国有资本经营预算支出决算情况说明</w:t>
      </w:r>
      <w:bookmarkEnd w:id="65"/>
      <w:bookmarkEnd w:id="66"/>
      <w:bookmarkEnd w:id="67"/>
      <w:bookmarkEnd w:id="68"/>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 w:eastAsia="仿宋_GB2312" w:cs="Times New Roman"/>
          <w:b w:val="0"/>
          <w:bCs w:val="0"/>
          <w:kern w:val="2"/>
          <w:sz w:val="32"/>
          <w:szCs w:val="32"/>
          <w:highlight w:val="none"/>
          <w:lang w:val="en-US" w:eastAsia="zh-CN" w:bidi="ar-SA"/>
        </w:rPr>
      </w:pPr>
      <w:r>
        <w:rPr>
          <w:rFonts w:hint="eastAsia" w:ascii="仿宋_GB2312" w:hAnsi="仿宋" w:eastAsia="仿宋_GB2312" w:cs="Times New Roman"/>
          <w:b w:val="0"/>
          <w:bCs w:val="0"/>
          <w:kern w:val="2"/>
          <w:sz w:val="32"/>
          <w:szCs w:val="32"/>
          <w:highlight w:val="none"/>
          <w:lang w:val="en-US" w:eastAsia="zh-CN" w:bidi="ar-SA"/>
        </w:rPr>
        <w:t>2024年国有资本经营预算拨款支出0万元。</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 w:eastAsia="仿宋_GB2312" w:cs="Times New Roman"/>
          <w:b w:val="0"/>
          <w:bCs w:val="0"/>
          <w:kern w:val="2"/>
          <w:sz w:val="32"/>
          <w:szCs w:val="32"/>
          <w:highlight w:val="none"/>
          <w:lang w:val="en-US" w:eastAsia="zh-CN" w:bidi="ar-SA"/>
        </w:rPr>
      </w:pPr>
    </w:p>
    <w:p>
      <w:pPr>
        <w:pageBreakBefore w:val="0"/>
        <w:widowControl w:val="0"/>
        <w:kinsoku/>
        <w:wordWrap/>
        <w:overflowPunct/>
        <w:topLinePunct w:val="0"/>
        <w:bidi w:val="0"/>
        <w:spacing w:line="560" w:lineRule="exact"/>
        <w:ind w:firstLine="800" w:firstLineChars="250"/>
        <w:textAlignment w:val="auto"/>
        <w:outlineLvl w:val="1"/>
        <w:rPr>
          <w:rStyle w:val="29"/>
          <w:rFonts w:ascii="黑体" w:hAnsi="黑体" w:eastAsia="黑体"/>
        </w:rPr>
      </w:pPr>
      <w:bookmarkStart w:id="69" w:name="_Toc15396612"/>
      <w:bookmarkStart w:id="70" w:name="_Toc15377221"/>
      <w:bookmarkStart w:id="71" w:name="_Toc79163624"/>
      <w:bookmarkStart w:id="72" w:name="_Toc5499"/>
      <w:r>
        <w:rPr>
          <w:rFonts w:hint="eastAsia" w:ascii="黑体" w:hAnsi="黑体" w:eastAsia="黑体"/>
          <w:color w:val="000000"/>
          <w:sz w:val="32"/>
          <w:szCs w:val="32"/>
        </w:rPr>
        <w:t>十</w:t>
      </w:r>
      <w:r>
        <w:rPr>
          <w:rStyle w:val="29"/>
          <w:rFonts w:hint="eastAsia" w:ascii="黑体" w:hAnsi="黑体" w:eastAsia="黑体"/>
        </w:rPr>
        <w:t>、</w:t>
      </w:r>
      <w:r>
        <w:rPr>
          <w:rStyle w:val="29"/>
          <w:rFonts w:hint="eastAsia" w:ascii="黑体" w:hAnsi="黑体" w:eastAsia="黑体"/>
          <w:b w:val="0"/>
        </w:rPr>
        <w:t>其他重要事项的情况说明</w:t>
      </w:r>
      <w:bookmarkEnd w:id="69"/>
      <w:bookmarkEnd w:id="70"/>
      <w:bookmarkEnd w:id="71"/>
      <w:bookmarkEnd w:id="72"/>
    </w:p>
    <w:p>
      <w:pPr>
        <w:pageBreakBefore w:val="0"/>
        <w:widowControl w:val="0"/>
        <w:kinsoku/>
        <w:wordWrap/>
        <w:overflowPunct/>
        <w:topLinePunct w:val="0"/>
        <w:bidi w:val="0"/>
        <w:spacing w:line="560" w:lineRule="exact"/>
        <w:ind w:firstLine="642" w:firstLineChars="200"/>
        <w:textAlignment w:val="auto"/>
        <w:outlineLvl w:val="2"/>
        <w:rPr>
          <w:rFonts w:ascii="仿宋" w:hAnsi="仿宋" w:eastAsia="仿宋"/>
          <w:color w:val="000000"/>
          <w:sz w:val="32"/>
          <w:szCs w:val="32"/>
        </w:rPr>
      </w:pPr>
      <w:bookmarkStart w:id="73" w:name="_Toc79163625"/>
      <w:bookmarkStart w:id="74" w:name="_Toc9707"/>
      <w:bookmarkStart w:id="75" w:name="_Toc15377222"/>
      <w:r>
        <w:rPr>
          <w:rFonts w:hint="eastAsia" w:ascii="仿宋" w:hAnsi="仿宋" w:eastAsia="仿宋"/>
          <w:b/>
          <w:color w:val="000000"/>
          <w:sz w:val="32"/>
          <w:szCs w:val="32"/>
        </w:rPr>
        <w:t>（一）机关运行经费支出情况</w:t>
      </w:r>
      <w:bookmarkEnd w:id="73"/>
      <w:bookmarkEnd w:id="74"/>
      <w:bookmarkEnd w:id="75"/>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 w:eastAsia="仿宋_GB2312" w:cs="Times New Roman"/>
          <w:b w:val="0"/>
          <w:bCs w:val="0"/>
          <w:kern w:val="2"/>
          <w:sz w:val="32"/>
          <w:szCs w:val="32"/>
          <w:highlight w:val="none"/>
          <w:lang w:val="en-US" w:eastAsia="zh-CN" w:bidi="ar-SA"/>
        </w:rPr>
      </w:pPr>
      <w:r>
        <w:rPr>
          <w:rFonts w:hint="eastAsia" w:ascii="仿宋_GB2312" w:hAnsi="仿宋" w:eastAsia="仿宋_GB2312" w:cs="Times New Roman"/>
          <w:b w:val="0"/>
          <w:bCs w:val="0"/>
          <w:kern w:val="2"/>
          <w:sz w:val="32"/>
          <w:szCs w:val="32"/>
          <w:highlight w:val="none"/>
          <w:lang w:val="en-US" w:eastAsia="zh-CN" w:bidi="ar-SA"/>
        </w:rPr>
        <w:t>2024年，中共壤塘县委党校机关运行经费支出11.93万元，比2023年减少4.71万元，下降28.29%。主要原因是本年度业务活动减少，相应费用减少。</w:t>
      </w:r>
    </w:p>
    <w:p>
      <w:pPr>
        <w:pageBreakBefore w:val="0"/>
        <w:widowControl w:val="0"/>
        <w:kinsoku/>
        <w:wordWrap/>
        <w:overflowPunct/>
        <w:topLinePunct w:val="0"/>
        <w:autoSpaceDE w:val="0"/>
        <w:autoSpaceDN w:val="0"/>
        <w:bidi w:val="0"/>
        <w:adjustRightInd w:val="0"/>
        <w:spacing w:line="560" w:lineRule="exact"/>
        <w:ind w:firstLine="642" w:firstLineChars="200"/>
        <w:jc w:val="left"/>
        <w:textAlignment w:val="auto"/>
        <w:outlineLvl w:val="2"/>
        <w:rPr>
          <w:rFonts w:ascii="仿宋" w:hAnsi="仿宋" w:eastAsia="仿宋"/>
          <w:b/>
          <w:color w:val="000000"/>
          <w:sz w:val="32"/>
          <w:szCs w:val="32"/>
        </w:rPr>
      </w:pPr>
      <w:bookmarkStart w:id="76" w:name="_Toc15377223"/>
      <w:bookmarkStart w:id="77" w:name="_Toc19746"/>
      <w:bookmarkStart w:id="78" w:name="_Toc79163626"/>
      <w:r>
        <w:rPr>
          <w:rFonts w:hint="eastAsia" w:ascii="仿宋" w:hAnsi="仿宋" w:eastAsia="仿宋"/>
          <w:b/>
          <w:color w:val="000000"/>
          <w:sz w:val="32"/>
          <w:szCs w:val="32"/>
        </w:rPr>
        <w:t>（二）政府采购支出情况</w:t>
      </w:r>
      <w:bookmarkEnd w:id="76"/>
      <w:bookmarkEnd w:id="77"/>
      <w:bookmarkEnd w:id="78"/>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 w:eastAsia="仿宋_GB2312" w:cs="Times New Roman"/>
          <w:b w:val="0"/>
          <w:bCs w:val="0"/>
          <w:kern w:val="2"/>
          <w:sz w:val="32"/>
          <w:szCs w:val="32"/>
          <w:highlight w:val="none"/>
          <w:lang w:val="en-US" w:eastAsia="zh-CN" w:bidi="ar-SA"/>
        </w:rPr>
      </w:pPr>
      <w:r>
        <w:rPr>
          <w:rFonts w:hint="eastAsia" w:ascii="仿宋_GB2312" w:hAnsi="仿宋" w:eastAsia="仿宋_GB2312" w:cs="Times New Roman"/>
          <w:b w:val="0"/>
          <w:bCs w:val="0"/>
          <w:kern w:val="2"/>
          <w:sz w:val="32"/>
          <w:szCs w:val="32"/>
          <w:highlight w:val="none"/>
          <w:lang w:val="en-US" w:eastAsia="zh-CN" w:bidi="ar-SA"/>
        </w:rPr>
        <w:t>2024年，中共壤塘县委党校政府采购支出总额0万元，其中：政府采购货物支出0万元、政府采购工程支出0万元、政府采购服务支出0万元。主要用于日常办公用品的采购支出。授予中小企业合同金额0万元，其中：授予小微企业合同金额0万元。</w:t>
      </w:r>
    </w:p>
    <w:p>
      <w:pPr>
        <w:pageBreakBefore w:val="0"/>
        <w:widowControl w:val="0"/>
        <w:kinsoku/>
        <w:wordWrap/>
        <w:overflowPunct/>
        <w:topLinePunct w:val="0"/>
        <w:autoSpaceDE w:val="0"/>
        <w:autoSpaceDN w:val="0"/>
        <w:bidi w:val="0"/>
        <w:adjustRightInd w:val="0"/>
        <w:spacing w:line="560" w:lineRule="exact"/>
        <w:ind w:firstLine="642" w:firstLineChars="200"/>
        <w:jc w:val="left"/>
        <w:textAlignment w:val="auto"/>
        <w:outlineLvl w:val="2"/>
        <w:rPr>
          <w:rFonts w:ascii="仿宋" w:hAnsi="仿宋" w:eastAsia="仿宋"/>
          <w:b/>
          <w:color w:val="000000"/>
          <w:sz w:val="32"/>
          <w:szCs w:val="32"/>
        </w:rPr>
      </w:pPr>
      <w:bookmarkStart w:id="79" w:name="_Toc11358"/>
      <w:bookmarkStart w:id="80" w:name="_Toc79163627"/>
      <w:bookmarkStart w:id="81" w:name="_Toc15377224"/>
      <w:r>
        <w:rPr>
          <w:rFonts w:hint="eastAsia" w:ascii="仿宋" w:hAnsi="仿宋" w:eastAsia="仿宋"/>
          <w:b/>
          <w:color w:val="000000"/>
          <w:sz w:val="32"/>
          <w:szCs w:val="32"/>
        </w:rPr>
        <w:t>（三）国有资产占有使用情况</w:t>
      </w:r>
      <w:bookmarkEnd w:id="79"/>
      <w:bookmarkEnd w:id="80"/>
      <w:bookmarkEnd w:id="81"/>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 w:eastAsia="仿宋_GB2312" w:cs="Times New Roman"/>
          <w:b w:val="0"/>
          <w:bCs w:val="0"/>
          <w:kern w:val="2"/>
          <w:sz w:val="32"/>
          <w:szCs w:val="32"/>
          <w:highlight w:val="none"/>
          <w:lang w:val="en-US" w:eastAsia="zh-CN" w:bidi="ar-SA"/>
        </w:rPr>
      </w:pPr>
      <w:r>
        <w:rPr>
          <w:rFonts w:hint="eastAsia" w:ascii="仿宋_GB2312" w:hAnsi="仿宋" w:eastAsia="仿宋_GB2312" w:cs="Times New Roman"/>
          <w:b w:val="0"/>
          <w:bCs w:val="0"/>
          <w:kern w:val="2"/>
          <w:sz w:val="32"/>
          <w:szCs w:val="32"/>
          <w:highlight w:val="none"/>
          <w:lang w:val="en-US" w:eastAsia="zh-CN" w:bidi="ar-SA"/>
        </w:rPr>
        <w:t>截至2024年12月31日，中共壤塘县委党校共有车辆1辆，其中：主要领导干部用车0辆、机要通信用车0辆、应急保障用车0辆、其他用车1辆，其他用车主要是用于单位日常活动，单价50万元以上通用设备0台（套），单价100万元以上专用设备0台（套）。</w:t>
      </w:r>
    </w:p>
    <w:p>
      <w:pPr>
        <w:pageBreakBefore w:val="0"/>
        <w:widowControl w:val="0"/>
        <w:kinsoku/>
        <w:wordWrap/>
        <w:overflowPunct/>
        <w:topLinePunct w:val="0"/>
        <w:autoSpaceDE w:val="0"/>
        <w:autoSpaceDN w:val="0"/>
        <w:bidi w:val="0"/>
        <w:adjustRightInd w:val="0"/>
        <w:spacing w:line="560" w:lineRule="exact"/>
        <w:ind w:firstLine="642" w:firstLineChars="200"/>
        <w:jc w:val="left"/>
        <w:textAlignment w:val="auto"/>
        <w:outlineLvl w:val="2"/>
        <w:rPr>
          <w:rFonts w:ascii="仿宋" w:hAnsi="仿宋" w:eastAsia="仿宋"/>
          <w:b/>
          <w:color w:val="000000"/>
          <w:sz w:val="32"/>
          <w:szCs w:val="32"/>
        </w:rPr>
      </w:pPr>
      <w:bookmarkStart w:id="82" w:name="_Toc79163628"/>
      <w:bookmarkStart w:id="83" w:name="_Toc13493"/>
      <w:r>
        <w:rPr>
          <w:rFonts w:hint="eastAsia" w:ascii="仿宋" w:hAnsi="仿宋" w:eastAsia="仿宋"/>
          <w:b/>
          <w:color w:val="000000"/>
          <w:sz w:val="32"/>
          <w:szCs w:val="32"/>
        </w:rPr>
        <w:t>（四）预算绩效管理情况。</w:t>
      </w:r>
      <w:bookmarkEnd w:id="82"/>
      <w:bookmarkEnd w:id="83"/>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 w:eastAsia="仿宋_GB2312" w:cs="Times New Roman"/>
          <w:b w:val="0"/>
          <w:bCs w:val="0"/>
          <w:kern w:val="2"/>
          <w:sz w:val="32"/>
          <w:szCs w:val="32"/>
          <w:highlight w:val="none"/>
          <w:lang w:val="en-US" w:eastAsia="zh-CN" w:bidi="ar-SA"/>
        </w:rPr>
      </w:pPr>
      <w:r>
        <w:rPr>
          <w:rFonts w:hint="eastAsia" w:ascii="仿宋_GB2312" w:hAnsi="仿宋" w:eastAsia="仿宋_GB2312" w:cs="Times New Roman"/>
          <w:b w:val="0"/>
          <w:bCs w:val="0"/>
          <w:kern w:val="2"/>
          <w:sz w:val="32"/>
          <w:szCs w:val="32"/>
          <w:highlight w:val="none"/>
          <w:lang w:val="en-US" w:eastAsia="zh-CN" w:bidi="ar-SA"/>
        </w:rPr>
        <w:t>根据预算绩效管理要求，本单位在年初预算编制阶段，组织对解决分类建设基础设施提升改造资金等8个项目开展了预算事前绩效评估，对8个项目编制了绩效目标，预算执行过程中，选取8个项目开展绩效监控，年终执行完毕后，对8个项目开展了绩效目标完成情况自评。</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 w:eastAsia="仿宋_GB2312" w:cs="Times New Roman"/>
          <w:b w:val="0"/>
          <w:bCs w:val="0"/>
          <w:kern w:val="2"/>
          <w:sz w:val="32"/>
          <w:szCs w:val="32"/>
          <w:highlight w:val="none"/>
          <w:lang w:val="en-US" w:eastAsia="zh-CN" w:bidi="ar-SA"/>
        </w:rPr>
      </w:pPr>
      <w:r>
        <w:rPr>
          <w:rFonts w:hint="eastAsia" w:ascii="仿宋_GB2312" w:hAnsi="仿宋" w:eastAsia="仿宋_GB2312" w:cs="Times New Roman"/>
          <w:b w:val="0"/>
          <w:bCs w:val="0"/>
          <w:kern w:val="2"/>
          <w:sz w:val="32"/>
          <w:szCs w:val="32"/>
          <w:highlight w:val="none"/>
          <w:lang w:val="en-US" w:eastAsia="zh-CN" w:bidi="ar-SA"/>
        </w:rPr>
        <w:t>组织对2024年度一般公共预算、政府性基金预算、国有资本经营预算、社会保险基金预算以及资本资产、债券资金等全面开展绩效自评，形成中共壤塘县委党校部门整体（含部门预算项目）绩效自评报告，其中，中共壤塘县委党校部门整体（含部门预算项目）绩效自评得分为95分，绩效自评综述：本次部门整体支出绩效自评得分为95分，总体表现良好。我单位无专项项目，因此未开展专项项目自评；绩效自评报告详见附件。</w:t>
      </w:r>
    </w:p>
    <w:p>
      <w:pPr>
        <w:rPr>
          <w:rFonts w:ascii="仿宋_GB2312" w:eastAsia="仿宋_GB2312"/>
          <w:b/>
          <w:color w:val="000000"/>
          <w:sz w:val="32"/>
          <w:szCs w:val="32"/>
        </w:rPr>
      </w:pPr>
      <w:r>
        <w:rPr>
          <w:rFonts w:ascii="仿宋_GB2312" w:eastAsia="仿宋_GB2312"/>
          <w:b/>
          <w:color w:val="000000"/>
          <w:sz w:val="32"/>
          <w:szCs w:val="32"/>
        </w:rPr>
        <w:br w:type="page"/>
      </w:r>
    </w:p>
    <w:p>
      <w:pPr>
        <w:pStyle w:val="19"/>
      </w:pPr>
    </w:p>
    <w:p>
      <w:pPr>
        <w:numPr>
          <w:ilvl w:val="0"/>
          <w:numId w:val="3"/>
        </w:numPr>
        <w:spacing w:line="600" w:lineRule="exact"/>
        <w:ind w:firstLine="660" w:firstLineChars="150"/>
        <w:jc w:val="center"/>
        <w:outlineLvl w:val="0"/>
        <w:rPr>
          <w:rStyle w:val="28"/>
          <w:rFonts w:ascii="黑体" w:hAnsi="黑体" w:eastAsia="黑体"/>
          <w:b w:val="0"/>
        </w:rPr>
      </w:pPr>
      <w:bookmarkStart w:id="84" w:name="_Toc79163629"/>
      <w:bookmarkStart w:id="85" w:name="_Toc15396613"/>
      <w:bookmarkStart w:id="86" w:name="_Toc31613"/>
      <w:bookmarkStart w:id="87" w:name="_Toc15377225"/>
      <w:r>
        <w:rPr>
          <w:rFonts w:hint="eastAsia" w:ascii="黑体" w:hAnsi="黑体" w:eastAsia="黑体"/>
          <w:color w:val="000000"/>
          <w:sz w:val="44"/>
          <w:szCs w:val="44"/>
        </w:rPr>
        <w:t>名</w:t>
      </w:r>
      <w:r>
        <w:rPr>
          <w:rStyle w:val="28"/>
          <w:rFonts w:hint="eastAsia" w:ascii="黑体" w:hAnsi="黑体" w:eastAsia="黑体"/>
          <w:b w:val="0"/>
        </w:rPr>
        <w:t>词解释</w:t>
      </w:r>
      <w:bookmarkEnd w:id="84"/>
      <w:bookmarkEnd w:id="85"/>
      <w:bookmarkEnd w:id="86"/>
      <w:bookmarkEnd w:id="87"/>
    </w:p>
    <w:p>
      <w:pPr>
        <w:spacing w:line="600" w:lineRule="exact"/>
        <w:jc w:val="left"/>
        <w:rPr>
          <w:rFonts w:ascii="宋体"/>
          <w:b/>
          <w:color w:val="000000"/>
          <w:sz w:val="44"/>
          <w:szCs w:val="44"/>
        </w:rPr>
      </w:pPr>
    </w:p>
    <w:p>
      <w:pPr>
        <w:pStyle w:val="38"/>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38"/>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事业收入：指事业单位开展专业业务活动及辅助活动取得的收入。（二级预算单位事业收入情况）等。</w:t>
      </w:r>
    </w:p>
    <w:p>
      <w:pPr>
        <w:pStyle w:val="38"/>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经营收入：指事业单位在专业业务活动及其辅助活动之外开展非独立核算经营活动取得的收入。（二级预算单位经营收入情况）等。</w:t>
      </w:r>
    </w:p>
    <w:p>
      <w:pPr>
        <w:pStyle w:val="38"/>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r>
        <w:rPr>
          <w:rFonts w:ascii="仿宋_GB2312" w:eastAsia="仿宋_GB2312"/>
          <w:sz w:val="32"/>
          <w:szCs w:val="32"/>
        </w:rPr>
        <w:t xml:space="preserve"> </w:t>
      </w:r>
    </w:p>
    <w:p>
      <w:pPr>
        <w:pStyle w:val="38"/>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pPr>
        <w:pStyle w:val="38"/>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38"/>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结余分配：指事业单位按照会计制度规定缴纳的所得税、提取的专用结余以及转入非财政拨款结余的金额等。</w:t>
      </w:r>
    </w:p>
    <w:p>
      <w:pPr>
        <w:pStyle w:val="38"/>
        <w:spacing w:line="560" w:lineRule="exact"/>
        <w:ind w:firstLine="640" w:firstLineChars="200"/>
        <w:rPr>
          <w:rFonts w:hint="eastAsia"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pStyle w:val="38"/>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9.</w:t>
      </w:r>
      <w:r>
        <w:rPr>
          <w:rFonts w:hint="eastAsia" w:ascii="仿宋_GB2312" w:eastAsia="仿宋_GB2312"/>
          <w:sz w:val="32"/>
          <w:szCs w:val="32"/>
          <w:lang w:eastAsia="zh-CN"/>
        </w:rPr>
        <w:t>教育支出</w:t>
      </w:r>
      <w:r>
        <w:rPr>
          <w:rFonts w:hint="eastAsia" w:ascii="仿宋_GB2312" w:eastAsia="仿宋_GB2312"/>
          <w:sz w:val="32"/>
          <w:szCs w:val="32"/>
          <w:lang w:val="en-US" w:eastAsia="zh-CN"/>
        </w:rPr>
        <w:t>（类）</w:t>
      </w:r>
      <w:r>
        <w:rPr>
          <w:rFonts w:hint="eastAsia" w:ascii="仿宋_GB2312" w:eastAsia="仿宋_GB2312"/>
          <w:sz w:val="32"/>
          <w:szCs w:val="32"/>
        </w:rPr>
        <w:t>进修及培训</w:t>
      </w:r>
      <w:r>
        <w:rPr>
          <w:rFonts w:hint="eastAsia" w:ascii="仿宋_GB2312" w:eastAsia="仿宋_GB2312"/>
          <w:sz w:val="32"/>
          <w:szCs w:val="32"/>
          <w:lang w:val="en-US" w:eastAsia="zh-CN"/>
        </w:rPr>
        <w:t>（款）</w:t>
      </w:r>
      <w:r>
        <w:rPr>
          <w:rFonts w:hint="eastAsia" w:ascii="仿宋_GB2312" w:eastAsia="仿宋_GB2312"/>
          <w:sz w:val="32"/>
          <w:szCs w:val="32"/>
        </w:rPr>
        <w:t>干部教育</w:t>
      </w:r>
      <w:r>
        <w:rPr>
          <w:rFonts w:hint="eastAsia" w:ascii="仿宋_GB2312" w:eastAsia="仿宋_GB2312"/>
          <w:sz w:val="32"/>
          <w:szCs w:val="32"/>
          <w:lang w:val="en-US" w:eastAsia="zh-CN"/>
        </w:rPr>
        <w:t>（项）：指各级党校、行政学院、社会主义学院、国家会计学院的支出。包括机构运转、招聘师资、举办各类培训班的支出等。</w:t>
      </w:r>
    </w:p>
    <w:p>
      <w:pPr>
        <w:pStyle w:val="38"/>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10.</w:t>
      </w:r>
      <w:r>
        <w:rPr>
          <w:rFonts w:hint="eastAsia" w:ascii="仿宋_GB2312" w:eastAsia="仿宋_GB2312"/>
          <w:sz w:val="32"/>
          <w:szCs w:val="32"/>
          <w:lang w:eastAsia="zh-CN"/>
        </w:rPr>
        <w:t>教育支出</w:t>
      </w:r>
      <w:r>
        <w:rPr>
          <w:rFonts w:hint="eastAsia" w:ascii="仿宋_GB2312" w:eastAsia="仿宋_GB2312"/>
          <w:sz w:val="32"/>
          <w:szCs w:val="32"/>
          <w:lang w:val="en-US" w:eastAsia="zh-CN"/>
        </w:rPr>
        <w:t>（类）</w:t>
      </w:r>
      <w:r>
        <w:rPr>
          <w:rFonts w:hint="eastAsia" w:ascii="仿宋_GB2312" w:eastAsia="仿宋_GB2312"/>
          <w:sz w:val="32"/>
          <w:szCs w:val="32"/>
        </w:rPr>
        <w:t>进修及培训</w:t>
      </w:r>
      <w:r>
        <w:rPr>
          <w:rFonts w:hint="eastAsia" w:ascii="仿宋_GB2312" w:eastAsia="仿宋_GB2312"/>
          <w:sz w:val="32"/>
          <w:szCs w:val="32"/>
          <w:lang w:val="en-US" w:eastAsia="zh-CN"/>
        </w:rPr>
        <w:t>（款）</w:t>
      </w:r>
      <w:r>
        <w:rPr>
          <w:rFonts w:hint="eastAsia" w:ascii="仿宋_GB2312" w:eastAsia="仿宋_GB2312"/>
          <w:sz w:val="32"/>
          <w:szCs w:val="32"/>
        </w:rPr>
        <w:t>其他进修及培训</w:t>
      </w:r>
      <w:r>
        <w:rPr>
          <w:rFonts w:hint="eastAsia" w:ascii="仿宋_GB2312" w:eastAsia="仿宋_GB2312"/>
          <w:sz w:val="32"/>
          <w:szCs w:val="32"/>
          <w:lang w:val="en-US" w:eastAsia="zh-CN"/>
        </w:rPr>
        <w:t>（项）：指其他用于进修及培训方面的支出</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11</w:t>
      </w:r>
      <w:r>
        <w:rPr>
          <w:rFonts w:hint="eastAsia" w:ascii="仿宋_GB2312" w:eastAsia="仿宋_GB2312"/>
          <w:color w:val="000000"/>
          <w:sz w:val="32"/>
          <w:szCs w:val="32"/>
        </w:rPr>
        <w:t>.社会保障和就业（类）行政事业单位养老支出（款）机关事业单位基本养老保险缴费支出（项）：指机关事业单位实施养老保险制度由单位缴纳的基本养老保险费支出。</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 社会保障和就业（类）行政事业单位养老支出（款）机关事业单位职业年金缴费支出（项）：指机关事业单位养老保险制度由单位缴纳的职业年金支出。</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.卫生健康支出（类）行政事业单位医疗（款）事业单位医疗（项）：指财政部门集中安排的事业单位基本医疗保险缴费。</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.住房保障（类）住房改革（款）住房公积金（项）：指行政事业单位按规定的标准和比例为职工缴纳的住房公积金。</w:t>
      </w:r>
    </w:p>
    <w:p>
      <w:pPr>
        <w:pStyle w:val="38"/>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.基本支出：指为保障机构正常运转、完成日常工作任务而发生的人员支出和公用支出。</w:t>
      </w:r>
    </w:p>
    <w:p>
      <w:pPr>
        <w:pStyle w:val="38"/>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.项目支出：指在基本支出之外为完成特定行政任务和事业发展目标所发生的支出。</w:t>
      </w:r>
    </w:p>
    <w:p>
      <w:pPr>
        <w:pStyle w:val="38"/>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.经营支出：指事业单位在专业业务活动及其辅助活动之外开展非独立核算经营活动发生的支出。</w:t>
      </w:r>
    </w:p>
    <w:p>
      <w:pPr>
        <w:pStyle w:val="38"/>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8"/>
        <w:spacing w:line="560" w:lineRule="exact"/>
        <w:ind w:firstLine="640" w:firstLineChars="200"/>
        <w:rPr>
          <w:rFonts w:ascii="仿宋_GB2312" w:eastAsia="仿宋_GB2312"/>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ascii="仿宋_GB2312" w:eastAsia="仿宋_GB2312"/>
          <w:sz w:val="32"/>
          <w:szCs w:val="32"/>
        </w:rPr>
        <w:t>。</w:t>
      </w:r>
    </w:p>
    <w:p>
      <w:pPr>
        <w:spacing w:line="600" w:lineRule="exact"/>
        <w:jc w:val="center"/>
        <w:outlineLvl w:val="0"/>
        <w:rPr>
          <w:rStyle w:val="28"/>
          <w:rFonts w:ascii="黑体" w:hAnsi="黑体" w:eastAsia="黑体"/>
          <w:b w:val="0"/>
        </w:rPr>
      </w:pPr>
      <w:bookmarkStart w:id="88" w:name="_Toc15377226"/>
      <w:r>
        <w:rPr>
          <w:rFonts w:ascii="宋体"/>
          <w:b/>
          <w:color w:val="000000"/>
          <w:sz w:val="44"/>
          <w:szCs w:val="44"/>
        </w:rPr>
        <w:br w:type="page"/>
      </w:r>
      <w:bookmarkStart w:id="89" w:name="_Toc20975"/>
      <w:bookmarkStart w:id="90" w:name="_Toc79163630"/>
      <w:bookmarkStart w:id="91" w:name="_Toc15396614"/>
      <w:r>
        <w:rPr>
          <w:rFonts w:hint="eastAsia" w:ascii="黑体" w:hAnsi="黑体" w:eastAsia="黑体"/>
          <w:color w:val="000000"/>
          <w:sz w:val="44"/>
          <w:szCs w:val="44"/>
        </w:rPr>
        <w:t>第</w:t>
      </w:r>
      <w:r>
        <w:rPr>
          <w:rStyle w:val="28"/>
          <w:rFonts w:hint="eastAsia" w:ascii="黑体" w:hAnsi="黑体" w:eastAsia="黑体"/>
          <w:b w:val="0"/>
        </w:rPr>
        <w:t>四部分</w:t>
      </w:r>
      <w:r>
        <w:rPr>
          <w:rStyle w:val="28"/>
          <w:rFonts w:ascii="黑体" w:hAnsi="黑体" w:eastAsia="黑体"/>
          <w:b w:val="0"/>
        </w:rPr>
        <w:t xml:space="preserve"> </w:t>
      </w:r>
      <w:r>
        <w:rPr>
          <w:rStyle w:val="28"/>
          <w:rFonts w:hint="eastAsia" w:ascii="黑体" w:hAnsi="黑体" w:eastAsia="黑体"/>
          <w:b w:val="0"/>
        </w:rPr>
        <w:t>附件</w:t>
      </w:r>
      <w:bookmarkEnd w:id="89"/>
      <w:bookmarkEnd w:id="90"/>
      <w:bookmarkEnd w:id="91"/>
    </w:p>
    <w:p>
      <w:pPr>
        <w:spacing w:line="600" w:lineRule="exact"/>
        <w:jc w:val="left"/>
        <w:outlineLvl w:val="0"/>
        <w:rPr>
          <w:rFonts w:ascii="方正小标宋简体" w:hAnsi="方正小标宋简体" w:eastAsia="方正小标宋简体" w:cs="方正小标宋简体"/>
          <w:sz w:val="32"/>
          <w:szCs w:val="32"/>
        </w:rPr>
      </w:pPr>
    </w:p>
    <w:p>
      <w:pPr>
        <w:spacing w:line="360" w:lineRule="auto"/>
        <w:jc w:val="center"/>
        <w:rPr>
          <w:rFonts w:hint="eastAsia" w:ascii="宋体" w:hAnsi="宋体" w:cs="宋体"/>
          <w:b/>
          <w:bCs/>
          <w:kern w:val="0"/>
          <w:sz w:val="44"/>
          <w:szCs w:val="44"/>
        </w:rPr>
      </w:pPr>
      <w:r>
        <w:rPr>
          <w:rFonts w:hint="eastAsia" w:ascii="宋体" w:hAnsi="宋体" w:cs="宋体"/>
          <w:b/>
          <w:bCs/>
          <w:kern w:val="0"/>
          <w:sz w:val="44"/>
          <w:szCs w:val="44"/>
        </w:rPr>
        <w:t>中共壤塘县委党校</w:t>
      </w:r>
    </w:p>
    <w:p>
      <w:pPr>
        <w:spacing w:line="360" w:lineRule="auto"/>
        <w:jc w:val="center"/>
        <w:rPr>
          <w:rFonts w:ascii="宋体" w:hAnsi="宋体" w:cs="宋体"/>
          <w:b/>
          <w:bCs/>
          <w:kern w:val="0"/>
          <w:sz w:val="44"/>
          <w:szCs w:val="44"/>
        </w:rPr>
      </w:pPr>
      <w:r>
        <w:rPr>
          <w:rFonts w:hint="eastAsia" w:ascii="宋体" w:hAnsi="宋体" w:cs="宋体"/>
          <w:b/>
          <w:bCs/>
          <w:kern w:val="0"/>
          <w:sz w:val="44"/>
          <w:szCs w:val="44"/>
          <w:lang w:eastAsia="zh-CN"/>
        </w:rPr>
        <w:t>2024年</w:t>
      </w:r>
      <w:r>
        <w:rPr>
          <w:rFonts w:hint="eastAsia" w:ascii="宋体" w:hAnsi="宋体" w:cs="宋体"/>
          <w:b/>
          <w:bCs/>
          <w:kern w:val="0"/>
          <w:sz w:val="44"/>
          <w:szCs w:val="44"/>
        </w:rPr>
        <w:t>度部门整体支出绩效评价自评报告</w:t>
      </w:r>
    </w:p>
    <w:p>
      <w:pPr>
        <w:spacing w:line="360" w:lineRule="auto"/>
        <w:jc w:val="center"/>
        <w:rPr>
          <w:rFonts w:ascii="宋体" w:hAnsi="宋体" w:cs="宋体"/>
          <w:kern w:val="0"/>
          <w:szCs w:val="21"/>
        </w:rPr>
      </w:pPr>
    </w:p>
    <w:p>
      <w:pPr>
        <w:spacing w:line="360" w:lineRule="auto"/>
        <w:ind w:firstLine="642"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kern w:val="0"/>
          <w:sz w:val="32"/>
          <w:szCs w:val="32"/>
        </w:rPr>
        <w:t>一、部门（单位）概况</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中共壤塘县委党校机构性质：机关，机构地址：四川省阿坝州壤塘县</w:t>
      </w:r>
      <w:r>
        <w:rPr>
          <w:rFonts w:hint="eastAsia" w:ascii="仿宋_GB2312" w:hAnsi="仿宋_GB2312" w:eastAsia="仿宋_GB2312" w:cs="仿宋_GB2312"/>
          <w:sz w:val="32"/>
          <w:szCs w:val="32"/>
          <w:lang w:val="en-US" w:eastAsia="zh-CN"/>
        </w:rPr>
        <w:t>岗木达</w:t>
      </w:r>
      <w:r>
        <w:rPr>
          <w:rFonts w:hint="eastAsia" w:ascii="仿宋_GB2312" w:hAnsi="仿宋_GB2312" w:eastAsia="仿宋_GB2312" w:cs="仿宋_GB2312"/>
          <w:sz w:val="32"/>
          <w:szCs w:val="32"/>
        </w:rPr>
        <w:t>镇罗吾塘前街56号，单位负责人：</w:t>
      </w:r>
      <w:r>
        <w:rPr>
          <w:rFonts w:hint="eastAsia" w:ascii="仿宋_GB2312" w:hAnsi="仿宋_GB2312" w:eastAsia="仿宋_GB2312" w:cs="仿宋_GB2312"/>
          <w:sz w:val="32"/>
          <w:szCs w:val="32"/>
          <w:lang w:val="en-US" w:eastAsia="zh-CN"/>
        </w:rPr>
        <w:t>蹇纪元</w:t>
      </w:r>
      <w:r>
        <w:rPr>
          <w:rFonts w:hint="eastAsia" w:ascii="仿宋_GB2312" w:hAnsi="仿宋_GB2312" w:eastAsia="仿宋_GB2312" w:cs="仿宋_GB2312"/>
          <w:sz w:val="32"/>
          <w:szCs w:val="32"/>
        </w:rPr>
        <w:t>。</w:t>
      </w:r>
    </w:p>
    <w:p>
      <w:pPr>
        <w:spacing w:line="360" w:lineRule="auto"/>
        <w:ind w:firstLine="642"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（一）机构组成</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中共壤塘县委党校共</w:t>
      </w:r>
      <w:r>
        <w:rPr>
          <w:rFonts w:hint="eastAsia" w:ascii="仿宋_GB2312" w:hAnsi="仿宋_GB2312" w:eastAsia="仿宋_GB2312" w:cs="仿宋_GB2312"/>
          <w:color w:val="auto"/>
          <w:sz w:val="32"/>
          <w:szCs w:val="32"/>
        </w:rPr>
        <w:t>有</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个股室，办公室</w:t>
      </w:r>
      <w:r>
        <w:rPr>
          <w:rFonts w:hint="eastAsia" w:ascii="仿宋_GB2312" w:hAnsi="仿宋_GB2312" w:eastAsia="仿宋_GB2312" w:cs="仿宋_GB2312"/>
          <w:color w:val="auto"/>
          <w:sz w:val="32"/>
          <w:szCs w:val="32"/>
          <w:lang w:val="en-US" w:eastAsia="zh-CN"/>
        </w:rPr>
        <w:t>和教研室</w:t>
      </w:r>
      <w:r>
        <w:rPr>
          <w:rFonts w:hint="eastAsia" w:ascii="仿宋_GB2312" w:hAnsi="仿宋_GB2312" w:eastAsia="仿宋_GB2312" w:cs="仿宋_GB2312"/>
          <w:sz w:val="32"/>
          <w:szCs w:val="32"/>
        </w:rPr>
        <w:t>。</w:t>
      </w:r>
    </w:p>
    <w:p>
      <w:pPr>
        <w:numPr>
          <w:ilvl w:val="0"/>
          <w:numId w:val="4"/>
        </w:numPr>
        <w:spacing w:line="360" w:lineRule="auto"/>
        <w:ind w:firstLine="642"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kern w:val="0"/>
          <w:sz w:val="32"/>
          <w:szCs w:val="32"/>
        </w:rPr>
        <w:t>机构职能</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10"/>
          <w:sz w:val="32"/>
          <w:szCs w:val="32"/>
        </w:rPr>
        <w:t>中共壤塘县委党校坚持党的基本路线，以学习、宣传马列主义、毛泽东思想、邓小平理论、“三个代表”重要思想、科学发展观为己任，联系国际国内形势，结合党和国家召开的重大会议精神，结合全县各级党组织和党员实际，在抓好基础设施建设和教学手段建设的同时，努力办好主体班，紧紧围绕提高培训效果和教育教学质量、培养高素质的干部队伍为目标，以教学为中心，科研为基础，改革为动力，充分发挥“熔炉”和“阵地”的作用，加强党的理论学习、研究和宣传，搞好县、乡、村党员干部的培训，切实提高全县干部素质</w:t>
      </w:r>
      <w:r>
        <w:rPr>
          <w:rFonts w:hint="eastAsia" w:ascii="仿宋_GB2312" w:hAnsi="仿宋_GB2312" w:eastAsia="仿宋_GB2312" w:cs="仿宋_GB2312"/>
          <w:sz w:val="32"/>
          <w:szCs w:val="32"/>
        </w:rPr>
        <w:t>。</w:t>
      </w:r>
    </w:p>
    <w:p>
      <w:pPr>
        <w:numPr>
          <w:ilvl w:val="0"/>
          <w:numId w:val="4"/>
        </w:numPr>
        <w:spacing w:line="360" w:lineRule="auto"/>
        <w:ind w:firstLine="642"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人员概况</w:t>
      </w:r>
    </w:p>
    <w:p>
      <w:pPr>
        <w:ind w:firstLine="800" w:firstLineChars="250"/>
        <w:rPr>
          <w:rFonts w:ascii="仿宋_GB2312" w:hAnsi="仿宋_GB2312" w:eastAsia="仿宋_GB2312" w:cs="仿宋_GB2312"/>
          <w:sz w:val="32"/>
          <w:szCs w:val="32"/>
        </w:rPr>
      </w:pPr>
      <w:r>
        <w:rPr>
          <w:rFonts w:hint="eastAsia" w:ascii="仿宋_GB2312" w:hAnsi="宋体" w:eastAsia="仿宋_GB2312" w:cs="仿宋_GB2312"/>
          <w:kern w:val="0"/>
          <w:sz w:val="32"/>
          <w:szCs w:val="32"/>
        </w:rPr>
        <w:t>人员情况：总</w:t>
      </w:r>
      <w:r>
        <w:rPr>
          <w:rFonts w:hint="eastAsia" w:ascii="仿宋_GB2312" w:hAnsi="宋体" w:eastAsia="仿宋_GB2312" w:cs="仿宋_GB2312"/>
          <w:kern w:val="0"/>
          <w:sz w:val="32"/>
          <w:szCs w:val="32"/>
          <w:lang w:val="en-US" w:eastAsia="zh-CN"/>
        </w:rPr>
        <w:t>人数</w:t>
      </w:r>
      <w:r>
        <w:rPr>
          <w:rFonts w:hint="eastAsia" w:ascii="仿宋_GB2312" w:hAnsi="宋体" w:eastAsia="仿宋_GB2312" w:cs="仿宋_GB2312"/>
          <w:kern w:val="0"/>
          <w:sz w:val="32"/>
          <w:szCs w:val="32"/>
        </w:rPr>
        <w:t>1</w:t>
      </w:r>
      <w:r>
        <w:rPr>
          <w:rFonts w:hint="eastAsia" w:ascii="仿宋_GB2312" w:hAnsi="宋体" w:eastAsia="仿宋_GB2312" w:cs="仿宋_GB2312"/>
          <w:kern w:val="0"/>
          <w:sz w:val="32"/>
          <w:szCs w:val="32"/>
          <w:lang w:val="en-US" w:eastAsia="zh-CN"/>
        </w:rPr>
        <w:t>0人</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其中</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行政</w:t>
      </w:r>
      <w:r>
        <w:rPr>
          <w:rFonts w:hint="eastAsia" w:ascii="仿宋_GB2312" w:hAnsi="宋体" w:eastAsia="仿宋_GB2312" w:cs="仿宋_GB2312"/>
          <w:kern w:val="0"/>
          <w:sz w:val="32"/>
          <w:szCs w:val="32"/>
          <w:lang w:val="en-US" w:eastAsia="zh-CN"/>
        </w:rPr>
        <w:t>5</w:t>
      </w:r>
      <w:r>
        <w:rPr>
          <w:rFonts w:hint="eastAsia" w:ascii="仿宋_GB2312" w:hAnsi="宋体" w:eastAsia="仿宋_GB2312" w:cs="仿宋_GB2312"/>
          <w:kern w:val="0"/>
          <w:sz w:val="32"/>
          <w:szCs w:val="32"/>
        </w:rPr>
        <w:t>人、</w:t>
      </w:r>
      <w:r>
        <w:rPr>
          <w:rFonts w:hint="eastAsia" w:ascii="仿宋_GB2312" w:hAnsi="宋体" w:eastAsia="仿宋_GB2312" w:cs="仿宋_GB2312"/>
          <w:kern w:val="0"/>
          <w:sz w:val="32"/>
          <w:szCs w:val="32"/>
          <w:lang w:val="en-US" w:eastAsia="zh-CN"/>
        </w:rPr>
        <w:t>行政工勤1人，</w:t>
      </w:r>
      <w:r>
        <w:rPr>
          <w:rFonts w:hint="eastAsia" w:ascii="仿宋_GB2312" w:hAnsi="宋体" w:eastAsia="仿宋_GB2312" w:cs="仿宋_GB2312"/>
          <w:kern w:val="0"/>
          <w:sz w:val="32"/>
          <w:szCs w:val="32"/>
        </w:rPr>
        <w:t>事业</w:t>
      </w:r>
      <w:r>
        <w:rPr>
          <w:rFonts w:hint="eastAsia" w:ascii="仿宋_GB2312" w:hAnsi="宋体" w:eastAsia="仿宋_GB2312" w:cs="仿宋_GB2312"/>
          <w:kern w:val="0"/>
          <w:sz w:val="32"/>
          <w:szCs w:val="32"/>
          <w:lang w:val="en-US" w:eastAsia="zh-CN"/>
        </w:rPr>
        <w:t>4</w:t>
      </w:r>
      <w:r>
        <w:rPr>
          <w:rFonts w:hint="eastAsia" w:ascii="仿宋_GB2312" w:hAnsi="宋体" w:eastAsia="仿宋_GB2312" w:cs="仿宋_GB2312"/>
          <w:kern w:val="0"/>
          <w:sz w:val="32"/>
          <w:szCs w:val="32"/>
        </w:rPr>
        <w:t>人</w:t>
      </w:r>
      <w:r>
        <w:rPr>
          <w:rFonts w:hint="eastAsia" w:ascii="仿宋_GB2312" w:hAnsi="仿宋_GB2312" w:eastAsia="仿宋_GB2312" w:cs="仿宋_GB2312"/>
          <w:sz w:val="32"/>
          <w:szCs w:val="32"/>
        </w:rPr>
        <w:t>。</w:t>
      </w:r>
    </w:p>
    <w:p>
      <w:pPr>
        <w:spacing w:line="360" w:lineRule="auto"/>
        <w:ind w:firstLine="642"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二、部门财政资金收支情况</w:t>
      </w:r>
    </w:p>
    <w:p>
      <w:pPr>
        <w:spacing w:line="360" w:lineRule="auto"/>
        <w:ind w:firstLine="642"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（一）部门财政资金收入情况</w:t>
      </w:r>
    </w:p>
    <w:p>
      <w:pPr>
        <w:pStyle w:val="27"/>
        <w:spacing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2024年</w:t>
      </w:r>
      <w:r>
        <w:rPr>
          <w:rFonts w:hint="eastAsia" w:ascii="仿宋_GB2312" w:hAnsi="仿宋_GB2312" w:eastAsia="仿宋_GB2312" w:cs="仿宋_GB2312"/>
          <w:sz w:val="32"/>
          <w:szCs w:val="32"/>
        </w:rPr>
        <w:t>财政下达中共壤塘县委党校年初预算收入</w:t>
      </w:r>
      <w:r>
        <w:rPr>
          <w:rFonts w:hint="eastAsia" w:ascii="仿宋_GB2312" w:hAnsi="仿宋_GB2312" w:eastAsia="仿宋_GB2312" w:cs="仿宋_GB2312"/>
          <w:sz w:val="32"/>
          <w:szCs w:val="32"/>
          <w:lang w:val="en-US" w:eastAsia="zh-CN"/>
        </w:rPr>
        <w:t>258.9</w:t>
      </w:r>
      <w:r>
        <w:rPr>
          <w:rFonts w:hint="eastAsia" w:ascii="仿宋_GB2312" w:hAnsi="仿宋_GB2312" w:eastAsia="仿宋_GB2312" w:cs="仿宋_GB2312"/>
          <w:sz w:val="32"/>
          <w:szCs w:val="32"/>
        </w:rPr>
        <w:t>万元，执行期中追加收入</w:t>
      </w:r>
      <w:r>
        <w:rPr>
          <w:rFonts w:hint="eastAsia" w:ascii="仿宋_GB2312" w:hAnsi="仿宋_GB2312" w:eastAsia="仿宋_GB2312" w:cs="仿宋_GB2312"/>
          <w:sz w:val="32"/>
          <w:szCs w:val="32"/>
          <w:lang w:val="en-US" w:eastAsia="zh-CN"/>
        </w:rPr>
        <w:t>129.65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，部门财政资金收入</w:t>
      </w:r>
      <w:r>
        <w:rPr>
          <w:rFonts w:hint="eastAsia" w:ascii="仿宋_GB2312" w:hAnsi="仿宋_GB2312" w:eastAsia="仿宋_GB2312" w:cs="仿宋_GB2312"/>
          <w:sz w:val="32"/>
          <w:szCs w:val="32"/>
          <w:lang w:val="en-US" w:eastAsia="zh-CN"/>
        </w:rPr>
        <w:t>合计388.55万元。其他收入22.65万元，全年实际收入合计为411.2万元，本年度无财政应返还额度</w:t>
      </w:r>
      <w:r>
        <w:rPr>
          <w:rFonts w:hint="eastAsia" w:ascii="仿宋_GB2312" w:hAnsi="仿宋_GB2312" w:eastAsia="仿宋_GB2312" w:cs="仿宋_GB2312"/>
          <w:sz w:val="32"/>
          <w:szCs w:val="32"/>
        </w:rPr>
        <w:t xml:space="preserve">。 </w:t>
      </w:r>
    </w:p>
    <w:p>
      <w:pPr>
        <w:pStyle w:val="27"/>
        <w:spacing w:line="360" w:lineRule="auto"/>
        <w:ind w:firstLine="643"/>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（二）部门财政资金支出情况</w:t>
      </w:r>
      <w:r>
        <w:rPr>
          <w:rFonts w:hint="eastAsia" w:ascii="仿宋_GB2312" w:hAnsi="仿宋_GB2312" w:eastAsia="仿宋_GB2312" w:cs="仿宋_GB2312"/>
          <w:sz w:val="32"/>
          <w:szCs w:val="32"/>
        </w:rPr>
        <w:t xml:space="preserve">  </w:t>
      </w:r>
    </w:p>
    <w:p>
      <w:pPr>
        <w:pStyle w:val="27"/>
        <w:spacing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2024年</w:t>
      </w:r>
      <w:r>
        <w:rPr>
          <w:rFonts w:hint="eastAsia" w:ascii="仿宋_GB2312" w:hAnsi="仿宋_GB2312" w:eastAsia="仿宋_GB2312" w:cs="仿宋_GB2312"/>
          <w:sz w:val="32"/>
          <w:szCs w:val="32"/>
        </w:rPr>
        <w:t>中共壤塘县委党校支出全年预算数共计</w:t>
      </w:r>
      <w:r>
        <w:rPr>
          <w:rFonts w:hint="eastAsia" w:ascii="仿宋_GB2312" w:hAnsi="仿宋_GB2312" w:eastAsia="仿宋_GB2312" w:cs="仿宋_GB2312"/>
          <w:sz w:val="32"/>
          <w:szCs w:val="32"/>
          <w:lang w:val="en-US" w:eastAsia="zh-CN"/>
        </w:rPr>
        <w:t>410.85</w:t>
      </w:r>
      <w:r>
        <w:rPr>
          <w:rFonts w:hint="eastAsia" w:ascii="仿宋_GB2312" w:hAnsi="仿宋_GB2312" w:eastAsia="仿宋_GB2312" w:cs="仿宋_GB2312"/>
          <w:sz w:val="32"/>
          <w:szCs w:val="32"/>
        </w:rPr>
        <w:t>万元，其中基本支出314.74万元，项目支出96.11万元。</w:t>
      </w:r>
    </w:p>
    <w:p>
      <w:pPr>
        <w:spacing w:line="360" w:lineRule="auto"/>
        <w:ind w:firstLine="642"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三、部门整体预算绩效管理情况</w:t>
      </w:r>
    </w:p>
    <w:p>
      <w:pPr>
        <w:pStyle w:val="27"/>
        <w:spacing w:line="360" w:lineRule="auto"/>
        <w:ind w:firstLine="643"/>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（一）部门预算管理</w:t>
      </w:r>
    </w:p>
    <w:p>
      <w:pPr>
        <w:pStyle w:val="27"/>
        <w:spacing w:line="360" w:lineRule="auto"/>
        <w:ind w:firstLine="643"/>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1.部门整体绩效目标制定情况</w:t>
      </w:r>
    </w:p>
    <w:p>
      <w:pPr>
        <w:pStyle w:val="27"/>
        <w:spacing w:line="360" w:lineRule="auto"/>
        <w:ind w:firstLine="640"/>
        <w:rPr>
          <w:rFonts w:ascii="仿宋_GB2312" w:hAnsi="仿宋_GB2312" w:eastAsia="仿宋_GB2312" w:cs="仿宋_GB2312"/>
          <w:b/>
          <w:bCs/>
          <w:kern w:val="0"/>
          <w:sz w:val="32"/>
          <w:szCs w:val="32"/>
        </w:rPr>
      </w:pPr>
      <w:r>
        <w:rPr>
          <w:rFonts w:hint="eastAsia" w:ascii="仿宋_GB2312" w:hAnsi="仿宋_GB2312" w:eastAsia="仿宋_GB2312" w:cs="仿宋_GB2312"/>
          <w:kern w:val="0"/>
          <w:sz w:val="32"/>
          <w:szCs w:val="32"/>
        </w:rPr>
        <w:t>中共壤塘县委党校</w:t>
      </w:r>
      <w:r>
        <w:rPr>
          <w:rFonts w:hint="default" w:ascii="Times New Roman" w:hAnsi="Times New Roman" w:eastAsia="仿宋_GB2312" w:cs="Times New Roman"/>
          <w:b w:val="0"/>
          <w:bCs w:val="0"/>
          <w:sz w:val="32"/>
          <w:szCs w:val="32"/>
          <w:lang w:val="en-US" w:eastAsia="zh-CN"/>
        </w:rPr>
        <w:t>在县委县政府、上级主管部门的高度重视和精心组织下，在分管领导的指导及党校班子团结带领全体教职工，认真履职尽责，把党的政治建设、政治教育作为首要任务</w:t>
      </w:r>
      <w:r>
        <w:rPr>
          <w:rFonts w:hint="eastAsia" w:ascii="仿宋_GB2312" w:hAnsi="仿宋_GB2312" w:eastAsia="仿宋_GB2312" w:cs="仿宋_GB2312"/>
          <w:sz w:val="32"/>
          <w:szCs w:val="32"/>
        </w:rPr>
        <w:t>。</w:t>
      </w:r>
    </w:p>
    <w:p>
      <w:pPr>
        <w:pStyle w:val="27"/>
        <w:spacing w:line="360" w:lineRule="auto"/>
        <w:ind w:firstLine="643"/>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2.部门整体绩效目标完成情况</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72" w:firstLineChars="200"/>
        <w:textAlignment w:val="auto"/>
        <w:rPr>
          <w:rFonts w:hint="default" w:ascii="仿宋_GB2312" w:hAnsi="仿宋_GB2312" w:eastAsia="仿宋_GB2312" w:cs="仿宋_GB2312"/>
          <w:i w:val="0"/>
          <w:iCs w:val="0"/>
          <w:caps w:val="0"/>
          <w:spacing w:val="8"/>
          <w:sz w:val="32"/>
          <w:szCs w:val="32"/>
          <w:shd w:val="clear" w:color="auto" w:fill="FFFFFF"/>
          <w:lang w:val="en-US" w:eastAsia="zh-CN"/>
        </w:rPr>
      </w:pPr>
      <w:r>
        <w:rPr>
          <w:rFonts w:hint="eastAsia" w:ascii="仿宋_GB2312" w:hAnsi="仿宋_GB2312" w:eastAsia="仿宋_GB2312" w:cs="仿宋_GB2312"/>
          <w:i w:val="0"/>
          <w:iCs w:val="0"/>
          <w:caps w:val="0"/>
          <w:spacing w:val="8"/>
          <w:sz w:val="32"/>
          <w:szCs w:val="32"/>
          <w:shd w:val="clear" w:color="auto" w:fill="FFFFFF"/>
        </w:rPr>
        <w:t>（1）</w:t>
      </w:r>
      <w:r>
        <w:rPr>
          <w:rFonts w:hint="default" w:ascii="仿宋_GB2312" w:hAnsi="仿宋_GB2312" w:eastAsia="仿宋_GB2312" w:cs="仿宋_GB2312"/>
          <w:i w:val="0"/>
          <w:iCs w:val="0"/>
          <w:caps w:val="0"/>
          <w:spacing w:val="8"/>
          <w:sz w:val="32"/>
          <w:szCs w:val="32"/>
          <w:shd w:val="clear" w:color="auto" w:fill="FFFFFF"/>
          <w:lang w:val="en-US" w:eastAsia="zh-CN"/>
        </w:rPr>
        <w:t>积极推进</w:t>
      </w:r>
      <w:r>
        <w:rPr>
          <w:rFonts w:hint="eastAsia" w:ascii="仿宋_GB2312" w:hAnsi="仿宋_GB2312" w:eastAsia="仿宋_GB2312" w:cs="仿宋_GB2312"/>
          <w:i w:val="0"/>
          <w:iCs w:val="0"/>
          <w:caps w:val="0"/>
          <w:spacing w:val="8"/>
          <w:sz w:val="32"/>
          <w:szCs w:val="32"/>
          <w:shd w:val="clear" w:color="auto" w:fill="FFFFFF"/>
          <w:lang w:val="en-US" w:eastAsia="zh-CN"/>
        </w:rPr>
        <w:t>各类主体培训；</w:t>
      </w:r>
      <w:r>
        <w:rPr>
          <w:rFonts w:hint="eastAsia" w:ascii="仿宋_GB2312" w:hAnsi="仿宋_GB2312" w:eastAsia="仿宋_GB2312" w:cs="仿宋_GB2312"/>
          <w:i w:val="0"/>
          <w:iCs w:val="0"/>
          <w:caps w:val="0"/>
          <w:spacing w:val="8"/>
          <w:sz w:val="32"/>
          <w:szCs w:val="32"/>
          <w:shd w:val="clear" w:color="auto" w:fill="FFFFFF"/>
          <w:lang w:eastAsia="zh-CN"/>
        </w:rPr>
        <w:t>一是</w:t>
      </w:r>
      <w:r>
        <w:rPr>
          <w:rFonts w:hint="eastAsia" w:ascii="仿宋_GB2312" w:hAnsi="仿宋_GB2312" w:eastAsia="仿宋_GB2312" w:cs="仿宋_GB2312"/>
          <w:i w:val="0"/>
          <w:iCs w:val="0"/>
          <w:caps w:val="0"/>
          <w:spacing w:val="8"/>
          <w:sz w:val="32"/>
          <w:szCs w:val="32"/>
          <w:shd w:val="clear" w:color="auto" w:fill="FFFFFF"/>
        </w:rPr>
        <w:t>年初，按照</w:t>
      </w:r>
      <w:r>
        <w:rPr>
          <w:rFonts w:hint="eastAsia" w:ascii="仿宋_GB2312" w:hAnsi="仿宋_GB2312" w:eastAsia="仿宋_GB2312" w:cs="仿宋_GB2312"/>
          <w:i w:val="0"/>
          <w:iCs w:val="0"/>
          <w:caps w:val="0"/>
          <w:spacing w:val="8"/>
          <w:sz w:val="32"/>
          <w:szCs w:val="32"/>
          <w:shd w:val="clear" w:color="auto" w:fill="FFFFFF"/>
          <w:lang w:eastAsia="zh-CN"/>
        </w:rPr>
        <w:t>县委县政府</w:t>
      </w:r>
      <w:r>
        <w:rPr>
          <w:rFonts w:hint="eastAsia" w:ascii="仿宋_GB2312" w:hAnsi="仿宋_GB2312" w:eastAsia="仿宋_GB2312" w:cs="仿宋_GB2312"/>
          <w:i w:val="0"/>
          <w:iCs w:val="0"/>
          <w:caps w:val="0"/>
          <w:spacing w:val="8"/>
          <w:sz w:val="32"/>
          <w:szCs w:val="32"/>
          <w:shd w:val="clear" w:color="auto" w:fill="FFFFFF"/>
        </w:rPr>
        <w:t>的工作要求，我</w:t>
      </w:r>
      <w:r>
        <w:rPr>
          <w:rFonts w:hint="eastAsia" w:ascii="仿宋_GB2312" w:hAnsi="仿宋_GB2312" w:eastAsia="仿宋_GB2312" w:cs="仿宋_GB2312"/>
          <w:i w:val="0"/>
          <w:iCs w:val="0"/>
          <w:caps w:val="0"/>
          <w:spacing w:val="8"/>
          <w:sz w:val="32"/>
          <w:szCs w:val="32"/>
          <w:shd w:val="clear" w:color="auto" w:fill="FFFFFF"/>
          <w:lang w:eastAsia="zh-CN"/>
        </w:rPr>
        <w:t>校</w:t>
      </w:r>
      <w:r>
        <w:rPr>
          <w:rFonts w:hint="eastAsia" w:ascii="仿宋_GB2312" w:hAnsi="仿宋_GB2312" w:eastAsia="仿宋_GB2312" w:cs="仿宋_GB2312"/>
          <w:i w:val="0"/>
          <w:iCs w:val="0"/>
          <w:caps w:val="0"/>
          <w:spacing w:val="8"/>
          <w:sz w:val="32"/>
          <w:szCs w:val="32"/>
          <w:shd w:val="clear" w:color="auto" w:fill="FFFFFF"/>
        </w:rPr>
        <w:t>研究制定出《</w:t>
      </w:r>
      <w:r>
        <w:rPr>
          <w:rFonts w:hint="eastAsia" w:ascii="仿宋_GB2312" w:hAnsi="仿宋_GB2312" w:eastAsia="仿宋_GB2312" w:cs="仿宋_GB2312"/>
          <w:i w:val="0"/>
          <w:iCs w:val="0"/>
          <w:caps w:val="0"/>
          <w:spacing w:val="8"/>
          <w:sz w:val="32"/>
          <w:szCs w:val="32"/>
          <w:shd w:val="clear" w:color="auto" w:fill="FFFFFF"/>
          <w:lang w:eastAsia="zh-CN"/>
        </w:rPr>
        <w:t>中共壤塘县委</w:t>
      </w:r>
      <w:r>
        <w:rPr>
          <w:rFonts w:hint="eastAsia" w:ascii="仿宋_GB2312" w:hAnsi="仿宋_GB2312" w:eastAsia="仿宋_GB2312" w:cs="仿宋_GB2312"/>
          <w:i w:val="0"/>
          <w:iCs w:val="0"/>
          <w:caps w:val="0"/>
          <w:spacing w:val="8"/>
          <w:sz w:val="32"/>
          <w:szCs w:val="32"/>
          <w:shd w:val="clear" w:color="auto" w:fill="FFFFFF"/>
        </w:rPr>
        <w:t>党校20</w:t>
      </w:r>
      <w:r>
        <w:rPr>
          <w:rFonts w:hint="eastAsia" w:ascii="仿宋_GB2312" w:hAnsi="仿宋_GB2312" w:eastAsia="仿宋_GB2312" w:cs="仿宋_GB2312"/>
          <w:i w:val="0"/>
          <w:iCs w:val="0"/>
          <w:caps w:val="0"/>
          <w:spacing w:val="8"/>
          <w:sz w:val="32"/>
          <w:szCs w:val="32"/>
          <w:shd w:val="clear" w:color="auto" w:fill="FFFFFF"/>
          <w:lang w:val="en-US" w:eastAsia="zh-CN"/>
        </w:rPr>
        <w:t>24</w:t>
      </w:r>
      <w:r>
        <w:rPr>
          <w:rFonts w:hint="eastAsia" w:ascii="仿宋_GB2312" w:hAnsi="仿宋_GB2312" w:eastAsia="仿宋_GB2312" w:cs="仿宋_GB2312"/>
          <w:i w:val="0"/>
          <w:iCs w:val="0"/>
          <w:caps w:val="0"/>
          <w:spacing w:val="8"/>
          <w:sz w:val="32"/>
          <w:szCs w:val="32"/>
          <w:shd w:val="clear" w:color="auto" w:fill="FFFFFF"/>
        </w:rPr>
        <w:t>年</w:t>
      </w:r>
      <w:r>
        <w:rPr>
          <w:rFonts w:hint="eastAsia" w:ascii="仿宋_GB2312" w:hAnsi="仿宋_GB2312" w:eastAsia="仿宋_GB2312" w:cs="仿宋_GB2312"/>
          <w:i w:val="0"/>
          <w:iCs w:val="0"/>
          <w:caps w:val="0"/>
          <w:spacing w:val="8"/>
          <w:sz w:val="32"/>
          <w:szCs w:val="32"/>
          <w:shd w:val="clear" w:color="auto" w:fill="FFFFFF"/>
          <w:lang w:val="en-US" w:eastAsia="zh-CN"/>
        </w:rPr>
        <w:t>干部教育培训</w:t>
      </w:r>
      <w:r>
        <w:rPr>
          <w:rFonts w:hint="eastAsia" w:ascii="仿宋_GB2312" w:hAnsi="仿宋_GB2312" w:eastAsia="仿宋_GB2312" w:cs="仿宋_GB2312"/>
          <w:i w:val="0"/>
          <w:iCs w:val="0"/>
          <w:caps w:val="0"/>
          <w:spacing w:val="8"/>
          <w:sz w:val="32"/>
          <w:szCs w:val="32"/>
          <w:shd w:val="clear" w:color="auto" w:fill="FFFFFF"/>
        </w:rPr>
        <w:t>计划》，自3月份开始认真按照计划组织实施，已举办各类培训班</w:t>
      </w:r>
      <w:r>
        <w:rPr>
          <w:rFonts w:hint="eastAsia" w:ascii="仿宋_GB2312" w:hAnsi="仿宋_GB2312" w:eastAsia="仿宋_GB2312" w:cs="仿宋_GB2312"/>
          <w:i w:val="0"/>
          <w:iCs w:val="0"/>
          <w:caps w:val="0"/>
          <w:spacing w:val="8"/>
          <w:sz w:val="32"/>
          <w:szCs w:val="32"/>
          <w:shd w:val="clear" w:color="auto" w:fill="FFFFFF"/>
          <w:lang w:val="en-US" w:eastAsia="zh-CN"/>
        </w:rPr>
        <w:t>19</w:t>
      </w:r>
      <w:r>
        <w:rPr>
          <w:rFonts w:hint="eastAsia" w:ascii="仿宋_GB2312" w:hAnsi="仿宋_GB2312" w:eastAsia="仿宋_GB2312" w:cs="仿宋_GB2312"/>
          <w:i w:val="0"/>
          <w:iCs w:val="0"/>
          <w:caps w:val="0"/>
          <w:spacing w:val="8"/>
          <w:sz w:val="32"/>
          <w:szCs w:val="32"/>
          <w:shd w:val="clear" w:color="auto" w:fill="FFFFFF"/>
        </w:rPr>
        <w:t>期，</w:t>
      </w:r>
      <w:r>
        <w:rPr>
          <w:rFonts w:hint="eastAsia" w:ascii="仿宋_GB2312" w:hAnsi="仿宋_GB2312" w:eastAsia="仿宋_GB2312" w:cs="仿宋_GB2312"/>
          <w:i w:val="0"/>
          <w:iCs w:val="0"/>
          <w:caps w:val="0"/>
          <w:spacing w:val="8"/>
          <w:sz w:val="32"/>
          <w:szCs w:val="32"/>
          <w:shd w:val="clear" w:color="auto" w:fill="FFFFFF"/>
          <w:lang w:val="en-US" w:eastAsia="zh-CN"/>
        </w:rPr>
        <w:t>外出宣讲15场次，覆盖人数2026</w:t>
      </w:r>
      <w:r>
        <w:rPr>
          <w:rFonts w:hint="eastAsia" w:ascii="仿宋_GB2312" w:hAnsi="仿宋_GB2312" w:eastAsia="仿宋_GB2312" w:cs="仿宋_GB2312"/>
          <w:i w:val="0"/>
          <w:iCs w:val="0"/>
          <w:caps w:val="0"/>
          <w:spacing w:val="8"/>
          <w:sz w:val="32"/>
          <w:szCs w:val="32"/>
          <w:shd w:val="clear" w:color="auto" w:fill="FFFFFF"/>
        </w:rPr>
        <w:t>人次</w:t>
      </w:r>
      <w:r>
        <w:rPr>
          <w:rFonts w:hint="default" w:ascii="Times New Roman" w:hAnsi="Times New Roman" w:eastAsia="仿宋_GB2312" w:cs="Times New Roman"/>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7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spacing w:val="8"/>
          <w:sz w:val="32"/>
          <w:szCs w:val="32"/>
          <w:shd w:val="clear" w:color="auto" w:fill="FFFFFF"/>
          <w:lang w:val="en-US" w:eastAsia="zh-CN"/>
        </w:rPr>
        <w:t>（2）</w:t>
      </w:r>
      <w:r>
        <w:rPr>
          <w:rFonts w:hint="default" w:ascii="仿宋_GB2312" w:hAnsi="仿宋_GB2312" w:eastAsia="仿宋_GB2312" w:cs="仿宋_GB2312"/>
          <w:i w:val="0"/>
          <w:iCs w:val="0"/>
          <w:caps w:val="0"/>
          <w:spacing w:val="8"/>
          <w:sz w:val="32"/>
          <w:szCs w:val="32"/>
          <w:shd w:val="clear" w:color="auto" w:fill="FFFFFF"/>
          <w:lang w:val="en-US" w:eastAsia="zh-CN"/>
        </w:rPr>
        <w:t>创新教学方式，加大管理力度</w:t>
      </w:r>
      <w:r>
        <w:rPr>
          <w:rFonts w:hint="eastAsia" w:ascii="仿宋_GB2312" w:hAnsi="仿宋_GB2312" w:eastAsia="仿宋_GB2312" w:cs="仿宋_GB2312"/>
          <w:i w:val="0"/>
          <w:iCs w:val="0"/>
          <w:caps w:val="0"/>
          <w:spacing w:val="8"/>
          <w:sz w:val="32"/>
          <w:szCs w:val="32"/>
          <w:shd w:val="clear" w:color="auto" w:fill="FFFFFF"/>
          <w:lang w:val="en-US" w:eastAsia="zh-CN"/>
        </w:rPr>
        <w:t>；</w:t>
      </w:r>
      <w:r>
        <w:rPr>
          <w:rFonts w:hint="default" w:ascii="仿宋_GB2312" w:hAnsi="仿宋_GB2312" w:eastAsia="仿宋_GB2312" w:cs="仿宋_GB2312"/>
          <w:i w:val="0"/>
          <w:iCs w:val="0"/>
          <w:caps w:val="0"/>
          <w:spacing w:val="8"/>
          <w:sz w:val="32"/>
          <w:szCs w:val="32"/>
          <w:shd w:val="clear" w:color="auto" w:fill="FFFFFF"/>
          <w:lang w:val="en-US" w:eastAsia="zh-CN"/>
        </w:rPr>
        <w:t>教学方式方法是展现培训内容，实现培训目的的</w:t>
      </w:r>
      <w:r>
        <w:rPr>
          <w:rFonts w:hint="default" w:ascii="Times New Roman" w:hAnsi="Times New Roman" w:eastAsia="仿宋_GB2312" w:cs="Times New Roman"/>
          <w:sz w:val="32"/>
          <w:szCs w:val="32"/>
          <w:lang w:val="en-US" w:eastAsia="zh-CN"/>
        </w:rPr>
        <w:t>基本途径，也是新形势下对干部培训工作的需求。</w:t>
      </w:r>
    </w:p>
    <w:p>
      <w:pPr>
        <w:pStyle w:val="27"/>
        <w:spacing w:line="360" w:lineRule="auto"/>
        <w:ind w:firstLine="643"/>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3.预算编制情况</w:t>
      </w:r>
    </w:p>
    <w:p>
      <w:pPr>
        <w:pStyle w:val="27"/>
        <w:spacing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2024年</w:t>
      </w:r>
      <w:r>
        <w:rPr>
          <w:rFonts w:hint="eastAsia" w:ascii="仿宋_GB2312" w:hAnsi="仿宋_GB2312" w:eastAsia="仿宋_GB2312" w:cs="仿宋_GB2312"/>
          <w:sz w:val="32"/>
          <w:szCs w:val="32"/>
        </w:rPr>
        <w:t>中共壤塘县委党校</w:t>
      </w:r>
      <w:r>
        <w:rPr>
          <w:rFonts w:ascii="仿宋_GB2312" w:hAnsi="仿宋_GB2312" w:eastAsia="仿宋_GB2312" w:cs="仿宋_GB2312"/>
          <w:sz w:val="32"/>
          <w:szCs w:val="32"/>
        </w:rPr>
        <w:t>年初预算数为</w:t>
      </w:r>
      <w:r>
        <w:rPr>
          <w:rFonts w:hint="eastAsia" w:ascii="仿宋_GB2312" w:hAnsi="仿宋_GB2312" w:eastAsia="仿宋_GB2312" w:cs="仿宋_GB2312"/>
          <w:sz w:val="32"/>
          <w:szCs w:val="32"/>
          <w:lang w:val="en-US" w:eastAsia="zh-CN"/>
        </w:rPr>
        <w:t>258.9</w:t>
      </w:r>
      <w:r>
        <w:rPr>
          <w:rFonts w:ascii="仿宋_GB2312" w:hAnsi="仿宋_GB2312" w:eastAsia="仿宋_GB2312" w:cs="仿宋_GB2312"/>
          <w:sz w:val="32"/>
          <w:szCs w:val="32"/>
        </w:rPr>
        <w:t>万元，</w:t>
      </w:r>
      <w:r>
        <w:rPr>
          <w:rFonts w:hint="eastAsia" w:ascii="仿宋_GB2312" w:hAnsi="仿宋_GB2312" w:eastAsia="仿宋_GB2312" w:cs="仿宋_GB2312"/>
          <w:sz w:val="32"/>
          <w:szCs w:val="32"/>
        </w:rPr>
        <w:t>执行期间根据工作安排和开展情况追加收入</w:t>
      </w:r>
      <w:r>
        <w:rPr>
          <w:rFonts w:hint="eastAsia" w:ascii="仿宋_GB2312" w:hAnsi="仿宋_GB2312" w:eastAsia="仿宋_GB2312" w:cs="仿宋_GB2312"/>
          <w:sz w:val="32"/>
          <w:szCs w:val="32"/>
          <w:lang w:val="en-US" w:eastAsia="zh-CN"/>
        </w:rPr>
        <w:t>129.65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其他收入22.65万元</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调整预算数为</w:t>
      </w:r>
      <w:r>
        <w:rPr>
          <w:rFonts w:hint="eastAsia" w:ascii="仿宋_GB2312" w:hAnsi="仿宋_GB2312" w:eastAsia="仿宋_GB2312" w:cs="仿宋_GB2312"/>
          <w:sz w:val="32"/>
          <w:szCs w:val="32"/>
          <w:lang w:val="en-US" w:eastAsia="zh-CN"/>
        </w:rPr>
        <w:t>411.2</w:t>
      </w:r>
      <w:r>
        <w:rPr>
          <w:rFonts w:ascii="仿宋_GB2312" w:hAnsi="仿宋_GB2312" w:eastAsia="仿宋_GB2312" w:cs="仿宋_GB2312"/>
          <w:sz w:val="32"/>
          <w:szCs w:val="32"/>
        </w:rPr>
        <w:t>万元，预算安排</w:t>
      </w:r>
      <w:r>
        <w:rPr>
          <w:rFonts w:hint="eastAsia" w:ascii="仿宋_GB2312" w:hAnsi="仿宋_GB2312" w:eastAsia="仿宋_GB2312" w:cs="仿宋_GB2312"/>
          <w:sz w:val="32"/>
          <w:szCs w:val="32"/>
          <w:lang w:val="en-US" w:eastAsia="zh-CN"/>
        </w:rPr>
        <w:t>不</w:t>
      </w:r>
      <w:r>
        <w:rPr>
          <w:rFonts w:ascii="仿宋_GB2312" w:hAnsi="仿宋_GB2312" w:eastAsia="仿宋_GB2312" w:cs="仿宋_GB2312"/>
          <w:sz w:val="32"/>
          <w:szCs w:val="32"/>
        </w:rPr>
        <w:t>准确。</w:t>
      </w:r>
    </w:p>
    <w:p>
      <w:pPr>
        <w:pStyle w:val="27"/>
        <w:spacing w:line="360" w:lineRule="auto"/>
        <w:ind w:firstLine="643"/>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4.执行进度</w:t>
      </w:r>
    </w:p>
    <w:p>
      <w:pPr>
        <w:pStyle w:val="27"/>
        <w:spacing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2024年</w:t>
      </w:r>
      <w:r>
        <w:rPr>
          <w:rFonts w:hint="eastAsia" w:ascii="仿宋_GB2312" w:hAnsi="仿宋_GB2312" w:eastAsia="仿宋_GB2312" w:cs="仿宋_GB2312"/>
          <w:sz w:val="32"/>
          <w:szCs w:val="32"/>
        </w:rPr>
        <w:t>中共壤塘县委党校财政拨款执行数</w:t>
      </w:r>
      <w:r>
        <w:rPr>
          <w:rFonts w:hint="eastAsia" w:ascii="仿宋_GB2312" w:hAnsi="仿宋_GB2312" w:eastAsia="仿宋_GB2312" w:cs="仿宋_GB2312"/>
          <w:sz w:val="32"/>
          <w:szCs w:val="32"/>
          <w:lang w:val="en-US" w:eastAsia="zh-CN"/>
        </w:rPr>
        <w:t>410.85</w:t>
      </w:r>
      <w:r>
        <w:rPr>
          <w:rFonts w:hint="eastAsia" w:ascii="仿宋_GB2312" w:hAnsi="仿宋_GB2312" w:eastAsia="仿宋_GB2312" w:cs="仿宋_GB2312"/>
          <w:sz w:val="32"/>
          <w:szCs w:val="32"/>
        </w:rPr>
        <w:t>万元，财政拨款调整预算数</w:t>
      </w:r>
      <w:r>
        <w:rPr>
          <w:rFonts w:hint="eastAsia" w:ascii="仿宋_GB2312" w:hAnsi="仿宋_GB2312" w:eastAsia="仿宋_GB2312" w:cs="仿宋_GB2312"/>
          <w:sz w:val="32"/>
          <w:szCs w:val="32"/>
          <w:lang w:eastAsia="zh-CN"/>
        </w:rPr>
        <w:t>411.2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年末结转结余0.35万元，</w:t>
      </w:r>
      <w:r>
        <w:rPr>
          <w:rFonts w:hint="eastAsia" w:ascii="仿宋_GB2312" w:hAnsi="仿宋_GB2312" w:eastAsia="仿宋_GB2312" w:cs="仿宋_GB2312"/>
          <w:sz w:val="32"/>
          <w:szCs w:val="32"/>
        </w:rPr>
        <w:t>部门总体执行进度</w:t>
      </w:r>
      <w:r>
        <w:rPr>
          <w:rFonts w:hint="eastAsia" w:ascii="仿宋_GB2312" w:hAnsi="仿宋_GB2312" w:eastAsia="仿宋_GB2312" w:cs="仿宋_GB2312"/>
          <w:sz w:val="32"/>
          <w:szCs w:val="32"/>
          <w:lang w:val="en-US" w:eastAsia="zh-CN"/>
        </w:rPr>
        <w:t>为99.91%，执行进度较高</w:t>
      </w:r>
      <w:r>
        <w:rPr>
          <w:rFonts w:hint="eastAsia" w:ascii="仿宋_GB2312" w:hAnsi="仿宋_GB2312" w:eastAsia="仿宋_GB2312" w:cs="仿宋_GB2312"/>
          <w:sz w:val="32"/>
          <w:szCs w:val="32"/>
        </w:rPr>
        <w:t>。</w:t>
      </w:r>
    </w:p>
    <w:p>
      <w:pPr>
        <w:pStyle w:val="27"/>
        <w:spacing w:line="360" w:lineRule="auto"/>
        <w:ind w:firstLine="643"/>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5.预算完成情况</w:t>
      </w:r>
    </w:p>
    <w:p>
      <w:pPr>
        <w:pStyle w:val="27"/>
        <w:spacing w:line="360" w:lineRule="auto"/>
        <w:ind w:firstLine="640"/>
        <w:rPr>
          <w:rFonts w:ascii="仿宋_GB2312" w:hAnsi="仿宋_GB2312" w:eastAsia="仿宋_GB2312" w:cs="仿宋_GB2312"/>
          <w:b/>
          <w:bCs/>
          <w:sz w:val="32"/>
          <w:szCs w:val="32"/>
        </w:rPr>
      </w:pPr>
      <w:r>
        <w:rPr>
          <w:rFonts w:hint="eastAsia" w:ascii="仿宋_GB2312" w:hAnsi="仿宋_GB2312" w:eastAsia="仿宋_GB2312" w:cs="仿宋_GB2312"/>
          <w:sz w:val="32"/>
          <w:szCs w:val="32"/>
          <w:lang w:eastAsia="zh-CN"/>
        </w:rPr>
        <w:t>2024年</w:t>
      </w:r>
      <w:r>
        <w:rPr>
          <w:rFonts w:hint="eastAsia" w:ascii="仿宋_GB2312" w:hAnsi="仿宋_GB2312" w:eastAsia="仿宋_GB2312" w:cs="仿宋_GB2312"/>
          <w:sz w:val="32"/>
          <w:szCs w:val="32"/>
        </w:rPr>
        <w:t>中共壤塘县委党校</w:t>
      </w:r>
      <w:r>
        <w:rPr>
          <w:rFonts w:ascii="仿宋_GB2312" w:hAnsi="仿宋_GB2312" w:eastAsia="仿宋_GB2312" w:cs="仿宋_GB2312"/>
          <w:sz w:val="32"/>
          <w:szCs w:val="32"/>
        </w:rPr>
        <w:t>年初预算数为</w:t>
      </w:r>
      <w:r>
        <w:rPr>
          <w:rFonts w:hint="eastAsia" w:ascii="仿宋_GB2312" w:hAnsi="仿宋_GB2312" w:eastAsia="仿宋_GB2312" w:cs="仿宋_GB2312"/>
          <w:sz w:val="32"/>
          <w:szCs w:val="32"/>
          <w:lang w:val="en-US" w:eastAsia="zh-CN"/>
        </w:rPr>
        <w:t>258.9</w:t>
      </w:r>
      <w:r>
        <w:rPr>
          <w:rFonts w:ascii="仿宋_GB2312" w:hAnsi="仿宋_GB2312" w:eastAsia="仿宋_GB2312" w:cs="仿宋_GB2312"/>
          <w:sz w:val="32"/>
          <w:szCs w:val="32"/>
        </w:rPr>
        <w:t>万元，</w:t>
      </w:r>
      <w:r>
        <w:rPr>
          <w:rFonts w:hint="eastAsia" w:ascii="仿宋_GB2312" w:hAnsi="仿宋_GB2312" w:eastAsia="仿宋_GB2312" w:cs="仿宋_GB2312"/>
          <w:sz w:val="32"/>
          <w:szCs w:val="32"/>
        </w:rPr>
        <w:t>执行期间根据工作安排和开展情况追加收入</w:t>
      </w:r>
      <w:r>
        <w:rPr>
          <w:rFonts w:hint="eastAsia" w:ascii="仿宋_GB2312" w:hAnsi="仿宋_GB2312" w:eastAsia="仿宋_GB2312" w:cs="仿宋_GB2312"/>
          <w:sz w:val="32"/>
          <w:szCs w:val="32"/>
          <w:lang w:val="en-US" w:eastAsia="zh-CN"/>
        </w:rPr>
        <w:t>129.65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其他收入22.65万元，</w:t>
      </w:r>
      <w:r>
        <w:rPr>
          <w:rFonts w:ascii="仿宋_GB2312" w:hAnsi="仿宋_GB2312" w:eastAsia="仿宋_GB2312" w:cs="仿宋_GB2312"/>
          <w:sz w:val="32"/>
          <w:szCs w:val="32"/>
        </w:rPr>
        <w:t>调整预算数为</w:t>
      </w:r>
      <w:r>
        <w:rPr>
          <w:rFonts w:hint="eastAsia" w:ascii="仿宋_GB2312" w:hAnsi="仿宋_GB2312" w:eastAsia="仿宋_GB2312" w:cs="仿宋_GB2312"/>
          <w:sz w:val="32"/>
          <w:szCs w:val="32"/>
          <w:lang w:val="en-US" w:eastAsia="zh-CN"/>
        </w:rPr>
        <w:t>411.2</w:t>
      </w:r>
      <w:r>
        <w:rPr>
          <w:rFonts w:ascii="仿宋_GB2312" w:hAnsi="仿宋_GB2312" w:eastAsia="仿宋_GB2312" w:cs="仿宋_GB2312"/>
          <w:sz w:val="32"/>
          <w:szCs w:val="32"/>
        </w:rPr>
        <w:t>万元</w:t>
      </w:r>
      <w:r>
        <w:rPr>
          <w:rFonts w:hint="eastAsia" w:ascii="仿宋_GB2312" w:hAnsi="仿宋_GB2312" w:eastAsia="仿宋_GB2312" w:cs="仿宋_GB2312"/>
          <w:sz w:val="32"/>
          <w:szCs w:val="32"/>
        </w:rPr>
        <w:t>，预算完成度较高。</w:t>
      </w:r>
    </w:p>
    <w:p>
      <w:pPr>
        <w:pStyle w:val="27"/>
        <w:spacing w:line="360" w:lineRule="auto"/>
        <w:ind w:firstLine="643"/>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6.违规纪录</w:t>
      </w:r>
    </w:p>
    <w:p>
      <w:pPr>
        <w:pStyle w:val="27"/>
        <w:spacing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截至</w:t>
      </w:r>
      <w:r>
        <w:rPr>
          <w:rFonts w:hint="eastAsia" w:ascii="仿宋_GB2312" w:hAnsi="仿宋_GB2312" w:eastAsia="仿宋_GB2312" w:cs="仿宋_GB2312"/>
          <w:sz w:val="32"/>
          <w:szCs w:val="32"/>
          <w:lang w:eastAsia="zh-CN"/>
        </w:rPr>
        <w:t>2024年</w:t>
      </w:r>
      <w:r>
        <w:rPr>
          <w:rFonts w:hint="eastAsia" w:ascii="仿宋_GB2312" w:hAnsi="仿宋_GB2312" w:eastAsia="仿宋_GB2312" w:cs="仿宋_GB2312"/>
          <w:sz w:val="32"/>
          <w:szCs w:val="32"/>
        </w:rPr>
        <w:t>12月31日，我单位无违规纪录情况。</w:t>
      </w:r>
    </w:p>
    <w:p>
      <w:pPr>
        <w:pStyle w:val="27"/>
        <w:spacing w:line="360" w:lineRule="auto"/>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7.</w:t>
      </w:r>
      <w:r>
        <w:rPr>
          <w:rFonts w:hint="eastAsia" w:ascii="仿宋_GB2312" w:hAnsi="仿宋_GB2312" w:eastAsia="仿宋_GB2312" w:cs="仿宋_GB2312"/>
          <w:b/>
          <w:bCs/>
          <w:sz w:val="32"/>
          <w:szCs w:val="32"/>
          <w:lang w:val="en-US" w:eastAsia="zh-CN"/>
        </w:rPr>
        <w:t>“三公”</w:t>
      </w:r>
      <w:r>
        <w:rPr>
          <w:rFonts w:hint="eastAsia" w:ascii="仿宋_GB2312" w:hAnsi="仿宋_GB2312" w:eastAsia="仿宋_GB2312" w:cs="仿宋_GB2312"/>
          <w:b/>
          <w:bCs/>
          <w:sz w:val="32"/>
          <w:szCs w:val="32"/>
          <w:lang w:val="en-US" w:eastAsia="zh-CN"/>
        </w:rPr>
        <w:t>经费</w:t>
      </w:r>
    </w:p>
    <w:p>
      <w:pPr>
        <w:pStyle w:val="27"/>
        <w:spacing w:line="360" w:lineRule="auto"/>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公”经费控制。中共壤塘县委党校2024年“三公”经费预算4万元，决算支出3.45万元。其中公务用车购置及运行维护费预算4万元，决算支出3.45万元（其中公务用车运行维护费3.45万元）,未发生因公出国（境）费及公务接待费，2024年“三公”经费决算均未超过预算。</w:t>
      </w:r>
    </w:p>
    <w:p>
      <w:pPr>
        <w:pStyle w:val="27"/>
        <w:spacing w:line="360" w:lineRule="auto"/>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8.政府采购</w:t>
      </w:r>
    </w:p>
    <w:p>
      <w:pPr>
        <w:pStyle w:val="27"/>
        <w:spacing w:line="360" w:lineRule="auto"/>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采购规范性。中共壤塘县委党校2024年度政府采购货物支出0万元，政府采购工程支出0万元，政府采购服务支出0万元。</w:t>
      </w:r>
    </w:p>
    <w:p>
      <w:pPr>
        <w:pStyle w:val="27"/>
        <w:spacing w:line="360" w:lineRule="auto"/>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9.资产管理</w:t>
      </w:r>
      <w:r>
        <w:rPr>
          <w:rFonts w:hint="eastAsia" w:ascii="仿宋_GB2312" w:hAnsi="仿宋_GB2312" w:eastAsia="仿宋_GB2312" w:cs="仿宋_GB2312"/>
          <w:sz w:val="32"/>
          <w:szCs w:val="32"/>
          <w:lang w:val="en-US" w:eastAsia="zh-CN"/>
        </w:rPr>
        <w:t xml:space="preserve">  </w:t>
      </w:r>
    </w:p>
    <w:p>
      <w:pPr>
        <w:pStyle w:val="27"/>
        <w:spacing w:line="360" w:lineRule="auto"/>
        <w:ind w:firstLine="64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固定资产在用率。截止2024年12月31日，中共壤塘县委党校《行政单位资产管理系统》固定资产总计122.28万元，在用的固定资产总计122.28万元，固定资产在用率达100%。</w:t>
      </w:r>
    </w:p>
    <w:p>
      <w:pPr>
        <w:pStyle w:val="27"/>
        <w:numPr>
          <w:ilvl w:val="0"/>
          <w:numId w:val="5"/>
        </w:numPr>
        <w:spacing w:line="360" w:lineRule="auto"/>
        <w:ind w:firstLine="643"/>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结果应用情况</w:t>
      </w:r>
    </w:p>
    <w:p>
      <w:pPr>
        <w:pStyle w:val="27"/>
        <w:spacing w:line="360" w:lineRule="auto"/>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b/>
          <w:bCs/>
          <w:kern w:val="0"/>
          <w:sz w:val="32"/>
          <w:szCs w:val="32"/>
        </w:rPr>
        <w:t>　</w:t>
      </w:r>
      <w:r>
        <w:rPr>
          <w:rFonts w:hint="eastAsia" w:ascii="仿宋_GB2312" w:hAnsi="仿宋_GB2312" w:eastAsia="仿宋_GB2312" w:cs="仿宋_GB2312"/>
          <w:sz w:val="32"/>
          <w:szCs w:val="32"/>
        </w:rPr>
        <w:t>　根据县财政局要求，我单位成立自评工作小组，组织实施本单位</w:t>
      </w:r>
      <w:r>
        <w:rPr>
          <w:rFonts w:hint="eastAsia" w:ascii="仿宋_GB2312" w:hAnsi="仿宋_GB2312" w:eastAsia="仿宋_GB2312" w:cs="仿宋_GB2312"/>
          <w:sz w:val="32"/>
          <w:szCs w:val="32"/>
          <w:lang w:eastAsia="zh-CN"/>
        </w:rPr>
        <w:t>2024年</w:t>
      </w:r>
      <w:r>
        <w:rPr>
          <w:rFonts w:hint="eastAsia" w:ascii="仿宋_GB2312" w:hAnsi="仿宋_GB2312" w:eastAsia="仿宋_GB2312" w:cs="仿宋_GB2312"/>
          <w:sz w:val="32"/>
          <w:szCs w:val="32"/>
        </w:rPr>
        <w:t>绩效管理自评工作。信息公开情况：按照财政要求，及时在预决算批复后20日内，在壤塘县人民政府的网站进行了信息公开，公开内容真实、完整。依法接受财政、审计、纪检监察、巡查等部门的监督检查。严守财经法规，严格财经纪律，依法接受财政、审计、巡察、派驻纪检监督，按时上报各类资料。严格遵守省</w:t>
      </w:r>
      <w:r>
        <w:rPr>
          <w:rFonts w:hint="eastAsia" w:ascii="仿宋_GB2312" w:hAnsi="仿宋_GB2312" w:eastAsia="仿宋_GB2312" w:cs="仿宋_GB2312"/>
          <w:sz w:val="32"/>
          <w:szCs w:val="32"/>
          <w:lang w:eastAsia="zh-CN"/>
        </w:rPr>
        <w:t>州</w:t>
      </w:r>
      <w:bookmarkStart w:id="136" w:name="_GoBack"/>
      <w:bookmarkEnd w:id="136"/>
      <w:r>
        <w:rPr>
          <w:rFonts w:hint="eastAsia" w:ascii="仿宋_GB2312" w:hAnsi="仿宋_GB2312" w:eastAsia="仿宋_GB2312" w:cs="仿宋_GB2312"/>
          <w:sz w:val="32"/>
          <w:szCs w:val="32"/>
        </w:rPr>
        <w:t>县有关厉行勤俭节约相关规定，严格执行财务管理制度，根据年初预算合理安排日常公用经费资金，做到厉行节约、精打细算，把有效的资金用到刀刃上，让财政资金发挥最大的社会及经济效益并保证全局各项工作的正常运转。</w:t>
      </w:r>
    </w:p>
    <w:p>
      <w:pPr>
        <w:pStyle w:val="27"/>
        <w:spacing w:line="360" w:lineRule="auto"/>
        <w:ind w:firstLine="643"/>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四、评价结论及措施</w:t>
      </w:r>
    </w:p>
    <w:p>
      <w:pPr>
        <w:pStyle w:val="27"/>
        <w:spacing w:line="360" w:lineRule="auto"/>
        <w:ind w:firstLine="643"/>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（一）评价结论</w:t>
      </w:r>
    </w:p>
    <w:p>
      <w:pPr>
        <w:pStyle w:val="27"/>
        <w:spacing w:line="360" w:lineRule="auto"/>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zh-CN"/>
        </w:rPr>
        <w:t>我单位通过加强预算收支管理，不断建立健全内部管理制度，强化内部管理流程，部门整体支出管理情况得到提升，也能较好完成部门决算的编制、送审、批复和公开工作。同时也认识到在编制决算过程中存在项目分类不够精细、功能科目分类不够准确等不足。在下一年度的部门预算编制、执行决算中，我单位将继续努力，科学合理编制预决算，进行绩效评价，加强精细管理，完善不足</w:t>
      </w:r>
      <w:r>
        <w:rPr>
          <w:rFonts w:hint="eastAsia" w:ascii="仿宋_GB2312" w:hAnsi="仿宋_GB2312" w:eastAsia="仿宋_GB2312" w:cs="仿宋_GB2312"/>
          <w:sz w:val="32"/>
          <w:szCs w:val="32"/>
        </w:rPr>
        <w:t>。</w:t>
      </w:r>
    </w:p>
    <w:p>
      <w:pPr>
        <w:pStyle w:val="22"/>
        <w:keepNext w:val="0"/>
        <w:keepLines w:val="0"/>
        <w:widowControl w:val="0"/>
        <w:suppressLineNumbers w:val="0"/>
        <w:spacing w:before="0" w:beforeAutospacing="0" w:after="0" w:afterAutospacing="0" w:line="360" w:lineRule="auto"/>
        <w:ind w:left="0" w:right="0" w:firstLine="642" w:firstLineChars="200"/>
        <w:jc w:val="both"/>
        <w:rPr>
          <w:rFonts w:hint="default" w:ascii="仿宋_GB2312" w:eastAsia="仿宋_GB2312" w:cs="仿宋_GB2312"/>
          <w:b/>
          <w:bCs/>
          <w:kern w:val="2"/>
          <w:sz w:val="32"/>
          <w:szCs w:val="32"/>
        </w:rPr>
      </w:pPr>
      <w:r>
        <w:rPr>
          <w:rFonts w:hint="default" w:ascii="仿宋_GB2312" w:hAnsi="Calibri" w:eastAsia="仿宋_GB2312" w:cs="仿宋_GB2312"/>
          <w:b/>
          <w:bCs/>
          <w:kern w:val="2"/>
          <w:sz w:val="32"/>
          <w:szCs w:val="32"/>
          <w:lang w:val="en-US" w:eastAsia="zh-CN" w:bidi="ar"/>
        </w:rPr>
        <w:t>（二）存在问题</w:t>
      </w:r>
    </w:p>
    <w:p>
      <w:pPr>
        <w:keepNext w:val="0"/>
        <w:keepLines w:val="0"/>
        <w:widowControl/>
        <w:suppressLineNumbers w:val="0"/>
        <w:autoSpaceDE w:val="0"/>
        <w:autoSpaceDN/>
        <w:spacing w:before="0" w:beforeAutospacing="0" w:after="0" w:afterAutospacing="0"/>
        <w:ind w:left="0" w:right="0" w:firstLine="640" w:firstLineChars="200"/>
        <w:jc w:val="both"/>
        <w:rPr>
          <w:rFonts w:hint="default" w:ascii="仿宋_GB2312" w:hAnsi="Calibri" w:eastAsia="仿宋_GB2312" w:cs="仿宋_GB2312"/>
          <w:kern w:val="2"/>
          <w:sz w:val="32"/>
          <w:szCs w:val="32"/>
          <w:lang w:val="en-US" w:eastAsia="zh-CN" w:bidi="ar"/>
        </w:rPr>
      </w:pPr>
      <w:r>
        <w:rPr>
          <w:rFonts w:hint="default" w:ascii="仿宋_GB2312" w:hAnsi="Calibri" w:eastAsia="仿宋_GB2312" w:cs="仿宋_GB2312"/>
          <w:kern w:val="2"/>
          <w:sz w:val="32"/>
          <w:szCs w:val="32"/>
          <w:lang w:val="en-US" w:eastAsia="zh-CN" w:bidi="ar"/>
        </w:rPr>
        <w:t>1.年初预算数与调整预算数差别较大，预算安排不为准确。</w:t>
      </w:r>
    </w:p>
    <w:p>
      <w:pPr>
        <w:keepNext w:val="0"/>
        <w:keepLines w:val="0"/>
        <w:widowControl/>
        <w:suppressLineNumbers w:val="0"/>
        <w:autoSpaceDE w:val="0"/>
        <w:autoSpaceDN/>
        <w:spacing w:before="0" w:beforeAutospacing="0" w:after="0" w:afterAutospacing="0"/>
        <w:ind w:left="0" w:right="0" w:firstLine="640" w:firstLineChars="200"/>
        <w:jc w:val="both"/>
        <w:rPr>
          <w:rFonts w:hint="default" w:ascii="仿宋_GB2312" w:eastAsia="仿宋_GB2312" w:cs="仿宋_GB2312"/>
          <w:kern w:val="2"/>
          <w:sz w:val="32"/>
          <w:szCs w:val="32"/>
          <w:lang w:val="en-US"/>
        </w:rPr>
      </w:pPr>
      <w:r>
        <w:rPr>
          <w:rFonts w:hint="eastAsia" w:ascii="仿宋_GB2312" w:eastAsia="仿宋_GB2312" w:cs="仿宋_GB2312"/>
          <w:kern w:val="2"/>
          <w:sz w:val="32"/>
          <w:szCs w:val="32"/>
          <w:lang w:val="en-US" w:eastAsia="zh-CN" w:bidi="ar"/>
        </w:rPr>
        <w:t>2.未制定明确的财务监控监督措施。</w:t>
      </w:r>
    </w:p>
    <w:p>
      <w:pPr>
        <w:keepNext w:val="0"/>
        <w:keepLines w:val="0"/>
        <w:widowControl/>
        <w:suppressLineNumbers w:val="0"/>
        <w:autoSpaceDE w:val="0"/>
        <w:autoSpaceDN/>
        <w:spacing w:before="0" w:beforeAutospacing="0" w:after="0" w:afterAutospacing="0"/>
        <w:ind w:left="0" w:right="0" w:firstLine="642" w:firstLineChars="200"/>
        <w:jc w:val="both"/>
        <w:rPr>
          <w:rFonts w:hint="default" w:ascii="仿宋_GB2312" w:eastAsia="仿宋_GB2312" w:cs="仿宋_GB2312"/>
          <w:b/>
          <w:bCs/>
          <w:kern w:val="2"/>
          <w:sz w:val="32"/>
          <w:szCs w:val="32"/>
        </w:rPr>
      </w:pPr>
      <w:r>
        <w:rPr>
          <w:rFonts w:hint="default" w:ascii="仿宋_GB2312" w:hAnsi="Calibri" w:eastAsia="仿宋_GB2312" w:cs="仿宋_GB2312"/>
          <w:b/>
          <w:bCs/>
          <w:kern w:val="2"/>
          <w:sz w:val="32"/>
          <w:szCs w:val="32"/>
          <w:lang w:val="en-US" w:eastAsia="zh-CN" w:bidi="ar"/>
        </w:rPr>
        <w:t>（三）改进建议</w:t>
      </w:r>
    </w:p>
    <w:p>
      <w:pPr>
        <w:keepNext w:val="0"/>
        <w:keepLines w:val="0"/>
        <w:widowControl/>
        <w:suppressLineNumbers w:val="0"/>
        <w:autoSpaceDE w:val="0"/>
        <w:autoSpaceDN/>
        <w:spacing w:before="0" w:beforeAutospacing="0" w:after="0" w:afterAutospacing="0"/>
        <w:ind w:left="0" w:right="0" w:firstLine="640" w:firstLineChars="200"/>
        <w:jc w:val="both"/>
        <w:rPr>
          <w:rFonts w:hint="default" w:ascii="仿宋_GB2312" w:hAnsi="Calibri" w:eastAsia="仿宋_GB2312" w:cs="仿宋_GB2312"/>
          <w:kern w:val="2"/>
          <w:sz w:val="32"/>
          <w:szCs w:val="32"/>
          <w:lang w:val="en-US" w:eastAsia="zh-CN" w:bidi="ar"/>
        </w:rPr>
      </w:pPr>
      <w:r>
        <w:rPr>
          <w:rFonts w:hint="default" w:ascii="仿宋_GB2312" w:hAnsi="Calibri" w:eastAsia="仿宋_GB2312" w:cs="仿宋_GB2312"/>
          <w:kern w:val="2"/>
          <w:sz w:val="32"/>
          <w:szCs w:val="32"/>
          <w:lang w:val="en-US" w:eastAsia="zh-CN" w:bidi="ar"/>
        </w:rPr>
        <w:t>1.加强预算安排准确性，尽量减少执行中期追加数。</w:t>
      </w:r>
    </w:p>
    <w:p>
      <w:pPr>
        <w:keepNext w:val="0"/>
        <w:keepLines w:val="0"/>
        <w:widowControl/>
        <w:suppressLineNumbers w:val="0"/>
        <w:autoSpaceDE w:val="0"/>
        <w:autoSpaceDN/>
        <w:spacing w:before="0" w:beforeAutospacing="0" w:after="0" w:afterAutospacing="0"/>
        <w:ind w:left="0" w:right="0"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eastAsia="仿宋_GB2312" w:cs="仿宋_GB2312"/>
          <w:kern w:val="2"/>
          <w:sz w:val="32"/>
          <w:szCs w:val="32"/>
          <w:lang w:val="en-US" w:eastAsia="zh-CN" w:bidi="ar"/>
        </w:rPr>
        <w:t>制定明确的财务监控监督措施且确保监控、监督措施执行有效。</w:t>
      </w:r>
    </w:p>
    <w:p>
      <w:pPr>
        <w:pStyle w:val="19"/>
      </w:pPr>
    </w:p>
    <w:p/>
    <w:p>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pPr>
      <w:r>
        <w:rPr>
          <w:rFonts w:hint="eastAsia" w:hAnsi="Times New Roman" w:cs="Times New Roman"/>
          <w:color w:val="auto"/>
          <w:sz w:val="32"/>
          <w:szCs w:val="32"/>
          <w:highlight w:val="none"/>
          <w:lang w:val="zh-CN" w:eastAsia="zh-CN"/>
        </w:rPr>
        <w:t>附表：</w:t>
      </w:r>
      <w:r>
        <w:rPr>
          <w:rFonts w:hint="eastAsia" w:hAnsi="Times New Roman" w:cs="Times New Roman"/>
          <w:color w:val="auto"/>
          <w:sz w:val="32"/>
          <w:szCs w:val="32"/>
          <w:highlight w:val="none"/>
          <w:lang w:val="en-US" w:eastAsia="zh-CN"/>
        </w:rPr>
        <w:t>部门预算项目支出绩效自评表（2024年度）</w:t>
      </w:r>
    </w:p>
    <w:p/>
    <w:tbl>
      <w:tblPr>
        <w:tblStyle w:val="23"/>
        <w:tblW w:w="0" w:type="auto"/>
        <w:tblInd w:w="0" w:type="dxa"/>
        <w:shd w:val="clear" w:color="auto" w:fill="auto"/>
        <w:tblLayout w:type="autofit"/>
        <w:tblCellMar>
          <w:top w:w="0" w:type="dxa"/>
          <w:left w:w="0" w:type="dxa"/>
          <w:bottom w:w="0" w:type="dxa"/>
          <w:right w:w="0" w:type="dxa"/>
        </w:tblCellMar>
      </w:tblPr>
      <w:tblGrid>
        <w:gridCol w:w="600"/>
        <w:gridCol w:w="645"/>
        <w:gridCol w:w="635"/>
        <w:gridCol w:w="909"/>
        <w:gridCol w:w="317"/>
        <w:gridCol w:w="780"/>
        <w:gridCol w:w="317"/>
        <w:gridCol w:w="788"/>
        <w:gridCol w:w="313"/>
        <w:gridCol w:w="236"/>
        <w:gridCol w:w="2796"/>
      </w:tblGrid>
      <w:tr>
        <w:tblPrEx>
          <w:tblCellMar>
            <w:top w:w="0" w:type="dxa"/>
            <w:left w:w="0" w:type="dxa"/>
            <w:bottom w:w="0" w:type="dxa"/>
            <w:right w:w="0"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shd w:val="clear" w:color="auto" w:fill="auto"/>
          <w:tblCellMar>
            <w:top w:w="0" w:type="dxa"/>
            <w:left w:w="0" w:type="dxa"/>
            <w:bottom w:w="0" w:type="dxa"/>
            <w:right w:w="0"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51323023T000008831870-解决分类建设基础设施提升改造资金</w:t>
            </w:r>
          </w:p>
        </w:tc>
      </w:tr>
      <w:tr>
        <w:tblPrEx>
          <w:tblCellMar>
            <w:top w:w="0" w:type="dxa"/>
            <w:left w:w="0" w:type="dxa"/>
            <w:bottom w:w="0" w:type="dxa"/>
            <w:right w:w="0"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县委党校本级</w:t>
            </w:r>
          </w:p>
        </w:tc>
        <w:tc>
          <w:tcPr>
            <w:tcW w:w="0" w:type="auto"/>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县委党校</w:t>
            </w:r>
          </w:p>
        </w:tc>
      </w:tr>
      <w:tr>
        <w:tblPrEx>
          <w:tblCellMar>
            <w:top w:w="0" w:type="dxa"/>
            <w:left w:w="0" w:type="dxa"/>
            <w:bottom w:w="0" w:type="dxa"/>
            <w:right w:w="0"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CellMar>
            <w:top w:w="0" w:type="dxa"/>
            <w:left w:w="0" w:type="dxa"/>
            <w:bottom w:w="0" w:type="dxa"/>
            <w:right w:w="0"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tblPrEx>
          <w:tblCellMar>
            <w:top w:w="0" w:type="dxa"/>
            <w:left w:w="0" w:type="dxa"/>
            <w:bottom w:w="0" w:type="dxa"/>
            <w:right w:w="0"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CellMar>
            <w:top w:w="0" w:type="dxa"/>
            <w:left w:w="0" w:type="dxa"/>
            <w:bottom w:w="0" w:type="dxa"/>
            <w:right w:w="0"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0.49</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0.49</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0" w:type="dxa"/>
            <w:bottom w:w="0" w:type="dxa"/>
            <w:right w:w="0"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0.49</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0.49</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CellMar>
            <w:top w:w="0" w:type="dxa"/>
            <w:left w:w="0" w:type="dxa"/>
            <w:bottom w:w="0" w:type="dxa"/>
            <w:right w:w="0"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结合自评情况，说明项目自评总分，说明项目实施取得的成效或成果。（200字以内）</w:t>
            </w:r>
          </w:p>
        </w:tc>
      </w:tr>
      <w:tr>
        <w:tblPrEx>
          <w:tblCellMar>
            <w:top w:w="0" w:type="dxa"/>
            <w:left w:w="0" w:type="dxa"/>
            <w:bottom w:w="0" w:type="dxa"/>
            <w:right w:w="0"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结合自评情况，分析存在的问题及原因。（200字以内）</w:t>
            </w:r>
          </w:p>
        </w:tc>
      </w:tr>
      <w:tr>
        <w:tblPrEx>
          <w:tblCellMar>
            <w:top w:w="0" w:type="dxa"/>
            <w:left w:w="0" w:type="dxa"/>
            <w:bottom w:w="0" w:type="dxa"/>
            <w:right w:w="0"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针对项目自评中发现的问题，提出下一步改进完善的意见及有关政策性建议。（200字以内）</w:t>
            </w:r>
          </w:p>
        </w:tc>
      </w:tr>
      <w:tr>
        <w:tblPrEx>
          <w:tblCellMar>
            <w:top w:w="0" w:type="dxa"/>
            <w:left w:w="0" w:type="dxa"/>
            <w:bottom w:w="0" w:type="dxa"/>
            <w:right w:w="0"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tblPrEx>
          <w:tblCellMar>
            <w:top w:w="0" w:type="dxa"/>
            <w:left w:w="0" w:type="dxa"/>
            <w:bottom w:w="0" w:type="dxa"/>
            <w:right w:w="0"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shd w:val="clear" w:color="auto" w:fill="auto"/>
          <w:tblCellMar>
            <w:top w:w="0" w:type="dxa"/>
            <w:left w:w="0" w:type="dxa"/>
            <w:bottom w:w="0" w:type="dxa"/>
            <w:right w:w="0"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51323024T000010846592-长征精神数据库建设工作项目经费</w:t>
            </w:r>
          </w:p>
        </w:tc>
      </w:tr>
      <w:tr>
        <w:tblPrEx>
          <w:tblCellMar>
            <w:top w:w="0" w:type="dxa"/>
            <w:left w:w="0" w:type="dxa"/>
            <w:bottom w:w="0" w:type="dxa"/>
            <w:right w:w="0"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县委党校本级</w:t>
            </w:r>
          </w:p>
        </w:tc>
        <w:tc>
          <w:tcPr>
            <w:tcW w:w="0" w:type="auto"/>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县委党校</w:t>
            </w:r>
          </w:p>
        </w:tc>
      </w:tr>
      <w:tr>
        <w:tblPrEx>
          <w:tblCellMar>
            <w:top w:w="0" w:type="dxa"/>
            <w:left w:w="0" w:type="dxa"/>
            <w:bottom w:w="0" w:type="dxa"/>
            <w:right w:w="0"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CellMar>
            <w:top w:w="0" w:type="dxa"/>
            <w:left w:w="0" w:type="dxa"/>
            <w:bottom w:w="0" w:type="dxa"/>
            <w:right w:w="0"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用于长征精神数据库建设工作项目经费，完善基础设施提升改造建设</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tblPrEx>
          <w:tblCellMar>
            <w:top w:w="0" w:type="dxa"/>
            <w:left w:w="0" w:type="dxa"/>
            <w:bottom w:w="0" w:type="dxa"/>
            <w:right w:w="0"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CellMar>
            <w:top w:w="0" w:type="dxa"/>
            <w:left w:w="0" w:type="dxa"/>
            <w:bottom w:w="0" w:type="dxa"/>
            <w:right w:w="0"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1.12</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1.12</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99.93%</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0" w:type="dxa"/>
            <w:bottom w:w="0" w:type="dxa"/>
            <w:right w:w="0"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1.12</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1.12</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99.93%</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CellMar>
            <w:top w:w="0" w:type="dxa"/>
            <w:left w:w="0" w:type="dxa"/>
            <w:bottom w:w="0" w:type="dxa"/>
            <w:right w:w="0"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项目建设验收合格率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项目完成所需时间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增强基础设施建设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数据库使用人员对项目的满意度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项目完成所需费用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11200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结合自评情况，说明项目自评总分，说明项目实施取得的成效或成果。（200字以内）</w:t>
            </w:r>
          </w:p>
        </w:tc>
      </w:tr>
      <w:tr>
        <w:tblPrEx>
          <w:tblCellMar>
            <w:top w:w="0" w:type="dxa"/>
            <w:left w:w="0" w:type="dxa"/>
            <w:bottom w:w="0" w:type="dxa"/>
            <w:right w:w="0"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结合自评情况，分析存在的问题及原因。（200字以内）</w:t>
            </w:r>
          </w:p>
        </w:tc>
      </w:tr>
      <w:tr>
        <w:tblPrEx>
          <w:tblCellMar>
            <w:top w:w="0" w:type="dxa"/>
            <w:left w:w="0" w:type="dxa"/>
            <w:bottom w:w="0" w:type="dxa"/>
            <w:right w:w="0"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针对项目自评中发现的问题，提出下一步改进完善的意见及有关政策性建议。（200字以内）</w:t>
            </w:r>
          </w:p>
        </w:tc>
      </w:tr>
      <w:tr>
        <w:tblPrEx>
          <w:tblCellMar>
            <w:top w:w="0" w:type="dxa"/>
            <w:left w:w="0" w:type="dxa"/>
            <w:bottom w:w="0" w:type="dxa"/>
            <w:right w:w="0"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tblPrEx>
          <w:tblCellMar>
            <w:top w:w="0" w:type="dxa"/>
            <w:left w:w="0" w:type="dxa"/>
            <w:bottom w:w="0" w:type="dxa"/>
            <w:right w:w="0" w:type="dxa"/>
          </w:tblCellMar>
        </w:tblPrEx>
        <w:trPr>
          <w:trHeight w:val="286" w:hRule="atLeast"/>
        </w:trPr>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shd w:val="clear" w:color="auto" w:fill="auto"/>
          <w:tblCellMar>
            <w:top w:w="0" w:type="dxa"/>
            <w:left w:w="0" w:type="dxa"/>
            <w:bottom w:w="0" w:type="dxa"/>
            <w:right w:w="0"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51323024T000011727841-尕卡玲红色文化雕塑维修项目</w:t>
            </w:r>
          </w:p>
        </w:tc>
      </w:tr>
      <w:tr>
        <w:tblPrEx>
          <w:tblCellMar>
            <w:top w:w="0" w:type="dxa"/>
            <w:left w:w="0" w:type="dxa"/>
            <w:bottom w:w="0" w:type="dxa"/>
            <w:right w:w="0"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县委党校本级</w:t>
            </w:r>
          </w:p>
        </w:tc>
        <w:tc>
          <w:tcPr>
            <w:tcW w:w="0" w:type="auto"/>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县委党校</w:t>
            </w:r>
          </w:p>
        </w:tc>
      </w:tr>
      <w:tr>
        <w:tblPrEx>
          <w:tblCellMar>
            <w:top w:w="0" w:type="dxa"/>
            <w:left w:w="0" w:type="dxa"/>
            <w:bottom w:w="0" w:type="dxa"/>
            <w:right w:w="0"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CellMar>
            <w:top w:w="0" w:type="dxa"/>
            <w:left w:w="0" w:type="dxa"/>
            <w:bottom w:w="0" w:type="dxa"/>
            <w:right w:w="0"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tblPrEx>
          <w:tblCellMar>
            <w:top w:w="0" w:type="dxa"/>
            <w:left w:w="0" w:type="dxa"/>
            <w:bottom w:w="0" w:type="dxa"/>
            <w:right w:w="0"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CellMar>
            <w:top w:w="0" w:type="dxa"/>
            <w:left w:w="0" w:type="dxa"/>
            <w:bottom w:w="0" w:type="dxa"/>
            <w:right w:w="0"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0" w:type="dxa"/>
            <w:bottom w:w="0" w:type="dxa"/>
            <w:right w:w="0"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CellMar>
            <w:top w:w="0" w:type="dxa"/>
            <w:left w:w="0" w:type="dxa"/>
            <w:bottom w:w="0" w:type="dxa"/>
            <w:right w:w="0"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结合自评情况，说明项目自评总分，说明项目实施取得的成效或成果。（200字以内）</w:t>
            </w:r>
          </w:p>
        </w:tc>
      </w:tr>
      <w:tr>
        <w:tblPrEx>
          <w:tblCellMar>
            <w:top w:w="0" w:type="dxa"/>
            <w:left w:w="0" w:type="dxa"/>
            <w:bottom w:w="0" w:type="dxa"/>
            <w:right w:w="0"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结合自评情况，分析存在的问题及原因。（200字以内）</w:t>
            </w:r>
          </w:p>
        </w:tc>
      </w:tr>
      <w:tr>
        <w:tblPrEx>
          <w:tblCellMar>
            <w:top w:w="0" w:type="dxa"/>
            <w:left w:w="0" w:type="dxa"/>
            <w:bottom w:w="0" w:type="dxa"/>
            <w:right w:w="0"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针对项目自评中发现的问题，提出下一步改进完善的意见及有关政策性建议。（200字以内）</w:t>
            </w:r>
          </w:p>
        </w:tc>
      </w:tr>
      <w:tr>
        <w:tblPrEx>
          <w:tblCellMar>
            <w:top w:w="0" w:type="dxa"/>
            <w:left w:w="0" w:type="dxa"/>
            <w:bottom w:w="0" w:type="dxa"/>
            <w:right w:w="0"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tblPrEx>
          <w:tblCellMar>
            <w:top w:w="0" w:type="dxa"/>
            <w:left w:w="0" w:type="dxa"/>
            <w:bottom w:w="0" w:type="dxa"/>
            <w:right w:w="0" w:type="dxa"/>
          </w:tblCellMar>
        </w:tblPrEx>
        <w:trPr>
          <w:trHeight w:val="286" w:hRule="atLeast"/>
        </w:trPr>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shd w:val="clear" w:color="auto" w:fill="auto"/>
          <w:tblCellMar>
            <w:top w:w="0" w:type="dxa"/>
            <w:left w:w="0" w:type="dxa"/>
            <w:bottom w:w="0" w:type="dxa"/>
            <w:right w:w="0"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51323024T000011777458-分类建设基础设施提升改造项目剩余部分资金</w:t>
            </w:r>
          </w:p>
        </w:tc>
      </w:tr>
      <w:tr>
        <w:tblPrEx>
          <w:tblCellMar>
            <w:top w:w="0" w:type="dxa"/>
            <w:left w:w="0" w:type="dxa"/>
            <w:bottom w:w="0" w:type="dxa"/>
            <w:right w:w="0"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县委党校本级</w:t>
            </w:r>
          </w:p>
        </w:tc>
        <w:tc>
          <w:tcPr>
            <w:tcW w:w="0" w:type="auto"/>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县委党校</w:t>
            </w:r>
          </w:p>
        </w:tc>
      </w:tr>
      <w:tr>
        <w:tblPrEx>
          <w:tblCellMar>
            <w:top w:w="0" w:type="dxa"/>
            <w:left w:w="0" w:type="dxa"/>
            <w:bottom w:w="0" w:type="dxa"/>
            <w:right w:w="0"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CellMar>
            <w:top w:w="0" w:type="dxa"/>
            <w:left w:w="0" w:type="dxa"/>
            <w:bottom w:w="0" w:type="dxa"/>
            <w:right w:w="0"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tblPrEx>
          <w:tblCellMar>
            <w:top w:w="0" w:type="dxa"/>
            <w:left w:w="0" w:type="dxa"/>
            <w:bottom w:w="0" w:type="dxa"/>
            <w:right w:w="0"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CellMar>
            <w:top w:w="0" w:type="dxa"/>
            <w:left w:w="0" w:type="dxa"/>
            <w:bottom w:w="0" w:type="dxa"/>
            <w:right w:w="0"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20.41</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20.41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0" w:type="dxa"/>
            <w:bottom w:w="0" w:type="dxa"/>
            <w:right w:w="0"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20.41</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20.41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CellMar>
            <w:top w:w="0" w:type="dxa"/>
            <w:left w:w="0" w:type="dxa"/>
            <w:bottom w:w="0" w:type="dxa"/>
            <w:right w:w="0"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结合自评情况，说明项目自评总分，说明项目实施取得的成效或成果。（200字以内）</w:t>
            </w:r>
          </w:p>
        </w:tc>
      </w:tr>
      <w:tr>
        <w:tblPrEx>
          <w:tblCellMar>
            <w:top w:w="0" w:type="dxa"/>
            <w:left w:w="0" w:type="dxa"/>
            <w:bottom w:w="0" w:type="dxa"/>
            <w:right w:w="0"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结合自评情况，分析存在的问题及原因。（200字以内）</w:t>
            </w:r>
          </w:p>
        </w:tc>
      </w:tr>
      <w:tr>
        <w:tblPrEx>
          <w:tblCellMar>
            <w:top w:w="0" w:type="dxa"/>
            <w:left w:w="0" w:type="dxa"/>
            <w:bottom w:w="0" w:type="dxa"/>
            <w:right w:w="0"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针对项目自评中发现的问题，提出下一步改进完善的意见及有关政策性建议。（200字以内）</w:t>
            </w:r>
          </w:p>
        </w:tc>
      </w:tr>
      <w:tr>
        <w:tblPrEx>
          <w:tblCellMar>
            <w:top w:w="0" w:type="dxa"/>
            <w:left w:w="0" w:type="dxa"/>
            <w:bottom w:w="0" w:type="dxa"/>
            <w:right w:w="0"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tblPrEx>
          <w:tblCellMar>
            <w:top w:w="0" w:type="dxa"/>
            <w:left w:w="0" w:type="dxa"/>
            <w:bottom w:w="0" w:type="dxa"/>
            <w:right w:w="0"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shd w:val="clear" w:color="auto" w:fill="auto"/>
          <w:tblCellMar>
            <w:top w:w="0" w:type="dxa"/>
            <w:left w:w="0" w:type="dxa"/>
            <w:bottom w:w="0" w:type="dxa"/>
            <w:right w:w="0"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51323025T000012185896-党校工作经费</w:t>
            </w:r>
          </w:p>
        </w:tc>
      </w:tr>
      <w:tr>
        <w:tblPrEx>
          <w:tblCellMar>
            <w:top w:w="0" w:type="dxa"/>
            <w:left w:w="0" w:type="dxa"/>
            <w:bottom w:w="0" w:type="dxa"/>
            <w:right w:w="0"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县委党校本级</w:t>
            </w:r>
          </w:p>
        </w:tc>
        <w:tc>
          <w:tcPr>
            <w:tcW w:w="0" w:type="auto"/>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县委党校</w:t>
            </w:r>
          </w:p>
        </w:tc>
      </w:tr>
      <w:tr>
        <w:tblPrEx>
          <w:tblCellMar>
            <w:top w:w="0" w:type="dxa"/>
            <w:left w:w="0" w:type="dxa"/>
            <w:bottom w:w="0" w:type="dxa"/>
            <w:right w:w="0"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CellMar>
            <w:top w:w="0" w:type="dxa"/>
            <w:left w:w="0" w:type="dxa"/>
            <w:bottom w:w="0" w:type="dxa"/>
            <w:right w:w="0"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tblPrEx>
          <w:tblCellMar>
            <w:top w:w="0" w:type="dxa"/>
            <w:left w:w="0" w:type="dxa"/>
            <w:bottom w:w="0" w:type="dxa"/>
            <w:right w:w="0"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CellMar>
            <w:top w:w="0" w:type="dxa"/>
            <w:left w:w="0" w:type="dxa"/>
            <w:bottom w:w="0" w:type="dxa"/>
            <w:right w:w="0"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0" w:type="dxa"/>
            <w:bottom w:w="0" w:type="dxa"/>
            <w:right w:w="0"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CellMar>
            <w:top w:w="0" w:type="dxa"/>
            <w:left w:w="0" w:type="dxa"/>
            <w:bottom w:w="0" w:type="dxa"/>
            <w:right w:w="0"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结合自评情况，说明项目自评总分，说明项目实施取得的成效或成果。（200字以内）</w:t>
            </w:r>
          </w:p>
        </w:tc>
      </w:tr>
      <w:tr>
        <w:tblPrEx>
          <w:tblCellMar>
            <w:top w:w="0" w:type="dxa"/>
            <w:left w:w="0" w:type="dxa"/>
            <w:bottom w:w="0" w:type="dxa"/>
            <w:right w:w="0"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结合自评情况，分析存在的问题及原因。（200字以内）</w:t>
            </w:r>
          </w:p>
        </w:tc>
      </w:tr>
      <w:tr>
        <w:tblPrEx>
          <w:tblCellMar>
            <w:top w:w="0" w:type="dxa"/>
            <w:left w:w="0" w:type="dxa"/>
            <w:bottom w:w="0" w:type="dxa"/>
            <w:right w:w="0"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针对项目自评中发现的问题，提出下一步改进完善的意见及有关政策性建议。（200字以内）</w:t>
            </w:r>
          </w:p>
        </w:tc>
      </w:tr>
      <w:tr>
        <w:tblPrEx>
          <w:tblCellMar>
            <w:top w:w="0" w:type="dxa"/>
            <w:left w:w="0" w:type="dxa"/>
            <w:bottom w:w="0" w:type="dxa"/>
            <w:right w:w="0"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tblPrEx>
          <w:tblCellMar>
            <w:top w:w="0" w:type="dxa"/>
            <w:left w:w="0" w:type="dxa"/>
            <w:bottom w:w="0" w:type="dxa"/>
            <w:right w:w="0" w:type="dxa"/>
          </w:tblCellMar>
        </w:tblPrEx>
        <w:trPr>
          <w:trHeight w:val="286" w:hRule="atLeast"/>
        </w:trPr>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shd w:val="clear" w:color="auto" w:fill="auto"/>
          <w:tblCellMar>
            <w:top w:w="0" w:type="dxa"/>
            <w:left w:w="0" w:type="dxa"/>
            <w:bottom w:w="0" w:type="dxa"/>
            <w:right w:w="0"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51323025T000012185899-培训经费</w:t>
            </w:r>
          </w:p>
        </w:tc>
      </w:tr>
      <w:tr>
        <w:tblPrEx>
          <w:tblCellMar>
            <w:top w:w="0" w:type="dxa"/>
            <w:left w:w="0" w:type="dxa"/>
            <w:bottom w:w="0" w:type="dxa"/>
            <w:right w:w="0"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县委党校本级</w:t>
            </w:r>
          </w:p>
        </w:tc>
        <w:tc>
          <w:tcPr>
            <w:tcW w:w="0" w:type="auto"/>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县委党校</w:t>
            </w:r>
          </w:p>
        </w:tc>
      </w:tr>
      <w:tr>
        <w:tblPrEx>
          <w:tblCellMar>
            <w:top w:w="0" w:type="dxa"/>
            <w:left w:w="0" w:type="dxa"/>
            <w:bottom w:w="0" w:type="dxa"/>
            <w:right w:w="0"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CellMar>
            <w:top w:w="0" w:type="dxa"/>
            <w:left w:w="0" w:type="dxa"/>
            <w:bottom w:w="0" w:type="dxa"/>
            <w:right w:w="0"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开展各类干部教育培训工作，充分发挥党员干部培训主阵地作用，切实提高全县党员干部的政治理论水平。</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tblPrEx>
          <w:tblCellMar>
            <w:top w:w="0" w:type="dxa"/>
            <w:left w:w="0" w:type="dxa"/>
            <w:bottom w:w="0" w:type="dxa"/>
            <w:right w:w="0"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CellMar>
            <w:top w:w="0" w:type="dxa"/>
            <w:left w:w="0" w:type="dxa"/>
            <w:bottom w:w="0" w:type="dxa"/>
            <w:right w:w="0"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21.53</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21.18</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98.38%</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0" w:type="dxa"/>
            <w:bottom w:w="0" w:type="dxa"/>
            <w:right w:w="0"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21.53</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21.18</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98.38%</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CellMar>
            <w:top w:w="0" w:type="dxa"/>
            <w:left w:w="0" w:type="dxa"/>
            <w:bottom w:w="0" w:type="dxa"/>
            <w:right w:w="0"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开展培训次数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提高全县党员干部的政治理论水平</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培训人员对培训的满意度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培训所需费用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54817.75</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结合自评情况，说明项目自评总分，说明项目实施取得的成效或成果。（200字以内）</w:t>
            </w:r>
          </w:p>
        </w:tc>
      </w:tr>
      <w:tr>
        <w:tblPrEx>
          <w:tblCellMar>
            <w:top w:w="0" w:type="dxa"/>
            <w:left w:w="0" w:type="dxa"/>
            <w:bottom w:w="0" w:type="dxa"/>
            <w:right w:w="0"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结合自评情况，分析存在的问题及原因。（200字以内）</w:t>
            </w:r>
          </w:p>
        </w:tc>
      </w:tr>
      <w:tr>
        <w:tblPrEx>
          <w:tblCellMar>
            <w:top w:w="0" w:type="dxa"/>
            <w:left w:w="0" w:type="dxa"/>
            <w:bottom w:w="0" w:type="dxa"/>
            <w:right w:w="0"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针对项目自评中发现的问题，提出下一步改进完善的意见及有关政策性建议。（200字以内）</w:t>
            </w:r>
          </w:p>
        </w:tc>
      </w:tr>
      <w:tr>
        <w:tblPrEx>
          <w:tblCellMar>
            <w:top w:w="0" w:type="dxa"/>
            <w:left w:w="0" w:type="dxa"/>
            <w:bottom w:w="0" w:type="dxa"/>
            <w:right w:w="0"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tblPrEx>
          <w:tblCellMar>
            <w:top w:w="0" w:type="dxa"/>
            <w:left w:w="0" w:type="dxa"/>
            <w:bottom w:w="0" w:type="dxa"/>
            <w:right w:w="0" w:type="dxa"/>
          </w:tblCellMar>
        </w:tblPrEx>
        <w:trPr>
          <w:trHeight w:val="286" w:hRule="atLeast"/>
        </w:trPr>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shd w:val="clear" w:color="auto" w:fill="auto"/>
          <w:tblCellMar>
            <w:top w:w="0" w:type="dxa"/>
            <w:left w:w="0" w:type="dxa"/>
            <w:bottom w:w="0" w:type="dxa"/>
            <w:right w:w="0"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51323025T000012549742-乡科级领导干部进修班经费</w:t>
            </w:r>
          </w:p>
        </w:tc>
      </w:tr>
      <w:tr>
        <w:tblPrEx>
          <w:tblCellMar>
            <w:top w:w="0" w:type="dxa"/>
            <w:left w:w="0" w:type="dxa"/>
            <w:bottom w:w="0" w:type="dxa"/>
            <w:right w:w="0"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县委党校本级</w:t>
            </w:r>
          </w:p>
        </w:tc>
        <w:tc>
          <w:tcPr>
            <w:tcW w:w="0" w:type="auto"/>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县委党校</w:t>
            </w:r>
          </w:p>
        </w:tc>
      </w:tr>
      <w:tr>
        <w:tblPrEx>
          <w:tblCellMar>
            <w:top w:w="0" w:type="dxa"/>
            <w:left w:w="0" w:type="dxa"/>
            <w:bottom w:w="0" w:type="dxa"/>
            <w:right w:w="0"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CellMar>
            <w:top w:w="0" w:type="dxa"/>
            <w:left w:w="0" w:type="dxa"/>
            <w:bottom w:w="0" w:type="dxa"/>
            <w:right w:w="0"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tblPrEx>
          <w:tblCellMar>
            <w:top w:w="0" w:type="dxa"/>
            <w:left w:w="0" w:type="dxa"/>
            <w:bottom w:w="0" w:type="dxa"/>
            <w:right w:w="0"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CellMar>
            <w:top w:w="0" w:type="dxa"/>
            <w:left w:w="0" w:type="dxa"/>
            <w:bottom w:w="0" w:type="dxa"/>
            <w:right w:w="0"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17.77</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17.77</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0" w:type="dxa"/>
            <w:bottom w:w="0" w:type="dxa"/>
            <w:right w:w="0"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17.77</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17.77</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CellMar>
            <w:top w:w="0" w:type="dxa"/>
            <w:left w:w="0" w:type="dxa"/>
            <w:bottom w:w="0" w:type="dxa"/>
            <w:right w:w="0"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结合自评情况，说明项目自评总分，说明项目实施取得的成效或成果。（200字以内）</w:t>
            </w:r>
          </w:p>
        </w:tc>
      </w:tr>
      <w:tr>
        <w:tblPrEx>
          <w:tblCellMar>
            <w:top w:w="0" w:type="dxa"/>
            <w:left w:w="0" w:type="dxa"/>
            <w:bottom w:w="0" w:type="dxa"/>
            <w:right w:w="0"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结合自评情况，分析存在的问题及原因。（200字以内）</w:t>
            </w:r>
          </w:p>
        </w:tc>
      </w:tr>
      <w:tr>
        <w:tblPrEx>
          <w:tblCellMar>
            <w:top w:w="0" w:type="dxa"/>
            <w:left w:w="0" w:type="dxa"/>
            <w:bottom w:w="0" w:type="dxa"/>
            <w:right w:w="0"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针对项目自评中发现的问题，提出下一步改进完善的意见及有关政策性建议。（200字以内）</w:t>
            </w:r>
          </w:p>
        </w:tc>
      </w:tr>
      <w:tr>
        <w:tblPrEx>
          <w:tblCellMar>
            <w:top w:w="0" w:type="dxa"/>
            <w:left w:w="0" w:type="dxa"/>
            <w:bottom w:w="0" w:type="dxa"/>
            <w:right w:w="0"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tblPrEx>
          <w:tblCellMar>
            <w:top w:w="0" w:type="dxa"/>
            <w:left w:w="0" w:type="dxa"/>
            <w:bottom w:w="0" w:type="dxa"/>
            <w:right w:w="0" w:type="dxa"/>
          </w:tblCellMar>
        </w:tblPrEx>
        <w:trPr>
          <w:trHeight w:val="286" w:hRule="atLeast"/>
        </w:trPr>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shd w:val="clear" w:color="auto" w:fill="auto"/>
          <w:tblCellMar>
            <w:top w:w="0" w:type="dxa"/>
            <w:left w:w="0" w:type="dxa"/>
            <w:bottom w:w="0" w:type="dxa"/>
            <w:right w:w="0"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51323025T000012963416-壤塘县2024年中青班干部培训</w:t>
            </w:r>
          </w:p>
        </w:tc>
      </w:tr>
      <w:tr>
        <w:tblPrEx>
          <w:tblCellMar>
            <w:top w:w="0" w:type="dxa"/>
            <w:left w:w="0" w:type="dxa"/>
            <w:bottom w:w="0" w:type="dxa"/>
            <w:right w:w="0"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县委党校本级</w:t>
            </w:r>
          </w:p>
        </w:tc>
        <w:tc>
          <w:tcPr>
            <w:tcW w:w="0" w:type="auto"/>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县委党校</w:t>
            </w:r>
          </w:p>
        </w:tc>
      </w:tr>
      <w:tr>
        <w:tblPrEx>
          <w:tblCellMar>
            <w:top w:w="0" w:type="dxa"/>
            <w:left w:w="0" w:type="dxa"/>
            <w:bottom w:w="0" w:type="dxa"/>
            <w:right w:w="0"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CellMar>
            <w:top w:w="0" w:type="dxa"/>
            <w:left w:w="0" w:type="dxa"/>
            <w:bottom w:w="0" w:type="dxa"/>
            <w:right w:w="0"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tblPrEx>
          <w:tblCellMar>
            <w:top w:w="0" w:type="dxa"/>
            <w:left w:w="0" w:type="dxa"/>
            <w:bottom w:w="0" w:type="dxa"/>
            <w:right w:w="0"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CellMar>
            <w:top w:w="0" w:type="dxa"/>
            <w:left w:w="0" w:type="dxa"/>
            <w:bottom w:w="0" w:type="dxa"/>
            <w:right w:w="0"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28.29</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28.14</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99.47%</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0" w:type="dxa"/>
            <w:bottom w:w="0" w:type="dxa"/>
            <w:right w:w="0"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28.29</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28.14</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99.47%</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CellMar>
            <w:top w:w="0" w:type="dxa"/>
            <w:left w:w="0" w:type="dxa"/>
            <w:bottom w:w="0" w:type="dxa"/>
            <w:right w:w="0"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结合自评情况，说明项目自评总分，说明项目实施取得的成效或成果。（200字以内）</w:t>
            </w:r>
          </w:p>
        </w:tc>
      </w:tr>
      <w:tr>
        <w:tblPrEx>
          <w:tblCellMar>
            <w:top w:w="0" w:type="dxa"/>
            <w:left w:w="0" w:type="dxa"/>
            <w:bottom w:w="0" w:type="dxa"/>
            <w:right w:w="0"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结合自评情况，分析存在的问题及原因。（200字以内）</w:t>
            </w:r>
          </w:p>
        </w:tc>
      </w:tr>
      <w:tr>
        <w:tblPrEx>
          <w:tblCellMar>
            <w:top w:w="0" w:type="dxa"/>
            <w:left w:w="0" w:type="dxa"/>
            <w:bottom w:w="0" w:type="dxa"/>
            <w:right w:w="0"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针对项目自评中发现的问题，提出下一步改进完善的意见及有关政策性建议。（200字以内）</w:t>
            </w:r>
          </w:p>
        </w:tc>
      </w:tr>
      <w:tr>
        <w:tblPrEx>
          <w:tblCellMar>
            <w:top w:w="0" w:type="dxa"/>
            <w:left w:w="0" w:type="dxa"/>
            <w:bottom w:w="0" w:type="dxa"/>
            <w:right w:w="0"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bl>
    <w:p>
      <w:pPr>
        <w:pStyle w:val="19"/>
      </w:pPr>
    </w:p>
    <w:p/>
    <w:p>
      <w:pPr>
        <w:pStyle w:val="19"/>
      </w:pPr>
    </w:p>
    <w:p>
      <w:pPr>
        <w:spacing w:line="600" w:lineRule="exact"/>
        <w:jc w:val="center"/>
        <w:outlineLvl w:val="0"/>
      </w:pPr>
      <w:bookmarkStart w:id="92" w:name="_Toc79163635"/>
      <w:bookmarkStart w:id="93" w:name="_Toc15396618"/>
    </w:p>
    <w:p>
      <w:pPr>
        <w:spacing w:line="600" w:lineRule="exact"/>
        <w:jc w:val="center"/>
        <w:outlineLvl w:val="0"/>
      </w:pPr>
    </w:p>
    <w:p>
      <w:pPr>
        <w:spacing w:line="600" w:lineRule="exact"/>
        <w:jc w:val="center"/>
        <w:outlineLvl w:val="0"/>
      </w:pPr>
    </w:p>
    <w:p>
      <w:pPr>
        <w:spacing w:line="600" w:lineRule="exact"/>
        <w:jc w:val="both"/>
        <w:outlineLvl w:val="0"/>
      </w:pPr>
    </w:p>
    <w:p>
      <w:pPr>
        <w:spacing w:line="600" w:lineRule="exact"/>
        <w:jc w:val="both"/>
        <w:outlineLvl w:val="0"/>
      </w:pPr>
    </w:p>
    <w:p>
      <w:pPr>
        <w:spacing w:line="600" w:lineRule="exact"/>
        <w:jc w:val="both"/>
        <w:outlineLvl w:val="0"/>
      </w:pPr>
    </w:p>
    <w:bookmarkEnd w:id="88"/>
    <w:bookmarkEnd w:id="92"/>
    <w:bookmarkEnd w:id="93"/>
    <w:p>
      <w:pPr>
        <w:spacing w:line="600" w:lineRule="exact"/>
        <w:jc w:val="center"/>
        <w:outlineLvl w:val="0"/>
        <w:rPr>
          <w:rStyle w:val="28"/>
          <w:rFonts w:ascii="黑体" w:hAnsi="黑体" w:eastAsia="黑体"/>
          <w:b w:val="0"/>
        </w:rPr>
      </w:pPr>
      <w:bookmarkStart w:id="94" w:name="_Toc79163885"/>
      <w:r>
        <w:rPr>
          <w:rFonts w:hint="eastAsia" w:ascii="黑体" w:hAnsi="黑体" w:eastAsia="黑体"/>
          <w:color w:val="000000"/>
          <w:sz w:val="44"/>
          <w:szCs w:val="44"/>
        </w:rPr>
        <w:t>第</w:t>
      </w:r>
      <w:r>
        <w:rPr>
          <w:rStyle w:val="28"/>
          <w:rFonts w:hint="eastAsia" w:ascii="黑体" w:hAnsi="黑体" w:eastAsia="黑体"/>
          <w:b w:val="0"/>
        </w:rPr>
        <w:t>五部分</w:t>
      </w:r>
      <w:r>
        <w:rPr>
          <w:rStyle w:val="28"/>
          <w:rFonts w:ascii="黑体" w:hAnsi="黑体" w:eastAsia="黑体"/>
          <w:b w:val="0"/>
        </w:rPr>
        <w:t xml:space="preserve"> </w:t>
      </w:r>
      <w:r>
        <w:rPr>
          <w:rStyle w:val="28"/>
          <w:rFonts w:hint="eastAsia" w:ascii="黑体" w:hAnsi="黑体" w:eastAsia="黑体"/>
          <w:b w:val="0"/>
        </w:rPr>
        <w:t>附表</w:t>
      </w:r>
      <w:bookmarkEnd w:id="94"/>
    </w:p>
    <w:p>
      <w:pPr>
        <w:pStyle w:val="6"/>
        <w:rPr>
          <w:rFonts w:ascii="仿宋" w:hAnsi="仿宋" w:eastAsia="仿宋"/>
          <w:color w:val="000000"/>
        </w:rPr>
      </w:pPr>
      <w:bookmarkStart w:id="95" w:name="_Toc79163886"/>
      <w:bookmarkStart w:id="96" w:name="_Toc79163636"/>
      <w:bookmarkStart w:id="97" w:name="_Toc15396619"/>
      <w:r>
        <w:rPr>
          <w:rFonts w:hint="eastAsia" w:ascii="仿宋" w:hAnsi="仿宋" w:eastAsia="仿宋"/>
          <w:b w:val="0"/>
          <w:color w:val="000000"/>
        </w:rPr>
        <w:t>一、收</w:t>
      </w:r>
      <w:r>
        <w:rPr>
          <w:rStyle w:val="29"/>
          <w:rFonts w:hint="eastAsia" w:ascii="仿宋" w:hAnsi="仿宋" w:eastAsia="仿宋"/>
          <w:b w:val="0"/>
          <w:bCs w:val="0"/>
        </w:rPr>
        <w:t>入支出决算总表</w:t>
      </w:r>
      <w:bookmarkEnd w:id="95"/>
      <w:bookmarkEnd w:id="96"/>
      <w:bookmarkEnd w:id="97"/>
    </w:p>
    <w:p>
      <w:pPr>
        <w:pStyle w:val="6"/>
        <w:rPr>
          <w:rFonts w:ascii="仿宋" w:hAnsi="仿宋" w:eastAsia="仿宋"/>
          <w:color w:val="000000"/>
        </w:rPr>
      </w:pPr>
      <w:bookmarkStart w:id="98" w:name="_Toc79163637"/>
      <w:bookmarkStart w:id="99" w:name="_Toc15396620"/>
      <w:bookmarkStart w:id="100" w:name="_Toc79163887"/>
      <w:r>
        <w:rPr>
          <w:rFonts w:hint="eastAsia" w:ascii="仿宋" w:hAnsi="仿宋" w:eastAsia="仿宋"/>
          <w:b w:val="0"/>
          <w:color w:val="000000"/>
        </w:rPr>
        <w:t>二、收</w:t>
      </w:r>
      <w:r>
        <w:rPr>
          <w:rStyle w:val="29"/>
          <w:rFonts w:hint="eastAsia" w:ascii="仿宋" w:hAnsi="仿宋" w:eastAsia="仿宋"/>
          <w:b w:val="0"/>
          <w:bCs w:val="0"/>
        </w:rPr>
        <w:t>入决算表</w:t>
      </w:r>
      <w:bookmarkEnd w:id="98"/>
      <w:bookmarkEnd w:id="99"/>
      <w:bookmarkEnd w:id="100"/>
    </w:p>
    <w:p>
      <w:pPr>
        <w:pStyle w:val="6"/>
        <w:rPr>
          <w:rFonts w:ascii="仿宋" w:hAnsi="仿宋" w:eastAsia="仿宋"/>
          <w:color w:val="000000"/>
        </w:rPr>
      </w:pPr>
      <w:bookmarkStart w:id="101" w:name="_Toc79163888"/>
      <w:bookmarkStart w:id="102" w:name="_Toc79163638"/>
      <w:bookmarkStart w:id="103" w:name="_Toc15396621"/>
      <w:r>
        <w:rPr>
          <w:rStyle w:val="29"/>
          <w:rFonts w:hint="eastAsia" w:ascii="仿宋" w:hAnsi="仿宋" w:eastAsia="仿宋"/>
          <w:b w:val="0"/>
          <w:bCs w:val="0"/>
        </w:rPr>
        <w:t>三、</w:t>
      </w:r>
      <w:r>
        <w:rPr>
          <w:rFonts w:hint="eastAsia" w:ascii="仿宋" w:hAnsi="仿宋" w:eastAsia="仿宋"/>
          <w:b w:val="0"/>
          <w:color w:val="000000"/>
        </w:rPr>
        <w:t>支</w:t>
      </w:r>
      <w:r>
        <w:rPr>
          <w:rStyle w:val="29"/>
          <w:rFonts w:hint="eastAsia" w:ascii="仿宋" w:hAnsi="仿宋" w:eastAsia="仿宋"/>
          <w:b w:val="0"/>
          <w:bCs w:val="0"/>
        </w:rPr>
        <w:t>出决算表</w:t>
      </w:r>
      <w:bookmarkEnd w:id="101"/>
      <w:bookmarkEnd w:id="102"/>
      <w:bookmarkEnd w:id="103"/>
    </w:p>
    <w:p>
      <w:pPr>
        <w:pStyle w:val="6"/>
        <w:rPr>
          <w:rFonts w:ascii="仿宋" w:hAnsi="仿宋" w:eastAsia="仿宋"/>
          <w:b w:val="0"/>
          <w:color w:val="000000"/>
        </w:rPr>
      </w:pPr>
      <w:bookmarkStart w:id="104" w:name="_Toc79163889"/>
      <w:bookmarkStart w:id="105" w:name="_Toc15396622"/>
      <w:bookmarkStart w:id="106" w:name="_Toc79163639"/>
      <w:r>
        <w:rPr>
          <w:rStyle w:val="29"/>
          <w:rFonts w:hint="eastAsia" w:ascii="仿宋" w:hAnsi="仿宋" w:eastAsia="仿宋"/>
          <w:b w:val="0"/>
          <w:bCs w:val="0"/>
        </w:rPr>
        <w:t>四、</w:t>
      </w:r>
      <w:r>
        <w:rPr>
          <w:rFonts w:hint="eastAsia" w:ascii="仿宋" w:hAnsi="仿宋" w:eastAsia="仿宋"/>
          <w:b w:val="0"/>
          <w:color w:val="000000"/>
        </w:rPr>
        <w:t>财</w:t>
      </w:r>
      <w:r>
        <w:rPr>
          <w:rStyle w:val="29"/>
          <w:rFonts w:hint="eastAsia" w:ascii="仿宋" w:hAnsi="仿宋" w:eastAsia="仿宋"/>
          <w:b w:val="0"/>
          <w:bCs w:val="0"/>
        </w:rPr>
        <w:t>政拨款收入支出决算总表</w:t>
      </w:r>
      <w:bookmarkEnd w:id="104"/>
      <w:bookmarkEnd w:id="105"/>
      <w:bookmarkEnd w:id="106"/>
    </w:p>
    <w:p>
      <w:pPr>
        <w:pStyle w:val="6"/>
        <w:rPr>
          <w:rStyle w:val="29"/>
          <w:rFonts w:ascii="仿宋" w:hAnsi="仿宋" w:eastAsia="仿宋"/>
          <w:b w:val="0"/>
          <w:bCs w:val="0"/>
        </w:rPr>
      </w:pPr>
      <w:bookmarkStart w:id="107" w:name="_Toc79163640"/>
      <w:bookmarkStart w:id="108" w:name="_Toc79163890"/>
      <w:bookmarkStart w:id="109" w:name="_Toc15396623"/>
      <w:r>
        <w:rPr>
          <w:rStyle w:val="29"/>
          <w:rFonts w:hint="eastAsia" w:ascii="仿宋" w:hAnsi="仿宋" w:eastAsia="仿宋"/>
          <w:b w:val="0"/>
          <w:bCs w:val="0"/>
        </w:rPr>
        <w:t>五、</w:t>
      </w:r>
      <w:r>
        <w:rPr>
          <w:rFonts w:hint="eastAsia" w:ascii="仿宋" w:hAnsi="仿宋" w:eastAsia="仿宋"/>
          <w:b w:val="0"/>
          <w:color w:val="000000"/>
        </w:rPr>
        <w:t>财</w:t>
      </w:r>
      <w:r>
        <w:rPr>
          <w:rStyle w:val="29"/>
          <w:rFonts w:hint="eastAsia" w:ascii="仿宋" w:hAnsi="仿宋" w:eastAsia="仿宋"/>
          <w:b w:val="0"/>
          <w:bCs w:val="0"/>
        </w:rPr>
        <w:t>政拨款支出决算明细表</w:t>
      </w:r>
      <w:bookmarkEnd w:id="107"/>
      <w:bookmarkEnd w:id="108"/>
      <w:bookmarkEnd w:id="109"/>
      <w:bookmarkStart w:id="110" w:name="_Toc15396624"/>
    </w:p>
    <w:p>
      <w:pPr>
        <w:pStyle w:val="6"/>
        <w:rPr>
          <w:rFonts w:ascii="仿宋" w:hAnsi="仿宋" w:eastAsia="仿宋"/>
          <w:color w:val="000000"/>
        </w:rPr>
      </w:pPr>
      <w:bookmarkStart w:id="111" w:name="_Toc79163891"/>
      <w:bookmarkStart w:id="112" w:name="_Toc79163641"/>
      <w:r>
        <w:rPr>
          <w:rStyle w:val="29"/>
          <w:rFonts w:hint="eastAsia" w:ascii="仿宋" w:hAnsi="仿宋" w:eastAsia="仿宋"/>
          <w:b w:val="0"/>
          <w:bCs w:val="0"/>
        </w:rPr>
        <w:t>六、</w:t>
      </w:r>
      <w:r>
        <w:rPr>
          <w:rFonts w:hint="eastAsia" w:ascii="仿宋" w:hAnsi="仿宋" w:eastAsia="仿宋"/>
          <w:b w:val="0"/>
          <w:color w:val="000000"/>
        </w:rPr>
        <w:t>一</w:t>
      </w:r>
      <w:r>
        <w:rPr>
          <w:rStyle w:val="29"/>
          <w:rFonts w:hint="eastAsia" w:ascii="仿宋" w:hAnsi="仿宋" w:eastAsia="仿宋"/>
          <w:b w:val="0"/>
          <w:bCs w:val="0"/>
        </w:rPr>
        <w:t>般公共预算财政拨款支出决算表</w:t>
      </w:r>
      <w:bookmarkEnd w:id="110"/>
      <w:bookmarkEnd w:id="111"/>
      <w:bookmarkEnd w:id="112"/>
    </w:p>
    <w:p>
      <w:pPr>
        <w:pStyle w:val="6"/>
        <w:rPr>
          <w:rFonts w:ascii="仿宋" w:hAnsi="仿宋" w:eastAsia="仿宋"/>
          <w:color w:val="000000"/>
        </w:rPr>
      </w:pPr>
      <w:bookmarkStart w:id="113" w:name="_Toc79163642"/>
      <w:bookmarkStart w:id="114" w:name="_Toc79163892"/>
      <w:bookmarkStart w:id="115" w:name="_Toc15396625"/>
      <w:r>
        <w:rPr>
          <w:rStyle w:val="29"/>
          <w:rFonts w:hint="eastAsia" w:ascii="仿宋" w:hAnsi="仿宋" w:eastAsia="仿宋"/>
          <w:b w:val="0"/>
          <w:bCs w:val="0"/>
        </w:rPr>
        <w:t>七、</w:t>
      </w:r>
      <w:r>
        <w:rPr>
          <w:rFonts w:hint="eastAsia" w:ascii="仿宋" w:hAnsi="仿宋" w:eastAsia="仿宋"/>
          <w:b w:val="0"/>
          <w:color w:val="000000"/>
        </w:rPr>
        <w:t>一</w:t>
      </w:r>
      <w:r>
        <w:rPr>
          <w:rStyle w:val="29"/>
          <w:rFonts w:hint="eastAsia" w:ascii="仿宋" w:hAnsi="仿宋" w:eastAsia="仿宋"/>
          <w:b w:val="0"/>
          <w:bCs w:val="0"/>
        </w:rPr>
        <w:t>般公共预算财政拨款支出决算明细表</w:t>
      </w:r>
      <w:bookmarkEnd w:id="113"/>
      <w:bookmarkEnd w:id="114"/>
      <w:bookmarkEnd w:id="115"/>
    </w:p>
    <w:p>
      <w:pPr>
        <w:pStyle w:val="6"/>
        <w:rPr>
          <w:rFonts w:ascii="仿宋" w:hAnsi="仿宋" w:eastAsia="仿宋"/>
          <w:color w:val="000000"/>
        </w:rPr>
      </w:pPr>
      <w:bookmarkStart w:id="116" w:name="_Toc15396626"/>
      <w:bookmarkStart w:id="117" w:name="_Toc79163893"/>
      <w:bookmarkStart w:id="118" w:name="_Toc79163643"/>
      <w:r>
        <w:rPr>
          <w:rStyle w:val="29"/>
          <w:rFonts w:hint="eastAsia" w:ascii="仿宋" w:hAnsi="仿宋" w:eastAsia="仿宋"/>
          <w:b w:val="0"/>
          <w:bCs w:val="0"/>
        </w:rPr>
        <w:t>八、</w:t>
      </w:r>
      <w:r>
        <w:rPr>
          <w:rFonts w:hint="eastAsia" w:ascii="仿宋" w:hAnsi="仿宋" w:eastAsia="仿宋"/>
          <w:b w:val="0"/>
          <w:color w:val="000000"/>
        </w:rPr>
        <w:t>一</w:t>
      </w:r>
      <w:r>
        <w:rPr>
          <w:rStyle w:val="29"/>
          <w:rFonts w:hint="eastAsia" w:ascii="仿宋" w:hAnsi="仿宋" w:eastAsia="仿宋"/>
          <w:b w:val="0"/>
          <w:bCs w:val="0"/>
        </w:rPr>
        <w:t>般公共预算财政拨款基本支出决算表</w:t>
      </w:r>
      <w:bookmarkEnd w:id="116"/>
      <w:bookmarkEnd w:id="117"/>
      <w:bookmarkEnd w:id="118"/>
    </w:p>
    <w:p>
      <w:pPr>
        <w:pStyle w:val="6"/>
        <w:rPr>
          <w:rFonts w:ascii="仿宋" w:hAnsi="仿宋" w:eastAsia="仿宋"/>
          <w:color w:val="000000"/>
        </w:rPr>
      </w:pPr>
      <w:bookmarkStart w:id="119" w:name="_Toc79163644"/>
      <w:bookmarkStart w:id="120" w:name="_Toc79163894"/>
      <w:bookmarkStart w:id="121" w:name="_Toc15396627"/>
      <w:r>
        <w:rPr>
          <w:rStyle w:val="29"/>
          <w:rFonts w:hint="eastAsia" w:ascii="仿宋" w:hAnsi="仿宋" w:eastAsia="仿宋"/>
          <w:b w:val="0"/>
          <w:bCs w:val="0"/>
        </w:rPr>
        <w:t>九、</w:t>
      </w:r>
      <w:r>
        <w:rPr>
          <w:rFonts w:hint="eastAsia" w:ascii="仿宋" w:hAnsi="仿宋" w:eastAsia="仿宋"/>
          <w:b w:val="0"/>
          <w:color w:val="000000"/>
        </w:rPr>
        <w:t>一</w:t>
      </w:r>
      <w:r>
        <w:rPr>
          <w:rStyle w:val="29"/>
          <w:rFonts w:hint="eastAsia" w:ascii="仿宋" w:hAnsi="仿宋" w:eastAsia="仿宋"/>
          <w:b w:val="0"/>
          <w:bCs w:val="0"/>
        </w:rPr>
        <w:t>般公共预算财政拨款项目支出决算表</w:t>
      </w:r>
      <w:bookmarkEnd w:id="119"/>
      <w:bookmarkEnd w:id="120"/>
      <w:bookmarkEnd w:id="121"/>
    </w:p>
    <w:p>
      <w:pPr>
        <w:pStyle w:val="6"/>
        <w:rPr>
          <w:rFonts w:ascii="仿宋" w:hAnsi="仿宋" w:eastAsia="仿宋"/>
          <w:color w:val="000000"/>
        </w:rPr>
      </w:pPr>
      <w:bookmarkStart w:id="122" w:name="_Toc79163895"/>
      <w:bookmarkStart w:id="123" w:name="_Toc79163645"/>
      <w:bookmarkStart w:id="124" w:name="_Toc15396628"/>
      <w:r>
        <w:rPr>
          <w:rStyle w:val="29"/>
          <w:rFonts w:hint="eastAsia" w:ascii="仿宋" w:hAnsi="仿宋" w:eastAsia="仿宋"/>
          <w:b w:val="0"/>
          <w:bCs w:val="0"/>
        </w:rPr>
        <w:t>十、</w:t>
      </w:r>
      <w:bookmarkEnd w:id="122"/>
      <w:bookmarkEnd w:id="123"/>
      <w:bookmarkEnd w:id="124"/>
      <w:bookmarkStart w:id="125" w:name="_Toc79163646"/>
      <w:bookmarkStart w:id="126" w:name="_Toc15396629"/>
      <w:bookmarkStart w:id="127" w:name="_Toc79163896"/>
      <w:r>
        <w:rPr>
          <w:rFonts w:hint="eastAsia" w:ascii="仿宋" w:hAnsi="仿宋" w:eastAsia="仿宋"/>
          <w:b w:val="0"/>
          <w:color w:val="000000"/>
        </w:rPr>
        <w:t>政</w:t>
      </w:r>
      <w:r>
        <w:rPr>
          <w:rStyle w:val="29"/>
          <w:rFonts w:hint="eastAsia" w:ascii="仿宋" w:hAnsi="仿宋" w:eastAsia="仿宋"/>
          <w:b w:val="0"/>
          <w:bCs w:val="0"/>
        </w:rPr>
        <w:t>府性基金预算财政拨款收入支出决算表</w:t>
      </w:r>
      <w:bookmarkEnd w:id="125"/>
      <w:bookmarkEnd w:id="126"/>
      <w:bookmarkEnd w:id="127"/>
    </w:p>
    <w:p>
      <w:pPr>
        <w:pStyle w:val="6"/>
        <w:rPr>
          <w:rStyle w:val="29"/>
          <w:rFonts w:ascii="仿宋" w:hAnsi="仿宋" w:eastAsia="仿宋"/>
          <w:b w:val="0"/>
          <w:bCs w:val="0"/>
        </w:rPr>
      </w:pPr>
      <w:bookmarkStart w:id="128" w:name="_Toc79163897"/>
      <w:bookmarkStart w:id="129" w:name="_Toc79163647"/>
      <w:bookmarkStart w:id="130" w:name="_Toc15396630"/>
      <w:r>
        <w:rPr>
          <w:rStyle w:val="29"/>
          <w:rFonts w:hint="eastAsia" w:ascii="仿宋" w:hAnsi="仿宋" w:eastAsia="仿宋"/>
          <w:b w:val="0"/>
          <w:bCs w:val="0"/>
        </w:rPr>
        <w:t>十</w:t>
      </w:r>
      <w:bookmarkEnd w:id="128"/>
      <w:bookmarkEnd w:id="129"/>
      <w:bookmarkEnd w:id="130"/>
      <w:bookmarkStart w:id="131" w:name="_Toc15396631"/>
      <w:bookmarkStart w:id="132" w:name="_Toc79163898"/>
      <w:bookmarkStart w:id="133" w:name="_Toc79163648"/>
      <w:r>
        <w:rPr>
          <w:rStyle w:val="29"/>
          <w:rFonts w:hint="eastAsia" w:ascii="仿宋" w:hAnsi="仿宋" w:eastAsia="仿宋"/>
          <w:b w:val="0"/>
          <w:bCs w:val="0"/>
          <w:lang w:val="en-US" w:eastAsia="zh-CN"/>
        </w:rPr>
        <w:t>一</w:t>
      </w:r>
      <w:r>
        <w:rPr>
          <w:rStyle w:val="29"/>
          <w:rFonts w:hint="eastAsia" w:ascii="仿宋" w:hAnsi="仿宋" w:eastAsia="仿宋"/>
          <w:b w:val="0"/>
          <w:bCs w:val="0"/>
        </w:rPr>
        <w:t>、</w:t>
      </w:r>
      <w:r>
        <w:rPr>
          <w:rFonts w:hint="eastAsia" w:ascii="仿宋" w:hAnsi="仿宋" w:eastAsia="仿宋"/>
          <w:b w:val="0"/>
          <w:color w:val="000000"/>
        </w:rPr>
        <w:t>国</w:t>
      </w:r>
      <w:r>
        <w:rPr>
          <w:rStyle w:val="29"/>
          <w:rFonts w:hint="eastAsia" w:ascii="仿宋" w:hAnsi="仿宋" w:eastAsia="仿宋"/>
          <w:b w:val="0"/>
          <w:bCs w:val="0"/>
        </w:rPr>
        <w:t>有资本经营预算财政拨款</w:t>
      </w:r>
      <w:r>
        <w:rPr>
          <w:rStyle w:val="29"/>
          <w:rFonts w:hint="eastAsia" w:ascii="仿宋" w:hAnsi="仿宋" w:eastAsia="仿宋"/>
          <w:b w:val="0"/>
          <w:bCs w:val="0"/>
          <w:lang w:val="en-US" w:eastAsia="zh-CN"/>
        </w:rPr>
        <w:t>收入</w:t>
      </w:r>
      <w:r>
        <w:rPr>
          <w:rStyle w:val="29"/>
          <w:rFonts w:hint="eastAsia" w:ascii="仿宋" w:hAnsi="仿宋" w:eastAsia="仿宋"/>
          <w:b w:val="0"/>
          <w:bCs w:val="0"/>
        </w:rPr>
        <w:t>支出决算表</w:t>
      </w:r>
      <w:bookmarkEnd w:id="131"/>
      <w:bookmarkEnd w:id="132"/>
      <w:bookmarkEnd w:id="133"/>
    </w:p>
    <w:p>
      <w:pPr>
        <w:pStyle w:val="6"/>
        <w:rPr>
          <w:rStyle w:val="29"/>
          <w:rFonts w:hint="eastAsia" w:ascii="仿宋" w:hAnsi="仿宋" w:eastAsia="仿宋"/>
          <w:b w:val="0"/>
          <w:bCs w:val="0"/>
        </w:rPr>
      </w:pPr>
      <w:bookmarkStart w:id="134" w:name="_Toc79163899"/>
      <w:bookmarkStart w:id="135" w:name="_Toc79163649"/>
      <w:r>
        <w:rPr>
          <w:rStyle w:val="29"/>
          <w:rFonts w:hint="eastAsia" w:ascii="仿宋" w:hAnsi="仿宋" w:eastAsia="仿宋"/>
          <w:b w:val="0"/>
          <w:bCs w:val="0"/>
        </w:rPr>
        <w:t>十</w:t>
      </w:r>
      <w:r>
        <w:rPr>
          <w:rStyle w:val="29"/>
          <w:rFonts w:hint="eastAsia" w:ascii="仿宋" w:hAnsi="仿宋" w:eastAsia="仿宋"/>
          <w:b w:val="0"/>
          <w:bCs w:val="0"/>
          <w:lang w:val="en-US" w:eastAsia="zh-CN"/>
        </w:rPr>
        <w:t>二</w:t>
      </w:r>
      <w:r>
        <w:rPr>
          <w:rStyle w:val="29"/>
          <w:rFonts w:hint="eastAsia" w:ascii="仿宋" w:hAnsi="仿宋" w:eastAsia="仿宋"/>
          <w:b w:val="0"/>
          <w:bCs w:val="0"/>
        </w:rPr>
        <w:t>、国有资本经营预算财政拨款支出决算表</w:t>
      </w:r>
      <w:bookmarkEnd w:id="134"/>
      <w:bookmarkEnd w:id="135"/>
    </w:p>
    <w:p>
      <w:pPr>
        <w:pStyle w:val="6"/>
        <w:rPr>
          <w:rStyle w:val="29"/>
          <w:rFonts w:hint="eastAsia" w:ascii="仿宋" w:hAnsi="仿宋" w:eastAsia="仿宋"/>
          <w:b w:val="0"/>
          <w:bCs w:val="0"/>
        </w:rPr>
      </w:pPr>
      <w:r>
        <w:rPr>
          <w:rStyle w:val="29"/>
          <w:rFonts w:hint="eastAsia" w:ascii="仿宋" w:hAnsi="仿宋" w:eastAsia="仿宋"/>
          <w:b w:val="0"/>
          <w:bCs w:val="0"/>
          <w:lang w:val="en-US" w:eastAsia="zh-CN"/>
        </w:rPr>
        <w:t>十三、</w:t>
      </w:r>
      <w:r>
        <w:rPr>
          <w:rStyle w:val="29"/>
          <w:rFonts w:hint="eastAsia" w:ascii="仿宋" w:hAnsi="仿宋" w:eastAsia="仿宋"/>
          <w:b w:val="0"/>
          <w:bCs w:val="0"/>
        </w:rPr>
        <w:t>财政拨款“三公”经费支出决算表</w:t>
      </w:r>
    </w:p>
    <w:p>
      <w:pPr>
        <w:pStyle w:val="6"/>
        <w:rPr>
          <w:rStyle w:val="29"/>
          <w:rFonts w:hint="eastAsia" w:ascii="仿宋" w:hAnsi="仿宋" w:eastAsia="仿宋"/>
          <w:b w:val="0"/>
          <w:bCs w:val="0"/>
        </w:rPr>
      </w:pPr>
      <w:r>
        <w:rPr>
          <w:rStyle w:val="29"/>
          <w:rFonts w:hint="eastAsia" w:ascii="仿宋" w:hAnsi="仿宋" w:eastAsia="仿宋"/>
          <w:b w:val="0"/>
          <w:bCs w:val="0"/>
        </w:rPr>
        <w:t>十</w:t>
      </w:r>
      <w:r>
        <w:rPr>
          <w:rStyle w:val="29"/>
          <w:rFonts w:hint="eastAsia" w:ascii="仿宋" w:hAnsi="仿宋" w:eastAsia="仿宋"/>
          <w:b w:val="0"/>
          <w:bCs w:val="0"/>
          <w:lang w:val="en-US" w:eastAsia="zh-CN"/>
        </w:rPr>
        <w:t>四</w:t>
      </w:r>
      <w:r>
        <w:rPr>
          <w:rStyle w:val="29"/>
          <w:rFonts w:hint="eastAsia" w:ascii="仿宋" w:hAnsi="仿宋" w:eastAsia="仿宋"/>
          <w:b w:val="0"/>
          <w:bCs w:val="0"/>
        </w:rPr>
        <w:t>、部门预算项目支出绩效自评表</w:t>
      </w:r>
    </w:p>
    <w:p>
      <w:pPr>
        <w:pStyle w:val="6"/>
        <w:rPr>
          <w:rFonts w:ascii="仿宋" w:hAnsi="仿宋" w:eastAsia="仿宋"/>
          <w:color w:val="000000"/>
        </w:rPr>
      </w:pPr>
    </w:p>
    <w:sectPr>
      <w:footerReference r:id="rId6"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等线">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DejaVu Sans">
    <w:panose1 w:val="020B0603030804020204"/>
    <w:charset w:val="00"/>
    <w:family w:val="auto"/>
    <w:pitch w:val="default"/>
    <w:sig w:usb0="E7006EFF" w:usb1="D200FDFF" w:usb2="0A246029" w:usb3="0400200C" w:csb0="600001FF" w:csb1="DFFF0000"/>
  </w:font>
  <w:font w:name="等线">
    <w:altName w:val="仿宋"/>
    <w:panose1 w:val="00000000000000000000"/>
    <w:charset w:val="00"/>
    <w:family w:val="auto"/>
    <w:pitch w:val="default"/>
    <w:sig w:usb0="00000000" w:usb1="00000000" w:usb2="00000000" w:usb3="00000000" w:csb0="00000000" w:csb1="00000000"/>
  </w:font>
  <w:font w:name="Noto Sans Syriac Eastern">
    <w:panose1 w:val="02040503050306020203"/>
    <w:charset w:val="86"/>
    <w:family w:val="auto"/>
    <w:pitch w:val="default"/>
    <w:sig w:usb0="00000000" w:usb1="00000000" w:usb2="00000080" w:usb3="00000000" w:csb0="203E0161" w:csb1="D7FF0000"/>
  </w:font>
  <w:font w:name="方正仿宋_GBK">
    <w:panose1 w:val="03000509000000000000"/>
    <w:charset w:val="86"/>
    <w:family w:val="auto"/>
    <w:pitch w:val="default"/>
    <w:sig w:usb0="00000001" w:usb1="080E0000" w:usb2="00000000" w:usb3="00000000" w:csb0="00040000" w:csb1="00000000"/>
  </w:font>
  <w:font w:name="等线 Light">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fldChar w:fldCharType="begin"/>
    </w:r>
    <w:r>
      <w:instrText xml:space="preserve">PAGE   \* MERGEFORMAT</w:instrText>
    </w:r>
    <w:r>
      <w:fldChar w:fldCharType="separate"/>
    </w:r>
    <w:r>
      <w:t>25</w:t>
    </w:r>
    <w: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E33080"/>
    <w:multiLevelType w:val="singleLevel"/>
    <w:tmpl w:val="ACE33080"/>
    <w:lvl w:ilvl="0" w:tentative="0">
      <w:start w:val="2"/>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2">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3">
    <w:nsid w:val="27BE6324"/>
    <w:multiLevelType w:val="singleLevel"/>
    <w:tmpl w:val="27BE6324"/>
    <w:lvl w:ilvl="0" w:tentative="0">
      <w:start w:val="2"/>
      <w:numFmt w:val="chineseCounting"/>
      <w:suff w:val="nothing"/>
      <w:lvlText w:val="（%1）"/>
      <w:lvlJc w:val="left"/>
      <w:rPr>
        <w:rFonts w:hint="eastAsia"/>
      </w:rPr>
    </w:lvl>
  </w:abstractNum>
  <w:abstractNum w:abstractNumId="4">
    <w:nsid w:val="7EED1195"/>
    <w:multiLevelType w:val="singleLevel"/>
    <w:tmpl w:val="7EED1195"/>
    <w:lvl w:ilvl="0" w:tentative="0">
      <w:start w:val="1"/>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mZTlmMGI2ZjE3NTY4Y2I3MmIxZDhmM2RhOTUyMDcifQ=="/>
  </w:docVars>
  <w:rsids>
    <w:rsidRoot w:val="00172A27"/>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15301"/>
    <w:rsid w:val="001319E1"/>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26640"/>
    <w:rsid w:val="00235629"/>
    <w:rsid w:val="00256262"/>
    <w:rsid w:val="00260C38"/>
    <w:rsid w:val="002616C0"/>
    <w:rsid w:val="00264FA2"/>
    <w:rsid w:val="00265372"/>
    <w:rsid w:val="002662AA"/>
    <w:rsid w:val="0027224D"/>
    <w:rsid w:val="00280496"/>
    <w:rsid w:val="00294DC9"/>
    <w:rsid w:val="00295495"/>
    <w:rsid w:val="002A31DE"/>
    <w:rsid w:val="002B2613"/>
    <w:rsid w:val="002D6D05"/>
    <w:rsid w:val="002F1818"/>
    <w:rsid w:val="002F567B"/>
    <w:rsid w:val="003216A9"/>
    <w:rsid w:val="00335A74"/>
    <w:rsid w:val="0036561B"/>
    <w:rsid w:val="0037013F"/>
    <w:rsid w:val="00380C92"/>
    <w:rsid w:val="00394E7F"/>
    <w:rsid w:val="003A484F"/>
    <w:rsid w:val="003A4883"/>
    <w:rsid w:val="003B0BE0"/>
    <w:rsid w:val="003B0C1B"/>
    <w:rsid w:val="003B688C"/>
    <w:rsid w:val="003C0291"/>
    <w:rsid w:val="003C39AE"/>
    <w:rsid w:val="003C7B60"/>
    <w:rsid w:val="003D0C0F"/>
    <w:rsid w:val="003D1FB2"/>
    <w:rsid w:val="003D53FE"/>
    <w:rsid w:val="003D66DA"/>
    <w:rsid w:val="003E1310"/>
    <w:rsid w:val="003E6F55"/>
    <w:rsid w:val="003E6FE4"/>
    <w:rsid w:val="00406254"/>
    <w:rsid w:val="004223DE"/>
    <w:rsid w:val="00434489"/>
    <w:rsid w:val="00437085"/>
    <w:rsid w:val="00443880"/>
    <w:rsid w:val="00445607"/>
    <w:rsid w:val="004464F4"/>
    <w:rsid w:val="00471401"/>
    <w:rsid w:val="00473F31"/>
    <w:rsid w:val="00476DF9"/>
    <w:rsid w:val="0048263A"/>
    <w:rsid w:val="00487E5D"/>
    <w:rsid w:val="004A711F"/>
    <w:rsid w:val="004B199D"/>
    <w:rsid w:val="004B4690"/>
    <w:rsid w:val="004D5479"/>
    <w:rsid w:val="004E0A2D"/>
    <w:rsid w:val="004E206B"/>
    <w:rsid w:val="004E6DF7"/>
    <w:rsid w:val="004F0FBD"/>
    <w:rsid w:val="00505A47"/>
    <w:rsid w:val="00512FDA"/>
    <w:rsid w:val="00520DA0"/>
    <w:rsid w:val="005269A7"/>
    <w:rsid w:val="005269D7"/>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5F81"/>
    <w:rsid w:val="0065271A"/>
    <w:rsid w:val="0066343B"/>
    <w:rsid w:val="00664777"/>
    <w:rsid w:val="006748A4"/>
    <w:rsid w:val="00681A31"/>
    <w:rsid w:val="00683E73"/>
    <w:rsid w:val="006A3141"/>
    <w:rsid w:val="006A5E34"/>
    <w:rsid w:val="006B2422"/>
    <w:rsid w:val="006B2B9A"/>
    <w:rsid w:val="006C1937"/>
    <w:rsid w:val="006E2684"/>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D4A41"/>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632E0"/>
    <w:rsid w:val="00871F71"/>
    <w:rsid w:val="00872FD8"/>
    <w:rsid w:val="00885AF4"/>
    <w:rsid w:val="00892977"/>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D8"/>
    <w:rsid w:val="00935C98"/>
    <w:rsid w:val="00946945"/>
    <w:rsid w:val="00951248"/>
    <w:rsid w:val="0095152F"/>
    <w:rsid w:val="00954C49"/>
    <w:rsid w:val="00955E37"/>
    <w:rsid w:val="00962656"/>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11E4"/>
    <w:rsid w:val="00B03C9D"/>
    <w:rsid w:val="00B060AE"/>
    <w:rsid w:val="00B10517"/>
    <w:rsid w:val="00B14E76"/>
    <w:rsid w:val="00B161B8"/>
    <w:rsid w:val="00B2048C"/>
    <w:rsid w:val="00B20FF3"/>
    <w:rsid w:val="00B310B9"/>
    <w:rsid w:val="00B35F3F"/>
    <w:rsid w:val="00B36CBB"/>
    <w:rsid w:val="00B425E0"/>
    <w:rsid w:val="00B440AA"/>
    <w:rsid w:val="00B44B70"/>
    <w:rsid w:val="00B53C56"/>
    <w:rsid w:val="00B54DB4"/>
    <w:rsid w:val="00B57DAF"/>
    <w:rsid w:val="00B77EA6"/>
    <w:rsid w:val="00B81598"/>
    <w:rsid w:val="00B841F1"/>
    <w:rsid w:val="00B90E4E"/>
    <w:rsid w:val="00B944D6"/>
    <w:rsid w:val="00B965DC"/>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4B0"/>
    <w:rsid w:val="00DC7CBA"/>
    <w:rsid w:val="00DD73B7"/>
    <w:rsid w:val="00DF1C39"/>
    <w:rsid w:val="00DF28BC"/>
    <w:rsid w:val="00DF34B9"/>
    <w:rsid w:val="00E01053"/>
    <w:rsid w:val="00E07ACF"/>
    <w:rsid w:val="00E32CAD"/>
    <w:rsid w:val="00E331A1"/>
    <w:rsid w:val="00E33202"/>
    <w:rsid w:val="00E336A9"/>
    <w:rsid w:val="00E472B1"/>
    <w:rsid w:val="00E50624"/>
    <w:rsid w:val="00E568DF"/>
    <w:rsid w:val="00E64269"/>
    <w:rsid w:val="00E70975"/>
    <w:rsid w:val="00E82267"/>
    <w:rsid w:val="00E853CE"/>
    <w:rsid w:val="00E867B6"/>
    <w:rsid w:val="00EA010F"/>
    <w:rsid w:val="00ED1B63"/>
    <w:rsid w:val="00ED3C1F"/>
    <w:rsid w:val="00ED4085"/>
    <w:rsid w:val="00ED420E"/>
    <w:rsid w:val="00ED6FBE"/>
    <w:rsid w:val="00EE2F57"/>
    <w:rsid w:val="00EF4C34"/>
    <w:rsid w:val="00EF60EF"/>
    <w:rsid w:val="00EF77C6"/>
    <w:rsid w:val="00F05438"/>
    <w:rsid w:val="00F05477"/>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952C9"/>
    <w:rsid w:val="00FA23E8"/>
    <w:rsid w:val="00FD3CC1"/>
    <w:rsid w:val="00FF1E02"/>
    <w:rsid w:val="00FF30B4"/>
    <w:rsid w:val="014C4DA3"/>
    <w:rsid w:val="016D3530"/>
    <w:rsid w:val="051200B1"/>
    <w:rsid w:val="0561496E"/>
    <w:rsid w:val="05B747B5"/>
    <w:rsid w:val="061A2298"/>
    <w:rsid w:val="06FA704F"/>
    <w:rsid w:val="072A40A4"/>
    <w:rsid w:val="08674270"/>
    <w:rsid w:val="09844198"/>
    <w:rsid w:val="0A2032A3"/>
    <w:rsid w:val="0A5026DB"/>
    <w:rsid w:val="0B91295B"/>
    <w:rsid w:val="0C917B0E"/>
    <w:rsid w:val="0D04417E"/>
    <w:rsid w:val="0D1A52F9"/>
    <w:rsid w:val="106A20FA"/>
    <w:rsid w:val="10C055FF"/>
    <w:rsid w:val="114C04A7"/>
    <w:rsid w:val="118107EC"/>
    <w:rsid w:val="11BD58B2"/>
    <w:rsid w:val="129E7F40"/>
    <w:rsid w:val="12C30C3D"/>
    <w:rsid w:val="13D44FA7"/>
    <w:rsid w:val="15BA084A"/>
    <w:rsid w:val="169923E1"/>
    <w:rsid w:val="16BB723D"/>
    <w:rsid w:val="18D53478"/>
    <w:rsid w:val="19094ED0"/>
    <w:rsid w:val="1D0460DA"/>
    <w:rsid w:val="1D155CEE"/>
    <w:rsid w:val="20005A9A"/>
    <w:rsid w:val="210D528E"/>
    <w:rsid w:val="210E5779"/>
    <w:rsid w:val="22BA200B"/>
    <w:rsid w:val="232C4F75"/>
    <w:rsid w:val="240371BF"/>
    <w:rsid w:val="24FD4C12"/>
    <w:rsid w:val="253340DB"/>
    <w:rsid w:val="256A4D56"/>
    <w:rsid w:val="26B202B2"/>
    <w:rsid w:val="29FD04D3"/>
    <w:rsid w:val="2B6F5066"/>
    <w:rsid w:val="2E67780F"/>
    <w:rsid w:val="2E6C3ADF"/>
    <w:rsid w:val="2F0401BB"/>
    <w:rsid w:val="2FC101D2"/>
    <w:rsid w:val="303D5733"/>
    <w:rsid w:val="31540F86"/>
    <w:rsid w:val="319F7F4E"/>
    <w:rsid w:val="326B7F22"/>
    <w:rsid w:val="34AE30A3"/>
    <w:rsid w:val="361374D2"/>
    <w:rsid w:val="396D4B38"/>
    <w:rsid w:val="3B4E6126"/>
    <w:rsid w:val="3B7D557D"/>
    <w:rsid w:val="3D0C62A9"/>
    <w:rsid w:val="3D477BF1"/>
    <w:rsid w:val="3D9B4C8D"/>
    <w:rsid w:val="3F47037C"/>
    <w:rsid w:val="3FEA2348"/>
    <w:rsid w:val="40F778EA"/>
    <w:rsid w:val="42755200"/>
    <w:rsid w:val="42864E7C"/>
    <w:rsid w:val="45DB6861"/>
    <w:rsid w:val="464A0752"/>
    <w:rsid w:val="47971775"/>
    <w:rsid w:val="48B85449"/>
    <w:rsid w:val="4A151212"/>
    <w:rsid w:val="4A235542"/>
    <w:rsid w:val="4C6365C5"/>
    <w:rsid w:val="4E606D65"/>
    <w:rsid w:val="4EBC7D13"/>
    <w:rsid w:val="4ECE2238"/>
    <w:rsid w:val="4F3F2E1E"/>
    <w:rsid w:val="50CC248F"/>
    <w:rsid w:val="52020AD7"/>
    <w:rsid w:val="522D3402"/>
    <w:rsid w:val="52350508"/>
    <w:rsid w:val="529B480F"/>
    <w:rsid w:val="53AB0A82"/>
    <w:rsid w:val="595D1779"/>
    <w:rsid w:val="5A767910"/>
    <w:rsid w:val="5DC664B8"/>
    <w:rsid w:val="5E3E24F3"/>
    <w:rsid w:val="5F526256"/>
    <w:rsid w:val="5F8D535E"/>
    <w:rsid w:val="5FC37F08"/>
    <w:rsid w:val="600734E4"/>
    <w:rsid w:val="61502C69"/>
    <w:rsid w:val="61F730E4"/>
    <w:rsid w:val="623600B0"/>
    <w:rsid w:val="626616D3"/>
    <w:rsid w:val="627324E2"/>
    <w:rsid w:val="631A4274"/>
    <w:rsid w:val="67B37AAD"/>
    <w:rsid w:val="6850354E"/>
    <w:rsid w:val="69780FAF"/>
    <w:rsid w:val="6C4A05C8"/>
    <w:rsid w:val="6C845EBC"/>
    <w:rsid w:val="71724535"/>
    <w:rsid w:val="72020D13"/>
    <w:rsid w:val="72734D90"/>
    <w:rsid w:val="766F09B1"/>
    <w:rsid w:val="79725A1A"/>
    <w:rsid w:val="79BC6C95"/>
    <w:rsid w:val="79C773E8"/>
    <w:rsid w:val="7A6B246A"/>
    <w:rsid w:val="7B580C40"/>
    <w:rsid w:val="7D44147C"/>
    <w:rsid w:val="7E0429B9"/>
    <w:rsid w:val="7E3239CA"/>
    <w:rsid w:val="7EEF83D7"/>
    <w:rsid w:val="E3ED015C"/>
    <w:rsid w:val="FADD2B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29"/>
    <w:qFormat/>
    <w:uiPriority w:val="9"/>
    <w:pPr>
      <w:keepNext/>
      <w:keepLines/>
      <w:spacing w:before="260" w:after="260" w:line="416" w:lineRule="auto"/>
      <w:outlineLvl w:val="1"/>
    </w:pPr>
    <w:rPr>
      <w:rFonts w:ascii="Cambria" w:hAnsi="Cambria"/>
      <w:b/>
      <w:bCs/>
      <w:sz w:val="32"/>
      <w:szCs w:val="32"/>
    </w:rPr>
  </w:style>
  <w:style w:type="paragraph" w:styleId="7">
    <w:name w:val="heading 3"/>
    <w:basedOn w:val="1"/>
    <w:next w:val="1"/>
    <w:link w:val="30"/>
    <w:qFormat/>
    <w:uiPriority w:val="9"/>
    <w:pPr>
      <w:keepNext/>
      <w:keepLines/>
      <w:spacing w:before="260" w:after="260" w:line="416" w:lineRule="auto"/>
      <w:outlineLvl w:val="2"/>
    </w:pPr>
    <w:rPr>
      <w:b/>
      <w:bCs/>
      <w:sz w:val="32"/>
      <w:szCs w:val="32"/>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qFormat/>
    <w:uiPriority w:val="0"/>
    <w:pPr>
      <w:spacing w:line="360" w:lineRule="auto"/>
      <w:ind w:left="0" w:leftChars="0" w:firstLine="420" w:firstLineChars="200"/>
    </w:pPr>
    <w:rPr>
      <w:rFonts w:ascii="Times New Roman" w:hAnsi="Times New Roman" w:eastAsia="宋体"/>
    </w:rPr>
  </w:style>
  <w:style w:type="paragraph" w:styleId="4">
    <w:name w:val="Body Text Indent"/>
    <w:basedOn w:val="1"/>
    <w:next w:val="3"/>
    <w:qFormat/>
    <w:uiPriority w:val="0"/>
    <w:pPr>
      <w:spacing w:after="120"/>
      <w:ind w:left="420" w:leftChars="200"/>
    </w:pPr>
    <w:rPr>
      <w:rFonts w:ascii="Calibri" w:hAnsi="Calibri"/>
      <w:szCs w:val="22"/>
    </w:rPr>
  </w:style>
  <w:style w:type="paragraph" w:styleId="8">
    <w:name w:val="toc 7"/>
    <w:basedOn w:val="1"/>
    <w:next w:val="1"/>
    <w:unhideWhenUsed/>
    <w:qFormat/>
    <w:uiPriority w:val="39"/>
    <w:pPr>
      <w:ind w:left="1260"/>
      <w:jc w:val="left"/>
    </w:pPr>
    <w:rPr>
      <w:rFonts w:asciiTheme="minorHAnsi" w:eastAsiaTheme="minorHAnsi"/>
      <w:sz w:val="18"/>
      <w:szCs w:val="18"/>
    </w:rPr>
  </w:style>
  <w:style w:type="paragraph" w:styleId="9">
    <w:name w:val="Body Text"/>
    <w:basedOn w:val="1"/>
    <w:link w:val="37"/>
    <w:qFormat/>
    <w:uiPriority w:val="99"/>
    <w:pPr>
      <w:spacing w:beforeLines="30"/>
    </w:pPr>
    <w:rPr>
      <w:rFonts w:ascii="仿宋_GB2312" w:eastAsia="仿宋_GB2312"/>
      <w:kern w:val="0"/>
      <w:sz w:val="24"/>
      <w:szCs w:val="20"/>
      <w:lang w:val="zh-CN"/>
    </w:rPr>
  </w:style>
  <w:style w:type="paragraph" w:styleId="10">
    <w:name w:val="toc 5"/>
    <w:basedOn w:val="1"/>
    <w:next w:val="1"/>
    <w:unhideWhenUsed/>
    <w:qFormat/>
    <w:uiPriority w:val="39"/>
    <w:pPr>
      <w:ind w:left="840"/>
      <w:jc w:val="left"/>
    </w:pPr>
    <w:rPr>
      <w:rFonts w:asciiTheme="minorHAnsi" w:eastAsiaTheme="minorHAnsi"/>
      <w:sz w:val="18"/>
      <w:szCs w:val="18"/>
    </w:rPr>
  </w:style>
  <w:style w:type="paragraph" w:styleId="11">
    <w:name w:val="toc 3"/>
    <w:basedOn w:val="1"/>
    <w:next w:val="1"/>
    <w:unhideWhenUsed/>
    <w:qFormat/>
    <w:uiPriority w:val="39"/>
    <w:pPr>
      <w:ind w:left="420"/>
      <w:jc w:val="left"/>
    </w:pPr>
    <w:rPr>
      <w:rFonts w:asciiTheme="minorHAnsi" w:eastAsiaTheme="minorHAnsi"/>
      <w:i/>
      <w:iCs/>
      <w:sz w:val="20"/>
      <w:szCs w:val="20"/>
    </w:rPr>
  </w:style>
  <w:style w:type="paragraph" w:styleId="12">
    <w:name w:val="toc 8"/>
    <w:basedOn w:val="1"/>
    <w:next w:val="1"/>
    <w:unhideWhenUsed/>
    <w:qFormat/>
    <w:uiPriority w:val="39"/>
    <w:pPr>
      <w:ind w:left="1470"/>
      <w:jc w:val="left"/>
    </w:pPr>
    <w:rPr>
      <w:rFonts w:asciiTheme="minorHAnsi" w:eastAsiaTheme="minorHAnsi"/>
      <w:sz w:val="18"/>
      <w:szCs w:val="18"/>
    </w:rPr>
  </w:style>
  <w:style w:type="paragraph" w:styleId="13">
    <w:name w:val="Balloon Text"/>
    <w:basedOn w:val="1"/>
    <w:link w:val="32"/>
    <w:semiHidden/>
    <w:unhideWhenUsed/>
    <w:qFormat/>
    <w:uiPriority w:val="99"/>
    <w:rPr>
      <w:sz w:val="18"/>
      <w:szCs w:val="18"/>
    </w:rPr>
  </w:style>
  <w:style w:type="paragraph" w:styleId="14">
    <w:name w:val="footer"/>
    <w:basedOn w:val="1"/>
    <w:link w:val="36"/>
    <w:qFormat/>
    <w:uiPriority w:val="99"/>
    <w:pPr>
      <w:tabs>
        <w:tab w:val="center" w:pos="4153"/>
        <w:tab w:val="right" w:pos="8306"/>
      </w:tabs>
      <w:snapToGrid w:val="0"/>
      <w:jc w:val="left"/>
    </w:pPr>
    <w:rPr>
      <w:rFonts w:ascii="Calibri" w:hAnsi="Calibri"/>
      <w:kern w:val="0"/>
      <w:sz w:val="18"/>
      <w:szCs w:val="20"/>
      <w:lang w:val="zh-CN"/>
    </w:rPr>
  </w:style>
  <w:style w:type="paragraph" w:styleId="15">
    <w:name w:val="header"/>
    <w:basedOn w:val="1"/>
    <w:link w:val="35"/>
    <w:semiHidden/>
    <w:qFormat/>
    <w:uiPriority w:val="99"/>
    <w:pPr>
      <w:pBdr>
        <w:bottom w:val="single" w:color="auto" w:sz="6" w:space="1"/>
      </w:pBdr>
      <w:tabs>
        <w:tab w:val="center" w:pos="4153"/>
        <w:tab w:val="right" w:pos="8306"/>
      </w:tabs>
      <w:snapToGrid w:val="0"/>
      <w:jc w:val="center"/>
    </w:pPr>
    <w:rPr>
      <w:rFonts w:ascii="Calibri" w:hAnsi="Calibri"/>
      <w:kern w:val="0"/>
      <w:sz w:val="18"/>
      <w:szCs w:val="20"/>
      <w:lang w:val="zh-CN"/>
    </w:rPr>
  </w:style>
  <w:style w:type="paragraph" w:styleId="16">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17">
    <w:name w:val="toc 4"/>
    <w:basedOn w:val="1"/>
    <w:next w:val="1"/>
    <w:unhideWhenUsed/>
    <w:qFormat/>
    <w:uiPriority w:val="39"/>
    <w:pPr>
      <w:ind w:left="630"/>
      <w:jc w:val="left"/>
    </w:pPr>
    <w:rPr>
      <w:rFonts w:asciiTheme="minorHAnsi" w:eastAsiaTheme="minorHAnsi"/>
      <w:sz w:val="18"/>
      <w:szCs w:val="18"/>
    </w:rPr>
  </w:style>
  <w:style w:type="paragraph" w:styleId="18">
    <w:name w:val="toc 6"/>
    <w:basedOn w:val="1"/>
    <w:next w:val="1"/>
    <w:unhideWhenUsed/>
    <w:qFormat/>
    <w:uiPriority w:val="39"/>
    <w:pPr>
      <w:ind w:left="1050"/>
      <w:jc w:val="left"/>
    </w:pPr>
    <w:rPr>
      <w:rFonts w:asciiTheme="minorHAnsi" w:eastAsiaTheme="minorHAnsi"/>
      <w:sz w:val="18"/>
      <w:szCs w:val="18"/>
    </w:rPr>
  </w:style>
  <w:style w:type="paragraph" w:styleId="19">
    <w:name w:val="table of figures"/>
    <w:basedOn w:val="1"/>
    <w:next w:val="1"/>
    <w:qFormat/>
    <w:uiPriority w:val="0"/>
    <w:pPr>
      <w:widowControl w:val="0"/>
      <w:ind w:left="400" w:leftChars="200" w:hanging="200" w:hangingChars="200"/>
      <w:jc w:val="both"/>
    </w:pPr>
    <w:rPr>
      <w:rFonts w:ascii="Calibri" w:hAnsi="Calibri" w:eastAsia="宋体" w:cs="Times New Roman"/>
      <w:kern w:val="2"/>
      <w:sz w:val="21"/>
      <w:szCs w:val="24"/>
      <w:lang w:val="en-US" w:eastAsia="zh-CN" w:bidi="ar-SA"/>
    </w:rPr>
  </w:style>
  <w:style w:type="paragraph" w:styleId="20">
    <w:name w:val="toc 2"/>
    <w:basedOn w:val="1"/>
    <w:next w:val="1"/>
    <w:link w:val="46"/>
    <w:unhideWhenUsed/>
    <w:qFormat/>
    <w:uiPriority w:val="39"/>
    <w:pPr>
      <w:ind w:left="210"/>
      <w:jc w:val="left"/>
    </w:pPr>
    <w:rPr>
      <w:rFonts w:asciiTheme="minorHAnsi" w:eastAsiaTheme="minorHAnsi"/>
      <w:smallCaps/>
      <w:sz w:val="20"/>
      <w:szCs w:val="20"/>
    </w:rPr>
  </w:style>
  <w:style w:type="paragraph" w:styleId="21">
    <w:name w:val="toc 9"/>
    <w:basedOn w:val="1"/>
    <w:next w:val="1"/>
    <w:unhideWhenUsed/>
    <w:qFormat/>
    <w:uiPriority w:val="39"/>
    <w:pPr>
      <w:ind w:left="1680"/>
      <w:jc w:val="left"/>
    </w:pPr>
    <w:rPr>
      <w:rFonts w:asciiTheme="minorHAnsi" w:eastAsiaTheme="minorHAnsi"/>
      <w:sz w:val="18"/>
      <w:szCs w:val="18"/>
    </w:rPr>
  </w:style>
  <w:style w:type="paragraph" w:styleId="22">
    <w:name w:val="Normal (Web)"/>
    <w:basedOn w:val="1"/>
    <w:unhideWhenUsed/>
    <w:qFormat/>
    <w:uiPriority w:val="0"/>
    <w:pPr>
      <w:spacing w:before="100" w:beforeAutospacing="1" w:after="100" w:afterAutospacing="1"/>
    </w:pPr>
  </w:style>
  <w:style w:type="character" w:styleId="25">
    <w:name w:val="Strong"/>
    <w:basedOn w:val="24"/>
    <w:qFormat/>
    <w:uiPriority w:val="99"/>
    <w:rPr>
      <w:rFonts w:cs="Times New Roman"/>
      <w:b/>
    </w:rPr>
  </w:style>
  <w:style w:type="character" w:styleId="26">
    <w:name w:val="Hyperlink"/>
    <w:basedOn w:val="24"/>
    <w:unhideWhenUsed/>
    <w:qFormat/>
    <w:uiPriority w:val="99"/>
    <w:rPr>
      <w:rFonts w:cs="Times New Roman"/>
      <w:color w:val="0000FF"/>
      <w:u w:val="single"/>
    </w:rPr>
  </w:style>
  <w:style w:type="paragraph" w:customStyle="1" w:styleId="27">
    <w:name w:val="列出段落1"/>
    <w:basedOn w:val="1"/>
    <w:qFormat/>
    <w:uiPriority w:val="34"/>
    <w:pPr>
      <w:ind w:firstLine="420" w:firstLineChars="200"/>
    </w:pPr>
    <w:rPr>
      <w:rFonts w:ascii="Calibri" w:hAnsi="Calibri" w:eastAsia="宋体" w:cs="Times New Roman"/>
    </w:rPr>
  </w:style>
  <w:style w:type="character" w:customStyle="1" w:styleId="28">
    <w:name w:val="标题 1 Char"/>
    <w:basedOn w:val="24"/>
    <w:link w:val="5"/>
    <w:qFormat/>
    <w:locked/>
    <w:uiPriority w:val="9"/>
    <w:rPr>
      <w:rFonts w:ascii="Times New Roman" w:hAnsi="Times New Roman" w:cs="Times New Roman"/>
      <w:b/>
      <w:bCs/>
      <w:kern w:val="44"/>
      <w:sz w:val="44"/>
      <w:szCs w:val="44"/>
    </w:rPr>
  </w:style>
  <w:style w:type="character" w:customStyle="1" w:styleId="29">
    <w:name w:val="标题 2 Char"/>
    <w:basedOn w:val="24"/>
    <w:link w:val="6"/>
    <w:qFormat/>
    <w:locked/>
    <w:uiPriority w:val="9"/>
    <w:rPr>
      <w:rFonts w:ascii="Cambria" w:hAnsi="Cambria" w:eastAsia="宋体" w:cs="Times New Roman"/>
      <w:b/>
      <w:bCs/>
      <w:kern w:val="2"/>
      <w:sz w:val="32"/>
      <w:szCs w:val="32"/>
    </w:rPr>
  </w:style>
  <w:style w:type="character" w:customStyle="1" w:styleId="30">
    <w:name w:val="标题 3 Char"/>
    <w:basedOn w:val="24"/>
    <w:link w:val="7"/>
    <w:qFormat/>
    <w:locked/>
    <w:uiPriority w:val="9"/>
    <w:rPr>
      <w:rFonts w:ascii="Times New Roman" w:hAnsi="Times New Roman" w:cs="Times New Roman"/>
      <w:b/>
      <w:bCs/>
      <w:kern w:val="2"/>
      <w:sz w:val="32"/>
      <w:szCs w:val="32"/>
    </w:rPr>
  </w:style>
  <w:style w:type="character" w:customStyle="1" w:styleId="31">
    <w:name w:val="Body Text Char"/>
    <w:basedOn w:val="24"/>
    <w:semiHidden/>
    <w:qFormat/>
    <w:uiPriority w:val="99"/>
    <w:rPr>
      <w:rFonts w:ascii="Times New Roman" w:hAnsi="Times New Roman" w:cs="Times New Roman"/>
      <w:sz w:val="24"/>
      <w:szCs w:val="24"/>
    </w:rPr>
  </w:style>
  <w:style w:type="character" w:customStyle="1" w:styleId="32">
    <w:name w:val="批注框文本 Char"/>
    <w:basedOn w:val="24"/>
    <w:link w:val="13"/>
    <w:semiHidden/>
    <w:qFormat/>
    <w:locked/>
    <w:uiPriority w:val="99"/>
    <w:rPr>
      <w:rFonts w:ascii="Times New Roman" w:hAnsi="Times New Roman" w:cs="Times New Roman"/>
      <w:kern w:val="2"/>
      <w:sz w:val="18"/>
      <w:szCs w:val="18"/>
    </w:rPr>
  </w:style>
  <w:style w:type="character" w:customStyle="1" w:styleId="33">
    <w:name w:val="Footer Char"/>
    <w:basedOn w:val="24"/>
    <w:semiHidden/>
    <w:qFormat/>
    <w:uiPriority w:val="99"/>
    <w:rPr>
      <w:rFonts w:ascii="Times New Roman" w:hAnsi="Times New Roman" w:cs="Times New Roman"/>
      <w:sz w:val="18"/>
      <w:szCs w:val="18"/>
    </w:rPr>
  </w:style>
  <w:style w:type="character" w:customStyle="1" w:styleId="34">
    <w:name w:val="Header Char"/>
    <w:basedOn w:val="24"/>
    <w:semiHidden/>
    <w:qFormat/>
    <w:uiPriority w:val="99"/>
    <w:rPr>
      <w:rFonts w:ascii="Times New Roman" w:hAnsi="Times New Roman" w:cs="Times New Roman"/>
      <w:sz w:val="18"/>
      <w:szCs w:val="18"/>
    </w:rPr>
  </w:style>
  <w:style w:type="character" w:customStyle="1" w:styleId="35">
    <w:name w:val="页眉 Char"/>
    <w:link w:val="15"/>
    <w:semiHidden/>
    <w:qFormat/>
    <w:locked/>
    <w:uiPriority w:val="99"/>
    <w:rPr>
      <w:sz w:val="18"/>
    </w:rPr>
  </w:style>
  <w:style w:type="character" w:customStyle="1" w:styleId="36">
    <w:name w:val="页脚 Char"/>
    <w:link w:val="14"/>
    <w:qFormat/>
    <w:locked/>
    <w:uiPriority w:val="99"/>
    <w:rPr>
      <w:sz w:val="18"/>
    </w:rPr>
  </w:style>
  <w:style w:type="character" w:customStyle="1" w:styleId="37">
    <w:name w:val="正文文本 Char"/>
    <w:link w:val="9"/>
    <w:qFormat/>
    <w:locked/>
    <w:uiPriority w:val="99"/>
    <w:rPr>
      <w:rFonts w:ascii="仿宋_GB2312" w:hAnsi="Times New Roman" w:eastAsia="仿宋_GB2312"/>
      <w:sz w:val="24"/>
    </w:rPr>
  </w:style>
  <w:style w:type="paragraph" w:customStyle="1" w:styleId="3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9">
    <w:name w:val="列表段落1"/>
    <w:basedOn w:val="1"/>
    <w:qFormat/>
    <w:uiPriority w:val="34"/>
    <w:pPr>
      <w:ind w:firstLine="420" w:firstLineChars="200"/>
    </w:pPr>
  </w:style>
  <w:style w:type="paragraph" w:customStyle="1" w:styleId="40">
    <w:name w:val="TOC 标题1"/>
    <w:basedOn w:val="5"/>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1">
    <w:name w:val="TOC Heading1"/>
    <w:basedOn w:val="5"/>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2">
    <w:name w:val="TOC 标题2"/>
    <w:basedOn w:val="5"/>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43">
    <w:name w:val="NormalCharacter"/>
    <w:semiHidden/>
    <w:qFormat/>
    <w:uiPriority w:val="0"/>
    <w:rPr>
      <w:rFonts w:ascii="Calibri" w:hAnsi="Calibri" w:eastAsia="宋体" w:cs="Times New Roman"/>
      <w:kern w:val="2"/>
      <w:sz w:val="21"/>
      <w:szCs w:val="24"/>
      <w:lang w:val="en-US" w:eastAsia="zh-CN" w:bidi="ar-SA"/>
    </w:rPr>
  </w:style>
  <w:style w:type="character" w:customStyle="1" w:styleId="44">
    <w:name w:val="15"/>
    <w:basedOn w:val="24"/>
    <w:qFormat/>
    <w:uiPriority w:val="0"/>
    <w:rPr>
      <w:rFonts w:hint="default" w:ascii="Cambria" w:hAnsi="Cambria" w:eastAsia="宋体" w:cs="Times New Roman"/>
      <w:b/>
      <w:bCs/>
      <w:kern w:val="2"/>
      <w:sz w:val="32"/>
      <w:szCs w:val="32"/>
    </w:rPr>
  </w:style>
  <w:style w:type="character" w:customStyle="1" w:styleId="45">
    <w:name w:val="10"/>
    <w:basedOn w:val="24"/>
    <w:qFormat/>
    <w:uiPriority w:val="0"/>
    <w:rPr>
      <w:rFonts w:hint="default" w:ascii="Times New Roman" w:hAnsi="Times New Roman" w:cs="Times New Roman"/>
    </w:rPr>
  </w:style>
  <w:style w:type="character" w:customStyle="1" w:styleId="46">
    <w:name w:val="目录 2 Char"/>
    <w:link w:val="20"/>
    <w:qFormat/>
    <w:uiPriority w:val="39"/>
    <w:rPr>
      <w:rFonts w:asciiTheme="minorHAnsi" w:eastAsiaTheme="minorHAnsi"/>
      <w:smallCaps/>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9.xml"/><Relationship Id="rId15" Type="http://schemas.openxmlformats.org/officeDocument/2006/relationships/chart" Target="charts/chart8.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E:\&#20915;&#31639;&#20844;&#24320;&#20998;&#26512;&#22270;&#3492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20915;&#31639;&#20844;&#24320;&#20998;&#26512;&#22270;&#34920;.xls"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E:\&#20915;&#31639;&#20844;&#24320;&#20998;&#26512;&#22270;&#3492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20915;&#31639;&#20844;&#24320;&#20998;&#26512;&#22270;&#3492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20915;&#31639;&#20844;&#24320;&#20998;&#26512;&#22270;&#3492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20915;&#31639;&#20844;&#24320;&#20998;&#26512;&#22270;&#34920;.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E:\&#20915;&#31639;&#20844;&#24320;&#20998;&#26512;&#22270;&#34920;.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E:\&#20915;&#31639;&#20844;&#24320;&#20998;&#26512;&#22270;&#34920;.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20210;&#26126;&#26480;\&#20210;&#26126;&#26480;\WeChat%20Files\wxid_1gbp56i1t6o422\FileStorage\File\2024-10\&#20915;&#31639;&#20844;&#24320;&#20998;&#26512;&#22270;&#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收入决算总计变动情况图</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false"/>
      <c:spPr>
        <a:noFill/>
        <a:ln>
          <a:noFill/>
        </a:ln>
        <a:effectLst/>
      </c:spPr>
    </c:title>
    <c:autoTitleDeleted val="false"/>
    <c:plotArea>
      <c:layout>
        <c:manualLayout>
          <c:layoutTarget val="inner"/>
          <c:xMode val="edge"/>
          <c:yMode val="edge"/>
          <c:x val="0.0988333333333333"/>
          <c:y val="0.22037037037037"/>
          <c:w val="0.844222222222222"/>
          <c:h val="0.711666666666667"/>
        </c:manualLayout>
      </c:layout>
      <c:barChart>
        <c:barDir val="col"/>
        <c:grouping val="clustered"/>
        <c:varyColors val="false"/>
        <c:ser>
          <c:idx val="0"/>
          <c:order val="0"/>
          <c:spPr>
            <a:solidFill>
              <a:schemeClr val="accent1"/>
            </a:solidFill>
            <a:ln>
              <a:noFill/>
            </a:ln>
            <a:effectLst/>
          </c:spPr>
          <c:invertIfNegative val="false"/>
          <c:dLbls>
            <c:delete val="true"/>
          </c:dLbls>
          <c:cat>
            <c:strRef>
              <c:f>[决算公开分析图表.xls]Sheet1!$A$3:$B$3</c:f>
              <c:strCache>
                <c:ptCount val="2"/>
                <c:pt idx="0">
                  <c:v>2023年</c:v>
                </c:pt>
                <c:pt idx="1">
                  <c:v>2024年</c:v>
                </c:pt>
              </c:strCache>
            </c:strRef>
          </c:cat>
          <c:val>
            <c:numRef>
              <c:f>[决算公开分析图表.xls]Sheet1!$A$4:$B$4</c:f>
              <c:numCache>
                <c:formatCode>#,##0.00</c:formatCode>
                <c:ptCount val="2"/>
                <c:pt idx="0">
                  <c:v>394.51</c:v>
                </c:pt>
                <c:pt idx="1">
                  <c:v>411.2</c:v>
                </c:pt>
              </c:numCache>
            </c:numRef>
          </c:val>
        </c:ser>
        <c:dLbls>
          <c:showLegendKey val="false"/>
          <c:showVal val="false"/>
          <c:showCatName val="false"/>
          <c:showSerName val="false"/>
          <c:showPercent val="false"/>
          <c:showBubbleSize val="false"/>
        </c:dLbls>
        <c:gapWidth val="219"/>
        <c:overlap val="-27"/>
        <c:axId val="579877033"/>
        <c:axId val="723587952"/>
      </c:barChart>
      <c:catAx>
        <c:axId val="579877033"/>
        <c:scaling>
          <c:orientation val="minMax"/>
        </c:scaling>
        <c:delete val="false"/>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723587952"/>
        <c:crosses val="autoZero"/>
        <c:auto val="true"/>
        <c:lblAlgn val="ctr"/>
        <c:lblOffset val="100"/>
        <c:noMultiLvlLbl val="false"/>
      </c:catAx>
      <c:valAx>
        <c:axId val="723587952"/>
        <c:scaling>
          <c:orientation val="minMax"/>
        </c:scaling>
        <c:delete val="false"/>
        <c:axPos val="l"/>
        <c:majorGridlines>
          <c:spPr>
            <a:ln w="9525" cap="flat" cmpd="sng" algn="ctr">
              <a:solidFill>
                <a:schemeClr val="tx1">
                  <a:lumMod val="15000"/>
                  <a:lumOff val="85000"/>
                </a:schemeClr>
              </a:solidFill>
              <a:prstDash val="solid"/>
              <a:round/>
            </a:ln>
            <a:effectLst/>
          </c:spPr>
        </c:majorGridlines>
        <c:numFmt formatCode="#,##0.00" sourceLinked="true"/>
        <c:majorTickMark val="none"/>
        <c:minorTickMark val="none"/>
        <c:tickLblPos val="nextTo"/>
        <c:spPr>
          <a:noFill/>
          <a:ln w="6350" cap="flat" cmpd="sng" algn="ctr">
            <a:no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579877033"/>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支出决算总计变动情况图</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false"/>
      <c:spPr>
        <a:noFill/>
        <a:ln>
          <a:noFill/>
        </a:ln>
        <a:effectLst/>
      </c:spPr>
    </c:title>
    <c:autoTitleDeleted val="false"/>
    <c:plotArea>
      <c:layout/>
      <c:barChart>
        <c:barDir val="col"/>
        <c:grouping val="clustered"/>
        <c:varyColors val="false"/>
        <c:ser>
          <c:idx val="0"/>
          <c:order val="0"/>
          <c:spPr>
            <a:solidFill>
              <a:schemeClr val="accent1"/>
            </a:solidFill>
            <a:ln>
              <a:noFill/>
            </a:ln>
            <a:effectLst/>
          </c:spPr>
          <c:invertIfNegative val="false"/>
          <c:dLbls>
            <c:delete val="true"/>
          </c:dLbls>
          <c:cat>
            <c:strRef>
              <c:f>[决算公开分析图表.xls]Sheet1!$A$24:$B$24</c:f>
              <c:strCache>
                <c:ptCount val="2"/>
                <c:pt idx="0">
                  <c:v>2023年</c:v>
                </c:pt>
                <c:pt idx="1">
                  <c:v>2024年</c:v>
                </c:pt>
              </c:strCache>
            </c:strRef>
          </c:cat>
          <c:val>
            <c:numRef>
              <c:f>[决算公开分析图表.xls]Sheet1!$A$25:$B$25</c:f>
              <c:numCache>
                <c:formatCode>#,##0.00</c:formatCode>
                <c:ptCount val="2"/>
                <c:pt idx="0">
                  <c:v>394.51</c:v>
                </c:pt>
                <c:pt idx="1">
                  <c:v>410.85</c:v>
                </c:pt>
              </c:numCache>
            </c:numRef>
          </c:val>
        </c:ser>
        <c:dLbls>
          <c:showLegendKey val="false"/>
          <c:showVal val="false"/>
          <c:showCatName val="false"/>
          <c:showSerName val="false"/>
          <c:showPercent val="false"/>
          <c:showBubbleSize val="false"/>
        </c:dLbls>
        <c:gapWidth val="219"/>
        <c:overlap val="-27"/>
        <c:axId val="303176975"/>
        <c:axId val="56548682"/>
      </c:barChart>
      <c:catAx>
        <c:axId val="303176975"/>
        <c:scaling>
          <c:orientation val="minMax"/>
        </c:scaling>
        <c:delete val="false"/>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56548682"/>
        <c:crosses val="autoZero"/>
        <c:auto val="true"/>
        <c:lblAlgn val="ctr"/>
        <c:lblOffset val="100"/>
        <c:noMultiLvlLbl val="false"/>
      </c:catAx>
      <c:valAx>
        <c:axId val="56548682"/>
        <c:scaling>
          <c:orientation val="minMax"/>
        </c:scaling>
        <c:delete val="false"/>
        <c:axPos val="l"/>
        <c:majorGridlines>
          <c:spPr>
            <a:ln w="9525" cap="flat" cmpd="sng" algn="ctr">
              <a:solidFill>
                <a:schemeClr val="tx1">
                  <a:lumMod val="15000"/>
                  <a:lumOff val="85000"/>
                </a:schemeClr>
              </a:solidFill>
              <a:prstDash val="solid"/>
              <a:round/>
            </a:ln>
            <a:effectLst/>
          </c:spPr>
        </c:majorGridlines>
        <c:numFmt formatCode="#,##0.00" sourceLinked="true"/>
        <c:majorTickMark val="none"/>
        <c:minorTickMark val="none"/>
        <c:tickLblPos val="nextTo"/>
        <c:spPr>
          <a:noFill/>
          <a:ln w="6350" cap="flat" cmpd="sng" algn="ctr">
            <a:no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303176975"/>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p>
        </c:rich>
      </c:tx>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delete val="true"/>
          </c:dLbls>
          <c:cat>
            <c:strRef>
              <c:f>[决算公开分析图表.xls]Sheet1!$D$43:$D$44</c:f>
              <c:strCache>
                <c:ptCount val="2"/>
                <c:pt idx="0">
                  <c:v>一般公共预算财政拨款收入</c:v>
                </c:pt>
                <c:pt idx="1">
                  <c:v>其他收入</c:v>
                </c:pt>
              </c:strCache>
            </c:strRef>
          </c:cat>
          <c:val>
            <c:numRef>
              <c:f>[决算公开分析图表.xls]Sheet1!$E$43:$E$44</c:f>
              <c:numCache>
                <c:formatCode>General</c:formatCode>
                <c:ptCount val="2"/>
                <c:pt idx="0">
                  <c:v>388.55</c:v>
                </c:pt>
                <c:pt idx="1">
                  <c:v>22.65</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false"/>
      <c:spPr>
        <a:noFill/>
        <a:ln>
          <a:noFill/>
        </a:ln>
        <a:effectLst/>
      </c:spPr>
    </c:title>
    <c:autoTitleDeleted val="false"/>
    <c:plotArea>
      <c:layout/>
      <c:pieChart>
        <c:varyColors val="true"/>
        <c:ser>
          <c:idx val="0"/>
          <c:order val="0"/>
          <c:explosion val="0"/>
          <c:dPt>
            <c:idx val="0"/>
            <c:bubble3D val="false"/>
            <c:explosion val="1"/>
            <c:spPr>
              <a:solidFill>
                <a:schemeClr val="accent1"/>
              </a:solidFill>
              <a:ln w="19050">
                <a:solidFill>
                  <a:schemeClr val="lt1"/>
                </a:solidFill>
              </a:ln>
              <a:effectLst/>
            </c:spPr>
          </c:dPt>
          <c:dPt>
            <c:idx val="1"/>
            <c:bubble3D val="false"/>
            <c:explosion val="0"/>
            <c:spPr>
              <a:solidFill>
                <a:schemeClr val="accent2"/>
              </a:solidFill>
              <a:ln w="19050">
                <a:solidFill>
                  <a:schemeClr val="lt1"/>
                </a:solidFill>
              </a:ln>
              <a:effectLst/>
            </c:spPr>
          </c:dPt>
          <c:dLbls>
            <c:delete val="true"/>
          </c:dLbls>
          <c:cat>
            <c:strRef>
              <c:f>[决算公开分析图表.xls]Sheet1!$C$57:$C$58</c:f>
              <c:strCache>
                <c:ptCount val="2"/>
                <c:pt idx="0">
                  <c:v>基本支出</c:v>
                </c:pt>
                <c:pt idx="1">
                  <c:v>项目支出</c:v>
                </c:pt>
              </c:strCache>
            </c:strRef>
          </c:cat>
          <c:val>
            <c:numRef>
              <c:f>[决算公开分析图表.xls]Sheet1!$D$57:$D$58</c:f>
              <c:numCache>
                <c:formatCode>General</c:formatCode>
                <c:ptCount val="2"/>
                <c:pt idx="0">
                  <c:v>314.74</c:v>
                </c:pt>
                <c:pt idx="1" c:formatCode="#,##0.00">
                  <c:v>96.11</c:v>
                </c:pt>
              </c:numCache>
            </c:numRef>
          </c:val>
        </c:ser>
        <c:dLbls>
          <c:showLegendKey val="false"/>
          <c:showVal val="false"/>
          <c:showCatName val="false"/>
          <c:showSerName val="false"/>
          <c:showPercent val="false"/>
          <c:showBubbleSize val="false"/>
          <c:showLeaderLines val="false"/>
        </c:dLbls>
        <c:firstSliceAng val="0"/>
      </c:pieChart>
      <c:spPr>
        <a:noFill/>
        <a:ln>
          <a:noFill/>
        </a:ln>
        <a:effectLst/>
      </c:spPr>
    </c:plotArea>
    <c:legend>
      <c:legendPos val="r"/>
      <c:layout>
        <c:manualLayout>
          <c:xMode val="edge"/>
          <c:yMode val="edge"/>
          <c:x val="0.022"/>
          <c:y val="0.89475"/>
          <c:w val="0.927643802294027"/>
          <c:h val="0.0933761357156934"/>
        </c:manualLayou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财政拨款收入总计变动表</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false"/>
      <c:spPr>
        <a:noFill/>
        <a:ln>
          <a:noFill/>
        </a:ln>
        <a:effectLst/>
      </c:spPr>
    </c:title>
    <c:autoTitleDeleted val="false"/>
    <c:plotArea>
      <c:layout/>
      <c:barChart>
        <c:barDir val="col"/>
        <c:grouping val="clustered"/>
        <c:varyColors val="false"/>
        <c:ser>
          <c:idx val="0"/>
          <c:order val="0"/>
          <c:spPr>
            <a:solidFill>
              <a:schemeClr val="accent1"/>
            </a:solidFill>
            <a:ln>
              <a:noFill/>
            </a:ln>
            <a:effectLst/>
          </c:spPr>
          <c:invertIfNegative val="false"/>
          <c:dLbls>
            <c:delete val="true"/>
          </c:dLbls>
          <c:cat>
            <c:strRef>
              <c:f>[决算公开分析图表.xls]Sheet1!$A$82:$B$82</c:f>
              <c:strCache>
                <c:ptCount val="2"/>
                <c:pt idx="0">
                  <c:v>2023年</c:v>
                </c:pt>
                <c:pt idx="1">
                  <c:v>2024年</c:v>
                </c:pt>
              </c:strCache>
            </c:strRef>
          </c:cat>
          <c:val>
            <c:numRef>
              <c:f>[决算公开分析图表.xls]Sheet1!$A$83:$B$83</c:f>
              <c:numCache>
                <c:formatCode>#,##0.00</c:formatCode>
                <c:ptCount val="2"/>
                <c:pt idx="0">
                  <c:v>394.51</c:v>
                </c:pt>
                <c:pt idx="1">
                  <c:v>388.55</c:v>
                </c:pt>
              </c:numCache>
            </c:numRef>
          </c:val>
        </c:ser>
        <c:dLbls>
          <c:showLegendKey val="false"/>
          <c:showVal val="false"/>
          <c:showCatName val="false"/>
          <c:showSerName val="false"/>
          <c:showPercent val="false"/>
          <c:showBubbleSize val="false"/>
        </c:dLbls>
        <c:gapWidth val="219"/>
        <c:overlap val="-27"/>
        <c:axId val="281698845"/>
        <c:axId val="984953004"/>
      </c:barChart>
      <c:catAx>
        <c:axId val="281698845"/>
        <c:scaling>
          <c:orientation val="minMax"/>
        </c:scaling>
        <c:delete val="false"/>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984953004"/>
        <c:crosses val="autoZero"/>
        <c:auto val="true"/>
        <c:lblAlgn val="ctr"/>
        <c:lblOffset val="100"/>
        <c:noMultiLvlLbl val="false"/>
      </c:catAx>
      <c:valAx>
        <c:axId val="984953004"/>
        <c:scaling>
          <c:orientation val="minMax"/>
        </c:scaling>
        <c:delete val="false"/>
        <c:axPos val="l"/>
        <c:majorGridlines>
          <c:spPr>
            <a:ln w="9525" cap="flat" cmpd="sng" algn="ctr">
              <a:solidFill>
                <a:schemeClr val="tx1">
                  <a:lumMod val="15000"/>
                  <a:lumOff val="85000"/>
                </a:schemeClr>
              </a:solidFill>
              <a:prstDash val="solid"/>
              <a:round/>
            </a:ln>
            <a:effectLst/>
          </c:spPr>
        </c:majorGridlines>
        <c:numFmt formatCode="#,##0.00" sourceLinked="true"/>
        <c:majorTickMark val="none"/>
        <c:minorTickMark val="none"/>
        <c:tickLblPos val="nextTo"/>
        <c:spPr>
          <a:noFill/>
          <a:ln w="6350" cap="flat" cmpd="sng" algn="ctr">
            <a:no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81698845"/>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财政拨款支出总计变动表</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false"/>
      <c:spPr>
        <a:noFill/>
        <a:ln>
          <a:noFill/>
        </a:ln>
        <a:effectLst/>
      </c:spPr>
    </c:title>
    <c:autoTitleDeleted val="false"/>
    <c:plotArea>
      <c:layout/>
      <c:barChart>
        <c:barDir val="col"/>
        <c:grouping val="clustered"/>
        <c:varyColors val="false"/>
        <c:ser>
          <c:idx val="0"/>
          <c:order val="0"/>
          <c:spPr>
            <a:solidFill>
              <a:schemeClr val="accent1"/>
            </a:solidFill>
            <a:ln>
              <a:noFill/>
            </a:ln>
            <a:effectLst/>
          </c:spPr>
          <c:invertIfNegative val="false"/>
          <c:dLbls>
            <c:delete val="true"/>
          </c:dLbls>
          <c:cat>
            <c:strRef>
              <c:f>[决算公开分析图表.xls]Sheet1!$A$99:$B$99</c:f>
              <c:strCache>
                <c:ptCount val="2"/>
                <c:pt idx="0">
                  <c:v>2023年</c:v>
                </c:pt>
                <c:pt idx="1">
                  <c:v>2024年</c:v>
                </c:pt>
              </c:strCache>
            </c:strRef>
          </c:cat>
          <c:val>
            <c:numRef>
              <c:f>[决算公开分析图表.xls]Sheet1!$A$100:$B$100</c:f>
              <c:numCache>
                <c:formatCode>#,##0.00</c:formatCode>
                <c:ptCount val="2"/>
                <c:pt idx="0">
                  <c:v>394.51</c:v>
                </c:pt>
                <c:pt idx="1">
                  <c:v>388.55</c:v>
                </c:pt>
              </c:numCache>
            </c:numRef>
          </c:val>
        </c:ser>
        <c:dLbls>
          <c:showLegendKey val="false"/>
          <c:showVal val="false"/>
          <c:showCatName val="false"/>
          <c:showSerName val="false"/>
          <c:showPercent val="false"/>
          <c:showBubbleSize val="false"/>
        </c:dLbls>
        <c:gapWidth val="219"/>
        <c:overlap val="-27"/>
        <c:axId val="452582957"/>
        <c:axId val="565623201"/>
      </c:barChart>
      <c:catAx>
        <c:axId val="452582957"/>
        <c:scaling>
          <c:orientation val="minMax"/>
        </c:scaling>
        <c:delete val="false"/>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565623201"/>
        <c:crosses val="autoZero"/>
        <c:auto val="true"/>
        <c:lblAlgn val="ctr"/>
        <c:lblOffset val="100"/>
        <c:noMultiLvlLbl val="false"/>
      </c:catAx>
      <c:valAx>
        <c:axId val="565623201"/>
        <c:scaling>
          <c:orientation val="minMax"/>
        </c:scaling>
        <c:delete val="false"/>
        <c:axPos val="l"/>
        <c:majorGridlines>
          <c:spPr>
            <a:ln w="9525" cap="flat" cmpd="sng" algn="ctr">
              <a:solidFill>
                <a:schemeClr val="tx1">
                  <a:lumMod val="15000"/>
                  <a:lumOff val="85000"/>
                </a:schemeClr>
              </a:solidFill>
              <a:prstDash val="solid"/>
              <a:round/>
            </a:ln>
            <a:effectLst/>
          </c:spPr>
        </c:majorGridlines>
        <c:numFmt formatCode="#,##0.00" sourceLinked="true"/>
        <c:majorTickMark val="none"/>
        <c:minorTickMark val="none"/>
        <c:tickLblPos val="nextTo"/>
        <c:spPr>
          <a:noFill/>
          <a:ln w="6350" cap="flat" cmpd="sng" algn="ctr">
            <a:no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452582957"/>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manualLayout>
          <c:xMode val="edge"/>
          <c:yMode val="edge"/>
          <c:x val="0.165321992487624"/>
          <c:y val="0.0787843557603584"/>
        </c:manualLayout>
      </c:layout>
      <c:overlay val="false"/>
      <c:spPr>
        <a:noFill/>
        <a:ln>
          <a:noFill/>
        </a:ln>
        <a:effectLst/>
      </c:spPr>
    </c:title>
    <c:autoTitleDeleted val="false"/>
    <c:plotArea>
      <c:layout>
        <c:manualLayout>
          <c:layoutTarget val="inner"/>
          <c:xMode val="edge"/>
          <c:yMode val="edge"/>
          <c:x val="0.058544689334367"/>
          <c:y val="0.255962378233121"/>
          <c:w val="0.915981836305239"/>
          <c:h val="0.581592206919718"/>
        </c:manualLayout>
      </c:layout>
      <c:barChart>
        <c:barDir val="col"/>
        <c:grouping val="clustered"/>
        <c:varyColors val="false"/>
        <c:ser>
          <c:idx val="0"/>
          <c:order val="0"/>
          <c:spPr>
            <a:solidFill>
              <a:schemeClr val="accent1"/>
            </a:solidFill>
            <a:ln>
              <a:noFill/>
            </a:ln>
            <a:effectLst/>
          </c:spPr>
          <c:invertIfNegative val="false"/>
          <c:dLbls>
            <c:delete val="true"/>
          </c:dLbls>
          <c:cat>
            <c:strRef>
              <c:f>[决算公开分析图表.xls]Sheet1!$A$115:$B$115</c:f>
              <c:strCache>
                <c:ptCount val="2"/>
                <c:pt idx="0">
                  <c:v>2023年</c:v>
                </c:pt>
                <c:pt idx="1">
                  <c:v>2024年</c:v>
                </c:pt>
              </c:strCache>
            </c:strRef>
          </c:cat>
          <c:val>
            <c:numRef>
              <c:f>[决算公开分析图表.xls]Sheet1!$A$116:$B$116</c:f>
              <c:numCache>
                <c:formatCode>#,##0.00</c:formatCode>
                <c:ptCount val="2"/>
                <c:pt idx="0">
                  <c:v>394.51</c:v>
                </c:pt>
                <c:pt idx="1">
                  <c:v>388.55</c:v>
                </c:pt>
              </c:numCache>
            </c:numRef>
          </c:val>
        </c:ser>
        <c:dLbls>
          <c:showLegendKey val="false"/>
          <c:showVal val="false"/>
          <c:showCatName val="false"/>
          <c:showSerName val="false"/>
          <c:showPercent val="false"/>
          <c:showBubbleSize val="false"/>
        </c:dLbls>
        <c:gapWidth val="219"/>
        <c:overlap val="-27"/>
        <c:axId val="32008649"/>
        <c:axId val="656461302"/>
      </c:barChart>
      <c:catAx>
        <c:axId val="32008649"/>
        <c:scaling>
          <c:orientation val="minMax"/>
        </c:scaling>
        <c:delete val="false"/>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656461302"/>
        <c:crosses val="autoZero"/>
        <c:auto val="true"/>
        <c:lblAlgn val="ctr"/>
        <c:lblOffset val="100"/>
        <c:noMultiLvlLbl val="false"/>
      </c:catAx>
      <c:valAx>
        <c:axId val="656461302"/>
        <c:scaling>
          <c:orientation val="minMax"/>
        </c:scaling>
        <c:delete val="false"/>
        <c:axPos val="l"/>
        <c:majorGridlines>
          <c:spPr>
            <a:ln w="9525" cap="flat" cmpd="sng" algn="ctr">
              <a:solidFill>
                <a:schemeClr val="tx1">
                  <a:lumMod val="15000"/>
                  <a:lumOff val="85000"/>
                </a:schemeClr>
              </a:solidFill>
              <a:prstDash val="solid"/>
              <a:round/>
            </a:ln>
            <a:effectLst/>
          </c:spPr>
        </c:majorGridlines>
        <c:numFmt formatCode="#,##0.00" sourceLinked="true"/>
        <c:majorTickMark val="none"/>
        <c:minorTickMark val="none"/>
        <c:tickLblPos val="nextTo"/>
        <c:spPr>
          <a:noFill/>
          <a:ln w="6350" cap="flat" cmpd="sng" algn="ctr">
            <a:no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32008649"/>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false"/>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manualLayout>
          <c:xMode val="edge"/>
          <c:yMode val="edge"/>
          <c:x val="0.162923053574139"/>
          <c:y val="0.0421348314606742"/>
        </c:manualLayout>
      </c:layout>
      <c:overlay val="false"/>
      <c:spPr>
        <a:noFill/>
        <a:ln>
          <a:noFill/>
        </a:ln>
        <a:effectLst/>
      </c:spPr>
    </c:title>
    <c:autoTitleDeleted val="false"/>
    <c:plotArea>
      <c:layout/>
      <c:pieChart>
        <c:varyColors val="true"/>
        <c:ser>
          <c:idx val="0"/>
          <c:order val="0"/>
          <c:explosion val="0"/>
          <c:dPt>
            <c:idx val="0"/>
            <c:bubble3D val="false"/>
            <c:explosion val="0"/>
            <c:spPr>
              <a:solidFill>
                <a:schemeClr val="accent1"/>
              </a:solidFill>
              <a:ln w="19050">
                <a:solidFill>
                  <a:schemeClr val="lt1"/>
                </a:solidFill>
              </a:ln>
              <a:effectLst/>
            </c:spPr>
          </c:dPt>
          <c:dPt>
            <c:idx val="1"/>
            <c:bubble3D val="false"/>
            <c:explosion val="0"/>
            <c:spPr>
              <a:solidFill>
                <a:schemeClr val="accent2"/>
              </a:solidFill>
              <a:ln w="19050">
                <a:solidFill>
                  <a:schemeClr val="lt1"/>
                </a:solidFill>
              </a:ln>
              <a:effectLst/>
            </c:spPr>
          </c:dPt>
          <c:dPt>
            <c:idx val="2"/>
            <c:bubble3D val="false"/>
            <c:explosion val="0"/>
            <c:spPr>
              <a:solidFill>
                <a:schemeClr val="accent3"/>
              </a:solidFill>
              <a:ln w="19050">
                <a:solidFill>
                  <a:schemeClr val="lt1"/>
                </a:solidFill>
              </a:ln>
              <a:effectLst/>
            </c:spPr>
          </c:dPt>
          <c:dPt>
            <c:idx val="3"/>
            <c:bubble3D val="false"/>
            <c:explosion val="0"/>
            <c:spPr>
              <a:solidFill>
                <a:schemeClr val="accent4"/>
              </a:solidFill>
              <a:ln w="19050">
                <a:solidFill>
                  <a:schemeClr val="lt1"/>
                </a:solidFill>
              </a:ln>
              <a:effectLst/>
            </c:spPr>
          </c:dPt>
          <c:dPt>
            <c:idx val="4"/>
            <c:bubble3D val="false"/>
          </c:dPt>
          <c:dLbls>
            <c:delete val="true"/>
          </c:dLbls>
          <c:cat>
            <c:strRef>
              <c:f>[决算公开分析图表.xls]Sheet1!$C$139:$C$143</c:f>
              <c:strCache>
                <c:ptCount val="5"/>
                <c:pt idx="0">
                  <c:v>教育支出</c:v>
                </c:pt>
                <c:pt idx="1">
                  <c:v>社会保障和就业支出</c:v>
                </c:pt>
                <c:pt idx="2">
                  <c:v>卫生健康支出</c:v>
                </c:pt>
                <c:pt idx="3">
                  <c:v>住房保障支出</c:v>
                </c:pt>
                <c:pt idx="4">
                  <c:v>一般公共服务支出</c:v>
                </c:pt>
              </c:strCache>
            </c:strRef>
          </c:cat>
          <c:val>
            <c:numRef>
              <c:f>[决算公开分析图表.xls]Sheet1!$D$139:$D$143</c:f>
              <c:numCache>
                <c:formatCode>General</c:formatCode>
                <c:ptCount val="5"/>
                <c:pt idx="0">
                  <c:v>278.22</c:v>
                </c:pt>
                <c:pt idx="1">
                  <c:v>44.17</c:v>
                </c:pt>
                <c:pt idx="2">
                  <c:v>15.53</c:v>
                </c:pt>
                <c:pt idx="3" c:formatCode="#,##0.00">
                  <c:v>22.49</c:v>
                </c:pt>
                <c:pt idx="4" c:formatCode="#,##0.00">
                  <c:v>28.14</c:v>
                </c:pt>
              </c:numCache>
            </c:numRef>
          </c:val>
        </c:ser>
        <c:dLbls>
          <c:showLegendKey val="false"/>
          <c:showVal val="false"/>
          <c:showCatName val="false"/>
          <c:showSerName val="false"/>
          <c:showPercent val="false"/>
          <c:showBubbleSize val="false"/>
          <c:showLeaderLines val="false"/>
        </c:dLbls>
        <c:firstSliceAng val="0"/>
      </c:pieChart>
      <c:spPr>
        <a:noFill/>
        <a:ln>
          <a:noFill/>
        </a:ln>
        <a:effectLst/>
      </c:spPr>
    </c:plotArea>
    <c:legend>
      <c:legendPos val="r"/>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false"/>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“三公”经费财政拨款支出结构</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false"/>
      <c:spPr>
        <a:noFill/>
        <a:ln>
          <a:noFill/>
        </a:ln>
        <a:effectLst/>
      </c:spPr>
    </c:title>
    <c:autoTitleDeleted val="false"/>
    <c:plotArea>
      <c:layout/>
      <c:pieChart>
        <c:varyColors val="true"/>
        <c:ser>
          <c:idx val="0"/>
          <c:order val="0"/>
          <c:explosion val="0"/>
          <c:dPt>
            <c:idx val="0"/>
            <c:bubble3D val="false"/>
            <c:explosion val="0"/>
            <c:spPr>
              <a:solidFill>
                <a:schemeClr val="accent1"/>
              </a:solidFill>
              <a:ln w="19050">
                <a:solidFill>
                  <a:schemeClr val="lt1"/>
                </a:solidFill>
              </a:ln>
              <a:effectLst/>
            </c:spPr>
          </c:dPt>
          <c:dPt>
            <c:idx val="1"/>
            <c:bubble3D val="false"/>
            <c:explosion val="0"/>
            <c:spPr>
              <a:solidFill>
                <a:schemeClr val="accent2"/>
              </a:solidFill>
              <a:ln w="19050">
                <a:solidFill>
                  <a:schemeClr val="lt1"/>
                </a:solidFill>
              </a:ln>
              <a:effectLst/>
            </c:spPr>
          </c:dPt>
          <c:dPt>
            <c:idx val="2"/>
            <c:bubble3D val="false"/>
            <c:explosion val="0"/>
            <c:spPr>
              <a:solidFill>
                <a:schemeClr val="accent3"/>
              </a:solidFill>
              <a:ln w="19050">
                <a:solidFill>
                  <a:schemeClr val="lt1"/>
                </a:solidFill>
              </a:ln>
              <a:effectLst/>
            </c:spPr>
          </c:dPt>
          <c:dLbls>
            <c:delete val="true"/>
          </c:dLbls>
          <c:cat>
            <c:strRef>
              <c:f>[决算公开分析图表.xls]Sheet1!$A$164:$A$166</c:f>
              <c:strCache>
                <c:ptCount val="3"/>
                <c:pt idx="0">
                  <c:v>因公出国（境）费</c:v>
                </c:pt>
                <c:pt idx="1">
                  <c:v>公务接待费</c:v>
                </c:pt>
                <c:pt idx="2">
                  <c:v>公务用车购置及运行维护费</c:v>
                </c:pt>
              </c:strCache>
            </c:strRef>
          </c:cat>
          <c:val>
            <c:numRef>
              <c:f>[决算公开分析图表.xls]Sheet1!$B$164:$B$166</c:f>
              <c:numCache>
                <c:formatCode>General</c:formatCode>
                <c:ptCount val="3"/>
                <c:pt idx="0">
                  <c:v>0</c:v>
                </c:pt>
                <c:pt idx="1">
                  <c:v>0</c:v>
                </c:pt>
                <c:pt idx="2">
                  <c:v>3.41</c:v>
                </c:pt>
              </c:numCache>
            </c:numRef>
          </c:val>
        </c:ser>
        <c:dLbls>
          <c:showLegendKey val="false"/>
          <c:showVal val="false"/>
          <c:showCatName val="false"/>
          <c:showSerName val="false"/>
          <c:showPercent val="false"/>
          <c:showBubbleSize val="false"/>
          <c:showLeaderLines val="false"/>
        </c:dLbls>
        <c:firstSliceAng val="0"/>
      </c:pieChart>
      <c:spPr>
        <a:noFill/>
        <a:ln>
          <a:noFill/>
        </a:ln>
        <a:effectLst/>
      </c:spPr>
    </c:plotArea>
    <c:legend>
      <c:legendPos val="b"/>
      <c:layout>
        <c:manualLayout>
          <c:xMode val="edge"/>
          <c:yMode val="edge"/>
          <c:x val="0.0329715620277511"/>
          <c:y val="0.894993894993895"/>
          <c:w val="0.928698997114988"/>
          <c:h val="0.0775335775335776"/>
        </c:manualLayou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30</Pages>
  <Words>2834</Words>
  <Characters>3240</Characters>
  <Lines>1</Lines>
  <Paragraphs>1</Paragraphs>
  <TotalTime>1</TotalTime>
  <ScaleCrop>false</ScaleCrop>
  <LinksUpToDate>false</LinksUpToDate>
  <CharactersWithSpaces>3293</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2021-08-06T17:38:00Z</dcterms:created>
  <dc:creator>曹颖</dc:creator>
  <cp:lastModifiedBy>碧落  </cp:lastModifiedBy>
  <cp:lastPrinted>2021-07-29T11:56:00Z</cp:lastPrinted>
  <dcterms:modified xsi:type="dcterms:W3CDTF">2025-10-23T15:21:52Z</dcterms:modified>
  <dc:title>阿坝州部门决算说明</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y fmtid="{D5CDD505-2E9C-101B-9397-08002B2CF9AE}" pid="3" name="ICV">
    <vt:lpwstr>FD789931029D401A947F096B3EC74E5F</vt:lpwstr>
  </property>
  <property fmtid="{D5CDD505-2E9C-101B-9397-08002B2CF9AE}" pid="4" name="KSOTemplateDocerSaveRecord">
    <vt:lpwstr>eyJoZGlkIjoiOWU3ZGE5MzFmNmJiYmMzMWU5ZmU5MmEyYzMwMmVmYzQiLCJ1c2VySWQiOiIzNDA5MDI3MTEifQ==</vt:lpwstr>
  </property>
</Properties>
</file>