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jc w:val="center"/>
        <w:rPr>
          <w:rFonts w:ascii="黑体" w:hAnsi="黑体" w:eastAsia="黑体"/>
          <w:sz w:val="72"/>
          <w:szCs w:val="72"/>
        </w:rPr>
      </w:pPr>
      <w:bookmarkStart w:id="1" w:name="_Toc15377193"/>
      <w:bookmarkStart w:id="2" w:name="_Toc15377425"/>
      <w:bookmarkStart w:id="3" w:name="_Toc15378441"/>
      <w:bookmarkStart w:id="4" w:name="_Toc15396597"/>
      <w:bookmarkStart w:id="5" w:name="_Toc15396475"/>
      <w:r>
        <w:rPr>
          <w:rFonts w:hint="eastAsia" w:ascii="黑体" w:hAnsi="黑体" w:eastAsia="黑体"/>
          <w:sz w:val="72"/>
          <w:szCs w:val="72"/>
          <w:lang w:eastAsia="zh-CN"/>
        </w:rPr>
        <w:t>2022年</w:t>
      </w:r>
      <w:bookmarkStart w:id="146" w:name="_GoBack"/>
      <w:bookmarkEnd w:id="146"/>
      <w:r>
        <w:rPr>
          <w:rFonts w:hint="eastAsia" w:ascii="黑体" w:hAnsi="黑体" w:eastAsia="黑体"/>
          <w:sz w:val="72"/>
          <w:szCs w:val="72"/>
        </w:rPr>
        <w:t>度</w:t>
      </w:r>
      <w:bookmarkEnd w:id="1"/>
      <w:bookmarkEnd w:id="2"/>
      <w:bookmarkEnd w:id="3"/>
      <w:bookmarkEnd w:id="4"/>
      <w:bookmarkEnd w:id="5"/>
    </w:p>
    <w:bookmarkEnd w:id="0"/>
    <w:p>
      <w:pPr>
        <w:jc w:val="center"/>
        <w:rPr>
          <w:rFonts w:hint="eastAsia" w:ascii="方正小标宋简体" w:eastAsia="方正小标宋简体"/>
          <w:sz w:val="72"/>
          <w:szCs w:val="72"/>
          <w:lang w:eastAsia="zh-CN"/>
        </w:rPr>
      </w:pPr>
      <w:bookmarkStart w:id="6" w:name="_Toc15377194"/>
      <w:bookmarkStart w:id="7" w:name="_Toc15396476"/>
      <w:bookmarkStart w:id="8" w:name="_Toc15378442"/>
      <w:bookmarkStart w:id="9" w:name="_Toc15396598"/>
      <w:bookmarkStart w:id="10" w:name="_Toc15306268"/>
      <w:bookmarkStart w:id="11" w:name="_Toc15377426"/>
      <w:r>
        <w:rPr>
          <w:rFonts w:hint="eastAsia" w:ascii="方正小标宋简体" w:eastAsia="方正小标宋简体"/>
          <w:sz w:val="72"/>
          <w:szCs w:val="72"/>
          <w:lang w:eastAsia="zh-CN"/>
        </w:rPr>
        <w:t>阿坝州壤塘县委党校</w:t>
      </w:r>
    </w:p>
    <w:p>
      <w:pPr>
        <w:jc w:val="center"/>
        <w:rPr>
          <w:rFonts w:ascii="方正小标宋简体" w:eastAsia="方正小标宋简体"/>
          <w:sz w:val="72"/>
          <w:szCs w:val="72"/>
        </w:rPr>
      </w:pPr>
      <w:r>
        <w:rPr>
          <w:rFonts w:hint="eastAsia" w:ascii="方正小标宋简体" w:eastAsia="方正小标宋简体"/>
          <w:sz w:val="72"/>
          <w:szCs w:val="72"/>
        </w:rPr>
        <w:t>部门决算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pStyle w:val="2"/>
        <w:rPr>
          <w:rFonts w:ascii="方正小标宋简体" w:hAnsi="宋体" w:eastAsia="方正小标宋简体"/>
          <w:sz w:val="36"/>
          <w:szCs w:val="36"/>
        </w:rPr>
      </w:pPr>
    </w:p>
    <w:p>
      <w:pPr>
        <w:rPr>
          <w:rFonts w:ascii="方正小标宋简体" w:hAnsi="宋体" w:eastAsia="方正小标宋简体"/>
          <w:sz w:val="36"/>
          <w:szCs w:val="36"/>
        </w:rPr>
      </w:pPr>
    </w:p>
    <w:p>
      <w:pPr>
        <w:pStyle w:val="2"/>
        <w:rPr>
          <w:rFonts w:ascii="方正小标宋简体" w:hAnsi="宋体" w:eastAsia="方正小标宋简体"/>
          <w:sz w:val="36"/>
          <w:szCs w:val="36"/>
        </w:rPr>
      </w:pPr>
    </w:p>
    <w:p/>
    <w:p>
      <w:pPr>
        <w:rPr>
          <w:rFonts w:ascii="方正小标宋简体" w:hAnsi="宋体" w:eastAsia="方正小标宋简体"/>
          <w:sz w:val="36"/>
          <w:szCs w:val="36"/>
        </w:rPr>
      </w:pPr>
    </w:p>
    <w:p>
      <w:pPr>
        <w:widowControl/>
        <w:jc w:val="center"/>
        <w:rPr>
          <w:rFonts w:ascii="方正小标宋简体" w:hAnsi="宋体" w:eastAsia="方正小标宋简体"/>
          <w:color w:val="000000"/>
          <w:sz w:val="36"/>
          <w:szCs w:val="36"/>
        </w:rPr>
      </w:pPr>
    </w:p>
    <w:p>
      <w:pPr>
        <w:pStyle w:val="26"/>
        <w:rPr>
          <w:rFonts w:ascii="方正小标宋简体" w:hAnsi="宋体" w:eastAsia="方正小标宋简体"/>
          <w:color w:val="000000"/>
          <w:sz w:val="36"/>
          <w:szCs w:val="36"/>
        </w:rPr>
      </w:pPr>
    </w:p>
    <w:p>
      <w:pPr>
        <w:pStyle w:val="26"/>
        <w:rPr>
          <w:rFonts w:ascii="方正小标宋简体" w:hAnsi="宋体" w:eastAsia="方正小标宋简体"/>
          <w:color w:val="000000"/>
          <w:sz w:val="36"/>
          <w:szCs w:val="36"/>
        </w:rPr>
      </w:pPr>
    </w:p>
    <w:p>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pPr>
        <w:pStyle w:val="15"/>
        <w:jc w:val="center"/>
        <w:rPr>
          <w:rFonts w:hAnsiTheme="minorHAnsi"/>
          <w:b w:val="0"/>
          <w:bCs w:val="0"/>
          <w:sz w:val="24"/>
          <w:szCs w:val="24"/>
        </w:rPr>
      </w:pPr>
      <w:r>
        <w:rPr>
          <w:rFonts w:hint="eastAsia" w:hAnsiTheme="minorHAnsi"/>
          <w:b w:val="0"/>
          <w:bCs w:val="0"/>
          <w:sz w:val="24"/>
          <w:szCs w:val="24"/>
        </w:rPr>
        <w:t>公开时间：202</w:t>
      </w:r>
      <w:r>
        <w:rPr>
          <w:rFonts w:hint="eastAsia" w:hAnsiTheme="minorHAnsi"/>
          <w:b w:val="0"/>
          <w:bCs w:val="0"/>
          <w:sz w:val="24"/>
          <w:szCs w:val="24"/>
          <w:lang w:val="en-US" w:eastAsia="zh-CN"/>
        </w:rPr>
        <w:t>3</w:t>
      </w:r>
      <w:r>
        <w:rPr>
          <w:rFonts w:hint="eastAsia" w:hAnsiTheme="minorHAnsi"/>
          <w:b w:val="0"/>
          <w:bCs w:val="0"/>
          <w:sz w:val="24"/>
          <w:szCs w:val="24"/>
        </w:rPr>
        <w:t>年</w:t>
      </w:r>
      <w:r>
        <w:rPr>
          <w:rFonts w:hint="eastAsia" w:hAnsiTheme="minorHAnsi"/>
          <w:b w:val="0"/>
          <w:bCs w:val="0"/>
          <w:sz w:val="24"/>
          <w:szCs w:val="24"/>
          <w:lang w:val="en-US" w:eastAsia="zh-CN"/>
        </w:rPr>
        <w:t>10</w:t>
      </w:r>
      <w:r>
        <w:rPr>
          <w:rFonts w:hint="eastAsia" w:hAnsiTheme="minorHAnsi"/>
          <w:b w:val="0"/>
          <w:bCs w:val="0"/>
          <w:sz w:val="24"/>
          <w:szCs w:val="24"/>
        </w:rPr>
        <w:t>月</w:t>
      </w:r>
      <w:r>
        <w:rPr>
          <w:rFonts w:hint="eastAsia" w:hAnsiTheme="minorHAnsi"/>
          <w:b w:val="0"/>
          <w:bCs w:val="0"/>
          <w:sz w:val="24"/>
          <w:szCs w:val="24"/>
          <w:lang w:val="en-US" w:eastAsia="zh-CN"/>
        </w:rPr>
        <w:t>13</w:t>
      </w:r>
      <w:r>
        <w:rPr>
          <w:rFonts w:hint="eastAsia" w:hAnsiTheme="minorHAnsi"/>
          <w:b w:val="0"/>
          <w:bCs w:val="0"/>
          <w:sz w:val="24"/>
          <w:szCs w:val="24"/>
        </w:rPr>
        <w:t>日</w:t>
      </w:r>
    </w:p>
    <w:p>
      <w:pPr>
        <w:pStyle w:val="15"/>
        <w:tabs>
          <w:tab w:val="right" w:leader="dot" w:pos="8296"/>
        </w:tabs>
        <w:rPr>
          <w:rFonts w:hAnsiTheme="minorHAnsi" w:eastAsiaTheme="minorEastAsia" w:cstheme="minorBidi"/>
          <w:b w:val="0"/>
          <w:bCs w:val="0"/>
          <w:caps w:val="0"/>
          <w:sz w:val="21"/>
          <w:szCs w:val="22"/>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hAnsi="黑体" w:eastAsia="黑体"/>
          <w:b w:val="0"/>
        </w:rPr>
        <w:t xml:space="preserve">第一部分 </w:t>
      </w:r>
      <w:r>
        <w:rPr>
          <w:rFonts w:ascii="黑体" w:hAnsi="黑体" w:eastAsia="黑体"/>
          <w:b w:val="0"/>
          <w:bCs w:val="0"/>
        </w:rPr>
        <w:t>部门概况</w:t>
      </w:r>
      <w:r>
        <w:tab/>
      </w:r>
      <w:r>
        <w:fldChar w:fldCharType="begin"/>
      </w:r>
      <w:r>
        <w:instrText xml:space="preserve"> PAGEREF _Toc79163851 \h </w:instrText>
      </w:r>
      <w:r>
        <w:fldChar w:fldCharType="separate"/>
      </w:r>
      <w:r>
        <w:t>4</w:t>
      </w:r>
      <w:r>
        <w:fldChar w:fldCharType="end"/>
      </w:r>
    </w:p>
    <w:p>
      <w:pPr>
        <w:pStyle w:val="18"/>
        <w:tabs>
          <w:tab w:val="right" w:leader="dot" w:pos="8296"/>
        </w:tabs>
        <w:rPr>
          <w:rFonts w:hAnsiTheme="minorHAnsi" w:eastAsiaTheme="minorEastAsia" w:cstheme="minorBidi"/>
          <w:i w:val="0"/>
          <w:iCs w:val="0"/>
          <w:sz w:val="21"/>
          <w:szCs w:val="22"/>
        </w:rPr>
      </w:pPr>
      <w:r>
        <w:rPr>
          <w:rFonts w:ascii="黑体" w:hAnsi="黑体" w:eastAsia="黑体"/>
          <w:color w:val="000000"/>
        </w:rPr>
        <w:t>一、</w:t>
      </w:r>
      <w:r>
        <w:rPr>
          <w:rFonts w:hint="eastAsia" w:ascii="黑体" w:hAnsi="黑体" w:eastAsia="黑体"/>
          <w:color w:val="000000"/>
          <w:lang w:val="en-US" w:eastAsia="zh-CN"/>
        </w:rPr>
        <w:t>部门职责</w:t>
      </w:r>
      <w:r>
        <w:tab/>
      </w:r>
      <w:r>
        <w:fldChar w:fldCharType="begin"/>
      </w:r>
      <w:r>
        <w:instrText xml:space="preserve"> PAGEREF _Toc79163852 \h </w:instrText>
      </w:r>
      <w:r>
        <w:fldChar w:fldCharType="separate"/>
      </w:r>
      <w:r>
        <w:t>4</w:t>
      </w:r>
      <w:r>
        <w:fldChar w:fldCharType="end"/>
      </w:r>
    </w:p>
    <w:p>
      <w:pPr>
        <w:pStyle w:val="18"/>
        <w:tabs>
          <w:tab w:val="right" w:leader="dot" w:pos="8296"/>
        </w:tabs>
        <w:rPr>
          <w:rFonts w:hAnsiTheme="minorHAnsi" w:eastAsiaTheme="minorEastAsia" w:cstheme="minorBidi"/>
          <w:smallCaps w:val="0"/>
          <w:sz w:val="21"/>
          <w:szCs w:val="22"/>
        </w:rPr>
      </w:pPr>
      <w:r>
        <w:rPr>
          <w:rFonts w:ascii="黑体" w:eastAsia="黑体"/>
          <w:color w:val="000000"/>
        </w:rPr>
        <w:t>二、</w:t>
      </w:r>
      <w:r>
        <w:rPr>
          <w:rFonts w:ascii="黑体" w:hAnsi="黑体" w:eastAsia="黑体"/>
          <w:color w:val="000000"/>
        </w:rPr>
        <w:t>机</w:t>
      </w:r>
      <w:r>
        <w:rPr>
          <w:rFonts w:ascii="黑体" w:hAnsi="黑体" w:eastAsia="黑体"/>
        </w:rPr>
        <w:t>构设置</w:t>
      </w:r>
      <w:r>
        <w:tab/>
      </w:r>
      <w:r>
        <w:fldChar w:fldCharType="begin"/>
      </w:r>
      <w:r>
        <w:instrText xml:space="preserve"> PAGEREF _Toc79163855 \h </w:instrText>
      </w:r>
      <w:r>
        <w:fldChar w:fldCharType="separate"/>
      </w:r>
      <w:r>
        <w:t>4</w:t>
      </w:r>
      <w:r>
        <w:fldChar w:fldCharType="end"/>
      </w:r>
    </w:p>
    <w:p>
      <w:pPr>
        <w:pStyle w:val="15"/>
        <w:tabs>
          <w:tab w:val="right" w:leader="dot" w:pos="8296"/>
        </w:tabs>
        <w:rPr>
          <w:rFonts w:hAnsiTheme="minorHAnsi" w:eastAsiaTheme="minorEastAsia" w:cstheme="minorBidi"/>
          <w:b w:val="0"/>
          <w:bCs w:val="0"/>
          <w:caps w:val="0"/>
          <w:sz w:val="21"/>
          <w:szCs w:val="22"/>
        </w:rPr>
      </w:pPr>
      <w:r>
        <w:rPr>
          <w:rFonts w:ascii="黑体" w:hAnsi="黑体" w:eastAsia="黑体"/>
          <w:b w:val="0"/>
          <w:color w:val="000000"/>
        </w:rPr>
        <w:t>第二部分</w:t>
      </w:r>
      <w:r>
        <w:rPr>
          <w:rFonts w:ascii="黑体" w:hAnsi="黑体" w:eastAsia="黑体"/>
          <w:color w:val="000000"/>
        </w:rPr>
        <w:t xml:space="preserve"> </w:t>
      </w:r>
      <w:r>
        <w:rPr>
          <w:rFonts w:hint="eastAsia" w:ascii="黑体" w:hAnsi="黑体" w:eastAsia="黑体"/>
          <w:b w:val="0"/>
          <w:bCs w:val="0"/>
          <w:lang w:eastAsia="zh-CN"/>
        </w:rPr>
        <w:t>2022年</w:t>
      </w:r>
      <w:r>
        <w:rPr>
          <w:rFonts w:ascii="黑体" w:hAnsi="黑体" w:eastAsia="黑体"/>
          <w:b w:val="0"/>
          <w:bCs w:val="0"/>
        </w:rPr>
        <w:t>度部门决算情况说明</w:t>
      </w:r>
      <w:r>
        <w:tab/>
      </w:r>
      <w:r>
        <w:fldChar w:fldCharType="begin"/>
      </w:r>
      <w:r>
        <w:instrText xml:space="preserve"> PAGEREF _Toc79163859 \h </w:instrText>
      </w:r>
      <w:r>
        <w:fldChar w:fldCharType="separate"/>
      </w:r>
      <w:r>
        <w:t>5</w:t>
      </w:r>
      <w:r>
        <w:fldChar w:fldCharType="end"/>
      </w:r>
    </w:p>
    <w:p>
      <w:pPr>
        <w:pStyle w:val="18"/>
        <w:tabs>
          <w:tab w:val="left" w:pos="840"/>
          <w:tab w:val="right" w:leader="dot" w:pos="8296"/>
        </w:tabs>
        <w:rPr>
          <w:rFonts w:hint="eastAsia" w:hAnsiTheme="minorHAnsi" w:eastAsiaTheme="minorHAnsi" w:cstheme="minorBidi"/>
          <w:smallCaps w:val="0"/>
          <w:sz w:val="21"/>
          <w:szCs w:val="22"/>
          <w:lang w:eastAsia="zh-CN"/>
        </w:rPr>
      </w:pPr>
      <w:r>
        <w:rPr>
          <w:rFonts w:ascii="黑体" w:hAnsi="黑体" w:eastAsia="黑体"/>
          <w:bCs/>
        </w:rPr>
        <w:t>一、</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入支出决算总体情况说明</w:t>
      </w:r>
      <w:r>
        <w:tab/>
      </w:r>
      <w:r>
        <w:rPr>
          <w:rFonts w:hint="eastAsia"/>
          <w:lang w:val="en-US" w:eastAsia="zh-CN"/>
        </w:rPr>
        <w:t>7</w:t>
      </w:r>
    </w:p>
    <w:p>
      <w:pPr>
        <w:pStyle w:val="18"/>
        <w:tabs>
          <w:tab w:val="left" w:pos="840"/>
          <w:tab w:val="right" w:leader="dot" w:pos="8296"/>
        </w:tabs>
        <w:rPr>
          <w:rFonts w:hint="eastAsia" w:hAnsiTheme="minorHAnsi" w:eastAsiaTheme="minorHAnsi" w:cstheme="minorBidi"/>
          <w:smallCaps w:val="0"/>
          <w:sz w:val="21"/>
          <w:szCs w:val="22"/>
          <w:lang w:eastAsia="zh-CN"/>
        </w:rPr>
      </w:pPr>
      <w:r>
        <w:rPr>
          <w:rFonts w:ascii="黑体" w:hAnsi="黑体" w:eastAsia="黑体"/>
          <w:bCs/>
        </w:rPr>
        <w:t>二、</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入决算情况说明</w:t>
      </w:r>
      <w:r>
        <w:tab/>
      </w:r>
      <w:r>
        <w:rPr>
          <w:rFonts w:hint="eastAsia"/>
          <w:lang w:val="en-US" w:eastAsia="zh-CN"/>
        </w:rPr>
        <w:t>8</w:t>
      </w:r>
    </w:p>
    <w:p>
      <w:pPr>
        <w:pStyle w:val="18"/>
        <w:tabs>
          <w:tab w:val="left" w:pos="840"/>
          <w:tab w:val="right" w:leader="dot" w:pos="8296"/>
        </w:tabs>
        <w:rPr>
          <w:rFonts w:hint="eastAsia" w:hAnsiTheme="minorHAnsi" w:eastAsiaTheme="minorHAnsi" w:cstheme="minorBidi"/>
          <w:smallCaps w:val="0"/>
          <w:sz w:val="21"/>
          <w:szCs w:val="22"/>
          <w:lang w:eastAsia="zh-CN"/>
        </w:rPr>
      </w:pPr>
      <w:r>
        <w:rPr>
          <w:rFonts w:ascii="黑体" w:hAnsi="黑体" w:eastAsia="黑体"/>
          <w:bCs/>
        </w:rPr>
        <w:t>三、</w:t>
      </w:r>
      <w:r>
        <w:rPr>
          <w:rFonts w:hAnsiTheme="minorHAnsi" w:eastAsiaTheme="minorEastAsia" w:cstheme="minorBidi"/>
          <w:smallCaps w:val="0"/>
          <w:sz w:val="21"/>
          <w:szCs w:val="22"/>
        </w:rPr>
        <w:tab/>
      </w:r>
      <w:r>
        <w:rPr>
          <w:rFonts w:ascii="黑体" w:hAnsi="黑体" w:eastAsia="黑体"/>
          <w:color w:val="000000"/>
        </w:rPr>
        <w:t>支</w:t>
      </w:r>
      <w:r>
        <w:rPr>
          <w:rFonts w:ascii="黑体" w:hAnsi="黑体" w:eastAsia="黑体"/>
          <w:bCs/>
        </w:rPr>
        <w:t>出决算情况说明</w:t>
      </w:r>
      <w:r>
        <w:tab/>
      </w:r>
      <w:r>
        <w:rPr>
          <w:rFonts w:hint="eastAsia"/>
          <w:lang w:val="en-US" w:eastAsia="zh-CN"/>
        </w:rPr>
        <w:t>8</w:t>
      </w:r>
    </w:p>
    <w:p>
      <w:pPr>
        <w:pStyle w:val="18"/>
        <w:tabs>
          <w:tab w:val="right" w:leader="dot" w:pos="8296"/>
        </w:tabs>
        <w:rPr>
          <w:rFonts w:hAnsiTheme="minorHAnsi" w:eastAsiaTheme="minorEastAsia" w:cstheme="minorBidi"/>
          <w:smallCaps w:val="0"/>
          <w:sz w:val="21"/>
          <w:szCs w:val="22"/>
        </w:rPr>
      </w:pPr>
      <w:r>
        <w:rPr>
          <w:rFonts w:ascii="黑体" w:hAnsi="黑体" w:eastAsia="黑体"/>
          <w:color w:val="000000"/>
        </w:rPr>
        <w:t>四、财</w:t>
      </w:r>
      <w:r>
        <w:rPr>
          <w:rFonts w:ascii="黑体" w:hAnsi="黑体" w:eastAsia="黑体"/>
          <w:bCs/>
        </w:rPr>
        <w:t>政拨款收入支出决算总体情况说明</w:t>
      </w:r>
      <w:r>
        <w:tab/>
      </w:r>
      <w:r>
        <w:fldChar w:fldCharType="begin"/>
      </w:r>
      <w:r>
        <w:instrText xml:space="preserve"> PAGEREF _Toc79163863 \h </w:instrText>
      </w:r>
      <w:r>
        <w:fldChar w:fldCharType="separate"/>
      </w:r>
      <w:r>
        <w:t>7</w:t>
      </w:r>
      <w:r>
        <w:fldChar w:fldCharType="end"/>
      </w:r>
    </w:p>
    <w:p>
      <w:pPr>
        <w:pStyle w:val="18"/>
        <w:tabs>
          <w:tab w:val="right" w:leader="dot" w:pos="8296"/>
        </w:tabs>
        <w:rPr>
          <w:rFonts w:hAnsiTheme="minorHAnsi" w:eastAsiaTheme="minorEastAsia" w:cstheme="minorBidi"/>
          <w:smallCaps w:val="0"/>
          <w:sz w:val="21"/>
          <w:szCs w:val="22"/>
        </w:rPr>
      </w:pPr>
      <w:r>
        <w:rPr>
          <w:rFonts w:ascii="黑体" w:hAnsi="黑体" w:eastAsia="黑体"/>
          <w:color w:val="000000"/>
        </w:rPr>
        <w:t>五、</w:t>
      </w:r>
      <w:r>
        <w:rPr>
          <w:rFonts w:ascii="黑体" w:hAnsi="黑体" w:eastAsia="黑体"/>
          <w:b/>
          <w:color w:val="000000"/>
        </w:rPr>
        <w:t>一</w:t>
      </w:r>
      <w:r>
        <w:rPr>
          <w:rFonts w:ascii="黑体" w:hAnsi="黑体" w:eastAsia="黑体"/>
          <w:bCs/>
        </w:rPr>
        <w:t>般公共预算财政拨款支出决算情况说明</w:t>
      </w:r>
      <w:r>
        <w:tab/>
      </w:r>
      <w:r>
        <w:fldChar w:fldCharType="begin"/>
      </w:r>
      <w:r>
        <w:instrText xml:space="preserve"> PAGEREF _Toc79163864 \h </w:instrText>
      </w:r>
      <w:r>
        <w:fldChar w:fldCharType="separate"/>
      </w:r>
      <w:r>
        <w:t>8</w:t>
      </w:r>
      <w:r>
        <w:fldChar w:fldCharType="end"/>
      </w:r>
    </w:p>
    <w:p>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（一）一般公共预算财政拨款支出决算总体情况</w:t>
      </w:r>
      <w:r>
        <w:tab/>
      </w:r>
      <w:r>
        <w:fldChar w:fldCharType="begin"/>
      </w:r>
      <w:r>
        <w:instrText xml:space="preserve"> PAGEREF _Toc79163865 \h </w:instrText>
      </w:r>
      <w:r>
        <w:fldChar w:fldCharType="separate"/>
      </w:r>
      <w:r>
        <w:t>8</w:t>
      </w:r>
      <w:r>
        <w:fldChar w:fldCharType="end"/>
      </w:r>
    </w:p>
    <w:p>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（二）一般公共预算财政拨款支出决算结构情况</w:t>
      </w:r>
      <w:r>
        <w:tab/>
      </w:r>
      <w:r>
        <w:fldChar w:fldCharType="begin"/>
      </w:r>
      <w:r>
        <w:instrText xml:space="preserve"> PAGEREF _Toc79163866 \h </w:instrText>
      </w:r>
      <w:r>
        <w:fldChar w:fldCharType="separate"/>
      </w:r>
      <w:r>
        <w:t>9</w:t>
      </w:r>
      <w:r>
        <w:fldChar w:fldCharType="end"/>
      </w:r>
    </w:p>
    <w:p>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（三）一般公共预算财政拨款支出决算具体情况</w:t>
      </w:r>
      <w:r>
        <w:tab/>
      </w:r>
      <w:r>
        <w:fldChar w:fldCharType="begin"/>
      </w:r>
      <w:r>
        <w:instrText xml:space="preserve"> PAGEREF _Toc79163867 \h </w:instrText>
      </w:r>
      <w:r>
        <w:fldChar w:fldCharType="separate"/>
      </w:r>
      <w:r>
        <w:t>9</w:t>
      </w:r>
      <w:r>
        <w:fldChar w:fldCharType="end"/>
      </w:r>
    </w:p>
    <w:p>
      <w:pPr>
        <w:pStyle w:val="18"/>
        <w:tabs>
          <w:tab w:val="right" w:leader="dot" w:pos="8296"/>
        </w:tabs>
        <w:rPr>
          <w:rFonts w:hAnsiTheme="minorHAnsi" w:eastAsiaTheme="minorEastAsia" w:cstheme="minorBidi"/>
          <w:smallCaps w:val="0"/>
          <w:sz w:val="21"/>
          <w:szCs w:val="22"/>
        </w:rPr>
      </w:pPr>
      <w:r>
        <w:rPr>
          <w:rFonts w:ascii="黑体" w:eastAsia="黑体"/>
          <w:color w:val="000000"/>
        </w:rPr>
        <w:t>六</w:t>
      </w:r>
      <w:r>
        <w:rPr>
          <w:rFonts w:ascii="黑体" w:eastAsia="黑体"/>
          <w:b/>
          <w:color w:val="000000"/>
        </w:rPr>
        <w:t>、</w:t>
      </w:r>
      <w:r>
        <w:rPr>
          <w:rFonts w:ascii="黑体" w:hAnsi="黑体" w:eastAsia="黑体"/>
          <w:b/>
          <w:color w:val="000000"/>
        </w:rPr>
        <w:t>一</w:t>
      </w:r>
      <w:r>
        <w:rPr>
          <w:rFonts w:ascii="黑体" w:hAnsi="黑体" w:eastAsia="黑体"/>
          <w:bCs/>
        </w:rPr>
        <w:t>般公共预算财政拨款基本支出决算情况说明</w:t>
      </w:r>
      <w:r>
        <w:tab/>
      </w:r>
      <w:r>
        <w:fldChar w:fldCharType="begin"/>
      </w:r>
      <w:r>
        <w:instrText xml:space="preserve"> PAGEREF _Toc79163868 \h </w:instrText>
      </w:r>
      <w:r>
        <w:fldChar w:fldCharType="separate"/>
      </w:r>
      <w:r>
        <w:t>10</w:t>
      </w:r>
      <w:r>
        <w:fldChar w:fldCharType="end"/>
      </w:r>
    </w:p>
    <w:p>
      <w:pPr>
        <w:pStyle w:val="18"/>
        <w:tabs>
          <w:tab w:val="right" w:leader="dot" w:pos="8296"/>
        </w:tabs>
        <w:rPr>
          <w:rFonts w:hAnsiTheme="minorHAnsi" w:eastAsiaTheme="minorEastAsia" w:cstheme="minorBidi"/>
          <w:smallCaps w:val="0"/>
          <w:sz w:val="21"/>
          <w:szCs w:val="22"/>
        </w:rPr>
      </w:pPr>
      <w:r>
        <w:rPr>
          <w:rFonts w:ascii="黑体" w:eastAsia="黑体"/>
          <w:color w:val="000000"/>
        </w:rPr>
        <w:t>七、</w:t>
      </w:r>
      <w:r>
        <w:rPr>
          <w:rFonts w:ascii="黑体" w:hAnsi="黑体" w:eastAsia="黑体"/>
          <w:b/>
          <w:bCs/>
        </w:rPr>
        <w:t>“</w:t>
      </w:r>
      <w:r>
        <w:rPr>
          <w:rFonts w:ascii="黑体" w:hAnsi="黑体" w:eastAsia="黑体"/>
          <w:bCs/>
        </w:rPr>
        <w:t>三公”经费财政拨款支出决算情况说明</w:t>
      </w:r>
      <w:r>
        <w:tab/>
      </w:r>
      <w:r>
        <w:fldChar w:fldCharType="begin"/>
      </w:r>
      <w:r>
        <w:instrText xml:space="preserve"> PAGEREF _Toc79163869 \h </w:instrText>
      </w:r>
      <w:r>
        <w:fldChar w:fldCharType="separate"/>
      </w:r>
      <w:r>
        <w:t>11</w:t>
      </w:r>
      <w:r>
        <w:fldChar w:fldCharType="end"/>
      </w:r>
    </w:p>
    <w:p>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（一）“三公”经费财政拨款支出决算总体情况说明</w:t>
      </w:r>
      <w:r>
        <w:tab/>
      </w:r>
      <w:r>
        <w:fldChar w:fldCharType="begin"/>
      </w:r>
      <w:r>
        <w:instrText xml:space="preserve"> PAGEREF _Toc79163870 \h </w:instrText>
      </w:r>
      <w:r>
        <w:fldChar w:fldCharType="separate"/>
      </w:r>
      <w:r>
        <w:t>11</w:t>
      </w:r>
      <w:r>
        <w:fldChar w:fldCharType="end"/>
      </w:r>
    </w:p>
    <w:p>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（二）“三公”经费财政拨款支出决算具体情况说明</w:t>
      </w:r>
      <w:r>
        <w:tab/>
      </w:r>
      <w:r>
        <w:fldChar w:fldCharType="begin"/>
      </w:r>
      <w:r>
        <w:instrText xml:space="preserve"> PAGEREF _Toc79163871 \h </w:instrText>
      </w:r>
      <w:r>
        <w:fldChar w:fldCharType="separate"/>
      </w:r>
      <w:r>
        <w:t>11</w:t>
      </w:r>
      <w:r>
        <w:fldChar w:fldCharType="end"/>
      </w:r>
    </w:p>
    <w:p>
      <w:pPr>
        <w:pStyle w:val="18"/>
        <w:tabs>
          <w:tab w:val="right" w:leader="dot" w:pos="8296"/>
        </w:tabs>
        <w:rPr>
          <w:rFonts w:hAnsiTheme="minorHAnsi" w:eastAsiaTheme="minorEastAsia" w:cstheme="minorBidi"/>
          <w:smallCaps w:val="0"/>
          <w:sz w:val="21"/>
          <w:szCs w:val="22"/>
        </w:rPr>
      </w:pPr>
      <w:r>
        <w:rPr>
          <w:rFonts w:ascii="黑体" w:eastAsia="黑体"/>
          <w:color w:val="000000"/>
        </w:rPr>
        <w:t>八、</w:t>
      </w:r>
      <w:r>
        <w:rPr>
          <w:rFonts w:ascii="黑体" w:hAnsi="黑体" w:eastAsia="黑体"/>
          <w:bCs/>
        </w:rPr>
        <w:t>政府性基金预算支出决算情况说明</w:t>
      </w:r>
      <w:r>
        <w:tab/>
      </w:r>
      <w:r>
        <w:fldChar w:fldCharType="begin"/>
      </w:r>
      <w:r>
        <w:instrText xml:space="preserve"> PAGEREF _Toc79163872 \h </w:instrText>
      </w:r>
      <w:r>
        <w:fldChar w:fldCharType="separate"/>
      </w:r>
      <w:r>
        <w:t>12</w:t>
      </w:r>
      <w:r>
        <w:fldChar w:fldCharType="end"/>
      </w:r>
    </w:p>
    <w:p>
      <w:pPr>
        <w:pStyle w:val="18"/>
        <w:tabs>
          <w:tab w:val="right" w:leader="dot" w:pos="8296"/>
        </w:tabs>
        <w:rPr>
          <w:rFonts w:hAnsiTheme="minorHAnsi" w:eastAsiaTheme="minorEastAsia" w:cstheme="minorBidi"/>
          <w:smallCaps w:val="0"/>
          <w:sz w:val="21"/>
          <w:szCs w:val="22"/>
        </w:rPr>
      </w:pPr>
      <w:r>
        <w:rPr>
          <w:rFonts w:ascii="黑体" w:hAnsi="黑体" w:eastAsia="黑体"/>
          <w:bCs/>
        </w:rPr>
        <w:t>九、 国有资本经营预算支出决算情况说明</w:t>
      </w:r>
      <w:r>
        <w:tab/>
      </w:r>
      <w:r>
        <w:fldChar w:fldCharType="begin"/>
      </w:r>
      <w:r>
        <w:instrText xml:space="preserve"> PAGEREF _Toc79163873 \h </w:instrText>
      </w:r>
      <w:r>
        <w:fldChar w:fldCharType="separate"/>
      </w:r>
      <w:r>
        <w:t>12</w:t>
      </w:r>
      <w:r>
        <w:fldChar w:fldCharType="end"/>
      </w:r>
    </w:p>
    <w:p>
      <w:pPr>
        <w:pStyle w:val="18"/>
        <w:tabs>
          <w:tab w:val="right" w:leader="dot" w:pos="8296"/>
        </w:tabs>
        <w:rPr>
          <w:rFonts w:hAnsiTheme="minorHAnsi" w:eastAsiaTheme="minorEastAsia" w:cstheme="minorBidi"/>
          <w:smallCaps w:val="0"/>
          <w:sz w:val="21"/>
          <w:szCs w:val="22"/>
        </w:rPr>
      </w:pPr>
      <w:r>
        <w:rPr>
          <w:rFonts w:ascii="黑体" w:hAnsi="黑体" w:eastAsia="黑体"/>
          <w:color w:val="000000"/>
        </w:rPr>
        <w:t>十</w:t>
      </w:r>
      <w:r>
        <w:rPr>
          <w:rFonts w:ascii="黑体" w:hAnsi="黑体" w:eastAsia="黑体"/>
          <w:b/>
          <w:bCs/>
        </w:rPr>
        <w:t>、</w:t>
      </w:r>
      <w:r>
        <w:rPr>
          <w:rFonts w:ascii="黑体" w:hAnsi="黑体" w:eastAsia="黑体"/>
          <w:bCs/>
        </w:rPr>
        <w:t>其他重要事项的情况说明</w:t>
      </w:r>
      <w:r>
        <w:tab/>
      </w:r>
      <w:r>
        <w:fldChar w:fldCharType="begin"/>
      </w:r>
      <w:r>
        <w:instrText xml:space="preserve"> PAGEREF _Toc79163874 \h </w:instrText>
      </w:r>
      <w:r>
        <w:fldChar w:fldCharType="separate"/>
      </w:r>
      <w:r>
        <w:t>12</w:t>
      </w:r>
      <w:r>
        <w:fldChar w:fldCharType="end"/>
      </w:r>
    </w:p>
    <w:p>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（一）机关运行经费支出情况</w:t>
      </w:r>
      <w:r>
        <w:tab/>
      </w:r>
      <w:r>
        <w:fldChar w:fldCharType="begin"/>
      </w:r>
      <w:r>
        <w:instrText xml:space="preserve"> PAGEREF _Toc79163875 \h </w:instrText>
      </w:r>
      <w:r>
        <w:fldChar w:fldCharType="separate"/>
      </w:r>
      <w:r>
        <w:t>12</w:t>
      </w:r>
      <w:r>
        <w:fldChar w:fldCharType="end"/>
      </w:r>
    </w:p>
    <w:p>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（二）政府采购支出情况</w:t>
      </w:r>
      <w:r>
        <w:tab/>
      </w:r>
      <w:r>
        <w:fldChar w:fldCharType="begin"/>
      </w:r>
      <w:r>
        <w:instrText xml:space="preserve"> PAGEREF _Toc79163876 \h </w:instrText>
      </w:r>
      <w:r>
        <w:fldChar w:fldCharType="separate"/>
      </w:r>
      <w:r>
        <w:t>12</w:t>
      </w:r>
      <w:r>
        <w:fldChar w:fldCharType="end"/>
      </w:r>
    </w:p>
    <w:p>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（三）国有资产占有使用情况</w:t>
      </w:r>
      <w:r>
        <w:tab/>
      </w:r>
      <w:r>
        <w:fldChar w:fldCharType="begin"/>
      </w:r>
      <w:r>
        <w:instrText xml:space="preserve"> PAGEREF _Toc79163877 \h </w:instrText>
      </w:r>
      <w:r>
        <w:fldChar w:fldCharType="separate"/>
      </w:r>
      <w:r>
        <w:t>13</w:t>
      </w:r>
      <w:r>
        <w:fldChar w:fldCharType="end"/>
      </w:r>
    </w:p>
    <w:p>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（四）预算绩效管理情况。</w:t>
      </w:r>
      <w:r>
        <w:tab/>
      </w:r>
      <w:r>
        <w:fldChar w:fldCharType="begin"/>
      </w:r>
      <w:r>
        <w:instrText xml:space="preserve"> PAGEREF _Toc79163878 \h </w:instrText>
      </w:r>
      <w:r>
        <w:fldChar w:fldCharType="separate"/>
      </w:r>
      <w:r>
        <w:t>13</w:t>
      </w:r>
      <w:r>
        <w:fldChar w:fldCharType="end"/>
      </w:r>
    </w:p>
    <w:p>
      <w:pPr>
        <w:pStyle w:val="15"/>
        <w:tabs>
          <w:tab w:val="right" w:leader="dot" w:pos="8296"/>
        </w:tabs>
        <w:rPr>
          <w:rFonts w:hAnsiTheme="minorHAnsi" w:eastAsiaTheme="minorEastAsia" w:cstheme="minorBidi"/>
          <w:b w:val="0"/>
          <w:bCs w:val="0"/>
          <w:caps w:val="0"/>
          <w:sz w:val="21"/>
          <w:szCs w:val="22"/>
        </w:rPr>
      </w:pPr>
      <w:r>
        <w:rPr>
          <w:rFonts w:ascii="黑体" w:hAnsi="黑体" w:eastAsia="黑体"/>
          <w:kern w:val="44"/>
        </w:rPr>
        <w:t>第三部分</w:t>
      </w:r>
      <w:r>
        <w:rPr>
          <w:rFonts w:ascii="黑体" w:hAnsi="黑体" w:eastAsia="黑体"/>
          <w:color w:val="000000"/>
        </w:rPr>
        <w:t xml:space="preserve"> 名</w:t>
      </w:r>
      <w:r>
        <w:rPr>
          <w:rFonts w:ascii="黑体" w:hAnsi="黑体" w:eastAsia="黑体"/>
          <w:kern w:val="44"/>
        </w:rPr>
        <w:t>词解释</w:t>
      </w:r>
      <w:r>
        <w:tab/>
      </w:r>
      <w:r>
        <w:fldChar w:fldCharType="begin"/>
      </w:r>
      <w:r>
        <w:instrText xml:space="preserve"> PAGEREF _Toc79163879 \h </w:instrText>
      </w:r>
      <w:r>
        <w:fldChar w:fldCharType="separate"/>
      </w:r>
      <w:r>
        <w:t>15</w:t>
      </w:r>
      <w:r>
        <w:fldChar w:fldCharType="end"/>
      </w:r>
    </w:p>
    <w:p>
      <w:pPr>
        <w:pStyle w:val="15"/>
        <w:tabs>
          <w:tab w:val="right" w:leader="dot" w:pos="8296"/>
        </w:tabs>
        <w:rPr>
          <w:rFonts w:hAnsiTheme="minorHAnsi" w:eastAsiaTheme="minorEastAsia" w:cstheme="minorBidi"/>
          <w:b w:val="0"/>
          <w:bCs w:val="0"/>
          <w:caps w:val="0"/>
          <w:sz w:val="21"/>
          <w:szCs w:val="22"/>
        </w:rPr>
      </w:pPr>
      <w:r>
        <w:rPr>
          <w:rFonts w:ascii="黑体" w:hAnsi="黑体" w:eastAsia="黑体"/>
          <w:color w:val="000000"/>
        </w:rPr>
        <w:t>第</w:t>
      </w:r>
      <w:r>
        <w:rPr>
          <w:rFonts w:ascii="黑体" w:hAnsi="黑体" w:eastAsia="黑体"/>
          <w:kern w:val="44"/>
        </w:rPr>
        <w:t>四部分 附件</w:t>
      </w:r>
      <w:r>
        <w:tab/>
      </w:r>
      <w:r>
        <w:fldChar w:fldCharType="begin"/>
      </w:r>
      <w:r>
        <w:instrText xml:space="preserve"> PAGEREF _Toc79163880 \h </w:instrText>
      </w:r>
      <w:r>
        <w:fldChar w:fldCharType="separate"/>
      </w:r>
      <w:r>
        <w:t>18</w:t>
      </w:r>
      <w:r>
        <w:fldChar w:fldCharType="end"/>
      </w:r>
    </w:p>
    <w:p>
      <w:pPr>
        <w:pStyle w:val="15"/>
        <w:tabs>
          <w:tab w:val="right" w:leader="dot" w:pos="8296"/>
        </w:tabs>
        <w:rPr>
          <w:rFonts w:hAnsiTheme="minorHAnsi" w:eastAsiaTheme="minorEastAsia" w:cstheme="minorBidi"/>
          <w:b w:val="0"/>
          <w:bCs w:val="0"/>
          <w:caps w:val="0"/>
          <w:sz w:val="21"/>
          <w:szCs w:val="22"/>
        </w:rPr>
      </w:pPr>
      <w:r>
        <w:rPr>
          <w:rFonts w:ascii="黑体" w:hAnsi="黑体" w:eastAsia="黑体" w:cs="黑体"/>
        </w:rPr>
        <w:t>附件1</w:t>
      </w:r>
      <w:r>
        <w:rPr>
          <w:rFonts w:hint="eastAsia" w:ascii="黑体" w:hAnsi="黑体" w:eastAsia="黑体" w:cs="黑体"/>
          <w:lang w:val="en-US" w:eastAsia="zh-CN"/>
        </w:rPr>
        <w:t>阿坝州壤塘县委党校</w:t>
      </w:r>
      <w:r>
        <w:rPr>
          <w:rFonts w:hint="eastAsia" w:ascii="黑体" w:hAnsi="黑体" w:eastAsia="黑体" w:cs="黑体"/>
          <w:lang w:eastAsia="zh-CN"/>
        </w:rPr>
        <w:t>2022年</w:t>
      </w:r>
      <w:r>
        <w:rPr>
          <w:rFonts w:hint="eastAsia" w:ascii="黑体" w:hAnsi="黑体" w:eastAsia="黑体" w:cs="黑体"/>
        </w:rPr>
        <w:t>部门整体支出绩效评价</w:t>
      </w:r>
      <w:r>
        <w:rPr>
          <w:rFonts w:hint="eastAsia" w:ascii="黑体" w:hAnsi="黑体" w:eastAsia="黑体" w:cs="黑体"/>
          <w:lang w:val="en-US" w:eastAsia="zh-CN"/>
        </w:rPr>
        <w:t>报告</w:t>
      </w:r>
      <w:r>
        <w:rPr>
          <w:rFonts w:hint="eastAsia" w:ascii="黑体" w:hAnsi="黑体" w:eastAsia="黑体" w:cs="黑体"/>
          <w:lang w:val="en-US" w:eastAsia="zh-CN"/>
        </w:rPr>
        <w:tab/>
      </w:r>
      <w:r>
        <w:fldChar w:fldCharType="begin"/>
      </w:r>
      <w:r>
        <w:instrText xml:space="preserve"> PAGEREF _Toc79163881 \h </w:instrText>
      </w:r>
      <w:r>
        <w:fldChar w:fldCharType="separate"/>
      </w:r>
      <w:r>
        <w:t>18</w:t>
      </w:r>
      <w:r>
        <w:fldChar w:fldCharType="end"/>
      </w:r>
    </w:p>
    <w:p>
      <w:pPr>
        <w:pStyle w:val="15"/>
        <w:tabs>
          <w:tab w:val="right" w:leader="dot" w:pos="8296"/>
        </w:tabs>
        <w:rPr>
          <w:rFonts w:hAnsiTheme="minorHAnsi" w:eastAsiaTheme="minorEastAsia" w:cstheme="minorBidi"/>
          <w:b w:val="0"/>
          <w:bCs w:val="0"/>
          <w:caps w:val="0"/>
          <w:sz w:val="21"/>
          <w:szCs w:val="22"/>
        </w:rPr>
      </w:pPr>
      <w:r>
        <w:rPr>
          <w:rFonts w:ascii="黑体" w:hAnsi="黑体" w:eastAsia="黑体"/>
          <w:color w:val="000000"/>
        </w:rPr>
        <w:t>第</w:t>
      </w:r>
      <w:r>
        <w:rPr>
          <w:rFonts w:ascii="黑体" w:hAnsi="黑体" w:eastAsia="黑体"/>
          <w:kern w:val="44"/>
        </w:rPr>
        <w:t>五部分 附表</w:t>
      </w:r>
      <w:r>
        <w:tab/>
      </w:r>
      <w:r>
        <w:fldChar w:fldCharType="begin"/>
      </w:r>
      <w:r>
        <w:instrText xml:space="preserve"> PAGEREF _Toc79163885 \h </w:instrText>
      </w:r>
      <w:r>
        <w:fldChar w:fldCharType="separate"/>
      </w:r>
      <w:r>
        <w:t>24</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color w:val="000000"/>
        </w:rPr>
        <w:t>一、收</w:t>
      </w:r>
      <w:r>
        <w:rPr>
          <w:rFonts w:ascii="仿宋" w:hAnsi="仿宋" w:eastAsia="仿宋"/>
        </w:rPr>
        <w:t>入支出决算总表</w:t>
      </w:r>
      <w:r>
        <w:tab/>
      </w:r>
      <w:r>
        <w:fldChar w:fldCharType="begin"/>
      </w:r>
      <w:r>
        <w:instrText xml:space="preserve"> PAGEREF _Toc79163886 \h </w:instrText>
      </w:r>
      <w:r>
        <w:fldChar w:fldCharType="separate"/>
      </w:r>
      <w:r>
        <w:t>24</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color w:val="000000"/>
        </w:rPr>
        <w:t>二、收</w:t>
      </w:r>
      <w:r>
        <w:rPr>
          <w:rFonts w:ascii="仿宋" w:hAnsi="仿宋" w:eastAsia="仿宋"/>
        </w:rPr>
        <w:t>入决算表</w:t>
      </w:r>
      <w:r>
        <w:tab/>
      </w:r>
      <w:r>
        <w:fldChar w:fldCharType="begin"/>
      </w:r>
      <w:r>
        <w:instrText xml:space="preserve"> PAGEREF _Toc79163887 \h </w:instrText>
      </w:r>
      <w:r>
        <w:fldChar w:fldCharType="separate"/>
      </w:r>
      <w:r>
        <w:t>24</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三、</w:t>
      </w:r>
      <w:r>
        <w:rPr>
          <w:rFonts w:ascii="仿宋" w:hAnsi="仿宋" w:eastAsia="仿宋"/>
          <w:color w:val="000000"/>
        </w:rPr>
        <w:t>支</w:t>
      </w:r>
      <w:r>
        <w:rPr>
          <w:rFonts w:ascii="仿宋" w:hAnsi="仿宋" w:eastAsia="仿宋"/>
        </w:rPr>
        <w:t>出决算表</w:t>
      </w:r>
      <w:r>
        <w:tab/>
      </w:r>
      <w:r>
        <w:fldChar w:fldCharType="begin"/>
      </w:r>
      <w:r>
        <w:instrText xml:space="preserve"> PAGEREF _Toc79163888 \h </w:instrText>
      </w:r>
      <w:r>
        <w:fldChar w:fldCharType="separate"/>
      </w:r>
      <w:r>
        <w:t>24</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四、</w:t>
      </w:r>
      <w:r>
        <w:rPr>
          <w:rFonts w:ascii="仿宋" w:hAnsi="仿宋" w:eastAsia="仿宋"/>
          <w:color w:val="000000"/>
        </w:rPr>
        <w:t>财</w:t>
      </w:r>
      <w:r>
        <w:rPr>
          <w:rFonts w:ascii="仿宋" w:hAnsi="仿宋" w:eastAsia="仿宋"/>
        </w:rPr>
        <w:t>政拨款收入支出决算总表</w:t>
      </w:r>
      <w:r>
        <w:tab/>
      </w:r>
      <w:r>
        <w:fldChar w:fldCharType="begin"/>
      </w:r>
      <w:r>
        <w:instrText xml:space="preserve"> PAGEREF _Toc79163889 \h </w:instrText>
      </w:r>
      <w:r>
        <w:fldChar w:fldCharType="separate"/>
      </w:r>
      <w:r>
        <w:t>24</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五、</w:t>
      </w:r>
      <w:r>
        <w:rPr>
          <w:rFonts w:ascii="仿宋" w:hAnsi="仿宋" w:eastAsia="仿宋"/>
          <w:color w:val="000000"/>
        </w:rPr>
        <w:t>财</w:t>
      </w:r>
      <w:r>
        <w:rPr>
          <w:rFonts w:ascii="仿宋" w:hAnsi="仿宋" w:eastAsia="仿宋"/>
        </w:rPr>
        <w:t>政拨款支出决算明细表</w:t>
      </w:r>
      <w:r>
        <w:tab/>
      </w:r>
      <w:r>
        <w:fldChar w:fldCharType="begin"/>
      </w:r>
      <w:r>
        <w:instrText xml:space="preserve"> PAGEREF _Toc79163890 \h </w:instrText>
      </w:r>
      <w:r>
        <w:fldChar w:fldCharType="separate"/>
      </w:r>
      <w:r>
        <w:t>24</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六、</w:t>
      </w:r>
      <w:r>
        <w:rPr>
          <w:rFonts w:ascii="仿宋" w:hAnsi="仿宋" w:eastAsia="仿宋"/>
          <w:color w:val="000000"/>
        </w:rPr>
        <w:t>一</w:t>
      </w:r>
      <w:r>
        <w:rPr>
          <w:rFonts w:ascii="仿宋" w:hAnsi="仿宋" w:eastAsia="仿宋"/>
        </w:rPr>
        <w:t>般公共预算财政拨款支出决算表</w:t>
      </w:r>
      <w:r>
        <w:tab/>
      </w:r>
      <w:r>
        <w:fldChar w:fldCharType="begin"/>
      </w:r>
      <w:r>
        <w:instrText xml:space="preserve"> PAGEREF _Toc79163891 \h </w:instrText>
      </w:r>
      <w:r>
        <w:fldChar w:fldCharType="separate"/>
      </w:r>
      <w:r>
        <w:t>24</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七、</w:t>
      </w:r>
      <w:r>
        <w:rPr>
          <w:rFonts w:ascii="仿宋" w:hAnsi="仿宋" w:eastAsia="仿宋"/>
          <w:color w:val="000000"/>
        </w:rPr>
        <w:t>一</w:t>
      </w:r>
      <w:r>
        <w:rPr>
          <w:rFonts w:ascii="仿宋" w:hAnsi="仿宋" w:eastAsia="仿宋"/>
        </w:rPr>
        <w:t>般公共预算财政拨款支出决算明细表</w:t>
      </w:r>
      <w:r>
        <w:tab/>
      </w:r>
      <w:r>
        <w:fldChar w:fldCharType="begin"/>
      </w:r>
      <w:r>
        <w:instrText xml:space="preserve"> PAGEREF _Toc79163892 \h </w:instrText>
      </w:r>
      <w:r>
        <w:fldChar w:fldCharType="separate"/>
      </w:r>
      <w:r>
        <w:t>24</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八、</w:t>
      </w:r>
      <w:r>
        <w:rPr>
          <w:rFonts w:ascii="仿宋" w:hAnsi="仿宋" w:eastAsia="仿宋"/>
          <w:color w:val="000000"/>
        </w:rPr>
        <w:t>一</w:t>
      </w:r>
      <w:r>
        <w:rPr>
          <w:rFonts w:ascii="仿宋" w:hAnsi="仿宋" w:eastAsia="仿宋"/>
        </w:rPr>
        <w:t>般公共预算财政拨款基本支出决算表</w:t>
      </w:r>
      <w:r>
        <w:tab/>
      </w:r>
      <w:r>
        <w:fldChar w:fldCharType="begin"/>
      </w:r>
      <w:r>
        <w:instrText xml:space="preserve"> PAGEREF _Toc79163893 \h </w:instrText>
      </w:r>
      <w:r>
        <w:fldChar w:fldCharType="separate"/>
      </w:r>
      <w:r>
        <w:t>24</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九、</w:t>
      </w:r>
      <w:r>
        <w:rPr>
          <w:rFonts w:ascii="仿宋" w:hAnsi="仿宋" w:eastAsia="仿宋"/>
          <w:color w:val="000000"/>
        </w:rPr>
        <w:t>一</w:t>
      </w:r>
      <w:r>
        <w:rPr>
          <w:rFonts w:ascii="仿宋" w:hAnsi="仿宋" w:eastAsia="仿宋"/>
        </w:rPr>
        <w:t>般公共预算财政拨款项目支出决算表</w:t>
      </w:r>
      <w:r>
        <w:tab/>
      </w:r>
      <w:r>
        <w:fldChar w:fldCharType="begin"/>
      </w:r>
      <w:r>
        <w:instrText xml:space="preserve"> PAGEREF _Toc79163894 \h </w:instrText>
      </w:r>
      <w:r>
        <w:fldChar w:fldCharType="separate"/>
      </w:r>
      <w:r>
        <w:t>24</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十、</w:t>
      </w:r>
      <w:r>
        <w:rPr>
          <w:rFonts w:ascii="仿宋" w:hAnsi="仿宋" w:eastAsia="仿宋"/>
          <w:color w:val="000000"/>
        </w:rPr>
        <w:t>一</w:t>
      </w:r>
      <w:r>
        <w:rPr>
          <w:rFonts w:ascii="仿宋" w:hAnsi="仿宋" w:eastAsia="仿宋"/>
        </w:rPr>
        <w:t>般公共预算财政拨款“三公”经费支出决算表</w:t>
      </w:r>
      <w:r>
        <w:tab/>
      </w:r>
      <w:r>
        <w:fldChar w:fldCharType="begin"/>
      </w:r>
      <w:r>
        <w:instrText xml:space="preserve"> PAGEREF _Toc79163895 \h </w:instrText>
      </w:r>
      <w:r>
        <w:fldChar w:fldCharType="separate"/>
      </w:r>
      <w:r>
        <w:t>24</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十一、</w:t>
      </w:r>
      <w:r>
        <w:rPr>
          <w:rFonts w:ascii="仿宋" w:hAnsi="仿宋" w:eastAsia="仿宋"/>
          <w:color w:val="000000"/>
        </w:rPr>
        <w:t>政</w:t>
      </w:r>
      <w:r>
        <w:rPr>
          <w:rFonts w:ascii="仿宋" w:hAnsi="仿宋" w:eastAsia="仿宋"/>
        </w:rPr>
        <w:t>府性基金预算财政拨款收入支出决算表</w:t>
      </w:r>
      <w:r>
        <w:tab/>
      </w:r>
      <w:r>
        <w:fldChar w:fldCharType="begin"/>
      </w:r>
      <w:r>
        <w:instrText xml:space="preserve"> PAGEREF _Toc79163896 \h </w:instrText>
      </w:r>
      <w:r>
        <w:fldChar w:fldCharType="separate"/>
      </w:r>
      <w:r>
        <w:t>24</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十二、</w:t>
      </w:r>
      <w:r>
        <w:rPr>
          <w:rFonts w:ascii="仿宋" w:hAnsi="仿宋" w:eastAsia="仿宋"/>
          <w:color w:val="000000"/>
        </w:rPr>
        <w:t>政</w:t>
      </w:r>
      <w:r>
        <w:rPr>
          <w:rFonts w:ascii="仿宋" w:hAnsi="仿宋" w:eastAsia="仿宋"/>
        </w:rPr>
        <w:t>府性基金预算财政拨款“三公”经费支出决算表</w:t>
      </w:r>
      <w:r>
        <w:tab/>
      </w:r>
      <w:r>
        <w:fldChar w:fldCharType="begin"/>
      </w:r>
      <w:r>
        <w:instrText xml:space="preserve"> PAGEREF _Toc79163897 \h </w:instrText>
      </w:r>
      <w:r>
        <w:fldChar w:fldCharType="separate"/>
      </w:r>
      <w:r>
        <w:t>24</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十三、</w:t>
      </w:r>
      <w:r>
        <w:rPr>
          <w:rFonts w:ascii="仿宋" w:hAnsi="仿宋" w:eastAsia="仿宋"/>
          <w:color w:val="000000"/>
        </w:rPr>
        <w:t>国</w:t>
      </w:r>
      <w:r>
        <w:rPr>
          <w:rFonts w:ascii="仿宋" w:hAnsi="仿宋" w:eastAsia="仿宋"/>
        </w:rPr>
        <w:t>有资本经营预算财政拨款</w:t>
      </w:r>
      <w:r>
        <w:rPr>
          <w:rFonts w:hint="eastAsia" w:ascii="仿宋" w:hAnsi="仿宋" w:eastAsia="仿宋"/>
        </w:rPr>
        <w:t>收入</w:t>
      </w:r>
      <w:r>
        <w:rPr>
          <w:rFonts w:ascii="仿宋" w:hAnsi="仿宋" w:eastAsia="仿宋"/>
        </w:rPr>
        <w:t>支出决算表</w:t>
      </w:r>
      <w:r>
        <w:tab/>
      </w:r>
      <w:r>
        <w:fldChar w:fldCharType="begin"/>
      </w:r>
      <w:r>
        <w:instrText xml:space="preserve"> PAGEREF _Toc79163898 \h </w:instrText>
      </w:r>
      <w:r>
        <w:fldChar w:fldCharType="separate"/>
      </w:r>
      <w:r>
        <w:t>24</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十四、国有资本经营预算财政拨款支出决算表</w:t>
      </w:r>
      <w:r>
        <w:tab/>
      </w:r>
      <w:r>
        <w:fldChar w:fldCharType="begin"/>
      </w:r>
      <w:r>
        <w:instrText xml:space="preserve"> PAGEREF _Toc79163899 \h </w:instrText>
      </w:r>
      <w:r>
        <w:fldChar w:fldCharType="separate"/>
      </w:r>
      <w:r>
        <w:t>24</w:t>
      </w:r>
      <w:r>
        <w:fldChar w:fldCharType="end"/>
      </w:r>
    </w:p>
    <w:p>
      <w:r>
        <w:rPr>
          <w:rFonts w:asciiTheme="minorHAnsi" w:eastAsiaTheme="minorHAnsi"/>
          <w:b/>
          <w:bCs/>
          <w:caps/>
          <w:sz w:val="20"/>
          <w:szCs w:val="20"/>
        </w:rPr>
        <w:fldChar w:fldCharType="end"/>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Style w:val="27"/>
          <w:rFonts w:ascii="黑体" w:hAnsi="黑体" w:eastAsia="黑体"/>
          <w:b/>
          <w:bCs w:val="0"/>
        </w:rPr>
      </w:pPr>
      <w:bookmarkStart w:id="14" w:name="_Toc79163601"/>
      <w:bookmarkStart w:id="15" w:name="_Toc79163851"/>
      <w:r>
        <w:rPr>
          <w:rFonts w:hint="eastAsia" w:ascii="黑体" w:hAnsi="黑体" w:eastAsia="黑体"/>
          <w:b w:val="0"/>
        </w:rPr>
        <w:t>第一部分</w:t>
      </w:r>
      <w:r>
        <w:rPr>
          <w:rFonts w:ascii="黑体" w:hAnsi="黑体" w:eastAsia="黑体"/>
          <w:b w:val="0"/>
        </w:rPr>
        <w:t xml:space="preserve"> </w:t>
      </w:r>
      <w:r>
        <w:rPr>
          <w:rStyle w:val="27"/>
          <w:rFonts w:hint="eastAsia" w:ascii="黑体" w:hAnsi="黑体" w:eastAsia="黑体"/>
          <w:b w:val="0"/>
          <w:bCs w:val="0"/>
        </w:rPr>
        <w:t>部门概况</w:t>
      </w:r>
      <w:bookmarkEnd w:id="12"/>
      <w:bookmarkEnd w:id="13"/>
      <w:bookmarkEnd w:id="14"/>
      <w:bookmarkEnd w:id="15"/>
    </w:p>
    <w:p>
      <w:pPr>
        <w:widowControl/>
        <w:jc w:val="left"/>
        <w:rPr>
          <w:rFonts w:ascii="黑体" w:eastAsia="黑体"/>
          <w:color w:val="000000"/>
          <w:sz w:val="32"/>
          <w:szCs w:val="32"/>
        </w:rPr>
      </w:pPr>
    </w:p>
    <w:p>
      <w:pPr>
        <w:pStyle w:val="4"/>
        <w:keepNext/>
        <w:keepLines/>
        <w:pageBreakBefore w:val="0"/>
        <w:widowControl w:val="0"/>
        <w:numPr>
          <w:ilvl w:val="0"/>
          <w:numId w:val="1"/>
        </w:numPr>
        <w:kinsoku/>
        <w:wordWrap/>
        <w:overflowPunct/>
        <w:topLinePunct w:val="0"/>
        <w:autoSpaceDE/>
        <w:autoSpaceDN/>
        <w:bidi w:val="0"/>
        <w:adjustRightInd/>
        <w:snapToGrid/>
        <w:spacing w:line="560" w:lineRule="exact"/>
        <w:textAlignment w:val="auto"/>
        <w:rPr>
          <w:rStyle w:val="28"/>
          <w:rFonts w:hint="eastAsia" w:ascii="黑体" w:hAnsi="黑体" w:eastAsia="黑体"/>
          <w:b w:val="0"/>
          <w:bCs w:val="0"/>
        </w:rPr>
      </w:pPr>
      <w:bookmarkStart w:id="16" w:name="_Toc79163602"/>
      <w:bookmarkStart w:id="17" w:name="_Toc79163852"/>
      <w:bookmarkStart w:id="18" w:name="_Toc15396600"/>
      <w:bookmarkStart w:id="19" w:name="_Toc15377197"/>
      <w:r>
        <w:rPr>
          <w:rFonts w:hint="eastAsia" w:ascii="黑体" w:hAnsi="黑体" w:eastAsia="黑体"/>
          <w:b w:val="0"/>
          <w:color w:val="000000"/>
          <w:lang w:val="en-US" w:eastAsia="zh-CN"/>
        </w:rPr>
        <w:t>部门职责</w:t>
      </w:r>
      <w:bookmarkEnd w:id="16"/>
      <w:bookmarkEnd w:id="17"/>
      <w:bookmarkEnd w:id="18"/>
      <w:bookmarkEnd w:id="19"/>
      <w:bookmarkStart w:id="20" w:name="_Toc79163603"/>
      <w:bookmarkStart w:id="21" w:name="_Toc79163853"/>
      <w:bookmarkStart w:id="22" w:name="_Toc15378445"/>
      <w:bookmarkStart w:id="23" w:name="_Toc15377198"/>
    </w:p>
    <w:bookmarkEnd w:id="20"/>
    <w:bookmarkEnd w:id="21"/>
    <w:bookmarkEnd w:id="22"/>
    <w:bookmarkEnd w:id="23"/>
    <w:p>
      <w:pPr>
        <w:pStyle w:val="7"/>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eastAsia" w:hAnsi="Times New Roman" w:cs="Times New Roman"/>
          <w:sz w:val="32"/>
          <w:szCs w:val="32"/>
        </w:rPr>
      </w:pPr>
      <w:r>
        <w:rPr>
          <w:rFonts w:hint="eastAsia"/>
          <w:sz w:val="32"/>
          <w:szCs w:val="32"/>
          <w:lang w:val="en-US" w:eastAsia="zh-CN"/>
        </w:rPr>
        <w:t>中共壤塘县委党校坚持党的基本路线，以学习宣传习近平新时代中国特色社会主义思想为己任，结合党和国家召开的重大会议精神，根据全县各级党组织和党员实际，在抓好基础设施建设和教学基地建设的同时，努力办好主体班和业务技能培训，紧紧围绕提高培训效果和教育教学质量、培养高素质的干部队伍为目标，以改革为动力，教学为中心，科研为基础，充分发挥“熔炉”和“阵地”的作用，加强党的理论学习、研究和宣传，搞好县、乡、村党员干部培训，切实提高全县干部政策理论水平</w:t>
      </w:r>
      <w:r>
        <w:rPr>
          <w:rFonts w:hint="eastAsia" w:hAnsi="Times New Roman" w:cs="Times New Roman"/>
          <w:sz w:val="32"/>
          <w:szCs w:val="32"/>
          <w:lang w:eastAsia="zh-CN"/>
        </w:rPr>
        <w:t>。</w:t>
      </w:r>
    </w:p>
    <w:p>
      <w:pPr>
        <w:pStyle w:val="4"/>
        <w:pageBreakBefore w:val="0"/>
        <w:widowControl w:val="0"/>
        <w:kinsoku/>
        <w:wordWrap/>
        <w:overflowPunct/>
        <w:topLinePunct w:val="0"/>
        <w:bidi w:val="0"/>
        <w:spacing w:line="560" w:lineRule="exact"/>
        <w:textAlignment w:val="auto"/>
        <w:rPr>
          <w:rStyle w:val="28"/>
          <w:b w:val="0"/>
          <w:bCs w:val="0"/>
        </w:rPr>
      </w:pPr>
      <w:bookmarkStart w:id="24" w:name="_Toc15377200"/>
      <w:bookmarkStart w:id="25" w:name="_Toc79163855"/>
      <w:bookmarkStart w:id="26" w:name="_Toc79163605"/>
      <w:bookmarkStart w:id="27" w:name="_Toc15396601"/>
      <w:r>
        <w:rPr>
          <w:rFonts w:hint="eastAsia" w:ascii="黑体" w:eastAsia="黑体"/>
          <w:b w:val="0"/>
          <w:color w:val="000000"/>
        </w:rPr>
        <w:t>二、</w:t>
      </w:r>
      <w:r>
        <w:rPr>
          <w:rFonts w:hint="eastAsia" w:ascii="黑体" w:hAnsi="黑体" w:eastAsia="黑体"/>
          <w:b w:val="0"/>
          <w:color w:val="000000"/>
        </w:rPr>
        <w:t>机</w:t>
      </w:r>
      <w:r>
        <w:rPr>
          <w:rStyle w:val="28"/>
          <w:rFonts w:hint="eastAsia" w:ascii="黑体" w:hAnsi="黑体" w:eastAsia="黑体"/>
          <w:b w:val="0"/>
          <w:bCs w:val="0"/>
        </w:rPr>
        <w:t>构设置</w:t>
      </w:r>
      <w:bookmarkEnd w:id="24"/>
      <w:bookmarkEnd w:id="25"/>
      <w:bookmarkEnd w:id="26"/>
      <w:bookmarkEnd w:id="27"/>
    </w:p>
    <w:p>
      <w:pPr>
        <w:pStyle w:val="7"/>
        <w:pageBreakBefore w:val="0"/>
        <w:widowControl w:val="0"/>
        <w:kinsoku/>
        <w:wordWrap/>
        <w:overflowPunct/>
        <w:topLinePunct w:val="0"/>
        <w:bidi w:val="0"/>
        <w:adjustRightInd w:val="0"/>
        <w:snapToGrid w:val="0"/>
        <w:spacing w:before="93" w:line="560" w:lineRule="exact"/>
        <w:ind w:firstLine="672" w:firstLineChars="210"/>
        <w:textAlignment w:val="auto"/>
        <w:rPr>
          <w:rFonts w:ascii="仿宋" w:hAnsi="仿宋" w:eastAsia="仿宋"/>
          <w:color w:val="000000"/>
          <w:kern w:val="0"/>
          <w:sz w:val="32"/>
          <w:szCs w:val="32"/>
        </w:rPr>
      </w:pPr>
      <w:bookmarkStart w:id="28" w:name="_Toc12356"/>
      <w:bookmarkStart w:id="29" w:name="_Toc30939"/>
      <w:bookmarkStart w:id="30" w:name="_Toc10699"/>
      <w:r>
        <w:rPr>
          <w:rFonts w:hint="eastAsia" w:hAnsi="仿宋" w:cs="Times New Roman"/>
          <w:b w:val="0"/>
          <w:bCs w:val="0"/>
          <w:kern w:val="2"/>
          <w:sz w:val="32"/>
          <w:szCs w:val="32"/>
          <w:highlight w:val="none"/>
          <w:lang w:val="en-US" w:eastAsia="zh-CN" w:bidi="ar-SA"/>
        </w:rPr>
        <w:t>四川省阿坝州壤塘县委党校无下属二级单位，本单位属事业单位</w:t>
      </w:r>
      <w:r>
        <w:rPr>
          <w:rFonts w:hint="eastAsia" w:ascii="仿宋_GB2312" w:hAnsi="仿宋" w:eastAsia="仿宋_GB2312" w:cs="Times New Roman"/>
          <w:b w:val="0"/>
          <w:bCs w:val="0"/>
          <w:kern w:val="2"/>
          <w:sz w:val="32"/>
          <w:szCs w:val="32"/>
          <w:highlight w:val="none"/>
          <w:lang w:val="en-US" w:eastAsia="zh-CN" w:bidi="ar-SA"/>
        </w:rPr>
        <w:t>。</w:t>
      </w:r>
      <w:bookmarkEnd w:id="28"/>
      <w:bookmarkEnd w:id="29"/>
      <w:bookmarkEnd w:id="30"/>
      <w:r>
        <w:rPr>
          <w:rFonts w:ascii="仿宋" w:hAnsi="仿宋" w:eastAsia="仿宋"/>
          <w:color w:val="000000"/>
          <w:sz w:val="32"/>
          <w:szCs w:val="32"/>
        </w:rPr>
        <w:br w:type="page"/>
      </w:r>
    </w:p>
    <w:p>
      <w:pPr>
        <w:pStyle w:val="3"/>
        <w:pageBreakBefore w:val="0"/>
        <w:widowControl w:val="0"/>
        <w:kinsoku/>
        <w:wordWrap/>
        <w:overflowPunct/>
        <w:topLinePunct w:val="0"/>
        <w:bidi w:val="0"/>
        <w:spacing w:line="560" w:lineRule="exact"/>
        <w:ind w:right="440"/>
        <w:jc w:val="right"/>
        <w:textAlignment w:val="auto"/>
        <w:rPr>
          <w:rStyle w:val="27"/>
          <w:rFonts w:ascii="黑体" w:hAnsi="黑体" w:eastAsia="黑体"/>
          <w:b w:val="0"/>
          <w:bCs w:val="0"/>
        </w:rPr>
      </w:pPr>
      <w:bookmarkStart w:id="31" w:name="_Toc15396602"/>
      <w:bookmarkStart w:id="32" w:name="_Toc15377204"/>
      <w:bookmarkStart w:id="33" w:name="_Toc79163609"/>
      <w:bookmarkStart w:id="34" w:name="_Toc79163859"/>
      <w:r>
        <w:rPr>
          <w:rFonts w:hint="eastAsia" w:ascii="黑体" w:hAnsi="黑体" w:eastAsia="黑体"/>
          <w:b w:val="0"/>
          <w:color w:val="000000"/>
        </w:rPr>
        <w:t>第二部分</w:t>
      </w:r>
      <w:r>
        <w:rPr>
          <w:rFonts w:ascii="黑体" w:hAnsi="黑体" w:eastAsia="黑体"/>
          <w:color w:val="000000"/>
        </w:rPr>
        <w:t xml:space="preserve"> </w:t>
      </w:r>
      <w:r>
        <w:rPr>
          <w:rStyle w:val="27"/>
          <w:rFonts w:hint="eastAsia" w:ascii="黑体" w:hAnsi="黑体" w:eastAsia="黑体"/>
          <w:b w:val="0"/>
          <w:bCs w:val="0"/>
          <w:lang w:eastAsia="zh-CN"/>
        </w:rPr>
        <w:t>2022年</w:t>
      </w:r>
      <w:r>
        <w:rPr>
          <w:rStyle w:val="27"/>
          <w:rFonts w:hint="eastAsia" w:ascii="黑体" w:hAnsi="黑体" w:eastAsia="黑体"/>
          <w:b w:val="0"/>
          <w:bCs w:val="0"/>
        </w:rPr>
        <w:t>度部门决算情况说明</w:t>
      </w:r>
      <w:bookmarkEnd w:id="31"/>
      <w:bookmarkEnd w:id="32"/>
      <w:bookmarkEnd w:id="33"/>
      <w:bookmarkEnd w:id="34"/>
    </w:p>
    <w:p>
      <w:pPr>
        <w:pStyle w:val="4"/>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一、收入支出决算总体情况说明</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2022年度收入总计290.63万元，与2021年相比，减少2.99万元，下降1.02%。主要变动原因：本年度业务减少,相关经费减少; 2022年支出总计303.68万元。与2021年相比，减少45.66万元，下降13.07%。主要变动原因:本年度项目减少,项目支出减少。</w:t>
      </w:r>
    </w:p>
    <w:p>
      <w:pPr>
        <w:pStyle w:val="20"/>
        <w:keepNext w:val="0"/>
        <w:keepLines w:val="0"/>
        <w:widowControl w:val="0"/>
        <w:suppressLineNumbers w:val="0"/>
        <w:spacing w:before="0" w:beforeAutospacing="1" w:after="0" w:afterAutospacing="0" w:line="360" w:lineRule="auto"/>
        <w:ind w:left="0" w:leftChars="0" w:right="0" w:firstLine="0" w:firstLineChars="0"/>
        <w:jc w:val="center"/>
        <w:rPr>
          <w:rFonts w:hint="eastAsia" w:ascii="Times New Roman" w:hAnsi="Times New Roman" w:eastAsia="宋体" w:cs="Times New Roman"/>
          <w:kern w:val="2"/>
          <w:sz w:val="21"/>
          <w:szCs w:val="21"/>
        </w:rPr>
      </w:pPr>
      <w:r>
        <w:drawing>
          <wp:inline distT="0" distB="0" distL="114300" distR="114300">
            <wp:extent cx="4705350" cy="2452370"/>
            <wp:effectExtent l="4445" t="4445" r="14605" b="19685"/>
            <wp:docPr id="134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drawing>
          <wp:inline distT="0" distB="0" distL="114300" distR="114300">
            <wp:extent cx="4617085" cy="2290445"/>
            <wp:effectExtent l="4445" t="4445" r="7620" b="10160"/>
            <wp:docPr id="133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Times New Roman" w:eastAsia="仿宋_GB2312" w:cs="Times New Roman"/>
          <w:color w:val="000000"/>
          <w:kern w:val="2"/>
          <w:sz w:val="32"/>
          <w:szCs w:val="32"/>
        </w:rPr>
      </w:pPr>
      <w:r>
        <w:rPr>
          <w:rFonts w:hint="eastAsia" w:ascii="仿宋" w:hAnsi="仿宋" w:eastAsia="仿宋" w:cs="仿宋"/>
          <w:color w:val="000000"/>
          <w:kern w:val="2"/>
          <w:sz w:val="32"/>
          <w:szCs w:val="32"/>
          <w:lang w:val="en-US" w:eastAsia="zh-CN" w:bidi="ar"/>
        </w:rPr>
        <w:t>（图</w:t>
      </w:r>
      <w:r>
        <w:rPr>
          <w:rFonts w:hint="eastAsia" w:ascii="仿宋" w:hAnsi="仿宋" w:eastAsia="仿宋" w:cs="Times New Roman"/>
          <w:color w:val="000000"/>
          <w:kern w:val="2"/>
          <w:sz w:val="32"/>
          <w:szCs w:val="32"/>
          <w:lang w:val="en-US" w:eastAsia="zh-CN" w:bidi="ar"/>
        </w:rPr>
        <w:t>1</w:t>
      </w:r>
      <w:r>
        <w:rPr>
          <w:rFonts w:hint="eastAsia" w:ascii="仿宋" w:hAnsi="仿宋" w:eastAsia="仿宋" w:cs="仿宋"/>
          <w:color w:val="000000"/>
          <w:kern w:val="2"/>
          <w:sz w:val="32"/>
          <w:szCs w:val="32"/>
          <w:lang w:val="en-US" w:eastAsia="zh-CN" w:bidi="ar"/>
        </w:rPr>
        <w:t>：收、支决算总计变动情况图）（柱状图）</w:t>
      </w:r>
    </w:p>
    <w:p>
      <w:pPr>
        <w:pStyle w:val="4"/>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黑体" w:hAnsi="黑体" w:eastAsia="黑体" w:cs="Times New Roman"/>
          <w:b w:val="0"/>
          <w:bCs w:val="0"/>
          <w:color w:val="000000"/>
          <w:kern w:val="2"/>
          <w:sz w:val="32"/>
          <w:szCs w:val="32"/>
          <w:lang w:val="en-US" w:eastAsia="zh-CN" w:bidi="ar-SA"/>
        </w:rPr>
        <w:t>二、收入决算情况说明</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Times New Roman"/>
          <w:color w:val="000000"/>
          <w:kern w:val="2"/>
          <w:sz w:val="32"/>
          <w:szCs w:val="32"/>
        </w:rPr>
      </w:pPr>
      <w:r>
        <w:rPr>
          <w:rFonts w:hint="eastAsia" w:ascii="仿宋" w:hAnsi="仿宋" w:eastAsia="仿宋" w:cs="Times New Roman"/>
          <w:color w:val="000000"/>
          <w:kern w:val="2"/>
          <w:sz w:val="32"/>
          <w:szCs w:val="32"/>
          <w:lang w:val="en-US" w:eastAsia="zh-CN" w:bidi="ar"/>
        </w:rPr>
        <w:t>2022年</w:t>
      </w:r>
      <w:r>
        <w:rPr>
          <w:rFonts w:hint="eastAsia" w:ascii="仿宋" w:hAnsi="仿宋" w:eastAsia="仿宋" w:cs="仿宋"/>
          <w:color w:val="000000"/>
          <w:kern w:val="2"/>
          <w:sz w:val="32"/>
          <w:szCs w:val="32"/>
          <w:lang w:val="en-US" w:eastAsia="zh-CN" w:bidi="ar"/>
        </w:rPr>
        <w:t>本年收入合计290.63万元，其中：一般公共预算财政拨款收入290.63万元，占100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；政府性基金预算财政拨款收入0万元，占0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；上级补助收入0万元，占0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；事业收入0万元，占0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；经营收入0万元，占0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；附属单位上缴收入0万元，占0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；其他收入0万元，占0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w:t>
      </w:r>
    </w:p>
    <w:p>
      <w:pPr>
        <w:pStyle w:val="20"/>
        <w:keepNext w:val="0"/>
        <w:keepLines w:val="0"/>
        <w:widowControl w:val="0"/>
        <w:suppressLineNumbers w:val="0"/>
        <w:spacing w:before="0" w:beforeAutospacing="1" w:after="120" w:afterAutospacing="0" w:line="360" w:lineRule="auto"/>
        <w:ind w:left="0" w:leftChars="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drawing>
          <wp:inline distT="0" distB="0" distL="114300" distR="114300">
            <wp:extent cx="4371975" cy="2468880"/>
            <wp:effectExtent l="0" t="0" r="9525" b="762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8"/>
                    <a:stretch>
                      <a:fillRect/>
                    </a:stretch>
                  </pic:blipFill>
                  <pic:spPr>
                    <a:xfrm>
                      <a:off x="0" y="0"/>
                      <a:ext cx="4371975" cy="2468880"/>
                    </a:xfrm>
                    <a:prstGeom prst="rect">
                      <a:avLst/>
                    </a:prstGeom>
                    <a:noFill/>
                    <a:ln w="9525">
                      <a:noFill/>
                    </a:ln>
                  </pic:spPr>
                </pic:pic>
              </a:graphicData>
            </a:graphic>
          </wp:inline>
        </w:drawing>
      </w:r>
      <w:r>
        <w:rPr>
          <w:rFonts w:hint="default" w:ascii="Times New Roman" w:hAnsi="Times New Roman"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（图</w:t>
      </w:r>
      <w:r>
        <w:rPr>
          <w:rFonts w:hint="eastAsia" w:ascii="仿宋" w:hAnsi="仿宋" w:eastAsia="仿宋" w:cs="Times New Roman"/>
          <w:color w:val="000000"/>
          <w:kern w:val="2"/>
          <w:sz w:val="32"/>
          <w:szCs w:val="32"/>
          <w:lang w:val="en-US" w:eastAsia="zh-CN" w:bidi="ar"/>
        </w:rPr>
        <w:t>2</w:t>
      </w:r>
      <w:r>
        <w:rPr>
          <w:rFonts w:hint="eastAsia" w:ascii="仿宋" w:hAnsi="仿宋" w:eastAsia="仿宋" w:cs="仿宋"/>
          <w:color w:val="000000"/>
          <w:kern w:val="2"/>
          <w:sz w:val="32"/>
          <w:szCs w:val="32"/>
          <w:lang w:val="en-US" w:eastAsia="zh-CN" w:bidi="ar"/>
        </w:rPr>
        <w:t>：收入决算结构图）（饼状图）</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Times New Roman" w:eastAsia="仿宋_GB2312" w:cs="Times New Roman"/>
          <w:color w:val="FF0000"/>
          <w:kern w:val="2"/>
          <w:sz w:val="32"/>
          <w:szCs w:val="32"/>
        </w:rPr>
      </w:pPr>
      <w:r>
        <w:rPr>
          <w:rFonts w:hint="default" w:ascii="仿宋_GB2312" w:hAnsi="Times New Roman" w:eastAsia="仿宋_GB2312" w:cs="Times New Roman"/>
          <w:color w:val="FF0000"/>
          <w:kern w:val="2"/>
          <w:sz w:val="32"/>
          <w:szCs w:val="32"/>
          <w:lang w:val="en-US" w:eastAsia="zh-CN" w:bidi="ar"/>
        </w:rPr>
        <w:t xml:space="preserve"> </w:t>
      </w:r>
    </w:p>
    <w:p>
      <w:pPr>
        <w:pStyle w:val="4"/>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黑体" w:hAnsi="黑体" w:eastAsia="黑体" w:cs="Times New Roman"/>
          <w:b w:val="0"/>
          <w:bCs w:val="0"/>
          <w:color w:val="000000"/>
          <w:kern w:val="2"/>
          <w:sz w:val="32"/>
          <w:szCs w:val="32"/>
          <w:lang w:val="en-US" w:eastAsia="zh-CN" w:bidi="ar-SA"/>
        </w:rPr>
        <w:t>三、支出决算情况说</w:t>
      </w:r>
      <w:r>
        <w:rPr>
          <w:rFonts w:hint="eastAsia"/>
          <w:lang w:val="en-US" w:eastAsia="zh-CN"/>
        </w:rPr>
        <w:t>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sz w:val="32"/>
          <w:szCs w:val="32"/>
        </w:rPr>
      </w:pPr>
      <w:r>
        <w:rPr>
          <w:rFonts w:hint="eastAsia" w:ascii="仿宋_GB2312" w:eastAsia="仿宋_GB2312" w:cs="Times New Roman"/>
          <w:kern w:val="2"/>
          <w:sz w:val="32"/>
          <w:szCs w:val="32"/>
          <w:lang w:val="en-US" w:eastAsia="zh-CN" w:bidi="ar"/>
        </w:rPr>
        <w:t>2022年</w:t>
      </w:r>
      <w:r>
        <w:rPr>
          <w:rFonts w:hint="default" w:ascii="仿宋_GB2312" w:hAnsi="Times New Roman" w:eastAsia="仿宋_GB2312" w:cs="仿宋_GB2312"/>
          <w:kern w:val="2"/>
          <w:sz w:val="32"/>
          <w:szCs w:val="32"/>
          <w:lang w:val="en-US" w:eastAsia="zh-CN" w:bidi="ar"/>
        </w:rPr>
        <w:t>本年支出合计</w:t>
      </w:r>
      <w:r>
        <w:rPr>
          <w:rFonts w:hint="eastAsia" w:ascii="仿宋_GB2312" w:eastAsia="仿宋_GB2312" w:cs="仿宋_GB2312"/>
          <w:kern w:val="2"/>
          <w:sz w:val="32"/>
          <w:szCs w:val="32"/>
          <w:lang w:val="en-US" w:eastAsia="zh-CN" w:bidi="ar"/>
        </w:rPr>
        <w:t>303.68万</w:t>
      </w:r>
      <w:r>
        <w:rPr>
          <w:rFonts w:hint="default" w:ascii="仿宋_GB2312" w:hAnsi="Times New Roman" w:eastAsia="仿宋_GB2312" w:cs="仿宋_GB2312"/>
          <w:kern w:val="2"/>
          <w:sz w:val="32"/>
          <w:szCs w:val="32"/>
          <w:lang w:val="en-US" w:eastAsia="zh-CN" w:bidi="ar"/>
        </w:rPr>
        <w:t>元</w:t>
      </w:r>
      <w:r>
        <w:rPr>
          <w:rFonts w:hint="eastAsia" w:ascii="仿宋_GB2312" w:eastAsia="仿宋_GB2312"/>
          <w:sz w:val="32"/>
          <w:szCs w:val="32"/>
        </w:rPr>
        <w:t>，其中：基本支出298.90万元，占98.43%；项目支出4.78万元，占</w:t>
      </w:r>
      <w:r>
        <w:rPr>
          <w:rFonts w:hint="eastAsia" w:ascii="仿宋_GB2312" w:eastAsia="仿宋_GB2312"/>
          <w:sz w:val="32"/>
          <w:szCs w:val="32"/>
          <w:lang w:val="en-US" w:eastAsia="zh-CN"/>
        </w:rPr>
        <w:t>1.57</w:t>
      </w:r>
      <w:r>
        <w:rPr>
          <w:rFonts w:ascii="仿宋_GB2312" w:eastAsia="仿宋_GB2312"/>
          <w:sz w:val="32"/>
          <w:szCs w:val="32"/>
        </w:rPr>
        <w:t>%</w:t>
      </w:r>
      <w:r>
        <w:rPr>
          <w:rFonts w:hint="eastAsia" w:ascii="仿宋_GB2312" w:eastAsia="仿宋_GB2312"/>
          <w:sz w:val="32"/>
          <w:szCs w:val="32"/>
        </w:rPr>
        <w:t>；上缴上级支出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；经营支出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；对附属单位补助支出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rPr>
          <w:rFonts w:hint="eastAsia" w:ascii="仿宋_GB2312" w:eastAsia="仿宋_GB2312"/>
          <w:sz w:val="32"/>
          <w:szCs w:val="32"/>
        </w:rPr>
      </w:pPr>
    </w:p>
    <w:p>
      <w:pPr>
        <w:pStyle w:val="21"/>
        <w:jc w:val="center"/>
        <w:rPr>
          <w:rFonts w:ascii="仿宋" w:hAnsi="仿宋" w:eastAsia="仿宋"/>
          <w:color w:val="000000"/>
          <w:sz w:val="32"/>
          <w:szCs w:val="32"/>
          <w:shd w:val="pct10" w:color="auto" w:fill="FFFFFF"/>
        </w:rPr>
      </w:pPr>
      <w:r>
        <w:drawing>
          <wp:inline distT="0" distB="0" distL="114300" distR="114300">
            <wp:extent cx="4138295" cy="2239645"/>
            <wp:effectExtent l="4445" t="4445" r="10160" b="22860"/>
            <wp:docPr id="133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ageBreakBefore w:val="0"/>
        <w:widowControl w:val="0"/>
        <w:kinsoku/>
        <w:wordWrap/>
        <w:overflowPunct/>
        <w:topLinePunct w:val="0"/>
        <w:bidi w:val="0"/>
        <w:spacing w:line="560" w:lineRule="exact"/>
        <w:ind w:firstLine="640" w:firstLineChars="200"/>
        <w:jc w:val="center"/>
        <w:textAlignment w:val="auto"/>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pPr>
        <w:pageBreakBefore w:val="0"/>
        <w:widowControl w:val="0"/>
        <w:kinsoku/>
        <w:wordWrap/>
        <w:overflowPunct/>
        <w:topLinePunct w:val="0"/>
        <w:bidi w:val="0"/>
        <w:spacing w:line="560" w:lineRule="exact"/>
        <w:ind w:firstLine="640" w:firstLineChars="200"/>
        <w:textAlignment w:val="auto"/>
        <w:rPr>
          <w:rFonts w:ascii="仿宋_GB2312" w:eastAsia="仿宋_GB2312"/>
          <w:color w:val="FF0000"/>
          <w:sz w:val="32"/>
          <w:szCs w:val="32"/>
        </w:rPr>
      </w:pPr>
    </w:p>
    <w:p>
      <w:pPr>
        <w:pageBreakBefore w:val="0"/>
        <w:widowControl w:val="0"/>
        <w:kinsoku/>
        <w:wordWrap/>
        <w:overflowPunct/>
        <w:topLinePunct w:val="0"/>
        <w:bidi w:val="0"/>
        <w:spacing w:line="560" w:lineRule="exact"/>
        <w:ind w:firstLine="640" w:firstLineChars="200"/>
        <w:textAlignment w:val="auto"/>
        <w:outlineLvl w:val="1"/>
        <w:rPr>
          <w:rStyle w:val="28"/>
          <w:rFonts w:ascii="黑体" w:hAnsi="黑体" w:eastAsia="黑体"/>
          <w:b w:val="0"/>
        </w:rPr>
      </w:pPr>
      <w:bookmarkStart w:id="35" w:name="_Toc15396606"/>
      <w:bookmarkStart w:id="36" w:name="_Toc79163863"/>
      <w:bookmarkStart w:id="37" w:name="_Toc79163613"/>
      <w:bookmarkStart w:id="38" w:name="_Toc15377208"/>
      <w:r>
        <w:rPr>
          <w:rFonts w:hint="eastAsia" w:ascii="黑体" w:hAnsi="黑体" w:eastAsia="黑体"/>
          <w:color w:val="000000"/>
          <w:sz w:val="32"/>
          <w:szCs w:val="32"/>
        </w:rPr>
        <w:t>四、财</w:t>
      </w:r>
      <w:r>
        <w:rPr>
          <w:rStyle w:val="28"/>
          <w:rFonts w:hint="eastAsia" w:ascii="黑体" w:hAnsi="黑体" w:eastAsia="黑体"/>
          <w:b w:val="0"/>
        </w:rPr>
        <w:t>政拨款收入支出决算总体情况说明</w:t>
      </w:r>
      <w:bookmarkEnd w:id="35"/>
      <w:bookmarkEnd w:id="36"/>
      <w:bookmarkEnd w:id="37"/>
      <w:bookmarkEnd w:id="38"/>
    </w:p>
    <w:p>
      <w:pPr>
        <w:pageBreakBefore w:val="0"/>
        <w:widowControl w:val="0"/>
        <w:kinsoku/>
        <w:wordWrap/>
        <w:overflowPunct/>
        <w:topLinePunct w:val="0"/>
        <w:bidi w:val="0"/>
        <w:spacing w:line="560" w:lineRule="exact"/>
        <w:ind w:firstLine="640"/>
        <w:textAlignment w:val="auto"/>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2022年</w:t>
      </w:r>
      <w:r>
        <w:rPr>
          <w:rFonts w:hint="eastAsia" w:ascii="仿宋" w:hAnsi="仿宋" w:eastAsia="仿宋"/>
          <w:color w:val="000000"/>
          <w:sz w:val="32"/>
          <w:szCs w:val="32"/>
        </w:rPr>
        <w:t>财政拨款</w:t>
      </w:r>
      <w:r>
        <w:rPr>
          <w:rFonts w:hint="eastAsia" w:ascii="仿宋" w:hAnsi="仿宋" w:eastAsia="仿宋"/>
          <w:color w:val="000000"/>
          <w:sz w:val="32"/>
          <w:szCs w:val="32"/>
          <w:lang w:eastAsia="zh-CN"/>
        </w:rPr>
        <w:t>收入</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 xml:space="preserve">290.63万元，与2021年相比，减少2.99万元，下降1.02%。主要变动原因：本年度业务减少,相关经费减少; </w:t>
      </w:r>
      <w:r>
        <w:rPr>
          <w:rFonts w:hint="eastAsia" w:ascii="仿宋" w:hAnsi="仿宋" w:eastAsia="仿宋"/>
          <w:color w:val="000000"/>
          <w:sz w:val="32"/>
          <w:szCs w:val="32"/>
        </w:rPr>
        <w:t xml:space="preserve"> </w:t>
      </w:r>
      <w:r>
        <w:rPr>
          <w:rFonts w:hint="eastAsia" w:ascii="仿宋" w:hAnsi="仿宋" w:eastAsia="仿宋"/>
          <w:color w:val="000000"/>
          <w:sz w:val="32"/>
          <w:szCs w:val="32"/>
          <w:lang w:eastAsia="zh-CN"/>
        </w:rPr>
        <w:t>2022年</w:t>
      </w:r>
      <w:r>
        <w:rPr>
          <w:rFonts w:hint="eastAsia" w:ascii="仿宋" w:hAnsi="仿宋" w:eastAsia="仿宋"/>
          <w:color w:val="000000"/>
          <w:sz w:val="32"/>
          <w:szCs w:val="32"/>
        </w:rPr>
        <w:t>财政拨款支出总计</w:t>
      </w:r>
      <w:r>
        <w:rPr>
          <w:rFonts w:hint="eastAsia" w:ascii="仿宋" w:hAnsi="仿宋" w:eastAsia="仿宋"/>
          <w:color w:val="000000"/>
          <w:sz w:val="32"/>
          <w:szCs w:val="32"/>
          <w:lang w:val="en-US" w:eastAsia="zh-CN"/>
        </w:rPr>
        <w:t>303.68万元。与2021年相比，减少45.66万元，下降13.07%。主要变动原因:本年度项目减少,项目支出减少</w:t>
      </w:r>
      <w:r>
        <w:rPr>
          <w:rFonts w:hint="eastAsia" w:ascii="仿宋" w:hAnsi="仿宋" w:eastAsia="仿宋"/>
          <w:color w:val="000000"/>
          <w:sz w:val="32"/>
          <w:szCs w:val="32"/>
          <w:lang w:eastAsia="zh-CN"/>
        </w:rPr>
        <w:t>。</w:t>
      </w:r>
    </w:p>
    <w:p>
      <w:pPr>
        <w:pStyle w:val="21"/>
        <w:jc w:val="center"/>
        <w:rPr>
          <w:rFonts w:ascii="仿宋" w:hAnsi="仿宋" w:eastAsia="仿宋"/>
          <w:color w:val="000000"/>
          <w:sz w:val="32"/>
          <w:szCs w:val="32"/>
        </w:rPr>
      </w:pPr>
      <w:r>
        <w:drawing>
          <wp:inline distT="0" distB="0" distL="114300" distR="114300">
            <wp:extent cx="4335780" cy="2461260"/>
            <wp:effectExtent l="4445" t="5080" r="22225" b="10160"/>
            <wp:docPr id="1338"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drawing>
          <wp:inline distT="0" distB="0" distL="114300" distR="114300">
            <wp:extent cx="4412615" cy="2374265"/>
            <wp:effectExtent l="4445" t="4445" r="21590" b="21590"/>
            <wp:docPr id="1339"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ageBreakBefore w:val="0"/>
        <w:widowControl w:val="0"/>
        <w:kinsoku/>
        <w:wordWrap/>
        <w:overflowPunct/>
        <w:topLinePunct w:val="0"/>
        <w:bidi w:val="0"/>
        <w:spacing w:line="560" w:lineRule="exact"/>
        <w:ind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pPr>
        <w:pageBreakBefore w:val="0"/>
        <w:widowControl w:val="0"/>
        <w:kinsoku/>
        <w:wordWrap/>
        <w:overflowPunct/>
        <w:topLinePunct w:val="0"/>
        <w:bidi w:val="0"/>
        <w:spacing w:line="560" w:lineRule="exact"/>
        <w:ind w:firstLine="640"/>
        <w:textAlignment w:val="auto"/>
        <w:rPr>
          <w:rFonts w:ascii="仿宋" w:hAnsi="仿宋" w:eastAsia="仿宋"/>
          <w:b/>
          <w:color w:val="00B050"/>
          <w:sz w:val="32"/>
          <w:szCs w:val="32"/>
        </w:rPr>
      </w:pPr>
    </w:p>
    <w:p>
      <w:pPr>
        <w:pageBreakBefore w:val="0"/>
        <w:widowControl w:val="0"/>
        <w:kinsoku/>
        <w:wordWrap/>
        <w:overflowPunct/>
        <w:topLinePunct w:val="0"/>
        <w:bidi w:val="0"/>
        <w:spacing w:line="560" w:lineRule="exact"/>
        <w:ind w:firstLine="640" w:firstLineChars="200"/>
        <w:textAlignment w:val="auto"/>
        <w:outlineLvl w:val="1"/>
        <w:rPr>
          <w:rStyle w:val="28"/>
          <w:rFonts w:ascii="黑体" w:hAnsi="黑体" w:eastAsia="黑体"/>
          <w:b w:val="0"/>
        </w:rPr>
      </w:pPr>
      <w:bookmarkStart w:id="39" w:name="_Toc79163864"/>
      <w:bookmarkStart w:id="40" w:name="_Toc79163614"/>
      <w:bookmarkStart w:id="41" w:name="_Toc15377209"/>
      <w:bookmarkStart w:id="42"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8"/>
          <w:rFonts w:hint="eastAsia" w:ascii="黑体" w:hAnsi="黑体" w:eastAsia="黑体"/>
          <w:b w:val="0"/>
        </w:rPr>
        <w:t>般公共预算财政拨款支出决算情况说明</w:t>
      </w:r>
      <w:bookmarkEnd w:id="39"/>
      <w:bookmarkEnd w:id="40"/>
      <w:bookmarkEnd w:id="41"/>
      <w:bookmarkEnd w:id="42"/>
    </w:p>
    <w:p>
      <w:pPr>
        <w:pageBreakBefore w:val="0"/>
        <w:widowControl w:val="0"/>
        <w:kinsoku/>
        <w:wordWrap/>
        <w:overflowPunct/>
        <w:topLinePunct w:val="0"/>
        <w:bidi w:val="0"/>
        <w:spacing w:line="560" w:lineRule="exact"/>
        <w:ind w:firstLine="643" w:firstLineChars="200"/>
        <w:textAlignment w:val="auto"/>
        <w:outlineLvl w:val="2"/>
        <w:rPr>
          <w:rFonts w:ascii="仿宋" w:hAnsi="仿宋" w:eastAsia="仿宋"/>
          <w:b/>
          <w:color w:val="000000"/>
          <w:sz w:val="32"/>
          <w:szCs w:val="32"/>
        </w:rPr>
      </w:pPr>
      <w:bookmarkStart w:id="43" w:name="_Toc15377210"/>
      <w:bookmarkStart w:id="44" w:name="_Toc79163865"/>
      <w:bookmarkStart w:id="45" w:name="_Toc79163615"/>
      <w:r>
        <w:rPr>
          <w:rFonts w:hint="eastAsia" w:ascii="仿宋" w:hAnsi="仿宋" w:eastAsia="仿宋"/>
          <w:b/>
          <w:color w:val="000000"/>
          <w:sz w:val="32"/>
          <w:szCs w:val="32"/>
        </w:rPr>
        <w:t>（一）一般公共预算财政拨款支出决算总体情况</w:t>
      </w:r>
      <w:bookmarkEnd w:id="43"/>
      <w:bookmarkEnd w:id="44"/>
      <w:bookmarkEnd w:id="45"/>
    </w:p>
    <w:p>
      <w:pPr>
        <w:pageBreakBefore w:val="0"/>
        <w:widowControl w:val="0"/>
        <w:kinsoku/>
        <w:wordWrap/>
        <w:overflowPunct/>
        <w:topLinePunct w:val="0"/>
        <w:bidi w:val="0"/>
        <w:spacing w:line="560" w:lineRule="exact"/>
        <w:ind w:firstLine="640" w:firstLineChars="200"/>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eastAsia="zh-CN"/>
        </w:rPr>
        <w:t>2022年</w:t>
      </w:r>
      <w:r>
        <w:rPr>
          <w:rFonts w:hint="eastAsia" w:ascii="仿宋" w:hAnsi="仿宋" w:eastAsia="仿宋"/>
          <w:color w:val="000000"/>
          <w:sz w:val="32"/>
          <w:szCs w:val="32"/>
        </w:rPr>
        <w:t>一般公共预算财政拨款支出</w:t>
      </w:r>
      <w:r>
        <w:rPr>
          <w:rFonts w:hint="eastAsia" w:ascii="仿宋" w:hAnsi="仿宋" w:eastAsia="仿宋"/>
          <w:color w:val="000000"/>
          <w:sz w:val="32"/>
          <w:szCs w:val="32"/>
          <w:lang w:val="en-US" w:eastAsia="zh-CN"/>
        </w:rPr>
        <w:t>303.68万</w:t>
      </w:r>
      <w:r>
        <w:rPr>
          <w:rFonts w:hint="eastAsia" w:ascii="仿宋" w:hAnsi="仿宋" w:eastAsia="仿宋"/>
          <w:color w:val="000000"/>
          <w:sz w:val="32"/>
          <w:szCs w:val="32"/>
        </w:rPr>
        <w:t>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hint="eastAsia" w:ascii="仿宋" w:hAnsi="仿宋" w:eastAsia="仿宋"/>
          <w:color w:val="000000"/>
          <w:sz w:val="32"/>
          <w:szCs w:val="32"/>
          <w:lang w:eastAsia="zh-CN"/>
        </w:rPr>
        <w:t>2021年</w:t>
      </w:r>
      <w:r>
        <w:rPr>
          <w:rFonts w:hint="eastAsia" w:ascii="仿宋" w:hAnsi="仿宋" w:eastAsia="仿宋"/>
          <w:color w:val="000000"/>
          <w:sz w:val="32"/>
          <w:szCs w:val="32"/>
        </w:rPr>
        <w:t>相比，一般公共预算财政拨款</w:t>
      </w:r>
      <w:r>
        <w:rPr>
          <w:rFonts w:hint="eastAsia" w:ascii="仿宋" w:hAnsi="仿宋" w:eastAsia="仿宋"/>
          <w:color w:val="000000"/>
          <w:sz w:val="32"/>
          <w:szCs w:val="32"/>
          <w:lang w:val="en-US" w:eastAsia="zh-CN"/>
        </w:rPr>
        <w:t>减少45.66万元，下降13.07%。主要变动原因:本年度项目减少,项目支出减少。</w:t>
      </w:r>
    </w:p>
    <w:p>
      <w:pPr>
        <w:jc w:val="center"/>
        <w:rPr>
          <w:rFonts w:ascii="仿宋" w:hAnsi="仿宋" w:eastAsia="仿宋"/>
          <w:color w:val="000000"/>
          <w:sz w:val="32"/>
          <w:szCs w:val="32"/>
        </w:rPr>
      </w:pPr>
      <w:r>
        <w:drawing>
          <wp:inline distT="0" distB="0" distL="114300" distR="114300">
            <wp:extent cx="4525645" cy="2360930"/>
            <wp:effectExtent l="4445" t="5080" r="22860" b="15240"/>
            <wp:docPr id="1340"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ageBreakBefore w:val="0"/>
        <w:widowControl w:val="0"/>
        <w:kinsoku/>
        <w:wordWrap/>
        <w:overflowPunct/>
        <w:topLinePunct w:val="0"/>
        <w:bidi w:val="0"/>
        <w:spacing w:line="560" w:lineRule="exact"/>
        <w:textAlignment w:val="auto"/>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pPr>
        <w:pageBreakBefore w:val="0"/>
        <w:widowControl w:val="0"/>
        <w:kinsoku/>
        <w:wordWrap/>
        <w:overflowPunct/>
        <w:topLinePunct w:val="0"/>
        <w:bidi w:val="0"/>
        <w:spacing w:line="560" w:lineRule="exact"/>
        <w:ind w:firstLine="640" w:firstLineChars="200"/>
        <w:textAlignment w:val="auto"/>
        <w:rPr>
          <w:rFonts w:ascii="仿宋" w:hAnsi="仿宋" w:eastAsia="仿宋"/>
          <w:color w:val="000000"/>
          <w:sz w:val="32"/>
          <w:szCs w:val="32"/>
        </w:rPr>
      </w:pPr>
    </w:p>
    <w:p>
      <w:pPr>
        <w:pageBreakBefore w:val="0"/>
        <w:widowControl w:val="0"/>
        <w:kinsoku/>
        <w:wordWrap/>
        <w:overflowPunct/>
        <w:topLinePunct w:val="0"/>
        <w:bidi w:val="0"/>
        <w:spacing w:line="560" w:lineRule="exact"/>
        <w:ind w:firstLine="643" w:firstLineChars="200"/>
        <w:textAlignment w:val="auto"/>
        <w:outlineLvl w:val="2"/>
        <w:rPr>
          <w:rFonts w:ascii="仿宋" w:hAnsi="仿宋" w:eastAsia="仿宋"/>
          <w:b/>
          <w:color w:val="000000"/>
          <w:sz w:val="32"/>
          <w:szCs w:val="32"/>
        </w:rPr>
      </w:pPr>
      <w:bookmarkStart w:id="46" w:name="_Toc15377211"/>
      <w:bookmarkStart w:id="47" w:name="_Toc79163866"/>
      <w:bookmarkStart w:id="48" w:name="_Toc79163616"/>
      <w:r>
        <w:rPr>
          <w:rFonts w:hint="eastAsia" w:ascii="仿宋" w:hAnsi="仿宋" w:eastAsia="仿宋"/>
          <w:b/>
          <w:color w:val="000000"/>
          <w:sz w:val="32"/>
          <w:szCs w:val="32"/>
        </w:rPr>
        <w:t>（二）一般公共预算财政拨款支出决算结构情况</w:t>
      </w:r>
      <w:bookmarkEnd w:id="46"/>
      <w:bookmarkEnd w:id="47"/>
      <w:bookmarkEnd w:id="48"/>
    </w:p>
    <w:p>
      <w:pPr>
        <w:pageBreakBefore w:val="0"/>
        <w:widowControl w:val="0"/>
        <w:kinsoku/>
        <w:wordWrap/>
        <w:overflowPunct/>
        <w:topLinePunct w:val="0"/>
        <w:bidi w:val="0"/>
        <w:spacing w:line="560" w:lineRule="exact"/>
        <w:ind w:firstLine="640"/>
        <w:textAlignment w:val="auto"/>
        <w:rPr>
          <w:rFonts w:hint="eastAsia" w:ascii="仿宋" w:hAnsi="仿宋" w:eastAsia="仿宋"/>
          <w:b/>
          <w:color w:val="000000"/>
          <w:sz w:val="32"/>
          <w:szCs w:val="32"/>
        </w:rPr>
      </w:pPr>
      <w:r>
        <w:rPr>
          <w:rFonts w:hint="eastAsia" w:ascii="仿宋" w:hAnsi="仿宋" w:eastAsia="仿宋"/>
          <w:color w:val="000000"/>
          <w:sz w:val="32"/>
          <w:szCs w:val="32"/>
          <w:lang w:eastAsia="zh-CN"/>
        </w:rPr>
        <w:t>2022年</w:t>
      </w:r>
      <w:r>
        <w:rPr>
          <w:rFonts w:hint="eastAsia" w:ascii="仿宋" w:hAnsi="仿宋" w:eastAsia="仿宋"/>
          <w:color w:val="000000"/>
          <w:sz w:val="32"/>
          <w:szCs w:val="32"/>
        </w:rPr>
        <w:t>一般公共预算财政拨款支出</w:t>
      </w:r>
      <w:r>
        <w:rPr>
          <w:rFonts w:hint="eastAsia" w:ascii="仿宋" w:hAnsi="仿宋" w:eastAsia="仿宋"/>
          <w:color w:val="000000"/>
          <w:sz w:val="32"/>
          <w:szCs w:val="32"/>
          <w:lang w:val="en-US" w:eastAsia="zh-CN"/>
        </w:rPr>
        <w:t>303.68万</w:t>
      </w:r>
      <w:r>
        <w:rPr>
          <w:rFonts w:hint="eastAsia" w:ascii="仿宋" w:hAnsi="仿宋" w:eastAsia="仿宋"/>
          <w:color w:val="000000"/>
          <w:sz w:val="32"/>
          <w:szCs w:val="32"/>
        </w:rPr>
        <w:t>元，主要用于以下方面</w:t>
      </w:r>
      <w:r>
        <w:rPr>
          <w:rFonts w:ascii="仿宋" w:hAnsi="仿宋" w:eastAsia="仿宋"/>
          <w:color w:val="000000"/>
          <w:sz w:val="32"/>
          <w:szCs w:val="32"/>
        </w:rPr>
        <w:t>:</w:t>
      </w:r>
      <w:r>
        <w:rPr>
          <w:rFonts w:hint="eastAsia" w:ascii="仿宋" w:hAnsi="仿宋" w:eastAsia="仿宋"/>
          <w:b/>
          <w:color w:val="000000"/>
          <w:sz w:val="32"/>
          <w:szCs w:val="32"/>
        </w:rPr>
        <w:t>教育支出</w:t>
      </w:r>
      <w:r>
        <w:rPr>
          <w:rFonts w:hint="eastAsia" w:ascii="仿宋" w:hAnsi="仿宋" w:eastAsia="仿宋"/>
          <w:color w:val="000000"/>
          <w:sz w:val="32"/>
          <w:szCs w:val="32"/>
        </w:rPr>
        <w:t>233.33万元，占76.84%；</w:t>
      </w:r>
      <w:r>
        <w:rPr>
          <w:rFonts w:hint="eastAsia" w:ascii="仿宋" w:hAnsi="仿宋" w:eastAsia="仿宋"/>
          <w:b/>
          <w:color w:val="000000"/>
          <w:sz w:val="32"/>
          <w:szCs w:val="32"/>
        </w:rPr>
        <w:t>社会保障和就业</w:t>
      </w:r>
      <w:r>
        <w:rPr>
          <w:rFonts w:hint="eastAsia" w:ascii="仿宋" w:hAnsi="仿宋" w:eastAsia="仿宋"/>
          <w:color w:val="000000"/>
          <w:sz w:val="32"/>
          <w:szCs w:val="32"/>
        </w:rPr>
        <w:t>支出37.83万元，占12.46%；</w:t>
      </w:r>
      <w:r>
        <w:rPr>
          <w:rFonts w:hint="eastAsia" w:ascii="仿宋" w:hAnsi="仿宋" w:eastAsia="仿宋"/>
          <w:b/>
          <w:bCs/>
          <w:color w:val="000000"/>
          <w:sz w:val="32"/>
          <w:szCs w:val="32"/>
        </w:rPr>
        <w:t>卫生健康支出</w:t>
      </w:r>
      <w:r>
        <w:rPr>
          <w:rFonts w:hint="eastAsia" w:ascii="仿宋" w:hAnsi="仿宋" w:eastAsia="仿宋"/>
          <w:color w:val="000000"/>
          <w:sz w:val="32"/>
          <w:szCs w:val="32"/>
        </w:rPr>
        <w:t>13.36万元，占</w:t>
      </w:r>
      <w:r>
        <w:rPr>
          <w:rFonts w:hint="eastAsia" w:ascii="仿宋" w:hAnsi="仿宋" w:eastAsia="仿宋"/>
          <w:color w:val="000000"/>
          <w:sz w:val="32"/>
          <w:szCs w:val="32"/>
          <w:lang w:val="en-US" w:eastAsia="zh-CN"/>
        </w:rPr>
        <w:t>4.4%</w:t>
      </w:r>
      <w:r>
        <w:rPr>
          <w:rFonts w:hint="eastAsia" w:ascii="仿宋" w:hAnsi="仿宋" w:eastAsia="仿宋"/>
          <w:color w:val="000000"/>
          <w:sz w:val="32"/>
          <w:szCs w:val="32"/>
        </w:rPr>
        <w:t>；</w:t>
      </w:r>
      <w:r>
        <w:rPr>
          <w:rFonts w:hint="eastAsia" w:ascii="仿宋" w:hAnsi="仿宋" w:eastAsia="仿宋"/>
          <w:b/>
          <w:bCs/>
          <w:color w:val="000000"/>
          <w:sz w:val="32"/>
          <w:szCs w:val="32"/>
          <w:lang w:eastAsia="zh-CN"/>
        </w:rPr>
        <w:t>住房保障支出</w:t>
      </w:r>
      <w:r>
        <w:rPr>
          <w:rFonts w:hint="eastAsia" w:ascii="仿宋" w:hAnsi="仿宋" w:eastAsia="仿宋"/>
          <w:color w:val="000000"/>
          <w:sz w:val="32"/>
          <w:szCs w:val="32"/>
          <w:lang w:val="en-US" w:eastAsia="zh-CN"/>
        </w:rPr>
        <w:t>19.15</w:t>
      </w:r>
      <w:r>
        <w:rPr>
          <w:rFonts w:hint="eastAsia" w:ascii="仿宋" w:hAnsi="仿宋" w:eastAsia="仿宋"/>
          <w:color w:val="000000"/>
          <w:sz w:val="32"/>
          <w:szCs w:val="32"/>
          <w:lang w:eastAsia="zh-CN"/>
        </w:rPr>
        <w:t>万元，占6.31%。</w:t>
      </w:r>
    </w:p>
    <w:p>
      <w:pPr>
        <w:jc w:val="center"/>
        <w:rPr>
          <w:rFonts w:ascii="仿宋" w:hAnsi="仿宋" w:eastAsia="仿宋"/>
          <w:color w:val="000000"/>
          <w:sz w:val="32"/>
          <w:szCs w:val="32"/>
        </w:rPr>
      </w:pPr>
      <w:r>
        <w:drawing>
          <wp:inline distT="0" distB="0" distL="114300" distR="114300">
            <wp:extent cx="4466590" cy="2279650"/>
            <wp:effectExtent l="4445" t="4445" r="5715" b="20955"/>
            <wp:docPr id="1342"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ageBreakBefore w:val="0"/>
        <w:widowControl w:val="0"/>
        <w:kinsoku/>
        <w:wordWrap/>
        <w:overflowPunct/>
        <w:topLinePunct w:val="0"/>
        <w:bidi w:val="0"/>
        <w:spacing w:line="560" w:lineRule="exact"/>
        <w:textAlignment w:val="auto"/>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pPr>
        <w:pageBreakBefore w:val="0"/>
        <w:widowControl w:val="0"/>
        <w:kinsoku/>
        <w:wordWrap/>
        <w:overflowPunct/>
        <w:topLinePunct w:val="0"/>
        <w:bidi w:val="0"/>
        <w:spacing w:line="560" w:lineRule="exact"/>
        <w:ind w:firstLine="640" w:firstLineChars="200"/>
        <w:textAlignment w:val="auto"/>
        <w:rPr>
          <w:rFonts w:ascii="仿宋" w:hAnsi="仿宋" w:eastAsia="仿宋"/>
          <w:color w:val="000000"/>
          <w:sz w:val="32"/>
          <w:szCs w:val="32"/>
        </w:rPr>
      </w:pPr>
    </w:p>
    <w:p>
      <w:pPr>
        <w:pageBreakBefore w:val="0"/>
        <w:widowControl w:val="0"/>
        <w:kinsoku/>
        <w:wordWrap/>
        <w:overflowPunct/>
        <w:topLinePunct w:val="0"/>
        <w:bidi w:val="0"/>
        <w:spacing w:line="560" w:lineRule="exact"/>
        <w:ind w:firstLine="643" w:firstLineChars="200"/>
        <w:textAlignment w:val="auto"/>
        <w:outlineLvl w:val="2"/>
        <w:rPr>
          <w:rFonts w:ascii="仿宋" w:hAnsi="仿宋" w:eastAsia="仿宋"/>
          <w:b/>
          <w:color w:val="000000"/>
          <w:sz w:val="32"/>
          <w:szCs w:val="32"/>
        </w:rPr>
      </w:pPr>
      <w:bookmarkStart w:id="49" w:name="_Toc15377212"/>
      <w:bookmarkStart w:id="50" w:name="_Toc79163617"/>
      <w:bookmarkStart w:id="51" w:name="_Toc79163867"/>
      <w:r>
        <w:rPr>
          <w:rFonts w:hint="eastAsia" w:ascii="仿宋" w:hAnsi="仿宋" w:eastAsia="仿宋"/>
          <w:b/>
          <w:color w:val="000000"/>
          <w:sz w:val="32"/>
          <w:szCs w:val="32"/>
        </w:rPr>
        <w:t>（三）一般公共预算财政拨款支出决算具体情况</w:t>
      </w:r>
      <w:bookmarkEnd w:id="49"/>
      <w:bookmarkEnd w:id="50"/>
      <w:bookmarkEnd w:id="51"/>
    </w:p>
    <w:p>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eastAsia="仿宋_GB2312"/>
          <w:b/>
          <w:bCs/>
          <w:sz w:val="32"/>
          <w:szCs w:val="32"/>
        </w:rPr>
      </w:pPr>
      <w:bookmarkStart w:id="52" w:name="_Toc15378460"/>
      <w:bookmarkStart w:id="53" w:name="_Toc15377444"/>
      <w:bookmarkStart w:id="54" w:name="_Toc15377213"/>
      <w:r>
        <w:rPr>
          <w:rFonts w:hint="eastAsia" w:ascii="仿宋_GB2312" w:eastAsia="仿宋_GB2312"/>
          <w:b/>
          <w:bCs/>
          <w:sz w:val="32"/>
          <w:szCs w:val="32"/>
          <w:lang w:eastAsia="zh-CN"/>
        </w:rPr>
        <w:t>2022年</w:t>
      </w:r>
      <w:r>
        <w:rPr>
          <w:rFonts w:hint="eastAsia" w:ascii="仿宋_GB2312" w:eastAsia="仿宋_GB2312"/>
          <w:b/>
          <w:bCs/>
          <w:sz w:val="32"/>
          <w:szCs w:val="32"/>
        </w:rPr>
        <w:t>一般公共预算支出决算数为</w:t>
      </w:r>
      <w:r>
        <w:rPr>
          <w:rFonts w:hint="eastAsia" w:ascii="仿宋_GB2312" w:eastAsia="仿宋_GB2312"/>
          <w:b/>
          <w:bCs/>
          <w:sz w:val="32"/>
          <w:szCs w:val="32"/>
          <w:lang w:eastAsia="zh-CN"/>
        </w:rPr>
        <w:t>303.68万</w:t>
      </w:r>
      <w:r>
        <w:rPr>
          <w:rFonts w:hint="eastAsia" w:ascii="仿宋_GB2312" w:eastAsia="仿宋_GB2312"/>
          <w:b/>
          <w:bCs/>
          <w:sz w:val="32"/>
          <w:szCs w:val="32"/>
          <w:lang w:val="en-US" w:eastAsia="zh-CN"/>
        </w:rPr>
        <w:t>元</w:t>
      </w:r>
      <w:r>
        <w:rPr>
          <w:rFonts w:hint="eastAsia" w:ascii="仿宋_GB2312" w:eastAsia="仿宋_GB2312"/>
          <w:b/>
          <w:bCs/>
          <w:sz w:val="32"/>
          <w:szCs w:val="32"/>
        </w:rPr>
        <w:t>，完成预算</w:t>
      </w:r>
      <w:r>
        <w:rPr>
          <w:rFonts w:hint="eastAsia" w:ascii="仿宋_GB2312" w:eastAsia="仿宋_GB2312"/>
          <w:b/>
          <w:bCs/>
          <w:sz w:val="32"/>
          <w:szCs w:val="32"/>
          <w:lang w:val="en-US" w:eastAsia="zh-CN"/>
        </w:rPr>
        <w:t>100</w:t>
      </w:r>
      <w:r>
        <w:rPr>
          <w:rFonts w:ascii="仿宋_GB2312" w:eastAsia="仿宋_GB2312"/>
          <w:b/>
          <w:bCs/>
          <w:sz w:val="32"/>
          <w:szCs w:val="32"/>
        </w:rPr>
        <w:t>%</w:t>
      </w:r>
      <w:r>
        <w:rPr>
          <w:rFonts w:hint="eastAsia" w:ascii="仿宋_GB2312" w:eastAsia="仿宋_GB2312"/>
          <w:b/>
          <w:bCs/>
          <w:sz w:val="32"/>
          <w:szCs w:val="32"/>
        </w:rPr>
        <w:t>。其中：</w:t>
      </w:r>
      <w:bookmarkEnd w:id="52"/>
      <w:bookmarkEnd w:id="53"/>
      <w:bookmarkEnd w:id="54"/>
    </w:p>
    <w:p>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 w:hAnsi="仿宋" w:eastAsia="仿宋" w:cs="Times New Roman"/>
          <w:b/>
          <w:bCs w:val="0"/>
          <w:color w:val="000000"/>
          <w:kern w:val="2"/>
          <w:sz w:val="32"/>
          <w:szCs w:val="32"/>
        </w:rPr>
      </w:pPr>
      <w:r>
        <w:rPr>
          <w:rFonts w:hint="eastAsia" w:ascii="仿宋" w:hAnsi="仿宋" w:eastAsia="仿宋" w:cs="Times New Roman"/>
          <w:b/>
          <w:bCs/>
          <w:color w:val="000000"/>
          <w:kern w:val="2"/>
          <w:sz w:val="32"/>
          <w:szCs w:val="32"/>
          <w:lang w:val="en-US" w:eastAsia="zh-CN" w:bidi="ar"/>
        </w:rPr>
        <w:t>1.</w:t>
      </w:r>
      <w:r>
        <w:rPr>
          <w:rFonts w:hint="eastAsia" w:ascii="仿宋" w:hAnsi="仿宋" w:eastAsia="仿宋" w:cs="仿宋"/>
          <w:b/>
          <w:bCs/>
          <w:color w:val="000000"/>
          <w:kern w:val="2"/>
          <w:sz w:val="32"/>
          <w:szCs w:val="32"/>
          <w:lang w:val="en-US" w:eastAsia="zh-CN" w:bidi="ar"/>
        </w:rPr>
        <w:t>教育支出（类）进修及培训（款）干部教育（项）</w:t>
      </w:r>
      <w:r>
        <w:rPr>
          <w:rFonts w:hint="eastAsia" w:ascii="仿宋" w:hAnsi="仿宋" w:eastAsia="仿宋" w:cs="Times New Roman"/>
          <w:b/>
          <w:bCs/>
          <w:color w:val="000000"/>
          <w:kern w:val="2"/>
          <w:sz w:val="32"/>
          <w:szCs w:val="32"/>
          <w:lang w:val="en-US" w:eastAsia="zh-CN" w:bidi="ar"/>
        </w:rPr>
        <w:t>:</w:t>
      </w:r>
      <w:r>
        <w:rPr>
          <w:rFonts w:hint="eastAsia" w:ascii="仿宋" w:hAnsi="仿宋" w:eastAsia="仿宋" w:cs="Times New Roman"/>
          <w:b w:val="0"/>
          <w:bCs/>
          <w:color w:val="000000"/>
          <w:kern w:val="2"/>
          <w:sz w:val="32"/>
          <w:szCs w:val="32"/>
          <w:lang w:val="en-US" w:eastAsia="zh-CN" w:bidi="ar"/>
        </w:rPr>
        <w:t xml:space="preserve"> </w:t>
      </w:r>
      <w:r>
        <w:rPr>
          <w:rFonts w:hint="eastAsia" w:ascii="仿宋" w:hAnsi="仿宋" w:eastAsia="仿宋" w:cs="仿宋"/>
          <w:b w:val="0"/>
          <w:bCs/>
          <w:color w:val="000000"/>
          <w:kern w:val="2"/>
          <w:sz w:val="32"/>
          <w:szCs w:val="32"/>
          <w:lang w:val="en-US" w:eastAsia="zh-CN" w:bidi="ar"/>
        </w:rPr>
        <w:t>支出决算为233.33万元，完成预算100</w:t>
      </w:r>
      <w:r>
        <w:rPr>
          <w:rFonts w:hint="eastAsia" w:ascii="仿宋" w:hAnsi="仿宋" w:eastAsia="仿宋" w:cs="Times New Roman"/>
          <w:b w:val="0"/>
          <w:bCs/>
          <w:color w:val="000000"/>
          <w:kern w:val="2"/>
          <w:sz w:val="32"/>
          <w:szCs w:val="32"/>
          <w:lang w:val="en-US" w:eastAsia="zh-CN" w:bidi="ar"/>
        </w:rPr>
        <w:t>%</w:t>
      </w:r>
      <w:r>
        <w:rPr>
          <w:rFonts w:hint="eastAsia" w:ascii="仿宋" w:hAnsi="仿宋" w:eastAsia="仿宋" w:cs="仿宋"/>
          <w:b w:val="0"/>
          <w:bCs/>
          <w:color w:val="000000"/>
          <w:kern w:val="2"/>
          <w:sz w:val="32"/>
          <w:szCs w:val="32"/>
          <w:lang w:val="en-US" w:eastAsia="zh-CN" w:bidi="ar"/>
        </w:rPr>
        <w:t>。</w:t>
      </w:r>
    </w:p>
    <w:p>
      <w:pPr>
        <w:pageBreakBefore w:val="0"/>
        <w:widowControl w:val="0"/>
        <w:kinsoku/>
        <w:wordWrap/>
        <w:overflowPunct/>
        <w:topLinePunct w:val="0"/>
        <w:bidi w:val="0"/>
        <w:spacing w:line="560" w:lineRule="exact"/>
        <w:ind w:firstLine="643" w:firstLineChars="200"/>
        <w:textAlignment w:val="auto"/>
        <w:rPr>
          <w:rFonts w:ascii="仿宋" w:hAnsi="仿宋" w:eastAsia="仿宋"/>
          <w:b/>
          <w:color w:val="000000"/>
          <w:sz w:val="32"/>
          <w:szCs w:val="32"/>
        </w:rPr>
      </w:pPr>
      <w:r>
        <w:rPr>
          <w:rStyle w:val="24"/>
          <w:rFonts w:hint="eastAsia" w:ascii="仿宋" w:hAnsi="仿宋" w:eastAsia="仿宋"/>
          <w:bCs/>
          <w:color w:val="000000"/>
          <w:sz w:val="32"/>
          <w:szCs w:val="32"/>
          <w:lang w:val="en-US" w:eastAsia="zh-CN"/>
        </w:rPr>
        <w:t>2</w:t>
      </w:r>
      <w:r>
        <w:rPr>
          <w:rStyle w:val="24"/>
          <w:rFonts w:ascii="仿宋" w:hAnsi="仿宋" w:eastAsia="仿宋"/>
          <w:bCs/>
          <w:color w:val="000000"/>
          <w:sz w:val="32"/>
          <w:szCs w:val="32"/>
        </w:rPr>
        <w:t>.</w:t>
      </w:r>
      <w:r>
        <w:rPr>
          <w:rStyle w:val="24"/>
          <w:rFonts w:hint="eastAsia" w:ascii="仿宋" w:hAnsi="仿宋" w:eastAsia="仿宋"/>
          <w:bCs/>
          <w:color w:val="000000"/>
          <w:sz w:val="32"/>
          <w:szCs w:val="32"/>
        </w:rPr>
        <w:t>社会保障和就业支出（类）行政事业单位养老支出（款）机关事业单位基本养老保险缴费支出（项）</w:t>
      </w:r>
      <w:r>
        <w:rPr>
          <w:rStyle w:val="24"/>
          <w:rFonts w:ascii="仿宋" w:hAnsi="仿宋" w:eastAsia="仿宋"/>
          <w:bCs/>
          <w:color w:val="000000"/>
          <w:sz w:val="32"/>
          <w:szCs w:val="32"/>
        </w:rPr>
        <w:t>:</w:t>
      </w:r>
      <w:r>
        <w:rPr>
          <w:rStyle w:val="24"/>
          <w:rFonts w:ascii="仿宋" w:hAnsi="仿宋" w:eastAsia="仿宋"/>
          <w:b w:val="0"/>
          <w:bCs/>
          <w:color w:val="000000"/>
          <w:sz w:val="32"/>
          <w:szCs w:val="32"/>
        </w:rPr>
        <w:t xml:space="preserve"> </w:t>
      </w:r>
      <w:r>
        <w:rPr>
          <w:rStyle w:val="24"/>
          <w:rFonts w:hint="eastAsia" w:ascii="仿宋" w:hAnsi="仿宋" w:eastAsia="仿宋"/>
          <w:b w:val="0"/>
          <w:bCs/>
          <w:color w:val="000000"/>
          <w:sz w:val="32"/>
          <w:szCs w:val="32"/>
        </w:rPr>
        <w:t>支出决算为22.47万元，完成预算</w:t>
      </w:r>
      <w:r>
        <w:rPr>
          <w:rStyle w:val="24"/>
          <w:rFonts w:hint="eastAsia" w:ascii="仿宋" w:hAnsi="仿宋" w:eastAsia="仿宋"/>
          <w:b w:val="0"/>
          <w:bCs/>
          <w:color w:val="000000"/>
          <w:sz w:val="32"/>
          <w:szCs w:val="32"/>
          <w:lang w:val="en-US" w:eastAsia="zh-CN"/>
        </w:rPr>
        <w:t>100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w:t>
      </w:r>
    </w:p>
    <w:p>
      <w:pPr>
        <w:spacing w:beforeLines="0" w:afterLines="0" w:line="560" w:lineRule="exact"/>
        <w:ind w:firstLine="643" w:firstLineChars="200"/>
        <w:rPr>
          <w:rStyle w:val="24"/>
          <w:rFonts w:hint="eastAsia" w:ascii="仿宋" w:hAnsi="仿宋" w:eastAsia="仿宋"/>
          <w:b w:val="0"/>
          <w:bCs/>
          <w:color w:val="000000"/>
          <w:sz w:val="32"/>
          <w:szCs w:val="32"/>
        </w:rPr>
      </w:pPr>
      <w:r>
        <w:rPr>
          <w:rStyle w:val="24"/>
          <w:rFonts w:hint="eastAsia" w:ascii="仿宋" w:hAnsi="仿宋" w:eastAsia="仿宋"/>
          <w:bCs/>
          <w:color w:val="000000"/>
          <w:sz w:val="32"/>
          <w:szCs w:val="32"/>
          <w:lang w:val="en-US" w:eastAsia="zh-CN"/>
        </w:rPr>
        <w:t>3</w:t>
      </w:r>
      <w:r>
        <w:rPr>
          <w:rStyle w:val="24"/>
          <w:rFonts w:ascii="仿宋" w:hAnsi="仿宋" w:eastAsia="仿宋"/>
          <w:bCs/>
          <w:color w:val="000000"/>
          <w:sz w:val="32"/>
          <w:szCs w:val="32"/>
        </w:rPr>
        <w:t>.</w:t>
      </w:r>
      <w:r>
        <w:rPr>
          <w:rFonts w:hint="eastAsia" w:ascii="仿宋" w:hAnsi="仿宋" w:eastAsia="仿宋"/>
          <w:b/>
          <w:bCs/>
          <w:color w:val="000000"/>
          <w:sz w:val="32"/>
          <w:szCs w:val="32"/>
        </w:rPr>
        <w:t>社会保障和就业支出（类）行政事业单位养老支出（款）机关事业单位职业年金缴费支出（项）</w:t>
      </w:r>
      <w:r>
        <w:rPr>
          <w:rStyle w:val="24"/>
          <w:rFonts w:ascii="仿宋" w:hAnsi="仿宋" w:eastAsia="仿宋"/>
          <w:bCs/>
          <w:color w:val="000000"/>
          <w:sz w:val="32"/>
          <w:szCs w:val="32"/>
        </w:rPr>
        <w:t>:</w:t>
      </w:r>
      <w:r>
        <w:rPr>
          <w:rStyle w:val="24"/>
          <w:rFonts w:hint="eastAsia" w:ascii="仿宋" w:hAnsi="仿宋" w:eastAsia="仿宋"/>
          <w:b w:val="0"/>
          <w:bCs/>
          <w:color w:val="000000"/>
          <w:sz w:val="32"/>
          <w:szCs w:val="32"/>
        </w:rPr>
        <w:t>支出决算为10.58万元，完成预算</w:t>
      </w:r>
      <w:r>
        <w:rPr>
          <w:rStyle w:val="24"/>
          <w:rFonts w:hint="eastAsia" w:ascii="仿宋" w:hAnsi="仿宋" w:eastAsia="仿宋"/>
          <w:b w:val="0"/>
          <w:bCs/>
          <w:color w:val="000000"/>
          <w:sz w:val="32"/>
          <w:szCs w:val="32"/>
          <w:lang w:val="en-US" w:eastAsia="zh-CN"/>
        </w:rPr>
        <w:t>100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w:t>
      </w:r>
    </w:p>
    <w:p>
      <w:pPr>
        <w:spacing w:beforeLines="0" w:afterLines="0" w:line="560" w:lineRule="exact"/>
        <w:ind w:firstLine="643" w:firstLineChars="200"/>
        <w:rPr>
          <w:rStyle w:val="24"/>
          <w:rFonts w:hint="eastAsia" w:ascii="仿宋" w:hAnsi="仿宋" w:eastAsia="仿宋"/>
          <w:b w:val="0"/>
          <w:bCs/>
          <w:color w:val="000000"/>
          <w:sz w:val="32"/>
          <w:szCs w:val="32"/>
        </w:rPr>
      </w:pPr>
      <w:r>
        <w:rPr>
          <w:rStyle w:val="24"/>
          <w:rFonts w:hint="eastAsia" w:ascii="仿宋" w:hAnsi="仿宋" w:eastAsia="仿宋"/>
          <w:bCs/>
          <w:color w:val="000000"/>
          <w:sz w:val="32"/>
          <w:szCs w:val="32"/>
          <w:lang w:val="en-US" w:eastAsia="zh-CN"/>
        </w:rPr>
        <w:t>4</w:t>
      </w:r>
      <w:r>
        <w:rPr>
          <w:rStyle w:val="24"/>
          <w:rFonts w:ascii="仿宋" w:hAnsi="仿宋" w:eastAsia="仿宋"/>
          <w:bCs/>
          <w:color w:val="000000"/>
          <w:sz w:val="32"/>
          <w:szCs w:val="32"/>
        </w:rPr>
        <w:t>.</w:t>
      </w:r>
      <w:r>
        <w:rPr>
          <w:rFonts w:hint="eastAsia" w:ascii="仿宋" w:hAnsi="仿宋" w:eastAsia="仿宋"/>
          <w:b/>
          <w:bCs/>
          <w:color w:val="000000"/>
          <w:sz w:val="32"/>
          <w:szCs w:val="32"/>
        </w:rPr>
        <w:t>社会保障和就业支出（类）抚恤（款）死亡抚恤（项）</w:t>
      </w:r>
      <w:r>
        <w:rPr>
          <w:rStyle w:val="24"/>
          <w:rFonts w:ascii="仿宋" w:hAnsi="仿宋" w:eastAsia="仿宋"/>
          <w:bCs/>
          <w:color w:val="000000"/>
          <w:sz w:val="32"/>
          <w:szCs w:val="32"/>
        </w:rPr>
        <w:t>:</w:t>
      </w:r>
      <w:r>
        <w:rPr>
          <w:rStyle w:val="24"/>
          <w:rFonts w:hint="eastAsia" w:ascii="仿宋" w:hAnsi="仿宋" w:eastAsia="仿宋"/>
          <w:b w:val="0"/>
          <w:bCs/>
          <w:color w:val="000000"/>
          <w:sz w:val="32"/>
          <w:szCs w:val="32"/>
        </w:rPr>
        <w:t>支出决算为4.78万元，完成预算</w:t>
      </w:r>
      <w:r>
        <w:rPr>
          <w:rStyle w:val="24"/>
          <w:rFonts w:hint="eastAsia" w:ascii="仿宋" w:hAnsi="仿宋" w:eastAsia="仿宋"/>
          <w:b w:val="0"/>
          <w:bCs/>
          <w:color w:val="000000"/>
          <w:sz w:val="32"/>
          <w:szCs w:val="32"/>
          <w:lang w:val="en-US" w:eastAsia="zh-CN"/>
        </w:rPr>
        <w:t>100</w:t>
      </w:r>
      <w:r>
        <w:rPr>
          <w:rStyle w:val="24"/>
          <w:rFonts w:ascii="仿宋" w:hAnsi="仿宋" w:eastAsia="仿宋"/>
          <w:b w:val="0"/>
          <w:bCs/>
          <w:color w:val="000000"/>
          <w:sz w:val="32"/>
          <w:szCs w:val="32"/>
        </w:rPr>
        <w:t>%</w:t>
      </w:r>
    </w:p>
    <w:p>
      <w:pPr>
        <w:spacing w:beforeLines="0" w:afterLines="0" w:line="560" w:lineRule="exact"/>
        <w:ind w:firstLine="643" w:firstLineChars="200"/>
        <w:rPr>
          <w:rFonts w:hint="eastAsia" w:ascii="仿宋" w:hAnsi="仿宋" w:eastAsia="仿宋"/>
          <w:b/>
          <w:color w:val="000000"/>
          <w:sz w:val="32"/>
          <w:szCs w:val="32"/>
        </w:rPr>
      </w:pPr>
      <w:r>
        <w:rPr>
          <w:rStyle w:val="24"/>
          <w:rFonts w:hint="eastAsia" w:ascii="仿宋" w:hAnsi="仿宋" w:eastAsia="仿宋"/>
          <w:color w:val="000000"/>
          <w:sz w:val="32"/>
          <w:szCs w:val="32"/>
          <w:lang w:val="en-US" w:eastAsia="zh-CN"/>
        </w:rPr>
        <w:t>5</w:t>
      </w:r>
      <w:r>
        <w:rPr>
          <w:rStyle w:val="24"/>
          <w:rFonts w:hint="eastAsia" w:ascii="仿宋" w:hAnsi="仿宋" w:eastAsia="仿宋"/>
          <w:color w:val="000000"/>
          <w:sz w:val="32"/>
          <w:szCs w:val="32"/>
        </w:rPr>
        <w:t>.卫生健康支出（类）行政事业单位医疗（款）行政单位医疗（项）:</w:t>
      </w:r>
      <w:r>
        <w:rPr>
          <w:rStyle w:val="24"/>
          <w:rFonts w:hint="eastAsia" w:ascii="仿宋" w:hAnsi="仿宋" w:eastAsia="仿宋"/>
          <w:b w:val="0"/>
          <w:color w:val="000000"/>
          <w:sz w:val="32"/>
          <w:szCs w:val="32"/>
        </w:rPr>
        <w:t xml:space="preserve"> 支出决算为5.18万元，完成预算100%。</w:t>
      </w:r>
    </w:p>
    <w:p>
      <w:pPr>
        <w:spacing w:beforeLines="0" w:afterLines="0" w:line="560" w:lineRule="exact"/>
        <w:ind w:firstLine="643" w:firstLineChars="200"/>
        <w:rPr>
          <w:rStyle w:val="24"/>
          <w:rFonts w:hint="eastAsia" w:ascii="仿宋" w:hAnsi="仿宋" w:eastAsia="仿宋"/>
          <w:b w:val="0"/>
          <w:color w:val="000000"/>
          <w:sz w:val="32"/>
          <w:szCs w:val="32"/>
        </w:rPr>
      </w:pPr>
      <w:r>
        <w:rPr>
          <w:rStyle w:val="24"/>
          <w:rFonts w:hint="eastAsia" w:ascii="仿宋" w:hAnsi="仿宋" w:eastAsia="仿宋"/>
          <w:color w:val="000000"/>
          <w:sz w:val="32"/>
          <w:szCs w:val="32"/>
          <w:lang w:val="en-US" w:eastAsia="zh-CN"/>
        </w:rPr>
        <w:t>6</w:t>
      </w:r>
      <w:r>
        <w:rPr>
          <w:rStyle w:val="24"/>
          <w:rFonts w:hint="eastAsia" w:ascii="仿宋" w:hAnsi="仿宋" w:eastAsia="仿宋"/>
          <w:color w:val="000000"/>
          <w:sz w:val="32"/>
          <w:szCs w:val="32"/>
        </w:rPr>
        <w:t xml:space="preserve">.卫生健康支出（类）行政事业单位医疗（款）公务员医疗补助（项）: </w:t>
      </w:r>
      <w:r>
        <w:rPr>
          <w:rStyle w:val="24"/>
          <w:rFonts w:hint="eastAsia" w:ascii="仿宋" w:hAnsi="仿宋" w:eastAsia="仿宋"/>
          <w:b w:val="0"/>
          <w:color w:val="000000"/>
          <w:sz w:val="32"/>
          <w:szCs w:val="32"/>
        </w:rPr>
        <w:t>支出决算为2.06万元，完成预算100%。</w:t>
      </w:r>
    </w:p>
    <w:p>
      <w:pPr>
        <w:spacing w:beforeLines="0" w:afterLines="0" w:line="560" w:lineRule="exact"/>
        <w:ind w:firstLine="643" w:firstLineChars="200"/>
        <w:rPr>
          <w:rFonts w:hint="eastAsia" w:ascii="仿宋" w:hAnsi="仿宋" w:eastAsia="仿宋"/>
          <w:b/>
          <w:color w:val="000000"/>
          <w:sz w:val="32"/>
          <w:szCs w:val="32"/>
        </w:rPr>
      </w:pPr>
      <w:r>
        <w:rPr>
          <w:rStyle w:val="24"/>
          <w:rFonts w:hint="eastAsia" w:ascii="仿宋" w:hAnsi="仿宋" w:eastAsia="仿宋"/>
          <w:color w:val="000000"/>
          <w:sz w:val="32"/>
          <w:szCs w:val="32"/>
          <w:lang w:val="en-US" w:eastAsia="zh-CN"/>
        </w:rPr>
        <w:t>7</w:t>
      </w:r>
      <w:r>
        <w:rPr>
          <w:rStyle w:val="24"/>
          <w:rFonts w:hint="eastAsia" w:ascii="仿宋" w:hAnsi="仿宋" w:eastAsia="仿宋"/>
          <w:color w:val="000000"/>
          <w:sz w:val="32"/>
          <w:szCs w:val="32"/>
        </w:rPr>
        <w:t>.卫生健康支出（类）行政事业单位医疗（款）</w:t>
      </w:r>
      <w:r>
        <w:rPr>
          <w:rStyle w:val="24"/>
          <w:rFonts w:hint="eastAsia" w:ascii="仿宋" w:hAnsi="仿宋" w:eastAsia="仿宋"/>
          <w:color w:val="000000"/>
          <w:sz w:val="32"/>
          <w:szCs w:val="32"/>
          <w:lang w:val="en-US" w:eastAsia="zh-CN"/>
        </w:rPr>
        <w:t>事业</w:t>
      </w:r>
      <w:r>
        <w:rPr>
          <w:rStyle w:val="24"/>
          <w:rFonts w:hint="eastAsia" w:ascii="仿宋" w:hAnsi="仿宋" w:eastAsia="仿宋"/>
          <w:color w:val="000000"/>
          <w:sz w:val="32"/>
          <w:szCs w:val="32"/>
        </w:rPr>
        <w:t>单位医疗（项）:</w:t>
      </w:r>
      <w:r>
        <w:rPr>
          <w:rStyle w:val="24"/>
          <w:rFonts w:hint="eastAsia" w:ascii="仿宋" w:hAnsi="仿宋" w:eastAsia="仿宋"/>
          <w:b w:val="0"/>
          <w:color w:val="000000"/>
          <w:sz w:val="32"/>
          <w:szCs w:val="32"/>
        </w:rPr>
        <w:t xml:space="preserve"> 支出决算为4.31万元，完成预算100%。</w:t>
      </w:r>
    </w:p>
    <w:p>
      <w:pPr>
        <w:spacing w:beforeLines="0" w:afterLines="0" w:line="560" w:lineRule="exact"/>
        <w:ind w:firstLine="643" w:firstLineChars="200"/>
        <w:rPr>
          <w:rFonts w:hint="eastAsia" w:ascii="仿宋" w:hAnsi="仿宋" w:eastAsia="仿宋"/>
          <w:b/>
          <w:color w:val="000000"/>
          <w:sz w:val="32"/>
          <w:szCs w:val="32"/>
        </w:rPr>
      </w:pPr>
      <w:r>
        <w:rPr>
          <w:rStyle w:val="24"/>
          <w:rFonts w:hint="eastAsia" w:ascii="仿宋" w:hAnsi="仿宋" w:eastAsia="仿宋"/>
          <w:color w:val="000000"/>
          <w:sz w:val="32"/>
          <w:szCs w:val="32"/>
          <w:lang w:val="en-US" w:eastAsia="zh-CN"/>
        </w:rPr>
        <w:t>8</w:t>
      </w:r>
      <w:r>
        <w:rPr>
          <w:rStyle w:val="24"/>
          <w:rFonts w:hint="eastAsia" w:ascii="仿宋" w:hAnsi="仿宋" w:eastAsia="仿宋"/>
          <w:color w:val="000000"/>
          <w:sz w:val="32"/>
          <w:szCs w:val="32"/>
        </w:rPr>
        <w:t xml:space="preserve">.卫生健康支出（类）行政事业单位医疗（款）其他行政事业单位医疗支出（项）: </w:t>
      </w:r>
      <w:r>
        <w:rPr>
          <w:rStyle w:val="24"/>
          <w:rFonts w:hint="eastAsia" w:ascii="仿宋" w:hAnsi="仿宋" w:eastAsia="仿宋"/>
          <w:b w:val="0"/>
          <w:color w:val="000000"/>
          <w:sz w:val="32"/>
          <w:szCs w:val="32"/>
        </w:rPr>
        <w:t>支出决算为1.83万元，完成预算100%</w:t>
      </w:r>
    </w:p>
    <w:p>
      <w:pPr>
        <w:pageBreakBefore w:val="0"/>
        <w:widowControl w:val="0"/>
        <w:kinsoku/>
        <w:wordWrap/>
        <w:overflowPunct/>
        <w:topLinePunct w:val="0"/>
        <w:bidi w:val="0"/>
        <w:spacing w:line="560" w:lineRule="exact"/>
        <w:ind w:firstLine="643" w:firstLineChars="200"/>
        <w:textAlignment w:val="auto"/>
        <w:rPr>
          <w:rFonts w:ascii="仿宋" w:hAnsi="仿宋" w:eastAsia="仿宋"/>
          <w:b/>
          <w:color w:val="FF0000"/>
          <w:sz w:val="32"/>
          <w:szCs w:val="32"/>
        </w:rPr>
      </w:pPr>
      <w:r>
        <w:rPr>
          <w:rStyle w:val="24"/>
          <w:rFonts w:hint="eastAsia" w:ascii="仿宋" w:hAnsi="仿宋" w:eastAsia="仿宋"/>
          <w:color w:val="000000"/>
          <w:sz w:val="32"/>
          <w:szCs w:val="32"/>
          <w:lang w:val="en-US" w:eastAsia="zh-CN"/>
        </w:rPr>
        <w:t>9</w:t>
      </w:r>
      <w:r>
        <w:rPr>
          <w:rFonts w:hint="eastAsia" w:ascii="仿宋" w:hAnsi="仿宋" w:eastAsia="仿宋" w:cs="仿宋"/>
          <w:b/>
          <w:bCs w:val="0"/>
          <w:color w:val="000000"/>
          <w:kern w:val="2"/>
          <w:sz w:val="32"/>
          <w:szCs w:val="32"/>
          <w:lang w:val="en-US" w:eastAsia="zh-CN" w:bidi="ar"/>
        </w:rPr>
        <w:t>.住房保障支出（类）住房改革支出（款）住房公积金（项）:</w:t>
      </w:r>
      <w:r>
        <w:rPr>
          <w:rFonts w:hint="eastAsia" w:ascii="仿宋" w:hAnsi="仿宋" w:eastAsia="仿宋" w:cs="仿宋"/>
          <w:b w:val="0"/>
          <w:color w:val="000000"/>
          <w:kern w:val="2"/>
          <w:sz w:val="32"/>
          <w:szCs w:val="32"/>
          <w:lang w:val="en-US" w:eastAsia="zh-CN" w:bidi="ar"/>
        </w:rPr>
        <w:t>支出决算为19.15万元，完成预算100%。</w:t>
      </w:r>
    </w:p>
    <w:p>
      <w:pPr>
        <w:pageBreakBefore w:val="0"/>
        <w:widowControl w:val="0"/>
        <w:kinsoku/>
        <w:wordWrap/>
        <w:overflowPunct/>
        <w:topLinePunct w:val="0"/>
        <w:bidi w:val="0"/>
        <w:spacing w:line="560" w:lineRule="exact"/>
        <w:ind w:firstLine="640"/>
        <w:textAlignment w:val="auto"/>
        <w:rPr>
          <w:rFonts w:ascii="仿宋" w:hAnsi="仿宋" w:eastAsia="仿宋"/>
          <w:b/>
          <w:color w:val="000000"/>
          <w:sz w:val="32"/>
          <w:szCs w:val="32"/>
        </w:rPr>
      </w:pPr>
    </w:p>
    <w:p>
      <w:pPr>
        <w:pageBreakBefore w:val="0"/>
        <w:widowControl w:val="0"/>
        <w:tabs>
          <w:tab w:val="right" w:pos="8306"/>
        </w:tabs>
        <w:kinsoku/>
        <w:wordWrap/>
        <w:overflowPunct/>
        <w:topLinePunct w:val="0"/>
        <w:bidi w:val="0"/>
        <w:spacing w:line="560" w:lineRule="exact"/>
        <w:ind w:firstLine="640"/>
        <w:textAlignment w:val="auto"/>
        <w:outlineLvl w:val="1"/>
        <w:rPr>
          <w:rStyle w:val="28"/>
        </w:rPr>
      </w:pPr>
      <w:bookmarkStart w:id="55" w:name="_Toc15377214"/>
      <w:bookmarkStart w:id="56" w:name="_Toc79163618"/>
      <w:bookmarkStart w:id="57" w:name="_Toc79163868"/>
      <w:bookmarkStart w:id="58"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8"/>
          <w:rFonts w:hint="eastAsia" w:ascii="黑体" w:hAnsi="黑体" w:eastAsia="黑体"/>
          <w:b w:val="0"/>
        </w:rPr>
        <w:t>般公共预算财政拨款基本支出决算情况说明</w:t>
      </w:r>
      <w:bookmarkEnd w:id="55"/>
      <w:bookmarkEnd w:id="56"/>
      <w:bookmarkEnd w:id="57"/>
      <w:bookmarkEnd w:id="58"/>
      <w:r>
        <w:rPr>
          <w:rStyle w:val="28"/>
          <w:rFonts w:ascii="黑体" w:hAnsi="黑体" w:eastAsia="黑体"/>
          <w:b w:val="0"/>
        </w:rPr>
        <w:tab/>
      </w:r>
    </w:p>
    <w:p>
      <w:pPr>
        <w:pageBreakBefore w:val="0"/>
        <w:widowControl w:val="0"/>
        <w:kinsoku/>
        <w:wordWrap/>
        <w:overflowPunct/>
        <w:topLinePunct w:val="0"/>
        <w:bidi w:val="0"/>
        <w:spacing w:line="560" w:lineRule="exact"/>
        <w:ind w:firstLine="645"/>
        <w:textAlignment w:val="auto"/>
        <w:rPr>
          <w:rFonts w:ascii="仿宋" w:hAnsi="仿宋" w:eastAsia="仿宋"/>
          <w:color w:val="000000"/>
          <w:sz w:val="32"/>
          <w:szCs w:val="32"/>
        </w:rPr>
      </w:pPr>
      <w:r>
        <w:rPr>
          <w:rFonts w:hint="eastAsia" w:ascii="仿宋" w:hAnsi="仿宋" w:eastAsia="仿宋"/>
          <w:color w:val="000000"/>
          <w:sz w:val="32"/>
          <w:szCs w:val="32"/>
          <w:lang w:eastAsia="zh-CN"/>
        </w:rPr>
        <w:t>2022年</w:t>
      </w:r>
      <w:r>
        <w:rPr>
          <w:rFonts w:hint="eastAsia" w:ascii="仿宋" w:hAnsi="仿宋" w:eastAsia="仿宋"/>
          <w:color w:val="000000"/>
          <w:sz w:val="32"/>
          <w:szCs w:val="32"/>
        </w:rPr>
        <w:t>一般公共预算财政拨款基本支出298.90万元，其中：</w:t>
      </w:r>
    </w:p>
    <w:p>
      <w:pPr>
        <w:pageBreakBefore w:val="0"/>
        <w:widowControl w:val="0"/>
        <w:kinsoku/>
        <w:wordWrap/>
        <w:overflowPunct/>
        <w:topLinePunct w:val="0"/>
        <w:bidi w:val="0"/>
        <w:spacing w:line="560" w:lineRule="exact"/>
        <w:ind w:firstLine="645"/>
        <w:textAlignment w:val="auto"/>
        <w:rPr>
          <w:rFonts w:hint="eastAsia" w:ascii="仿宋" w:hAnsi="仿宋" w:eastAsia="仿宋"/>
          <w:color w:val="000000"/>
          <w:sz w:val="32"/>
          <w:szCs w:val="32"/>
          <w:lang w:eastAsia="zh-CN"/>
        </w:rPr>
      </w:pPr>
      <w:r>
        <w:rPr>
          <w:rFonts w:hint="eastAsia" w:ascii="仿宋" w:hAnsi="仿宋" w:eastAsia="仿宋"/>
          <w:color w:val="000000"/>
          <w:sz w:val="32"/>
          <w:szCs w:val="32"/>
        </w:rPr>
        <w:t>人员经费277.26万元，主要包括：基本工资、津贴补贴</w:t>
      </w:r>
      <w:r>
        <w:rPr>
          <w:rFonts w:hint="eastAsia" w:ascii="仿宋" w:hAnsi="仿宋" w:eastAsia="仿宋"/>
          <w:color w:val="000000"/>
          <w:sz w:val="32"/>
          <w:szCs w:val="32"/>
          <w:lang w:eastAsia="zh-CN"/>
        </w:rPr>
        <w:t>、奖金、</w:t>
      </w:r>
      <w:r>
        <w:rPr>
          <w:rFonts w:hint="eastAsia" w:ascii="仿宋" w:hAnsi="仿宋" w:eastAsia="仿宋"/>
          <w:color w:val="000000"/>
          <w:sz w:val="32"/>
          <w:szCs w:val="32"/>
          <w:lang w:val="en-US" w:eastAsia="zh-CN"/>
        </w:rPr>
        <w:t>绩效工资、</w:t>
      </w:r>
      <w:r>
        <w:rPr>
          <w:rFonts w:hint="eastAsia" w:ascii="仿宋" w:hAnsi="仿宋" w:eastAsia="仿宋"/>
          <w:color w:val="000000"/>
          <w:sz w:val="32"/>
          <w:szCs w:val="32"/>
          <w:lang w:eastAsia="zh-CN"/>
        </w:rPr>
        <w:t>机关事业单位基本养老保险费、职业年金缴费、职工基本医疗保险缴费、公务员医疗补助缴费、其他社会保障缴费、住房公积金、医疗费补助</w:t>
      </w:r>
      <w:r>
        <w:rPr>
          <w:rFonts w:hint="eastAsia" w:ascii="仿宋" w:hAnsi="仿宋" w:eastAsia="仿宋"/>
          <w:color w:val="000000"/>
          <w:sz w:val="32"/>
          <w:szCs w:val="32"/>
        </w:rPr>
        <w:t>。</w:t>
      </w:r>
    </w:p>
    <w:p>
      <w:pPr>
        <w:pageBreakBefore w:val="0"/>
        <w:widowControl w:val="0"/>
        <w:kinsoku/>
        <w:wordWrap/>
        <w:overflowPunct/>
        <w:topLinePunct w:val="0"/>
        <w:bidi w:val="0"/>
        <w:spacing w:line="560" w:lineRule="exact"/>
        <w:ind w:firstLine="645"/>
        <w:textAlignment w:val="auto"/>
        <w:rPr>
          <w:rFonts w:ascii="仿宋" w:hAnsi="仿宋" w:eastAsia="仿宋"/>
          <w:b/>
          <w:color w:val="FF0000"/>
          <w:sz w:val="32"/>
          <w:szCs w:val="32"/>
        </w:rPr>
      </w:pPr>
      <w:r>
        <w:rPr>
          <w:rFonts w:hint="eastAsia" w:ascii="仿宋" w:hAnsi="仿宋" w:eastAsia="仿宋"/>
          <w:color w:val="000000"/>
          <w:sz w:val="32"/>
          <w:szCs w:val="32"/>
        </w:rPr>
        <w:t>日常公用经费21.64万元，主要包括：办公费、</w:t>
      </w:r>
      <w:r>
        <w:rPr>
          <w:rFonts w:hint="eastAsia" w:ascii="仿宋" w:hAnsi="仿宋" w:eastAsia="仿宋"/>
          <w:color w:val="000000"/>
          <w:sz w:val="32"/>
          <w:szCs w:val="32"/>
          <w:lang w:eastAsia="zh-CN"/>
        </w:rPr>
        <w:t>印刷</w:t>
      </w:r>
      <w:r>
        <w:rPr>
          <w:rFonts w:hint="eastAsia" w:ascii="仿宋" w:hAnsi="仿宋" w:eastAsia="仿宋"/>
          <w:color w:val="000000"/>
          <w:sz w:val="32"/>
          <w:szCs w:val="32"/>
        </w:rPr>
        <w:t>费</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水费、</w:t>
      </w:r>
      <w:r>
        <w:rPr>
          <w:rFonts w:hint="eastAsia" w:ascii="仿宋" w:hAnsi="仿宋" w:eastAsia="仿宋"/>
          <w:color w:val="000000"/>
          <w:sz w:val="32"/>
          <w:szCs w:val="32"/>
          <w:lang w:eastAsia="zh-CN"/>
        </w:rPr>
        <w:t>电费、</w:t>
      </w:r>
      <w:r>
        <w:rPr>
          <w:rFonts w:hint="eastAsia" w:ascii="仿宋" w:hAnsi="仿宋" w:eastAsia="仿宋"/>
          <w:color w:val="000000"/>
          <w:sz w:val="32"/>
          <w:szCs w:val="32"/>
          <w:lang w:val="en-US" w:eastAsia="zh-CN"/>
        </w:rPr>
        <w:t>邮电费、</w:t>
      </w:r>
      <w:r>
        <w:rPr>
          <w:rFonts w:hint="eastAsia" w:ascii="仿宋" w:hAnsi="仿宋" w:eastAsia="仿宋"/>
          <w:color w:val="000000"/>
          <w:sz w:val="32"/>
          <w:szCs w:val="32"/>
          <w:lang w:eastAsia="zh-CN"/>
        </w:rPr>
        <w:t>差旅费、委托业务费、</w:t>
      </w:r>
      <w:r>
        <w:rPr>
          <w:rFonts w:hint="eastAsia" w:ascii="仿宋" w:hAnsi="仿宋" w:eastAsia="仿宋"/>
          <w:color w:val="000000"/>
          <w:sz w:val="32"/>
          <w:szCs w:val="32"/>
          <w:lang w:val="en-US" w:eastAsia="zh-CN"/>
        </w:rPr>
        <w:t>维修（护）费、</w:t>
      </w:r>
      <w:r>
        <w:rPr>
          <w:rFonts w:hint="eastAsia" w:ascii="仿宋" w:hAnsi="仿宋" w:eastAsia="仿宋"/>
          <w:color w:val="000000"/>
          <w:sz w:val="32"/>
          <w:szCs w:val="32"/>
          <w:lang w:eastAsia="zh-CN"/>
        </w:rPr>
        <w:t>劳务费、公务用车运行维护费</w:t>
      </w:r>
      <w:r>
        <w:rPr>
          <w:rFonts w:hint="eastAsia" w:ascii="仿宋" w:hAnsi="仿宋" w:eastAsia="仿宋"/>
          <w:color w:val="000000"/>
          <w:sz w:val="32"/>
          <w:szCs w:val="32"/>
        </w:rPr>
        <w:t>。</w:t>
      </w:r>
    </w:p>
    <w:p>
      <w:pPr>
        <w:pageBreakBefore w:val="0"/>
        <w:widowControl w:val="0"/>
        <w:kinsoku/>
        <w:wordWrap/>
        <w:overflowPunct/>
        <w:topLinePunct w:val="0"/>
        <w:bidi w:val="0"/>
        <w:spacing w:line="560" w:lineRule="exact"/>
        <w:ind w:firstLine="640"/>
        <w:textAlignment w:val="auto"/>
        <w:rPr>
          <w:rFonts w:ascii="仿宋" w:hAnsi="仿宋" w:eastAsia="仿宋"/>
          <w:b/>
          <w:color w:val="FF0000"/>
          <w:sz w:val="32"/>
          <w:szCs w:val="32"/>
        </w:rPr>
      </w:pPr>
    </w:p>
    <w:p>
      <w:pPr>
        <w:pageBreakBefore w:val="0"/>
        <w:widowControl w:val="0"/>
        <w:kinsoku/>
        <w:wordWrap/>
        <w:overflowPunct/>
        <w:topLinePunct w:val="0"/>
        <w:bidi w:val="0"/>
        <w:spacing w:line="560" w:lineRule="exact"/>
        <w:ind w:firstLine="640"/>
        <w:textAlignment w:val="auto"/>
        <w:outlineLvl w:val="1"/>
        <w:rPr>
          <w:rStyle w:val="28"/>
          <w:rFonts w:ascii="黑体" w:hAnsi="黑体" w:eastAsia="黑体"/>
          <w:b w:val="0"/>
        </w:rPr>
      </w:pPr>
      <w:bookmarkStart w:id="59" w:name="_Toc79163869"/>
      <w:bookmarkStart w:id="60" w:name="_Toc15396609"/>
      <w:bookmarkStart w:id="61" w:name="_Toc15377215"/>
      <w:bookmarkStart w:id="62" w:name="_Toc79163619"/>
      <w:r>
        <w:rPr>
          <w:rFonts w:hint="eastAsia" w:ascii="黑体" w:eastAsia="黑体"/>
          <w:color w:val="000000"/>
          <w:sz w:val="32"/>
          <w:szCs w:val="32"/>
        </w:rPr>
        <w:t>七、</w:t>
      </w:r>
      <w:r>
        <w:rPr>
          <w:rStyle w:val="28"/>
          <w:rFonts w:hint="eastAsia" w:ascii="黑体" w:hAnsi="黑体" w:eastAsia="黑体"/>
        </w:rPr>
        <w:t>“</w:t>
      </w:r>
      <w:r>
        <w:rPr>
          <w:rStyle w:val="28"/>
          <w:rFonts w:hint="eastAsia" w:ascii="黑体" w:hAnsi="黑体" w:eastAsia="黑体"/>
          <w:b w:val="0"/>
        </w:rPr>
        <w:t>三公”经费财政拨款支出决算情况说明</w:t>
      </w:r>
      <w:bookmarkEnd w:id="59"/>
      <w:bookmarkEnd w:id="60"/>
      <w:bookmarkEnd w:id="61"/>
      <w:bookmarkEnd w:id="62"/>
    </w:p>
    <w:p>
      <w:pPr>
        <w:pageBreakBefore w:val="0"/>
        <w:widowControl w:val="0"/>
        <w:kinsoku/>
        <w:wordWrap/>
        <w:overflowPunct/>
        <w:topLinePunct w:val="0"/>
        <w:bidi w:val="0"/>
        <w:spacing w:line="560" w:lineRule="exact"/>
        <w:ind w:firstLine="640"/>
        <w:textAlignment w:val="auto"/>
        <w:outlineLvl w:val="2"/>
        <w:rPr>
          <w:rFonts w:ascii="仿宋" w:hAnsi="仿宋" w:eastAsia="仿宋"/>
          <w:b/>
          <w:color w:val="000000"/>
          <w:sz w:val="32"/>
          <w:szCs w:val="32"/>
        </w:rPr>
      </w:pPr>
      <w:bookmarkStart w:id="63" w:name="_Toc79163620"/>
      <w:bookmarkStart w:id="64" w:name="_Toc79163870"/>
      <w:bookmarkStart w:id="65" w:name="_Toc15377216"/>
      <w:r>
        <w:rPr>
          <w:rFonts w:hint="eastAsia" w:ascii="仿宋" w:hAnsi="仿宋" w:eastAsia="仿宋"/>
          <w:b/>
          <w:color w:val="000000"/>
          <w:sz w:val="32"/>
          <w:szCs w:val="32"/>
        </w:rPr>
        <w:t>（一）“三公”经费财政拨款支出决算总体情况说明</w:t>
      </w:r>
      <w:bookmarkEnd w:id="63"/>
      <w:bookmarkEnd w:id="64"/>
      <w:bookmarkEnd w:id="65"/>
    </w:p>
    <w:p>
      <w:pPr>
        <w:pageBreakBefore w:val="0"/>
        <w:widowControl w:val="0"/>
        <w:kinsoku/>
        <w:wordWrap/>
        <w:overflowPunct/>
        <w:topLinePunct w:val="0"/>
        <w:bidi w:val="0"/>
        <w:spacing w:line="560" w:lineRule="exact"/>
        <w:ind w:firstLine="640"/>
        <w:textAlignment w:val="auto"/>
        <w:rPr>
          <w:rFonts w:ascii="仿宋" w:hAnsi="仿宋" w:eastAsia="仿宋"/>
          <w:color w:val="000000"/>
          <w:sz w:val="32"/>
          <w:szCs w:val="32"/>
        </w:rPr>
      </w:pPr>
      <w:r>
        <w:rPr>
          <w:rFonts w:hint="eastAsia" w:ascii="仿宋" w:hAnsi="仿宋" w:eastAsia="仿宋"/>
          <w:color w:val="000000"/>
          <w:sz w:val="32"/>
          <w:szCs w:val="32"/>
          <w:lang w:eastAsia="zh-CN"/>
        </w:rPr>
        <w:t>2022年</w:t>
      </w:r>
      <w:r>
        <w:rPr>
          <w:rFonts w:hint="eastAsia" w:ascii="仿宋" w:hAnsi="仿宋" w:eastAsia="仿宋"/>
          <w:color w:val="000000"/>
          <w:sz w:val="32"/>
          <w:szCs w:val="32"/>
        </w:rPr>
        <w:t>“三公”经费财政拨款支出决算为3.32万元，完成预算</w:t>
      </w:r>
      <w:r>
        <w:rPr>
          <w:rFonts w:hint="eastAsia" w:ascii="仿宋" w:hAnsi="仿宋" w:eastAsia="仿宋"/>
          <w:color w:val="000000"/>
          <w:sz w:val="32"/>
          <w:szCs w:val="32"/>
          <w:lang w:val="en-US" w:eastAsia="zh-CN"/>
        </w:rPr>
        <w:t>83</w:t>
      </w:r>
      <w:r>
        <w:rPr>
          <w:rFonts w:ascii="仿宋" w:hAnsi="仿宋" w:eastAsia="仿宋"/>
          <w:color w:val="000000"/>
          <w:sz w:val="32"/>
          <w:szCs w:val="32"/>
        </w:rPr>
        <w:t>%</w:t>
      </w:r>
      <w:r>
        <w:rPr>
          <w:rFonts w:hint="eastAsia" w:ascii="仿宋" w:hAnsi="仿宋" w:eastAsia="仿宋"/>
          <w:color w:val="000000"/>
          <w:sz w:val="32"/>
          <w:szCs w:val="32"/>
        </w:rPr>
        <w:t>，决算数</w:t>
      </w:r>
      <w:r>
        <w:rPr>
          <w:rFonts w:hint="eastAsia" w:ascii="仿宋" w:hAnsi="仿宋" w:eastAsia="仿宋"/>
          <w:color w:val="000000"/>
          <w:sz w:val="32"/>
          <w:szCs w:val="32"/>
          <w:lang w:val="en-US" w:eastAsia="zh-CN"/>
        </w:rPr>
        <w:t>小于</w:t>
      </w:r>
      <w:r>
        <w:rPr>
          <w:rFonts w:hint="eastAsia" w:ascii="仿宋" w:hAnsi="仿宋" w:eastAsia="仿宋"/>
          <w:color w:val="000000"/>
          <w:sz w:val="32"/>
          <w:szCs w:val="32"/>
        </w:rPr>
        <w:t>预算数的主要原因是</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厉行节约</w:t>
      </w:r>
      <w:r>
        <w:rPr>
          <w:rFonts w:hint="eastAsia" w:ascii="仿宋" w:hAnsi="仿宋" w:eastAsia="仿宋"/>
          <w:color w:val="000000"/>
          <w:sz w:val="32"/>
          <w:szCs w:val="32"/>
        </w:rPr>
        <w:t>。</w:t>
      </w:r>
    </w:p>
    <w:p>
      <w:pPr>
        <w:pageBreakBefore w:val="0"/>
        <w:widowControl w:val="0"/>
        <w:kinsoku/>
        <w:wordWrap/>
        <w:overflowPunct/>
        <w:topLinePunct w:val="0"/>
        <w:bidi w:val="0"/>
        <w:spacing w:line="560" w:lineRule="exact"/>
        <w:ind w:firstLine="640"/>
        <w:textAlignment w:val="auto"/>
        <w:outlineLvl w:val="2"/>
        <w:rPr>
          <w:rFonts w:ascii="仿宋" w:hAnsi="仿宋" w:eastAsia="仿宋"/>
          <w:b/>
          <w:color w:val="000000"/>
          <w:sz w:val="32"/>
          <w:szCs w:val="32"/>
        </w:rPr>
      </w:pPr>
      <w:bookmarkStart w:id="66" w:name="_Toc15377217"/>
      <w:bookmarkStart w:id="67" w:name="_Toc79163871"/>
      <w:bookmarkStart w:id="68" w:name="_Toc79163621"/>
      <w:r>
        <w:rPr>
          <w:rFonts w:hint="eastAsia" w:ascii="仿宋" w:hAnsi="仿宋" w:eastAsia="仿宋"/>
          <w:b/>
          <w:color w:val="000000"/>
          <w:sz w:val="32"/>
          <w:szCs w:val="32"/>
        </w:rPr>
        <w:t>（二）“三公”经费财政拨款支出决算具体情况说明</w:t>
      </w:r>
      <w:bookmarkEnd w:id="66"/>
      <w:bookmarkEnd w:id="67"/>
      <w:bookmarkEnd w:id="68"/>
    </w:p>
    <w:p>
      <w:pPr>
        <w:pageBreakBefore w:val="0"/>
        <w:widowControl w:val="0"/>
        <w:kinsoku/>
        <w:wordWrap/>
        <w:overflowPunct/>
        <w:topLinePunct w:val="0"/>
        <w:bidi w:val="0"/>
        <w:spacing w:line="560" w:lineRule="exact"/>
        <w:ind w:firstLine="640"/>
        <w:textAlignment w:val="auto"/>
        <w:rPr>
          <w:rFonts w:ascii="仿宋" w:hAnsi="仿宋" w:eastAsia="仿宋"/>
          <w:color w:val="000000"/>
          <w:sz w:val="32"/>
          <w:szCs w:val="32"/>
        </w:rPr>
      </w:pPr>
      <w:r>
        <w:rPr>
          <w:rFonts w:hint="eastAsia" w:ascii="仿宋" w:hAnsi="仿宋" w:eastAsia="仿宋"/>
          <w:color w:val="000000"/>
          <w:sz w:val="32"/>
          <w:szCs w:val="32"/>
          <w:lang w:eastAsia="zh-CN"/>
        </w:rPr>
        <w:t>2022年</w:t>
      </w:r>
      <w:r>
        <w:rPr>
          <w:rFonts w:hint="eastAsia" w:ascii="仿宋" w:hAnsi="仿宋" w:eastAsia="仿宋"/>
          <w:color w:val="000000"/>
          <w:sz w:val="32"/>
          <w:szCs w:val="32"/>
        </w:rPr>
        <w:t>“三公”经费财政拨款支出决算中，因公出国（境）费支出决算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3.32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pageBreakBefore w:val="0"/>
        <w:widowControl w:val="0"/>
        <w:kinsoku/>
        <w:wordWrap/>
        <w:overflowPunct/>
        <w:topLinePunct w:val="0"/>
        <w:bidi w:val="0"/>
        <w:spacing w:line="560" w:lineRule="exact"/>
        <w:ind w:firstLine="640"/>
        <w:textAlignment w:val="auto"/>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4"/>
          <w:rFonts w:hint="eastAsia" w:ascii="仿宋" w:hAnsi="仿宋" w:eastAsia="仿宋"/>
          <w:b w:val="0"/>
          <w:bCs/>
          <w:color w:val="000000"/>
          <w:sz w:val="32"/>
          <w:szCs w:val="32"/>
        </w:rPr>
        <w:t>完成预算</w:t>
      </w:r>
      <w:r>
        <w:rPr>
          <w:rStyle w:val="24"/>
          <w:rFonts w:hint="eastAsia" w:ascii="仿宋" w:hAnsi="仿宋" w:eastAsia="仿宋"/>
          <w:b w:val="0"/>
          <w:bCs/>
          <w:color w:val="000000"/>
          <w:sz w:val="32"/>
          <w:szCs w:val="32"/>
          <w:lang w:val="en-US" w:eastAsia="zh-CN"/>
        </w:rPr>
        <w:t>100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hint="eastAsia" w:ascii="仿宋_GB2312" w:eastAsia="仿宋_GB2312"/>
          <w:color w:val="000000"/>
          <w:sz w:val="32"/>
          <w:szCs w:val="32"/>
          <w:lang w:eastAsia="zh-CN"/>
        </w:rPr>
        <w:t>2021年</w:t>
      </w:r>
      <w:r>
        <w:rPr>
          <w:rFonts w:hint="eastAsia" w:ascii="仿宋_GB2312" w:eastAsia="仿宋_GB2312"/>
          <w:color w:val="000000"/>
          <w:sz w:val="32"/>
          <w:szCs w:val="32"/>
        </w:rPr>
        <w:t>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2021年与2022年均无因公出国（境）经费支出</w:t>
      </w:r>
      <w:r>
        <w:rPr>
          <w:rFonts w:hint="eastAsia" w:ascii="仿宋_GB2312" w:eastAsia="仿宋_GB2312"/>
          <w:color w:val="000000"/>
          <w:sz w:val="32"/>
          <w:szCs w:val="32"/>
        </w:rPr>
        <w:t>。</w:t>
      </w:r>
    </w:p>
    <w:p>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hint="eastAsia" w:ascii="仿宋_GB2312" w:eastAsia="仿宋_GB2312"/>
          <w:color w:val="000000"/>
          <w:sz w:val="32"/>
          <w:szCs w:val="32"/>
        </w:rPr>
        <w:t>开支内容包括：</w:t>
      </w:r>
      <w:r>
        <w:rPr>
          <w:rFonts w:hint="eastAsia" w:ascii="仿宋_GB2312" w:eastAsia="仿宋_GB2312"/>
          <w:color w:val="000000"/>
          <w:sz w:val="32"/>
          <w:szCs w:val="32"/>
          <w:lang w:val="en-US" w:eastAsia="zh-CN"/>
        </w:rPr>
        <w:t>无</w:t>
      </w:r>
      <w:r>
        <w:rPr>
          <w:rFonts w:hint="eastAsia" w:ascii="仿宋_GB2312" w:eastAsia="仿宋_GB2312"/>
          <w:color w:val="000000"/>
          <w:sz w:val="32"/>
          <w:szCs w:val="32"/>
        </w:rPr>
        <w:t>（团组名称、出访地点、取得成效）等。</w:t>
      </w:r>
    </w:p>
    <w:p>
      <w:pPr>
        <w:pageBreakBefore w:val="0"/>
        <w:widowControl w:val="0"/>
        <w:kinsoku/>
        <w:wordWrap/>
        <w:overflowPunct/>
        <w:topLinePunct w:val="0"/>
        <w:bidi w:val="0"/>
        <w:spacing w:line="560" w:lineRule="exact"/>
        <w:ind w:firstLine="640"/>
        <w:textAlignment w:val="auto"/>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3.32</w:t>
      </w:r>
      <w:r>
        <w:rPr>
          <w:rFonts w:hint="eastAsia" w:ascii="仿宋_GB2312" w:eastAsia="仿宋_GB2312"/>
          <w:color w:val="000000"/>
          <w:sz w:val="32"/>
          <w:szCs w:val="32"/>
        </w:rPr>
        <w:t>万元</w:t>
      </w:r>
      <w:r>
        <w:rPr>
          <w:rFonts w:ascii="仿宋_GB2312" w:eastAsia="仿宋_GB2312"/>
          <w:color w:val="000000"/>
          <w:sz w:val="32"/>
          <w:szCs w:val="32"/>
        </w:rPr>
        <w:t>,</w:t>
      </w:r>
      <w:r>
        <w:rPr>
          <w:rStyle w:val="24"/>
          <w:rFonts w:hint="eastAsia" w:ascii="仿宋" w:hAnsi="仿宋" w:eastAsia="仿宋"/>
          <w:b w:val="0"/>
          <w:bCs/>
          <w:color w:val="000000"/>
          <w:sz w:val="32"/>
          <w:szCs w:val="32"/>
        </w:rPr>
        <w:t>完成预算</w:t>
      </w:r>
      <w:r>
        <w:rPr>
          <w:rStyle w:val="24"/>
          <w:rFonts w:hint="eastAsia" w:ascii="仿宋" w:hAnsi="仿宋" w:eastAsia="仿宋"/>
          <w:b w:val="0"/>
          <w:bCs/>
          <w:color w:val="000000"/>
          <w:sz w:val="32"/>
          <w:szCs w:val="32"/>
          <w:lang w:val="en-US" w:eastAsia="zh-CN"/>
        </w:rPr>
        <w:t>83</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hint="eastAsia" w:ascii="仿宋_GB2312" w:eastAsia="仿宋_GB2312"/>
          <w:color w:val="000000"/>
          <w:sz w:val="32"/>
          <w:szCs w:val="32"/>
          <w:lang w:eastAsia="zh-CN"/>
        </w:rPr>
        <w:t>2021年</w:t>
      </w:r>
      <w:r>
        <w:rPr>
          <w:rFonts w:hint="eastAsia" w:ascii="仿宋_GB2312" w:eastAsia="仿宋_GB2312"/>
          <w:color w:val="000000"/>
          <w:sz w:val="32"/>
          <w:szCs w:val="32"/>
        </w:rPr>
        <w:t>增加</w:t>
      </w:r>
      <w:r>
        <w:rPr>
          <w:rFonts w:hint="eastAsia" w:ascii="仿宋_GB2312" w:eastAsia="仿宋_GB2312"/>
          <w:color w:val="000000"/>
          <w:sz w:val="32"/>
          <w:szCs w:val="32"/>
          <w:lang w:val="en-US" w:eastAsia="zh-CN"/>
        </w:rPr>
        <w:t>1.63</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95.81</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当年公务用车使用量增加，三公增加</w:t>
      </w:r>
      <w:r>
        <w:rPr>
          <w:rFonts w:hint="eastAsia" w:ascii="仿宋_GB2312" w:eastAsia="仿宋_GB2312"/>
          <w:color w:val="000000"/>
          <w:sz w:val="32"/>
          <w:szCs w:val="32"/>
        </w:rPr>
        <w:t>。</w:t>
      </w:r>
    </w:p>
    <w:p>
      <w:pPr>
        <w:pageBreakBefore w:val="0"/>
        <w:widowControl w:val="0"/>
        <w:kinsoku/>
        <w:wordWrap/>
        <w:overflowPunct/>
        <w:topLinePunct w:val="0"/>
        <w:bidi w:val="0"/>
        <w:spacing w:line="560" w:lineRule="exact"/>
        <w:ind w:firstLine="640" w:firstLineChars="200"/>
        <w:textAlignment w:val="auto"/>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截至</w:t>
      </w:r>
      <w:r>
        <w:rPr>
          <w:rFonts w:hint="eastAsia" w:ascii="仿宋_GB2312" w:eastAsia="仿宋_GB2312"/>
          <w:color w:val="000000"/>
          <w:sz w:val="32"/>
          <w:szCs w:val="32"/>
          <w:lang w:eastAsia="zh-CN"/>
        </w:rPr>
        <w:t>2022年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其他用车1辆</w:t>
      </w:r>
      <w:r>
        <w:rPr>
          <w:rFonts w:hint="eastAsia" w:ascii="仿宋_GB2312" w:eastAsia="仿宋_GB2312"/>
          <w:color w:val="000000"/>
          <w:sz w:val="32"/>
          <w:szCs w:val="32"/>
        </w:rPr>
        <w:t>。</w:t>
      </w:r>
    </w:p>
    <w:p>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3.32</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主要用于车辆的日常维修维护费用和过路费等</w:t>
      </w:r>
      <w:r>
        <w:rPr>
          <w:rFonts w:hint="eastAsia" w:ascii="仿宋_GB2312" w:eastAsia="仿宋_GB2312"/>
          <w:color w:val="000000"/>
          <w:sz w:val="32"/>
          <w:szCs w:val="32"/>
        </w:rPr>
        <w:t>。</w:t>
      </w:r>
    </w:p>
    <w:p>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4"/>
          <w:rFonts w:hint="eastAsia" w:ascii="仿宋" w:hAnsi="仿宋" w:eastAsia="仿宋"/>
          <w:b w:val="0"/>
          <w:bCs/>
          <w:color w:val="000000"/>
          <w:sz w:val="32"/>
          <w:szCs w:val="32"/>
        </w:rPr>
        <w:t>完成预算</w:t>
      </w:r>
      <w:r>
        <w:rPr>
          <w:rStyle w:val="24"/>
          <w:rFonts w:hint="eastAsia" w:ascii="仿宋" w:hAnsi="仿宋" w:eastAsia="仿宋"/>
          <w:b w:val="0"/>
          <w:bCs/>
          <w:color w:val="000000"/>
          <w:sz w:val="32"/>
          <w:szCs w:val="32"/>
          <w:lang w:val="en-US" w:eastAsia="zh-CN"/>
        </w:rPr>
        <w:t>100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hint="eastAsia" w:ascii="仿宋_GB2312" w:eastAsia="仿宋_GB2312"/>
          <w:color w:val="000000"/>
          <w:sz w:val="32"/>
          <w:szCs w:val="32"/>
          <w:lang w:eastAsia="zh-CN"/>
        </w:rPr>
        <w:t>2021年</w:t>
      </w:r>
      <w:r>
        <w:rPr>
          <w:rFonts w:hint="eastAsia" w:ascii="仿宋_GB2312" w:eastAsia="仿宋_GB2312"/>
          <w:color w:val="000000"/>
          <w:sz w:val="32"/>
          <w:szCs w:val="32"/>
        </w:rPr>
        <w:t>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2021年与2022年均无公务接待费支出</w:t>
      </w:r>
      <w:r>
        <w:rPr>
          <w:rFonts w:hint="eastAsia" w:ascii="仿宋_GB2312" w:eastAsia="仿宋_GB2312"/>
          <w:color w:val="000000"/>
          <w:sz w:val="32"/>
          <w:szCs w:val="32"/>
        </w:rPr>
        <w:t>。其中：</w:t>
      </w:r>
    </w:p>
    <w:p>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万元。国内公务接待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pageBreakBefore w:val="0"/>
        <w:widowControl w:val="0"/>
        <w:kinsoku/>
        <w:wordWrap/>
        <w:overflowPunct/>
        <w:topLinePunct w:val="0"/>
        <w:bidi w:val="0"/>
        <w:spacing w:line="560" w:lineRule="exact"/>
        <w:ind w:firstLine="643" w:firstLineChars="200"/>
        <w:textAlignment w:val="auto"/>
        <w:rPr>
          <w:rFonts w:ascii="仿宋_GB2312" w:eastAsia="仿宋_GB2312"/>
          <w:color w:val="000000"/>
          <w:sz w:val="32"/>
          <w:szCs w:val="32"/>
        </w:rPr>
      </w:pPr>
      <w:r>
        <w:rPr>
          <w:rFonts w:hint="eastAsia" w:ascii="仿宋" w:hAnsi="仿宋" w:eastAsia="仿宋"/>
          <w:b/>
          <w:color w:val="000000"/>
          <w:sz w:val="32"/>
          <w:szCs w:val="32"/>
        </w:rPr>
        <w:t>外事接待支出</w:t>
      </w:r>
      <w:r>
        <w:rPr>
          <w:rFonts w:hint="eastAsia" w:ascii="仿宋" w:hAnsi="仿宋" w:eastAsia="仿宋"/>
          <w:b/>
          <w:color w:val="000000"/>
          <w:sz w:val="32"/>
          <w:szCs w:val="32"/>
          <w:lang w:val="en-US" w:eastAsia="zh-CN"/>
        </w:rPr>
        <w:t>0</w:t>
      </w:r>
      <w:r>
        <w:rPr>
          <w:rFonts w:hint="eastAsia" w:ascii="仿宋_GB2312" w:eastAsia="仿宋_GB2312"/>
          <w:color w:val="000000"/>
          <w:sz w:val="32"/>
          <w:szCs w:val="32"/>
        </w:rPr>
        <w:t>万元，外事接待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pageBreakBefore w:val="0"/>
        <w:widowControl w:val="0"/>
        <w:kinsoku/>
        <w:wordWrap/>
        <w:overflowPunct/>
        <w:topLinePunct w:val="0"/>
        <w:bidi w:val="0"/>
        <w:spacing w:line="560" w:lineRule="exact"/>
        <w:ind w:firstLine="640" w:firstLineChars="200"/>
        <w:textAlignment w:val="auto"/>
        <w:rPr>
          <w:rFonts w:ascii="仿宋_GB2312" w:eastAsia="仿宋_GB2312"/>
          <w:color w:val="000000"/>
          <w:sz w:val="32"/>
          <w:szCs w:val="32"/>
        </w:rPr>
      </w:pPr>
    </w:p>
    <w:p>
      <w:pPr>
        <w:pageBreakBefore w:val="0"/>
        <w:widowControl w:val="0"/>
        <w:kinsoku/>
        <w:wordWrap/>
        <w:overflowPunct/>
        <w:topLinePunct w:val="0"/>
        <w:bidi w:val="0"/>
        <w:spacing w:line="560" w:lineRule="exact"/>
        <w:ind w:firstLine="640"/>
        <w:textAlignment w:val="auto"/>
        <w:outlineLvl w:val="1"/>
        <w:rPr>
          <w:rStyle w:val="28"/>
          <w:rFonts w:ascii="黑体" w:hAnsi="黑体" w:eastAsia="黑体"/>
        </w:rPr>
      </w:pPr>
      <w:bookmarkStart w:id="69" w:name="_Toc79163872"/>
      <w:bookmarkStart w:id="70" w:name="_Toc15377218"/>
      <w:bookmarkStart w:id="71" w:name="_Toc79163622"/>
      <w:bookmarkStart w:id="72" w:name="_Toc15396610"/>
      <w:r>
        <w:rPr>
          <w:rFonts w:hint="eastAsia" w:ascii="黑体" w:eastAsia="黑体"/>
          <w:color w:val="000000"/>
          <w:sz w:val="32"/>
          <w:szCs w:val="32"/>
        </w:rPr>
        <w:t>八、</w:t>
      </w:r>
      <w:r>
        <w:rPr>
          <w:rStyle w:val="28"/>
          <w:rFonts w:hint="eastAsia" w:ascii="黑体" w:hAnsi="黑体" w:eastAsia="黑体"/>
          <w:b w:val="0"/>
        </w:rPr>
        <w:t>政府性基金预算支出决算情况说明</w:t>
      </w:r>
      <w:bookmarkEnd w:id="69"/>
      <w:bookmarkEnd w:id="70"/>
      <w:bookmarkEnd w:id="71"/>
      <w:bookmarkEnd w:id="72"/>
    </w:p>
    <w:p>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hint="eastAsia" w:ascii="仿宋_GB2312" w:eastAsia="仿宋_GB2312"/>
          <w:color w:val="000000"/>
          <w:sz w:val="32"/>
          <w:szCs w:val="32"/>
          <w:lang w:eastAsia="zh-CN"/>
        </w:rPr>
        <w:t>2022年</w:t>
      </w:r>
      <w:r>
        <w:rPr>
          <w:rFonts w:hint="eastAsia" w:ascii="仿宋_GB2312" w:eastAsia="仿宋_GB2312"/>
          <w:color w:val="000000"/>
          <w:sz w:val="32"/>
          <w:szCs w:val="32"/>
        </w:rPr>
        <w:t>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p>
    <w:p>
      <w:pPr>
        <w:pageBreakBefore w:val="0"/>
        <w:widowControl w:val="0"/>
        <w:numPr>
          <w:ilvl w:val="0"/>
          <w:numId w:val="2"/>
        </w:numPr>
        <w:kinsoku/>
        <w:wordWrap/>
        <w:overflowPunct/>
        <w:topLinePunct w:val="0"/>
        <w:bidi w:val="0"/>
        <w:spacing w:line="560" w:lineRule="exact"/>
        <w:ind w:firstLine="640"/>
        <w:textAlignment w:val="auto"/>
        <w:outlineLvl w:val="1"/>
        <w:rPr>
          <w:rStyle w:val="28"/>
          <w:rFonts w:ascii="黑体" w:hAnsi="黑体" w:eastAsia="黑体"/>
          <w:b w:val="0"/>
        </w:rPr>
      </w:pPr>
      <w:bookmarkStart w:id="73" w:name="_Toc79163873"/>
      <w:bookmarkStart w:id="74" w:name="_Toc15377219"/>
      <w:bookmarkStart w:id="75" w:name="_Toc79163623"/>
      <w:bookmarkStart w:id="76" w:name="_Toc15396611"/>
      <w:r>
        <w:rPr>
          <w:rStyle w:val="28"/>
          <w:rFonts w:hint="eastAsia" w:ascii="黑体" w:hAnsi="黑体" w:eastAsia="黑体"/>
          <w:b w:val="0"/>
        </w:rPr>
        <w:t>国有资本经营预算支出决算情况说明</w:t>
      </w:r>
      <w:bookmarkEnd w:id="73"/>
      <w:bookmarkEnd w:id="74"/>
      <w:bookmarkEnd w:id="75"/>
      <w:bookmarkEnd w:id="76"/>
    </w:p>
    <w:p>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hint="eastAsia" w:ascii="仿宋_GB2312" w:eastAsia="仿宋_GB2312"/>
          <w:color w:val="000000"/>
          <w:sz w:val="32"/>
          <w:szCs w:val="32"/>
          <w:lang w:eastAsia="zh-CN"/>
        </w:rPr>
        <w:t>2022年</w:t>
      </w:r>
      <w:r>
        <w:rPr>
          <w:rFonts w:hint="eastAsia" w:ascii="仿宋_GB2312" w:eastAsia="仿宋_GB2312"/>
          <w:color w:val="000000"/>
          <w:sz w:val="32"/>
          <w:szCs w:val="32"/>
        </w:rPr>
        <w:t>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pageBreakBefore w:val="0"/>
        <w:widowControl w:val="0"/>
        <w:kinsoku/>
        <w:wordWrap/>
        <w:overflowPunct/>
        <w:topLinePunct w:val="0"/>
        <w:bidi w:val="0"/>
        <w:spacing w:line="560" w:lineRule="exact"/>
        <w:jc w:val="center"/>
        <w:textAlignment w:val="auto"/>
        <w:rPr>
          <w:rFonts w:ascii="方正小标宋简体" w:hAnsi="方正小标宋简体" w:eastAsia="方正小标宋简体" w:cs="方正小标宋简体"/>
          <w:sz w:val="44"/>
          <w:szCs w:val="44"/>
        </w:rPr>
      </w:pPr>
    </w:p>
    <w:p>
      <w:pPr>
        <w:pageBreakBefore w:val="0"/>
        <w:widowControl w:val="0"/>
        <w:kinsoku/>
        <w:wordWrap/>
        <w:overflowPunct/>
        <w:topLinePunct w:val="0"/>
        <w:bidi w:val="0"/>
        <w:spacing w:line="560" w:lineRule="exact"/>
        <w:ind w:firstLine="800" w:firstLineChars="250"/>
        <w:textAlignment w:val="auto"/>
        <w:outlineLvl w:val="1"/>
        <w:rPr>
          <w:rStyle w:val="28"/>
          <w:rFonts w:ascii="黑体" w:hAnsi="黑体" w:eastAsia="黑体"/>
        </w:rPr>
      </w:pPr>
      <w:bookmarkStart w:id="77" w:name="_Toc79163874"/>
      <w:bookmarkStart w:id="78" w:name="_Toc15377221"/>
      <w:bookmarkStart w:id="79" w:name="_Toc79163624"/>
      <w:bookmarkStart w:id="80" w:name="_Toc15396612"/>
      <w:r>
        <w:rPr>
          <w:rFonts w:hint="eastAsia" w:ascii="黑体" w:hAnsi="黑体" w:eastAsia="黑体"/>
          <w:color w:val="000000"/>
          <w:sz w:val="32"/>
          <w:szCs w:val="32"/>
        </w:rPr>
        <w:t>十</w:t>
      </w:r>
      <w:r>
        <w:rPr>
          <w:rStyle w:val="28"/>
          <w:rFonts w:hint="eastAsia" w:ascii="黑体" w:hAnsi="黑体" w:eastAsia="黑体"/>
        </w:rPr>
        <w:t>、</w:t>
      </w:r>
      <w:r>
        <w:rPr>
          <w:rStyle w:val="28"/>
          <w:rFonts w:hint="eastAsia" w:ascii="黑体" w:hAnsi="黑体" w:eastAsia="黑体"/>
          <w:b w:val="0"/>
        </w:rPr>
        <w:t>其他重要事项的情况说明</w:t>
      </w:r>
      <w:bookmarkEnd w:id="77"/>
      <w:bookmarkEnd w:id="78"/>
      <w:bookmarkEnd w:id="79"/>
      <w:bookmarkEnd w:id="80"/>
    </w:p>
    <w:p>
      <w:pPr>
        <w:pageBreakBefore w:val="0"/>
        <w:widowControl w:val="0"/>
        <w:kinsoku/>
        <w:wordWrap/>
        <w:overflowPunct/>
        <w:topLinePunct w:val="0"/>
        <w:bidi w:val="0"/>
        <w:spacing w:line="560" w:lineRule="exact"/>
        <w:ind w:firstLine="643" w:firstLineChars="200"/>
        <w:textAlignment w:val="auto"/>
        <w:outlineLvl w:val="2"/>
        <w:rPr>
          <w:rFonts w:ascii="仿宋" w:hAnsi="仿宋" w:eastAsia="仿宋"/>
          <w:color w:val="000000"/>
          <w:sz w:val="32"/>
          <w:szCs w:val="32"/>
        </w:rPr>
      </w:pPr>
      <w:bookmarkStart w:id="81" w:name="_Toc79163875"/>
      <w:bookmarkStart w:id="82" w:name="_Toc15377222"/>
      <w:bookmarkStart w:id="83" w:name="_Toc79163625"/>
      <w:r>
        <w:rPr>
          <w:rFonts w:hint="eastAsia" w:ascii="仿宋" w:hAnsi="仿宋" w:eastAsia="仿宋"/>
          <w:b/>
          <w:color w:val="000000"/>
          <w:sz w:val="32"/>
          <w:szCs w:val="32"/>
        </w:rPr>
        <w:t>（一）机关运行经费支出情况</w:t>
      </w:r>
      <w:bookmarkEnd w:id="81"/>
      <w:bookmarkEnd w:id="82"/>
      <w:bookmarkEnd w:id="83"/>
    </w:p>
    <w:p>
      <w:pPr>
        <w:pageBreakBefore w:val="0"/>
        <w:widowControl w:val="0"/>
        <w:kinsoku/>
        <w:wordWrap/>
        <w:overflowPunct/>
        <w:topLinePunct w:val="0"/>
        <w:bidi w:val="0"/>
        <w:spacing w:line="560" w:lineRule="exact"/>
        <w:ind w:firstLine="640" w:firstLineChars="200"/>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eastAsia="zh-CN"/>
        </w:rPr>
        <w:t>2022年</w:t>
      </w:r>
      <w:r>
        <w:rPr>
          <w:rFonts w:hint="eastAsia" w:ascii="仿宋_GB2312" w:eastAsia="仿宋_GB2312"/>
          <w:color w:val="000000"/>
          <w:sz w:val="32"/>
          <w:szCs w:val="32"/>
        </w:rPr>
        <w:t>，</w:t>
      </w:r>
      <w:r>
        <w:rPr>
          <w:rFonts w:hint="eastAsia" w:ascii="仿宋_GB2312" w:eastAsia="仿宋_GB2312"/>
          <w:color w:val="000000"/>
          <w:sz w:val="32"/>
          <w:szCs w:val="32"/>
          <w:lang w:eastAsia="zh-CN"/>
        </w:rPr>
        <w:t>阿坝州壤塘县委党校</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13.93</w:t>
      </w:r>
      <w:r>
        <w:rPr>
          <w:rFonts w:hint="eastAsia" w:ascii="仿宋_GB2312" w:eastAsia="仿宋_GB2312"/>
          <w:color w:val="000000"/>
          <w:sz w:val="32"/>
          <w:szCs w:val="32"/>
        </w:rPr>
        <w:t>万元，比</w:t>
      </w:r>
      <w:r>
        <w:rPr>
          <w:rFonts w:hint="eastAsia" w:ascii="仿宋_GB2312" w:eastAsia="仿宋_GB2312"/>
          <w:color w:val="000000"/>
          <w:sz w:val="32"/>
          <w:szCs w:val="32"/>
          <w:lang w:eastAsia="zh-CN"/>
        </w:rPr>
        <w:t>2021年</w:t>
      </w:r>
      <w:r>
        <w:rPr>
          <w:rFonts w:hint="eastAsia" w:ascii="仿宋_GB2312" w:eastAsia="仿宋_GB2312"/>
          <w:color w:val="000000"/>
          <w:sz w:val="32"/>
          <w:szCs w:val="32"/>
          <w:lang w:val="en-US" w:eastAsia="zh-CN"/>
        </w:rPr>
        <w:t>减少35.64</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下降71.90%</w:t>
      </w:r>
      <w:r>
        <w:rPr>
          <w:rFonts w:hint="eastAsia" w:ascii="仿宋_GB2312" w:eastAsia="仿宋_GB2312"/>
          <w:color w:val="000000"/>
          <w:sz w:val="32"/>
          <w:szCs w:val="32"/>
        </w:rPr>
        <w:t>。主要原因是当年人员变动和工作变动导致机关运行费用变化较大</w:t>
      </w:r>
      <w:r>
        <w:rPr>
          <w:rFonts w:hint="eastAsia" w:ascii="仿宋_GB2312" w:eastAsia="仿宋_GB2312"/>
          <w:color w:val="000000"/>
          <w:sz w:val="32"/>
          <w:szCs w:val="32"/>
          <w:lang w:eastAsia="zh-CN"/>
        </w:rPr>
        <w:t>。</w:t>
      </w:r>
    </w:p>
    <w:p>
      <w:pPr>
        <w:pageBreakBefore w:val="0"/>
        <w:widowControl w:val="0"/>
        <w:kinsoku/>
        <w:wordWrap/>
        <w:overflowPunct/>
        <w:topLinePunct w:val="0"/>
        <w:autoSpaceDE w:val="0"/>
        <w:autoSpaceDN w:val="0"/>
        <w:bidi w:val="0"/>
        <w:adjustRightInd w:val="0"/>
        <w:spacing w:line="560" w:lineRule="exact"/>
        <w:ind w:firstLine="643" w:firstLineChars="200"/>
        <w:jc w:val="left"/>
        <w:textAlignment w:val="auto"/>
        <w:outlineLvl w:val="2"/>
        <w:rPr>
          <w:rFonts w:ascii="仿宋" w:hAnsi="仿宋" w:eastAsia="仿宋"/>
          <w:b/>
          <w:color w:val="000000"/>
          <w:sz w:val="32"/>
          <w:szCs w:val="32"/>
        </w:rPr>
      </w:pPr>
      <w:bookmarkStart w:id="84" w:name="_Toc79163876"/>
      <w:bookmarkStart w:id="85" w:name="_Toc15377223"/>
      <w:bookmarkStart w:id="86" w:name="_Toc79163626"/>
      <w:r>
        <w:rPr>
          <w:rFonts w:hint="eastAsia" w:ascii="仿宋" w:hAnsi="仿宋" w:eastAsia="仿宋"/>
          <w:b/>
          <w:color w:val="000000"/>
          <w:sz w:val="32"/>
          <w:szCs w:val="32"/>
        </w:rPr>
        <w:t>（二）政府采购支出情况</w:t>
      </w:r>
      <w:bookmarkEnd w:id="84"/>
      <w:bookmarkEnd w:id="85"/>
      <w:bookmarkEnd w:id="86"/>
    </w:p>
    <w:p>
      <w:pPr>
        <w:pageBreakBefore w:val="0"/>
        <w:widowControl w:val="0"/>
        <w:kinsoku/>
        <w:wordWrap/>
        <w:overflowPunct/>
        <w:topLinePunct w:val="0"/>
        <w:bidi w:val="0"/>
        <w:spacing w:line="56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eastAsia="zh-CN"/>
        </w:rPr>
        <w:t>2022年</w:t>
      </w:r>
      <w:r>
        <w:rPr>
          <w:rFonts w:hint="eastAsia" w:ascii="仿宋_GB2312" w:eastAsia="仿宋_GB2312"/>
          <w:color w:val="000000"/>
          <w:sz w:val="32"/>
          <w:szCs w:val="32"/>
        </w:rPr>
        <w:t>，</w:t>
      </w:r>
      <w:r>
        <w:rPr>
          <w:rFonts w:hint="eastAsia" w:ascii="仿宋_GB2312" w:eastAsia="仿宋_GB2312"/>
          <w:color w:val="000000"/>
          <w:sz w:val="32"/>
          <w:szCs w:val="32"/>
          <w:lang w:eastAsia="zh-CN"/>
        </w:rPr>
        <w:t>阿坝州壤塘县委党校</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w:t>
      </w:r>
      <w:r>
        <w:rPr>
          <w:rFonts w:hint="eastAsia" w:ascii="仿宋_GB2312" w:eastAsia="仿宋_GB2312"/>
          <w:color w:val="000000"/>
          <w:sz w:val="32"/>
          <w:szCs w:val="32"/>
          <w:lang w:val="en-US" w:eastAsia="zh-CN"/>
        </w:rPr>
        <w:t>日常办公用品的采购支出</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pageBreakBefore w:val="0"/>
        <w:widowControl w:val="0"/>
        <w:kinsoku/>
        <w:wordWrap/>
        <w:overflowPunct/>
        <w:topLinePunct w:val="0"/>
        <w:autoSpaceDE w:val="0"/>
        <w:autoSpaceDN w:val="0"/>
        <w:bidi w:val="0"/>
        <w:adjustRightInd w:val="0"/>
        <w:spacing w:line="560" w:lineRule="exact"/>
        <w:ind w:firstLine="643" w:firstLineChars="200"/>
        <w:jc w:val="left"/>
        <w:textAlignment w:val="auto"/>
        <w:outlineLvl w:val="2"/>
        <w:rPr>
          <w:rFonts w:ascii="仿宋" w:hAnsi="仿宋" w:eastAsia="仿宋"/>
          <w:b/>
          <w:color w:val="000000"/>
          <w:sz w:val="32"/>
          <w:szCs w:val="32"/>
        </w:rPr>
      </w:pPr>
      <w:bookmarkStart w:id="87" w:name="_Toc79163627"/>
      <w:bookmarkStart w:id="88" w:name="_Toc15377224"/>
      <w:bookmarkStart w:id="89" w:name="_Toc79163877"/>
      <w:r>
        <w:rPr>
          <w:rFonts w:hint="eastAsia" w:ascii="仿宋" w:hAnsi="仿宋" w:eastAsia="仿宋"/>
          <w:b/>
          <w:color w:val="000000"/>
          <w:sz w:val="32"/>
          <w:szCs w:val="32"/>
        </w:rPr>
        <w:t>（三）国有资产占有使用情况</w:t>
      </w:r>
      <w:bookmarkEnd w:id="87"/>
      <w:bookmarkEnd w:id="88"/>
      <w:bookmarkEnd w:id="89"/>
    </w:p>
    <w:p>
      <w:pPr>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ascii="仿宋" w:hAnsi="仿宋" w:eastAsia="仿宋"/>
          <w:b/>
          <w:color w:val="FF0000"/>
          <w:sz w:val="32"/>
          <w:szCs w:val="32"/>
        </w:rPr>
      </w:pPr>
      <w:r>
        <w:rPr>
          <w:rFonts w:hint="eastAsia" w:ascii="仿宋_GB2312" w:eastAsia="仿宋_GB2312"/>
          <w:color w:val="000000"/>
          <w:sz w:val="32"/>
          <w:szCs w:val="32"/>
        </w:rPr>
        <w:t>截至</w:t>
      </w:r>
      <w:r>
        <w:rPr>
          <w:rFonts w:hint="eastAsia" w:ascii="仿宋_GB2312" w:eastAsia="仿宋_GB2312"/>
          <w:color w:val="000000"/>
          <w:sz w:val="32"/>
          <w:szCs w:val="32"/>
          <w:lang w:eastAsia="zh-CN"/>
        </w:rPr>
        <w:t>2022年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阿坝州壤塘县委党校</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其他用车主要是用于</w:t>
      </w:r>
      <w:r>
        <w:rPr>
          <w:rFonts w:hint="eastAsia" w:ascii="仿宋_GB2312" w:eastAsia="仿宋_GB2312"/>
          <w:color w:val="000000"/>
          <w:sz w:val="32"/>
          <w:szCs w:val="32"/>
          <w:lang w:val="en-US" w:eastAsia="zh-CN"/>
        </w:rPr>
        <w:t>单位日常活动，</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pageBreakBefore w:val="0"/>
        <w:widowControl w:val="0"/>
        <w:kinsoku/>
        <w:wordWrap/>
        <w:overflowPunct/>
        <w:topLinePunct w:val="0"/>
        <w:autoSpaceDE w:val="0"/>
        <w:autoSpaceDN w:val="0"/>
        <w:bidi w:val="0"/>
        <w:adjustRightInd w:val="0"/>
        <w:spacing w:line="560" w:lineRule="exact"/>
        <w:ind w:firstLine="643" w:firstLineChars="200"/>
        <w:jc w:val="left"/>
        <w:textAlignment w:val="auto"/>
        <w:outlineLvl w:val="2"/>
        <w:rPr>
          <w:rFonts w:ascii="仿宋" w:hAnsi="仿宋" w:eastAsia="仿宋"/>
          <w:b/>
          <w:color w:val="000000"/>
          <w:sz w:val="32"/>
          <w:szCs w:val="32"/>
        </w:rPr>
      </w:pPr>
      <w:bookmarkStart w:id="90" w:name="_Toc79163878"/>
      <w:bookmarkStart w:id="91" w:name="_Toc79163628"/>
      <w:r>
        <w:rPr>
          <w:rFonts w:hint="eastAsia" w:ascii="仿宋" w:hAnsi="仿宋" w:eastAsia="仿宋"/>
          <w:b/>
          <w:color w:val="000000"/>
          <w:sz w:val="32"/>
          <w:szCs w:val="32"/>
        </w:rPr>
        <w:t>（四）预算绩效管理情况。</w:t>
      </w:r>
      <w:bookmarkEnd w:id="90"/>
      <w:bookmarkEnd w:id="91"/>
    </w:p>
    <w:p>
      <w:pPr>
        <w:pageBreakBefore w:val="0"/>
        <w:widowControl w:val="0"/>
        <w:kinsoku/>
        <w:wordWrap/>
        <w:overflowPunct/>
        <w:topLinePunct w:val="0"/>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根据预算绩效管理要求，本单位在年初预算编制阶段，组织对</w:t>
      </w:r>
      <w:r>
        <w:rPr>
          <w:rFonts w:hint="eastAsia" w:ascii="仿宋_GB2312" w:hAnsi="仿宋_GB2312" w:eastAsia="仿宋_GB2312" w:cs="仿宋_GB2312"/>
          <w:sz w:val="32"/>
          <w:szCs w:val="32"/>
          <w:lang w:val="en-US" w:eastAsia="zh-CN"/>
        </w:rPr>
        <w:t>0个</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个项目开展了绩效目标完成情况自评。</w:t>
      </w:r>
    </w:p>
    <w:p>
      <w:pPr>
        <w:pageBreakBefore w:val="0"/>
        <w:widowControl w:val="0"/>
        <w:kinsoku/>
        <w:wordWrap/>
        <w:overflowPunct/>
        <w:topLinePunct w:val="0"/>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hint="eastAsia" w:ascii="仿宋_GB2312" w:hAnsi="仿宋_GB2312" w:eastAsia="仿宋_GB2312" w:cs="仿宋_GB2312"/>
          <w:sz w:val="32"/>
          <w:szCs w:val="32"/>
          <w:lang w:eastAsia="zh-CN"/>
        </w:rPr>
        <w:t>2022年</w:t>
      </w:r>
      <w:r>
        <w:rPr>
          <w:rFonts w:hint="eastAsia" w:ascii="仿宋_GB2312" w:hAnsi="仿宋_GB2312" w:eastAsia="仿宋_GB2312" w:cs="仿宋_GB2312"/>
          <w:sz w:val="32"/>
          <w:szCs w:val="32"/>
        </w:rPr>
        <w:t>部门整体支出开展绩效自评，从评价情况来看我</w:t>
      </w:r>
      <w:r>
        <w:rPr>
          <w:rFonts w:hint="eastAsia" w:ascii="仿宋_GB2312" w:hAnsi="仿宋_GB2312" w:eastAsia="仿宋_GB2312" w:cs="仿宋_GB2312"/>
          <w:sz w:val="32"/>
          <w:szCs w:val="32"/>
          <w:lang w:eastAsia="zh-CN"/>
        </w:rPr>
        <w:t>单位2022年</w:t>
      </w:r>
      <w:r>
        <w:rPr>
          <w:rFonts w:hint="eastAsia" w:ascii="仿宋_GB2312" w:hAnsi="仿宋_GB2312" w:eastAsia="仿宋_GB2312" w:cs="仿宋_GB2312"/>
          <w:sz w:val="32"/>
          <w:szCs w:val="32"/>
        </w:rPr>
        <w:t>部门整体支出情况良好，从预算到执行和收入、支出管理均严格按照相关要求进行，全年收支平衡，有效保障了单位正常运转，圆满完成了单位目标任务。本部门无专项预算项目，因此未组织开展项目支出绩效评价。</w:t>
      </w:r>
    </w:p>
    <w:p>
      <w:pPr>
        <w:pageBreakBefore w:val="0"/>
        <w:widowControl w:val="0"/>
        <w:kinsoku/>
        <w:wordWrap/>
        <w:overflowPunct/>
        <w:topLinePunct w:val="0"/>
        <w:bidi w:val="0"/>
        <w:spacing w:line="560" w:lineRule="exact"/>
        <w:ind w:firstLine="640" w:firstLineChars="200"/>
        <w:textAlignment w:val="auto"/>
        <w:rPr>
          <w:rFonts w:hint="eastAsia" w:ascii="楷体_GB2312" w:hAnsi="楷体_GB2312" w:eastAsia="楷体_GB2312" w:cs="楷体_GB2312"/>
          <w:sz w:val="32"/>
          <w:szCs w:val="32"/>
          <w:lang w:eastAsia="zh-CN"/>
        </w:rPr>
      </w:pPr>
      <w:r>
        <w:rPr>
          <w:rFonts w:ascii="楷体_GB2312" w:hAnsi="楷体_GB2312" w:eastAsia="楷体_GB2312" w:cs="楷体_GB2312"/>
          <w:sz w:val="32"/>
          <w:szCs w:val="32"/>
        </w:rPr>
        <w:t>1.</w:t>
      </w:r>
      <w:r>
        <w:rPr>
          <w:rFonts w:hint="eastAsia" w:ascii="楷体_GB2312" w:hAnsi="楷体_GB2312" w:eastAsia="楷体_GB2312" w:cs="楷体_GB2312"/>
          <w:sz w:val="32"/>
          <w:szCs w:val="32"/>
        </w:rPr>
        <w:t>项目绩效目标完成情况。</w:t>
      </w:r>
    </w:p>
    <w:p>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本部门在</w:t>
      </w:r>
      <w:r>
        <w:rPr>
          <w:rFonts w:hint="eastAsia" w:ascii="仿宋_GB2312" w:hAnsi="仿宋_GB2312" w:eastAsia="仿宋_GB2312" w:cs="仿宋_GB2312"/>
          <w:sz w:val="32"/>
          <w:szCs w:val="32"/>
          <w:lang w:eastAsia="zh-CN"/>
        </w:rPr>
        <w:t>2022年</w:t>
      </w:r>
      <w:r>
        <w:rPr>
          <w:rFonts w:hint="eastAsia" w:ascii="仿宋_GB2312" w:hAnsi="仿宋_GB2312" w:eastAsia="仿宋_GB2312" w:cs="仿宋_GB2312"/>
          <w:sz w:val="32"/>
          <w:szCs w:val="32"/>
        </w:rPr>
        <w:t>度部门决算中反映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个项目绩效目标实际完成情况。（本单位部门项目绩效目标个数在</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个以上的，选取</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个项目进行公开，目标个数在</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个以下的，全部进行公开，公开内容包括选取的全部项目完成情况综述和完成情况表）。</w:t>
      </w:r>
    </w:p>
    <w:p>
      <w:pPr>
        <w:spacing w:line="580" w:lineRule="exact"/>
        <w:ind w:left="630"/>
        <w:rPr>
          <w:rFonts w:ascii="仿宋_GB2312" w:hAnsi="仿宋_GB2312" w:eastAsia="仿宋_GB2312" w:cs="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hint="eastAsia" w:ascii="仿宋_GB2312" w:hAnsi="仿宋_GB2312" w:eastAsia="仿宋_GB2312" w:cs="仿宋_GB2312"/>
          <w:sz w:val="32"/>
          <w:szCs w:val="32"/>
          <w:lang w:eastAsia="zh-CN"/>
        </w:rPr>
        <w:t>2022年</w:t>
      </w:r>
      <w:r>
        <w:rPr>
          <w:rFonts w:hint="eastAsia" w:ascii="仿宋_GB2312" w:hAnsi="仿宋_GB2312" w:eastAsia="仿宋_GB2312" w:cs="仿宋_GB2312"/>
          <w:sz w:val="32"/>
          <w:szCs w:val="32"/>
        </w:rPr>
        <w:t>部门整体支出绩效评价情况开展自评，《</w:t>
      </w:r>
      <w:r>
        <w:rPr>
          <w:rFonts w:hint="eastAsia" w:ascii="仿宋_GB2312" w:hAnsi="仿宋_GB2312" w:eastAsia="仿宋_GB2312" w:cs="仿宋_GB2312"/>
          <w:sz w:val="32"/>
          <w:szCs w:val="32"/>
          <w:lang w:eastAsia="zh-CN"/>
        </w:rPr>
        <w:t>阿坝州壤塘县委党校2022年</w:t>
      </w:r>
      <w:r>
        <w:rPr>
          <w:rFonts w:hint="eastAsia" w:ascii="仿宋_GB2312" w:hAnsi="仿宋_GB2312" w:eastAsia="仿宋_GB2312" w:cs="仿宋_GB2312"/>
          <w:sz w:val="32"/>
          <w:szCs w:val="32"/>
        </w:rPr>
        <w:t>部门整体支出绩效评价报告》见附件（附件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val="en-US" w:eastAsia="zh-CN"/>
        </w:rPr>
        <w:t>0个</w:t>
      </w:r>
      <w:r>
        <w:rPr>
          <w:rFonts w:hint="eastAsia" w:ascii="仿宋_GB2312" w:hAnsi="仿宋_GB2312" w:eastAsia="仿宋_GB2312" w:cs="仿宋_GB2312"/>
          <w:sz w:val="32"/>
          <w:szCs w:val="32"/>
        </w:rPr>
        <w:t>项目开展了绩效评价。</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3"/>
        </w:numPr>
        <w:spacing w:line="600" w:lineRule="exact"/>
        <w:ind w:firstLine="660" w:firstLineChars="150"/>
        <w:jc w:val="center"/>
        <w:outlineLvl w:val="0"/>
        <w:rPr>
          <w:rStyle w:val="27"/>
          <w:rFonts w:ascii="黑体" w:hAnsi="黑体" w:eastAsia="黑体"/>
          <w:b w:val="0"/>
        </w:rPr>
      </w:pPr>
      <w:bookmarkStart w:id="92" w:name="_Toc15377225"/>
      <w:bookmarkStart w:id="93" w:name="_Toc79163629"/>
      <w:bookmarkStart w:id="94" w:name="_Toc79163879"/>
      <w:bookmarkStart w:id="95" w:name="_Toc15396613"/>
      <w:r>
        <w:rPr>
          <w:rFonts w:hint="eastAsia" w:ascii="黑体" w:hAnsi="黑体" w:eastAsia="黑体"/>
          <w:color w:val="000000"/>
          <w:sz w:val="44"/>
          <w:szCs w:val="44"/>
        </w:rPr>
        <w:t>名</w:t>
      </w:r>
      <w:r>
        <w:rPr>
          <w:rStyle w:val="27"/>
          <w:rFonts w:hint="eastAsia" w:ascii="黑体" w:hAnsi="黑体" w:eastAsia="黑体"/>
          <w:b w:val="0"/>
        </w:rPr>
        <w:t>词解释</w:t>
      </w:r>
      <w:bookmarkEnd w:id="92"/>
      <w:bookmarkEnd w:id="93"/>
      <w:bookmarkEnd w:id="94"/>
      <w:bookmarkEnd w:id="95"/>
    </w:p>
    <w:p>
      <w:pPr>
        <w:spacing w:line="600" w:lineRule="exact"/>
        <w:jc w:val="left"/>
        <w:rPr>
          <w:rFonts w:ascii="宋体"/>
          <w:b/>
          <w:color w:val="000000"/>
          <w:sz w:val="44"/>
          <w:szCs w:val="44"/>
        </w:rPr>
      </w:pPr>
    </w:p>
    <w:p>
      <w:pPr>
        <w:pStyle w:val="37"/>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37"/>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事业收入：指事业单位开展专业业务活动及辅助活动取得的收入。（二级预算单位事业收入情况）等。</w:t>
      </w:r>
    </w:p>
    <w:p>
      <w:pPr>
        <w:pStyle w:val="37"/>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经营收入：指事业单位在专业业务活动及其辅助活动之外开展非独立核算经营活动取得的收入。（二级预算单位经营收入情况）等。</w:t>
      </w:r>
    </w:p>
    <w:p>
      <w:pPr>
        <w:pStyle w:val="37"/>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37"/>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37"/>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37"/>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37"/>
        <w:spacing w:line="560" w:lineRule="exact"/>
        <w:ind w:firstLine="640" w:firstLineChars="200"/>
        <w:rPr>
          <w:rFonts w:hint="eastAsia"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pStyle w:val="37"/>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9.</w:t>
      </w:r>
      <w:r>
        <w:rPr>
          <w:rFonts w:hint="eastAsia" w:ascii="仿宋_GB2312" w:eastAsia="仿宋_GB2312"/>
          <w:sz w:val="32"/>
          <w:szCs w:val="32"/>
          <w:lang w:eastAsia="zh-CN"/>
        </w:rPr>
        <w:t>教育支出</w:t>
      </w:r>
      <w:r>
        <w:rPr>
          <w:rFonts w:hint="eastAsia" w:ascii="仿宋_GB2312" w:eastAsia="仿宋_GB2312"/>
          <w:sz w:val="32"/>
          <w:szCs w:val="32"/>
          <w:lang w:val="en-US" w:eastAsia="zh-CN"/>
        </w:rPr>
        <w:t>（类）</w:t>
      </w:r>
      <w:r>
        <w:rPr>
          <w:rFonts w:hint="eastAsia" w:ascii="仿宋_GB2312" w:eastAsia="仿宋_GB2312"/>
          <w:sz w:val="32"/>
          <w:szCs w:val="32"/>
        </w:rPr>
        <w:t>进修及培训</w:t>
      </w:r>
      <w:r>
        <w:rPr>
          <w:rFonts w:hint="eastAsia" w:ascii="仿宋_GB2312" w:eastAsia="仿宋_GB2312"/>
          <w:sz w:val="32"/>
          <w:szCs w:val="32"/>
          <w:lang w:val="en-US" w:eastAsia="zh-CN"/>
        </w:rPr>
        <w:t>（款）</w:t>
      </w:r>
      <w:r>
        <w:rPr>
          <w:rFonts w:hint="eastAsia" w:ascii="仿宋_GB2312" w:eastAsia="仿宋_GB2312"/>
          <w:sz w:val="32"/>
          <w:szCs w:val="32"/>
        </w:rPr>
        <w:t>干部教育</w:t>
      </w:r>
      <w:r>
        <w:rPr>
          <w:rFonts w:hint="eastAsia" w:ascii="仿宋_GB2312" w:eastAsia="仿宋_GB2312"/>
          <w:sz w:val="32"/>
          <w:szCs w:val="32"/>
          <w:lang w:val="en-US" w:eastAsia="zh-CN"/>
        </w:rPr>
        <w:t>（项）：指各级党校、行政学院、社会主义学院、国家会计学院的支出。包括机构运转、招聘师资、举办各类培训班的支出等。</w:t>
      </w:r>
    </w:p>
    <w:p>
      <w:pPr>
        <w:pStyle w:val="37"/>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lang w:eastAsia="zh-CN"/>
        </w:rPr>
        <w:t>教育支出</w:t>
      </w:r>
      <w:r>
        <w:rPr>
          <w:rFonts w:hint="eastAsia" w:ascii="仿宋_GB2312" w:eastAsia="仿宋_GB2312"/>
          <w:sz w:val="32"/>
          <w:szCs w:val="32"/>
          <w:lang w:val="en-US" w:eastAsia="zh-CN"/>
        </w:rPr>
        <w:t>（类）</w:t>
      </w:r>
      <w:r>
        <w:rPr>
          <w:rFonts w:hint="eastAsia" w:ascii="仿宋_GB2312" w:eastAsia="仿宋_GB2312"/>
          <w:sz w:val="32"/>
          <w:szCs w:val="32"/>
        </w:rPr>
        <w:t>进修及培训</w:t>
      </w:r>
      <w:r>
        <w:rPr>
          <w:rFonts w:hint="eastAsia" w:ascii="仿宋_GB2312" w:eastAsia="仿宋_GB2312"/>
          <w:sz w:val="32"/>
          <w:szCs w:val="32"/>
          <w:lang w:val="en-US" w:eastAsia="zh-CN"/>
        </w:rPr>
        <w:t>（款）</w:t>
      </w:r>
      <w:r>
        <w:rPr>
          <w:rFonts w:hint="eastAsia" w:ascii="仿宋_GB2312" w:eastAsia="仿宋_GB2312"/>
          <w:sz w:val="32"/>
          <w:szCs w:val="32"/>
        </w:rPr>
        <w:t>其他进修及培训</w:t>
      </w:r>
      <w:r>
        <w:rPr>
          <w:rFonts w:hint="eastAsia" w:ascii="仿宋_GB2312" w:eastAsia="仿宋_GB2312"/>
          <w:sz w:val="32"/>
          <w:szCs w:val="32"/>
          <w:lang w:val="en-US" w:eastAsia="zh-CN"/>
        </w:rPr>
        <w:t>（项）：指其他用于进修及培训方面的支出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.社会保障和就业（类）行政事业单位养老支出（款）机关事业单位基本养老保险缴费支出（项）：指机关事业单位实施养老保险制度由单位缴纳的基本养老保险费支出。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 社会保障和就业（类）行政事业单位养老支出（款）机关事业单位职业年金缴费支出（项）：指机关事业单位养老保险制度由单位缴纳的职业年金支出。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.卫生健康支出（类）行政事业单位医疗（款）事业单位医疗（项）：指财政部门集中安排的事业单位基本医疗保险缴费。</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.住房保障（类）住房改革（款）住房公积金（项）：指行政事业单位按规定的标准和比例为职工缴纳的住房公积金。</w:t>
      </w:r>
    </w:p>
    <w:p>
      <w:pPr>
        <w:pStyle w:val="37"/>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.基本支出：指为保障机构正常运转、完成日常工作任务而发生的人员支出和公用支出。</w:t>
      </w:r>
    </w:p>
    <w:p>
      <w:pPr>
        <w:pStyle w:val="37"/>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.项目支出：指在基本支出之外为完成特定行政任务和事业发展目标所发生的支出。</w:t>
      </w:r>
    </w:p>
    <w:p>
      <w:pPr>
        <w:pStyle w:val="37"/>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.经营支出：指事业单位在专业业务活动及其辅助活动之外开展非独立核算经营活动发生的支出。</w:t>
      </w:r>
    </w:p>
    <w:p>
      <w:pPr>
        <w:pStyle w:val="37"/>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7"/>
        <w:spacing w:line="560" w:lineRule="exact"/>
        <w:ind w:firstLine="640" w:firstLineChars="200"/>
        <w:rPr>
          <w:rFonts w:ascii="仿宋_GB2312" w:eastAsia="仿宋_GB2312"/>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eastAsia="仿宋_GB2312"/>
          <w:sz w:val="32"/>
          <w:szCs w:val="32"/>
        </w:rPr>
        <w:t>。</w:t>
      </w:r>
    </w:p>
    <w:p>
      <w:pPr>
        <w:spacing w:line="600" w:lineRule="exact"/>
        <w:jc w:val="center"/>
        <w:outlineLvl w:val="0"/>
        <w:rPr>
          <w:rStyle w:val="27"/>
          <w:rFonts w:ascii="黑体" w:hAnsi="黑体" w:eastAsia="黑体"/>
          <w:b w:val="0"/>
        </w:rPr>
      </w:pPr>
      <w:bookmarkStart w:id="96" w:name="_Toc15377226"/>
      <w:r>
        <w:rPr>
          <w:rFonts w:ascii="宋体"/>
          <w:b/>
          <w:color w:val="000000"/>
          <w:sz w:val="44"/>
          <w:szCs w:val="44"/>
        </w:rPr>
        <w:br w:type="page"/>
      </w:r>
      <w:bookmarkStart w:id="97" w:name="_Toc79163880"/>
      <w:bookmarkStart w:id="98" w:name="_Toc15396614"/>
      <w:bookmarkStart w:id="99" w:name="_Toc79163630"/>
      <w:r>
        <w:rPr>
          <w:rFonts w:hint="eastAsia" w:ascii="黑体" w:hAnsi="黑体" w:eastAsia="黑体"/>
          <w:color w:val="000000"/>
          <w:sz w:val="44"/>
          <w:szCs w:val="44"/>
        </w:rPr>
        <w:t>第</w:t>
      </w:r>
      <w:r>
        <w:rPr>
          <w:rStyle w:val="27"/>
          <w:rFonts w:hint="eastAsia" w:ascii="黑体" w:hAnsi="黑体" w:eastAsia="黑体"/>
          <w:b w:val="0"/>
        </w:rPr>
        <w:t>四部分</w:t>
      </w:r>
      <w:r>
        <w:rPr>
          <w:rStyle w:val="27"/>
          <w:rFonts w:ascii="黑体" w:hAnsi="黑体" w:eastAsia="黑体"/>
          <w:b w:val="0"/>
        </w:rPr>
        <w:t xml:space="preserve"> </w:t>
      </w:r>
      <w:r>
        <w:rPr>
          <w:rStyle w:val="27"/>
          <w:rFonts w:hint="eastAsia" w:ascii="黑体" w:hAnsi="黑体" w:eastAsia="黑体"/>
          <w:b w:val="0"/>
        </w:rPr>
        <w:t>附件</w:t>
      </w:r>
      <w:bookmarkEnd w:id="97"/>
      <w:bookmarkEnd w:id="98"/>
      <w:bookmarkEnd w:id="99"/>
    </w:p>
    <w:p>
      <w:pPr>
        <w:spacing w:line="600" w:lineRule="exact"/>
        <w:jc w:val="left"/>
        <w:outlineLvl w:val="0"/>
        <w:rPr>
          <w:rFonts w:ascii="方正小标宋简体" w:hAnsi="方正小标宋简体" w:eastAsia="方正小标宋简体" w:cs="方正小标宋简体"/>
          <w:sz w:val="32"/>
          <w:szCs w:val="32"/>
        </w:rPr>
      </w:pPr>
      <w:bookmarkStart w:id="100" w:name="_Toc79163631"/>
      <w:bookmarkStart w:id="101" w:name="_Toc79163881"/>
      <w:r>
        <w:rPr>
          <w:rFonts w:hint="eastAsia" w:ascii="黑体" w:hAnsi="黑体" w:eastAsia="黑体" w:cs="黑体"/>
          <w:sz w:val="32"/>
          <w:szCs w:val="32"/>
        </w:rPr>
        <w:t>附件</w:t>
      </w:r>
      <w:r>
        <w:rPr>
          <w:rFonts w:ascii="黑体" w:hAnsi="黑体" w:eastAsia="黑体" w:cs="黑体"/>
          <w:sz w:val="32"/>
          <w:szCs w:val="32"/>
        </w:rPr>
        <w:t>1</w:t>
      </w:r>
      <w:bookmarkEnd w:id="100"/>
      <w:bookmarkEnd w:id="101"/>
    </w:p>
    <w:p>
      <w:pPr>
        <w:spacing w:line="580" w:lineRule="exact"/>
        <w:jc w:val="center"/>
        <w:rPr>
          <w:rFonts w:ascii="方正小标宋简体" w:hAnsi="方正小标宋简体" w:eastAsia="方正小标宋简体" w:cs="方正小标宋简体"/>
          <w:sz w:val="44"/>
          <w:szCs w:val="44"/>
        </w:rPr>
      </w:pPr>
    </w:p>
    <w:p>
      <w:pPr>
        <w:spacing w:line="360" w:lineRule="auto"/>
        <w:jc w:val="center"/>
        <w:rPr>
          <w:rFonts w:hint="eastAsia" w:ascii="宋体" w:hAnsi="宋体" w:cs="宋体"/>
          <w:b/>
          <w:bCs/>
          <w:kern w:val="0"/>
          <w:sz w:val="44"/>
          <w:szCs w:val="44"/>
        </w:rPr>
      </w:pPr>
      <w:r>
        <w:rPr>
          <w:rFonts w:hint="eastAsia" w:ascii="宋体" w:hAnsi="宋体" w:cs="宋体"/>
          <w:b/>
          <w:bCs/>
          <w:kern w:val="0"/>
          <w:sz w:val="44"/>
          <w:szCs w:val="44"/>
        </w:rPr>
        <w:t>中共壤塘县委党校</w:t>
      </w:r>
    </w:p>
    <w:p>
      <w:pPr>
        <w:spacing w:line="360" w:lineRule="auto"/>
        <w:jc w:val="center"/>
        <w:rPr>
          <w:rFonts w:ascii="宋体" w:hAnsi="宋体" w:cs="宋体"/>
          <w:b/>
          <w:bCs/>
          <w:kern w:val="0"/>
          <w:sz w:val="44"/>
          <w:szCs w:val="44"/>
        </w:rPr>
      </w:pPr>
      <w:r>
        <w:rPr>
          <w:rFonts w:hint="eastAsia" w:ascii="宋体" w:hAnsi="宋体" w:cs="宋体"/>
          <w:b/>
          <w:bCs/>
          <w:kern w:val="0"/>
          <w:sz w:val="44"/>
          <w:szCs w:val="44"/>
        </w:rPr>
        <w:t>2022年度部门整体支出绩效评价自评报告</w:t>
      </w:r>
    </w:p>
    <w:p>
      <w:pPr>
        <w:spacing w:line="360" w:lineRule="auto"/>
        <w:jc w:val="center"/>
        <w:rPr>
          <w:rFonts w:ascii="宋体" w:hAnsi="宋体" w:cs="宋体"/>
          <w:kern w:val="0"/>
          <w:szCs w:val="21"/>
        </w:rPr>
      </w:pPr>
    </w:p>
    <w:p>
      <w:pPr>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rPr>
        <w:t>一、部门（单位）概况</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中共壤塘县委党校机构性质：机关，机构地址：四川省阿坝州壤塘县壤柯镇罗吾塘前街56号，单位负责人：曾勇。</w:t>
      </w:r>
    </w:p>
    <w:p>
      <w:pPr>
        <w:spacing w:line="360" w:lineRule="auto"/>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（一）机构组成</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中共壤塘县委党校</w:t>
      </w:r>
      <w:r>
        <w:rPr>
          <w:rFonts w:hint="eastAsia" w:ascii="仿宋_GB2312" w:hAnsi="仿宋_GB2312" w:eastAsia="仿宋_GB2312" w:cs="仿宋_GB2312"/>
          <w:b w:val="0"/>
          <w:bCs w:val="0"/>
          <w:color w:val="auto"/>
          <w:sz w:val="32"/>
          <w:szCs w:val="32"/>
        </w:rPr>
        <w:t>共有</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个股室，办公室</w:t>
      </w:r>
      <w:r>
        <w:rPr>
          <w:rFonts w:hint="eastAsia" w:ascii="仿宋_GB2312" w:hAnsi="仿宋_GB2312" w:eastAsia="仿宋_GB2312" w:cs="仿宋_GB2312"/>
          <w:b w:val="0"/>
          <w:bCs w:val="0"/>
          <w:color w:val="auto"/>
          <w:sz w:val="32"/>
          <w:szCs w:val="32"/>
          <w:lang w:val="en-US" w:eastAsia="zh-CN"/>
        </w:rPr>
        <w:t>和教研室</w:t>
      </w:r>
      <w:r>
        <w:rPr>
          <w:rFonts w:hint="eastAsia" w:ascii="仿宋_GB2312" w:hAnsi="仿宋_GB2312" w:eastAsia="仿宋_GB2312" w:cs="仿宋_GB2312"/>
          <w:sz w:val="32"/>
          <w:szCs w:val="32"/>
        </w:rPr>
        <w:t>。</w:t>
      </w:r>
    </w:p>
    <w:p>
      <w:pPr>
        <w:numPr>
          <w:ilvl w:val="0"/>
          <w:numId w:val="4"/>
        </w:numPr>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rPr>
        <w:t>机构职能</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10"/>
          <w:sz w:val="32"/>
          <w:szCs w:val="32"/>
        </w:rPr>
        <w:t>中共壤塘县委党校坚持党的基本路线，以学习、宣传马列主义、毛泽东思想、邓小平理论、“三个代表”重要思想、科学发展观为己任，联系国际国内形势，结合召开的重大会议精神，结合全县实际，在抓好基础设施建设和教学手段建设的同时，努力办好主体班，紧紧围绕提高培训效果和教育教学质量、培养高素质的干部队伍为目标，以教学为中心，科研为基础，改革为动力，充分发挥“熔炉”和“阵地”的作用，加强理论学习、研究和宣传，搞好县、乡、村干部的培训，切实提高全县干部素质</w:t>
      </w:r>
      <w:r>
        <w:rPr>
          <w:rFonts w:hint="eastAsia" w:ascii="仿宋_GB2312" w:hAnsi="仿宋_GB2312" w:eastAsia="仿宋_GB2312" w:cs="仿宋_GB2312"/>
          <w:sz w:val="32"/>
          <w:szCs w:val="32"/>
        </w:rPr>
        <w:t>。</w:t>
      </w:r>
    </w:p>
    <w:p>
      <w:pPr>
        <w:numPr>
          <w:ilvl w:val="0"/>
          <w:numId w:val="4"/>
        </w:numPr>
        <w:spacing w:line="360" w:lineRule="auto"/>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人员概况</w:t>
      </w:r>
    </w:p>
    <w:p>
      <w:pPr>
        <w:ind w:firstLine="800" w:firstLineChars="250"/>
        <w:rPr>
          <w:rFonts w:ascii="仿宋_GB2312" w:hAnsi="仿宋_GB2312" w:eastAsia="仿宋_GB2312" w:cs="仿宋_GB2312"/>
          <w:sz w:val="32"/>
          <w:szCs w:val="32"/>
        </w:rPr>
      </w:pPr>
      <w:r>
        <w:rPr>
          <w:rFonts w:hint="eastAsia" w:ascii="仿宋_GB2312" w:hAnsi="宋体" w:eastAsia="仿宋_GB2312" w:cs="仿宋_GB2312"/>
          <w:kern w:val="0"/>
          <w:sz w:val="32"/>
          <w:szCs w:val="32"/>
        </w:rPr>
        <w:t>人员情况：总编制1</w:t>
      </w:r>
      <w:r>
        <w:rPr>
          <w:rFonts w:hint="eastAsia" w:ascii="仿宋_GB2312" w:hAnsi="宋体" w:eastAsia="仿宋_GB2312" w:cs="仿宋_GB2312"/>
          <w:kern w:val="0"/>
          <w:sz w:val="32"/>
          <w:szCs w:val="32"/>
          <w:lang w:val="en-US" w:eastAsia="zh-CN"/>
        </w:rPr>
        <w:t>3</w:t>
      </w:r>
      <w:r>
        <w:rPr>
          <w:rFonts w:hint="eastAsia" w:ascii="仿宋_GB2312" w:hAnsi="宋体" w:eastAsia="仿宋_GB2312" w:cs="仿宋_GB2312"/>
          <w:kern w:val="0"/>
          <w:sz w:val="32"/>
          <w:szCs w:val="32"/>
        </w:rPr>
        <w:t>名</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其中</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行政编制8人、事业编制5人</w:t>
      </w:r>
      <w:r>
        <w:rPr>
          <w:rFonts w:hint="eastAsia" w:ascii="仿宋_GB2312" w:hAnsi="仿宋_GB2312" w:eastAsia="仿宋_GB2312" w:cs="仿宋_GB2312"/>
          <w:sz w:val="32"/>
          <w:szCs w:val="32"/>
        </w:rPr>
        <w:t>。</w:t>
      </w:r>
    </w:p>
    <w:p>
      <w:pPr>
        <w:spacing w:line="360" w:lineRule="auto"/>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二、部门财政资金收支情况</w:t>
      </w:r>
    </w:p>
    <w:p>
      <w:pPr>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（一）部门财政资金收入情况</w:t>
      </w:r>
    </w:p>
    <w:p>
      <w:pPr>
        <w:pStyle w:val="26"/>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2022年财政下达中共壤塘县委党校年初预算收入</w:t>
      </w:r>
      <w:r>
        <w:rPr>
          <w:rFonts w:hint="eastAsia" w:ascii="仿宋_GB2312" w:hAnsi="仿宋_GB2312" w:eastAsia="仿宋_GB2312" w:cs="仿宋_GB2312"/>
          <w:sz w:val="32"/>
          <w:szCs w:val="32"/>
          <w:lang w:val="en-US" w:eastAsia="zh-CN"/>
        </w:rPr>
        <w:t>220.24</w:t>
      </w:r>
      <w:r>
        <w:rPr>
          <w:rFonts w:hint="eastAsia" w:ascii="仿宋_GB2312" w:hAnsi="仿宋_GB2312" w:eastAsia="仿宋_GB2312" w:cs="仿宋_GB2312"/>
          <w:sz w:val="32"/>
          <w:szCs w:val="32"/>
        </w:rPr>
        <w:t>万元，执行期中追加收入</w:t>
      </w:r>
      <w:r>
        <w:rPr>
          <w:rFonts w:ascii="仿宋_GB2312" w:hAnsi="仿宋_GB2312" w:eastAsia="仿宋_GB2312" w:cs="仿宋_GB2312"/>
          <w:sz w:val="32"/>
          <w:szCs w:val="32"/>
        </w:rPr>
        <w:t>83.44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全年实际收入合计为303.68万元，本年度无财政应返还额度</w:t>
      </w:r>
      <w:r>
        <w:rPr>
          <w:rFonts w:hint="eastAsia" w:ascii="仿宋_GB2312" w:hAnsi="仿宋_GB2312" w:eastAsia="仿宋_GB2312" w:cs="仿宋_GB2312"/>
          <w:sz w:val="32"/>
          <w:szCs w:val="32"/>
        </w:rPr>
        <w:t xml:space="preserve">。 </w:t>
      </w:r>
    </w:p>
    <w:p>
      <w:pPr>
        <w:pStyle w:val="26"/>
        <w:spacing w:line="360" w:lineRule="auto"/>
        <w:ind w:firstLine="643"/>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（二）部门财政资金支出情况</w:t>
      </w:r>
      <w:r>
        <w:rPr>
          <w:rFonts w:hint="eastAsia" w:ascii="仿宋_GB2312" w:hAnsi="仿宋_GB2312" w:eastAsia="仿宋_GB2312" w:cs="仿宋_GB2312"/>
          <w:sz w:val="32"/>
          <w:szCs w:val="32"/>
        </w:rPr>
        <w:t xml:space="preserve">  </w:t>
      </w:r>
    </w:p>
    <w:p>
      <w:pPr>
        <w:pStyle w:val="26"/>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2022年中共壤塘县委党校支出全年预算数共计</w:t>
      </w:r>
      <w:r>
        <w:rPr>
          <w:rFonts w:ascii="仿宋_GB2312" w:hAnsi="仿宋_GB2312" w:eastAsia="仿宋_GB2312" w:cs="仿宋_GB2312"/>
          <w:sz w:val="32"/>
          <w:szCs w:val="32"/>
        </w:rPr>
        <w:t>303.68</w:t>
      </w:r>
      <w:r>
        <w:rPr>
          <w:rFonts w:hint="eastAsia" w:ascii="仿宋_GB2312" w:hAnsi="仿宋_GB2312" w:eastAsia="仿宋_GB2312" w:cs="仿宋_GB2312"/>
          <w:sz w:val="32"/>
          <w:szCs w:val="32"/>
        </w:rPr>
        <w:t>万元，其中基本支出</w:t>
      </w:r>
      <w:r>
        <w:rPr>
          <w:rFonts w:ascii="仿宋_GB2312" w:hAnsi="仿宋_GB2312" w:eastAsia="仿宋_GB2312" w:cs="仿宋_GB2312"/>
          <w:sz w:val="32"/>
          <w:szCs w:val="32"/>
        </w:rPr>
        <w:t>303.68</w:t>
      </w:r>
      <w:r>
        <w:rPr>
          <w:rFonts w:hint="eastAsia" w:ascii="仿宋_GB2312" w:hAnsi="仿宋_GB2312" w:eastAsia="仿宋_GB2312" w:cs="仿宋_GB2312"/>
          <w:sz w:val="32"/>
          <w:szCs w:val="32"/>
        </w:rPr>
        <w:t>万元，项目支出0万元。</w:t>
      </w:r>
    </w:p>
    <w:p>
      <w:pPr>
        <w:spacing w:line="360" w:lineRule="auto"/>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三、部门整体预算绩效管理情况</w:t>
      </w:r>
    </w:p>
    <w:p>
      <w:pPr>
        <w:pStyle w:val="26"/>
        <w:spacing w:line="360" w:lineRule="auto"/>
        <w:ind w:firstLine="643"/>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（一）部门预算管理</w:t>
      </w:r>
    </w:p>
    <w:p>
      <w:pPr>
        <w:pStyle w:val="26"/>
        <w:spacing w:line="360" w:lineRule="auto"/>
        <w:ind w:firstLine="643"/>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1.部门整体绩效目标制定情况</w:t>
      </w:r>
    </w:p>
    <w:p>
      <w:pPr>
        <w:pStyle w:val="26"/>
        <w:spacing w:line="360" w:lineRule="auto"/>
        <w:ind w:firstLine="640"/>
        <w:rPr>
          <w:rFonts w:ascii="仿宋_GB2312" w:hAnsi="仿宋_GB2312" w:eastAsia="仿宋_GB2312" w:cs="仿宋_GB2312"/>
          <w:b/>
          <w:bCs/>
          <w:kern w:val="0"/>
          <w:sz w:val="32"/>
          <w:szCs w:val="32"/>
        </w:rPr>
      </w:pPr>
      <w:r>
        <w:rPr>
          <w:rFonts w:hint="eastAsia" w:ascii="仿宋_GB2312" w:hAnsi="仿宋_GB2312" w:eastAsia="仿宋_GB2312" w:cs="仿宋_GB2312"/>
          <w:kern w:val="0"/>
          <w:sz w:val="32"/>
          <w:szCs w:val="32"/>
        </w:rPr>
        <w:t>中共壤塘县委党校坚持以宣传贯彻习近平新时代中国特色社会主义思想和十九届六中全会精神、省委十二次代会会议精神、二十大精神作为重中之重，紧紧围绕县委“155”发展战略，积极参与，主动作为，扎实工作，圆满完成全年工作任务</w:t>
      </w:r>
      <w:r>
        <w:rPr>
          <w:rFonts w:hint="eastAsia" w:ascii="仿宋_GB2312" w:hAnsi="仿宋_GB2312" w:eastAsia="仿宋_GB2312" w:cs="仿宋_GB2312"/>
          <w:sz w:val="32"/>
          <w:szCs w:val="32"/>
        </w:rPr>
        <w:t>。</w:t>
      </w:r>
    </w:p>
    <w:p>
      <w:pPr>
        <w:pStyle w:val="26"/>
        <w:spacing w:line="360" w:lineRule="auto"/>
        <w:ind w:firstLine="643"/>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2.部门整体绩效目标完成情况</w:t>
      </w:r>
    </w:p>
    <w:p>
      <w:pPr>
        <w:spacing w:line="52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（1）扎实推进干部培训，大力开展对外理论宣讲</w:t>
      </w:r>
    </w:p>
    <w:p>
      <w:pPr>
        <w:spacing w:line="52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截至目前，县委党校共举办主体班14期，协作办班18期，共培训各行业、部门2088人次；联合办班3期，涉及人数123人次；现场教学7场，涉及人数175人次；党校教师外出宣讲34场，涉及人数1852人次，党校老师授课累计22人次。党校专职、兼职教师积极参加县委理论宣讲团，奔赴全县各部门、各乡镇，深入村（社区）、学校大力开展对外理论宣讲，推动中央、省委、州委、县委各项会议、文件及指示精神的贯彻落实。</w:t>
      </w:r>
    </w:p>
    <w:p>
      <w:pPr>
        <w:spacing w:line="52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（2）组织线上培训，充分利用高端平台资源，培育优质师资</w:t>
      </w:r>
    </w:p>
    <w:p>
      <w:pPr>
        <w:spacing w:line="52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充分利用清华大学乡村振兴教学站及中央党校等高端网络平台，组织全校教职工参与学习，提高教师理论知识，丰富学习内容，拓宽学习渠道，并将优质的科普课程推送到全县中小学，截至目前，共组织55期，涉及人数共计1194人次。</w:t>
      </w:r>
    </w:p>
    <w:p>
      <w:pPr>
        <w:spacing w:line="52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（3）增强科研咨政水平，健全科研管理体系</w:t>
      </w:r>
    </w:p>
    <w:p>
      <w:pPr>
        <w:spacing w:line="52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积极申报州委党校课题2项，分别为《铸牢中华民族共同体意识的壤塘实践》、《壤塘县建设“川甘青结合部区域强县”的调查研究》。申报打造“红军长征在壤塘的精神传承”室内课件1个、章腊沟“忆苦思甜”现场教学微课件1个，进一步增强党校科研资政能力建设，推动壤塘县干部教育培训的课程内容整体提升。</w:t>
      </w:r>
    </w:p>
    <w:p>
      <w:pPr>
        <w:spacing w:line="52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（4）快速掀起学习、宣讲二十大精神热潮</w:t>
      </w:r>
    </w:p>
    <w:p>
      <w:pPr>
        <w:pStyle w:val="26"/>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bCs/>
          <w:kern w:val="0"/>
          <w:sz w:val="32"/>
          <w:szCs w:val="32"/>
        </w:rPr>
        <w:t>在二十大胜利召开后，及时组织全体干部职工开展二十大精神集中学习活动，坚持学原文、明新意、谈心得，在单位内掀起学习热潮。目前已组织集中学习2次，收集心得体会8篇。县委党校教师先后在“沿着习近平总书记的四川足迹”—汶川县宣讲活动、壤塘县2022年综治维稳业务能力提升培训班、2022年壤塘县村（社区）党支部副书记等培训班及各乡镇宣讲共开展13场次专题讲座，参训556人</w:t>
      </w:r>
      <w:r>
        <w:rPr>
          <w:rFonts w:hint="eastAsia" w:ascii="仿宋_GB2312" w:hAnsi="仿宋_GB2312" w:eastAsia="仿宋_GB2312" w:cs="仿宋_GB2312"/>
          <w:sz w:val="32"/>
          <w:szCs w:val="32"/>
        </w:rPr>
        <w:t xml:space="preserve"> 。</w:t>
      </w:r>
    </w:p>
    <w:p>
      <w:pPr>
        <w:pStyle w:val="26"/>
        <w:spacing w:line="360" w:lineRule="auto"/>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3.预算编制情况</w:t>
      </w:r>
    </w:p>
    <w:p>
      <w:pPr>
        <w:pStyle w:val="26"/>
        <w:spacing w:line="360" w:lineRule="auto"/>
        <w:ind w:firstLine="640"/>
        <w:rPr>
          <w:rFonts w:ascii="仿宋_GB2312" w:hAnsi="仿宋_GB2312" w:eastAsia="仿宋_GB2312" w:cs="仿宋_GB2312"/>
          <w:sz w:val="32"/>
          <w:szCs w:val="32"/>
        </w:rPr>
      </w:pPr>
      <w:r>
        <w:rPr>
          <w:rFonts w:ascii="仿宋_GB2312" w:hAnsi="仿宋_GB2312" w:eastAsia="仿宋_GB2312" w:cs="仿宋_GB2312"/>
          <w:sz w:val="32"/>
          <w:szCs w:val="32"/>
        </w:rPr>
        <w:t>2022年</w:t>
      </w:r>
      <w:r>
        <w:rPr>
          <w:rFonts w:hint="eastAsia" w:ascii="仿宋_GB2312" w:hAnsi="仿宋_GB2312" w:eastAsia="仿宋_GB2312" w:cs="仿宋_GB2312"/>
          <w:sz w:val="32"/>
          <w:szCs w:val="32"/>
        </w:rPr>
        <w:t>中共壤塘县委党校</w:t>
      </w:r>
      <w:r>
        <w:rPr>
          <w:rFonts w:ascii="仿宋_GB2312" w:hAnsi="仿宋_GB2312" w:eastAsia="仿宋_GB2312" w:cs="仿宋_GB2312"/>
          <w:sz w:val="32"/>
          <w:szCs w:val="32"/>
        </w:rPr>
        <w:t>年初预算数为</w:t>
      </w:r>
      <w:r>
        <w:rPr>
          <w:rFonts w:hint="eastAsia" w:ascii="仿宋_GB2312" w:hAnsi="仿宋_GB2312" w:eastAsia="仿宋_GB2312" w:cs="仿宋_GB2312"/>
          <w:sz w:val="32"/>
          <w:szCs w:val="32"/>
          <w:lang w:val="en-US" w:eastAsia="zh-CN"/>
        </w:rPr>
        <w:t>220.24</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执行期间根据工作安排和开展情况追加收入</w:t>
      </w:r>
      <w:r>
        <w:rPr>
          <w:rFonts w:ascii="仿宋_GB2312" w:hAnsi="仿宋_GB2312" w:eastAsia="仿宋_GB2312" w:cs="仿宋_GB2312"/>
          <w:sz w:val="32"/>
          <w:szCs w:val="32"/>
        </w:rPr>
        <w:t>83.44</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调整预算数为</w:t>
      </w:r>
      <w:r>
        <w:rPr>
          <w:rFonts w:hint="eastAsia" w:ascii="仿宋_GB2312" w:hAnsi="仿宋_GB2312" w:eastAsia="仿宋_GB2312" w:cs="仿宋_GB2312"/>
          <w:sz w:val="32"/>
          <w:szCs w:val="32"/>
          <w:lang w:val="en-US" w:eastAsia="zh-CN"/>
        </w:rPr>
        <w:t>303.68</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年末无结转结余，</w:t>
      </w:r>
      <w:r>
        <w:rPr>
          <w:rFonts w:ascii="仿宋_GB2312" w:hAnsi="仿宋_GB2312" w:eastAsia="仿宋_GB2312" w:cs="仿宋_GB2312"/>
          <w:sz w:val="32"/>
          <w:szCs w:val="32"/>
        </w:rPr>
        <w:t>预算安排较为准确。</w:t>
      </w:r>
    </w:p>
    <w:p>
      <w:pPr>
        <w:pStyle w:val="26"/>
        <w:spacing w:line="360" w:lineRule="auto"/>
        <w:ind w:firstLine="643"/>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4.执行进度</w:t>
      </w:r>
    </w:p>
    <w:p>
      <w:pPr>
        <w:pStyle w:val="26"/>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2022年中共壤塘县委党校财政拨款执行数</w:t>
      </w:r>
      <w:r>
        <w:rPr>
          <w:rFonts w:ascii="仿宋_GB2312" w:hAnsi="仿宋_GB2312" w:eastAsia="仿宋_GB2312" w:cs="仿宋_GB2312"/>
          <w:sz w:val="32"/>
          <w:szCs w:val="32"/>
        </w:rPr>
        <w:t>303.68</w:t>
      </w:r>
      <w:r>
        <w:rPr>
          <w:rFonts w:hint="eastAsia" w:ascii="仿宋_GB2312" w:hAnsi="仿宋_GB2312" w:eastAsia="仿宋_GB2312" w:cs="仿宋_GB2312"/>
          <w:sz w:val="32"/>
          <w:szCs w:val="32"/>
        </w:rPr>
        <w:t>万元，财政拨款调整预算数</w:t>
      </w:r>
      <w:r>
        <w:rPr>
          <w:rFonts w:ascii="仿宋_GB2312" w:hAnsi="仿宋_GB2312" w:eastAsia="仿宋_GB2312" w:cs="仿宋_GB2312"/>
          <w:sz w:val="32"/>
          <w:szCs w:val="32"/>
        </w:rPr>
        <w:t>303.68</w:t>
      </w:r>
      <w:r>
        <w:rPr>
          <w:rFonts w:hint="eastAsia" w:ascii="仿宋_GB2312" w:hAnsi="仿宋_GB2312" w:eastAsia="仿宋_GB2312" w:cs="仿宋_GB2312"/>
          <w:sz w:val="32"/>
          <w:szCs w:val="32"/>
        </w:rPr>
        <w:t>万元，部门总体执行进度</w:t>
      </w:r>
      <w:r>
        <w:rPr>
          <w:rFonts w:hint="eastAsia" w:ascii="仿宋_GB2312" w:hAnsi="仿宋_GB2312" w:eastAsia="仿宋_GB2312" w:cs="仿宋_GB2312"/>
          <w:sz w:val="32"/>
          <w:szCs w:val="32"/>
          <w:lang w:val="en-US" w:eastAsia="zh-CN"/>
        </w:rPr>
        <w:t>较高</w:t>
      </w:r>
      <w:r>
        <w:rPr>
          <w:rFonts w:hint="eastAsia" w:ascii="仿宋_GB2312" w:hAnsi="仿宋_GB2312" w:eastAsia="仿宋_GB2312" w:cs="仿宋_GB2312"/>
          <w:sz w:val="32"/>
          <w:szCs w:val="32"/>
        </w:rPr>
        <w:t>。</w:t>
      </w:r>
    </w:p>
    <w:p>
      <w:pPr>
        <w:pStyle w:val="26"/>
        <w:spacing w:line="360" w:lineRule="auto"/>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5.预算完成情况</w:t>
      </w:r>
    </w:p>
    <w:p>
      <w:pPr>
        <w:pStyle w:val="26"/>
        <w:spacing w:line="360" w:lineRule="auto"/>
        <w:ind w:firstLine="640"/>
        <w:rPr>
          <w:rFonts w:ascii="仿宋_GB2312" w:hAnsi="仿宋_GB2312" w:eastAsia="仿宋_GB2312" w:cs="仿宋_GB2312"/>
          <w:b/>
          <w:bCs/>
          <w:sz w:val="32"/>
          <w:szCs w:val="32"/>
        </w:rPr>
      </w:pPr>
      <w:r>
        <w:rPr>
          <w:rFonts w:ascii="仿宋_GB2312" w:hAnsi="仿宋_GB2312" w:eastAsia="仿宋_GB2312" w:cs="仿宋_GB2312"/>
          <w:sz w:val="32"/>
          <w:szCs w:val="32"/>
        </w:rPr>
        <w:t>2022年</w:t>
      </w:r>
      <w:r>
        <w:rPr>
          <w:rFonts w:hint="eastAsia" w:ascii="仿宋_GB2312" w:hAnsi="仿宋_GB2312" w:eastAsia="仿宋_GB2312" w:cs="仿宋_GB2312"/>
          <w:sz w:val="32"/>
          <w:szCs w:val="32"/>
        </w:rPr>
        <w:t>中共壤塘县委党校</w:t>
      </w:r>
      <w:r>
        <w:rPr>
          <w:rFonts w:ascii="仿宋_GB2312" w:hAnsi="仿宋_GB2312" w:eastAsia="仿宋_GB2312" w:cs="仿宋_GB2312"/>
          <w:sz w:val="32"/>
          <w:szCs w:val="32"/>
        </w:rPr>
        <w:t>年初预算数为</w:t>
      </w:r>
      <w:r>
        <w:rPr>
          <w:rFonts w:hint="eastAsia" w:ascii="仿宋_GB2312" w:hAnsi="仿宋_GB2312" w:eastAsia="仿宋_GB2312" w:cs="仿宋_GB2312"/>
          <w:sz w:val="32"/>
          <w:szCs w:val="32"/>
          <w:lang w:val="en-US" w:eastAsia="zh-CN"/>
        </w:rPr>
        <w:t>220.24</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执行期间根据工作安排和开展情况追加收入</w:t>
      </w:r>
      <w:r>
        <w:rPr>
          <w:rFonts w:ascii="仿宋_GB2312" w:hAnsi="仿宋_GB2312" w:eastAsia="仿宋_GB2312" w:cs="仿宋_GB2312"/>
          <w:sz w:val="32"/>
          <w:szCs w:val="32"/>
        </w:rPr>
        <w:t>83.44</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调整预算数为</w:t>
      </w:r>
      <w:r>
        <w:rPr>
          <w:rFonts w:hint="eastAsia" w:ascii="仿宋_GB2312" w:hAnsi="仿宋_GB2312" w:eastAsia="仿宋_GB2312" w:cs="仿宋_GB2312"/>
          <w:sz w:val="32"/>
          <w:szCs w:val="32"/>
          <w:lang w:val="en-US" w:eastAsia="zh-CN"/>
        </w:rPr>
        <w:t>303.68</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，预算完成进度为100%，预算完成度较高。</w:t>
      </w:r>
    </w:p>
    <w:p>
      <w:pPr>
        <w:pStyle w:val="26"/>
        <w:spacing w:line="360" w:lineRule="auto"/>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6.违规纪录</w:t>
      </w:r>
    </w:p>
    <w:p>
      <w:pPr>
        <w:pStyle w:val="26"/>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截至2022年12月31日，我单位无违规纪录情况。</w:t>
      </w:r>
    </w:p>
    <w:p>
      <w:pPr>
        <w:pStyle w:val="26"/>
        <w:spacing w:line="360" w:lineRule="auto"/>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7.三公经费</w:t>
      </w:r>
    </w:p>
    <w:p>
      <w:pPr>
        <w:pStyle w:val="26"/>
        <w:spacing w:line="360" w:lineRule="auto"/>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公”经费控制。中共壤塘县委党校2022年“三公”经费预算4万元，决算支出3.32万元。其中公务用车购置及运行维护费预算4万元，决算支出3.32万元（其中公务用车运行维护费3.32万元）,未发生因公出国（境）费及公务接待费，2022年“三公”经费决算均未超过预算。</w:t>
      </w:r>
    </w:p>
    <w:p>
      <w:pPr>
        <w:pStyle w:val="26"/>
        <w:spacing w:line="360" w:lineRule="auto"/>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8.政府采购</w:t>
      </w:r>
    </w:p>
    <w:p>
      <w:pPr>
        <w:pStyle w:val="26"/>
        <w:spacing w:line="360" w:lineRule="auto"/>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采购规范性。中共壤塘县委党校2022年度政府采购货物支出0万元，政府采购工程支出0万元，政府采购服务支出0万元。</w:t>
      </w:r>
    </w:p>
    <w:p>
      <w:pPr>
        <w:pStyle w:val="26"/>
        <w:spacing w:line="360" w:lineRule="auto"/>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9.资产管理</w:t>
      </w:r>
      <w:r>
        <w:rPr>
          <w:rFonts w:hint="eastAsia" w:ascii="仿宋_GB2312" w:hAnsi="仿宋_GB2312" w:eastAsia="仿宋_GB2312" w:cs="仿宋_GB2312"/>
          <w:sz w:val="32"/>
          <w:szCs w:val="32"/>
          <w:lang w:val="en-US" w:eastAsia="zh-CN"/>
        </w:rPr>
        <w:t xml:space="preserve">  </w:t>
      </w:r>
    </w:p>
    <w:p>
      <w:pPr>
        <w:pStyle w:val="26"/>
        <w:spacing w:line="360" w:lineRule="auto"/>
        <w:ind w:firstLine="64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固定资产在用率。截止2022年12月31日，中共壤塘县委党校《行政单位资产管理系统》固定资产总计122.28万元，在用的固定资产总计122.28万元，固定资产在用率达100%。</w:t>
      </w:r>
    </w:p>
    <w:p>
      <w:pPr>
        <w:pStyle w:val="26"/>
        <w:numPr>
          <w:ilvl w:val="0"/>
          <w:numId w:val="5"/>
        </w:numPr>
        <w:spacing w:line="360" w:lineRule="auto"/>
        <w:ind w:firstLine="643"/>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结果应用情况</w:t>
      </w:r>
    </w:p>
    <w:p>
      <w:pPr>
        <w:pStyle w:val="26"/>
        <w:spacing w:line="36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rPr>
        <w:t>　</w:t>
      </w:r>
      <w:r>
        <w:rPr>
          <w:rFonts w:hint="eastAsia" w:ascii="仿宋_GB2312" w:hAnsi="仿宋_GB2312" w:eastAsia="仿宋_GB2312" w:cs="仿宋_GB2312"/>
          <w:sz w:val="32"/>
          <w:szCs w:val="32"/>
        </w:rPr>
        <w:t>　根据县财政局要求，我单位成立自评工作小组，组织实施本单位2022年绩效管理自评工作。信息公开情况：按照财政要求，及时在预决算批复后20日内，在壤塘县人民政府的网站进行了信息公开，公开内容真实、完整。依法接受财政、审计、纪检监察、巡查等部门的监督检查。严守财经法规，严格财经纪律，依法接受财政、审计、巡察、派驻纪检监督，按时上报各类资料。严格遵守中央八项规定及省市县有关厉行勤俭节约相关规定，严格执行财务管理制度，根据年初预算合理安排日常公用经费资金，做到厉行节约、精打细算，把有效的资金用到刀刃上，让财政资金发挥最大的社会及经济效益并保证全局各项工作的正常运转。</w:t>
      </w:r>
    </w:p>
    <w:p>
      <w:pPr>
        <w:pStyle w:val="26"/>
        <w:spacing w:line="360" w:lineRule="auto"/>
        <w:ind w:firstLine="643"/>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四、评价结论及措施</w:t>
      </w:r>
    </w:p>
    <w:p>
      <w:pPr>
        <w:pStyle w:val="26"/>
        <w:spacing w:line="360" w:lineRule="auto"/>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（一）评价结论</w:t>
      </w:r>
    </w:p>
    <w:p>
      <w:pPr>
        <w:pStyle w:val="26"/>
        <w:spacing w:line="360" w:lineRule="auto"/>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zh-CN"/>
        </w:rPr>
        <w:t>我单位通过加强预算收支管理，不断建立健全内部管理制度，强化内部管理流程，部门整体支出管理情况得到提升，也能较好完成部门决算的编制、送审、批复和公开工作。同时也认识到在编制决算过程中存在项目分类不够精细、功能科目分类不够准确等不足。在下一年度的部门预算编制、执行决算中，我单位将继续努力，科学合理编制预决算，进行绩效评价，加强精细管理，完善不足</w:t>
      </w:r>
      <w:r>
        <w:rPr>
          <w:rFonts w:hint="eastAsia" w:ascii="仿宋_GB2312" w:hAnsi="仿宋_GB2312" w:eastAsia="仿宋_GB2312" w:cs="仿宋_GB2312"/>
          <w:sz w:val="32"/>
          <w:szCs w:val="32"/>
        </w:rPr>
        <w:t>。</w:t>
      </w:r>
    </w:p>
    <w:p>
      <w:pPr>
        <w:pStyle w:val="20"/>
        <w:keepNext w:val="0"/>
        <w:keepLines w:val="0"/>
        <w:widowControl w:val="0"/>
        <w:suppressLineNumbers w:val="0"/>
        <w:spacing w:before="0" w:beforeAutospacing="0" w:after="0" w:afterAutospacing="0" w:line="360" w:lineRule="auto"/>
        <w:ind w:left="0" w:right="0" w:firstLine="643" w:firstLineChars="200"/>
        <w:jc w:val="both"/>
        <w:rPr>
          <w:rFonts w:hint="default" w:ascii="仿宋_GB2312" w:eastAsia="仿宋_GB2312" w:cs="仿宋_GB2312"/>
          <w:b/>
          <w:bCs/>
          <w:kern w:val="2"/>
          <w:sz w:val="32"/>
          <w:szCs w:val="32"/>
        </w:rPr>
      </w:pPr>
      <w:r>
        <w:rPr>
          <w:rFonts w:hint="default" w:ascii="仿宋_GB2312" w:hAnsi="Calibri" w:eastAsia="仿宋_GB2312" w:cs="仿宋_GB2312"/>
          <w:b/>
          <w:bCs/>
          <w:kern w:val="2"/>
          <w:sz w:val="32"/>
          <w:szCs w:val="32"/>
          <w:lang w:val="en-US" w:eastAsia="zh-CN" w:bidi="ar"/>
        </w:rPr>
        <w:t>（二）存在问题</w:t>
      </w:r>
    </w:p>
    <w:p>
      <w:pPr>
        <w:keepNext w:val="0"/>
        <w:keepLines w:val="0"/>
        <w:widowControl/>
        <w:suppressLineNumbers w:val="0"/>
        <w:autoSpaceDE w:val="0"/>
        <w:autoSpaceDN/>
        <w:spacing w:before="0" w:beforeAutospacing="0" w:after="0" w:afterAutospacing="0"/>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1.年初预算数与调整预算数差别较大，预算安排不为准确。</w:t>
      </w:r>
    </w:p>
    <w:p>
      <w:pPr>
        <w:keepNext w:val="0"/>
        <w:keepLines w:val="0"/>
        <w:widowControl/>
        <w:suppressLineNumbers w:val="0"/>
        <w:autoSpaceDE w:val="0"/>
        <w:autoSpaceDN/>
        <w:spacing w:before="0" w:beforeAutospacing="0" w:after="0" w:afterAutospacing="0"/>
        <w:ind w:left="0" w:right="0" w:firstLine="643" w:firstLineChars="200"/>
        <w:jc w:val="both"/>
        <w:rPr>
          <w:rFonts w:hint="default" w:ascii="仿宋_GB2312" w:eastAsia="仿宋_GB2312" w:cs="仿宋_GB2312"/>
          <w:b/>
          <w:bCs/>
          <w:kern w:val="2"/>
          <w:sz w:val="32"/>
          <w:szCs w:val="32"/>
        </w:rPr>
      </w:pPr>
      <w:r>
        <w:rPr>
          <w:rFonts w:hint="default" w:ascii="仿宋_GB2312" w:hAnsi="Calibri" w:eastAsia="仿宋_GB2312" w:cs="仿宋_GB2312"/>
          <w:b/>
          <w:bCs/>
          <w:kern w:val="2"/>
          <w:sz w:val="32"/>
          <w:szCs w:val="32"/>
          <w:lang w:val="en-US" w:eastAsia="zh-CN" w:bidi="ar"/>
        </w:rPr>
        <w:t>（三）改进建议</w:t>
      </w:r>
    </w:p>
    <w:p>
      <w:pPr>
        <w:keepNext w:val="0"/>
        <w:keepLines w:val="0"/>
        <w:widowControl/>
        <w:suppressLineNumbers w:val="0"/>
        <w:autoSpaceDE w:val="0"/>
        <w:autoSpaceDN/>
        <w:spacing w:before="0" w:beforeAutospacing="0" w:after="0" w:afterAutospacing="0"/>
        <w:ind w:left="0" w:right="0" w:firstLine="640" w:firstLineChars="200"/>
        <w:jc w:val="both"/>
        <w:rPr>
          <w:rFonts w:hint="eastAsia" w:ascii="仿宋_GB2312" w:hAnsi="仿宋_GB2312" w:eastAsia="仿宋_GB2312" w:cs="仿宋_GB2312"/>
          <w:sz w:val="32"/>
          <w:szCs w:val="32"/>
        </w:rPr>
      </w:pPr>
      <w:r>
        <w:rPr>
          <w:rFonts w:hint="default" w:ascii="仿宋_GB2312" w:hAnsi="Calibri" w:eastAsia="仿宋_GB2312" w:cs="仿宋_GB2312"/>
          <w:kern w:val="2"/>
          <w:sz w:val="32"/>
          <w:szCs w:val="32"/>
          <w:lang w:val="en-US" w:eastAsia="zh-CN" w:bidi="ar"/>
        </w:rPr>
        <w:t>1.加强预算安排准确性，尽量减少执行中期追加数。</w:t>
      </w:r>
    </w:p>
    <w:p>
      <w:pPr>
        <w:pStyle w:val="2"/>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ind w:left="0" w:leftChars="0" w:firstLine="0" w:firstLineChars="0"/>
        <w:rPr>
          <w:rFonts w:ascii="仿宋_GB2312" w:hAnsi="仿宋_GB2312" w:eastAsia="仿宋_GB2312" w:cs="仿宋_GB2312"/>
          <w:sz w:val="32"/>
          <w:szCs w:val="32"/>
        </w:rPr>
      </w:pPr>
    </w:p>
    <w:p>
      <w:pPr>
        <w:pStyle w:val="2"/>
        <w:ind w:left="0" w:leftChars="0" w:firstLine="0" w:firstLineChars="0"/>
      </w:pPr>
    </w:p>
    <w:p>
      <w:pPr>
        <w:spacing w:line="600" w:lineRule="exact"/>
        <w:jc w:val="center"/>
        <w:outlineLvl w:val="0"/>
        <w:rPr>
          <w:rStyle w:val="27"/>
          <w:rFonts w:ascii="黑体" w:hAnsi="黑体" w:eastAsia="黑体"/>
          <w:b w:val="0"/>
        </w:rPr>
      </w:pPr>
      <w:bookmarkStart w:id="102" w:name="_Toc15396618"/>
      <w:bookmarkStart w:id="103" w:name="_Toc79163885"/>
      <w:bookmarkStart w:id="104" w:name="_Toc79163635"/>
      <w:r>
        <w:rPr>
          <w:rFonts w:hint="eastAsia" w:ascii="黑体" w:hAnsi="黑体" w:eastAsia="黑体"/>
          <w:color w:val="000000"/>
          <w:sz w:val="44"/>
          <w:szCs w:val="44"/>
        </w:rPr>
        <w:t>第</w:t>
      </w:r>
      <w:r>
        <w:rPr>
          <w:rStyle w:val="27"/>
          <w:rFonts w:hint="eastAsia" w:ascii="黑体" w:hAnsi="黑体" w:eastAsia="黑体"/>
          <w:b w:val="0"/>
        </w:rPr>
        <w:t>五部分</w:t>
      </w:r>
      <w:r>
        <w:rPr>
          <w:rStyle w:val="27"/>
          <w:rFonts w:ascii="黑体" w:hAnsi="黑体" w:eastAsia="黑体"/>
          <w:b w:val="0"/>
        </w:rPr>
        <w:t xml:space="preserve"> </w:t>
      </w:r>
      <w:r>
        <w:rPr>
          <w:rStyle w:val="27"/>
          <w:rFonts w:hint="eastAsia" w:ascii="黑体" w:hAnsi="黑体" w:eastAsia="黑体"/>
          <w:b w:val="0"/>
        </w:rPr>
        <w:t>附表</w:t>
      </w:r>
      <w:bookmarkEnd w:id="96"/>
      <w:bookmarkEnd w:id="102"/>
      <w:bookmarkEnd w:id="103"/>
      <w:bookmarkEnd w:id="104"/>
    </w:p>
    <w:p>
      <w:pPr>
        <w:pStyle w:val="4"/>
        <w:rPr>
          <w:rFonts w:ascii="仿宋" w:hAnsi="仿宋" w:eastAsia="仿宋"/>
          <w:color w:val="000000"/>
        </w:rPr>
      </w:pPr>
      <w:bookmarkStart w:id="105" w:name="_Toc79163636"/>
      <w:bookmarkStart w:id="106" w:name="_Toc79163886"/>
      <w:bookmarkStart w:id="107" w:name="_Toc15396619"/>
      <w:r>
        <w:rPr>
          <w:rFonts w:hint="eastAsia" w:ascii="仿宋" w:hAnsi="仿宋" w:eastAsia="仿宋"/>
          <w:b w:val="0"/>
          <w:color w:val="000000"/>
        </w:rPr>
        <w:t>一、收</w:t>
      </w:r>
      <w:r>
        <w:rPr>
          <w:rStyle w:val="28"/>
          <w:rFonts w:hint="eastAsia" w:ascii="仿宋" w:hAnsi="仿宋" w:eastAsia="仿宋"/>
          <w:b w:val="0"/>
          <w:bCs w:val="0"/>
        </w:rPr>
        <w:t>入支出决算总表</w:t>
      </w:r>
      <w:bookmarkEnd w:id="105"/>
      <w:bookmarkEnd w:id="106"/>
      <w:bookmarkEnd w:id="107"/>
    </w:p>
    <w:p>
      <w:pPr>
        <w:pStyle w:val="4"/>
        <w:rPr>
          <w:rFonts w:ascii="仿宋" w:hAnsi="仿宋" w:eastAsia="仿宋"/>
          <w:color w:val="000000"/>
        </w:rPr>
      </w:pPr>
      <w:bookmarkStart w:id="108" w:name="_Toc79163887"/>
      <w:bookmarkStart w:id="109" w:name="_Toc79163637"/>
      <w:bookmarkStart w:id="110" w:name="_Toc15396620"/>
      <w:r>
        <w:rPr>
          <w:rFonts w:hint="eastAsia" w:ascii="仿宋" w:hAnsi="仿宋" w:eastAsia="仿宋"/>
          <w:b w:val="0"/>
          <w:color w:val="000000"/>
        </w:rPr>
        <w:t>二、收</w:t>
      </w:r>
      <w:r>
        <w:rPr>
          <w:rStyle w:val="28"/>
          <w:rFonts w:hint="eastAsia" w:ascii="仿宋" w:hAnsi="仿宋" w:eastAsia="仿宋"/>
          <w:b w:val="0"/>
          <w:bCs w:val="0"/>
        </w:rPr>
        <w:t>入决算表</w:t>
      </w:r>
      <w:bookmarkEnd w:id="108"/>
      <w:bookmarkEnd w:id="109"/>
      <w:bookmarkEnd w:id="110"/>
    </w:p>
    <w:p>
      <w:pPr>
        <w:pStyle w:val="4"/>
        <w:rPr>
          <w:rFonts w:ascii="仿宋" w:hAnsi="仿宋" w:eastAsia="仿宋"/>
          <w:color w:val="000000"/>
        </w:rPr>
      </w:pPr>
      <w:bookmarkStart w:id="111" w:name="_Toc15396621"/>
      <w:bookmarkStart w:id="112" w:name="_Toc79163888"/>
      <w:bookmarkStart w:id="113" w:name="_Toc79163638"/>
      <w:r>
        <w:rPr>
          <w:rStyle w:val="28"/>
          <w:rFonts w:hint="eastAsia" w:ascii="仿宋" w:hAnsi="仿宋" w:eastAsia="仿宋"/>
          <w:b w:val="0"/>
          <w:bCs w:val="0"/>
        </w:rPr>
        <w:t>三、</w:t>
      </w:r>
      <w:r>
        <w:rPr>
          <w:rFonts w:hint="eastAsia" w:ascii="仿宋" w:hAnsi="仿宋" w:eastAsia="仿宋"/>
          <w:b w:val="0"/>
          <w:color w:val="000000"/>
        </w:rPr>
        <w:t>支</w:t>
      </w:r>
      <w:r>
        <w:rPr>
          <w:rStyle w:val="28"/>
          <w:rFonts w:hint="eastAsia" w:ascii="仿宋" w:hAnsi="仿宋" w:eastAsia="仿宋"/>
          <w:b w:val="0"/>
          <w:bCs w:val="0"/>
        </w:rPr>
        <w:t>出决算表</w:t>
      </w:r>
      <w:bookmarkEnd w:id="111"/>
      <w:bookmarkEnd w:id="112"/>
      <w:bookmarkEnd w:id="113"/>
    </w:p>
    <w:p>
      <w:pPr>
        <w:pStyle w:val="4"/>
        <w:rPr>
          <w:rFonts w:ascii="仿宋" w:hAnsi="仿宋" w:eastAsia="仿宋"/>
          <w:b w:val="0"/>
          <w:color w:val="000000"/>
        </w:rPr>
      </w:pPr>
      <w:bookmarkStart w:id="114" w:name="_Toc15396622"/>
      <w:bookmarkStart w:id="115" w:name="_Toc79163889"/>
      <w:bookmarkStart w:id="116" w:name="_Toc79163639"/>
      <w:r>
        <w:rPr>
          <w:rStyle w:val="28"/>
          <w:rFonts w:hint="eastAsia" w:ascii="仿宋" w:hAnsi="仿宋" w:eastAsia="仿宋"/>
          <w:b w:val="0"/>
          <w:bCs w:val="0"/>
        </w:rPr>
        <w:t>四、</w:t>
      </w:r>
      <w:r>
        <w:rPr>
          <w:rFonts w:hint="eastAsia" w:ascii="仿宋" w:hAnsi="仿宋" w:eastAsia="仿宋"/>
          <w:b w:val="0"/>
          <w:color w:val="000000"/>
        </w:rPr>
        <w:t>财</w:t>
      </w:r>
      <w:r>
        <w:rPr>
          <w:rStyle w:val="28"/>
          <w:rFonts w:hint="eastAsia" w:ascii="仿宋" w:hAnsi="仿宋" w:eastAsia="仿宋"/>
          <w:b w:val="0"/>
          <w:bCs w:val="0"/>
        </w:rPr>
        <w:t>政拨款收入支出决算总表</w:t>
      </w:r>
      <w:bookmarkEnd w:id="114"/>
      <w:bookmarkEnd w:id="115"/>
      <w:bookmarkEnd w:id="116"/>
    </w:p>
    <w:p>
      <w:pPr>
        <w:pStyle w:val="4"/>
        <w:rPr>
          <w:rStyle w:val="28"/>
          <w:rFonts w:ascii="仿宋" w:hAnsi="仿宋" w:eastAsia="仿宋"/>
          <w:b w:val="0"/>
          <w:bCs w:val="0"/>
        </w:rPr>
      </w:pPr>
      <w:bookmarkStart w:id="117" w:name="_Toc79163890"/>
      <w:bookmarkStart w:id="118" w:name="_Toc15396623"/>
      <w:bookmarkStart w:id="119" w:name="_Toc79163640"/>
      <w:r>
        <w:rPr>
          <w:rStyle w:val="28"/>
          <w:rFonts w:hint="eastAsia" w:ascii="仿宋" w:hAnsi="仿宋" w:eastAsia="仿宋"/>
          <w:b w:val="0"/>
          <w:bCs w:val="0"/>
        </w:rPr>
        <w:t>五、</w:t>
      </w:r>
      <w:r>
        <w:rPr>
          <w:rFonts w:hint="eastAsia" w:ascii="仿宋" w:hAnsi="仿宋" w:eastAsia="仿宋"/>
          <w:b w:val="0"/>
          <w:color w:val="000000"/>
        </w:rPr>
        <w:t>财</w:t>
      </w:r>
      <w:r>
        <w:rPr>
          <w:rStyle w:val="28"/>
          <w:rFonts w:hint="eastAsia" w:ascii="仿宋" w:hAnsi="仿宋" w:eastAsia="仿宋"/>
          <w:b w:val="0"/>
          <w:bCs w:val="0"/>
        </w:rPr>
        <w:t>政拨款支出决算明细表</w:t>
      </w:r>
      <w:bookmarkEnd w:id="117"/>
      <w:bookmarkEnd w:id="118"/>
      <w:bookmarkEnd w:id="119"/>
      <w:bookmarkStart w:id="120" w:name="_Toc15396624"/>
    </w:p>
    <w:p>
      <w:pPr>
        <w:pStyle w:val="4"/>
        <w:rPr>
          <w:rFonts w:ascii="仿宋" w:hAnsi="仿宋" w:eastAsia="仿宋"/>
          <w:color w:val="000000"/>
        </w:rPr>
      </w:pPr>
      <w:bookmarkStart w:id="121" w:name="_Toc79163641"/>
      <w:bookmarkStart w:id="122" w:name="_Toc79163891"/>
      <w:r>
        <w:rPr>
          <w:rStyle w:val="28"/>
          <w:rFonts w:hint="eastAsia" w:ascii="仿宋" w:hAnsi="仿宋" w:eastAsia="仿宋"/>
          <w:b w:val="0"/>
          <w:bCs w:val="0"/>
        </w:rPr>
        <w:t>六、</w:t>
      </w:r>
      <w:r>
        <w:rPr>
          <w:rFonts w:hint="eastAsia" w:ascii="仿宋" w:hAnsi="仿宋" w:eastAsia="仿宋"/>
          <w:b w:val="0"/>
          <w:color w:val="000000"/>
        </w:rPr>
        <w:t>一</w:t>
      </w:r>
      <w:r>
        <w:rPr>
          <w:rStyle w:val="28"/>
          <w:rFonts w:hint="eastAsia" w:ascii="仿宋" w:hAnsi="仿宋" w:eastAsia="仿宋"/>
          <w:b w:val="0"/>
          <w:bCs w:val="0"/>
        </w:rPr>
        <w:t>般公共预算财政拨款支出决算表</w:t>
      </w:r>
      <w:bookmarkEnd w:id="120"/>
      <w:bookmarkEnd w:id="121"/>
      <w:bookmarkEnd w:id="122"/>
    </w:p>
    <w:p>
      <w:pPr>
        <w:pStyle w:val="4"/>
        <w:rPr>
          <w:rFonts w:ascii="仿宋" w:hAnsi="仿宋" w:eastAsia="仿宋"/>
          <w:color w:val="000000"/>
        </w:rPr>
      </w:pPr>
      <w:bookmarkStart w:id="123" w:name="_Toc15396625"/>
      <w:bookmarkStart w:id="124" w:name="_Toc79163892"/>
      <w:bookmarkStart w:id="125" w:name="_Toc79163642"/>
      <w:r>
        <w:rPr>
          <w:rStyle w:val="28"/>
          <w:rFonts w:hint="eastAsia" w:ascii="仿宋" w:hAnsi="仿宋" w:eastAsia="仿宋"/>
          <w:b w:val="0"/>
          <w:bCs w:val="0"/>
        </w:rPr>
        <w:t>七、</w:t>
      </w:r>
      <w:r>
        <w:rPr>
          <w:rFonts w:hint="eastAsia" w:ascii="仿宋" w:hAnsi="仿宋" w:eastAsia="仿宋"/>
          <w:b w:val="0"/>
          <w:color w:val="000000"/>
        </w:rPr>
        <w:t>一</w:t>
      </w:r>
      <w:r>
        <w:rPr>
          <w:rStyle w:val="28"/>
          <w:rFonts w:hint="eastAsia" w:ascii="仿宋" w:hAnsi="仿宋" w:eastAsia="仿宋"/>
          <w:b w:val="0"/>
          <w:bCs w:val="0"/>
        </w:rPr>
        <w:t>般公共预算财政拨款支出决算明细表</w:t>
      </w:r>
      <w:bookmarkEnd w:id="123"/>
      <w:bookmarkEnd w:id="124"/>
      <w:bookmarkEnd w:id="125"/>
    </w:p>
    <w:p>
      <w:pPr>
        <w:pStyle w:val="4"/>
        <w:rPr>
          <w:rFonts w:ascii="仿宋" w:hAnsi="仿宋" w:eastAsia="仿宋"/>
          <w:color w:val="000000"/>
        </w:rPr>
      </w:pPr>
      <w:bookmarkStart w:id="126" w:name="_Toc15396626"/>
      <w:bookmarkStart w:id="127" w:name="_Toc79163643"/>
      <w:bookmarkStart w:id="128" w:name="_Toc79163893"/>
      <w:r>
        <w:rPr>
          <w:rStyle w:val="28"/>
          <w:rFonts w:hint="eastAsia" w:ascii="仿宋" w:hAnsi="仿宋" w:eastAsia="仿宋"/>
          <w:b w:val="0"/>
          <w:bCs w:val="0"/>
        </w:rPr>
        <w:t>八、</w:t>
      </w:r>
      <w:r>
        <w:rPr>
          <w:rFonts w:hint="eastAsia" w:ascii="仿宋" w:hAnsi="仿宋" w:eastAsia="仿宋"/>
          <w:b w:val="0"/>
          <w:color w:val="000000"/>
        </w:rPr>
        <w:t>一</w:t>
      </w:r>
      <w:r>
        <w:rPr>
          <w:rStyle w:val="28"/>
          <w:rFonts w:hint="eastAsia" w:ascii="仿宋" w:hAnsi="仿宋" w:eastAsia="仿宋"/>
          <w:b w:val="0"/>
          <w:bCs w:val="0"/>
        </w:rPr>
        <w:t>般公共预算财政拨款基本支出决算表</w:t>
      </w:r>
      <w:bookmarkEnd w:id="126"/>
      <w:bookmarkEnd w:id="127"/>
      <w:bookmarkEnd w:id="128"/>
    </w:p>
    <w:p>
      <w:pPr>
        <w:pStyle w:val="4"/>
        <w:rPr>
          <w:rFonts w:ascii="仿宋" w:hAnsi="仿宋" w:eastAsia="仿宋"/>
          <w:color w:val="000000"/>
        </w:rPr>
      </w:pPr>
      <w:bookmarkStart w:id="129" w:name="_Toc15396627"/>
      <w:bookmarkStart w:id="130" w:name="_Toc79163894"/>
      <w:bookmarkStart w:id="131" w:name="_Toc79163644"/>
      <w:r>
        <w:rPr>
          <w:rStyle w:val="28"/>
          <w:rFonts w:hint="eastAsia" w:ascii="仿宋" w:hAnsi="仿宋" w:eastAsia="仿宋"/>
          <w:b w:val="0"/>
          <w:bCs w:val="0"/>
        </w:rPr>
        <w:t>九、</w:t>
      </w:r>
      <w:r>
        <w:rPr>
          <w:rFonts w:hint="eastAsia" w:ascii="仿宋" w:hAnsi="仿宋" w:eastAsia="仿宋"/>
          <w:b w:val="0"/>
          <w:color w:val="000000"/>
        </w:rPr>
        <w:t>一</w:t>
      </w:r>
      <w:r>
        <w:rPr>
          <w:rStyle w:val="28"/>
          <w:rFonts w:hint="eastAsia" w:ascii="仿宋" w:hAnsi="仿宋" w:eastAsia="仿宋"/>
          <w:b w:val="0"/>
          <w:bCs w:val="0"/>
        </w:rPr>
        <w:t>般公共预算财政拨款项目支出决算表</w:t>
      </w:r>
      <w:bookmarkEnd w:id="129"/>
      <w:bookmarkEnd w:id="130"/>
      <w:bookmarkEnd w:id="131"/>
    </w:p>
    <w:p>
      <w:pPr>
        <w:pStyle w:val="4"/>
        <w:rPr>
          <w:rFonts w:ascii="仿宋" w:hAnsi="仿宋" w:eastAsia="仿宋"/>
          <w:color w:val="000000"/>
        </w:rPr>
      </w:pPr>
      <w:bookmarkStart w:id="132" w:name="_Toc15396628"/>
      <w:bookmarkStart w:id="133" w:name="_Toc79163645"/>
      <w:bookmarkStart w:id="134" w:name="_Toc79163895"/>
      <w:r>
        <w:rPr>
          <w:rStyle w:val="28"/>
          <w:rFonts w:hint="eastAsia" w:ascii="仿宋" w:hAnsi="仿宋" w:eastAsia="仿宋"/>
          <w:b w:val="0"/>
          <w:bCs w:val="0"/>
        </w:rPr>
        <w:t>十、</w:t>
      </w:r>
      <w:r>
        <w:rPr>
          <w:rFonts w:hint="eastAsia" w:ascii="仿宋" w:hAnsi="仿宋" w:eastAsia="仿宋"/>
          <w:b w:val="0"/>
          <w:color w:val="000000"/>
        </w:rPr>
        <w:t>一</w:t>
      </w:r>
      <w:r>
        <w:rPr>
          <w:rStyle w:val="28"/>
          <w:rFonts w:hint="eastAsia" w:ascii="仿宋" w:hAnsi="仿宋" w:eastAsia="仿宋"/>
          <w:b w:val="0"/>
          <w:bCs w:val="0"/>
        </w:rPr>
        <w:t>般公共预算财政拨款“三公”经费支出决算表</w:t>
      </w:r>
      <w:bookmarkEnd w:id="132"/>
      <w:bookmarkEnd w:id="133"/>
      <w:bookmarkEnd w:id="134"/>
    </w:p>
    <w:p>
      <w:pPr>
        <w:pStyle w:val="4"/>
        <w:rPr>
          <w:rFonts w:ascii="仿宋" w:hAnsi="仿宋" w:eastAsia="仿宋"/>
          <w:color w:val="000000"/>
        </w:rPr>
      </w:pPr>
      <w:bookmarkStart w:id="135" w:name="_Toc79163896"/>
      <w:bookmarkStart w:id="136" w:name="_Toc79163646"/>
      <w:bookmarkStart w:id="137" w:name="_Toc15396629"/>
      <w:r>
        <w:rPr>
          <w:rStyle w:val="28"/>
          <w:rFonts w:hint="eastAsia" w:ascii="仿宋" w:hAnsi="仿宋" w:eastAsia="仿宋"/>
          <w:b w:val="0"/>
          <w:bCs w:val="0"/>
        </w:rPr>
        <w:t>十一、</w:t>
      </w:r>
      <w:r>
        <w:rPr>
          <w:rFonts w:hint="eastAsia" w:ascii="仿宋" w:hAnsi="仿宋" w:eastAsia="仿宋"/>
          <w:b w:val="0"/>
          <w:color w:val="000000"/>
        </w:rPr>
        <w:t>政</w:t>
      </w:r>
      <w:r>
        <w:rPr>
          <w:rStyle w:val="28"/>
          <w:rFonts w:hint="eastAsia" w:ascii="仿宋" w:hAnsi="仿宋" w:eastAsia="仿宋"/>
          <w:b w:val="0"/>
          <w:bCs w:val="0"/>
        </w:rPr>
        <w:t>府性基金预算财政拨款收入支出决算表</w:t>
      </w:r>
      <w:bookmarkEnd w:id="135"/>
      <w:bookmarkEnd w:id="136"/>
      <w:bookmarkEnd w:id="137"/>
    </w:p>
    <w:p>
      <w:pPr>
        <w:pStyle w:val="4"/>
        <w:rPr>
          <w:rFonts w:ascii="仿宋" w:hAnsi="仿宋" w:eastAsia="仿宋"/>
          <w:color w:val="000000"/>
        </w:rPr>
      </w:pPr>
      <w:bookmarkStart w:id="138" w:name="_Toc15396630"/>
      <w:bookmarkStart w:id="139" w:name="_Toc79163647"/>
      <w:bookmarkStart w:id="140" w:name="_Toc79163897"/>
      <w:r>
        <w:rPr>
          <w:rStyle w:val="28"/>
          <w:rFonts w:hint="eastAsia" w:ascii="仿宋" w:hAnsi="仿宋" w:eastAsia="仿宋"/>
          <w:b w:val="0"/>
          <w:bCs w:val="0"/>
        </w:rPr>
        <w:t>十二、</w:t>
      </w:r>
      <w:r>
        <w:rPr>
          <w:rFonts w:hint="eastAsia" w:ascii="仿宋" w:hAnsi="仿宋" w:eastAsia="仿宋"/>
          <w:b w:val="0"/>
          <w:color w:val="000000"/>
        </w:rPr>
        <w:t>政</w:t>
      </w:r>
      <w:r>
        <w:rPr>
          <w:rStyle w:val="28"/>
          <w:rFonts w:hint="eastAsia" w:ascii="仿宋" w:hAnsi="仿宋" w:eastAsia="仿宋"/>
          <w:b w:val="0"/>
          <w:bCs w:val="0"/>
        </w:rPr>
        <w:t>府性基金预算财政拨款“三公”经费支出决算表</w:t>
      </w:r>
      <w:bookmarkEnd w:id="138"/>
      <w:bookmarkEnd w:id="139"/>
      <w:bookmarkEnd w:id="140"/>
    </w:p>
    <w:p>
      <w:pPr>
        <w:pStyle w:val="4"/>
        <w:rPr>
          <w:rStyle w:val="28"/>
          <w:rFonts w:ascii="仿宋" w:hAnsi="仿宋" w:eastAsia="仿宋"/>
          <w:b w:val="0"/>
          <w:bCs w:val="0"/>
        </w:rPr>
      </w:pPr>
      <w:bookmarkStart w:id="141" w:name="_Toc79163648"/>
      <w:bookmarkStart w:id="142" w:name="_Toc79163898"/>
      <w:bookmarkStart w:id="143" w:name="_Toc15396631"/>
      <w:r>
        <w:rPr>
          <w:rStyle w:val="28"/>
          <w:rFonts w:hint="eastAsia" w:ascii="仿宋" w:hAnsi="仿宋" w:eastAsia="仿宋"/>
          <w:b w:val="0"/>
          <w:bCs w:val="0"/>
        </w:rPr>
        <w:t>十三、</w:t>
      </w:r>
      <w:r>
        <w:rPr>
          <w:rFonts w:hint="eastAsia" w:ascii="仿宋" w:hAnsi="仿宋" w:eastAsia="仿宋"/>
          <w:b w:val="0"/>
          <w:color w:val="000000"/>
        </w:rPr>
        <w:t>国</w:t>
      </w:r>
      <w:r>
        <w:rPr>
          <w:rStyle w:val="28"/>
          <w:rFonts w:hint="eastAsia" w:ascii="仿宋" w:hAnsi="仿宋" w:eastAsia="仿宋"/>
          <w:b w:val="0"/>
          <w:bCs w:val="0"/>
        </w:rPr>
        <w:t>有资本经营预算财政拨款支出决算表</w:t>
      </w:r>
      <w:bookmarkEnd w:id="141"/>
      <w:bookmarkEnd w:id="142"/>
      <w:bookmarkEnd w:id="143"/>
    </w:p>
    <w:p>
      <w:pPr>
        <w:pStyle w:val="4"/>
        <w:rPr>
          <w:rStyle w:val="28"/>
          <w:rFonts w:ascii="仿宋" w:hAnsi="仿宋" w:eastAsia="仿宋"/>
          <w:b w:val="0"/>
          <w:bCs w:val="0"/>
        </w:rPr>
      </w:pPr>
      <w:bookmarkStart w:id="144" w:name="_Toc79163649"/>
      <w:bookmarkStart w:id="145" w:name="_Toc79163899"/>
      <w:r>
        <w:rPr>
          <w:rStyle w:val="28"/>
          <w:rFonts w:hint="eastAsia" w:ascii="仿宋" w:hAnsi="仿宋" w:eastAsia="仿宋"/>
          <w:b w:val="0"/>
          <w:bCs w:val="0"/>
        </w:rPr>
        <w:t>十四、国有资本经营预算财政拨款支出决算表</w:t>
      </w:r>
      <w:bookmarkEnd w:id="144"/>
      <w:bookmarkEnd w:id="145"/>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t>25</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E33080"/>
    <w:multiLevelType w:val="singleLevel"/>
    <w:tmpl w:val="ACE33080"/>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2">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3">
    <w:nsid w:val="27BE6324"/>
    <w:multiLevelType w:val="singleLevel"/>
    <w:tmpl w:val="27BE6324"/>
    <w:lvl w:ilvl="0" w:tentative="0">
      <w:start w:val="2"/>
      <w:numFmt w:val="chineseCounting"/>
      <w:suff w:val="nothing"/>
      <w:lvlText w:val="（%1）"/>
      <w:lvlJc w:val="left"/>
      <w:rPr>
        <w:rFonts w:hint="eastAsia"/>
      </w:rPr>
    </w:lvl>
  </w:abstractNum>
  <w:abstractNum w:abstractNumId="4">
    <w:nsid w:val="7EED1195"/>
    <w:multiLevelType w:val="singleLevel"/>
    <w:tmpl w:val="7EED1195"/>
    <w:lvl w:ilvl="0" w:tentative="0">
      <w:start w:val="1"/>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26640"/>
    <w:rsid w:val="00235629"/>
    <w:rsid w:val="00256262"/>
    <w:rsid w:val="00260C38"/>
    <w:rsid w:val="002616C0"/>
    <w:rsid w:val="00264FA2"/>
    <w:rsid w:val="00265372"/>
    <w:rsid w:val="002662AA"/>
    <w:rsid w:val="0027224D"/>
    <w:rsid w:val="00280496"/>
    <w:rsid w:val="00294DC9"/>
    <w:rsid w:val="00295495"/>
    <w:rsid w:val="002A31DE"/>
    <w:rsid w:val="002B2613"/>
    <w:rsid w:val="002D6D05"/>
    <w:rsid w:val="002F1818"/>
    <w:rsid w:val="002F567B"/>
    <w:rsid w:val="003216A9"/>
    <w:rsid w:val="00335A74"/>
    <w:rsid w:val="0036561B"/>
    <w:rsid w:val="0037013F"/>
    <w:rsid w:val="00380C92"/>
    <w:rsid w:val="00394E7F"/>
    <w:rsid w:val="003A484F"/>
    <w:rsid w:val="003A4883"/>
    <w:rsid w:val="003B0BE0"/>
    <w:rsid w:val="003B0C1B"/>
    <w:rsid w:val="003B688C"/>
    <w:rsid w:val="003C0291"/>
    <w:rsid w:val="003C39AE"/>
    <w:rsid w:val="003C7B60"/>
    <w:rsid w:val="003D0C0F"/>
    <w:rsid w:val="003D1FB2"/>
    <w:rsid w:val="003D53FE"/>
    <w:rsid w:val="003D66DA"/>
    <w:rsid w:val="003E1310"/>
    <w:rsid w:val="003E6F55"/>
    <w:rsid w:val="003E6FE4"/>
    <w:rsid w:val="00406254"/>
    <w:rsid w:val="004223DE"/>
    <w:rsid w:val="00434489"/>
    <w:rsid w:val="00437085"/>
    <w:rsid w:val="00443880"/>
    <w:rsid w:val="00445607"/>
    <w:rsid w:val="004464F4"/>
    <w:rsid w:val="00471401"/>
    <w:rsid w:val="00473F31"/>
    <w:rsid w:val="00476DF9"/>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5271A"/>
    <w:rsid w:val="0066343B"/>
    <w:rsid w:val="00664777"/>
    <w:rsid w:val="006748A4"/>
    <w:rsid w:val="00681A31"/>
    <w:rsid w:val="00683E73"/>
    <w:rsid w:val="006A3141"/>
    <w:rsid w:val="006A5E34"/>
    <w:rsid w:val="006B2422"/>
    <w:rsid w:val="006B2B9A"/>
    <w:rsid w:val="006C1937"/>
    <w:rsid w:val="006E2684"/>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D4A41"/>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32E0"/>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20FF3"/>
    <w:rsid w:val="00B310B9"/>
    <w:rsid w:val="00B35F3F"/>
    <w:rsid w:val="00B36CBB"/>
    <w:rsid w:val="00B425E0"/>
    <w:rsid w:val="00B440AA"/>
    <w:rsid w:val="00B44B70"/>
    <w:rsid w:val="00B53C56"/>
    <w:rsid w:val="00B54DB4"/>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1C39"/>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05477"/>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952C9"/>
    <w:rsid w:val="00FA23E8"/>
    <w:rsid w:val="00FD3CC1"/>
    <w:rsid w:val="00FF1E02"/>
    <w:rsid w:val="00FF30B4"/>
    <w:rsid w:val="014C4DA3"/>
    <w:rsid w:val="016D3530"/>
    <w:rsid w:val="051200B1"/>
    <w:rsid w:val="05B747B5"/>
    <w:rsid w:val="061A2298"/>
    <w:rsid w:val="06FA704F"/>
    <w:rsid w:val="08674270"/>
    <w:rsid w:val="09844198"/>
    <w:rsid w:val="0A2032A3"/>
    <w:rsid w:val="0A5026DB"/>
    <w:rsid w:val="0B91295B"/>
    <w:rsid w:val="0C917B0E"/>
    <w:rsid w:val="0D1A52F9"/>
    <w:rsid w:val="10C055FF"/>
    <w:rsid w:val="114C04A7"/>
    <w:rsid w:val="118107EC"/>
    <w:rsid w:val="11BD58B2"/>
    <w:rsid w:val="12C30C3D"/>
    <w:rsid w:val="13D44FA7"/>
    <w:rsid w:val="169923E1"/>
    <w:rsid w:val="16BB723D"/>
    <w:rsid w:val="18D53478"/>
    <w:rsid w:val="19094ED0"/>
    <w:rsid w:val="1D0460DA"/>
    <w:rsid w:val="1D155CEE"/>
    <w:rsid w:val="210E5779"/>
    <w:rsid w:val="22BA200B"/>
    <w:rsid w:val="232C4F75"/>
    <w:rsid w:val="240371BF"/>
    <w:rsid w:val="24FD4C12"/>
    <w:rsid w:val="29FD04D3"/>
    <w:rsid w:val="2B6F5066"/>
    <w:rsid w:val="2E67780F"/>
    <w:rsid w:val="2E6C3ADF"/>
    <w:rsid w:val="2F0401BB"/>
    <w:rsid w:val="2FC101D2"/>
    <w:rsid w:val="303D5733"/>
    <w:rsid w:val="319F7F4E"/>
    <w:rsid w:val="326B7F22"/>
    <w:rsid w:val="34AE30A3"/>
    <w:rsid w:val="361374D2"/>
    <w:rsid w:val="396D4B38"/>
    <w:rsid w:val="3B4E6126"/>
    <w:rsid w:val="3D0C62A9"/>
    <w:rsid w:val="3D477BF1"/>
    <w:rsid w:val="3F47037C"/>
    <w:rsid w:val="3FEA2348"/>
    <w:rsid w:val="40F778EA"/>
    <w:rsid w:val="42755200"/>
    <w:rsid w:val="42864E7C"/>
    <w:rsid w:val="464A0752"/>
    <w:rsid w:val="47971775"/>
    <w:rsid w:val="48B85449"/>
    <w:rsid w:val="4A151212"/>
    <w:rsid w:val="4A235542"/>
    <w:rsid w:val="4C6365C5"/>
    <w:rsid w:val="4E606D65"/>
    <w:rsid w:val="4EBC7D13"/>
    <w:rsid w:val="4ECE2238"/>
    <w:rsid w:val="4F3F2E1E"/>
    <w:rsid w:val="50CC248F"/>
    <w:rsid w:val="52020AD7"/>
    <w:rsid w:val="52350508"/>
    <w:rsid w:val="529B480F"/>
    <w:rsid w:val="53AB0A82"/>
    <w:rsid w:val="595D1779"/>
    <w:rsid w:val="5A767910"/>
    <w:rsid w:val="5DC664B8"/>
    <w:rsid w:val="5E3E24F3"/>
    <w:rsid w:val="5F526256"/>
    <w:rsid w:val="5FC37F08"/>
    <w:rsid w:val="600734E4"/>
    <w:rsid w:val="61502C69"/>
    <w:rsid w:val="61F730E4"/>
    <w:rsid w:val="623600B0"/>
    <w:rsid w:val="626616D3"/>
    <w:rsid w:val="631A4274"/>
    <w:rsid w:val="67B37AAD"/>
    <w:rsid w:val="6850354E"/>
    <w:rsid w:val="69780FAF"/>
    <w:rsid w:val="6C4A05C8"/>
    <w:rsid w:val="6C845EBC"/>
    <w:rsid w:val="71724535"/>
    <w:rsid w:val="72020D13"/>
    <w:rsid w:val="72734D90"/>
    <w:rsid w:val="766F09B1"/>
    <w:rsid w:val="79725A1A"/>
    <w:rsid w:val="79BC6C95"/>
    <w:rsid w:val="79C773E8"/>
    <w:rsid w:val="7A6B246A"/>
    <w:rsid w:val="7B580C40"/>
    <w:rsid w:val="7D44147C"/>
    <w:rsid w:val="7E0429B9"/>
    <w:rsid w:val="7E3239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29"/>
    <w:qFormat/>
    <w:uiPriority w:val="9"/>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widowControl w:val="0"/>
      <w:ind w:left="400" w:leftChars="200" w:hanging="200" w:hangingChars="200"/>
      <w:jc w:val="both"/>
    </w:pPr>
    <w:rPr>
      <w:rFonts w:ascii="Calibri" w:hAnsi="Calibri" w:eastAsia="宋体" w:cs="Times New Roman"/>
      <w:kern w:val="2"/>
      <w:sz w:val="21"/>
      <w:szCs w:val="24"/>
      <w:lang w:val="en-US" w:eastAsia="zh-CN" w:bidi="ar-SA"/>
    </w:rPr>
  </w:style>
  <w:style w:type="paragraph" w:styleId="6">
    <w:name w:val="toc 7"/>
    <w:basedOn w:val="1"/>
    <w:next w:val="1"/>
    <w:unhideWhenUsed/>
    <w:qFormat/>
    <w:uiPriority w:val="39"/>
    <w:pPr>
      <w:ind w:left="1260"/>
      <w:jc w:val="left"/>
    </w:pPr>
    <w:rPr>
      <w:rFonts w:asciiTheme="minorHAnsi" w:eastAsiaTheme="minorHAnsi"/>
      <w:sz w:val="18"/>
      <w:szCs w:val="18"/>
    </w:rPr>
  </w:style>
  <w:style w:type="paragraph" w:styleId="7">
    <w:name w:val="Body Text"/>
    <w:basedOn w:val="1"/>
    <w:link w:val="36"/>
    <w:qFormat/>
    <w:uiPriority w:val="99"/>
    <w:pPr>
      <w:spacing w:beforeLines="30"/>
    </w:pPr>
    <w:rPr>
      <w:rFonts w:ascii="仿宋_GB2312" w:eastAsia="仿宋_GB2312"/>
      <w:kern w:val="0"/>
      <w:sz w:val="24"/>
      <w:szCs w:val="20"/>
      <w:lang w:val="zh-CN"/>
    </w:rPr>
  </w:style>
  <w:style w:type="paragraph" w:styleId="8">
    <w:name w:val="Body Text Indent"/>
    <w:basedOn w:val="1"/>
    <w:next w:val="1"/>
    <w:qFormat/>
    <w:uiPriority w:val="0"/>
    <w:pPr>
      <w:spacing w:after="120"/>
      <w:ind w:left="420" w:leftChars="200"/>
    </w:pPr>
    <w:rPr>
      <w:rFonts w:ascii="Calibri" w:hAnsi="Calibri"/>
      <w:szCs w:val="22"/>
    </w:rPr>
  </w:style>
  <w:style w:type="paragraph" w:styleId="9">
    <w:name w:val="toc 5"/>
    <w:basedOn w:val="1"/>
    <w:next w:val="1"/>
    <w:unhideWhenUsed/>
    <w:qFormat/>
    <w:uiPriority w:val="39"/>
    <w:pPr>
      <w:ind w:left="840"/>
      <w:jc w:val="left"/>
    </w:pPr>
    <w:rPr>
      <w:rFonts w:asciiTheme="minorHAnsi" w:eastAsiaTheme="minorHAnsi"/>
      <w:sz w:val="18"/>
      <w:szCs w:val="18"/>
    </w:rPr>
  </w:style>
  <w:style w:type="paragraph" w:styleId="10">
    <w:name w:val="toc 3"/>
    <w:basedOn w:val="1"/>
    <w:next w:val="1"/>
    <w:unhideWhenUsed/>
    <w:qFormat/>
    <w:uiPriority w:val="39"/>
    <w:pPr>
      <w:ind w:left="420"/>
      <w:jc w:val="left"/>
    </w:pPr>
    <w:rPr>
      <w:rFonts w:asciiTheme="minorHAnsi" w:eastAsiaTheme="minorHAnsi"/>
      <w:i/>
      <w:iCs/>
      <w:sz w:val="20"/>
      <w:szCs w:val="20"/>
    </w:rPr>
  </w:style>
  <w:style w:type="paragraph" w:styleId="11">
    <w:name w:val="toc 8"/>
    <w:basedOn w:val="1"/>
    <w:next w:val="1"/>
    <w:unhideWhenUsed/>
    <w:qFormat/>
    <w:uiPriority w:val="39"/>
    <w:pPr>
      <w:ind w:left="1470"/>
      <w:jc w:val="left"/>
    </w:pPr>
    <w:rPr>
      <w:rFonts w:asciiTheme="minorHAnsi" w:eastAsiaTheme="minorHAnsi"/>
      <w:sz w:val="18"/>
      <w:szCs w:val="18"/>
    </w:rPr>
  </w:style>
  <w:style w:type="paragraph" w:styleId="12">
    <w:name w:val="Balloon Text"/>
    <w:basedOn w:val="1"/>
    <w:link w:val="31"/>
    <w:semiHidden/>
    <w:unhideWhenUsed/>
    <w:qFormat/>
    <w:uiPriority w:val="99"/>
    <w:rPr>
      <w:sz w:val="18"/>
      <w:szCs w:val="18"/>
    </w:rPr>
  </w:style>
  <w:style w:type="paragraph" w:styleId="13">
    <w:name w:val="footer"/>
    <w:basedOn w:val="1"/>
    <w:link w:val="35"/>
    <w:qFormat/>
    <w:uiPriority w:val="99"/>
    <w:pPr>
      <w:tabs>
        <w:tab w:val="center" w:pos="4153"/>
        <w:tab w:val="right" w:pos="8306"/>
      </w:tabs>
      <w:snapToGrid w:val="0"/>
      <w:jc w:val="left"/>
    </w:pPr>
    <w:rPr>
      <w:rFonts w:ascii="Calibri" w:hAnsi="Calibri"/>
      <w:kern w:val="0"/>
      <w:sz w:val="18"/>
      <w:szCs w:val="20"/>
      <w:lang w:val="zh-CN"/>
    </w:rPr>
  </w:style>
  <w:style w:type="paragraph" w:styleId="14">
    <w:name w:val="header"/>
    <w:basedOn w:val="1"/>
    <w:link w:val="34"/>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5">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6">
    <w:name w:val="toc 4"/>
    <w:basedOn w:val="1"/>
    <w:next w:val="1"/>
    <w:unhideWhenUsed/>
    <w:qFormat/>
    <w:uiPriority w:val="39"/>
    <w:pPr>
      <w:ind w:left="630"/>
      <w:jc w:val="left"/>
    </w:pPr>
    <w:rPr>
      <w:rFonts w:asciiTheme="minorHAnsi" w:eastAsiaTheme="minorHAnsi"/>
      <w:sz w:val="18"/>
      <w:szCs w:val="18"/>
    </w:rPr>
  </w:style>
  <w:style w:type="paragraph" w:styleId="17">
    <w:name w:val="toc 6"/>
    <w:basedOn w:val="1"/>
    <w:next w:val="1"/>
    <w:unhideWhenUsed/>
    <w:qFormat/>
    <w:uiPriority w:val="39"/>
    <w:pPr>
      <w:ind w:left="1050"/>
      <w:jc w:val="left"/>
    </w:pPr>
    <w:rPr>
      <w:rFonts w:asciiTheme="minorHAnsi" w:eastAsiaTheme="minorHAnsi"/>
      <w:sz w:val="18"/>
      <w:szCs w:val="18"/>
    </w:rPr>
  </w:style>
  <w:style w:type="paragraph" w:styleId="18">
    <w:name w:val="toc 2"/>
    <w:basedOn w:val="1"/>
    <w:next w:val="1"/>
    <w:unhideWhenUsed/>
    <w:qFormat/>
    <w:uiPriority w:val="39"/>
    <w:pPr>
      <w:ind w:left="210"/>
      <w:jc w:val="left"/>
    </w:pPr>
    <w:rPr>
      <w:rFonts w:asciiTheme="minorHAnsi" w:eastAsiaTheme="minorHAnsi"/>
      <w:smallCaps/>
      <w:sz w:val="20"/>
      <w:szCs w:val="20"/>
    </w:rPr>
  </w:style>
  <w:style w:type="paragraph" w:styleId="19">
    <w:name w:val="toc 9"/>
    <w:basedOn w:val="1"/>
    <w:next w:val="1"/>
    <w:unhideWhenUsed/>
    <w:qFormat/>
    <w:uiPriority w:val="39"/>
    <w:pPr>
      <w:ind w:left="1680"/>
      <w:jc w:val="left"/>
    </w:pPr>
    <w:rPr>
      <w:rFonts w:asciiTheme="minorHAnsi" w:eastAsiaTheme="minorHAnsi"/>
      <w:sz w:val="18"/>
      <w:szCs w:val="18"/>
    </w:rPr>
  </w:style>
  <w:style w:type="paragraph" w:styleId="20">
    <w:name w:val="Normal (Web)"/>
    <w:basedOn w:val="1"/>
    <w:unhideWhenUsed/>
    <w:qFormat/>
    <w:uiPriority w:val="0"/>
    <w:pPr>
      <w:spacing w:before="100" w:beforeAutospacing="1" w:after="100" w:afterAutospacing="1"/>
    </w:pPr>
  </w:style>
  <w:style w:type="paragraph" w:styleId="21">
    <w:name w:val="Body Text First Indent 2"/>
    <w:basedOn w:val="8"/>
    <w:next w:val="1"/>
    <w:qFormat/>
    <w:uiPriority w:val="0"/>
    <w:pPr>
      <w:spacing w:line="360" w:lineRule="auto"/>
      <w:ind w:left="0" w:leftChars="0" w:firstLine="420" w:firstLineChars="200"/>
    </w:pPr>
    <w:rPr>
      <w:rFonts w:ascii="Times New Roman" w:hAnsi="Times New Roman" w:eastAsia="宋体"/>
    </w:rPr>
  </w:style>
  <w:style w:type="character" w:styleId="24">
    <w:name w:val="Strong"/>
    <w:basedOn w:val="23"/>
    <w:qFormat/>
    <w:uiPriority w:val="99"/>
    <w:rPr>
      <w:rFonts w:cs="Times New Roman"/>
      <w:b/>
    </w:rPr>
  </w:style>
  <w:style w:type="character" w:styleId="25">
    <w:name w:val="Hyperlink"/>
    <w:basedOn w:val="23"/>
    <w:unhideWhenUsed/>
    <w:qFormat/>
    <w:uiPriority w:val="99"/>
    <w:rPr>
      <w:rFonts w:cs="Times New Roman"/>
      <w:color w:val="0000FF"/>
      <w:u w:val="single"/>
    </w:rPr>
  </w:style>
  <w:style w:type="paragraph" w:customStyle="1" w:styleId="26">
    <w:name w:val="列出段落1"/>
    <w:basedOn w:val="1"/>
    <w:qFormat/>
    <w:uiPriority w:val="34"/>
    <w:pPr>
      <w:ind w:firstLine="420" w:firstLineChars="200"/>
    </w:pPr>
    <w:rPr>
      <w:rFonts w:ascii="Calibri" w:hAnsi="Calibri" w:eastAsia="宋体" w:cs="Times New Roman"/>
    </w:rPr>
  </w:style>
  <w:style w:type="character" w:customStyle="1" w:styleId="27">
    <w:name w:val="标题 1 Char"/>
    <w:basedOn w:val="23"/>
    <w:link w:val="3"/>
    <w:qFormat/>
    <w:locked/>
    <w:uiPriority w:val="9"/>
    <w:rPr>
      <w:rFonts w:ascii="Times New Roman" w:hAnsi="Times New Roman" w:cs="Times New Roman"/>
      <w:b/>
      <w:bCs/>
      <w:kern w:val="44"/>
      <w:sz w:val="44"/>
      <w:szCs w:val="44"/>
    </w:rPr>
  </w:style>
  <w:style w:type="character" w:customStyle="1" w:styleId="28">
    <w:name w:val="标题 2 Char"/>
    <w:basedOn w:val="23"/>
    <w:link w:val="4"/>
    <w:qFormat/>
    <w:locked/>
    <w:uiPriority w:val="9"/>
    <w:rPr>
      <w:rFonts w:ascii="Cambria" w:hAnsi="Cambria" w:eastAsia="宋体" w:cs="Times New Roman"/>
      <w:b/>
      <w:bCs/>
      <w:kern w:val="2"/>
      <w:sz w:val="32"/>
      <w:szCs w:val="32"/>
    </w:rPr>
  </w:style>
  <w:style w:type="character" w:customStyle="1" w:styleId="29">
    <w:name w:val="标题 3 Char"/>
    <w:basedOn w:val="23"/>
    <w:link w:val="5"/>
    <w:qFormat/>
    <w:locked/>
    <w:uiPriority w:val="9"/>
    <w:rPr>
      <w:rFonts w:ascii="Times New Roman" w:hAnsi="Times New Roman" w:cs="Times New Roman"/>
      <w:b/>
      <w:bCs/>
      <w:kern w:val="2"/>
      <w:sz w:val="32"/>
      <w:szCs w:val="32"/>
    </w:rPr>
  </w:style>
  <w:style w:type="character" w:customStyle="1" w:styleId="30">
    <w:name w:val="Body Text Char"/>
    <w:basedOn w:val="23"/>
    <w:semiHidden/>
    <w:qFormat/>
    <w:uiPriority w:val="99"/>
    <w:rPr>
      <w:rFonts w:ascii="Times New Roman" w:hAnsi="Times New Roman" w:cs="Times New Roman"/>
      <w:sz w:val="24"/>
      <w:szCs w:val="24"/>
    </w:rPr>
  </w:style>
  <w:style w:type="character" w:customStyle="1" w:styleId="31">
    <w:name w:val="批注框文本 Char"/>
    <w:basedOn w:val="23"/>
    <w:link w:val="12"/>
    <w:semiHidden/>
    <w:qFormat/>
    <w:locked/>
    <w:uiPriority w:val="99"/>
    <w:rPr>
      <w:rFonts w:ascii="Times New Roman" w:hAnsi="Times New Roman" w:cs="Times New Roman"/>
      <w:kern w:val="2"/>
      <w:sz w:val="18"/>
      <w:szCs w:val="18"/>
    </w:rPr>
  </w:style>
  <w:style w:type="character" w:customStyle="1" w:styleId="32">
    <w:name w:val="Footer Char"/>
    <w:basedOn w:val="23"/>
    <w:semiHidden/>
    <w:qFormat/>
    <w:uiPriority w:val="99"/>
    <w:rPr>
      <w:rFonts w:ascii="Times New Roman" w:hAnsi="Times New Roman" w:cs="Times New Roman"/>
      <w:sz w:val="18"/>
      <w:szCs w:val="18"/>
    </w:rPr>
  </w:style>
  <w:style w:type="character" w:customStyle="1" w:styleId="33">
    <w:name w:val="Header Char"/>
    <w:basedOn w:val="23"/>
    <w:semiHidden/>
    <w:qFormat/>
    <w:uiPriority w:val="99"/>
    <w:rPr>
      <w:rFonts w:ascii="Times New Roman" w:hAnsi="Times New Roman" w:cs="Times New Roman"/>
      <w:sz w:val="18"/>
      <w:szCs w:val="18"/>
    </w:rPr>
  </w:style>
  <w:style w:type="character" w:customStyle="1" w:styleId="34">
    <w:name w:val="页眉 Char"/>
    <w:link w:val="14"/>
    <w:semiHidden/>
    <w:qFormat/>
    <w:locked/>
    <w:uiPriority w:val="99"/>
    <w:rPr>
      <w:sz w:val="18"/>
    </w:rPr>
  </w:style>
  <w:style w:type="character" w:customStyle="1" w:styleId="35">
    <w:name w:val="页脚 Char"/>
    <w:link w:val="13"/>
    <w:qFormat/>
    <w:locked/>
    <w:uiPriority w:val="99"/>
    <w:rPr>
      <w:sz w:val="18"/>
    </w:rPr>
  </w:style>
  <w:style w:type="character" w:customStyle="1" w:styleId="36">
    <w:name w:val="正文文本 Char"/>
    <w:link w:val="7"/>
    <w:qFormat/>
    <w:locked/>
    <w:uiPriority w:val="99"/>
    <w:rPr>
      <w:rFonts w:ascii="仿宋_GB2312" w:hAnsi="Times New Roman" w:eastAsia="仿宋_GB2312"/>
      <w:sz w:val="24"/>
    </w:rPr>
  </w:style>
  <w:style w:type="paragraph" w:customStyle="1" w:styleId="3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8">
    <w:name w:val="列表段落1"/>
    <w:basedOn w:val="1"/>
    <w:qFormat/>
    <w:uiPriority w:val="34"/>
    <w:pPr>
      <w:ind w:firstLine="420" w:firstLineChars="200"/>
    </w:pPr>
  </w:style>
  <w:style w:type="paragraph" w:customStyle="1" w:styleId="39">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0">
    <w:name w:val="TOC Heading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1">
    <w:name w:val="TOC 标题2"/>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42">
    <w:name w:val="NormalCharacter"/>
    <w:semiHidden/>
    <w:qFormat/>
    <w:uiPriority w:val="0"/>
    <w:rPr>
      <w:rFonts w:ascii="Calibri" w:hAnsi="Calibri" w:eastAsia="宋体" w:cs="Times New Roman"/>
      <w:kern w:val="2"/>
      <w:sz w:val="21"/>
      <w:szCs w:val="24"/>
      <w:lang w:val="en-US" w:eastAsia="zh-CN" w:bidi="ar-SA"/>
    </w:rPr>
  </w:style>
  <w:style w:type="character" w:customStyle="1" w:styleId="43">
    <w:name w:val="15"/>
    <w:basedOn w:val="23"/>
    <w:qFormat/>
    <w:uiPriority w:val="0"/>
    <w:rPr>
      <w:rFonts w:hint="default" w:ascii="Cambria" w:hAnsi="Cambria" w:eastAsia="宋体" w:cs="Times New Roman"/>
      <w:b/>
      <w:bCs/>
      <w:kern w:val="2"/>
      <w:sz w:val="32"/>
      <w:szCs w:val="32"/>
    </w:rPr>
  </w:style>
  <w:style w:type="character" w:customStyle="1" w:styleId="44">
    <w:name w:val="10"/>
    <w:basedOn w:val="23"/>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image" Target="media/image1.jpeg"/><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36164;&#26009;\&#36164;&#26009;\&#20915;&#31639;&#20844;&#24320;&#20998;&#26512;&#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36164;&#26009;\&#36164;&#26009;\&#20915;&#31639;&#20844;&#24320;&#20998;&#26512;&#22270;&#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36164;&#26009;\&#36164;&#26009;\&#20915;&#31639;&#20844;&#24320;&#20998;&#26512;&#22270;&#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36164;&#26009;\&#36164;&#26009;\&#20915;&#31639;&#20844;&#24320;&#20998;&#26512;&#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36164;&#26009;\&#36164;&#26009;\&#20915;&#31639;&#20844;&#24320;&#20998;&#26512;&#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36164;&#26009;\&#36164;&#26009;\&#20915;&#31639;&#20844;&#24320;&#20998;&#26512;&#22270;&#349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36164;&#26009;\&#36164;&#26009;\&#20915;&#31639;&#20844;&#24320;&#20998;&#26512;&#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收入决算总计变动情况图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manualLayout>
          <c:layoutTarget val="inner"/>
          <c:xMode val="edge"/>
          <c:yMode val="edge"/>
          <c:x val="0.0988333333333333"/>
          <c:y val="0.22037037037037"/>
          <c:w val="0.844222222222222"/>
          <c:h val="0.711666666666667"/>
        </c:manualLayout>
      </c:layout>
      <c:barChart>
        <c:barDir val="col"/>
        <c:grouping val="clustered"/>
        <c:varyColors val="0"/>
        <c:ser>
          <c:idx val="0"/>
          <c:order val="0"/>
          <c:spPr>
            <a:solidFill>
              <a:schemeClr val="accent1"/>
            </a:solidFill>
            <a:ln>
              <a:noFill/>
            </a:ln>
            <a:effectLst/>
          </c:spPr>
          <c:invertIfNegative val="0"/>
          <c:dLbls>
            <c:delete val="1"/>
          </c:dLbls>
          <c:cat>
            <c:strRef>
              <c:f>[决算公开分析图表.xls]Sheet1!$A$3:$B$3</c:f>
              <c:strCache>
                <c:ptCount val="2"/>
                <c:pt idx="0">
                  <c:v>2021年</c:v>
                </c:pt>
                <c:pt idx="1">
                  <c:v>2022年</c:v>
                </c:pt>
              </c:strCache>
            </c:strRef>
          </c:cat>
          <c:val>
            <c:numRef>
              <c:f>[决算公开分析图表.xls]Sheet1!$A$4:$B$4</c:f>
              <c:numCache>
                <c:formatCode>General</c:formatCode>
                <c:ptCount val="2"/>
                <c:pt idx="0">
                  <c:v>293.62</c:v>
                </c:pt>
                <c:pt idx="1" c:formatCode="#,##0.00">
                  <c:v>290.63</c:v>
                </c:pt>
              </c:numCache>
            </c:numRef>
          </c:val>
        </c:ser>
        <c:dLbls>
          <c:showLegendKey val="0"/>
          <c:showVal val="0"/>
          <c:showCatName val="0"/>
          <c:showSerName val="0"/>
          <c:showPercent val="0"/>
          <c:showBubbleSize val="0"/>
        </c:dLbls>
        <c:gapWidth val="219"/>
        <c:overlap val="-27"/>
        <c:axId val="561741636"/>
        <c:axId val="199896368"/>
      </c:barChart>
      <c:catAx>
        <c:axId val="56174163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9896368"/>
        <c:crosses val="autoZero"/>
        <c:auto val="1"/>
        <c:lblAlgn val="ctr"/>
        <c:lblOffset val="100"/>
        <c:noMultiLvlLbl val="0"/>
      </c:catAx>
      <c:valAx>
        <c:axId val="19989636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17416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支出决算总计变动情况图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[决算公开分析图表.xls]Sheet1!$A$24:$B$24</c:f>
              <c:strCache>
                <c:ptCount val="2"/>
                <c:pt idx="0">
                  <c:v>2021年</c:v>
                </c:pt>
                <c:pt idx="1">
                  <c:v>2022年</c:v>
                </c:pt>
              </c:strCache>
            </c:strRef>
          </c:cat>
          <c:val>
            <c:numRef>
              <c:f>[决算公开分析图表.xls]Sheet1!$A$25:$B$25</c:f>
              <c:numCache>
                <c:formatCode>#,##0.00</c:formatCode>
                <c:ptCount val="2"/>
                <c:pt idx="0">
                  <c:v>349.34</c:v>
                </c:pt>
                <c:pt idx="1">
                  <c:v>303.68</c:v>
                </c:pt>
              </c:numCache>
            </c:numRef>
          </c:val>
        </c:ser>
        <c:dLbls>
          <c:showLegendKey val="0"/>
          <c:showVal val="0"/>
          <c:showCatName val="0"/>
          <c:showSerName val="0"/>
          <c:showPercent val="0"/>
          <c:showBubbleSize val="0"/>
        </c:dLbls>
        <c:gapWidth val="219"/>
        <c:overlap val="-27"/>
        <c:axId val="54978886"/>
        <c:axId val="94671669"/>
      </c:barChart>
      <c:catAx>
        <c:axId val="5497888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671669"/>
        <c:crosses val="autoZero"/>
        <c:auto val="1"/>
        <c:lblAlgn val="ctr"/>
        <c:lblOffset val="100"/>
        <c:noMultiLvlLbl val="0"/>
      </c:catAx>
      <c:valAx>
        <c:axId val="94671669"/>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97888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Pt>
            <c:idx val="4"/>
            <c:bubble3D val="0"/>
            <c:explosion val="0"/>
            <c:spPr>
              <a:solidFill>
                <a:schemeClr val="accent5"/>
              </a:solidFill>
              <a:ln w="19050">
                <a:solidFill>
                  <a:schemeClr val="lt1"/>
                </a:solidFill>
              </a:ln>
              <a:effectLst/>
            </c:spPr>
          </c:dPt>
          <c:dLbls>
            <c:delete val="1"/>
          </c:dLbls>
          <c:cat>
            <c:strRef>
              <c:f>[决算公开分析图表.xls]Sheet1!$C$58:$C$62</c:f>
              <c:strCache>
                <c:ptCount val="5"/>
                <c:pt idx="0">
                  <c:v>基本支出</c:v>
                </c:pt>
                <c:pt idx="1">
                  <c:v>项目支出</c:v>
                </c:pt>
                <c:pt idx="2">
                  <c:v>上缴上级支出</c:v>
                </c:pt>
                <c:pt idx="3">
                  <c:v>经营支出</c:v>
                </c:pt>
                <c:pt idx="4">
                  <c:v>对附属单位补助支出</c:v>
                </c:pt>
              </c:strCache>
            </c:strRef>
          </c:cat>
          <c:val>
            <c:numRef>
              <c:f>[决算公开分析图表.xls]Sheet1!$D$58:$D$62</c:f>
              <c:numCache>
                <c:formatCode>#,##0.00</c:formatCode>
                <c:ptCount val="5"/>
                <c:pt idx="0">
                  <c:v>298.9</c:v>
                </c:pt>
                <c:pt idx="1">
                  <c:v>4.78</c:v>
                </c:pt>
                <c:pt idx="2" c:formatCode="General">
                  <c:v>0</c:v>
                </c:pt>
                <c:pt idx="3" c:formatCode="General">
                  <c:v>0</c:v>
                </c:pt>
                <c:pt idx="4" c:formatCode="General">
                  <c:v>0</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r"/>
      <c:layout>
        <c:manualLayout>
          <c:xMode val="edge"/>
          <c:yMode val="edge"/>
          <c:x val="0.022"/>
          <c:y val="0.89475"/>
          <c:w val="0.927643802294027"/>
          <c:h val="0.093376135715693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财政拨款收入总计变动表</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[决算公开分析图表.xls]Sheet1!$A$83:$B$83</c:f>
              <c:strCache>
                <c:ptCount val="2"/>
                <c:pt idx="0">
                  <c:v>2021年</c:v>
                </c:pt>
                <c:pt idx="1">
                  <c:v>2022年</c:v>
                </c:pt>
              </c:strCache>
            </c:strRef>
          </c:cat>
          <c:val>
            <c:numRef>
              <c:f>[决算公开分析图表.xls]Sheet1!$A$84:$B$84</c:f>
              <c:numCache>
                <c:formatCode>General</c:formatCode>
                <c:ptCount val="2"/>
                <c:pt idx="0">
                  <c:v>293.62</c:v>
                </c:pt>
                <c:pt idx="1" c:formatCode="#,##0.00">
                  <c:v>290.63</c:v>
                </c:pt>
              </c:numCache>
            </c:numRef>
          </c:val>
        </c:ser>
        <c:dLbls>
          <c:showLegendKey val="0"/>
          <c:showVal val="0"/>
          <c:showCatName val="0"/>
          <c:showSerName val="0"/>
          <c:showPercent val="0"/>
          <c:showBubbleSize val="0"/>
        </c:dLbls>
        <c:gapWidth val="219"/>
        <c:overlap val="-27"/>
        <c:axId val="485901413"/>
        <c:axId val="693334897"/>
      </c:barChart>
      <c:catAx>
        <c:axId val="485901413"/>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3334897"/>
        <c:crosses val="autoZero"/>
        <c:auto val="1"/>
        <c:lblAlgn val="ctr"/>
        <c:lblOffset val="100"/>
        <c:noMultiLvlLbl val="0"/>
      </c:catAx>
      <c:valAx>
        <c:axId val="693334897"/>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590141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财政拨款支出总计变动表</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[决算公开分析图表.xls]Sheet1!$A$100:$B$100</c:f>
              <c:strCache>
                <c:ptCount val="2"/>
                <c:pt idx="0">
                  <c:v>2021年</c:v>
                </c:pt>
                <c:pt idx="1">
                  <c:v>2022年</c:v>
                </c:pt>
              </c:strCache>
            </c:strRef>
          </c:cat>
          <c:val>
            <c:numRef>
              <c:f>[决算公开分析图表.xls]Sheet1!$A$101:$B$101</c:f>
              <c:numCache>
                <c:formatCode>#,##0.00</c:formatCode>
                <c:ptCount val="2"/>
                <c:pt idx="0">
                  <c:v>349.34</c:v>
                </c:pt>
                <c:pt idx="1">
                  <c:v>303.68</c:v>
                </c:pt>
              </c:numCache>
            </c:numRef>
          </c:val>
        </c:ser>
        <c:dLbls>
          <c:showLegendKey val="0"/>
          <c:showVal val="0"/>
          <c:showCatName val="0"/>
          <c:showSerName val="0"/>
          <c:showPercent val="0"/>
          <c:showBubbleSize val="0"/>
        </c:dLbls>
        <c:gapWidth val="219"/>
        <c:overlap val="-27"/>
        <c:axId val="198008513"/>
        <c:axId val="682753437"/>
      </c:barChart>
      <c:catAx>
        <c:axId val="198008513"/>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2753437"/>
        <c:crosses val="autoZero"/>
        <c:auto val="1"/>
        <c:lblAlgn val="ctr"/>
        <c:lblOffset val="100"/>
        <c:noMultiLvlLbl val="0"/>
      </c:catAx>
      <c:valAx>
        <c:axId val="682753437"/>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00851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238259236067627"/>
          <c:y val="0.0616061606160616"/>
        </c:manualLayout>
      </c:layout>
      <c:overlay val="0"/>
      <c:spPr>
        <a:noFill/>
        <a:ln>
          <a:noFill/>
        </a:ln>
        <a:effectLst/>
      </c:spPr>
    </c:title>
    <c:autoTitleDeleted val="0"/>
    <c:plotArea>
      <c:layout>
        <c:manualLayout>
          <c:layoutTarget val="inner"/>
          <c:xMode val="edge"/>
          <c:yMode val="edge"/>
          <c:x val="0.058544689334367"/>
          <c:y val="0.255962378233121"/>
          <c:w val="0.915981836305239"/>
          <c:h val="0.581592206919718"/>
        </c:manualLayout>
      </c:layout>
      <c:barChart>
        <c:barDir val="col"/>
        <c:grouping val="clustered"/>
        <c:varyColors val="0"/>
        <c:ser>
          <c:idx val="0"/>
          <c:order val="0"/>
          <c:spPr>
            <a:solidFill>
              <a:schemeClr val="accent1"/>
            </a:solidFill>
            <a:ln>
              <a:noFill/>
            </a:ln>
            <a:effectLst/>
          </c:spPr>
          <c:invertIfNegative val="0"/>
          <c:dLbls>
            <c:delete val="1"/>
          </c:dLbls>
          <c:cat>
            <c:strRef>
              <c:f>[决算公开分析图表.20231012094933180.xls]Sheet1!$A$116:$B$116</c:f>
              <c:strCache>
                <c:ptCount val="2"/>
                <c:pt idx="0">
                  <c:v>2021年</c:v>
                </c:pt>
                <c:pt idx="1">
                  <c:v>2022年</c:v>
                </c:pt>
              </c:strCache>
            </c:strRef>
          </c:cat>
          <c:val>
            <c:numRef>
              <c:f>[决算公开分析图表.xls]Sheet1!$A$117:$B$117</c:f>
              <c:numCache>
                <c:formatCode>#,##0.00</c:formatCode>
                <c:ptCount val="2"/>
                <c:pt idx="0">
                  <c:v>349.34</c:v>
                </c:pt>
                <c:pt idx="1">
                  <c:v>303.68</c:v>
                </c:pt>
              </c:numCache>
            </c:numRef>
          </c:val>
        </c:ser>
        <c:dLbls>
          <c:showLegendKey val="0"/>
          <c:showVal val="0"/>
          <c:showCatName val="0"/>
          <c:showSerName val="0"/>
          <c:showPercent val="0"/>
          <c:showBubbleSize val="0"/>
        </c:dLbls>
        <c:gapWidth val="219"/>
        <c:overlap val="-27"/>
        <c:axId val="571637354"/>
        <c:axId val="415853380"/>
      </c:barChart>
      <c:catAx>
        <c:axId val="57163735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5853380"/>
        <c:crosses val="autoZero"/>
        <c:auto val="1"/>
        <c:lblAlgn val="ctr"/>
        <c:lblOffset val="100"/>
        <c:noMultiLvlLbl val="0"/>
      </c:catAx>
      <c:valAx>
        <c:axId val="41585338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163735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Lbls>
            <c:delete val="1"/>
          </c:dLbls>
          <c:cat>
            <c:strRef>
              <c:f>[决算公开分析图表.xls]Sheet1!$C$141:$C$144</c:f>
              <c:strCache>
                <c:ptCount val="4"/>
                <c:pt idx="0">
                  <c:v>教育支出</c:v>
                </c:pt>
                <c:pt idx="1">
                  <c:v>社会保障和就业支出</c:v>
                </c:pt>
                <c:pt idx="2">
                  <c:v>卫生健康支出</c:v>
                </c:pt>
                <c:pt idx="3">
                  <c:v>住房保障支出</c:v>
                </c:pt>
              </c:strCache>
            </c:strRef>
          </c:cat>
          <c:val>
            <c:numRef>
              <c:f>[决算公开分析图表.xls]Sheet1!$D$141:$D$144</c:f>
              <c:numCache>
                <c:formatCode>General</c:formatCode>
                <c:ptCount val="4"/>
                <c:pt idx="0">
                  <c:v>233.33</c:v>
                </c:pt>
                <c:pt idx="1" c:formatCode="#,##0.00">
                  <c:v>37.83</c:v>
                </c:pt>
                <c:pt idx="2" c:formatCode="#,##0.00">
                  <c:v>13.36</c:v>
                </c:pt>
                <c:pt idx="3" c:formatCode="#,##0.00">
                  <c:v>19.15</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manualLayout>
          <c:xMode val="edge"/>
          <c:yMode val="edge"/>
          <c:x val="0.10925"/>
          <c:y val="0.87975"/>
          <c:w val="0.781"/>
          <c:h val="0.0882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10A26A-4F96-4E33-A4F8-80E1B883F3E0}">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Pages>
  <Words>15845</Words>
  <Characters>16547</Characters>
  <Lines>1</Lines>
  <Paragraphs>1</Paragraphs>
  <TotalTime>21</TotalTime>
  <ScaleCrop>false</ScaleCrop>
  <LinksUpToDate>false</LinksUpToDate>
  <CharactersWithSpaces>20601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人社局</cp:lastModifiedBy>
  <cp:lastPrinted>2021-07-29T03:56:00Z</cp:lastPrinted>
  <dcterms:modified xsi:type="dcterms:W3CDTF">2023-10-13T07:17:49Z</dcterms:modified>
  <dc:title>阿坝州部门决算说明</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FD789931029D401A947F096B3EC74E5F</vt:lpwstr>
  </property>
</Properties>
</file>