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4FB2">
      <w:pPr>
        <w:shd w:val="clear" w:color="auto" w:fill="FFFFFF"/>
        <w:jc w:val="center"/>
        <w:rPr>
          <w:rFonts w:hint="eastAsia" w:ascii="黑体" w:hAnsi="黑体" w:eastAsia="黑体"/>
          <w:sz w:val="72"/>
          <w:szCs w:val="72"/>
          <w:highlight w:val="none"/>
          <w:lang w:eastAsia="zh-CN"/>
        </w:rPr>
      </w:pPr>
      <w:bookmarkStart w:id="0" w:name="_Toc15378441"/>
      <w:bookmarkStart w:id="1" w:name="_Toc15396475"/>
      <w:bookmarkStart w:id="2" w:name="_Toc15396597"/>
      <w:bookmarkStart w:id="3" w:name="_Toc15377193"/>
      <w:bookmarkStart w:id="4" w:name="_Toc15377425"/>
      <w:bookmarkStart w:id="292" w:name="_GoBack"/>
      <w:bookmarkEnd w:id="292"/>
    </w:p>
    <w:p w14:paraId="5EF08201">
      <w:pPr>
        <w:shd w:val="clear" w:color="auto" w:fill="FFFFFF"/>
        <w:jc w:val="center"/>
        <w:rPr>
          <w:rFonts w:hint="eastAsia" w:ascii="黑体" w:hAnsi="黑体" w:eastAsia="黑体"/>
          <w:sz w:val="72"/>
          <w:szCs w:val="72"/>
          <w:highlight w:val="none"/>
          <w:lang w:eastAsia="zh-CN"/>
        </w:rPr>
      </w:pPr>
    </w:p>
    <w:p w14:paraId="20C23677">
      <w:pPr>
        <w:shd w:val="clear" w:color="auto" w:fill="FFFFFF"/>
        <w:jc w:val="center"/>
        <w:rPr>
          <w:rFonts w:hint="eastAsia" w:ascii="黑体" w:hAnsi="黑体" w:eastAsia="黑体"/>
          <w:sz w:val="56"/>
          <w:szCs w:val="56"/>
          <w:highlight w:val="none"/>
          <w:lang w:eastAsia="zh-CN"/>
        </w:rPr>
      </w:pPr>
    </w:p>
    <w:p w14:paraId="09AA640B">
      <w:pPr>
        <w:shd w:val="clear" w:color="auto" w:fill="FFFFFF"/>
        <w:jc w:val="center"/>
        <w:rPr>
          <w:rFonts w:hint="eastAsia" w:ascii="黑体" w:hAnsi="黑体" w:eastAsia="黑体"/>
          <w:sz w:val="56"/>
          <w:szCs w:val="56"/>
          <w:highlight w:val="none"/>
          <w:lang w:eastAsia="zh-CN"/>
        </w:rPr>
      </w:pPr>
    </w:p>
    <w:p w14:paraId="1FB834BB">
      <w:pPr>
        <w:shd w:val="clear" w:color="auto" w:fill="FFFFFF"/>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lang w:eastAsia="zh-CN"/>
        </w:rPr>
        <w:t>202</w:t>
      </w:r>
      <w:r>
        <w:rPr>
          <w:rFonts w:hint="default" w:ascii="宋体" w:hAnsi="宋体" w:cs="宋体"/>
          <w:b/>
          <w:bCs/>
          <w:sz w:val="72"/>
          <w:szCs w:val="72"/>
          <w:highlight w:val="none"/>
          <w:lang w:val="en-US" w:eastAsia="zh-CN"/>
        </w:rPr>
        <w:t>3</w:t>
      </w:r>
      <w:r>
        <w:rPr>
          <w:rFonts w:hint="eastAsia" w:ascii="宋体" w:hAnsi="宋体" w:eastAsia="宋体" w:cs="宋体"/>
          <w:b/>
          <w:bCs/>
          <w:sz w:val="72"/>
          <w:szCs w:val="72"/>
          <w:highlight w:val="none"/>
          <w:lang w:eastAsia="zh-CN"/>
        </w:rPr>
        <w:t>年度</w:t>
      </w:r>
      <w:bookmarkEnd w:id="0"/>
      <w:bookmarkEnd w:id="1"/>
      <w:bookmarkEnd w:id="2"/>
      <w:bookmarkEnd w:id="3"/>
      <w:bookmarkEnd w:id="4"/>
      <w:bookmarkStart w:id="5" w:name="_Toc15377426"/>
      <w:bookmarkStart w:id="6" w:name="_Toc15396598"/>
      <w:bookmarkStart w:id="7" w:name="_Toc15396476"/>
      <w:bookmarkStart w:id="8" w:name="_Toc15378442"/>
      <w:bookmarkStart w:id="9" w:name="_Toc15377194"/>
    </w:p>
    <w:p w14:paraId="149F5163">
      <w:pPr>
        <w:shd w:val="clear" w:color="auto" w:fill="FFFFFF"/>
        <w:jc w:val="center"/>
        <w:outlineLvl w:val="0"/>
        <w:rPr>
          <w:rFonts w:hint="eastAsia" w:ascii="方正小标宋简体" w:eastAsia="方正小标宋简体"/>
          <w:sz w:val="64"/>
          <w:szCs w:val="64"/>
          <w:highlight w:val="none"/>
          <w:lang w:eastAsia="zh-CN"/>
        </w:rPr>
      </w:pPr>
      <w:bookmarkStart w:id="10" w:name="_Toc9580"/>
      <w:bookmarkStart w:id="11" w:name="_Toc216"/>
      <w:r>
        <w:rPr>
          <w:rFonts w:hint="eastAsia" w:ascii="方正小标宋简体" w:eastAsia="方正小标宋简体"/>
          <w:sz w:val="64"/>
          <w:szCs w:val="64"/>
          <w:highlight w:val="none"/>
        </w:rPr>
        <w:t>阿坝州壤塘县</w:t>
      </w:r>
      <w:bookmarkStart w:id="12" w:name="_Toc15306268"/>
      <w:r>
        <w:rPr>
          <w:rFonts w:hint="eastAsia" w:ascii="方正小标宋简体" w:eastAsia="方正小标宋简体"/>
          <w:sz w:val="64"/>
          <w:szCs w:val="64"/>
          <w:highlight w:val="none"/>
          <w:lang w:eastAsia="zh-CN"/>
        </w:rPr>
        <w:t>公务服务中心</w:t>
      </w:r>
      <w:bookmarkEnd w:id="10"/>
    </w:p>
    <w:p w14:paraId="7772B29A">
      <w:pPr>
        <w:shd w:val="clear" w:color="auto" w:fill="FFFFFF"/>
        <w:jc w:val="center"/>
        <w:outlineLvl w:val="0"/>
        <w:rPr>
          <w:rFonts w:hint="eastAsia" w:ascii="方正小标宋简体" w:eastAsia="方正小标宋简体"/>
          <w:sz w:val="64"/>
          <w:szCs w:val="64"/>
          <w:highlight w:val="none"/>
          <w:lang w:eastAsia="zh-CN"/>
        </w:rPr>
      </w:pPr>
      <w:bookmarkStart w:id="13" w:name="_Toc28959"/>
      <w:r>
        <w:rPr>
          <w:rFonts w:hint="eastAsia" w:ascii="方正小标宋简体" w:eastAsia="方正小标宋简体"/>
          <w:sz w:val="64"/>
          <w:szCs w:val="64"/>
          <w:highlight w:val="none"/>
        </w:rPr>
        <w:t>部门决算</w:t>
      </w:r>
      <w:bookmarkEnd w:id="5"/>
      <w:bookmarkEnd w:id="6"/>
      <w:bookmarkEnd w:id="7"/>
      <w:bookmarkEnd w:id="8"/>
      <w:bookmarkEnd w:id="9"/>
      <w:bookmarkEnd w:id="12"/>
      <w:r>
        <w:rPr>
          <w:rFonts w:hint="eastAsia" w:ascii="方正小标宋简体" w:eastAsia="方正小标宋简体"/>
          <w:sz w:val="64"/>
          <w:szCs w:val="64"/>
          <w:highlight w:val="none"/>
          <w:lang w:eastAsia="zh-CN"/>
        </w:rPr>
        <w:t>公开</w:t>
      </w:r>
      <w:bookmarkEnd w:id="11"/>
      <w:bookmarkEnd w:id="13"/>
    </w:p>
    <w:p w14:paraId="16759980">
      <w:pPr>
        <w:pageBreakBefore w:val="0"/>
        <w:shd w:val="clear" w:color="auto" w:fill="FFFFFF"/>
        <w:kinsoku/>
        <w:wordWrap/>
        <w:overflowPunct/>
        <w:topLinePunct w:val="0"/>
        <w:bidi w:val="0"/>
        <w:spacing w:line="560" w:lineRule="exact"/>
        <w:jc w:val="center"/>
        <w:textAlignment w:val="auto"/>
        <w:outlineLvl w:val="9"/>
        <w:rPr>
          <w:rFonts w:ascii="方正小标宋简体" w:hAnsi="宋体" w:eastAsia="方正小标宋简体"/>
          <w:sz w:val="36"/>
          <w:szCs w:val="36"/>
          <w:highlight w:val="none"/>
        </w:rPr>
      </w:pPr>
    </w:p>
    <w:p w14:paraId="68CC0C80">
      <w:pPr>
        <w:shd w:val="clear" w:color="auto" w:fill="FFFFFF"/>
        <w:bidi w:val="0"/>
        <w:rPr>
          <w:rFonts w:ascii="方正小标宋简体" w:hAnsi="宋体" w:eastAsia="方正小标宋简体"/>
          <w:sz w:val="36"/>
          <w:szCs w:val="36"/>
          <w:highlight w:val="none"/>
        </w:rPr>
      </w:pPr>
    </w:p>
    <w:p w14:paraId="6BA76342">
      <w:pPr>
        <w:shd w:val="clear" w:color="auto" w:fill="FFFFFF"/>
        <w:bidi w:val="0"/>
        <w:rPr>
          <w:rFonts w:ascii="方正小标宋简体" w:hAnsi="宋体" w:eastAsia="方正小标宋简体"/>
          <w:sz w:val="36"/>
          <w:szCs w:val="36"/>
          <w:highlight w:val="none"/>
        </w:rPr>
      </w:pPr>
    </w:p>
    <w:p w14:paraId="40C147D9">
      <w:pPr>
        <w:shd w:val="clear" w:color="auto" w:fill="FFFFFF"/>
        <w:bidi w:val="0"/>
        <w:rPr>
          <w:rFonts w:ascii="方正小标宋简体" w:hAnsi="宋体" w:eastAsia="方正小标宋简体"/>
          <w:sz w:val="36"/>
          <w:szCs w:val="36"/>
          <w:highlight w:val="none"/>
        </w:rPr>
      </w:pPr>
    </w:p>
    <w:p w14:paraId="2E20667A">
      <w:pPr>
        <w:shd w:val="clear" w:color="auto" w:fill="FFFFFF"/>
        <w:bidi w:val="0"/>
        <w:rPr>
          <w:rFonts w:ascii="方正小标宋简体" w:hAnsi="宋体" w:eastAsia="方正小标宋简体"/>
          <w:sz w:val="36"/>
          <w:szCs w:val="36"/>
          <w:highlight w:val="none"/>
        </w:rPr>
      </w:pPr>
    </w:p>
    <w:p w14:paraId="6045EB77">
      <w:pPr>
        <w:shd w:val="clear" w:color="auto" w:fill="FFFFFF"/>
        <w:bidi w:val="0"/>
        <w:rPr>
          <w:rFonts w:ascii="方正小标宋简体" w:hAnsi="宋体" w:eastAsia="方正小标宋简体"/>
          <w:sz w:val="36"/>
          <w:szCs w:val="36"/>
          <w:highlight w:val="none"/>
        </w:rPr>
      </w:pPr>
    </w:p>
    <w:p w14:paraId="4598A706">
      <w:pPr>
        <w:shd w:val="clear" w:color="auto" w:fill="FFFFFF"/>
        <w:bidi w:val="0"/>
        <w:rPr>
          <w:rFonts w:ascii="方正小标宋简体" w:hAnsi="宋体" w:eastAsia="方正小标宋简体"/>
          <w:sz w:val="36"/>
          <w:szCs w:val="36"/>
          <w:highlight w:val="none"/>
        </w:rPr>
      </w:pPr>
    </w:p>
    <w:p w14:paraId="3D841E41">
      <w:pPr>
        <w:shd w:val="clear" w:color="auto" w:fill="FFFFFF"/>
        <w:bidi w:val="0"/>
        <w:rPr>
          <w:rFonts w:ascii="方正小标宋简体" w:hAnsi="宋体" w:eastAsia="方正小标宋简体"/>
          <w:sz w:val="36"/>
          <w:szCs w:val="36"/>
          <w:highlight w:val="none"/>
        </w:rPr>
      </w:pPr>
    </w:p>
    <w:p w14:paraId="44F856AF">
      <w:pPr>
        <w:shd w:val="clear" w:color="auto" w:fill="FFFFFF"/>
        <w:bidi w:val="0"/>
        <w:rPr>
          <w:rFonts w:ascii="方正小标宋简体" w:hAnsi="宋体" w:eastAsia="方正小标宋简体"/>
          <w:sz w:val="36"/>
          <w:szCs w:val="36"/>
          <w:highlight w:val="none"/>
        </w:rPr>
      </w:pPr>
    </w:p>
    <w:p w14:paraId="6B31B150">
      <w:pPr>
        <w:shd w:val="clear" w:color="auto" w:fill="FFFFFF"/>
        <w:bidi w:val="0"/>
        <w:jc w:val="center"/>
        <w:rPr>
          <w:rFonts w:hint="default" w:ascii="方正小标宋简体" w:hAnsi="宋体" w:eastAsia="方正小标宋简体"/>
          <w:sz w:val="36"/>
          <w:szCs w:val="36"/>
          <w:highlight w:val="none"/>
          <w:lang w:val="en-US" w:eastAsia="zh-CN"/>
        </w:rPr>
      </w:pPr>
      <w:r>
        <w:rPr>
          <w:rFonts w:hint="eastAsia" w:ascii="方正小标宋简体" w:hAnsi="宋体" w:eastAsia="方正小标宋简体"/>
          <w:sz w:val="36"/>
          <w:szCs w:val="36"/>
          <w:highlight w:val="none"/>
          <w:lang w:val="en-US" w:eastAsia="zh-CN"/>
        </w:rPr>
        <w:t>202</w:t>
      </w:r>
      <w:r>
        <w:rPr>
          <w:rFonts w:hint="default" w:ascii="方正小标宋简体" w:hAnsi="宋体" w:eastAsia="方正小标宋简体"/>
          <w:sz w:val="36"/>
          <w:szCs w:val="36"/>
          <w:highlight w:val="none"/>
          <w:lang w:val="en-US" w:eastAsia="zh-CN"/>
        </w:rPr>
        <w:t>4</w:t>
      </w:r>
      <w:r>
        <w:rPr>
          <w:rFonts w:hint="eastAsia" w:ascii="方正小标宋简体" w:hAnsi="宋体" w:eastAsia="方正小标宋简体"/>
          <w:sz w:val="36"/>
          <w:szCs w:val="36"/>
          <w:highlight w:val="none"/>
          <w:lang w:val="en-US" w:eastAsia="zh-CN"/>
        </w:rPr>
        <w:t>年10月</w:t>
      </w:r>
      <w:r>
        <w:rPr>
          <w:rFonts w:hint="default" w:ascii="方正小标宋简体" w:hAnsi="宋体" w:eastAsia="方正小标宋简体"/>
          <w:sz w:val="36"/>
          <w:szCs w:val="36"/>
          <w:highlight w:val="none"/>
          <w:lang w:val="en-US" w:eastAsia="zh-CN"/>
        </w:rPr>
        <w:t>14</w:t>
      </w:r>
      <w:r>
        <w:rPr>
          <w:rFonts w:hint="eastAsia" w:ascii="方正小标宋简体" w:hAnsi="宋体" w:eastAsia="方正小标宋简体"/>
          <w:sz w:val="36"/>
          <w:szCs w:val="36"/>
          <w:highlight w:val="none"/>
          <w:lang w:val="en-US" w:eastAsia="zh-CN"/>
        </w:rPr>
        <w:t>日</w:t>
      </w:r>
    </w:p>
    <w:p w14:paraId="43ECC79D">
      <w:pPr>
        <w:shd w:val="clear" w:color="auto" w:fill="FFFFFF"/>
        <w:bidi w:val="0"/>
        <w:ind w:firstLine="720" w:firstLineChars="200"/>
        <w:jc w:val="both"/>
        <w:rPr>
          <w:rFonts w:ascii="方正小标宋简体" w:hAnsi="宋体" w:eastAsia="方正小标宋简体"/>
          <w:sz w:val="36"/>
          <w:szCs w:val="36"/>
          <w:highlight w:val="none"/>
        </w:rPr>
      </w:pPr>
    </w:p>
    <w:p w14:paraId="599F9EEB">
      <w:pPr>
        <w:shd w:val="clear" w:color="auto" w:fill="FFFFFF"/>
        <w:bidi w:val="0"/>
        <w:ind w:firstLine="720" w:firstLineChars="200"/>
        <w:jc w:val="both"/>
        <w:rPr>
          <w:rFonts w:ascii="方正小标宋简体" w:hAnsi="宋体" w:eastAsia="方正小标宋简体"/>
          <w:sz w:val="36"/>
          <w:szCs w:val="36"/>
          <w:highlight w:val="none"/>
        </w:rPr>
      </w:pPr>
    </w:p>
    <w:p w14:paraId="4FF8122A">
      <w:pPr>
        <w:shd w:val="clear" w:color="auto" w:fill="FFFFFF"/>
        <w:bidi w:val="0"/>
        <w:ind w:firstLine="720" w:firstLineChars="200"/>
        <w:jc w:val="both"/>
        <w:rPr>
          <w:rFonts w:ascii="方正小标宋简体" w:hAnsi="宋体" w:eastAsia="方正小标宋简体"/>
          <w:sz w:val="36"/>
          <w:szCs w:val="36"/>
          <w:highlight w:val="none"/>
        </w:rPr>
      </w:pPr>
    </w:p>
    <w:p w14:paraId="3F38D667">
      <w:pPr>
        <w:shd w:val="clear" w:color="auto" w:fill="FFFFFF"/>
        <w:bidi w:val="0"/>
        <w:jc w:val="both"/>
        <w:rPr>
          <w:rFonts w:hint="eastAsia" w:ascii="方正小标宋简体" w:hAnsi="宋体" w:eastAsia="方正小标宋简体"/>
          <w:sz w:val="36"/>
          <w:szCs w:val="36"/>
          <w:highlight w:val="none"/>
          <w:lang w:val="en-US" w:eastAsia="zh-CN"/>
        </w:rPr>
        <w:sectPr>
          <w:pgSz w:w="11906" w:h="16838"/>
          <w:pgMar w:top="1431" w:right="1526" w:bottom="1539" w:left="1548" w:header="0" w:footer="1261" w:gutter="0"/>
          <w:pgNumType w:fmt="decimal" w:start="1"/>
          <w:cols w:space="720" w:num="1"/>
          <w:formProt w:val="0"/>
          <w:docGrid w:linePitch="100" w:charSpace="0"/>
        </w:sectPr>
      </w:pPr>
    </w:p>
    <w:p w14:paraId="28F81035">
      <w:pPr>
        <w:shd w:val="clear" w:color="auto" w:fill="FFFFFF"/>
        <w:bidi w:val="0"/>
        <w:jc w:val="center"/>
        <w:rPr>
          <w:rFonts w:ascii="黑体" w:hAnsi="黑体" w:eastAsia="黑体"/>
          <w:color w:val="000000"/>
          <w:sz w:val="48"/>
          <w:szCs w:val="48"/>
          <w:highlight w:val="none"/>
        </w:rPr>
      </w:pPr>
      <w:r>
        <w:rPr>
          <w:rFonts w:hint="eastAsia" w:ascii="黑体" w:hAnsi="黑体" w:eastAsia="黑体"/>
          <w:color w:val="000000"/>
          <w:sz w:val="48"/>
          <w:szCs w:val="48"/>
          <w:highlight w:val="none"/>
        </w:rPr>
        <w:t>目</w:t>
      </w:r>
      <w:r>
        <w:rPr>
          <w:rFonts w:hint="eastAsia" w:ascii="黑体" w:hAnsi="黑体" w:eastAsia="黑体"/>
          <w:color w:val="000000"/>
          <w:sz w:val="48"/>
          <w:szCs w:val="48"/>
          <w:highlight w:val="none"/>
          <w:lang w:val="en-US" w:eastAsia="zh-CN"/>
        </w:rPr>
        <w:t xml:space="preserve"> </w:t>
      </w:r>
      <w:r>
        <w:rPr>
          <w:rFonts w:hint="eastAsia" w:ascii="黑体" w:hAnsi="黑体" w:eastAsia="黑体"/>
          <w:color w:val="000000"/>
          <w:sz w:val="48"/>
          <w:szCs w:val="48"/>
          <w:highlight w:val="none"/>
        </w:rPr>
        <w:t>录</w:t>
      </w:r>
    </w:p>
    <w:p w14:paraId="0452E590">
      <w:pPr>
        <w:shd w:val="clear" w:color="auto" w:fill="FFFFFF"/>
        <w:spacing w:before="0" w:beforeLines="0" w:after="0" w:afterLines="0" w:line="240" w:lineRule="auto"/>
        <w:ind w:left="0" w:leftChars="0" w:right="0" w:rightChars="0" w:firstLine="0" w:firstLineChars="0"/>
        <w:jc w:val="center"/>
      </w:pPr>
    </w:p>
    <w:p w14:paraId="076004A5">
      <w:pPr>
        <w:pStyle w:val="10"/>
        <w:shd w:val="clear" w:color="auto" w:fill="FFFFFF"/>
        <w:tabs>
          <w:tab w:val="right" w:leader="dot" w:pos="8832"/>
        </w:tabs>
      </w:pPr>
      <w:r>
        <w:rPr>
          <w:rFonts w:hint="eastAsia" w:ascii="黑体" w:hAnsi="黑体" w:eastAsia="黑体"/>
          <w:b w:val="0"/>
          <w:highlight w:val="none"/>
        </w:rPr>
        <w:fldChar w:fldCharType="begin"/>
      </w:r>
      <w:r>
        <w:rPr>
          <w:rFonts w:hint="eastAsia" w:ascii="黑体" w:hAnsi="黑体" w:eastAsia="黑体"/>
          <w:b w:val="0"/>
          <w:highlight w:val="none"/>
        </w:rPr>
        <w:instrText xml:space="preserve">TOC \o "1-2" \h \u </w:instrText>
      </w:r>
      <w:r>
        <w:rPr>
          <w:rFonts w:hint="eastAsia" w:ascii="黑体" w:hAnsi="黑体" w:eastAsia="黑体"/>
          <w:b w:val="0"/>
          <w:highlight w:val="none"/>
        </w:rPr>
        <w:fldChar w:fldCharType="separate"/>
      </w:r>
      <w:r>
        <w:rPr>
          <w:rFonts w:hint="eastAsia" w:ascii="黑体" w:hAnsi="黑体" w:eastAsia="黑体"/>
          <w:highlight w:val="none"/>
        </w:rPr>
        <w:fldChar w:fldCharType="begin"/>
      </w:r>
      <w:r>
        <w:rPr>
          <w:rFonts w:hint="eastAsia" w:ascii="黑体" w:hAnsi="黑体" w:eastAsia="黑体"/>
          <w:highlight w:val="none"/>
        </w:rPr>
        <w:instrText xml:space="preserve"> HYPERLINK \l _Toc49 </w:instrText>
      </w:r>
      <w:r>
        <w:rPr>
          <w:rFonts w:hint="eastAsia" w:ascii="黑体" w:hAnsi="黑体" w:eastAsia="黑体"/>
          <w:highlight w:val="none"/>
        </w:rPr>
        <w:fldChar w:fldCharType="separate"/>
      </w:r>
      <w:r>
        <w:rPr>
          <w:rFonts w:hint="eastAsia" w:ascii="黑体" w:hAnsi="黑体" w:eastAsia="黑体" w:cs="黑体"/>
          <w:bCs w:val="0"/>
          <w:szCs w:val="32"/>
          <w:highlight w:val="none"/>
        </w:rPr>
        <w:t>第一部分 部门概况</w:t>
      </w:r>
      <w:r>
        <w:tab/>
      </w:r>
      <w:r>
        <w:fldChar w:fldCharType="begin"/>
      </w:r>
      <w:r>
        <w:instrText xml:space="preserve"> PAGEREF _Toc49 \h </w:instrText>
      </w:r>
      <w:r>
        <w:fldChar w:fldCharType="separate"/>
      </w:r>
      <w:r>
        <w:t>1</w:t>
      </w:r>
      <w:r>
        <w:fldChar w:fldCharType="end"/>
      </w:r>
      <w:r>
        <w:rPr>
          <w:rFonts w:hint="eastAsia" w:ascii="黑体" w:hAnsi="黑体" w:eastAsia="黑体"/>
          <w:highlight w:val="none"/>
        </w:rPr>
        <w:fldChar w:fldCharType="end"/>
      </w:r>
    </w:p>
    <w:p w14:paraId="508DDA67">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_Toc17385 </w:instrText>
      </w:r>
      <w:r>
        <w:rPr>
          <w:rFonts w:hint="eastAsia" w:ascii="黑体" w:hAnsi="黑体" w:eastAsia="黑体"/>
          <w:highlight w:val="none"/>
        </w:rPr>
        <w:fldChar w:fldCharType="separate"/>
      </w:r>
      <w:r>
        <w:rPr>
          <w:rFonts w:hint="eastAsia" w:ascii="黑体" w:hAnsi="黑体" w:eastAsia="黑体" w:cs="黑体"/>
          <w:bCs w:val="0"/>
          <w:szCs w:val="32"/>
          <w:highlight w:val="none"/>
        </w:rPr>
        <w:t>一、基本职能及主要工作</w:t>
      </w:r>
      <w:r>
        <w:tab/>
      </w:r>
      <w:r>
        <w:fldChar w:fldCharType="begin"/>
      </w:r>
      <w:r>
        <w:instrText xml:space="preserve"> PAGEREF _Toc17385 \h </w:instrText>
      </w:r>
      <w:r>
        <w:fldChar w:fldCharType="separate"/>
      </w:r>
      <w:r>
        <w:t>1</w:t>
      </w:r>
      <w:r>
        <w:fldChar w:fldCharType="end"/>
      </w:r>
      <w:r>
        <w:rPr>
          <w:rFonts w:hint="eastAsia" w:ascii="黑体" w:hAnsi="黑体" w:eastAsia="黑体"/>
          <w:highlight w:val="none"/>
        </w:rPr>
        <w:fldChar w:fldCharType="end"/>
      </w:r>
    </w:p>
    <w:p w14:paraId="141EDCD6">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_Toc4005 </w:instrText>
      </w:r>
      <w:r>
        <w:rPr>
          <w:rFonts w:hint="eastAsia" w:ascii="黑体" w:hAnsi="黑体" w:eastAsia="黑体"/>
          <w:highlight w:val="none"/>
        </w:rPr>
        <w:fldChar w:fldCharType="separate"/>
      </w:r>
      <w:r>
        <w:rPr>
          <w:rFonts w:hint="eastAsia" w:ascii="黑体" w:hAnsi="黑体" w:eastAsia="黑体" w:cs="黑体"/>
          <w:bCs w:val="0"/>
          <w:sz w:val="21"/>
          <w:szCs w:val="21"/>
          <w:highlight w:val="none"/>
        </w:rPr>
        <w:t>二、</w:t>
      </w:r>
      <w:r>
        <w:rPr>
          <w:rFonts w:hint="eastAsia" w:ascii="黑体" w:hAnsi="黑体" w:eastAsia="黑体" w:cs="黑体"/>
          <w:bCs w:val="0"/>
          <w:sz w:val="20"/>
          <w:szCs w:val="20"/>
          <w:highlight w:val="none"/>
        </w:rPr>
        <w:t>机构设置</w:t>
      </w:r>
      <w:r>
        <w:tab/>
      </w:r>
      <w:r>
        <w:fldChar w:fldCharType="begin"/>
      </w:r>
      <w:r>
        <w:instrText xml:space="preserve"> PAGEREF _Toc4005 \h </w:instrText>
      </w:r>
      <w:r>
        <w:fldChar w:fldCharType="separate"/>
      </w:r>
      <w:r>
        <w:t>4</w:t>
      </w:r>
      <w:r>
        <w:fldChar w:fldCharType="end"/>
      </w:r>
      <w:r>
        <w:rPr>
          <w:rFonts w:hint="eastAsia" w:ascii="黑体" w:hAnsi="黑体" w:eastAsia="黑体"/>
          <w:highlight w:val="none"/>
        </w:rPr>
        <w:fldChar w:fldCharType="end"/>
      </w:r>
    </w:p>
    <w:p w14:paraId="31547530">
      <w:pPr>
        <w:pStyle w:val="10"/>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_Toc27318 </w:instrText>
      </w:r>
      <w:r>
        <w:rPr>
          <w:rFonts w:hint="eastAsia" w:ascii="黑体" w:hAnsi="黑体" w:eastAsia="黑体"/>
          <w:highlight w:val="none"/>
        </w:rPr>
        <w:fldChar w:fldCharType="separate"/>
      </w:r>
      <w:r>
        <w:rPr>
          <w:rFonts w:hint="eastAsia" w:ascii="黑体" w:hAnsi="黑体" w:eastAsia="黑体" w:cs="黑体"/>
          <w:bCs/>
          <w:szCs w:val="32"/>
          <w:lang w:eastAsia="zh-CN"/>
        </w:rPr>
        <w:t xml:space="preserve">第二部分 </w:t>
      </w:r>
      <w:r>
        <w:rPr>
          <w:rFonts w:hint="eastAsia" w:ascii="黑体" w:hAnsi="黑体" w:eastAsia="黑体" w:cs="黑体"/>
          <w:bCs/>
          <w:szCs w:val="32"/>
          <w:highlight w:val="none"/>
        </w:rPr>
        <w:t>202</w:t>
      </w:r>
      <w:r>
        <w:rPr>
          <w:rFonts w:hint="default" w:ascii="黑体" w:hAnsi="黑体" w:eastAsia="黑体" w:cs="黑体"/>
          <w:bCs/>
          <w:szCs w:val="32"/>
          <w:highlight w:val="none"/>
          <w:lang w:val="en-US" w:eastAsia="zh-CN"/>
        </w:rPr>
        <w:t>3</w:t>
      </w:r>
      <w:r>
        <w:rPr>
          <w:rFonts w:hint="eastAsia" w:ascii="黑体" w:hAnsi="黑体" w:eastAsia="黑体" w:cs="黑体"/>
          <w:bCs/>
          <w:szCs w:val="32"/>
          <w:highlight w:val="none"/>
        </w:rPr>
        <w:t>年度部门决算情况说明</w:t>
      </w:r>
      <w:r>
        <w:tab/>
      </w:r>
      <w:r>
        <w:fldChar w:fldCharType="begin"/>
      </w:r>
      <w:r>
        <w:instrText xml:space="preserve"> PAGEREF _Toc27318 \h </w:instrText>
      </w:r>
      <w:r>
        <w:fldChar w:fldCharType="separate"/>
      </w:r>
      <w:r>
        <w:t>4</w:t>
      </w:r>
      <w:r>
        <w:fldChar w:fldCharType="end"/>
      </w:r>
      <w:r>
        <w:rPr>
          <w:rFonts w:hint="eastAsia" w:ascii="黑体" w:hAnsi="黑体" w:eastAsia="黑体"/>
          <w:highlight w:val="none"/>
        </w:rPr>
        <w:fldChar w:fldCharType="end"/>
      </w:r>
    </w:p>
    <w:p w14:paraId="414D1554">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_Toc21992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一、</w:t>
      </w:r>
      <w:r>
        <w:rPr>
          <w:rFonts w:hint="eastAsia" w:ascii="黑体" w:hAnsi="黑体" w:eastAsia="黑体" w:cs="黑体"/>
          <w:bCs w:val="0"/>
          <w:szCs w:val="32"/>
          <w:highlight w:val="none"/>
        </w:rPr>
        <w:t>收入支出决算总体情况说明</w:t>
      </w:r>
      <w:r>
        <w:tab/>
      </w:r>
      <w:r>
        <w:fldChar w:fldCharType="begin"/>
      </w:r>
      <w:r>
        <w:instrText xml:space="preserve"> PAGEREF _Toc21992 \h </w:instrText>
      </w:r>
      <w:r>
        <w:fldChar w:fldCharType="separate"/>
      </w:r>
      <w:r>
        <w:t>4</w:t>
      </w:r>
      <w:r>
        <w:fldChar w:fldCharType="end"/>
      </w:r>
      <w:r>
        <w:rPr>
          <w:rFonts w:hint="eastAsia" w:ascii="黑体" w:hAnsi="黑体" w:eastAsia="黑体"/>
          <w:highlight w:val="none"/>
        </w:rPr>
        <w:fldChar w:fldCharType="end"/>
      </w:r>
    </w:p>
    <w:p w14:paraId="7463BC1D">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_Toc14743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二、收入决算情况说明</w:t>
      </w:r>
      <w:r>
        <w:tab/>
      </w:r>
      <w:r>
        <w:fldChar w:fldCharType="begin"/>
      </w:r>
      <w:r>
        <w:instrText xml:space="preserve"> PAGEREF _Toc14743 \h </w:instrText>
      </w:r>
      <w:r>
        <w:fldChar w:fldCharType="separate"/>
      </w:r>
      <w:r>
        <w:t>5</w:t>
      </w:r>
      <w:r>
        <w:fldChar w:fldCharType="end"/>
      </w:r>
      <w:r>
        <w:rPr>
          <w:rFonts w:hint="eastAsia" w:ascii="黑体" w:hAnsi="黑体" w:eastAsia="黑体"/>
          <w:highlight w:val="none"/>
        </w:rPr>
        <w:fldChar w:fldCharType="end"/>
      </w:r>
    </w:p>
    <w:p w14:paraId="56D02183">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_Toc3948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三、支出决算情况说明</w:t>
      </w:r>
      <w:r>
        <w:tab/>
      </w:r>
      <w:r>
        <w:fldChar w:fldCharType="begin"/>
      </w:r>
      <w:r>
        <w:instrText xml:space="preserve"> PAGEREF _Toc3948 \h </w:instrText>
      </w:r>
      <w:r>
        <w:fldChar w:fldCharType="separate"/>
      </w:r>
      <w:r>
        <w:t>5</w:t>
      </w:r>
      <w:r>
        <w:fldChar w:fldCharType="end"/>
      </w:r>
      <w:r>
        <w:rPr>
          <w:rFonts w:hint="eastAsia" w:ascii="黑体" w:hAnsi="黑体" w:eastAsia="黑体"/>
          <w:highlight w:val="none"/>
        </w:rPr>
        <w:fldChar w:fldCharType="end"/>
      </w:r>
    </w:p>
    <w:p w14:paraId="26D19EE0">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_Toc31027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四、财政拨款收入支出决算总体情况说明</w:t>
      </w:r>
      <w:r>
        <w:tab/>
      </w:r>
      <w:r>
        <w:fldChar w:fldCharType="begin"/>
      </w:r>
      <w:r>
        <w:instrText xml:space="preserve"> PAGEREF _Toc31027 \h </w:instrText>
      </w:r>
      <w:r>
        <w:fldChar w:fldCharType="separate"/>
      </w:r>
      <w:r>
        <w:t>6</w:t>
      </w:r>
      <w:r>
        <w:fldChar w:fldCharType="end"/>
      </w:r>
      <w:r>
        <w:rPr>
          <w:rFonts w:hint="eastAsia" w:ascii="黑体" w:hAnsi="黑体" w:eastAsia="黑体"/>
          <w:highlight w:val="none"/>
        </w:rPr>
        <w:fldChar w:fldCharType="end"/>
      </w:r>
    </w:p>
    <w:p w14:paraId="463BF1FF">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_Toc28728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五、一般公共预算财政拨款支出决算情况说明</w:t>
      </w:r>
      <w:r>
        <w:tab/>
      </w:r>
      <w:r>
        <w:fldChar w:fldCharType="begin"/>
      </w:r>
      <w:r>
        <w:instrText xml:space="preserve"> PAGEREF _Toc28728 \h </w:instrText>
      </w:r>
      <w:r>
        <w:fldChar w:fldCharType="separate"/>
      </w:r>
      <w:r>
        <w:t>7</w:t>
      </w:r>
      <w:r>
        <w:fldChar w:fldCharType="end"/>
      </w:r>
      <w:r>
        <w:rPr>
          <w:rFonts w:hint="eastAsia" w:ascii="黑体" w:hAnsi="黑体" w:eastAsia="黑体"/>
          <w:highlight w:val="none"/>
        </w:rPr>
        <w:fldChar w:fldCharType="end"/>
      </w:r>
    </w:p>
    <w:p w14:paraId="3D9ED996">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_Toc19344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六、一般公共预算财政拨款基本支出决算情况说明</w:t>
      </w:r>
      <w:r>
        <w:tab/>
      </w:r>
      <w:r>
        <w:fldChar w:fldCharType="begin"/>
      </w:r>
      <w:r>
        <w:instrText xml:space="preserve"> PAGEREF _Toc19344 \h </w:instrText>
      </w:r>
      <w:r>
        <w:fldChar w:fldCharType="separate"/>
      </w:r>
      <w:r>
        <w:t>9</w:t>
      </w:r>
      <w:r>
        <w:fldChar w:fldCharType="end"/>
      </w:r>
      <w:r>
        <w:rPr>
          <w:rFonts w:hint="eastAsia" w:ascii="黑体" w:hAnsi="黑体" w:eastAsia="黑体"/>
          <w:highlight w:val="none"/>
        </w:rPr>
        <w:fldChar w:fldCharType="end"/>
      </w:r>
    </w:p>
    <w:p w14:paraId="02317F0C">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_Toc8197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七、“三公”经费财政拨款支出决算情况说明</w:t>
      </w:r>
      <w:r>
        <w:tab/>
      </w:r>
      <w:r>
        <w:fldChar w:fldCharType="begin"/>
      </w:r>
      <w:r>
        <w:instrText xml:space="preserve"> PAGEREF _Toc8197 \h </w:instrText>
      </w:r>
      <w:r>
        <w:fldChar w:fldCharType="separate"/>
      </w:r>
      <w:r>
        <w:t>9</w:t>
      </w:r>
      <w:r>
        <w:fldChar w:fldCharType="end"/>
      </w:r>
      <w:r>
        <w:rPr>
          <w:rFonts w:hint="eastAsia" w:ascii="黑体" w:hAnsi="黑体" w:eastAsia="黑体"/>
          <w:highlight w:val="none"/>
        </w:rPr>
        <w:fldChar w:fldCharType="end"/>
      </w:r>
    </w:p>
    <w:p w14:paraId="7024C87D">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_Toc14365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八、政府性基金预算支出决算情况说明</w:t>
      </w:r>
      <w:r>
        <w:tab/>
      </w:r>
      <w:r>
        <w:fldChar w:fldCharType="begin"/>
      </w:r>
      <w:r>
        <w:instrText xml:space="preserve"> PAGEREF _Toc14365 \h </w:instrText>
      </w:r>
      <w:r>
        <w:fldChar w:fldCharType="separate"/>
      </w:r>
      <w:r>
        <w:t>11</w:t>
      </w:r>
      <w:r>
        <w:fldChar w:fldCharType="end"/>
      </w:r>
      <w:r>
        <w:rPr>
          <w:rFonts w:hint="eastAsia" w:ascii="黑体" w:hAnsi="黑体" w:eastAsia="黑体"/>
          <w:highlight w:val="none"/>
        </w:rPr>
        <w:fldChar w:fldCharType="end"/>
      </w:r>
    </w:p>
    <w:p w14:paraId="53B2C798">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_Toc5277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九、国有资本经营预算支出决算情况说明</w:t>
      </w:r>
      <w:r>
        <w:tab/>
      </w:r>
      <w:r>
        <w:fldChar w:fldCharType="begin"/>
      </w:r>
      <w:r>
        <w:instrText xml:space="preserve"> PAGEREF _Toc5277 \h </w:instrText>
      </w:r>
      <w:r>
        <w:fldChar w:fldCharType="separate"/>
      </w:r>
      <w:r>
        <w:t>11</w:t>
      </w:r>
      <w:r>
        <w:fldChar w:fldCharType="end"/>
      </w:r>
      <w:r>
        <w:rPr>
          <w:rFonts w:hint="eastAsia" w:ascii="黑体" w:hAnsi="黑体" w:eastAsia="黑体"/>
          <w:highlight w:val="none"/>
        </w:rPr>
        <w:fldChar w:fldCharType="end"/>
      </w:r>
    </w:p>
    <w:p w14:paraId="73BB7F2E">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_Toc8498 </w:instrText>
      </w:r>
      <w:r>
        <w:rPr>
          <w:rFonts w:hint="eastAsia" w:ascii="黑体" w:hAnsi="黑体" w:eastAsia="黑体"/>
          <w:highlight w:val="none"/>
        </w:rPr>
        <w:fldChar w:fldCharType="separate"/>
      </w:r>
      <w:r>
        <w:rPr>
          <w:rFonts w:hint="eastAsia" w:ascii="黑体" w:hAnsi="黑体" w:eastAsia="黑体" w:cs="黑体"/>
          <w:bCs w:val="0"/>
          <w:szCs w:val="32"/>
          <w:highlight w:val="none"/>
          <w:lang w:eastAsia="zh-CN"/>
        </w:rPr>
        <w:t>十、其他重要事项的情况说明</w:t>
      </w:r>
      <w:r>
        <w:tab/>
      </w:r>
      <w:r>
        <w:fldChar w:fldCharType="begin"/>
      </w:r>
      <w:r>
        <w:instrText xml:space="preserve"> PAGEREF _Toc8498 \h </w:instrText>
      </w:r>
      <w:r>
        <w:fldChar w:fldCharType="separate"/>
      </w:r>
      <w:r>
        <w:t>11</w:t>
      </w:r>
      <w:r>
        <w:fldChar w:fldCharType="end"/>
      </w:r>
      <w:r>
        <w:rPr>
          <w:rFonts w:hint="eastAsia" w:ascii="黑体" w:hAnsi="黑体" w:eastAsia="黑体"/>
          <w:highlight w:val="none"/>
        </w:rPr>
        <w:fldChar w:fldCharType="end"/>
      </w:r>
    </w:p>
    <w:p w14:paraId="616ABE35">
      <w:pPr>
        <w:pStyle w:val="10"/>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_Toc9192 </w:instrText>
      </w:r>
      <w:r>
        <w:rPr>
          <w:rFonts w:hint="eastAsia" w:ascii="黑体" w:hAnsi="黑体" w:eastAsia="黑体"/>
          <w:highlight w:val="none"/>
        </w:rPr>
        <w:fldChar w:fldCharType="separate"/>
      </w:r>
      <w:r>
        <w:rPr>
          <w:rFonts w:hint="eastAsia" w:ascii="黑体" w:hAnsi="黑体" w:eastAsia="黑体" w:cs="黑体"/>
          <w:bCs/>
          <w:szCs w:val="32"/>
        </w:rPr>
        <w:t xml:space="preserve">第三部分 </w:t>
      </w:r>
      <w:r>
        <w:rPr>
          <w:rFonts w:hint="eastAsia" w:ascii="黑体" w:hAnsi="黑体" w:eastAsia="黑体" w:cs="黑体"/>
          <w:bCs/>
          <w:szCs w:val="32"/>
          <w:highlight w:val="none"/>
        </w:rPr>
        <w:t>名词解释</w:t>
      </w:r>
      <w:r>
        <w:tab/>
      </w:r>
      <w:r>
        <w:fldChar w:fldCharType="begin"/>
      </w:r>
      <w:r>
        <w:instrText xml:space="preserve"> PAGEREF _Toc9192 \h </w:instrText>
      </w:r>
      <w:r>
        <w:fldChar w:fldCharType="separate"/>
      </w:r>
      <w:r>
        <w:t>13</w:t>
      </w:r>
      <w:r>
        <w:fldChar w:fldCharType="end"/>
      </w:r>
      <w:r>
        <w:rPr>
          <w:rFonts w:hint="eastAsia" w:ascii="黑体" w:hAnsi="黑体" w:eastAsia="黑体"/>
          <w:highlight w:val="none"/>
        </w:rPr>
        <w:fldChar w:fldCharType="end"/>
      </w:r>
    </w:p>
    <w:p w14:paraId="43A02D24">
      <w:pPr>
        <w:pStyle w:val="10"/>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_Toc13913 </w:instrText>
      </w:r>
      <w:r>
        <w:rPr>
          <w:rFonts w:hint="eastAsia" w:ascii="黑体" w:hAnsi="黑体" w:eastAsia="黑体"/>
          <w:highlight w:val="none"/>
        </w:rPr>
        <w:fldChar w:fldCharType="separate"/>
      </w:r>
      <w:r>
        <w:rPr>
          <w:rFonts w:hint="eastAsia" w:ascii="黑体" w:hAnsi="黑体" w:eastAsia="黑体" w:cs="黑体"/>
          <w:bCs/>
          <w:szCs w:val="32"/>
          <w:highlight w:val="none"/>
        </w:rPr>
        <w:t>第四部分 附件</w:t>
      </w:r>
      <w:r>
        <w:tab/>
      </w:r>
      <w:r>
        <w:fldChar w:fldCharType="begin"/>
      </w:r>
      <w:r>
        <w:instrText xml:space="preserve"> PAGEREF _Toc13913 \h </w:instrText>
      </w:r>
      <w:r>
        <w:fldChar w:fldCharType="separate"/>
      </w:r>
      <w:r>
        <w:t>16</w:t>
      </w:r>
      <w:r>
        <w:fldChar w:fldCharType="end"/>
      </w:r>
      <w:r>
        <w:rPr>
          <w:rFonts w:hint="eastAsia" w:ascii="黑体" w:hAnsi="黑体" w:eastAsia="黑体"/>
          <w:highlight w:val="none"/>
        </w:rPr>
        <w:fldChar w:fldCharType="end"/>
      </w:r>
    </w:p>
    <w:p w14:paraId="52E56931">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_Toc21025 </w:instrText>
      </w:r>
      <w:r>
        <w:rPr>
          <w:rFonts w:hint="eastAsia" w:ascii="黑体" w:hAnsi="黑体" w:eastAsia="黑体"/>
          <w:highlight w:val="none"/>
        </w:rPr>
        <w:fldChar w:fldCharType="separate"/>
      </w:r>
      <w:r>
        <w:rPr>
          <w:rFonts w:hint="eastAsia" w:ascii="黑体" w:hAnsi="黑体" w:eastAsia="黑体" w:cs="黑体"/>
          <w:bCs/>
          <w:kern w:val="0"/>
          <w:szCs w:val="32"/>
          <w:highlight w:val="none"/>
          <w:shd w:val="clear" w:color="auto" w:fill="FFFFFF"/>
        </w:rPr>
        <w:t>一、</w:t>
      </w:r>
      <w:r>
        <w:rPr>
          <w:rFonts w:hint="eastAsia" w:ascii="黑体" w:hAnsi="黑体" w:eastAsia="黑体" w:cs="黑体"/>
          <w:bCs/>
          <w:kern w:val="0"/>
          <w:szCs w:val="32"/>
          <w:highlight w:val="none"/>
          <w:shd w:val="clear" w:color="auto" w:fill="FFFFFF"/>
          <w:lang w:val="zh-CN"/>
        </w:rPr>
        <w:t>部门（单位）概况</w:t>
      </w:r>
      <w:r>
        <w:tab/>
      </w:r>
      <w:r>
        <w:fldChar w:fldCharType="begin"/>
      </w:r>
      <w:r>
        <w:instrText xml:space="preserve"> PAGEREF _Toc21025 \h </w:instrText>
      </w:r>
      <w:r>
        <w:fldChar w:fldCharType="separate"/>
      </w:r>
      <w:r>
        <w:t>16</w:t>
      </w:r>
      <w:r>
        <w:fldChar w:fldCharType="end"/>
      </w:r>
      <w:r>
        <w:rPr>
          <w:rFonts w:hint="eastAsia" w:ascii="黑体" w:hAnsi="黑体" w:eastAsia="黑体"/>
          <w:highlight w:val="none"/>
        </w:rPr>
        <w:fldChar w:fldCharType="end"/>
      </w:r>
    </w:p>
    <w:p w14:paraId="489E4E81">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_Toc22969 </w:instrText>
      </w:r>
      <w:r>
        <w:rPr>
          <w:rFonts w:hint="eastAsia" w:ascii="黑体" w:hAnsi="黑体" w:eastAsia="黑体"/>
          <w:highlight w:val="none"/>
        </w:rPr>
        <w:fldChar w:fldCharType="separate"/>
      </w:r>
      <w:r>
        <w:rPr>
          <w:rFonts w:hint="eastAsia" w:ascii="黑体" w:hAnsi="黑体" w:eastAsia="黑体" w:cs="黑体"/>
          <w:bCs/>
          <w:kern w:val="0"/>
          <w:szCs w:val="32"/>
          <w:highlight w:val="none"/>
          <w:shd w:val="clear" w:color="auto" w:fill="FFFFFF"/>
        </w:rPr>
        <w:t>二、部门财政资金收支情况</w:t>
      </w:r>
      <w:r>
        <w:tab/>
      </w:r>
      <w:r>
        <w:fldChar w:fldCharType="begin"/>
      </w:r>
      <w:r>
        <w:instrText xml:space="preserve"> PAGEREF _Toc22969 \h </w:instrText>
      </w:r>
      <w:r>
        <w:fldChar w:fldCharType="separate"/>
      </w:r>
      <w:r>
        <w:t>17</w:t>
      </w:r>
      <w:r>
        <w:fldChar w:fldCharType="end"/>
      </w:r>
      <w:r>
        <w:rPr>
          <w:rFonts w:hint="eastAsia" w:ascii="黑体" w:hAnsi="黑体" w:eastAsia="黑体"/>
          <w:highlight w:val="none"/>
        </w:rPr>
        <w:fldChar w:fldCharType="end"/>
      </w:r>
    </w:p>
    <w:p w14:paraId="79EB81EA">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_Toc9396 </w:instrText>
      </w:r>
      <w:r>
        <w:rPr>
          <w:rFonts w:hint="eastAsia" w:ascii="黑体" w:hAnsi="黑体" w:eastAsia="黑体"/>
          <w:highlight w:val="none"/>
        </w:rPr>
        <w:fldChar w:fldCharType="separate"/>
      </w:r>
      <w:r>
        <w:rPr>
          <w:rFonts w:hint="eastAsia" w:ascii="黑体" w:hAnsi="黑体" w:eastAsia="黑体" w:cs="黑体"/>
          <w:szCs w:val="32"/>
          <w:highlight w:val="none"/>
          <w:lang w:val="zh-CN" w:eastAsia="zh-CN"/>
        </w:rPr>
        <w:t>三、</w:t>
      </w:r>
      <w:r>
        <w:rPr>
          <w:rFonts w:hint="eastAsia" w:ascii="黑体" w:hAnsi="黑体" w:eastAsia="黑体" w:cs="黑体"/>
          <w:szCs w:val="32"/>
          <w:highlight w:val="none"/>
          <w:lang w:val="zh-CN"/>
        </w:rPr>
        <w:t>部门整体预算绩效管理情况</w:t>
      </w:r>
      <w:r>
        <w:tab/>
      </w:r>
      <w:r>
        <w:fldChar w:fldCharType="begin"/>
      </w:r>
      <w:r>
        <w:instrText xml:space="preserve"> PAGEREF _Toc9396 \h </w:instrText>
      </w:r>
      <w:r>
        <w:fldChar w:fldCharType="separate"/>
      </w:r>
      <w:r>
        <w:t>20</w:t>
      </w:r>
      <w:r>
        <w:fldChar w:fldCharType="end"/>
      </w:r>
      <w:r>
        <w:rPr>
          <w:rFonts w:hint="eastAsia" w:ascii="黑体" w:hAnsi="黑体" w:eastAsia="黑体"/>
          <w:highlight w:val="none"/>
        </w:rPr>
        <w:fldChar w:fldCharType="end"/>
      </w:r>
    </w:p>
    <w:p w14:paraId="05030347">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_Toc140 </w:instrText>
      </w:r>
      <w:r>
        <w:rPr>
          <w:rFonts w:hint="eastAsia" w:ascii="黑体" w:hAnsi="黑体" w:eastAsia="黑体"/>
          <w:highlight w:val="none"/>
        </w:rPr>
        <w:fldChar w:fldCharType="separate"/>
      </w:r>
      <w:r>
        <w:rPr>
          <w:rFonts w:hint="eastAsia" w:ascii="黑体" w:hAnsi="黑体" w:eastAsia="黑体" w:cs="黑体"/>
          <w:bCs/>
          <w:szCs w:val="32"/>
          <w:highlight w:val="none"/>
          <w:lang w:eastAsia="zh-CN"/>
        </w:rPr>
        <w:t>四</w:t>
      </w:r>
      <w:r>
        <w:rPr>
          <w:rFonts w:hint="eastAsia" w:ascii="黑体" w:hAnsi="黑体" w:eastAsia="黑体" w:cs="黑体"/>
          <w:bCs/>
          <w:szCs w:val="32"/>
          <w:highlight w:val="none"/>
        </w:rPr>
        <w:t>、评价结论及建议</w:t>
      </w:r>
      <w:r>
        <w:tab/>
      </w:r>
      <w:r>
        <w:fldChar w:fldCharType="begin"/>
      </w:r>
      <w:r>
        <w:instrText xml:space="preserve"> PAGEREF _Toc140 \h </w:instrText>
      </w:r>
      <w:r>
        <w:fldChar w:fldCharType="separate"/>
      </w:r>
      <w:r>
        <w:t>21</w:t>
      </w:r>
      <w:r>
        <w:fldChar w:fldCharType="end"/>
      </w:r>
      <w:r>
        <w:rPr>
          <w:rFonts w:hint="eastAsia" w:ascii="黑体" w:hAnsi="黑体" w:eastAsia="黑体"/>
          <w:highlight w:val="none"/>
        </w:rPr>
        <w:fldChar w:fldCharType="end"/>
      </w:r>
    </w:p>
    <w:p w14:paraId="3779CB2F">
      <w:pPr>
        <w:pStyle w:val="10"/>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_Toc12094 </w:instrText>
      </w:r>
      <w:r>
        <w:rPr>
          <w:rFonts w:hint="eastAsia" w:ascii="黑体" w:hAnsi="黑体" w:eastAsia="黑体"/>
          <w:highlight w:val="none"/>
        </w:rPr>
        <w:fldChar w:fldCharType="separate"/>
      </w:r>
      <w:r>
        <w:rPr>
          <w:rFonts w:hint="eastAsia" w:ascii="黑体" w:hAnsi="黑体" w:eastAsia="黑体" w:cs="黑体"/>
          <w:bCs/>
          <w:highlight w:val="none"/>
          <w:lang w:eastAsia="zh-CN"/>
        </w:rPr>
        <w:t>第五部分</w:t>
      </w:r>
      <w:r>
        <w:rPr>
          <w:rFonts w:hint="eastAsia" w:ascii="黑体" w:hAnsi="黑体" w:eastAsia="黑体" w:cs="黑体"/>
          <w:bCs/>
          <w:highlight w:val="none"/>
          <w:lang w:val="en-US" w:eastAsia="zh-CN"/>
        </w:rPr>
        <w:t xml:space="preserve"> </w:t>
      </w:r>
      <w:r>
        <w:rPr>
          <w:rFonts w:hint="eastAsia" w:ascii="黑体" w:hAnsi="黑体" w:eastAsia="黑体" w:cs="黑体"/>
          <w:bCs/>
          <w:highlight w:val="none"/>
        </w:rPr>
        <w:t>附表</w:t>
      </w:r>
      <w:r>
        <w:tab/>
      </w:r>
      <w:r>
        <w:fldChar w:fldCharType="begin"/>
      </w:r>
      <w:r>
        <w:instrText xml:space="preserve"> PAGEREF _Toc12094 \h </w:instrText>
      </w:r>
      <w:r>
        <w:fldChar w:fldCharType="separate"/>
      </w:r>
      <w:r>
        <w:t>26</w:t>
      </w:r>
      <w:r>
        <w:fldChar w:fldCharType="end"/>
      </w:r>
      <w:r>
        <w:rPr>
          <w:rFonts w:hint="eastAsia" w:ascii="黑体" w:hAnsi="黑体" w:eastAsia="黑体"/>
          <w:highlight w:val="none"/>
        </w:rPr>
        <w:fldChar w:fldCharType="end"/>
      </w:r>
    </w:p>
    <w:p w14:paraId="4DC64A23">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_Toc4727 </w:instrText>
      </w:r>
      <w:r>
        <w:rPr>
          <w:rFonts w:hint="eastAsia" w:ascii="黑体" w:hAnsi="黑体" w:eastAsia="黑体"/>
          <w:highlight w:val="none"/>
        </w:rPr>
        <w:fldChar w:fldCharType="separate"/>
      </w:r>
      <w:r>
        <w:rPr>
          <w:rFonts w:hint="eastAsia" w:ascii="黑体" w:hAnsi="黑体" w:eastAsia="黑体" w:cs="黑体"/>
          <w:highlight w:val="none"/>
        </w:rPr>
        <w:t>一、收</w:t>
      </w:r>
      <w:r>
        <w:rPr>
          <w:rFonts w:hint="eastAsia" w:ascii="黑体" w:hAnsi="黑体" w:eastAsia="黑体" w:cs="黑体"/>
          <w:bCs w:val="0"/>
          <w:highlight w:val="none"/>
        </w:rPr>
        <w:t>入支出决算总表</w:t>
      </w:r>
      <w:r>
        <w:tab/>
      </w:r>
      <w:r>
        <w:fldChar w:fldCharType="begin"/>
      </w:r>
      <w:r>
        <w:instrText xml:space="preserve"> PAGEREF _Toc4727 \h </w:instrText>
      </w:r>
      <w:r>
        <w:fldChar w:fldCharType="separate"/>
      </w:r>
      <w:r>
        <w:t>26</w:t>
      </w:r>
      <w:r>
        <w:fldChar w:fldCharType="end"/>
      </w:r>
      <w:r>
        <w:rPr>
          <w:rFonts w:hint="eastAsia" w:ascii="黑体" w:hAnsi="黑体" w:eastAsia="黑体"/>
          <w:highlight w:val="none"/>
        </w:rPr>
        <w:fldChar w:fldCharType="end"/>
      </w:r>
    </w:p>
    <w:p w14:paraId="34C66F41">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_Toc26802 </w:instrText>
      </w:r>
      <w:r>
        <w:rPr>
          <w:rFonts w:hint="eastAsia" w:ascii="黑体" w:hAnsi="黑体" w:eastAsia="黑体"/>
          <w:highlight w:val="none"/>
        </w:rPr>
        <w:fldChar w:fldCharType="separate"/>
      </w:r>
      <w:r>
        <w:rPr>
          <w:rFonts w:hint="eastAsia" w:ascii="黑体" w:hAnsi="黑体" w:eastAsia="黑体" w:cs="黑体"/>
          <w:highlight w:val="none"/>
        </w:rPr>
        <w:t>二、收</w:t>
      </w:r>
      <w:r>
        <w:rPr>
          <w:rFonts w:hint="eastAsia" w:ascii="黑体" w:hAnsi="黑体" w:eastAsia="黑体" w:cs="黑体"/>
          <w:bCs w:val="0"/>
          <w:highlight w:val="none"/>
        </w:rPr>
        <w:t>入决算表</w:t>
      </w:r>
      <w:r>
        <w:tab/>
      </w:r>
      <w:r>
        <w:fldChar w:fldCharType="begin"/>
      </w:r>
      <w:r>
        <w:instrText xml:space="preserve"> PAGEREF _Toc26802 \h </w:instrText>
      </w:r>
      <w:r>
        <w:fldChar w:fldCharType="separate"/>
      </w:r>
      <w:r>
        <w:t>26</w:t>
      </w:r>
      <w:r>
        <w:fldChar w:fldCharType="end"/>
      </w:r>
      <w:r>
        <w:rPr>
          <w:rFonts w:hint="eastAsia" w:ascii="黑体" w:hAnsi="黑体" w:eastAsia="黑体"/>
          <w:highlight w:val="none"/>
        </w:rPr>
        <w:fldChar w:fldCharType="end"/>
      </w:r>
    </w:p>
    <w:p w14:paraId="6D35F9A6">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_Toc18944 </w:instrText>
      </w:r>
      <w:r>
        <w:rPr>
          <w:rFonts w:hint="eastAsia" w:ascii="黑体" w:hAnsi="黑体" w:eastAsia="黑体"/>
          <w:highlight w:val="none"/>
        </w:rPr>
        <w:fldChar w:fldCharType="separate"/>
      </w:r>
      <w:r>
        <w:rPr>
          <w:rFonts w:hint="eastAsia" w:ascii="黑体" w:hAnsi="黑体" w:eastAsia="黑体" w:cs="黑体"/>
          <w:bCs w:val="0"/>
          <w:highlight w:val="none"/>
        </w:rPr>
        <w:t>三、</w:t>
      </w:r>
      <w:r>
        <w:rPr>
          <w:rFonts w:hint="eastAsia" w:ascii="黑体" w:hAnsi="黑体" w:eastAsia="黑体" w:cs="黑体"/>
          <w:highlight w:val="none"/>
        </w:rPr>
        <w:t>支</w:t>
      </w:r>
      <w:r>
        <w:rPr>
          <w:rFonts w:hint="eastAsia" w:ascii="黑体" w:hAnsi="黑体" w:eastAsia="黑体" w:cs="黑体"/>
          <w:bCs w:val="0"/>
          <w:highlight w:val="none"/>
        </w:rPr>
        <w:t>出决算表</w:t>
      </w:r>
      <w:r>
        <w:tab/>
      </w:r>
      <w:r>
        <w:fldChar w:fldCharType="begin"/>
      </w:r>
      <w:r>
        <w:instrText xml:space="preserve"> PAGEREF _Toc18944 \h </w:instrText>
      </w:r>
      <w:r>
        <w:fldChar w:fldCharType="separate"/>
      </w:r>
      <w:r>
        <w:t>26</w:t>
      </w:r>
      <w:r>
        <w:fldChar w:fldCharType="end"/>
      </w:r>
      <w:r>
        <w:rPr>
          <w:rFonts w:hint="eastAsia" w:ascii="黑体" w:hAnsi="黑体" w:eastAsia="黑体"/>
          <w:highlight w:val="none"/>
        </w:rPr>
        <w:fldChar w:fldCharType="end"/>
      </w:r>
    </w:p>
    <w:p w14:paraId="72903076">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_Toc3846 </w:instrText>
      </w:r>
      <w:r>
        <w:rPr>
          <w:rFonts w:hint="eastAsia" w:ascii="黑体" w:hAnsi="黑体" w:eastAsia="黑体"/>
          <w:highlight w:val="none"/>
        </w:rP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tab/>
      </w:r>
      <w:r>
        <w:fldChar w:fldCharType="begin"/>
      </w:r>
      <w:r>
        <w:instrText xml:space="preserve"> PAGEREF _Toc3846 \h </w:instrText>
      </w:r>
      <w:r>
        <w:fldChar w:fldCharType="separate"/>
      </w:r>
      <w:r>
        <w:t>26</w:t>
      </w:r>
      <w:r>
        <w:fldChar w:fldCharType="end"/>
      </w:r>
      <w:r>
        <w:rPr>
          <w:rFonts w:hint="eastAsia" w:ascii="黑体" w:hAnsi="黑体" w:eastAsia="黑体"/>
          <w:highlight w:val="none"/>
        </w:rPr>
        <w:fldChar w:fldCharType="end"/>
      </w:r>
    </w:p>
    <w:p w14:paraId="17922F05">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_Toc1624 </w:instrText>
      </w:r>
      <w:r>
        <w:rPr>
          <w:rFonts w:hint="eastAsia" w:ascii="黑体" w:hAnsi="黑体" w:eastAsia="黑体"/>
          <w:highlight w:val="none"/>
        </w:rP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tab/>
      </w:r>
      <w:r>
        <w:fldChar w:fldCharType="begin"/>
      </w:r>
      <w:r>
        <w:instrText xml:space="preserve"> PAGEREF _Toc1624 \h </w:instrText>
      </w:r>
      <w:r>
        <w:fldChar w:fldCharType="separate"/>
      </w:r>
      <w:r>
        <w:t>26</w:t>
      </w:r>
      <w:r>
        <w:fldChar w:fldCharType="end"/>
      </w:r>
      <w:r>
        <w:rPr>
          <w:rFonts w:hint="eastAsia" w:ascii="黑体" w:hAnsi="黑体" w:eastAsia="黑体"/>
          <w:highlight w:val="none"/>
        </w:rPr>
        <w:fldChar w:fldCharType="end"/>
      </w:r>
    </w:p>
    <w:p w14:paraId="40C55E62">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_Toc2469 </w:instrText>
      </w:r>
      <w:r>
        <w:rPr>
          <w:rFonts w:hint="eastAsia" w:ascii="黑体" w:hAnsi="黑体" w:eastAsia="黑体"/>
          <w:highlight w:val="none"/>
        </w:rP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tab/>
      </w:r>
      <w:r>
        <w:fldChar w:fldCharType="begin"/>
      </w:r>
      <w:r>
        <w:instrText xml:space="preserve"> PAGEREF _Toc2469 \h </w:instrText>
      </w:r>
      <w:r>
        <w:fldChar w:fldCharType="separate"/>
      </w:r>
      <w:r>
        <w:t>26</w:t>
      </w:r>
      <w:r>
        <w:fldChar w:fldCharType="end"/>
      </w:r>
      <w:r>
        <w:rPr>
          <w:rFonts w:hint="eastAsia" w:ascii="黑体" w:hAnsi="黑体" w:eastAsia="黑体"/>
          <w:highlight w:val="none"/>
        </w:rPr>
        <w:fldChar w:fldCharType="end"/>
      </w:r>
    </w:p>
    <w:p w14:paraId="58B84DA5">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_Toc20131 </w:instrText>
      </w:r>
      <w:r>
        <w:rPr>
          <w:rFonts w:hint="eastAsia" w:ascii="黑体" w:hAnsi="黑体" w:eastAsia="黑体"/>
          <w:highlight w:val="none"/>
        </w:rP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tab/>
      </w:r>
      <w:r>
        <w:fldChar w:fldCharType="begin"/>
      </w:r>
      <w:r>
        <w:instrText xml:space="preserve"> PAGEREF _Toc20131 \h </w:instrText>
      </w:r>
      <w:r>
        <w:fldChar w:fldCharType="separate"/>
      </w:r>
      <w:r>
        <w:t>26</w:t>
      </w:r>
      <w:r>
        <w:fldChar w:fldCharType="end"/>
      </w:r>
      <w:r>
        <w:rPr>
          <w:rFonts w:hint="eastAsia" w:ascii="黑体" w:hAnsi="黑体" w:eastAsia="黑体"/>
          <w:highlight w:val="none"/>
        </w:rPr>
        <w:fldChar w:fldCharType="end"/>
      </w:r>
    </w:p>
    <w:p w14:paraId="643F74C1">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_Toc13027 </w:instrText>
      </w:r>
      <w:r>
        <w:rPr>
          <w:rFonts w:hint="eastAsia" w:ascii="黑体" w:hAnsi="黑体" w:eastAsia="黑体"/>
          <w:highlight w:val="none"/>
        </w:rP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tab/>
      </w:r>
      <w:r>
        <w:fldChar w:fldCharType="begin"/>
      </w:r>
      <w:r>
        <w:instrText xml:space="preserve"> PAGEREF _Toc13027 \h </w:instrText>
      </w:r>
      <w:r>
        <w:fldChar w:fldCharType="separate"/>
      </w:r>
      <w:r>
        <w:t>26</w:t>
      </w:r>
      <w:r>
        <w:fldChar w:fldCharType="end"/>
      </w:r>
      <w:r>
        <w:rPr>
          <w:rFonts w:hint="eastAsia" w:ascii="黑体" w:hAnsi="黑体" w:eastAsia="黑体"/>
          <w:highlight w:val="none"/>
        </w:rPr>
        <w:fldChar w:fldCharType="end"/>
      </w:r>
    </w:p>
    <w:p w14:paraId="5D1222CF">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_Toc19620 </w:instrText>
      </w:r>
      <w:r>
        <w:rPr>
          <w:rFonts w:hint="eastAsia" w:ascii="黑体" w:hAnsi="黑体" w:eastAsia="黑体"/>
          <w:highlight w:val="none"/>
        </w:rP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tab/>
      </w:r>
      <w:r>
        <w:fldChar w:fldCharType="begin"/>
      </w:r>
      <w:r>
        <w:instrText xml:space="preserve"> PAGEREF _Toc19620 \h </w:instrText>
      </w:r>
      <w:r>
        <w:fldChar w:fldCharType="separate"/>
      </w:r>
      <w:r>
        <w:t>26</w:t>
      </w:r>
      <w:r>
        <w:fldChar w:fldCharType="end"/>
      </w:r>
      <w:r>
        <w:rPr>
          <w:rFonts w:hint="eastAsia" w:ascii="黑体" w:hAnsi="黑体" w:eastAsia="黑体"/>
          <w:highlight w:val="none"/>
        </w:rPr>
        <w:fldChar w:fldCharType="end"/>
      </w:r>
    </w:p>
    <w:p w14:paraId="5E89AAA1">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_Toc19278 </w:instrText>
      </w:r>
      <w:r>
        <w:rPr>
          <w:rFonts w:hint="eastAsia" w:ascii="黑体" w:hAnsi="黑体" w:eastAsia="黑体"/>
          <w:highlight w:val="none"/>
        </w:rP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tab/>
      </w:r>
      <w:r>
        <w:fldChar w:fldCharType="begin"/>
      </w:r>
      <w:r>
        <w:instrText xml:space="preserve"> PAGEREF _Toc19278 \h </w:instrText>
      </w:r>
      <w:r>
        <w:fldChar w:fldCharType="separate"/>
      </w:r>
      <w:r>
        <w:t>26</w:t>
      </w:r>
      <w:r>
        <w:fldChar w:fldCharType="end"/>
      </w:r>
      <w:r>
        <w:rPr>
          <w:rFonts w:hint="eastAsia" w:ascii="黑体" w:hAnsi="黑体" w:eastAsia="黑体"/>
          <w:highlight w:val="none"/>
        </w:rPr>
        <w:fldChar w:fldCharType="end"/>
      </w:r>
    </w:p>
    <w:p w14:paraId="276F41F3">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_Toc19770 </w:instrText>
      </w:r>
      <w:r>
        <w:rPr>
          <w:rFonts w:hint="eastAsia" w:ascii="黑体" w:hAnsi="黑体" w:eastAsia="黑体"/>
          <w:highlight w:val="none"/>
        </w:rP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tab/>
      </w:r>
      <w:r>
        <w:fldChar w:fldCharType="begin"/>
      </w:r>
      <w:r>
        <w:instrText xml:space="preserve"> PAGEREF _Toc19770 \h </w:instrText>
      </w:r>
      <w:r>
        <w:fldChar w:fldCharType="separate"/>
      </w:r>
      <w:r>
        <w:t>26</w:t>
      </w:r>
      <w:r>
        <w:fldChar w:fldCharType="end"/>
      </w:r>
      <w:r>
        <w:rPr>
          <w:rFonts w:hint="eastAsia" w:ascii="黑体" w:hAnsi="黑体" w:eastAsia="黑体"/>
          <w:highlight w:val="none"/>
        </w:rPr>
        <w:fldChar w:fldCharType="end"/>
      </w:r>
    </w:p>
    <w:p w14:paraId="6077DE2F">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_Toc26793 </w:instrText>
      </w:r>
      <w:r>
        <w:rPr>
          <w:rFonts w:hint="eastAsia" w:ascii="黑体" w:hAnsi="黑体" w:eastAsia="黑体"/>
          <w:highlight w:val="none"/>
        </w:rP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tab/>
      </w:r>
      <w:r>
        <w:fldChar w:fldCharType="begin"/>
      </w:r>
      <w:r>
        <w:instrText xml:space="preserve"> PAGEREF _Toc26793 \h </w:instrText>
      </w:r>
      <w:r>
        <w:fldChar w:fldCharType="separate"/>
      </w:r>
      <w:r>
        <w:t>26</w:t>
      </w:r>
      <w:r>
        <w:fldChar w:fldCharType="end"/>
      </w:r>
      <w:r>
        <w:rPr>
          <w:rFonts w:hint="eastAsia" w:ascii="黑体" w:hAnsi="黑体" w:eastAsia="黑体"/>
          <w:highlight w:val="none"/>
        </w:rPr>
        <w:fldChar w:fldCharType="end"/>
      </w:r>
    </w:p>
    <w:p w14:paraId="648E375A">
      <w:pPr>
        <w:pStyle w:val="12"/>
        <w:shd w:val="clear" w:color="auto" w:fill="FFFFFF"/>
        <w:tabs>
          <w:tab w:val="right" w:leader="dot" w:pos="8832"/>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_Toc8694 </w:instrText>
      </w:r>
      <w:r>
        <w:rPr>
          <w:rFonts w:hint="eastAsia" w:ascii="黑体" w:hAnsi="黑体" w:eastAsia="黑体"/>
          <w:highlight w:val="none"/>
        </w:rP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tab/>
      </w:r>
      <w:r>
        <w:fldChar w:fldCharType="begin"/>
      </w:r>
      <w:r>
        <w:instrText xml:space="preserve"> PAGEREF _Toc8694 \h </w:instrText>
      </w:r>
      <w:r>
        <w:fldChar w:fldCharType="separate"/>
      </w:r>
      <w:r>
        <w:t>26</w:t>
      </w:r>
      <w:r>
        <w:fldChar w:fldCharType="end"/>
      </w:r>
      <w:r>
        <w:rPr>
          <w:rFonts w:hint="eastAsia" w:ascii="黑体" w:hAnsi="黑体" w:eastAsia="黑体"/>
          <w:highlight w:val="none"/>
        </w:rPr>
        <w:fldChar w:fldCharType="end"/>
      </w:r>
    </w:p>
    <w:p w14:paraId="0E3B2593">
      <w:pPr>
        <w:pStyle w:val="4"/>
        <w:pageBreakBefore w:val="0"/>
        <w:shd w:val="clear" w:color="auto" w:fill="FFFFFF"/>
        <w:kinsoku/>
        <w:wordWrap/>
        <w:overflowPunct/>
        <w:topLinePunct w:val="0"/>
        <w:bidi w:val="0"/>
        <w:spacing w:before="0" w:after="0" w:line="560" w:lineRule="exact"/>
        <w:jc w:val="both"/>
        <w:textAlignment w:val="auto"/>
        <w:outlineLvl w:val="9"/>
        <w:rPr>
          <w:rFonts w:hint="eastAsia" w:ascii="黑体" w:hAnsi="黑体" w:eastAsia="黑体"/>
          <w:highlight w:val="none"/>
        </w:rPr>
        <w:sectPr>
          <w:footerReference r:id="rId3" w:type="default"/>
          <w:pgSz w:w="11906" w:h="16838"/>
          <w:pgMar w:top="1431" w:right="1526" w:bottom="1539" w:left="1548" w:header="0" w:footer="1261" w:gutter="0"/>
          <w:pgNumType w:fmt="decimal" w:start="1"/>
          <w:cols w:space="720" w:num="1"/>
          <w:formProt w:val="0"/>
          <w:docGrid w:linePitch="100" w:charSpace="0"/>
        </w:sectPr>
      </w:pPr>
    </w:p>
    <w:p w14:paraId="2383BC7B">
      <w:pPr>
        <w:pStyle w:val="4"/>
        <w:pageBreakBefore w:val="0"/>
        <w:shd w:val="clear" w:color="auto" w:fill="FFFFFF"/>
        <w:kinsoku/>
        <w:wordWrap/>
        <w:overflowPunct/>
        <w:topLinePunct w:val="0"/>
        <w:bidi w:val="0"/>
        <w:spacing w:before="0" w:after="0" w:line="560" w:lineRule="exact"/>
        <w:jc w:val="both"/>
        <w:textAlignment w:val="auto"/>
        <w:outlineLvl w:val="9"/>
        <w:rPr>
          <w:rFonts w:hint="eastAsia" w:ascii="黑体" w:hAnsi="黑体" w:eastAsia="黑体" w:cs="黑体"/>
          <w:b/>
          <w:bCs w:val="0"/>
          <w:sz w:val="32"/>
          <w:szCs w:val="32"/>
          <w:highlight w:val="none"/>
        </w:rPr>
      </w:pPr>
      <w:r>
        <w:rPr>
          <w:rFonts w:hint="eastAsia" w:ascii="黑体" w:hAnsi="黑体" w:eastAsia="黑体"/>
          <w:highlight w:val="none"/>
        </w:rPr>
        <w:fldChar w:fldCharType="end"/>
      </w:r>
    </w:p>
    <w:p w14:paraId="09580728">
      <w:pPr>
        <w:pStyle w:val="4"/>
        <w:pageBreakBefore w:val="0"/>
        <w:shd w:val="clear" w:color="auto" w:fill="FFFFFF"/>
        <w:kinsoku/>
        <w:wordWrap/>
        <w:overflowPunct/>
        <w:topLinePunct w:val="0"/>
        <w:bidi w:val="0"/>
        <w:spacing w:before="0" w:after="0" w:line="560" w:lineRule="exact"/>
        <w:jc w:val="center"/>
        <w:textAlignment w:val="auto"/>
        <w:rPr>
          <w:rFonts w:hint="eastAsia" w:ascii="黑体" w:hAnsi="黑体" w:eastAsia="黑体" w:cs="黑体"/>
          <w:b/>
          <w:bCs w:val="0"/>
          <w:color w:val="000000"/>
          <w:sz w:val="32"/>
          <w:szCs w:val="32"/>
          <w:highlight w:val="none"/>
        </w:rPr>
      </w:pPr>
      <w:bookmarkStart w:id="14" w:name="_Toc49"/>
      <w:r>
        <w:rPr>
          <w:rFonts w:hint="eastAsia" w:ascii="黑体" w:hAnsi="黑体" w:eastAsia="黑体" w:cs="黑体"/>
          <w:b/>
          <w:bCs w:val="0"/>
          <w:sz w:val="32"/>
          <w:szCs w:val="32"/>
          <w:highlight w:val="none"/>
        </w:rPr>
        <w:t xml:space="preserve">第一部分 </w:t>
      </w:r>
      <w:r>
        <w:rPr>
          <w:rStyle w:val="17"/>
          <w:rFonts w:hint="eastAsia" w:ascii="黑体" w:hAnsi="黑体" w:eastAsia="黑体" w:cs="黑体"/>
          <w:b/>
          <w:bCs w:val="0"/>
          <w:sz w:val="32"/>
          <w:szCs w:val="32"/>
          <w:highlight w:val="none"/>
        </w:rPr>
        <w:t>部门概况</w:t>
      </w:r>
      <w:bookmarkEnd w:id="14"/>
    </w:p>
    <w:p w14:paraId="7AA0DD32">
      <w:pPr>
        <w:pStyle w:val="5"/>
        <w:pageBreakBefore w:val="0"/>
        <w:shd w:val="clear" w:color="auto" w:fill="FFFFFF"/>
        <w:kinsoku/>
        <w:wordWrap/>
        <w:overflowPunct/>
        <w:topLinePunct w:val="0"/>
        <w:bidi w:val="0"/>
        <w:spacing w:before="0" w:after="0" w:line="560" w:lineRule="exact"/>
        <w:ind w:firstLine="643" w:firstLineChars="200"/>
        <w:textAlignment w:val="auto"/>
        <w:outlineLvl w:val="9"/>
        <w:rPr>
          <w:rFonts w:hint="eastAsia" w:ascii="仿宋_GB2312" w:hAnsi="仿宋_GB2312" w:eastAsia="仿宋_GB2312" w:cs="仿宋_GB2312"/>
          <w:b/>
          <w:bCs w:val="0"/>
          <w:color w:val="000000"/>
          <w:sz w:val="32"/>
          <w:szCs w:val="32"/>
          <w:highlight w:val="none"/>
        </w:rPr>
      </w:pPr>
      <w:bookmarkStart w:id="15" w:name="_Toc15377197"/>
      <w:bookmarkStart w:id="16" w:name="_Toc79163602"/>
      <w:bookmarkStart w:id="17" w:name="_Toc79163852"/>
      <w:bookmarkStart w:id="18" w:name="_Toc10379"/>
      <w:bookmarkStart w:id="19" w:name="_Toc15396600"/>
      <w:bookmarkStart w:id="20" w:name="_Toc32143"/>
    </w:p>
    <w:p w14:paraId="6B96CA40">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仿宋_GB2312" w:hAnsi="仿宋_GB2312" w:eastAsia="仿宋_GB2312" w:cs="仿宋_GB2312"/>
          <w:kern w:val="0"/>
          <w:sz w:val="32"/>
          <w:szCs w:val="32"/>
          <w:lang w:val="en-US" w:eastAsia="zh-CN"/>
        </w:rPr>
      </w:pPr>
      <w:bookmarkStart w:id="21" w:name="_Toc17385"/>
      <w:r>
        <w:rPr>
          <w:rFonts w:hint="eastAsia" w:ascii="黑体" w:hAnsi="黑体" w:eastAsia="黑体" w:cs="黑体"/>
          <w:b/>
          <w:bCs w:val="0"/>
          <w:color w:val="000000"/>
          <w:sz w:val="32"/>
          <w:szCs w:val="32"/>
          <w:highlight w:val="none"/>
        </w:rPr>
        <w:t>一、基</w:t>
      </w:r>
      <w:r>
        <w:rPr>
          <w:rStyle w:val="18"/>
          <w:rFonts w:hint="eastAsia" w:ascii="黑体" w:hAnsi="黑体" w:eastAsia="黑体" w:cs="黑体"/>
          <w:b/>
          <w:bCs w:val="0"/>
          <w:sz w:val="32"/>
          <w:szCs w:val="32"/>
          <w:highlight w:val="none"/>
        </w:rPr>
        <w:t>本职能及主要工作</w:t>
      </w:r>
      <w:bookmarkEnd w:id="15"/>
      <w:bookmarkEnd w:id="16"/>
      <w:bookmarkEnd w:id="17"/>
      <w:bookmarkEnd w:id="18"/>
      <w:bookmarkEnd w:id="19"/>
      <w:bookmarkEnd w:id="20"/>
      <w:bookmarkEnd w:id="21"/>
      <w:bookmarkStart w:id="22" w:name="_Toc15378446"/>
      <w:bookmarkStart w:id="23" w:name="_Toc14726"/>
      <w:bookmarkStart w:id="24" w:name="_Toc15377199"/>
      <w:bookmarkStart w:id="25" w:name="_Toc79163604"/>
      <w:bookmarkStart w:id="26" w:name="_Toc79163854"/>
      <w:r>
        <w:rPr>
          <w:rFonts w:hint="eastAsia" w:ascii="仿宋_GB2312" w:hAnsi="仿宋_GB2312" w:eastAsia="仿宋_GB2312" w:cs="仿宋_GB2312"/>
          <w:kern w:val="0"/>
          <w:sz w:val="32"/>
          <w:szCs w:val="32"/>
          <w:lang w:val="en-US" w:eastAsia="zh-CN"/>
        </w:rPr>
        <w:t xml:space="preserve"> </w:t>
      </w:r>
    </w:p>
    <w:p w14:paraId="2BD4DAF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贯彻落实国家和省、州、县关于公务服务工作的政策规定，起草全县公务服务工作的规章制度和目标规划，并组织实施，负责对全县公务服务工作的业务指导、培训交流等工作，促进全县公务服务工作水平不断提高。</w:t>
      </w:r>
    </w:p>
    <w:p w14:paraId="7D86FCB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（二）统筹协调重要的接待任务。承担上级党委、政府直接派来我县的综合性工作组、巡视组、联合调查组、专项检查组的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工作。</w:t>
      </w:r>
    </w:p>
    <w:p w14:paraId="5199726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（三）协助有关部门做好在本县召开的全国、省、州、县大型会议的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工作。</w:t>
      </w:r>
    </w:p>
    <w:p w14:paraId="03BB28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（四）负责其他县（市、区）党政代表团的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 xml:space="preserve">工作。负责我县党政代表团赴外省（州、县、区）学习考察的协调联络和后勤服务保障。负责县委县政府交办的由县公务服务中心承担的外事接待和招商引资事项的服务保障。 </w:t>
      </w:r>
    </w:p>
    <w:p w14:paraId="783B9BE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（五）负责制定县级机关后勤服务管理制度，负责公务接待的管理和指导工作，负责监督实施县级机关后勤服务工作。</w:t>
      </w:r>
    </w:p>
    <w:p w14:paraId="66F3C65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（六）受</w:t>
      </w:r>
      <w:r>
        <w:rPr>
          <w:rFonts w:hint="eastAsia" w:ascii="仿宋_GB2312" w:hAnsi="仿宋_GB2312" w:eastAsia="仿宋_GB2312" w:cs="仿宋_GB2312"/>
          <w:color w:val="000000"/>
          <w:kern w:val="0"/>
          <w:sz w:val="32"/>
          <w:szCs w:val="32"/>
          <w:lang w:val="en-US" w:eastAsia="zh-CN"/>
        </w:rPr>
        <w:t>县委县政府</w:t>
      </w:r>
      <w:r>
        <w:rPr>
          <w:rFonts w:hint="eastAsia" w:ascii="仿宋_GB2312" w:hAnsi="仿宋_GB2312" w:eastAsia="仿宋_GB2312" w:cs="仿宋_GB2312"/>
          <w:kern w:val="0"/>
          <w:sz w:val="32"/>
          <w:szCs w:val="32"/>
          <w:lang w:val="en-US" w:eastAsia="zh-CN"/>
        </w:rPr>
        <w:t>委托负责县级行政机关和事业单位公务用车、执勤执法用车的编制、配备、更新的日常管理工作。</w:t>
      </w:r>
    </w:p>
    <w:p w14:paraId="4986330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（七）受</w:t>
      </w:r>
      <w:r>
        <w:rPr>
          <w:rFonts w:hint="eastAsia" w:ascii="仿宋_GB2312" w:hAnsi="仿宋_GB2312" w:eastAsia="仿宋_GB2312" w:cs="仿宋_GB2312"/>
          <w:color w:val="000000"/>
          <w:kern w:val="0"/>
          <w:sz w:val="32"/>
          <w:szCs w:val="32"/>
          <w:lang w:val="en-US" w:eastAsia="zh-CN"/>
        </w:rPr>
        <w:t>县委县政府</w:t>
      </w:r>
      <w:r>
        <w:rPr>
          <w:rFonts w:hint="eastAsia" w:ascii="仿宋_GB2312" w:hAnsi="仿宋_GB2312" w:eastAsia="仿宋_GB2312" w:cs="仿宋_GB2312"/>
          <w:kern w:val="0"/>
          <w:sz w:val="32"/>
          <w:szCs w:val="32"/>
          <w:lang w:val="en-US" w:eastAsia="zh-CN"/>
        </w:rPr>
        <w:t>委托负责县级行政事业单位国有资产管理工作，制定相关具体制度和办法并组织实施，确定相关规章制度和管理办法并组织实施。</w:t>
      </w:r>
    </w:p>
    <w:p w14:paraId="572EE26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（八）受</w:t>
      </w:r>
      <w:r>
        <w:rPr>
          <w:rFonts w:hint="eastAsia" w:ascii="仿宋_GB2312" w:hAnsi="仿宋_GB2312" w:eastAsia="仿宋_GB2312" w:cs="仿宋_GB2312"/>
          <w:color w:val="000000"/>
          <w:kern w:val="0"/>
          <w:sz w:val="32"/>
          <w:szCs w:val="32"/>
          <w:lang w:val="en-US" w:eastAsia="zh-CN"/>
        </w:rPr>
        <w:t>县委县政府</w:t>
      </w:r>
      <w:r>
        <w:rPr>
          <w:rFonts w:hint="eastAsia" w:ascii="仿宋_GB2312" w:hAnsi="仿宋_GB2312" w:eastAsia="仿宋_GB2312" w:cs="仿宋_GB2312"/>
          <w:kern w:val="0"/>
          <w:sz w:val="32"/>
          <w:szCs w:val="32"/>
          <w:lang w:val="en-US" w:eastAsia="zh-CN"/>
        </w:rPr>
        <w:t>委托负责全县行政办公用房、周转房的分配、监督管理和日常维修工作。</w:t>
      </w:r>
    </w:p>
    <w:p w14:paraId="5986297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（九）负责县委县政府机关食堂的日常管理等后勤保障工作。</w:t>
      </w:r>
    </w:p>
    <w:p w14:paraId="6BEBDF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sz w:val="32"/>
          <w:szCs w:val="32"/>
        </w:rPr>
        <w:t>完成县委和县委办公室</w:t>
      </w:r>
      <w:r>
        <w:rPr>
          <w:rFonts w:hint="eastAsia" w:ascii="仿宋_GB2312" w:hAnsi="仿宋_GB2312" w:eastAsia="仿宋_GB2312" w:cs="仿宋_GB2312"/>
          <w:kern w:val="0"/>
          <w:sz w:val="32"/>
          <w:szCs w:val="32"/>
          <w:lang w:val="en-US" w:eastAsia="zh-CN"/>
        </w:rPr>
        <w:t>及上级主管部门交办的其他任务。</w:t>
      </w:r>
    </w:p>
    <w:p w14:paraId="155D0D9C">
      <w:pPr>
        <w:pStyle w:val="6"/>
        <w:pageBreakBefore w:val="0"/>
        <w:shd w:val="clear" w:color="auto" w:fill="FFFFFF"/>
        <w:kinsoku/>
        <w:wordWrap/>
        <w:overflowPunct/>
        <w:topLinePunct w:val="0"/>
        <w:bidi w:val="0"/>
        <w:adjustRightInd w:val="0"/>
        <w:snapToGrid w:val="0"/>
        <w:spacing w:beforeLines="0" w:line="560" w:lineRule="exact"/>
        <w:ind w:firstLine="321" w:firstLineChars="100"/>
        <w:textAlignment w:val="auto"/>
        <w:outlineLvl w:val="2"/>
        <w:rPr>
          <w:rFonts w:hint="eastAsia" w:ascii="楷体_GB2312" w:hAnsi="楷体_GB2312" w:eastAsia="楷体_GB2312" w:cs="楷体_GB2312"/>
          <w:b/>
          <w:bCs w:val="0"/>
          <w:i w:val="0"/>
          <w:iCs w:val="0"/>
          <w:sz w:val="32"/>
          <w:szCs w:val="32"/>
          <w:highlight w:val="none"/>
        </w:rPr>
      </w:pPr>
      <w:r>
        <w:rPr>
          <w:rFonts w:hint="eastAsia" w:ascii="楷体_GB2312" w:hAnsi="楷体_GB2312" w:eastAsia="楷体_GB2312" w:cs="楷体_GB2312"/>
          <w:b/>
          <w:bCs w:val="0"/>
          <w:i w:val="0"/>
          <w:iCs w:val="0"/>
          <w:color w:val="000000"/>
          <w:sz w:val="32"/>
          <w:szCs w:val="32"/>
          <w:highlight w:val="none"/>
        </w:rPr>
        <w:t>（二）202</w:t>
      </w:r>
      <w:r>
        <w:rPr>
          <w:rFonts w:hint="eastAsia" w:ascii="楷体_GB2312" w:hAnsi="楷体_GB2312" w:eastAsia="楷体_GB2312" w:cs="楷体_GB2312"/>
          <w:b/>
          <w:bCs w:val="0"/>
          <w:i w:val="0"/>
          <w:iCs w:val="0"/>
          <w:color w:val="000000"/>
          <w:sz w:val="32"/>
          <w:szCs w:val="32"/>
          <w:highlight w:val="none"/>
          <w:lang w:val="en-US" w:eastAsia="zh-CN"/>
        </w:rPr>
        <w:t>3</w:t>
      </w:r>
      <w:r>
        <w:rPr>
          <w:rFonts w:hint="eastAsia" w:ascii="楷体_GB2312" w:hAnsi="楷体_GB2312" w:eastAsia="楷体_GB2312" w:cs="楷体_GB2312"/>
          <w:b/>
          <w:bCs w:val="0"/>
          <w:i w:val="0"/>
          <w:iCs w:val="0"/>
          <w:color w:val="000000"/>
          <w:sz w:val="32"/>
          <w:szCs w:val="32"/>
          <w:highlight w:val="none"/>
        </w:rPr>
        <w:t>年重点工作完成情况</w:t>
      </w:r>
      <w:bookmarkEnd w:id="22"/>
      <w:bookmarkEnd w:id="23"/>
      <w:bookmarkEnd w:id="24"/>
      <w:bookmarkEnd w:id="25"/>
      <w:bookmarkEnd w:id="26"/>
    </w:p>
    <w:p w14:paraId="4EFC96DE">
      <w:pPr>
        <w:keepNext w:val="0"/>
        <w:keepLines w:val="0"/>
        <w:pageBreakBefore w:val="0"/>
        <w:widowControl w:val="0"/>
        <w:shd w:val="clear" w:color="auto" w:fill="FFFFFF"/>
        <w:kinsoku/>
        <w:wordWrap/>
        <w:overflowPunct w:val="0"/>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bookmarkStart w:id="27" w:name="_Toc15396601"/>
      <w:bookmarkStart w:id="28" w:name="_Toc27538"/>
      <w:bookmarkStart w:id="29" w:name="_Toc79163855"/>
      <w:bookmarkStart w:id="30" w:name="_Toc79163605"/>
      <w:bookmarkStart w:id="31" w:name="_Toc13488"/>
      <w:bookmarkStart w:id="32" w:name="_Toc15377200"/>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年，在</w:t>
      </w:r>
      <w:r>
        <w:rPr>
          <w:rFonts w:hint="eastAsia" w:ascii="仿宋_GB2312" w:hAnsi="仿宋_GB2312" w:eastAsia="仿宋_GB2312" w:cs="仿宋_GB2312"/>
          <w:color w:val="000000"/>
          <w:sz w:val="32"/>
          <w:szCs w:val="32"/>
          <w:lang w:eastAsia="zh-CN"/>
        </w:rPr>
        <w:t>县委县政府</w:t>
      </w:r>
      <w:r>
        <w:rPr>
          <w:rFonts w:hint="eastAsia" w:ascii="仿宋_GB2312" w:hAnsi="仿宋_GB2312" w:eastAsia="仿宋_GB2312" w:cs="仿宋_GB2312"/>
          <w:color w:val="000000"/>
          <w:sz w:val="32"/>
          <w:szCs w:val="32"/>
        </w:rPr>
        <w:t>的正确领导下，我中心紧扣县委县政府中心工作，严格按照中央八项规定及省委省政府十项规定要求，全力推进重点工作落实，全面提升公务服务工作效率，为全县经济社会发展提供了强有力的后勤保障。</w:t>
      </w:r>
    </w:p>
    <w:p w14:paraId="3943A17B">
      <w:pPr>
        <w:keepNext w:val="0"/>
        <w:keepLines w:val="0"/>
        <w:pageBreakBefore w:val="0"/>
        <w:widowControl w:val="0"/>
        <w:shd w:val="clear" w:color="auto" w:fill="FFFFFF"/>
        <w:kinsoku/>
        <w:wordWrap/>
        <w:overflowPunct w:val="0"/>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严把公务接待标准，</w:t>
      </w:r>
      <w:r>
        <w:rPr>
          <w:rFonts w:hint="eastAsia" w:ascii="仿宋_GB2312" w:hAnsi="仿宋_GB2312" w:eastAsia="仿宋_GB2312" w:cs="仿宋_GB2312"/>
          <w:b/>
          <w:bCs w:val="0"/>
          <w:kern w:val="0"/>
          <w:sz w:val="32"/>
          <w:szCs w:val="32"/>
          <w:highlight w:val="none"/>
          <w:shd w:val="clear" w:color="auto" w:fill="FFFFFF"/>
          <w:lang w:bidi="ar"/>
        </w:rPr>
        <w:t>提升公务接待</w:t>
      </w:r>
      <w:r>
        <w:rPr>
          <w:rFonts w:hint="eastAsia" w:ascii="仿宋_GB2312" w:hAnsi="仿宋_GB2312" w:eastAsia="仿宋_GB2312" w:cs="仿宋_GB2312"/>
          <w:b/>
          <w:bCs w:val="0"/>
          <w:kern w:val="0"/>
          <w:sz w:val="32"/>
          <w:szCs w:val="32"/>
          <w:highlight w:val="none"/>
          <w:shd w:val="clear" w:color="auto" w:fill="FFFFFF"/>
          <w:lang w:eastAsia="zh-CN" w:bidi="ar"/>
        </w:rPr>
        <w:t>服务质量</w:t>
      </w:r>
      <w:r>
        <w:rPr>
          <w:rFonts w:hint="eastAsia" w:ascii="仿宋_GB2312" w:hAnsi="仿宋_GB2312" w:eastAsia="仿宋_GB2312" w:cs="仿宋_GB2312"/>
          <w:b/>
          <w:bCs w:val="0"/>
          <w:kern w:val="0"/>
          <w:sz w:val="32"/>
          <w:szCs w:val="32"/>
          <w:highlight w:val="none"/>
          <w:shd w:val="clear" w:color="auto" w:fill="FFFFFF"/>
          <w:lang w:bidi="ar"/>
        </w:rPr>
        <w:t>。</w:t>
      </w:r>
      <w:r>
        <w:rPr>
          <w:rFonts w:hint="eastAsia" w:ascii="仿宋_GB2312" w:hAnsi="仿宋_GB2312" w:eastAsia="仿宋_GB2312" w:cs="仿宋_GB2312"/>
          <w:b/>
          <w:bCs/>
          <w:kern w:val="2"/>
          <w:sz w:val="32"/>
          <w:szCs w:val="32"/>
          <w:shd w:val="clear" w:color="auto" w:fill="FFFFFF"/>
          <w:lang w:val="en-US" w:eastAsia="zh-CN" w:bidi="ar-SA"/>
        </w:rPr>
        <w:t>一是</w:t>
      </w:r>
      <w:r>
        <w:rPr>
          <w:rFonts w:hint="eastAsia" w:ascii="仿宋_GB2312" w:hAnsi="仿宋_GB2312" w:eastAsia="仿宋_GB2312" w:cs="仿宋_GB2312"/>
          <w:kern w:val="2"/>
          <w:sz w:val="32"/>
          <w:szCs w:val="32"/>
          <w:shd w:val="clear" w:color="auto" w:fill="FFFFFF"/>
          <w:lang w:val="en-US" w:eastAsia="zh-CN" w:bidi="ar-SA"/>
        </w:rPr>
        <w:t>通部分人员参加州庆后勤保障工作学习了公务礼仪相关知识，通过阳光政务真情服务、精神面貌仪表仪态、注重政务接待细节等几个方面开展，从而提升公务接待能力。</w:t>
      </w:r>
      <w:r>
        <w:rPr>
          <w:rFonts w:hint="eastAsia" w:ascii="仿宋_GB2312" w:hAnsi="仿宋_GB2312" w:eastAsia="仿宋_GB2312" w:cs="仿宋_GB2312"/>
          <w:b/>
          <w:bCs/>
          <w:kern w:val="2"/>
          <w:sz w:val="32"/>
          <w:szCs w:val="32"/>
          <w:shd w:val="clear" w:color="auto" w:fill="FFFFFF"/>
          <w:lang w:val="en-US" w:eastAsia="zh-CN" w:bidi="ar-SA"/>
        </w:rPr>
        <w:t>二是</w:t>
      </w:r>
      <w:r>
        <w:rPr>
          <w:rFonts w:hint="eastAsia" w:ascii="仿宋_GB2312" w:hAnsi="仿宋_GB2312" w:eastAsia="仿宋_GB2312" w:cs="仿宋_GB2312"/>
          <w:kern w:val="2"/>
          <w:sz w:val="32"/>
          <w:szCs w:val="32"/>
          <w:shd w:val="clear" w:color="auto" w:fill="FFFFFF"/>
          <w:lang w:val="en-US" w:eastAsia="zh-CN" w:bidi="ar-SA"/>
        </w:rPr>
        <w:t>以“精、细、严、实”为标准，把零差错作为最高要求，通过挖掘历史文化渊源、突出民族地区特色、体现民族风情，贯穿公务接待活动始终，以“个性化”、“特色化”服务方式，做到各项安排契合来宾个性特征、符合来宾考察意图、有利来宾开展工作，让来宾高兴而来、满意而归。</w:t>
      </w:r>
    </w:p>
    <w:p w14:paraId="708F0C55">
      <w:pPr>
        <w:keepNext w:val="0"/>
        <w:keepLines w:val="0"/>
        <w:pageBreakBefore w:val="0"/>
        <w:numPr>
          <w:ilvl w:val="0"/>
          <w:numId w:val="0"/>
        </w:numPr>
        <w:shd w:val="clear" w:color="auto" w:fill="FFFFFF"/>
        <w:tabs>
          <w:tab w:val="left" w:pos="765"/>
        </w:tabs>
        <w:kinsoku/>
        <w:topLinePunct w:val="0"/>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highlight w:val="none"/>
        </w:rPr>
        <w:t>深化公务用车管理，提升我县公车保障力和节能标准化。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加强上级部门的沟通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按照相关制度及要求已开启了2022年州公车领导小组研究通过的6辆一般公务用车更新工作，通过县公车管理领导小组再次研究决定分2次进行购买工作</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val="en-US" w:eastAsia="zh-CN"/>
        </w:rPr>
        <w:t>上报了更新8辆一般公务用车，截止11月20日，州机关事务管理局公务用车管理科未回复</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val="en-US" w:eastAsia="zh-CN"/>
        </w:rPr>
        <w:t>签订壤塘县公务服务中心2023年节能合同管理项目；</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填报一年一报公务用车统计数据报送系统工作，完成节能票据系统第一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二、三</w:t>
      </w:r>
      <w:r>
        <w:rPr>
          <w:rFonts w:hint="eastAsia" w:ascii="仿宋_GB2312" w:hAnsi="仿宋_GB2312" w:eastAsia="仿宋_GB2312" w:cs="仿宋_GB2312"/>
          <w:sz w:val="32"/>
          <w:szCs w:val="32"/>
        </w:rPr>
        <w:t>季度的上报工作，完成率在全州名列前茅。</w:t>
      </w:r>
    </w:p>
    <w:p w14:paraId="7FEC5959">
      <w:pPr>
        <w:keepNext w:val="0"/>
        <w:keepLines w:val="0"/>
        <w:pageBreakBefore w:val="0"/>
        <w:numPr>
          <w:ilvl w:val="0"/>
          <w:numId w:val="0"/>
        </w:numPr>
        <w:shd w:val="clear" w:color="auto" w:fill="FFFFFF"/>
        <w:kinsoku/>
        <w:topLinePunct w:val="0"/>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2"/>
          <w:sz w:val="32"/>
          <w:szCs w:val="32"/>
          <w:highlight w:val="none"/>
        </w:rPr>
        <w:t>强化管理，有力推进后勤管理工作高效完成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加强对集中办公区、周转房、会议室用电设施设备运行管理和维修保养工作，强化四栋集中办公区日常卫生巡查等常规工作；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与物业公司签订安全生产责任书，压实工作责任，常态化开展集中办公区、周转房安全生产整治行动，努力做到让机关干部职工满意、称心。</w:t>
      </w:r>
    </w:p>
    <w:p w14:paraId="118B4BCF">
      <w:pPr>
        <w:shd w:val="clear" w:color="auto" w:fill="FFFFFF"/>
        <w:spacing w:line="560" w:lineRule="exact"/>
        <w:ind w:firstLine="640" w:firstLineChars="200"/>
        <w:rPr>
          <w:rFonts w:hint="eastAsia" w:ascii="仿宋_GB2312" w:hAnsi="仿宋_GB2312" w:eastAsia="仿宋_GB2312" w:cs="仿宋_GB2312"/>
          <w:sz w:val="32"/>
          <w:szCs w:val="32"/>
          <w:highlight w:val="none"/>
        </w:rPr>
      </w:pPr>
    </w:p>
    <w:p w14:paraId="63D4CFC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highlight w:val="none"/>
        </w:rPr>
        <w:t>规范管理，努力做到资产管理工作规范化、标准化。</w:t>
      </w:r>
      <w:r>
        <w:rPr>
          <w:rFonts w:hint="eastAsia" w:ascii="仿宋_GB2312" w:hAnsi="仿宋_GB2312" w:eastAsia="仿宋_GB2312" w:cs="仿宋_GB2312"/>
          <w:sz w:val="32"/>
          <w:szCs w:val="32"/>
        </w:rPr>
        <w:t>按时上报资产月报，完善固定资产使用卡片的完整性和准确性，规范固定资产管理，做实做细固定资产日常工作；</w:t>
      </w:r>
      <w:r>
        <w:rPr>
          <w:rFonts w:hint="eastAsia" w:ascii="仿宋_GB2312" w:hAnsi="仿宋_GB2312" w:eastAsia="仿宋_GB2312" w:cs="仿宋_GB2312"/>
          <w:color w:val="000000"/>
          <w:sz w:val="32"/>
          <w:szCs w:val="32"/>
        </w:rPr>
        <w:t>切实摸清了所管理的资产情况，对资产账目做好数据记录、对实体资产做到痕迹管理，及时掌握固定资产管理情况，准确反映固定资产状况，做到固定资产家底清、账实相符。</w:t>
      </w:r>
    </w:p>
    <w:p w14:paraId="06267897">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楷体_GB2312" w:hAnsi="楷体_GB2312" w:eastAsia="楷体_GB2312" w:cs="楷体_GB2312"/>
          <w:b/>
          <w:bCs w:val="0"/>
          <w:color w:val="000000"/>
          <w:sz w:val="32"/>
          <w:szCs w:val="32"/>
          <w:highlight w:val="none"/>
        </w:rPr>
      </w:pPr>
      <w:bookmarkStart w:id="33" w:name="_Toc4005"/>
      <w:r>
        <w:rPr>
          <w:rFonts w:hint="eastAsia" w:ascii="楷体_GB2312" w:hAnsi="楷体_GB2312" w:eastAsia="楷体_GB2312" w:cs="楷体_GB2312"/>
          <w:b/>
          <w:bCs w:val="0"/>
          <w:color w:val="000000"/>
          <w:sz w:val="32"/>
          <w:szCs w:val="32"/>
          <w:highlight w:val="none"/>
        </w:rPr>
        <w:t>二、机构设置</w:t>
      </w:r>
      <w:bookmarkEnd w:id="27"/>
      <w:bookmarkEnd w:id="28"/>
      <w:bookmarkEnd w:id="29"/>
      <w:bookmarkEnd w:id="30"/>
      <w:bookmarkEnd w:id="31"/>
      <w:bookmarkEnd w:id="32"/>
      <w:bookmarkEnd w:id="33"/>
    </w:p>
    <w:p w14:paraId="7B072395">
      <w:pPr>
        <w:pStyle w:val="6"/>
        <w:pageBreakBefore w:val="0"/>
        <w:shd w:val="clear" w:color="auto" w:fill="FFFFFF"/>
        <w:kinsoku/>
        <w:wordWrap/>
        <w:overflowPunct/>
        <w:topLinePunct w:val="0"/>
        <w:bidi w:val="0"/>
        <w:adjustRightInd w:val="0"/>
        <w:snapToGrid w:val="0"/>
        <w:spacing w:beforeLines="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bookmarkStart w:id="34" w:name="_Toc15378448"/>
      <w:bookmarkStart w:id="35" w:name="_Toc15377432"/>
      <w:bookmarkStart w:id="36" w:name="_Toc15377201"/>
      <w:bookmarkStart w:id="37" w:name="_Toc79163606"/>
      <w:bookmarkStart w:id="38" w:name="_Toc79163856"/>
      <w:bookmarkStart w:id="39" w:name="_Toc15306275"/>
      <w:r>
        <w:rPr>
          <w:rFonts w:hint="eastAsia" w:ascii="仿宋_GB2312" w:hAnsi="仿宋_GB2312" w:eastAsia="仿宋_GB2312" w:cs="仿宋_GB2312"/>
          <w:kern w:val="2"/>
          <w:sz w:val="32"/>
          <w:szCs w:val="32"/>
          <w:highlight w:val="none"/>
          <w:lang w:val="en-US" w:eastAsia="zh-CN" w:bidi="ar-SA"/>
        </w:rPr>
        <w:t>壤塘县公务服务中心下属二级单位0个，其中行政单位0个，参照公务员法管理的事业单位0个，其他事业单位</w:t>
      </w:r>
      <w:r>
        <w:rPr>
          <w:rFonts w:hint="eastAsia" w:hAnsi="仿宋_GB2312" w:cs="仿宋_GB2312"/>
          <w:kern w:val="2"/>
          <w:sz w:val="32"/>
          <w:szCs w:val="32"/>
          <w:highlight w:val="none"/>
          <w:lang w:val="en-US" w:eastAsia="zh-CN" w:bidi="ar-SA"/>
        </w:rPr>
        <w:t>0</w:t>
      </w:r>
      <w:r>
        <w:rPr>
          <w:rFonts w:hint="eastAsia" w:ascii="仿宋_GB2312" w:hAnsi="仿宋_GB2312" w:eastAsia="仿宋_GB2312" w:cs="仿宋_GB2312"/>
          <w:kern w:val="2"/>
          <w:sz w:val="32"/>
          <w:szCs w:val="32"/>
          <w:highlight w:val="none"/>
          <w:lang w:val="en-US" w:eastAsia="zh-CN" w:bidi="ar-SA"/>
        </w:rPr>
        <w:t>个。</w:t>
      </w:r>
      <w:bookmarkEnd w:id="34"/>
      <w:bookmarkEnd w:id="35"/>
      <w:bookmarkEnd w:id="36"/>
      <w:bookmarkEnd w:id="37"/>
      <w:bookmarkEnd w:id="38"/>
      <w:bookmarkEnd w:id="39"/>
      <w:bookmarkStart w:id="40" w:name="_Toc15377204"/>
      <w:bookmarkStart w:id="41" w:name="_Toc15396602"/>
      <w:bookmarkStart w:id="42" w:name="_Toc26363"/>
      <w:bookmarkStart w:id="43" w:name="_Toc79163609"/>
      <w:bookmarkStart w:id="44" w:name="_Toc5224"/>
      <w:bookmarkStart w:id="45" w:name="_Toc25128"/>
      <w:bookmarkStart w:id="46" w:name="_Toc79163859"/>
    </w:p>
    <w:p w14:paraId="2E30AAD6">
      <w:pPr>
        <w:pStyle w:val="7"/>
        <w:shd w:val="clear" w:color="auto" w:fill="FFFFFF"/>
        <w:rPr>
          <w:rFonts w:hint="eastAsia" w:ascii="仿宋_GB2312" w:hAnsi="仿宋_GB2312" w:eastAsia="仿宋_GB2312" w:cs="仿宋_GB2312"/>
          <w:kern w:val="2"/>
          <w:sz w:val="32"/>
          <w:szCs w:val="32"/>
          <w:highlight w:val="none"/>
          <w:lang w:val="en-US" w:eastAsia="zh-CN" w:bidi="ar-SA"/>
        </w:rPr>
      </w:pPr>
    </w:p>
    <w:p w14:paraId="32CCD82A">
      <w:pPr>
        <w:shd w:val="clear" w:color="auto" w:fill="FFFFFF"/>
        <w:rPr>
          <w:rFonts w:hint="eastAsia"/>
          <w:lang w:val="en-US" w:eastAsia="zh-CN"/>
        </w:rPr>
      </w:pPr>
    </w:p>
    <w:p w14:paraId="75FA596A">
      <w:pPr>
        <w:pStyle w:val="4"/>
        <w:pageBreakBefore w:val="0"/>
        <w:numPr>
          <w:ilvl w:val="0"/>
          <w:numId w:val="1"/>
        </w:numPr>
        <w:shd w:val="clear" w:color="auto" w:fill="FFFFFF"/>
        <w:kinsoku/>
        <w:wordWrap/>
        <w:overflowPunct/>
        <w:topLinePunct w:val="0"/>
        <w:bidi w:val="0"/>
        <w:spacing w:before="0" w:after="0" w:line="240" w:lineRule="auto"/>
        <w:ind w:right="440"/>
        <w:jc w:val="center"/>
        <w:textAlignment w:val="auto"/>
        <w:rPr>
          <w:rFonts w:hint="eastAsia" w:ascii="黑体" w:hAnsi="黑体" w:eastAsia="黑体" w:cs="黑体"/>
          <w:b/>
          <w:bCs/>
          <w:color w:val="000000"/>
          <w:sz w:val="32"/>
          <w:szCs w:val="32"/>
          <w:highlight w:val="none"/>
          <w:lang w:eastAsia="zh-CN"/>
        </w:rPr>
      </w:pPr>
      <w:bookmarkStart w:id="47" w:name="_Toc27318"/>
      <w:r>
        <w:rPr>
          <w:rStyle w:val="17"/>
          <w:rFonts w:hint="eastAsia" w:ascii="黑体" w:hAnsi="黑体" w:eastAsia="黑体" w:cs="黑体"/>
          <w:b/>
          <w:bCs/>
          <w:color w:val="000000"/>
          <w:sz w:val="32"/>
          <w:szCs w:val="32"/>
          <w:highlight w:val="none"/>
        </w:rPr>
        <w:t>202</w:t>
      </w:r>
      <w:r>
        <w:rPr>
          <w:rStyle w:val="17"/>
          <w:rFonts w:hint="default" w:ascii="黑体" w:hAnsi="黑体" w:eastAsia="黑体" w:cs="黑体"/>
          <w:b/>
          <w:bCs/>
          <w:color w:val="000000"/>
          <w:sz w:val="32"/>
          <w:szCs w:val="32"/>
          <w:highlight w:val="none"/>
          <w:lang w:val="en-US" w:eastAsia="zh-CN"/>
        </w:rPr>
        <w:t>3</w:t>
      </w:r>
      <w:r>
        <w:rPr>
          <w:rStyle w:val="17"/>
          <w:rFonts w:hint="eastAsia" w:ascii="黑体" w:hAnsi="黑体" w:eastAsia="黑体" w:cs="黑体"/>
          <w:b/>
          <w:bCs/>
          <w:color w:val="000000"/>
          <w:sz w:val="32"/>
          <w:szCs w:val="32"/>
          <w:highlight w:val="none"/>
        </w:rPr>
        <w:t>年度部门决算情况说明</w:t>
      </w:r>
      <w:bookmarkEnd w:id="40"/>
      <w:bookmarkEnd w:id="41"/>
      <w:bookmarkEnd w:id="42"/>
      <w:bookmarkEnd w:id="43"/>
      <w:bookmarkEnd w:id="44"/>
      <w:bookmarkEnd w:id="45"/>
      <w:bookmarkEnd w:id="46"/>
      <w:bookmarkEnd w:id="47"/>
      <w:bookmarkStart w:id="48" w:name="_Toc15377205"/>
      <w:bookmarkStart w:id="49" w:name="_Toc79163860"/>
      <w:bookmarkStart w:id="50" w:name="_Toc2405"/>
      <w:bookmarkStart w:id="51" w:name="_Toc15396603"/>
      <w:bookmarkStart w:id="52" w:name="_Toc79163610"/>
      <w:bookmarkStart w:id="53" w:name="_Toc28151"/>
    </w:p>
    <w:p w14:paraId="100030DC">
      <w:pPr>
        <w:shd w:val="clear" w:color="auto" w:fill="FFFFFF"/>
        <w:rPr>
          <w:rFonts w:hint="eastAsia"/>
          <w:color w:val="000000"/>
          <w:lang w:eastAsia="zh-CN"/>
        </w:rPr>
      </w:pPr>
    </w:p>
    <w:p w14:paraId="04E98B7D">
      <w:pPr>
        <w:shd w:val="clear" w:color="auto" w:fill="FFFFFF"/>
        <w:rPr>
          <w:rFonts w:hint="eastAsia"/>
          <w:color w:val="000000"/>
          <w:lang w:eastAsia="zh-CN"/>
        </w:rPr>
      </w:pPr>
    </w:p>
    <w:p w14:paraId="15F14757">
      <w:pPr>
        <w:pStyle w:val="5"/>
        <w:pageBreakBefore w:val="0"/>
        <w:shd w:val="clear" w:color="auto" w:fill="FFFFFF"/>
        <w:kinsoku/>
        <w:wordWrap/>
        <w:overflowPunct/>
        <w:topLinePunct w:val="0"/>
        <w:bidi w:val="0"/>
        <w:spacing w:before="0" w:after="0" w:line="560" w:lineRule="exact"/>
        <w:ind w:firstLine="321" w:firstLineChars="100"/>
        <w:textAlignment w:val="auto"/>
        <w:rPr>
          <w:rFonts w:hint="eastAsia" w:ascii="黑体" w:hAnsi="黑体" w:eastAsia="黑体" w:cs="黑体"/>
          <w:b/>
          <w:bCs w:val="0"/>
          <w:color w:val="000000"/>
          <w:sz w:val="32"/>
          <w:szCs w:val="32"/>
          <w:highlight w:val="none"/>
        </w:rPr>
      </w:pPr>
      <w:bookmarkStart w:id="54" w:name="_Toc21992"/>
      <w:r>
        <w:rPr>
          <w:rFonts w:hint="eastAsia" w:ascii="黑体" w:hAnsi="黑体" w:eastAsia="黑体" w:cs="黑体"/>
          <w:b/>
          <w:bCs w:val="0"/>
          <w:color w:val="000000"/>
          <w:sz w:val="32"/>
          <w:szCs w:val="32"/>
          <w:highlight w:val="none"/>
          <w:lang w:eastAsia="zh-CN"/>
        </w:rPr>
        <w:t>一、</w:t>
      </w:r>
      <w:r>
        <w:rPr>
          <w:rFonts w:hint="eastAsia" w:ascii="黑体" w:hAnsi="黑体" w:eastAsia="黑体" w:cs="黑体"/>
          <w:b/>
          <w:bCs w:val="0"/>
          <w:color w:val="000000"/>
          <w:sz w:val="32"/>
          <w:szCs w:val="32"/>
          <w:highlight w:val="none"/>
        </w:rPr>
        <w:t>收入支出决算总体情况说明</w:t>
      </w:r>
      <w:bookmarkEnd w:id="48"/>
      <w:bookmarkEnd w:id="49"/>
      <w:bookmarkEnd w:id="50"/>
      <w:bookmarkEnd w:id="51"/>
      <w:bookmarkEnd w:id="52"/>
      <w:bookmarkEnd w:id="53"/>
      <w:bookmarkEnd w:id="54"/>
    </w:p>
    <w:p w14:paraId="3CF817B5">
      <w:pPr>
        <w:shd w:val="clear" w:color="auto" w:fill="FFFFFF"/>
        <w:spacing w:line="600" w:lineRule="exact"/>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年度收</w:t>
      </w:r>
      <w:r>
        <w:rPr>
          <w:rFonts w:hint="eastAsia" w:ascii="仿宋_GB2312" w:hAnsi="仿宋_GB2312" w:eastAsia="仿宋_GB2312" w:cs="仿宋_GB2312"/>
          <w:color w:val="000000"/>
          <w:sz w:val="32"/>
          <w:szCs w:val="32"/>
          <w:highlight w:val="none"/>
          <w:lang w:eastAsia="zh-CN"/>
        </w:rPr>
        <w:t>入总计</w:t>
      </w:r>
      <w:r>
        <w:rPr>
          <w:rFonts w:hint="default" w:ascii="仿宋_GB2312" w:hAnsi="仿宋_GB2312" w:eastAsia="仿宋_GB2312" w:cs="仿宋_GB2312"/>
          <w:color w:val="000000"/>
          <w:sz w:val="32"/>
          <w:szCs w:val="32"/>
          <w:highlight w:val="none"/>
          <w:lang w:val="en-US" w:eastAsia="zh-CN"/>
        </w:rPr>
        <w:t>817.16</w:t>
      </w:r>
      <w:r>
        <w:rPr>
          <w:rFonts w:hint="eastAsia" w:ascii="仿宋_GB2312" w:hAnsi="仿宋_GB2312" w:eastAsia="仿宋_GB2312" w:cs="仿宋_GB2312"/>
          <w:color w:val="000000"/>
          <w:sz w:val="32"/>
          <w:szCs w:val="32"/>
          <w:highlight w:val="none"/>
        </w:rPr>
        <w:t>万元、支</w:t>
      </w:r>
      <w:r>
        <w:rPr>
          <w:rFonts w:hint="eastAsia" w:ascii="仿宋_GB2312" w:hAnsi="仿宋_GB2312" w:eastAsia="仿宋_GB2312" w:cs="仿宋_GB2312"/>
          <w:color w:val="000000"/>
          <w:sz w:val="32"/>
          <w:szCs w:val="32"/>
          <w:highlight w:val="none"/>
          <w:lang w:eastAsia="zh-CN"/>
        </w:rPr>
        <w:t>出</w:t>
      </w:r>
      <w:r>
        <w:rPr>
          <w:rFonts w:hint="eastAsia" w:ascii="仿宋_GB2312" w:hAnsi="仿宋_GB2312" w:eastAsia="仿宋_GB2312" w:cs="仿宋_GB2312"/>
          <w:color w:val="000000"/>
          <w:sz w:val="32"/>
          <w:szCs w:val="32"/>
          <w:highlight w:val="none"/>
        </w:rPr>
        <w:t>总计</w:t>
      </w:r>
      <w:r>
        <w:rPr>
          <w:rFonts w:hint="default" w:ascii="仿宋_GB2312" w:hAnsi="仿宋_GB2312" w:eastAsia="仿宋_GB2312" w:cs="仿宋_GB2312"/>
          <w:color w:val="000000"/>
          <w:sz w:val="32"/>
          <w:szCs w:val="32"/>
          <w:highlight w:val="none"/>
          <w:lang w:val="en-US" w:eastAsia="zh-CN"/>
        </w:rPr>
        <w:t>817.16</w:t>
      </w:r>
      <w:r>
        <w:rPr>
          <w:rFonts w:hint="eastAsia" w:ascii="仿宋_GB2312" w:hAnsi="仿宋_GB2312" w:eastAsia="仿宋_GB2312" w:cs="仿宋_GB2312"/>
          <w:color w:val="000000"/>
          <w:sz w:val="32"/>
          <w:szCs w:val="32"/>
          <w:highlight w:val="none"/>
        </w:rPr>
        <w:t>万元。与20</w:t>
      </w: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年相比，收</w:t>
      </w:r>
      <w:r>
        <w:rPr>
          <w:rFonts w:hint="eastAsia" w:ascii="仿宋_GB2312" w:hAnsi="仿宋_GB2312" w:eastAsia="仿宋_GB2312" w:cs="仿宋_GB2312"/>
          <w:color w:val="000000"/>
          <w:sz w:val="32"/>
          <w:szCs w:val="32"/>
          <w:highlight w:val="none"/>
          <w:lang w:eastAsia="zh-CN"/>
        </w:rPr>
        <w:t>入</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w:t>
      </w:r>
      <w:r>
        <w:rPr>
          <w:rFonts w:hint="eastAsia" w:ascii="仿宋_GB2312" w:hAnsi="仿宋_GB2312" w:eastAsia="仿宋_GB2312" w:cs="仿宋_GB2312"/>
          <w:color w:val="000000"/>
          <w:sz w:val="32"/>
          <w:szCs w:val="32"/>
          <w:highlight w:val="none"/>
          <w:lang w:eastAsia="zh-CN"/>
        </w:rPr>
        <w:t>出</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收</w:t>
      </w:r>
      <w:r>
        <w:rPr>
          <w:rFonts w:hint="eastAsia" w:ascii="仿宋_GB2312" w:hAnsi="仿宋_GB2312" w:eastAsia="仿宋_GB2312" w:cs="仿宋_GB2312"/>
          <w:color w:val="000000"/>
          <w:sz w:val="32"/>
          <w:szCs w:val="32"/>
          <w:highlight w:val="none"/>
          <w:lang w:eastAsia="zh-CN"/>
        </w:rPr>
        <w:t>入</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6.65%、</w:t>
      </w:r>
      <w:r>
        <w:rPr>
          <w:rFonts w:hint="eastAsia" w:ascii="仿宋_GB2312" w:hAnsi="仿宋_GB2312" w:eastAsia="仿宋_GB2312" w:cs="仿宋_GB2312"/>
          <w:color w:val="000000"/>
          <w:sz w:val="32"/>
          <w:szCs w:val="32"/>
          <w:highlight w:val="none"/>
        </w:rPr>
        <w:t>支</w:t>
      </w:r>
      <w:r>
        <w:rPr>
          <w:rFonts w:hint="eastAsia" w:ascii="仿宋_GB2312" w:hAnsi="仿宋_GB2312" w:eastAsia="仿宋_GB2312" w:cs="仿宋_GB2312"/>
          <w:color w:val="000000"/>
          <w:sz w:val="32"/>
          <w:szCs w:val="32"/>
          <w:highlight w:val="none"/>
          <w:lang w:eastAsia="zh-CN"/>
        </w:rPr>
        <w:t>出</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6.65%</w:t>
      </w:r>
      <w:r>
        <w:rPr>
          <w:rFonts w:hint="eastAsia" w:ascii="仿宋_GB2312" w:hAnsi="仿宋_GB2312" w:eastAsia="仿宋_GB2312" w:cs="仿宋_GB2312"/>
          <w:color w:val="000000"/>
          <w:sz w:val="32"/>
          <w:szCs w:val="32"/>
          <w:highlight w:val="none"/>
        </w:rPr>
        <w:t>。主要变动原因是</w:t>
      </w:r>
      <w:r>
        <w:rPr>
          <w:rFonts w:hint="eastAsia" w:ascii="仿宋_GB2312" w:hAnsi="仿宋_GB2312" w:eastAsia="仿宋_GB2312" w:cs="仿宋_GB2312"/>
          <w:color w:val="000000"/>
          <w:kern w:val="2"/>
          <w:sz w:val="32"/>
          <w:szCs w:val="32"/>
          <w:highlight w:val="none"/>
          <w:lang w:val="en-US" w:eastAsia="zh-CN" w:bidi="ar-SA"/>
        </w:rPr>
        <w:t>本年人员变动人员经费及日常公用经费与上年相比</w:t>
      </w:r>
      <w:r>
        <w:rPr>
          <w:rFonts w:hint="eastAsia" w:ascii="仿宋_GB2312" w:hAnsi="仿宋_GB2312" w:eastAsia="仿宋_GB2312" w:cs="仿宋_GB2312"/>
          <w:color w:val="000000"/>
          <w:sz w:val="32"/>
          <w:szCs w:val="32"/>
          <w:highlight w:val="none"/>
        </w:rPr>
        <w:t>有</w:t>
      </w:r>
      <w:r>
        <w:rPr>
          <w:rFonts w:hint="eastAsia" w:ascii="仿宋_GB2312" w:hAnsi="仿宋_GB2312" w:eastAsia="仿宋_GB2312" w:cs="仿宋_GB2312"/>
          <w:color w:val="000000"/>
          <w:kern w:val="2"/>
          <w:sz w:val="32"/>
          <w:szCs w:val="32"/>
          <w:highlight w:val="none"/>
          <w:lang w:val="en-US" w:eastAsia="zh-CN" w:bidi="ar-SA"/>
        </w:rPr>
        <w:t>所下降，项目实施数与上年相比也</w:t>
      </w:r>
      <w:r>
        <w:rPr>
          <w:rFonts w:hint="eastAsia" w:ascii="仿宋_GB2312" w:hAnsi="仿宋_GB2312" w:eastAsia="仿宋_GB2312" w:cs="仿宋_GB2312"/>
          <w:color w:val="000000"/>
          <w:sz w:val="32"/>
          <w:szCs w:val="32"/>
          <w:highlight w:val="none"/>
        </w:rPr>
        <w:t>有</w:t>
      </w:r>
      <w:r>
        <w:rPr>
          <w:rFonts w:hint="eastAsia" w:ascii="仿宋_GB2312" w:hAnsi="仿宋_GB2312" w:eastAsia="仿宋_GB2312" w:cs="仿宋_GB2312"/>
          <w:color w:val="000000"/>
          <w:kern w:val="2"/>
          <w:sz w:val="32"/>
          <w:szCs w:val="32"/>
          <w:highlight w:val="none"/>
          <w:lang w:val="en-US" w:eastAsia="zh-CN" w:bidi="ar-SA"/>
        </w:rPr>
        <w:t>所下降。</w:t>
      </w:r>
    </w:p>
    <w:p w14:paraId="0BA03255">
      <w:pPr>
        <w:pStyle w:val="2"/>
        <w:shd w:val="clear" w:color="auto" w:fill="FFFFFF"/>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object>
          <v:shape id="_x0000_i1025" o:spt="75" type="#_x0000_t75" style="height:170.65pt;width:311.95pt;" o:ole="t" filled="f" o:preferrelative="t" stroked="f" coordsize="21600,21600">
            <v:path/>
            <v:fill on="f" focussize="0,0"/>
            <v:stroke on="f"/>
            <v:imagedata r:id="rId12" o:title=""/>
            <o:lock v:ext="edit" aspectratio="t"/>
            <w10:wrap type="none"/>
            <w10:anchorlock/>
          </v:shape>
          <o:OLEObject Type="Embed" ProgID="Excel.Chart.8" ShapeID="_x0000_i1025" DrawAspect="Content" ObjectID="_1468075725" r:id="rId11">
            <o:LockedField>false</o:LockedField>
          </o:OLEObject>
        </w:object>
      </w:r>
    </w:p>
    <w:p w14:paraId="2EF05A3C">
      <w:pPr>
        <w:pStyle w:val="2"/>
        <w:shd w:val="clear" w:color="auto" w:fill="FFFFFF"/>
        <w:rPr>
          <w:rFonts w:hint="eastAsia" w:ascii="仿宋_GB2312" w:hAnsi="仿宋_GB2312" w:eastAsia="仿宋_GB2312" w:cs="仿宋_GB2312"/>
          <w:sz w:val="32"/>
          <w:szCs w:val="32"/>
          <w:highlight w:val="none"/>
          <w:lang w:val="en-US" w:eastAsia="zh-CN"/>
        </w:rPr>
      </w:pPr>
    </w:p>
    <w:p w14:paraId="2142F5A3">
      <w:pPr>
        <w:shd w:val="clear" w:color="auto" w:fill="FFFFFF"/>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CB4BCC1">
      <w:pPr>
        <w:pStyle w:val="2"/>
        <w:rPr>
          <w:rFonts w:hint="eastAsia"/>
          <w:lang w:val="en-US" w:eastAsia="zh-CN"/>
        </w:rPr>
      </w:pPr>
    </w:p>
    <w:p w14:paraId="48FAAA9B">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55" w:name="_Toc15396604"/>
      <w:bookmarkStart w:id="56" w:name="_Toc4888"/>
      <w:bookmarkStart w:id="57" w:name="_Toc14743"/>
      <w:bookmarkStart w:id="58" w:name="_Toc79163611"/>
      <w:bookmarkStart w:id="59" w:name="_Toc15377206"/>
      <w:bookmarkStart w:id="60" w:name="_Toc7967"/>
      <w:bookmarkStart w:id="61" w:name="_Toc79163861"/>
      <w:r>
        <w:rPr>
          <w:rFonts w:hint="eastAsia" w:ascii="黑体" w:hAnsi="黑体" w:eastAsia="黑体" w:cs="黑体"/>
          <w:b/>
          <w:bCs w:val="0"/>
          <w:color w:val="000000"/>
          <w:sz w:val="32"/>
          <w:szCs w:val="32"/>
          <w:highlight w:val="none"/>
          <w:lang w:eastAsia="zh-CN"/>
        </w:rPr>
        <w:t>二、收入决算情况说明</w:t>
      </w:r>
      <w:bookmarkEnd w:id="55"/>
      <w:bookmarkEnd w:id="56"/>
      <w:bookmarkEnd w:id="57"/>
      <w:bookmarkEnd w:id="58"/>
      <w:bookmarkEnd w:id="59"/>
      <w:bookmarkEnd w:id="60"/>
      <w:bookmarkEnd w:id="61"/>
    </w:p>
    <w:p w14:paraId="06A7A0AE">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年本年收入合计</w:t>
      </w:r>
      <w:r>
        <w:rPr>
          <w:rFonts w:hint="eastAsia" w:ascii="仿宋_GB2312" w:hAnsi="仿宋_GB2312" w:eastAsia="仿宋_GB2312" w:cs="仿宋_GB2312"/>
          <w:sz w:val="32"/>
          <w:szCs w:val="32"/>
          <w:highlight w:val="none"/>
          <w:lang w:val="en-US" w:eastAsia="zh-CN"/>
        </w:rPr>
        <w:t>817.16</w:t>
      </w:r>
      <w:r>
        <w:rPr>
          <w:rFonts w:hint="eastAsia" w:ascii="仿宋_GB2312" w:hAnsi="仿宋_GB2312" w:eastAsia="仿宋_GB2312" w:cs="仿宋_GB2312"/>
          <w:kern w:val="2"/>
          <w:sz w:val="32"/>
          <w:szCs w:val="32"/>
          <w:highlight w:val="none"/>
          <w:lang w:val="en-US" w:eastAsia="zh-CN" w:bidi="ar-SA"/>
        </w:rPr>
        <w:t>万</w:t>
      </w:r>
      <w:r>
        <w:rPr>
          <w:rFonts w:hint="eastAsia" w:ascii="仿宋_GB2312" w:hAnsi="仿宋_GB2312" w:eastAsia="仿宋_GB2312" w:cs="仿宋_GB2312"/>
          <w:sz w:val="32"/>
          <w:szCs w:val="32"/>
          <w:highlight w:val="none"/>
        </w:rPr>
        <w:t>，其中：一般公共预算财政拨款收入</w:t>
      </w:r>
      <w:r>
        <w:rPr>
          <w:rFonts w:hint="eastAsia" w:ascii="仿宋_GB2312" w:hAnsi="仿宋_GB2312" w:eastAsia="仿宋_GB2312" w:cs="仿宋_GB2312"/>
          <w:sz w:val="32"/>
          <w:szCs w:val="32"/>
          <w:highlight w:val="none"/>
          <w:lang w:val="en-US" w:eastAsia="zh-CN"/>
        </w:rPr>
        <w:t>817.16</w:t>
      </w:r>
      <w:r>
        <w:rPr>
          <w:rFonts w:hint="eastAsia" w:ascii="仿宋_GB2312" w:hAnsi="仿宋_GB2312" w:eastAsia="仿宋_GB2312" w:cs="仿宋_GB2312"/>
          <w:kern w:val="2"/>
          <w:sz w:val="32"/>
          <w:szCs w:val="32"/>
          <w:highlight w:val="none"/>
          <w:lang w:val="en-US" w:eastAsia="zh-CN" w:bidi="ar-SA"/>
        </w:rPr>
        <w:t>万</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%；政府性基金预算财政拨款收入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w:t>
      </w:r>
    </w:p>
    <w:p w14:paraId="795E0B5E">
      <w:pPr>
        <w:pStyle w:val="2"/>
        <w:rPr>
          <w:rFonts w:hint="eastAsia"/>
        </w:rPr>
      </w:pPr>
      <w:r>
        <w:drawing>
          <wp:anchor distT="0" distB="0" distL="114300" distR="114300" simplePos="0" relativeHeight="251660288" behindDoc="0" locked="0" layoutInCell="1" allowOverlap="1">
            <wp:simplePos x="0" y="0"/>
            <wp:positionH relativeFrom="column">
              <wp:posOffset>654050</wp:posOffset>
            </wp:positionH>
            <wp:positionV relativeFrom="paragraph">
              <wp:posOffset>102870</wp:posOffset>
            </wp:positionV>
            <wp:extent cx="4772660" cy="2485390"/>
            <wp:effectExtent l="0" t="0" r="8890" b="1016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a:stretch>
                      <a:fillRect/>
                    </a:stretch>
                  </pic:blipFill>
                  <pic:spPr>
                    <a:xfrm>
                      <a:off x="0" y="0"/>
                      <a:ext cx="4772660" cy="2485390"/>
                    </a:xfrm>
                    <a:prstGeom prst="rect">
                      <a:avLst/>
                    </a:prstGeom>
                    <a:noFill/>
                    <a:ln>
                      <a:noFill/>
                    </a:ln>
                  </pic:spPr>
                </pic:pic>
              </a:graphicData>
            </a:graphic>
          </wp:anchor>
        </w:drawing>
      </w:r>
    </w:p>
    <w:p w14:paraId="58901FA0">
      <w:pPr>
        <w:pStyle w:val="2"/>
        <w:rPr>
          <w:rFonts w:hint="eastAsia" w:ascii="仿宋_GB2312" w:hAnsi="仿宋_GB2312" w:eastAsia="仿宋_GB2312" w:cs="仿宋_GB2312"/>
          <w:sz w:val="32"/>
          <w:szCs w:val="32"/>
          <w:highlight w:val="none"/>
        </w:rPr>
      </w:pPr>
    </w:p>
    <w:p w14:paraId="7727B875">
      <w:pPr>
        <w:pStyle w:val="2"/>
        <w:rPr>
          <w:rFonts w:hint="eastAsia" w:ascii="仿宋_GB2312" w:hAnsi="仿宋_GB2312" w:eastAsia="仿宋_GB2312" w:cs="仿宋_GB2312"/>
          <w:sz w:val="32"/>
          <w:szCs w:val="32"/>
          <w:highlight w:val="none"/>
        </w:rPr>
      </w:pPr>
    </w:p>
    <w:p w14:paraId="7BEFAF96">
      <w:pPr>
        <w:pStyle w:val="2"/>
        <w:rPr>
          <w:rFonts w:hint="eastAsia" w:ascii="仿宋_GB2312" w:hAnsi="仿宋_GB2312" w:eastAsia="仿宋_GB2312" w:cs="仿宋_GB2312"/>
          <w:sz w:val="32"/>
          <w:szCs w:val="32"/>
          <w:highlight w:val="none"/>
        </w:rPr>
      </w:pPr>
    </w:p>
    <w:p w14:paraId="5FB8A25D">
      <w:pPr>
        <w:pageBreakBefore w:val="0"/>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FF0000"/>
          <w:sz w:val="32"/>
          <w:szCs w:val="32"/>
          <w:highlight w:val="none"/>
        </w:rPr>
      </w:pPr>
    </w:p>
    <w:p w14:paraId="68C60312">
      <w:pPr>
        <w:pStyle w:val="6"/>
        <w:pageBreakBefore w:val="0"/>
        <w:shd w:val="clear" w:color="auto" w:fill="FFFFFF"/>
        <w:kinsoku/>
        <w:wordWrap/>
        <w:overflowPunct/>
        <w:topLinePunct w:val="0"/>
        <w:bidi w:val="0"/>
        <w:spacing w:beforeLines="0" w:line="560" w:lineRule="exact"/>
        <w:textAlignment w:val="auto"/>
        <w:rPr>
          <w:rFonts w:hint="eastAsia" w:ascii="仿宋_GB2312" w:hAnsi="仿宋_GB2312" w:eastAsia="仿宋_GB2312" w:cs="仿宋_GB2312"/>
          <w:color w:val="FF0000"/>
          <w:sz w:val="32"/>
          <w:szCs w:val="32"/>
          <w:highlight w:val="none"/>
        </w:rPr>
      </w:pPr>
    </w:p>
    <w:p w14:paraId="54F26B7D">
      <w:pPr>
        <w:pStyle w:val="7"/>
        <w:pageBreakBefore w:val="0"/>
        <w:shd w:val="clear" w:color="auto" w:fill="FFFFFF"/>
        <w:kinsoku/>
        <w:wordWrap/>
        <w:overflowPunct/>
        <w:topLinePunct w:val="0"/>
        <w:bidi w:val="0"/>
        <w:spacing w:line="560" w:lineRule="exact"/>
        <w:textAlignment w:val="auto"/>
        <w:rPr>
          <w:rFonts w:hint="eastAsia" w:ascii="仿宋_GB2312" w:hAnsi="仿宋_GB2312" w:eastAsia="仿宋_GB2312" w:cs="仿宋_GB2312"/>
          <w:color w:val="FF0000"/>
          <w:sz w:val="32"/>
          <w:szCs w:val="32"/>
          <w:highlight w:val="none"/>
        </w:rPr>
      </w:pPr>
    </w:p>
    <w:p w14:paraId="2BD22151">
      <w:pPr>
        <w:pageBreakBefore w:val="0"/>
        <w:shd w:val="clear" w:color="auto" w:fill="FFFFFF"/>
        <w:kinsoku/>
        <w:wordWrap/>
        <w:overflowPunct/>
        <w:topLinePunct w:val="0"/>
        <w:bidi w:val="0"/>
        <w:spacing w:line="560" w:lineRule="exact"/>
        <w:textAlignment w:val="auto"/>
        <w:rPr>
          <w:rFonts w:hint="eastAsia" w:ascii="仿宋_GB2312" w:hAnsi="仿宋_GB2312" w:eastAsia="仿宋_GB2312" w:cs="仿宋_GB2312"/>
          <w:color w:val="FF0000"/>
          <w:sz w:val="32"/>
          <w:szCs w:val="32"/>
          <w:highlight w:val="none"/>
        </w:rPr>
      </w:pPr>
    </w:p>
    <w:p w14:paraId="4739E2F6">
      <w:pPr>
        <w:pageBreakBefore w:val="0"/>
        <w:shd w:val="clear" w:color="auto" w:fill="FFFFFF"/>
        <w:kinsoku/>
        <w:wordWrap/>
        <w:overflowPunct/>
        <w:topLinePunct w:val="0"/>
        <w:bidi w:val="0"/>
        <w:spacing w:line="560" w:lineRule="exact"/>
        <w:jc w:val="both"/>
        <w:textAlignment w:val="auto"/>
        <w:rPr>
          <w:rFonts w:hint="eastAsia" w:ascii="仿宋_GB2312" w:hAnsi="仿宋_GB2312" w:eastAsia="仿宋_GB2312" w:cs="仿宋_GB2312"/>
          <w:color w:val="000000"/>
          <w:sz w:val="32"/>
          <w:szCs w:val="32"/>
          <w:highlight w:val="none"/>
        </w:rPr>
      </w:pPr>
    </w:p>
    <w:p w14:paraId="649E6534">
      <w:pPr>
        <w:pageBreakBefore w:val="0"/>
        <w:shd w:val="clear" w:color="auto" w:fill="FFFFFF"/>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（图2：收入决算结构图）（饼状图）</w:t>
      </w:r>
    </w:p>
    <w:p w14:paraId="03871540">
      <w:pPr>
        <w:pStyle w:val="2"/>
        <w:shd w:val="clear" w:color="auto" w:fill="FFFFFF"/>
        <w:rPr>
          <w:rFonts w:hint="eastAsia"/>
        </w:rPr>
      </w:pPr>
    </w:p>
    <w:p w14:paraId="63949CD5">
      <w:pPr>
        <w:pStyle w:val="2"/>
        <w:shd w:val="clear" w:color="auto" w:fill="FFFFFF"/>
        <w:rPr>
          <w:rFonts w:hint="eastAsia"/>
        </w:rPr>
      </w:pPr>
    </w:p>
    <w:p w14:paraId="3EE9BF5C">
      <w:pPr>
        <w:pStyle w:val="5"/>
        <w:pageBreakBefore w:val="0"/>
        <w:shd w:val="clear" w:color="auto" w:fill="FFFFFF"/>
        <w:kinsoku/>
        <w:wordWrap/>
        <w:overflowPunct/>
        <w:topLinePunct w:val="0"/>
        <w:bidi w:val="0"/>
        <w:spacing w:before="0" w:after="0" w:line="560" w:lineRule="exact"/>
        <w:textAlignment w:val="auto"/>
        <w:rPr>
          <w:rFonts w:hint="eastAsia" w:ascii="黑体" w:hAnsi="黑体" w:eastAsia="黑体" w:cs="黑体"/>
          <w:b/>
          <w:bCs w:val="0"/>
          <w:color w:val="000000"/>
          <w:sz w:val="32"/>
          <w:szCs w:val="32"/>
          <w:highlight w:val="none"/>
          <w:lang w:eastAsia="zh-CN"/>
        </w:rPr>
      </w:pPr>
      <w:bookmarkStart w:id="62" w:name="_Toc79163612"/>
      <w:bookmarkStart w:id="63" w:name="_Toc31356"/>
      <w:bookmarkStart w:id="64" w:name="_Toc79163862"/>
      <w:bookmarkStart w:id="65" w:name="_Toc15377207"/>
      <w:bookmarkStart w:id="66" w:name="_Toc15396605"/>
      <w:bookmarkStart w:id="67" w:name="_Toc30292"/>
      <w:bookmarkStart w:id="68" w:name="_Toc3948"/>
      <w:r>
        <w:rPr>
          <w:rFonts w:hint="eastAsia" w:ascii="黑体" w:hAnsi="黑体" w:eastAsia="黑体" w:cs="黑体"/>
          <w:b/>
          <w:bCs w:val="0"/>
          <w:color w:val="000000"/>
          <w:sz w:val="32"/>
          <w:szCs w:val="32"/>
          <w:highlight w:val="none"/>
          <w:lang w:eastAsia="zh-CN"/>
        </w:rPr>
        <w:t>三、支出决算情况说明</w:t>
      </w:r>
      <w:bookmarkEnd w:id="62"/>
      <w:bookmarkEnd w:id="63"/>
      <w:bookmarkEnd w:id="64"/>
      <w:bookmarkEnd w:id="65"/>
      <w:bookmarkEnd w:id="66"/>
      <w:bookmarkEnd w:id="67"/>
      <w:bookmarkEnd w:id="68"/>
    </w:p>
    <w:p w14:paraId="0B17C449">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年本年支出合计</w:t>
      </w:r>
      <w:r>
        <w:rPr>
          <w:rFonts w:hint="eastAsia" w:ascii="仿宋_GB2312" w:hAnsi="仿宋_GB2312" w:eastAsia="仿宋_GB2312" w:cs="仿宋_GB2312"/>
          <w:sz w:val="32"/>
          <w:szCs w:val="32"/>
          <w:highlight w:val="none"/>
          <w:lang w:val="en-US" w:eastAsia="zh-CN"/>
        </w:rPr>
        <w:t>817.16</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元，其中：基本支出</w:t>
      </w:r>
      <w:r>
        <w:rPr>
          <w:rFonts w:hint="eastAsia" w:ascii="仿宋_GB2312" w:hAnsi="仿宋_GB2312" w:eastAsia="仿宋_GB2312" w:cs="仿宋_GB2312"/>
          <w:sz w:val="32"/>
          <w:szCs w:val="32"/>
          <w:highlight w:val="none"/>
          <w:lang w:val="en-US" w:eastAsia="zh-CN"/>
        </w:rPr>
        <w:t>381.26</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46.66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435.89</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53.34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 xml:space="preserve">0 </w:t>
      </w:r>
      <w:r>
        <w:rPr>
          <w:rFonts w:hint="eastAsia" w:ascii="仿宋_GB2312" w:hAnsi="仿宋_GB2312" w:eastAsia="仿宋_GB2312" w:cs="仿宋_GB2312"/>
          <w:sz w:val="32"/>
          <w:szCs w:val="32"/>
          <w:highlight w:val="none"/>
        </w:rPr>
        <w:t>%。</w:t>
      </w:r>
    </w:p>
    <w:p w14:paraId="04B9E878">
      <w:pPr>
        <w:pageBreakBefore w:val="0"/>
        <w:shd w:val="clear" w:color="auto" w:fill="FFFFFF"/>
        <w:kinsoku/>
        <w:wordWrap/>
        <w:overflowPunct/>
        <w:topLinePunct w:val="0"/>
        <w:bidi w:val="0"/>
        <w:spacing w:line="560" w:lineRule="exact"/>
        <w:jc w:val="both"/>
        <w:textAlignment w:val="auto"/>
        <w:rPr>
          <w:rFonts w:hint="eastAsia" w:ascii="仿宋_GB2312" w:hAnsi="仿宋_GB2312" w:eastAsia="仿宋_GB2312" w:cs="仿宋_GB2312"/>
          <w:color w:val="000000"/>
          <w:sz w:val="32"/>
          <w:szCs w:val="32"/>
          <w:highlight w:val="none"/>
          <w:lang w:eastAsia="zh-CN"/>
        </w:rPr>
      </w:pPr>
    </w:p>
    <w:p w14:paraId="303D4334">
      <w:pPr>
        <w:pageBreakBefore w:val="0"/>
        <w:shd w:val="clear" w:color="auto" w:fill="FFFFFF"/>
        <w:kinsoku/>
        <w:wordWrap/>
        <w:overflowPunct/>
        <w:topLinePunct w:val="0"/>
        <w:bidi w:val="0"/>
        <w:spacing w:line="240" w:lineRule="auto"/>
        <w:ind w:firstLine="960" w:firstLineChars="3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object>
          <v:shape id="_x0000_i1026" o:spt="75" type="#_x0000_t75" style="height:199.15pt;width:299.1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6" r:id="rId14">
            <o:LockedField>false</o:LockedField>
          </o:OLEObject>
        </w:object>
      </w:r>
    </w:p>
    <w:p w14:paraId="40959DCC">
      <w:pPr>
        <w:pageBreakBefore w:val="0"/>
        <w:shd w:val="clear" w:color="auto" w:fill="FFFFFF"/>
        <w:kinsoku/>
        <w:wordWrap/>
        <w:overflowPunct/>
        <w:topLinePunct w:val="0"/>
        <w:bidi w:val="0"/>
        <w:spacing w:line="240" w:lineRule="auto"/>
        <w:ind w:firstLine="960" w:firstLineChars="3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（图3：支出决算结构图）（饼状图）</w:t>
      </w:r>
    </w:p>
    <w:p w14:paraId="7FE0AD6F">
      <w:pPr>
        <w:pageBreakBefore w:val="0"/>
        <w:shd w:val="clear" w:color="auto" w:fill="FFFFFF"/>
        <w:kinsoku/>
        <w:wordWrap/>
        <w:overflowPunct/>
        <w:topLinePunct w:val="0"/>
        <w:bidi w:val="0"/>
        <w:spacing w:line="560" w:lineRule="exact"/>
        <w:textAlignment w:val="auto"/>
        <w:rPr>
          <w:rFonts w:hint="eastAsia" w:ascii="仿宋_GB2312" w:hAnsi="仿宋_GB2312" w:eastAsia="仿宋_GB2312" w:cs="仿宋_GB2312"/>
          <w:color w:val="FF0000"/>
          <w:sz w:val="32"/>
          <w:szCs w:val="32"/>
          <w:highlight w:val="none"/>
        </w:rPr>
      </w:pPr>
    </w:p>
    <w:p w14:paraId="6A48B802">
      <w:pPr>
        <w:pStyle w:val="5"/>
        <w:pageBreakBefore w:val="0"/>
        <w:shd w:val="clear" w:color="auto" w:fill="FFFFFF"/>
        <w:kinsoku/>
        <w:wordWrap/>
        <w:overflowPunct/>
        <w:topLinePunct w:val="0"/>
        <w:bidi w:val="0"/>
        <w:spacing w:before="0" w:after="0" w:line="560" w:lineRule="exact"/>
        <w:ind w:firstLine="321" w:firstLineChars="100"/>
        <w:jc w:val="both"/>
        <w:textAlignment w:val="auto"/>
        <w:rPr>
          <w:rFonts w:hint="eastAsia" w:ascii="黑体" w:hAnsi="黑体" w:eastAsia="黑体" w:cs="黑体"/>
          <w:b/>
          <w:bCs w:val="0"/>
          <w:color w:val="000000"/>
          <w:sz w:val="32"/>
          <w:szCs w:val="32"/>
          <w:highlight w:val="none"/>
          <w:lang w:eastAsia="zh-CN"/>
        </w:rPr>
      </w:pPr>
      <w:bookmarkStart w:id="69" w:name="_Toc79163863"/>
      <w:bookmarkStart w:id="70" w:name="_Toc14202"/>
      <w:bookmarkStart w:id="71" w:name="_Toc15396606"/>
      <w:bookmarkStart w:id="72" w:name="_Toc15377208"/>
      <w:bookmarkStart w:id="73" w:name="_Toc79163613"/>
      <w:bookmarkStart w:id="74" w:name="_Toc31027"/>
      <w:bookmarkStart w:id="75" w:name="_Toc15208"/>
      <w:r>
        <w:rPr>
          <w:rFonts w:hint="eastAsia" w:ascii="黑体" w:hAnsi="黑体" w:eastAsia="黑体" w:cs="黑体"/>
          <w:b/>
          <w:bCs w:val="0"/>
          <w:color w:val="000000"/>
          <w:sz w:val="32"/>
          <w:szCs w:val="32"/>
          <w:highlight w:val="none"/>
          <w:lang w:eastAsia="zh-CN"/>
        </w:rPr>
        <w:t>四、财政拨款收入支出决算总体情况说明</w:t>
      </w:r>
      <w:bookmarkEnd w:id="69"/>
      <w:bookmarkEnd w:id="70"/>
      <w:bookmarkEnd w:id="71"/>
      <w:bookmarkEnd w:id="72"/>
      <w:bookmarkEnd w:id="73"/>
      <w:bookmarkEnd w:id="74"/>
      <w:bookmarkEnd w:id="75"/>
    </w:p>
    <w:p w14:paraId="71ADEBF6">
      <w:pPr>
        <w:shd w:val="clear" w:color="auto" w:fill="FFFFFF"/>
        <w:spacing w:line="600" w:lineRule="exact"/>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年财政拨款收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总计</w:t>
      </w:r>
      <w:r>
        <w:rPr>
          <w:rFonts w:hint="default" w:ascii="仿宋_GB2312" w:hAnsi="仿宋_GB2312" w:eastAsia="仿宋_GB2312" w:cs="仿宋_GB2312"/>
          <w:color w:val="auto"/>
          <w:sz w:val="32"/>
          <w:szCs w:val="32"/>
          <w:highlight w:val="none"/>
          <w:lang w:val="en-US" w:eastAsia="zh-CN"/>
        </w:rPr>
        <w:t>817.16</w:t>
      </w:r>
      <w:r>
        <w:rPr>
          <w:rFonts w:hint="eastAsia" w:ascii="仿宋_GB2312" w:hAnsi="仿宋_GB2312" w:eastAsia="仿宋_GB2312" w:cs="仿宋_GB2312"/>
          <w:color w:val="auto"/>
          <w:sz w:val="32"/>
          <w:szCs w:val="32"/>
          <w:highlight w:val="none"/>
        </w:rPr>
        <w:t>万元、支</w:t>
      </w:r>
      <w:r>
        <w:rPr>
          <w:rFonts w:hint="eastAsia" w:ascii="仿宋_GB2312" w:hAnsi="仿宋_GB2312" w:eastAsia="仿宋_GB2312" w:cs="仿宋_GB2312"/>
          <w:color w:val="auto"/>
          <w:sz w:val="32"/>
          <w:szCs w:val="32"/>
          <w:highlight w:val="none"/>
          <w:lang w:eastAsia="zh-CN"/>
        </w:rPr>
        <w:t>出</w:t>
      </w:r>
      <w:r>
        <w:rPr>
          <w:rFonts w:hint="eastAsia" w:ascii="仿宋_GB2312" w:hAnsi="仿宋_GB2312" w:eastAsia="仿宋_GB2312" w:cs="仿宋_GB2312"/>
          <w:color w:val="auto"/>
          <w:sz w:val="32"/>
          <w:szCs w:val="32"/>
          <w:highlight w:val="none"/>
        </w:rPr>
        <w:t>总计</w:t>
      </w:r>
      <w:r>
        <w:rPr>
          <w:rFonts w:hint="default" w:ascii="仿宋_GB2312" w:hAnsi="仿宋_GB2312" w:eastAsia="仿宋_GB2312" w:cs="仿宋_GB2312"/>
          <w:color w:val="auto"/>
          <w:sz w:val="32"/>
          <w:szCs w:val="32"/>
          <w:highlight w:val="none"/>
          <w:lang w:val="en-US" w:eastAsia="zh-CN"/>
        </w:rPr>
        <w:t>817.16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年相比，财政拨款收</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、支</w:t>
      </w:r>
      <w:r>
        <w:rPr>
          <w:rFonts w:hint="eastAsia" w:ascii="仿宋_GB2312" w:hAnsi="仿宋_GB2312" w:eastAsia="仿宋_GB2312" w:cs="仿宋_GB2312"/>
          <w:color w:val="auto"/>
          <w:sz w:val="32"/>
          <w:szCs w:val="32"/>
          <w:highlight w:val="none"/>
          <w:lang w:eastAsia="zh-CN"/>
        </w:rPr>
        <w:t>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140.09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各下降</w:t>
      </w:r>
      <w:r>
        <w:rPr>
          <w:rFonts w:hint="eastAsia" w:ascii="仿宋_GB2312" w:hAnsi="仿宋_GB2312" w:eastAsia="仿宋_GB2312" w:cs="仿宋_GB2312"/>
          <w:color w:val="auto"/>
          <w:sz w:val="32"/>
          <w:szCs w:val="32"/>
          <w:highlight w:val="none"/>
          <w:lang w:val="en-US" w:eastAsia="zh-CN"/>
        </w:rPr>
        <w:t>14.63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主要原因</w:t>
      </w:r>
      <w:r>
        <w:rPr>
          <w:rFonts w:hint="eastAsia" w:ascii="仿宋_GB2312" w:hAnsi="仿宋_GB2312" w:eastAsia="仿宋_GB2312" w:cs="仿宋_GB2312"/>
          <w:color w:val="000000"/>
          <w:kern w:val="2"/>
          <w:sz w:val="32"/>
          <w:szCs w:val="32"/>
          <w:highlight w:val="none"/>
          <w:lang w:val="en-US" w:eastAsia="zh-CN" w:bidi="ar-SA"/>
        </w:rPr>
        <w:t>本年人员变动人员经费及日常公用经费与上年相比</w:t>
      </w:r>
      <w:r>
        <w:rPr>
          <w:rFonts w:hint="eastAsia" w:ascii="仿宋_GB2312" w:hAnsi="仿宋_GB2312" w:eastAsia="仿宋_GB2312" w:cs="仿宋_GB2312"/>
          <w:color w:val="000000"/>
          <w:sz w:val="32"/>
          <w:szCs w:val="32"/>
          <w:highlight w:val="none"/>
        </w:rPr>
        <w:t>有</w:t>
      </w:r>
      <w:r>
        <w:rPr>
          <w:rFonts w:hint="eastAsia" w:ascii="仿宋_GB2312" w:hAnsi="仿宋_GB2312" w:eastAsia="仿宋_GB2312" w:cs="仿宋_GB2312"/>
          <w:color w:val="000000"/>
          <w:kern w:val="2"/>
          <w:sz w:val="32"/>
          <w:szCs w:val="32"/>
          <w:highlight w:val="none"/>
          <w:lang w:val="en-US" w:eastAsia="zh-CN" w:bidi="ar-SA"/>
        </w:rPr>
        <w:t>所下降，项目实施数与上年相比也</w:t>
      </w:r>
      <w:r>
        <w:rPr>
          <w:rFonts w:hint="eastAsia" w:ascii="仿宋_GB2312" w:hAnsi="仿宋_GB2312" w:eastAsia="仿宋_GB2312" w:cs="仿宋_GB2312"/>
          <w:color w:val="000000"/>
          <w:sz w:val="32"/>
          <w:szCs w:val="32"/>
          <w:highlight w:val="none"/>
        </w:rPr>
        <w:t>有</w:t>
      </w:r>
      <w:r>
        <w:rPr>
          <w:rFonts w:hint="eastAsia" w:ascii="仿宋_GB2312" w:hAnsi="仿宋_GB2312" w:eastAsia="仿宋_GB2312" w:cs="仿宋_GB2312"/>
          <w:color w:val="000000"/>
          <w:kern w:val="2"/>
          <w:sz w:val="32"/>
          <w:szCs w:val="32"/>
          <w:highlight w:val="none"/>
          <w:lang w:val="en-US" w:eastAsia="zh-CN" w:bidi="ar-SA"/>
        </w:rPr>
        <w:t>所下降。</w:t>
      </w:r>
    </w:p>
    <w:p w14:paraId="11FF169B">
      <w:pPr>
        <w:shd w:val="clear" w:color="auto" w:fill="FFFFFF"/>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（注：数据来源于财决01-1表）</w:t>
      </w:r>
    </w:p>
    <w:p w14:paraId="0A07EB70">
      <w:pPr>
        <w:pStyle w:val="2"/>
        <w:shd w:val="clear" w:color="auto" w:fill="FFFFFF"/>
        <w:ind w:left="0" w:leftChars="0" w:firstLine="0" w:firstLineChars="0"/>
        <w:rPr>
          <w:rFonts w:hint="eastAsia" w:ascii="仿宋_GB2312" w:hAnsi="仿宋_GB2312" w:eastAsia="仿宋_GB2312" w:cs="仿宋_GB2312"/>
          <w:b/>
          <w:bCs w:val="0"/>
          <w:color w:val="000000"/>
          <w:sz w:val="32"/>
          <w:szCs w:val="32"/>
          <w:highlight w:val="none"/>
          <w:lang w:eastAsia="zh-CN"/>
        </w:rPr>
      </w:pPr>
      <w:r>
        <w:rPr>
          <w:rFonts w:hint="eastAsia" w:eastAsia="仿宋_GB2312"/>
          <w:lang w:eastAsia="zh-CN"/>
        </w:rPr>
        <w:drawing>
          <wp:inline distT="0" distB="0" distL="114300" distR="114300">
            <wp:extent cx="5080000" cy="2499360"/>
            <wp:effectExtent l="0" t="0" r="6350" b="15240"/>
            <wp:docPr id="9" name="图片 3" descr="截图2024101409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截图20241014093615"/>
                    <pic:cNvPicPr>
                      <a:picLocks noChangeAspect="1"/>
                    </pic:cNvPicPr>
                  </pic:nvPicPr>
                  <pic:blipFill>
                    <a:blip r:embed="rId16"/>
                    <a:stretch>
                      <a:fillRect/>
                    </a:stretch>
                  </pic:blipFill>
                  <pic:spPr>
                    <a:xfrm>
                      <a:off x="0" y="0"/>
                      <a:ext cx="5080000" cy="2499360"/>
                    </a:xfrm>
                    <a:prstGeom prst="rect">
                      <a:avLst/>
                    </a:prstGeom>
                    <a:noFill/>
                    <a:ln>
                      <a:noFill/>
                    </a:ln>
                  </pic:spPr>
                </pic:pic>
              </a:graphicData>
            </a:graphic>
          </wp:inline>
        </w:drawing>
      </w:r>
      <w:r>
        <w:rPr>
          <w:rFonts w:hint="default" w:eastAsia="仿宋_GB2312"/>
          <w:lang w:val="en-US" w:eastAsia="zh-CN"/>
        </w:rPr>
        <w:t xml:space="preserve">    </w:t>
      </w:r>
      <w:r>
        <w:rPr>
          <w:rFonts w:hint="eastAsia" w:ascii="仿宋_GB2312" w:hAnsi="仿宋_GB2312" w:eastAsia="仿宋_GB2312" w:cs="仿宋_GB2312"/>
          <w:color w:val="000000"/>
          <w:sz w:val="32"/>
          <w:szCs w:val="32"/>
          <w:highlight w:val="none"/>
        </w:rPr>
        <w:t>（图4：财政拨款收、支决算总计变动情况）（柱状图）</w:t>
      </w:r>
      <w:bookmarkStart w:id="76" w:name="_Toc79163864"/>
      <w:bookmarkStart w:id="77" w:name="_Toc24843"/>
      <w:bookmarkStart w:id="78" w:name="_Toc15377209"/>
      <w:bookmarkStart w:id="79" w:name="_Toc12262"/>
      <w:bookmarkStart w:id="80" w:name="_Toc79163614"/>
      <w:bookmarkStart w:id="81" w:name="_Toc15396607"/>
    </w:p>
    <w:p w14:paraId="571B4914">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82" w:name="_Toc28728"/>
      <w:r>
        <w:rPr>
          <w:rFonts w:hint="eastAsia" w:ascii="黑体" w:hAnsi="黑体" w:eastAsia="黑体" w:cs="黑体"/>
          <w:b/>
          <w:bCs w:val="0"/>
          <w:color w:val="000000"/>
          <w:sz w:val="32"/>
          <w:szCs w:val="32"/>
          <w:highlight w:val="none"/>
          <w:lang w:eastAsia="zh-CN"/>
        </w:rPr>
        <w:t>五、一般公共预算财政拨款支出决算情况说明</w:t>
      </w:r>
      <w:bookmarkEnd w:id="76"/>
      <w:bookmarkEnd w:id="77"/>
      <w:bookmarkEnd w:id="78"/>
      <w:bookmarkEnd w:id="79"/>
      <w:bookmarkEnd w:id="80"/>
      <w:bookmarkEnd w:id="81"/>
      <w:bookmarkEnd w:id="82"/>
    </w:p>
    <w:p w14:paraId="272A350E">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rPr>
      </w:pPr>
      <w:bookmarkStart w:id="83" w:name="_Toc15377210"/>
      <w:bookmarkStart w:id="84" w:name="_Toc8827"/>
      <w:bookmarkStart w:id="85" w:name="_Toc79163615"/>
      <w:bookmarkStart w:id="86" w:name="_Toc79163865"/>
      <w:r>
        <w:rPr>
          <w:rFonts w:hint="eastAsia" w:ascii="楷体_GB2312" w:hAnsi="楷体_GB2312" w:eastAsia="楷体_GB2312" w:cs="楷体_GB2312"/>
          <w:b/>
          <w:color w:val="000000"/>
          <w:sz w:val="32"/>
          <w:szCs w:val="32"/>
          <w:highlight w:val="none"/>
        </w:rPr>
        <w:t>（一）一般公共预算财政拨款支出决算总体情况</w:t>
      </w:r>
      <w:bookmarkEnd w:id="83"/>
      <w:bookmarkEnd w:id="84"/>
      <w:bookmarkEnd w:id="85"/>
      <w:bookmarkEnd w:id="86"/>
    </w:p>
    <w:p w14:paraId="3A3C2541">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年一般公共预算财政拨款支出</w:t>
      </w:r>
      <w:r>
        <w:rPr>
          <w:rFonts w:hint="eastAsia" w:ascii="仿宋_GB2312" w:hAnsi="仿宋_GB2312" w:eastAsia="仿宋_GB2312" w:cs="仿宋_GB2312"/>
          <w:sz w:val="32"/>
          <w:szCs w:val="32"/>
          <w:highlight w:val="none"/>
          <w:lang w:val="en-US" w:eastAsia="zh-CN"/>
        </w:rPr>
        <w:t>817.16</w:t>
      </w:r>
      <w:r>
        <w:rPr>
          <w:rFonts w:hint="eastAsia" w:ascii="仿宋_GB2312" w:hAnsi="仿宋_GB2312" w:eastAsia="仿宋_GB2312" w:cs="仿宋_GB2312"/>
          <w:sz w:val="32"/>
          <w:szCs w:val="32"/>
          <w:highlight w:val="none"/>
        </w:rPr>
        <w:t>万元，占本年支出合计的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年同期数</w:t>
      </w:r>
      <w:r>
        <w:rPr>
          <w:rFonts w:hint="eastAsia" w:ascii="仿宋_GB2312" w:hAnsi="仿宋_GB2312" w:eastAsia="仿宋_GB2312" w:cs="仿宋_GB2312"/>
          <w:sz w:val="32"/>
          <w:szCs w:val="32"/>
          <w:highlight w:val="none"/>
          <w:lang w:val="en-US" w:eastAsia="zh-CN"/>
        </w:rPr>
        <w:t>957.25万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了</w:t>
      </w:r>
      <w:r>
        <w:rPr>
          <w:rFonts w:hint="eastAsia" w:ascii="仿宋_GB2312" w:hAnsi="仿宋_GB2312" w:eastAsia="仿宋_GB2312" w:cs="仿宋_GB2312"/>
          <w:sz w:val="32"/>
          <w:szCs w:val="32"/>
          <w:highlight w:val="none"/>
          <w:lang w:val="en-US" w:eastAsia="zh-CN"/>
        </w:rPr>
        <w:t>140.09</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，下降了</w:t>
      </w:r>
      <w:r>
        <w:rPr>
          <w:rFonts w:hint="eastAsia" w:ascii="仿宋_GB2312" w:hAnsi="仿宋_GB2312" w:eastAsia="仿宋_GB2312" w:cs="仿宋_GB2312"/>
          <w:sz w:val="32"/>
          <w:szCs w:val="32"/>
          <w:highlight w:val="none"/>
          <w:lang w:val="en-US" w:eastAsia="zh-CN"/>
        </w:rPr>
        <w:t>14.63%，</w:t>
      </w:r>
      <w:r>
        <w:rPr>
          <w:rFonts w:hint="eastAsia" w:ascii="仿宋_GB2312" w:hAnsi="仿宋_GB2312" w:eastAsia="仿宋_GB2312" w:cs="仿宋_GB2312"/>
          <w:sz w:val="32"/>
          <w:szCs w:val="32"/>
          <w:highlight w:val="none"/>
          <w:lang w:eastAsia="zh-CN"/>
        </w:rPr>
        <w:t>主要原因</w:t>
      </w:r>
      <w:r>
        <w:rPr>
          <w:rFonts w:hint="eastAsia" w:ascii="仿宋_GB2312" w:hAnsi="仿宋_GB2312" w:eastAsia="仿宋_GB2312" w:cs="仿宋_GB2312"/>
          <w:sz w:val="32"/>
          <w:szCs w:val="32"/>
          <w:highlight w:val="none"/>
          <w:lang w:val="en-US" w:eastAsia="zh-CN"/>
        </w:rPr>
        <w:t>本年人员变动人员经费及日常公用经费与上年相比</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所下降，项目实施数与上年相比也</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所下降。</w:t>
      </w:r>
    </w:p>
    <w:p w14:paraId="0A959EE4">
      <w:pPr>
        <w:shd w:val="clear" w:color="auto" w:fill="FFFFFF"/>
        <w:rPr>
          <w:rFonts w:hint="eastAsia" w:ascii="仿宋_GB2312" w:hAnsi="仿宋_GB2312" w:eastAsia="仿宋_GB2312" w:cs="仿宋_GB2312"/>
          <w:sz w:val="32"/>
          <w:szCs w:val="32"/>
          <w:highlight w:val="none"/>
          <w:lang w:eastAsia="zh-CN"/>
        </w:rPr>
      </w:pPr>
    </w:p>
    <w:p w14:paraId="01A88720">
      <w:pPr>
        <w:pStyle w:val="2"/>
        <w:shd w:val="clear" w:color="auto" w:fill="FFFFFF"/>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object>
          <v:shape id="_x0000_i1027" o:spt="75" type="#_x0000_t75" style="height:175.9pt;width:1204.45pt;" o:ole="t" filled="f" o:preferrelative="t" stroked="f" coordsize="21600,21600" o:gfxdata="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">
            <v:path/>
            <v:fill on="f" focussize="0,0"/>
            <v:stroke on="f"/>
            <v:imagedata r:id="rId18" o:title=""/>
            <o:lock v:ext="edit" aspectratio="f"/>
            <w10:wrap type="none"/>
            <w10:anchorlock/>
          </v:shape>
          <o:OLEObject Type="Embed" ProgID="excel.sheet.8" ShapeID="_x0000_i1027" DrawAspect="Content" ObjectID="_1468075727" r:id="rId17">
            <o:LockedField>false</o:LockedField>
          </o:OLEObject>
        </w:object>
      </w:r>
      <w:r>
        <w:rPr>
          <w:rFonts w:hint="eastAsia" w:ascii="仿宋_GB2312" w:hAnsi="仿宋_GB2312" w:eastAsia="仿宋_GB2312" w:cs="仿宋_GB2312"/>
          <w:color w:val="auto"/>
          <w:sz w:val="32"/>
          <w:szCs w:val="32"/>
        </w:rPr>
        <w:t>（图5：一般公共预算财政拨款支出决算变动情况）（柱状图）</w:t>
      </w:r>
    </w:p>
    <w:p w14:paraId="69D25F8E">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rPr>
      </w:pPr>
      <w:bookmarkStart w:id="87" w:name="_Toc79163616"/>
      <w:bookmarkStart w:id="88" w:name="_Toc15377211"/>
      <w:bookmarkStart w:id="89" w:name="_Toc18658"/>
      <w:bookmarkStart w:id="90" w:name="_Toc79163866"/>
      <w:r>
        <w:rPr>
          <w:rFonts w:hint="eastAsia" w:ascii="楷体_GB2312" w:hAnsi="楷体_GB2312" w:eastAsia="楷体_GB2312" w:cs="楷体_GB2312"/>
          <w:b/>
          <w:color w:val="000000"/>
          <w:sz w:val="32"/>
          <w:szCs w:val="32"/>
          <w:highlight w:val="none"/>
        </w:rPr>
        <w:t>（二）一般公共预算财政拨款支出决算结构情况</w:t>
      </w:r>
      <w:bookmarkEnd w:id="87"/>
      <w:bookmarkEnd w:id="88"/>
      <w:bookmarkEnd w:id="89"/>
      <w:bookmarkEnd w:id="90"/>
    </w:p>
    <w:p w14:paraId="5052EDEC">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年一般公共预算财政拨款支出</w:t>
      </w:r>
      <w:r>
        <w:rPr>
          <w:rFonts w:hint="eastAsia" w:ascii="仿宋_GB2312" w:hAnsi="仿宋_GB2312" w:eastAsia="仿宋_GB2312" w:cs="仿宋_GB2312"/>
          <w:sz w:val="32"/>
          <w:szCs w:val="32"/>
          <w:highlight w:val="none"/>
          <w:lang w:val="en-US" w:eastAsia="zh-CN"/>
        </w:rPr>
        <w:t>817.16</w:t>
      </w:r>
      <w:r>
        <w:rPr>
          <w:rFonts w:hint="eastAsia" w:ascii="仿宋_GB2312" w:hAnsi="仿宋_GB2312" w:eastAsia="仿宋_GB2312" w:cs="仿宋_GB2312"/>
          <w:sz w:val="32"/>
          <w:szCs w:val="32"/>
          <w:highlight w:val="none"/>
        </w:rPr>
        <w:t>万元，主要用于以下方面:一般公共服务支出支出</w:t>
      </w:r>
      <w:r>
        <w:rPr>
          <w:rFonts w:hint="eastAsia" w:ascii="仿宋_GB2312" w:hAnsi="仿宋_GB2312" w:eastAsia="仿宋_GB2312" w:cs="仿宋_GB2312"/>
          <w:sz w:val="32"/>
          <w:szCs w:val="32"/>
          <w:highlight w:val="none"/>
          <w:lang w:val="en-US" w:eastAsia="zh-CN"/>
        </w:rPr>
        <w:t>700.01万</w:t>
      </w:r>
      <w:r>
        <w:rPr>
          <w:rFonts w:hint="eastAsia" w:ascii="仿宋_GB2312" w:hAnsi="仿宋_GB2312" w:eastAsia="仿宋_GB2312" w:cs="仿宋_GB2312"/>
          <w:sz w:val="32"/>
          <w:szCs w:val="32"/>
          <w:highlight w:val="none"/>
        </w:rPr>
        <w:t>，占支出总额的</w:t>
      </w:r>
      <w:r>
        <w:rPr>
          <w:rFonts w:hint="eastAsia" w:ascii="仿宋_GB2312" w:hAnsi="仿宋_GB2312" w:eastAsia="仿宋_GB2312" w:cs="仿宋_GB2312"/>
          <w:sz w:val="32"/>
          <w:szCs w:val="32"/>
          <w:highlight w:val="none"/>
          <w:lang w:val="en-US" w:eastAsia="zh-CN"/>
        </w:rPr>
        <w:t>85.66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文化旅游体育与传媒支出</w:t>
      </w:r>
      <w:r>
        <w:rPr>
          <w:rFonts w:hint="eastAsia" w:ascii="仿宋_GB2312" w:hAnsi="仿宋_GB2312" w:eastAsia="仿宋_GB2312" w:cs="仿宋_GB2312"/>
          <w:sz w:val="32"/>
          <w:szCs w:val="32"/>
          <w:highlight w:val="none"/>
          <w:lang w:val="en-US" w:eastAsia="zh-CN"/>
        </w:rPr>
        <w:t>32.31万，</w:t>
      </w:r>
      <w:r>
        <w:rPr>
          <w:rFonts w:hint="eastAsia" w:ascii="仿宋_GB2312" w:hAnsi="仿宋_GB2312" w:eastAsia="仿宋_GB2312" w:cs="仿宋_GB2312"/>
          <w:sz w:val="32"/>
          <w:szCs w:val="32"/>
          <w:highlight w:val="none"/>
        </w:rPr>
        <w:t>占支出总额的</w:t>
      </w:r>
      <w:r>
        <w:rPr>
          <w:rFonts w:hint="eastAsia" w:ascii="仿宋_GB2312" w:hAnsi="仿宋_GB2312" w:eastAsia="仿宋_GB2312" w:cs="仿宋_GB2312"/>
          <w:sz w:val="32"/>
          <w:szCs w:val="32"/>
          <w:highlight w:val="none"/>
          <w:lang w:val="en-US" w:eastAsia="zh-CN"/>
        </w:rPr>
        <w:t>3.95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35.78</w:t>
      </w:r>
      <w:r>
        <w:rPr>
          <w:rFonts w:hint="eastAsia" w:ascii="仿宋_GB2312" w:hAnsi="仿宋_GB2312" w:eastAsia="仿宋_GB2312" w:cs="仿宋_GB2312"/>
          <w:kern w:val="2"/>
          <w:sz w:val="32"/>
          <w:szCs w:val="32"/>
          <w:highlight w:val="none"/>
          <w:lang w:val="en-US" w:eastAsia="zh-CN" w:bidi="ar-SA"/>
        </w:rPr>
        <w:t>万</w:t>
      </w:r>
      <w:r>
        <w:rPr>
          <w:rFonts w:hint="eastAsia" w:ascii="仿宋_GB2312" w:hAnsi="仿宋_GB2312" w:eastAsia="仿宋_GB2312" w:cs="仿宋_GB2312"/>
          <w:sz w:val="32"/>
          <w:szCs w:val="32"/>
          <w:highlight w:val="none"/>
        </w:rPr>
        <w:t>元，占支出总额的</w:t>
      </w:r>
      <w:r>
        <w:rPr>
          <w:rFonts w:hint="eastAsia" w:ascii="仿宋_GB2312" w:hAnsi="仿宋_GB2312" w:eastAsia="仿宋_GB2312" w:cs="仿宋_GB2312"/>
          <w:sz w:val="32"/>
          <w:szCs w:val="32"/>
          <w:highlight w:val="none"/>
          <w:lang w:val="en-US" w:eastAsia="zh-CN"/>
        </w:rPr>
        <w:t>4.38</w:t>
      </w:r>
      <w:r>
        <w:rPr>
          <w:rFonts w:hint="eastAsia" w:ascii="仿宋_GB2312" w:hAnsi="仿宋_GB2312" w:eastAsia="仿宋_GB2312" w:cs="仿宋_GB2312"/>
          <w:sz w:val="32"/>
          <w:szCs w:val="32"/>
          <w:highlight w:val="none"/>
        </w:rPr>
        <w:t>%；卫生</w:t>
      </w:r>
      <w:r>
        <w:rPr>
          <w:rFonts w:hint="eastAsia" w:ascii="仿宋_GB2312" w:hAnsi="仿宋_GB2312" w:eastAsia="仿宋_GB2312" w:cs="仿宋_GB2312"/>
          <w:sz w:val="32"/>
          <w:szCs w:val="32"/>
          <w:highlight w:val="none"/>
          <w:lang w:eastAsia="zh-CN"/>
        </w:rPr>
        <w:t>健康</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11.9</w:t>
      </w:r>
      <w:r>
        <w:rPr>
          <w:rFonts w:hint="eastAsia" w:ascii="仿宋_GB2312" w:hAnsi="仿宋_GB2312" w:eastAsia="仿宋_GB2312" w:cs="仿宋_GB2312"/>
          <w:kern w:val="2"/>
          <w:sz w:val="32"/>
          <w:szCs w:val="32"/>
          <w:highlight w:val="none"/>
          <w:lang w:val="en-US" w:eastAsia="zh-CN" w:bidi="ar-SA"/>
        </w:rPr>
        <w:t>万</w:t>
      </w:r>
      <w:r>
        <w:rPr>
          <w:rFonts w:hint="eastAsia" w:ascii="仿宋_GB2312" w:hAnsi="仿宋_GB2312" w:eastAsia="仿宋_GB2312" w:cs="仿宋_GB2312"/>
          <w:sz w:val="32"/>
          <w:szCs w:val="32"/>
          <w:highlight w:val="none"/>
        </w:rPr>
        <w:t>元，占支出总额的1</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szCs w:val="32"/>
          <w:highlight w:val="none"/>
          <w:lang w:val="en-US" w:eastAsia="zh-CN"/>
        </w:rPr>
        <w:t>17.94</w:t>
      </w:r>
      <w:r>
        <w:rPr>
          <w:rFonts w:hint="eastAsia" w:ascii="仿宋_GB2312" w:hAnsi="仿宋_GB2312" w:eastAsia="仿宋_GB2312" w:cs="仿宋_GB2312"/>
          <w:sz w:val="32"/>
          <w:szCs w:val="32"/>
          <w:highlight w:val="none"/>
        </w:rPr>
        <w:t>元，占支出总额的</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%，公共安全支出为</w:t>
      </w:r>
      <w:r>
        <w:rPr>
          <w:rFonts w:hint="eastAsia" w:ascii="仿宋_GB2312" w:hAnsi="仿宋_GB2312" w:eastAsia="仿宋_GB2312" w:cs="仿宋_GB2312"/>
          <w:sz w:val="32"/>
          <w:szCs w:val="32"/>
          <w:highlight w:val="none"/>
          <w:lang w:val="en-US" w:eastAsia="zh-CN"/>
        </w:rPr>
        <w:t>19.22</w:t>
      </w:r>
      <w:r>
        <w:rPr>
          <w:rFonts w:hint="eastAsia" w:ascii="仿宋_GB2312" w:hAnsi="仿宋_GB2312" w:eastAsia="仿宋_GB2312" w:cs="仿宋_GB2312"/>
          <w:kern w:val="2"/>
          <w:sz w:val="32"/>
          <w:szCs w:val="32"/>
          <w:highlight w:val="none"/>
          <w:lang w:val="en-US" w:eastAsia="zh-CN" w:bidi="ar-SA"/>
        </w:rPr>
        <w:t>万</w:t>
      </w:r>
      <w:r>
        <w:rPr>
          <w:rFonts w:hint="eastAsia" w:ascii="仿宋_GB2312" w:hAnsi="仿宋_GB2312" w:eastAsia="仿宋_GB2312" w:cs="仿宋_GB2312"/>
          <w:sz w:val="32"/>
          <w:szCs w:val="32"/>
          <w:highlight w:val="none"/>
        </w:rPr>
        <w:t>元，占支出总额的</w:t>
      </w:r>
      <w:r>
        <w:rPr>
          <w:rFonts w:hint="eastAsia" w:ascii="仿宋_GB2312" w:hAnsi="仿宋_GB2312" w:eastAsia="仿宋_GB2312" w:cs="仿宋_GB2312"/>
          <w:sz w:val="32"/>
          <w:szCs w:val="32"/>
          <w:highlight w:val="none"/>
          <w:lang w:val="en-US" w:eastAsia="zh-CN"/>
        </w:rPr>
        <w:t>2.35</w:t>
      </w:r>
      <w:r>
        <w:rPr>
          <w:rFonts w:hint="eastAsia" w:ascii="仿宋_GB2312" w:hAnsi="仿宋_GB2312" w:eastAsia="仿宋_GB2312" w:cs="仿宋_GB2312"/>
          <w:sz w:val="32"/>
          <w:szCs w:val="32"/>
          <w:highlight w:val="none"/>
        </w:rPr>
        <w:t>%。</w:t>
      </w:r>
    </w:p>
    <w:p w14:paraId="4091A6F9">
      <w:pPr>
        <w:pStyle w:val="11"/>
        <w:shd w:val="clear" w:color="auto" w:fill="FFFFFF"/>
        <w:ind w:left="1058" w:leftChars="504" w:firstLine="960" w:firstLineChars="3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object>
          <v:shape id="_x0000_i1028" o:spt="75" type="#_x0000_t75" style="height:206.8pt;width:252pt;" o:ole="t" filled="f" o:preferrelative="t" stroked="f" coordsize="21600,21600">
            <v:path/>
            <v:fill on="f" focussize="0,0"/>
            <v:stroke on="f"/>
            <v:imagedata r:id="rId20" o:title=""/>
            <o:lock v:ext="edit" aspectratio="t"/>
            <w10:wrap type="none"/>
            <w10:anchorlock/>
          </v:shape>
          <o:OLEObject Type="Embed" ProgID="Excel.Chart.8" ShapeID="_x0000_i1028" DrawAspect="Content" ObjectID="_1468075728" r:id="rId19">
            <o:LockedField>false</o:LockedField>
          </o:OLEObject>
        </w:object>
      </w:r>
    </w:p>
    <w:p w14:paraId="5861065B">
      <w:pPr>
        <w:pageBreakBefore w:val="0"/>
        <w:shd w:val="clear" w:color="auto" w:fill="FFFFFF"/>
        <w:kinsoku/>
        <w:wordWrap/>
        <w:overflowPunct/>
        <w:topLinePunct w:val="0"/>
        <w:bidi w:val="0"/>
        <w:spacing w:line="560" w:lineRule="exact"/>
        <w:ind w:firstLine="480" w:firstLineChars="15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（图6：一般公共预算财政拨款支出决算结构）（饼状图）</w:t>
      </w:r>
    </w:p>
    <w:p w14:paraId="2C0D1AE2">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rPr>
      </w:pPr>
      <w:bookmarkStart w:id="91" w:name="_Toc79163617"/>
      <w:bookmarkStart w:id="92" w:name="_Toc79163867"/>
      <w:bookmarkStart w:id="93" w:name="_Toc26155"/>
      <w:bookmarkStart w:id="94" w:name="_Toc15377212"/>
      <w:r>
        <w:rPr>
          <w:rFonts w:hint="eastAsia" w:ascii="楷体_GB2312" w:hAnsi="楷体_GB2312" w:eastAsia="楷体_GB2312" w:cs="楷体_GB2312"/>
          <w:b/>
          <w:color w:val="000000"/>
          <w:sz w:val="32"/>
          <w:szCs w:val="32"/>
          <w:highlight w:val="none"/>
        </w:rPr>
        <w:t>（三）一般公共预算财政拨款支出决算具体情况</w:t>
      </w:r>
      <w:bookmarkEnd w:id="91"/>
      <w:bookmarkEnd w:id="92"/>
      <w:bookmarkEnd w:id="93"/>
      <w:bookmarkEnd w:id="94"/>
    </w:p>
    <w:p w14:paraId="098830B4">
      <w:pPr>
        <w:numPr>
          <w:ilvl w:val="0"/>
          <w:numId w:val="0"/>
        </w:numPr>
        <w:shd w:val="clear" w:color="auto" w:fill="FFFFFF"/>
        <w:spacing w:line="600" w:lineRule="exact"/>
        <w:ind w:firstLine="643"/>
        <w:outlineLvl w:val="2"/>
        <w:rPr>
          <w:rFonts w:hint="eastAsia" w:ascii="仿宋_GB2312" w:hAnsi="仿宋_GB2312" w:eastAsia="仿宋_GB2312" w:cs="仿宋_GB2312"/>
          <w:color w:val="auto"/>
          <w:sz w:val="32"/>
          <w:szCs w:val="32"/>
          <w:highlight w:val="none"/>
        </w:rPr>
      </w:pPr>
      <w:bookmarkStart w:id="95" w:name="_Toc15377444"/>
      <w:bookmarkStart w:id="96" w:name="_Toc15378460"/>
      <w:bookmarkStart w:id="97" w:name="_Toc15377213"/>
      <w:bookmarkStart w:id="98" w:name="_Toc79163618"/>
      <w:bookmarkStart w:id="99" w:name="_Toc15396608"/>
      <w:bookmarkStart w:id="100" w:name="_Toc15377214"/>
      <w:bookmarkStart w:id="101" w:name="_Toc3544"/>
      <w:bookmarkStart w:id="102" w:name="_Toc79163868"/>
      <w:bookmarkStart w:id="103" w:name="_Toc31750"/>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817.16万元</w:t>
      </w:r>
      <w:r>
        <w:rPr>
          <w:rFonts w:hint="eastAsia" w:ascii="仿宋_GB2312" w:hAnsi="仿宋_GB2312" w:eastAsia="仿宋_GB2312" w:cs="仿宋_GB2312"/>
          <w:color w:val="auto"/>
          <w:sz w:val="32"/>
          <w:szCs w:val="32"/>
          <w:highlight w:val="none"/>
        </w:rPr>
        <w:t>，</w:t>
      </w:r>
      <w:r>
        <w:rPr>
          <w:rStyle w:val="16"/>
          <w:rFonts w:hint="eastAsia" w:ascii="仿宋_GB2312" w:hAnsi="仿宋_GB2312" w:eastAsia="仿宋_GB2312" w:cs="仿宋_GB2312"/>
          <w:bCs/>
          <w:color w:val="auto"/>
          <w:sz w:val="32"/>
          <w:szCs w:val="32"/>
          <w:highlight w:val="none"/>
        </w:rPr>
        <w:t>完成预算</w:t>
      </w:r>
      <w:r>
        <w:rPr>
          <w:rStyle w:val="16"/>
          <w:rFonts w:hint="eastAsia" w:ascii="仿宋_GB2312" w:hAnsi="仿宋_GB2312" w:eastAsia="仿宋_GB2312" w:cs="仿宋_GB2312"/>
          <w:bCs/>
          <w:color w:val="auto"/>
          <w:sz w:val="32"/>
          <w:szCs w:val="32"/>
          <w:highlight w:val="none"/>
          <w:lang w:val="en-US" w:eastAsia="zh-CN"/>
        </w:rPr>
        <w:t>100</w:t>
      </w:r>
      <w:r>
        <w:rPr>
          <w:rStyle w:val="16"/>
          <w:rFonts w:hint="eastAsia" w:ascii="仿宋_GB2312" w:hAnsi="仿宋_GB2312" w:eastAsia="仿宋_GB2312" w:cs="仿宋_GB2312"/>
          <w:bCs/>
          <w:color w:val="auto"/>
          <w:sz w:val="32"/>
          <w:szCs w:val="32"/>
          <w:highlight w:val="none"/>
        </w:rPr>
        <w:t>%。其中：</w:t>
      </w:r>
      <w:bookmarkEnd w:id="95"/>
      <w:bookmarkEnd w:id="96"/>
      <w:bookmarkEnd w:id="97"/>
    </w:p>
    <w:p w14:paraId="42BC3F81">
      <w:pPr>
        <w:numPr>
          <w:ilvl w:val="0"/>
          <w:numId w:val="2"/>
        </w:numPr>
        <w:shd w:val="clear" w:color="auto" w:fill="FFFFFF"/>
        <w:spacing w:line="600" w:lineRule="exact"/>
        <w:ind w:firstLine="643"/>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rPr>
        <w:t>一般公共服务</w:t>
      </w:r>
      <w:r>
        <w:rPr>
          <w:rStyle w:val="16"/>
          <w:rFonts w:hint="eastAsia" w:ascii="仿宋_GB2312" w:hAnsi="仿宋_GB2312" w:eastAsia="仿宋_GB2312" w:cs="仿宋_GB2312"/>
          <w:bCs/>
          <w:color w:val="auto"/>
          <w:sz w:val="32"/>
          <w:szCs w:val="32"/>
          <w:highlight w:val="none"/>
          <w:lang w:val="en-US" w:eastAsia="zh-CN"/>
        </w:rPr>
        <w:t>201</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31</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01</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700.01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79257F41">
      <w:pPr>
        <w:numPr>
          <w:ilvl w:val="0"/>
          <w:numId w:val="2"/>
        </w:numPr>
        <w:shd w:val="clear" w:color="auto" w:fill="FFFFFF"/>
        <w:spacing w:line="600" w:lineRule="exact"/>
        <w:ind w:firstLine="643"/>
        <w:rPr>
          <w:rFonts w:hint="eastAsia" w:ascii="仿宋_GB2312" w:hAnsi="仿宋_GB2312" w:eastAsia="仿宋_GB2312" w:cs="仿宋_GB2312"/>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公共安全支出204</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99</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99</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19.22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14:paraId="6A87D756">
      <w:pPr>
        <w:numPr>
          <w:ilvl w:val="0"/>
          <w:numId w:val="3"/>
        </w:numPr>
        <w:shd w:val="clear" w:color="auto" w:fill="FFFFFF"/>
        <w:spacing w:line="600" w:lineRule="exact"/>
        <w:ind w:firstLine="643"/>
        <w:rPr>
          <w:rFonts w:hint="eastAsia" w:ascii="仿宋_GB2312" w:hAnsi="仿宋_GB2312" w:eastAsia="仿宋_GB2312" w:cs="仿宋_GB2312"/>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社会保障和就业208</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05</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35.78</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14:paraId="5C2213D1">
      <w:pPr>
        <w:numPr>
          <w:ilvl w:val="0"/>
          <w:numId w:val="3"/>
        </w:numPr>
        <w:shd w:val="clear" w:color="auto" w:fill="FFFFFF"/>
        <w:spacing w:line="600" w:lineRule="exact"/>
        <w:ind w:left="0" w:firstLine="643"/>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val="en-US" w:eastAsia="zh-CN"/>
        </w:rPr>
        <w:t>210</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11</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11.9</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14:paraId="0D9EAE82">
      <w:pPr>
        <w:numPr>
          <w:ilvl w:val="0"/>
          <w:numId w:val="3"/>
        </w:numPr>
        <w:shd w:val="clear" w:color="auto" w:fill="FFFFFF"/>
        <w:spacing w:line="600" w:lineRule="exact"/>
        <w:ind w:left="0"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住房保障221</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02</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01</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17.94</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14:paraId="69F6C9BF">
      <w:pPr>
        <w:numPr>
          <w:ilvl w:val="0"/>
          <w:numId w:val="3"/>
        </w:numPr>
        <w:shd w:val="clear" w:color="auto" w:fill="FFFFFF"/>
        <w:spacing w:line="600" w:lineRule="exact"/>
        <w:ind w:left="0"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文化旅游体育与传媒207</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val="en-US" w:eastAsia="zh-CN"/>
        </w:rPr>
        <w:t>01</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08</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32.31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%，决算数等于预算数。</w:t>
      </w:r>
    </w:p>
    <w:p w14:paraId="7F71EBAA">
      <w:pPr>
        <w:shd w:val="clear" w:color="auto" w:fill="FFFFFF"/>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（注：数据来源于财决01-1表</w:t>
      </w:r>
      <w:r>
        <w:rPr>
          <w:rFonts w:hint="eastAsia" w:ascii="仿宋_GB2312" w:hAnsi="仿宋_GB2312" w:eastAsia="仿宋_GB2312" w:cs="仿宋_GB2312"/>
          <w:b/>
          <w:color w:val="auto"/>
          <w:sz w:val="32"/>
          <w:szCs w:val="32"/>
          <w:highlight w:val="none"/>
          <w:lang w:eastAsia="zh-CN"/>
        </w:rPr>
        <w:t>和财决</w:t>
      </w:r>
      <w:r>
        <w:rPr>
          <w:rFonts w:hint="eastAsia" w:ascii="仿宋_GB2312" w:hAnsi="仿宋_GB2312" w:eastAsia="仿宋_GB2312" w:cs="仿宋_GB2312"/>
          <w:b/>
          <w:color w:val="auto"/>
          <w:sz w:val="32"/>
          <w:szCs w:val="32"/>
          <w:highlight w:val="none"/>
          <w:lang w:val="en-US" w:eastAsia="zh-CN"/>
        </w:rPr>
        <w:t>08表</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仅</w:t>
      </w:r>
      <w:r>
        <w:rPr>
          <w:rFonts w:hint="eastAsia" w:ascii="仿宋_GB2312" w:hAnsi="仿宋_GB2312" w:eastAsia="仿宋_GB2312" w:cs="仿宋_GB2312"/>
          <w:b/>
          <w:color w:val="auto"/>
          <w:sz w:val="32"/>
          <w:szCs w:val="32"/>
          <w:highlight w:val="none"/>
        </w:rPr>
        <w:t>罗列</w:t>
      </w:r>
      <w:r>
        <w:rPr>
          <w:rFonts w:hint="eastAsia" w:ascii="仿宋_GB2312" w:hAnsi="仿宋_GB2312" w:eastAsia="仿宋_GB2312" w:cs="仿宋_GB2312"/>
          <w:b/>
          <w:color w:val="auto"/>
          <w:sz w:val="32"/>
          <w:szCs w:val="32"/>
          <w:highlight w:val="none"/>
          <w:lang w:eastAsia="zh-CN"/>
        </w:rPr>
        <w:t>本部门涉及的</w:t>
      </w:r>
      <w:r>
        <w:rPr>
          <w:rFonts w:hint="eastAsia" w:ascii="仿宋_GB2312" w:hAnsi="仿宋_GB2312" w:eastAsia="仿宋_GB2312" w:cs="仿宋_GB2312"/>
          <w:b/>
          <w:color w:val="auto"/>
          <w:sz w:val="32"/>
          <w:szCs w:val="32"/>
          <w:highlight w:val="none"/>
        </w:rPr>
        <w:t>全部功能分类科目</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至项级。上述“预算”口径为</w:t>
      </w:r>
      <w:r>
        <w:rPr>
          <w:rFonts w:hint="eastAsia" w:ascii="仿宋_GB2312" w:hAnsi="仿宋_GB2312" w:eastAsia="仿宋_GB2312" w:cs="仿宋_GB2312"/>
          <w:b/>
          <w:color w:val="auto"/>
          <w:sz w:val="32"/>
          <w:szCs w:val="32"/>
          <w:highlight w:val="none"/>
          <w:lang w:eastAsia="zh-CN"/>
        </w:rPr>
        <w:t>全年预算</w:t>
      </w:r>
      <w:r>
        <w:rPr>
          <w:rFonts w:hint="eastAsia" w:ascii="仿宋_GB2312" w:hAnsi="仿宋_GB2312" w:eastAsia="仿宋_GB2312" w:cs="仿宋_GB2312"/>
          <w:b/>
          <w:color w:val="auto"/>
          <w:sz w:val="32"/>
          <w:szCs w:val="32"/>
          <w:highlight w:val="none"/>
        </w:rPr>
        <w:t>数。增减变动原因为决算数&lt;项级&gt;和</w:t>
      </w:r>
      <w:r>
        <w:rPr>
          <w:rFonts w:hint="eastAsia" w:ascii="仿宋_GB2312" w:hAnsi="仿宋_GB2312" w:eastAsia="仿宋_GB2312" w:cs="仿宋_GB2312"/>
          <w:b/>
          <w:color w:val="auto"/>
          <w:sz w:val="32"/>
          <w:szCs w:val="32"/>
          <w:highlight w:val="none"/>
          <w:lang w:eastAsia="zh-CN"/>
        </w:rPr>
        <w:t>全年预算</w:t>
      </w:r>
      <w:r>
        <w:rPr>
          <w:rFonts w:hint="eastAsia" w:ascii="仿宋_GB2312" w:hAnsi="仿宋_GB2312" w:eastAsia="仿宋_GB2312" w:cs="仿宋_GB2312"/>
          <w:b/>
          <w:color w:val="auto"/>
          <w:sz w:val="32"/>
          <w:szCs w:val="32"/>
          <w:highlight w:val="none"/>
        </w:rPr>
        <w:t>数&lt;项级&gt;比较，与预算数持平可以不写原因。）</w:t>
      </w:r>
    </w:p>
    <w:p w14:paraId="20A6F4CD">
      <w:pPr>
        <w:pStyle w:val="2"/>
        <w:rPr>
          <w:rFonts w:hint="eastAsia"/>
        </w:rPr>
      </w:pPr>
    </w:p>
    <w:p w14:paraId="03E30FEC">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104" w:name="_Toc19344"/>
      <w:r>
        <w:rPr>
          <w:rFonts w:hint="eastAsia" w:ascii="黑体" w:hAnsi="黑体" w:eastAsia="黑体" w:cs="黑体"/>
          <w:b/>
          <w:bCs w:val="0"/>
          <w:color w:val="000000"/>
          <w:sz w:val="32"/>
          <w:szCs w:val="32"/>
          <w:highlight w:val="none"/>
          <w:lang w:eastAsia="zh-CN"/>
        </w:rPr>
        <w:t>六、一般公共预算财政拨款基本支出决算情况说明</w:t>
      </w:r>
      <w:bookmarkEnd w:id="98"/>
      <w:bookmarkEnd w:id="99"/>
      <w:bookmarkEnd w:id="100"/>
      <w:bookmarkEnd w:id="101"/>
      <w:bookmarkEnd w:id="102"/>
      <w:bookmarkEnd w:id="103"/>
      <w:bookmarkEnd w:id="104"/>
      <w:r>
        <w:rPr>
          <w:rFonts w:hint="eastAsia" w:ascii="黑体" w:hAnsi="黑体" w:eastAsia="黑体" w:cs="黑体"/>
          <w:b/>
          <w:bCs w:val="0"/>
          <w:color w:val="000000"/>
          <w:sz w:val="32"/>
          <w:szCs w:val="32"/>
          <w:highlight w:val="none"/>
          <w:lang w:eastAsia="zh-CN"/>
        </w:rPr>
        <w:tab/>
      </w:r>
    </w:p>
    <w:p w14:paraId="706CFD76">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年一般公共预算财政拨款基本支出</w:t>
      </w:r>
      <w:r>
        <w:rPr>
          <w:rFonts w:hint="eastAsia" w:ascii="仿宋_GB2312" w:hAnsi="仿宋_GB2312" w:eastAsia="仿宋_GB2312" w:cs="仿宋_GB2312"/>
          <w:sz w:val="32"/>
          <w:szCs w:val="32"/>
          <w:highlight w:val="none"/>
          <w:lang w:val="en-US" w:eastAsia="zh-CN"/>
        </w:rPr>
        <w:t>381.26</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元，其中：人员经费</w:t>
      </w:r>
      <w:r>
        <w:rPr>
          <w:rFonts w:hint="eastAsia" w:ascii="仿宋_GB2312" w:hAnsi="仿宋_GB2312" w:eastAsia="仿宋_GB2312" w:cs="仿宋_GB2312"/>
          <w:sz w:val="32"/>
          <w:szCs w:val="32"/>
          <w:highlight w:val="none"/>
          <w:lang w:val="en-US" w:eastAsia="zh-CN"/>
        </w:rPr>
        <w:t>261.61</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元，主要包括：基本工资、津贴补贴、奖金、绩效工资、机关事业单位基本养老保险缴费、职业年金缴费、其他社会保障缴费、其他工资福利支出、医疗费补助、奖励金、住房公积金</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日常公用经费</w:t>
      </w:r>
      <w:r>
        <w:rPr>
          <w:rFonts w:hint="eastAsia" w:ascii="仿宋_GB2312" w:hAnsi="仿宋_GB2312" w:eastAsia="仿宋_GB2312" w:cs="仿宋_GB2312"/>
          <w:sz w:val="32"/>
          <w:szCs w:val="32"/>
          <w:highlight w:val="none"/>
          <w:lang w:val="en-US" w:eastAsia="zh-CN"/>
        </w:rPr>
        <w:t>120.65</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元，主要包括：办公费、印刷费、咨询费、手续费、水费、电费、邮电费、差旅费、会议费、培训费、工会经费、公务用车运行维护费、其他交通费等。</w:t>
      </w:r>
    </w:p>
    <w:p w14:paraId="169E710B">
      <w:pPr>
        <w:shd w:val="clear" w:color="auto" w:fill="FFFFFF"/>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（注：数据来源于财决07表</w:t>
      </w:r>
      <w:r>
        <w:rPr>
          <w:rFonts w:hint="eastAsia" w:ascii="仿宋_GB2312" w:hAnsi="仿宋_GB2312" w:eastAsia="仿宋_GB2312" w:cs="仿宋_GB2312"/>
          <w:b/>
          <w:color w:val="auto"/>
          <w:sz w:val="32"/>
          <w:szCs w:val="32"/>
          <w:highlight w:val="none"/>
          <w:lang w:eastAsia="zh-CN"/>
        </w:rPr>
        <w:t>和财决</w:t>
      </w:r>
      <w:r>
        <w:rPr>
          <w:rFonts w:hint="eastAsia" w:ascii="仿宋_GB2312" w:hAnsi="仿宋_GB2312" w:eastAsia="仿宋_GB2312" w:cs="仿宋_GB2312"/>
          <w:b/>
          <w:color w:val="auto"/>
          <w:sz w:val="32"/>
          <w:szCs w:val="32"/>
          <w:highlight w:val="none"/>
          <w:lang w:val="en-US" w:eastAsia="zh-CN"/>
        </w:rPr>
        <w:t>08-1表</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仅罗列</w:t>
      </w:r>
      <w:r>
        <w:rPr>
          <w:rFonts w:hint="eastAsia" w:ascii="仿宋_GB2312" w:hAnsi="仿宋_GB2312" w:eastAsia="仿宋_GB2312" w:cs="仿宋_GB2312"/>
          <w:b/>
          <w:color w:val="auto"/>
          <w:sz w:val="32"/>
          <w:szCs w:val="32"/>
          <w:highlight w:val="none"/>
        </w:rPr>
        <w:t>本部门实际支出</w:t>
      </w:r>
      <w:r>
        <w:rPr>
          <w:rFonts w:hint="eastAsia" w:ascii="仿宋_GB2312" w:hAnsi="仿宋_GB2312" w:eastAsia="仿宋_GB2312" w:cs="仿宋_GB2312"/>
          <w:b/>
          <w:color w:val="auto"/>
          <w:sz w:val="32"/>
          <w:szCs w:val="32"/>
          <w:highlight w:val="none"/>
          <w:lang w:eastAsia="zh-CN"/>
        </w:rPr>
        <w:t>涉及的</w:t>
      </w:r>
      <w:r>
        <w:rPr>
          <w:rFonts w:hint="eastAsia" w:ascii="仿宋_GB2312" w:hAnsi="仿宋_GB2312" w:eastAsia="仿宋_GB2312" w:cs="仿宋_GB2312"/>
          <w:b/>
          <w:color w:val="auto"/>
          <w:sz w:val="32"/>
          <w:szCs w:val="32"/>
          <w:highlight w:val="none"/>
        </w:rPr>
        <w:t>经济分类科目。）</w:t>
      </w:r>
    </w:p>
    <w:p w14:paraId="0F366B22">
      <w:pPr>
        <w:pStyle w:val="2"/>
        <w:rPr>
          <w:rFonts w:hint="eastAsia"/>
        </w:rPr>
      </w:pPr>
    </w:p>
    <w:p w14:paraId="7C60C652">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105" w:name="_Toc15377215"/>
      <w:bookmarkStart w:id="106" w:name="_Toc8197"/>
      <w:bookmarkStart w:id="107" w:name="_Toc79163619"/>
      <w:bookmarkStart w:id="108" w:name="_Toc15396609"/>
      <w:bookmarkStart w:id="109" w:name="_Toc21443"/>
      <w:bookmarkStart w:id="110" w:name="_Toc27012"/>
      <w:bookmarkStart w:id="111" w:name="_Toc79163869"/>
      <w:r>
        <w:rPr>
          <w:rFonts w:hint="eastAsia" w:ascii="黑体" w:hAnsi="黑体" w:eastAsia="黑体" w:cs="黑体"/>
          <w:b/>
          <w:bCs w:val="0"/>
          <w:color w:val="000000"/>
          <w:sz w:val="32"/>
          <w:szCs w:val="32"/>
          <w:highlight w:val="none"/>
          <w:lang w:eastAsia="zh-CN"/>
        </w:rPr>
        <w:t>七、“三公”经费财政拨款支出决算情况说明</w:t>
      </w:r>
      <w:bookmarkEnd w:id="105"/>
      <w:bookmarkEnd w:id="106"/>
      <w:bookmarkEnd w:id="107"/>
      <w:bookmarkEnd w:id="108"/>
      <w:bookmarkEnd w:id="109"/>
      <w:bookmarkEnd w:id="110"/>
      <w:bookmarkEnd w:id="111"/>
    </w:p>
    <w:p w14:paraId="674D1A42">
      <w:pPr>
        <w:pageBreakBefore w:val="0"/>
        <w:shd w:val="clear" w:color="auto" w:fill="FFFFFF"/>
        <w:kinsoku/>
        <w:wordWrap/>
        <w:overflowPunct/>
        <w:topLinePunct w:val="0"/>
        <w:bidi w:val="0"/>
        <w:spacing w:line="560" w:lineRule="exact"/>
        <w:ind w:firstLine="640"/>
        <w:textAlignment w:val="auto"/>
        <w:outlineLvl w:val="2"/>
        <w:rPr>
          <w:rFonts w:hint="eastAsia" w:ascii="楷体_GB2312" w:hAnsi="楷体_GB2312" w:eastAsia="楷体_GB2312" w:cs="楷体_GB2312"/>
          <w:b/>
          <w:color w:val="000000"/>
          <w:sz w:val="32"/>
          <w:szCs w:val="32"/>
          <w:highlight w:val="none"/>
        </w:rPr>
      </w:pPr>
      <w:bookmarkStart w:id="112" w:name="_Toc79163620"/>
      <w:bookmarkStart w:id="113" w:name="_Toc6482"/>
      <w:bookmarkStart w:id="114" w:name="_Toc15377216"/>
      <w:bookmarkStart w:id="115" w:name="_Toc79163870"/>
      <w:r>
        <w:rPr>
          <w:rFonts w:hint="eastAsia" w:ascii="楷体_GB2312" w:hAnsi="楷体_GB2312" w:eastAsia="楷体_GB2312" w:cs="楷体_GB2312"/>
          <w:b/>
          <w:color w:val="000000"/>
          <w:sz w:val="32"/>
          <w:szCs w:val="32"/>
          <w:highlight w:val="none"/>
        </w:rPr>
        <w:t>（一）“三公”经费财政拨款支出决算总体情况说明</w:t>
      </w:r>
      <w:bookmarkEnd w:id="112"/>
      <w:bookmarkEnd w:id="113"/>
      <w:bookmarkEnd w:id="114"/>
      <w:bookmarkEnd w:id="115"/>
    </w:p>
    <w:p w14:paraId="4018D604">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年“三公”经费财政拨款支出决算为</w:t>
      </w:r>
      <w:r>
        <w:rPr>
          <w:rFonts w:hint="eastAsia" w:ascii="仿宋_GB2312" w:hAnsi="仿宋_GB2312" w:eastAsia="仿宋_GB2312" w:cs="仿宋_GB2312"/>
          <w:sz w:val="32"/>
          <w:szCs w:val="32"/>
          <w:highlight w:val="none"/>
          <w:lang w:val="en-US" w:eastAsia="zh-CN"/>
        </w:rPr>
        <w:t>160.64</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131409EF">
      <w:pPr>
        <w:pageBreakBefore w:val="0"/>
        <w:shd w:val="clear" w:color="auto" w:fill="FFFFFF"/>
        <w:kinsoku/>
        <w:wordWrap/>
        <w:overflowPunct/>
        <w:topLinePunct w:val="0"/>
        <w:bidi w:val="0"/>
        <w:spacing w:line="560" w:lineRule="exact"/>
        <w:ind w:firstLine="640"/>
        <w:textAlignment w:val="auto"/>
        <w:outlineLvl w:val="2"/>
        <w:rPr>
          <w:rFonts w:hint="eastAsia" w:ascii="楷体_GB2312" w:hAnsi="楷体_GB2312" w:eastAsia="楷体_GB2312" w:cs="楷体_GB2312"/>
          <w:b/>
          <w:color w:val="000000"/>
          <w:sz w:val="32"/>
          <w:szCs w:val="32"/>
          <w:highlight w:val="none"/>
        </w:rPr>
      </w:pPr>
      <w:bookmarkStart w:id="116" w:name="_Toc79163871"/>
      <w:bookmarkStart w:id="117" w:name="_Toc22598"/>
      <w:bookmarkStart w:id="118" w:name="_Toc15377217"/>
      <w:bookmarkStart w:id="119" w:name="_Toc79163621"/>
      <w:r>
        <w:rPr>
          <w:rFonts w:hint="eastAsia" w:ascii="楷体_GB2312" w:hAnsi="楷体_GB2312" w:eastAsia="楷体_GB2312" w:cs="楷体_GB2312"/>
          <w:b/>
          <w:color w:val="000000"/>
          <w:sz w:val="32"/>
          <w:szCs w:val="32"/>
          <w:highlight w:val="none"/>
        </w:rPr>
        <w:t>（二）“三公”经费财政拨款支出决算具体情况说明</w:t>
      </w:r>
      <w:bookmarkEnd w:id="116"/>
      <w:bookmarkEnd w:id="117"/>
      <w:bookmarkEnd w:id="118"/>
      <w:bookmarkEnd w:id="119"/>
    </w:p>
    <w:p w14:paraId="3DA5005B">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%；公务用车购置及运行维护费支出决算</w:t>
      </w:r>
      <w:r>
        <w:rPr>
          <w:rFonts w:hint="eastAsia" w:ascii="仿宋_GB2312" w:hAnsi="仿宋_GB2312" w:eastAsia="仿宋_GB2312" w:cs="仿宋_GB2312"/>
          <w:sz w:val="32"/>
          <w:szCs w:val="32"/>
          <w:highlight w:val="none"/>
          <w:lang w:val="en-US" w:eastAsia="zh-CN"/>
        </w:rPr>
        <w:t>6.99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4.35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153.65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95.65</w:t>
      </w:r>
      <w:r>
        <w:rPr>
          <w:rFonts w:hint="eastAsia" w:ascii="仿宋_GB2312" w:hAnsi="仿宋_GB2312" w:eastAsia="仿宋_GB2312" w:cs="仿宋_GB2312"/>
          <w:sz w:val="32"/>
          <w:szCs w:val="32"/>
          <w:highlight w:val="none"/>
        </w:rPr>
        <w:t>%。具体情况如下：</w:t>
      </w:r>
    </w:p>
    <w:p w14:paraId="2AD9D427">
      <w:pPr>
        <w:pStyle w:val="2"/>
        <w:shd w:val="clear" w:color="auto" w:fill="FFFFFF"/>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drawing>
          <wp:inline distT="0" distB="0" distL="114300" distR="114300">
            <wp:extent cx="3943350" cy="2254885"/>
            <wp:effectExtent l="0" t="0" r="0" b="12065"/>
            <wp:docPr id="7"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
                    <pic:cNvPicPr>
                      <a:picLocks noChangeAspect="1"/>
                    </pic:cNvPicPr>
                  </pic:nvPicPr>
                  <pic:blipFill>
                    <a:blip r:embed="rId21"/>
                    <a:stretch>
                      <a:fillRect/>
                    </a:stretch>
                  </pic:blipFill>
                  <pic:spPr>
                    <a:xfrm>
                      <a:off x="0" y="0"/>
                      <a:ext cx="3943350" cy="2254885"/>
                    </a:xfrm>
                    <a:prstGeom prst="rect">
                      <a:avLst/>
                    </a:prstGeom>
                    <a:noFill/>
                    <a:ln>
                      <a:noFill/>
                    </a:ln>
                  </pic:spPr>
                </pic:pic>
              </a:graphicData>
            </a:graphic>
          </wp:inline>
        </w:drawing>
      </w:r>
    </w:p>
    <w:p w14:paraId="1BAB4598">
      <w:pPr>
        <w:pageBreakBefore w:val="0"/>
        <w:shd w:val="clear" w:color="auto" w:fill="FFFFFF"/>
        <w:kinsoku/>
        <w:wordWrap/>
        <w:overflowPunct/>
        <w:topLinePunct w:val="0"/>
        <w:bidi w:val="0"/>
        <w:spacing w:line="560" w:lineRule="exact"/>
        <w:ind w:firstLine="320" w:firstLineChars="1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（图7：“三公”经费财政拨款支出结构）（饼状图）</w:t>
      </w:r>
    </w:p>
    <w:p w14:paraId="6F5199A2">
      <w:pPr>
        <w:pageBreakBefore w:val="0"/>
        <w:numPr>
          <w:ilvl w:val="0"/>
          <w:numId w:val="0"/>
        </w:numPr>
        <w:shd w:val="clear" w:color="auto" w:fill="FFFFFF"/>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rPr>
        <w:t>1</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b/>
          <w:color w:val="000000"/>
          <w:sz w:val="32"/>
          <w:szCs w:val="32"/>
          <w:highlight w:val="none"/>
        </w:rPr>
        <w:t>因公出国（境）经费支出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%。全年安排因公出国（境）团组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次，出国（境）</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人。因公出国（境）支出决算比202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年增加/减少</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万元，增长/下降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14:paraId="05F6934C">
      <w:pPr>
        <w:pageBreakBefore w:val="0"/>
        <w:numPr>
          <w:ilvl w:val="0"/>
          <w:numId w:val="0"/>
        </w:numPr>
        <w:shd w:val="clear" w:color="auto" w:fill="FFFFFF"/>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开支内容包括：</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（团组名称、出访地点、取得成效）</w:t>
      </w:r>
      <w:r>
        <w:rPr>
          <w:rFonts w:hint="eastAsia" w:ascii="仿宋_GB2312" w:hAnsi="仿宋_GB2312" w:eastAsia="仿宋_GB2312" w:cs="仿宋_GB2312"/>
          <w:color w:val="000000"/>
          <w:sz w:val="32"/>
          <w:szCs w:val="32"/>
          <w:highlight w:val="none"/>
        </w:rPr>
        <w:t>等。</w:t>
      </w:r>
    </w:p>
    <w:p w14:paraId="048391D3">
      <w:pPr>
        <w:pageBreakBefore w:val="0"/>
        <w:shd w:val="clear" w:color="auto" w:fill="FFFFFF"/>
        <w:kinsoku/>
        <w:wordWrap/>
        <w:overflowPunct/>
        <w:topLinePunct w:val="0"/>
        <w:bidi w:val="0"/>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color w:val="000000"/>
          <w:sz w:val="32"/>
          <w:szCs w:val="32"/>
          <w:highlight w:val="none"/>
        </w:rPr>
        <w:t>2</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b/>
          <w:color w:val="000000"/>
          <w:sz w:val="32"/>
          <w:szCs w:val="32"/>
          <w:highlight w:val="none"/>
        </w:rPr>
        <w:t>公务用车购置及运行维护费支出</w:t>
      </w:r>
      <w:r>
        <w:rPr>
          <w:rFonts w:hint="eastAsia" w:ascii="仿宋_GB2312" w:hAnsi="仿宋_GB2312" w:eastAsia="仿宋_GB2312" w:cs="仿宋_GB2312"/>
          <w:sz w:val="32"/>
          <w:szCs w:val="32"/>
          <w:highlight w:val="none"/>
          <w:lang w:val="en-US" w:eastAsia="zh-CN"/>
        </w:rPr>
        <w:t>6.99</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%。公务用车购置及运行维护费支出决算比202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0.71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因公务出行活动与上年相比有所减少。</w:t>
      </w:r>
    </w:p>
    <w:p w14:paraId="105840FC">
      <w:pPr>
        <w:pageBreakBefore w:val="0"/>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其中：</w:t>
      </w:r>
      <w:r>
        <w:rPr>
          <w:rFonts w:hint="eastAsia" w:ascii="仿宋_GB2312" w:hAnsi="仿宋_GB2312" w:eastAsia="仿宋_GB2312" w:cs="仿宋_GB2312"/>
          <w:b/>
          <w:color w:val="000000"/>
          <w:sz w:val="32"/>
          <w:szCs w:val="32"/>
          <w:highlight w:val="none"/>
        </w:rPr>
        <w:t>公务用车购置支出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万元。全年按规定更新购置公务用车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14:paraId="75E671DE">
      <w:pPr>
        <w:pageBreakBefore w:val="0"/>
        <w:shd w:val="clear" w:color="auto" w:fill="FFFFFF"/>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公务用车运行维护费支出</w:t>
      </w:r>
      <w:r>
        <w:rPr>
          <w:rFonts w:hint="eastAsia" w:ascii="仿宋_GB2312" w:hAnsi="仿宋_GB2312" w:eastAsia="仿宋_GB2312" w:cs="仿宋_GB2312"/>
          <w:sz w:val="32"/>
          <w:szCs w:val="32"/>
          <w:highlight w:val="none"/>
          <w:lang w:val="en-US" w:eastAsia="zh-CN"/>
        </w:rPr>
        <w:t>6.99</w:t>
      </w:r>
      <w:r>
        <w:rPr>
          <w:rFonts w:hint="eastAsia" w:ascii="仿宋_GB2312" w:hAnsi="仿宋_GB2312" w:eastAsia="仿宋_GB2312" w:cs="仿宋_GB2312"/>
          <w:sz w:val="32"/>
          <w:szCs w:val="32"/>
          <w:highlight w:val="none"/>
        </w:rPr>
        <w:t>万元。主要用于公务用车燃料费、维修费、过路费、保险费等支出</w:t>
      </w:r>
      <w:r>
        <w:rPr>
          <w:rFonts w:hint="eastAsia" w:ascii="仿宋_GB2312" w:hAnsi="仿宋_GB2312" w:eastAsia="仿宋_GB2312" w:cs="仿宋_GB2312"/>
          <w:color w:val="000000"/>
          <w:sz w:val="32"/>
          <w:szCs w:val="32"/>
          <w:highlight w:val="none"/>
        </w:rPr>
        <w:t>。</w:t>
      </w:r>
    </w:p>
    <w:p w14:paraId="3A1C9194">
      <w:pPr>
        <w:pageBreakBefore w:val="0"/>
        <w:numPr>
          <w:ilvl w:val="0"/>
          <w:numId w:val="0"/>
        </w:numPr>
        <w:shd w:val="clear" w:color="auto" w:fill="FFFFFF"/>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color w:val="000000"/>
          <w:sz w:val="32"/>
          <w:szCs w:val="32"/>
          <w:highlight w:val="none"/>
          <w:lang w:val="en-US" w:eastAsia="zh-CN"/>
        </w:rPr>
        <w:t>3、</w:t>
      </w:r>
      <w:r>
        <w:rPr>
          <w:rFonts w:hint="eastAsia" w:ascii="仿宋_GB2312" w:hAnsi="仿宋_GB2312" w:eastAsia="仿宋_GB2312" w:cs="仿宋_GB2312"/>
          <w:b/>
          <w:color w:val="000000"/>
          <w:sz w:val="32"/>
          <w:szCs w:val="32"/>
          <w:highlight w:val="none"/>
        </w:rPr>
        <w:t>公务接待费支出</w:t>
      </w:r>
      <w:r>
        <w:rPr>
          <w:rFonts w:hint="eastAsia" w:ascii="仿宋_GB2312" w:hAnsi="仿宋_GB2312" w:eastAsia="仿宋_GB2312" w:cs="仿宋_GB2312"/>
          <w:sz w:val="32"/>
          <w:szCs w:val="32"/>
          <w:highlight w:val="none"/>
          <w:lang w:val="en-US" w:eastAsia="zh-CN"/>
        </w:rPr>
        <w:t>153.65</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%。公务接待费支出决算比202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下降0.49</w:t>
      </w:r>
      <w:r>
        <w:rPr>
          <w:rFonts w:hint="eastAsia" w:ascii="仿宋_GB2312" w:hAnsi="仿宋_GB2312" w:eastAsia="仿宋_GB2312" w:cs="仿宋_GB2312"/>
          <w:sz w:val="32"/>
          <w:szCs w:val="32"/>
          <w:highlight w:val="none"/>
        </w:rPr>
        <w:t>%。主要本年接待批次减少且早餐比例有所下降</w:t>
      </w:r>
      <w:r>
        <w:rPr>
          <w:rFonts w:hint="eastAsia" w:ascii="仿宋_GB2312" w:hAnsi="仿宋_GB2312" w:eastAsia="仿宋_GB2312" w:cs="仿宋_GB2312"/>
          <w:sz w:val="32"/>
          <w:szCs w:val="32"/>
          <w:highlight w:val="none"/>
          <w:lang w:eastAsia="zh-CN"/>
        </w:rPr>
        <w:t>。</w:t>
      </w:r>
    </w:p>
    <w:p w14:paraId="4F493F3B">
      <w:pPr>
        <w:pageBreakBefore w:val="0"/>
        <w:numPr>
          <w:ilvl w:val="0"/>
          <w:numId w:val="0"/>
        </w:numPr>
        <w:shd w:val="clear" w:color="auto" w:fill="FFFFFF"/>
        <w:kinsoku/>
        <w:wordWrap/>
        <w:overflowPunct/>
        <w:topLinePunct w:val="0"/>
        <w:bidi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其中：</w:t>
      </w:r>
      <w:r>
        <w:rPr>
          <w:rFonts w:hint="eastAsia" w:ascii="仿宋_GB2312" w:hAnsi="仿宋_GB2312" w:eastAsia="仿宋_GB2312" w:cs="仿宋_GB2312"/>
          <w:b/>
          <w:color w:val="000000"/>
          <w:sz w:val="32"/>
          <w:szCs w:val="32"/>
          <w:highlight w:val="none"/>
        </w:rPr>
        <w:t>国内公务接待支出</w:t>
      </w:r>
      <w:r>
        <w:rPr>
          <w:rFonts w:hint="eastAsia" w:ascii="仿宋_GB2312" w:hAnsi="仿宋_GB2312" w:eastAsia="仿宋_GB2312" w:cs="仿宋_GB2312"/>
          <w:b/>
          <w:color w:val="000000"/>
          <w:sz w:val="32"/>
          <w:szCs w:val="32"/>
          <w:highlight w:val="none"/>
          <w:lang w:val="en-US" w:eastAsia="zh-CN"/>
        </w:rPr>
        <w:t>153.65</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主要用于执行公务、开展业务活动开支的交通费、住宿费、用餐费)。国内公务接待</w:t>
      </w:r>
      <w:r>
        <w:rPr>
          <w:rFonts w:hint="eastAsia" w:ascii="仿宋_GB2312" w:hAnsi="仿宋_GB2312" w:eastAsia="仿宋_GB2312" w:cs="仿宋_GB2312"/>
          <w:kern w:val="0"/>
          <w:sz w:val="32"/>
          <w:szCs w:val="32"/>
          <w:lang w:val="en-US" w:eastAsia="zh-CN" w:bidi="ar"/>
        </w:rPr>
        <w:t>365</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kern w:val="0"/>
          <w:sz w:val="32"/>
          <w:szCs w:val="32"/>
          <w:lang w:val="en-US" w:eastAsia="zh-CN" w:bidi="ar"/>
        </w:rPr>
        <w:t>2864</w:t>
      </w:r>
      <w:r>
        <w:rPr>
          <w:rFonts w:hint="eastAsia" w:ascii="仿宋_GB2312" w:hAnsi="仿宋_GB2312" w:eastAsia="仿宋_GB2312" w:cs="仿宋_GB2312"/>
          <w:sz w:val="32"/>
          <w:szCs w:val="32"/>
          <w:highlight w:val="none"/>
        </w:rPr>
        <w:t>人次（不包括陪同人员），共计支出</w:t>
      </w:r>
      <w:r>
        <w:rPr>
          <w:rFonts w:hint="eastAsia" w:ascii="仿宋_GB2312" w:hAnsi="仿宋_GB2312" w:eastAsia="仿宋_GB2312" w:cs="仿宋_GB2312"/>
          <w:sz w:val="32"/>
          <w:szCs w:val="32"/>
          <w:highlight w:val="none"/>
          <w:lang w:val="en-US" w:eastAsia="zh-CN"/>
        </w:rPr>
        <w:t>153.65</w:t>
      </w:r>
      <w:r>
        <w:rPr>
          <w:rFonts w:hint="eastAsia" w:ascii="仿宋_GB2312" w:hAnsi="仿宋_GB2312" w:eastAsia="仿宋_GB2312" w:cs="仿宋_GB2312"/>
          <w:sz w:val="32"/>
          <w:szCs w:val="32"/>
          <w:highlight w:val="none"/>
        </w:rPr>
        <w:t>万元。</w:t>
      </w:r>
    </w:p>
    <w:p w14:paraId="7ACCA457">
      <w:pPr>
        <w:pageBreakBefore w:val="0"/>
        <w:numPr>
          <w:ilvl w:val="0"/>
          <w:numId w:val="0"/>
        </w:numPr>
        <w:shd w:val="clear" w:color="auto" w:fill="FFFFFF"/>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rPr>
        <w:t>外事接待支出</w:t>
      </w:r>
      <w:r>
        <w:rPr>
          <w:rFonts w:hint="eastAsia" w:ascii="仿宋_GB2312" w:hAnsi="仿宋_GB2312" w:eastAsia="仿宋_GB2312" w:cs="仿宋_GB2312"/>
          <w:b/>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外事接待</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人，共计支出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14:paraId="592863F2">
      <w:pPr>
        <w:pStyle w:val="2"/>
        <w:rPr>
          <w:rFonts w:hint="eastAsia"/>
        </w:rPr>
      </w:pPr>
    </w:p>
    <w:p w14:paraId="19C6911B">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120" w:name="_Toc79163872"/>
      <w:bookmarkStart w:id="121" w:name="_Toc15377218"/>
      <w:bookmarkStart w:id="122" w:name="_Toc19123"/>
      <w:bookmarkStart w:id="123" w:name="_Toc15396610"/>
      <w:bookmarkStart w:id="124" w:name="_Toc79163622"/>
      <w:bookmarkStart w:id="125" w:name="_Toc14365"/>
      <w:bookmarkStart w:id="126" w:name="_Toc16061"/>
      <w:r>
        <w:rPr>
          <w:rFonts w:hint="eastAsia" w:ascii="黑体" w:hAnsi="黑体" w:eastAsia="黑体" w:cs="黑体"/>
          <w:b/>
          <w:bCs w:val="0"/>
          <w:color w:val="000000"/>
          <w:sz w:val="32"/>
          <w:szCs w:val="32"/>
          <w:highlight w:val="none"/>
          <w:lang w:eastAsia="zh-CN"/>
        </w:rPr>
        <w:t>八、政府性基金预算支出决算情况说明</w:t>
      </w:r>
      <w:bookmarkEnd w:id="120"/>
      <w:bookmarkEnd w:id="121"/>
      <w:bookmarkEnd w:id="122"/>
      <w:bookmarkEnd w:id="123"/>
      <w:bookmarkEnd w:id="124"/>
      <w:bookmarkEnd w:id="125"/>
      <w:bookmarkEnd w:id="126"/>
    </w:p>
    <w:p w14:paraId="08BF0B56">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年政府性基金预算拨款支出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14:paraId="5C355255">
      <w:pPr>
        <w:pStyle w:val="2"/>
        <w:rPr>
          <w:rFonts w:hint="eastAsia"/>
        </w:rPr>
      </w:pPr>
    </w:p>
    <w:p w14:paraId="6EC3466B">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仿宋_GB2312" w:hAnsi="仿宋_GB2312" w:eastAsia="仿宋_GB2312" w:cs="仿宋_GB2312"/>
          <w:b/>
          <w:bCs w:val="0"/>
          <w:color w:val="000000"/>
          <w:sz w:val="32"/>
          <w:szCs w:val="32"/>
          <w:highlight w:val="none"/>
          <w:lang w:eastAsia="zh-CN"/>
        </w:rPr>
      </w:pPr>
      <w:bookmarkStart w:id="127" w:name="_Toc6922"/>
      <w:bookmarkStart w:id="128" w:name="_Toc2814"/>
      <w:bookmarkStart w:id="129" w:name="_Toc79163873"/>
      <w:bookmarkStart w:id="130" w:name="_Toc15377219"/>
      <w:bookmarkStart w:id="131" w:name="_Toc79163623"/>
      <w:bookmarkStart w:id="132" w:name="_Toc15396611"/>
      <w:bookmarkStart w:id="133" w:name="_Toc5277"/>
      <w:r>
        <w:rPr>
          <w:rFonts w:hint="eastAsia" w:ascii="黑体" w:hAnsi="黑体" w:eastAsia="黑体" w:cs="黑体"/>
          <w:b/>
          <w:bCs w:val="0"/>
          <w:color w:val="000000"/>
          <w:sz w:val="32"/>
          <w:szCs w:val="32"/>
          <w:highlight w:val="none"/>
          <w:lang w:eastAsia="zh-CN"/>
        </w:rPr>
        <w:t>九、国有资本经营预算支出决算情况说明</w:t>
      </w:r>
      <w:bookmarkEnd w:id="127"/>
      <w:bookmarkEnd w:id="128"/>
      <w:bookmarkEnd w:id="129"/>
      <w:bookmarkEnd w:id="130"/>
      <w:bookmarkEnd w:id="131"/>
      <w:bookmarkEnd w:id="132"/>
      <w:bookmarkEnd w:id="133"/>
    </w:p>
    <w:p w14:paraId="35551FB5">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年国有资本经营预算拨款支出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14:paraId="7362CFE1">
      <w:pPr>
        <w:pStyle w:val="2"/>
        <w:rPr>
          <w:rFonts w:hint="eastAsia"/>
        </w:rPr>
      </w:pPr>
    </w:p>
    <w:p w14:paraId="0B10BB92">
      <w:pPr>
        <w:pStyle w:val="5"/>
        <w:pageBreakBefore w:val="0"/>
        <w:shd w:val="clear" w:color="auto" w:fill="FFFFFF"/>
        <w:kinsoku/>
        <w:wordWrap/>
        <w:overflowPunct/>
        <w:topLinePunct w:val="0"/>
        <w:bidi w:val="0"/>
        <w:spacing w:before="0" w:after="0" w:line="560" w:lineRule="exact"/>
        <w:ind w:firstLine="643" w:firstLineChars="200"/>
        <w:textAlignment w:val="auto"/>
        <w:rPr>
          <w:rFonts w:hint="eastAsia" w:ascii="黑体" w:hAnsi="黑体" w:eastAsia="黑体" w:cs="黑体"/>
          <w:b/>
          <w:bCs w:val="0"/>
          <w:color w:val="000000"/>
          <w:sz w:val="32"/>
          <w:szCs w:val="32"/>
          <w:highlight w:val="none"/>
          <w:lang w:eastAsia="zh-CN"/>
        </w:rPr>
      </w:pPr>
      <w:bookmarkStart w:id="134" w:name="_Toc8498"/>
      <w:bookmarkStart w:id="135" w:name="_Toc15377221"/>
      <w:bookmarkStart w:id="136" w:name="_Toc79163874"/>
      <w:bookmarkStart w:id="137" w:name="_Toc29738"/>
      <w:bookmarkStart w:id="138" w:name="_Toc21276"/>
      <w:bookmarkStart w:id="139" w:name="_Toc15396612"/>
      <w:bookmarkStart w:id="140" w:name="_Toc79163624"/>
      <w:r>
        <w:rPr>
          <w:rFonts w:hint="eastAsia" w:ascii="黑体" w:hAnsi="黑体" w:eastAsia="黑体" w:cs="黑体"/>
          <w:b/>
          <w:bCs w:val="0"/>
          <w:color w:val="000000"/>
          <w:sz w:val="32"/>
          <w:szCs w:val="32"/>
          <w:highlight w:val="none"/>
          <w:lang w:eastAsia="zh-CN"/>
        </w:rPr>
        <w:t>十、其他重要事项的情况说明</w:t>
      </w:r>
      <w:bookmarkEnd w:id="134"/>
      <w:bookmarkEnd w:id="135"/>
      <w:bookmarkEnd w:id="136"/>
      <w:bookmarkEnd w:id="137"/>
      <w:bookmarkEnd w:id="138"/>
      <w:bookmarkEnd w:id="139"/>
      <w:bookmarkEnd w:id="140"/>
    </w:p>
    <w:p w14:paraId="65838950">
      <w:pPr>
        <w:pageBreakBefore w:val="0"/>
        <w:shd w:val="clear" w:color="auto" w:fill="FFFFFF"/>
        <w:kinsoku/>
        <w:wordWrap/>
        <w:overflowPunct/>
        <w:topLinePunct w:val="0"/>
        <w:bidi w:val="0"/>
        <w:spacing w:line="560" w:lineRule="exact"/>
        <w:ind w:firstLine="643" w:firstLineChars="200"/>
        <w:textAlignment w:val="auto"/>
        <w:outlineLvl w:val="2"/>
        <w:rPr>
          <w:rFonts w:hint="eastAsia" w:ascii="仿宋_GB2312" w:hAnsi="仿宋_GB2312" w:eastAsia="仿宋_GB2312" w:cs="仿宋_GB2312"/>
          <w:color w:val="000000"/>
          <w:sz w:val="32"/>
          <w:szCs w:val="32"/>
          <w:highlight w:val="none"/>
        </w:rPr>
      </w:pPr>
      <w:bookmarkStart w:id="141" w:name="_Toc79163875"/>
      <w:bookmarkStart w:id="142" w:name="_Toc79163625"/>
      <w:bookmarkStart w:id="143" w:name="_Toc15377222"/>
      <w:bookmarkStart w:id="144" w:name="_Toc12466"/>
      <w:r>
        <w:rPr>
          <w:rFonts w:hint="eastAsia" w:ascii="楷体_GB2312" w:hAnsi="楷体_GB2312" w:eastAsia="楷体_GB2312" w:cs="楷体_GB2312"/>
          <w:b/>
          <w:color w:val="000000"/>
          <w:sz w:val="32"/>
          <w:szCs w:val="32"/>
          <w:highlight w:val="none"/>
        </w:rPr>
        <w:t>（一）机关运行经费支出情况</w:t>
      </w:r>
      <w:bookmarkEnd w:id="141"/>
      <w:bookmarkEnd w:id="142"/>
      <w:bookmarkEnd w:id="143"/>
      <w:bookmarkEnd w:id="144"/>
    </w:p>
    <w:p w14:paraId="54E96ECB">
      <w:pPr>
        <w:pageBreakBefore w:val="0"/>
        <w:shd w:val="clear" w:color="auto" w:fill="FFFFFF"/>
        <w:kinsoku/>
        <w:wordWrap/>
        <w:overflowPunct/>
        <w:topLinePunct w:val="0"/>
        <w:autoSpaceDE w:val="0"/>
        <w:autoSpaceDN w:val="0"/>
        <w:bidi w:val="0"/>
        <w:adjustRightInd w:val="0"/>
        <w:spacing w:line="560" w:lineRule="exact"/>
        <w:ind w:firstLine="640" w:firstLineChars="200"/>
        <w:jc w:val="left"/>
        <w:textAlignment w:val="auto"/>
        <w:outlineLvl w:val="2"/>
        <w:rPr>
          <w:rFonts w:hint="eastAsia" w:ascii="仿宋_GB2312" w:hAnsi="仿宋_GB2312" w:eastAsia="仿宋_GB2312" w:cs="仿宋_GB2312"/>
          <w:color w:val="auto"/>
          <w:sz w:val="32"/>
          <w:szCs w:val="32"/>
          <w:highlight w:val="none"/>
          <w:lang w:val="en-US" w:eastAsia="zh-CN"/>
        </w:rPr>
      </w:pPr>
      <w:bookmarkStart w:id="145" w:name="_Toc15377223"/>
      <w:bookmarkStart w:id="146" w:name="_Toc79163876"/>
      <w:bookmarkStart w:id="147" w:name="_Toc17230"/>
      <w:bookmarkStart w:id="148" w:name="_Toc79163626"/>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000000"/>
          <w:sz w:val="32"/>
          <w:szCs w:val="32"/>
          <w:highlight w:val="none"/>
          <w:lang w:eastAsia="zh-CN"/>
        </w:rPr>
        <w:t>壤塘县公务服务中心机关</w:t>
      </w:r>
      <w:r>
        <w:rPr>
          <w:rFonts w:hint="eastAsia" w:ascii="仿宋_GB2312" w:hAnsi="仿宋_GB2312" w:eastAsia="仿宋_GB2312" w:cs="仿宋_GB2312"/>
          <w:color w:val="auto"/>
          <w:sz w:val="32"/>
          <w:szCs w:val="32"/>
          <w:highlight w:val="none"/>
        </w:rPr>
        <w:t>运行经费支出</w:t>
      </w:r>
      <w:r>
        <w:rPr>
          <w:rFonts w:hint="eastAsia" w:ascii="仿宋_GB2312" w:hAnsi="仿宋_GB2312" w:eastAsia="仿宋_GB2312" w:cs="仿宋_GB2312"/>
          <w:color w:val="auto"/>
          <w:sz w:val="32"/>
          <w:szCs w:val="32"/>
          <w:highlight w:val="none"/>
          <w:lang w:val="en-US" w:eastAsia="zh-CN"/>
        </w:rPr>
        <w:t>120.65</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92.14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43.3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rPr>
        <w:t>在职人员减少</w:t>
      </w:r>
      <w:r>
        <w:rPr>
          <w:rFonts w:hint="eastAsia" w:ascii="仿宋_GB2312" w:hAnsi="仿宋_GB2312" w:eastAsia="仿宋_GB2312" w:cs="仿宋_GB2312"/>
          <w:color w:val="auto"/>
          <w:sz w:val="32"/>
          <w:szCs w:val="32"/>
          <w:highlight w:val="none"/>
          <w:lang w:eastAsia="zh-CN"/>
        </w:rPr>
        <w:t>对应机关运行经费减少</w:t>
      </w:r>
      <w:r>
        <w:rPr>
          <w:rFonts w:hint="eastAsia" w:ascii="仿宋_GB2312" w:hAnsi="仿宋_GB2312" w:eastAsia="仿宋_GB2312" w:cs="仿宋_GB2312"/>
          <w:color w:val="auto"/>
          <w:sz w:val="32"/>
          <w:szCs w:val="32"/>
          <w:highlight w:val="none"/>
          <w:lang w:val="en-US" w:eastAsia="zh-CN"/>
        </w:rPr>
        <w:t>。</w:t>
      </w:r>
    </w:p>
    <w:p w14:paraId="4BEAD7DF">
      <w:pPr>
        <w:shd w:val="clear" w:color="auto" w:fill="FFFFFF"/>
        <w:spacing w:line="600" w:lineRule="exact"/>
        <w:ind w:firstLine="643"/>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color w:val="auto"/>
          <w:sz w:val="32"/>
          <w:szCs w:val="32"/>
          <w:highlight w:val="none"/>
        </w:rPr>
        <w:t>（注：数据来源于财决附03表）</w:t>
      </w:r>
    </w:p>
    <w:p w14:paraId="0258CFF4">
      <w:pPr>
        <w:pageBreakBefore w:val="0"/>
        <w:shd w:val="clear" w:color="auto" w:fill="FFFFFF"/>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_GB2312" w:hAnsi="楷体_GB2312" w:eastAsia="楷体_GB2312" w:cs="楷体_GB2312"/>
          <w:b/>
          <w:color w:val="000000"/>
          <w:sz w:val="32"/>
          <w:szCs w:val="32"/>
          <w:highlight w:val="none"/>
        </w:rPr>
      </w:pPr>
      <w:r>
        <w:rPr>
          <w:rFonts w:hint="eastAsia" w:ascii="楷体_GB2312" w:hAnsi="楷体_GB2312" w:eastAsia="楷体_GB2312" w:cs="楷体_GB2312"/>
          <w:b/>
          <w:color w:val="000000"/>
          <w:sz w:val="32"/>
          <w:szCs w:val="32"/>
          <w:highlight w:val="none"/>
        </w:rPr>
        <w:t>（二）政府采购支出情况</w:t>
      </w:r>
      <w:bookmarkEnd w:id="145"/>
      <w:bookmarkEnd w:id="146"/>
      <w:bookmarkEnd w:id="147"/>
      <w:bookmarkEnd w:id="148"/>
    </w:p>
    <w:p w14:paraId="01782CAF">
      <w:pPr>
        <w:pageBreakBefore w:val="0"/>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壤塘县公务服务中心</w:t>
      </w:r>
      <w:r>
        <w:rPr>
          <w:rFonts w:hint="eastAsia" w:ascii="仿宋_GB2312" w:hAnsi="仿宋_GB2312" w:eastAsia="仿宋_GB2312" w:cs="仿宋_GB2312"/>
          <w:sz w:val="32"/>
          <w:szCs w:val="32"/>
          <w:highlight w:val="none"/>
        </w:rPr>
        <w:t>政府采购支出总额</w:t>
      </w:r>
      <w:r>
        <w:rPr>
          <w:rFonts w:hint="eastAsia" w:ascii="仿宋_GB2312" w:hAnsi="仿宋_GB2312" w:eastAsia="仿宋_GB2312" w:cs="仿宋_GB2312"/>
          <w:sz w:val="32"/>
          <w:szCs w:val="32"/>
          <w:highlight w:val="none"/>
          <w:lang w:val="en-US" w:eastAsia="zh-CN"/>
        </w:rPr>
        <w:t>135.84</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135.84</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135.84</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135.84</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0FE58758">
      <w:pPr>
        <w:shd w:val="clear" w:color="auto" w:fill="FFFFFF"/>
        <w:spacing w:line="60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auto"/>
          <w:sz w:val="32"/>
          <w:szCs w:val="32"/>
          <w:highlight w:val="none"/>
        </w:rPr>
        <w:t>（注：数据来源于财决附03表）</w:t>
      </w:r>
    </w:p>
    <w:p w14:paraId="7DBBBF80">
      <w:pPr>
        <w:pageBreakBefore w:val="0"/>
        <w:shd w:val="clear" w:color="auto" w:fill="FFFFFF"/>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_GB2312" w:hAnsi="楷体_GB2312" w:eastAsia="楷体_GB2312" w:cs="楷体_GB2312"/>
          <w:b/>
          <w:color w:val="000000"/>
          <w:sz w:val="32"/>
          <w:szCs w:val="32"/>
          <w:highlight w:val="none"/>
        </w:rPr>
      </w:pPr>
      <w:bookmarkStart w:id="149" w:name="_Toc15377224"/>
      <w:bookmarkStart w:id="150" w:name="_Toc79163627"/>
      <w:bookmarkStart w:id="151" w:name="_Toc25047"/>
      <w:bookmarkStart w:id="152" w:name="_Toc79163877"/>
      <w:r>
        <w:rPr>
          <w:rFonts w:hint="eastAsia" w:ascii="楷体_GB2312" w:hAnsi="楷体_GB2312" w:eastAsia="楷体_GB2312" w:cs="楷体_GB2312"/>
          <w:b/>
          <w:color w:val="000000"/>
          <w:sz w:val="32"/>
          <w:szCs w:val="32"/>
          <w:highlight w:val="none"/>
        </w:rPr>
        <w:t>（三）国有资产占有使用情况</w:t>
      </w:r>
      <w:bookmarkEnd w:id="149"/>
      <w:bookmarkEnd w:id="150"/>
      <w:bookmarkEnd w:id="151"/>
      <w:bookmarkEnd w:id="152"/>
    </w:p>
    <w:p w14:paraId="64407DB2">
      <w:pPr>
        <w:pageBreakBefore w:val="0"/>
        <w:numPr>
          <w:ilvl w:val="0"/>
          <w:numId w:val="0"/>
        </w:numPr>
        <w:shd w:val="clear" w:color="auto" w:fill="FFFFFF"/>
        <w:kinsoku/>
        <w:wordWrap/>
        <w:overflowPunct/>
        <w:topLinePunct w:val="0"/>
        <w:bidi w:val="0"/>
        <w:spacing w:line="560" w:lineRule="exact"/>
        <w:ind w:firstLine="1280" w:firstLineChars="4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年12月31日，</w:t>
      </w:r>
      <w:r>
        <w:rPr>
          <w:rFonts w:hint="eastAsia" w:ascii="仿宋_GB2312" w:hAnsi="仿宋_GB2312" w:eastAsia="仿宋_GB2312" w:cs="仿宋_GB2312"/>
          <w:sz w:val="32"/>
          <w:szCs w:val="32"/>
          <w:highlight w:val="none"/>
          <w:lang w:eastAsia="zh-CN"/>
        </w:rPr>
        <w:t>壤塘县公务服务中心</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单价50万元以上通用设备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台（套），单价100万元以上专用设备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14:paraId="26D2CB60">
      <w:pPr>
        <w:shd w:val="clear" w:color="auto" w:fill="FFFFFF"/>
        <w:spacing w:line="600" w:lineRule="exact"/>
        <w:ind w:firstLine="643"/>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auto"/>
          <w:sz w:val="32"/>
          <w:szCs w:val="32"/>
          <w:highlight w:val="none"/>
        </w:rPr>
        <w:t>（注：数据来源</w:t>
      </w:r>
      <w:r>
        <w:rPr>
          <w:rFonts w:hint="eastAsia" w:ascii="仿宋_GB2312" w:hAnsi="仿宋_GB2312" w:eastAsia="仿宋_GB2312" w:cs="仿宋_GB2312"/>
          <w:b/>
          <w:color w:val="auto"/>
          <w:sz w:val="32"/>
          <w:szCs w:val="32"/>
          <w:highlight w:val="none"/>
          <w:lang w:eastAsia="zh-CN"/>
        </w:rPr>
        <w:t>于</w:t>
      </w:r>
      <w:r>
        <w:rPr>
          <w:rFonts w:hint="eastAsia" w:ascii="仿宋_GB2312" w:hAnsi="仿宋_GB2312" w:eastAsia="仿宋_GB2312" w:cs="仿宋_GB2312"/>
          <w:b/>
          <w:color w:val="auto"/>
          <w:sz w:val="32"/>
          <w:szCs w:val="32"/>
          <w:highlight w:val="none"/>
        </w:rPr>
        <w:t>财决附03表，按部门决算报表填报数据罗列车辆情况。）</w:t>
      </w:r>
    </w:p>
    <w:p w14:paraId="17B7AD54">
      <w:pPr>
        <w:pageBreakBefore w:val="0"/>
        <w:shd w:val="clear" w:color="auto" w:fill="FFFFFF"/>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_GB2312" w:hAnsi="楷体_GB2312" w:eastAsia="楷体_GB2312" w:cs="楷体_GB2312"/>
          <w:b/>
          <w:color w:val="000000"/>
          <w:sz w:val="32"/>
          <w:szCs w:val="32"/>
          <w:highlight w:val="none"/>
        </w:rPr>
      </w:pPr>
      <w:bookmarkStart w:id="153" w:name="_Toc79163878"/>
      <w:bookmarkStart w:id="154" w:name="_Toc79163628"/>
      <w:bookmarkStart w:id="155" w:name="_Toc14802"/>
      <w:r>
        <w:rPr>
          <w:rFonts w:hint="eastAsia" w:ascii="楷体_GB2312" w:hAnsi="楷体_GB2312" w:eastAsia="楷体_GB2312" w:cs="楷体_GB2312"/>
          <w:b/>
          <w:color w:val="000000"/>
          <w:sz w:val="32"/>
          <w:szCs w:val="32"/>
          <w:highlight w:val="none"/>
        </w:rPr>
        <w:t>（四）预算绩效管理情况。</w:t>
      </w:r>
      <w:bookmarkEnd w:id="153"/>
      <w:bookmarkEnd w:id="154"/>
      <w:bookmarkEnd w:id="155"/>
    </w:p>
    <w:p w14:paraId="564D0184">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w:t>
      </w:r>
      <w:r>
        <w:rPr>
          <w:rFonts w:hint="eastAsia" w:ascii="仿宋_GB2312" w:hAnsi="仿宋_GB2312" w:eastAsia="仿宋_GB2312" w:cs="仿宋_GB2312"/>
          <w:sz w:val="32"/>
          <w:szCs w:val="32"/>
          <w:highlight w:val="none"/>
        </w:rPr>
        <w:t>，开展预算事前绩效评估，对</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个项目开展了绩效目标完成情况自评。</w:t>
      </w:r>
    </w:p>
    <w:p w14:paraId="56D3239C">
      <w:pPr>
        <w:widowControl/>
        <w:shd w:val="clear" w:color="auto" w:fill="FFFFFF"/>
        <w:spacing w:line="576" w:lineRule="exact"/>
        <w:ind w:firstLine="64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部门整体支出绩效评价情况开展自评，《</w:t>
      </w:r>
      <w:r>
        <w:rPr>
          <w:rFonts w:hint="eastAsia" w:ascii="仿宋_GB2312" w:hAnsi="仿宋_GB2312" w:eastAsia="仿宋_GB2312" w:cs="仿宋_GB2312"/>
          <w:sz w:val="32"/>
          <w:szCs w:val="32"/>
          <w:highlight w:val="none"/>
          <w:lang w:eastAsia="zh-CN"/>
        </w:rPr>
        <w:t>壤塘县公务服务中心</w:t>
      </w:r>
      <w:r>
        <w:rPr>
          <w:rFonts w:hint="eastAsia" w:ascii="仿宋_GB2312" w:hAnsi="仿宋_GB2312" w:eastAsia="仿宋_GB2312" w:cs="仿宋_GB2312"/>
          <w:sz w:val="32"/>
          <w:szCs w:val="32"/>
          <w:highlight w:val="none"/>
        </w:rPr>
        <w:t>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部门整体支出绩效评价报告》见附件（附件1）。</w:t>
      </w:r>
    </w:p>
    <w:p w14:paraId="531BF557">
      <w:pPr>
        <w:widowControl/>
        <w:shd w:val="clear" w:color="auto" w:fill="FFFFFF"/>
        <w:spacing w:line="576" w:lineRule="exact"/>
        <w:ind w:firstLine="640"/>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本部门自行组织对“一般行政管理事务项目”、“其他公共安全支出项目”、开展了绩效评价，《</w:t>
      </w:r>
      <w:r>
        <w:rPr>
          <w:rFonts w:hint="eastAsia" w:ascii="仿宋_GB2312" w:hAnsi="仿宋_GB2312" w:eastAsia="仿宋_GB2312" w:cs="仿宋_GB2312"/>
          <w:sz w:val="32"/>
          <w:szCs w:val="32"/>
          <w:highlight w:val="none"/>
          <w:lang w:eastAsia="zh-CN"/>
        </w:rPr>
        <w:t>壤塘县公务服务中心</w:t>
      </w:r>
      <w:r>
        <w:rPr>
          <w:rFonts w:hint="eastAsia" w:ascii="仿宋_GB2312" w:hAnsi="仿宋_GB2312" w:eastAsia="仿宋_GB2312" w:cs="仿宋_GB2312"/>
          <w:sz w:val="32"/>
          <w:szCs w:val="32"/>
          <w:highlight w:val="none"/>
        </w:rPr>
        <w:t>项目202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绩效评价报告》见附件（附件2）。</w:t>
      </w:r>
      <w:bookmarkStart w:id="156" w:name="_Toc15377225"/>
      <w:bookmarkStart w:id="157" w:name="_Toc15396613"/>
      <w:bookmarkStart w:id="158" w:name="_Toc79163879"/>
      <w:bookmarkStart w:id="159" w:name="_Toc22751"/>
      <w:bookmarkStart w:id="160" w:name="_Toc1554"/>
      <w:bookmarkStart w:id="161" w:name="_Toc13070"/>
      <w:bookmarkStart w:id="162" w:name="_Toc79163629"/>
    </w:p>
    <w:p w14:paraId="156BF0C4">
      <w:pPr>
        <w:pStyle w:val="2"/>
        <w:shd w:val="clear" w:color="auto" w:fill="FFFFFF"/>
        <w:rPr>
          <w:rFonts w:hint="eastAsia" w:ascii="仿宋_GB2312" w:hAnsi="仿宋_GB2312" w:eastAsia="仿宋_GB2312" w:cs="仿宋_GB2312"/>
          <w:sz w:val="32"/>
          <w:szCs w:val="32"/>
          <w:highlight w:val="none"/>
        </w:rPr>
      </w:pPr>
    </w:p>
    <w:p w14:paraId="5D491BA5">
      <w:pPr>
        <w:pStyle w:val="2"/>
        <w:shd w:val="clear" w:color="auto" w:fill="FFFFFF"/>
        <w:rPr>
          <w:rFonts w:hint="eastAsia" w:ascii="仿宋_GB2312" w:hAnsi="仿宋_GB2312" w:eastAsia="仿宋_GB2312" w:cs="仿宋_GB2312"/>
          <w:sz w:val="32"/>
          <w:szCs w:val="32"/>
          <w:highlight w:val="none"/>
        </w:rPr>
      </w:pPr>
    </w:p>
    <w:p w14:paraId="5B1E7586">
      <w:pPr>
        <w:pStyle w:val="2"/>
        <w:shd w:val="clear" w:color="auto" w:fill="FFFFFF"/>
        <w:rPr>
          <w:rFonts w:hint="eastAsia" w:ascii="仿宋_GB2312" w:hAnsi="仿宋_GB2312" w:eastAsia="仿宋_GB2312" w:cs="仿宋_GB2312"/>
          <w:sz w:val="32"/>
          <w:szCs w:val="32"/>
          <w:highlight w:val="none"/>
        </w:rPr>
      </w:pPr>
    </w:p>
    <w:p w14:paraId="5C719780">
      <w:pPr>
        <w:pStyle w:val="2"/>
        <w:shd w:val="clear" w:color="auto" w:fill="FFFFFF"/>
        <w:rPr>
          <w:rFonts w:hint="eastAsia" w:ascii="仿宋_GB2312" w:hAnsi="仿宋_GB2312" w:eastAsia="仿宋_GB2312" w:cs="仿宋_GB2312"/>
          <w:sz w:val="32"/>
          <w:szCs w:val="32"/>
          <w:highlight w:val="none"/>
        </w:rPr>
      </w:pPr>
    </w:p>
    <w:p w14:paraId="66E0213F">
      <w:pPr>
        <w:pStyle w:val="2"/>
        <w:shd w:val="clear" w:color="auto" w:fill="FFFFFF"/>
        <w:rPr>
          <w:rFonts w:hint="eastAsia" w:ascii="仿宋_GB2312" w:hAnsi="仿宋_GB2312" w:eastAsia="仿宋_GB2312" w:cs="仿宋_GB2312"/>
          <w:sz w:val="32"/>
          <w:szCs w:val="32"/>
          <w:highlight w:val="none"/>
        </w:rPr>
      </w:pPr>
    </w:p>
    <w:p w14:paraId="3BF22204">
      <w:pPr>
        <w:pStyle w:val="2"/>
        <w:shd w:val="clear" w:color="auto" w:fill="FFFFFF"/>
        <w:rPr>
          <w:rFonts w:hint="eastAsia" w:ascii="仿宋_GB2312" w:hAnsi="仿宋_GB2312" w:eastAsia="仿宋_GB2312" w:cs="仿宋_GB2312"/>
          <w:sz w:val="32"/>
          <w:szCs w:val="32"/>
          <w:highlight w:val="none"/>
        </w:rPr>
      </w:pPr>
    </w:p>
    <w:p w14:paraId="183AABB0">
      <w:pPr>
        <w:pStyle w:val="2"/>
        <w:shd w:val="clear" w:color="auto" w:fill="FFFFFF"/>
        <w:rPr>
          <w:rFonts w:hint="eastAsia" w:ascii="仿宋_GB2312" w:hAnsi="仿宋_GB2312" w:eastAsia="仿宋_GB2312" w:cs="仿宋_GB2312"/>
          <w:sz w:val="32"/>
          <w:szCs w:val="32"/>
          <w:highlight w:val="none"/>
        </w:rPr>
      </w:pPr>
    </w:p>
    <w:p w14:paraId="1595FD39">
      <w:pPr>
        <w:pStyle w:val="2"/>
        <w:shd w:val="clear" w:color="auto" w:fill="FFFFFF"/>
        <w:rPr>
          <w:rFonts w:hint="eastAsia" w:ascii="仿宋_GB2312" w:hAnsi="仿宋_GB2312" w:eastAsia="仿宋_GB2312" w:cs="仿宋_GB2312"/>
          <w:sz w:val="32"/>
          <w:szCs w:val="32"/>
          <w:highlight w:val="none"/>
        </w:rPr>
      </w:pPr>
    </w:p>
    <w:p w14:paraId="1F7E8B5F">
      <w:pPr>
        <w:pStyle w:val="2"/>
        <w:shd w:val="clear" w:color="auto" w:fill="FFFFFF"/>
        <w:rPr>
          <w:rFonts w:hint="eastAsia" w:ascii="仿宋_GB2312" w:hAnsi="仿宋_GB2312" w:eastAsia="仿宋_GB2312" w:cs="仿宋_GB2312"/>
          <w:sz w:val="32"/>
          <w:szCs w:val="32"/>
          <w:highlight w:val="none"/>
        </w:rPr>
      </w:pPr>
    </w:p>
    <w:p w14:paraId="726A4DB3">
      <w:pPr>
        <w:pStyle w:val="2"/>
        <w:shd w:val="clear" w:color="auto" w:fill="FFFFFF"/>
        <w:rPr>
          <w:rFonts w:hint="eastAsia" w:ascii="仿宋_GB2312" w:hAnsi="仿宋_GB2312" w:eastAsia="仿宋_GB2312" w:cs="仿宋_GB2312"/>
          <w:sz w:val="32"/>
          <w:szCs w:val="32"/>
          <w:highlight w:val="none"/>
        </w:rPr>
      </w:pPr>
    </w:p>
    <w:p w14:paraId="685E4F77">
      <w:pPr>
        <w:pStyle w:val="2"/>
        <w:shd w:val="clear" w:color="auto" w:fill="FFFFFF"/>
        <w:rPr>
          <w:rFonts w:hint="eastAsia" w:ascii="仿宋_GB2312" w:hAnsi="仿宋_GB2312" w:eastAsia="仿宋_GB2312" w:cs="仿宋_GB2312"/>
          <w:sz w:val="32"/>
          <w:szCs w:val="32"/>
          <w:highlight w:val="none"/>
        </w:rPr>
      </w:pPr>
    </w:p>
    <w:p w14:paraId="7A23862E">
      <w:pPr>
        <w:pStyle w:val="2"/>
        <w:shd w:val="clear" w:color="auto" w:fill="FFFFFF"/>
        <w:rPr>
          <w:rFonts w:hint="eastAsia" w:ascii="仿宋_GB2312" w:hAnsi="仿宋_GB2312" w:eastAsia="仿宋_GB2312" w:cs="仿宋_GB2312"/>
          <w:sz w:val="32"/>
          <w:szCs w:val="32"/>
          <w:highlight w:val="none"/>
        </w:rPr>
      </w:pPr>
    </w:p>
    <w:p w14:paraId="6443125F">
      <w:pPr>
        <w:pStyle w:val="2"/>
        <w:shd w:val="clear" w:color="auto" w:fill="FFFFFF"/>
        <w:rPr>
          <w:rFonts w:hint="eastAsia" w:ascii="仿宋_GB2312" w:hAnsi="仿宋_GB2312" w:eastAsia="仿宋_GB2312" w:cs="仿宋_GB2312"/>
          <w:sz w:val="32"/>
          <w:szCs w:val="32"/>
          <w:highlight w:val="none"/>
        </w:rPr>
      </w:pPr>
    </w:p>
    <w:p w14:paraId="7176403B">
      <w:pPr>
        <w:pStyle w:val="2"/>
        <w:shd w:val="clear" w:color="auto" w:fill="FFFFFF"/>
        <w:rPr>
          <w:rFonts w:hint="eastAsia" w:ascii="仿宋_GB2312" w:hAnsi="仿宋_GB2312" w:eastAsia="仿宋_GB2312" w:cs="仿宋_GB2312"/>
          <w:sz w:val="32"/>
          <w:szCs w:val="32"/>
          <w:highlight w:val="none"/>
        </w:rPr>
      </w:pPr>
    </w:p>
    <w:p w14:paraId="330E6833">
      <w:pPr>
        <w:pStyle w:val="2"/>
        <w:shd w:val="clear" w:color="auto" w:fill="FFFFFF"/>
        <w:rPr>
          <w:rFonts w:hint="eastAsia" w:ascii="仿宋_GB2312" w:hAnsi="仿宋_GB2312" w:eastAsia="仿宋_GB2312" w:cs="仿宋_GB2312"/>
          <w:sz w:val="32"/>
          <w:szCs w:val="32"/>
          <w:highlight w:val="none"/>
        </w:rPr>
      </w:pPr>
    </w:p>
    <w:p w14:paraId="31153B15">
      <w:pPr>
        <w:pStyle w:val="2"/>
        <w:shd w:val="clear" w:color="auto" w:fill="FFFFFF"/>
        <w:rPr>
          <w:rFonts w:hint="eastAsia" w:ascii="仿宋_GB2312" w:hAnsi="仿宋_GB2312" w:eastAsia="仿宋_GB2312" w:cs="仿宋_GB2312"/>
          <w:sz w:val="32"/>
          <w:szCs w:val="32"/>
          <w:highlight w:val="none"/>
        </w:rPr>
      </w:pPr>
    </w:p>
    <w:p w14:paraId="434CA6A7">
      <w:pPr>
        <w:pageBreakBefore w:val="0"/>
        <w:numPr>
          <w:ilvl w:val="0"/>
          <w:numId w:val="1"/>
        </w:numPr>
        <w:shd w:val="clear" w:color="auto" w:fill="FFFFFF"/>
        <w:kinsoku/>
        <w:wordWrap/>
        <w:overflowPunct/>
        <w:topLinePunct w:val="0"/>
        <w:bidi w:val="0"/>
        <w:spacing w:line="560" w:lineRule="exact"/>
        <w:ind w:left="0" w:leftChars="0" w:firstLine="0" w:firstLineChars="0"/>
        <w:jc w:val="center"/>
        <w:textAlignment w:val="auto"/>
        <w:outlineLvl w:val="0"/>
        <w:rPr>
          <w:rStyle w:val="17"/>
          <w:rFonts w:hint="eastAsia" w:ascii="黑体" w:hAnsi="黑体" w:eastAsia="黑体" w:cs="黑体"/>
          <w:b/>
          <w:bCs/>
          <w:sz w:val="32"/>
          <w:szCs w:val="32"/>
          <w:highlight w:val="none"/>
        </w:rPr>
      </w:pPr>
      <w:bookmarkStart w:id="163" w:name="_Toc9192"/>
      <w:r>
        <w:rPr>
          <w:rFonts w:hint="eastAsia" w:ascii="黑体" w:hAnsi="黑体" w:eastAsia="黑体" w:cs="黑体"/>
          <w:b/>
          <w:bCs/>
          <w:color w:val="000000"/>
          <w:sz w:val="32"/>
          <w:szCs w:val="32"/>
          <w:highlight w:val="none"/>
        </w:rPr>
        <w:t>名</w:t>
      </w:r>
      <w:r>
        <w:rPr>
          <w:rStyle w:val="17"/>
          <w:rFonts w:hint="eastAsia" w:ascii="黑体" w:hAnsi="黑体" w:eastAsia="黑体" w:cs="黑体"/>
          <w:b/>
          <w:bCs/>
          <w:sz w:val="32"/>
          <w:szCs w:val="32"/>
          <w:highlight w:val="none"/>
        </w:rPr>
        <w:t>词解释</w:t>
      </w:r>
      <w:bookmarkEnd w:id="156"/>
      <w:bookmarkEnd w:id="157"/>
      <w:bookmarkEnd w:id="158"/>
      <w:bookmarkEnd w:id="159"/>
      <w:bookmarkEnd w:id="160"/>
      <w:bookmarkEnd w:id="161"/>
      <w:bookmarkEnd w:id="162"/>
      <w:bookmarkEnd w:id="163"/>
    </w:p>
    <w:p w14:paraId="20D8FEBD">
      <w:pPr>
        <w:pStyle w:val="2"/>
        <w:widowControl w:val="0"/>
        <w:numPr>
          <w:ilvl w:val="0"/>
          <w:numId w:val="0"/>
        </w:numPr>
        <w:shd w:val="clear" w:color="auto" w:fill="FFFFFF"/>
        <w:jc w:val="both"/>
        <w:rPr>
          <w:rFonts w:hint="eastAsia"/>
        </w:rPr>
      </w:pPr>
    </w:p>
    <w:p w14:paraId="61419975">
      <w:pPr>
        <w:pStyle w:val="2"/>
        <w:widowControl w:val="0"/>
        <w:numPr>
          <w:ilvl w:val="0"/>
          <w:numId w:val="0"/>
        </w:numPr>
        <w:shd w:val="clear" w:color="auto" w:fill="FFFFFF"/>
        <w:jc w:val="both"/>
        <w:rPr>
          <w:rFonts w:hint="eastAsia"/>
        </w:rPr>
      </w:pPr>
    </w:p>
    <w:p w14:paraId="01923E90">
      <w:pPr>
        <w:pStyle w:val="19"/>
        <w:keepNext w:val="0"/>
        <w:keepLines w:val="0"/>
        <w:pageBreakBefore w:val="0"/>
        <w:shd w:val="clear" w:color="auto" w:fill="FFFFFF"/>
        <w:kinsoku/>
        <w:wordWrap/>
        <w:overflowPunct/>
        <w:topLinePunct w:val="0"/>
        <w:bidi w:val="0"/>
        <w:spacing w:line="560" w:lineRule="exact"/>
        <w:ind w:right="0" w:firstLine="643" w:firstLineChars="200"/>
        <w:jc w:val="both"/>
        <w:textAlignment w:val="auto"/>
        <w:outlineLvl w:val="9"/>
        <w:rPr>
          <w:rFonts w:hint="eastAsia" w:ascii="仿宋_GB2312" w:hAnsi="仿宋_GB2312" w:eastAsia="仿宋_GB2312" w:cs="仿宋_GB2312"/>
          <w:sz w:val="32"/>
          <w:szCs w:val="32"/>
          <w:highlight w:val="none"/>
        </w:rPr>
      </w:pPr>
      <w:bookmarkStart w:id="164" w:name="_Toc15377226"/>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sz w:val="32"/>
          <w:szCs w:val="32"/>
          <w:highlight w:val="none"/>
        </w:rPr>
        <w:t>财政拨款收入：</w:t>
      </w:r>
      <w:r>
        <w:rPr>
          <w:rFonts w:hint="eastAsia" w:ascii="仿宋_GB2312" w:hAnsi="仿宋_GB2312" w:eastAsia="仿宋_GB2312" w:cs="仿宋_GB2312"/>
          <w:sz w:val="32"/>
          <w:szCs w:val="32"/>
          <w:highlight w:val="none"/>
        </w:rPr>
        <w:t>指单位从同级财政部门取得的财政预算资金。</w:t>
      </w:r>
    </w:p>
    <w:p w14:paraId="3A53E2D4">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2、事业收入：</w:t>
      </w:r>
      <w:r>
        <w:rPr>
          <w:rFonts w:hint="eastAsia" w:ascii="仿宋_GB2312" w:hAnsi="仿宋_GB2312" w:eastAsia="仿宋_GB2312" w:cs="仿宋_GB2312"/>
          <w:sz w:val="32"/>
          <w:szCs w:val="32"/>
          <w:highlight w:val="none"/>
        </w:rPr>
        <w:t>指事业单位开展专业业务活动及辅助活动取得的收入。</w:t>
      </w:r>
    </w:p>
    <w:p w14:paraId="4B56440F">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3、经营收入：</w:t>
      </w:r>
      <w:r>
        <w:rPr>
          <w:rFonts w:hint="eastAsia" w:ascii="仿宋_GB2312" w:hAnsi="仿宋_GB2312" w:eastAsia="仿宋_GB2312" w:cs="仿宋_GB2312"/>
          <w:sz w:val="32"/>
          <w:szCs w:val="32"/>
          <w:highlight w:val="none"/>
        </w:rPr>
        <w:t>指事业单位在专业业务活动及其辅助活动之外开展非独立核算经营活动取得的收入。</w:t>
      </w:r>
    </w:p>
    <w:p w14:paraId="627BE929">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4、其他收入：</w:t>
      </w:r>
      <w:r>
        <w:rPr>
          <w:rFonts w:hint="eastAsia" w:ascii="仿宋_GB2312" w:hAnsi="仿宋_GB2312" w:eastAsia="仿宋_GB2312" w:cs="仿宋_GB2312"/>
          <w:color w:val="auto"/>
          <w:kern w:val="2"/>
          <w:sz w:val="32"/>
          <w:szCs w:val="32"/>
          <w:highlight w:val="none"/>
          <w:lang w:val="en-US" w:eastAsia="zh-CN" w:bidi="ar-SA"/>
        </w:rPr>
        <w:t>指单位取得的除上述收入以外的各项收入。主要</w:t>
      </w:r>
      <w:r>
        <w:rPr>
          <w:rFonts w:hint="eastAsia" w:ascii="仿宋_GB2312" w:hAnsi="仿宋_GB2312" w:eastAsia="仿宋_GB2312" w:cs="仿宋_GB2312"/>
          <w:sz w:val="32"/>
          <w:szCs w:val="32"/>
          <w:highlight w:val="none"/>
        </w:rPr>
        <w:t xml:space="preserve">是主要是利息收入。 </w:t>
      </w:r>
    </w:p>
    <w:p w14:paraId="4AD8B918">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5、用事业基金弥补收支差额：</w:t>
      </w:r>
      <w:r>
        <w:rPr>
          <w:rFonts w:hint="eastAsia" w:ascii="仿宋_GB2312" w:hAnsi="仿宋_GB2312" w:eastAsia="仿宋_GB2312" w:cs="仿宋_GB2312"/>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293F293">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6、年初结转和结余：</w:t>
      </w:r>
      <w:r>
        <w:rPr>
          <w:rFonts w:hint="eastAsia" w:ascii="仿宋_GB2312" w:hAnsi="仿宋_GB2312" w:eastAsia="仿宋_GB2312" w:cs="仿宋_GB2312"/>
          <w:sz w:val="32"/>
          <w:szCs w:val="32"/>
          <w:highlight w:val="none"/>
        </w:rPr>
        <w:t xml:space="preserve">指以前年度尚未完成、结转到本年按有关规定继续使用的资金。 </w:t>
      </w:r>
    </w:p>
    <w:p w14:paraId="440389AD">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7、结余分配：</w:t>
      </w:r>
      <w:r>
        <w:rPr>
          <w:rFonts w:hint="eastAsia" w:ascii="仿宋_GB2312" w:hAnsi="仿宋_GB2312" w:eastAsia="仿宋_GB2312" w:cs="仿宋_GB2312"/>
          <w:sz w:val="32"/>
          <w:szCs w:val="32"/>
          <w:highlight w:val="none"/>
        </w:rPr>
        <w:t>指事业单位按照事业单位会计制度的规定从非财政补助结余中分配的事业基金和职工福利基金等。</w:t>
      </w:r>
    </w:p>
    <w:p w14:paraId="5DC3051F">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8、年末结转和结余：</w:t>
      </w:r>
      <w:r>
        <w:rPr>
          <w:rFonts w:hint="eastAsia" w:ascii="仿宋_GB2312" w:hAnsi="仿宋_GB2312" w:eastAsia="仿宋_GB2312" w:cs="仿宋_GB2312"/>
          <w:sz w:val="32"/>
          <w:szCs w:val="32"/>
          <w:highlight w:val="none"/>
        </w:rPr>
        <w:t>指单位按有关规定结转到下年或以后年度继续使用的资金。</w:t>
      </w:r>
    </w:p>
    <w:p w14:paraId="59A146DA">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9、一般公共服务201（类）29（款）01（项）：</w:t>
      </w:r>
      <w:r>
        <w:rPr>
          <w:rFonts w:hint="eastAsia" w:ascii="仿宋_GB2312" w:hAnsi="仿宋_GB2312" w:eastAsia="仿宋_GB2312" w:cs="仿宋_GB2312"/>
          <w:sz w:val="32"/>
          <w:szCs w:val="32"/>
          <w:highlight w:val="none"/>
        </w:rPr>
        <w:t>指</w:t>
      </w:r>
      <w:r>
        <w:rPr>
          <w:rFonts w:hint="eastAsia" w:ascii="仿宋_GB2312" w:hAnsi="仿宋_GB2312" w:eastAsia="仿宋_GB2312" w:cs="仿宋_GB2312"/>
          <w:color w:val="000000"/>
          <w:sz w:val="32"/>
          <w:szCs w:val="32"/>
          <w:highlight w:val="none"/>
        </w:rPr>
        <w:t>反映行政单位的基本支出。</w:t>
      </w:r>
    </w:p>
    <w:p w14:paraId="320DFAC7">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10、一般公共服务201（类）：</w:t>
      </w:r>
      <w:r>
        <w:rPr>
          <w:rFonts w:hint="eastAsia" w:ascii="仿宋_GB2312" w:hAnsi="仿宋_GB2312" w:eastAsia="仿宋_GB2312" w:cs="仿宋_GB2312"/>
          <w:sz w:val="32"/>
          <w:szCs w:val="32"/>
          <w:highlight w:val="none"/>
        </w:rPr>
        <w:t>反映行政</w:t>
      </w:r>
      <w:r>
        <w:rPr>
          <w:rFonts w:hint="eastAsia" w:ascii="仿宋_GB2312" w:hAnsi="仿宋_GB2312" w:eastAsia="仿宋_GB2312" w:cs="仿宋_GB2312"/>
          <w:color w:val="000000"/>
          <w:sz w:val="32"/>
          <w:szCs w:val="32"/>
          <w:highlight w:val="none"/>
        </w:rPr>
        <w:t>单位未单独设置项级科目的其他项目支出。</w:t>
      </w:r>
    </w:p>
    <w:p w14:paraId="20A8FE82">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11、社会保障和就业208（类）05（款）05（项）：</w:t>
      </w:r>
      <w:r>
        <w:rPr>
          <w:rFonts w:hint="eastAsia" w:ascii="仿宋_GB2312" w:hAnsi="仿宋_GB2312" w:eastAsia="仿宋_GB2312" w:cs="仿宋_GB2312"/>
          <w:sz w:val="32"/>
          <w:szCs w:val="32"/>
          <w:highlight w:val="none"/>
        </w:rPr>
        <w:t>反映机关事业单位实施养老保险制度由单位缴纳的基本养老</w:t>
      </w:r>
      <w:r>
        <w:rPr>
          <w:rFonts w:hint="eastAsia" w:ascii="仿宋_GB2312" w:hAnsi="仿宋_GB2312" w:eastAsia="仿宋_GB2312" w:cs="仿宋_GB2312"/>
          <w:color w:val="000000"/>
          <w:sz w:val="32"/>
          <w:szCs w:val="32"/>
          <w:highlight w:val="none"/>
        </w:rPr>
        <w:t>保险费支出。</w:t>
      </w:r>
    </w:p>
    <w:p w14:paraId="758C9AD0">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 xml:space="preserve">12、社会保障和就业208（类）05（款）06（项）: </w:t>
      </w:r>
      <w:r>
        <w:rPr>
          <w:rFonts w:hint="eastAsia" w:ascii="仿宋_GB2312" w:hAnsi="仿宋_GB2312" w:eastAsia="仿宋_GB2312" w:cs="仿宋_GB2312"/>
          <w:sz w:val="32"/>
          <w:szCs w:val="32"/>
          <w:highlight w:val="none"/>
        </w:rPr>
        <w:t>反映机关事业单位实施养老保险制度由单位实际缴纳的职业</w:t>
      </w:r>
      <w:r>
        <w:rPr>
          <w:rFonts w:hint="eastAsia" w:ascii="仿宋_GB2312" w:hAnsi="仿宋_GB2312" w:eastAsia="仿宋_GB2312" w:cs="仿宋_GB2312"/>
          <w:color w:val="000000"/>
          <w:sz w:val="32"/>
          <w:szCs w:val="32"/>
          <w:highlight w:val="none"/>
        </w:rPr>
        <w:t>年金支出。</w:t>
      </w:r>
    </w:p>
    <w:p w14:paraId="41CE5EBF">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 xml:space="preserve">13、卫生健康210（类）11（款）01（项）: </w:t>
      </w:r>
      <w:r>
        <w:rPr>
          <w:rFonts w:hint="eastAsia" w:ascii="仿宋_GB2312" w:hAnsi="仿宋_GB2312" w:eastAsia="仿宋_GB2312" w:cs="仿宋_GB2312"/>
          <w:sz w:val="32"/>
          <w:szCs w:val="32"/>
          <w:highlight w:val="none"/>
        </w:rPr>
        <w:t>反映财政部门集中安排的行政单位基本医疗保险缴费经费，未参加</w:t>
      </w:r>
      <w:r>
        <w:rPr>
          <w:rFonts w:hint="eastAsia" w:ascii="仿宋_GB2312" w:hAnsi="仿宋_GB2312" w:eastAsia="仿宋_GB2312" w:cs="仿宋_GB2312"/>
          <w:color w:val="000000"/>
          <w:sz w:val="32"/>
          <w:szCs w:val="32"/>
          <w:highlight w:val="none"/>
        </w:rPr>
        <w:t>医疗保险的行政单位的公费医疗经费，按国家规定享受离休人员待遇的医疗经费。</w:t>
      </w:r>
    </w:p>
    <w:p w14:paraId="2AC4CEA1">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14、住房保障支出221（类）02（款）01（项）:</w:t>
      </w:r>
      <w:r>
        <w:rPr>
          <w:rFonts w:hint="eastAsia" w:ascii="仿宋_GB2312" w:hAnsi="仿宋_GB2312" w:eastAsia="仿宋_GB2312" w:cs="仿宋_GB2312"/>
          <w:sz w:val="32"/>
          <w:szCs w:val="32"/>
          <w:highlight w:val="none"/>
        </w:rPr>
        <w:t xml:space="preserve"> 反映行政事业单位按人力资源和社会保障部、财政部规定</w:t>
      </w:r>
      <w:r>
        <w:rPr>
          <w:rFonts w:hint="eastAsia" w:ascii="仿宋_GB2312" w:hAnsi="仿宋_GB2312" w:eastAsia="仿宋_GB2312" w:cs="仿宋_GB2312"/>
          <w:color w:val="000000"/>
          <w:sz w:val="32"/>
          <w:szCs w:val="32"/>
          <w:highlight w:val="none"/>
        </w:rPr>
        <w:t>的基本工资和津贴补贴以及规定比例为职工缴纳的住房公积金。</w:t>
      </w:r>
    </w:p>
    <w:p w14:paraId="166C7173">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15、基本支出：</w:t>
      </w:r>
      <w:r>
        <w:rPr>
          <w:rFonts w:hint="eastAsia" w:ascii="仿宋_GB2312" w:hAnsi="仿宋_GB2312" w:eastAsia="仿宋_GB2312" w:cs="仿宋_GB2312"/>
          <w:color w:val="000000"/>
          <w:sz w:val="32"/>
          <w:szCs w:val="32"/>
          <w:highlight w:val="none"/>
        </w:rPr>
        <w:t>指为保障机构正常运转、完成日常工作任务而发生的人员支出和公用支出。</w:t>
      </w:r>
    </w:p>
    <w:p w14:paraId="0F05DF37">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16、项目支出：</w:t>
      </w:r>
      <w:r>
        <w:rPr>
          <w:rFonts w:hint="eastAsia" w:ascii="仿宋_GB2312" w:hAnsi="仿宋_GB2312" w:eastAsia="仿宋_GB2312" w:cs="仿宋_GB2312"/>
          <w:color w:val="000000"/>
          <w:sz w:val="32"/>
          <w:szCs w:val="32"/>
          <w:highlight w:val="none"/>
        </w:rPr>
        <w:t xml:space="preserve">指在基本支出之外为完成特定行政任务和事业发展目标所发生的支出。 </w:t>
      </w:r>
    </w:p>
    <w:p w14:paraId="082D2608">
      <w:pPr>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17、经营支出：</w:t>
      </w:r>
      <w:r>
        <w:rPr>
          <w:rFonts w:hint="eastAsia" w:ascii="仿宋_GB2312" w:hAnsi="仿宋_GB2312" w:eastAsia="仿宋_GB2312" w:cs="仿宋_GB2312"/>
          <w:color w:val="000000"/>
          <w:sz w:val="32"/>
          <w:szCs w:val="32"/>
          <w:highlight w:val="none"/>
        </w:rPr>
        <w:t>指事业单位在专业业务活动及其辅助活动之外开展非独立核算经营活动发生的支出。</w:t>
      </w:r>
    </w:p>
    <w:p w14:paraId="3370C448">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18、 “三公”经费：</w:t>
      </w:r>
      <w:r>
        <w:rPr>
          <w:rFonts w:hint="eastAsia" w:ascii="仿宋_GB2312" w:hAnsi="仿宋_GB2312" w:eastAsia="仿宋_GB2312" w:cs="仿宋_GB2312"/>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815030">
      <w:pPr>
        <w:pStyle w:val="19"/>
        <w:keepNext w:val="0"/>
        <w:keepLines w:val="0"/>
        <w:pageBreakBefore w:val="0"/>
        <w:shd w:val="clear" w:color="auto" w:fill="FFFFFF"/>
        <w:kinsoku/>
        <w:wordWrap/>
        <w:overflowPunct/>
        <w:topLinePunct w:val="0"/>
        <w:bidi w:val="0"/>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19、机关运行经费：</w:t>
      </w:r>
      <w:r>
        <w:rPr>
          <w:rFonts w:hint="eastAsia" w:ascii="仿宋_GB2312" w:hAnsi="仿宋_GB2312" w:eastAsia="仿宋_GB2312" w:cs="仿宋_GB2312"/>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3FB9AC">
      <w:pPr>
        <w:pageBreakBefore w:val="0"/>
        <w:shd w:val="clear" w:color="auto" w:fill="FFFFFF"/>
        <w:kinsoku/>
        <w:wordWrap/>
        <w:overflowPunct/>
        <w:topLinePunct w:val="0"/>
        <w:bidi w:val="0"/>
        <w:spacing w:line="560" w:lineRule="exact"/>
        <w:jc w:val="center"/>
        <w:textAlignment w:val="auto"/>
        <w:outlineLvl w:val="0"/>
        <w:rPr>
          <w:rStyle w:val="17"/>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color w:val="000000"/>
          <w:sz w:val="44"/>
          <w:szCs w:val="44"/>
          <w:highlight w:val="none"/>
        </w:rPr>
        <w:br w:type="page"/>
      </w:r>
      <w:bookmarkStart w:id="165" w:name="_Toc79163880"/>
      <w:bookmarkStart w:id="166" w:name="_Toc79163630"/>
      <w:bookmarkStart w:id="167" w:name="_Toc27633"/>
      <w:bookmarkStart w:id="168" w:name="_Toc16103"/>
      <w:bookmarkStart w:id="169" w:name="_Toc15396614"/>
      <w:bookmarkStart w:id="170" w:name="_Toc13913"/>
      <w:bookmarkStart w:id="171" w:name="_Toc12289"/>
      <w:r>
        <w:rPr>
          <w:rFonts w:hint="eastAsia" w:ascii="黑体" w:hAnsi="黑体" w:eastAsia="黑体" w:cs="黑体"/>
          <w:b/>
          <w:bCs/>
          <w:color w:val="000000"/>
          <w:sz w:val="32"/>
          <w:szCs w:val="32"/>
          <w:highlight w:val="none"/>
        </w:rPr>
        <w:t>第</w:t>
      </w:r>
      <w:r>
        <w:rPr>
          <w:rStyle w:val="17"/>
          <w:rFonts w:hint="eastAsia" w:ascii="黑体" w:hAnsi="黑体" w:eastAsia="黑体" w:cs="黑体"/>
          <w:b/>
          <w:bCs/>
          <w:sz w:val="32"/>
          <w:szCs w:val="32"/>
          <w:highlight w:val="none"/>
        </w:rPr>
        <w:t>四部分 附件</w:t>
      </w:r>
      <w:bookmarkEnd w:id="165"/>
      <w:bookmarkEnd w:id="166"/>
      <w:bookmarkEnd w:id="167"/>
      <w:bookmarkEnd w:id="168"/>
      <w:bookmarkEnd w:id="169"/>
      <w:bookmarkEnd w:id="170"/>
      <w:bookmarkEnd w:id="171"/>
    </w:p>
    <w:p w14:paraId="68E13C54">
      <w:pPr>
        <w:pageBreakBefore w:val="0"/>
        <w:shd w:val="clear" w:color="auto" w:fill="FFFFFF"/>
        <w:kinsoku/>
        <w:wordWrap/>
        <w:overflowPunct/>
        <w:topLinePunct w:val="0"/>
        <w:bidi w:val="0"/>
        <w:spacing w:line="560" w:lineRule="exact"/>
        <w:jc w:val="left"/>
        <w:textAlignment w:val="auto"/>
        <w:outlineLvl w:val="1"/>
        <w:rPr>
          <w:rFonts w:hint="eastAsia" w:ascii="黑体" w:hAnsi="黑体" w:eastAsia="黑体" w:cs="黑体"/>
          <w:sz w:val="32"/>
          <w:szCs w:val="32"/>
          <w:highlight w:val="none"/>
        </w:rPr>
      </w:pPr>
      <w:bookmarkStart w:id="172" w:name="_Toc31392"/>
      <w:bookmarkStart w:id="173" w:name="_Toc79163881"/>
      <w:bookmarkStart w:id="174" w:name="_Toc79163631"/>
      <w:bookmarkStart w:id="175" w:name="_Toc13180"/>
      <w:bookmarkStart w:id="176" w:name="_Toc12230"/>
      <w:bookmarkStart w:id="177" w:name="_Toc29693"/>
      <w:bookmarkStart w:id="178" w:name="_Toc31453"/>
      <w:bookmarkStart w:id="179" w:name="_Toc15702"/>
      <w:r>
        <w:rPr>
          <w:rFonts w:hint="eastAsia" w:ascii="黑体" w:hAnsi="黑体" w:eastAsia="黑体" w:cs="黑体"/>
          <w:sz w:val="32"/>
          <w:szCs w:val="32"/>
          <w:highlight w:val="none"/>
        </w:rPr>
        <w:t>附件1</w:t>
      </w:r>
      <w:bookmarkEnd w:id="172"/>
      <w:bookmarkEnd w:id="173"/>
      <w:bookmarkEnd w:id="174"/>
      <w:bookmarkEnd w:id="175"/>
      <w:bookmarkEnd w:id="176"/>
      <w:bookmarkEnd w:id="177"/>
      <w:bookmarkEnd w:id="178"/>
      <w:bookmarkEnd w:id="179"/>
    </w:p>
    <w:p w14:paraId="5DCD8B37">
      <w:pPr>
        <w:pageBreakBefore w:val="0"/>
        <w:shd w:val="clear" w:color="auto" w:fill="FFFFFF"/>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p>
    <w:p w14:paraId="7F696640">
      <w:pPr>
        <w:pageBreakBefore w:val="0"/>
        <w:widowControl/>
        <w:shd w:val="clear" w:color="auto" w:fill="FFFFFF"/>
        <w:kinsoku/>
        <w:wordWrap/>
        <w:overflowPunct/>
        <w:topLinePunct w:val="0"/>
        <w:bidi w:val="0"/>
        <w:spacing w:line="560" w:lineRule="exact"/>
        <w:ind w:firstLine="2209" w:firstLineChars="500"/>
        <w:contextualSpacing/>
        <w:jc w:val="both"/>
        <w:textAlignment w:val="auto"/>
        <w:rPr>
          <w:rFonts w:hint="eastAsia" w:ascii="楷体" w:hAnsi="楷体" w:eastAsia="楷体" w:cs="楷体"/>
          <w:b/>
          <w:sz w:val="44"/>
          <w:szCs w:val="44"/>
          <w:highlight w:val="none"/>
          <w:shd w:val="clear" w:color="auto" w:fill="FFFFFF"/>
          <w:lang w:val="en-US" w:eastAsia="zh-CN"/>
        </w:rPr>
      </w:pPr>
      <w:r>
        <w:rPr>
          <w:rFonts w:hint="eastAsia" w:ascii="楷体" w:hAnsi="楷体" w:eastAsia="楷体" w:cs="楷体"/>
          <w:b/>
          <w:sz w:val="44"/>
          <w:szCs w:val="44"/>
          <w:highlight w:val="none"/>
          <w:shd w:val="clear" w:color="auto" w:fill="FFFFFF"/>
        </w:rPr>
        <w:t>壤塘县</w:t>
      </w:r>
      <w:r>
        <w:rPr>
          <w:rFonts w:hint="eastAsia" w:ascii="楷体" w:hAnsi="楷体" w:eastAsia="楷体" w:cs="楷体"/>
          <w:b/>
          <w:sz w:val="44"/>
          <w:szCs w:val="44"/>
          <w:highlight w:val="none"/>
          <w:shd w:val="clear" w:color="auto" w:fill="FFFFFF"/>
          <w:lang w:eastAsia="zh-CN"/>
        </w:rPr>
        <w:t>公务服务中心</w:t>
      </w:r>
    </w:p>
    <w:p w14:paraId="7AE197C8">
      <w:pPr>
        <w:pageBreakBefore w:val="0"/>
        <w:widowControl/>
        <w:shd w:val="clear" w:color="auto" w:fill="FFFFFF"/>
        <w:kinsoku/>
        <w:wordWrap/>
        <w:overflowPunct/>
        <w:topLinePunct w:val="0"/>
        <w:bidi w:val="0"/>
        <w:spacing w:line="560" w:lineRule="exact"/>
        <w:contextualSpacing/>
        <w:jc w:val="center"/>
        <w:textAlignment w:val="auto"/>
        <w:rPr>
          <w:rFonts w:hint="eastAsia" w:ascii="楷体" w:hAnsi="楷体" w:eastAsia="楷体" w:cs="楷体"/>
          <w:color w:val="000000"/>
          <w:kern w:val="0"/>
          <w:sz w:val="44"/>
          <w:szCs w:val="44"/>
          <w:highlight w:val="none"/>
          <w:shd w:val="clear" w:color="auto" w:fill="FFFFFF"/>
        </w:rPr>
      </w:pPr>
      <w:r>
        <w:rPr>
          <w:rFonts w:hint="eastAsia" w:ascii="楷体" w:hAnsi="楷体" w:eastAsia="楷体" w:cs="楷体"/>
          <w:b/>
          <w:sz w:val="44"/>
          <w:szCs w:val="44"/>
          <w:highlight w:val="none"/>
          <w:shd w:val="clear" w:color="auto" w:fill="FFFFFF"/>
        </w:rPr>
        <w:t>20</w:t>
      </w:r>
      <w:r>
        <w:rPr>
          <w:rFonts w:hint="eastAsia" w:ascii="楷体" w:hAnsi="楷体" w:eastAsia="楷体" w:cs="楷体"/>
          <w:b/>
          <w:sz w:val="44"/>
          <w:szCs w:val="44"/>
          <w:highlight w:val="none"/>
          <w:shd w:val="clear" w:color="auto" w:fill="FFFFFF"/>
          <w:lang w:val="en-US" w:eastAsia="zh-CN"/>
        </w:rPr>
        <w:t>23</w:t>
      </w:r>
      <w:r>
        <w:rPr>
          <w:rFonts w:hint="eastAsia" w:ascii="楷体" w:hAnsi="楷体" w:eastAsia="楷体" w:cs="楷体"/>
          <w:b/>
          <w:sz w:val="44"/>
          <w:szCs w:val="44"/>
          <w:highlight w:val="none"/>
          <w:shd w:val="clear" w:color="auto" w:fill="FFFFFF"/>
        </w:rPr>
        <w:t>年</w:t>
      </w:r>
      <w:r>
        <w:rPr>
          <w:rFonts w:hint="eastAsia" w:ascii="楷体" w:hAnsi="楷体" w:eastAsia="楷体" w:cs="楷体"/>
          <w:b/>
          <w:color w:val="000000"/>
          <w:sz w:val="44"/>
          <w:szCs w:val="44"/>
          <w:highlight w:val="none"/>
          <w:shd w:val="clear" w:color="auto" w:fill="FFFFFF"/>
          <w:lang w:eastAsia="zh-CN"/>
        </w:rPr>
        <w:t>县级</w:t>
      </w:r>
      <w:r>
        <w:rPr>
          <w:rFonts w:hint="eastAsia" w:ascii="楷体" w:hAnsi="楷体" w:eastAsia="楷体" w:cs="楷体"/>
          <w:b/>
          <w:color w:val="000000"/>
          <w:sz w:val="44"/>
          <w:szCs w:val="44"/>
          <w:highlight w:val="none"/>
          <w:shd w:val="clear" w:color="auto" w:fill="FFFFFF"/>
        </w:rPr>
        <w:t>部门</w:t>
      </w:r>
      <w:r>
        <w:rPr>
          <w:rFonts w:hint="eastAsia" w:ascii="楷体" w:hAnsi="楷体" w:eastAsia="楷体" w:cs="楷体"/>
          <w:b/>
          <w:sz w:val="44"/>
          <w:szCs w:val="44"/>
          <w:highlight w:val="none"/>
          <w:shd w:val="clear" w:color="auto" w:fill="FFFFFF"/>
        </w:rPr>
        <w:t>整体绩效评价报告</w:t>
      </w:r>
    </w:p>
    <w:p w14:paraId="1D3D233B">
      <w:pPr>
        <w:pageBreakBefore w:val="0"/>
        <w:widowControl/>
        <w:shd w:val="clear" w:color="auto" w:fill="FFFFFF"/>
        <w:kinsoku/>
        <w:wordWrap/>
        <w:overflowPunct/>
        <w:topLinePunct w:val="0"/>
        <w:bidi w:val="0"/>
        <w:adjustRightInd w:val="0"/>
        <w:snapToGrid w:val="0"/>
        <w:spacing w:line="560" w:lineRule="exact"/>
        <w:ind w:firstLine="643" w:firstLineChars="200"/>
        <w:contextualSpacing/>
        <w:jc w:val="left"/>
        <w:textAlignment w:val="auto"/>
        <w:outlineLvl w:val="1"/>
        <w:rPr>
          <w:rFonts w:hint="eastAsia" w:ascii="黑体" w:hAnsi="黑体" w:eastAsia="黑体" w:cs="黑体"/>
          <w:b/>
          <w:bCs/>
          <w:color w:val="000000"/>
          <w:kern w:val="0"/>
          <w:sz w:val="32"/>
          <w:szCs w:val="32"/>
          <w:highlight w:val="none"/>
          <w:shd w:val="clear" w:color="auto" w:fill="FFFFFF"/>
          <w:lang w:val="zh-CN"/>
        </w:rPr>
      </w:pPr>
      <w:bookmarkStart w:id="180" w:name="_Toc9227"/>
      <w:bookmarkStart w:id="181" w:name="_Toc4770"/>
      <w:bookmarkStart w:id="182" w:name="_Toc21025"/>
      <w:r>
        <w:rPr>
          <w:rFonts w:hint="eastAsia" w:ascii="黑体" w:hAnsi="黑体" w:eastAsia="黑体" w:cs="黑体"/>
          <w:b/>
          <w:bCs/>
          <w:color w:val="000000"/>
          <w:kern w:val="0"/>
          <w:sz w:val="32"/>
          <w:szCs w:val="32"/>
          <w:highlight w:val="none"/>
          <w:shd w:val="clear" w:color="auto" w:fill="FFFFFF"/>
        </w:rPr>
        <w:t>一、</w:t>
      </w:r>
      <w:r>
        <w:rPr>
          <w:rFonts w:hint="eastAsia" w:ascii="黑体" w:hAnsi="黑体" w:eastAsia="黑体" w:cs="黑体"/>
          <w:b/>
          <w:bCs/>
          <w:color w:val="000000"/>
          <w:kern w:val="0"/>
          <w:sz w:val="32"/>
          <w:szCs w:val="32"/>
          <w:highlight w:val="none"/>
          <w:shd w:val="clear" w:color="auto" w:fill="FFFFFF"/>
          <w:lang w:val="zh-CN"/>
        </w:rPr>
        <w:t>部门（单位）概况</w:t>
      </w:r>
      <w:bookmarkEnd w:id="180"/>
      <w:bookmarkEnd w:id="181"/>
      <w:bookmarkEnd w:id="182"/>
    </w:p>
    <w:p w14:paraId="79C39AA5">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183" w:name="_Toc25312"/>
      <w:r>
        <w:rPr>
          <w:rFonts w:hint="eastAsia" w:ascii="楷体_GB2312" w:hAnsi="楷体_GB2312" w:eastAsia="楷体_GB2312" w:cs="楷体_GB2312"/>
          <w:b/>
          <w:color w:val="000000"/>
          <w:sz w:val="32"/>
          <w:szCs w:val="32"/>
          <w:highlight w:val="none"/>
          <w:lang w:val="zh-CN"/>
        </w:rPr>
        <w:t>（一）机构组成</w:t>
      </w:r>
      <w:bookmarkEnd w:id="183"/>
    </w:p>
    <w:p w14:paraId="6BC4D714">
      <w:pPr>
        <w:pageBreakBefore w:val="0"/>
        <w:shd w:val="clear" w:color="auto" w:fill="FFFFFF"/>
        <w:kinsoku/>
        <w:wordWrap/>
        <w:overflowPunct/>
        <w:topLinePunct w:val="0"/>
        <w:bidi w:val="0"/>
        <w:spacing w:line="560" w:lineRule="exact"/>
        <w:ind w:firstLine="800" w:firstLineChars="25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公务服务中心</w:t>
      </w:r>
      <w:r>
        <w:rPr>
          <w:rFonts w:hint="eastAsia" w:ascii="仿宋_GB2312" w:hAnsi="仿宋_GB2312" w:eastAsia="仿宋_GB2312" w:cs="仿宋_GB2312"/>
          <w:sz w:val="32"/>
          <w:szCs w:val="32"/>
          <w:highlight w:val="none"/>
        </w:rPr>
        <w:t>下属二级单位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个，其中行政单位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个，参照公务员法管理的事业单位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个，其他事业单位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w:t>
      </w:r>
    </w:p>
    <w:p w14:paraId="269063E7">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184" w:name="_Toc12371"/>
      <w:r>
        <w:rPr>
          <w:rFonts w:hint="eastAsia" w:ascii="楷体_GB2312" w:hAnsi="楷体_GB2312" w:eastAsia="楷体_GB2312" w:cs="楷体_GB2312"/>
          <w:b/>
          <w:color w:val="000000"/>
          <w:sz w:val="32"/>
          <w:szCs w:val="32"/>
          <w:highlight w:val="none"/>
          <w:lang w:val="zh-CN"/>
        </w:rPr>
        <w:t>（二）机构职能</w:t>
      </w:r>
      <w:bookmarkEnd w:id="184"/>
      <w:r>
        <w:rPr>
          <w:rFonts w:hint="eastAsia" w:ascii="楷体_GB2312" w:hAnsi="楷体_GB2312" w:eastAsia="楷体_GB2312" w:cs="楷体_GB2312"/>
          <w:b/>
          <w:color w:val="000000"/>
          <w:sz w:val="32"/>
          <w:szCs w:val="32"/>
          <w:highlight w:val="none"/>
          <w:lang w:val="zh-CN"/>
        </w:rPr>
        <w:t>和人员概况</w:t>
      </w:r>
    </w:p>
    <w:p w14:paraId="4570809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贯彻落实国家和省、州、县关于公务服务工作的政策规定，起草全县公务服务工作的规章制度和目标规划，并组织实施，负责对全县公务服务工作的业务指导、培训交流等工作，促进全县公务服务工作水平不断提高。</w:t>
      </w:r>
    </w:p>
    <w:p w14:paraId="5BC43AF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（二）统筹协调重要的接待任务。承担上级党委、政府直接派来我县的综合性工作组、巡视组、联合调查组、专项检查组的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工作。</w:t>
      </w:r>
    </w:p>
    <w:p w14:paraId="652CA71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（三）协助有关部门做好在本县召开的全国、省、州、县大型会议的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工作。</w:t>
      </w:r>
    </w:p>
    <w:p w14:paraId="68933F5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（四）负责其他县（市、区）党政代表团的</w:t>
      </w:r>
      <w:r>
        <w:rPr>
          <w:rFonts w:hint="eastAsia" w:ascii="仿宋_GB2312" w:hAnsi="仿宋_GB2312" w:eastAsia="仿宋_GB2312" w:cs="仿宋_GB2312"/>
          <w:color w:val="auto"/>
          <w:kern w:val="0"/>
          <w:sz w:val="32"/>
          <w:szCs w:val="32"/>
          <w:lang w:val="en-US" w:eastAsia="zh-CN"/>
        </w:rPr>
        <w:t>接待</w:t>
      </w:r>
      <w:r>
        <w:rPr>
          <w:rFonts w:hint="eastAsia" w:ascii="仿宋_GB2312" w:hAnsi="仿宋_GB2312" w:eastAsia="仿宋_GB2312" w:cs="仿宋_GB2312"/>
          <w:kern w:val="0"/>
          <w:sz w:val="32"/>
          <w:szCs w:val="32"/>
          <w:lang w:val="en-US" w:eastAsia="zh-CN"/>
        </w:rPr>
        <w:t xml:space="preserve">工作。负责我县党政代表团赴外省（州、县、区）学习考察的协调联络和后勤服务保障。负责县委县政府交办的由县公务服务中心承担的外事接待和招商引资事项的服务保障。 </w:t>
      </w:r>
    </w:p>
    <w:p w14:paraId="7E0713D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（五）负责制定县级机关后勤服务管理制度，负责公务接待的管理和指导工作，负责监督实施县级机关后勤服务工作。</w:t>
      </w:r>
    </w:p>
    <w:p w14:paraId="2A1867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（六）受县委县政府委托负责县级行政机关和事业单位公务用车、执勤执法用车的编制、配备、更新的日常管理工作。</w:t>
      </w:r>
    </w:p>
    <w:p w14:paraId="51ECC0D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（七）受县委县政府委托负责县级行政事业单位国有资产管理工作，制定相关具体制度和办法并组织实施，确定相关规章制度和管理办法并组织实施。</w:t>
      </w:r>
    </w:p>
    <w:p w14:paraId="17C7E4E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（八）受县委县政府委托负责全县行政办公用房、周转房的分配、监督管理和日常维修工作，负责县委、人大、政府、政协等行政机关和事业单位集中办公区域的管理和服务工作。</w:t>
      </w:r>
    </w:p>
    <w:p w14:paraId="15E107F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（九）负责县委县政府机关食堂的日常管理等后勤保障工作。</w:t>
      </w:r>
    </w:p>
    <w:p w14:paraId="654DBE8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sz w:val="32"/>
          <w:szCs w:val="32"/>
        </w:rPr>
        <w:t>完成县委和县委办公室</w:t>
      </w:r>
      <w:r>
        <w:rPr>
          <w:rFonts w:hint="eastAsia" w:ascii="仿宋_GB2312" w:hAnsi="仿宋_GB2312" w:eastAsia="仿宋_GB2312" w:cs="仿宋_GB2312"/>
          <w:kern w:val="0"/>
          <w:sz w:val="32"/>
          <w:szCs w:val="32"/>
          <w:lang w:val="en-US" w:eastAsia="zh-CN"/>
        </w:rPr>
        <w:t>及上级主管部门交办的其他任务。</w:t>
      </w:r>
    </w:p>
    <w:p w14:paraId="76301648">
      <w:pPr>
        <w:pageBreakBefore w:val="0"/>
        <w:shd w:val="clear" w:color="auto" w:fill="FFFFFF"/>
        <w:kinsoku/>
        <w:wordWrap/>
        <w:overflowPunct/>
        <w:topLinePunct w:val="0"/>
        <w:bidi w:val="0"/>
        <w:spacing w:line="560" w:lineRule="exact"/>
        <w:ind w:firstLine="643" w:firstLineChars="200"/>
        <w:textAlignment w:val="auto"/>
        <w:outlineLvl w:val="2"/>
        <w:rPr>
          <w:rFonts w:hint="eastAsia" w:ascii="仿宋_GB2312" w:hAnsi="仿宋_GB2312" w:eastAsia="仿宋_GB2312" w:cs="仿宋_GB2312"/>
          <w:b w:val="0"/>
          <w:bCs/>
          <w:color w:val="000000"/>
          <w:sz w:val="32"/>
          <w:szCs w:val="32"/>
          <w:highlight w:val="none"/>
          <w:lang w:val="zh-CN"/>
        </w:rPr>
      </w:pPr>
      <w:r>
        <w:rPr>
          <w:rFonts w:hint="eastAsia" w:ascii="仿宋_GB2312" w:hAnsi="仿宋_GB2312" w:eastAsia="仿宋_GB2312" w:cs="仿宋_GB2312"/>
          <w:b/>
          <w:color w:val="000000"/>
          <w:sz w:val="32"/>
          <w:szCs w:val="32"/>
          <w:highlight w:val="none"/>
          <w:lang w:val="zh-CN"/>
        </w:rPr>
        <w:t>（</w:t>
      </w:r>
      <w:r>
        <w:rPr>
          <w:rFonts w:hint="eastAsia" w:ascii="仿宋_GB2312" w:hAnsi="仿宋_GB2312" w:eastAsia="仿宋_GB2312" w:cs="仿宋_GB2312"/>
          <w:b/>
          <w:color w:val="000000"/>
          <w:sz w:val="32"/>
          <w:szCs w:val="32"/>
          <w:highlight w:val="none"/>
          <w:lang w:val="en-US" w:eastAsia="zh-CN"/>
        </w:rPr>
        <w:t>12</w:t>
      </w:r>
      <w:r>
        <w:rPr>
          <w:rFonts w:hint="eastAsia" w:ascii="仿宋_GB2312" w:hAnsi="仿宋_GB2312" w:eastAsia="仿宋_GB2312" w:cs="仿宋_GB2312"/>
          <w:b/>
          <w:color w:val="000000"/>
          <w:sz w:val="32"/>
          <w:szCs w:val="32"/>
          <w:highlight w:val="none"/>
          <w:lang w:val="zh-CN"/>
        </w:rPr>
        <w:t>）</w:t>
      </w:r>
      <w:r>
        <w:rPr>
          <w:rFonts w:hint="eastAsia" w:ascii="仿宋_GB2312" w:hAnsi="仿宋_GB2312" w:eastAsia="仿宋_GB2312" w:cs="仿宋_GB2312"/>
          <w:b w:val="0"/>
          <w:bCs/>
          <w:color w:val="000000"/>
          <w:sz w:val="32"/>
          <w:szCs w:val="32"/>
          <w:highlight w:val="none"/>
          <w:lang w:val="zh-CN"/>
        </w:rPr>
        <w:t>人员概况</w:t>
      </w:r>
    </w:p>
    <w:p w14:paraId="0956F752">
      <w:pPr>
        <w:pageBreakBefore w:val="0"/>
        <w:numPr>
          <w:ilvl w:val="0"/>
          <w:numId w:val="0"/>
        </w:numPr>
        <w:shd w:val="clear" w:color="auto" w:fill="FFFFFF"/>
        <w:kinsoku/>
        <w:wordWrap/>
        <w:overflowPunct/>
        <w:topLinePunct w:val="0"/>
        <w:bidi w:val="0"/>
        <w:spacing w:line="560" w:lineRule="exact"/>
        <w:ind w:firstLine="1280" w:firstLine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总编制1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名,其中:事业编制 </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 xml:space="preserve"> 名。在职人员总数</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名，其中：事业人员1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名。</w:t>
      </w:r>
    </w:p>
    <w:p w14:paraId="35DA9D9C">
      <w:pPr>
        <w:pStyle w:val="6"/>
        <w:pageBreakBefore w:val="0"/>
        <w:shd w:val="clear" w:color="auto" w:fill="FFFFFF"/>
        <w:kinsoku/>
        <w:wordWrap/>
        <w:overflowPunct/>
        <w:topLinePunct w:val="0"/>
        <w:bidi w:val="0"/>
        <w:adjustRightInd w:val="0"/>
        <w:snapToGrid w:val="0"/>
        <w:spacing w:beforeLines="0" w:line="560" w:lineRule="exact"/>
        <w:ind w:firstLine="321" w:firstLineChars="100"/>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val="0"/>
          <w:color w:val="000000"/>
          <w:sz w:val="32"/>
          <w:szCs w:val="32"/>
          <w:highlight w:val="none"/>
        </w:rPr>
        <w:t>（</w:t>
      </w:r>
      <w:r>
        <w:rPr>
          <w:rFonts w:hint="eastAsia" w:ascii="楷体_GB2312" w:hAnsi="楷体_GB2312" w:eastAsia="楷体_GB2312" w:cs="楷体_GB2312"/>
          <w:b/>
          <w:bCs w:val="0"/>
          <w:color w:val="000000"/>
          <w:sz w:val="32"/>
          <w:szCs w:val="32"/>
          <w:highlight w:val="none"/>
          <w:lang w:eastAsia="zh-CN"/>
        </w:rPr>
        <w:t>三</w:t>
      </w:r>
      <w:r>
        <w:rPr>
          <w:rFonts w:hint="eastAsia" w:ascii="楷体_GB2312" w:hAnsi="楷体_GB2312" w:eastAsia="楷体_GB2312" w:cs="楷体_GB2312"/>
          <w:b/>
          <w:bCs w:val="0"/>
          <w:color w:val="000000"/>
          <w:sz w:val="32"/>
          <w:szCs w:val="32"/>
          <w:highlight w:val="none"/>
        </w:rPr>
        <w:t>）202</w:t>
      </w:r>
      <w:r>
        <w:rPr>
          <w:rFonts w:hint="eastAsia" w:ascii="楷体_GB2312" w:hAnsi="楷体_GB2312" w:eastAsia="楷体_GB2312" w:cs="楷体_GB2312"/>
          <w:b/>
          <w:bCs w:val="0"/>
          <w:color w:val="000000"/>
          <w:sz w:val="32"/>
          <w:szCs w:val="32"/>
          <w:highlight w:val="none"/>
          <w:lang w:val="en-US" w:eastAsia="zh-CN"/>
        </w:rPr>
        <w:t>3</w:t>
      </w:r>
      <w:r>
        <w:rPr>
          <w:rFonts w:hint="eastAsia" w:ascii="楷体_GB2312" w:hAnsi="楷体_GB2312" w:eastAsia="楷体_GB2312" w:cs="楷体_GB2312"/>
          <w:b/>
          <w:bCs w:val="0"/>
          <w:color w:val="000000"/>
          <w:sz w:val="32"/>
          <w:szCs w:val="32"/>
          <w:highlight w:val="none"/>
        </w:rPr>
        <w:t>年重点工作完成情况</w:t>
      </w:r>
    </w:p>
    <w:p w14:paraId="24445C39">
      <w:pPr>
        <w:keepNext w:val="0"/>
        <w:keepLines w:val="0"/>
        <w:pageBreakBefore w:val="0"/>
        <w:widowControl w:val="0"/>
        <w:shd w:val="clear" w:color="auto" w:fill="FFFFFF"/>
        <w:kinsoku/>
        <w:wordWrap/>
        <w:overflowPunct w:val="0"/>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sz w:val="32"/>
          <w:szCs w:val="32"/>
          <w:highlight w:val="none"/>
        </w:rPr>
      </w:pPr>
      <w:bookmarkStart w:id="185" w:name="_Toc16743"/>
      <w:bookmarkStart w:id="186" w:name="_Toc18656"/>
      <w:bookmarkStart w:id="187" w:name="_Toc22969"/>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年，在</w:t>
      </w:r>
      <w:r>
        <w:rPr>
          <w:rFonts w:hint="eastAsia" w:ascii="仿宋_GB2312" w:hAnsi="仿宋_GB2312" w:eastAsia="仿宋_GB2312" w:cs="仿宋_GB2312"/>
          <w:color w:val="000000"/>
          <w:sz w:val="32"/>
          <w:szCs w:val="32"/>
          <w:lang w:eastAsia="zh-CN"/>
        </w:rPr>
        <w:t>县委县政府</w:t>
      </w:r>
      <w:r>
        <w:rPr>
          <w:rFonts w:hint="eastAsia" w:ascii="仿宋_GB2312" w:hAnsi="仿宋_GB2312" w:eastAsia="仿宋_GB2312" w:cs="仿宋_GB2312"/>
          <w:color w:val="000000"/>
          <w:sz w:val="32"/>
          <w:szCs w:val="32"/>
        </w:rPr>
        <w:t>的正确领导下，我中心紧扣县委县政府中心工作，严格按照中央八项规定及省委省政府十项规定要求，全力推进重点工作落实，全面提升公务服务工作效率，为全</w:t>
      </w:r>
      <w:r>
        <w:rPr>
          <w:rFonts w:hint="eastAsia" w:ascii="仿宋_GB2312" w:hAnsi="仿宋_GB2312" w:eastAsia="仿宋_GB2312" w:cs="仿宋_GB2312"/>
          <w:color w:val="000000"/>
          <w:sz w:val="32"/>
          <w:szCs w:val="32"/>
          <w:highlight w:val="none"/>
        </w:rPr>
        <w:t>县经济社会发展提供了强有力的后勤保障。</w:t>
      </w:r>
    </w:p>
    <w:p w14:paraId="3CB9BB69">
      <w:pPr>
        <w:keepNext w:val="0"/>
        <w:keepLines w:val="0"/>
        <w:pageBreakBefore w:val="0"/>
        <w:widowControl w:val="0"/>
        <w:shd w:val="clear" w:color="auto" w:fill="FFFFFF"/>
        <w:kinsoku/>
        <w:wordWrap/>
        <w:overflowPunct w:val="0"/>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严把公务接待标准，提升公务接待</w:t>
      </w:r>
      <w:r>
        <w:rPr>
          <w:rFonts w:hint="eastAsia" w:ascii="仿宋_GB2312" w:hAnsi="仿宋_GB2312" w:eastAsia="仿宋_GB2312" w:cs="仿宋_GB2312"/>
          <w:color w:val="000000"/>
          <w:sz w:val="32"/>
          <w:szCs w:val="32"/>
          <w:lang w:eastAsia="zh-CN"/>
        </w:rPr>
        <w:t>服务质量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是通部分人员参加州庆后勤保障工作学习了公务礼仪相关知识，通过阳光政务真情服务、精神面貌仪表仪态、注重政务接待细节等几个方面开展，从而提升公务接待能力。二是以“精、细、严、实”为标准，把零差错作为最高要求，通过挖掘历史文化渊源、突出民族地区特色、体现民族风情，贯穿公务接待活动始终，以“个性化”、“特色化”服务方式，做到各项安排契合来宾个性特征、符合来宾考察意图、有利来宾开展工作，让来宾高兴而来、满意而归。</w:t>
      </w:r>
    </w:p>
    <w:p w14:paraId="325DFA99">
      <w:pPr>
        <w:keepNext w:val="0"/>
        <w:keepLines w:val="0"/>
        <w:pageBreakBefore w:val="0"/>
        <w:numPr>
          <w:ilvl w:val="0"/>
          <w:numId w:val="0"/>
        </w:numPr>
        <w:shd w:val="clear" w:color="auto" w:fill="FFFFFF"/>
        <w:tabs>
          <w:tab w:val="left" w:pos="765"/>
        </w:tabs>
        <w:kinsoku/>
        <w:topLinePunct w:val="0"/>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highlight w:val="none"/>
        </w:rPr>
        <w:t>深化公务用车管理，提升我县公车保障力和节能标准化。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加强上级部门的沟通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按照相关制度及要求已开启了2022年州公车领导小组研究通过的6辆一般公务用车更新工作，通过县公车管理领导小组再次研究决定分2次进行购买工作</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val="en-US" w:eastAsia="zh-CN"/>
        </w:rPr>
        <w:t>上报了更新8辆一般公务用车，截止11月20日，州机关事务管理局公务用车管理科未回复</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val="en-US" w:eastAsia="zh-CN"/>
        </w:rPr>
        <w:t>签订壤塘县公务服务中心2023年节能合同管理项目；</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填报一年一报公务用车统计数据报送系统工作，完成节能票据系统第一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二、三</w:t>
      </w:r>
      <w:r>
        <w:rPr>
          <w:rFonts w:hint="eastAsia" w:ascii="仿宋_GB2312" w:hAnsi="仿宋_GB2312" w:eastAsia="仿宋_GB2312" w:cs="仿宋_GB2312"/>
          <w:sz w:val="32"/>
          <w:szCs w:val="32"/>
        </w:rPr>
        <w:t>季度的上报工作，完成率在全州名列前茅。</w:t>
      </w:r>
    </w:p>
    <w:p w14:paraId="4415DEF7">
      <w:pPr>
        <w:keepNext w:val="0"/>
        <w:keepLines w:val="0"/>
        <w:pageBreakBefore w:val="0"/>
        <w:numPr>
          <w:ilvl w:val="0"/>
          <w:numId w:val="0"/>
        </w:numPr>
        <w:shd w:val="clear" w:color="auto" w:fill="FFFFFF"/>
        <w:kinsoku/>
        <w:topLinePunct w:val="0"/>
        <w:autoSpaceDN/>
        <w:bidi w:val="0"/>
        <w:adjustRightIn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2"/>
          <w:sz w:val="32"/>
          <w:szCs w:val="32"/>
          <w:highlight w:val="none"/>
        </w:rPr>
        <w:t>强化管理，有力推进后勤管理工作高效完成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加强对集中办公区、周转房、会议室用电设施设备运行管理和维修保养工作，强化四栋集中办公区日常卫生巡查等常规工作；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与物业公司签订安全生产责任书，压实工作责任，常态化开展集中办公区、周转房安全生产整治行动，努力做到让机关干部职工满意、称心。</w:t>
      </w:r>
    </w:p>
    <w:p w14:paraId="35CB9B4F">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highlight w:val="none"/>
        </w:rPr>
        <w:t>规范管理，努力做到资产管理工作规范化、标准化。</w:t>
      </w:r>
      <w:r>
        <w:rPr>
          <w:rFonts w:hint="eastAsia" w:ascii="仿宋_GB2312" w:hAnsi="仿宋_GB2312" w:eastAsia="仿宋_GB2312" w:cs="仿宋_GB2312"/>
          <w:sz w:val="32"/>
          <w:szCs w:val="32"/>
        </w:rPr>
        <w:t>按时上报资产月报，完善固定资产使用卡片的完整性和准确性，规范固定资产管理，做实做细固定资产日常工作；</w:t>
      </w:r>
      <w:r>
        <w:rPr>
          <w:rFonts w:hint="eastAsia" w:ascii="仿宋_GB2312" w:hAnsi="仿宋_GB2312" w:eastAsia="仿宋_GB2312" w:cs="仿宋_GB2312"/>
          <w:color w:val="000000"/>
          <w:sz w:val="32"/>
          <w:szCs w:val="32"/>
        </w:rPr>
        <w:t>切实摸清了所管理的资产情况，对资产账目做好数据记录、对实体资产做到痕迹管理，及时掌握固定资产管理情况，准确反映固定资产状况，做到固定资产家底清、账实相符。</w:t>
      </w:r>
    </w:p>
    <w:p w14:paraId="5B395526">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p>
    <w:p w14:paraId="72CDFA1D">
      <w:pPr>
        <w:pageBreakBefore w:val="0"/>
        <w:widowControl/>
        <w:shd w:val="clear" w:color="auto" w:fill="FFFFFF"/>
        <w:kinsoku/>
        <w:wordWrap/>
        <w:overflowPunct/>
        <w:topLinePunct w:val="0"/>
        <w:bidi w:val="0"/>
        <w:adjustRightInd w:val="0"/>
        <w:snapToGrid w:val="0"/>
        <w:spacing w:line="560" w:lineRule="exact"/>
        <w:ind w:firstLine="643" w:firstLineChars="200"/>
        <w:contextualSpacing/>
        <w:jc w:val="left"/>
        <w:textAlignment w:val="auto"/>
        <w:outlineLvl w:val="1"/>
        <w:rPr>
          <w:rFonts w:hint="eastAsia" w:ascii="黑体" w:hAnsi="黑体" w:eastAsia="黑体" w:cs="黑体"/>
          <w:b/>
          <w:bCs/>
          <w:color w:val="000000"/>
          <w:kern w:val="0"/>
          <w:sz w:val="32"/>
          <w:szCs w:val="32"/>
          <w:highlight w:val="none"/>
          <w:shd w:val="clear" w:color="auto" w:fill="FFFFFF"/>
        </w:rPr>
      </w:pPr>
      <w:r>
        <w:rPr>
          <w:rFonts w:hint="eastAsia" w:ascii="黑体" w:hAnsi="黑体" w:eastAsia="黑体" w:cs="黑体"/>
          <w:b/>
          <w:bCs/>
          <w:color w:val="000000"/>
          <w:kern w:val="0"/>
          <w:sz w:val="32"/>
          <w:szCs w:val="32"/>
          <w:highlight w:val="none"/>
          <w:shd w:val="clear" w:color="auto" w:fill="FFFFFF"/>
        </w:rPr>
        <w:t>二、部门财政资金收支情况</w:t>
      </w:r>
      <w:bookmarkEnd w:id="185"/>
      <w:bookmarkEnd w:id="186"/>
      <w:bookmarkEnd w:id="187"/>
    </w:p>
    <w:p w14:paraId="094C5E92">
      <w:pPr>
        <w:keepNext w:val="0"/>
        <w:keepLines w:val="0"/>
        <w:pageBreakBefore w:val="0"/>
        <w:widowControl/>
        <w:shd w:val="clear" w:color="auto" w:fill="FFFFFF"/>
        <w:overflowPunct w:val="0"/>
        <w:bidi w:val="0"/>
        <w:snapToGrid w:val="0"/>
        <w:spacing w:before="0" w:after="330" w:line="560" w:lineRule="exact"/>
        <w:ind w:firstLine="643"/>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bookmarkStart w:id="188" w:name="_Toc5818"/>
      <w:bookmarkStart w:id="189" w:name="_Toc23827"/>
      <w:r>
        <w:rPr>
          <w:rFonts w:hint="eastAsia" w:ascii="楷体_GB2312" w:hAnsi="楷体_GB2312" w:eastAsia="楷体_GB2312" w:cs="楷体_GB2312"/>
          <w:b/>
          <w:bCs/>
          <w:color w:val="000000"/>
          <w:kern w:val="0"/>
          <w:sz w:val="32"/>
          <w:szCs w:val="32"/>
          <w:highlight w:val="none"/>
          <w:shd w:val="clear" w:color="auto" w:fill="FFFFFF"/>
          <w:lang w:val="zh-CN"/>
        </w:rPr>
        <w:t>（一）部门总体收支情况。</w:t>
      </w:r>
    </w:p>
    <w:p w14:paraId="74331B0C">
      <w:pPr>
        <w:keepNext w:val="0"/>
        <w:keepLines w:val="0"/>
        <w:pageBreakBefore w:val="0"/>
        <w:widowControl/>
        <w:shd w:val="clear" w:color="auto" w:fill="FFFFFF"/>
        <w:overflowPunct w:val="0"/>
        <w:bidi w:val="0"/>
        <w:snapToGrid w:val="0"/>
        <w:spacing w:before="0" w:after="330" w:line="560" w:lineRule="exact"/>
        <w:ind w:firstLine="64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14:paraId="36F1B850">
      <w:pPr>
        <w:shd w:val="clear" w:color="auto" w:fill="FFFFFF"/>
        <w:spacing w:line="560" w:lineRule="exact"/>
        <w:ind w:firstLine="64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（一）部门财政资金收入情况。202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年度收入决算总额为</w:t>
      </w:r>
      <w:r>
        <w:rPr>
          <w:rFonts w:hint="eastAsia" w:ascii="仿宋_GB2312" w:hAnsi="仿宋_GB2312" w:eastAsia="仿宋_GB2312" w:cs="仿宋_GB2312"/>
          <w:color w:val="000000"/>
          <w:kern w:val="0"/>
          <w:sz w:val="32"/>
          <w:szCs w:val="32"/>
          <w:highlight w:val="none"/>
          <w:shd w:val="clear" w:color="auto" w:fill="FFFFFF"/>
          <w:lang w:val="en-US" w:eastAsia="zh-CN"/>
        </w:rPr>
        <w:t>817.16</w:t>
      </w:r>
      <w:r>
        <w:rPr>
          <w:rFonts w:hint="eastAsia" w:ascii="仿宋_GB2312" w:hAnsi="仿宋_GB2312" w:eastAsia="仿宋_GB2312" w:cs="仿宋_GB2312"/>
          <w:color w:val="000000"/>
          <w:kern w:val="0"/>
          <w:sz w:val="32"/>
          <w:szCs w:val="32"/>
          <w:highlight w:val="none"/>
          <w:shd w:val="clear" w:color="auto" w:fill="FFFFFF"/>
          <w:lang w:val="zh-CN"/>
        </w:rPr>
        <w:t>万元，（其中：一般公共预算财政拨款收入决算总额为</w:t>
      </w:r>
      <w:r>
        <w:rPr>
          <w:rFonts w:hint="eastAsia" w:ascii="仿宋_GB2312" w:hAnsi="仿宋_GB2312" w:eastAsia="仿宋_GB2312" w:cs="仿宋_GB2312"/>
          <w:color w:val="000000"/>
          <w:kern w:val="0"/>
          <w:sz w:val="32"/>
          <w:szCs w:val="32"/>
          <w:highlight w:val="none"/>
          <w:shd w:val="clear" w:color="auto" w:fill="FFFFFF"/>
          <w:lang w:val="en-US" w:eastAsia="zh-CN"/>
        </w:rPr>
        <w:t>700.01</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85.66</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年财政拨款收入总计</w:t>
      </w:r>
      <w:r>
        <w:rPr>
          <w:rFonts w:hint="eastAsia" w:ascii="仿宋_GB2312" w:hAnsi="仿宋_GB2312" w:eastAsia="仿宋_GB2312" w:cs="仿宋_GB2312"/>
          <w:color w:val="000000"/>
          <w:sz w:val="32"/>
          <w:szCs w:val="32"/>
          <w:highlight w:val="none"/>
          <w:lang w:val="en-US" w:eastAsia="zh-CN"/>
        </w:rPr>
        <w:t>957.25</w:t>
      </w:r>
      <w:r>
        <w:rPr>
          <w:rFonts w:hint="eastAsia" w:ascii="仿宋_GB2312" w:hAnsi="仿宋_GB2312" w:eastAsia="仿宋_GB2312" w:cs="仿宋_GB2312"/>
          <w:color w:val="000000"/>
          <w:sz w:val="32"/>
          <w:szCs w:val="32"/>
          <w:highlight w:val="none"/>
        </w:rPr>
        <w:t>万元，与202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年相比财政拨款收入总计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下降14.63</w:t>
      </w:r>
      <w:r>
        <w:rPr>
          <w:rFonts w:hint="eastAsia" w:ascii="仿宋_GB2312" w:hAnsi="仿宋_GB2312" w:eastAsia="仿宋_GB2312" w:cs="仿宋_GB2312"/>
          <w:color w:val="000000"/>
          <w:sz w:val="32"/>
          <w:szCs w:val="32"/>
          <w:highlight w:val="none"/>
        </w:rPr>
        <w:t>%。</w:t>
      </w:r>
    </w:p>
    <w:p w14:paraId="66859967">
      <w:pPr>
        <w:keepNext w:val="0"/>
        <w:keepLines w:val="0"/>
        <w:pageBreakBefore w:val="0"/>
        <w:widowControl/>
        <w:shd w:val="clear" w:color="auto" w:fill="FFFFFF"/>
        <w:overflowPunct w:val="0"/>
        <w:bidi w:val="0"/>
        <w:snapToGrid w:val="0"/>
        <w:spacing w:before="0" w:after="330" w:line="560" w:lineRule="exact"/>
        <w:ind w:firstLine="64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14:paraId="489CF443">
      <w:pPr>
        <w:shd w:val="clear" w:color="auto" w:fill="FFFFFF"/>
        <w:spacing w:line="560" w:lineRule="exact"/>
        <w:ind w:firstLine="64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（二）部门财政资金支出情况。202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年我办支出决算总额为</w:t>
      </w:r>
      <w:r>
        <w:rPr>
          <w:rFonts w:hint="eastAsia" w:ascii="仿宋_GB2312" w:hAnsi="仿宋_GB2312" w:eastAsia="仿宋_GB2312" w:cs="仿宋_GB2312"/>
          <w:color w:val="000000"/>
          <w:kern w:val="0"/>
          <w:sz w:val="32"/>
          <w:szCs w:val="32"/>
          <w:highlight w:val="none"/>
          <w:shd w:val="clear" w:color="auto" w:fill="FFFFFF"/>
          <w:lang w:val="en-US" w:eastAsia="zh-CN"/>
        </w:rPr>
        <w:t>817.16</w:t>
      </w:r>
      <w:r>
        <w:rPr>
          <w:rFonts w:hint="eastAsia" w:ascii="仿宋_GB2312" w:hAnsi="仿宋_GB2312" w:eastAsia="仿宋_GB2312" w:cs="仿宋_GB2312"/>
          <w:color w:val="000000"/>
          <w:kern w:val="0"/>
          <w:sz w:val="32"/>
          <w:szCs w:val="32"/>
          <w:highlight w:val="none"/>
          <w:shd w:val="clear" w:color="auto" w:fill="FFFFFF"/>
          <w:lang w:val="zh-CN"/>
        </w:rPr>
        <w:t>万元，（其中：基本支出</w:t>
      </w:r>
      <w:r>
        <w:rPr>
          <w:rFonts w:hint="eastAsia" w:ascii="仿宋_GB2312" w:hAnsi="仿宋_GB2312" w:eastAsia="仿宋_GB2312" w:cs="仿宋_GB2312"/>
          <w:color w:val="000000"/>
          <w:kern w:val="0"/>
          <w:sz w:val="32"/>
          <w:szCs w:val="32"/>
          <w:highlight w:val="none"/>
          <w:shd w:val="clear" w:color="auto" w:fill="FFFFFF"/>
          <w:lang w:val="en-US" w:eastAsia="zh-CN"/>
        </w:rPr>
        <w:t>381.26</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46.66</w:t>
      </w:r>
      <w:r>
        <w:rPr>
          <w:rFonts w:hint="eastAsia" w:ascii="仿宋_GB2312" w:hAnsi="仿宋_GB2312" w:eastAsia="仿宋_GB2312" w:cs="仿宋_GB2312"/>
          <w:color w:val="000000"/>
          <w:kern w:val="0"/>
          <w:sz w:val="32"/>
          <w:szCs w:val="32"/>
          <w:highlight w:val="none"/>
          <w:shd w:val="clear" w:color="auto" w:fill="FFFFFF"/>
          <w:lang w:val="zh-CN"/>
        </w:rPr>
        <w:t>%；项目支出</w:t>
      </w:r>
      <w:r>
        <w:rPr>
          <w:rFonts w:hint="eastAsia" w:ascii="仿宋_GB2312" w:hAnsi="仿宋_GB2312" w:eastAsia="仿宋_GB2312" w:cs="仿宋_GB2312"/>
          <w:color w:val="000000"/>
          <w:kern w:val="0"/>
          <w:sz w:val="32"/>
          <w:szCs w:val="32"/>
          <w:highlight w:val="none"/>
          <w:shd w:val="clear" w:color="auto" w:fill="FFFFFF"/>
          <w:lang w:val="en-US" w:eastAsia="zh-CN"/>
        </w:rPr>
        <w:t>435.89</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53.34</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年财政拨款支出总计</w:t>
      </w:r>
      <w:r>
        <w:rPr>
          <w:rFonts w:hint="eastAsia" w:ascii="仿宋_GB2312" w:hAnsi="仿宋_GB2312" w:eastAsia="仿宋_GB2312" w:cs="仿宋_GB2312"/>
          <w:color w:val="000000"/>
          <w:sz w:val="32"/>
          <w:szCs w:val="32"/>
          <w:highlight w:val="none"/>
          <w:lang w:val="en-US" w:eastAsia="zh-CN"/>
        </w:rPr>
        <w:t>957.25</w:t>
      </w:r>
      <w:r>
        <w:rPr>
          <w:rFonts w:hint="eastAsia" w:ascii="仿宋_GB2312" w:hAnsi="仿宋_GB2312" w:eastAsia="仿宋_GB2312" w:cs="仿宋_GB2312"/>
          <w:color w:val="000000"/>
          <w:sz w:val="32"/>
          <w:szCs w:val="32"/>
          <w:highlight w:val="none"/>
        </w:rPr>
        <w:t>万元。与202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年相比财政拨款支出总计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下降14.63</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14:paraId="33F99075">
      <w:pPr>
        <w:shd w:val="clear" w:color="auto" w:fill="FFFFFF"/>
        <w:spacing w:line="560" w:lineRule="exact"/>
        <w:ind w:firstLine="64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3.部门总体结转结余情况。2023年财政拨款结转结余0万元，2022年度财政拨款结转结余180.76万元，</w:t>
      </w:r>
      <w:r>
        <w:rPr>
          <w:rFonts w:hint="eastAsia" w:ascii="仿宋_GB2312" w:hAnsi="仿宋_GB2312" w:eastAsia="仿宋_GB2312" w:cs="仿宋_GB2312"/>
          <w:color w:val="000000"/>
          <w:sz w:val="32"/>
          <w:szCs w:val="32"/>
          <w:highlight w:val="none"/>
        </w:rPr>
        <w:t>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年相比财政拨款支出总计</w:t>
      </w:r>
      <w:r>
        <w:rPr>
          <w:rFonts w:hint="eastAsia" w:ascii="仿宋_GB2312" w:hAnsi="仿宋_GB2312" w:eastAsia="仿宋_GB2312" w:cs="仿宋_GB2312"/>
          <w:color w:val="000000"/>
          <w:sz w:val="32"/>
          <w:szCs w:val="32"/>
          <w:highlight w:val="none"/>
          <w:lang w:val="en-US" w:eastAsia="zh-CN"/>
        </w:rPr>
        <w:t>减少180.76</w:t>
      </w:r>
      <w:r>
        <w:rPr>
          <w:rFonts w:hint="eastAsia" w:ascii="仿宋_GB2312" w:hAnsi="仿宋_GB2312" w:eastAsia="仿宋_GB2312" w:cs="仿宋_GB2312"/>
          <w:color w:val="000000"/>
          <w:sz w:val="32"/>
          <w:szCs w:val="32"/>
          <w:highlight w:val="none"/>
        </w:rPr>
        <w:t>万元。</w:t>
      </w:r>
    </w:p>
    <w:p w14:paraId="4CEC079D">
      <w:pPr>
        <w:keepNext w:val="0"/>
        <w:keepLines w:val="0"/>
        <w:pageBreakBefore w:val="0"/>
        <w:widowControl/>
        <w:shd w:val="clear" w:color="auto" w:fill="FFFFFF"/>
        <w:overflowPunct w:val="0"/>
        <w:bidi w:val="0"/>
        <w:snapToGrid w:val="0"/>
        <w:spacing w:before="0" w:after="330" w:line="560" w:lineRule="exact"/>
        <w:ind w:firstLine="643"/>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（二）部门财政拨款收支情况。</w:t>
      </w:r>
    </w:p>
    <w:p w14:paraId="7ED7E3BA">
      <w:pPr>
        <w:keepNext w:val="0"/>
        <w:keepLines w:val="0"/>
        <w:pageBreakBefore w:val="0"/>
        <w:widowControl/>
        <w:shd w:val="clear" w:color="auto" w:fill="FFFFFF"/>
        <w:overflowPunct w:val="0"/>
        <w:bidi w:val="0"/>
        <w:snapToGrid w:val="0"/>
        <w:spacing w:before="0" w:after="330" w:line="560" w:lineRule="exact"/>
        <w:ind w:firstLine="64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14:paraId="41C0309F">
      <w:pPr>
        <w:shd w:val="clear" w:color="auto" w:fill="FFFFFF"/>
        <w:spacing w:line="560" w:lineRule="exact"/>
        <w:ind w:firstLine="64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（一）部门财政资金收入情况。202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年度收入决算总额为</w:t>
      </w:r>
      <w:r>
        <w:rPr>
          <w:rFonts w:hint="eastAsia" w:ascii="仿宋_GB2312" w:hAnsi="仿宋_GB2312" w:eastAsia="仿宋_GB2312" w:cs="仿宋_GB2312"/>
          <w:color w:val="000000"/>
          <w:kern w:val="0"/>
          <w:sz w:val="32"/>
          <w:szCs w:val="32"/>
          <w:highlight w:val="none"/>
          <w:shd w:val="clear" w:color="auto" w:fill="FFFFFF"/>
          <w:lang w:val="en-US" w:eastAsia="zh-CN"/>
        </w:rPr>
        <w:t>817.16</w:t>
      </w:r>
      <w:r>
        <w:rPr>
          <w:rFonts w:hint="eastAsia" w:ascii="仿宋_GB2312" w:hAnsi="仿宋_GB2312" w:eastAsia="仿宋_GB2312" w:cs="仿宋_GB2312"/>
          <w:color w:val="000000"/>
          <w:kern w:val="0"/>
          <w:sz w:val="32"/>
          <w:szCs w:val="32"/>
          <w:highlight w:val="none"/>
          <w:shd w:val="clear" w:color="auto" w:fill="FFFFFF"/>
          <w:lang w:val="zh-CN"/>
        </w:rPr>
        <w:t>万元，（其中：一般公共预算财政拨款收入决算总额为</w:t>
      </w:r>
      <w:r>
        <w:rPr>
          <w:rFonts w:hint="eastAsia" w:ascii="仿宋_GB2312" w:hAnsi="仿宋_GB2312" w:eastAsia="仿宋_GB2312" w:cs="仿宋_GB2312"/>
          <w:color w:val="000000"/>
          <w:kern w:val="0"/>
          <w:sz w:val="32"/>
          <w:szCs w:val="32"/>
          <w:highlight w:val="none"/>
          <w:shd w:val="clear" w:color="auto" w:fill="FFFFFF"/>
          <w:lang w:val="en-US" w:eastAsia="zh-CN"/>
        </w:rPr>
        <w:t>700.01</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85.66</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年财政拨款收入总计</w:t>
      </w:r>
      <w:r>
        <w:rPr>
          <w:rFonts w:hint="eastAsia" w:ascii="仿宋_GB2312" w:hAnsi="仿宋_GB2312" w:eastAsia="仿宋_GB2312" w:cs="仿宋_GB2312"/>
          <w:color w:val="000000"/>
          <w:sz w:val="32"/>
          <w:szCs w:val="32"/>
          <w:highlight w:val="none"/>
          <w:lang w:val="en-US" w:eastAsia="zh-CN"/>
        </w:rPr>
        <w:t>957.25</w:t>
      </w:r>
      <w:r>
        <w:rPr>
          <w:rFonts w:hint="eastAsia" w:ascii="仿宋_GB2312" w:hAnsi="仿宋_GB2312" w:eastAsia="仿宋_GB2312" w:cs="仿宋_GB2312"/>
          <w:color w:val="000000"/>
          <w:sz w:val="32"/>
          <w:szCs w:val="32"/>
          <w:highlight w:val="none"/>
        </w:rPr>
        <w:t>万元，与202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年相比财政拨款收入总计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下降14.63</w:t>
      </w:r>
      <w:r>
        <w:rPr>
          <w:rFonts w:hint="eastAsia" w:ascii="仿宋_GB2312" w:hAnsi="仿宋_GB2312" w:eastAsia="仿宋_GB2312" w:cs="仿宋_GB2312"/>
          <w:color w:val="000000"/>
          <w:sz w:val="32"/>
          <w:szCs w:val="32"/>
          <w:highlight w:val="none"/>
        </w:rPr>
        <w:t>%。</w:t>
      </w:r>
    </w:p>
    <w:p w14:paraId="465C891A">
      <w:pPr>
        <w:keepNext w:val="0"/>
        <w:keepLines w:val="0"/>
        <w:pageBreakBefore w:val="0"/>
        <w:widowControl/>
        <w:numPr>
          <w:ilvl w:val="0"/>
          <w:numId w:val="0"/>
        </w:numPr>
        <w:shd w:val="clear" w:color="auto" w:fill="FFFFFF"/>
        <w:overflowPunct w:val="0"/>
        <w:bidi w:val="0"/>
        <w:snapToGrid w:val="0"/>
        <w:spacing w:before="0" w:after="330"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2.部门财政拨款支出情况</w:t>
      </w:r>
    </w:p>
    <w:p w14:paraId="5F7C30FD">
      <w:pPr>
        <w:shd w:val="clear" w:color="auto" w:fill="FFFFFF"/>
        <w:spacing w:line="560" w:lineRule="exact"/>
        <w:ind w:firstLine="64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（二）部门财政资金支出情况。202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年我中心支出决算总额为</w:t>
      </w:r>
      <w:r>
        <w:rPr>
          <w:rFonts w:hint="eastAsia" w:ascii="仿宋_GB2312" w:hAnsi="仿宋_GB2312" w:eastAsia="仿宋_GB2312" w:cs="仿宋_GB2312"/>
          <w:color w:val="000000"/>
          <w:kern w:val="0"/>
          <w:sz w:val="32"/>
          <w:szCs w:val="32"/>
          <w:highlight w:val="none"/>
          <w:shd w:val="clear" w:color="auto" w:fill="FFFFFF"/>
          <w:lang w:val="en-US" w:eastAsia="zh-CN"/>
        </w:rPr>
        <w:t>817.16</w:t>
      </w:r>
      <w:r>
        <w:rPr>
          <w:rFonts w:hint="eastAsia" w:ascii="仿宋_GB2312" w:hAnsi="仿宋_GB2312" w:eastAsia="仿宋_GB2312" w:cs="仿宋_GB2312"/>
          <w:color w:val="000000"/>
          <w:kern w:val="0"/>
          <w:sz w:val="32"/>
          <w:szCs w:val="32"/>
          <w:highlight w:val="none"/>
          <w:shd w:val="clear" w:color="auto" w:fill="FFFFFF"/>
          <w:lang w:val="zh-CN"/>
        </w:rPr>
        <w:t>万元，（其中：基本支出</w:t>
      </w:r>
      <w:r>
        <w:rPr>
          <w:rFonts w:hint="eastAsia" w:ascii="仿宋_GB2312" w:hAnsi="仿宋_GB2312" w:eastAsia="仿宋_GB2312" w:cs="仿宋_GB2312"/>
          <w:color w:val="000000"/>
          <w:kern w:val="0"/>
          <w:sz w:val="32"/>
          <w:szCs w:val="32"/>
          <w:highlight w:val="none"/>
          <w:shd w:val="clear" w:color="auto" w:fill="FFFFFF"/>
          <w:lang w:val="en-US" w:eastAsia="zh-CN"/>
        </w:rPr>
        <w:t>381.26</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46.66</w:t>
      </w:r>
      <w:r>
        <w:rPr>
          <w:rFonts w:hint="eastAsia" w:ascii="仿宋_GB2312" w:hAnsi="仿宋_GB2312" w:eastAsia="仿宋_GB2312" w:cs="仿宋_GB2312"/>
          <w:color w:val="000000"/>
          <w:kern w:val="0"/>
          <w:sz w:val="32"/>
          <w:szCs w:val="32"/>
          <w:highlight w:val="none"/>
          <w:shd w:val="clear" w:color="auto" w:fill="FFFFFF"/>
          <w:lang w:val="zh-CN"/>
        </w:rPr>
        <w:t>%；项目支出</w:t>
      </w:r>
      <w:r>
        <w:rPr>
          <w:rFonts w:hint="eastAsia" w:ascii="仿宋_GB2312" w:hAnsi="仿宋_GB2312" w:eastAsia="仿宋_GB2312" w:cs="仿宋_GB2312"/>
          <w:color w:val="000000"/>
          <w:kern w:val="0"/>
          <w:sz w:val="32"/>
          <w:szCs w:val="32"/>
          <w:highlight w:val="none"/>
          <w:shd w:val="clear" w:color="auto" w:fill="FFFFFF"/>
          <w:lang w:val="en-US" w:eastAsia="zh-CN"/>
        </w:rPr>
        <w:t>435.89</w:t>
      </w:r>
      <w:r>
        <w:rPr>
          <w:rFonts w:hint="eastAsia" w:ascii="仿宋_GB2312" w:hAnsi="仿宋_GB2312" w:eastAsia="仿宋_GB2312" w:cs="仿宋_GB2312"/>
          <w:color w:val="000000"/>
          <w:kern w:val="0"/>
          <w:sz w:val="32"/>
          <w:szCs w:val="32"/>
          <w:highlight w:val="none"/>
          <w:shd w:val="clear" w:color="auto" w:fill="FFFFFF"/>
          <w:lang w:val="zh-CN"/>
        </w:rPr>
        <w:t>万元，占</w:t>
      </w:r>
      <w:r>
        <w:rPr>
          <w:rFonts w:hint="eastAsia" w:ascii="仿宋_GB2312" w:hAnsi="仿宋_GB2312" w:eastAsia="仿宋_GB2312" w:cs="仿宋_GB2312"/>
          <w:color w:val="000000"/>
          <w:kern w:val="0"/>
          <w:sz w:val="32"/>
          <w:szCs w:val="32"/>
          <w:highlight w:val="none"/>
          <w:shd w:val="clear" w:color="auto" w:fill="FFFFFF"/>
          <w:lang w:val="en-US" w:eastAsia="zh-CN"/>
        </w:rPr>
        <w:t>53.34</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年财政拨款支出总计</w:t>
      </w:r>
      <w:r>
        <w:rPr>
          <w:rFonts w:hint="eastAsia" w:ascii="仿宋_GB2312" w:hAnsi="仿宋_GB2312" w:eastAsia="仿宋_GB2312" w:cs="仿宋_GB2312"/>
          <w:color w:val="000000"/>
          <w:sz w:val="32"/>
          <w:szCs w:val="32"/>
          <w:highlight w:val="none"/>
          <w:lang w:val="en-US" w:eastAsia="zh-CN"/>
        </w:rPr>
        <w:t>957.25</w:t>
      </w:r>
      <w:r>
        <w:rPr>
          <w:rFonts w:hint="eastAsia" w:ascii="仿宋_GB2312" w:hAnsi="仿宋_GB2312" w:eastAsia="仿宋_GB2312" w:cs="仿宋_GB2312"/>
          <w:color w:val="000000"/>
          <w:sz w:val="32"/>
          <w:szCs w:val="32"/>
          <w:highlight w:val="none"/>
        </w:rPr>
        <w:t>万元。与202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年相比财政拨款支出总计</w:t>
      </w:r>
      <w:r>
        <w:rPr>
          <w:rFonts w:hint="eastAsia" w:ascii="仿宋_GB2312" w:hAnsi="仿宋_GB2312" w:eastAsia="仿宋_GB2312" w:cs="仿宋_GB2312"/>
          <w:color w:val="000000"/>
          <w:sz w:val="32"/>
          <w:szCs w:val="32"/>
          <w:highlight w:val="none"/>
          <w:lang w:val="en-US" w:eastAsia="zh-CN"/>
        </w:rPr>
        <w:t>减少140.09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下降14.63</w:t>
      </w:r>
      <w:r>
        <w:rPr>
          <w:rFonts w:hint="eastAsia" w:ascii="仿宋_GB2312" w:hAnsi="仿宋_GB2312" w:eastAsia="仿宋_GB2312" w:cs="仿宋_GB2312"/>
          <w:color w:val="000000"/>
          <w:sz w:val="32"/>
          <w:szCs w:val="32"/>
          <w:highlight w:val="none"/>
        </w:rPr>
        <w:t>%。</w:t>
      </w:r>
    </w:p>
    <w:p w14:paraId="6AC59E09">
      <w:pPr>
        <w:pageBreakBefore w:val="0"/>
        <w:shd w:val="clear" w:color="auto" w:fill="FFFFFF"/>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000000"/>
          <w:sz w:val="32"/>
          <w:szCs w:val="32"/>
          <w:highlight w:val="none"/>
        </w:rPr>
      </w:pPr>
      <w:bookmarkStart w:id="190" w:name="_Toc26443"/>
      <w:bookmarkStart w:id="191" w:name="_Toc27152"/>
      <w:bookmarkStart w:id="192" w:name="_Toc8988"/>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3.部门财政拨款结转结余情况。2023年财政拨款结转结余0万元，2022年度财政拨款结转结余180.76万元，</w:t>
      </w:r>
      <w:r>
        <w:rPr>
          <w:rFonts w:hint="eastAsia" w:ascii="仿宋_GB2312" w:hAnsi="仿宋_GB2312" w:eastAsia="仿宋_GB2312" w:cs="仿宋_GB2312"/>
          <w:color w:val="000000"/>
          <w:sz w:val="32"/>
          <w:szCs w:val="32"/>
          <w:highlight w:val="none"/>
        </w:rPr>
        <w:t>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年相比财政拨款支出总计</w:t>
      </w:r>
      <w:r>
        <w:rPr>
          <w:rFonts w:hint="eastAsia" w:ascii="仿宋_GB2312" w:hAnsi="仿宋_GB2312" w:eastAsia="仿宋_GB2312" w:cs="仿宋_GB2312"/>
          <w:color w:val="000000"/>
          <w:sz w:val="32"/>
          <w:szCs w:val="32"/>
          <w:highlight w:val="none"/>
          <w:lang w:val="en-US" w:eastAsia="zh-CN"/>
        </w:rPr>
        <w:t>减少180.76</w:t>
      </w:r>
      <w:r>
        <w:rPr>
          <w:rFonts w:hint="eastAsia" w:ascii="仿宋_GB2312" w:hAnsi="仿宋_GB2312" w:eastAsia="仿宋_GB2312" w:cs="仿宋_GB2312"/>
          <w:color w:val="000000"/>
          <w:sz w:val="32"/>
          <w:szCs w:val="32"/>
          <w:highlight w:val="none"/>
        </w:rPr>
        <w:t>万元。</w:t>
      </w:r>
      <w:bookmarkEnd w:id="190"/>
      <w:bookmarkEnd w:id="191"/>
      <w:bookmarkEnd w:id="192"/>
    </w:p>
    <w:p w14:paraId="09697AE8">
      <w:pPr>
        <w:pStyle w:val="2"/>
        <w:rPr>
          <w:rFonts w:hint="eastAsia"/>
        </w:rPr>
      </w:pPr>
    </w:p>
    <w:p w14:paraId="021BC095">
      <w:pPr>
        <w:pageBreakBefore w:val="0"/>
        <w:shd w:val="clear" w:color="auto" w:fill="FFFFFF"/>
        <w:kinsoku/>
        <w:wordWrap/>
        <w:overflowPunct/>
        <w:topLinePunct w:val="0"/>
        <w:bidi w:val="0"/>
        <w:spacing w:line="560" w:lineRule="exact"/>
        <w:ind w:firstLine="643" w:firstLineChars="200"/>
        <w:textAlignment w:val="auto"/>
        <w:outlineLvl w:val="1"/>
        <w:rPr>
          <w:rFonts w:hint="eastAsia" w:ascii="黑体" w:hAnsi="黑体" w:eastAsia="黑体" w:cs="黑体"/>
          <w:b/>
          <w:color w:val="000000"/>
          <w:sz w:val="32"/>
          <w:szCs w:val="32"/>
          <w:highlight w:val="none"/>
          <w:lang w:val="zh-CN"/>
        </w:rPr>
      </w:pPr>
      <w:bookmarkStart w:id="193" w:name="_Toc9759"/>
      <w:bookmarkStart w:id="194" w:name="_Toc9396"/>
      <w:r>
        <w:rPr>
          <w:rFonts w:hint="eastAsia" w:ascii="黑体" w:hAnsi="黑体" w:eastAsia="黑体" w:cs="黑体"/>
          <w:b/>
          <w:color w:val="000000"/>
          <w:sz w:val="32"/>
          <w:szCs w:val="32"/>
          <w:highlight w:val="none"/>
          <w:lang w:val="zh-CN" w:eastAsia="zh-CN"/>
        </w:rPr>
        <w:t>三、</w:t>
      </w:r>
      <w:r>
        <w:rPr>
          <w:rFonts w:hint="eastAsia" w:ascii="黑体" w:hAnsi="黑体" w:eastAsia="黑体" w:cs="黑体"/>
          <w:b/>
          <w:color w:val="000000"/>
          <w:sz w:val="32"/>
          <w:szCs w:val="32"/>
          <w:highlight w:val="none"/>
          <w:lang w:val="zh-CN"/>
        </w:rPr>
        <w:t>部门整体预算绩效管理情况</w:t>
      </w:r>
      <w:bookmarkEnd w:id="188"/>
      <w:bookmarkEnd w:id="189"/>
      <w:bookmarkEnd w:id="193"/>
      <w:bookmarkEnd w:id="194"/>
    </w:p>
    <w:p w14:paraId="3D041914">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195" w:name="_Toc26700"/>
      <w:r>
        <w:rPr>
          <w:rFonts w:hint="eastAsia" w:ascii="楷体_GB2312" w:hAnsi="楷体_GB2312" w:eastAsia="楷体_GB2312" w:cs="楷体_GB2312"/>
          <w:b/>
          <w:color w:val="000000"/>
          <w:sz w:val="32"/>
          <w:szCs w:val="32"/>
          <w:highlight w:val="none"/>
          <w:lang w:val="zh-CN"/>
        </w:rPr>
        <w:t>（一）部门预算管理。</w:t>
      </w:r>
      <w:bookmarkEnd w:id="195"/>
    </w:p>
    <w:p w14:paraId="2F1A8BED">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5F2D3B4A">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财务管理上，按照国家相关法律法规，制定了机关财务、公物购置使用、接待、会务、差旅等管理制度，并严格按照制度管理和执行，防范风险，保证财政资金的安全和高效运行。</w:t>
      </w:r>
    </w:p>
    <w:p w14:paraId="6C0A193A">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196" w:name="_Toc31891"/>
      <w:r>
        <w:rPr>
          <w:rFonts w:hint="eastAsia" w:ascii="楷体_GB2312" w:hAnsi="楷体_GB2312" w:eastAsia="楷体_GB2312" w:cs="楷体_GB2312"/>
          <w:b/>
          <w:color w:val="000000"/>
          <w:sz w:val="32"/>
          <w:szCs w:val="32"/>
          <w:highlight w:val="none"/>
          <w:lang w:val="zh-CN"/>
        </w:rPr>
        <w:t>（二）专项预算管理。</w:t>
      </w:r>
      <w:bookmarkEnd w:id="196"/>
    </w:p>
    <w:p w14:paraId="653802BA">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严格专项预算支出管理，专款专用，按照预算科目和项目资金的规定使用财政资金，保障专项支出的规范化、制度化。</w:t>
      </w:r>
    </w:p>
    <w:p w14:paraId="495BF72C">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财务管理上，按照国家相关法律法规，制定了机关财务专项会议费、差旅费等管理制度，并严格按照制度管理和执行，防范风险，保证财政资金的安全和高效运行。</w:t>
      </w:r>
    </w:p>
    <w:p w14:paraId="24CE4FDF">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197" w:name="_Toc13342"/>
      <w:r>
        <w:rPr>
          <w:rFonts w:hint="eastAsia" w:ascii="楷体_GB2312" w:hAnsi="楷体_GB2312" w:eastAsia="楷体_GB2312" w:cs="楷体_GB2312"/>
          <w:b/>
          <w:color w:val="000000"/>
          <w:sz w:val="32"/>
          <w:szCs w:val="32"/>
          <w:highlight w:val="none"/>
          <w:lang w:val="zh-CN"/>
        </w:rPr>
        <w:t>（三）结果应用情况。</w:t>
      </w:r>
      <w:bookmarkEnd w:id="197"/>
    </w:p>
    <w:p w14:paraId="4FF89A4D">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本年预算配置控制较好，财政供养人员控制在预算编制以内，实际在职人员数与编制数</w:t>
      </w:r>
      <w:r>
        <w:rPr>
          <w:rFonts w:hint="eastAsia" w:ascii="仿宋_GB2312" w:hAnsi="仿宋_GB2312" w:eastAsia="仿宋_GB2312" w:cs="仿宋_GB2312"/>
          <w:sz w:val="32"/>
          <w:szCs w:val="32"/>
          <w:highlight w:val="none"/>
          <w:lang w:eastAsia="zh-CN"/>
        </w:rPr>
        <w:t>相等</w:t>
      </w:r>
      <w:r>
        <w:rPr>
          <w:rFonts w:hint="eastAsia" w:ascii="仿宋_GB2312" w:hAnsi="仿宋_GB2312" w:eastAsia="仿宋_GB2312" w:cs="仿宋_GB2312"/>
          <w:sz w:val="32"/>
          <w:szCs w:val="32"/>
          <w:highlight w:val="none"/>
          <w:lang w:val="en-US" w:eastAsia="zh-CN"/>
        </w:rPr>
        <w:t>，年末调离本单位1人</w:t>
      </w:r>
      <w:r>
        <w:rPr>
          <w:rFonts w:hint="eastAsia" w:ascii="仿宋_GB2312" w:hAnsi="仿宋_GB2312" w:eastAsia="仿宋_GB2312" w:cs="仿宋_GB2312"/>
          <w:sz w:val="32"/>
          <w:szCs w:val="32"/>
          <w:highlight w:val="none"/>
        </w:rPr>
        <w:t>；“三公”经费支出总额较上年减少。</w:t>
      </w:r>
    </w:p>
    <w:p w14:paraId="07D012F4">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预算执行方面，支出总额控制在预算总额以内，基本支出中财政政策性工资有所追加，本年部门预算未进行预算相关事项的调整；预算资金按规定管理使用，财政拨款支出总体控制较好。</w:t>
      </w:r>
    </w:p>
    <w:p w14:paraId="58F97252">
      <w:pPr>
        <w:pageBreakBefore w:val="0"/>
        <w:numPr>
          <w:ilvl w:val="0"/>
          <w:numId w:val="0"/>
        </w:numPr>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预算管理方面，制定了切实有效的内部财务、资产内部管理制度，执行总体较为有效。</w:t>
      </w:r>
    </w:p>
    <w:p w14:paraId="0416535F">
      <w:pPr>
        <w:pStyle w:val="2"/>
        <w:rPr>
          <w:rFonts w:hint="eastAsia"/>
        </w:rPr>
      </w:pPr>
    </w:p>
    <w:p w14:paraId="76B85071">
      <w:pPr>
        <w:pageBreakBefore w:val="0"/>
        <w:shd w:val="clear" w:color="auto" w:fill="FFFFFF"/>
        <w:kinsoku/>
        <w:wordWrap/>
        <w:overflowPunct/>
        <w:topLinePunct w:val="0"/>
        <w:bidi w:val="0"/>
        <w:spacing w:line="560" w:lineRule="exact"/>
        <w:ind w:firstLine="643" w:firstLineChars="200"/>
        <w:textAlignment w:val="auto"/>
        <w:outlineLvl w:val="1"/>
        <w:rPr>
          <w:rFonts w:hint="eastAsia" w:ascii="黑体" w:hAnsi="黑体" w:eastAsia="黑体" w:cs="黑体"/>
          <w:b/>
          <w:bCs/>
          <w:sz w:val="32"/>
          <w:szCs w:val="32"/>
          <w:highlight w:val="none"/>
        </w:rPr>
      </w:pPr>
      <w:bookmarkStart w:id="198" w:name="_Toc140"/>
      <w:bookmarkStart w:id="199" w:name="_Toc11722"/>
      <w:bookmarkStart w:id="200" w:name="_Toc21825"/>
      <w:r>
        <w:rPr>
          <w:rFonts w:hint="eastAsia" w:ascii="黑体" w:hAnsi="黑体" w:eastAsia="黑体" w:cs="黑体"/>
          <w:b/>
          <w:bCs/>
          <w:sz w:val="32"/>
          <w:szCs w:val="32"/>
          <w:highlight w:val="none"/>
          <w:lang w:eastAsia="zh-CN"/>
        </w:rPr>
        <w:t>四</w:t>
      </w:r>
      <w:r>
        <w:rPr>
          <w:rFonts w:hint="eastAsia" w:ascii="黑体" w:hAnsi="黑体" w:eastAsia="黑体" w:cs="黑体"/>
          <w:b/>
          <w:bCs/>
          <w:sz w:val="32"/>
          <w:szCs w:val="32"/>
          <w:highlight w:val="none"/>
        </w:rPr>
        <w:t>、评价结论及建议</w:t>
      </w:r>
      <w:bookmarkEnd w:id="198"/>
      <w:bookmarkEnd w:id="199"/>
      <w:bookmarkEnd w:id="200"/>
    </w:p>
    <w:p w14:paraId="323DA2B6">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201" w:name="_Toc10124"/>
      <w:r>
        <w:rPr>
          <w:rFonts w:hint="eastAsia" w:ascii="楷体_GB2312" w:hAnsi="楷体_GB2312" w:eastAsia="楷体_GB2312" w:cs="楷体_GB2312"/>
          <w:b/>
          <w:color w:val="000000"/>
          <w:sz w:val="32"/>
          <w:szCs w:val="32"/>
          <w:highlight w:val="none"/>
          <w:lang w:val="zh-CN"/>
        </w:rPr>
        <w:t>（一）评价结论。</w:t>
      </w:r>
      <w:bookmarkEnd w:id="201"/>
    </w:p>
    <w:p w14:paraId="43FA5F1D">
      <w:pPr>
        <w:pageBreakBefore w:val="0"/>
        <w:shd w:val="clear" w:color="auto" w:fill="FFFFFF"/>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根据考核评分细则，我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严格按照国家的相关财务管理制度规定，财务制度健全、会计核算规范，依照计划管理使用。按照部门整体支出绩效评价指标体系对照打分得出结果为</w:t>
      </w:r>
      <w:r>
        <w:rPr>
          <w:rFonts w:hint="eastAsia" w:ascii="仿宋_GB2312" w:hAnsi="仿宋_GB2312" w:eastAsia="仿宋_GB2312" w:cs="仿宋_GB2312"/>
          <w:sz w:val="32"/>
          <w:szCs w:val="32"/>
          <w:highlight w:val="none"/>
          <w:lang w:val="en-US" w:eastAsia="zh-CN"/>
        </w:rPr>
        <w:t>91.15</w:t>
      </w:r>
      <w:r>
        <w:rPr>
          <w:rFonts w:hint="eastAsia" w:ascii="仿宋_GB2312" w:hAnsi="仿宋_GB2312" w:eastAsia="仿宋_GB2312" w:cs="仿宋_GB2312"/>
          <w:sz w:val="32"/>
          <w:szCs w:val="32"/>
          <w:highlight w:val="none"/>
        </w:rPr>
        <w:t>分，等级为良好。</w:t>
      </w:r>
    </w:p>
    <w:p w14:paraId="1139BBF9">
      <w:pPr>
        <w:pageBreakBefore w:val="0"/>
        <w:shd w:val="clear" w:color="auto" w:fill="FFFFFF"/>
        <w:kinsoku/>
        <w:wordWrap/>
        <w:overflowPunct/>
        <w:topLinePunct w:val="0"/>
        <w:bidi w:val="0"/>
        <w:spacing w:line="560" w:lineRule="exact"/>
        <w:ind w:firstLine="643" w:firstLineChars="200"/>
        <w:textAlignment w:val="auto"/>
        <w:outlineLvl w:val="2"/>
        <w:rPr>
          <w:rFonts w:hint="eastAsia" w:ascii="楷体_GB2312" w:hAnsi="楷体_GB2312" w:eastAsia="楷体_GB2312" w:cs="楷体_GB2312"/>
          <w:b/>
          <w:color w:val="000000"/>
          <w:sz w:val="32"/>
          <w:szCs w:val="32"/>
          <w:highlight w:val="none"/>
          <w:lang w:val="zh-CN"/>
        </w:rPr>
      </w:pPr>
      <w:bookmarkStart w:id="202" w:name="_Toc28388"/>
      <w:r>
        <w:rPr>
          <w:rFonts w:hint="eastAsia" w:ascii="楷体_GB2312" w:hAnsi="楷体_GB2312" w:eastAsia="楷体_GB2312" w:cs="楷体_GB2312"/>
          <w:b/>
          <w:color w:val="000000"/>
          <w:sz w:val="32"/>
          <w:szCs w:val="32"/>
          <w:highlight w:val="none"/>
          <w:lang w:val="zh-CN"/>
        </w:rPr>
        <w:t>（二）存在问题。</w:t>
      </w:r>
      <w:bookmarkEnd w:id="202"/>
    </w:p>
    <w:p w14:paraId="3B8FE60A">
      <w:pPr>
        <w:pageBreakBefore w:val="0"/>
        <w:shd w:val="clear" w:color="auto" w:fill="FFFFFF"/>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预算编制有待更严格执行，预算编制与实际支出项目有的存在差异。</w:t>
      </w:r>
    </w:p>
    <w:p w14:paraId="679A4398">
      <w:pPr>
        <w:pageBreakBefore w:val="0"/>
        <w:shd w:val="clear" w:color="auto" w:fill="FFFFFF"/>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制度执行力度有待加强。</w:t>
      </w:r>
    </w:p>
    <w:p w14:paraId="4652FAD9">
      <w:pPr>
        <w:pageBreakBefore w:val="0"/>
        <w:shd w:val="clear" w:color="auto" w:fill="FFFFFF"/>
        <w:kinsoku/>
        <w:wordWrap/>
        <w:overflowPunct/>
        <w:topLinePunct w:val="0"/>
        <w:bidi w:val="0"/>
        <w:spacing w:line="560" w:lineRule="exact"/>
        <w:ind w:firstLine="643" w:firstLineChars="200"/>
        <w:textAlignment w:val="auto"/>
        <w:outlineLvl w:val="2"/>
        <w:rPr>
          <w:rFonts w:hint="eastAsia" w:ascii="仿宋_GB2312" w:hAnsi="仿宋_GB2312" w:eastAsia="仿宋_GB2312" w:cs="仿宋_GB2312"/>
          <w:sz w:val="32"/>
          <w:szCs w:val="32"/>
          <w:highlight w:val="none"/>
        </w:rPr>
      </w:pPr>
      <w:bookmarkStart w:id="203" w:name="_Toc47"/>
      <w:r>
        <w:rPr>
          <w:rFonts w:hint="eastAsia" w:ascii="仿宋_GB2312" w:hAnsi="仿宋_GB2312" w:eastAsia="仿宋_GB2312" w:cs="仿宋_GB2312"/>
          <w:b/>
          <w:color w:val="000000"/>
          <w:sz w:val="32"/>
          <w:szCs w:val="32"/>
          <w:highlight w:val="none"/>
        </w:rPr>
        <w:t>（三）改进建议。</w:t>
      </w:r>
      <w:bookmarkEnd w:id="203"/>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按照预算规定的项目和用途严格财务审核，经费支出严格按预算规定项目的财务支出内容进行财务核算，在预算金额内严格控制费用的支出。</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预算财务分析常态化，定期做好预算支出财务分析，做好部门整体支出预算评价工作，完善各项</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color w:val="000000"/>
          <w:sz w:val="32"/>
          <w:szCs w:val="32"/>
          <w:highlight w:val="none"/>
          <w:lang w:eastAsia="zh-CN"/>
        </w:rPr>
        <w:t>任务</w:t>
      </w:r>
      <w:r>
        <w:rPr>
          <w:rFonts w:hint="eastAsia" w:ascii="仿宋_GB2312" w:hAnsi="仿宋_GB2312" w:eastAsia="仿宋_GB2312" w:cs="仿宋_GB2312"/>
          <w:sz w:val="32"/>
          <w:szCs w:val="32"/>
          <w:highlight w:val="none"/>
        </w:rPr>
        <w:t>，提升执行力。</w:t>
      </w:r>
    </w:p>
    <w:p w14:paraId="311EC4F3">
      <w:pPr>
        <w:pStyle w:val="2"/>
        <w:shd w:val="clear" w:color="auto" w:fill="FFFFFF"/>
        <w:rPr>
          <w:rFonts w:hint="eastAsia"/>
        </w:rPr>
      </w:pPr>
    </w:p>
    <w:p w14:paraId="2EC7A9A8">
      <w:pPr>
        <w:pStyle w:val="2"/>
        <w:keepNext w:val="0"/>
        <w:keepLines w:val="0"/>
        <w:pageBreakBefore w:val="0"/>
        <w:numPr>
          <w:ilvl w:val="0"/>
          <w:numId w:val="0"/>
        </w:numPr>
        <w:shd w:val="clear" w:color="auto" w:fill="FFFFFF"/>
        <w:overflowPunct w:val="0"/>
        <w:bidi w:val="0"/>
        <w:spacing w:line="560" w:lineRule="exact"/>
        <w:ind w:left="0" w:firstLine="64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部门预算项目支出绩效自评表（2023年度）</w:t>
      </w:r>
    </w:p>
    <w:p w14:paraId="696C0BF3">
      <w:pPr>
        <w:pStyle w:val="2"/>
        <w:keepNext w:val="0"/>
        <w:keepLines w:val="0"/>
        <w:pageBreakBefore w:val="0"/>
        <w:numPr>
          <w:ilvl w:val="0"/>
          <w:numId w:val="0"/>
        </w:numPr>
        <w:shd w:val="clear" w:color="auto" w:fill="FFFFFF"/>
        <w:overflowPunct w:val="0"/>
        <w:bidi w:val="0"/>
        <w:spacing w:line="56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（备注：按照绩效自评工作安排，各部门已在预算管理一体化系统绩效自评模块上传“部门预算项目支出绩效自评表（2023年度）”，该表格应作为附表予以公开。）</w:t>
      </w:r>
    </w:p>
    <w:p w14:paraId="60154AD1">
      <w:pPr>
        <w:shd w:val="clear" w:color="auto" w:fill="FFFFFF"/>
        <w:bidi w:val="0"/>
        <w:rPr>
          <w:rFonts w:hint="eastAsia"/>
          <w:lang w:val="en-US" w:eastAsia="zh-CN"/>
        </w:rPr>
      </w:pPr>
    </w:p>
    <w:p w14:paraId="38FAB872">
      <w:pPr>
        <w:shd w:val="clear" w:color="auto" w:fill="FFFFFF"/>
        <w:bidi w:val="0"/>
        <w:rPr>
          <w:rFonts w:hint="eastAsia"/>
          <w:lang w:val="en-US" w:eastAsia="zh-CN"/>
        </w:rPr>
      </w:pPr>
    </w:p>
    <w:p w14:paraId="197A5C14">
      <w:pPr>
        <w:shd w:val="clear" w:color="auto" w:fill="FFFFFF"/>
        <w:bidi w:val="0"/>
        <w:rPr>
          <w:rFonts w:hint="eastAsia"/>
          <w:lang w:val="en-US" w:eastAsia="zh-CN"/>
        </w:rPr>
      </w:pPr>
    </w:p>
    <w:p w14:paraId="17F169C5">
      <w:pPr>
        <w:shd w:val="clear" w:color="auto" w:fill="FFFFFF"/>
        <w:bidi w:val="0"/>
        <w:rPr>
          <w:rFonts w:hint="eastAsia"/>
          <w:lang w:val="en-US" w:eastAsia="zh-CN"/>
        </w:rPr>
      </w:pPr>
    </w:p>
    <w:p w14:paraId="18ECAACD">
      <w:pPr>
        <w:shd w:val="clear" w:color="auto" w:fill="FFFFFF"/>
        <w:bidi w:val="0"/>
        <w:rPr>
          <w:rFonts w:hint="eastAsia"/>
          <w:lang w:val="en-US" w:eastAsia="zh-CN"/>
        </w:rPr>
      </w:pPr>
    </w:p>
    <w:p w14:paraId="1CC49702">
      <w:pPr>
        <w:shd w:val="clear" w:color="auto" w:fill="FFFFFF"/>
        <w:bidi w:val="0"/>
        <w:rPr>
          <w:rFonts w:hint="eastAsia"/>
          <w:lang w:val="en-US" w:eastAsia="zh-CN"/>
        </w:rPr>
      </w:pPr>
    </w:p>
    <w:p w14:paraId="237462E7">
      <w:pPr>
        <w:shd w:val="clear" w:color="auto" w:fill="FFFFFF"/>
        <w:bidi w:val="0"/>
        <w:rPr>
          <w:rFonts w:hint="eastAsia"/>
          <w:lang w:val="en-US" w:eastAsia="zh-CN"/>
        </w:rPr>
      </w:pPr>
    </w:p>
    <w:p w14:paraId="74445F2E">
      <w:pPr>
        <w:shd w:val="clear" w:color="auto" w:fill="FFFFFF"/>
        <w:bidi w:val="0"/>
        <w:rPr>
          <w:rFonts w:hint="eastAsia"/>
          <w:lang w:val="en-US" w:eastAsia="zh-CN"/>
        </w:rPr>
      </w:pPr>
    </w:p>
    <w:p w14:paraId="2DC7D8B3">
      <w:pPr>
        <w:shd w:val="clear" w:color="auto" w:fill="FFFFFF"/>
        <w:bidi w:val="0"/>
        <w:rPr>
          <w:rFonts w:hint="eastAsia"/>
          <w:lang w:val="en-US" w:eastAsia="zh-CN"/>
        </w:rPr>
      </w:pPr>
    </w:p>
    <w:p w14:paraId="7EBDF4E6">
      <w:pPr>
        <w:shd w:val="clear" w:color="auto" w:fill="FFFFFF"/>
        <w:bidi w:val="0"/>
        <w:rPr>
          <w:rFonts w:hint="eastAsia"/>
          <w:lang w:val="en-US" w:eastAsia="zh-CN"/>
        </w:rPr>
      </w:pPr>
    </w:p>
    <w:p w14:paraId="7902EA44">
      <w:pPr>
        <w:shd w:val="clear" w:color="auto" w:fill="FFFFFF"/>
        <w:bidi w:val="0"/>
        <w:rPr>
          <w:rFonts w:hint="eastAsia"/>
          <w:lang w:val="en-US" w:eastAsia="zh-CN"/>
        </w:rPr>
      </w:pPr>
    </w:p>
    <w:p w14:paraId="604BBBF7">
      <w:pPr>
        <w:shd w:val="clear" w:color="auto" w:fill="FFFFFF"/>
        <w:bidi w:val="0"/>
        <w:rPr>
          <w:rFonts w:hint="eastAsia"/>
          <w:lang w:val="en-US" w:eastAsia="zh-CN"/>
        </w:rPr>
      </w:pPr>
    </w:p>
    <w:p w14:paraId="74E6AF5B">
      <w:pPr>
        <w:shd w:val="clear" w:color="auto" w:fill="FFFFFF"/>
        <w:bidi w:val="0"/>
        <w:rPr>
          <w:rFonts w:hint="eastAsia"/>
          <w:lang w:val="en-US" w:eastAsia="zh-CN"/>
        </w:rPr>
      </w:pPr>
    </w:p>
    <w:p w14:paraId="36E59622">
      <w:pPr>
        <w:shd w:val="clear" w:color="auto" w:fill="FFFFFF"/>
        <w:bidi w:val="0"/>
        <w:rPr>
          <w:rFonts w:hint="eastAsia"/>
          <w:lang w:val="en-US" w:eastAsia="zh-CN"/>
        </w:rPr>
      </w:pPr>
    </w:p>
    <w:p w14:paraId="72ABEB25">
      <w:pPr>
        <w:shd w:val="clear" w:color="auto" w:fill="FFFFFF"/>
        <w:bidi w:val="0"/>
        <w:rPr>
          <w:rFonts w:hint="eastAsia"/>
          <w:lang w:val="en-US" w:eastAsia="zh-CN"/>
        </w:rPr>
      </w:pPr>
    </w:p>
    <w:p w14:paraId="0FC973EB">
      <w:pPr>
        <w:shd w:val="clear" w:color="auto" w:fill="FFFFFF"/>
        <w:bidi w:val="0"/>
        <w:rPr>
          <w:rFonts w:hint="eastAsia"/>
          <w:lang w:val="en-US" w:eastAsia="zh-CN"/>
        </w:rPr>
      </w:pPr>
    </w:p>
    <w:p w14:paraId="73473492">
      <w:pPr>
        <w:shd w:val="clear" w:color="auto" w:fill="FFFFFF"/>
        <w:bidi w:val="0"/>
        <w:rPr>
          <w:rFonts w:hint="eastAsia"/>
          <w:lang w:val="en-US" w:eastAsia="zh-CN"/>
        </w:rPr>
      </w:pPr>
    </w:p>
    <w:p w14:paraId="2F95E7B4">
      <w:pPr>
        <w:shd w:val="clear" w:color="auto" w:fill="FFFFFF"/>
        <w:bidi w:val="0"/>
        <w:rPr>
          <w:rFonts w:hint="eastAsia"/>
          <w:lang w:val="en-US" w:eastAsia="zh-CN"/>
        </w:rPr>
      </w:pPr>
    </w:p>
    <w:p w14:paraId="71202A02">
      <w:pPr>
        <w:shd w:val="clear" w:color="auto" w:fill="FFFFFF"/>
        <w:bidi w:val="0"/>
        <w:rPr>
          <w:rFonts w:hint="eastAsia"/>
          <w:lang w:val="en-US" w:eastAsia="zh-CN"/>
        </w:rPr>
      </w:pPr>
    </w:p>
    <w:p w14:paraId="256AAE65">
      <w:pPr>
        <w:shd w:val="clear" w:color="auto" w:fill="FFFFFF"/>
        <w:bidi w:val="0"/>
        <w:rPr>
          <w:rFonts w:hint="eastAsia"/>
          <w:lang w:val="en-US" w:eastAsia="zh-CN"/>
        </w:rPr>
      </w:pPr>
    </w:p>
    <w:p w14:paraId="38229FB1">
      <w:pPr>
        <w:shd w:val="clear" w:color="auto" w:fill="FFFFFF"/>
        <w:bidi w:val="0"/>
        <w:rPr>
          <w:rFonts w:hint="eastAsia"/>
          <w:lang w:val="en-US" w:eastAsia="zh-CN"/>
        </w:rPr>
      </w:pPr>
    </w:p>
    <w:p w14:paraId="5B957AE9">
      <w:pPr>
        <w:shd w:val="clear" w:color="auto" w:fill="FFFFFF"/>
        <w:bidi w:val="0"/>
        <w:rPr>
          <w:rFonts w:hint="eastAsia"/>
          <w:lang w:val="en-US" w:eastAsia="zh-CN"/>
        </w:rPr>
      </w:pPr>
    </w:p>
    <w:p w14:paraId="6F776491">
      <w:pPr>
        <w:shd w:val="clear" w:color="auto" w:fill="FFFFFF"/>
        <w:bidi w:val="0"/>
        <w:rPr>
          <w:rFonts w:hint="eastAsia"/>
          <w:lang w:val="en-US" w:eastAsia="zh-CN"/>
        </w:rPr>
      </w:pPr>
    </w:p>
    <w:p w14:paraId="2CEEC6C4">
      <w:pPr>
        <w:shd w:val="clear" w:color="auto" w:fill="FFFFFF"/>
        <w:bidi w:val="0"/>
        <w:rPr>
          <w:rFonts w:hint="eastAsia"/>
          <w:lang w:val="en-US" w:eastAsia="zh-CN"/>
        </w:rPr>
      </w:pPr>
    </w:p>
    <w:p w14:paraId="5F27E53E">
      <w:pPr>
        <w:shd w:val="clear" w:color="auto" w:fill="FFFFFF"/>
        <w:bidi w:val="0"/>
        <w:rPr>
          <w:rFonts w:hint="eastAsia"/>
          <w:lang w:val="en-US" w:eastAsia="zh-CN"/>
        </w:rPr>
      </w:pPr>
    </w:p>
    <w:p w14:paraId="409B5B5F">
      <w:pPr>
        <w:shd w:val="clear" w:color="auto" w:fill="FFFFFF"/>
        <w:bidi w:val="0"/>
        <w:rPr>
          <w:rFonts w:hint="eastAsia"/>
          <w:lang w:val="en-US" w:eastAsia="zh-CN"/>
        </w:rPr>
      </w:pPr>
    </w:p>
    <w:p w14:paraId="35B0F05A">
      <w:pPr>
        <w:shd w:val="clear" w:color="auto" w:fill="FFFFFF"/>
        <w:bidi w:val="0"/>
        <w:rPr>
          <w:rFonts w:hint="eastAsia"/>
          <w:lang w:val="en-US" w:eastAsia="zh-CN"/>
        </w:rPr>
      </w:pPr>
    </w:p>
    <w:p w14:paraId="3387C026">
      <w:pPr>
        <w:shd w:val="clear" w:color="auto" w:fill="FFFFFF"/>
        <w:bidi w:val="0"/>
        <w:rPr>
          <w:rFonts w:hint="eastAsia"/>
          <w:lang w:val="en-US" w:eastAsia="zh-CN"/>
        </w:rPr>
      </w:pPr>
    </w:p>
    <w:p w14:paraId="7BB958AA">
      <w:pPr>
        <w:shd w:val="clear" w:color="auto" w:fill="FFFFFF"/>
        <w:bidi w:val="0"/>
        <w:rPr>
          <w:rFonts w:hint="eastAsia"/>
          <w:lang w:val="en-US" w:eastAsia="zh-CN"/>
        </w:rPr>
      </w:pPr>
    </w:p>
    <w:p w14:paraId="576C8C82">
      <w:pPr>
        <w:shd w:val="clear" w:color="auto" w:fill="FFFFFF"/>
        <w:bidi w:val="0"/>
        <w:rPr>
          <w:rFonts w:hint="eastAsia"/>
          <w:lang w:val="en-US" w:eastAsia="zh-CN"/>
        </w:rPr>
      </w:pPr>
    </w:p>
    <w:p w14:paraId="026842B4">
      <w:pPr>
        <w:shd w:val="clear" w:color="auto" w:fill="FFFFFF"/>
        <w:bidi w:val="0"/>
        <w:rPr>
          <w:rFonts w:hint="eastAsia"/>
          <w:lang w:val="en-US" w:eastAsia="zh-CN"/>
        </w:rPr>
      </w:pPr>
    </w:p>
    <w:p w14:paraId="49313775">
      <w:pPr>
        <w:shd w:val="clear" w:color="auto" w:fill="FFFFFF"/>
        <w:tabs>
          <w:tab w:val="left" w:pos="5916"/>
        </w:tabs>
        <w:bidi w:val="0"/>
        <w:jc w:val="left"/>
        <w:rPr>
          <w:rFonts w:hint="eastAsia"/>
          <w:lang w:val="en-US" w:eastAsia="zh-CN"/>
        </w:rPr>
      </w:pPr>
    </w:p>
    <w:p w14:paraId="37BB2B90">
      <w:pPr>
        <w:pStyle w:val="2"/>
        <w:shd w:val="clear" w:color="auto" w:fill="FFFFFF"/>
        <w:rPr>
          <w:rFonts w:hint="eastAsia"/>
          <w:lang w:val="en-US" w:eastAsia="zh-CN"/>
        </w:rPr>
      </w:pPr>
    </w:p>
    <w:p w14:paraId="67297FAC">
      <w:pPr>
        <w:pStyle w:val="2"/>
        <w:shd w:val="clear" w:color="auto" w:fill="FFFFFF"/>
        <w:rPr>
          <w:rFonts w:hint="eastAsia"/>
          <w:lang w:val="en-US" w:eastAsia="zh-CN"/>
        </w:rPr>
      </w:pPr>
    </w:p>
    <w:p w14:paraId="740EDC91">
      <w:pPr>
        <w:pStyle w:val="2"/>
        <w:shd w:val="clear" w:color="auto" w:fill="FFFFFF"/>
        <w:rPr>
          <w:rFonts w:hint="eastAsia"/>
          <w:lang w:val="en-US" w:eastAsia="zh-CN"/>
        </w:rPr>
      </w:pPr>
    </w:p>
    <w:p w14:paraId="1D97BB72">
      <w:pPr>
        <w:numPr>
          <w:ilvl w:val="0"/>
          <w:numId w:val="0"/>
        </w:numPr>
        <w:shd w:val="clear" w:color="auto" w:fill="FFFFFF"/>
        <w:spacing w:line="600" w:lineRule="exact"/>
        <w:jc w:val="left"/>
        <w:outlineLvl w:val="1"/>
        <w:rPr>
          <w:rFonts w:hint="default"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附件2</w:t>
      </w:r>
    </w:p>
    <w:p w14:paraId="5CA24EC1">
      <w:pPr>
        <w:pStyle w:val="2"/>
        <w:shd w:val="clear" w:color="auto" w:fill="FFFFFF"/>
        <w:rPr>
          <w:rFonts w:hint="eastAsia"/>
          <w:lang w:val="en-US" w:eastAsia="zh-CN"/>
        </w:rPr>
      </w:pPr>
      <w:r>
        <w:drawing>
          <wp:anchor distT="0" distB="0" distL="114300" distR="114300" simplePos="0" relativeHeight="251659264" behindDoc="1" locked="0" layoutInCell="1" allowOverlap="1">
            <wp:simplePos x="0" y="0"/>
            <wp:positionH relativeFrom="column">
              <wp:posOffset>50165</wp:posOffset>
            </wp:positionH>
            <wp:positionV relativeFrom="paragraph">
              <wp:posOffset>302260</wp:posOffset>
            </wp:positionV>
            <wp:extent cx="5669280" cy="7979410"/>
            <wp:effectExtent l="0" t="0" r="7620" b="2540"/>
            <wp:wrapThrough wrapText="bothSides">
              <wp:wrapPolygon>
                <wp:start x="0" y="0"/>
                <wp:lineTo x="0" y="21555"/>
                <wp:lineTo x="21556" y="21555"/>
                <wp:lineTo x="21556" y="0"/>
                <wp:lineTo x="0" y="0"/>
              </wp:wrapPolygon>
            </wp:wrapThrough>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2"/>
                    <a:stretch>
                      <a:fillRect/>
                    </a:stretch>
                  </pic:blipFill>
                  <pic:spPr>
                    <a:xfrm>
                      <a:off x="0" y="0"/>
                      <a:ext cx="5669280" cy="7979410"/>
                    </a:xfrm>
                    <a:prstGeom prst="rect">
                      <a:avLst/>
                    </a:prstGeom>
                    <a:noFill/>
                    <a:ln>
                      <a:noFill/>
                    </a:ln>
                  </pic:spPr>
                </pic:pic>
              </a:graphicData>
            </a:graphic>
          </wp:anchor>
        </w:drawing>
      </w:r>
    </w:p>
    <w:p w14:paraId="08D3C60A">
      <w:pPr>
        <w:pStyle w:val="2"/>
        <w:keepNext w:val="0"/>
        <w:keepLines w:val="0"/>
        <w:pageBreakBefore w:val="0"/>
        <w:numPr>
          <w:ilvl w:val="0"/>
          <w:numId w:val="0"/>
        </w:numPr>
        <w:shd w:val="clear" w:color="auto" w:fill="FFFFFF"/>
        <w:overflowPunct w:val="0"/>
        <w:bidi w:val="0"/>
        <w:spacing w:line="560" w:lineRule="exact"/>
        <w:textAlignment w:val="auto"/>
        <w:rPr>
          <w:rFonts w:hint="eastAsia" w:ascii="仿宋_GB2312" w:hAnsi="仿宋_GB2312" w:eastAsia="仿宋_GB2312" w:cs="仿宋_GB2312"/>
          <w:color w:val="auto"/>
          <w:sz w:val="32"/>
          <w:szCs w:val="32"/>
          <w:highlight w:val="none"/>
          <w:lang w:val="en-US" w:eastAsia="zh-CN"/>
        </w:rPr>
        <w:sectPr>
          <w:footerReference r:id="rId4" w:type="default"/>
          <w:pgSz w:w="11906" w:h="16838"/>
          <w:pgMar w:top="1431" w:right="1526" w:bottom="1539" w:left="1548" w:header="0" w:footer="1261" w:gutter="0"/>
          <w:pgNumType w:fmt="decimal" w:start="1"/>
          <w:cols w:space="720" w:num="1"/>
          <w:formProt w:val="0"/>
          <w:docGrid w:linePitch="100" w:charSpace="0"/>
        </w:sectPr>
      </w:pPr>
    </w:p>
    <w:p w14:paraId="322223EF">
      <w:pPr>
        <w:pStyle w:val="4"/>
        <w:shd w:val="clear" w:color="auto" w:fill="FFFFFF"/>
        <w:bidi w:val="0"/>
        <w:jc w:val="both"/>
        <w:outlineLvl w:val="9"/>
      </w:pPr>
      <w:bookmarkStart w:id="204" w:name="_Toc15396618"/>
      <w:bookmarkStart w:id="205" w:name="_Toc79163885"/>
      <w:bookmarkStart w:id="206" w:name="_Toc79163635"/>
      <w:bookmarkStart w:id="207" w:name="_Toc9964"/>
      <w:bookmarkStart w:id="208" w:name="_Toc23449"/>
      <w:bookmarkStart w:id="209" w:name="_Toc18123"/>
      <w:r>
        <w:drawing>
          <wp:inline distT="0" distB="0" distL="114300" distR="114300">
            <wp:extent cx="5266690" cy="8425180"/>
            <wp:effectExtent l="0" t="0" r="10160" b="1397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3"/>
                    <a:stretch>
                      <a:fillRect/>
                    </a:stretch>
                  </pic:blipFill>
                  <pic:spPr>
                    <a:xfrm>
                      <a:off x="0" y="0"/>
                      <a:ext cx="5266690" cy="8425180"/>
                    </a:xfrm>
                    <a:prstGeom prst="rect">
                      <a:avLst/>
                    </a:prstGeom>
                    <a:noFill/>
                    <a:ln>
                      <a:noFill/>
                    </a:ln>
                  </pic:spPr>
                </pic:pic>
              </a:graphicData>
            </a:graphic>
          </wp:inline>
        </w:drawing>
      </w:r>
    </w:p>
    <w:p w14:paraId="68133AFF">
      <w:pPr>
        <w:shd w:val="clear" w:color="auto" w:fill="FFFFFF"/>
      </w:pPr>
    </w:p>
    <w:p w14:paraId="2A33A650">
      <w:pPr>
        <w:pStyle w:val="2"/>
        <w:shd w:val="clear" w:color="auto" w:fill="FFFFFF"/>
        <w:ind w:left="0" w:leftChars="0" w:firstLine="0" w:firstLineChars="0"/>
        <w:rPr>
          <w:rFonts w:hint="eastAsia"/>
          <w:lang w:eastAsia="zh-CN"/>
        </w:rPr>
        <w:sectPr>
          <w:headerReference r:id="rId5" w:type="default"/>
          <w:footerReference r:id="rId6" w:type="default"/>
          <w:pgSz w:w="11906" w:h="16838"/>
          <w:pgMar w:top="1440" w:right="1800" w:bottom="1440" w:left="1800" w:header="851" w:footer="992" w:gutter="0"/>
          <w:pgNumType w:fmt="decimal"/>
          <w:cols w:space="720" w:num="1"/>
          <w:titlePg/>
          <w:docGrid w:type="lines" w:linePitch="312" w:charSpace="0"/>
        </w:sectPr>
      </w:pPr>
      <w:r>
        <w:drawing>
          <wp:inline distT="0" distB="0" distL="114300" distR="114300">
            <wp:extent cx="5339715" cy="7980680"/>
            <wp:effectExtent l="0" t="0" r="13335" b="127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4"/>
                    <a:stretch>
                      <a:fillRect/>
                    </a:stretch>
                  </pic:blipFill>
                  <pic:spPr>
                    <a:xfrm>
                      <a:off x="0" y="0"/>
                      <a:ext cx="5339715" cy="7980680"/>
                    </a:xfrm>
                    <a:prstGeom prst="rect">
                      <a:avLst/>
                    </a:prstGeom>
                    <a:noFill/>
                    <a:ln>
                      <a:noFill/>
                    </a:ln>
                  </pic:spPr>
                </pic:pic>
              </a:graphicData>
            </a:graphic>
          </wp:inline>
        </w:drawing>
      </w:r>
    </w:p>
    <w:p w14:paraId="5057DB79">
      <w:pPr>
        <w:pStyle w:val="4"/>
        <w:shd w:val="clear" w:color="auto" w:fill="FFFFFF"/>
        <w:bidi w:val="0"/>
        <w:jc w:val="center"/>
        <w:rPr>
          <w:rFonts w:hint="eastAsia" w:ascii="黑体" w:hAnsi="黑体" w:eastAsia="黑体" w:cs="黑体"/>
          <w:highlight w:val="none"/>
        </w:rPr>
      </w:pPr>
      <w:bookmarkStart w:id="210" w:name="_Toc12094"/>
      <w:r>
        <w:rPr>
          <w:rStyle w:val="17"/>
          <w:rFonts w:hint="eastAsia" w:ascii="黑体" w:hAnsi="黑体" w:eastAsia="黑体" w:cs="黑体"/>
          <w:b w:val="0"/>
          <w:bCs/>
          <w:highlight w:val="none"/>
          <w:lang w:eastAsia="zh-CN"/>
        </w:rPr>
        <w:t>第五部分</w:t>
      </w:r>
      <w:r>
        <w:rPr>
          <w:rStyle w:val="17"/>
          <w:rFonts w:hint="eastAsia" w:ascii="黑体" w:hAnsi="黑体" w:eastAsia="黑体" w:cs="黑体"/>
          <w:b w:val="0"/>
          <w:bCs/>
          <w:highlight w:val="none"/>
          <w:lang w:val="en-US" w:eastAsia="zh-CN"/>
        </w:rPr>
        <w:t xml:space="preserve"> </w:t>
      </w:r>
      <w:r>
        <w:rPr>
          <w:rStyle w:val="17"/>
          <w:rFonts w:hint="eastAsia" w:ascii="黑体" w:hAnsi="黑体" w:eastAsia="黑体" w:cs="黑体"/>
          <w:b w:val="0"/>
          <w:bCs/>
          <w:highlight w:val="none"/>
        </w:rPr>
        <w:t>附表</w:t>
      </w:r>
      <w:bookmarkEnd w:id="164"/>
      <w:bookmarkEnd w:id="204"/>
      <w:bookmarkEnd w:id="205"/>
      <w:bookmarkEnd w:id="206"/>
      <w:bookmarkEnd w:id="207"/>
      <w:bookmarkEnd w:id="208"/>
      <w:bookmarkEnd w:id="209"/>
      <w:bookmarkEnd w:id="210"/>
    </w:p>
    <w:p w14:paraId="05619EC8">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11" w:name="_Toc15396619"/>
      <w:bookmarkStart w:id="212" w:name="_Toc12851"/>
      <w:bookmarkStart w:id="213" w:name="_Toc79163886"/>
      <w:bookmarkStart w:id="214" w:name="_Toc79163636"/>
      <w:bookmarkStart w:id="215" w:name="_Toc19063"/>
      <w:bookmarkStart w:id="216" w:name="_Toc4727"/>
      <w:r>
        <w:rPr>
          <w:rFonts w:hint="eastAsia" w:ascii="黑体" w:hAnsi="黑体" w:eastAsia="黑体" w:cs="黑体"/>
          <w:b w:val="0"/>
          <w:color w:val="000000"/>
          <w:highlight w:val="none"/>
        </w:rPr>
        <w:t>一、</w:t>
      </w:r>
      <w:bookmarkEnd w:id="211"/>
      <w:bookmarkEnd w:id="212"/>
      <w:bookmarkEnd w:id="213"/>
      <w:bookmarkEnd w:id="214"/>
      <w:bookmarkEnd w:id="215"/>
      <w:bookmarkStart w:id="217" w:name="_Toc22202"/>
      <w:bookmarkStart w:id="218" w:name="_Toc3650"/>
      <w:bookmarkStart w:id="219" w:name="_Toc9542"/>
      <w:r>
        <w:rPr>
          <w:rFonts w:hint="eastAsia" w:ascii="黑体" w:hAnsi="黑体" w:eastAsia="黑体" w:cs="黑体"/>
          <w:b w:val="0"/>
          <w:color w:val="auto"/>
          <w:highlight w:val="none"/>
        </w:rPr>
        <w:t>收</w:t>
      </w:r>
      <w:r>
        <w:rPr>
          <w:rStyle w:val="18"/>
          <w:rFonts w:hint="eastAsia" w:ascii="黑体" w:hAnsi="黑体" w:eastAsia="黑体" w:cs="黑体"/>
          <w:b w:val="0"/>
          <w:bCs w:val="0"/>
          <w:color w:val="auto"/>
          <w:highlight w:val="none"/>
        </w:rPr>
        <w:t>入支出决算总表</w:t>
      </w:r>
      <w:bookmarkEnd w:id="216"/>
      <w:bookmarkEnd w:id="217"/>
      <w:bookmarkEnd w:id="218"/>
      <w:bookmarkEnd w:id="219"/>
    </w:p>
    <w:p w14:paraId="6EB478E8">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20" w:name="__RefHeading___Toc11791_606756457"/>
      <w:bookmarkEnd w:id="220"/>
      <w:bookmarkStart w:id="221" w:name="_Toc4454"/>
      <w:bookmarkStart w:id="222" w:name="_Toc29210"/>
      <w:bookmarkStart w:id="223" w:name="_Toc26802"/>
      <w:bookmarkStart w:id="224" w:name="_Toc15637"/>
      <w:bookmarkStart w:id="225" w:name="_Toc15396620"/>
      <w:r>
        <w:rPr>
          <w:rFonts w:hint="eastAsia" w:ascii="黑体" w:hAnsi="黑体" w:eastAsia="黑体" w:cs="黑体"/>
          <w:b w:val="0"/>
          <w:color w:val="auto"/>
          <w:highlight w:val="none"/>
        </w:rPr>
        <w:t>二、收</w:t>
      </w:r>
      <w:r>
        <w:rPr>
          <w:rStyle w:val="18"/>
          <w:rFonts w:hint="eastAsia" w:ascii="黑体" w:hAnsi="黑体" w:eastAsia="黑体" w:cs="黑体"/>
          <w:b w:val="0"/>
          <w:bCs w:val="0"/>
          <w:color w:val="auto"/>
          <w:highlight w:val="none"/>
        </w:rPr>
        <w:t>入决算表</w:t>
      </w:r>
      <w:bookmarkEnd w:id="221"/>
      <w:bookmarkEnd w:id="222"/>
      <w:bookmarkEnd w:id="223"/>
      <w:bookmarkEnd w:id="224"/>
      <w:bookmarkEnd w:id="225"/>
    </w:p>
    <w:p w14:paraId="2ABFB3D5">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26" w:name="__RefHeading___Toc11793_606756457"/>
      <w:bookmarkEnd w:id="226"/>
      <w:bookmarkStart w:id="227" w:name="_Toc29474"/>
      <w:bookmarkStart w:id="228" w:name="_Toc15396621"/>
      <w:bookmarkStart w:id="229" w:name="_Toc18944"/>
      <w:bookmarkStart w:id="230" w:name="_Toc6351"/>
      <w:bookmarkStart w:id="231" w:name="_Toc7182"/>
      <w:r>
        <w:rPr>
          <w:rStyle w:val="18"/>
          <w:rFonts w:hint="eastAsia" w:ascii="黑体" w:hAnsi="黑体" w:eastAsia="黑体" w:cs="黑体"/>
          <w:b w:val="0"/>
          <w:bCs w:val="0"/>
          <w:color w:val="auto"/>
          <w:highlight w:val="none"/>
        </w:rPr>
        <w:t>三、</w:t>
      </w:r>
      <w:r>
        <w:rPr>
          <w:rFonts w:hint="eastAsia" w:ascii="黑体" w:hAnsi="黑体" w:eastAsia="黑体" w:cs="黑体"/>
          <w:b w:val="0"/>
          <w:color w:val="auto"/>
          <w:highlight w:val="none"/>
        </w:rPr>
        <w:t>支</w:t>
      </w:r>
      <w:r>
        <w:rPr>
          <w:rStyle w:val="18"/>
          <w:rFonts w:hint="eastAsia" w:ascii="黑体" w:hAnsi="黑体" w:eastAsia="黑体" w:cs="黑体"/>
          <w:b w:val="0"/>
          <w:bCs w:val="0"/>
          <w:color w:val="auto"/>
          <w:highlight w:val="none"/>
        </w:rPr>
        <w:t>出决算表</w:t>
      </w:r>
      <w:bookmarkEnd w:id="227"/>
      <w:bookmarkEnd w:id="228"/>
      <w:bookmarkEnd w:id="229"/>
      <w:bookmarkEnd w:id="230"/>
      <w:bookmarkEnd w:id="231"/>
    </w:p>
    <w:p w14:paraId="591BAC14">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b w:val="0"/>
          <w:color w:val="auto"/>
          <w:highlight w:val="none"/>
        </w:rPr>
      </w:pPr>
      <w:bookmarkStart w:id="232" w:name="__RefHeading___Toc11795_606756457"/>
      <w:bookmarkEnd w:id="232"/>
      <w:bookmarkStart w:id="233" w:name="_Toc22025"/>
      <w:bookmarkStart w:id="234" w:name="_Toc3846"/>
      <w:bookmarkStart w:id="235" w:name="_Toc4855"/>
      <w:bookmarkStart w:id="236" w:name="_Toc15719"/>
      <w:bookmarkStart w:id="237" w:name="_Toc15396622"/>
      <w:r>
        <w:rPr>
          <w:rStyle w:val="18"/>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18"/>
          <w:rFonts w:hint="eastAsia" w:ascii="黑体" w:hAnsi="黑体" w:eastAsia="黑体" w:cs="黑体"/>
          <w:b w:val="0"/>
          <w:bCs w:val="0"/>
          <w:color w:val="auto"/>
          <w:highlight w:val="none"/>
        </w:rPr>
        <w:t>政拨款收入支出决算总表</w:t>
      </w:r>
      <w:bookmarkEnd w:id="233"/>
      <w:bookmarkEnd w:id="234"/>
      <w:bookmarkEnd w:id="235"/>
      <w:bookmarkEnd w:id="236"/>
      <w:bookmarkEnd w:id="237"/>
    </w:p>
    <w:p w14:paraId="5CC3D76B">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Style w:val="18"/>
          <w:rFonts w:hint="eastAsia" w:ascii="黑体" w:hAnsi="黑体" w:eastAsia="黑体" w:cs="黑体"/>
          <w:b w:val="0"/>
          <w:bCs w:val="0"/>
          <w:color w:val="auto"/>
          <w:highlight w:val="none"/>
        </w:rPr>
      </w:pPr>
      <w:bookmarkStart w:id="238" w:name="__RefHeading___Toc11797_606756457"/>
      <w:bookmarkEnd w:id="238"/>
      <w:bookmarkStart w:id="239" w:name="_Toc5925"/>
      <w:bookmarkStart w:id="240" w:name="_Toc21746"/>
      <w:bookmarkStart w:id="241" w:name="_Toc1624"/>
      <w:bookmarkStart w:id="242" w:name="_Toc26032"/>
      <w:bookmarkStart w:id="243" w:name="_Toc15396623"/>
      <w:r>
        <w:rPr>
          <w:rStyle w:val="18"/>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18"/>
          <w:rFonts w:hint="eastAsia" w:ascii="黑体" w:hAnsi="黑体" w:eastAsia="黑体" w:cs="黑体"/>
          <w:b w:val="0"/>
          <w:bCs w:val="0"/>
          <w:color w:val="auto"/>
          <w:highlight w:val="none"/>
        </w:rPr>
        <w:t>政拨款支出决算明细表</w:t>
      </w:r>
      <w:bookmarkEnd w:id="239"/>
      <w:bookmarkEnd w:id="240"/>
      <w:bookmarkEnd w:id="241"/>
      <w:bookmarkEnd w:id="242"/>
      <w:bookmarkEnd w:id="243"/>
      <w:bookmarkStart w:id="244" w:name="_Toc15396624"/>
    </w:p>
    <w:p w14:paraId="7D770D05">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45" w:name="__RefHeading___Toc11799_606756457"/>
      <w:bookmarkEnd w:id="245"/>
      <w:bookmarkStart w:id="246" w:name="_Toc13387"/>
      <w:bookmarkStart w:id="247" w:name="_Toc23450"/>
      <w:bookmarkStart w:id="248" w:name="_Toc15944"/>
      <w:bookmarkStart w:id="249" w:name="_Toc2469"/>
      <w:r>
        <w:rPr>
          <w:rStyle w:val="18"/>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般公共预算财政拨款支出决算表</w:t>
      </w:r>
      <w:bookmarkEnd w:id="244"/>
      <w:bookmarkEnd w:id="246"/>
      <w:bookmarkEnd w:id="247"/>
      <w:bookmarkEnd w:id="248"/>
      <w:bookmarkEnd w:id="249"/>
    </w:p>
    <w:p w14:paraId="7A3B6191">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50" w:name="__RefHeading___Toc11801_606756457"/>
      <w:bookmarkEnd w:id="250"/>
      <w:bookmarkStart w:id="251" w:name="_Toc20131"/>
      <w:bookmarkStart w:id="252" w:name="_Toc19190"/>
      <w:bookmarkStart w:id="253" w:name="_Toc15396625"/>
      <w:bookmarkStart w:id="254" w:name="_Toc6675"/>
      <w:bookmarkStart w:id="255" w:name="_Toc24940"/>
      <w:r>
        <w:rPr>
          <w:rStyle w:val="18"/>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般公共预算财政拨款支出决算明细表</w:t>
      </w:r>
      <w:bookmarkEnd w:id="251"/>
      <w:bookmarkEnd w:id="252"/>
      <w:bookmarkEnd w:id="253"/>
      <w:bookmarkEnd w:id="254"/>
      <w:bookmarkEnd w:id="255"/>
    </w:p>
    <w:p w14:paraId="027E00C0">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56" w:name="__RefHeading___Toc11803_606756457"/>
      <w:bookmarkEnd w:id="256"/>
      <w:bookmarkStart w:id="257" w:name="_Toc16942"/>
      <w:bookmarkStart w:id="258" w:name="_Toc15396626"/>
      <w:bookmarkStart w:id="259" w:name="_Toc281"/>
      <w:bookmarkStart w:id="260" w:name="_Toc13027"/>
      <w:bookmarkStart w:id="261" w:name="_Toc22195"/>
      <w:r>
        <w:rPr>
          <w:rStyle w:val="18"/>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般公共预算财政拨款基本支出决算表</w:t>
      </w:r>
      <w:bookmarkEnd w:id="257"/>
      <w:bookmarkEnd w:id="258"/>
      <w:bookmarkEnd w:id="259"/>
      <w:bookmarkEnd w:id="260"/>
      <w:bookmarkEnd w:id="261"/>
    </w:p>
    <w:p w14:paraId="0B83E00B">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62" w:name="__RefHeading___Toc11805_606756457"/>
      <w:bookmarkEnd w:id="262"/>
      <w:bookmarkStart w:id="263" w:name="_Toc19620"/>
      <w:bookmarkStart w:id="264" w:name="_Toc20149"/>
      <w:bookmarkStart w:id="265" w:name="_Toc27220"/>
      <w:bookmarkStart w:id="266" w:name="_Toc25301"/>
      <w:bookmarkStart w:id="267" w:name="_Toc15396627"/>
      <w:r>
        <w:rPr>
          <w:rStyle w:val="18"/>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般公共预算财政拨款项目支出决算表</w:t>
      </w:r>
      <w:bookmarkEnd w:id="263"/>
      <w:bookmarkEnd w:id="264"/>
      <w:bookmarkEnd w:id="265"/>
      <w:bookmarkEnd w:id="266"/>
      <w:bookmarkEnd w:id="267"/>
    </w:p>
    <w:p w14:paraId="37D37B42">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68" w:name="__RefHeading___Toc11807_606756457"/>
      <w:bookmarkEnd w:id="268"/>
      <w:bookmarkStart w:id="269" w:name="_Toc15396628"/>
      <w:bookmarkStart w:id="270" w:name="_Toc32258"/>
      <w:bookmarkStart w:id="271" w:name="_Toc19278"/>
      <w:bookmarkStart w:id="272" w:name="_Toc9992"/>
      <w:bookmarkStart w:id="273" w:name="_Toc10019"/>
      <w:r>
        <w:rPr>
          <w:rStyle w:val="18"/>
          <w:rFonts w:hint="eastAsia" w:ascii="黑体" w:hAnsi="黑体" w:eastAsia="黑体" w:cs="黑体"/>
          <w:b w:val="0"/>
          <w:bCs w:val="0"/>
          <w:color w:val="auto"/>
          <w:highlight w:val="none"/>
        </w:rPr>
        <w:t>十、</w:t>
      </w:r>
      <w:bookmarkEnd w:id="269"/>
      <w:r>
        <w:rPr>
          <w:rFonts w:hint="eastAsia" w:ascii="黑体" w:hAnsi="黑体" w:eastAsia="黑体" w:cs="黑体"/>
          <w:b w:val="0"/>
          <w:color w:val="auto"/>
          <w:highlight w:val="none"/>
        </w:rPr>
        <w:t>政</w:t>
      </w:r>
      <w:r>
        <w:rPr>
          <w:rStyle w:val="18"/>
          <w:rFonts w:hint="eastAsia" w:ascii="黑体" w:hAnsi="黑体" w:eastAsia="黑体" w:cs="黑体"/>
          <w:b w:val="0"/>
          <w:bCs w:val="0"/>
          <w:color w:val="auto"/>
          <w:highlight w:val="none"/>
        </w:rPr>
        <w:t>府性基金预算财政拨款收入支出决算表</w:t>
      </w:r>
      <w:bookmarkEnd w:id="270"/>
      <w:bookmarkEnd w:id="271"/>
      <w:bookmarkEnd w:id="272"/>
      <w:bookmarkEnd w:id="273"/>
    </w:p>
    <w:p w14:paraId="2F6DDB19">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74" w:name="__RefHeading___Toc11809_606756457"/>
      <w:bookmarkEnd w:id="274"/>
      <w:bookmarkStart w:id="275" w:name="_Toc15396629"/>
      <w:bookmarkStart w:id="276" w:name="_Toc31716"/>
      <w:bookmarkStart w:id="277" w:name="_Toc7288"/>
      <w:bookmarkStart w:id="278" w:name="_Toc19770"/>
      <w:bookmarkStart w:id="279" w:name="_Toc16138"/>
      <w:r>
        <w:rPr>
          <w:rStyle w:val="18"/>
          <w:rFonts w:hint="eastAsia" w:ascii="黑体" w:hAnsi="黑体" w:eastAsia="黑体" w:cs="黑体"/>
          <w:b w:val="0"/>
          <w:bCs w:val="0"/>
          <w:color w:val="auto"/>
          <w:highlight w:val="none"/>
        </w:rPr>
        <w:t>十一、</w:t>
      </w:r>
      <w:bookmarkEnd w:id="275"/>
      <w:r>
        <w:rPr>
          <w:rFonts w:hint="eastAsia" w:ascii="黑体" w:hAnsi="黑体" w:eastAsia="黑体" w:cs="黑体"/>
          <w:b w:val="0"/>
          <w:color w:val="auto"/>
          <w:highlight w:val="none"/>
        </w:rPr>
        <w:t>国</w:t>
      </w:r>
      <w:r>
        <w:rPr>
          <w:rStyle w:val="18"/>
          <w:rFonts w:hint="eastAsia" w:ascii="黑体" w:hAnsi="黑体" w:eastAsia="黑体" w:cs="黑体"/>
          <w:b w:val="0"/>
          <w:bCs w:val="0"/>
          <w:color w:val="auto"/>
          <w:highlight w:val="none"/>
        </w:rPr>
        <w:t>有资本经营预算</w:t>
      </w:r>
      <w:r>
        <w:rPr>
          <w:rStyle w:val="18"/>
          <w:rFonts w:hint="eastAsia" w:ascii="黑体" w:hAnsi="黑体" w:eastAsia="黑体" w:cs="黑体"/>
          <w:b w:val="0"/>
          <w:bCs w:val="0"/>
          <w:color w:val="auto"/>
          <w:highlight w:val="none"/>
          <w:lang w:eastAsia="zh-CN"/>
        </w:rPr>
        <w:t>财政拨款收入</w:t>
      </w:r>
      <w:r>
        <w:rPr>
          <w:rStyle w:val="18"/>
          <w:rFonts w:hint="eastAsia" w:ascii="黑体" w:hAnsi="黑体" w:eastAsia="黑体" w:cs="黑体"/>
          <w:b w:val="0"/>
          <w:bCs w:val="0"/>
          <w:color w:val="auto"/>
          <w:highlight w:val="none"/>
        </w:rPr>
        <w:t>支出决算表</w:t>
      </w:r>
      <w:bookmarkEnd w:id="276"/>
      <w:bookmarkEnd w:id="277"/>
      <w:bookmarkEnd w:id="278"/>
      <w:bookmarkEnd w:id="279"/>
    </w:p>
    <w:p w14:paraId="4939400B">
      <w:pPr>
        <w:pStyle w:val="5"/>
        <w:keepNext/>
        <w:keepLines/>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auto"/>
          <w:highlight w:val="none"/>
        </w:rPr>
      </w:pPr>
      <w:bookmarkStart w:id="280" w:name="__RefHeading___Toc11811_606756457"/>
      <w:bookmarkEnd w:id="280"/>
      <w:bookmarkStart w:id="281" w:name="_Toc15396630"/>
      <w:bookmarkStart w:id="282" w:name="_Toc1027"/>
      <w:bookmarkStart w:id="283" w:name="_Toc9473"/>
      <w:bookmarkStart w:id="284" w:name="_Toc26793"/>
      <w:bookmarkStart w:id="285" w:name="_Toc15889"/>
      <w:r>
        <w:rPr>
          <w:rStyle w:val="18"/>
          <w:rFonts w:hint="eastAsia" w:ascii="黑体" w:hAnsi="黑体" w:eastAsia="黑体" w:cs="黑体"/>
          <w:b w:val="0"/>
          <w:bCs w:val="0"/>
          <w:color w:val="auto"/>
          <w:highlight w:val="none"/>
        </w:rPr>
        <w:t>十二、</w:t>
      </w:r>
      <w:bookmarkEnd w:id="281"/>
      <w:r>
        <w:rPr>
          <w:rStyle w:val="18"/>
          <w:rFonts w:hint="eastAsia" w:ascii="黑体" w:hAnsi="黑体" w:eastAsia="黑体" w:cs="黑体"/>
          <w:b w:val="0"/>
          <w:bCs w:val="0"/>
          <w:color w:val="auto"/>
          <w:highlight w:val="none"/>
          <w:lang w:eastAsia="zh-CN"/>
        </w:rPr>
        <w:t>国有资本经营预算财政拨款支出决算表</w:t>
      </w:r>
      <w:bookmarkEnd w:id="282"/>
      <w:bookmarkEnd w:id="283"/>
      <w:bookmarkEnd w:id="284"/>
      <w:bookmarkEnd w:id="285"/>
    </w:p>
    <w:p w14:paraId="1BB0C01A">
      <w:pPr>
        <w:pStyle w:val="5"/>
        <w:keepNext/>
        <w:keepLines/>
        <w:pageBreakBefore w:val="0"/>
        <w:widowControl w:val="0"/>
        <w:shd w:val="clear" w:color="auto" w:fill="FFFFFF"/>
        <w:kinsoku/>
        <w:wordWrap/>
        <w:overflowPunct/>
        <w:topLinePunct w:val="0"/>
        <w:autoSpaceDE/>
        <w:autoSpaceDN/>
        <w:bidi w:val="0"/>
        <w:adjustRightInd/>
        <w:snapToGrid/>
        <w:spacing w:before="260" w:after="260" w:line="560" w:lineRule="exact"/>
        <w:textAlignment w:val="auto"/>
        <w:rPr>
          <w:rFonts w:hint="eastAsia" w:ascii="黑体" w:hAnsi="黑体" w:eastAsia="黑体" w:cs="黑体"/>
          <w:color w:val="auto"/>
          <w:highlight w:val="none"/>
          <w:lang w:eastAsia="zh-CN"/>
        </w:rPr>
      </w:pPr>
      <w:bookmarkStart w:id="286" w:name="__RefHeading___Toc11813_606756457"/>
      <w:bookmarkEnd w:id="286"/>
      <w:bookmarkStart w:id="287" w:name="_Toc15396631"/>
      <w:bookmarkStart w:id="288" w:name="_Toc20051"/>
      <w:bookmarkStart w:id="289" w:name="_Toc1514"/>
      <w:bookmarkStart w:id="290" w:name="_Toc8694"/>
      <w:bookmarkStart w:id="291" w:name="_Toc32333"/>
      <w:r>
        <w:rPr>
          <w:rStyle w:val="18"/>
          <w:rFonts w:hint="eastAsia" w:ascii="黑体" w:hAnsi="黑体" w:eastAsia="黑体" w:cs="黑体"/>
          <w:b w:val="0"/>
          <w:bCs w:val="0"/>
          <w:color w:val="auto"/>
          <w:highlight w:val="none"/>
        </w:rPr>
        <w:t>十三、</w:t>
      </w:r>
      <w:bookmarkEnd w:id="287"/>
      <w:r>
        <w:rPr>
          <w:rStyle w:val="18"/>
          <w:rFonts w:hint="eastAsia" w:ascii="黑体" w:hAnsi="黑体" w:eastAsia="黑体" w:cs="黑体"/>
          <w:b w:val="0"/>
          <w:bCs w:val="0"/>
          <w:color w:val="auto"/>
          <w:highlight w:val="none"/>
          <w:lang w:eastAsia="zh-CN"/>
        </w:rPr>
        <w:t>财政拨款“三公”经费支出决算表</w:t>
      </w:r>
      <w:bookmarkEnd w:id="288"/>
      <w:bookmarkEnd w:id="289"/>
      <w:bookmarkEnd w:id="290"/>
      <w:bookmarkEnd w:id="291"/>
    </w:p>
    <w:p w14:paraId="7B8DA125">
      <w:pPr>
        <w:pStyle w:val="5"/>
        <w:keepNext/>
        <w:keepLines/>
        <w:pageBreakBefore w:val="0"/>
        <w:widowControl w:val="0"/>
        <w:shd w:val="clear" w:color="auto" w:fill="FFFFFF"/>
        <w:kinsoku/>
        <w:wordWrap/>
        <w:overflowPunct/>
        <w:topLinePunct w:val="0"/>
        <w:autoSpaceDE/>
        <w:autoSpaceDN/>
        <w:bidi w:val="0"/>
        <w:adjustRightInd/>
        <w:snapToGrid/>
        <w:spacing w:before="0" w:after="0" w:line="560" w:lineRule="exact"/>
        <w:textAlignment w:val="auto"/>
        <w:outlineLvl w:val="9"/>
        <w:rPr>
          <w:rStyle w:val="18"/>
          <w:rFonts w:ascii="仿宋" w:hAnsi="仿宋" w:eastAsia="仿宋"/>
          <w:b w:val="0"/>
          <w:bCs w:val="0"/>
          <w:highlight w:val="none"/>
        </w:rPr>
      </w:pPr>
    </w:p>
    <w:p w14:paraId="40D8994D"/>
    <w:sectPr>
      <w:footerReference r:id="rId9" w:type="first"/>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6E78">
    <w:pPr>
      <w:pStyle w:val="8"/>
      <w:rPr>
        <w:rFonts w:hint="default"/>
        <w:lang w:val="en-US"/>
      </w:rPr>
    </w:pPr>
    <w:r>
      <w:rPr>
        <w:rFonts w:hint="default"/>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EFD9">
    <w:pPr>
      <w:pStyle w:val="8"/>
      <w:rPr>
        <w:rFonts w:hint="default"/>
        <w:lang w:val="en-US"/>
      </w:rPr>
    </w:pPr>
    <w: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1828800" cy="13589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35890"/>
                      </a:xfrm>
                      <a:prstGeom prst="rect">
                        <a:avLst/>
                      </a:prstGeom>
                      <a:noFill/>
                      <a:ln w="6350">
                        <a:noFill/>
                      </a:ln>
                    </wps:spPr>
                    <wps:txbx>
                      <w:txbxContent>
                        <w:p w14:paraId="3C85C164">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lIns="0" tIns="0" rIns="0" bIns="0" upright="1">
                      <a:spAutoFit/>
                    </wps:bodyPr>
                  </wps:wsp>
                </a:graphicData>
              </a:graphic>
            </wp:anchor>
          </w:drawing>
        </mc:Choice>
        <mc:Fallback>
          <w:pict>
            <v:rect id="_x0000_s1026" o:spid="_x0000_s1026" o:spt="1" style="position:absolute;left:0pt;margin-top:0pt;height:10.7pt;width:144pt;mso-position-horizontal:center;mso-position-horizontal-relative:margin;z-index:251662336;mso-width-relative:page;mso-height-relative:page;" filled="f" stroked="f" coordsize="21600,21600" o:allowincell="f" o:gfxdata="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hLya1AAAAAQBAAAPAAAAAAAAAAEAIAAAACIAAABkcnMvZG93bnJldi54&#10;bWxQSwECFAAUAAAACACHTuJA+8hg68UBAACIAwAADgAAAAAAAAABACAAAAAjAQAAZHJzL2Uyb0Rv&#10;Yy54bWxQSwUGAAAAAAYABgBZAQAAWgUAAAAA&#10;">
              <v:fill on="f" focussize="0,0"/>
              <v:stroke on="f" weight="0.5pt"/>
              <v:imagedata o:title=""/>
              <o:lock v:ext="edit" aspectratio="f"/>
              <v:textbox inset="0mm,0mm,0mm,0mm" style="mso-fit-shape-to-text:t;">
                <w:txbxContent>
                  <w:p w14:paraId="3C85C164">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hint="default"/>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A45E">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BFDFE4">
                          <w:pPr>
                            <w:pStyle w:val="8"/>
                            <w:jc w:val="center"/>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61BFDFE4">
                    <w:pPr>
                      <w:pStyle w:val="8"/>
                      <w:jc w:val="center"/>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p w14:paraId="1E003B2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2290">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5A9A04">
                          <w:pPr>
                            <w:pStyle w:val="8"/>
                            <w:jc w:val="center"/>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025A9A04">
                    <w:pPr>
                      <w:pStyle w:val="8"/>
                      <w:jc w:val="center"/>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p w14:paraId="26FDBAEE">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8FF2">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6C578F">
                          <w:pPr>
                            <w:pStyle w:val="8"/>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4D6C578F">
                    <w:pPr>
                      <w:pStyle w:val="8"/>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177D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D0A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6196DCED"/>
    <w:multiLevelType w:val="singleLevel"/>
    <w:tmpl w:val="6196DCED"/>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6485B"/>
    <w:rsid w:val="23957E2B"/>
    <w:rsid w:val="2B6F7158"/>
    <w:rsid w:val="5E06485B"/>
    <w:rsid w:val="6E1C7F60"/>
    <w:rsid w:val="7453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360"/>
      </w:tabs>
      <w:ind w:firstLine="420" w:firstLineChars="200"/>
    </w:pPr>
    <w:rPr>
      <w:rFonts w:ascii="Calibri" w:hAnsi="Calibri" w:eastAsia="宋体"/>
      <w:sz w:val="21"/>
    </w:rPr>
  </w:style>
  <w:style w:type="paragraph" w:styleId="3">
    <w:name w:val="Body Text Indent"/>
    <w:basedOn w:val="1"/>
    <w:next w:val="2"/>
    <w:qFormat/>
    <w:uiPriority w:val="0"/>
    <w:pPr>
      <w:tabs>
        <w:tab w:val="left" w:pos="360"/>
      </w:tabs>
      <w:ind w:left="359"/>
    </w:pPr>
    <w:rPr>
      <w:rFonts w:ascii="Times New Roman" w:hAnsi="Times New Roman" w:cs="Times New Roman"/>
      <w:sz w:val="28"/>
    </w:rPr>
  </w:style>
  <w:style w:type="paragraph" w:styleId="6">
    <w:name w:val="Body Text"/>
    <w:basedOn w:val="1"/>
    <w:next w:val="7"/>
    <w:qFormat/>
    <w:uiPriority w:val="99"/>
    <w:pPr>
      <w:spacing w:beforeLines="30"/>
    </w:pPr>
    <w:rPr>
      <w:rFonts w:ascii="仿宋_GB2312" w:eastAsia="仿宋_GB2312"/>
      <w:kern w:val="0"/>
      <w:sz w:val="24"/>
      <w:szCs w:val="20"/>
      <w:lang w:val="zh-CN"/>
    </w:rPr>
  </w:style>
  <w:style w:type="paragraph" w:styleId="7">
    <w:name w:val="Date"/>
    <w:basedOn w:val="1"/>
    <w:next w:val="1"/>
    <w:qFormat/>
    <w:uiPriority w:val="0"/>
    <w:pPr>
      <w:ind w:left="2500" w:leftChars="25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lang w:val="zh-CN"/>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0">
    <w:name w:val="toc 1"/>
    <w:basedOn w:val="1"/>
    <w:next w:val="1"/>
    <w:unhideWhenUsed/>
    <w:qFormat/>
    <w:uiPriority w:val="39"/>
    <w:pPr>
      <w:spacing w:before="120" w:after="120"/>
      <w:jc w:val="left"/>
    </w:pPr>
    <w:rPr>
      <w:rFonts w:ascii="等线" w:eastAsia="等线"/>
      <w:b/>
      <w:bCs/>
      <w:caps/>
      <w:sz w:val="20"/>
      <w:szCs w:val="20"/>
    </w:rPr>
  </w:style>
  <w:style w:type="paragraph" w:styleId="11">
    <w:name w:val="table of figures"/>
    <w:basedOn w:val="1"/>
    <w:next w:val="1"/>
    <w:unhideWhenUsed/>
    <w:qFormat/>
    <w:uiPriority w:val="99"/>
    <w:pPr>
      <w:ind w:left="200" w:leftChars="200" w:hanging="200" w:hangingChars="200"/>
    </w:pPr>
    <w:rPr>
      <w:szCs w:val="24"/>
    </w:rPr>
  </w:style>
  <w:style w:type="paragraph" w:styleId="12">
    <w:name w:val="toc 2"/>
    <w:basedOn w:val="1"/>
    <w:next w:val="1"/>
    <w:unhideWhenUsed/>
    <w:qFormat/>
    <w:uiPriority w:val="39"/>
    <w:pPr>
      <w:ind w:left="210"/>
      <w:jc w:val="left"/>
    </w:pPr>
    <w:rPr>
      <w:rFonts w:ascii="等线" w:eastAsia="等线"/>
      <w:smallCaps/>
      <w:sz w:val="20"/>
      <w:szCs w:val="20"/>
    </w:rPr>
  </w:style>
  <w:style w:type="paragraph" w:styleId="13">
    <w:name w:val="Normal (Web)"/>
    <w:basedOn w:val="1"/>
    <w:qFormat/>
    <w:uiPriority w:val="0"/>
    <w:pPr>
      <w:widowControl/>
      <w:spacing w:before="100" w:beforeAutospacing="1" w:after="100" w:afterAutospacing="1" w:line="432" w:lineRule="auto"/>
      <w:jc w:val="left"/>
    </w:pPr>
    <w:rPr>
      <w:rFonts w:ascii="宋体" w:hAnsi="宋体" w:cs="宋体"/>
      <w:kern w:val="0"/>
      <w:sz w:val="24"/>
    </w:rPr>
  </w:style>
  <w:style w:type="character" w:styleId="16">
    <w:name w:val="Strong"/>
    <w:basedOn w:val="15"/>
    <w:qFormat/>
    <w:uiPriority w:val="99"/>
    <w:rPr>
      <w:rFonts w:cs="Times New Roman"/>
      <w:b/>
    </w:rPr>
  </w:style>
  <w:style w:type="character" w:customStyle="1" w:styleId="17">
    <w:name w:val="标题 1 Char"/>
    <w:basedOn w:val="15"/>
    <w:link w:val="4"/>
    <w:qFormat/>
    <w:locked/>
    <w:uiPriority w:val="9"/>
    <w:rPr>
      <w:b/>
      <w:bCs/>
      <w:kern w:val="44"/>
      <w:sz w:val="44"/>
      <w:szCs w:val="44"/>
    </w:rPr>
  </w:style>
  <w:style w:type="character" w:customStyle="1" w:styleId="18">
    <w:name w:val="标题 2 Char"/>
    <w:basedOn w:val="15"/>
    <w:link w:val="5"/>
    <w:qFormat/>
    <w:locked/>
    <w:uiPriority w:val="9"/>
    <w:rPr>
      <w:rFonts w:ascii="Cambria" w:hAnsi="Cambria"/>
      <w:b/>
      <w:bCs/>
      <w:sz w:val="32"/>
      <w:szCs w:val="32"/>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emf"/><Relationship Id="rId17" Type="http://schemas.openxmlformats.org/officeDocument/2006/relationships/oleObject" Target="embeddings/oleObject3.bin"/><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3102</Words>
  <Characters>3389</Characters>
  <Lines>0</Lines>
  <Paragraphs>0</Paragraphs>
  <TotalTime>2</TotalTime>
  <ScaleCrop>false</ScaleCrop>
  <LinksUpToDate>false</LinksUpToDate>
  <CharactersWithSpaces>3448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2025-10-20T07:36:00Z</dcterms:created>
  <dc:creator>Administrator</dc:creator>
  <cp:lastModifiedBy>cena</cp:lastModifiedBy>
  <dcterms:modified xsi:type="dcterms:W3CDTF">2026-07-08T02:21:17Z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60B5183E4671418791CAAEF37A780A52</vt:lpwstr>
  </property>
  <property fmtid="{D5CDD505-2E9C-101B-9397-08002B2CF9AE}" pid="4" name="KSOTemplateDocerSaveRecord">
    <vt:lpwstr>eyJoZGlkIjoiYTlhYzYyMjE5OGQ5ZDdjZDhkMDJkYWZkYmY1ZDRkNDEifQ==</vt:lpwstr>
  </property>
</Properties>
</file>