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CAC19">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06267"/>
      <w:bookmarkStart w:id="3" w:name="_Toc15377425"/>
      <w:bookmarkStart w:id="4" w:name="_Toc15396597"/>
      <w:bookmarkStart w:id="5" w:name="_Toc15396475"/>
    </w:p>
    <w:p w14:paraId="01494897">
      <w:pPr>
        <w:pStyle w:val="7"/>
        <w:rPr>
          <w:rFonts w:hint="eastAsia" w:ascii="Times New Roman" w:hAnsi="Times New Roman" w:eastAsia="方正小标宋简体" w:cs="Times New Roman"/>
          <w:color w:val="auto"/>
          <w:kern w:val="2"/>
          <w:sz w:val="72"/>
          <w:szCs w:val="72"/>
          <w:highlight w:val="none"/>
          <w:lang w:val="en-US" w:eastAsia="zh-CN" w:bidi="ar-SA"/>
        </w:rPr>
      </w:pPr>
    </w:p>
    <w:p w14:paraId="22C5D085">
      <w:pPr>
        <w:pStyle w:val="7"/>
        <w:jc w:val="center"/>
        <w:rPr>
          <w:rFonts w:hint="eastAsia" w:ascii="Times New Roman" w:hAnsi="Times New Roman" w:eastAsia="方正小标宋简体" w:cs="Times New Roman"/>
          <w:color w:val="auto"/>
          <w:kern w:val="2"/>
          <w:sz w:val="72"/>
          <w:szCs w:val="72"/>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阿坝州壤塘县</w:t>
      </w:r>
    </w:p>
    <w:p w14:paraId="5F4E2D6E">
      <w:pPr>
        <w:pStyle w:val="7"/>
        <w:suppressAutoHyphens/>
        <w:spacing w:beforeLines="0" w:after="140" w:line="276" w:lineRule="auto"/>
        <w:jc w:val="center"/>
        <w:rPr>
          <w:rFonts w:hint="eastAsia" w:ascii="方正小标宋简体" w:hAnsi="宋体" w:eastAsia="方正小标宋简体"/>
          <w:kern w:val="2"/>
          <w:sz w:val="44"/>
          <w:szCs w:val="44"/>
          <w:lang w:val="en-US" w:eastAsia="zh-CN"/>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方正小标宋简体" w:hAnsi="宋体" w:eastAsia="方正小标宋简体"/>
          <w:kern w:val="2"/>
          <w:sz w:val="44"/>
          <w:szCs w:val="44"/>
          <w:lang w:val="en-US" w:eastAsia="zh-CN"/>
        </w:rPr>
        <w:t>壤塘县残疾人联合会</w:t>
      </w:r>
    </w:p>
    <w:p w14:paraId="4445AD64">
      <w:pPr>
        <w:pStyle w:val="7"/>
        <w:suppressAutoHyphens/>
        <w:spacing w:beforeLines="0" w:after="140" w:line="276" w:lineRule="auto"/>
        <w:jc w:val="center"/>
        <w:rPr>
          <w:rFonts w:hint="eastAsia" w:ascii="方正小标宋简体" w:hAnsi="宋体" w:eastAsia="方正小标宋简体"/>
          <w:kern w:val="2"/>
          <w:sz w:val="44"/>
          <w:szCs w:val="44"/>
          <w:lang w:val="en-US" w:eastAsia="zh-CN"/>
        </w:rPr>
      </w:pPr>
      <w:r>
        <w:rPr>
          <w:rFonts w:hint="eastAsia" w:ascii="方正小标宋简体" w:hAnsi="宋体" w:eastAsia="方正小标宋简体"/>
          <w:kern w:val="2"/>
          <w:sz w:val="44"/>
          <w:szCs w:val="44"/>
          <w:lang w:val="en-US" w:eastAsia="zh-CN"/>
        </w:rPr>
        <w:t>部门决算公开</w:t>
      </w:r>
    </w:p>
    <w:p w14:paraId="60EE6ED8">
      <w:pPr>
        <w:pStyle w:val="6"/>
        <w:rPr>
          <w:rFonts w:hint="eastAsia"/>
          <w:lang w:val="en-US" w:eastAsia="zh-CN"/>
        </w:rPr>
      </w:pPr>
    </w:p>
    <w:p w14:paraId="26EB4B82">
      <w:pPr>
        <w:pStyle w:val="7"/>
        <w:jc w:val="center"/>
        <w:rPr>
          <w:rFonts w:hint="default" w:ascii="Times New Roman" w:hAnsi="Times New Roman" w:eastAsia="方正小标宋简体" w:cs="Times New Roman"/>
          <w:color w:val="auto"/>
          <w:kern w:val="2"/>
          <w:sz w:val="44"/>
          <w:szCs w:val="44"/>
          <w:highlight w:val="none"/>
          <w:lang w:val="en-US" w:eastAsia="zh-CN" w:bidi="ar-SA"/>
        </w:rPr>
      </w:pPr>
    </w:p>
    <w:p w14:paraId="5E88442B">
      <w:pPr>
        <w:spacing w:line="600" w:lineRule="exact"/>
        <w:jc w:val="center"/>
        <w:outlineLvl w:val="0"/>
        <w:rPr>
          <w:rFonts w:ascii="Times New Roman" w:hAnsi="Times New Roman" w:eastAsia="方正小标宋简体"/>
          <w:color w:val="auto"/>
          <w:sz w:val="72"/>
          <w:szCs w:val="72"/>
          <w:highlight w:val="none"/>
        </w:rPr>
      </w:pPr>
    </w:p>
    <w:p w14:paraId="0DBB0450">
      <w:pPr>
        <w:pStyle w:val="21"/>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ED68165">
      <w:pPr>
        <w:rPr>
          <w:rFonts w:ascii="Times New Roman" w:hAnsi="Times New Roman"/>
        </w:rPr>
      </w:pPr>
    </w:p>
    <w:bookmarkEnd w:id="0"/>
    <w:bookmarkEnd w:id="1"/>
    <w:bookmarkEnd w:id="2"/>
    <w:bookmarkEnd w:id="3"/>
    <w:bookmarkEnd w:id="4"/>
    <w:bookmarkEnd w:id="5"/>
    <w:p w14:paraId="4A991660">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7ECCC5B9">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14:paraId="3EBA7859">
      <w:pPr>
        <w:pStyle w:val="7"/>
        <w:suppressAutoHyphens/>
        <w:spacing w:beforeLines="0" w:after="140" w:line="276" w:lineRule="auto"/>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14:paraId="3267C876">
      <w:pPr>
        <w:pStyle w:val="7"/>
        <w:suppressAutoHyphens/>
        <w:spacing w:beforeLines="0" w:after="140" w:line="276" w:lineRule="auto"/>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方正小标宋简体" w:hAnsi="宋体" w:eastAsia="方正小标宋简体"/>
          <w:kern w:val="2"/>
          <w:sz w:val="44"/>
          <w:szCs w:val="44"/>
          <w:lang w:val="en-US" w:eastAsia="zh-CN"/>
        </w:rPr>
        <w:t>残疾人联合会</w:t>
      </w: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2929216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F780394">
      <w:pPr>
        <w:widowControl/>
        <w:jc w:val="center"/>
        <w:rPr>
          <w:rFonts w:ascii="Times New Roman" w:hAnsi="Times New Roman" w:eastAsia="黑体" w:cstheme="minorBidi"/>
          <w:color w:val="auto"/>
          <w:sz w:val="28"/>
          <w:szCs w:val="28"/>
          <w:highlight w:val="none"/>
        </w:rPr>
      </w:pPr>
    </w:p>
    <w:p w14:paraId="4D4A687D">
      <w:pPr>
        <w:pStyle w:val="13"/>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公开时间：20</w:t>
      </w:r>
      <w:r>
        <w:rPr>
          <w:rFonts w:hint="eastAsia" w:ascii="仿宋" w:hAnsi="仿宋" w:eastAsia="仿宋" w:cs="仿宋"/>
          <w:color w:val="auto"/>
          <w:sz w:val="32"/>
          <w:szCs w:val="32"/>
          <w:highlight w:val="none"/>
          <w:lang w:val="en-US" w:eastAsia="zh-CN"/>
        </w:rPr>
        <w:t>26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 xml:space="preserve"> 1</w:t>
      </w:r>
      <w:r>
        <w:rPr>
          <w:rFonts w:hint="eastAsia" w:cs="仿宋"/>
          <w:color w:val="auto"/>
          <w:sz w:val="32"/>
          <w:szCs w:val="32"/>
          <w:highlight w:val="none"/>
          <w:lang w:val="en-US" w:eastAsia="zh-CN"/>
        </w:rPr>
        <w:t>0</w:t>
      </w:r>
      <w:r>
        <w:rPr>
          <w:rFonts w:hint="eastAsia" w:ascii="仿宋" w:hAnsi="仿宋" w:eastAsia="仿宋" w:cs="仿宋"/>
          <w:color w:val="auto"/>
          <w:sz w:val="32"/>
          <w:szCs w:val="32"/>
          <w:highlight w:val="none"/>
        </w:rPr>
        <w:t>月</w:t>
      </w:r>
      <w:r>
        <w:rPr>
          <w:rFonts w:hint="eastAsia" w:cs="仿宋"/>
          <w:color w:val="auto"/>
          <w:sz w:val="32"/>
          <w:szCs w:val="32"/>
          <w:highlight w:val="none"/>
          <w:lang w:val="en-US" w:eastAsia="zh-CN"/>
        </w:rPr>
        <w:t>22</w:t>
      </w:r>
      <w:r>
        <w:rPr>
          <w:rFonts w:hint="eastAsia" w:ascii="仿宋" w:hAnsi="仿宋" w:eastAsia="仿宋" w:cs="仿宋"/>
          <w:color w:val="auto"/>
          <w:sz w:val="32"/>
          <w:szCs w:val="32"/>
          <w:highlight w:val="none"/>
        </w:rPr>
        <w:t>日</w:t>
      </w:r>
    </w:p>
    <w:p w14:paraId="6B46CD93">
      <w:pPr>
        <w:rPr>
          <w:rFonts w:hint="eastAsia" w:ascii="仿宋" w:hAnsi="仿宋" w:eastAsia="仿宋" w:cs="仿宋"/>
          <w:color w:val="auto"/>
          <w:highlight w:val="none"/>
        </w:rPr>
      </w:pPr>
    </w:p>
    <w:p w14:paraId="6DB2C98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第一部分 部门概况</w:t>
      </w:r>
    </w:p>
    <w:p w14:paraId="1AACA0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w:t>
      </w:r>
      <w:r>
        <w:rPr>
          <w:rFonts w:hint="eastAsia" w:ascii="仿宋" w:hAnsi="仿宋" w:eastAsia="仿宋" w:cs="仿宋"/>
          <w:color w:val="auto"/>
          <w:sz w:val="32"/>
          <w:szCs w:val="32"/>
          <w:highlight w:val="none"/>
          <w:lang w:eastAsia="zh-CN"/>
        </w:rPr>
        <w:t>部门职责</w:t>
      </w:r>
    </w:p>
    <w:p w14:paraId="74ABC07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二、机构设置</w:t>
      </w:r>
    </w:p>
    <w:p w14:paraId="039C202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第二部分</w:t>
      </w:r>
      <w:r>
        <w:rPr>
          <w:rFonts w:hint="eastAsia" w:ascii="仿宋" w:hAnsi="仿宋" w:eastAsia="仿宋" w:cs="仿宋"/>
          <w:color w:val="auto"/>
          <w:sz w:val="32"/>
          <w:szCs w:val="32"/>
          <w:highlight w:val="none"/>
          <w:lang w:val="en-US" w:eastAsia="zh-CN"/>
        </w:rPr>
        <w:t xml:space="preserve"> 2025年度</w:t>
      </w:r>
      <w:r>
        <w:rPr>
          <w:rFonts w:hint="eastAsia" w:ascii="仿宋" w:hAnsi="仿宋" w:eastAsia="仿宋" w:cs="仿宋"/>
          <w:color w:val="auto"/>
          <w:sz w:val="32"/>
          <w:szCs w:val="32"/>
          <w:highlight w:val="none"/>
        </w:rPr>
        <w:t>部门决算情况说明</w:t>
      </w:r>
    </w:p>
    <w:p w14:paraId="709DC59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一、收入支出决算总体情况说明</w:t>
      </w:r>
    </w:p>
    <w:p w14:paraId="37D0492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二、收入决算情况说明</w:t>
      </w:r>
    </w:p>
    <w:p w14:paraId="24FDEDC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三、支出决算情况说明</w:t>
      </w:r>
    </w:p>
    <w:p w14:paraId="02EDD70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四、财政拨款收入支出决算总体情况说明</w:t>
      </w:r>
    </w:p>
    <w:p w14:paraId="45E355E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五、一般公共预算财政拨款支出决算情况说明</w:t>
      </w:r>
    </w:p>
    <w:p w14:paraId="1EF5736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六、一般公共预算财政拨款基本支出决算情况说明</w:t>
      </w:r>
    </w:p>
    <w:p w14:paraId="08AE556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七、财政拨款</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三公”经费支出决算情况说明</w:t>
      </w:r>
    </w:p>
    <w:p w14:paraId="4246C73B">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八、政府性基金预算支出决算情况说明</w:t>
      </w:r>
    </w:p>
    <w:p w14:paraId="144E7F0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w:t>
      </w:r>
      <w:r>
        <w:rPr>
          <w:rFonts w:hint="eastAsia" w:ascii="仿宋" w:hAnsi="仿宋" w:eastAsia="仿宋" w:cs="仿宋"/>
          <w:color w:val="auto"/>
          <w:sz w:val="32"/>
          <w:szCs w:val="32"/>
          <w:highlight w:val="none"/>
          <w:lang w:eastAsia="zh-CN"/>
        </w:rPr>
        <w:t>国</w:t>
      </w:r>
      <w:r>
        <w:rPr>
          <w:rFonts w:hint="eastAsia" w:ascii="仿宋" w:hAnsi="仿宋" w:eastAsia="仿宋" w:cs="仿宋"/>
          <w:color w:val="auto"/>
          <w:sz w:val="32"/>
          <w:szCs w:val="32"/>
          <w:highlight w:val="none"/>
        </w:rPr>
        <w:t>有资本经营预算支出决算情况说明</w:t>
      </w:r>
    </w:p>
    <w:p w14:paraId="54B184A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十</w:t>
      </w:r>
      <w:r>
        <w:rPr>
          <w:rFonts w:hint="eastAsia" w:ascii="仿宋" w:hAnsi="仿宋" w:eastAsia="仿宋" w:cs="仿宋"/>
          <w:color w:val="auto"/>
          <w:sz w:val="32"/>
          <w:szCs w:val="32"/>
          <w:highlight w:val="none"/>
        </w:rPr>
        <w:t>、其他重要事项的情况说明</w:t>
      </w:r>
    </w:p>
    <w:p w14:paraId="6DA92482">
      <w:pPr>
        <w:pStyle w:val="13"/>
        <w:keepNext w:val="0"/>
        <w:keepLines w:val="0"/>
        <w:pageBreakBefore w:val="0"/>
        <w:kinsoku/>
        <w:wordWrap/>
        <w:overflowPunct/>
        <w:topLinePunct w:val="0"/>
        <w:autoSpaceDE/>
        <w:autoSpaceDN/>
        <w:bidi w:val="0"/>
        <w:adjustRightInd w:val="0"/>
        <w:snapToGrid w:val="0"/>
        <w:spacing w:before="0" w:line="560" w:lineRule="exact"/>
        <w:ind w:firstLine="1280" w:firstLineChars="4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第三部分 名词解释</w:t>
      </w:r>
    </w:p>
    <w:p w14:paraId="200EE9D5">
      <w:pPr>
        <w:pStyle w:val="13"/>
        <w:keepNext w:val="0"/>
        <w:keepLines w:val="0"/>
        <w:pageBreakBefore w:val="0"/>
        <w:kinsoku/>
        <w:wordWrap/>
        <w:overflowPunct/>
        <w:topLinePunct w:val="0"/>
        <w:autoSpaceDE/>
        <w:autoSpaceDN/>
        <w:bidi w:val="0"/>
        <w:adjustRightInd w:val="0"/>
        <w:snapToGrid w:val="0"/>
        <w:spacing w:before="0" w:line="560" w:lineRule="exact"/>
        <w:ind w:firstLine="1280" w:firstLineChars="4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第四部分 附件</w:t>
      </w:r>
    </w:p>
    <w:p w14:paraId="68950E21">
      <w:pPr>
        <w:pStyle w:val="13"/>
        <w:keepNext w:val="0"/>
        <w:keepLines w:val="0"/>
        <w:pageBreakBefore w:val="0"/>
        <w:kinsoku/>
        <w:wordWrap/>
        <w:overflowPunct/>
        <w:topLinePunct w:val="0"/>
        <w:autoSpaceDE/>
        <w:autoSpaceDN/>
        <w:bidi w:val="0"/>
        <w:adjustRightInd w:val="0"/>
        <w:snapToGrid w:val="0"/>
        <w:spacing w:before="0" w:line="560" w:lineRule="exact"/>
        <w:ind w:firstLine="1280" w:firstLineChars="4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第五部分 附表</w:t>
      </w:r>
    </w:p>
    <w:p w14:paraId="014CB50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p>
    <w:p w14:paraId="19E4922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二、收入决算表</w:t>
      </w:r>
    </w:p>
    <w:p w14:paraId="6FAAC89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三、支出决算表</w:t>
      </w:r>
    </w:p>
    <w:p w14:paraId="0383DDEE">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四、财政拨款收入支出决算总表</w:t>
      </w:r>
    </w:p>
    <w:p w14:paraId="17EC1AF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五、财政拨款支出决算明细表</w:t>
      </w:r>
    </w:p>
    <w:p w14:paraId="51EDBC8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六、一般公共预算财政拨款支出决算表</w:t>
      </w:r>
    </w:p>
    <w:p w14:paraId="387551B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七、一般公共预算财政拨款支出决算明细表</w:t>
      </w:r>
    </w:p>
    <w:p w14:paraId="568C465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八、一般公共预算财政拨款基本支出决算</w:t>
      </w:r>
      <w:r>
        <w:rPr>
          <w:rFonts w:hint="eastAsia" w:ascii="仿宋" w:hAnsi="仿宋" w:eastAsia="仿宋" w:cs="仿宋"/>
          <w:color w:val="auto"/>
          <w:sz w:val="32"/>
          <w:szCs w:val="32"/>
          <w:highlight w:val="none"/>
          <w:lang w:eastAsia="zh-CN"/>
        </w:rPr>
        <w:t>明细</w:t>
      </w:r>
      <w:r>
        <w:rPr>
          <w:rFonts w:hint="eastAsia" w:ascii="仿宋" w:hAnsi="仿宋" w:eastAsia="仿宋" w:cs="仿宋"/>
          <w:color w:val="auto"/>
          <w:sz w:val="32"/>
          <w:szCs w:val="32"/>
          <w:highlight w:val="none"/>
        </w:rPr>
        <w:t>表</w:t>
      </w:r>
    </w:p>
    <w:p w14:paraId="5839954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九、一般公共预算财政拨款项目支出决算表</w:t>
      </w:r>
    </w:p>
    <w:p w14:paraId="1C8481A4">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十、政府性基金预算财政拨款收入支出决算表</w:t>
      </w:r>
    </w:p>
    <w:p w14:paraId="2FA567D2">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十一、国有资本经营预算财政拨款收入支出决算表</w:t>
      </w:r>
    </w:p>
    <w:p w14:paraId="3B2A3CD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十二、</w:t>
      </w:r>
      <w:r>
        <w:rPr>
          <w:rFonts w:hint="eastAsia" w:ascii="仿宋" w:hAnsi="仿宋" w:eastAsia="仿宋" w:cs="仿宋"/>
          <w:color w:val="auto"/>
          <w:sz w:val="32"/>
          <w:szCs w:val="32"/>
          <w:highlight w:val="none"/>
          <w:lang w:val="en-US" w:eastAsia="zh-CN"/>
        </w:rPr>
        <w:t>国有资本经营预算财政拨款支出决算表</w:t>
      </w:r>
    </w:p>
    <w:p w14:paraId="21BE617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十三、财政拨款“三公”经费支出决算表</w:t>
      </w:r>
    </w:p>
    <w:p w14:paraId="5500690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仿宋" w:hAnsi="仿宋" w:eastAsia="仿宋" w:cs="仿宋"/>
          <w:b/>
          <w:bCs/>
          <w:color w:val="auto"/>
          <w:sz w:val="32"/>
          <w:szCs w:val="32"/>
          <w:highlight w:val="none"/>
          <w:lang w:eastAsia="zh-CN"/>
        </w:rPr>
      </w:pPr>
    </w:p>
    <w:p w14:paraId="34EAC78A">
      <w:pPr>
        <w:rPr>
          <w:rFonts w:hint="eastAsia"/>
          <w:lang w:eastAsia="zh-CN"/>
        </w:rPr>
      </w:pPr>
    </w:p>
    <w:p w14:paraId="638B53DB">
      <w:pPr>
        <w:keepNext w:val="0"/>
        <w:keepLines w:val="0"/>
        <w:pageBreakBefore w:val="0"/>
        <w:widowControl/>
        <w:kinsoku/>
        <w:wordWrap/>
        <w:overflowPunct/>
        <w:topLinePunct w:val="0"/>
        <w:autoSpaceDE/>
        <w:autoSpaceDN/>
        <w:bidi w:val="0"/>
        <w:spacing w:line="560" w:lineRule="exact"/>
        <w:jc w:val="left"/>
        <w:textAlignment w:val="auto"/>
        <w:rPr>
          <w:rFonts w:hint="eastAsia" w:ascii="仿宋" w:hAnsi="仿宋" w:eastAsia="仿宋" w:cs="仿宋"/>
          <w:color w:val="auto"/>
          <w:sz w:val="32"/>
          <w:szCs w:val="32"/>
          <w:highlight w:val="none"/>
        </w:rPr>
      </w:pPr>
      <w:bookmarkStart w:id="6" w:name="_Toc15377196"/>
      <w:bookmarkStart w:id="7" w:name="_Toc15396599"/>
      <w:r>
        <w:rPr>
          <w:rFonts w:hint="eastAsia" w:ascii="仿宋" w:hAnsi="仿宋" w:eastAsia="仿宋" w:cs="仿宋"/>
          <w:b/>
          <w:color w:val="auto"/>
          <w:sz w:val="32"/>
          <w:szCs w:val="32"/>
          <w:highlight w:val="none"/>
        </w:rPr>
        <w:br w:type="page"/>
      </w:r>
      <w:bookmarkEnd w:id="6"/>
      <w:bookmarkEnd w:id="7"/>
    </w:p>
    <w:p w14:paraId="3C0C4E95">
      <w:pPr>
        <w:pStyle w:val="3"/>
        <w:jc w:val="center"/>
        <w:rPr>
          <w:b/>
          <w:bCs/>
        </w:rPr>
      </w:pPr>
      <w:bookmarkStart w:id="8" w:name="_Toc24437"/>
      <w:r>
        <w:rPr>
          <w:rFonts w:hint="eastAsia"/>
          <w:b/>
          <w:bCs/>
        </w:rPr>
        <w:t>第一部分 部门概况</w:t>
      </w:r>
      <w:bookmarkEnd w:id="8"/>
    </w:p>
    <w:p w14:paraId="1909A30C">
      <w:pPr>
        <w:pStyle w:val="4"/>
        <w:numPr>
          <w:ilvl w:val="0"/>
          <w:numId w:val="0"/>
        </w:numPr>
        <w:spacing w:line="560" w:lineRule="exact"/>
        <w:rPr>
          <w:rStyle w:val="31"/>
          <w:rFonts w:hint="eastAsia" w:ascii="黑体" w:hAnsi="黑体" w:eastAsia="黑体"/>
          <w:b w:val="0"/>
          <w:bCs w:val="0"/>
        </w:rPr>
      </w:pPr>
      <w:bookmarkStart w:id="9" w:name="_Toc15377197"/>
      <w:bookmarkStart w:id="10" w:name="_Toc15396600"/>
      <w:bookmarkStart w:id="11" w:name="_Toc26140"/>
      <w:r>
        <w:rPr>
          <w:rFonts w:hint="eastAsia" w:ascii="黑体" w:hAnsi="黑体" w:eastAsia="黑体" w:cs="黑体"/>
          <w:b w:val="0"/>
          <w:bCs w:val="0"/>
        </w:rPr>
        <w:t>一</w:t>
      </w:r>
      <w:bookmarkEnd w:id="9"/>
      <w:bookmarkEnd w:id="10"/>
      <w:bookmarkEnd w:id="11"/>
      <w:bookmarkStart w:id="12" w:name="_Toc79163852"/>
      <w:bookmarkStart w:id="13" w:name="_Toc79163602"/>
      <w:bookmarkStart w:id="14" w:name="_Toc15378446"/>
      <w:bookmarkStart w:id="15" w:name="_Toc15377199"/>
      <w:r>
        <w:rPr>
          <w:rFonts w:hint="eastAsia" w:ascii="黑体" w:hAnsi="黑体" w:eastAsia="黑体" w:cs="黑体"/>
          <w:b w:val="0"/>
          <w:bCs w:val="0"/>
          <w:lang w:eastAsia="zh-CN"/>
        </w:rPr>
        <w:t>、</w:t>
      </w:r>
      <w:r>
        <w:rPr>
          <w:rFonts w:hint="eastAsia" w:ascii="黑体" w:hAnsi="黑体" w:eastAsia="黑体"/>
          <w:b w:val="0"/>
          <w:color w:val="000000"/>
        </w:rPr>
        <w:t>部门职责</w:t>
      </w:r>
      <w:bookmarkEnd w:id="12"/>
      <w:bookmarkEnd w:id="13"/>
      <w:bookmarkStart w:id="16" w:name="_Toc79163603"/>
      <w:bookmarkStart w:id="17" w:name="_Toc15378445"/>
      <w:bookmarkStart w:id="18" w:name="_Toc79163853"/>
      <w:bookmarkStart w:id="19" w:name="_Toc15377198"/>
    </w:p>
    <w:bookmarkEnd w:id="16"/>
    <w:bookmarkEnd w:id="17"/>
    <w:bookmarkEnd w:id="18"/>
    <w:bookmarkEnd w:id="19"/>
    <w:p w14:paraId="161E506C">
      <w:pPr>
        <w:pStyle w:val="7"/>
        <w:spacing w:beforeLines="0" w:line="560" w:lineRule="exact"/>
        <w:ind w:firstLine="640" w:firstLineChars="200"/>
        <w:rPr>
          <w:rStyle w:val="31"/>
          <w:rFonts w:hint="eastAsia" w:ascii="仿宋" w:hAnsi="仿宋" w:eastAsia="仿宋" w:cs="仿宋"/>
          <w:b w:val="0"/>
          <w:bCs w:val="0"/>
        </w:rPr>
      </w:pPr>
      <w:r>
        <w:rPr>
          <w:rFonts w:hint="eastAsia" w:ascii="仿宋" w:hAnsi="仿宋" w:eastAsia="仿宋" w:cs="仿宋"/>
          <w:sz w:val="32"/>
          <w:szCs w:val="32"/>
          <w:lang w:val="en-US" w:eastAsia="zh-CN"/>
        </w:rPr>
        <w:t>根据2001年壤委办发【53】号《壤塘县残疾人联合会职能配置、内设机构和人员编制方案》的文件规定，主要职责是：进一步与残疾人联系，动员社会力量为残疾人创造良好的社会环境，动员全社会理解、尊重、关心、帮助残疾人</w:t>
      </w:r>
      <w:r>
        <w:rPr>
          <w:rFonts w:hint="eastAsia" w:ascii="仿宋" w:hAnsi="仿宋" w:eastAsia="仿宋" w:cs="仿宋"/>
          <w:sz w:val="32"/>
          <w:szCs w:val="32"/>
          <w:lang w:eastAsia="zh-CN"/>
        </w:rPr>
        <w:t>。</w:t>
      </w:r>
      <w:bookmarkEnd w:id="14"/>
      <w:bookmarkEnd w:id="15"/>
      <w:bookmarkStart w:id="20" w:name="_Toc79163855"/>
      <w:bookmarkStart w:id="21" w:name="_Toc79163605"/>
      <w:bookmarkStart w:id="22" w:name="_Toc15396601"/>
      <w:bookmarkStart w:id="23" w:name="_Toc15377200"/>
      <w:bookmarkStart w:id="24" w:name="_Toc15396602"/>
      <w:bookmarkStart w:id="25" w:name="_Toc15377204"/>
      <w:r>
        <w:rPr>
          <w:rFonts w:hint="eastAsia" w:ascii="仿宋" w:hAnsi="仿宋" w:eastAsia="仿宋" w:cs="仿宋"/>
          <w:b w:val="0"/>
          <w:color w:val="000000"/>
        </w:rPr>
        <w:t>二、机</w:t>
      </w:r>
      <w:r>
        <w:rPr>
          <w:rStyle w:val="31"/>
          <w:rFonts w:hint="eastAsia" w:ascii="仿宋" w:hAnsi="仿宋" w:eastAsia="仿宋" w:cs="仿宋"/>
          <w:b w:val="0"/>
          <w:bCs w:val="0"/>
        </w:rPr>
        <w:t>构设置</w:t>
      </w:r>
      <w:bookmarkEnd w:id="20"/>
      <w:bookmarkEnd w:id="21"/>
      <w:bookmarkEnd w:id="22"/>
      <w:bookmarkEnd w:id="23"/>
    </w:p>
    <w:p w14:paraId="1D780605">
      <w:pPr>
        <w:pStyle w:val="7"/>
        <w:adjustRightInd w:val="0"/>
        <w:snapToGrid w:val="0"/>
        <w:spacing w:before="93" w:line="600" w:lineRule="exact"/>
        <w:ind w:firstLine="672" w:firstLineChars="210"/>
        <w:rPr>
          <w:rFonts w:ascii="仿宋" w:hAnsi="仿宋" w:eastAsia="仿宋"/>
          <w:color w:val="000000"/>
          <w:sz w:val="32"/>
          <w:szCs w:val="32"/>
        </w:rPr>
      </w:pPr>
      <w:bookmarkStart w:id="26" w:name="_Toc30939"/>
      <w:bookmarkStart w:id="27" w:name="_Toc10699"/>
      <w:bookmarkStart w:id="28" w:name="_Toc12356"/>
      <w:r>
        <w:rPr>
          <w:rFonts w:hint="eastAsia" w:ascii="仿宋" w:hAnsi="仿宋" w:eastAsia="仿宋" w:cs="仿宋"/>
          <w:sz w:val="32"/>
          <w:szCs w:val="32"/>
          <w:lang w:val="en-US" w:eastAsia="zh-CN"/>
        </w:rPr>
        <w:t>壤塘县残疾人联合会本级</w:t>
      </w:r>
      <w:r>
        <w:rPr>
          <w:rFonts w:hint="eastAsia" w:ascii="仿宋" w:hAnsi="仿宋" w:eastAsia="仿宋" w:cs="仿宋"/>
          <w:kern w:val="2"/>
          <w:sz w:val="32"/>
          <w:szCs w:val="32"/>
          <w:lang w:val="en-US" w:eastAsia="zh-CN"/>
        </w:rPr>
        <w:t>有两个下属二级预算单位，分别为壤塘县残疾人联合会和壤塘县残疾人综合服务中心</w:t>
      </w:r>
      <w:bookmarkEnd w:id="26"/>
      <w:bookmarkEnd w:id="27"/>
      <w:bookmarkEnd w:id="28"/>
      <w:r>
        <w:rPr>
          <w:rFonts w:hint="eastAsia" w:ascii="仿宋" w:hAnsi="仿宋" w:eastAsia="仿宋" w:cs="仿宋"/>
          <w:kern w:val="2"/>
          <w:sz w:val="32"/>
          <w:szCs w:val="32"/>
          <w:lang w:val="en-US" w:eastAsia="zh-CN"/>
        </w:rPr>
        <w:t>。</w:t>
      </w:r>
      <w:r>
        <w:rPr>
          <w:rFonts w:ascii="仿宋" w:hAnsi="仿宋" w:eastAsia="仿宋"/>
          <w:color w:val="000000"/>
          <w:sz w:val="32"/>
          <w:szCs w:val="32"/>
        </w:rPr>
        <w:br w:type="page"/>
      </w:r>
    </w:p>
    <w:p w14:paraId="7268DB91">
      <w:pPr>
        <w:widowControl/>
        <w:jc w:val="left"/>
        <w:rPr>
          <w:rFonts w:hint="eastAsia" w:ascii="Times New Roman" w:hAnsi="Times New Roman" w:eastAsia="宋体" w:cs="Times New Roman"/>
          <w:b/>
          <w:bCs/>
          <w:kern w:val="44"/>
          <w:sz w:val="44"/>
          <w:szCs w:val="44"/>
          <w:lang w:val="en-US" w:eastAsia="zh-CN" w:bidi="ar-SA"/>
        </w:rPr>
      </w:pPr>
      <w:r>
        <w:rPr>
          <w:rFonts w:hint="eastAsia" w:ascii="仿宋" w:hAnsi="仿宋" w:eastAsia="仿宋"/>
          <w:kern w:val="0"/>
          <w:sz w:val="32"/>
          <w:szCs w:val="32"/>
          <w:lang w:val="en-US" w:eastAsia="zh-CN"/>
        </w:rPr>
        <w:t xml:space="preserve">    </w:t>
      </w:r>
      <w:r>
        <w:rPr>
          <w:rFonts w:hint="eastAsia" w:ascii="Times New Roman" w:hAnsi="Times New Roman" w:eastAsia="宋体" w:cs="Times New Roman"/>
          <w:b/>
          <w:bCs/>
          <w:kern w:val="44"/>
          <w:sz w:val="44"/>
          <w:szCs w:val="44"/>
          <w:lang w:val="en-US" w:eastAsia="zh-CN" w:bidi="ar-SA"/>
        </w:rPr>
        <w:t>第二部分  2025年度部门决算情况说明</w:t>
      </w:r>
      <w:bookmarkEnd w:id="24"/>
      <w:bookmarkEnd w:id="25"/>
    </w:p>
    <w:p w14:paraId="4DC36D2B">
      <w:pPr>
        <w:rPr>
          <w:rFonts w:hint="eastAsia" w:ascii="仿宋" w:hAnsi="仿宋" w:eastAsia="仿宋" w:cs="仿宋"/>
          <w:color w:val="auto"/>
          <w:highlight w:val="none"/>
        </w:rPr>
      </w:pPr>
    </w:p>
    <w:p w14:paraId="54B2941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Style w:val="31"/>
          <w:rFonts w:hint="eastAsia" w:ascii="仿宋" w:hAnsi="仿宋" w:eastAsia="仿宋" w:cs="仿宋"/>
          <w:b/>
          <w:bCs/>
          <w:color w:val="auto"/>
          <w:highlight w:val="none"/>
        </w:rPr>
      </w:pPr>
      <w:bookmarkStart w:id="29" w:name="_Toc15377205"/>
      <w:bookmarkStart w:id="30" w:name="_Toc15396603"/>
      <w:r>
        <w:rPr>
          <w:rFonts w:hint="eastAsia" w:ascii="仿宋" w:hAnsi="仿宋" w:eastAsia="仿宋" w:cs="仿宋"/>
          <w:b/>
          <w:bCs/>
          <w:color w:val="auto"/>
          <w:sz w:val="32"/>
          <w:szCs w:val="32"/>
          <w:highlight w:val="none"/>
          <w:lang w:eastAsia="zh-CN"/>
        </w:rPr>
        <w:t>一、</w:t>
      </w:r>
      <w:r>
        <w:rPr>
          <w:rFonts w:hint="eastAsia" w:ascii="仿宋" w:hAnsi="仿宋" w:eastAsia="仿宋" w:cs="仿宋"/>
          <w:b/>
          <w:bCs/>
          <w:color w:val="auto"/>
          <w:sz w:val="32"/>
          <w:szCs w:val="32"/>
          <w:highlight w:val="none"/>
        </w:rPr>
        <w:t>收</w:t>
      </w:r>
      <w:r>
        <w:rPr>
          <w:rStyle w:val="31"/>
          <w:rFonts w:hint="eastAsia" w:ascii="仿宋" w:hAnsi="仿宋" w:eastAsia="仿宋" w:cs="仿宋"/>
          <w:b/>
          <w:bCs/>
          <w:color w:val="auto"/>
          <w:highlight w:val="none"/>
        </w:rPr>
        <w:t>入支出决算总体情况说明</w:t>
      </w:r>
      <w:bookmarkEnd w:id="29"/>
      <w:bookmarkEnd w:id="30"/>
    </w:p>
    <w:p w14:paraId="5F686CC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2025年度收入</w:t>
      </w:r>
      <w:r>
        <w:rPr>
          <w:rFonts w:hint="eastAsia" w:ascii="仿宋" w:hAnsi="仿宋" w:eastAsia="仿宋" w:cs="仿宋"/>
          <w:color w:val="auto"/>
          <w:sz w:val="32"/>
          <w:szCs w:val="32"/>
          <w:highlight w:val="none"/>
          <w:lang w:val="en-US" w:eastAsia="zh-CN"/>
        </w:rPr>
        <w:t>合计317.52万元</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与2024年476.09万元相比，下降158.57万元，下降33.31%</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支出总计311.22万元，与2024年462.97相比，减少151.75万元，下降32.78%。</w:t>
      </w:r>
      <w:r>
        <w:rPr>
          <w:rFonts w:hint="eastAsia" w:ascii="仿宋" w:hAnsi="仿宋" w:eastAsia="仿宋" w:cs="仿宋"/>
          <w:color w:val="auto"/>
          <w:sz w:val="32"/>
          <w:szCs w:val="32"/>
          <w:highlight w:val="none"/>
        </w:rPr>
        <w:t>主要变动原因</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本年度实施项目减少，项目收支规模相应下降。</w:t>
      </w:r>
    </w:p>
    <w:p w14:paraId="42DAB79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（图1：</w:t>
      </w:r>
      <w:r>
        <w:rPr>
          <w:rFonts w:hint="eastAsia" w:ascii="仿宋" w:hAnsi="仿宋" w:eastAsia="仿宋" w:cs="仿宋"/>
          <w:color w:val="auto"/>
          <w:sz w:val="32"/>
          <w:szCs w:val="32"/>
          <w:highlight w:val="none"/>
          <w:lang w:eastAsia="zh-CN"/>
        </w:rPr>
        <w:t>收入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决算总计变动情况图）（柱状图）</w:t>
      </w:r>
    </w:p>
    <w:p w14:paraId="6A1D765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 w:hAnsi="仿宋" w:eastAsia="仿宋" w:cs="仿宋"/>
          <w:b/>
          <w:bCs/>
          <w:color w:val="auto"/>
          <w:sz w:val="32"/>
          <w:szCs w:val="32"/>
          <w:highlight w:val="none"/>
          <w:lang w:eastAsia="zh-CN"/>
        </w:rPr>
      </w:pPr>
      <w:bookmarkStart w:id="31" w:name="_Toc15396604"/>
      <w:bookmarkStart w:id="32" w:name="_Toc15377206"/>
      <w:r>
        <w:drawing>
          <wp:anchor distT="0" distB="0" distL="114300" distR="114300" simplePos="0" relativeHeight="251660288" behindDoc="0" locked="0" layoutInCell="1" allowOverlap="1">
            <wp:simplePos x="0" y="0"/>
            <wp:positionH relativeFrom="column">
              <wp:posOffset>10160</wp:posOffset>
            </wp:positionH>
            <wp:positionV relativeFrom="paragraph">
              <wp:posOffset>23495</wp:posOffset>
            </wp:positionV>
            <wp:extent cx="5013325" cy="2840990"/>
            <wp:effectExtent l="4445" t="4445" r="11430" b="12065"/>
            <wp:wrapSquare wrapText="bothSides"/>
            <wp:docPr id="1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 w:hAnsi="仿宋" w:eastAsia="仿宋" w:cs="仿宋"/>
          <w:b/>
          <w:bCs/>
          <w:color w:val="auto"/>
          <w:sz w:val="32"/>
          <w:szCs w:val="32"/>
          <w:highlight w:val="none"/>
          <w:lang w:eastAsia="zh-CN"/>
        </w:rPr>
        <w:t>二、收入决算情况说明</w:t>
      </w:r>
      <w:bookmarkEnd w:id="31"/>
      <w:bookmarkEnd w:id="32"/>
    </w:p>
    <w:p w14:paraId="2BF9ABA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2025年度本年收入合计</w:t>
      </w:r>
      <w:r>
        <w:rPr>
          <w:rFonts w:hint="eastAsia" w:ascii="仿宋" w:hAnsi="仿宋" w:eastAsia="仿宋" w:cs="仿宋"/>
          <w:color w:val="auto"/>
          <w:sz w:val="32"/>
          <w:szCs w:val="32"/>
          <w:highlight w:val="none"/>
          <w:lang w:val="en-US" w:eastAsia="zh-CN"/>
        </w:rPr>
        <w:t>317.52</w:t>
      </w:r>
      <w:r>
        <w:rPr>
          <w:rFonts w:hint="eastAsia" w:ascii="仿宋" w:hAnsi="仿宋" w:eastAsia="仿宋" w:cs="仿宋"/>
          <w:color w:val="auto"/>
          <w:sz w:val="32"/>
          <w:szCs w:val="32"/>
          <w:highlight w:val="none"/>
          <w:lang w:eastAsia="zh-CN"/>
        </w:rPr>
        <w:t>万元，其中：</w:t>
      </w:r>
      <w:r>
        <w:rPr>
          <w:rFonts w:hint="eastAsia" w:ascii="仿宋" w:hAnsi="仿宋" w:eastAsia="仿宋" w:cs="仿宋"/>
          <w:color w:val="auto"/>
          <w:sz w:val="32"/>
          <w:szCs w:val="32"/>
          <w:highlight w:val="none"/>
          <w:lang w:val="en-US" w:eastAsia="zh-CN"/>
        </w:rPr>
        <w:t>本年收入合计304.40万元；年初结转和结余13.12万元。</w:t>
      </w:r>
    </w:p>
    <w:p w14:paraId="2EBA42FE">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本年收入合计中：</w:t>
      </w:r>
      <w:r>
        <w:rPr>
          <w:rFonts w:hint="eastAsia" w:ascii="仿宋" w:hAnsi="仿宋" w:eastAsia="仿宋" w:cs="仿宋"/>
          <w:color w:val="auto"/>
          <w:sz w:val="32"/>
          <w:szCs w:val="32"/>
          <w:highlight w:val="none"/>
          <w:lang w:eastAsia="zh-CN"/>
        </w:rPr>
        <w:t>一般公共预算财政拨款收入</w:t>
      </w:r>
      <w:r>
        <w:rPr>
          <w:rFonts w:hint="eastAsia" w:ascii="仿宋" w:hAnsi="仿宋" w:eastAsia="仿宋" w:cs="仿宋"/>
          <w:color w:val="auto"/>
          <w:sz w:val="32"/>
          <w:szCs w:val="32"/>
          <w:highlight w:val="none"/>
          <w:lang w:val="en-US" w:eastAsia="zh-CN"/>
        </w:rPr>
        <w:t>292.36</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92.08</w:t>
      </w:r>
      <w:r>
        <w:rPr>
          <w:rFonts w:hint="eastAsia" w:ascii="仿宋" w:hAnsi="仿宋" w:eastAsia="仿宋" w:cs="仿宋"/>
          <w:color w:val="auto"/>
          <w:sz w:val="32"/>
          <w:szCs w:val="32"/>
          <w:highlight w:val="none"/>
          <w:lang w:eastAsia="zh-CN"/>
        </w:rPr>
        <w:t>%；政府性基金预算财政拨款收入</w:t>
      </w:r>
      <w:r>
        <w:rPr>
          <w:rFonts w:hint="eastAsia" w:ascii="仿宋" w:hAnsi="仿宋" w:eastAsia="仿宋" w:cs="仿宋"/>
          <w:color w:val="auto"/>
          <w:sz w:val="32"/>
          <w:szCs w:val="32"/>
          <w:highlight w:val="none"/>
          <w:lang w:val="en-US" w:eastAsia="zh-CN"/>
        </w:rPr>
        <w:t>12.04</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3.79</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年初结转和结余收入13.12万元，占4.13%；</w:t>
      </w:r>
      <w:r>
        <w:rPr>
          <w:rFonts w:hint="eastAsia" w:ascii="仿宋" w:hAnsi="仿宋" w:eastAsia="仿宋" w:cs="仿宋"/>
          <w:color w:val="auto"/>
          <w:sz w:val="32"/>
          <w:szCs w:val="32"/>
          <w:highlight w:val="none"/>
          <w:lang w:eastAsia="zh-CN"/>
        </w:rPr>
        <w:t>国有资本经营预算财政拨款收入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%；上级补助收入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%；事业收入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%；经营收入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%；附属单位上缴收入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%；其他收入</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w:t>
      </w:r>
    </w:p>
    <w:p w14:paraId="3D47C51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（图2：收入决算结构图）（饼状图）</w:t>
      </w:r>
    </w:p>
    <w:p w14:paraId="52CDDE0F">
      <w:pPr>
        <w:ind w:firstLine="800" w:firstLineChars="250"/>
        <w:rPr>
          <w:rFonts w:hint="eastAsia" w:ascii="仿宋" w:hAnsi="仿宋" w:eastAsia="仿宋" w:cs="仿宋"/>
          <w:color w:val="auto"/>
          <w:sz w:val="32"/>
          <w:szCs w:val="32"/>
          <w:highlight w:val="none"/>
          <w:lang w:eastAsia="zh-CN"/>
        </w:rPr>
      </w:pPr>
    </w:p>
    <w:p w14:paraId="146CAFD2">
      <w:pPr>
        <w:pStyle w:val="14"/>
        <w:rPr>
          <w:rFonts w:hint="eastAsia" w:ascii="仿宋" w:hAnsi="仿宋" w:eastAsia="仿宋" w:cs="仿宋"/>
          <w:color w:val="auto"/>
          <w:sz w:val="32"/>
          <w:szCs w:val="32"/>
          <w:highlight w:val="none"/>
          <w:lang w:eastAsia="zh-CN"/>
        </w:rPr>
      </w:pPr>
      <w:r>
        <w:drawing>
          <wp:inline distT="0" distB="0" distL="114300" distR="114300">
            <wp:extent cx="5271135" cy="3154680"/>
            <wp:effectExtent l="4445" t="4445" r="20320" b="2222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29404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Style w:val="31"/>
          <w:rFonts w:hint="eastAsia" w:ascii="仿宋" w:hAnsi="仿宋" w:eastAsia="仿宋" w:cs="仿宋"/>
          <w:b w:val="0"/>
          <w:color w:val="auto"/>
          <w:highlight w:val="none"/>
        </w:rPr>
      </w:pPr>
      <w:bookmarkStart w:id="33" w:name="_Toc15377207"/>
      <w:bookmarkStart w:id="34" w:name="_Toc15396605"/>
      <w:r>
        <w:rPr>
          <w:rFonts w:hint="eastAsia" w:ascii="仿宋" w:hAnsi="仿宋" w:eastAsia="仿宋" w:cs="仿宋"/>
          <w:color w:val="auto"/>
          <w:sz w:val="32"/>
          <w:szCs w:val="32"/>
          <w:highlight w:val="none"/>
          <w:lang w:eastAsia="zh-CN"/>
        </w:rPr>
        <w:t>三、</w:t>
      </w:r>
      <w:r>
        <w:rPr>
          <w:rFonts w:hint="eastAsia" w:ascii="仿宋" w:hAnsi="仿宋" w:eastAsia="仿宋" w:cs="仿宋"/>
          <w:color w:val="auto"/>
          <w:sz w:val="32"/>
          <w:szCs w:val="32"/>
          <w:highlight w:val="none"/>
        </w:rPr>
        <w:t>支</w:t>
      </w:r>
      <w:r>
        <w:rPr>
          <w:rStyle w:val="31"/>
          <w:rFonts w:hint="eastAsia" w:ascii="仿宋" w:hAnsi="仿宋" w:eastAsia="仿宋" w:cs="仿宋"/>
          <w:b w:val="0"/>
          <w:color w:val="auto"/>
          <w:highlight w:val="none"/>
        </w:rPr>
        <w:t>出决算情况说明</w:t>
      </w:r>
      <w:bookmarkEnd w:id="33"/>
      <w:bookmarkEnd w:id="34"/>
    </w:p>
    <w:p w14:paraId="282DC52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2025年度本年支出合计</w:t>
      </w:r>
      <w:r>
        <w:rPr>
          <w:rFonts w:hint="eastAsia" w:ascii="仿宋" w:hAnsi="仿宋" w:eastAsia="仿宋" w:cs="仿宋"/>
          <w:color w:val="auto"/>
          <w:sz w:val="32"/>
          <w:szCs w:val="32"/>
          <w:highlight w:val="none"/>
          <w:lang w:val="en-US" w:eastAsia="zh-CN"/>
        </w:rPr>
        <w:t>311.22万</w:t>
      </w:r>
      <w:r>
        <w:rPr>
          <w:rFonts w:hint="eastAsia" w:ascii="仿宋" w:hAnsi="仿宋" w:eastAsia="仿宋" w:cs="仿宋"/>
          <w:color w:val="auto"/>
          <w:sz w:val="32"/>
          <w:szCs w:val="32"/>
          <w:highlight w:val="none"/>
          <w:lang w:eastAsia="zh-CN"/>
        </w:rPr>
        <w:t>元，其中：基本支出</w:t>
      </w:r>
      <w:r>
        <w:rPr>
          <w:rFonts w:hint="eastAsia" w:ascii="仿宋" w:hAnsi="仿宋" w:eastAsia="仿宋" w:cs="仿宋"/>
          <w:color w:val="auto"/>
          <w:sz w:val="32"/>
          <w:szCs w:val="32"/>
          <w:highlight w:val="none"/>
          <w:lang w:val="en-US" w:eastAsia="zh-CN"/>
        </w:rPr>
        <w:t>140.99</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45.30</w:t>
      </w:r>
      <w:r>
        <w:rPr>
          <w:rFonts w:hint="eastAsia" w:ascii="仿宋" w:hAnsi="仿宋" w:eastAsia="仿宋" w:cs="仿宋"/>
          <w:color w:val="auto"/>
          <w:sz w:val="32"/>
          <w:szCs w:val="32"/>
          <w:highlight w:val="none"/>
          <w:lang w:eastAsia="zh-CN"/>
        </w:rPr>
        <w:t>%；项目支出</w:t>
      </w:r>
      <w:r>
        <w:rPr>
          <w:rFonts w:hint="eastAsia" w:ascii="仿宋" w:hAnsi="仿宋" w:eastAsia="仿宋" w:cs="仿宋"/>
          <w:color w:val="auto"/>
          <w:sz w:val="32"/>
          <w:szCs w:val="32"/>
          <w:highlight w:val="none"/>
          <w:lang w:val="en-US" w:eastAsia="zh-CN"/>
        </w:rPr>
        <w:t>170.23</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54.70</w:t>
      </w:r>
      <w:r>
        <w:rPr>
          <w:rFonts w:hint="eastAsia" w:ascii="仿宋" w:hAnsi="仿宋" w:eastAsia="仿宋" w:cs="仿宋"/>
          <w:color w:val="auto"/>
          <w:sz w:val="32"/>
          <w:szCs w:val="32"/>
          <w:highlight w:val="none"/>
          <w:lang w:eastAsia="zh-CN"/>
        </w:rPr>
        <w:t>%；上缴上级支出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%；经营支出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%；对附属单位补助支出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eastAsia="zh-CN"/>
        </w:rPr>
        <w:t>%。</w:t>
      </w:r>
    </w:p>
    <w:p w14:paraId="5A1E8F49">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仿宋" w:hAnsi="仿宋" w:eastAsia="仿宋" w:cs="仿宋"/>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-15240</wp:posOffset>
            </wp:positionH>
            <wp:positionV relativeFrom="paragraph">
              <wp:posOffset>398145</wp:posOffset>
            </wp:positionV>
            <wp:extent cx="5330825" cy="2834640"/>
            <wp:effectExtent l="4445" t="4445" r="17780" b="18415"/>
            <wp:wrapSquare wrapText="bothSides"/>
            <wp:docPr id="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s="仿宋"/>
          <w:color w:val="auto"/>
          <w:sz w:val="32"/>
          <w:szCs w:val="32"/>
          <w:highlight w:val="none"/>
          <w:lang w:eastAsia="zh-CN"/>
        </w:rPr>
        <w:t>（图3：支出决算结构图）（饼状图）</w:t>
      </w:r>
    </w:p>
    <w:p w14:paraId="028ADFC7">
      <w:pPr>
        <w:spacing w:line="600" w:lineRule="exact"/>
        <w:ind w:firstLine="640" w:firstLineChars="200"/>
        <w:outlineLvl w:val="1"/>
        <w:rPr>
          <w:rStyle w:val="31"/>
          <w:rFonts w:hint="eastAsia" w:ascii="仿宋" w:hAnsi="仿宋" w:eastAsia="仿宋" w:cs="仿宋"/>
          <w:b w:val="0"/>
          <w:color w:val="auto"/>
          <w:highlight w:val="none"/>
        </w:rPr>
      </w:pPr>
      <w:bookmarkStart w:id="35" w:name="_Toc15396606"/>
      <w:bookmarkStart w:id="36" w:name="_Toc15377208"/>
      <w:r>
        <w:rPr>
          <w:rFonts w:hint="eastAsia" w:ascii="仿宋" w:hAnsi="仿宋" w:eastAsia="仿宋" w:cs="仿宋"/>
          <w:color w:val="auto"/>
          <w:sz w:val="32"/>
          <w:szCs w:val="32"/>
          <w:highlight w:val="none"/>
        </w:rPr>
        <w:t>四、财</w:t>
      </w:r>
      <w:r>
        <w:rPr>
          <w:rStyle w:val="31"/>
          <w:rFonts w:hint="eastAsia" w:ascii="仿宋" w:hAnsi="仿宋" w:eastAsia="仿宋" w:cs="仿宋"/>
          <w:b w:val="0"/>
          <w:color w:val="auto"/>
          <w:highlight w:val="none"/>
        </w:rPr>
        <w:t>政拨款收入支出决算总体情况说明</w:t>
      </w:r>
      <w:bookmarkEnd w:id="35"/>
      <w:bookmarkEnd w:id="36"/>
    </w:p>
    <w:p w14:paraId="34DE5893">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2025年度财政拨款收入317.52万元、支出总计均为311.22万元。与2024年财政拨款收入476.09万元相比，财政拨款收入减少158.57万元下降33.31%；与2024年财政拨款支出</w:t>
      </w:r>
      <w:r>
        <w:rPr>
          <w:rFonts w:hint="eastAsia" w:ascii="仿宋" w:hAnsi="仿宋" w:eastAsia="仿宋" w:cs="仿宋"/>
          <w:color w:val="auto"/>
          <w:sz w:val="32"/>
          <w:szCs w:val="32"/>
          <w:highlight w:val="none"/>
          <w:lang w:val="en-US" w:eastAsia="zh-CN"/>
        </w:rPr>
        <w:t>462.97</w:t>
      </w:r>
      <w:r>
        <w:rPr>
          <w:rFonts w:hint="eastAsia" w:ascii="仿宋" w:hAnsi="仿宋" w:eastAsia="仿宋" w:cs="仿宋"/>
          <w:color w:val="auto"/>
          <w:kern w:val="2"/>
          <w:sz w:val="32"/>
          <w:szCs w:val="32"/>
          <w:highlight w:val="none"/>
          <w:lang w:val="en-US" w:eastAsia="zh-CN" w:bidi="ar-SA"/>
        </w:rPr>
        <w:t>万元，财政拨款相比减少151.75万元，下降</w:t>
      </w:r>
      <w:r>
        <w:rPr>
          <w:rFonts w:hint="eastAsia" w:ascii="仿宋" w:hAnsi="仿宋" w:eastAsia="仿宋" w:cs="仿宋"/>
          <w:color w:val="auto"/>
          <w:sz w:val="32"/>
          <w:szCs w:val="32"/>
          <w:highlight w:val="none"/>
          <w:lang w:val="en-US" w:eastAsia="zh-CN"/>
        </w:rPr>
        <w:t>32.78%</w:t>
      </w:r>
      <w:r>
        <w:rPr>
          <w:rFonts w:hint="eastAsia" w:ascii="仿宋" w:hAnsi="仿宋" w:eastAsia="仿宋" w:cs="仿宋"/>
          <w:color w:val="auto"/>
          <w:kern w:val="2"/>
          <w:sz w:val="32"/>
          <w:szCs w:val="32"/>
          <w:highlight w:val="none"/>
          <w:lang w:val="en-US" w:eastAsia="zh-CN" w:bidi="ar-SA"/>
        </w:rPr>
        <w:t>%。主要变动原因是项目减少。</w:t>
      </w:r>
    </w:p>
    <w:p w14:paraId="01C4639D">
      <w:p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（图4：财政拨款收、支决算总计变动情况）（柱状图）</w:t>
      </w:r>
    </w:p>
    <w:p w14:paraId="2C2ADF93">
      <w:pPr>
        <w:pStyle w:val="14"/>
        <w:rPr>
          <w:rFonts w:hint="eastAsia" w:ascii="仿宋" w:hAnsi="仿宋" w:eastAsia="仿宋" w:cs="仿宋"/>
          <w:color w:val="auto"/>
          <w:kern w:val="2"/>
          <w:sz w:val="32"/>
          <w:szCs w:val="32"/>
          <w:highlight w:val="none"/>
          <w:lang w:val="en-US" w:eastAsia="zh-CN" w:bidi="ar-SA"/>
        </w:rPr>
      </w:pPr>
    </w:p>
    <w:p w14:paraId="1C741D1F">
      <w:pPr>
        <w:pStyle w:val="15"/>
        <w:rPr>
          <w:rFonts w:hint="eastAsia" w:ascii="仿宋" w:hAnsi="仿宋" w:eastAsia="仿宋" w:cs="仿宋"/>
          <w:color w:val="auto"/>
          <w:kern w:val="2"/>
          <w:sz w:val="32"/>
          <w:szCs w:val="32"/>
          <w:highlight w:val="none"/>
          <w:lang w:val="en-US" w:eastAsia="zh-CN" w:bidi="ar-SA"/>
        </w:rPr>
      </w:pPr>
      <w:r>
        <w:drawing>
          <wp:inline distT="0" distB="0" distL="114300" distR="114300">
            <wp:extent cx="4219575" cy="2647950"/>
            <wp:effectExtent l="4445" t="4445" r="5080" b="14605"/>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CBA1719">
      <w:pPr>
        <w:spacing w:line="600" w:lineRule="exact"/>
        <w:outlineLvl w:val="1"/>
        <w:rPr>
          <w:rStyle w:val="31"/>
          <w:rFonts w:hint="eastAsia" w:ascii="仿宋" w:hAnsi="仿宋" w:eastAsia="仿宋" w:cs="仿宋"/>
          <w:b w:val="0"/>
          <w:color w:val="auto"/>
          <w:highlight w:val="none"/>
        </w:rPr>
      </w:pPr>
      <w:bookmarkStart w:id="37" w:name="_Toc15377209"/>
      <w:bookmarkStart w:id="38" w:name="_Toc15396607"/>
      <w:r>
        <w:rPr>
          <w:rFonts w:hint="eastAsia" w:ascii="仿宋" w:hAnsi="仿宋" w:eastAsia="仿宋" w:cs="仿宋"/>
          <w:color w:val="auto"/>
          <w:sz w:val="32"/>
          <w:szCs w:val="32"/>
          <w:highlight w:val="none"/>
        </w:rPr>
        <w:t>五、</w:t>
      </w:r>
      <w:r>
        <w:rPr>
          <w:rFonts w:hint="eastAsia" w:ascii="仿宋" w:hAnsi="仿宋" w:eastAsia="仿宋" w:cs="仿宋"/>
          <w:b/>
          <w:color w:val="auto"/>
          <w:sz w:val="32"/>
          <w:szCs w:val="32"/>
          <w:highlight w:val="none"/>
        </w:rPr>
        <w:t>一</w:t>
      </w:r>
      <w:r>
        <w:rPr>
          <w:rStyle w:val="31"/>
          <w:rFonts w:hint="eastAsia" w:ascii="仿宋" w:hAnsi="仿宋" w:eastAsia="仿宋" w:cs="仿宋"/>
          <w:b w:val="0"/>
          <w:color w:val="auto"/>
          <w:highlight w:val="none"/>
        </w:rPr>
        <w:t>般公共预算财政拨款支出决算情况说明</w:t>
      </w:r>
      <w:bookmarkEnd w:id="37"/>
      <w:bookmarkEnd w:id="38"/>
    </w:p>
    <w:p w14:paraId="3218EDB1">
      <w:pPr>
        <w:spacing w:line="600" w:lineRule="exact"/>
        <w:ind w:firstLine="643" w:firstLineChars="200"/>
        <w:outlineLvl w:val="2"/>
        <w:rPr>
          <w:rFonts w:hint="eastAsia" w:ascii="仿宋" w:hAnsi="仿宋" w:eastAsia="仿宋" w:cs="仿宋"/>
          <w:b/>
          <w:color w:val="auto"/>
          <w:sz w:val="32"/>
          <w:szCs w:val="32"/>
          <w:highlight w:val="none"/>
        </w:rPr>
      </w:pPr>
      <w:bookmarkStart w:id="39" w:name="_Toc15377210"/>
      <w:r>
        <w:rPr>
          <w:rFonts w:hint="eastAsia" w:ascii="仿宋" w:hAnsi="仿宋" w:eastAsia="仿宋" w:cs="仿宋"/>
          <w:b/>
          <w:color w:val="auto"/>
          <w:sz w:val="32"/>
          <w:szCs w:val="32"/>
          <w:highlight w:val="none"/>
        </w:rPr>
        <w:t>（一）一般公共预算财政拨款支出决算总体情况</w:t>
      </w:r>
      <w:bookmarkEnd w:id="39"/>
    </w:p>
    <w:p w14:paraId="3232B22F">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2025年度一般公共预算财政拨款支出292.36万元，占本年支出合计的83.53%。与2024年度相比，一般公共预算财政拨款减少134.54万元，下降31.52%。主要变动原因是项目预算缩减，项目支出减少。</w:t>
      </w:r>
    </w:p>
    <w:p w14:paraId="71D270B2">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（图5：一般公共预算财政拨款支出决算变动情况）（柱状图）</w:t>
      </w:r>
    </w:p>
    <w:p w14:paraId="6A966757">
      <w:pPr>
        <w:pStyle w:val="14"/>
        <w:rPr>
          <w:rFonts w:hint="eastAsia" w:ascii="仿宋" w:hAnsi="仿宋" w:eastAsia="仿宋" w:cs="仿宋"/>
          <w:color w:val="auto"/>
          <w:kern w:val="2"/>
          <w:sz w:val="32"/>
          <w:szCs w:val="32"/>
          <w:highlight w:val="none"/>
          <w:lang w:val="en-US" w:eastAsia="zh-CN" w:bidi="ar-SA"/>
        </w:rPr>
      </w:pPr>
    </w:p>
    <w:p w14:paraId="538F4253">
      <w:pPr>
        <w:pStyle w:val="15"/>
        <w:rPr>
          <w:rFonts w:hint="eastAsia" w:ascii="仿宋" w:hAnsi="仿宋" w:eastAsia="仿宋" w:cs="仿宋"/>
          <w:color w:val="auto"/>
          <w:kern w:val="2"/>
          <w:sz w:val="32"/>
          <w:szCs w:val="32"/>
          <w:highlight w:val="none"/>
          <w:lang w:val="en-US" w:eastAsia="zh-CN" w:bidi="ar-SA"/>
        </w:rPr>
      </w:pPr>
      <w:r>
        <w:drawing>
          <wp:inline distT="0" distB="0" distL="114300" distR="114300">
            <wp:extent cx="5307965" cy="2938780"/>
            <wp:effectExtent l="4445" t="4445" r="21590" b="952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CFC3533">
      <w:pPr>
        <w:spacing w:line="600" w:lineRule="exact"/>
        <w:ind w:firstLine="640"/>
        <w:rPr>
          <w:rFonts w:hint="eastAsia" w:ascii="仿宋" w:hAnsi="仿宋" w:eastAsia="仿宋" w:cs="仿宋"/>
          <w:color w:val="auto"/>
          <w:kern w:val="2"/>
          <w:sz w:val="32"/>
          <w:szCs w:val="32"/>
          <w:highlight w:val="none"/>
          <w:lang w:val="en-US" w:eastAsia="zh-CN" w:bidi="ar-SA"/>
        </w:rPr>
      </w:pPr>
      <w:bookmarkStart w:id="40" w:name="_Toc15377211"/>
      <w:r>
        <w:rPr>
          <w:rFonts w:hint="eastAsia" w:ascii="仿宋" w:hAnsi="仿宋" w:eastAsia="仿宋" w:cs="仿宋"/>
          <w:color w:val="auto"/>
          <w:kern w:val="2"/>
          <w:sz w:val="32"/>
          <w:szCs w:val="32"/>
          <w:highlight w:val="none"/>
          <w:lang w:val="en-US" w:eastAsia="zh-CN" w:bidi="ar-SA"/>
        </w:rPr>
        <w:t>（二）一般公共预算财政拨款支出决算结构情况</w:t>
      </w:r>
      <w:bookmarkEnd w:id="40"/>
    </w:p>
    <w:p w14:paraId="2821433B">
      <w:pPr>
        <w:spacing w:line="600" w:lineRule="exact"/>
        <w:ind w:firstLine="640"/>
        <w:rPr>
          <w:rFonts w:hint="eastAsia"/>
          <w:lang w:val="en-US" w:eastAsia="zh-CN"/>
        </w:rPr>
      </w:pPr>
      <w:r>
        <w:rPr>
          <w:rFonts w:hint="eastAsia" w:ascii="仿宋" w:hAnsi="仿宋" w:eastAsia="仿宋" w:cs="仿宋"/>
          <w:color w:val="auto"/>
          <w:kern w:val="2"/>
          <w:sz w:val="32"/>
          <w:szCs w:val="32"/>
          <w:highlight w:val="none"/>
          <w:lang w:val="en-US" w:eastAsia="zh-CN" w:bidi="ar-SA"/>
        </w:rPr>
        <w:t>2025年度一般公共预算财政拨款支出292.36万元，主要用于以下方面：社会保障和就业支出275.06万元，占94.08%；卫生健康支出7.03万元，占2.40%；住房保障支出10.27万元，占3.51%。</w:t>
      </w:r>
    </w:p>
    <w:p w14:paraId="453567AC">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（图6：一般公共预算财政拨款支出决算结构）（饼状图）</w:t>
      </w:r>
    </w:p>
    <w:p w14:paraId="63C4C2CB">
      <w:pPr>
        <w:pStyle w:val="15"/>
        <w:rPr>
          <w:rFonts w:hint="eastAsia" w:ascii="仿宋" w:hAnsi="仿宋" w:eastAsia="仿宋" w:cs="仿宋"/>
          <w:color w:val="auto"/>
          <w:kern w:val="2"/>
          <w:sz w:val="32"/>
          <w:szCs w:val="32"/>
          <w:highlight w:val="none"/>
          <w:lang w:val="en-US" w:eastAsia="zh-CN" w:bidi="ar-SA"/>
        </w:rPr>
      </w:pPr>
      <w:r>
        <w:drawing>
          <wp:inline distT="0" distB="0" distL="114300" distR="114300">
            <wp:extent cx="4563745" cy="2769235"/>
            <wp:effectExtent l="4445" t="4445" r="22860" b="7620"/>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109C651">
      <w:pPr>
        <w:spacing w:line="600" w:lineRule="exact"/>
        <w:outlineLvl w:val="2"/>
        <w:rPr>
          <w:rFonts w:hint="eastAsia" w:ascii="仿宋" w:hAnsi="仿宋" w:eastAsia="仿宋" w:cs="仿宋"/>
          <w:b/>
          <w:color w:val="auto"/>
          <w:sz w:val="32"/>
          <w:szCs w:val="32"/>
          <w:highlight w:val="none"/>
        </w:rPr>
      </w:pPr>
      <w:bookmarkStart w:id="41" w:name="_Toc15377212"/>
      <w:r>
        <w:rPr>
          <w:rFonts w:hint="eastAsia" w:ascii="仿宋" w:hAnsi="仿宋" w:eastAsia="仿宋" w:cs="仿宋"/>
          <w:b/>
          <w:color w:val="auto"/>
          <w:sz w:val="32"/>
          <w:szCs w:val="32"/>
          <w:highlight w:val="none"/>
        </w:rPr>
        <w:t>（三）一般公共预算财政拨款支出决算具体情况</w:t>
      </w:r>
      <w:bookmarkEnd w:id="41"/>
    </w:p>
    <w:p w14:paraId="574A9389">
      <w:pPr>
        <w:numPr>
          <w:ilvl w:val="0"/>
          <w:numId w:val="1"/>
        </w:num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bookmarkStart w:id="42" w:name="_Toc15377444"/>
      <w:bookmarkStart w:id="43" w:name="_Toc15377213"/>
      <w:bookmarkStart w:id="44" w:name="_Toc15378460"/>
      <w:r>
        <w:rPr>
          <w:rFonts w:hint="eastAsia" w:ascii="仿宋" w:hAnsi="仿宋" w:eastAsia="仿宋" w:cs="仿宋"/>
          <w:color w:val="auto"/>
          <w:kern w:val="2"/>
          <w:sz w:val="32"/>
          <w:szCs w:val="32"/>
          <w:highlight w:val="none"/>
          <w:lang w:val="en-US" w:eastAsia="zh-CN" w:bidi="ar-SA"/>
        </w:rPr>
        <w:t>2025年度一般公共预算支出决算数为292.36万元，完</w:t>
      </w: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成预算**%。其中：</w:t>
      </w:r>
      <w:bookmarkEnd w:id="42"/>
      <w:bookmarkEnd w:id="43"/>
      <w:bookmarkEnd w:id="44"/>
    </w:p>
    <w:p w14:paraId="7BFA5F78">
      <w:pPr>
        <w:numPr>
          <w:ilvl w:val="0"/>
          <w:numId w:val="1"/>
        </w:numPr>
        <w:spacing w:line="600" w:lineRule="exact"/>
        <w:ind w:firstLine="64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1. 社会保障和就业（208）行政事业单位养老支出（20805）机关事业单位基本养老保险缴费支出（2080505）：支出决算为14.03万元，完成预算100%。</w:t>
      </w:r>
    </w:p>
    <w:p w14:paraId="54DBD436">
      <w:pPr>
        <w:numPr>
          <w:ilvl w:val="0"/>
          <w:numId w:val="1"/>
        </w:numPr>
        <w:spacing w:line="600" w:lineRule="exact"/>
        <w:ind w:left="0" w:leftChars="0" w:firstLine="640" w:firstLineChars="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社会保障和就业（208）行政事业单位养老支出（20805）机关事业单位职业年金缴费支出（2080506）：支出决算为7.02万元，完成预算100%。</w:t>
      </w:r>
    </w:p>
    <w:p w14:paraId="089AA9A4">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3. 社会保障和就业（208）残疾人事业（20811）行政运行（2081101）：支出决算为55.49万元，完成预算100%。</w:t>
      </w:r>
    </w:p>
    <w:p w14:paraId="26B36FF0">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4. 社会保障和就业（208）残疾人事业（20811）一般行政管理事务（2081102）：支出决算为10.00万元，完成预算100%。</w:t>
      </w:r>
    </w:p>
    <w:p w14:paraId="7974359E">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5. 社会保障和就业（208）残疾人事业（20811）机关服务（2081103）：支出决算为47.15万元，完成预算100%。</w:t>
      </w:r>
    </w:p>
    <w:p w14:paraId="0EBF5647">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6. 社会保障和就业（208）残疾人事业（20811）残疾人康复（2081104）：支出决算为5.64万元，完成预算100%。</w:t>
      </w:r>
    </w:p>
    <w:p w14:paraId="5CB17744">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7. 社会保障和就业（208）残疾人事业（20811）残疾人就业（2081105）：支出决算为42.20万元，完成预算100%。</w:t>
      </w:r>
    </w:p>
    <w:p w14:paraId="6C8935CD">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8. 社会保障和就业（208）残疾人事业（20811）其他残疾人事业支出（2081199）：支出决算为93.53万元，完成预算100%。</w:t>
      </w:r>
    </w:p>
    <w:p w14:paraId="00C379FE">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9. 卫生健康（210）行政事业单位医疗（21011）行政单位医疗（2101101）：支出决算为3.22万元，完成预算100%。</w:t>
      </w:r>
    </w:p>
    <w:p w14:paraId="2317BA29">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10. 卫生健康（类210）行政事业单位医疗（款21011）事业单位医疗（项2101102）：支出决算为2.80万元，完成预算100%。</w:t>
      </w:r>
    </w:p>
    <w:p w14:paraId="37FF2EAD">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11. 卫生健康（类210）行政事业单位医疗（款21011）公务员医疗补助（项2101103）：支出决算为0.47万元，完成预算100%。</w:t>
      </w:r>
    </w:p>
    <w:p w14:paraId="26EBF07D">
      <w:pPr>
        <w:numPr>
          <w:ilvl w:val="0"/>
          <w:numId w:val="0"/>
        </w:numPr>
        <w:spacing w:line="600" w:lineRule="exact"/>
        <w:ind w:firstLine="640" w:firstLineChars="200"/>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12. 卫生健康（类210）行政事业单位医疗（款21011）其他行政事业单位医疗支出（项2101199）：支出决算为0.54万元，完成预算100%。</w:t>
      </w:r>
    </w:p>
    <w:p w14:paraId="249D2CC8">
      <w:pPr>
        <w:numPr>
          <w:ilvl w:val="0"/>
          <w:numId w:val="0"/>
        </w:num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val="0"/>
          <w:bCs/>
          <w:color w:val="000000" w:themeColor="text1"/>
          <w:kern w:val="2"/>
          <w:sz w:val="32"/>
          <w:szCs w:val="32"/>
          <w:highlight w:val="none"/>
          <w:lang w:val="en-US" w:eastAsia="zh-CN" w:bidi="ar-SA"/>
          <w14:textFill>
            <w14:solidFill>
              <w14:schemeClr w14:val="tx1"/>
            </w14:solidFill>
          </w14:textFill>
        </w:rPr>
        <w:t>13. 住房保障（类221）住房改革支出（款22102）住房公积金（项2210201）：支出决算为10.27万元，完成预算100%。</w:t>
      </w:r>
    </w:p>
    <w:p w14:paraId="32A9E62B">
      <w:pPr>
        <w:tabs>
          <w:tab w:val="right" w:pos="8306"/>
        </w:tabs>
        <w:spacing w:line="600" w:lineRule="exact"/>
        <w:ind w:firstLine="640"/>
        <w:outlineLvl w:val="1"/>
        <w:rPr>
          <w:rStyle w:val="31"/>
          <w:rFonts w:hint="eastAsia" w:ascii="仿宋" w:hAnsi="仿宋" w:eastAsia="仿宋" w:cs="仿宋"/>
          <w:color w:val="auto"/>
          <w:highlight w:val="none"/>
        </w:rPr>
      </w:pPr>
      <w:bookmarkStart w:id="45" w:name="_Toc15377214"/>
      <w:bookmarkStart w:id="46" w:name="_Toc15396608"/>
      <w:r>
        <w:rPr>
          <w:rFonts w:hint="eastAsia" w:ascii="仿宋" w:hAnsi="仿宋" w:eastAsia="仿宋" w:cs="仿宋"/>
          <w:color w:val="auto"/>
          <w:sz w:val="32"/>
          <w:szCs w:val="32"/>
          <w:highlight w:val="none"/>
        </w:rPr>
        <w:t>六</w:t>
      </w:r>
      <w:r>
        <w:rPr>
          <w:rFonts w:hint="eastAsia" w:ascii="仿宋" w:hAnsi="仿宋" w:eastAsia="仿宋" w:cs="仿宋"/>
          <w:b/>
          <w:color w:val="auto"/>
          <w:sz w:val="32"/>
          <w:szCs w:val="32"/>
          <w:highlight w:val="none"/>
        </w:rPr>
        <w:t>、一</w:t>
      </w:r>
      <w:r>
        <w:rPr>
          <w:rStyle w:val="31"/>
          <w:rFonts w:hint="eastAsia" w:ascii="仿宋" w:hAnsi="仿宋" w:eastAsia="仿宋" w:cs="仿宋"/>
          <w:b w:val="0"/>
          <w:color w:val="auto"/>
          <w:highlight w:val="none"/>
        </w:rPr>
        <w:t>般公共预算财政拨款基本支出决算情况说明</w:t>
      </w:r>
      <w:bookmarkEnd w:id="45"/>
      <w:bookmarkEnd w:id="46"/>
      <w:r>
        <w:rPr>
          <w:rStyle w:val="31"/>
          <w:rFonts w:hint="eastAsia" w:ascii="仿宋" w:hAnsi="仿宋" w:eastAsia="仿宋" w:cs="仿宋"/>
          <w:b w:val="0"/>
          <w:color w:val="auto"/>
          <w:highlight w:val="none"/>
        </w:rPr>
        <w:tab/>
      </w:r>
    </w:p>
    <w:p w14:paraId="175519B8">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2025年度一般公共预算财政拨款基本支出141.53万元，其中：</w:t>
      </w:r>
    </w:p>
    <w:p w14:paraId="2FA9D2B5">
      <w:pPr>
        <w:spacing w:line="560" w:lineRule="exact"/>
        <w:ind w:firstLine="645"/>
        <w:rPr>
          <w:rFonts w:hint="eastAsia" w:ascii="仿宋" w:hAnsi="仿宋" w:eastAsia="仿宋"/>
          <w:color w:val="000000"/>
          <w:sz w:val="32"/>
          <w:szCs w:val="32"/>
        </w:rPr>
      </w:pPr>
      <w:bookmarkStart w:id="47" w:name="_Toc15377215"/>
      <w:bookmarkStart w:id="48" w:name="_Toc15396609"/>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130.60</w:t>
      </w:r>
      <w:r>
        <w:rPr>
          <w:rFonts w:hint="eastAsia" w:ascii="仿宋" w:hAnsi="仿宋" w:eastAsia="仿宋"/>
          <w:color w:val="000000"/>
          <w:sz w:val="32"/>
          <w:szCs w:val="32"/>
        </w:rPr>
        <w:t>万元，主要包括：基本工资、津贴补贴、奖金、</w:t>
      </w:r>
      <w:r>
        <w:rPr>
          <w:rFonts w:hint="eastAsia" w:ascii="仿宋" w:hAnsi="仿宋" w:eastAsia="仿宋"/>
          <w:color w:val="000000"/>
          <w:sz w:val="32"/>
          <w:szCs w:val="32"/>
          <w:lang w:val="en-US" w:eastAsia="zh-CN"/>
        </w:rPr>
        <w:t>伙食补助费、绩效工资、</w:t>
      </w:r>
      <w:r>
        <w:rPr>
          <w:rFonts w:hint="eastAsia" w:ascii="仿宋" w:hAnsi="仿宋" w:eastAsia="仿宋"/>
          <w:color w:val="000000"/>
          <w:sz w:val="32"/>
          <w:szCs w:val="32"/>
        </w:rPr>
        <w:t>机关事业单位基本养老保险费、职业年金缴费、职工基本医疗保险缴费、公务员医疗补助缴费、其他社会保障缴费、住房公积金、</w:t>
      </w:r>
      <w:r>
        <w:rPr>
          <w:rFonts w:hint="eastAsia" w:ascii="仿宋" w:hAnsi="仿宋" w:eastAsia="仿宋"/>
          <w:color w:val="000000"/>
          <w:sz w:val="32"/>
          <w:szCs w:val="32"/>
          <w:lang w:val="en-US" w:eastAsia="zh-CN"/>
        </w:rPr>
        <w:t>医疗费、其他工资福利支出、对个人和家庭的补助、离休费、退休费、退职（役）费、抚恤金、</w:t>
      </w:r>
      <w:r>
        <w:rPr>
          <w:rFonts w:hint="eastAsia" w:ascii="仿宋" w:hAnsi="仿宋" w:eastAsia="仿宋"/>
          <w:color w:val="000000"/>
          <w:sz w:val="32"/>
          <w:szCs w:val="32"/>
        </w:rPr>
        <w:t>生活补助</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救济费、</w:t>
      </w:r>
      <w:r>
        <w:rPr>
          <w:rFonts w:hint="eastAsia" w:ascii="仿宋" w:hAnsi="仿宋" w:eastAsia="仿宋"/>
          <w:color w:val="000000"/>
          <w:sz w:val="32"/>
          <w:szCs w:val="32"/>
        </w:rPr>
        <w:t>。</w:t>
      </w:r>
    </w:p>
    <w:p w14:paraId="10F15E7A">
      <w:pPr>
        <w:spacing w:line="560" w:lineRule="exact"/>
        <w:ind w:firstLine="645"/>
        <w:rPr>
          <w:rFonts w:ascii="仿宋" w:hAnsi="仿宋" w:eastAsia="仿宋"/>
          <w:b/>
          <w:color w:val="FF0000"/>
          <w:sz w:val="32"/>
          <w:szCs w:val="32"/>
        </w:rPr>
      </w:pPr>
      <w:r>
        <w:rPr>
          <w:rFonts w:hint="eastAsia" w:ascii="仿宋" w:hAnsi="仿宋" w:eastAsia="仿宋"/>
          <w:color w:val="000000"/>
          <w:sz w:val="32"/>
          <w:szCs w:val="32"/>
        </w:rPr>
        <w:t>日常公用经费10.3</w:t>
      </w:r>
      <w:r>
        <w:rPr>
          <w:rFonts w:hint="eastAsia" w:ascii="仿宋" w:hAnsi="仿宋" w:eastAsia="仿宋"/>
          <w:color w:val="000000"/>
          <w:sz w:val="32"/>
          <w:szCs w:val="32"/>
          <w:lang w:val="en-US" w:eastAsia="zh-CN"/>
        </w:rPr>
        <w:t>9</w:t>
      </w:r>
      <w:r>
        <w:rPr>
          <w:rFonts w:hint="eastAsia" w:ascii="仿宋" w:hAnsi="仿宋" w:eastAsia="仿宋"/>
          <w:color w:val="000000"/>
          <w:sz w:val="32"/>
          <w:szCs w:val="32"/>
        </w:rPr>
        <w:t>万元，主要包括：办公费、电费、邮电费、差旅费、维修（护）费、公务用车运行维护费。</w:t>
      </w:r>
    </w:p>
    <w:p w14:paraId="571AFAD7">
      <w:pPr>
        <w:spacing w:line="600" w:lineRule="exact"/>
        <w:ind w:firstLine="640"/>
        <w:outlineLvl w:val="1"/>
        <w:rPr>
          <w:rStyle w:val="31"/>
          <w:rFonts w:hint="eastAsia" w:ascii="仿宋" w:hAnsi="仿宋" w:eastAsia="仿宋" w:cs="仿宋"/>
          <w:b w:val="0"/>
          <w:color w:val="auto"/>
          <w:highlight w:val="none"/>
        </w:rPr>
      </w:pPr>
      <w:r>
        <w:rPr>
          <w:rFonts w:hint="eastAsia" w:ascii="仿宋" w:hAnsi="仿宋" w:eastAsia="仿宋" w:cs="仿宋"/>
          <w:color w:val="auto"/>
          <w:sz w:val="32"/>
          <w:szCs w:val="32"/>
          <w:highlight w:val="none"/>
        </w:rPr>
        <w:t>七、</w:t>
      </w:r>
      <w:r>
        <w:rPr>
          <w:rStyle w:val="31"/>
          <w:rFonts w:hint="eastAsia" w:ascii="仿宋" w:hAnsi="仿宋" w:eastAsia="仿宋" w:cs="仿宋"/>
          <w:b w:val="0"/>
          <w:color w:val="auto"/>
          <w:highlight w:val="none"/>
        </w:rPr>
        <w:t>财政拨款</w:t>
      </w:r>
      <w:r>
        <w:rPr>
          <w:rStyle w:val="31"/>
          <w:rFonts w:hint="eastAsia" w:ascii="仿宋" w:hAnsi="仿宋" w:eastAsia="仿宋" w:cs="仿宋"/>
          <w:color w:val="auto"/>
          <w:highlight w:val="none"/>
        </w:rPr>
        <w:t>“</w:t>
      </w:r>
      <w:r>
        <w:rPr>
          <w:rStyle w:val="31"/>
          <w:rFonts w:hint="eastAsia" w:ascii="仿宋" w:hAnsi="仿宋" w:eastAsia="仿宋" w:cs="仿宋"/>
          <w:b w:val="0"/>
          <w:color w:val="auto"/>
          <w:highlight w:val="none"/>
        </w:rPr>
        <w:t>三公”经费支出决算情况说明</w:t>
      </w:r>
      <w:bookmarkEnd w:id="47"/>
      <w:bookmarkEnd w:id="48"/>
    </w:p>
    <w:p w14:paraId="09F345D3">
      <w:pPr>
        <w:spacing w:line="600" w:lineRule="exact"/>
        <w:ind w:firstLine="643" w:firstLineChars="200"/>
        <w:outlineLvl w:val="2"/>
        <w:rPr>
          <w:rFonts w:hint="eastAsia" w:ascii="仿宋" w:hAnsi="仿宋" w:eastAsia="仿宋" w:cs="仿宋"/>
          <w:b/>
          <w:color w:val="auto"/>
          <w:sz w:val="32"/>
          <w:szCs w:val="32"/>
          <w:highlight w:val="none"/>
        </w:rPr>
      </w:pPr>
      <w:bookmarkStart w:id="49" w:name="_Toc15377216"/>
      <w:r>
        <w:rPr>
          <w:rFonts w:hint="eastAsia" w:ascii="仿宋" w:hAnsi="仿宋" w:eastAsia="仿宋" w:cs="仿宋"/>
          <w:b/>
          <w:color w:val="auto"/>
          <w:sz w:val="32"/>
          <w:szCs w:val="32"/>
          <w:highlight w:val="none"/>
        </w:rPr>
        <w:t>（一）财政拨款“三公”经费支出决算总体情况说明</w:t>
      </w:r>
      <w:bookmarkEnd w:id="49"/>
    </w:p>
    <w:p w14:paraId="396FEF80">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2025年度财政拨款“三公”经费支出决算为3.9万元，完成预算100%，2024年度增加0.02万元，增长0.52%。主要原因是严格执行“三公”经费管理规定，按照年初预算控制公务用车运行维护支出。</w:t>
      </w:r>
    </w:p>
    <w:p w14:paraId="3CE75FA5">
      <w:pPr>
        <w:spacing w:line="600" w:lineRule="exact"/>
        <w:ind w:firstLine="643" w:firstLineChars="200"/>
        <w:outlineLvl w:val="2"/>
        <w:rPr>
          <w:rFonts w:hint="eastAsia" w:ascii="仿宋" w:hAnsi="仿宋" w:eastAsia="仿宋" w:cs="仿宋"/>
          <w:b/>
          <w:color w:val="auto"/>
          <w:sz w:val="32"/>
          <w:szCs w:val="32"/>
          <w:highlight w:val="none"/>
        </w:rPr>
      </w:pPr>
      <w:bookmarkStart w:id="50" w:name="_Toc15377217"/>
      <w:r>
        <w:rPr>
          <w:rFonts w:hint="eastAsia" w:ascii="仿宋" w:hAnsi="仿宋" w:eastAsia="仿宋" w:cs="仿宋"/>
          <w:b/>
          <w:color w:val="auto"/>
          <w:sz w:val="32"/>
          <w:szCs w:val="32"/>
          <w:highlight w:val="none"/>
        </w:rPr>
        <w:t>（二）财政拨款“三公”经费支出决算具体情况说明</w:t>
      </w:r>
      <w:bookmarkEnd w:id="50"/>
    </w:p>
    <w:p w14:paraId="3A27DF38">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2025年度财政拨款“三公”经费支出决算中，因公出国（境）费支出决算0万元，占0%；公务用车购置及运行维护费支出决算3.9万元，占100%；公务接待费支出决算0万元，占0%。具体情况如下：</w:t>
      </w:r>
    </w:p>
    <w:p w14:paraId="364CD060">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（图7：财政拨款“三公”经费支出结构）（饼状图）</w:t>
      </w:r>
    </w:p>
    <w:p w14:paraId="06E28D43">
      <w:pPr>
        <w:pStyle w:val="14"/>
        <w:rPr>
          <w:rFonts w:hint="eastAsia"/>
          <w:lang w:val="en-US" w:eastAsia="zh-CN"/>
        </w:rPr>
      </w:pPr>
      <w:r>
        <w:drawing>
          <wp:inline distT="0" distB="0" distL="114300" distR="114300">
            <wp:extent cx="5247005" cy="2381250"/>
            <wp:effectExtent l="4445" t="4445" r="6350" b="1460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D4AF8C">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1.因公出国（境）经费支出**万元，完成预算**%。</w:t>
      </w:r>
      <w:r>
        <w:rPr>
          <w:rFonts w:hint="eastAsia" w:ascii="仿宋" w:hAnsi="仿宋" w:eastAsia="仿宋" w:cs="仿宋"/>
          <w:color w:val="auto"/>
          <w:kern w:val="2"/>
          <w:sz w:val="32"/>
          <w:szCs w:val="32"/>
          <w:highlight w:val="none"/>
          <w:lang w:val="en-US" w:eastAsia="zh-CN" w:bidi="ar-SA"/>
        </w:rPr>
        <w:t>全年安排因公出国（境）团组0次，出国（境）0人。因公出国（境）支出决算比上年度增加/减少0万元，增长/下降0%。</w:t>
      </w:r>
    </w:p>
    <w:p w14:paraId="069D486B">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2.公务用车购置及运行维护费支出3.9万元，完成预算100%。</w:t>
      </w:r>
      <w:r>
        <w:rPr>
          <w:rFonts w:hint="eastAsia" w:ascii="仿宋" w:hAnsi="仿宋" w:eastAsia="仿宋" w:cs="仿宋"/>
          <w:color w:val="auto"/>
          <w:kern w:val="2"/>
          <w:sz w:val="32"/>
          <w:szCs w:val="32"/>
          <w:highlight w:val="none"/>
          <w:lang w:val="en-US" w:eastAsia="zh-CN" w:bidi="ar-SA"/>
        </w:rPr>
        <w:t>公务用车购置及运行维护费支出决算比上年度增加0.02万元，增长0.02万%。主要原因是燃油、保险价格小幅变动，公务出行保障支出略有增加。</w:t>
      </w:r>
    </w:p>
    <w:p w14:paraId="37FBF746">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14:paraId="3998D574">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公务用车运行维护费支出3.9万元。主要用于开展残疾人服务、下乡调研督导等工作所需残疾人服务、下乡调研督导等工作所需的公务用车燃料费、维修费、过路过桥费、保险费等支出。</w:t>
      </w:r>
    </w:p>
    <w:p w14:paraId="1A6DA486">
      <w:pPr>
        <w:numPr>
          <w:ilvl w:val="0"/>
          <w:numId w:val="1"/>
        </w:numPr>
        <w:spacing w:line="600" w:lineRule="exact"/>
        <w:ind w:left="0" w:leftChars="0" w:firstLine="640" w:firstLineChars="0"/>
        <w:outlineLvl w:val="1"/>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公务接待费支出0万元，完成预算0%。</w:t>
      </w:r>
      <w:r>
        <w:rPr>
          <w:rFonts w:hint="eastAsia" w:ascii="仿宋" w:hAnsi="仿宋" w:eastAsia="仿宋" w:cs="仿宋"/>
          <w:color w:val="auto"/>
          <w:kern w:val="2"/>
          <w:sz w:val="32"/>
          <w:szCs w:val="32"/>
          <w:highlight w:val="none"/>
          <w:lang w:val="en-US" w:eastAsia="zh-CN" w:bidi="ar-SA"/>
        </w:rPr>
        <w:t>公务接待费支出决算比上年度增加/减少0万元，增长/下降0%。</w:t>
      </w:r>
      <w:bookmarkStart w:id="51" w:name="_Toc15396610"/>
      <w:bookmarkStart w:id="52" w:name="_Toc15377218"/>
    </w:p>
    <w:p w14:paraId="15DF191C">
      <w:pPr>
        <w:numPr>
          <w:ilvl w:val="0"/>
          <w:numId w:val="0"/>
        </w:numPr>
        <w:spacing w:line="600" w:lineRule="exact"/>
        <w:ind w:left="640" w:leftChars="0"/>
        <w:outlineLvl w:val="1"/>
        <w:rPr>
          <w:rStyle w:val="31"/>
          <w:rFonts w:hint="eastAsia" w:ascii="仿宋" w:hAnsi="仿宋" w:eastAsia="仿宋" w:cs="仿宋"/>
          <w:b/>
          <w:bCs/>
          <w:color w:val="auto"/>
          <w:highlight w:val="none"/>
        </w:rPr>
      </w:pPr>
      <w:r>
        <w:rPr>
          <w:rFonts w:hint="eastAsia" w:ascii="仿宋" w:hAnsi="仿宋" w:eastAsia="仿宋" w:cs="仿宋"/>
          <w:b/>
          <w:bCs/>
          <w:color w:val="auto"/>
          <w:sz w:val="32"/>
          <w:szCs w:val="32"/>
          <w:highlight w:val="none"/>
        </w:rPr>
        <w:t>八、</w:t>
      </w:r>
      <w:r>
        <w:rPr>
          <w:rStyle w:val="31"/>
          <w:rFonts w:hint="eastAsia" w:ascii="仿宋" w:hAnsi="仿宋" w:eastAsia="仿宋" w:cs="仿宋"/>
          <w:b/>
          <w:bCs/>
          <w:color w:val="auto"/>
          <w:highlight w:val="none"/>
        </w:rPr>
        <w:t>政府性基金预算支出决算情况说明</w:t>
      </w:r>
      <w:bookmarkEnd w:id="51"/>
      <w:bookmarkEnd w:id="52"/>
    </w:p>
    <w:p w14:paraId="4A58A249">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政府性基金预算财政拨款支出12.04万元，占本年支出合计的3.87%。与2024年度相比，政府性基金预算财政拨款支出减少6.16万元，下降33.85%。主要变动原因是彩票公益金项目预算规模调整，本年度残疾人事业彩票公益金项目资金较上年减少。</w:t>
      </w:r>
    </w:p>
    <w:p w14:paraId="25B4BC4B">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政府性基金预算财政拨款支出全部为彩票公益金安排的支出12.04万元，其中：用于体育事业的彩票公益金支出1.01万元，用于残疾人事业的彩票公益金支出11.03万元，全部用于残疾人康复、就业扶持等相关公益项目实施。</w:t>
      </w:r>
    </w:p>
    <w:p w14:paraId="319E4FB4">
      <w:pPr>
        <w:numPr>
          <w:ilvl w:val="0"/>
          <w:numId w:val="0"/>
        </w:numPr>
        <w:spacing w:line="600" w:lineRule="exact"/>
        <w:ind w:left="630" w:leftChars="0"/>
        <w:outlineLvl w:val="1"/>
        <w:rPr>
          <w:rStyle w:val="31"/>
          <w:rFonts w:hint="eastAsia" w:ascii="仿宋" w:hAnsi="仿宋" w:eastAsia="仿宋" w:cs="仿宋"/>
          <w:b w:val="0"/>
          <w:color w:val="auto"/>
          <w:highlight w:val="none"/>
        </w:rPr>
      </w:pPr>
      <w:bookmarkStart w:id="53" w:name="_Toc15377219"/>
      <w:bookmarkStart w:id="54" w:name="_Toc15396611"/>
      <w:r>
        <w:rPr>
          <w:rStyle w:val="31"/>
          <w:rFonts w:hint="eastAsia" w:ascii="仿宋" w:hAnsi="仿宋" w:eastAsia="仿宋" w:cs="仿宋"/>
          <w:b w:val="0"/>
          <w:color w:val="auto"/>
          <w:highlight w:val="none"/>
          <w:lang w:eastAsia="zh-CN"/>
        </w:rPr>
        <w:t>九、</w:t>
      </w:r>
      <w:r>
        <w:rPr>
          <w:rStyle w:val="31"/>
          <w:rFonts w:hint="eastAsia" w:ascii="仿宋" w:hAnsi="仿宋" w:eastAsia="仿宋" w:cs="仿宋"/>
          <w:b w:val="0"/>
          <w:color w:val="auto"/>
          <w:highlight w:val="none"/>
        </w:rPr>
        <w:t>国有资本经营预算支出决算情况说明</w:t>
      </w:r>
      <w:bookmarkEnd w:id="53"/>
      <w:bookmarkEnd w:id="54"/>
    </w:p>
    <w:p w14:paraId="7EAA65EA">
      <w:pPr>
        <w:numPr>
          <w:ilvl w:val="0"/>
          <w:numId w:val="0"/>
        </w:numPr>
        <w:spacing w:line="600" w:lineRule="exact"/>
        <w:ind w:left="630" w:leftChars="0"/>
        <w:outlineLvl w:val="1"/>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2025年度国有资本经营预算财政拨款支出0万元，占本年支出合计的0%。与上年度相比，国有资本经营预算财政拨款支出增加/减少0万元，增长/下降0%。</w:t>
      </w:r>
      <w:bookmarkStart w:id="55" w:name="_Toc15396612"/>
      <w:bookmarkStart w:id="56" w:name="_Toc15377221"/>
    </w:p>
    <w:p w14:paraId="207CC8D5">
      <w:pPr>
        <w:numPr>
          <w:ilvl w:val="0"/>
          <w:numId w:val="0"/>
        </w:numPr>
        <w:spacing w:line="600" w:lineRule="exact"/>
        <w:ind w:left="630" w:leftChars="0"/>
        <w:outlineLvl w:val="1"/>
        <w:rPr>
          <w:rStyle w:val="31"/>
          <w:rFonts w:hint="eastAsia" w:ascii="仿宋" w:hAnsi="仿宋" w:eastAsia="仿宋" w:cs="仿宋"/>
          <w:b w:val="0"/>
          <w:color w:val="auto"/>
          <w:highlight w:val="none"/>
        </w:rPr>
      </w:pPr>
      <w:r>
        <w:rPr>
          <w:rStyle w:val="31"/>
          <w:rFonts w:hint="eastAsia" w:ascii="仿宋" w:hAnsi="仿宋" w:eastAsia="仿宋" w:cs="仿宋"/>
          <w:b w:val="0"/>
          <w:color w:val="auto"/>
          <w:highlight w:val="none"/>
          <w:lang w:eastAsia="zh-CN"/>
        </w:rPr>
        <w:t>十、</w:t>
      </w:r>
      <w:r>
        <w:rPr>
          <w:rStyle w:val="31"/>
          <w:rFonts w:hint="eastAsia" w:ascii="仿宋" w:hAnsi="仿宋" w:eastAsia="仿宋" w:cs="仿宋"/>
          <w:b w:val="0"/>
          <w:color w:val="auto"/>
          <w:highlight w:val="none"/>
        </w:rPr>
        <w:t>其他重要事项的情况说明</w:t>
      </w:r>
      <w:bookmarkEnd w:id="55"/>
      <w:bookmarkEnd w:id="56"/>
    </w:p>
    <w:p w14:paraId="35B4A603">
      <w:pPr>
        <w:spacing w:line="600" w:lineRule="exact"/>
        <w:ind w:firstLine="643" w:firstLineChars="200"/>
        <w:outlineLvl w:val="2"/>
        <w:rPr>
          <w:rFonts w:hint="eastAsia" w:ascii="仿宋" w:hAnsi="仿宋" w:eastAsia="仿宋" w:cs="仿宋"/>
          <w:b/>
          <w:color w:val="auto"/>
          <w:sz w:val="32"/>
          <w:szCs w:val="32"/>
          <w:highlight w:val="none"/>
        </w:rPr>
      </w:pPr>
      <w:bookmarkStart w:id="57" w:name="_Toc15377222"/>
      <w:r>
        <w:rPr>
          <w:rFonts w:hint="eastAsia" w:ascii="仿宋" w:hAnsi="仿宋" w:eastAsia="仿宋" w:cs="仿宋"/>
          <w:b/>
          <w:color w:val="auto"/>
          <w:sz w:val="32"/>
          <w:szCs w:val="32"/>
          <w:highlight w:val="none"/>
        </w:rPr>
        <w:t>（一）机关运行经费支出情况</w:t>
      </w:r>
      <w:bookmarkEnd w:id="57"/>
    </w:p>
    <w:p w14:paraId="27FE75AC">
      <w:pPr>
        <w:spacing w:line="600" w:lineRule="exact"/>
        <w:ind w:firstLine="640"/>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2025年度，壤塘县残疾人联合会本机机关运行经费支出10.39万元，比2024年度增加0.03万元，增长0.29%主要原因是单位开展残疾人服务、下乡走访调研业务略有增加，日常公用经费相应小幅增加</w:t>
      </w:r>
    </w:p>
    <w:p w14:paraId="18CAE412">
      <w:pPr>
        <w:spacing w:line="600" w:lineRule="exact"/>
        <w:ind w:firstLine="643" w:firstLineChars="200"/>
        <w:outlineLvl w:val="2"/>
        <w:rPr>
          <w:rFonts w:hint="eastAsia" w:ascii="仿宋" w:hAnsi="仿宋" w:eastAsia="仿宋" w:cs="仿宋"/>
          <w:b/>
          <w:color w:val="auto"/>
          <w:sz w:val="32"/>
          <w:szCs w:val="32"/>
          <w:highlight w:val="none"/>
        </w:rPr>
      </w:pPr>
      <w:bookmarkStart w:id="58" w:name="_Toc15377223"/>
      <w:r>
        <w:rPr>
          <w:rFonts w:hint="eastAsia" w:ascii="仿宋" w:hAnsi="仿宋" w:eastAsia="仿宋" w:cs="仿宋"/>
          <w:b/>
          <w:color w:val="auto"/>
          <w:sz w:val="32"/>
          <w:szCs w:val="32"/>
          <w:highlight w:val="none"/>
        </w:rPr>
        <w:t>（二）政府采购支出情况</w:t>
      </w:r>
      <w:bookmarkEnd w:id="58"/>
    </w:p>
    <w:p w14:paraId="4F60B12C">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壤塘县残疾人联合会政府采购支出总额0万元，其中：政府采购货物支出0万元、政府采购工程支出0万元、政府采购服务支出0万元。主要用于……（具体工作）。授予中小企业合同金额0万元，占政府采购支出总额的0%，其中：授予小微企业合同金额0万元，占政府采购支出总额的0%。</w:t>
      </w:r>
    </w:p>
    <w:p w14:paraId="3BBCCCD9">
      <w:pPr>
        <w:spacing w:line="600" w:lineRule="exact"/>
        <w:ind w:firstLine="643" w:firstLineChars="200"/>
        <w:outlineLvl w:val="2"/>
        <w:rPr>
          <w:rFonts w:hint="eastAsia" w:ascii="仿宋" w:hAnsi="仿宋" w:eastAsia="仿宋" w:cs="仿宋"/>
          <w:b/>
          <w:color w:val="auto"/>
          <w:sz w:val="32"/>
          <w:szCs w:val="32"/>
          <w:highlight w:val="none"/>
        </w:rPr>
      </w:pPr>
      <w:bookmarkStart w:id="59" w:name="_Toc15377224"/>
      <w:r>
        <w:rPr>
          <w:rFonts w:hint="eastAsia" w:ascii="仿宋" w:hAnsi="仿宋" w:eastAsia="仿宋" w:cs="仿宋"/>
          <w:b/>
          <w:color w:val="auto"/>
          <w:sz w:val="32"/>
          <w:szCs w:val="32"/>
          <w:highlight w:val="none"/>
        </w:rPr>
        <w:t>（三）国有资产占有使用情况</w:t>
      </w:r>
      <w:bookmarkEnd w:id="59"/>
    </w:p>
    <w:p w14:paraId="5A63EAA1">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2025年12月31日，壤塘县残疾人联合会本级共有车辆1辆，其中：其他用车1辆，单价50万元以上通用设备0台（套），单价100万元以上专用设备0台（套）。</w:t>
      </w:r>
    </w:p>
    <w:p w14:paraId="103E637A">
      <w:pPr>
        <w:spacing w:line="600" w:lineRule="exact"/>
        <w:ind w:firstLine="643" w:firstLineChars="200"/>
        <w:outlineLvl w:val="2"/>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（四）预算绩效管理情况</w:t>
      </w:r>
    </w:p>
    <w:p w14:paraId="6BB5ADD3">
      <w:pPr>
        <w:pStyle w:val="14"/>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根据预算绩效管理要求，壤塘县残疾人联合会在2025年度，组织对残疾人康复救助、残疾人补贴发放等2个项目，涉及金额12.04万元开展了事前置绩效评估，对2个项目编制了绩效目标，预算执行过程中，选取2个项目开展绩效监控。</w:t>
      </w:r>
    </w:p>
    <w:p w14:paraId="43D648BC">
      <w:pPr>
        <w:pStyle w:val="14"/>
        <w:rPr>
          <w:rFonts w:hint="eastAsia" w:ascii="仿宋" w:hAnsi="仿宋" w:eastAsia="仿宋" w:cs="仿宋"/>
          <w:color w:val="auto"/>
          <w:kern w:val="2"/>
          <w:sz w:val="32"/>
          <w:szCs w:val="32"/>
          <w:highlight w:val="none"/>
          <w:lang w:val="en-US" w:eastAsia="zh-CN" w:bidi="ar-SA"/>
        </w:rPr>
      </w:pPr>
    </w:p>
    <w:p w14:paraId="2C23E28F">
      <w:pPr>
        <w:pStyle w:val="14"/>
        <w:ind w:firstLine="640" w:firstLineChars="200"/>
        <w:rPr>
          <w:rFonts w:hint="eastAsia"/>
        </w:rPr>
      </w:pPr>
      <w:r>
        <w:rPr>
          <w:rFonts w:hint="eastAsia" w:ascii="仿宋" w:hAnsi="仿宋" w:eastAsia="仿宋" w:cs="仿宋"/>
          <w:color w:val="auto"/>
          <w:kern w:val="2"/>
          <w:sz w:val="32"/>
          <w:szCs w:val="32"/>
          <w:highlight w:val="none"/>
          <w:lang w:val="en-US" w:eastAsia="zh-CN" w:bidi="ar-SA"/>
        </w:rPr>
        <w:t>组织对2025年度一般公共预算、政府性基金预算、国有资本经营预算等全面开展绩效自评，形成专项预算项目绩效自评报告。其中专项预算项目绩效自评得分为98分。绩效自评报告详见附件。</w:t>
      </w:r>
    </w:p>
    <w:p w14:paraId="451046A9">
      <w:pPr>
        <w:numPr>
          <w:ilvl w:val="0"/>
          <w:numId w:val="0"/>
        </w:numPr>
        <w:spacing w:line="600" w:lineRule="exact"/>
        <w:jc w:val="center"/>
        <w:outlineLvl w:val="0"/>
        <w:rPr>
          <w:rFonts w:hint="eastAsia" w:ascii="仿宋" w:hAnsi="仿宋" w:eastAsia="仿宋" w:cs="仿宋"/>
          <w:color w:val="auto"/>
          <w:sz w:val="44"/>
          <w:szCs w:val="44"/>
          <w:highlight w:val="none"/>
        </w:rPr>
      </w:pPr>
      <w:bookmarkStart w:id="60" w:name="_Toc15396614"/>
      <w:bookmarkStart w:id="61" w:name="_Toc15377226"/>
      <w:r>
        <w:rPr>
          <w:rFonts w:hint="eastAsia" w:ascii="仿宋" w:hAnsi="仿宋" w:eastAsia="仿宋" w:cs="仿宋"/>
          <w:color w:val="auto"/>
          <w:sz w:val="44"/>
          <w:szCs w:val="44"/>
          <w:highlight w:val="none"/>
        </w:rPr>
        <w:t>第</w:t>
      </w:r>
      <w:r>
        <w:rPr>
          <w:rFonts w:hint="eastAsia" w:ascii="仿宋" w:hAnsi="仿宋" w:eastAsia="仿宋" w:cs="仿宋"/>
          <w:color w:val="auto"/>
          <w:sz w:val="44"/>
          <w:szCs w:val="44"/>
          <w:highlight w:val="none"/>
          <w:lang w:eastAsia="zh-CN"/>
        </w:rPr>
        <w:t>三</w:t>
      </w:r>
      <w:r>
        <w:rPr>
          <w:rFonts w:hint="eastAsia" w:ascii="仿宋" w:hAnsi="仿宋" w:eastAsia="仿宋" w:cs="仿宋"/>
          <w:color w:val="auto"/>
          <w:sz w:val="44"/>
          <w:szCs w:val="44"/>
          <w:highlight w:val="none"/>
        </w:rPr>
        <w:t>部分</w:t>
      </w:r>
      <w:r>
        <w:rPr>
          <w:rFonts w:hint="eastAsia" w:ascii="仿宋" w:hAnsi="仿宋" w:eastAsia="仿宋" w:cs="仿宋"/>
          <w:color w:val="auto"/>
          <w:sz w:val="44"/>
          <w:szCs w:val="44"/>
          <w:highlight w:val="none"/>
          <w:lang w:val="en-US" w:eastAsia="zh-CN"/>
        </w:rPr>
        <w:t xml:space="preserve">  </w:t>
      </w:r>
      <w:r>
        <w:rPr>
          <w:rFonts w:hint="eastAsia" w:ascii="仿宋" w:hAnsi="仿宋" w:eastAsia="仿宋" w:cs="仿宋"/>
          <w:color w:val="auto"/>
          <w:sz w:val="44"/>
          <w:szCs w:val="44"/>
          <w:highlight w:val="none"/>
        </w:rPr>
        <w:t>名词解释</w:t>
      </w:r>
    </w:p>
    <w:p w14:paraId="49118936">
      <w:pPr>
        <w:spacing w:line="600" w:lineRule="exact"/>
        <w:jc w:val="left"/>
        <w:rPr>
          <w:rFonts w:hint="eastAsia" w:ascii="仿宋" w:hAnsi="仿宋" w:eastAsia="仿宋" w:cs="仿宋"/>
          <w:b/>
          <w:color w:val="auto"/>
          <w:sz w:val="44"/>
          <w:szCs w:val="44"/>
          <w:highlight w:val="none"/>
        </w:rPr>
      </w:pPr>
    </w:p>
    <w:p w14:paraId="61ADB816">
      <w:pPr>
        <w:ind w:firstLine="640" w:firstLineChars="200"/>
        <w:rPr>
          <w:rFonts w:hint="eastAsia" w:ascii="仿宋" w:hAnsi="仿宋" w:eastAsia="仿宋" w:cs="仿宋"/>
          <w:color w:val="auto"/>
          <w:sz w:val="32"/>
          <w:szCs w:val="32"/>
        </w:rPr>
      </w:pPr>
      <w:bookmarkStart w:id="62" w:name="_Toc14439"/>
      <w:bookmarkStart w:id="63" w:name="_Toc16002"/>
      <w:r>
        <w:rPr>
          <w:rFonts w:hint="eastAsia" w:ascii="仿宋" w:hAnsi="仿宋" w:eastAsia="仿宋" w:cs="仿宋"/>
          <w:sz w:val="32"/>
          <w:szCs w:val="32"/>
          <w:lang w:val="en-US" w:eastAsia="zh-CN"/>
        </w:rPr>
        <w:t>1.财政拨款收入：指单位从同级财政部门取得的财政预算资金。</w:t>
      </w:r>
      <w:bookmarkEnd w:id="62"/>
      <w:bookmarkEnd w:id="63"/>
    </w:p>
    <w:p w14:paraId="4EE93A4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2.事业收入：指事业单位开展专业业务活动及辅助活动取得的收入。</w:t>
      </w:r>
    </w:p>
    <w:p w14:paraId="41B97F2B">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3.经营收入：指事业单位在专业业务活动及其辅助活动之外开展非独立核算经营活动取得的收入。</w:t>
      </w:r>
    </w:p>
    <w:p w14:paraId="2EA06DC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4.其他收入：指单位取得的除上述收入以外的各项收入。</w:t>
      </w:r>
    </w:p>
    <w:p w14:paraId="397992E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5.使用非财政拨款结余：指事业单位使用以前年度积累的非财政拨款结余弥补当年收支差额的金额。 </w:t>
      </w:r>
    </w:p>
    <w:p w14:paraId="7AF07A9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6.年初结转和结余：指以前年度尚未完成、结转到本年按有关规定继续使用的资金。 </w:t>
      </w:r>
    </w:p>
    <w:p w14:paraId="067A0C1D">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7.结余分配：指事业单位按照会计制度规定缴纳的所得税、提取的专用结余以及转入非财政拨款结余的金额等。</w:t>
      </w:r>
    </w:p>
    <w:p w14:paraId="7B1708B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8、年末结转和结余：指单位按有关规定结转到下年或以后年度继续使用的资金。</w:t>
      </w:r>
    </w:p>
    <w:p w14:paraId="103FCBC4">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9.社会保障和就业（类）社会保障和就业支出（款）机关事业单位基本养老保险缴费支出（项）：指基本养老保险单位部分支出。</w:t>
      </w:r>
    </w:p>
    <w:p w14:paraId="37C8B1E8">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10.医疗卫生与计划生育（类）卫生健康（款）行政事业单位基本医疗保险、公务员医疗、医疗补助（项）：指基本医疗保险与公务员医疗补助缴费支出。</w:t>
      </w:r>
    </w:p>
    <w:p w14:paraId="7C061A6A">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11.节能环保（类）节能环保（款）节能环保（项）：指开展节能环保各项工作的支出。</w:t>
      </w:r>
    </w:p>
    <w:p w14:paraId="69AC31F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12.住房保障（类）住房保障支出（款）住房改革支出（项）：住房公积金指单位为职工按比例缴纳的住房公积金支出。</w:t>
      </w:r>
    </w:p>
    <w:p w14:paraId="1D4AEF06">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13.基本支出：指为保障机构正常运转、完成日常工作任务而发生的人员支出和公用支出。</w:t>
      </w:r>
    </w:p>
    <w:p w14:paraId="3750E17C">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14.项目支出：指在基本支出之外为完成特定行政任务和事业发展目标所发生的支出。 </w:t>
      </w:r>
    </w:p>
    <w:p w14:paraId="7B71FF0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15.经营支出：指事业单位在专业业务活动及其辅助活动之外开展非独立核算经营活动发生的支出。</w:t>
      </w:r>
    </w:p>
    <w:p w14:paraId="0600984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032148E">
      <w:pPr>
        <w:ind w:firstLine="640" w:firstLineChars="200"/>
        <w:rPr>
          <w:rFonts w:hint="eastAsia" w:ascii="仿宋" w:hAnsi="仿宋" w:eastAsia="仿宋" w:cs="仿宋"/>
          <w:color w:val="auto"/>
          <w:sz w:val="32"/>
          <w:szCs w:val="32"/>
        </w:rPr>
      </w:pPr>
      <w:r>
        <w:rPr>
          <w:rFonts w:hint="eastAsia" w:ascii="仿宋" w:hAnsi="仿宋" w:eastAsia="仿宋" w:cs="仿宋"/>
          <w:sz w:val="32"/>
          <w:szCs w:val="32"/>
          <w:lang w:val="en-US" w:eastAsia="zh-CN"/>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color w:val="auto"/>
          <w:sz w:val="32"/>
          <w:szCs w:val="32"/>
        </w:rPr>
        <w:t>。</w:t>
      </w:r>
    </w:p>
    <w:p w14:paraId="7479DB67">
      <w:pPr>
        <w:spacing w:line="600" w:lineRule="exact"/>
        <w:jc w:val="both"/>
        <w:rPr>
          <w:rStyle w:val="30"/>
          <w:rFonts w:hint="eastAsia" w:ascii="仿宋" w:hAnsi="仿宋" w:eastAsia="仿宋" w:cs="仿宋"/>
          <w:b w:val="0"/>
          <w:color w:val="auto"/>
          <w:highlight w:val="none"/>
          <w:lang w:eastAsia="zh-CN"/>
        </w:rPr>
      </w:pPr>
      <w:r>
        <w:rPr>
          <w:rFonts w:hint="eastAsia" w:ascii="仿宋" w:hAnsi="仿宋" w:eastAsia="仿宋" w:cs="仿宋"/>
          <w:b/>
          <w:sz w:val="32"/>
          <w:szCs w:val="32"/>
        </w:rPr>
        <w:br w:type="page"/>
      </w:r>
      <w:r>
        <w:rPr>
          <w:rFonts w:hint="eastAsia" w:ascii="仿宋" w:hAnsi="仿宋" w:eastAsia="仿宋" w:cs="仿宋"/>
          <w:b/>
          <w:sz w:val="32"/>
          <w:szCs w:val="32"/>
          <w:lang w:val="en-US" w:eastAsia="zh-CN"/>
        </w:rPr>
        <w:t xml:space="preserve">                 </w:t>
      </w:r>
      <w:r>
        <w:rPr>
          <w:rFonts w:hint="eastAsia" w:ascii="仿宋" w:hAnsi="仿宋" w:eastAsia="仿宋" w:cs="仿宋"/>
          <w:color w:val="auto"/>
          <w:sz w:val="44"/>
          <w:szCs w:val="44"/>
          <w:highlight w:val="none"/>
        </w:rPr>
        <w:t>第四部分</w:t>
      </w:r>
      <w:r>
        <w:rPr>
          <w:rFonts w:hint="eastAsia" w:ascii="仿宋" w:hAnsi="仿宋" w:eastAsia="仿宋" w:cs="仿宋"/>
          <w:color w:val="auto"/>
          <w:sz w:val="44"/>
          <w:szCs w:val="44"/>
          <w:highlight w:val="none"/>
          <w:lang w:val="en-US" w:eastAsia="zh-CN"/>
        </w:rPr>
        <w:t xml:space="preserve"> </w:t>
      </w:r>
      <w:r>
        <w:rPr>
          <w:rFonts w:hint="eastAsia" w:ascii="仿宋" w:hAnsi="仿宋" w:eastAsia="仿宋" w:cs="仿宋"/>
          <w:color w:val="auto"/>
          <w:sz w:val="44"/>
          <w:szCs w:val="44"/>
          <w:highlight w:val="none"/>
        </w:rPr>
        <w:t xml:space="preserve"> 附件</w:t>
      </w:r>
      <w:bookmarkEnd w:id="60"/>
    </w:p>
    <w:p w14:paraId="7AA2DF1C">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FF0000"/>
          <w:sz w:val="32"/>
          <w:szCs w:val="32"/>
          <w:highlight w:val="none"/>
        </w:rPr>
      </w:pPr>
    </w:p>
    <w:p w14:paraId="267FE60C">
      <w:pPr>
        <w:keepNext w:val="0"/>
        <w:keepLines w:val="0"/>
        <w:pageBreakBefore w:val="0"/>
        <w:kinsoku/>
        <w:wordWrap/>
        <w:overflowPunct/>
        <w:topLinePunct w:val="0"/>
        <w:autoSpaceDE/>
        <w:autoSpaceDN/>
        <w:bidi w:val="0"/>
        <w:spacing w:line="572" w:lineRule="exact"/>
        <w:jc w:val="left"/>
        <w:textAlignment w:val="auto"/>
        <w:outlineLvl w:val="0"/>
        <w:rPr>
          <w:rFonts w:hint="eastAsia" w:ascii="仿宋" w:hAnsi="仿宋" w:eastAsia="仿宋" w:cs="仿宋"/>
          <w:color w:val="auto"/>
          <w:sz w:val="44"/>
          <w:szCs w:val="44"/>
          <w:highlight w:val="none"/>
          <w:lang w:val="en-US" w:eastAsia="zh-CN"/>
        </w:rPr>
      </w:pPr>
      <w:r>
        <w:rPr>
          <w:rFonts w:hint="eastAsia" w:ascii="仿宋" w:hAnsi="仿宋" w:eastAsia="仿宋" w:cs="仿宋"/>
          <w:color w:val="auto"/>
          <w:sz w:val="32"/>
          <w:szCs w:val="32"/>
          <w:highlight w:val="none"/>
        </w:rPr>
        <w:t>附件</w:t>
      </w:r>
      <w:r>
        <w:rPr>
          <w:rFonts w:hint="eastAsia" w:ascii="仿宋" w:hAnsi="仿宋" w:eastAsia="仿宋" w:cs="仿宋"/>
          <w:color w:val="auto"/>
          <w:sz w:val="32"/>
          <w:szCs w:val="32"/>
          <w:highlight w:val="none"/>
          <w:lang w:val="en-US" w:eastAsia="zh-CN"/>
        </w:rPr>
        <w:t>1</w:t>
      </w:r>
    </w:p>
    <w:p w14:paraId="5247BF5D">
      <w:pPr>
        <w:spacing w:line="360" w:lineRule="auto"/>
        <w:ind w:firstLine="2650" w:firstLineChars="600"/>
        <w:jc w:val="both"/>
        <w:rPr>
          <w:rFonts w:hint="eastAsia" w:ascii="宋体" w:hAnsi="宋体" w:cs="宋体"/>
          <w:b/>
          <w:bCs/>
          <w:kern w:val="0"/>
          <w:sz w:val="44"/>
          <w:szCs w:val="44"/>
          <w:lang w:val="en-US" w:eastAsia="zh-CN"/>
        </w:rPr>
      </w:pPr>
      <w:r>
        <w:rPr>
          <w:rFonts w:hint="eastAsia" w:ascii="宋体" w:hAnsi="宋体" w:cs="宋体"/>
          <w:b/>
          <w:bCs/>
          <w:kern w:val="0"/>
          <w:sz w:val="44"/>
          <w:szCs w:val="44"/>
          <w:lang w:val="en-US" w:eastAsia="zh-CN"/>
        </w:rPr>
        <w:t>壤塘县残疾人联合会</w:t>
      </w:r>
    </w:p>
    <w:p w14:paraId="7F918A29">
      <w:pPr>
        <w:spacing w:line="360" w:lineRule="auto"/>
        <w:jc w:val="center"/>
        <w:rPr>
          <w:rFonts w:eastAsia="黑体"/>
          <w:color w:val="000000"/>
          <w:kern w:val="0"/>
          <w:sz w:val="24"/>
          <w:szCs w:val="32"/>
          <w:shd w:val="clear" w:color="auto" w:fill="FFFFFF"/>
        </w:rPr>
      </w:pPr>
      <w:r>
        <w:rPr>
          <w:rFonts w:hint="eastAsia" w:ascii="宋体" w:hAnsi="宋体" w:cs="宋体"/>
          <w:b/>
          <w:bCs/>
          <w:kern w:val="0"/>
          <w:sz w:val="44"/>
          <w:szCs w:val="44"/>
          <w:lang w:val="en-US" w:eastAsia="zh-CN"/>
        </w:rPr>
        <w:t>2025年</w:t>
      </w:r>
      <w:r>
        <w:rPr>
          <w:rFonts w:hint="eastAsia" w:ascii="宋体" w:hAnsi="宋体" w:cs="宋体"/>
          <w:b/>
          <w:bCs/>
          <w:kern w:val="0"/>
          <w:sz w:val="44"/>
          <w:szCs w:val="44"/>
        </w:rPr>
        <w:t>度部门整体支出绩效评价自评报告</w:t>
      </w:r>
    </w:p>
    <w:p w14:paraId="107E71C9">
      <w:pPr>
        <w:widowControl/>
        <w:numPr>
          <w:ilvl w:val="0"/>
          <w:numId w:val="0"/>
        </w:numPr>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en-US" w:eastAsia="zh-CN"/>
        </w:rPr>
        <w:t>一、</w:t>
      </w:r>
      <w:r>
        <w:rPr>
          <w:rFonts w:eastAsia="黑体"/>
          <w:color w:val="000000"/>
          <w:kern w:val="0"/>
          <w:sz w:val="32"/>
          <w:szCs w:val="32"/>
          <w:shd w:val="clear" w:color="auto" w:fill="FFFFFF"/>
          <w:lang w:val="zh-CN"/>
        </w:rPr>
        <w:t>部门（单位）基本情况</w:t>
      </w:r>
    </w:p>
    <w:p w14:paraId="5992EF98">
      <w:pPr>
        <w:rPr>
          <w:rFonts w:hint="eastAsia" w:ascii="Times New Roman" w:eastAsia="黑体"/>
          <w:szCs w:val="24"/>
        </w:rPr>
      </w:pPr>
    </w:p>
    <w:p w14:paraId="45E3FB01">
      <w:pPr>
        <w:spacing w:line="360" w:lineRule="auto"/>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壤塘县残疾人联合会</w:t>
      </w:r>
      <w:r>
        <w:rPr>
          <w:rFonts w:hint="eastAsia" w:ascii="仿宋" w:hAnsi="仿宋" w:eastAsia="仿宋" w:cs="仿宋"/>
          <w:sz w:val="32"/>
          <w:szCs w:val="32"/>
        </w:rPr>
        <w:t>机构性质：机关，机构地址：</w:t>
      </w:r>
      <w:r>
        <w:rPr>
          <w:rFonts w:hint="eastAsia" w:ascii="仿宋" w:hAnsi="仿宋" w:eastAsia="仿宋" w:cs="仿宋"/>
          <w:sz w:val="32"/>
          <w:szCs w:val="32"/>
          <w:lang w:eastAsia="zh-CN"/>
        </w:rPr>
        <w:t>四川省</w:t>
      </w:r>
      <w:r>
        <w:rPr>
          <w:rFonts w:hint="eastAsia" w:ascii="仿宋" w:hAnsi="仿宋" w:eastAsia="仿宋" w:cs="仿宋"/>
          <w:sz w:val="32"/>
          <w:szCs w:val="32"/>
          <w:lang w:val="en-US" w:eastAsia="zh-CN"/>
        </w:rPr>
        <w:t>阿坝州</w:t>
      </w:r>
      <w:r>
        <w:rPr>
          <w:rFonts w:hint="eastAsia" w:ascii="仿宋" w:hAnsi="仿宋" w:eastAsia="仿宋" w:cs="仿宋"/>
          <w:sz w:val="32"/>
          <w:szCs w:val="32"/>
          <w:lang w:eastAsia="zh-CN"/>
        </w:rPr>
        <w:t>壤塘县</w:t>
      </w:r>
      <w:r>
        <w:rPr>
          <w:rFonts w:hint="eastAsia" w:ascii="仿宋" w:hAnsi="仿宋" w:eastAsia="仿宋" w:cs="仿宋"/>
          <w:sz w:val="32"/>
          <w:szCs w:val="32"/>
          <w:lang w:val="en-US" w:eastAsia="zh-CN"/>
        </w:rPr>
        <w:t>华龙社区后街45号</w:t>
      </w:r>
      <w:r>
        <w:rPr>
          <w:rFonts w:hint="eastAsia" w:ascii="仿宋" w:hAnsi="仿宋" w:eastAsia="仿宋" w:cs="仿宋"/>
          <w:sz w:val="32"/>
          <w:szCs w:val="32"/>
          <w:lang w:eastAsia="zh-CN"/>
        </w:rPr>
        <w:t>，单位</w:t>
      </w:r>
      <w:r>
        <w:rPr>
          <w:rFonts w:hint="eastAsia" w:ascii="仿宋" w:hAnsi="仿宋" w:eastAsia="仿宋" w:cs="仿宋"/>
          <w:sz w:val="32"/>
          <w:szCs w:val="32"/>
        </w:rPr>
        <w:t>负责人：</w:t>
      </w:r>
      <w:r>
        <w:rPr>
          <w:rFonts w:hint="eastAsia" w:ascii="仿宋" w:hAnsi="仿宋" w:eastAsia="仿宋" w:cs="仿宋"/>
          <w:color w:val="auto"/>
          <w:sz w:val="32"/>
          <w:szCs w:val="32"/>
          <w:lang w:val="en-US" w:eastAsia="zh-CN"/>
        </w:rPr>
        <w:t>何晓辉</w:t>
      </w:r>
      <w:r>
        <w:rPr>
          <w:rFonts w:hint="eastAsia" w:ascii="仿宋" w:hAnsi="仿宋" w:eastAsia="仿宋" w:cs="仿宋"/>
          <w:sz w:val="32"/>
          <w:szCs w:val="32"/>
          <w:lang w:eastAsia="zh-CN"/>
        </w:rPr>
        <w:t>。</w:t>
      </w:r>
    </w:p>
    <w:p w14:paraId="6A62207E">
      <w:pPr>
        <w:ind w:firstLine="640" w:firstLineChars="200"/>
        <w:rPr>
          <w:rFonts w:hint="eastAsia" w:ascii="仿宋" w:hAnsi="仿宋" w:eastAsia="仿宋" w:cs="仿宋"/>
          <w:b/>
          <w:bCs/>
          <w:sz w:val="32"/>
          <w:szCs w:val="32"/>
        </w:rPr>
      </w:pPr>
      <w:r>
        <w:rPr>
          <w:rFonts w:hint="eastAsia" w:ascii="仿宋" w:hAnsi="仿宋" w:eastAsia="仿宋" w:cs="仿宋"/>
          <w:sz w:val="32"/>
          <w:szCs w:val="32"/>
        </w:rPr>
        <w:t>（</w:t>
      </w:r>
      <w:r>
        <w:rPr>
          <w:rFonts w:hint="eastAsia" w:ascii="仿宋" w:hAnsi="仿宋" w:eastAsia="仿宋" w:cs="仿宋"/>
          <w:b/>
          <w:bCs/>
          <w:sz w:val="32"/>
          <w:szCs w:val="32"/>
        </w:rPr>
        <w:t>一）机构组成</w:t>
      </w:r>
    </w:p>
    <w:p w14:paraId="6D097844">
      <w:pPr>
        <w:rPr>
          <w:rFonts w:hint="eastAsia" w:ascii="仿宋" w:hAnsi="仿宋" w:eastAsia="仿宋" w:cs="仿宋"/>
          <w:sz w:val="32"/>
          <w:szCs w:val="32"/>
        </w:rPr>
      </w:pPr>
      <w:r>
        <w:rPr>
          <w:rFonts w:hint="eastAsia" w:ascii="仿宋" w:hAnsi="仿宋" w:eastAsia="仿宋" w:cs="仿宋"/>
          <w:sz w:val="32"/>
          <w:szCs w:val="32"/>
        </w:rPr>
        <w:t>壤塘县残疾人联合会内设办公室、教就股、康复中心。</w:t>
      </w:r>
    </w:p>
    <w:p w14:paraId="787A450D">
      <w:pPr>
        <w:ind w:firstLine="640" w:firstLineChars="200"/>
        <w:rPr>
          <w:rFonts w:hint="eastAsia" w:ascii="仿宋" w:hAnsi="仿宋" w:eastAsia="仿宋" w:cs="仿宋"/>
          <w:b/>
          <w:bCs/>
          <w:sz w:val="32"/>
          <w:szCs w:val="32"/>
        </w:rPr>
      </w:pPr>
      <w:r>
        <w:rPr>
          <w:rFonts w:hint="eastAsia" w:ascii="仿宋" w:hAnsi="仿宋" w:eastAsia="仿宋" w:cs="仿宋"/>
          <w:sz w:val="32"/>
          <w:szCs w:val="32"/>
        </w:rPr>
        <w:t>（</w:t>
      </w:r>
      <w:r>
        <w:rPr>
          <w:rFonts w:hint="eastAsia" w:ascii="仿宋" w:hAnsi="仿宋" w:eastAsia="仿宋" w:cs="仿宋"/>
          <w:b/>
          <w:bCs/>
          <w:sz w:val="32"/>
          <w:szCs w:val="32"/>
        </w:rPr>
        <w:t>二）机构职能</w:t>
      </w:r>
    </w:p>
    <w:p w14:paraId="5A98251D">
      <w:pPr>
        <w:ind w:firstLine="640" w:firstLineChars="200"/>
        <w:rPr>
          <w:rFonts w:hint="eastAsia" w:ascii="仿宋" w:hAnsi="仿宋" w:eastAsia="仿宋" w:cs="仿宋"/>
          <w:sz w:val="32"/>
          <w:szCs w:val="32"/>
        </w:rPr>
      </w:pPr>
      <w:r>
        <w:rPr>
          <w:rFonts w:hint="eastAsia" w:ascii="仿宋" w:hAnsi="仿宋" w:eastAsia="仿宋" w:cs="仿宋"/>
          <w:sz w:val="32"/>
          <w:szCs w:val="32"/>
        </w:rPr>
        <w:t>根据壤委办发〔2001〕53号《壤塘县残疾人联合会职能配置、内设机构和人员编制方案》文件规定，主要职责：</w:t>
      </w:r>
    </w:p>
    <w:p w14:paraId="2B024003">
      <w:pPr>
        <w:ind w:firstLine="640" w:firstLineChars="200"/>
        <w:rPr>
          <w:rFonts w:hint="eastAsia" w:ascii="仿宋" w:hAnsi="仿宋" w:eastAsia="仿宋" w:cs="仿宋"/>
          <w:sz w:val="32"/>
          <w:szCs w:val="32"/>
        </w:rPr>
      </w:pPr>
      <w:r>
        <w:rPr>
          <w:rFonts w:hint="eastAsia" w:ascii="仿宋" w:hAnsi="仿宋" w:eastAsia="仿宋" w:cs="仿宋"/>
          <w:sz w:val="32"/>
          <w:szCs w:val="32"/>
        </w:rPr>
        <w:t>1.听取残疾人意见，反映残疾人需求，代表残疾人共同利益，维护残疾人权益，为残疾人服务。</w:t>
      </w:r>
    </w:p>
    <w:p w14:paraId="248E8B8E">
      <w:pPr>
        <w:ind w:firstLine="640" w:firstLineChars="200"/>
        <w:rPr>
          <w:rFonts w:hint="eastAsia" w:ascii="仿宋" w:hAnsi="仿宋" w:eastAsia="仿宋" w:cs="仿宋"/>
          <w:sz w:val="32"/>
          <w:szCs w:val="32"/>
        </w:rPr>
      </w:pPr>
      <w:r>
        <w:rPr>
          <w:rFonts w:hint="eastAsia" w:ascii="仿宋" w:hAnsi="仿宋" w:eastAsia="仿宋" w:cs="仿宋"/>
          <w:sz w:val="32"/>
          <w:szCs w:val="32"/>
        </w:rPr>
        <w:t>2.团结、教育残疾人遵纪守法，履行应尽义务，发扬自尊、自信、自强、自立精神，为经济社会建设贡献力量。</w:t>
      </w:r>
    </w:p>
    <w:p w14:paraId="421A4189">
      <w:pPr>
        <w:ind w:firstLine="640" w:firstLineChars="200"/>
        <w:rPr>
          <w:rFonts w:hint="eastAsia" w:ascii="仿宋" w:hAnsi="仿宋" w:eastAsia="仿宋" w:cs="仿宋"/>
          <w:sz w:val="32"/>
          <w:szCs w:val="32"/>
        </w:rPr>
      </w:pPr>
      <w:r>
        <w:rPr>
          <w:rFonts w:hint="eastAsia" w:ascii="仿宋" w:hAnsi="仿宋" w:eastAsia="仿宋" w:cs="仿宋"/>
          <w:sz w:val="32"/>
          <w:szCs w:val="32"/>
        </w:rPr>
        <w:t>3.弘扬人道主义，宣传残疾人事业，沟通政府、社会与残疾人之间的联系，动员全社会理解、尊重、关心、帮助残疾人。</w:t>
      </w:r>
    </w:p>
    <w:p w14:paraId="6107AD3A">
      <w:pPr>
        <w:ind w:firstLine="640" w:firstLineChars="200"/>
        <w:rPr>
          <w:rFonts w:hint="eastAsia" w:ascii="仿宋" w:hAnsi="仿宋" w:eastAsia="仿宋" w:cs="仿宋"/>
          <w:sz w:val="32"/>
          <w:szCs w:val="32"/>
        </w:rPr>
      </w:pPr>
      <w:r>
        <w:rPr>
          <w:rFonts w:hint="eastAsia" w:ascii="仿宋" w:hAnsi="仿宋" w:eastAsia="仿宋" w:cs="仿宋"/>
          <w:sz w:val="32"/>
          <w:szCs w:val="32"/>
        </w:rPr>
        <w:t>4.开展残疾人康复、教育、就业、职业培训、扶贫、文化、体育、科研、用品供应、福利、社会服务、无障碍设施、残疾预防等工作，创造条件扶助残疾人平等参与社会生活。</w:t>
      </w:r>
    </w:p>
    <w:p w14:paraId="58655567">
      <w:pPr>
        <w:ind w:firstLine="640" w:firstLineChars="200"/>
        <w:rPr>
          <w:rFonts w:hint="eastAsia" w:ascii="仿宋" w:hAnsi="仿宋" w:eastAsia="仿宋" w:cs="仿宋"/>
          <w:sz w:val="32"/>
          <w:szCs w:val="32"/>
        </w:rPr>
      </w:pPr>
      <w:r>
        <w:rPr>
          <w:rFonts w:hint="eastAsia" w:ascii="仿宋" w:hAnsi="仿宋" w:eastAsia="仿宋" w:cs="仿宋"/>
          <w:sz w:val="32"/>
          <w:szCs w:val="32"/>
        </w:rPr>
        <w:t>5.协助政府研究制定、组织实施残疾人事业相关政策法规，管理残联系统残疾人福利企业，会同相关部门落实残疾人福利生产扶持政策。</w:t>
      </w:r>
    </w:p>
    <w:p w14:paraId="093660A9">
      <w:pPr>
        <w:ind w:firstLine="640" w:firstLineChars="200"/>
        <w:rPr>
          <w:rFonts w:hint="eastAsia" w:ascii="仿宋" w:hAnsi="仿宋" w:eastAsia="仿宋" w:cs="仿宋"/>
          <w:sz w:val="32"/>
          <w:szCs w:val="32"/>
        </w:rPr>
      </w:pPr>
      <w:r>
        <w:rPr>
          <w:rFonts w:hint="eastAsia" w:ascii="仿宋" w:hAnsi="仿宋" w:eastAsia="仿宋" w:cs="仿宋"/>
          <w:sz w:val="32"/>
          <w:szCs w:val="32"/>
        </w:rPr>
        <w:t>6.监督管理各类残疾人社会团体、经济组织。</w:t>
      </w:r>
    </w:p>
    <w:p w14:paraId="69ECFC4A">
      <w:pPr>
        <w:ind w:firstLine="640" w:firstLineChars="200"/>
        <w:rPr>
          <w:rFonts w:hint="eastAsia" w:ascii="仿宋" w:hAnsi="仿宋" w:eastAsia="仿宋" w:cs="仿宋"/>
          <w:sz w:val="32"/>
          <w:szCs w:val="32"/>
        </w:rPr>
      </w:pPr>
      <w:r>
        <w:rPr>
          <w:rFonts w:hint="eastAsia" w:ascii="仿宋" w:hAnsi="仿宋" w:eastAsia="仿宋" w:cs="仿宋"/>
          <w:sz w:val="32"/>
          <w:szCs w:val="32"/>
        </w:rPr>
        <w:t>7.统筹开展残疾人事业募捐活动。</w:t>
      </w:r>
    </w:p>
    <w:p w14:paraId="52379DB3">
      <w:pPr>
        <w:ind w:firstLine="640" w:firstLineChars="200"/>
        <w:rPr>
          <w:rFonts w:hint="eastAsia" w:ascii="仿宋" w:hAnsi="仿宋" w:eastAsia="仿宋" w:cs="仿宋"/>
          <w:sz w:val="32"/>
          <w:szCs w:val="32"/>
        </w:rPr>
      </w:pPr>
      <w:r>
        <w:rPr>
          <w:rFonts w:hint="eastAsia" w:ascii="仿宋" w:hAnsi="仿宋" w:eastAsia="仿宋" w:cs="仿宋"/>
          <w:sz w:val="32"/>
          <w:szCs w:val="32"/>
        </w:rPr>
        <w:t>8.开展残疾人事业对外交流合作。</w:t>
      </w:r>
    </w:p>
    <w:p w14:paraId="4569C3ED">
      <w:pPr>
        <w:ind w:firstLine="640" w:firstLineChars="200"/>
        <w:jc w:val="left"/>
        <w:rPr>
          <w:rFonts w:hint="eastAsia" w:ascii="仿宋" w:hAnsi="仿宋" w:eastAsia="仿宋" w:cs="仿宋"/>
          <w:b/>
          <w:bCs/>
          <w:sz w:val="32"/>
          <w:szCs w:val="32"/>
        </w:rPr>
      </w:pPr>
      <w:r>
        <w:rPr>
          <w:rFonts w:hint="eastAsia" w:ascii="仿宋" w:hAnsi="仿宋" w:eastAsia="仿宋" w:cs="仿宋"/>
          <w:sz w:val="32"/>
          <w:szCs w:val="32"/>
        </w:rPr>
        <w:t>（</w:t>
      </w:r>
      <w:r>
        <w:rPr>
          <w:rFonts w:hint="eastAsia" w:ascii="仿宋" w:hAnsi="仿宋" w:eastAsia="仿宋" w:cs="仿宋"/>
          <w:b/>
          <w:bCs/>
          <w:sz w:val="32"/>
          <w:szCs w:val="32"/>
        </w:rPr>
        <w:t>三）人员概况</w:t>
      </w:r>
    </w:p>
    <w:p w14:paraId="2130D167">
      <w:pPr>
        <w:ind w:firstLine="640" w:firstLineChars="200"/>
        <w:rPr>
          <w:rFonts w:hint="eastAsia" w:ascii="仿宋" w:hAnsi="仿宋" w:eastAsia="仿宋" w:cs="仿宋"/>
          <w:sz w:val="32"/>
          <w:szCs w:val="32"/>
        </w:rPr>
      </w:pPr>
      <w:r>
        <w:rPr>
          <w:rFonts w:hint="eastAsia" w:ascii="仿宋" w:hAnsi="仿宋" w:eastAsia="仿宋" w:cs="仿宋"/>
          <w:sz w:val="32"/>
          <w:szCs w:val="32"/>
        </w:rPr>
        <w:t>截至2025年末，单位总人数6人，其中行政人员3人、事业人员3人。</w:t>
      </w:r>
    </w:p>
    <w:p w14:paraId="2BE70587">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二、部门资金收支情况</w:t>
      </w:r>
    </w:p>
    <w:p w14:paraId="7E92408B">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（一）收入情况</w:t>
      </w:r>
    </w:p>
    <w:p w14:paraId="7C0FB57F">
      <w:pPr>
        <w:pStyle w:val="38"/>
        <w:spacing w:line="360" w:lineRule="auto"/>
        <w:rPr>
          <w:rFonts w:hint="eastAsia" w:ascii="仿宋" w:hAnsi="仿宋" w:eastAsia="仿宋" w:cs="仿宋"/>
          <w:sz w:val="32"/>
          <w:szCs w:val="32"/>
        </w:rPr>
      </w:pPr>
      <w:r>
        <w:rPr>
          <w:rFonts w:hint="eastAsia" w:ascii="仿宋_GB2312" w:hAnsi="仿宋_GB2312" w:eastAsia="仿宋_GB2312" w:cs="仿宋_GB2312"/>
          <w:sz w:val="32"/>
          <w:szCs w:val="32"/>
        </w:rPr>
        <w:t xml:space="preserve"> </w:t>
      </w:r>
      <w:r>
        <w:rPr>
          <w:rFonts w:hint="eastAsia" w:ascii="仿宋" w:hAnsi="仿宋" w:eastAsia="仿宋" w:cs="仿宋"/>
          <w:sz w:val="32"/>
          <w:szCs w:val="32"/>
        </w:rPr>
        <w:t>2025年年初预算收入合计202.93万元，较2024年</w:t>
      </w:r>
      <w:r>
        <w:rPr>
          <w:rFonts w:hint="eastAsia" w:ascii="仿宋" w:hAnsi="仿宋" w:eastAsia="仿宋" w:cs="仿宋"/>
          <w:sz w:val="32"/>
          <w:szCs w:val="32"/>
          <w:lang w:val="en-US" w:eastAsia="zh-CN"/>
        </w:rPr>
        <w:t>年</w:t>
      </w:r>
      <w:r>
        <w:rPr>
          <w:rFonts w:hint="eastAsia" w:ascii="仿宋" w:hAnsi="仿宋" w:eastAsia="仿宋" w:cs="仿宋"/>
          <w:sz w:val="32"/>
          <w:szCs w:val="32"/>
        </w:rPr>
        <w:t>初预算185.73万元，增加17.20万元，增长9.26%。2025年决算</w:t>
      </w:r>
      <w:r>
        <w:rPr>
          <w:rFonts w:hint="eastAsia" w:ascii="仿宋" w:hAnsi="仿宋" w:eastAsia="仿宋" w:cs="仿宋"/>
          <w:sz w:val="32"/>
          <w:szCs w:val="32"/>
          <w:lang w:val="en-US" w:eastAsia="zh-CN"/>
        </w:rPr>
        <w:t>收入合计</w:t>
      </w:r>
      <w:r>
        <w:rPr>
          <w:rFonts w:hint="eastAsia" w:ascii="仿宋" w:hAnsi="仿宋" w:eastAsia="仿宋" w:cs="仿宋"/>
          <w:sz w:val="32"/>
          <w:szCs w:val="32"/>
        </w:rPr>
        <w:t>304.40万元；2024年决算收入476.09万元，</w:t>
      </w:r>
      <w:r>
        <w:rPr>
          <w:rFonts w:hint="eastAsia" w:ascii="仿宋" w:hAnsi="仿宋" w:eastAsia="仿宋" w:cs="仿宋"/>
          <w:sz w:val="32"/>
          <w:szCs w:val="32"/>
          <w:lang w:val="en-US" w:eastAsia="zh-CN"/>
        </w:rPr>
        <w:t>相比2024年</w:t>
      </w:r>
      <w:r>
        <w:rPr>
          <w:rFonts w:hint="eastAsia" w:ascii="仿宋" w:hAnsi="仿宋" w:eastAsia="仿宋" w:cs="仿宋"/>
          <w:sz w:val="32"/>
          <w:szCs w:val="32"/>
        </w:rPr>
        <w:t>减少171.</w:t>
      </w:r>
      <w:r>
        <w:rPr>
          <w:rFonts w:hint="eastAsia" w:ascii="仿宋" w:hAnsi="仿宋" w:eastAsia="仿宋" w:cs="仿宋"/>
          <w:sz w:val="32"/>
          <w:szCs w:val="32"/>
          <w:lang w:val="en-US" w:eastAsia="zh-CN"/>
        </w:rPr>
        <w:t>69</w:t>
      </w:r>
      <w:r>
        <w:rPr>
          <w:rFonts w:hint="eastAsia" w:ascii="仿宋" w:hAnsi="仿宋" w:eastAsia="仿宋" w:cs="仿宋"/>
          <w:sz w:val="32"/>
          <w:szCs w:val="32"/>
        </w:rPr>
        <w:t>万元，下降36.06%，主要原因为本年度项目减少，项目收支规模下降。</w:t>
      </w:r>
    </w:p>
    <w:p w14:paraId="568ED021">
      <w:pPr>
        <w:ind w:firstLine="640" w:firstLineChars="200"/>
        <w:rPr>
          <w:rFonts w:hint="eastAsia" w:ascii="仿宋" w:hAnsi="仿宋" w:eastAsia="仿宋" w:cs="仿宋"/>
          <w:sz w:val="32"/>
          <w:szCs w:val="32"/>
        </w:rPr>
      </w:pPr>
      <w:r>
        <w:rPr>
          <w:rFonts w:hint="eastAsia" w:ascii="仿宋" w:hAnsi="仿宋" w:eastAsia="仿宋" w:cs="仿宋"/>
          <w:sz w:val="32"/>
          <w:szCs w:val="32"/>
        </w:rPr>
        <w:t>2025年预算执行期中追加收入101.47万元，全年收入</w:t>
      </w:r>
      <w:r>
        <w:rPr>
          <w:rFonts w:hint="eastAsia" w:ascii="仿宋" w:hAnsi="仿宋" w:eastAsia="仿宋" w:cs="仿宋"/>
          <w:sz w:val="32"/>
          <w:szCs w:val="32"/>
          <w:lang w:val="en-US" w:eastAsia="zh-CN"/>
        </w:rPr>
        <w:t>合计317.52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年初结转和结余13.12万元、决算数304.40万元</w:t>
      </w:r>
      <w:r>
        <w:rPr>
          <w:rFonts w:hint="eastAsia" w:ascii="仿宋" w:hAnsi="仿宋" w:eastAsia="仿宋" w:cs="仿宋"/>
          <w:sz w:val="32"/>
          <w:szCs w:val="32"/>
        </w:rPr>
        <w:t>。</w:t>
      </w:r>
    </w:p>
    <w:p w14:paraId="6201A25B">
      <w:pPr>
        <w:ind w:firstLine="640" w:firstLineChars="200"/>
        <w:rPr>
          <w:rFonts w:hint="eastAsia" w:ascii="仿宋" w:hAnsi="仿宋" w:eastAsia="仿宋" w:cs="仿宋"/>
          <w:b/>
          <w:bCs/>
          <w:sz w:val="32"/>
          <w:szCs w:val="32"/>
        </w:rPr>
      </w:pPr>
      <w:r>
        <w:rPr>
          <w:rFonts w:hint="eastAsia" w:ascii="仿宋" w:hAnsi="仿宋" w:eastAsia="仿宋" w:cs="仿宋"/>
          <w:sz w:val="32"/>
          <w:szCs w:val="32"/>
        </w:rPr>
        <w:t>（</w:t>
      </w:r>
      <w:r>
        <w:rPr>
          <w:rFonts w:hint="eastAsia" w:ascii="仿宋" w:hAnsi="仿宋" w:eastAsia="仿宋" w:cs="仿宋"/>
          <w:b/>
          <w:bCs/>
          <w:sz w:val="32"/>
          <w:szCs w:val="32"/>
        </w:rPr>
        <w:t>二）支出情况</w:t>
      </w:r>
    </w:p>
    <w:p w14:paraId="43740CAB">
      <w:pPr>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2025年度本年支出合计</w:t>
      </w:r>
      <w:r>
        <w:rPr>
          <w:rFonts w:hint="eastAsia" w:ascii="仿宋" w:hAnsi="仿宋" w:eastAsia="仿宋" w:cs="仿宋"/>
          <w:color w:val="auto"/>
          <w:sz w:val="32"/>
          <w:szCs w:val="32"/>
          <w:highlight w:val="none"/>
          <w:lang w:val="en-US" w:eastAsia="zh-CN"/>
        </w:rPr>
        <w:t>311.22万</w:t>
      </w:r>
      <w:r>
        <w:rPr>
          <w:rFonts w:hint="eastAsia" w:ascii="仿宋" w:hAnsi="仿宋" w:eastAsia="仿宋" w:cs="仿宋"/>
          <w:color w:val="auto"/>
          <w:sz w:val="32"/>
          <w:szCs w:val="32"/>
          <w:highlight w:val="none"/>
          <w:lang w:eastAsia="zh-CN"/>
        </w:rPr>
        <w:t>元，其中：基本支出</w:t>
      </w:r>
      <w:r>
        <w:rPr>
          <w:rFonts w:hint="eastAsia" w:ascii="仿宋" w:hAnsi="仿宋" w:eastAsia="仿宋" w:cs="仿宋"/>
          <w:color w:val="auto"/>
          <w:sz w:val="32"/>
          <w:szCs w:val="32"/>
          <w:highlight w:val="none"/>
          <w:lang w:val="en-US" w:eastAsia="zh-CN"/>
        </w:rPr>
        <w:t>140.99</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45.30</w:t>
      </w:r>
      <w:r>
        <w:rPr>
          <w:rFonts w:hint="eastAsia" w:ascii="仿宋" w:hAnsi="仿宋" w:eastAsia="仿宋" w:cs="仿宋"/>
          <w:color w:val="auto"/>
          <w:sz w:val="32"/>
          <w:szCs w:val="32"/>
          <w:highlight w:val="none"/>
          <w:lang w:eastAsia="zh-CN"/>
        </w:rPr>
        <w:t>%；项目支出</w:t>
      </w:r>
      <w:r>
        <w:rPr>
          <w:rFonts w:hint="eastAsia" w:ascii="仿宋" w:hAnsi="仿宋" w:eastAsia="仿宋" w:cs="仿宋"/>
          <w:color w:val="auto"/>
          <w:sz w:val="32"/>
          <w:szCs w:val="32"/>
          <w:highlight w:val="none"/>
          <w:lang w:val="en-US" w:eastAsia="zh-CN"/>
        </w:rPr>
        <w:t>170.23</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54.70</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 xml:space="preserve">   </w:t>
      </w:r>
    </w:p>
    <w:p w14:paraId="4EA338E7">
      <w:pPr>
        <w:ind w:firstLine="640" w:firstLineChars="200"/>
        <w:rPr>
          <w:rFonts w:hint="eastAsia" w:ascii="仿宋" w:hAnsi="仿宋" w:eastAsia="仿宋" w:cs="仿宋"/>
          <w:sz w:val="32"/>
          <w:szCs w:val="32"/>
        </w:rPr>
      </w:pPr>
      <w:r>
        <w:rPr>
          <w:rFonts w:hint="eastAsia" w:ascii="仿宋" w:hAnsi="仿宋" w:eastAsia="仿宋" w:cs="仿宋"/>
          <w:color w:val="auto"/>
          <w:kern w:val="2"/>
          <w:sz w:val="32"/>
          <w:szCs w:val="32"/>
          <w:highlight w:val="none"/>
          <w:lang w:val="en-US" w:eastAsia="zh-CN" w:bidi="ar-SA"/>
        </w:rPr>
        <w:t>2025年度一般公共预算财政拨款支出292.36万元，主要用于以下方面：社会保障和就业支出275.06万元，占94.08%；卫生健康支出7.03万元，占2.40%；住房保障支出10.27万元，占3.51%。</w:t>
      </w:r>
    </w:p>
    <w:p w14:paraId="4F5A9EB7">
      <w:pPr>
        <w:rPr>
          <w:rFonts w:hint="eastAsia" w:ascii="仿宋" w:hAnsi="仿宋" w:eastAsia="仿宋" w:cs="仿宋"/>
          <w:b/>
          <w:bCs/>
          <w:sz w:val="32"/>
          <w:szCs w:val="32"/>
        </w:rPr>
      </w:pPr>
      <w:r>
        <w:rPr>
          <w:rFonts w:hint="eastAsia" w:ascii="仿宋" w:hAnsi="仿宋" w:eastAsia="仿宋" w:cs="仿宋"/>
          <w:sz w:val="32"/>
          <w:szCs w:val="32"/>
        </w:rPr>
        <w:t>（</w:t>
      </w:r>
      <w:r>
        <w:rPr>
          <w:rFonts w:hint="eastAsia" w:ascii="仿宋" w:hAnsi="仿宋" w:eastAsia="仿宋" w:cs="仿宋"/>
          <w:b/>
          <w:bCs/>
          <w:sz w:val="32"/>
          <w:szCs w:val="32"/>
        </w:rPr>
        <w:t>三）结余分配和结转结余情况</w:t>
      </w:r>
    </w:p>
    <w:p w14:paraId="66DA23C7">
      <w:pPr>
        <w:ind w:firstLine="640" w:firstLineChars="200"/>
        <w:rPr>
          <w:rFonts w:hint="eastAsia" w:ascii="仿宋" w:hAnsi="仿宋" w:eastAsia="仿宋" w:cs="仿宋"/>
          <w:sz w:val="32"/>
          <w:szCs w:val="32"/>
        </w:rPr>
      </w:pPr>
      <w:r>
        <w:rPr>
          <w:rFonts w:hint="eastAsia" w:ascii="仿宋" w:hAnsi="仿宋" w:eastAsia="仿宋" w:cs="仿宋"/>
          <w:sz w:val="32"/>
          <w:szCs w:val="32"/>
        </w:rPr>
        <w:t>2025年末结转结余资金</w:t>
      </w:r>
      <w:r>
        <w:rPr>
          <w:rFonts w:hint="eastAsia" w:ascii="仿宋" w:hAnsi="仿宋" w:eastAsia="仿宋" w:cs="仿宋"/>
          <w:sz w:val="32"/>
          <w:szCs w:val="32"/>
          <w:lang w:val="en-US" w:eastAsia="zh-CN"/>
        </w:rPr>
        <w:t>13.12</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主要为浙江温州温心守护工程捐赠资金结余。</w:t>
      </w:r>
    </w:p>
    <w:p w14:paraId="3069AF0C">
      <w:pPr>
        <w:ind w:firstLine="640" w:firstLineChars="200"/>
        <w:rPr>
          <w:rFonts w:hint="eastAsia" w:ascii="仿宋" w:hAnsi="仿宋" w:eastAsia="仿宋" w:cs="仿宋"/>
          <w:sz w:val="32"/>
          <w:szCs w:val="32"/>
        </w:rPr>
      </w:pPr>
      <w:r>
        <w:rPr>
          <w:rFonts w:hint="eastAsia" w:ascii="仿宋" w:hAnsi="仿宋" w:eastAsia="仿宋" w:cs="仿宋"/>
          <w:sz w:val="32"/>
          <w:szCs w:val="32"/>
        </w:rPr>
        <w:t>三、部门预算绩效分析</w:t>
      </w:r>
    </w:p>
    <w:p w14:paraId="046B75DE">
      <w:pPr>
        <w:rPr>
          <w:rFonts w:hint="eastAsia" w:ascii="仿宋" w:hAnsi="仿宋" w:eastAsia="仿宋" w:cs="仿宋"/>
          <w:b/>
          <w:bCs/>
          <w:sz w:val="32"/>
          <w:szCs w:val="32"/>
        </w:rPr>
      </w:pPr>
      <w:r>
        <w:rPr>
          <w:rFonts w:hint="eastAsia" w:ascii="仿宋" w:hAnsi="仿宋" w:eastAsia="仿宋" w:cs="仿宋"/>
          <w:b/>
          <w:bCs/>
          <w:sz w:val="32"/>
          <w:szCs w:val="32"/>
        </w:rPr>
        <w:t>（一）部门预算总体绩效分析</w:t>
      </w:r>
    </w:p>
    <w:p w14:paraId="51608FE2">
      <w:pPr>
        <w:ind w:firstLine="640" w:firstLineChars="200"/>
        <w:rPr>
          <w:rFonts w:hint="eastAsia" w:ascii="仿宋" w:hAnsi="仿宋" w:eastAsia="仿宋" w:cs="仿宋"/>
          <w:sz w:val="32"/>
          <w:szCs w:val="32"/>
        </w:rPr>
      </w:pPr>
      <w:r>
        <w:rPr>
          <w:rFonts w:hint="eastAsia" w:ascii="仿宋" w:hAnsi="仿宋" w:eastAsia="仿宋" w:cs="仿宋"/>
          <w:sz w:val="32"/>
          <w:szCs w:val="32"/>
        </w:rPr>
        <w:t>1.履职效能</w:t>
      </w:r>
    </w:p>
    <w:p w14:paraId="1FF23A0D">
      <w:pPr>
        <w:ind w:firstLine="640" w:firstLineChars="200"/>
        <w:rPr>
          <w:rFonts w:hint="eastAsia" w:ascii="仿宋" w:hAnsi="仿宋" w:eastAsia="仿宋" w:cs="仿宋"/>
          <w:sz w:val="32"/>
          <w:szCs w:val="32"/>
        </w:rPr>
      </w:pPr>
      <w:r>
        <w:rPr>
          <w:rFonts w:hint="eastAsia" w:ascii="仿宋" w:hAnsi="仿宋" w:eastAsia="仿宋" w:cs="仿宋"/>
          <w:sz w:val="32"/>
          <w:szCs w:val="32"/>
        </w:rPr>
        <w:t>紧紧围绕残疾人康复、就业、维权、社会保障、文化体育等核心职能开展工作。落实“石榴籽·帮困助弱”行动，完成残疾人意外保险全覆盖、重度残疾人医保代缴、残疾儿童康复救助、残疾人实用技术培训、困难残疾人走访慰问、辅具适配等重点任务。全县53个村（社区）残协充分发挥基层阵地作用，全年开展各类助残主题活动，残疾人获得感、幸福感持续提升，各项核心履职目标基本完成。</w:t>
      </w:r>
    </w:p>
    <w:p w14:paraId="538C1039">
      <w:pPr>
        <w:ind w:firstLine="640" w:firstLineChars="200"/>
        <w:rPr>
          <w:rFonts w:hint="eastAsia" w:ascii="仿宋" w:hAnsi="仿宋" w:eastAsia="仿宋" w:cs="仿宋"/>
          <w:sz w:val="32"/>
          <w:szCs w:val="32"/>
        </w:rPr>
      </w:pPr>
      <w:r>
        <w:rPr>
          <w:rFonts w:hint="eastAsia" w:ascii="仿宋" w:hAnsi="仿宋" w:eastAsia="仿宋" w:cs="仿宋"/>
          <w:sz w:val="32"/>
          <w:szCs w:val="32"/>
        </w:rPr>
        <w:t>2.预算管理</w:t>
      </w:r>
    </w:p>
    <w:p w14:paraId="5023CB7C">
      <w:pPr>
        <w:ind w:firstLine="640" w:firstLineChars="200"/>
        <w:rPr>
          <w:rFonts w:hint="eastAsia" w:ascii="仿宋" w:hAnsi="仿宋" w:eastAsia="仿宋" w:cs="仿宋"/>
          <w:sz w:val="32"/>
          <w:szCs w:val="32"/>
        </w:rPr>
      </w:pPr>
      <w:r>
        <w:rPr>
          <w:rFonts w:hint="eastAsia" w:ascii="仿宋" w:hAnsi="仿宋" w:eastAsia="仿宋" w:cs="仿宋"/>
          <w:sz w:val="32"/>
          <w:szCs w:val="32"/>
        </w:rPr>
        <w:t>严格落实全过程预算绩效管理，按要求开展事前绩效评估、绩效目标编制、执行监控、绩效自评。但年度执行过程中追加收入较多，年初预算与调整后预算差异较大，预算编制精准度有待提升。严格落实厉行节约要求，严控“三公”经费、会议、培训等一般性支出；规范预算年终结余管理，统筹盘活存量资金。</w:t>
      </w:r>
    </w:p>
    <w:p w14:paraId="63D0B4BE">
      <w:pPr>
        <w:ind w:firstLine="640" w:firstLineChars="200"/>
        <w:rPr>
          <w:rFonts w:hint="eastAsia" w:ascii="仿宋" w:hAnsi="仿宋" w:eastAsia="仿宋" w:cs="仿宋"/>
          <w:sz w:val="32"/>
          <w:szCs w:val="32"/>
        </w:rPr>
      </w:pPr>
      <w:r>
        <w:rPr>
          <w:rFonts w:hint="eastAsia" w:ascii="仿宋" w:hAnsi="仿宋" w:eastAsia="仿宋" w:cs="仿宋"/>
          <w:sz w:val="32"/>
          <w:szCs w:val="32"/>
        </w:rPr>
        <w:t>3.财务管理</w:t>
      </w:r>
    </w:p>
    <w:p w14:paraId="52D77378">
      <w:pPr>
        <w:ind w:firstLine="640" w:firstLineChars="200"/>
        <w:rPr>
          <w:rFonts w:hint="eastAsia" w:ascii="仿宋" w:hAnsi="仿宋" w:eastAsia="仿宋" w:cs="仿宋"/>
          <w:sz w:val="32"/>
          <w:szCs w:val="32"/>
        </w:rPr>
      </w:pPr>
      <w:r>
        <w:rPr>
          <w:rFonts w:hint="eastAsia" w:ascii="仿宋" w:hAnsi="仿宋" w:eastAsia="仿宋" w:cs="仿宋"/>
          <w:sz w:val="32"/>
          <w:szCs w:val="32"/>
        </w:rPr>
        <w:t>单位财务管理制度健全，经费执行严格落实审批流程，1万元及以上大额资金支出由班子集体研究；报销执行经办人、业务股室、财务、分管领导、单位负责人逐级签字审批，坚持单位负责人“一支笔”签批制度；规范票据审核，优先执行公务卡、转账支付，会计核算合规。内部财务监控监督措施还需进一步细化完善。</w:t>
      </w:r>
    </w:p>
    <w:p w14:paraId="3BED5263">
      <w:pPr>
        <w:ind w:firstLine="640" w:firstLineChars="200"/>
        <w:rPr>
          <w:rFonts w:hint="eastAsia" w:ascii="仿宋" w:hAnsi="仿宋" w:eastAsia="仿宋" w:cs="仿宋"/>
          <w:sz w:val="32"/>
          <w:szCs w:val="32"/>
        </w:rPr>
      </w:pPr>
      <w:r>
        <w:rPr>
          <w:rFonts w:hint="eastAsia" w:ascii="仿宋" w:hAnsi="仿宋" w:eastAsia="仿宋" w:cs="仿宋"/>
          <w:sz w:val="32"/>
          <w:szCs w:val="32"/>
        </w:rPr>
        <w:t>4.资产管理</w:t>
      </w:r>
    </w:p>
    <w:p w14:paraId="6FEE0AE1">
      <w:pPr>
        <w:ind w:firstLine="640" w:firstLineChars="200"/>
        <w:rPr>
          <w:rFonts w:hint="eastAsia" w:ascii="仿宋" w:hAnsi="仿宋" w:eastAsia="仿宋" w:cs="仿宋"/>
          <w:sz w:val="32"/>
          <w:szCs w:val="32"/>
        </w:rPr>
      </w:pPr>
      <w:r>
        <w:rPr>
          <w:rFonts w:hint="eastAsia" w:ascii="仿宋" w:hAnsi="仿宋" w:eastAsia="仿宋" w:cs="仿宋"/>
          <w:sz w:val="32"/>
          <w:szCs w:val="32"/>
        </w:rPr>
        <w:t>落实固定资产定期清查盘点制度，做到账实相符。截至2025年12月31日，固定资产账面总额146.71万元，在用固定资产146.71万元，固定资产在用率100%，资产使用效率有待进一步挖掘提升。</w:t>
      </w:r>
    </w:p>
    <w:p w14:paraId="75617EBA">
      <w:pPr>
        <w:ind w:firstLine="640" w:firstLineChars="200"/>
        <w:rPr>
          <w:rFonts w:hint="eastAsia" w:ascii="仿宋" w:hAnsi="仿宋" w:eastAsia="仿宋" w:cs="仿宋"/>
          <w:sz w:val="32"/>
          <w:szCs w:val="32"/>
        </w:rPr>
      </w:pPr>
      <w:r>
        <w:rPr>
          <w:rFonts w:hint="eastAsia" w:ascii="仿宋" w:hAnsi="仿宋" w:eastAsia="仿宋" w:cs="仿宋"/>
          <w:sz w:val="32"/>
          <w:szCs w:val="32"/>
        </w:rPr>
        <w:t>5.采购管理</w:t>
      </w:r>
    </w:p>
    <w:p w14:paraId="3D9C32CA">
      <w:pPr>
        <w:ind w:firstLine="640" w:firstLineChars="200"/>
        <w:rPr>
          <w:rFonts w:hint="eastAsia" w:ascii="仿宋" w:hAnsi="仿宋" w:eastAsia="仿宋" w:cs="仿宋"/>
          <w:sz w:val="32"/>
          <w:szCs w:val="32"/>
        </w:rPr>
      </w:pPr>
      <w:r>
        <w:rPr>
          <w:rFonts w:hint="eastAsia" w:ascii="仿宋" w:hAnsi="仿宋" w:eastAsia="仿宋" w:cs="仿宋"/>
          <w:sz w:val="32"/>
          <w:szCs w:val="32"/>
        </w:rPr>
        <w:t>2025年度本单位无政府采购发生，政府采购货物、工程、服务支出均为0万元。</w:t>
      </w:r>
    </w:p>
    <w:p w14:paraId="405B0EBE">
      <w:pPr>
        <w:rPr>
          <w:rFonts w:hint="eastAsia" w:ascii="仿宋" w:hAnsi="仿宋" w:eastAsia="仿宋" w:cs="仿宋"/>
          <w:sz w:val="32"/>
          <w:szCs w:val="32"/>
        </w:rPr>
      </w:pPr>
      <w:r>
        <w:rPr>
          <w:rFonts w:hint="eastAsia" w:ascii="仿宋" w:hAnsi="仿宋" w:eastAsia="仿宋" w:cs="仿宋"/>
          <w:sz w:val="32"/>
          <w:szCs w:val="32"/>
        </w:rPr>
        <w:t>（二）主要工作任务完成情况</w:t>
      </w:r>
    </w:p>
    <w:p w14:paraId="6577685A">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1.强化党建引领，夯实工作基础</w:t>
      </w:r>
    </w:p>
    <w:p w14:paraId="59346334">
      <w:pPr>
        <w:ind w:firstLine="640" w:firstLineChars="200"/>
        <w:rPr>
          <w:rFonts w:hint="eastAsia" w:ascii="仿宋" w:hAnsi="仿宋" w:eastAsia="仿宋" w:cs="仿宋"/>
          <w:sz w:val="32"/>
          <w:szCs w:val="32"/>
        </w:rPr>
      </w:pPr>
      <w:r>
        <w:rPr>
          <w:rFonts w:hint="eastAsia" w:ascii="仿宋" w:hAnsi="仿宋" w:eastAsia="仿宋" w:cs="仿宋"/>
          <w:sz w:val="32"/>
          <w:szCs w:val="32"/>
        </w:rPr>
        <w:t>落实理论学习、“三会一课”、主题党日，抓实意识形态与党风廉政建设，组织开展中央</w:t>
      </w:r>
      <w:bookmarkStart w:id="78" w:name="_GoBack"/>
      <w:bookmarkEnd w:id="78"/>
      <w:r>
        <w:rPr>
          <w:rFonts w:hint="eastAsia" w:ascii="仿宋" w:hAnsi="仿宋" w:eastAsia="仿宋" w:cs="仿宋"/>
          <w:sz w:val="32"/>
          <w:szCs w:val="32"/>
        </w:rPr>
        <w:t>八项规定专题学习教育，筑牢残疾人事业思想根基。</w:t>
      </w:r>
    </w:p>
    <w:p w14:paraId="3251DB0F">
      <w:pPr>
        <w:ind w:firstLine="640" w:firstLineChars="200"/>
        <w:rPr>
          <w:rFonts w:hint="eastAsia" w:ascii="仿宋" w:hAnsi="仿宋" w:eastAsia="仿宋" w:cs="仿宋"/>
          <w:sz w:val="32"/>
          <w:szCs w:val="32"/>
        </w:rPr>
      </w:pPr>
      <w:r>
        <w:rPr>
          <w:rFonts w:hint="eastAsia" w:ascii="仿宋" w:hAnsi="仿宋" w:eastAsia="仿宋" w:cs="仿宋"/>
          <w:sz w:val="32"/>
          <w:szCs w:val="32"/>
        </w:rPr>
        <w:t>2.聚焦惠残保障，提升残疾人幸福指数</w:t>
      </w:r>
    </w:p>
    <w:p w14:paraId="4A0BD074">
      <w:pPr>
        <w:ind w:firstLine="640" w:firstLineChars="200"/>
        <w:rPr>
          <w:rFonts w:hint="eastAsia" w:ascii="仿宋" w:hAnsi="仿宋" w:eastAsia="仿宋" w:cs="仿宋"/>
          <w:sz w:val="32"/>
          <w:szCs w:val="32"/>
        </w:rPr>
      </w:pPr>
      <w:r>
        <w:rPr>
          <w:rFonts w:hint="eastAsia" w:ascii="仿宋" w:hAnsi="仿宋" w:eastAsia="仿宋" w:cs="仿宋"/>
          <w:sz w:val="32"/>
          <w:szCs w:val="32"/>
        </w:rPr>
        <w:t>全年落实各类惠残资金190.051万元。一是为2519名残疾人购买人身意外保险，落实重度残疾人城乡居民医保个人缴费资助；二是深化东西部协作，联合温州医疗资源开展“温心守护·共健阿坝”公益医疗救助，筛查90人次，多名脊柱侧弯、先心病、唇腭裂等残疾患者赴温州免费手术治疗；三是784名残疾人完成家庭医生增值签约，多名残疾儿童送州级康复机构开展免费康复训练，完成人工耳蜗救助；四是元旦春节“暖冬行动”慰问100户困难残疾人，发放慰问物资10万元；对接公益组织完成太阳能路灯、儿童冲锋衣等物资捐赠。</w:t>
      </w:r>
    </w:p>
    <w:p w14:paraId="5D3EB463">
      <w:pPr>
        <w:ind w:firstLine="640" w:firstLineChars="200"/>
        <w:rPr>
          <w:rFonts w:hint="eastAsia" w:ascii="仿宋" w:hAnsi="仿宋" w:eastAsia="仿宋" w:cs="仿宋"/>
          <w:sz w:val="32"/>
          <w:szCs w:val="32"/>
        </w:rPr>
      </w:pPr>
      <w:r>
        <w:rPr>
          <w:rFonts w:hint="eastAsia" w:ascii="仿宋" w:hAnsi="仿宋" w:eastAsia="仿宋" w:cs="仿宋"/>
          <w:sz w:val="32"/>
          <w:szCs w:val="32"/>
        </w:rPr>
        <w:t>3.抓实就业创业，拓宽增收渠道</w:t>
      </w:r>
    </w:p>
    <w:p w14:paraId="5434CB09">
      <w:pPr>
        <w:ind w:firstLine="640" w:firstLineChars="200"/>
        <w:rPr>
          <w:rFonts w:hint="eastAsia" w:ascii="仿宋" w:hAnsi="仿宋" w:eastAsia="仿宋" w:cs="仿宋"/>
          <w:sz w:val="32"/>
          <w:szCs w:val="32"/>
        </w:rPr>
      </w:pPr>
      <w:r>
        <w:rPr>
          <w:rFonts w:hint="eastAsia" w:ascii="仿宋" w:hAnsi="仿宋" w:eastAsia="仿宋" w:cs="仿宋"/>
          <w:sz w:val="32"/>
          <w:szCs w:val="32"/>
        </w:rPr>
        <w:t>开展非遗石刻、牦牛养殖残疾人实用技术培训2期，参训60余人；对接县内企业、合作社开发岗位，帮助10名残疾人实现就业；落实残疾人居家灵活就业扶持，惠及230名残疾人，拓宽残疾人增收路径。</w:t>
      </w:r>
    </w:p>
    <w:p w14:paraId="4BAFCEF4">
      <w:pPr>
        <w:ind w:firstLine="640" w:firstLineChars="200"/>
        <w:rPr>
          <w:rFonts w:hint="eastAsia" w:ascii="仿宋" w:hAnsi="仿宋" w:eastAsia="仿宋" w:cs="仿宋"/>
          <w:sz w:val="32"/>
          <w:szCs w:val="32"/>
        </w:rPr>
      </w:pPr>
      <w:r>
        <w:rPr>
          <w:rFonts w:hint="eastAsia" w:ascii="仿宋" w:hAnsi="仿宋" w:eastAsia="仿宋" w:cs="仿宋"/>
          <w:sz w:val="32"/>
          <w:szCs w:val="32"/>
        </w:rPr>
        <w:t>4.做实康复服务，强化政策宣传</w:t>
      </w:r>
    </w:p>
    <w:p w14:paraId="5F2ADAAD">
      <w:pPr>
        <w:ind w:firstLine="640" w:firstLineChars="200"/>
        <w:rPr>
          <w:rFonts w:hint="eastAsia" w:ascii="仿宋" w:hAnsi="仿宋" w:eastAsia="仿宋" w:cs="仿宋"/>
          <w:sz w:val="32"/>
          <w:szCs w:val="32"/>
        </w:rPr>
      </w:pPr>
      <w:r>
        <w:rPr>
          <w:rFonts w:hint="eastAsia" w:ascii="仿宋" w:hAnsi="仿宋" w:eastAsia="仿宋" w:cs="仿宋"/>
          <w:sz w:val="32"/>
          <w:szCs w:val="32"/>
        </w:rPr>
        <w:t>落实0‑14岁残疾儿童康复训练政策；深入乡镇开展残疾人辅具精准适配，为88名残疾人现场适配器具；多渠道宣传残疾人政策，发放宣传资料1000余份，提升政策知晓率。</w:t>
      </w:r>
    </w:p>
    <w:p w14:paraId="41C0B505">
      <w:pPr>
        <w:ind w:firstLine="640" w:firstLineChars="200"/>
        <w:rPr>
          <w:rFonts w:hint="eastAsia" w:ascii="仿宋" w:hAnsi="仿宋" w:eastAsia="仿宋" w:cs="仿宋"/>
          <w:sz w:val="32"/>
          <w:szCs w:val="32"/>
        </w:rPr>
      </w:pPr>
      <w:r>
        <w:rPr>
          <w:rFonts w:hint="eastAsia" w:ascii="仿宋" w:hAnsi="仿宋" w:eastAsia="仿宋" w:cs="仿宋"/>
          <w:sz w:val="32"/>
          <w:szCs w:val="32"/>
        </w:rPr>
        <w:t>5.打通服务“最后一米”，丰富残疾人文化生活</w:t>
      </w:r>
    </w:p>
    <w:p w14:paraId="299F33B3">
      <w:pPr>
        <w:rPr>
          <w:rFonts w:hint="eastAsia" w:ascii="仿宋" w:hAnsi="仿宋" w:eastAsia="仿宋" w:cs="仿宋"/>
          <w:sz w:val="32"/>
          <w:szCs w:val="32"/>
        </w:rPr>
      </w:pPr>
      <w:r>
        <w:rPr>
          <w:rFonts w:hint="eastAsia" w:ascii="仿宋" w:hAnsi="仿宋" w:eastAsia="仿宋" w:cs="仿宋"/>
          <w:sz w:val="32"/>
          <w:szCs w:val="32"/>
        </w:rPr>
        <w:t>依托“爱耳日”“全国助残日”等节点，53个村（社区）残协开展志愿服务15000余人次；发布工作动态30余期；完成510名残疾人基本辅具适配；我县残疾人运动员在全国残疾人跆拳道赛事斩获银牌、团体第三名等优异成绩；落实“一人一策”，61名残疾人享受代缴医保、助学、托养、临时救助等帮扶措施，共计落实帮扶举措202条。</w:t>
      </w:r>
    </w:p>
    <w:p w14:paraId="03942DBF">
      <w:pPr>
        <w:rPr>
          <w:rFonts w:hint="eastAsia" w:ascii="仿宋" w:hAnsi="仿宋" w:eastAsia="仿宋" w:cs="仿宋"/>
          <w:sz w:val="32"/>
          <w:szCs w:val="32"/>
        </w:rPr>
      </w:pPr>
      <w:r>
        <w:rPr>
          <w:rFonts w:hint="eastAsia" w:ascii="仿宋" w:hAnsi="仿宋" w:eastAsia="仿宋" w:cs="仿宋"/>
          <w:sz w:val="32"/>
          <w:szCs w:val="32"/>
        </w:rPr>
        <w:t>（三）部门预算项目绩效分析</w:t>
      </w:r>
    </w:p>
    <w:p w14:paraId="4C660A48">
      <w:pPr>
        <w:ind w:firstLine="640" w:firstLineChars="200"/>
        <w:rPr>
          <w:rFonts w:hint="eastAsia" w:ascii="仿宋" w:hAnsi="仿宋" w:eastAsia="仿宋" w:cs="仿宋"/>
          <w:sz w:val="32"/>
          <w:szCs w:val="32"/>
        </w:rPr>
      </w:pPr>
      <w:r>
        <w:rPr>
          <w:rFonts w:hint="eastAsia" w:ascii="仿宋" w:hAnsi="仿宋" w:eastAsia="仿宋" w:cs="仿宋"/>
          <w:sz w:val="32"/>
          <w:szCs w:val="32"/>
        </w:rPr>
        <w:t>2025年共实施残疾人联络员补贴、量体裁衣工作经费、残疾人就业保障金、重度残疾人医保代缴、残疾人事业发展补助、东西部协作医疗救助、助学资金等14个预算项目。大部分项目预算执行较好，绩效目标全部完成；部分受政策拨付时间、补助对象动态变化影响，存在预算执行率未达100%情况。全部项目均按要求开展绩效目标设定、执行监控、年度绩效自评。</w:t>
      </w:r>
    </w:p>
    <w:p w14:paraId="154D56A0">
      <w:pPr>
        <w:ind w:firstLine="640" w:firstLineChars="200"/>
        <w:rPr>
          <w:rFonts w:hint="eastAsia" w:ascii="仿宋" w:hAnsi="仿宋" w:eastAsia="仿宋" w:cs="仿宋"/>
          <w:sz w:val="32"/>
          <w:szCs w:val="32"/>
        </w:rPr>
      </w:pPr>
      <w:r>
        <w:rPr>
          <w:rFonts w:hint="eastAsia" w:ascii="仿宋" w:hAnsi="仿宋" w:eastAsia="仿宋" w:cs="仿宋"/>
          <w:sz w:val="32"/>
          <w:szCs w:val="32"/>
        </w:rPr>
        <w:t>项目决策：所有项目均围绕残疾人康复、就业、社会保障职能设立，项目入库程序完整，绩效目标与年度工作任务、预算资金匹配。</w:t>
      </w:r>
    </w:p>
    <w:p w14:paraId="13F2D95F">
      <w:pPr>
        <w:ind w:firstLine="640" w:firstLineChars="200"/>
        <w:rPr>
          <w:rFonts w:hint="eastAsia" w:ascii="仿宋" w:hAnsi="仿宋" w:eastAsia="仿宋" w:cs="仿宋"/>
          <w:sz w:val="32"/>
          <w:szCs w:val="32"/>
        </w:rPr>
      </w:pPr>
      <w:r>
        <w:rPr>
          <w:rFonts w:hint="eastAsia" w:ascii="仿宋" w:hAnsi="仿宋" w:eastAsia="仿宋" w:cs="仿宋"/>
          <w:sz w:val="32"/>
          <w:szCs w:val="32"/>
        </w:rPr>
        <w:t>项目执行：财政资金拨付及时，资金使用方向与绩效目标方向保持一致；根据实际工作情况对部分项目进行预算调剂调整。</w:t>
      </w:r>
    </w:p>
    <w:p w14:paraId="05360E8D">
      <w:pPr>
        <w:ind w:firstLine="640" w:firstLineChars="200"/>
        <w:rPr>
          <w:rFonts w:hint="eastAsia" w:ascii="仿宋" w:hAnsi="仿宋" w:eastAsia="仿宋" w:cs="仿宋"/>
          <w:sz w:val="32"/>
          <w:szCs w:val="32"/>
        </w:rPr>
      </w:pPr>
      <w:r>
        <w:rPr>
          <w:rFonts w:hint="eastAsia" w:ascii="仿宋" w:hAnsi="仿宋" w:eastAsia="仿宋" w:cs="仿宋"/>
          <w:sz w:val="32"/>
          <w:szCs w:val="32"/>
        </w:rPr>
        <w:t>目标实现：绝大多数项目产出指标、效益指标、满意度指标达到预期，切实保障残疾人各项惠残政策落地。</w:t>
      </w:r>
    </w:p>
    <w:p w14:paraId="397458DA">
      <w:pPr>
        <w:ind w:firstLine="640" w:firstLineChars="200"/>
        <w:rPr>
          <w:rFonts w:hint="eastAsia" w:ascii="仿宋" w:hAnsi="仿宋" w:eastAsia="仿宋" w:cs="仿宋"/>
          <w:sz w:val="32"/>
          <w:szCs w:val="32"/>
        </w:rPr>
      </w:pPr>
      <w:r>
        <w:rPr>
          <w:rFonts w:hint="eastAsia" w:ascii="仿宋" w:hAnsi="仿宋" w:eastAsia="仿宋" w:cs="仿宋"/>
          <w:sz w:val="32"/>
          <w:szCs w:val="32"/>
        </w:rPr>
        <w:t>（四）绩效结果应用情况</w:t>
      </w:r>
    </w:p>
    <w:p w14:paraId="40667D3E">
      <w:pPr>
        <w:ind w:firstLine="640" w:firstLineChars="200"/>
        <w:rPr>
          <w:rFonts w:hint="eastAsia" w:ascii="仿宋" w:hAnsi="仿宋" w:eastAsia="仿宋" w:cs="仿宋"/>
          <w:sz w:val="32"/>
          <w:szCs w:val="32"/>
        </w:rPr>
      </w:pPr>
      <w:r>
        <w:rPr>
          <w:rFonts w:hint="eastAsia" w:ascii="仿宋" w:hAnsi="仿宋" w:eastAsia="仿宋" w:cs="仿宋"/>
          <w:sz w:val="32"/>
          <w:szCs w:val="32"/>
        </w:rPr>
        <w:t>内部管理方面：将绩效自评结果用于下一年度预算编制参考，对执行偏差项目分析原因，优化项目设置；</w:t>
      </w:r>
    </w:p>
    <w:p w14:paraId="160B6D5F">
      <w:pPr>
        <w:rPr>
          <w:rFonts w:hint="eastAsia" w:ascii="仿宋" w:hAnsi="仿宋" w:eastAsia="仿宋" w:cs="仿宋"/>
          <w:sz w:val="32"/>
          <w:szCs w:val="32"/>
        </w:rPr>
      </w:pPr>
      <w:r>
        <w:rPr>
          <w:rFonts w:hint="eastAsia" w:ascii="仿宋" w:hAnsi="仿宋" w:eastAsia="仿宋" w:cs="仿宋"/>
          <w:sz w:val="32"/>
          <w:szCs w:val="32"/>
        </w:rPr>
        <w:t>信息公开方面：部门整体支出绩效自评报告、项目绩效自评表随部门决算同步公开，接受社会监督；</w:t>
      </w:r>
    </w:p>
    <w:p w14:paraId="6EB734AF">
      <w:pPr>
        <w:rPr>
          <w:rFonts w:hint="eastAsia" w:ascii="仿宋" w:hAnsi="仿宋" w:eastAsia="仿宋" w:cs="仿宋"/>
          <w:sz w:val="32"/>
          <w:szCs w:val="32"/>
        </w:rPr>
      </w:pPr>
      <w:r>
        <w:rPr>
          <w:rFonts w:hint="eastAsia" w:ascii="仿宋" w:hAnsi="仿宋" w:eastAsia="仿宋" w:cs="仿宋"/>
          <w:sz w:val="32"/>
          <w:szCs w:val="32"/>
        </w:rPr>
        <w:t>整改反馈方面：针对预算编制、内部管理短板梳理问题，落实整改，持续完善全过程绩效管理。</w:t>
      </w:r>
    </w:p>
    <w:p w14:paraId="49B2CC20">
      <w:pPr>
        <w:numPr>
          <w:ilvl w:val="0"/>
          <w:numId w:val="2"/>
        </w:numPr>
        <w:ind w:firstLine="640" w:firstLineChars="200"/>
        <w:rPr>
          <w:rFonts w:hint="eastAsia" w:ascii="仿宋" w:hAnsi="仿宋" w:eastAsia="仿宋" w:cs="仿宋"/>
          <w:sz w:val="32"/>
          <w:szCs w:val="32"/>
        </w:rPr>
      </w:pPr>
      <w:r>
        <w:rPr>
          <w:rFonts w:hint="eastAsia" w:ascii="仿宋" w:hAnsi="仿宋" w:eastAsia="仿宋" w:cs="仿宋"/>
          <w:sz w:val="32"/>
          <w:szCs w:val="32"/>
        </w:rPr>
        <w:t>评价结论及建议</w:t>
      </w:r>
    </w:p>
    <w:p w14:paraId="45FC1BE3">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（一）评价结论</w:t>
      </w:r>
    </w:p>
    <w:p w14:paraId="615844E5">
      <w:pPr>
        <w:ind w:firstLine="640" w:firstLineChars="200"/>
        <w:rPr>
          <w:rFonts w:hint="eastAsia" w:ascii="仿宋" w:hAnsi="仿宋" w:eastAsia="仿宋" w:cs="仿宋"/>
          <w:sz w:val="32"/>
          <w:szCs w:val="32"/>
        </w:rPr>
      </w:pPr>
      <w:r>
        <w:rPr>
          <w:rFonts w:hint="eastAsia" w:ascii="仿宋" w:hAnsi="仿宋" w:eastAsia="仿宋" w:cs="仿宋"/>
          <w:sz w:val="32"/>
          <w:szCs w:val="32"/>
        </w:rPr>
        <w:t>2025年，壤塘县残疾人联合会严格执行国家财经法律法规，财务制度健全，会计核算规范，财政资金主要用于残疾人康复、教育、就业、社会保障等民生领域，较好完成年度各项残疾人事业工作任务。按照部门整体支出绩效评价指标体系综合对照，部门整体支出绩效自评得分93分，绩效等级为良好。</w:t>
      </w:r>
    </w:p>
    <w:p w14:paraId="63514A37">
      <w:pPr>
        <w:rPr>
          <w:rFonts w:hint="eastAsia" w:ascii="仿宋" w:hAnsi="仿宋" w:eastAsia="仿宋" w:cs="仿宋"/>
          <w:sz w:val="32"/>
          <w:szCs w:val="32"/>
        </w:rPr>
      </w:pPr>
      <w:r>
        <w:rPr>
          <w:rFonts w:hint="eastAsia" w:ascii="仿宋" w:hAnsi="仿宋" w:eastAsia="仿宋" w:cs="仿宋"/>
          <w:sz w:val="32"/>
          <w:szCs w:val="32"/>
        </w:rPr>
        <w:t>（二）存在主要问题</w:t>
      </w:r>
    </w:p>
    <w:p w14:paraId="549A1D81">
      <w:pPr>
        <w:ind w:firstLine="640" w:firstLineChars="200"/>
        <w:rPr>
          <w:rFonts w:hint="eastAsia" w:ascii="仿宋" w:hAnsi="仿宋" w:eastAsia="仿宋" w:cs="仿宋"/>
          <w:sz w:val="32"/>
          <w:szCs w:val="32"/>
        </w:rPr>
      </w:pPr>
      <w:r>
        <w:rPr>
          <w:rFonts w:hint="eastAsia" w:ascii="仿宋" w:hAnsi="仿宋" w:eastAsia="仿宋" w:cs="仿宋"/>
          <w:sz w:val="32"/>
          <w:szCs w:val="32"/>
        </w:rPr>
        <w:t>1.预算编制精准度不足，年度执行过程追加收入事项较多，年初预算与调整后预算差异较大。</w:t>
      </w:r>
    </w:p>
    <w:p w14:paraId="7F5A4E66">
      <w:pPr>
        <w:ind w:firstLine="640" w:firstLineChars="200"/>
        <w:rPr>
          <w:rFonts w:hint="eastAsia" w:ascii="仿宋" w:hAnsi="仿宋" w:eastAsia="仿宋" w:cs="仿宋"/>
          <w:sz w:val="32"/>
          <w:szCs w:val="32"/>
        </w:rPr>
      </w:pPr>
      <w:r>
        <w:rPr>
          <w:rFonts w:hint="eastAsia" w:ascii="仿宋" w:hAnsi="仿宋" w:eastAsia="仿宋" w:cs="仿宋"/>
          <w:sz w:val="32"/>
          <w:szCs w:val="32"/>
        </w:rPr>
        <w:t>2.内部财务监督管控机制不够细化，缺少明确可落地的财务监控监督措施。</w:t>
      </w:r>
    </w:p>
    <w:p w14:paraId="5C9ADF3F">
      <w:pPr>
        <w:ind w:firstLine="640" w:firstLineChars="200"/>
        <w:rPr>
          <w:rFonts w:hint="eastAsia" w:ascii="仿宋" w:hAnsi="仿宋" w:eastAsia="仿宋" w:cs="仿宋"/>
          <w:sz w:val="32"/>
          <w:szCs w:val="32"/>
        </w:rPr>
      </w:pPr>
      <w:r>
        <w:rPr>
          <w:rFonts w:hint="eastAsia" w:ascii="仿宋" w:hAnsi="仿宋" w:eastAsia="仿宋" w:cs="仿宋"/>
          <w:sz w:val="32"/>
          <w:szCs w:val="32"/>
        </w:rPr>
        <w:t>3.部分项目受补助对象动态变化、上级资金下达时间影响，预算执行率未达到100%。</w:t>
      </w:r>
    </w:p>
    <w:p w14:paraId="4F84F81B">
      <w:pPr>
        <w:ind w:firstLine="640" w:firstLineChars="200"/>
        <w:rPr>
          <w:rFonts w:hint="eastAsia" w:ascii="仿宋" w:hAnsi="仿宋" w:eastAsia="仿宋" w:cs="仿宋"/>
          <w:sz w:val="32"/>
          <w:szCs w:val="32"/>
        </w:rPr>
      </w:pPr>
      <w:r>
        <w:rPr>
          <w:rFonts w:hint="eastAsia" w:ascii="仿宋" w:hAnsi="仿宋" w:eastAsia="仿宋" w:cs="仿宋"/>
          <w:sz w:val="32"/>
          <w:szCs w:val="32"/>
        </w:rPr>
        <w:t>（三）改进建议</w:t>
      </w:r>
    </w:p>
    <w:p w14:paraId="44E4CFF9">
      <w:pPr>
        <w:ind w:firstLine="640" w:firstLineChars="200"/>
        <w:rPr>
          <w:rFonts w:hint="eastAsia" w:ascii="仿宋" w:hAnsi="仿宋" w:eastAsia="仿宋" w:cs="仿宋"/>
          <w:sz w:val="32"/>
          <w:szCs w:val="32"/>
        </w:rPr>
      </w:pPr>
      <w:r>
        <w:rPr>
          <w:rFonts w:hint="eastAsia" w:ascii="仿宋" w:hAnsi="仿宋" w:eastAsia="仿宋" w:cs="仿宋"/>
          <w:sz w:val="32"/>
          <w:szCs w:val="32"/>
        </w:rPr>
        <w:t>1.强化预算编制前期调研，结合上年度决算执行、本年度业务计划科学测算资金需求，进一步提高预算编制准确性，最大限度减少执行期追加调整。</w:t>
      </w:r>
    </w:p>
    <w:p w14:paraId="7D5A56FA">
      <w:pPr>
        <w:ind w:firstLine="640" w:firstLineChars="200"/>
        <w:rPr>
          <w:rFonts w:hint="eastAsia" w:ascii="仿宋" w:hAnsi="仿宋" w:eastAsia="仿宋" w:cs="仿宋"/>
          <w:sz w:val="32"/>
          <w:szCs w:val="32"/>
        </w:rPr>
      </w:pPr>
      <w:r>
        <w:rPr>
          <w:rFonts w:hint="eastAsia" w:ascii="仿宋" w:hAnsi="仿宋" w:eastAsia="仿宋" w:cs="仿宋"/>
          <w:sz w:val="32"/>
          <w:szCs w:val="32"/>
        </w:rPr>
        <w:t>2.健全完善内部财务监控监督制度，细化内部审核、监督流程，压实岗位责任，强化资金全过程管控。</w:t>
      </w:r>
    </w:p>
    <w:p w14:paraId="11B3508D">
      <w:pPr>
        <w:spacing w:line="578" w:lineRule="exact"/>
        <w:jc w:val="left"/>
        <w:rPr>
          <w:rFonts w:hint="eastAsia" w:ascii="仿宋" w:hAnsi="仿宋" w:eastAsia="仿宋" w:cs="仿宋"/>
          <w:sz w:val="32"/>
          <w:szCs w:val="32"/>
        </w:rPr>
      </w:pPr>
      <w:r>
        <w:rPr>
          <w:rFonts w:hint="eastAsia" w:ascii="仿宋" w:hAnsi="仿宋" w:eastAsia="仿宋" w:cs="仿宋"/>
          <w:sz w:val="32"/>
          <w:szCs w:val="32"/>
        </w:rPr>
        <w:t>3.加强项目全周期绩效管理，提前摸排项目补助对象，做好项目储备，提高项目预算执行效率；对执行率偏低项目，提前分析研判，优化项目设置。</w:t>
      </w:r>
    </w:p>
    <w:p w14:paraId="30A85686">
      <w:pPr>
        <w:widowControl/>
        <w:spacing w:line="600" w:lineRule="exact"/>
        <w:jc w:val="center"/>
        <w:textAlignment w:val="center"/>
        <w:rPr>
          <w:rFonts w:hint="eastAsia" w:eastAsia="方正小标宋简体"/>
          <w:color w:val="000000"/>
          <w:kern w:val="0"/>
          <w:sz w:val="44"/>
          <w:szCs w:val="44"/>
        </w:rPr>
      </w:pPr>
    </w:p>
    <w:p w14:paraId="2DB4DB8D">
      <w:pPr>
        <w:widowControl/>
        <w:spacing w:line="600" w:lineRule="exact"/>
        <w:jc w:val="center"/>
        <w:textAlignment w:val="center"/>
        <w:rPr>
          <w:rFonts w:hint="eastAsia" w:eastAsia="方正小标宋简体"/>
          <w:color w:val="000000"/>
          <w:kern w:val="0"/>
          <w:sz w:val="44"/>
          <w:szCs w:val="44"/>
        </w:rPr>
      </w:pPr>
    </w:p>
    <w:p w14:paraId="3E05D9BA">
      <w:pPr>
        <w:widowControl/>
        <w:spacing w:line="600" w:lineRule="exact"/>
        <w:jc w:val="center"/>
        <w:textAlignment w:val="center"/>
        <w:rPr>
          <w:rFonts w:hint="eastAsia" w:eastAsia="方正小标宋简体"/>
          <w:color w:val="000000"/>
          <w:kern w:val="0"/>
          <w:sz w:val="44"/>
          <w:szCs w:val="44"/>
        </w:rPr>
      </w:pPr>
    </w:p>
    <w:p w14:paraId="70F09630">
      <w:pPr>
        <w:widowControl/>
        <w:spacing w:line="600" w:lineRule="exact"/>
        <w:jc w:val="center"/>
        <w:textAlignment w:val="center"/>
        <w:rPr>
          <w:rFonts w:hint="eastAsia" w:eastAsia="方正小标宋简体"/>
          <w:color w:val="000000"/>
          <w:kern w:val="0"/>
          <w:sz w:val="44"/>
          <w:szCs w:val="44"/>
        </w:rPr>
      </w:pPr>
    </w:p>
    <w:p w14:paraId="4FB14F3F">
      <w:pPr>
        <w:widowControl/>
        <w:spacing w:line="600" w:lineRule="exact"/>
        <w:jc w:val="center"/>
        <w:textAlignment w:val="center"/>
        <w:rPr>
          <w:rFonts w:hint="eastAsia" w:eastAsia="方正小标宋简体"/>
          <w:color w:val="000000"/>
          <w:kern w:val="0"/>
          <w:sz w:val="44"/>
          <w:szCs w:val="44"/>
        </w:rPr>
      </w:pPr>
    </w:p>
    <w:p w14:paraId="0EDB2496">
      <w:pPr>
        <w:widowControl/>
        <w:spacing w:line="600" w:lineRule="exact"/>
        <w:jc w:val="center"/>
        <w:textAlignment w:val="center"/>
        <w:rPr>
          <w:rFonts w:hint="eastAsia" w:eastAsia="方正小标宋简体"/>
          <w:color w:val="000000"/>
          <w:kern w:val="0"/>
          <w:sz w:val="44"/>
          <w:szCs w:val="44"/>
        </w:rPr>
      </w:pPr>
    </w:p>
    <w:p w14:paraId="4094AA67">
      <w:pPr>
        <w:widowControl/>
        <w:spacing w:line="600" w:lineRule="exact"/>
        <w:jc w:val="center"/>
        <w:textAlignment w:val="center"/>
        <w:rPr>
          <w:rFonts w:hint="eastAsia" w:eastAsia="方正小标宋简体"/>
          <w:color w:val="000000"/>
          <w:kern w:val="0"/>
          <w:sz w:val="44"/>
          <w:szCs w:val="44"/>
        </w:rPr>
      </w:pPr>
    </w:p>
    <w:p w14:paraId="76F68156">
      <w:pPr>
        <w:widowControl/>
        <w:spacing w:line="600" w:lineRule="exact"/>
        <w:jc w:val="center"/>
        <w:textAlignment w:val="center"/>
        <w:rPr>
          <w:rFonts w:hint="eastAsia" w:eastAsia="方正小标宋简体"/>
          <w:color w:val="000000"/>
          <w:kern w:val="0"/>
          <w:sz w:val="44"/>
          <w:szCs w:val="44"/>
        </w:rPr>
      </w:pPr>
    </w:p>
    <w:p w14:paraId="3242BCEC">
      <w:pPr>
        <w:widowControl/>
        <w:spacing w:line="600" w:lineRule="exact"/>
        <w:jc w:val="center"/>
        <w:textAlignment w:val="center"/>
        <w:rPr>
          <w:rFonts w:hint="eastAsia" w:eastAsia="方正小标宋简体"/>
          <w:color w:val="000000"/>
          <w:kern w:val="0"/>
          <w:sz w:val="44"/>
          <w:szCs w:val="44"/>
        </w:rPr>
      </w:pPr>
    </w:p>
    <w:p w14:paraId="11BD1372">
      <w:pPr>
        <w:widowControl/>
        <w:spacing w:line="600" w:lineRule="exact"/>
        <w:jc w:val="center"/>
        <w:textAlignment w:val="center"/>
        <w:rPr>
          <w:rFonts w:hint="eastAsia" w:eastAsia="方正小标宋简体"/>
          <w:color w:val="000000"/>
          <w:kern w:val="0"/>
          <w:sz w:val="44"/>
          <w:szCs w:val="44"/>
        </w:rPr>
      </w:pPr>
    </w:p>
    <w:p w14:paraId="3E8A708B">
      <w:pPr>
        <w:widowControl/>
        <w:spacing w:line="600" w:lineRule="exact"/>
        <w:jc w:val="center"/>
        <w:textAlignment w:val="center"/>
        <w:rPr>
          <w:rFonts w:hint="eastAsia" w:eastAsia="方正小标宋简体"/>
          <w:color w:val="000000"/>
          <w:kern w:val="0"/>
          <w:sz w:val="44"/>
          <w:szCs w:val="44"/>
        </w:rPr>
      </w:pPr>
    </w:p>
    <w:p w14:paraId="107DFFE0">
      <w:pPr>
        <w:widowControl/>
        <w:spacing w:line="600" w:lineRule="exact"/>
        <w:jc w:val="center"/>
        <w:textAlignment w:val="center"/>
        <w:rPr>
          <w:rFonts w:hint="eastAsia" w:eastAsia="方正小标宋简体"/>
          <w:color w:val="000000"/>
          <w:kern w:val="0"/>
          <w:sz w:val="44"/>
          <w:szCs w:val="44"/>
        </w:rPr>
      </w:pPr>
    </w:p>
    <w:p w14:paraId="06580588">
      <w:pPr>
        <w:widowControl/>
        <w:spacing w:line="600" w:lineRule="exact"/>
        <w:jc w:val="center"/>
        <w:textAlignment w:val="center"/>
        <w:rPr>
          <w:rFonts w:hint="eastAsia" w:eastAsia="方正小标宋简体"/>
          <w:color w:val="000000"/>
          <w:kern w:val="0"/>
          <w:sz w:val="44"/>
          <w:szCs w:val="44"/>
        </w:rPr>
      </w:pPr>
    </w:p>
    <w:p w14:paraId="36303243">
      <w:pPr>
        <w:widowControl/>
        <w:spacing w:line="600" w:lineRule="exact"/>
        <w:jc w:val="center"/>
        <w:textAlignment w:val="center"/>
        <w:rPr>
          <w:rFonts w:hint="eastAsia" w:eastAsia="方正小标宋简体"/>
          <w:color w:val="000000"/>
          <w:kern w:val="0"/>
          <w:sz w:val="44"/>
          <w:szCs w:val="44"/>
        </w:rPr>
      </w:pPr>
    </w:p>
    <w:p w14:paraId="3962BA60">
      <w:pPr>
        <w:widowControl/>
        <w:spacing w:line="578" w:lineRule="exact"/>
        <w:jc w:val="center"/>
        <w:textAlignment w:val="center"/>
        <w:rPr>
          <w:rFonts w:eastAsia="方正小标宋简体"/>
          <w:color w:val="000000"/>
          <w:kern w:val="0"/>
          <w:sz w:val="44"/>
          <w:szCs w:val="44"/>
        </w:rPr>
      </w:pPr>
    </w:p>
    <w:p w14:paraId="04205907">
      <w:pPr>
        <w:widowControl/>
        <w:spacing w:line="578" w:lineRule="exact"/>
        <w:jc w:val="center"/>
        <w:textAlignment w:val="center"/>
        <w:rPr>
          <w:rFonts w:eastAsia="方正小标宋简体"/>
          <w:color w:val="000000"/>
          <w:kern w:val="0"/>
          <w:sz w:val="44"/>
          <w:szCs w:val="44"/>
        </w:rPr>
      </w:pPr>
    </w:p>
    <w:p w14:paraId="4BAE3149">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7"/>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5108CDB1">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00406945">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0D23EBDB">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val="en-US" w:eastAsia="zh-CN"/>
              </w:rPr>
              <w:t>壤塘县残疾人联合会</w:t>
            </w:r>
          </w:p>
        </w:tc>
      </w:tr>
      <w:tr w14:paraId="3E0092D1">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AC1BD6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42C70D9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55F7BC5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92CF6C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6B8169C8">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823FB6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35697665">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202.93万元</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27D20C1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202.93万元</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18BFF5AB">
            <w:pPr>
              <w:widowControl/>
              <w:spacing w:line="240" w:lineRule="exact"/>
              <w:jc w:val="center"/>
              <w:textAlignment w:val="center"/>
              <w:rPr>
                <w:rFonts w:ascii="宋体" w:hAnsi="宋体" w:eastAsia="宋体" w:cs="宋体"/>
                <w:color w:val="000000"/>
                <w:kern w:val="0"/>
                <w:sz w:val="24"/>
              </w:rPr>
            </w:pPr>
          </w:p>
        </w:tc>
      </w:tr>
      <w:tr w14:paraId="297AA705">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98355A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033B076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202.93万元</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6229AEB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202.93万元</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791A021F">
            <w:pPr>
              <w:widowControl/>
              <w:spacing w:line="240" w:lineRule="exact"/>
              <w:jc w:val="center"/>
              <w:textAlignment w:val="center"/>
              <w:rPr>
                <w:rFonts w:ascii="宋体" w:hAnsi="宋体" w:eastAsia="宋体" w:cs="宋体"/>
                <w:color w:val="000000"/>
                <w:kern w:val="0"/>
                <w:sz w:val="24"/>
              </w:rPr>
            </w:pPr>
          </w:p>
        </w:tc>
      </w:tr>
      <w:tr w14:paraId="11AA0820">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4F57D84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1957B9F4">
            <w:pPr>
              <w:widowControl/>
              <w:spacing w:line="240" w:lineRule="exact"/>
              <w:jc w:val="center"/>
              <w:textAlignment w:val="center"/>
              <w:rPr>
                <w:rFonts w:hint="eastAsia" w:ascii="宋体" w:hAnsi="宋体" w:eastAsia="宋体" w:cs="宋体"/>
                <w:color w:val="000000"/>
                <w:kern w:val="0"/>
                <w:sz w:val="24"/>
                <w:lang w:val="en-US" w:eastAsia="zh-CN"/>
              </w:rPr>
            </w:pPr>
            <w:r>
              <w:rPr>
                <w:rFonts w:ascii="宋体" w:hAnsi="宋体" w:eastAsia="宋体" w:cs="宋体"/>
                <w:sz w:val="24"/>
                <w:szCs w:val="24"/>
              </w:rPr>
              <w:t>不断提升残疾人服务水平，持续改善服务质量，更好地为残疾人服务。为坚决加快建设“美丽幸福壤巴拉家园”提供了坚强的民生保障</w:t>
            </w:r>
            <w:r>
              <w:rPr>
                <w:rFonts w:hint="eastAsia" w:ascii="宋体" w:hAnsi="宋体" w:eastAsia="宋体" w:cs="宋体"/>
                <w:sz w:val="24"/>
                <w:szCs w:val="24"/>
                <w:lang w:val="en-US" w:eastAsia="zh-CN"/>
              </w:rPr>
              <w:t>。</w:t>
            </w:r>
            <w:r>
              <w:rPr>
                <w:rFonts w:ascii="宋体" w:hAnsi="宋体" w:eastAsia="宋体" w:cs="宋体"/>
                <w:sz w:val="24"/>
                <w:szCs w:val="24"/>
              </w:rPr>
              <w:t>负责、社会参与、残联协调、乡镇（街道）和村（社区）承办的分级实施和部门联动原则，保障残疾人基本生活保障权益。深化我州“量体裁衣”式残疾人服务，加强残联基层组织建设，保障联络员基本生活，提升残疾人联络员生活水平。通过给予创业初期的人补助，对处于创业初期、生产经营出现暂时困难的零就业家庭残疾人、重度残疾人和大中专残疾毕业生应给予重点扶持,提升残疾人的创业激情,提高我县就业率</w:t>
            </w:r>
            <w:r>
              <w:rPr>
                <w:rFonts w:hint="eastAsia" w:ascii="宋体" w:hAnsi="宋体" w:eastAsia="宋体" w:cs="宋体"/>
                <w:sz w:val="24"/>
                <w:szCs w:val="24"/>
                <w:lang w:eastAsia="zh-CN"/>
              </w:rPr>
              <w:t>。</w:t>
            </w:r>
          </w:p>
        </w:tc>
      </w:tr>
      <w:tr w14:paraId="7F7D0548">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E9904D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ED2FFB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6B0646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571403B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DB005A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494557B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1CB9936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1687A95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2F024D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07B5760">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6A135C4">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3213EA4B">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8A861CA">
            <w:pPr>
              <w:widowControl/>
              <w:spacing w:line="240" w:lineRule="exact"/>
              <w:jc w:val="center"/>
              <w:textAlignment w:val="center"/>
              <w:rPr>
                <w:rFonts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639EE64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6AAA1CE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BC4F57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459CEC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596E65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62BD273B">
            <w:pPr>
              <w:widowControl/>
              <w:spacing w:line="240" w:lineRule="exact"/>
              <w:jc w:val="center"/>
              <w:textAlignment w:val="center"/>
              <w:rPr>
                <w:rFonts w:ascii="宋体" w:hAnsi="宋体" w:eastAsia="宋体" w:cs="宋体"/>
                <w:color w:val="000000"/>
                <w:kern w:val="0"/>
                <w:sz w:val="24"/>
              </w:rPr>
            </w:pPr>
          </w:p>
        </w:tc>
      </w:tr>
      <w:tr w14:paraId="613013C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5C68B7A">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EB94E7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F9D1D3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8C18A1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0D3A92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120.76</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F658B40">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120.76</w:t>
            </w:r>
            <w:r>
              <w:rPr>
                <w:rFonts w:hint="eastAsia"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1A1163F6">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166.65%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AE9005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134.37%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4FAD4EA">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61.26%</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2CB3921">
            <w:pPr>
              <w:widowControl/>
              <w:spacing w:line="240" w:lineRule="exact"/>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61.26%</w:t>
            </w:r>
          </w:p>
        </w:tc>
      </w:tr>
      <w:tr w14:paraId="45EE339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FC1B4B5">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D12EDDC">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EA8E952">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3E30C9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9DBEC3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174676E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8A7C81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1263B6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43DC5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D17FB2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296354E5">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92A443C">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7A30485">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0732C63">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DF65E4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3E39F4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ascii="宋体" w:hAnsi="宋体" w:eastAsia="宋体" w:cs="宋体"/>
                <w:sz w:val="24"/>
                <w:szCs w:val="24"/>
              </w:rPr>
              <w:t>4.56%</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38A589DA">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4.56%</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538F08A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1.42</w:t>
            </w:r>
            <w:r>
              <w:rPr>
                <w:rFonts w:ascii="宋体" w:hAnsi="宋体" w:eastAsia="宋体" w:cs="宋体"/>
                <w:sz w:val="24"/>
                <w:szCs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DECF416">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1.93</w:t>
            </w:r>
            <w:r>
              <w:rPr>
                <w:rFonts w:ascii="宋体" w:hAnsi="宋体" w:eastAsia="宋体" w:cs="宋体"/>
                <w:sz w:val="24"/>
                <w:szCs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6D0ED5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10.34</w:t>
            </w:r>
            <w:r>
              <w:rPr>
                <w:rFonts w:ascii="宋体" w:hAnsi="宋体" w:eastAsia="宋体" w:cs="宋体"/>
                <w:sz w:val="24"/>
                <w:szCs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A9A2CA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10.34</w:t>
            </w:r>
            <w:r>
              <w:rPr>
                <w:rFonts w:ascii="宋体" w:hAnsi="宋体" w:eastAsia="宋体" w:cs="宋体"/>
                <w:sz w:val="24"/>
                <w:szCs w:val="24"/>
              </w:rPr>
              <w:t>%</w:t>
            </w:r>
          </w:p>
        </w:tc>
      </w:tr>
      <w:tr w14:paraId="68F83586">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EE3D39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5AAB26B">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F3A6E6E">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E98BAE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B23E3D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6.5</w:t>
            </w:r>
            <w:r>
              <w:rPr>
                <w:rFonts w:ascii="宋体" w:hAnsi="宋体" w:eastAsia="宋体" w:cs="宋体"/>
                <w:color w:val="000000"/>
                <w:kern w:val="0"/>
                <w:sz w:val="24"/>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83A41F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6.5</w:t>
            </w:r>
            <w:r>
              <w:rPr>
                <w:rFonts w:ascii="宋体" w:hAnsi="宋体" w:eastAsia="宋体" w:cs="宋体"/>
                <w:color w:val="000000"/>
                <w:kern w:val="0"/>
                <w:sz w:val="24"/>
              </w:rPr>
              <w:t>万元为上年一般性支出金额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912BE4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6.5</w:t>
            </w:r>
            <w:r>
              <w:rPr>
                <w:rFonts w:ascii="宋体" w:hAnsi="宋体" w:eastAsia="宋体" w:cs="宋体"/>
                <w:color w:val="000000"/>
                <w:kern w:val="0"/>
                <w:sz w:val="24"/>
              </w:rPr>
              <w:t>万元</w:t>
            </w:r>
          </w:p>
        </w:tc>
      </w:tr>
      <w:tr w14:paraId="1766C358">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E7B776">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F2244E8">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08BAA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EA5FBF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49E45E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9A5996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C295A1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良</w:t>
            </w:r>
          </w:p>
        </w:tc>
      </w:tr>
      <w:tr w14:paraId="483DEDA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0D9A88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904C95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47480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F309AF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D7EB9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1798454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9A37B2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F940BA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4396D3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99B59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5768321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FA780B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1F9B811">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8B79D0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AB3815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F43022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0AC698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DAF6F1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F000F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F8F85F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5B897A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p>
        </w:tc>
      </w:tr>
      <w:tr w14:paraId="3A2B1038">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7C876A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95B58E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76B7A7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39A463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9B839B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8534E1">
            <w:pPr>
              <w:widowControl/>
              <w:spacing w:line="240" w:lineRule="exact"/>
              <w:jc w:val="center"/>
              <w:textAlignment w:val="center"/>
              <w:rPr>
                <w:rFonts w:ascii="宋体" w:hAnsi="宋体" w:eastAsia="宋体" w:cs="宋体"/>
                <w:color w:val="000000"/>
                <w:kern w:val="0"/>
                <w:sz w:val="24"/>
              </w:rPr>
            </w:pPr>
          </w:p>
        </w:tc>
      </w:tr>
      <w:tr w14:paraId="3F6C54A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205AD96">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CBBECA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0F9C254">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94727D">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残疾人联络员人数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713DE0A">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w:t>
            </w:r>
            <w:r>
              <w:rPr>
                <w:rFonts w:hint="eastAsia" w:ascii="宋体" w:hAnsi="宋体" w:eastAsia="宋体" w:cs="宋体"/>
                <w:sz w:val="24"/>
                <w:szCs w:val="24"/>
                <w:lang w:val="en-US" w:eastAsia="zh-CN"/>
              </w:rPr>
              <w:t>53人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80562F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lang w:val="en-US" w:eastAsia="zh-CN"/>
              </w:rPr>
              <w:t>53人</w:t>
            </w:r>
          </w:p>
        </w:tc>
      </w:tr>
      <w:tr w14:paraId="72D751A6">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FF09F7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7682DD9">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BF6FADB">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02C4B6">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残疾人居家灵活就业人数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6F89D9C">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w:t>
            </w:r>
            <w:r>
              <w:rPr>
                <w:rFonts w:hint="eastAsia" w:ascii="宋体" w:hAnsi="宋体" w:eastAsia="宋体" w:cs="宋体"/>
                <w:sz w:val="24"/>
                <w:szCs w:val="24"/>
                <w:lang w:val="en-US" w:eastAsia="zh-CN"/>
              </w:rPr>
              <w:t>200人</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78FD21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lang w:val="en-US" w:eastAsia="zh-CN"/>
              </w:rPr>
              <w:t>200人</w:t>
            </w:r>
          </w:p>
        </w:tc>
      </w:tr>
      <w:tr w14:paraId="620BE972">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FB43D15">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053C789">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A036564">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2D538BE">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完成时间</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F57706B">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34E2CA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2025年</w:t>
            </w:r>
          </w:p>
        </w:tc>
      </w:tr>
      <w:tr w14:paraId="036D754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057025A">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5A47B5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15455A">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803C6DD">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关心、理解、支持残疾人的社会氛围改善</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075EAD9">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w:t>
            </w:r>
            <w:r>
              <w:rPr>
                <w:rFonts w:hint="eastAsia" w:ascii="宋体" w:hAnsi="宋体" w:eastAsia="宋体" w:cs="宋体"/>
                <w:sz w:val="24"/>
                <w:szCs w:val="24"/>
                <w:lang w:val="en-US" w:eastAsia="zh-CN"/>
              </w:rPr>
              <w:t>90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37B0AF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lang w:val="en-US" w:eastAsia="zh-CN"/>
              </w:rPr>
              <w:t>90</w:t>
            </w:r>
            <w:r>
              <w:rPr>
                <w:rFonts w:ascii="宋体" w:hAnsi="宋体" w:eastAsia="宋体" w:cs="宋体"/>
                <w:color w:val="000000"/>
                <w:kern w:val="0"/>
                <w:sz w:val="24"/>
              </w:rPr>
              <w:t>%</w:t>
            </w:r>
          </w:p>
        </w:tc>
      </w:tr>
      <w:tr w14:paraId="1CFD299D">
        <w:tblPrEx>
          <w:tblCellMar>
            <w:top w:w="0" w:type="dxa"/>
            <w:left w:w="108" w:type="dxa"/>
            <w:bottom w:w="0" w:type="dxa"/>
            <w:right w:w="108" w:type="dxa"/>
          </w:tblCellMar>
        </w:tblPrEx>
        <w:trPr>
          <w:trHeight w:val="88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D685631">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156506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D48A6CA">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可持续发展指标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09B73FC">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改善残疾人生活状况</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F50DD2">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w:t>
            </w:r>
            <w:r>
              <w:rPr>
                <w:rFonts w:hint="eastAsia" w:ascii="宋体" w:hAnsi="宋体" w:eastAsia="宋体" w:cs="宋体"/>
                <w:sz w:val="24"/>
                <w:szCs w:val="24"/>
                <w:lang w:val="en-US" w:eastAsia="zh-CN"/>
              </w:rPr>
              <w:t>90</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F1738E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lang w:val="en-US" w:eastAsia="zh-CN"/>
              </w:rPr>
              <w:t>90</w:t>
            </w:r>
            <w:r>
              <w:rPr>
                <w:rFonts w:ascii="宋体" w:hAnsi="宋体" w:eastAsia="宋体" w:cs="宋体"/>
                <w:color w:val="000000"/>
                <w:kern w:val="0"/>
                <w:sz w:val="24"/>
              </w:rPr>
              <w:t>%</w:t>
            </w:r>
          </w:p>
        </w:tc>
      </w:tr>
      <w:tr w14:paraId="4613D37E">
        <w:tblPrEx>
          <w:tblCellMar>
            <w:top w:w="0" w:type="dxa"/>
            <w:left w:w="108" w:type="dxa"/>
            <w:bottom w:w="0" w:type="dxa"/>
            <w:right w:w="108" w:type="dxa"/>
          </w:tblCellMar>
        </w:tblPrEx>
        <w:trPr>
          <w:trHeight w:val="30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940C977">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BAF18B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4D9195C">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可持续发展指标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54E305A">
            <w:pPr>
              <w:widowControl/>
              <w:spacing w:line="240" w:lineRule="exact"/>
              <w:jc w:val="center"/>
              <w:textAlignment w:val="center"/>
              <w:rPr>
                <w:rFonts w:ascii="宋体" w:hAnsi="宋体" w:eastAsia="宋体" w:cs="宋体"/>
                <w:color w:val="000000"/>
                <w:kern w:val="0"/>
                <w:sz w:val="24"/>
              </w:rPr>
            </w:pPr>
            <w:r>
              <w:rPr>
                <w:rFonts w:ascii="宋体" w:hAnsi="宋体" w:eastAsia="宋体" w:cs="宋体"/>
                <w:sz w:val="24"/>
                <w:szCs w:val="24"/>
              </w:rPr>
              <w:t>提高残疾人融入社会能力</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E0D4D0D">
            <w:pPr>
              <w:widowControl/>
              <w:spacing w:line="240" w:lineRule="exact"/>
              <w:jc w:val="center"/>
              <w:textAlignment w:val="center"/>
              <w:rPr>
                <w:rFonts w:hint="default" w:ascii="宋体" w:hAnsi="宋体" w:eastAsia="宋体" w:cs="宋体"/>
                <w:color w:val="000000"/>
                <w:kern w:val="0"/>
                <w:sz w:val="24"/>
                <w:lang w:val="en-US" w:eastAsia="zh-CN"/>
              </w:rPr>
            </w:pPr>
            <w:r>
              <w:rPr>
                <w:rFonts w:ascii="宋体" w:hAnsi="宋体" w:eastAsia="宋体" w:cs="宋体"/>
                <w:sz w:val="24"/>
                <w:szCs w:val="24"/>
              </w:rPr>
              <w:t>≥</w:t>
            </w:r>
            <w:r>
              <w:rPr>
                <w:rFonts w:hint="eastAsia" w:ascii="宋体" w:hAnsi="宋体" w:eastAsia="宋体" w:cs="宋体"/>
                <w:sz w:val="24"/>
                <w:szCs w:val="24"/>
                <w:lang w:val="en-US" w:eastAsia="zh-CN"/>
              </w:rPr>
              <w:t>95</w:t>
            </w:r>
            <w:r>
              <w:rPr>
                <w:rFonts w:ascii="宋体" w:hAnsi="宋体" w:eastAsia="宋体" w:cs="宋体"/>
                <w:color w:val="000000"/>
                <w:kern w:val="0"/>
                <w:sz w:val="24"/>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23FA51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sz w:val="24"/>
                <w:szCs w:val="24"/>
                <w:lang w:val="en-US" w:eastAsia="zh-CN"/>
              </w:rPr>
              <w:t>95</w:t>
            </w:r>
            <w:r>
              <w:rPr>
                <w:rFonts w:ascii="宋体" w:hAnsi="宋体" w:eastAsia="宋体" w:cs="宋体"/>
                <w:color w:val="000000"/>
                <w:kern w:val="0"/>
                <w:sz w:val="24"/>
              </w:rPr>
              <w:t>%</w:t>
            </w:r>
          </w:p>
        </w:tc>
      </w:tr>
    </w:tbl>
    <w:p w14:paraId="7C10819B">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63360" behindDoc="0" locked="0" layoutInCell="1" allowOverlap="1">
            <wp:simplePos x="0" y="0"/>
            <wp:positionH relativeFrom="column">
              <wp:posOffset>86995</wp:posOffset>
            </wp:positionH>
            <wp:positionV relativeFrom="paragraph">
              <wp:posOffset>3607435</wp:posOffset>
            </wp:positionV>
            <wp:extent cx="5607685" cy="4441190"/>
            <wp:effectExtent l="0" t="0" r="12065" b="1651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stretch>
                      <a:fillRect/>
                    </a:stretch>
                  </pic:blipFill>
                  <pic:spPr>
                    <a:xfrm>
                      <a:off x="0" y="0"/>
                      <a:ext cx="5607685" cy="4441190"/>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86995</wp:posOffset>
            </wp:positionH>
            <wp:positionV relativeFrom="paragraph">
              <wp:posOffset>-984250</wp:posOffset>
            </wp:positionV>
            <wp:extent cx="5607685" cy="4441190"/>
            <wp:effectExtent l="0" t="0" r="12065" b="16510"/>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7"/>
                    <a:stretch>
                      <a:fillRect/>
                    </a:stretch>
                  </pic:blipFill>
                  <pic:spPr>
                    <a:xfrm>
                      <a:off x="0" y="0"/>
                      <a:ext cx="5607685" cy="4441190"/>
                    </a:xfrm>
                    <a:prstGeom prst="rect">
                      <a:avLst/>
                    </a:prstGeom>
                    <a:noFill/>
                    <a:ln>
                      <a:noFill/>
                    </a:ln>
                  </pic:spPr>
                </pic:pic>
              </a:graphicData>
            </a:graphic>
          </wp:anchor>
        </w:drawing>
      </w:r>
    </w:p>
    <w:p w14:paraId="0821CEDB">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65408" behindDoc="0" locked="0" layoutInCell="1" allowOverlap="1">
            <wp:simplePos x="0" y="0"/>
            <wp:positionH relativeFrom="column">
              <wp:posOffset>-23495</wp:posOffset>
            </wp:positionH>
            <wp:positionV relativeFrom="paragraph">
              <wp:posOffset>3646805</wp:posOffset>
            </wp:positionV>
            <wp:extent cx="5607685" cy="4518660"/>
            <wp:effectExtent l="0" t="0" r="12065" b="15240"/>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stretch>
                      <a:fillRect/>
                    </a:stretch>
                  </pic:blipFill>
                  <pic:spPr>
                    <a:xfrm>
                      <a:off x="0" y="0"/>
                      <a:ext cx="5607685" cy="4518660"/>
                    </a:xfrm>
                    <a:prstGeom prst="rect">
                      <a:avLst/>
                    </a:prstGeom>
                    <a:noFill/>
                    <a:ln>
                      <a:noFill/>
                    </a:ln>
                  </pic:spPr>
                </pic:pic>
              </a:graphicData>
            </a:graphic>
          </wp:anchor>
        </w:drawing>
      </w:r>
      <w:r>
        <w:drawing>
          <wp:anchor distT="0" distB="0" distL="114300" distR="114300" simplePos="0" relativeHeight="251664384" behindDoc="0" locked="0" layoutInCell="1" allowOverlap="1">
            <wp:simplePos x="0" y="0"/>
            <wp:positionH relativeFrom="column">
              <wp:posOffset>-7620</wp:posOffset>
            </wp:positionH>
            <wp:positionV relativeFrom="paragraph">
              <wp:posOffset>-681355</wp:posOffset>
            </wp:positionV>
            <wp:extent cx="5607685" cy="4298315"/>
            <wp:effectExtent l="0" t="0" r="12065" b="698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9"/>
                    <a:stretch>
                      <a:fillRect/>
                    </a:stretch>
                  </pic:blipFill>
                  <pic:spPr>
                    <a:xfrm>
                      <a:off x="0" y="0"/>
                      <a:ext cx="5607685" cy="4298315"/>
                    </a:xfrm>
                    <a:prstGeom prst="rect">
                      <a:avLst/>
                    </a:prstGeom>
                    <a:noFill/>
                    <a:ln>
                      <a:noFill/>
                    </a:ln>
                  </pic:spPr>
                </pic:pic>
              </a:graphicData>
            </a:graphic>
          </wp:anchor>
        </w:drawing>
      </w:r>
    </w:p>
    <w:p w14:paraId="01DA48C0">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76672" behindDoc="0" locked="0" layoutInCell="1" allowOverlap="1">
            <wp:simplePos x="0" y="0"/>
            <wp:positionH relativeFrom="column">
              <wp:posOffset>40005</wp:posOffset>
            </wp:positionH>
            <wp:positionV relativeFrom="paragraph">
              <wp:posOffset>-784225</wp:posOffset>
            </wp:positionV>
            <wp:extent cx="5607685" cy="4441190"/>
            <wp:effectExtent l="0" t="0" r="12065" b="1651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0"/>
                    <a:stretch>
                      <a:fillRect/>
                    </a:stretch>
                  </pic:blipFill>
                  <pic:spPr>
                    <a:xfrm>
                      <a:off x="0" y="0"/>
                      <a:ext cx="5607685" cy="4441190"/>
                    </a:xfrm>
                    <a:prstGeom prst="rect">
                      <a:avLst/>
                    </a:prstGeom>
                    <a:noFill/>
                    <a:ln>
                      <a:noFill/>
                    </a:ln>
                  </pic:spPr>
                </pic:pic>
              </a:graphicData>
            </a:graphic>
          </wp:anchor>
        </w:drawing>
      </w:r>
      <w:r>
        <w:drawing>
          <wp:anchor distT="0" distB="0" distL="114300" distR="114300" simplePos="0" relativeHeight="251666432" behindDoc="0" locked="0" layoutInCell="1" allowOverlap="1">
            <wp:simplePos x="0" y="0"/>
            <wp:positionH relativeFrom="column">
              <wp:posOffset>39370</wp:posOffset>
            </wp:positionH>
            <wp:positionV relativeFrom="paragraph">
              <wp:posOffset>3694430</wp:posOffset>
            </wp:positionV>
            <wp:extent cx="5607685" cy="4298315"/>
            <wp:effectExtent l="0" t="0" r="12065" b="698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1"/>
                    <a:stretch>
                      <a:fillRect/>
                    </a:stretch>
                  </pic:blipFill>
                  <pic:spPr>
                    <a:xfrm>
                      <a:off x="0" y="0"/>
                      <a:ext cx="5607685" cy="4298315"/>
                    </a:xfrm>
                    <a:prstGeom prst="rect">
                      <a:avLst/>
                    </a:prstGeom>
                    <a:noFill/>
                    <a:ln>
                      <a:noFill/>
                    </a:ln>
                  </pic:spPr>
                </pic:pic>
              </a:graphicData>
            </a:graphic>
          </wp:anchor>
        </w:drawing>
      </w:r>
    </w:p>
    <w:p w14:paraId="7F4AA9C3">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67456" behindDoc="0" locked="0" layoutInCell="1" allowOverlap="1">
            <wp:simplePos x="0" y="0"/>
            <wp:positionH relativeFrom="column">
              <wp:posOffset>0</wp:posOffset>
            </wp:positionH>
            <wp:positionV relativeFrom="paragraph">
              <wp:posOffset>-911860</wp:posOffset>
            </wp:positionV>
            <wp:extent cx="5607685" cy="4643755"/>
            <wp:effectExtent l="0" t="0" r="12065" b="4445"/>
            <wp:wrapSquare wrapText="bothSides"/>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2"/>
                    <a:stretch>
                      <a:fillRect/>
                    </a:stretch>
                  </pic:blipFill>
                  <pic:spPr>
                    <a:xfrm>
                      <a:off x="0" y="0"/>
                      <a:ext cx="5607685" cy="4643755"/>
                    </a:xfrm>
                    <a:prstGeom prst="rect">
                      <a:avLst/>
                    </a:prstGeom>
                    <a:noFill/>
                    <a:ln>
                      <a:noFill/>
                    </a:ln>
                  </pic:spPr>
                </pic:pic>
              </a:graphicData>
            </a:graphic>
          </wp:anchor>
        </w:drawing>
      </w:r>
      <w:r>
        <w:drawing>
          <wp:anchor distT="0" distB="0" distL="114300" distR="114300" simplePos="0" relativeHeight="251668480" behindDoc="0" locked="0" layoutInCell="1" allowOverlap="1">
            <wp:simplePos x="0" y="0"/>
            <wp:positionH relativeFrom="column">
              <wp:posOffset>8255</wp:posOffset>
            </wp:positionH>
            <wp:positionV relativeFrom="paragraph">
              <wp:posOffset>3886835</wp:posOffset>
            </wp:positionV>
            <wp:extent cx="5607685" cy="4143375"/>
            <wp:effectExtent l="0" t="0" r="12065" b="9525"/>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3"/>
                    <a:stretch>
                      <a:fillRect/>
                    </a:stretch>
                  </pic:blipFill>
                  <pic:spPr>
                    <a:xfrm>
                      <a:off x="0" y="0"/>
                      <a:ext cx="5607685" cy="4143375"/>
                    </a:xfrm>
                    <a:prstGeom prst="rect">
                      <a:avLst/>
                    </a:prstGeom>
                    <a:noFill/>
                    <a:ln>
                      <a:noFill/>
                    </a:ln>
                  </pic:spPr>
                </pic:pic>
              </a:graphicData>
            </a:graphic>
          </wp:anchor>
        </w:drawing>
      </w:r>
    </w:p>
    <w:p w14:paraId="266B93F9">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70528" behindDoc="0" locked="0" layoutInCell="1" allowOverlap="1">
            <wp:simplePos x="0" y="0"/>
            <wp:positionH relativeFrom="column">
              <wp:posOffset>24130</wp:posOffset>
            </wp:positionH>
            <wp:positionV relativeFrom="paragraph">
              <wp:posOffset>3901440</wp:posOffset>
            </wp:positionV>
            <wp:extent cx="5607685" cy="4143375"/>
            <wp:effectExtent l="0" t="0" r="12065" b="9525"/>
            <wp:wrapSquare wrapText="bothSides"/>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4"/>
                    <a:stretch>
                      <a:fillRect/>
                    </a:stretch>
                  </pic:blipFill>
                  <pic:spPr>
                    <a:xfrm>
                      <a:off x="0" y="0"/>
                      <a:ext cx="5607685" cy="4143375"/>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15875</wp:posOffset>
            </wp:positionH>
            <wp:positionV relativeFrom="paragraph">
              <wp:posOffset>-649605</wp:posOffset>
            </wp:positionV>
            <wp:extent cx="5607685" cy="4482465"/>
            <wp:effectExtent l="0" t="0" r="12065" b="13335"/>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5"/>
                    <a:stretch>
                      <a:fillRect/>
                    </a:stretch>
                  </pic:blipFill>
                  <pic:spPr>
                    <a:xfrm>
                      <a:off x="0" y="0"/>
                      <a:ext cx="5607685" cy="4482465"/>
                    </a:xfrm>
                    <a:prstGeom prst="rect">
                      <a:avLst/>
                    </a:prstGeom>
                    <a:noFill/>
                    <a:ln>
                      <a:noFill/>
                    </a:ln>
                  </pic:spPr>
                </pic:pic>
              </a:graphicData>
            </a:graphic>
          </wp:anchor>
        </w:drawing>
      </w:r>
    </w:p>
    <w:p w14:paraId="57ACEE3B">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72576" behindDoc="0" locked="0" layoutInCell="1" allowOverlap="1">
            <wp:simplePos x="0" y="0"/>
            <wp:positionH relativeFrom="column">
              <wp:posOffset>31750</wp:posOffset>
            </wp:positionH>
            <wp:positionV relativeFrom="paragraph">
              <wp:posOffset>3651250</wp:posOffset>
            </wp:positionV>
            <wp:extent cx="5607685" cy="4488815"/>
            <wp:effectExtent l="0" t="0" r="12065" b="6985"/>
            <wp:wrapSquare wrapText="bothSides"/>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6"/>
                    <a:stretch>
                      <a:fillRect/>
                    </a:stretch>
                  </pic:blipFill>
                  <pic:spPr>
                    <a:xfrm>
                      <a:off x="0" y="0"/>
                      <a:ext cx="5607685" cy="4488815"/>
                    </a:xfrm>
                    <a:prstGeom prst="rect">
                      <a:avLst/>
                    </a:prstGeom>
                    <a:noFill/>
                    <a:ln>
                      <a:noFill/>
                    </a:ln>
                  </pic:spPr>
                </pic:pic>
              </a:graphicData>
            </a:graphic>
          </wp:anchor>
        </w:drawing>
      </w:r>
      <w:r>
        <w:drawing>
          <wp:anchor distT="0" distB="0" distL="114300" distR="114300" simplePos="0" relativeHeight="251671552" behindDoc="0" locked="0" layoutInCell="1" allowOverlap="1">
            <wp:simplePos x="0" y="0"/>
            <wp:positionH relativeFrom="column">
              <wp:posOffset>15875</wp:posOffset>
            </wp:positionH>
            <wp:positionV relativeFrom="paragraph">
              <wp:posOffset>-617855</wp:posOffset>
            </wp:positionV>
            <wp:extent cx="5607685" cy="4143375"/>
            <wp:effectExtent l="0" t="0" r="12065" b="9525"/>
            <wp:wrapSquare wrapText="bothSides"/>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7"/>
                    <a:stretch>
                      <a:fillRect/>
                    </a:stretch>
                  </pic:blipFill>
                  <pic:spPr>
                    <a:xfrm>
                      <a:off x="0" y="0"/>
                      <a:ext cx="5607685" cy="4143375"/>
                    </a:xfrm>
                    <a:prstGeom prst="rect">
                      <a:avLst/>
                    </a:prstGeom>
                    <a:noFill/>
                    <a:ln>
                      <a:noFill/>
                    </a:ln>
                  </pic:spPr>
                </pic:pic>
              </a:graphicData>
            </a:graphic>
          </wp:anchor>
        </w:drawing>
      </w:r>
    </w:p>
    <w:p w14:paraId="7B29FC0B">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73600" behindDoc="0" locked="0" layoutInCell="1" allowOverlap="1">
            <wp:simplePos x="0" y="0"/>
            <wp:positionH relativeFrom="column">
              <wp:posOffset>635</wp:posOffset>
            </wp:positionH>
            <wp:positionV relativeFrom="paragraph">
              <wp:posOffset>-768350</wp:posOffset>
            </wp:positionV>
            <wp:extent cx="5607685" cy="4143375"/>
            <wp:effectExtent l="0" t="0" r="12065" b="9525"/>
            <wp:wrapSquare wrapText="bothSides"/>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8"/>
                    <a:stretch>
                      <a:fillRect/>
                    </a:stretch>
                  </pic:blipFill>
                  <pic:spPr>
                    <a:xfrm>
                      <a:off x="0" y="0"/>
                      <a:ext cx="5607685" cy="4143375"/>
                    </a:xfrm>
                    <a:prstGeom prst="rect">
                      <a:avLst/>
                    </a:prstGeom>
                    <a:noFill/>
                    <a:ln>
                      <a:noFill/>
                    </a:ln>
                  </pic:spPr>
                </pic:pic>
              </a:graphicData>
            </a:graphic>
          </wp:anchor>
        </w:drawing>
      </w:r>
      <w:r>
        <w:drawing>
          <wp:anchor distT="0" distB="0" distL="114300" distR="114300" simplePos="0" relativeHeight="251674624" behindDoc="0" locked="0" layoutInCell="1" allowOverlap="1">
            <wp:simplePos x="0" y="0"/>
            <wp:positionH relativeFrom="column">
              <wp:posOffset>0</wp:posOffset>
            </wp:positionH>
            <wp:positionV relativeFrom="paragraph">
              <wp:posOffset>3513455</wp:posOffset>
            </wp:positionV>
            <wp:extent cx="5607685" cy="4566285"/>
            <wp:effectExtent l="0" t="0" r="12065" b="5715"/>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9"/>
                    <a:stretch>
                      <a:fillRect/>
                    </a:stretch>
                  </pic:blipFill>
                  <pic:spPr>
                    <a:xfrm>
                      <a:off x="0" y="0"/>
                      <a:ext cx="5607685" cy="4566285"/>
                    </a:xfrm>
                    <a:prstGeom prst="rect">
                      <a:avLst/>
                    </a:prstGeom>
                    <a:noFill/>
                    <a:ln>
                      <a:noFill/>
                    </a:ln>
                  </pic:spPr>
                </pic:pic>
              </a:graphicData>
            </a:graphic>
          </wp:anchor>
        </w:drawing>
      </w:r>
    </w:p>
    <w:p w14:paraId="43D4C7BA">
      <w:pPr>
        <w:pStyle w:val="15"/>
        <w:spacing w:after="0" w:line="578" w:lineRule="exact"/>
        <w:ind w:left="0" w:leftChars="0" w:firstLine="0" w:firstLineChars="0"/>
        <w:rPr>
          <w:rFonts w:hint="eastAsia" w:ascii="Times New Roman" w:eastAsia="黑体"/>
          <w:szCs w:val="24"/>
        </w:rPr>
      </w:pPr>
      <w:r>
        <w:drawing>
          <wp:anchor distT="0" distB="0" distL="114300" distR="114300" simplePos="0" relativeHeight="251675648" behindDoc="0" locked="0" layoutInCell="1" allowOverlap="1">
            <wp:simplePos x="0" y="0"/>
            <wp:positionH relativeFrom="column">
              <wp:posOffset>15875</wp:posOffset>
            </wp:positionH>
            <wp:positionV relativeFrom="paragraph">
              <wp:posOffset>88900</wp:posOffset>
            </wp:positionV>
            <wp:extent cx="5607685" cy="4143375"/>
            <wp:effectExtent l="0" t="0" r="12065" b="9525"/>
            <wp:wrapSquare wrapText="bothSides"/>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30"/>
                    <a:stretch>
                      <a:fillRect/>
                    </a:stretch>
                  </pic:blipFill>
                  <pic:spPr>
                    <a:xfrm>
                      <a:off x="0" y="0"/>
                      <a:ext cx="5607685" cy="4143375"/>
                    </a:xfrm>
                    <a:prstGeom prst="rect">
                      <a:avLst/>
                    </a:prstGeom>
                    <a:noFill/>
                    <a:ln>
                      <a:noFill/>
                    </a:ln>
                  </pic:spPr>
                </pic:pic>
              </a:graphicData>
            </a:graphic>
          </wp:anchor>
        </w:drawing>
      </w:r>
    </w:p>
    <w:p w14:paraId="0E0D8688">
      <w:pPr>
        <w:ind w:firstLine="640" w:firstLineChars="200"/>
        <w:rPr>
          <w:rFonts w:hint="eastAsia" w:ascii="仿宋" w:hAnsi="仿宋" w:eastAsia="仿宋" w:cs="仿宋"/>
          <w:sz w:val="32"/>
          <w:szCs w:val="32"/>
        </w:rPr>
      </w:pPr>
    </w:p>
    <w:p w14:paraId="55894486">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3BB8B53B">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3D27BE6A">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569902C">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314F0D7">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BDB7CAB">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1BB903E2">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1F90C560">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46C1579E">
      <w:pPr>
        <w:pStyle w:val="7"/>
        <w:rPr>
          <w:rFonts w:hint="eastAsia" w:ascii="Times New Roman" w:hAnsi="Times New Roman" w:eastAsia="黑体" w:cs="黑体"/>
          <w:color w:val="auto"/>
          <w:kern w:val="0"/>
          <w:sz w:val="32"/>
          <w:szCs w:val="32"/>
          <w:highlight w:val="none"/>
          <w:shd w:val="clear" w:color="auto" w:fill="FFFFFF"/>
          <w:lang w:val="zh-CN"/>
        </w:rPr>
      </w:pPr>
    </w:p>
    <w:p w14:paraId="47F6D590">
      <w:pPr>
        <w:pStyle w:val="6"/>
        <w:rPr>
          <w:rFonts w:hint="eastAsia" w:ascii="Times New Roman" w:hAnsi="Times New Roman" w:eastAsia="黑体" w:cs="黑体"/>
          <w:color w:val="auto"/>
          <w:kern w:val="0"/>
          <w:sz w:val="32"/>
          <w:szCs w:val="32"/>
          <w:highlight w:val="none"/>
          <w:shd w:val="clear" w:color="auto" w:fill="FFFFFF"/>
          <w:lang w:val="zh-CN"/>
        </w:rPr>
      </w:pPr>
    </w:p>
    <w:p w14:paraId="792AD311">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161B266">
      <w:pPr>
        <w:widowControl/>
        <w:jc w:val="center"/>
        <w:rPr>
          <w:rFonts w:hint="eastAsia" w:ascii="Times New Roman" w:hAnsi="Times New Roman" w:eastAsia="仿宋"/>
          <w:b w:val="0"/>
          <w:color w:val="auto"/>
          <w:highlight w:val="none"/>
        </w:rPr>
      </w:pPr>
      <w:bookmarkStart w:id="64" w:name="_Toc1539661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1"/>
      <w:bookmarkEnd w:id="64"/>
      <w:bookmarkStart w:id="65" w:name="_Toc15396619"/>
    </w:p>
    <w:p w14:paraId="5021BDF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15DBD18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5"/>
    </w:p>
    <w:p w14:paraId="459D5CE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0"/>
      <w:r>
        <w:rPr>
          <w:rFonts w:hint="eastAsia" w:ascii="Times New Roman" w:hAnsi="Times New Roman" w:eastAsia="仿宋_GB2312" w:cs="仿宋_GB2312"/>
          <w:color w:val="auto"/>
          <w:sz w:val="32"/>
          <w:szCs w:val="32"/>
          <w:highlight w:val="none"/>
        </w:rPr>
        <w:t>二、收入决算表</w:t>
      </w:r>
      <w:bookmarkEnd w:id="66"/>
    </w:p>
    <w:p w14:paraId="21EFF3C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r>
        <w:rPr>
          <w:rFonts w:hint="eastAsia" w:ascii="Times New Roman" w:hAnsi="Times New Roman" w:eastAsia="仿宋_GB2312" w:cs="仿宋_GB2312"/>
          <w:color w:val="auto"/>
          <w:sz w:val="32"/>
          <w:szCs w:val="32"/>
          <w:highlight w:val="none"/>
        </w:rPr>
        <w:t>三、支出决算表</w:t>
      </w:r>
      <w:bookmarkEnd w:id="67"/>
    </w:p>
    <w:p w14:paraId="5D0D516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2"/>
      <w:r>
        <w:rPr>
          <w:rFonts w:hint="eastAsia" w:ascii="Times New Roman" w:hAnsi="Times New Roman" w:eastAsia="仿宋_GB2312" w:cs="仿宋_GB2312"/>
          <w:color w:val="auto"/>
          <w:sz w:val="32"/>
          <w:szCs w:val="32"/>
          <w:highlight w:val="none"/>
        </w:rPr>
        <w:t>四、财政拨款收入支出决算总表</w:t>
      </w:r>
      <w:bookmarkEnd w:id="68"/>
    </w:p>
    <w:p w14:paraId="7820AFFF">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3"/>
      <w:r>
        <w:rPr>
          <w:rFonts w:hint="eastAsia" w:ascii="Times New Roman" w:hAnsi="Times New Roman" w:eastAsia="仿宋_GB2312" w:cs="仿宋_GB2312"/>
          <w:color w:val="auto"/>
          <w:sz w:val="32"/>
          <w:szCs w:val="32"/>
          <w:highlight w:val="none"/>
        </w:rPr>
        <w:t>五、财政拨款支出决算明细表</w:t>
      </w:r>
      <w:bookmarkEnd w:id="69"/>
      <w:bookmarkStart w:id="70" w:name="_Toc15396624"/>
    </w:p>
    <w:p w14:paraId="5FA9C740">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0"/>
    </w:p>
    <w:p w14:paraId="2B3CE70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5"/>
      <w:r>
        <w:rPr>
          <w:rFonts w:hint="eastAsia" w:ascii="Times New Roman" w:hAnsi="Times New Roman" w:eastAsia="仿宋_GB2312" w:cs="仿宋_GB2312"/>
          <w:color w:val="auto"/>
          <w:sz w:val="32"/>
          <w:szCs w:val="32"/>
          <w:highlight w:val="none"/>
        </w:rPr>
        <w:t>七、一般公共预算财政拨款支出决算明细表</w:t>
      </w:r>
      <w:bookmarkEnd w:id="71"/>
    </w:p>
    <w:p w14:paraId="4DE7F5D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6"/>
      <w:r>
        <w:rPr>
          <w:rFonts w:hint="eastAsia" w:ascii="Times New Roman" w:hAnsi="Times New Roman" w:eastAsia="仿宋_GB2312" w:cs="仿宋_GB2312"/>
          <w:color w:val="auto"/>
          <w:sz w:val="32"/>
          <w:szCs w:val="32"/>
          <w:highlight w:val="none"/>
        </w:rPr>
        <w:t>八、一般公共预算财政拨款基本支出决算表</w:t>
      </w:r>
      <w:bookmarkEnd w:id="72"/>
    </w:p>
    <w:p w14:paraId="542E1C91">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7"/>
      <w:r>
        <w:rPr>
          <w:rFonts w:hint="eastAsia" w:ascii="Times New Roman" w:hAnsi="Times New Roman" w:eastAsia="仿宋_GB2312" w:cs="仿宋_GB2312"/>
          <w:color w:val="auto"/>
          <w:sz w:val="32"/>
          <w:szCs w:val="32"/>
          <w:highlight w:val="none"/>
        </w:rPr>
        <w:t>九、一般公共预算财政拨款项目支出决算表</w:t>
      </w:r>
      <w:bookmarkEnd w:id="73"/>
    </w:p>
    <w:p w14:paraId="56D1FE74">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8"/>
      <w:r>
        <w:rPr>
          <w:rFonts w:hint="eastAsia" w:ascii="Times New Roman" w:hAnsi="Times New Roman" w:eastAsia="仿宋_GB2312" w:cs="仿宋_GB2312"/>
          <w:color w:val="auto"/>
          <w:sz w:val="32"/>
          <w:szCs w:val="32"/>
          <w:highlight w:val="none"/>
        </w:rPr>
        <w:t>十、</w:t>
      </w:r>
      <w:bookmarkEnd w:id="74"/>
      <w:r>
        <w:rPr>
          <w:rFonts w:hint="eastAsia" w:ascii="Times New Roman" w:hAnsi="Times New Roman" w:eastAsia="仿宋_GB2312" w:cs="仿宋_GB2312"/>
          <w:color w:val="auto"/>
          <w:sz w:val="32"/>
          <w:szCs w:val="32"/>
          <w:highlight w:val="none"/>
        </w:rPr>
        <w:t>政府性基金预算财政拨款收入支出决算表</w:t>
      </w:r>
    </w:p>
    <w:p w14:paraId="3733BD4E">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9"/>
      <w:r>
        <w:rPr>
          <w:rFonts w:hint="eastAsia" w:ascii="Times New Roman" w:hAnsi="Times New Roman" w:eastAsia="仿宋_GB2312" w:cs="仿宋_GB2312"/>
          <w:color w:val="auto"/>
          <w:sz w:val="32"/>
          <w:szCs w:val="32"/>
          <w:highlight w:val="none"/>
        </w:rPr>
        <w:t>十一、</w:t>
      </w:r>
      <w:bookmarkEnd w:id="7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ADC7D2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30"/>
      <w:r>
        <w:rPr>
          <w:rFonts w:hint="eastAsia" w:ascii="Times New Roman" w:hAnsi="Times New Roman" w:eastAsia="仿宋_GB2312" w:cs="仿宋_GB2312"/>
          <w:color w:val="auto"/>
          <w:sz w:val="32"/>
          <w:szCs w:val="32"/>
          <w:highlight w:val="none"/>
        </w:rPr>
        <w:t>十二、</w:t>
      </w:r>
      <w:bookmarkEnd w:id="76"/>
      <w:r>
        <w:rPr>
          <w:rFonts w:hint="eastAsia" w:ascii="Times New Roman" w:hAnsi="Times New Roman" w:eastAsia="仿宋_GB2312" w:cs="仿宋_GB2312"/>
          <w:color w:val="auto"/>
          <w:sz w:val="32"/>
          <w:szCs w:val="32"/>
          <w:highlight w:val="none"/>
          <w:lang w:eastAsia="zh-CN"/>
        </w:rPr>
        <w:t>国有资本经营预算财政拨款支出决算表</w:t>
      </w:r>
    </w:p>
    <w:p w14:paraId="3614143A">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7" w:name="_Toc15396631"/>
      <w:r>
        <w:rPr>
          <w:rFonts w:hint="eastAsia" w:ascii="Times New Roman" w:hAnsi="Times New Roman" w:eastAsia="仿宋_GB2312" w:cs="仿宋_GB2312"/>
          <w:color w:val="auto"/>
          <w:sz w:val="32"/>
          <w:szCs w:val="32"/>
          <w:highlight w:val="none"/>
        </w:rPr>
        <w:t>十三、</w:t>
      </w:r>
      <w:bookmarkEnd w:id="77"/>
      <w:r>
        <w:rPr>
          <w:rFonts w:hint="eastAsia" w:ascii="Times New Roman" w:hAnsi="Times New Roman" w:eastAsia="仿宋_GB2312" w:cs="仿宋_GB2312"/>
          <w:color w:val="auto"/>
          <w:sz w:val="32"/>
          <w:szCs w:val="32"/>
          <w:highlight w:val="none"/>
          <w:lang w:eastAsia="zh-CN"/>
        </w:rPr>
        <w:t>财政拨款“三公”经费支出决算表</w:t>
      </w:r>
    </w:p>
    <w:p w14:paraId="1E56927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思源宋体">
    <w:panose1 w:val="02020400000000000000"/>
    <w:charset w:val="86"/>
    <w:family w:val="auto"/>
    <w:pitch w:val="default"/>
    <w:sig w:usb0="30000083" w:usb1="2BDF3C10" w:usb2="00000016" w:usb3="00000000" w:csb0="602E0107"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0F085">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4956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A949560">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7902A4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5D860">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9DED8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9DED8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6438D">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D70F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8FD70FB">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760EE39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CA511">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494B8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494B8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CBAD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92BE6C"/>
    <w:multiLevelType w:val="singleLevel"/>
    <w:tmpl w:val="D492BE6C"/>
    <w:lvl w:ilvl="0" w:tentative="0">
      <w:start w:val="1"/>
      <w:numFmt w:val="decimal"/>
      <w:lvlText w:val="%1."/>
      <w:lvlJc w:val="left"/>
      <w:pPr>
        <w:tabs>
          <w:tab w:val="left" w:pos="312"/>
        </w:tabs>
      </w:pPr>
    </w:lvl>
  </w:abstractNum>
  <w:abstractNum w:abstractNumId="1">
    <w:nsid w:val="7D4E35B6"/>
    <w:multiLevelType w:val="singleLevel"/>
    <w:tmpl w:val="7D4E35B6"/>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4B00170"/>
    <w:rsid w:val="061E35DE"/>
    <w:rsid w:val="066E0107"/>
    <w:rsid w:val="07996F6E"/>
    <w:rsid w:val="07DFD8BA"/>
    <w:rsid w:val="08801B99"/>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A52A16"/>
    <w:rsid w:val="16BB723D"/>
    <w:rsid w:val="186504BB"/>
    <w:rsid w:val="1938089F"/>
    <w:rsid w:val="19A445FC"/>
    <w:rsid w:val="1A8340C4"/>
    <w:rsid w:val="1B7D550C"/>
    <w:rsid w:val="1BE8440E"/>
    <w:rsid w:val="1D155CEE"/>
    <w:rsid w:val="1E740ACF"/>
    <w:rsid w:val="1FF35744"/>
    <w:rsid w:val="1FF6BC77"/>
    <w:rsid w:val="204D1787"/>
    <w:rsid w:val="21962A9E"/>
    <w:rsid w:val="21AE7C77"/>
    <w:rsid w:val="22AD784A"/>
    <w:rsid w:val="22B049EC"/>
    <w:rsid w:val="22BC3C41"/>
    <w:rsid w:val="231D2C1B"/>
    <w:rsid w:val="23860B96"/>
    <w:rsid w:val="240371BF"/>
    <w:rsid w:val="248E664A"/>
    <w:rsid w:val="260F557C"/>
    <w:rsid w:val="281408E2"/>
    <w:rsid w:val="29FD04D3"/>
    <w:rsid w:val="2AEE2DFF"/>
    <w:rsid w:val="2BFF7BC6"/>
    <w:rsid w:val="2C8A61B5"/>
    <w:rsid w:val="2D2E01CF"/>
    <w:rsid w:val="2DF04E50"/>
    <w:rsid w:val="2E9545B0"/>
    <w:rsid w:val="2F040D46"/>
    <w:rsid w:val="2FAE5751"/>
    <w:rsid w:val="2FB1A395"/>
    <w:rsid w:val="2FD9A7D8"/>
    <w:rsid w:val="319F7F4E"/>
    <w:rsid w:val="321B2544"/>
    <w:rsid w:val="3304709D"/>
    <w:rsid w:val="33D80B31"/>
    <w:rsid w:val="34281836"/>
    <w:rsid w:val="346B74B1"/>
    <w:rsid w:val="349D6851"/>
    <w:rsid w:val="35BA6CAF"/>
    <w:rsid w:val="364D14C1"/>
    <w:rsid w:val="36AA5135"/>
    <w:rsid w:val="36BE0DA7"/>
    <w:rsid w:val="376B6AA6"/>
    <w:rsid w:val="376D39B2"/>
    <w:rsid w:val="377323FA"/>
    <w:rsid w:val="37E16F03"/>
    <w:rsid w:val="37F53A3B"/>
    <w:rsid w:val="389B6C89"/>
    <w:rsid w:val="38D469F0"/>
    <w:rsid w:val="39627CCD"/>
    <w:rsid w:val="397BAF1F"/>
    <w:rsid w:val="3AB79AF3"/>
    <w:rsid w:val="3B726772"/>
    <w:rsid w:val="3B7EF35A"/>
    <w:rsid w:val="3B9FDB6C"/>
    <w:rsid w:val="3BF5BC2F"/>
    <w:rsid w:val="3CEBA265"/>
    <w:rsid w:val="3D625E77"/>
    <w:rsid w:val="3D98207C"/>
    <w:rsid w:val="3D9B0D99"/>
    <w:rsid w:val="3DEE7CF3"/>
    <w:rsid w:val="3DF02244"/>
    <w:rsid w:val="3DF97B88"/>
    <w:rsid w:val="3E78745D"/>
    <w:rsid w:val="3FF4CAE0"/>
    <w:rsid w:val="3FF7B227"/>
    <w:rsid w:val="40063D93"/>
    <w:rsid w:val="40E54C45"/>
    <w:rsid w:val="43A407DF"/>
    <w:rsid w:val="44515BEA"/>
    <w:rsid w:val="44E268DA"/>
    <w:rsid w:val="453F7E5B"/>
    <w:rsid w:val="486A6C7A"/>
    <w:rsid w:val="487169C7"/>
    <w:rsid w:val="49176D9B"/>
    <w:rsid w:val="49EF0196"/>
    <w:rsid w:val="4A627F82"/>
    <w:rsid w:val="4B0E749A"/>
    <w:rsid w:val="4B4F25DA"/>
    <w:rsid w:val="4BDA0CFB"/>
    <w:rsid w:val="4BE068DB"/>
    <w:rsid w:val="4D3C0CCC"/>
    <w:rsid w:val="4D577224"/>
    <w:rsid w:val="4DB36C93"/>
    <w:rsid w:val="4DBF1CEB"/>
    <w:rsid w:val="4E027201"/>
    <w:rsid w:val="4EAB630A"/>
    <w:rsid w:val="4ECE2238"/>
    <w:rsid w:val="4F833267"/>
    <w:rsid w:val="4FE9BD67"/>
    <w:rsid w:val="4FFB052F"/>
    <w:rsid w:val="53083A92"/>
    <w:rsid w:val="537E6D0A"/>
    <w:rsid w:val="53AF27A2"/>
    <w:rsid w:val="53F74C96"/>
    <w:rsid w:val="557B5A37"/>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4E95EBA"/>
    <w:rsid w:val="664B1D71"/>
    <w:rsid w:val="67AA3209"/>
    <w:rsid w:val="681C4F0D"/>
    <w:rsid w:val="69046D0F"/>
    <w:rsid w:val="698D0931"/>
    <w:rsid w:val="6A993CED"/>
    <w:rsid w:val="6B053271"/>
    <w:rsid w:val="6BCE6674"/>
    <w:rsid w:val="6C4A05C8"/>
    <w:rsid w:val="6C8742B8"/>
    <w:rsid w:val="6C8A170F"/>
    <w:rsid w:val="6CB54609"/>
    <w:rsid w:val="6DBA3903"/>
    <w:rsid w:val="6DBF5E93"/>
    <w:rsid w:val="6DC21731"/>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9F0785"/>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7FF6D50"/>
    <w:rsid w:val="79086DAD"/>
    <w:rsid w:val="79974F09"/>
    <w:rsid w:val="799F24F5"/>
    <w:rsid w:val="79D7FD79"/>
    <w:rsid w:val="79EE5BA4"/>
    <w:rsid w:val="7A894339"/>
    <w:rsid w:val="7AFF7572"/>
    <w:rsid w:val="7B6C7DFB"/>
    <w:rsid w:val="7BBFBED0"/>
    <w:rsid w:val="7BC3E394"/>
    <w:rsid w:val="7C1F3737"/>
    <w:rsid w:val="7CBFC87B"/>
    <w:rsid w:val="7CFE0F48"/>
    <w:rsid w:val="7D651490"/>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index 6"/>
    <w:basedOn w:val="1"/>
    <w:next w:val="1"/>
    <w:qFormat/>
    <w:uiPriority w:val="0"/>
    <w:pPr>
      <w:ind w:left="2100"/>
      <w:jc w:val="left"/>
    </w:pPr>
    <w:rPr>
      <w:rFonts w:hint="eastAsia" w:ascii="宋体" w:hAnsi="宋体" w:eastAsia="宋体" w:cs="宋体"/>
      <w:kern w:val="0"/>
      <w:sz w:val="24"/>
      <w:szCs w:val="24"/>
      <w:lang w:val="en-US" w:eastAsia="zh-CN" w:bidi="ar"/>
    </w:rPr>
  </w:style>
  <w:style w:type="paragraph" w:styleId="6">
    <w:name w:val="index 8"/>
    <w:basedOn w:val="1"/>
    <w:next w:val="1"/>
    <w:qFormat/>
    <w:uiPriority w:val="99"/>
    <w:pPr>
      <w:ind w:left="2940"/>
    </w:pPr>
  </w:style>
  <w:style w:type="paragraph" w:styleId="7">
    <w:name w:val="Body Text"/>
    <w:basedOn w:val="1"/>
    <w:next w:val="6"/>
    <w:link w:val="27"/>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7">
    <w:name w:val="NormalCharacter"/>
    <w:semiHidden/>
    <w:qFormat/>
    <w:uiPriority w:val="0"/>
    <w:rPr>
      <w:kern w:val="2"/>
      <w:sz w:val="21"/>
      <w:szCs w:val="24"/>
      <w:lang w:val="en-US" w:eastAsia="zh-CN" w:bidi="ar-SA"/>
    </w:rPr>
  </w:style>
  <w:style w:type="paragraph" w:customStyle="1" w:styleId="38">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15\xwechat_files\wxid_j3wyrhkou2n121_b56f\msg\file\2026-10\Sheet_20261018(6).csv"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15\xwechat_files\wxid_j3wyrhkou2n121_b56f\msg\file\2026-10\Sheet_20261018(1).csv"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15\xwechat_files\wxid_j3wyrhkou2n121_b56f\msg\file\2026-10\Sheet_20261018(5).csv"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15\xwechat_files\wxid_j3wyrhkou2n121_b56f\msg\file\2026-10\Sheet_20261020(1).csv"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15\xwechat_files\wxid_j3wyrhkou2n121_b56f\msg\file\2026-10\Sheet_20261019.csv"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15\xwechat_files\wxid_j3wyrhkou2n121_b56f\msg\file\2026-10\Sheet_20261019(1).csv"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15\xwechat_files\wxid_j3wyrhkou2n121_b56f\msg\file\2026-10\Sheet_20261019(2).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'Sheet_20261018(6).csv'!$A$2</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'Sheet_20261018(6).csv'!$B$1:$C$1</c:f>
              <c:strCache>
                <c:ptCount val="2"/>
                <c:pt idx="0">
                  <c:v>收入总计</c:v>
                </c:pt>
                <c:pt idx="1">
                  <c:v>支出总计</c:v>
                </c:pt>
              </c:strCache>
            </c:strRef>
          </c:cat>
          <c:val>
            <c:numRef>
              <c:f>'Sheet_20261018(6).csv'!$B$2:$C$2</c:f>
              <c:numCache>
                <c:formatCode>General</c:formatCode>
                <c:ptCount val="2"/>
                <c:pt idx="0">
                  <c:v>476.09</c:v>
                </c:pt>
                <c:pt idx="1">
                  <c:v>462.97</c:v>
                </c:pt>
              </c:numCache>
            </c:numRef>
          </c:val>
        </c:ser>
        <c:ser>
          <c:idx val="1"/>
          <c:order val="1"/>
          <c:tx>
            <c:strRef>
              <c:f>'Sheet_20261018(6).csv'!$A$3</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'Sheet_20261018(6).csv'!$B$1:$C$1</c:f>
              <c:strCache>
                <c:ptCount val="2"/>
                <c:pt idx="0">
                  <c:v>收入总计</c:v>
                </c:pt>
                <c:pt idx="1">
                  <c:v>支出总计</c:v>
                </c:pt>
              </c:strCache>
            </c:strRef>
          </c:cat>
          <c:val>
            <c:numRef>
              <c:f>'Sheet_20261018(6).csv'!$B$3:$C$3</c:f>
              <c:numCache>
                <c:formatCode>General</c:formatCode>
                <c:ptCount val="2"/>
                <c:pt idx="0">
                  <c:v>317.52</c:v>
                </c:pt>
                <c:pt idx="1">
                  <c:v>311.22</c:v>
                </c:pt>
              </c:numCache>
            </c:numRef>
          </c:val>
        </c:ser>
        <c:dLbls>
          <c:showLegendKey val="0"/>
          <c:showVal val="1"/>
          <c:showCatName val="0"/>
          <c:showSerName val="0"/>
          <c:showPercent val="0"/>
          <c:showBubbleSize val="0"/>
        </c:dLbls>
        <c:gapWidth val="150"/>
        <c:overlap val="-25"/>
        <c:axId val="204346143"/>
        <c:axId val="177979295"/>
      </c:barChart>
      <c:catAx>
        <c:axId val="2043461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979295"/>
        <c:crosses val="autoZero"/>
        <c:auto val="1"/>
        <c:lblAlgn val="ctr"/>
        <c:lblOffset val="100"/>
        <c:noMultiLvlLbl val="0"/>
      </c:catAx>
      <c:valAx>
        <c:axId val="177979295"/>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434614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b411159-dd50-4f55-b8e5-6fe4315af57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'Sheet_20261018(1).csv'!$B$1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'Sheet_20261018(1).csv'!$A$2:$A$4</c:f>
              <c:strCache>
                <c:ptCount val="3"/>
                <c:pt idx="0">
                  <c:v>一般公共预算财政拨款收入</c:v>
                </c:pt>
                <c:pt idx="1">
                  <c:v>政府性基金预算财政拨款收入</c:v>
                </c:pt>
                <c:pt idx="2">
                  <c:v>年初结转和结余收入</c:v>
                </c:pt>
              </c:strCache>
            </c:strRef>
          </c:cat>
          <c:val>
            <c:numRef>
              <c:f>'Sheet_20261018(1).csv'!$B$2:$B$4</c:f>
              <c:numCache>
                <c:formatCode>General</c:formatCode>
                <c:ptCount val="3"/>
                <c:pt idx="0">
                  <c:v>292.36</c:v>
                </c:pt>
                <c:pt idx="1">
                  <c:v>12.04</c:v>
                </c:pt>
                <c:pt idx="2">
                  <c:v>13.12</c:v>
                </c:pt>
              </c:numCache>
            </c:numRef>
          </c:val>
        </c:ser>
        <c:ser>
          <c:idx val="1"/>
          <c:order val="1"/>
          <c:tx>
            <c:strRef>
              <c:f>'Sheet_20261018(1).csv'!$C$1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'Sheet_20261018(1).csv'!$A$2:$A$4</c:f>
              <c:strCache>
                <c:ptCount val="3"/>
                <c:pt idx="0">
                  <c:v>一般公共预算财政拨款收入</c:v>
                </c:pt>
                <c:pt idx="1">
                  <c:v>政府性基金预算财政拨款收入</c:v>
                </c:pt>
                <c:pt idx="2">
                  <c:v>年初结转和结余收入</c:v>
                </c:pt>
              </c:strCache>
            </c:strRef>
          </c:cat>
          <c:val>
            <c:numRef>
              <c:f>'Sheet_20261018(1).csv'!$C$2:$C$4</c:f>
              <c:numCache>
                <c:formatCode>0.00%</c:formatCode>
                <c:ptCount val="3"/>
                <c:pt idx="0">
                  <c:v>0.9208</c:v>
                </c:pt>
                <c:pt idx="1">
                  <c:v>0.0379</c:v>
                </c:pt>
                <c:pt idx="2">
                  <c:v>0.0413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fd92dca-b62b-4729-9b31-9eb6277d0e0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'Sheet_20261018(5).csv'!$B$1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'Sheet_20261018(5).csv'!$A$2:$A$4</c:f>
              <c:strCache>
                <c:ptCount val="3"/>
                <c:pt idx="0">
                  <c:v>基本支出</c:v>
                </c:pt>
                <c:pt idx="1">
                  <c:v>项目支出</c:v>
                </c:pt>
                <c:pt idx="2">
                  <c:v>图例：■基本支出 ■项目支出</c:v>
                </c:pt>
              </c:strCache>
            </c:strRef>
          </c:cat>
          <c:val>
            <c:numRef>
              <c:f>'Sheet_20261018(5).csv'!$B$2:$B$4</c:f>
              <c:numCache>
                <c:formatCode>General</c:formatCode>
                <c:ptCount val="3"/>
                <c:pt idx="0">
                  <c:v>140.99</c:v>
                </c:pt>
                <c:pt idx="1">
                  <c:v>170.23</c:v>
                </c:pt>
              </c:numCache>
            </c:numRef>
          </c:val>
        </c:ser>
        <c:ser>
          <c:idx val="1"/>
          <c:order val="1"/>
          <c:tx>
            <c:strRef>
              <c:f>'Sheet_20261018(5).csv'!$C$1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'Sheet_20261018(5).csv'!$A$2:$A$4</c:f>
              <c:strCache>
                <c:ptCount val="3"/>
                <c:pt idx="0">
                  <c:v>基本支出</c:v>
                </c:pt>
                <c:pt idx="1">
                  <c:v>项目支出</c:v>
                </c:pt>
                <c:pt idx="2">
                  <c:v>图例：■基本支出 ■项目支出</c:v>
                </c:pt>
              </c:strCache>
            </c:strRef>
          </c:cat>
          <c:val>
            <c:numRef>
              <c:f>'Sheet_20261018(5).csv'!$C$2:$C$4</c:f>
              <c:numCache>
                <c:formatCode>0.00%</c:formatCode>
                <c:ptCount val="3"/>
                <c:pt idx="0">
                  <c:v>0.453</c:v>
                </c:pt>
                <c:pt idx="1">
                  <c:v>0.547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ayout>
        <c:manualLayout>
          <c:xMode val="edge"/>
          <c:yMode val="edge"/>
          <c:x val="0.382727814175104"/>
          <c:y val="0.9111969111969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4a8038-9272-40d5-b427-af948b52f90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财政拨款收入、支出情况图</a:t>
            </a:r>
          </a:p>
        </c:rich>
      </c:tx>
      <c:layout/>
      <c:overlay val="0"/>
      <c:spPr>
        <a:noFill/>
        <a:ln>
          <a:noFill/>
        </a:ln>
        <a:effectLst/>
      </c:spPr>
    </c:title>
    <c:autoTitleDeleted val="0"/>
    <c:plotArea>
      <c:layout/>
      <c:barChart>
        <c:barDir val="col"/>
        <c:grouping val="clustered"/>
        <c:varyColors val="0"/>
        <c:ser>
          <c:idx val="0"/>
          <c:order val="0"/>
          <c:tx>
            <c:strRef>
              <c:f>'Sheet_20261020(1).csv'!$A$2</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'Sheet_20261020(1).csv'!$B$1:$C$1</c:f>
              <c:strCache>
                <c:ptCount val="2"/>
                <c:pt idx="0">
                  <c:v>2024年</c:v>
                </c:pt>
                <c:pt idx="1">
                  <c:v>2025年</c:v>
                </c:pt>
              </c:strCache>
            </c:strRef>
          </c:cat>
          <c:val>
            <c:numRef>
              <c:f>'Sheet_20261020(1).csv'!$B$2:$C$2</c:f>
              <c:numCache>
                <c:formatCode>General</c:formatCode>
                <c:ptCount val="2"/>
                <c:pt idx="0">
                  <c:v>476.09</c:v>
                </c:pt>
                <c:pt idx="1">
                  <c:v>317.52</c:v>
                </c:pt>
              </c:numCache>
            </c:numRef>
          </c:val>
        </c:ser>
        <c:ser>
          <c:idx val="1"/>
          <c:order val="1"/>
          <c:tx>
            <c:strRef>
              <c:f>'Sheet_20261020(1).csv'!$A$3</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'Sheet_20261020(1).csv'!$B$1:$C$1</c:f>
              <c:strCache>
                <c:ptCount val="2"/>
                <c:pt idx="0">
                  <c:v>2024年</c:v>
                </c:pt>
                <c:pt idx="1">
                  <c:v>2025年</c:v>
                </c:pt>
              </c:strCache>
            </c:strRef>
          </c:cat>
          <c:val>
            <c:numRef>
              <c:f>'Sheet_20261020(1).csv'!$B$3:$C$3</c:f>
              <c:numCache>
                <c:formatCode>General</c:formatCode>
                <c:ptCount val="2"/>
                <c:pt idx="0">
                  <c:v>462.97</c:v>
                </c:pt>
                <c:pt idx="1">
                  <c:v>311.22</c:v>
                </c:pt>
              </c:numCache>
            </c:numRef>
          </c:val>
        </c:ser>
        <c:dLbls>
          <c:showLegendKey val="0"/>
          <c:showVal val="1"/>
          <c:showCatName val="0"/>
          <c:showSerName val="0"/>
          <c:showPercent val="0"/>
          <c:showBubbleSize val="0"/>
        </c:dLbls>
        <c:gapWidth val="219"/>
        <c:overlap val="-27"/>
        <c:axId val="412940334"/>
        <c:axId val="51524485"/>
      </c:barChart>
      <c:catAx>
        <c:axId val="41294033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524485"/>
        <c:crosses val="autoZero"/>
        <c:auto val="1"/>
        <c:lblAlgn val="ctr"/>
        <c:lblOffset val="100"/>
        <c:noMultiLvlLbl val="0"/>
      </c:catAx>
      <c:valAx>
        <c:axId val="5152448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294033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bfa61bf-5a39-41f0-8b07-37b46e8b3c7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Sheet_20261019.csv!$A$1:$B$1</c:f>
              <c:strCache>
                <c:ptCount val="2"/>
                <c:pt idx="0">
                  <c:v>年份</c:v>
                </c:pt>
                <c:pt idx="1">
                  <c:v>一般公共预算财政拨款支出（万元）</c:v>
                </c:pt>
              </c:strCache>
            </c:strRef>
          </c:cat>
          <c:val>
            <c:numRef>
              <c:f>Sheet_20261019.csv!$A$2:$B$2</c:f>
              <c:numCache>
                <c:formatCode>General</c:formatCode>
                <c:ptCount val="2"/>
                <c:pt idx="0">
                  <c:v>2024</c:v>
                </c:pt>
                <c:pt idx="1">
                  <c:v>426.9</c:v>
                </c:pt>
              </c:numCache>
            </c:numRef>
          </c:val>
        </c:ser>
        <c:ser>
          <c:idx val="1"/>
          <c:order val="1"/>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Sheet_20261019.csv!$A$1:$B$1</c:f>
              <c:strCache>
                <c:ptCount val="2"/>
                <c:pt idx="0">
                  <c:v>年份</c:v>
                </c:pt>
                <c:pt idx="1">
                  <c:v>一般公共预算财政拨款支出（万元）</c:v>
                </c:pt>
              </c:strCache>
            </c:strRef>
          </c:cat>
          <c:val>
            <c:numRef>
              <c:f>Sheet_20261019.csv!$A$3:$B$3</c:f>
              <c:numCache>
                <c:formatCode>General</c:formatCode>
                <c:ptCount val="2"/>
                <c:pt idx="0">
                  <c:v>2025</c:v>
                </c:pt>
                <c:pt idx="1">
                  <c:v>292.36</c:v>
                </c:pt>
              </c:numCache>
            </c:numRef>
          </c:val>
        </c:ser>
        <c:dLbls>
          <c:showLegendKey val="0"/>
          <c:showVal val="1"/>
          <c:showCatName val="0"/>
          <c:showSerName val="0"/>
          <c:showPercent val="0"/>
          <c:showBubbleSize val="0"/>
        </c:dLbls>
        <c:gapWidth val="150"/>
        <c:overlap val="0"/>
        <c:axId val="121502300"/>
        <c:axId val="458262269"/>
      </c:barChart>
      <c:catAx>
        <c:axId val="1215023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8262269"/>
        <c:crosses val="autoZero"/>
        <c:auto val="1"/>
        <c:lblAlgn val="ctr"/>
        <c:lblOffset val="100"/>
        <c:noMultiLvlLbl val="0"/>
      </c:catAx>
      <c:valAx>
        <c:axId val="45826226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15023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9b0eaa08-8305-456b-a7c9-d6236e3f858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'Sheet_20261019(1).csv'!$B$1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'Sheet_20261019(1).csv'!$A$2:$A$4</c:f>
              <c:strCache>
                <c:ptCount val="3"/>
                <c:pt idx="0">
                  <c:v>社会保障和就业支出</c:v>
                </c:pt>
                <c:pt idx="1">
                  <c:v>卫生健康支出</c:v>
                </c:pt>
                <c:pt idx="2">
                  <c:v>住房保障支出</c:v>
                </c:pt>
              </c:strCache>
            </c:strRef>
          </c:cat>
          <c:val>
            <c:numRef>
              <c:f>'Sheet_20261019(1).csv'!$B$2:$B$4</c:f>
              <c:numCache>
                <c:formatCode>General</c:formatCode>
                <c:ptCount val="3"/>
                <c:pt idx="0">
                  <c:v>275.06</c:v>
                </c:pt>
                <c:pt idx="1">
                  <c:v>7.03</c:v>
                </c:pt>
                <c:pt idx="2">
                  <c:v>10.27</c:v>
                </c:pt>
              </c:numCache>
            </c:numRef>
          </c:val>
        </c:ser>
        <c:ser>
          <c:idx val="1"/>
          <c:order val="1"/>
          <c:tx>
            <c:strRef>
              <c:f>'Sheet_20261019(1).csv'!$C$1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'Sheet_20261019(1).csv'!$A$2:$A$4</c:f>
              <c:strCache>
                <c:ptCount val="3"/>
                <c:pt idx="0">
                  <c:v>社会保障和就业支出</c:v>
                </c:pt>
                <c:pt idx="1">
                  <c:v>卫生健康支出</c:v>
                </c:pt>
                <c:pt idx="2">
                  <c:v>住房保障支出</c:v>
                </c:pt>
              </c:strCache>
            </c:strRef>
          </c:cat>
          <c:val>
            <c:numRef>
              <c:f>'Sheet_20261019(1).csv'!$C$2:$C$4</c:f>
              <c:numCache>
                <c:formatCode>0.00%</c:formatCode>
                <c:ptCount val="3"/>
                <c:pt idx="0">
                  <c:v>0.9408</c:v>
                </c:pt>
                <c:pt idx="1">
                  <c:v>0.024</c:v>
                </c:pt>
                <c:pt idx="2">
                  <c:v>0.0351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9c9fdc3-2766-4b5c-8837-61a5ca65e7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tx>
            <c:strRef>
              <c:f>'Sheet_20261019(2).csv'!$B$1</c:f>
              <c:strCache>
                <c:ptCount val="1"/>
                <c:pt idx="0">
                  <c:v>金额（万元）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'Sheet_20261019(2).csv'!$A$2:$A$4</c:f>
              <c:strCache>
                <c:ptCount val="3"/>
                <c:pt idx="0">
                  <c:v>因公出国（境）费</c:v>
                </c:pt>
                <c:pt idx="1">
                  <c:v>公务用车购置及运行维护费</c:v>
                </c:pt>
                <c:pt idx="2">
                  <c:v>公务接待费</c:v>
                </c:pt>
              </c:strCache>
            </c:strRef>
          </c:cat>
          <c:val>
            <c:numRef>
              <c:f>'Sheet_20261019(2).csv'!$B$2:$B$4</c:f>
              <c:numCache>
                <c:formatCode>General</c:formatCode>
                <c:ptCount val="3"/>
                <c:pt idx="0">
                  <c:v>0</c:v>
                </c:pt>
                <c:pt idx="1">
                  <c:v>3.9</c:v>
                </c:pt>
                <c:pt idx="2">
                  <c:v>0</c:v>
                </c:pt>
              </c:numCache>
            </c:numRef>
          </c:val>
        </c:ser>
        <c:ser>
          <c:idx val="1"/>
          <c:order val="1"/>
          <c:tx>
            <c:strRef>
              <c:f>'Sheet_20261019(2).csv'!$C$1</c:f>
              <c:strCache>
                <c:ptCount val="1"/>
                <c:pt idx="0">
                  <c:v>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'Sheet_20261019(2).csv'!$A$2:$A$4</c:f>
              <c:strCache>
                <c:ptCount val="3"/>
                <c:pt idx="0">
                  <c:v>因公出国（境）费</c:v>
                </c:pt>
                <c:pt idx="1">
                  <c:v>公务用车购置及运行维护费</c:v>
                </c:pt>
                <c:pt idx="2">
                  <c:v>公务接待费</c:v>
                </c:pt>
              </c:strCache>
            </c:strRef>
          </c:cat>
          <c:val>
            <c:numRef>
              <c:f>'Sheet_20261019(2).csv'!$C$2:$C$4</c:f>
              <c:numCache>
                <c:formatCode>0%</c:formatCode>
                <c:ptCount val="3"/>
                <c:pt idx="0">
                  <c:v>0</c:v>
                </c:pt>
                <c:pt idx="1">
                  <c:v>1</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7bf171-7c9b-4c5e-acb5-4918886cfc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36</Pages>
  <Words>1299</Words>
  <Characters>7410</Characters>
  <Lines>61</Lines>
  <Paragraphs>17</Paragraphs>
  <TotalTime>16</TotalTime>
  <ScaleCrop>false</ScaleCrop>
  <LinksUpToDate>false</LinksUpToDate>
  <CharactersWithSpaces>8692</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huawei</cp:lastModifiedBy>
  <cp:lastPrinted>2026-08-03T17:27:00Z</cp:lastPrinted>
  <dcterms:modified xsi:type="dcterms:W3CDTF">2026-10-22T10:17:17Z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D9FC9C76B976401F2D72D96A5282801F_43</vt:lpwstr>
  </property>
</Properties>
</file>