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pageBreakBefore w:val="0"/>
        <w:kinsoku/>
        <w:wordWrap/>
        <w:overflowPunct/>
        <w:topLinePunct w:val="0"/>
        <w:autoSpaceDE/>
        <w:autoSpaceDN/>
        <w:bidi w:val="0"/>
        <w:spacing w:beforeLines="0" w:line="560" w:lineRule="exact"/>
        <w:ind w:left="0" w:leftChars="0" w:right="0" w:rightChars="0" w:firstLine="640" w:firstLineChars="200"/>
        <w:jc w:val="both"/>
        <w:textAlignment w:val="auto"/>
        <w:outlineLvl w:val="9"/>
        <w:rPr>
          <w:rFonts w:hint="eastAsia" w:ascii="黑体" w:hAnsi="黑体" w:eastAsia="黑体" w:cs="黑体"/>
          <w:color w:val="auto"/>
          <w:kern w:val="2"/>
          <w:sz w:val="32"/>
          <w:szCs w:val="32"/>
          <w:highlight w:val="none"/>
          <w:lang w:val="en-US" w:eastAsia="zh-CN" w:bidi="ar-SA"/>
        </w:rPr>
      </w:pPr>
      <w:bookmarkStart w:id="0" w:name="_Toc15377425"/>
      <w:bookmarkStart w:id="1" w:name="_Toc15396597"/>
      <w:bookmarkStart w:id="2" w:name="_Toc15378441"/>
      <w:bookmarkStart w:id="3" w:name="_Toc15396475"/>
      <w:bookmarkStart w:id="4" w:name="_Toc15377193"/>
      <w:bookmarkStart w:id="5" w:name="_Toc15306267"/>
      <w:r>
        <w:rPr>
          <w:rFonts w:hint="eastAsia" w:ascii="黑体" w:hAnsi="黑体" w:eastAsia="黑体" w:cs="黑体"/>
          <w:color w:val="auto"/>
          <w:kern w:val="2"/>
          <w:sz w:val="32"/>
          <w:szCs w:val="32"/>
          <w:highlight w:val="none"/>
          <w:lang w:val="en-US" w:eastAsia="zh-CN" w:bidi="ar-SA"/>
        </w:rPr>
        <w:t>附件4</w:t>
      </w:r>
    </w:p>
    <w:p>
      <w:pPr>
        <w:pStyle w:val="6"/>
        <w:pageBreakBefore w:val="0"/>
        <w:kinsoku/>
        <w:wordWrap/>
        <w:overflowPunct/>
        <w:topLinePunct w:val="0"/>
        <w:autoSpaceDE/>
        <w:autoSpaceDN/>
        <w:bidi w:val="0"/>
        <w:spacing w:beforeLines="0" w:line="560" w:lineRule="exact"/>
        <w:ind w:left="0" w:leftChars="0" w:right="0" w:rightChars="0" w:firstLine="1440" w:firstLineChars="200"/>
        <w:jc w:val="both"/>
        <w:textAlignment w:val="auto"/>
        <w:outlineLvl w:val="9"/>
        <w:rPr>
          <w:rFonts w:hint="eastAsia" w:ascii="Times New Roman" w:hAnsi="Times New Roman" w:eastAsia="方正小标宋简体" w:cs="Times New Roman"/>
          <w:color w:val="auto"/>
          <w:kern w:val="2"/>
          <w:sz w:val="72"/>
          <w:szCs w:val="72"/>
          <w:highlight w:val="none"/>
          <w:lang w:val="en-US" w:eastAsia="zh-CN" w:bidi="ar-SA"/>
        </w:rPr>
      </w:pPr>
    </w:p>
    <w:p>
      <w:pPr>
        <w:pStyle w:val="6"/>
        <w:pageBreakBefore w:val="0"/>
        <w:kinsoku/>
        <w:wordWrap/>
        <w:overflowPunct/>
        <w:topLinePunct w:val="0"/>
        <w:autoSpaceDE/>
        <w:autoSpaceDN/>
        <w:bidi w:val="0"/>
        <w:spacing w:beforeLines="0" w:line="560" w:lineRule="exact"/>
        <w:ind w:left="0" w:leftChars="0" w:right="0" w:rightChars="0" w:firstLine="1440" w:firstLineChars="200"/>
        <w:jc w:val="both"/>
        <w:textAlignment w:val="auto"/>
        <w:outlineLvl w:val="9"/>
        <w:rPr>
          <w:rFonts w:hint="eastAsia" w:ascii="Times New Roman" w:hAnsi="Times New Roman" w:eastAsia="方正小标宋简体" w:cs="Times New Roman"/>
          <w:color w:val="auto"/>
          <w:kern w:val="2"/>
          <w:sz w:val="72"/>
          <w:szCs w:val="72"/>
          <w:highlight w:val="none"/>
          <w:lang w:val="en-US" w:eastAsia="zh-CN" w:bidi="ar-SA"/>
        </w:rPr>
      </w:pPr>
    </w:p>
    <w:p>
      <w:pPr>
        <w:pStyle w:val="6"/>
        <w:pageBreakBefore w:val="0"/>
        <w:kinsoku/>
        <w:wordWrap/>
        <w:overflowPunct/>
        <w:topLinePunct w:val="0"/>
        <w:autoSpaceDE/>
        <w:autoSpaceDN/>
        <w:bidi w:val="0"/>
        <w:spacing w:beforeLines="0" w:line="560" w:lineRule="exact"/>
        <w:ind w:left="0" w:leftChars="0" w:right="0" w:rightChars="0" w:firstLine="1440" w:firstLineChars="200"/>
        <w:jc w:val="both"/>
        <w:textAlignment w:val="auto"/>
        <w:outlineLvl w:val="9"/>
        <w:rPr>
          <w:rFonts w:hint="eastAsia" w:ascii="Times New Roman" w:hAnsi="Times New Roman" w:eastAsia="方正小标宋简体" w:cs="Times New Roman"/>
          <w:color w:val="auto"/>
          <w:kern w:val="2"/>
          <w:sz w:val="72"/>
          <w:szCs w:val="72"/>
          <w:highlight w:val="none"/>
          <w:lang w:val="en-US" w:eastAsia="zh-CN" w:bidi="ar-SA"/>
        </w:rPr>
      </w:pPr>
      <w:bookmarkStart w:id="87" w:name="_GoBack"/>
      <w:bookmarkEnd w:id="87"/>
    </w:p>
    <w:p>
      <w:pPr>
        <w:pStyle w:val="6"/>
        <w:pageBreakBefore w:val="0"/>
        <w:kinsoku/>
        <w:wordWrap/>
        <w:overflowPunct/>
        <w:topLinePunct w:val="0"/>
        <w:autoSpaceDE/>
        <w:autoSpaceDN/>
        <w:bidi w:val="0"/>
        <w:spacing w:beforeLines="0" w:line="560" w:lineRule="exact"/>
        <w:ind w:left="0" w:leftChars="0" w:right="0" w:rightChars="0" w:firstLine="1440" w:firstLineChars="200"/>
        <w:jc w:val="center"/>
        <w:textAlignment w:val="auto"/>
        <w:outlineLvl w:val="9"/>
        <w:rPr>
          <w:rFonts w:hint="eastAsia" w:ascii="Times New Roman" w:hAnsi="Times New Roman" w:eastAsia="方正小标宋简体" w:cs="Times New Roman"/>
          <w:color w:val="auto"/>
          <w:kern w:val="2"/>
          <w:sz w:val="72"/>
          <w:szCs w:val="72"/>
          <w:highlight w:val="none"/>
          <w:lang w:val="en-US" w:eastAsia="zh-CN" w:bidi="ar-SA"/>
        </w:rPr>
      </w:pPr>
    </w:p>
    <w:p>
      <w:pPr>
        <w:pStyle w:val="6"/>
        <w:pageBreakBefore w:val="0"/>
        <w:kinsoku/>
        <w:wordWrap/>
        <w:overflowPunct/>
        <w:topLinePunct w:val="0"/>
        <w:autoSpaceDE/>
        <w:autoSpaceDN/>
        <w:bidi w:val="0"/>
        <w:spacing w:beforeLines="0" w:line="560" w:lineRule="exact"/>
        <w:ind w:left="0" w:leftChars="0" w:right="0" w:rightChars="0" w:firstLine="880" w:firstLineChars="200"/>
        <w:jc w:val="center"/>
        <w:textAlignment w:val="auto"/>
        <w:outlineLvl w:val="9"/>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pPr>
        <w:pStyle w:val="6"/>
        <w:pageBreakBefore w:val="0"/>
        <w:kinsoku/>
        <w:wordWrap/>
        <w:overflowPunct/>
        <w:topLinePunct w:val="0"/>
        <w:autoSpaceDE/>
        <w:autoSpaceDN/>
        <w:bidi w:val="0"/>
        <w:spacing w:beforeLines="0" w:line="560" w:lineRule="exact"/>
        <w:ind w:left="0" w:leftChars="0" w:right="0" w:rightChars="0" w:firstLine="880" w:firstLineChars="200"/>
        <w:jc w:val="center"/>
        <w:textAlignment w:val="auto"/>
        <w:outlineLvl w:val="9"/>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pPr>
        <w:pageBreakBefore w:val="0"/>
        <w:kinsoku/>
        <w:wordWrap/>
        <w:overflowPunct/>
        <w:topLinePunct w:val="0"/>
        <w:autoSpaceDE/>
        <w:autoSpaceDN/>
        <w:bidi w:val="0"/>
        <w:spacing w:line="560" w:lineRule="exact"/>
        <w:ind w:left="0" w:leftChars="0" w:right="0" w:rightChars="0" w:firstLine="1440" w:firstLineChars="200"/>
        <w:jc w:val="center"/>
        <w:textAlignment w:val="auto"/>
        <w:outlineLvl w:val="9"/>
        <w:rPr>
          <w:rFonts w:ascii="Times New Roman" w:hAnsi="Times New Roman" w:eastAsia="方正小标宋简体"/>
          <w:color w:val="auto"/>
          <w:sz w:val="72"/>
          <w:szCs w:val="72"/>
          <w:highlight w:val="none"/>
        </w:rPr>
      </w:pPr>
    </w:p>
    <w:p>
      <w:pPr>
        <w:pStyle w:val="20"/>
        <w:pageBreakBefore w:val="0"/>
        <w:kinsoku/>
        <w:wordWrap/>
        <w:overflowPunct/>
        <w:topLinePunct w:val="0"/>
        <w:autoSpaceDE/>
        <w:autoSpaceDN/>
        <w:bidi w:val="0"/>
        <w:spacing w:before="0" w:after="0" w:line="560" w:lineRule="exact"/>
        <w:ind w:left="0" w:leftChars="0" w:right="0" w:rightChars="0" w:firstLine="481" w:firstLineChars="200"/>
        <w:jc w:val="both"/>
        <w:textAlignment w:val="auto"/>
        <w:outlineLvl w:val="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pageBreakBefore w:val="0"/>
        <w:kinsoku/>
        <w:wordWrap/>
        <w:overflowPunct/>
        <w:topLinePunct w:val="0"/>
        <w:autoSpaceDE/>
        <w:autoSpaceDN/>
        <w:bidi w:val="0"/>
        <w:spacing w:line="560" w:lineRule="exact"/>
        <w:ind w:left="0" w:leftChars="0" w:right="0" w:rightChars="0" w:firstLine="420" w:firstLineChars="200"/>
        <w:jc w:val="both"/>
        <w:textAlignment w:val="auto"/>
        <w:outlineLvl w:val="9"/>
        <w:rPr>
          <w:rFonts w:ascii="Times New Roman" w:hAnsi="Times New Roman"/>
        </w:rPr>
      </w:pPr>
    </w:p>
    <w:p>
      <w:pPr>
        <w:pStyle w:val="6"/>
        <w:pageBreakBefore w:val="0"/>
        <w:kinsoku/>
        <w:wordWrap/>
        <w:overflowPunct/>
        <w:topLinePunct w:val="0"/>
        <w:autoSpaceDE/>
        <w:autoSpaceDN/>
        <w:bidi w:val="0"/>
        <w:spacing w:beforeLines="0" w:line="560" w:lineRule="exact"/>
        <w:ind w:left="0" w:leftChars="0" w:right="0" w:rightChars="0" w:firstLine="880" w:firstLineChars="200"/>
        <w:jc w:val="both"/>
        <w:textAlignment w:val="auto"/>
        <w:outlineLvl w:val="9"/>
        <w:rPr>
          <w:rFonts w:hint="eastAsia" w:ascii="Times New Roman" w:hAnsi="Times New Roman" w:eastAsia="方正小标宋简体" w:cs="Times New Roman"/>
          <w:color w:val="auto"/>
          <w:kern w:val="2"/>
          <w:sz w:val="44"/>
          <w:szCs w:val="44"/>
          <w:highlight w:val="none"/>
          <w:lang w:val="en-US" w:eastAsia="zh-CN" w:bidi="ar-SA"/>
        </w:rPr>
      </w:pPr>
    </w:p>
    <w:p>
      <w:pPr>
        <w:pStyle w:val="6"/>
        <w:pageBreakBefore w:val="0"/>
        <w:kinsoku/>
        <w:wordWrap/>
        <w:overflowPunct/>
        <w:topLinePunct w:val="0"/>
        <w:autoSpaceDE/>
        <w:autoSpaceDN/>
        <w:bidi w:val="0"/>
        <w:spacing w:beforeLines="0" w:line="560" w:lineRule="exact"/>
        <w:ind w:left="0" w:leftChars="0" w:right="0" w:rightChars="0" w:firstLine="880" w:firstLineChars="200"/>
        <w:jc w:val="both"/>
        <w:textAlignment w:val="auto"/>
        <w:outlineLvl w:val="9"/>
        <w:rPr>
          <w:rFonts w:hint="eastAsia" w:ascii="Times New Roman" w:hAnsi="Times New Roman" w:eastAsia="方正小标宋简体" w:cs="Times New Roman"/>
          <w:color w:val="auto"/>
          <w:kern w:val="2"/>
          <w:sz w:val="44"/>
          <w:szCs w:val="44"/>
          <w:highlight w:val="none"/>
          <w:lang w:val="en-US" w:eastAsia="zh-CN" w:bidi="ar-SA"/>
        </w:rPr>
      </w:pPr>
    </w:p>
    <w:p>
      <w:pPr>
        <w:pStyle w:val="6"/>
        <w:pageBreakBefore w:val="0"/>
        <w:kinsoku/>
        <w:wordWrap/>
        <w:overflowPunct/>
        <w:topLinePunct w:val="0"/>
        <w:autoSpaceDE/>
        <w:autoSpaceDN/>
        <w:bidi w:val="0"/>
        <w:spacing w:beforeLines="0" w:line="560" w:lineRule="exact"/>
        <w:ind w:left="0" w:leftChars="0" w:right="0" w:rightChars="0" w:firstLine="880" w:firstLineChars="200"/>
        <w:jc w:val="both"/>
        <w:textAlignment w:val="auto"/>
        <w:outlineLvl w:val="9"/>
        <w:rPr>
          <w:rFonts w:hint="eastAsia" w:ascii="Times New Roman" w:hAnsi="Times New Roman" w:eastAsia="方正小标宋简体" w:cs="Times New Roman"/>
          <w:color w:val="auto"/>
          <w:kern w:val="2"/>
          <w:sz w:val="44"/>
          <w:szCs w:val="44"/>
          <w:highlight w:val="none"/>
          <w:lang w:val="en-US" w:eastAsia="zh-CN" w:bidi="ar-SA"/>
        </w:rPr>
      </w:pPr>
    </w:p>
    <w:p>
      <w:pPr>
        <w:pStyle w:val="6"/>
        <w:pageBreakBefore w:val="0"/>
        <w:kinsoku/>
        <w:wordWrap/>
        <w:overflowPunct/>
        <w:topLinePunct w:val="0"/>
        <w:autoSpaceDE/>
        <w:autoSpaceDN/>
        <w:bidi w:val="0"/>
        <w:spacing w:beforeLines="0" w:line="560" w:lineRule="exact"/>
        <w:ind w:left="0" w:leftChars="0" w:right="0" w:rightChars="0" w:firstLine="880" w:firstLineChars="200"/>
        <w:jc w:val="both"/>
        <w:textAlignment w:val="auto"/>
        <w:outlineLvl w:val="9"/>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6"/>
        <w:pageBreakBefore w:val="0"/>
        <w:kinsoku/>
        <w:wordWrap/>
        <w:overflowPunct/>
        <w:topLinePunct w:val="0"/>
        <w:autoSpaceDE/>
        <w:autoSpaceDN/>
        <w:bidi w:val="0"/>
        <w:spacing w:beforeLines="0" w:line="560" w:lineRule="exact"/>
        <w:ind w:left="0" w:leftChars="0" w:right="0" w:rightChars="0" w:firstLine="880" w:firstLineChars="200"/>
        <w:jc w:val="center"/>
        <w:textAlignment w:val="auto"/>
        <w:outlineLvl w:val="9"/>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96476"/>
      <w:bookmarkStart w:id="8" w:name="_Toc15377426"/>
      <w:bookmarkStart w:id="9" w:name="_Toc15378442"/>
      <w:bookmarkStart w:id="10" w:name="_Toc15396598"/>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壤塘县科学技术协会</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pStyle w:val="15"/>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pPr>
        <w:pageBreakBefore w:val="0"/>
        <w:widowControl/>
        <w:kinsoku/>
        <w:wordWrap/>
        <w:overflowPunct/>
        <w:topLinePunct w:val="0"/>
        <w:autoSpaceDE/>
        <w:autoSpaceDN/>
        <w:bidi w:val="0"/>
        <w:spacing w:line="560" w:lineRule="exact"/>
        <w:ind w:left="0" w:leftChars="0" w:right="0" w:rightChars="0" w:firstLine="960" w:firstLineChars="200"/>
        <w:jc w:val="both"/>
        <w:textAlignment w:val="auto"/>
        <w:outlineLvl w:val="9"/>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pPr>
        <w:pageBreakBefore w:val="0"/>
        <w:widowControl/>
        <w:kinsoku/>
        <w:wordWrap/>
        <w:overflowPunct/>
        <w:topLinePunct w:val="0"/>
        <w:autoSpaceDE/>
        <w:autoSpaceDN/>
        <w:bidi w:val="0"/>
        <w:spacing w:line="560" w:lineRule="exact"/>
        <w:ind w:left="0" w:leftChars="0" w:right="0" w:rightChars="0" w:firstLine="960" w:firstLineChars="200"/>
        <w:jc w:val="center"/>
        <w:textAlignment w:val="auto"/>
        <w:outlineLvl w:val="9"/>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pageBreakBefore w:val="0"/>
        <w:widowControl/>
        <w:kinsoku/>
        <w:wordWrap/>
        <w:overflowPunct/>
        <w:topLinePunct w:val="0"/>
        <w:autoSpaceDE/>
        <w:autoSpaceDN/>
        <w:bidi w:val="0"/>
        <w:spacing w:line="560" w:lineRule="exact"/>
        <w:ind w:left="0" w:leftChars="0" w:right="0" w:rightChars="0" w:firstLine="560" w:firstLineChars="200"/>
        <w:jc w:val="center"/>
        <w:textAlignment w:val="auto"/>
        <w:outlineLvl w:val="9"/>
        <w:rPr>
          <w:rFonts w:ascii="Times New Roman" w:hAnsi="Times New Roman" w:eastAsia="黑体" w:cstheme="minorBidi"/>
          <w:color w:val="auto"/>
          <w:sz w:val="28"/>
          <w:szCs w:val="28"/>
          <w:highlight w:val="none"/>
        </w:rPr>
      </w:pPr>
    </w:p>
    <w:p>
      <w:pPr>
        <w:pStyle w:val="13"/>
        <w:pageBreakBefore w:val="0"/>
        <w:kinsoku/>
        <w:wordWrap/>
        <w:overflowPunct/>
        <w:topLinePunct w:val="0"/>
        <w:autoSpaceDE/>
        <w:autoSpaceDN/>
        <w:bidi w:val="0"/>
        <w:spacing w:line="560" w:lineRule="exact"/>
        <w:ind w:left="0" w:leftChars="0" w:right="0" w:rightChars="0" w:firstLine="640" w:firstLineChars="200"/>
        <w:jc w:val="center"/>
        <w:textAlignment w:val="auto"/>
        <w:outlineLvl w:val="9"/>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19</w:t>
      </w:r>
      <w:r>
        <w:rPr>
          <w:rFonts w:hint="eastAsia" w:ascii="Times New Roman" w:hAnsi="Times New Roman" w:eastAsia="仿宋_GB2312" w:cs="仿宋_GB2312"/>
          <w:color w:val="auto"/>
          <w:sz w:val="32"/>
          <w:szCs w:val="32"/>
          <w:highlight w:val="none"/>
        </w:rPr>
        <w:t>日</w:t>
      </w:r>
    </w:p>
    <w:p>
      <w:pPr>
        <w:pStyle w:val="13"/>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bookmarkStart w:id="12" w:name="_Toc15396599"/>
      <w:bookmarkStart w:id="13" w:name="_Toc15377196"/>
      <w:r>
        <w:fldChar w:fldCharType="begin"/>
      </w:r>
      <w:r>
        <w:instrText xml:space="preserve">TOC \o "1-2" \h \u </w:instrText>
      </w:r>
      <w:r>
        <w:fldChar w:fldCharType="separate"/>
      </w:r>
      <w:r>
        <w:fldChar w:fldCharType="begin"/>
      </w:r>
      <w:r>
        <w:instrText xml:space="preserve"> HYPERLINK \l _Toc9676 </w:instrText>
      </w:r>
      <w:r>
        <w:fldChar w:fldCharType="separate"/>
      </w:r>
      <w:r>
        <w:rPr>
          <w:rFonts w:hint="eastAsia" w:ascii="Times New Roman" w:hAnsi="Times New Roman" w:eastAsia="方正小标宋简体" w:cs="方正小标宋简体"/>
          <w:bCs w:val="0"/>
          <w:highlight w:val="none"/>
        </w:rPr>
        <w:t>第一部分</w:t>
      </w:r>
      <w:r>
        <w:rPr>
          <w:rFonts w:hint="eastAsia" w:ascii="Times New Roman" w:hAnsi="Times New Roman" w:eastAsia="方正小标宋简体" w:cs="方正小标宋简体"/>
          <w:bCs w:val="0"/>
          <w:highlight w:val="none"/>
          <w:lang w:val="en-US" w:eastAsia="zh-CN"/>
        </w:rPr>
        <w:t xml:space="preserve"> </w:t>
      </w:r>
      <w:r>
        <w:rPr>
          <w:rFonts w:hint="eastAsia" w:ascii="Times New Roman" w:hAnsi="Times New Roman" w:eastAsia="方正小标宋简体" w:cs="方正小标宋简体"/>
          <w:bCs w:val="0"/>
          <w:highlight w:val="none"/>
        </w:rPr>
        <w:t xml:space="preserve"> 部门概况</w:t>
      </w:r>
      <w:r>
        <w:tab/>
      </w:r>
      <w:r>
        <w:fldChar w:fldCharType="begin"/>
      </w:r>
      <w:r>
        <w:instrText xml:space="preserve"> PAGEREF _Toc9676 \h </w:instrText>
      </w:r>
      <w:r>
        <w:fldChar w:fldCharType="separate"/>
      </w:r>
      <w:r>
        <w:t>2</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_Toc32215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_Toc32215 \h </w:instrText>
      </w:r>
      <w:r>
        <w:fldChar w:fldCharType="separate"/>
      </w:r>
      <w:r>
        <w:t>2</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_Toc28318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_Toc28318 \h </w:instrText>
      </w:r>
      <w:r>
        <w:fldChar w:fldCharType="separate"/>
      </w:r>
      <w:r>
        <w:t>2</w:t>
      </w:r>
      <w:r>
        <w:fldChar w:fldCharType="end"/>
      </w:r>
      <w:r>
        <w:fldChar w:fldCharType="end"/>
      </w:r>
    </w:p>
    <w:p>
      <w:pPr>
        <w:pStyle w:val="13"/>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_Toc132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_Toc132 \h </w:instrText>
      </w:r>
      <w:r>
        <w:fldChar w:fldCharType="separate"/>
      </w:r>
      <w:r>
        <w:t>3</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_Toc29008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_Toc29008 \h </w:instrText>
      </w:r>
      <w:r>
        <w:fldChar w:fldCharType="separate"/>
      </w:r>
      <w:r>
        <w:t>3</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_Toc29153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_Toc29153 \h </w:instrText>
      </w:r>
      <w:r>
        <w:fldChar w:fldCharType="separate"/>
      </w:r>
      <w:r>
        <w:t>3</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_Toc25603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_Toc25603 \h </w:instrText>
      </w:r>
      <w:r>
        <w:fldChar w:fldCharType="separate"/>
      </w:r>
      <w:r>
        <w:t>4</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_Toc11275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_Toc11275 \h </w:instrText>
      </w:r>
      <w:r>
        <w:fldChar w:fldCharType="separate"/>
      </w:r>
      <w:r>
        <w:t>4</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_Toc19159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_Toc19159 \h </w:instrText>
      </w:r>
      <w:r>
        <w:fldChar w:fldCharType="separate"/>
      </w:r>
      <w:r>
        <w:t>5</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_Toc21304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_Toc21304 \h </w:instrText>
      </w:r>
      <w:r>
        <w:fldChar w:fldCharType="separate"/>
      </w:r>
      <w:r>
        <w:t>7</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_Toc28535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_Toc28535 \h </w:instrText>
      </w:r>
      <w:r>
        <w:fldChar w:fldCharType="separate"/>
      </w:r>
      <w:r>
        <w:t>8</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_Toc3977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_Toc3977 \h </w:instrText>
      </w:r>
      <w:r>
        <w:fldChar w:fldCharType="separate"/>
      </w:r>
      <w:r>
        <w:t>9</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_Toc21015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_Toc21015 \h </w:instrText>
      </w:r>
      <w:r>
        <w:fldChar w:fldCharType="separate"/>
      </w:r>
      <w:r>
        <w:t>9</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_Toc24206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_Toc24206 \h </w:instrText>
      </w:r>
      <w:r>
        <w:fldChar w:fldCharType="separate"/>
      </w:r>
      <w:r>
        <w:t>9</w:t>
      </w:r>
      <w:r>
        <w:fldChar w:fldCharType="end"/>
      </w:r>
      <w:r>
        <w:fldChar w:fldCharType="end"/>
      </w:r>
    </w:p>
    <w:p>
      <w:pPr>
        <w:pStyle w:val="13"/>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_Toc18291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_Toc18291 \h </w:instrText>
      </w:r>
      <w:r>
        <w:fldChar w:fldCharType="separate"/>
      </w:r>
      <w:r>
        <w:t>11</w:t>
      </w:r>
      <w:r>
        <w:fldChar w:fldCharType="end"/>
      </w:r>
      <w:r>
        <w:fldChar w:fldCharType="end"/>
      </w:r>
    </w:p>
    <w:p>
      <w:pPr>
        <w:pStyle w:val="13"/>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_Toc478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_Toc478 \h </w:instrText>
      </w:r>
      <w:r>
        <w:fldChar w:fldCharType="separate"/>
      </w:r>
      <w:r>
        <w:t>14</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_Toc21373 </w:instrText>
      </w:r>
      <w:r>
        <w:fldChar w:fldCharType="separate"/>
      </w:r>
      <w:r>
        <w:rPr>
          <w:rFonts w:hint="eastAsia" w:ascii="Times New Roman" w:hAnsi="Times New Roman" w:eastAsia="黑体" w:cs="黑体"/>
          <w:szCs w:val="32"/>
          <w:highlight w:val="none"/>
        </w:rPr>
        <w:t>附件</w:t>
      </w:r>
      <w:r>
        <w:rPr>
          <w:rFonts w:hint="eastAsia" w:ascii="Times New Roman" w:hAnsi="Times New Roman" w:eastAsia="黑体" w:cs="黑体"/>
          <w:szCs w:val="32"/>
          <w:highlight w:val="none"/>
          <w:lang w:val="en-US" w:eastAsia="zh-CN"/>
        </w:rPr>
        <w:t>1</w:t>
      </w:r>
      <w:r>
        <w:tab/>
      </w:r>
      <w:r>
        <w:fldChar w:fldCharType="begin"/>
      </w:r>
      <w:r>
        <w:instrText xml:space="preserve"> PAGEREF _Toc21373 \h </w:instrText>
      </w:r>
      <w:r>
        <w:fldChar w:fldCharType="separate"/>
      </w:r>
      <w:r>
        <w:t>14</w:t>
      </w:r>
      <w:r>
        <w:fldChar w:fldCharType="end"/>
      </w:r>
      <w:r>
        <w:fldChar w:fldCharType="end"/>
      </w:r>
    </w:p>
    <w:p>
      <w:pPr>
        <w:pStyle w:val="15"/>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_Toc31595 </w:instrText>
      </w:r>
      <w:r>
        <w:fldChar w:fldCharType="separate"/>
      </w:r>
      <w:r>
        <w:rPr>
          <w:rFonts w:hint="eastAsia" w:ascii="Times New Roman" w:hAnsi="Times New Roman" w:eastAsia="黑体" w:cs="黑体"/>
          <w:kern w:val="0"/>
          <w:szCs w:val="32"/>
          <w:highlight w:val="none"/>
          <w:shd w:val="clear" w:color="auto" w:fill="FFFFFF"/>
          <w:lang w:val="zh-CN"/>
        </w:rPr>
        <w:t>附件</w:t>
      </w:r>
      <w:r>
        <w:rPr>
          <w:rFonts w:hint="eastAsia" w:ascii="Times New Roman" w:hAnsi="Times New Roman" w:eastAsia="黑体" w:cs="黑体"/>
          <w:kern w:val="0"/>
          <w:szCs w:val="32"/>
          <w:highlight w:val="none"/>
          <w:shd w:val="clear" w:color="auto" w:fill="FFFFFF"/>
          <w:lang w:val="en-US" w:eastAsia="zh-CN"/>
        </w:rPr>
        <w:t>2</w:t>
      </w:r>
      <w:r>
        <w:tab/>
      </w:r>
      <w:r>
        <w:fldChar w:fldCharType="begin"/>
      </w:r>
      <w:r>
        <w:instrText xml:space="preserve"> PAGEREF _Toc31595 \h </w:instrText>
      </w:r>
      <w:r>
        <w:fldChar w:fldCharType="separate"/>
      </w:r>
      <w:r>
        <w:t>22</w:t>
      </w:r>
      <w:r>
        <w:fldChar w:fldCharType="end"/>
      </w:r>
      <w:r>
        <w:fldChar w:fldCharType="end"/>
      </w:r>
    </w:p>
    <w:p>
      <w:pPr>
        <w:pStyle w:val="13"/>
        <w:pageBreakBefore w:val="0"/>
        <w:tabs>
          <w:tab w:val="right" w:leader="dot" w:pos="8306"/>
          <w:tab w:val="clear" w:pos="8296"/>
        </w:tabs>
        <w:kinsoku/>
        <w:wordWrap/>
        <w:overflowPunct/>
        <w:topLinePunct w:val="0"/>
        <w:autoSpaceDE/>
        <w:autoSpaceDN/>
        <w:bidi w:val="0"/>
        <w:spacing w:line="560" w:lineRule="exact"/>
        <w:ind w:left="0" w:leftChars="0" w:right="0" w:rightChars="0" w:firstLine="640" w:firstLineChars="200"/>
        <w:jc w:val="both"/>
        <w:textAlignment w:val="auto"/>
      </w:pPr>
      <w:r>
        <w:fldChar w:fldCharType="begin"/>
      </w:r>
      <w:r>
        <w:instrText xml:space="preserve"> HYPERLINK \l _Toc3819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_Toc3819 \h </w:instrText>
      </w:r>
      <w:r>
        <w:fldChar w:fldCharType="separate"/>
      </w:r>
      <w:r>
        <w:t>27</w:t>
      </w:r>
      <w:r>
        <w:fldChar w:fldCharType="end"/>
      </w:r>
      <w:r>
        <w:fldChar w:fldCharType="end"/>
      </w:r>
    </w:p>
    <w:p>
      <w:pPr>
        <w:pageBreakBefore w:val="0"/>
        <w:kinsoku/>
        <w:wordWrap/>
        <w:overflowPunct/>
        <w:topLinePunct w:val="0"/>
        <w:autoSpaceDE/>
        <w:autoSpaceDN/>
        <w:bidi w:val="0"/>
        <w:spacing w:before="0" w:beforeLines="0" w:after="0" w:line="560" w:lineRule="exact"/>
        <w:ind w:left="0" w:leftChars="0" w:right="0" w:rightChars="0" w:firstLine="420" w:firstLineChars="200"/>
        <w:jc w:val="both"/>
        <w:textAlignment w:val="auto"/>
      </w:pPr>
      <w:r>
        <w:fldChar w:fldCharType="end"/>
      </w:r>
    </w:p>
    <w:p>
      <w:pPr>
        <w:pageBreakBefore w:val="0"/>
        <w:kinsoku/>
        <w:wordWrap/>
        <w:overflowPunct/>
        <w:topLinePunct w:val="0"/>
        <w:autoSpaceDE/>
        <w:autoSpaceDN/>
        <w:bidi w:val="0"/>
        <w:spacing w:line="560" w:lineRule="exact"/>
        <w:ind w:left="0" w:leftChars="0" w:right="0" w:rightChars="0" w:firstLine="880" w:firstLineChars="200"/>
        <w:jc w:val="center"/>
        <w:textAlignment w:val="auto"/>
        <w:outlineLvl w:val="0"/>
        <w:rPr>
          <w:rStyle w:val="29"/>
          <w:rFonts w:hint="eastAsia" w:ascii="Times New Roman" w:hAnsi="Times New Roman" w:eastAsia="方正小标宋简体" w:cs="方正小标宋简体"/>
          <w:b w:val="0"/>
          <w:bCs w:val="0"/>
          <w:color w:val="auto"/>
          <w:highlight w:val="none"/>
        </w:rPr>
      </w:pPr>
      <w:bookmarkStart w:id="14" w:name="_Toc9676"/>
    </w:p>
    <w:p>
      <w:pPr>
        <w:pageBreakBefore w:val="0"/>
        <w:kinsoku/>
        <w:wordWrap/>
        <w:overflowPunct/>
        <w:topLinePunct w:val="0"/>
        <w:autoSpaceDE/>
        <w:autoSpaceDN/>
        <w:bidi w:val="0"/>
        <w:spacing w:line="560" w:lineRule="exact"/>
        <w:ind w:left="0" w:leftChars="0" w:right="0" w:rightChars="0" w:firstLine="880" w:firstLineChars="200"/>
        <w:jc w:val="center"/>
        <w:textAlignment w:val="auto"/>
        <w:outlineLvl w:val="0"/>
        <w:rPr>
          <w:rStyle w:val="29"/>
          <w:rFonts w:hint="eastAsia" w:ascii="Times New Roman" w:hAnsi="Times New Roman" w:eastAsia="方正小标宋简体" w:cs="方正小标宋简体"/>
          <w:b/>
          <w:bCs w:val="0"/>
          <w:color w:val="auto"/>
          <w:highlight w:val="none"/>
        </w:rPr>
      </w:pPr>
      <w:r>
        <w:rPr>
          <w:rStyle w:val="29"/>
          <w:rFonts w:hint="eastAsia" w:ascii="Times New Roman" w:hAnsi="Times New Roman" w:eastAsia="方正小标宋简体" w:cs="方正小标宋简体"/>
          <w:b w:val="0"/>
          <w:bCs w:val="0"/>
          <w:color w:val="auto"/>
          <w:highlight w:val="none"/>
        </w:rPr>
        <w:t>第一部分</w:t>
      </w:r>
      <w:r>
        <w:rPr>
          <w:rStyle w:val="29"/>
          <w:rFonts w:hint="eastAsia" w:ascii="Times New Roman" w:hAnsi="Times New Roman" w:eastAsia="方正小标宋简体" w:cs="方正小标宋简体"/>
          <w:b w:val="0"/>
          <w:bCs w:val="0"/>
          <w:color w:val="auto"/>
          <w:highlight w:val="none"/>
          <w:lang w:val="en-US" w:eastAsia="zh-CN"/>
        </w:rPr>
        <w:t xml:space="preserve"> </w:t>
      </w:r>
      <w:r>
        <w:rPr>
          <w:rStyle w:val="29"/>
          <w:rFonts w:hint="eastAsia" w:ascii="Times New Roman" w:hAnsi="Times New Roman" w:eastAsia="方正小标宋简体" w:cs="方正小标宋简体"/>
          <w:b w:val="0"/>
          <w:bCs w:val="0"/>
          <w:color w:val="auto"/>
          <w:highlight w:val="none"/>
        </w:rPr>
        <w:t xml:space="preserve"> 部门概况</w:t>
      </w:r>
      <w:bookmarkEnd w:id="12"/>
      <w:bookmarkEnd w:id="13"/>
      <w:bookmarkEnd w:id="14"/>
    </w:p>
    <w:p>
      <w:pPr>
        <w:pageBreakBefore w:val="0"/>
        <w:widowControl/>
        <w:kinsoku/>
        <w:wordWrap/>
        <w:overflowPunct/>
        <w:topLinePunct w:val="0"/>
        <w:autoSpaceDE/>
        <w:autoSpaceDN/>
        <w:bidi w:val="0"/>
        <w:spacing w:line="560" w:lineRule="exact"/>
        <w:ind w:left="0" w:leftChars="0" w:right="0" w:rightChars="0" w:firstLine="640" w:firstLineChars="200"/>
        <w:jc w:val="both"/>
        <w:textAlignment w:val="auto"/>
        <w:outlineLvl w:val="9"/>
        <w:rPr>
          <w:rFonts w:ascii="Times New Roman" w:hAnsi="Times New Roman" w:eastAsia="黑体"/>
          <w:color w:val="auto"/>
          <w:sz w:val="32"/>
          <w:szCs w:val="32"/>
          <w:highlight w:val="none"/>
        </w:rPr>
      </w:pPr>
    </w:p>
    <w:p>
      <w:pPr>
        <w:pageBreakBefore w:val="0"/>
        <w:numPr>
          <w:ilvl w:val="0"/>
          <w:numId w:val="1"/>
        </w:numPr>
        <w:kinsoku/>
        <w:wordWrap/>
        <w:overflowPunct/>
        <w:topLinePunct w:val="0"/>
        <w:autoSpaceDE/>
        <w:autoSpaceDN/>
        <w:bidi w:val="0"/>
        <w:spacing w:line="560" w:lineRule="exact"/>
        <w:ind w:left="0" w:leftChars="0" w:right="0" w:rightChars="0" w:firstLine="640" w:firstLineChars="200"/>
        <w:jc w:val="both"/>
        <w:textAlignment w:val="auto"/>
        <w:outlineLvl w:val="1"/>
        <w:rPr>
          <w:rFonts w:hint="eastAsia" w:ascii="Times New Roman" w:hAnsi="Times New Roman" w:eastAsia="黑体"/>
          <w:b w:val="0"/>
          <w:color w:val="auto"/>
          <w:sz w:val="32"/>
          <w:szCs w:val="32"/>
          <w:highlight w:val="none"/>
          <w:lang w:eastAsia="zh-CN"/>
        </w:rPr>
      </w:pPr>
      <w:bookmarkStart w:id="15" w:name="_Toc32215"/>
      <w:r>
        <w:rPr>
          <w:rFonts w:hint="eastAsia" w:ascii="Times New Roman" w:hAnsi="Times New Roman" w:eastAsia="黑体"/>
          <w:b w:val="0"/>
          <w:color w:val="auto"/>
          <w:sz w:val="32"/>
          <w:szCs w:val="32"/>
          <w:highlight w:val="none"/>
          <w:lang w:eastAsia="zh-CN"/>
        </w:rPr>
        <w:t>部门职责</w:t>
      </w:r>
      <w:bookmarkEnd w:id="15"/>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kern w:val="10"/>
          <w:sz w:val="32"/>
          <w:szCs w:val="32"/>
        </w:rPr>
        <w:t>1.开展学术交流、活跃学术思想，促进学科发展，推动决策科学化和民主化。 2.普及科学知识，推广先进技术，促进科技成果向现实生产力转化。 3.为科技、经济、社会协调发展献计献策，进行决策咨询和技术服务，兴办科技经济实体。 4.反映科技工作者的呼声和要求，保护科技工作者的合法权益。 5.开展继续教育，技术培训，农村科普和青少年科技教育活动。 6.参与地方性科技政策，法规及科技计划、规划的制定。7.加强对县级学（协）会及农村专业技术团队的业务指导。8.编辑学术刊物和科普读物，为科技团体和科技工作者服务</w:t>
      </w:r>
      <w:r>
        <w:rPr>
          <w:rFonts w:hint="eastAsia" w:ascii="仿宋_GB2312" w:hAnsi="仿宋_GB2312" w:eastAsia="仿宋_GB2312" w:cs="仿宋_GB2312"/>
          <w:sz w:val="32"/>
          <w:szCs w:val="32"/>
        </w:rPr>
        <w:t>。</w:t>
      </w:r>
    </w:p>
    <w:p>
      <w:pPr>
        <w:pageBreakBefore w:val="0"/>
        <w:numPr>
          <w:ilvl w:val="0"/>
          <w:numId w:val="0"/>
        </w:numPr>
        <w:kinsoku/>
        <w:wordWrap/>
        <w:overflowPunct/>
        <w:topLinePunct w:val="0"/>
        <w:autoSpaceDE/>
        <w:autoSpaceDN/>
        <w:bidi w:val="0"/>
        <w:spacing w:line="560" w:lineRule="exact"/>
        <w:ind w:left="0" w:leftChars="0" w:right="0" w:rightChars="0" w:firstLine="420" w:firstLineChars="200"/>
        <w:jc w:val="both"/>
        <w:textAlignment w:val="auto"/>
        <w:outlineLvl w:val="9"/>
        <w:rPr>
          <w:rFonts w:hint="eastAsia"/>
          <w:lang w:eastAsia="zh-CN"/>
        </w:rPr>
      </w:pPr>
    </w:p>
    <w:p>
      <w:pPr>
        <w:pageBreakBefore w:val="0"/>
        <w:numPr>
          <w:ilvl w:val="0"/>
          <w:numId w:val="1"/>
        </w:numPr>
        <w:kinsoku/>
        <w:wordWrap/>
        <w:overflowPunct/>
        <w:topLinePunct w:val="0"/>
        <w:autoSpaceDE/>
        <w:autoSpaceDN/>
        <w:bidi w:val="0"/>
        <w:spacing w:line="560" w:lineRule="exact"/>
        <w:ind w:left="0" w:leftChars="0" w:right="0" w:rightChars="0" w:firstLine="640" w:firstLineChars="200"/>
        <w:jc w:val="both"/>
        <w:textAlignment w:val="auto"/>
        <w:outlineLvl w:val="1"/>
        <w:rPr>
          <w:rFonts w:hint="eastAsia" w:ascii="Times New Roman" w:hAnsi="Times New Roman" w:eastAsia="黑体" w:cs="Times New Roman"/>
          <w:b w:val="0"/>
          <w:color w:val="auto"/>
          <w:sz w:val="32"/>
          <w:szCs w:val="32"/>
          <w:highlight w:val="none"/>
          <w:lang w:eastAsia="zh-CN"/>
        </w:rPr>
      </w:pPr>
      <w:bookmarkStart w:id="16" w:name="_Toc28318"/>
      <w:bookmarkStart w:id="17" w:name="_Toc15377200"/>
      <w:bookmarkStart w:id="18" w:name="_Toc15396601"/>
      <w:r>
        <w:rPr>
          <w:rFonts w:hint="eastAsia" w:ascii="Times New Roman" w:hAnsi="Times New Roman" w:eastAsia="黑体" w:cs="Times New Roman"/>
          <w:b w:val="0"/>
          <w:color w:val="auto"/>
          <w:sz w:val="32"/>
          <w:szCs w:val="32"/>
          <w:highlight w:val="none"/>
          <w:lang w:eastAsia="zh-CN"/>
        </w:rPr>
        <w:t>机构设置</w:t>
      </w:r>
      <w:bookmarkEnd w:id="16"/>
      <w:bookmarkEnd w:id="17"/>
      <w:bookmarkEnd w:id="18"/>
    </w:p>
    <w:p>
      <w:pPr>
        <w:pageBreakBefore w:val="0"/>
        <w:widowControl/>
        <w:kinsoku/>
        <w:wordWrap/>
        <w:overflowPunct/>
        <w:topLinePunct w:val="0"/>
        <w:autoSpaceDE/>
        <w:autoSpaceDN/>
        <w:bidi w:val="0"/>
        <w:spacing w:line="560" w:lineRule="exact"/>
        <w:ind w:left="0" w:leftChars="0" w:right="0" w:rightChars="0" w:firstLine="640" w:firstLineChars="200"/>
        <w:jc w:val="both"/>
        <w:textAlignment w:val="auto"/>
        <w:outlineLvl w:val="9"/>
        <w:rPr>
          <w:rFonts w:ascii="Times New Roman" w:hAnsi="Times New Roman" w:eastAsia="仿宋"/>
          <w:color w:val="auto"/>
          <w:kern w:val="0"/>
          <w:sz w:val="32"/>
          <w:szCs w:val="32"/>
          <w:highlight w:val="none"/>
        </w:rPr>
      </w:pPr>
      <w:r>
        <w:rPr>
          <w:rFonts w:hint="eastAsia" w:ascii="仿宋_GB2312" w:hAnsi="仿宋_GB2312" w:eastAsia="仿宋_GB2312" w:cs="仿宋_GB2312"/>
          <w:kern w:val="10"/>
          <w:sz w:val="32"/>
          <w:szCs w:val="32"/>
          <w:lang w:val="en-US" w:eastAsia="zh-CN"/>
        </w:rPr>
        <w:t xml:space="preserve"> </w:t>
      </w:r>
      <w:r>
        <w:rPr>
          <w:rFonts w:hint="eastAsia" w:ascii="仿宋_GB2312" w:hAnsi="仿宋_GB2312" w:eastAsia="仿宋_GB2312" w:cs="仿宋_GB2312"/>
          <w:kern w:val="10"/>
          <w:sz w:val="32"/>
          <w:szCs w:val="32"/>
          <w:lang w:val="zh-CN"/>
        </w:rPr>
        <w:t>壤塘县科学技术协会由</w:t>
      </w:r>
      <w:r>
        <w:rPr>
          <w:rFonts w:hint="eastAsia" w:ascii="仿宋_GB2312" w:hAnsi="仿宋_GB2312" w:eastAsia="仿宋_GB2312" w:cs="仿宋_GB2312"/>
          <w:kern w:val="10"/>
          <w:sz w:val="32"/>
          <w:szCs w:val="32"/>
          <w:lang w:val="en-US" w:eastAsia="zh-CN"/>
        </w:rPr>
        <w:t>办公室</w:t>
      </w:r>
      <w:r>
        <w:rPr>
          <w:rFonts w:hint="eastAsia" w:ascii="仿宋_GB2312" w:hAnsi="仿宋_GB2312" w:eastAsia="仿宋_GB2312" w:cs="仿宋_GB2312"/>
          <w:kern w:val="10"/>
          <w:sz w:val="32"/>
          <w:szCs w:val="32"/>
          <w:lang w:val="zh-CN"/>
        </w:rPr>
        <w:t>组成</w:t>
      </w:r>
      <w:r>
        <w:rPr>
          <w:rFonts w:hint="eastAsia" w:ascii="仿宋_GB2312" w:hAnsi="仿宋_GB2312" w:eastAsia="仿宋_GB2312" w:cs="仿宋_GB2312"/>
          <w:kern w:val="10"/>
          <w:sz w:val="32"/>
          <w:szCs w:val="32"/>
        </w:rPr>
        <w:t>。</w:t>
      </w:r>
      <w:r>
        <w:rPr>
          <w:rFonts w:ascii="Times New Roman" w:hAnsi="Times New Roman" w:eastAsia="仿宋"/>
          <w:color w:val="auto"/>
          <w:sz w:val="32"/>
          <w:szCs w:val="32"/>
          <w:highlight w:val="none"/>
        </w:rPr>
        <w:br w:type="page"/>
      </w:r>
    </w:p>
    <w:p>
      <w:pPr>
        <w:pageBreakBefore w:val="0"/>
        <w:kinsoku/>
        <w:wordWrap/>
        <w:overflowPunct/>
        <w:topLinePunct w:val="0"/>
        <w:autoSpaceDE/>
        <w:autoSpaceDN/>
        <w:bidi w:val="0"/>
        <w:spacing w:line="560" w:lineRule="exact"/>
        <w:ind w:right="0" w:rightChars="0" w:firstLine="440" w:firstLineChars="100"/>
        <w:jc w:val="both"/>
        <w:textAlignment w:val="auto"/>
        <w:outlineLvl w:val="0"/>
        <w:rPr>
          <w:rStyle w:val="29"/>
          <w:rFonts w:hint="eastAsia" w:ascii="Times New Roman" w:hAnsi="Times New Roman" w:eastAsia="方正小标宋简体" w:cs="方正小标宋简体"/>
          <w:b w:val="0"/>
          <w:bCs w:val="0"/>
          <w:color w:val="auto"/>
          <w:highlight w:val="none"/>
        </w:rPr>
      </w:pPr>
      <w:bookmarkStart w:id="19" w:name="_Toc15396602"/>
      <w:bookmarkStart w:id="20" w:name="_Toc15377204"/>
      <w:bookmarkStart w:id="21" w:name="_Toc132"/>
      <w:r>
        <w:rPr>
          <w:rStyle w:val="29"/>
          <w:rFonts w:hint="eastAsia" w:ascii="Times New Roman" w:hAnsi="Times New Roman" w:eastAsia="方正小标宋简体" w:cs="方正小标宋简体"/>
          <w:b w:val="0"/>
          <w:bCs w:val="0"/>
          <w:color w:val="auto"/>
          <w:highlight w:val="none"/>
        </w:rPr>
        <w:t>第二部分</w:t>
      </w:r>
      <w:r>
        <w:rPr>
          <w:rStyle w:val="29"/>
          <w:rFonts w:hint="eastAsia" w:ascii="Times New Roman" w:hAnsi="Times New Roman" w:eastAsia="方正小标宋简体" w:cs="方正小标宋简体"/>
          <w:b w:val="0"/>
          <w:bCs w:val="0"/>
          <w:color w:val="auto"/>
          <w:highlight w:val="none"/>
          <w:lang w:val="en-US" w:eastAsia="zh-CN"/>
        </w:rPr>
        <w:t xml:space="preserve"> </w:t>
      </w:r>
      <w:r>
        <w:rPr>
          <w:rStyle w:val="29"/>
          <w:rFonts w:hint="eastAsia" w:ascii="Times New Roman" w:hAnsi="Times New Roman" w:eastAsia="方正小标宋简体" w:cs="方正小标宋简体"/>
          <w:b w:val="0"/>
          <w:bCs w:val="0"/>
          <w:color w:val="auto"/>
          <w:highlight w:val="none"/>
        </w:rPr>
        <w:t xml:space="preserve"> </w:t>
      </w:r>
      <w:r>
        <w:rPr>
          <w:rStyle w:val="29"/>
          <w:rFonts w:hint="eastAsia" w:ascii="Times New Roman" w:hAnsi="Times New Roman" w:eastAsia="方正小标宋简体" w:cs="方正小标宋简体"/>
          <w:b w:val="0"/>
          <w:bCs w:val="0"/>
          <w:color w:val="auto"/>
          <w:highlight w:val="none"/>
          <w:lang w:val="en-US" w:eastAsia="zh-CN"/>
        </w:rPr>
        <w:t>2025年度</w:t>
      </w:r>
      <w:r>
        <w:rPr>
          <w:rStyle w:val="29"/>
          <w:rFonts w:hint="eastAsia" w:ascii="Times New Roman" w:hAnsi="Times New Roman" w:eastAsia="方正小标宋简体" w:cs="方正小标宋简体"/>
          <w:b w:val="0"/>
          <w:bCs w:val="0"/>
          <w:color w:val="auto"/>
          <w:highlight w:val="none"/>
        </w:rPr>
        <w:t>部门决算情况说明</w:t>
      </w:r>
      <w:bookmarkEnd w:id="19"/>
      <w:bookmarkEnd w:id="20"/>
      <w:bookmarkEnd w:id="21"/>
    </w:p>
    <w:p>
      <w:pPr>
        <w:pageBreakBefore w:val="0"/>
        <w:kinsoku/>
        <w:wordWrap/>
        <w:overflowPunct/>
        <w:topLinePunct w:val="0"/>
        <w:autoSpaceDE/>
        <w:autoSpaceDN/>
        <w:bidi w:val="0"/>
        <w:spacing w:line="560" w:lineRule="exact"/>
        <w:ind w:left="0" w:leftChars="0" w:right="0" w:rightChars="0" w:firstLine="420" w:firstLineChars="200"/>
        <w:jc w:val="both"/>
        <w:textAlignment w:val="auto"/>
        <w:outlineLvl w:val="9"/>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Times New Roman" w:hAnsi="Times New Roman" w:eastAsia="黑体" w:cs="Times New Roman"/>
          <w:b w:val="0"/>
          <w:color w:val="auto"/>
          <w:kern w:val="2"/>
          <w:sz w:val="32"/>
          <w:szCs w:val="32"/>
          <w:highlight w:val="none"/>
          <w:lang w:val="en-US" w:eastAsia="zh-CN" w:bidi="ar-SA"/>
        </w:rPr>
      </w:pPr>
      <w:bookmarkStart w:id="22" w:name="_Toc15396603"/>
      <w:bookmarkStart w:id="23" w:name="_Toc29008"/>
      <w:bookmarkStart w:id="24" w:name="_Toc15377205"/>
      <w:r>
        <w:rPr>
          <w:rFonts w:hint="eastAsia" w:ascii="Times New Roman" w:hAnsi="Times New Roman" w:eastAsia="黑体" w:cs="Times New Roman"/>
          <w:b w:val="0"/>
          <w:color w:val="auto"/>
          <w:kern w:val="2"/>
          <w:sz w:val="32"/>
          <w:szCs w:val="32"/>
          <w:highlight w:val="none"/>
          <w:lang w:val="en-US" w:eastAsia="zh-CN" w:bidi="ar-SA"/>
        </w:rPr>
        <w:t>一、收入支出决算总体情况说明</w:t>
      </w:r>
      <w:bookmarkEnd w:id="22"/>
      <w:bookmarkEnd w:id="23"/>
      <w:bookmarkEnd w:id="24"/>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20" w:firstLineChars="200"/>
        <w:jc w:val="both"/>
        <w:textAlignment w:val="auto"/>
        <w:outlineLvl w:val="9"/>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392430</wp:posOffset>
            </wp:positionH>
            <wp:positionV relativeFrom="page">
              <wp:posOffset>3727450</wp:posOffset>
            </wp:positionV>
            <wp:extent cx="4572000" cy="2743200"/>
            <wp:effectExtent l="4445" t="4445" r="14605" b="14605"/>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204.25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26.86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15.14</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主要变动原因是</w:t>
      </w:r>
      <w:r>
        <w:rPr>
          <w:rFonts w:hint="eastAsia" w:eastAsia="仿宋_GB2312" w:cs="仿宋_GB2312"/>
          <w:color w:val="auto"/>
          <w:kern w:val="2"/>
          <w:sz w:val="32"/>
          <w:szCs w:val="32"/>
          <w:highlight w:val="none"/>
          <w:lang w:val="en-US" w:eastAsia="zh-CN" w:bidi="ar-SA"/>
        </w:rPr>
        <w:t>项目、职工工资、保险增加，导致收入、支出均在增加。</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Times New Roman" w:hAnsi="Times New Roman" w:eastAsia="黑体" w:cs="Times New Roman"/>
          <w:b w:val="0"/>
          <w:color w:val="auto"/>
          <w:kern w:val="2"/>
          <w:sz w:val="32"/>
          <w:szCs w:val="32"/>
          <w:highlight w:val="none"/>
          <w:lang w:val="en-US" w:eastAsia="zh-CN" w:bidi="ar-SA"/>
        </w:rPr>
      </w:pPr>
      <w:bookmarkStart w:id="25" w:name="_Toc29153"/>
      <w:bookmarkStart w:id="26" w:name="_Toc15396604"/>
      <w:bookmarkStart w:id="27" w:name="_Toc15377206"/>
      <w:r>
        <w:rPr>
          <w:rFonts w:hint="eastAsia" w:ascii="Times New Roman" w:hAnsi="Times New Roman" w:eastAsia="黑体" w:cs="Times New Roman"/>
          <w:b w:val="0"/>
          <w:color w:val="auto"/>
          <w:kern w:val="2"/>
          <w:sz w:val="32"/>
          <w:szCs w:val="32"/>
          <w:highlight w:val="none"/>
          <w:lang w:val="en-US" w:eastAsia="zh-CN" w:bidi="ar-SA"/>
        </w:rPr>
        <w:t>二、收入决算情况说明</w:t>
      </w:r>
      <w:bookmarkEnd w:id="25"/>
      <w:bookmarkEnd w:id="26"/>
      <w:bookmarkEnd w:id="27"/>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20" w:firstLineChars="200"/>
        <w:jc w:val="both"/>
        <w:textAlignment w:val="auto"/>
        <w:outlineLvl w:val="9"/>
        <w:rPr>
          <w:rFonts w:hint="eastAsia" w:ascii="Times New Roman" w:hAnsi="Times New Roman" w:eastAsia="仿宋_GB2312" w:cs="仿宋_GB2312"/>
          <w:b/>
          <w:bCs/>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427355</wp:posOffset>
            </wp:positionH>
            <wp:positionV relativeFrom="paragraph">
              <wp:posOffset>1238885</wp:posOffset>
            </wp:positionV>
            <wp:extent cx="4606290" cy="1237615"/>
            <wp:effectExtent l="4445" t="4445" r="18415" b="15240"/>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204.25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204.25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黑体"/>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bookmarkStart w:id="28" w:name="_Toc15377207"/>
      <w:bookmarkStart w:id="29" w:name="_Toc15396605"/>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Times New Roman" w:hAnsi="Times New Roman" w:eastAsia="黑体" w:cs="Times New Roman"/>
          <w:b w:val="0"/>
          <w:color w:val="auto"/>
          <w:kern w:val="2"/>
          <w:sz w:val="32"/>
          <w:szCs w:val="32"/>
          <w:highlight w:val="none"/>
          <w:lang w:val="en-US" w:eastAsia="zh-CN" w:bidi="ar-SA"/>
        </w:rPr>
      </w:pPr>
      <w:bookmarkStart w:id="30" w:name="_Toc25603"/>
      <w:r>
        <w:rPr>
          <w:rFonts w:hint="eastAsia" w:ascii="Times New Roman" w:hAnsi="Times New Roman" w:eastAsia="黑体" w:cs="Times New Roman"/>
          <w:b w:val="0"/>
          <w:color w:val="auto"/>
          <w:kern w:val="2"/>
          <w:sz w:val="32"/>
          <w:szCs w:val="32"/>
          <w:highlight w:val="none"/>
          <w:lang w:val="en-US" w:eastAsia="zh-CN" w:bidi="ar-SA"/>
        </w:rPr>
        <w:t>三、支出决算情况说明</w:t>
      </w:r>
      <w:bookmarkEnd w:id="28"/>
      <w:bookmarkEnd w:id="29"/>
      <w:bookmarkEnd w:id="30"/>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20" w:firstLineChars="200"/>
        <w:jc w:val="both"/>
        <w:textAlignment w:val="auto"/>
        <w:outlineLvl w:val="9"/>
        <w:rPr>
          <w:rFonts w:hint="eastAsia"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374650</wp:posOffset>
            </wp:positionH>
            <wp:positionV relativeFrom="page">
              <wp:posOffset>3033395</wp:posOffset>
            </wp:positionV>
            <wp:extent cx="4572000" cy="2743200"/>
            <wp:effectExtent l="4445" t="4445" r="14605" b="14605"/>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204.25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155.25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76.01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23.98</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Times New Roman" w:hAnsi="Times New Roman" w:eastAsia="黑体" w:cs="Times New Roman"/>
          <w:b w:val="0"/>
          <w:color w:val="auto"/>
          <w:kern w:val="2"/>
          <w:sz w:val="32"/>
          <w:szCs w:val="32"/>
          <w:highlight w:val="none"/>
          <w:lang w:val="en-US" w:eastAsia="zh-CN" w:bidi="ar-SA"/>
        </w:rPr>
      </w:pPr>
      <w:bookmarkStart w:id="31" w:name="_Toc15396606"/>
      <w:bookmarkStart w:id="32" w:name="_Toc15377208"/>
      <w:bookmarkStart w:id="33" w:name="_Toc11275"/>
      <w:r>
        <w:rPr>
          <w:rFonts w:hint="eastAsia" w:ascii="Times New Roman" w:hAnsi="Times New Roman" w:eastAsia="黑体" w:cs="Times New Roman"/>
          <w:b w:val="0"/>
          <w:color w:val="auto"/>
          <w:kern w:val="2"/>
          <w:sz w:val="32"/>
          <w:szCs w:val="32"/>
          <w:highlight w:val="none"/>
          <w:lang w:val="en-US" w:eastAsia="zh-CN" w:bidi="ar-SA"/>
        </w:rPr>
        <w:t>四、财政拨款收入支出决算总体情况说明</w:t>
      </w:r>
      <w:bookmarkEnd w:id="31"/>
      <w:bookmarkEnd w:id="32"/>
      <w:bookmarkEnd w:id="33"/>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204.25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26.86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15.14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项目、职工工资、保险增加，导致财政拨款收入在增加。</w:t>
      </w:r>
    </w:p>
    <w:p>
      <w:pPr>
        <w:pageBreakBefore w:val="0"/>
        <w:kinsoku/>
        <w:wordWrap/>
        <w:overflowPunct/>
        <w:topLinePunct w:val="0"/>
        <w:autoSpaceDE/>
        <w:autoSpaceDN/>
        <w:bidi w:val="0"/>
        <w:spacing w:line="560" w:lineRule="exact"/>
        <w:ind w:left="0" w:leftChars="0" w:right="0" w:rightChars="0" w:firstLine="42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151130</wp:posOffset>
            </wp:positionH>
            <wp:positionV relativeFrom="paragraph">
              <wp:posOffset>243205</wp:posOffset>
            </wp:positionV>
            <wp:extent cx="5269865" cy="2114550"/>
            <wp:effectExtent l="4445" t="4445" r="21590" b="14605"/>
            <wp:wrapTopAndBottom/>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Times New Roman" w:hAnsi="Times New Roman" w:eastAsia="黑体" w:cs="Times New Roman"/>
          <w:b w:val="0"/>
          <w:color w:val="auto"/>
          <w:kern w:val="2"/>
          <w:sz w:val="32"/>
          <w:szCs w:val="32"/>
          <w:highlight w:val="none"/>
          <w:lang w:val="en-US" w:eastAsia="zh-CN" w:bidi="ar-SA"/>
        </w:rPr>
      </w:pPr>
      <w:bookmarkStart w:id="34" w:name="_Toc19159"/>
      <w:bookmarkStart w:id="35" w:name="_Toc15396607"/>
      <w:bookmarkStart w:id="36" w:name="_Toc15377209"/>
      <w:r>
        <w:rPr>
          <w:rFonts w:hint="eastAsia" w:ascii="Times New Roman" w:hAnsi="Times New Roman" w:eastAsia="黑体" w:cs="Times New Roman"/>
          <w:b w:val="0"/>
          <w:color w:val="auto"/>
          <w:kern w:val="2"/>
          <w:sz w:val="32"/>
          <w:szCs w:val="32"/>
          <w:highlight w:val="none"/>
          <w:lang w:val="en-US" w:eastAsia="zh-CN" w:bidi="ar-SA"/>
        </w:rPr>
        <w:t>五、一般公共预算财政拨款支出决算情况说明</w:t>
      </w:r>
      <w:bookmarkEnd w:id="34"/>
      <w:bookmarkEnd w:id="35"/>
      <w:bookmarkEnd w:id="36"/>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楷体_GB2312" w:cs="楷体_GB2312"/>
          <w:b/>
          <w:color w:val="auto"/>
          <w:sz w:val="32"/>
          <w:szCs w:val="32"/>
          <w:highlight w:val="none"/>
        </w:rPr>
      </w:pPr>
      <w:bookmarkStart w:id="3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7"/>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204.25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年度相比，一般公共预算财政拨款支出增加/减少</w:t>
      </w:r>
      <w:r>
        <w:rPr>
          <w:rFonts w:hint="eastAsia" w:eastAsia="仿宋_GB2312" w:cs="仿宋_GB2312"/>
          <w:color w:val="auto"/>
          <w:kern w:val="2"/>
          <w:sz w:val="32"/>
          <w:szCs w:val="32"/>
          <w:highlight w:val="none"/>
          <w:lang w:val="en-US" w:eastAsia="zh-CN" w:bidi="ar-SA"/>
        </w:rPr>
        <w:t>26.86</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15.14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项目、职工工资、保险增加，导致财政拨款收入在增加。</w:t>
      </w:r>
    </w:p>
    <w:p>
      <w:pPr>
        <w:pStyle w:val="2"/>
        <w:pageBreakBefore w:val="0"/>
        <w:kinsoku/>
        <w:wordWrap/>
        <w:overflowPunct/>
        <w:topLinePunct w:val="0"/>
        <w:autoSpaceDE/>
        <w:autoSpaceDN/>
        <w:bidi w:val="0"/>
        <w:spacing w:line="560" w:lineRule="exact"/>
        <w:ind w:left="0" w:leftChars="0" w:right="0" w:rightChars="0" w:firstLine="420" w:firstLineChars="200"/>
        <w:jc w:val="both"/>
        <w:textAlignment w:val="auto"/>
        <w:outlineLvl w:val="9"/>
        <w:rPr>
          <w:rFonts w:hint="eastAsia"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186690</wp:posOffset>
            </wp:positionH>
            <wp:positionV relativeFrom="paragraph">
              <wp:posOffset>77470</wp:posOffset>
            </wp:positionV>
            <wp:extent cx="4572000" cy="2743200"/>
            <wp:effectExtent l="4445" t="4445" r="14605" b="14605"/>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楷体_GB2312" w:cs="楷体_GB2312"/>
          <w:b/>
          <w:color w:val="auto"/>
          <w:sz w:val="32"/>
          <w:szCs w:val="32"/>
          <w:highlight w:val="none"/>
        </w:rPr>
      </w:pPr>
      <w:bookmarkStart w:id="3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8"/>
    </w:p>
    <w:p>
      <w:pPr>
        <w:pageBreakBefore w:val="0"/>
        <w:kinsoku/>
        <w:wordWrap/>
        <w:overflowPunct/>
        <w:topLinePunct w:val="0"/>
        <w:autoSpaceDE/>
        <w:autoSpaceDN/>
        <w:bidi w:val="0"/>
        <w:spacing w:line="560" w:lineRule="exact"/>
        <w:ind w:left="0" w:leftChars="0" w:right="0" w:rightChars="0" w:firstLine="42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401955</wp:posOffset>
            </wp:positionH>
            <wp:positionV relativeFrom="paragraph">
              <wp:posOffset>2050415</wp:posOffset>
            </wp:positionV>
            <wp:extent cx="4572000" cy="2743200"/>
            <wp:effectExtent l="4445" t="4445" r="14605" b="14605"/>
            <wp:wrapTopAndBottom/>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204.25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117.04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20.74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7.25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；科学技术支出49万元，占24%。</w:t>
      </w: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楷体_GB2312" w:cs="楷体_GB2312"/>
          <w:b/>
          <w:color w:val="auto"/>
          <w:sz w:val="32"/>
          <w:szCs w:val="32"/>
          <w:highlight w:val="none"/>
        </w:rPr>
      </w:pPr>
      <w:bookmarkStart w:id="3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9"/>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bookmarkStart w:id="40" w:name="_Toc15377444"/>
      <w:bookmarkStart w:id="41" w:name="_Toc15378460"/>
      <w:bookmarkStart w:id="42"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204.25</w:t>
      </w:r>
      <w:r>
        <w:rPr>
          <w:rFonts w:hint="eastAsia" w:ascii="Times New Roman" w:hAnsi="Times New Roman" w:eastAsia="仿宋_GB2312" w:cs="仿宋_GB2312"/>
          <w:color w:val="auto"/>
          <w:kern w:val="2"/>
          <w:sz w:val="32"/>
          <w:szCs w:val="32"/>
          <w:highlight w:val="none"/>
          <w:lang w:val="en-US" w:eastAsia="zh-CN" w:bidi="ar-SA"/>
        </w:rPr>
        <w:t>，完成预算**%。其中：</w:t>
      </w:r>
      <w:bookmarkEnd w:id="40"/>
      <w:bookmarkEnd w:id="41"/>
      <w:bookmarkEnd w:id="4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一般公共服务（类）群众团体事务（款）行政运行（项）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117.04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2.科学技术支出（类）科学技术普及（款）科普活动（项）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科学技术支出（类）科学技术普及（款）其他科学技术普及支出（项）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科学技术支出（类）其他科学技术支出（款）其他科学技术支出（项）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6.86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5.79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卫生健康支出（类）行政事业单位医疗（款）公务员医疗补助（项）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10.22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ageBreakBefore w:val="0"/>
        <w:tabs>
          <w:tab w:val="right" w:pos="8306"/>
        </w:tabs>
        <w:kinsoku/>
        <w:wordWrap/>
        <w:overflowPunct/>
        <w:topLinePunct w:val="0"/>
        <w:autoSpaceDE/>
        <w:autoSpaceDN/>
        <w:bidi w:val="0"/>
        <w:spacing w:line="560" w:lineRule="exact"/>
        <w:ind w:left="0" w:leftChars="0" w:right="0" w:rightChars="0" w:firstLine="640" w:firstLineChars="200"/>
        <w:jc w:val="both"/>
        <w:textAlignment w:val="auto"/>
        <w:outlineLvl w:val="1"/>
        <w:rPr>
          <w:rStyle w:val="30"/>
          <w:rFonts w:ascii="Times New Roman" w:hAnsi="Times New Roman"/>
          <w:color w:val="auto"/>
          <w:highlight w:val="none"/>
        </w:rPr>
      </w:pPr>
      <w:bookmarkStart w:id="43" w:name="_Toc15396608"/>
      <w:bookmarkStart w:id="44" w:name="_Toc15377214"/>
      <w:bookmarkStart w:id="45" w:name="_Toc21304"/>
      <w:r>
        <w:rPr>
          <w:rFonts w:hint="eastAsia" w:ascii="Times New Roman" w:hAnsi="Times New Roman" w:eastAsia="黑体" w:cs="Times New Roman"/>
          <w:b w:val="0"/>
          <w:color w:val="auto"/>
          <w:kern w:val="2"/>
          <w:sz w:val="32"/>
          <w:szCs w:val="32"/>
          <w:highlight w:val="none"/>
          <w:lang w:val="en-US" w:eastAsia="zh-CN" w:bidi="ar-SA"/>
        </w:rPr>
        <w:t>六、一般公共预算财政拨款基本支出决算情况说明</w:t>
      </w:r>
      <w:bookmarkEnd w:id="43"/>
      <w:bookmarkEnd w:id="44"/>
      <w:bookmarkEnd w:id="45"/>
      <w:r>
        <w:rPr>
          <w:rStyle w:val="30"/>
          <w:rFonts w:ascii="Times New Roman" w:hAnsi="Times New Roman" w:eastAsia="黑体"/>
          <w:b w:val="0"/>
          <w:color w:val="auto"/>
          <w:highlight w:val="none"/>
        </w:rPr>
        <w:tab/>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155.25</w:t>
      </w:r>
      <w:r>
        <w:rPr>
          <w:rFonts w:hint="eastAsia" w:ascii="Times New Roman" w:hAnsi="Times New Roman" w:eastAsia="仿宋_GB2312" w:cs="仿宋_GB2312"/>
          <w:color w:val="auto"/>
          <w:kern w:val="2"/>
          <w:sz w:val="32"/>
          <w:szCs w:val="32"/>
          <w:highlight w:val="none"/>
          <w:lang w:val="en-US" w:eastAsia="zh-CN" w:bidi="ar-SA"/>
        </w:rPr>
        <w:t>万元，其中：</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146.12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万元，主要包括：基本工资、津贴补贴、奖金、机关事业单位基本养老保险缴费、职业年金缴费、 职工基本医疗保险缴费</w:t>
      </w:r>
      <w:r>
        <w:rPr>
          <w:rFonts w:hint="eastAsia" w:eastAsia="仿宋_GB2312" w:cs="仿宋_GB2312"/>
          <w:color w:val="auto"/>
          <w:kern w:val="2"/>
          <w:sz w:val="32"/>
          <w:szCs w:val="32"/>
          <w:highlight w:val="none"/>
          <w:lang w:val="en-US" w:eastAsia="zh-CN" w:bidi="ar-SA"/>
        </w:rPr>
        <w:t>、 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其他社会保障缴费、生活补助、医疗费补助、住房公积金等。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kern w:val="2"/>
          <w:sz w:val="32"/>
          <w:szCs w:val="32"/>
          <w:highlight w:val="none"/>
          <w:lang w:val="en-US" w:eastAsia="zh-CN" w:bidi="ar-SA"/>
        </w:rPr>
        <w:t>万元，主要包括：办公费、邮电费、取暖费、差旅费、劳务费、公务用车运行维护费等。</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pageBreakBefore w:val="0"/>
        <w:tabs>
          <w:tab w:val="right" w:pos="8306"/>
        </w:tabs>
        <w:kinsoku/>
        <w:wordWrap/>
        <w:overflowPunct/>
        <w:topLinePunct w:val="0"/>
        <w:autoSpaceDE/>
        <w:autoSpaceDN/>
        <w:bidi w:val="0"/>
        <w:spacing w:line="560" w:lineRule="exact"/>
        <w:ind w:left="0" w:leftChars="0" w:right="0" w:rightChars="0" w:firstLine="640" w:firstLineChars="200"/>
        <w:jc w:val="both"/>
        <w:textAlignment w:val="auto"/>
        <w:outlineLvl w:val="1"/>
        <w:rPr>
          <w:rFonts w:hint="eastAsia" w:ascii="Times New Roman" w:hAnsi="Times New Roman" w:eastAsia="黑体" w:cs="Times New Roman"/>
          <w:b w:val="0"/>
          <w:color w:val="auto"/>
          <w:kern w:val="2"/>
          <w:sz w:val="32"/>
          <w:szCs w:val="32"/>
          <w:highlight w:val="none"/>
          <w:lang w:val="en-US" w:eastAsia="zh-CN" w:bidi="ar-SA"/>
        </w:rPr>
      </w:pPr>
      <w:bookmarkStart w:id="46" w:name="_Toc15377215"/>
      <w:bookmarkStart w:id="47" w:name="_Toc28535"/>
      <w:bookmarkStart w:id="48" w:name="_Toc15396609"/>
      <w:r>
        <w:rPr>
          <w:rFonts w:hint="eastAsia" w:ascii="Times New Roman" w:hAnsi="Times New Roman" w:eastAsia="黑体" w:cs="Times New Roman"/>
          <w:b w:val="0"/>
          <w:color w:val="auto"/>
          <w:kern w:val="2"/>
          <w:sz w:val="32"/>
          <w:szCs w:val="32"/>
          <w:highlight w:val="none"/>
          <w:lang w:val="en-US" w:eastAsia="zh-CN" w:bidi="ar-SA"/>
        </w:rPr>
        <w:t>七、财政拨款“三公”经费支出决算情况说明</w:t>
      </w:r>
      <w:bookmarkEnd w:id="46"/>
      <w:bookmarkEnd w:id="47"/>
      <w:bookmarkEnd w:id="48"/>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楷体_GB2312" w:cs="楷体_GB2312"/>
          <w:b/>
          <w:color w:val="auto"/>
          <w:sz w:val="32"/>
          <w:szCs w:val="32"/>
          <w:highlight w:val="none"/>
        </w:rPr>
      </w:pPr>
      <w:bookmarkStart w:id="4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9"/>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3.01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%，较上年度增减少</w:t>
      </w:r>
      <w:r>
        <w:rPr>
          <w:rFonts w:hint="eastAsia" w:eastAsia="仿宋_GB2312" w:cs="仿宋_GB2312"/>
          <w:color w:val="auto"/>
          <w:kern w:val="2"/>
          <w:sz w:val="32"/>
          <w:szCs w:val="32"/>
          <w:highlight w:val="none"/>
          <w:lang w:val="en-US" w:eastAsia="zh-CN" w:bidi="ar-SA"/>
        </w:rPr>
        <w:t>0.99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24.75</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eastAsia="仿宋_GB2312" w:cs="仿宋_GB2312"/>
          <w:color w:val="auto"/>
          <w:kern w:val="2"/>
          <w:sz w:val="32"/>
          <w:szCs w:val="32"/>
          <w:highlight w:val="none"/>
          <w:lang w:val="en-US" w:eastAsia="zh-CN" w:bidi="ar-SA"/>
        </w:rPr>
        <w:t>该年度下乡较少，导致加油费、过路费和维修费总和比预算数少。</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楷体_GB2312" w:cs="楷体_GB2312"/>
          <w:b/>
          <w:color w:val="auto"/>
          <w:sz w:val="32"/>
          <w:szCs w:val="32"/>
          <w:highlight w:val="none"/>
        </w:rPr>
      </w:pPr>
      <w:bookmarkStart w:id="50"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0"/>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3.01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ageBreakBefore w:val="0"/>
        <w:kinsoku/>
        <w:wordWrap/>
        <w:overflowPunct/>
        <w:topLinePunct w:val="0"/>
        <w:autoSpaceDE/>
        <w:autoSpaceDN/>
        <w:bidi w:val="0"/>
        <w:spacing w:line="560" w:lineRule="exact"/>
        <w:ind w:left="0" w:leftChars="0" w:right="0" w:rightChars="0" w:firstLine="42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245110</wp:posOffset>
            </wp:positionH>
            <wp:positionV relativeFrom="paragraph">
              <wp:posOffset>33020</wp:posOffset>
            </wp:positionV>
            <wp:extent cx="4546600" cy="2501900"/>
            <wp:effectExtent l="4445" t="4445" r="20955" b="8255"/>
            <wp:wrapTopAndBottom/>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3.01</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3.01</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下乡、出差</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bookmarkStart w:id="51" w:name="_Toc15377218"/>
      <w:bookmarkStart w:id="52" w:name="_Toc15396610"/>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1"/>
        <w:rPr>
          <w:rStyle w:val="30"/>
          <w:rFonts w:ascii="Times New Roman" w:hAnsi="Times New Roman" w:eastAsia="黑体"/>
          <w:color w:val="auto"/>
          <w:highlight w:val="none"/>
        </w:rPr>
      </w:pPr>
      <w:bookmarkStart w:id="53" w:name="_Toc3977"/>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1"/>
      <w:bookmarkEnd w:id="52"/>
      <w:bookmarkEnd w:id="53"/>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p>
    <w:p>
      <w:pPr>
        <w:pageBreakBefore w:val="0"/>
        <w:numPr>
          <w:ilvl w:val="0"/>
          <w:numId w:val="0"/>
        </w:numPr>
        <w:kinsoku/>
        <w:wordWrap/>
        <w:overflowPunct/>
        <w:topLinePunct w:val="0"/>
        <w:autoSpaceDE/>
        <w:autoSpaceDN/>
        <w:bidi w:val="0"/>
        <w:spacing w:line="560" w:lineRule="exact"/>
        <w:ind w:left="0" w:leftChars="0" w:right="0" w:rightChars="0" w:firstLine="640" w:firstLineChars="200"/>
        <w:jc w:val="both"/>
        <w:textAlignment w:val="auto"/>
        <w:outlineLvl w:val="1"/>
        <w:rPr>
          <w:rStyle w:val="30"/>
          <w:rFonts w:ascii="Times New Roman" w:hAnsi="Times New Roman" w:eastAsia="黑体"/>
          <w:b w:val="0"/>
          <w:color w:val="auto"/>
          <w:highlight w:val="none"/>
        </w:rPr>
      </w:pPr>
      <w:bookmarkStart w:id="54" w:name="_Toc21015"/>
      <w:bookmarkStart w:id="55" w:name="_Toc15396611"/>
      <w:bookmarkStart w:id="56"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4"/>
      <w:bookmarkEnd w:id="55"/>
      <w:bookmarkEnd w:id="56"/>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pageBreakBefore w:val="0"/>
        <w:numPr>
          <w:ilvl w:val="0"/>
          <w:numId w:val="0"/>
        </w:numPr>
        <w:kinsoku/>
        <w:wordWrap/>
        <w:overflowPunct/>
        <w:topLinePunct w:val="0"/>
        <w:autoSpaceDE/>
        <w:autoSpaceDN/>
        <w:bidi w:val="0"/>
        <w:spacing w:line="560" w:lineRule="exact"/>
        <w:ind w:left="0" w:leftChars="0" w:right="0" w:rightChars="0" w:firstLine="640" w:firstLineChars="200"/>
        <w:jc w:val="both"/>
        <w:textAlignment w:val="auto"/>
        <w:outlineLvl w:val="1"/>
        <w:rPr>
          <w:rStyle w:val="30"/>
          <w:rFonts w:hint="eastAsia" w:ascii="Times New Roman" w:hAnsi="Times New Roman" w:eastAsia="黑体"/>
          <w:b w:val="0"/>
          <w:color w:val="auto"/>
          <w:highlight w:val="none"/>
        </w:rPr>
      </w:pPr>
      <w:bookmarkStart w:id="57" w:name="_Toc15396612"/>
      <w:bookmarkStart w:id="58" w:name="_Toc24206"/>
      <w:bookmarkStart w:id="59"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7"/>
      <w:bookmarkEnd w:id="58"/>
      <w:bookmarkEnd w:id="59"/>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楷体_GB2312" w:cs="楷体_GB2312"/>
          <w:b/>
          <w:color w:val="auto"/>
          <w:sz w:val="32"/>
          <w:szCs w:val="32"/>
          <w:highlight w:val="none"/>
        </w:rPr>
      </w:pPr>
      <w:bookmarkStart w:id="60" w:name="_Toc15377222"/>
      <w:r>
        <w:rPr>
          <w:rFonts w:hint="eastAsia" w:ascii="Times New Roman" w:hAnsi="Times New Roman" w:eastAsia="楷体_GB2312" w:cs="楷体_GB2312"/>
          <w:b/>
          <w:color w:val="auto"/>
          <w:sz w:val="32"/>
          <w:szCs w:val="32"/>
          <w:highlight w:val="none"/>
        </w:rPr>
        <w:t>（一）机关运行经费支出情况</w:t>
      </w:r>
      <w:bookmarkEnd w:id="60"/>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壤塘县科学技术协会</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0.09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0.98</w:t>
      </w:r>
      <w:r>
        <w:rPr>
          <w:rFonts w:hint="eastAsia" w:ascii="Times New Roman" w:hAnsi="Times New Roman"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楷体_GB2312" w:cs="楷体_GB2312"/>
          <w:b/>
          <w:color w:val="auto"/>
          <w:sz w:val="32"/>
          <w:szCs w:val="32"/>
          <w:highlight w:val="none"/>
        </w:rPr>
      </w:pPr>
      <w:bookmarkStart w:id="61" w:name="_Toc15377223"/>
      <w:r>
        <w:rPr>
          <w:rFonts w:hint="eastAsia" w:ascii="Times New Roman" w:hAnsi="Times New Roman" w:eastAsia="楷体_GB2312" w:cs="楷体_GB2312"/>
          <w:b/>
          <w:color w:val="auto"/>
          <w:sz w:val="32"/>
          <w:szCs w:val="32"/>
          <w:highlight w:val="none"/>
        </w:rPr>
        <w:t>（二）政府采购支出情况</w:t>
      </w:r>
      <w:bookmarkEnd w:id="61"/>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壤塘县科学技术协会</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楷体_GB2312" w:cs="楷体_GB2312"/>
          <w:b/>
          <w:color w:val="auto"/>
          <w:sz w:val="32"/>
          <w:szCs w:val="32"/>
          <w:highlight w:val="none"/>
        </w:rPr>
      </w:pPr>
      <w:bookmarkStart w:id="62" w:name="_Toc15377224"/>
      <w:r>
        <w:rPr>
          <w:rFonts w:hint="eastAsia" w:ascii="Times New Roman" w:hAnsi="Times New Roman" w:eastAsia="楷体_GB2312" w:cs="楷体_GB2312"/>
          <w:b/>
          <w:color w:val="auto"/>
          <w:sz w:val="32"/>
          <w:szCs w:val="32"/>
          <w:highlight w:val="none"/>
        </w:rPr>
        <w:t>（三）国有资产占有使用情况</w:t>
      </w:r>
      <w:bookmarkEnd w:id="62"/>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壤塘县科学技术协会</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日常下乡及出差。</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壤塘县科学技术协会</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《2024年科普专项资金》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57</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壤塘县科学技术协会</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部门预算（含部门预算项目）绩效自评报告（此项单位不涉及）、</w:t>
      </w:r>
      <w:r>
        <w:rPr>
          <w:rFonts w:hint="eastAsia" w:eastAsia="仿宋_GB2312" w:cs="仿宋_GB2312"/>
          <w:color w:val="auto"/>
          <w:kern w:val="2"/>
          <w:sz w:val="32"/>
          <w:szCs w:val="32"/>
          <w:highlight w:val="none"/>
          <w:lang w:val="en-US" w:eastAsia="zh-CN" w:bidi="ar-SA"/>
        </w:rPr>
        <w:t>《2024年科普专项资金》</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壤塘县科学技术协会</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2025年度本单位绩效目标紧密结合科协核心职能设定，目标清晰、贴合实际，与年度工作任务高度匹配；预算资金配置科学，重点保障科普惠民、科技服务等重点项目，“三公”经费严格控制在财政核定范围内，人员经费、公用经费支出合规，预算投入精准度达标，有效支撑各项履职工作落地。自评得分86分。</w:t>
      </w:r>
      <w:r>
        <w:rPr>
          <w:rFonts w:hint="eastAsia" w:ascii="Times New Roman" w:hAnsi="Times New Roman" w:eastAsia="仿宋_GB2312" w:cs="仿宋_GB2312"/>
          <w:color w:val="auto"/>
          <w:kern w:val="2"/>
          <w:sz w:val="32"/>
          <w:szCs w:val="32"/>
          <w:highlight w:val="none"/>
          <w:lang w:val="en-US" w:eastAsia="zh-CN" w:bidi="ar-SA"/>
        </w:rPr>
        <w:t>***专项预算项目绩效自评得分为***分，绩效自评综述……。绩效自评报告详见附件。（注：如不涉及，可根据实际修改表述。）</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p>
    <w:p>
      <w:pPr>
        <w:pageBreakBefore w:val="0"/>
        <w:numPr>
          <w:ilvl w:val="0"/>
          <w:numId w:val="0"/>
        </w:numPr>
        <w:kinsoku/>
        <w:wordWrap/>
        <w:overflowPunct/>
        <w:topLinePunct w:val="0"/>
        <w:autoSpaceDE/>
        <w:autoSpaceDN/>
        <w:bidi w:val="0"/>
        <w:spacing w:line="560" w:lineRule="exact"/>
        <w:ind w:left="0" w:leftChars="0" w:right="0" w:rightChars="0" w:firstLine="880" w:firstLineChars="200"/>
        <w:jc w:val="center"/>
        <w:textAlignment w:val="auto"/>
        <w:outlineLvl w:val="0"/>
        <w:rPr>
          <w:rFonts w:hint="eastAsia" w:ascii="Times New Roman" w:hAnsi="Times New Roman" w:eastAsia="黑体"/>
          <w:color w:val="auto"/>
          <w:sz w:val="44"/>
          <w:szCs w:val="44"/>
          <w:highlight w:val="none"/>
        </w:rPr>
      </w:pPr>
      <w:bookmarkStart w:id="63" w:name="_Toc15377225"/>
      <w:bookmarkStart w:id="64" w:name="_Toc15396613"/>
      <w:bookmarkStart w:id="65" w:name="_Toc1829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3"/>
      <w:bookmarkEnd w:id="64"/>
      <w:bookmarkEnd w:id="65"/>
    </w:p>
    <w:p>
      <w:pPr>
        <w:pageBreakBefore w:val="0"/>
        <w:kinsoku/>
        <w:wordWrap/>
        <w:overflowPunct/>
        <w:topLinePunct w:val="0"/>
        <w:autoSpaceDE/>
        <w:autoSpaceDN/>
        <w:bidi w:val="0"/>
        <w:spacing w:line="560" w:lineRule="exact"/>
        <w:ind w:left="0" w:leftChars="0" w:right="0" w:rightChars="0" w:firstLine="883" w:firstLineChars="200"/>
        <w:jc w:val="both"/>
        <w:textAlignment w:val="auto"/>
        <w:outlineLvl w:val="9"/>
        <w:rPr>
          <w:rFonts w:ascii="Times New Roman" w:hAnsi="Times New Roman"/>
          <w:b/>
          <w:color w:val="auto"/>
          <w:sz w:val="44"/>
          <w:szCs w:val="44"/>
          <w:highlight w:val="none"/>
        </w:rPr>
      </w:pP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w:t>
      </w:r>
      <w:r>
        <w:rPr>
          <w:rFonts w:hint="eastAsia" w:eastAsia="仿宋_GB2312" w:cs="仿宋_GB2312"/>
          <w:color w:val="auto"/>
          <w:kern w:val="2"/>
          <w:sz w:val="32"/>
          <w:szCs w:val="32"/>
          <w:highlight w:val="none"/>
          <w:lang w:val="en-US" w:eastAsia="zh-CN" w:bidi="ar-SA"/>
        </w:rPr>
        <w:t>事业单位</w:t>
      </w:r>
      <w:r>
        <w:rPr>
          <w:rFonts w:hint="eastAsia" w:ascii="Times New Roman" w:hAnsi="Times New Roman" w:eastAsia="仿宋_GB2312" w:cs="仿宋_GB2312"/>
          <w:color w:val="auto"/>
          <w:kern w:val="2"/>
          <w:sz w:val="32"/>
          <w:szCs w:val="32"/>
          <w:highlight w:val="none"/>
          <w:lang w:val="en-US" w:eastAsia="zh-CN" w:bidi="ar-SA"/>
        </w:rPr>
        <w:t>收入情况）等。</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.科学技术（类）……（款）……（项）：指……</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.社会保障和就业（类）……（款）……（项）：指……</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.卫生健康（类）……（款）……（项）：指……</w:t>
      </w:r>
    </w:p>
    <w:p>
      <w:pPr>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.住房保障（类）……（款）……（项）：指……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2"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办公用房水电费、办公用房取暖费、公务用车运行维护费以及其他费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2" w:firstLineChars="200"/>
        <w:jc w:val="both"/>
        <w:textAlignment w:val="auto"/>
        <w:outlineLvl w:val="9"/>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pageBreakBefore w:val="0"/>
        <w:kinsoku/>
        <w:wordWrap/>
        <w:overflowPunct/>
        <w:topLinePunct w:val="0"/>
        <w:autoSpaceDE/>
        <w:autoSpaceDN/>
        <w:bidi w:val="0"/>
        <w:spacing w:line="560" w:lineRule="exact"/>
        <w:ind w:left="0" w:leftChars="0" w:right="0" w:rightChars="0" w:firstLine="640" w:firstLineChars="200"/>
        <w:jc w:val="center"/>
        <w:textAlignment w:val="auto"/>
        <w:outlineLvl w:val="0"/>
        <w:rPr>
          <w:rStyle w:val="29"/>
          <w:rFonts w:hint="eastAsia" w:ascii="Times New Roman" w:hAnsi="Times New Roman" w:eastAsia="黑体"/>
          <w:b w:val="0"/>
          <w:color w:val="auto"/>
          <w:highlight w:val="none"/>
          <w:lang w:eastAsia="zh-CN"/>
        </w:rPr>
      </w:pPr>
      <w:bookmarkStart w:id="6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7" w:name="_Toc15396614"/>
      <w:bookmarkStart w:id="68" w:name="_Toc478"/>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7"/>
      <w:bookmarkEnd w:id="68"/>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1"/>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60" w:lineRule="exact"/>
        <w:ind w:right="0" w:rightChars="0"/>
        <w:jc w:val="both"/>
        <w:textAlignment w:val="auto"/>
        <w:outlineLvl w:val="1"/>
        <w:rPr>
          <w:rFonts w:hint="eastAsia" w:ascii="Times New Roman" w:hAnsi="Times New Roman" w:eastAsia="黑体" w:cs="方正小标宋简体"/>
          <w:color w:val="auto"/>
          <w:sz w:val="44"/>
          <w:szCs w:val="44"/>
          <w:highlight w:val="none"/>
          <w:lang w:val="en-US" w:eastAsia="zh-CN"/>
        </w:rPr>
      </w:pPr>
      <w:bookmarkStart w:id="69" w:name="_Toc21373"/>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9"/>
    </w:p>
    <w:p>
      <w:pPr>
        <w:keepNext w:val="0"/>
        <w:keepLines w:val="0"/>
        <w:pageBreakBefore w:val="0"/>
        <w:widowControl/>
        <w:kinsoku/>
        <w:wordWrap/>
        <w:overflowPunct/>
        <w:topLinePunct w:val="0"/>
        <w:autoSpaceDE/>
        <w:autoSpaceDN/>
        <w:bidi w:val="0"/>
        <w:spacing w:line="560" w:lineRule="exact"/>
        <w:ind w:left="0" w:leftChars="0" w:right="0" w:rightChars="0" w:firstLine="880" w:firstLineChars="20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60" w:lineRule="exact"/>
        <w:ind w:left="0" w:leftChars="0" w:right="0" w:rightChars="0" w:firstLine="880" w:firstLineChars="20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60" w:lineRule="exact"/>
        <w:ind w:left="0" w:leftChars="0" w:right="0" w:rightChars="0" w:firstLine="640" w:firstLineChars="200"/>
        <w:contextualSpacing/>
        <w:jc w:val="both"/>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sz w:val="32"/>
          <w:szCs w:val="32"/>
          <w:lang w:val="zh-CN"/>
        </w:rPr>
        <w:t>壤塘县科学技术</w:t>
      </w:r>
      <w:r>
        <w:rPr>
          <w:rFonts w:hint="eastAsia" w:ascii="仿宋_GB2312" w:hAnsi="仿宋_GB2312" w:eastAsia="仿宋_GB2312" w:cs="仿宋_GB2312"/>
          <w:color w:val="auto"/>
          <w:sz w:val="32"/>
          <w:szCs w:val="32"/>
          <w:lang w:val="zh-CN"/>
        </w:rPr>
        <w:t>协会由</w:t>
      </w:r>
      <w:r>
        <w:rPr>
          <w:rFonts w:hint="eastAsia" w:ascii="仿宋_GB2312" w:hAnsi="仿宋_GB2312" w:eastAsia="仿宋_GB2312" w:cs="仿宋_GB2312"/>
          <w:color w:val="auto"/>
          <w:sz w:val="32"/>
          <w:szCs w:val="32"/>
          <w:lang w:val="en-US" w:eastAsia="zh-CN"/>
        </w:rPr>
        <w:t>办公室</w:t>
      </w:r>
      <w:r>
        <w:rPr>
          <w:rFonts w:hint="eastAsia" w:ascii="仿宋_GB2312" w:hAnsi="仿宋_GB2312" w:eastAsia="仿宋_GB2312" w:cs="仿宋_GB2312"/>
          <w:color w:val="auto"/>
          <w:sz w:val="32"/>
          <w:szCs w:val="32"/>
          <w:lang w:val="zh-CN"/>
        </w:rPr>
        <w:t>组</w:t>
      </w:r>
      <w:r>
        <w:rPr>
          <w:rFonts w:hint="eastAsia" w:ascii="仿宋_GB2312" w:hAnsi="仿宋_GB2312" w:eastAsia="仿宋_GB2312" w:cs="仿宋_GB2312"/>
          <w:sz w:val="32"/>
          <w:szCs w:val="32"/>
          <w:lang w:val="zh-CN"/>
        </w:rPr>
        <w:t>成</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hAnsi="仿宋_GB2312" w:eastAsia="仿宋_GB2312" w:cs="仿宋_GB2312"/>
          <w:kern w:val="10"/>
          <w:sz w:val="32"/>
          <w:szCs w:val="32"/>
        </w:rPr>
        <w:t>1.开展学术交流、活跃学术思想，促进学科发展，推动决策科学化和民主化。 2.普及科学知识，推广先进技术，促进科技成果向现实生产力转化。 3.为科技、经济、社会协调发展献计献策，进行决策咨询和技术服务，兴办科技经济实体。 4.反映科技工作者的呼声和要求，保护科技工作者的合法权益。 5.开展继续教育，技术培训，农村科普和青少年科技教育活动。 6.参与地方性科技政策，法规及科技计划、规划的制定。7.加强对县级学（协）会及农村专业技术团队的业务指导。8.编辑学术刊物和科普读物，为科技团体和科技工作者服务</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2" w:firstLineChars="200"/>
        <w:jc w:val="both"/>
        <w:textAlignment w:val="auto"/>
        <w:outlineLvl w:val="9"/>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仿宋_GB2312" w:hAnsi="仿宋_GB2312" w:eastAsia="仿宋_GB2312" w:cs="仿宋_GB2312"/>
          <w:kern w:val="10"/>
          <w:sz w:val="32"/>
          <w:szCs w:val="32"/>
        </w:rPr>
        <w:t>人员情况：总编制5名</w:t>
      </w:r>
      <w:r>
        <w:rPr>
          <w:rFonts w:hint="eastAsia" w:ascii="仿宋_GB2312" w:hAnsi="仿宋_GB2312" w:eastAsia="仿宋_GB2312" w:cs="仿宋_GB2312"/>
          <w:kern w:val="10"/>
          <w:sz w:val="32"/>
          <w:szCs w:val="32"/>
          <w:lang w:eastAsia="zh-CN"/>
        </w:rPr>
        <w:t>，</w:t>
      </w:r>
      <w:r>
        <w:rPr>
          <w:rFonts w:hint="eastAsia" w:ascii="仿宋_GB2312" w:hAnsi="仿宋_GB2312" w:eastAsia="仿宋_GB2312" w:cs="仿宋_GB2312"/>
          <w:kern w:val="10"/>
          <w:sz w:val="32"/>
          <w:szCs w:val="32"/>
        </w:rPr>
        <w:t>其中</w:t>
      </w:r>
      <w:r>
        <w:rPr>
          <w:rFonts w:hint="eastAsia" w:ascii="仿宋_GB2312" w:hAnsi="仿宋_GB2312" w:eastAsia="仿宋_GB2312" w:cs="仿宋_GB2312"/>
          <w:kern w:val="10"/>
          <w:sz w:val="32"/>
          <w:szCs w:val="32"/>
          <w:lang w:eastAsia="zh-CN"/>
        </w:rPr>
        <w:t>：</w:t>
      </w:r>
      <w:r>
        <w:rPr>
          <w:rFonts w:hint="eastAsia" w:ascii="仿宋_GB2312" w:hAnsi="仿宋_GB2312" w:eastAsia="仿宋_GB2312" w:cs="仿宋_GB2312"/>
          <w:kern w:val="10"/>
          <w:sz w:val="32"/>
          <w:szCs w:val="32"/>
        </w:rPr>
        <w:t>行政编制5人</w:t>
      </w:r>
      <w:r>
        <w:rPr>
          <w:rFonts w:hint="eastAsia" w:ascii="仿宋_GB2312" w:hAnsi="仿宋_GB2312" w:cs="仿宋_GB2312"/>
          <w:kern w:val="10"/>
          <w:sz w:val="32"/>
          <w:szCs w:val="32"/>
          <w:lang w:eastAsia="zh-CN"/>
        </w:rPr>
        <w:t>，</w:t>
      </w:r>
      <w:r>
        <w:rPr>
          <w:rFonts w:hint="eastAsia" w:ascii="仿宋_GB2312" w:hAnsi="仿宋_GB2312" w:cs="仿宋_GB2312"/>
          <w:kern w:val="10"/>
          <w:sz w:val="32"/>
          <w:szCs w:val="32"/>
          <w:lang w:val="en-US" w:eastAsia="zh-CN"/>
        </w:rPr>
        <w:t>年末人数5人</w:t>
      </w:r>
      <w:r>
        <w:rPr>
          <w:szCs w:val="32"/>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壤塘县科学技术协会</w:t>
      </w:r>
      <w:r>
        <w:rPr>
          <w:rFonts w:hint="eastAsia" w:ascii="Times New Roman" w:hAnsi="Times New Roman" w:eastAsia="仿宋_GB2312" w:cs="仿宋_GB2312"/>
          <w:color w:val="auto"/>
          <w:kern w:val="2"/>
          <w:sz w:val="32"/>
          <w:szCs w:val="32"/>
          <w:highlight w:val="none"/>
          <w:lang w:val="en-US" w:eastAsia="zh-CN" w:bidi="ar-SA"/>
        </w:rPr>
        <w:t>2025年本单位预算总收入共计108.3万元，均为财政拨款收入，执行期中追加收入95.7万元，全年实际收入合计为204.25万元，预算批复合规、资金足额到位，为各项工作开展提供坚实资金保障。</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壤塘县科学技术协会2025年本单位实际支出共计204.25万元，预算执行率100%。其中基本支出155.25万元，主要用于人员经费、日常公用经费支出，保障单位正常运转；项目支出49万元，重点用于科普宣传活动、学术交流研讨、青少年科创赛事、科普示范基地运维、科技工作者培训等专项工作。</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壤塘县科学技术协会2025年本单位无结转结余资金。</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eastAsia="仿宋_GB2312" w:cs="仿宋_GB2312"/>
          <w:color w:val="auto"/>
          <w:kern w:val="2"/>
          <w:sz w:val="32"/>
          <w:szCs w:val="32"/>
          <w:highlight w:val="none"/>
          <w:lang w:val="zh-CN" w:eastAsia="zh-CN" w:bidi="ar-SA"/>
        </w:rPr>
        <w:t>2025年度本单位绩效目标紧密结合科协核心职能设定，目标清晰、贴合实际，与年度工作任务高度匹配；预算资金配置科学，重点保障科普惠民、科技服务等重点项目，“三公”经费严格控制在财政核定范围内，人员经费、公用经费支出合规，预算投入精准度达标，有效支撑各项履职工作落地。自评得分86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ascii="Times New Roman" w:hAnsi="Times New Roman" w:eastAsia="仿宋_GB2312" w:cs="仿宋_GB2312"/>
          <w:color w:val="auto"/>
          <w:kern w:val="2"/>
          <w:sz w:val="32"/>
          <w:szCs w:val="32"/>
          <w:highlight w:val="none"/>
          <w:lang w:val="en-US" w:eastAsia="zh-CN" w:bidi="ar-SA"/>
        </w:rPr>
        <w:t>抓紧科技工作，提升县域科技创新力。累计举办各种科普科服活动120余场次，惠及农户30000余人；</w:t>
      </w:r>
      <w:r>
        <w:rPr>
          <w:rFonts w:hint="eastAsia" w:ascii="Times New Roman" w:hAnsi="Times New Roman" w:eastAsia="仿宋_GB2312" w:cs="仿宋_GB2312"/>
          <w:color w:val="auto"/>
          <w:kern w:val="2"/>
          <w:sz w:val="32"/>
          <w:szCs w:val="32"/>
          <w:highlight w:val="none"/>
          <w:lang w:val="zh-CN" w:eastAsia="zh-CN" w:bidi="ar-SA"/>
        </w:rPr>
        <w:t>开展科技工作者培训、走访服务</w:t>
      </w:r>
      <w:r>
        <w:rPr>
          <w:rFonts w:hint="eastAsia" w:ascii="Times New Roman" w:hAnsi="Times New Roman"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zh-CN" w:eastAsia="zh-CN" w:bidi="ar-SA"/>
        </w:rPr>
        <w:t>次，服务科技工作者</w:t>
      </w:r>
      <w:r>
        <w:rPr>
          <w:rFonts w:hint="eastAsia" w:ascii="Times New Roman" w:hAnsi="Times New Roman" w:eastAsia="仿宋_GB2312" w:cs="仿宋_GB2312"/>
          <w:color w:val="auto"/>
          <w:kern w:val="2"/>
          <w:sz w:val="32"/>
          <w:szCs w:val="32"/>
          <w:highlight w:val="none"/>
          <w:lang w:val="en-US" w:eastAsia="zh-CN" w:bidi="ar-SA"/>
        </w:rPr>
        <w:t>444</w:t>
      </w:r>
      <w:r>
        <w:rPr>
          <w:rFonts w:hint="eastAsia" w:ascii="Times New Roman" w:hAnsi="Times New Roman" w:eastAsia="仿宋_GB2312" w:cs="仿宋_GB2312"/>
          <w:color w:val="auto"/>
          <w:kern w:val="2"/>
          <w:sz w:val="32"/>
          <w:szCs w:val="32"/>
          <w:highlight w:val="none"/>
          <w:lang w:val="zh-CN" w:eastAsia="zh-CN" w:bidi="ar-SA"/>
        </w:rPr>
        <w:t>人次；</w:t>
      </w:r>
      <w:r>
        <w:rPr>
          <w:rFonts w:hint="eastAsia" w:ascii="Times New Roman" w:hAnsi="Times New Roman" w:eastAsia="仿宋_GB2312" w:cs="仿宋_GB2312"/>
          <w:color w:val="auto"/>
          <w:kern w:val="2"/>
          <w:sz w:val="32"/>
          <w:szCs w:val="32"/>
          <w:highlight w:val="none"/>
          <w:lang w:val="en-US" w:eastAsia="zh-CN" w:bidi="ar-SA"/>
        </w:rPr>
        <w:t>发放科普资料20</w:t>
      </w:r>
      <w:r>
        <w:rPr>
          <w:rFonts w:hint="default" w:ascii="Times New Roman" w:hAnsi="Times New Roman"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余份。聚焦科普宣传，做好做实科普工作。累计开展科技人才综合培优行动54场次惠及干部群众12000余人次。</w:t>
      </w:r>
      <w:r>
        <w:rPr>
          <w:rFonts w:hint="eastAsia" w:ascii="Times New Roman" w:hAnsi="Times New Roman" w:eastAsia="仿宋_GB2312" w:cs="仿宋_GB2312"/>
          <w:color w:val="auto"/>
          <w:kern w:val="2"/>
          <w:sz w:val="32"/>
          <w:szCs w:val="32"/>
          <w:highlight w:val="none"/>
          <w:lang w:val="zh-CN" w:eastAsia="zh-CN" w:bidi="ar-SA"/>
        </w:rPr>
        <w:t>举办交流研讨会</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场；组织青少年科技创新大赛、科普实践活动</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次，参与青少年</w:t>
      </w:r>
      <w:r>
        <w:rPr>
          <w:rFonts w:hint="eastAsia" w:ascii="Times New Roman" w:hAnsi="Times New Roman" w:eastAsia="仿宋_GB2312" w:cs="仿宋_GB2312"/>
          <w:color w:val="auto"/>
          <w:kern w:val="2"/>
          <w:sz w:val="32"/>
          <w:szCs w:val="32"/>
          <w:highlight w:val="none"/>
          <w:lang w:val="en-US" w:eastAsia="zh-CN" w:bidi="ar-SA"/>
        </w:rPr>
        <w:t>200</w:t>
      </w:r>
      <w:r>
        <w:rPr>
          <w:rFonts w:hint="eastAsia" w:ascii="Times New Roman" w:hAnsi="Times New Roman" w:eastAsia="仿宋_GB2312" w:cs="仿宋_GB2312"/>
          <w:color w:val="auto"/>
          <w:kern w:val="2"/>
          <w:sz w:val="32"/>
          <w:szCs w:val="32"/>
          <w:highlight w:val="none"/>
          <w:lang w:val="zh-CN" w:eastAsia="zh-CN" w:bidi="ar-SA"/>
        </w:rPr>
        <w:t>人次。</w:t>
      </w:r>
      <w:r>
        <w:rPr>
          <w:rFonts w:hint="eastAsia" w:ascii="Times New Roman" w:hAnsi="Times New Roman" w:eastAsia="仿宋_GB2312" w:cs="仿宋_GB2312"/>
          <w:color w:val="auto"/>
          <w:kern w:val="2"/>
          <w:sz w:val="32"/>
          <w:szCs w:val="32"/>
          <w:highlight w:val="none"/>
          <w:lang w:val="en-US" w:eastAsia="zh-CN" w:bidi="ar-SA"/>
        </w:rPr>
        <w:t>做深做实“石榴籽”工程。结合托底性帮扶和双联双进工作，开展支部共建活动2次，到阿斗村党支部讲专题党课2次，宣讲精神共24余次。配合成都市农村专业技术协会为壤塘县开展托底性帮扶相关工作，累计举办活动110余场，惠及农户30000余人，发放科普资料</w:t>
      </w:r>
      <w:r>
        <w:rPr>
          <w:rFonts w:hint="default" w:ascii="Times New Roman" w:hAnsi="Times New Roman" w:eastAsia="仿宋_GB2312" w:cs="仿宋_GB2312"/>
          <w:color w:val="auto"/>
          <w:kern w:val="2"/>
          <w:sz w:val="32"/>
          <w:szCs w:val="32"/>
          <w:highlight w:val="none"/>
          <w:lang w:val="en-US" w:eastAsia="zh-CN" w:bidi="ar-SA"/>
        </w:rPr>
        <w:t>4000</w:t>
      </w:r>
      <w:r>
        <w:rPr>
          <w:rFonts w:hint="eastAsia" w:ascii="Times New Roman" w:hAnsi="Times New Roman" w:eastAsia="仿宋_GB2312" w:cs="仿宋_GB2312"/>
          <w:color w:val="auto"/>
          <w:kern w:val="2"/>
          <w:sz w:val="32"/>
          <w:szCs w:val="32"/>
          <w:highlight w:val="none"/>
          <w:lang w:val="en-US" w:eastAsia="zh-CN" w:bidi="ar-SA"/>
        </w:rPr>
        <w:t>余份。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2025年壤塘县科学技术协会年初预算数为95.7万元，执行期间根据工作安排和开展情况追加收入30.03万元，调整预算数为204.25万元，年末无结转结余，预算安排准确。所有预算内工作及项目均按年度计划按时完成，资金支出及时高效，无拖延滞后情况，时效指标全面完成。严格按照财政要求推进预算支出，规范资金拨付流程，定期监控支出进度，资金使用专款专用，无超预算、无预算支出情况，财务核算规范，内控制度有效执行，资金管理全程合规</w:t>
      </w:r>
      <w:r>
        <w:rPr>
          <w:rFonts w:hint="eastAsia"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严格控制各项工作成本，专项工作人均成本、单场活动成本均控制在预算范围内，成本管控到位，实现资金高效利用。壤塘县科学技术协会2025年“三公”经费年初预算4万元，决算支出3.01万元。其中公务用车购置及运行维护费预算3.01万元，决算支出3.01万元（其中公务用车运行维护费3.01万元）</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未发生因公出国（境）费及公务接待费，2025年“三公”经费决算均未超过预算。</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。本年度科协严格落实国有资产管理各项规定，管理制度健全、流程规范、责任明确，国有资产安全完整、配置合理、使用高效，全面完成资产管理绩效目标，资产管理工作整体规范有序。固定资产在用率100%。</w:t>
      </w:r>
      <w:r>
        <w:rPr>
          <w:rFonts w:hint="eastAsia" w:eastAsia="仿宋_GB2312" w:cs="仿宋_GB2312"/>
          <w:color w:val="auto"/>
          <w:kern w:val="2"/>
          <w:sz w:val="32"/>
          <w:szCs w:val="32"/>
          <w:highlight w:val="none"/>
          <w:lang w:val="zh-CN" w:eastAsia="zh-CN" w:bidi="ar-SA"/>
        </w:rPr>
        <w:t>截至</w:t>
      </w:r>
      <w:r>
        <w:rPr>
          <w:rFonts w:hint="eastAsia" w:ascii="Times New Roman" w:hAnsi="Times New Roman" w:eastAsia="仿宋_GB2312" w:cs="仿宋_GB2312"/>
          <w:color w:val="auto"/>
          <w:kern w:val="2"/>
          <w:sz w:val="32"/>
          <w:szCs w:val="32"/>
          <w:highlight w:val="none"/>
          <w:lang w:val="zh-CN" w:eastAsia="zh-CN" w:bidi="ar-SA"/>
        </w:rPr>
        <w:t>2025年12月31日，壤塘县科学技术协会《行政单位资产管理系统》固定资产总计62.88万元，在用的固定资产总计62.88万元，固定资产在用率达100%</w:t>
      </w:r>
      <w:r>
        <w:rPr>
          <w:rFonts w:hint="eastAsia"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。所有专项工作均按规定完成立项、审批、实施、验收流程，项目实施</w:t>
      </w:r>
      <w:r>
        <w:rPr>
          <w:rFonts w:hint="eastAsia" w:eastAsia="仿宋_GB2312" w:cs="仿宋_GB2312"/>
          <w:color w:val="auto"/>
          <w:kern w:val="2"/>
          <w:sz w:val="32"/>
          <w:szCs w:val="32"/>
          <w:highlight w:val="none"/>
          <w:lang w:val="zh-CN" w:eastAsia="zh-CN" w:bidi="ar-SA"/>
        </w:rPr>
        <w:t>全过</w:t>
      </w:r>
      <w:r>
        <w:rPr>
          <w:rFonts w:hint="eastAsia" w:ascii="Times New Roman" w:hAnsi="Times New Roman" w:eastAsia="仿宋_GB2312" w:cs="仿宋_GB2312"/>
          <w:color w:val="auto"/>
          <w:kern w:val="2"/>
          <w:sz w:val="32"/>
          <w:szCs w:val="32"/>
          <w:highlight w:val="none"/>
          <w:lang w:val="zh-CN" w:eastAsia="zh-CN" w:bidi="ar-SA"/>
        </w:rPr>
        <w:t>程管控，采购环节合规合法，工作台账、档案资料完整齐全，项目实施流程规范高效。壤塘县科学技术协会2025年度政府采购货物支出0万元，政府采购工程支出0万元，政府采购服务支出0万元。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常年项目绩效分析。该类项目总数1个，涉及预算总金额8万元，1—12月预算执行总体进度为100%，其中：预算结余率大于10%的项目共计0个。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阶段（含一次性）项目绩效分析。该类项目总数3个，涉及预算总金额41万元，1—12月预算执行总体进度为100%，其中：预算结余率大于10%的项目共计0个。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2025年度本单位的项目均立足科协普及科学知识、弘扬科学精神、服务科技工作者、培育青少年科创意识、推进全民科学素质提升核心工作职责，紧扣地方全民科学素质行动规划、科技惠民工作部署，立项实施科普宣传推广、学术交流研讨、青少年科技教育、科技工作者服务、科普阵地运维等专项工作，切实发挥科协桥梁纽带作用，助力地方科技创新与科学普及协同发展</w:t>
      </w:r>
      <w:r>
        <w:rPr>
          <w:rFonts w:hint="eastAsia"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。本年度科协预算项目总预算49万元，资金来源为</w:t>
      </w:r>
      <w:r>
        <w:rPr>
          <w:rFonts w:hint="eastAsia" w:eastAsia="仿宋_GB2312" w:cs="仿宋_GB2312"/>
          <w:color w:val="auto"/>
          <w:kern w:val="2"/>
          <w:sz w:val="32"/>
          <w:szCs w:val="32"/>
          <w:highlight w:val="none"/>
          <w:lang w:val="zh-CN" w:eastAsia="zh-CN" w:bidi="ar-SA"/>
        </w:rPr>
        <w:t>一般公共预算财政拨款</w:t>
      </w:r>
      <w:r>
        <w:rPr>
          <w:rFonts w:hint="eastAsia" w:ascii="Times New Roman" w:hAnsi="Times New Roman" w:eastAsia="仿宋_GB2312" w:cs="仿宋_GB2312"/>
          <w:color w:val="auto"/>
          <w:kern w:val="2"/>
          <w:sz w:val="32"/>
          <w:szCs w:val="32"/>
          <w:highlight w:val="none"/>
          <w:lang w:val="zh-CN" w:eastAsia="zh-CN" w:bidi="ar-SA"/>
        </w:rPr>
        <w:t>和上级拨款，专项用于项目实施各项支出，无自筹资金。</w:t>
      </w:r>
      <w:r>
        <w:rPr>
          <w:rFonts w:hint="eastAsia" w:eastAsia="仿宋_GB2312" w:cs="仿宋_GB2312"/>
          <w:color w:val="auto"/>
          <w:kern w:val="2"/>
          <w:sz w:val="32"/>
          <w:szCs w:val="32"/>
          <w:highlight w:val="none"/>
          <w:lang w:val="zh-CN" w:eastAsia="zh-CN" w:bidi="ar-SA"/>
        </w:rPr>
        <w:t>项目严格按照立项批复、实施方案、预算批复及绩效目标内容组织实施，项目资金使用方向、实施进度安排等内容均围绕既定绩效目标开展，无擅自变更实施内容、项目执行整体规范、执行同向性较好。项目实施期间无擅自调整项目建设内容、无超范围实施、无重大变更无报批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财政批复预算资金已全额足额到位，资金到位率100%，为项目顺利推进提供了充足资金保障。项目实际支出资金49万元，预算执行率100%。资金主要用于科普活动场地租赁、科普物资采购与资料印制、学术交流会务费、青少年科创赛事组织、科技志愿服务补贴、科普设施维护等，所有支出严格遵循专款专用原则，合规列支，无截留、挤占、挪用项目资金情况，无超范围、超标准开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本年度预算结果应用覆盖全部财政资金，涉及基本支出、项目支出（科普专项、学术交流、青少年科创、科技工作者服务等），通过量化分析、问题整改、资源优化，有效提升财政资金使用效益，保障科协核心职能高效履行。按照财政部门要求，在政府网站、单位公示栏公开年度预算、决算、绩效评价结果，包括资金使用、项目成效、存在问题、整改措施等内容，主动接受社会公众、服务对象监督。</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default" w:ascii="Times New Roman" w:hAnsi="Times New Roman" w:eastAsia="仿宋_GB2312" w:cs="仿宋_GB2312"/>
          <w:color w:val="auto"/>
          <w:kern w:val="2"/>
          <w:sz w:val="32"/>
          <w:szCs w:val="32"/>
          <w:highlight w:val="none"/>
          <w:lang w:val="zh-CN" w:eastAsia="zh-CN" w:bidi="ar-SA"/>
        </w:rPr>
        <w:t>本年度科协预算执行总体规范，资金使用合规高效，各项履职工作圆满完成，预算绩效目标基本实现，财政资金发挥了应有的社会效益和履职效益，综合绩效评价等级为良好。后续，本单位将针对存在问题扎实整改，不断强化预算绩效管理，优化资金配置，切实提升科协工作服务质效，更好地履行科技服务职能</w:t>
      </w:r>
      <w:r>
        <w:rPr>
          <w:rFonts w:hint="eastAsia" w:ascii="Times New Roman" w:hAnsi="Times New Roman" w:eastAsia="仿宋_GB2312" w:cs="仿宋_GB2312"/>
          <w:color w:val="auto"/>
          <w:kern w:val="2"/>
          <w:sz w:val="32"/>
          <w:szCs w:val="32"/>
          <w:highlight w:val="none"/>
          <w:lang w:val="en-US" w:eastAsia="zh-CN" w:bidi="ar-SA"/>
        </w:rPr>
        <w:t>。</w:t>
      </w:r>
    </w:p>
    <w:p>
      <w:pPr>
        <w:pageBreakBefore w:val="0"/>
        <w:widowControl/>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预算编制精细化程度不足。部分项目预算编制前期调研不够充分，资金测算与实际支出存在细微偏差，预算编制的精准性、前瞻性有待提升，对跨年度项目资金需求预判不够全面。</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绩效目标设定不够完善。部分绩效指标以定性描述为主，量化指标不够细化，指标可衡量性、可考核性有待加强，绩效目标与项目实施的衔接度需进一步优化。</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预算执行进度不均衡。受工作开展节奏、项目实施周期影响，部分项目资金支出前松后紧，支出进度均衡性不足，资金使用效率未能实现最优。</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zh-CN" w:eastAsia="zh-CN" w:bidi="ar-SA"/>
        </w:rPr>
        <w:t>绩效结果应用不够深入。预算绩效评价结果主要用于总结工作，与后续预算编制、项目调整、资金优化配置的衔接不够紧密，绩效评价的约束和引导作用</w:t>
      </w:r>
      <w:r>
        <w:rPr>
          <w:rFonts w:hint="eastAsia" w:eastAsia="仿宋_GB2312" w:cs="仿宋_GB2312"/>
          <w:color w:val="auto"/>
          <w:kern w:val="2"/>
          <w:sz w:val="32"/>
          <w:szCs w:val="32"/>
          <w:highlight w:val="none"/>
          <w:lang w:val="zh-CN" w:eastAsia="zh-CN" w:bidi="ar-SA"/>
        </w:rPr>
        <w:t>未能</w:t>
      </w:r>
      <w:r>
        <w:rPr>
          <w:rFonts w:hint="eastAsia" w:ascii="Times New Roman" w:hAnsi="Times New Roman" w:eastAsia="仿宋_GB2312" w:cs="仿宋_GB2312"/>
          <w:color w:val="auto"/>
          <w:kern w:val="2"/>
          <w:sz w:val="32"/>
          <w:szCs w:val="32"/>
          <w:highlight w:val="none"/>
          <w:lang w:val="zh-CN" w:eastAsia="zh-CN" w:bidi="ar-SA"/>
        </w:rPr>
        <w:t>充分发挥。</w:t>
      </w:r>
    </w:p>
    <w:p>
      <w:pPr>
        <w:pageBreakBefore w:val="0"/>
        <w:widowControl/>
        <w:kinsoku/>
        <w:wordWrap/>
        <w:overflowPunct/>
        <w:topLinePunct w:val="0"/>
        <w:autoSpaceDE/>
        <w:autoSpaceDN/>
        <w:bidi w:val="0"/>
        <w:adjustRightInd w:val="0"/>
        <w:snapToGrid w:val="0"/>
        <w:spacing w:line="560" w:lineRule="exact"/>
        <w:ind w:left="0" w:leftChars="0" w:right="0" w:rightChars="0"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70" w:name="_Hlk110546638"/>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提升预算编制精细化水平。提前谋划下一年度预算工作，深入开展项目调研，精准测算各项工作资金需求，结合历年支出数据、年度工作任务，科学编制预算，细化资金列支科目，强化预算与实际工作的匹配度，提高预算编制精准性。</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 xml:space="preserve">优化绩效目标设定体系。立足科协履职实际，全面量化绩效指标，细化数量、质量、时效、成本、效益等核心指标，增强指标可操作性、可考核性，确保绩效目标全面反映工作成效，实现绩效目标与预算执行、工作落实深度融合。 </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强化预算执行动态管控。建立预算执行定期监控、通报机制，合理规划项目实施及资金支出节奏，均衡推进资金拨付，避免支出进度失衡；严格资金使用审批，加强项目实施全过程管控，加快工作推进效率，提升资金使用时效性。</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zh-CN" w:eastAsia="zh-CN" w:bidi="ar-SA"/>
        </w:rPr>
        <w:t>深化绩效评价结果应用。建立绩效评价结果反馈整改机制，针对存在的问题及时整改优化；将绩效评价结果作为下一年度预算安排、项目调整的重要依据，优先保障绩效好、需求急的项目资金，倒逼资金使用效益持续提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夯实绩效管理基础工作。加强单位财务及业务人员预算绩效管理培训，提升专业能力；完善绩效台账、工作档案管理，规范数据统计、资料留存，实现预算绩效全过程规范化、标准化管理。</w:t>
      </w:r>
      <w:bookmarkEnd w:id="70"/>
    </w:p>
    <w:p>
      <w:pPr>
        <w:pStyle w:val="8"/>
        <w:keepNext w:val="0"/>
        <w:keepLines w:val="0"/>
        <w:pageBreakBefore w:val="0"/>
        <w:numPr>
          <w:ilvl w:val="0"/>
          <w:numId w:val="0"/>
        </w:numPr>
        <w:kinsoku/>
        <w:wordWrap/>
        <w:overflowPunct/>
        <w:topLinePunct w:val="0"/>
        <w:autoSpaceDE/>
        <w:autoSpaceDN/>
        <w:bidi w:val="0"/>
        <w:spacing w:after="0" w:line="560" w:lineRule="exact"/>
        <w:ind w:right="0" w:rightChars="0"/>
        <w:jc w:val="both"/>
        <w:textAlignment w:val="auto"/>
        <w:outlineLvl w:val="9"/>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right="0" w:rightChars="0" w:firstLine="640" w:firstLineChars="200"/>
        <w:jc w:val="both"/>
        <w:textAlignment w:val="auto"/>
        <w:outlineLvl w:val="9"/>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8"/>
        <w:keepNext w:val="0"/>
        <w:keepLines w:val="0"/>
        <w:pageBreakBefore w:val="0"/>
        <w:numPr>
          <w:ilvl w:val="0"/>
          <w:numId w:val="0"/>
        </w:numPr>
        <w:kinsoku/>
        <w:wordWrap/>
        <w:overflowPunct/>
        <w:topLinePunct w:val="0"/>
        <w:autoSpaceDE/>
        <w:autoSpaceDN/>
        <w:bidi w:val="0"/>
        <w:spacing w:after="0" w:line="560" w:lineRule="exact"/>
        <w:ind w:left="0" w:leftChars="0" w:right="0" w:rightChars="0" w:firstLine="640" w:firstLineChars="200"/>
        <w:jc w:val="both"/>
        <w:textAlignment w:val="auto"/>
        <w:outlineLvl w:val="9"/>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pPr>
        <w:pStyle w:val="8"/>
        <w:keepNext w:val="0"/>
        <w:keepLines w:val="0"/>
        <w:pageBreakBefore w:val="0"/>
        <w:numPr>
          <w:ilvl w:val="0"/>
          <w:numId w:val="0"/>
        </w:numPr>
        <w:kinsoku/>
        <w:wordWrap/>
        <w:overflowPunct/>
        <w:topLinePunct w:val="0"/>
        <w:autoSpaceDE/>
        <w:autoSpaceDN/>
        <w:bidi w:val="0"/>
        <w:spacing w:after="0"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pPr>
        <w:pStyle w:val="8"/>
        <w:keepNext w:val="0"/>
        <w:keepLines w:val="0"/>
        <w:pageBreakBefore w:val="0"/>
        <w:numPr>
          <w:ilvl w:val="0"/>
          <w:numId w:val="0"/>
        </w:numPr>
        <w:kinsoku/>
        <w:wordWrap/>
        <w:overflowPunct/>
        <w:topLinePunct w:val="0"/>
        <w:autoSpaceDE/>
        <w:autoSpaceDN/>
        <w:bidi w:val="0"/>
        <w:spacing w:after="0" w:line="560" w:lineRule="exact"/>
        <w:ind w:left="0" w:leftChars="0" w:right="0" w:rightChars="0" w:firstLine="640" w:firstLineChars="200"/>
        <w:jc w:val="both"/>
        <w:textAlignment w:val="auto"/>
        <w:outlineLvl w:val="9"/>
        <w:rPr>
          <w:rFonts w:hint="eastAsia" w:ascii="Times New Roman" w:hAnsi="Times New Roman" w:cs="Times New Roman"/>
          <w:sz w:val="32"/>
          <w:szCs w:val="32"/>
          <w:highlight w:val="yellow"/>
          <w:lang w:val="zh-CN" w:eastAsia="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bookmarkStart w:id="71" w:name="_Toc31595"/>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pPr>
        <w:pageBreakBefore w:val="0"/>
        <w:kinsoku/>
        <w:wordWrap/>
        <w:overflowPunct/>
        <w:topLinePunct w:val="0"/>
        <w:autoSpaceDE/>
        <w:autoSpaceDN/>
        <w:bidi w:val="0"/>
        <w:spacing w:line="560" w:lineRule="exact"/>
        <w:ind w:right="0" w:rightChars="0"/>
        <w:jc w:val="both"/>
        <w:textAlignment w:val="auto"/>
        <w:outlineLvl w:val="9"/>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bookmarkEnd w:id="71"/>
    </w:p>
    <w:p>
      <w:pPr>
        <w:pStyle w:val="35"/>
        <w:keepNext w:val="0"/>
        <w:keepLines w:val="0"/>
        <w:pageBreakBefore w:val="0"/>
        <w:widowControl w:val="0"/>
        <w:kinsoku/>
        <w:wordWrap/>
        <w:overflowPunct/>
        <w:topLinePunct w:val="0"/>
        <w:autoSpaceDE/>
        <w:autoSpaceDN/>
        <w:bidi w:val="0"/>
        <w:spacing w:line="560" w:lineRule="exact"/>
        <w:ind w:left="0" w:leftChars="0" w:right="0" w:rightChars="0" w:firstLine="880" w:firstLineChars="200"/>
        <w:jc w:val="both"/>
        <w:textAlignment w:val="auto"/>
        <w:outlineLvl w:val="9"/>
        <w:rPr>
          <w:rFonts w:hint="eastAsia" w:ascii="Times New Roman" w:hAnsi="Times New Roman" w:eastAsia="方正小标宋简体" w:cs="方正小标宋简体"/>
          <w:color w:val="auto"/>
          <w:kern w:val="2"/>
          <w:sz w:val="44"/>
          <w:szCs w:val="44"/>
          <w:highlight w:val="none"/>
          <w:lang w:val="en-US" w:eastAsia="zh-CN"/>
        </w:rPr>
      </w:pPr>
    </w:p>
    <w:p>
      <w:pPr>
        <w:pStyle w:val="35"/>
        <w:keepNext w:val="0"/>
        <w:keepLines w:val="0"/>
        <w:pageBreakBefore w:val="0"/>
        <w:widowControl w:val="0"/>
        <w:kinsoku/>
        <w:wordWrap/>
        <w:overflowPunct/>
        <w:topLinePunct w:val="0"/>
        <w:autoSpaceDE/>
        <w:autoSpaceDN/>
        <w:bidi w:val="0"/>
        <w:spacing w:line="560" w:lineRule="exact"/>
        <w:ind w:left="0" w:leftChars="0" w:right="0" w:rightChars="0" w:firstLine="720" w:firstLineChars="200"/>
        <w:jc w:val="both"/>
        <w:textAlignment w:val="auto"/>
        <w:outlineLvl w:val="9"/>
        <w:rPr>
          <w:rFonts w:hint="default" w:ascii="Times New Roman" w:hAnsi="Times New Roman" w:eastAsia="方正小标宋简体" w:cs="方正小标宋简体"/>
          <w:color w:val="auto"/>
          <w:kern w:val="2"/>
          <w:sz w:val="36"/>
          <w:szCs w:val="36"/>
          <w:highlight w:val="none"/>
          <w:lang w:val="en-US" w:eastAsia="zh-CN"/>
        </w:rPr>
      </w:pPr>
      <w:r>
        <w:rPr>
          <w:rFonts w:hint="eastAsia" w:ascii="Times New Roman" w:hAnsi="Times New Roman" w:eastAsia="方正小标宋简体" w:cs="方正小标宋简体"/>
          <w:color w:val="auto"/>
          <w:kern w:val="2"/>
          <w:sz w:val="36"/>
          <w:szCs w:val="36"/>
          <w:highlight w:val="none"/>
          <w:lang w:val="en-US" w:eastAsia="zh-CN"/>
        </w:rPr>
        <w:t>2025年人均科普经费</w:t>
      </w:r>
      <w:r>
        <w:rPr>
          <w:rFonts w:hint="default" w:ascii="Times New Roman" w:hAnsi="Times New Roman" w:eastAsia="方正小标宋简体" w:cs="方正小标宋简体"/>
          <w:color w:val="auto"/>
          <w:kern w:val="2"/>
          <w:sz w:val="36"/>
          <w:szCs w:val="36"/>
          <w:highlight w:val="none"/>
          <w:lang w:val="en-US" w:eastAsia="zh-CN"/>
        </w:rPr>
        <w:t>专项预算绩效自评报告</w:t>
      </w:r>
    </w:p>
    <w:p>
      <w:pPr>
        <w:pStyle w:val="35"/>
        <w:keepNext w:val="0"/>
        <w:keepLines w:val="0"/>
        <w:pageBreakBefore w:val="0"/>
        <w:widowControl w:val="0"/>
        <w:kinsoku/>
        <w:wordWrap/>
        <w:overflowPunct/>
        <w:topLinePunct w:val="0"/>
        <w:autoSpaceDE/>
        <w:autoSpaceDN/>
        <w:bidi w:val="0"/>
        <w:spacing w:line="560" w:lineRule="exact"/>
        <w:ind w:left="0" w:leftChars="0" w:right="0" w:rightChars="0" w:firstLine="880" w:firstLineChars="200"/>
        <w:jc w:val="both"/>
        <w:textAlignment w:val="auto"/>
        <w:outlineLvl w:val="9"/>
        <w:rPr>
          <w:rFonts w:hint="eastAsia" w:ascii="Times New Roman" w:hAnsi="Times New Roman" w:eastAsia="方正小标宋简体" w:cs="方正小标宋简体"/>
          <w:color w:val="auto"/>
          <w:kern w:val="2"/>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仿宋_GB2312" w:hAnsi="仿宋" w:eastAsia="仿宋_GB2312" w:cs="宋体"/>
          <w:kern w:val="0"/>
          <w:sz w:val="32"/>
          <w:szCs w:val="32"/>
        </w:rPr>
        <w:t>根据壤塘</w:t>
      </w:r>
      <w:r>
        <w:rPr>
          <w:rFonts w:hint="eastAsia" w:ascii="仿宋_GB2312" w:hAnsi="仿宋" w:eastAsia="仿宋_GB2312" w:cs="宋体"/>
          <w:kern w:val="0"/>
          <w:sz w:val="32"/>
          <w:szCs w:val="32"/>
          <w:lang w:eastAsia="zh-CN"/>
        </w:rPr>
        <w:t>县委县政府</w:t>
      </w:r>
      <w:r>
        <w:rPr>
          <w:rFonts w:hint="eastAsia" w:ascii="仿宋_GB2312" w:hAnsi="仿宋" w:eastAsia="仿宋_GB2312" w:cs="宋体"/>
          <w:kern w:val="0"/>
          <w:sz w:val="32"/>
          <w:szCs w:val="32"/>
        </w:rPr>
        <w:t>安排</w:t>
      </w:r>
      <w:r>
        <w:rPr>
          <w:rFonts w:hint="eastAsia" w:ascii="仿宋_GB2312" w:hAnsi="仿宋_GB2312" w:eastAsia="仿宋_GB2312" w:cs="仿宋_GB2312"/>
          <w:sz w:val="32"/>
          <w:szCs w:val="32"/>
          <w:lang w:val="en-US" w:eastAsia="zh-CN"/>
        </w:rPr>
        <w:t>用于我县加强全民科学素养建设，提高服务能力和解决科普技术服务经费等，该项目用于我县开展科普科服系列工作，以提高全民科学素养。</w:t>
      </w:r>
    </w:p>
    <w:p>
      <w:pPr>
        <w:keepNext w:val="0"/>
        <w:keepLines w:val="0"/>
        <w:pageBreakBefore w:val="0"/>
        <w:widowControl/>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仿宋_GB2312" w:hAnsi="仿宋" w:eastAsia="仿宋_GB2312" w:cs="宋体"/>
          <w:kern w:val="0"/>
          <w:sz w:val="32"/>
          <w:szCs w:val="32"/>
          <w:lang w:val="en-US" w:eastAsia="zh-CN"/>
        </w:rPr>
        <w:t>为切实履行“四服务一加强”工作职责，弘扬科学精神，普及科学知识，推广先进技术，针对不同人群开展科学技术教育普及活动，以人均科普经费为支撑，构建覆盖县、乡、村三级的科普科服，精准对接农牧区、寺庙、学校等“七进”重点区域需求。</w:t>
      </w:r>
    </w:p>
    <w:p>
      <w:pPr>
        <w:keepNext w:val="0"/>
        <w:keepLines w:val="0"/>
        <w:pageBreakBefore w:val="0"/>
        <w:widowControl/>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仿宋_GB2312" w:hAnsi="仿宋" w:eastAsia="仿宋_GB2312" w:cs="宋体"/>
          <w:kern w:val="0"/>
          <w:sz w:val="32"/>
          <w:szCs w:val="32"/>
        </w:rPr>
        <w:t>根据壤塘</w:t>
      </w:r>
      <w:r>
        <w:rPr>
          <w:rFonts w:hint="eastAsia" w:ascii="仿宋_GB2312" w:hAnsi="仿宋" w:eastAsia="仿宋_GB2312" w:cs="宋体"/>
          <w:kern w:val="0"/>
          <w:sz w:val="32"/>
          <w:szCs w:val="32"/>
          <w:lang w:eastAsia="zh-CN"/>
        </w:rPr>
        <w:t>县委县政府</w:t>
      </w:r>
      <w:r>
        <w:rPr>
          <w:rFonts w:hint="eastAsia" w:ascii="仿宋_GB2312" w:hAnsi="仿宋" w:eastAsia="仿宋_GB2312" w:cs="宋体"/>
          <w:kern w:val="0"/>
          <w:sz w:val="32"/>
          <w:szCs w:val="32"/>
        </w:rPr>
        <w:t>安排</w:t>
      </w:r>
      <w:r>
        <w:rPr>
          <w:rFonts w:hint="eastAsia" w:ascii="仿宋_GB2312" w:hAnsi="仿宋_GB2312" w:eastAsia="仿宋_GB2312" w:cs="仿宋_GB2312"/>
          <w:sz w:val="32"/>
          <w:szCs w:val="32"/>
          <w:lang w:val="en-US" w:eastAsia="zh-CN"/>
        </w:rPr>
        <w:t>用于我县加强全民科学素养建设，壤委发</w:t>
      </w:r>
      <w:r>
        <w:rPr>
          <w:rFonts w:hint="eastAsia" w:ascii="仿宋_GB2312" w:hAnsi="仿宋_GB2312" w:cs="仿宋_GB2312"/>
          <w:sz w:val="32"/>
          <w:szCs w:val="32"/>
          <w:lang w:val="en-US" w:eastAsia="zh-CN"/>
        </w:rPr>
        <w:t>〔2013〕8号</w:t>
      </w:r>
      <w:r>
        <w:rPr>
          <w:rFonts w:hint="eastAsia" w:ascii="仿宋_GB2312" w:hAnsi="仿宋_GB2312" w:eastAsia="仿宋_GB2312" w:cs="仿宋_GB2312"/>
          <w:sz w:val="32"/>
          <w:szCs w:val="32"/>
          <w:lang w:val="en-US" w:eastAsia="zh-CN"/>
        </w:rPr>
        <w:t>中共壤塘县委 壤塘县人民政府印发《关于进一步加强新时期科协工作的实施意见》的通知。县财政将人均科普经费、全民素质纲要经费8万元列入科协工作预算</w:t>
      </w:r>
      <w:r>
        <w:rPr>
          <w:rFonts w:hint="default" w:ascii="Times New Roman" w:hAnsi="Times New Roman" w:cs="Times New Roman"/>
          <w:color w:val="auto"/>
          <w:kern w:val="0"/>
          <w:sz w:val="32"/>
          <w:szCs w:val="32"/>
          <w:highlight w:val="none"/>
          <w:u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_GB2312" w:hAnsi="仿宋_GB2312" w:eastAsia="仿宋_GB2312" w:cs="仿宋_GB2312"/>
          <w:sz w:val="32"/>
          <w:szCs w:val="32"/>
          <w:lang w:val="zh-CN" w:eastAsia="zh-CN"/>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sz w:val="32"/>
          <w:szCs w:val="32"/>
          <w:lang w:val="zh-CN" w:eastAsia="zh-CN"/>
        </w:rPr>
        <w:t>2025年，共下达我县2025年人均科普经费资金8万元，项目计划于 2025年底前全面完成。针对不同人群开展科学技术教育普及活动，以人均科普经费为支撑，构建覆盖县、乡、村三级的科普科服，精准对接农牧区、寺庙、学校等“七进”重点区域需求。</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val="en-US" w:eastAsia="zh-CN"/>
        </w:rPr>
        <w:t>二、评价实施</w:t>
      </w:r>
    </w:p>
    <w:p>
      <w:pPr>
        <w:keepNext w:val="0"/>
        <w:keepLines w:val="0"/>
        <w:pageBreakBefore w:val="0"/>
        <w:widowControl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全面核查项目资金拨付、使用管理、项目落地、效益发挥全流程，确保评价客观、真实、全面，为后续项目谋划、政策优化提供数据支撑和实践参考。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eastAsia="楷体_GB2312"/>
          <w:b/>
          <w:color w:val="auto"/>
          <w:sz w:val="32"/>
          <w:szCs w:val="32"/>
          <w:highlight w:val="none"/>
          <w:u w:val="none"/>
          <w:lang w:val="zh-CN"/>
        </w:rPr>
        <w:t>。围绕项目</w:t>
      </w:r>
      <w:r>
        <w:rPr>
          <w:rFonts w:hint="eastAsia" w:ascii="Times New Roman" w:hAnsi="Times New Roman" w:eastAsia="仿宋_GB2312" w:cs="仿宋_GB2312"/>
          <w:b w:val="0"/>
          <w:bCs w:val="0"/>
          <w:kern w:val="0"/>
          <w:position w:val="0"/>
          <w:sz w:val="32"/>
          <w:szCs w:val="32"/>
          <w:highlight w:val="none"/>
          <w:lang w:val="zh-CN" w:eastAsia="zh-CN" w:bidi="ar-SA"/>
        </w:rPr>
        <w:t>决策合规性、管理制度健全性、资金使用规范性、预算执行率、绩效目标完成度、社会效益及群众满意度等方面，对项目全流程进行综合评价，重点核查资金投向、任务落地、惠民实效等核心内容。</w:t>
      </w:r>
    </w:p>
    <w:p>
      <w:pPr>
        <w:keepNext w:val="0"/>
        <w:keepLines w:val="0"/>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rPr>
      </w:pPr>
      <w:r>
        <w:rPr>
          <w:rFonts w:hint="eastAsia" w:ascii="Times New Roman" w:hAnsi="Times New Roman" w:eastAsia="楷体_GB2312"/>
          <w:b/>
          <w:color w:val="auto"/>
          <w:sz w:val="32"/>
          <w:szCs w:val="32"/>
          <w:highlight w:val="none"/>
          <w:u w:val="none"/>
          <w:lang w:val="zh-CN"/>
        </w:rPr>
        <w:t>（</w:t>
      </w:r>
      <w:r>
        <w:rPr>
          <w:rFonts w:hint="eastAsia" w:eastAsia="楷体_GB2312"/>
          <w:b/>
          <w:color w:val="auto"/>
          <w:sz w:val="32"/>
          <w:szCs w:val="32"/>
          <w:highlight w:val="none"/>
          <w:u w:val="none"/>
          <w:lang w:val="zh-CN"/>
        </w:rPr>
        <w:t>三</w:t>
      </w:r>
      <w:r>
        <w:rPr>
          <w:rFonts w:hint="eastAsia" w:ascii="Times New Roman" w:hAnsi="Times New Roman" w:eastAsia="楷体_GB2312"/>
          <w:b/>
          <w:color w:val="auto"/>
          <w:sz w:val="32"/>
          <w:szCs w:val="32"/>
          <w:highlight w:val="none"/>
          <w:u w:val="none"/>
          <w:lang w:val="zh-CN"/>
        </w:rPr>
        <w:t>）评价方法。</w:t>
      </w:r>
      <w:r>
        <w:rPr>
          <w:rFonts w:hint="eastAsia" w:ascii="Times New Roman" w:hAnsi="Times New Roman" w:eastAsia="仿宋_GB2312" w:cs="仿宋_GB2312"/>
          <w:b w:val="0"/>
          <w:bCs w:val="0"/>
          <w:kern w:val="0"/>
          <w:position w:val="0"/>
          <w:sz w:val="32"/>
          <w:szCs w:val="32"/>
          <w:highlight w:val="none"/>
          <w:lang w:val="zh-CN" w:eastAsia="zh-CN" w:bidi="ar-SA"/>
        </w:rPr>
        <w:t>综合采用案卷研究法、实地勘察法、座谈调研法、问卷调查法等多种评价方法，结合自评表指标体系逐项开展对标分析，确保评价结果科学合理。</w:t>
      </w:r>
    </w:p>
    <w:p>
      <w:pPr>
        <w:keepNext w:val="0"/>
        <w:keepLines w:val="0"/>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成立由县科协牵头的专项评价工作组，明确人员组成及职责分工，严格按照绩效评价工作流程，有序推进自评各项工作。</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本次评价严格对照绩效评价通用、专用、个性指标体系，结合自评表数据逐项开展对标分析及打分评价，项目综合自评得分</w:t>
      </w:r>
      <w:r>
        <w:rPr>
          <w:rFonts w:hint="eastAsia" w:ascii="Times New Roman" w:hAnsi="Times New Roman" w:eastAsia="仿宋_GB2312" w:cs="仿宋_GB2312"/>
          <w:b w:val="0"/>
          <w:bCs w:val="0"/>
          <w:kern w:val="0"/>
          <w:position w:val="0"/>
          <w:sz w:val="32"/>
          <w:szCs w:val="32"/>
          <w:highlight w:val="none"/>
          <w:lang w:val="en-US" w:eastAsia="zh-CN" w:bidi="ar-SA"/>
        </w:rPr>
        <w:t>89</w:t>
      </w:r>
      <w:r>
        <w:rPr>
          <w:rFonts w:hint="eastAsia" w:ascii="Times New Roman" w:hAnsi="Times New Roman" w:eastAsia="仿宋_GB2312" w:cs="仿宋_GB2312"/>
          <w:b w:val="0"/>
          <w:bCs w:val="0"/>
          <w:kern w:val="0"/>
          <w:position w:val="0"/>
          <w:sz w:val="32"/>
          <w:szCs w:val="32"/>
          <w:highlight w:val="none"/>
          <w:lang w:val="zh-CN" w:eastAsia="zh-CN" w:bidi="ar-SA"/>
        </w:rPr>
        <w:t>分，具体分析如下：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2" w:firstLineChars="200"/>
        <w:jc w:val="both"/>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项目决策。项目依据县委、县政府文件要求设立，决策程序规范，规划论证充分，资金投向聚焦全民科学素养提升核心任务，符合政策导向和群众需求，无决策偏差问题。</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项目管理。项目建立了完善的管理制度和资金分配机制，严格按照财政资金管理要求使用资金，绩效监管到位，无违规使用、挤占挪用资金情况。</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2025年项目预算资金8万元，全年实际执行8万元，预算执行率100%，资金使用合规、安全，未发生超预算支出情况，严格按计划推进各项工作。</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w:t>
      </w:r>
      <w:r>
        <w:rPr>
          <w:rFonts w:hint="eastAsia" w:ascii="Times New Roman" w:hAnsi="Times New Roman" w:eastAsia="仿宋_GB2312" w:cs="仿宋_GB2312"/>
          <w:b w:val="0"/>
          <w:bCs w:val="0"/>
          <w:kern w:val="0"/>
          <w:position w:val="0"/>
          <w:sz w:val="32"/>
          <w:szCs w:val="32"/>
          <w:highlight w:val="none"/>
          <w:lang w:val="zh-CN" w:eastAsia="zh-CN" w:bidi="ar-SA"/>
        </w:rPr>
        <w:t>项目严格按照年度目标推进，所有工作任务均在2025年底前完成，科普活动场次、覆盖人数等核心指标超额完成，实施时效符合要求。</w:t>
      </w:r>
    </w:p>
    <w:p>
      <w:pPr>
        <w:keepNext w:val="0"/>
        <w:keepLines w:val="0"/>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本项目属于民生保障类专项，重点从服务区域均衡性、服务对象精准性、经费使用标准合理性、群众满意度等方面开展评价：</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服务区域均衡性：科普活动覆盖县、乡、村三级，实现乡镇村社、寺庙、学校、企业等重点区域全覆盖，无服务盲区。</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服务对象精准性：针对农牧民、青少年、寺庙僧尼、机关干部等不同群体开展差异化科普服务，精准对接各类群体科普需求。</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经费使用标准合理性：项目经费全部用于科普活动开展、科普资料印制、活动保障等核心环节，无浪费、低效使用情况，经费使用符合相关标准。</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群众满意度：通过问卷调查、座谈走访等方式收集群众反馈，群众满意度达95%，达到年度目标要求。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2"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w:t>
      </w:r>
      <w:r>
        <w:rPr>
          <w:rFonts w:hint="eastAsia" w:eastAsia="仿宋_GB2312" w:cs="仿宋_GB2312"/>
          <w:b w:val="0"/>
          <w:bCs w:val="0"/>
          <w:kern w:val="0"/>
          <w:position w:val="0"/>
          <w:sz w:val="32"/>
          <w:szCs w:val="32"/>
          <w:highlight w:val="none"/>
          <w:lang w:val="zh-CN" w:eastAsia="zh-CN" w:bidi="ar-SA"/>
        </w:rPr>
        <w:t>均按设定部分指标完成。</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rPr>
      </w:pPr>
      <w:r>
        <w:rPr>
          <w:rFonts w:hint="eastAsia" w:ascii="Times New Roman" w:hAnsi="Times New Roman" w:eastAsia="方正仿宋_GB2312" w:cs="Times New Roman"/>
          <w:color w:val="auto"/>
          <w:kern w:val="0"/>
          <w:sz w:val="32"/>
          <w:szCs w:val="32"/>
          <w:shd w:val="clear" w:color="auto" w:fill="FFFFFF"/>
          <w:lang w:val="en-US" w:eastAsia="zh-CN"/>
        </w:rPr>
        <w:t>本</w:t>
      </w:r>
      <w:r>
        <w:rPr>
          <w:rFonts w:hint="eastAsia" w:ascii="Times New Roman" w:hAnsi="Times New Roman" w:eastAsia="仿宋_GB2312" w:cs="仿宋_GB2312"/>
          <w:b w:val="0"/>
          <w:bCs w:val="0"/>
          <w:kern w:val="0"/>
          <w:position w:val="0"/>
          <w:sz w:val="32"/>
          <w:szCs w:val="32"/>
          <w:highlight w:val="none"/>
          <w:lang w:val="en-US" w:eastAsia="zh-CN" w:bidi="ar-SA"/>
        </w:rPr>
        <w:t>次绩效自评总分89分，评价等级为良。</w:t>
      </w:r>
      <w:r>
        <w:rPr>
          <w:rFonts w:hint="eastAsia" w:ascii="Times New Roman" w:hAnsi="Times New Roman" w:eastAsia="仿宋_GB2312" w:cs="仿宋_GB2312"/>
          <w:b w:val="0"/>
          <w:bCs w:val="0"/>
          <w:kern w:val="0"/>
          <w:position w:val="0"/>
          <w:sz w:val="32"/>
          <w:szCs w:val="32"/>
          <w:highlight w:val="none"/>
          <w:lang w:val="zh-CN" w:eastAsia="zh-CN" w:bidi="ar-SA"/>
        </w:rPr>
        <w:t>2025年度人均科普经费项目实施程序规范，资金拨付使用合规安全，预算执行率100%，严格按时序进度推进三级科普体系建设、科普知识普及、重点区域科普服务等工作，年度绩效目标总体圆满完成，财政资金使用效益得到有效发挥。</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一是</w:t>
      </w:r>
      <w:r>
        <w:rPr>
          <w:rFonts w:hint="eastAsia" w:ascii="Times New Roman" w:hAnsi="Times New Roman" w:eastAsia="仿宋_GB2312" w:cs="仿宋_GB2312"/>
          <w:b w:val="0"/>
          <w:bCs w:val="0"/>
          <w:kern w:val="0"/>
          <w:position w:val="0"/>
          <w:sz w:val="32"/>
          <w:szCs w:val="32"/>
          <w:highlight w:val="none"/>
          <w:lang w:val="zh-CN" w:eastAsia="zh-CN" w:bidi="ar-SA"/>
        </w:rPr>
        <w:t>科普活动成效量化评估不足，缺少群众科学素养提升的直接佐证数据，长效影响评估机制不健全。</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二是</w:t>
      </w:r>
      <w:r>
        <w:rPr>
          <w:rFonts w:hint="eastAsia" w:ascii="Times New Roman" w:hAnsi="Times New Roman" w:eastAsia="仿宋_GB2312" w:cs="仿宋_GB2312"/>
          <w:b w:val="0"/>
          <w:bCs w:val="0"/>
          <w:kern w:val="0"/>
          <w:position w:val="0"/>
          <w:sz w:val="32"/>
          <w:szCs w:val="32"/>
          <w:highlight w:val="none"/>
          <w:lang w:val="zh-CN" w:eastAsia="zh-CN" w:bidi="ar-SA"/>
        </w:rPr>
        <w:t>针对不同群体的科普内容创新性不足，定制化、差异化科普服务仍需加强，吸引力有待提升。</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三是</w:t>
      </w:r>
      <w:r>
        <w:rPr>
          <w:rFonts w:hint="eastAsia" w:ascii="Times New Roman" w:hAnsi="Times New Roman" w:eastAsia="仿宋_GB2312" w:cs="仿宋_GB2312"/>
          <w:b w:val="0"/>
          <w:bCs w:val="0"/>
          <w:kern w:val="0"/>
          <w:position w:val="0"/>
          <w:sz w:val="32"/>
          <w:szCs w:val="32"/>
          <w:highlight w:val="none"/>
          <w:lang w:val="zh-CN" w:eastAsia="zh-CN" w:bidi="ar-SA"/>
        </w:rPr>
        <w:t>县乡村三级科普阵地利用率不高，基层科普工作队伍力量薄弱，常态化下基层科普服务频次仍有提升空间。</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四是</w:t>
      </w:r>
      <w:r>
        <w:rPr>
          <w:rFonts w:hint="eastAsia" w:ascii="Times New Roman" w:hAnsi="Times New Roman" w:eastAsia="仿宋_GB2312" w:cs="仿宋_GB2312"/>
          <w:b w:val="0"/>
          <w:bCs w:val="0"/>
          <w:kern w:val="0"/>
          <w:position w:val="0"/>
          <w:sz w:val="32"/>
          <w:szCs w:val="32"/>
          <w:highlight w:val="none"/>
          <w:lang w:val="zh-CN" w:eastAsia="zh-CN" w:bidi="ar-SA"/>
        </w:rPr>
        <w:t>部门联动协同不足，与教育、文旅、乡镇等单位的科普资源整合力度不够，科普工作合力尚未完全形成。</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default" w:ascii="Times New Roman" w:hAnsi="Times New Roman" w:eastAsia="仿宋_GB2312" w:cs="仿宋_GB2312"/>
          <w:b w:val="0"/>
          <w:bCs w:val="0"/>
          <w:kern w:val="0"/>
          <w:position w:val="0"/>
          <w:sz w:val="32"/>
          <w:szCs w:val="32"/>
          <w:highlight w:val="none"/>
          <w:lang w:val="en-US" w:eastAsia="zh-CN" w:bidi="ar-SA"/>
        </w:rPr>
        <w:t xml:space="preserve">  </w:t>
      </w:r>
      <w:r>
        <w:rPr>
          <w:rFonts w:hint="eastAsia" w:ascii="Times New Roman" w:hAnsi="Times New Roman" w:eastAsia="仿宋_GB2312" w:cs="仿宋_GB2312"/>
          <w:b w:val="0"/>
          <w:bCs w:val="0"/>
          <w:kern w:val="0"/>
          <w:position w:val="0"/>
          <w:sz w:val="32"/>
          <w:szCs w:val="32"/>
          <w:highlight w:val="none"/>
          <w:lang w:val="en-US" w:eastAsia="zh-CN" w:bidi="ar-SA"/>
        </w:rPr>
        <w:t>一是</w:t>
      </w:r>
      <w:r>
        <w:rPr>
          <w:rFonts w:hint="eastAsia" w:ascii="Times New Roman" w:hAnsi="Times New Roman" w:eastAsia="仿宋_GB2312" w:cs="仿宋_GB2312"/>
          <w:b w:val="0"/>
          <w:bCs w:val="0"/>
          <w:kern w:val="0"/>
          <w:position w:val="0"/>
          <w:sz w:val="32"/>
          <w:szCs w:val="32"/>
          <w:highlight w:val="none"/>
          <w:lang w:val="zh-CN" w:eastAsia="zh-CN" w:bidi="ar-SA"/>
        </w:rPr>
        <w:t>健全成效量化评估机制，完善科普活动前后对比数据收集，通过开展科普知识问卷调查、技能测试等方式，形成可量化的群众科学素养提升数据，强化长效影响评估。</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二是</w:t>
      </w:r>
      <w:r>
        <w:rPr>
          <w:rFonts w:hint="eastAsia" w:ascii="Times New Roman" w:hAnsi="Times New Roman" w:eastAsia="仿宋_GB2312" w:cs="仿宋_GB2312"/>
          <w:b w:val="0"/>
          <w:bCs w:val="0"/>
          <w:kern w:val="0"/>
          <w:position w:val="0"/>
          <w:sz w:val="32"/>
          <w:szCs w:val="32"/>
          <w:highlight w:val="none"/>
          <w:lang w:val="zh-CN" w:eastAsia="zh-CN" w:bidi="ar-SA"/>
        </w:rPr>
        <w:t>创新科普活动形式与内容，分群体定制宣讲展览、线上科普、实操体验等差异化服务，增强科普活动的针对性和吸引力。</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三是</w:t>
      </w:r>
      <w:r>
        <w:rPr>
          <w:rFonts w:hint="eastAsia" w:ascii="Times New Roman" w:hAnsi="Times New Roman" w:eastAsia="仿宋_GB2312" w:cs="仿宋_GB2312"/>
          <w:b w:val="0"/>
          <w:bCs w:val="0"/>
          <w:kern w:val="0"/>
          <w:position w:val="0"/>
          <w:sz w:val="32"/>
          <w:szCs w:val="32"/>
          <w:highlight w:val="none"/>
          <w:lang w:val="zh-CN" w:eastAsia="zh-CN" w:bidi="ar-SA"/>
        </w:rPr>
        <w:t>建强基层科普队伍，常态化开展业务培训，盘活三级科普阵地资源，加密入校、入寺、下乡常态化科普服务频次，提升基层科普服务能力。</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四是</w:t>
      </w:r>
      <w:r>
        <w:rPr>
          <w:rFonts w:hint="eastAsia" w:ascii="Times New Roman" w:hAnsi="Times New Roman" w:eastAsia="仿宋_GB2312" w:cs="仿宋_GB2312"/>
          <w:b w:val="0"/>
          <w:bCs w:val="0"/>
          <w:kern w:val="0"/>
          <w:position w:val="0"/>
          <w:sz w:val="32"/>
          <w:szCs w:val="32"/>
          <w:highlight w:val="none"/>
          <w:lang w:val="zh-CN" w:eastAsia="zh-CN" w:bidi="ar-SA"/>
        </w:rPr>
        <w:t>加强部门联动与资源整合，建立跨部门科普协同工作机制，统筹各类科普资源，形成科普工作合力，最大化发挥专项资金使用效能</w:t>
      </w:r>
    </w:p>
    <w:p>
      <w:pPr>
        <w:keepNext w:val="0"/>
        <w:keepLines w:val="0"/>
        <w:pageBreakBefore w:val="0"/>
        <w:widowControl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72"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pageBreakBefore w:val="0"/>
        <w:widowControl/>
        <w:kinsoku/>
        <w:wordWrap/>
        <w:overflowPunct/>
        <w:topLinePunct w:val="0"/>
        <w:autoSpaceDE/>
        <w:autoSpaceDN/>
        <w:bidi w:val="0"/>
        <w:spacing w:line="560" w:lineRule="exact"/>
        <w:ind w:left="0" w:leftChars="0" w:right="0" w:rightChars="0" w:firstLine="880" w:firstLineChars="200"/>
        <w:jc w:val="both"/>
        <w:textAlignment w:val="auto"/>
        <w:outlineLvl w:val="0"/>
        <w:rPr>
          <w:rFonts w:hint="eastAsia" w:ascii="Times New Roman" w:hAnsi="Times New Roman" w:eastAsia="仿宋"/>
          <w:b w:val="0"/>
          <w:color w:val="auto"/>
          <w:highlight w:val="none"/>
        </w:rPr>
      </w:pPr>
      <w:bookmarkStart w:id="73" w:name="_Toc3819"/>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6"/>
      <w:bookmarkEnd w:id="72"/>
      <w:bookmarkEnd w:id="73"/>
      <w:bookmarkStart w:id="74" w:name="_Toc15396619"/>
    </w:p>
    <w:p>
      <w:pPr>
        <w:pStyle w:val="15"/>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sz w:val="32"/>
          <w:szCs w:val="32"/>
          <w:highlight w:val="none"/>
        </w:rPr>
      </w:pPr>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r>
        <w:rPr>
          <w:rFonts w:hint="eastAsia"/>
        </w:rPr>
        <w:t>一、收入支出决算总表</w:t>
      </w:r>
      <w:bookmarkEnd w:id="74"/>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75" w:name="_Toc15396620"/>
      <w:r>
        <w:rPr>
          <w:rFonts w:hint="eastAsia"/>
        </w:rPr>
        <w:t>二、收入决算表</w:t>
      </w:r>
      <w:bookmarkEnd w:id="75"/>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76" w:name="_Toc15396621"/>
      <w:r>
        <w:rPr>
          <w:rFonts w:hint="eastAsia"/>
        </w:rPr>
        <w:t>三、支出决算表</w:t>
      </w:r>
      <w:bookmarkEnd w:id="76"/>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77" w:name="_Toc15396622"/>
      <w:r>
        <w:rPr>
          <w:rFonts w:hint="eastAsia"/>
        </w:rPr>
        <w:t>四、财政拨款收入支出决算总表</w:t>
      </w:r>
      <w:bookmarkEnd w:id="77"/>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78" w:name="_Toc15396623"/>
      <w:r>
        <w:rPr>
          <w:rFonts w:hint="eastAsia"/>
        </w:rPr>
        <w:t>五、财政拨款支出决算明细表</w:t>
      </w:r>
      <w:bookmarkEnd w:id="78"/>
      <w:bookmarkStart w:id="79" w:name="_Toc15396624"/>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r>
        <w:rPr>
          <w:rFonts w:hint="eastAsia"/>
        </w:rPr>
        <w:t>六、一般公共预算财政拨款支出决算表</w:t>
      </w:r>
      <w:bookmarkEnd w:id="79"/>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80" w:name="_Toc15396625"/>
      <w:r>
        <w:rPr>
          <w:rFonts w:hint="eastAsia"/>
        </w:rPr>
        <w:t>七、一般公共预算财政拨款支出决算明细表</w:t>
      </w:r>
      <w:bookmarkEnd w:id="80"/>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81" w:name="_Toc15396626"/>
      <w:r>
        <w:rPr>
          <w:rFonts w:hint="eastAsia"/>
        </w:rPr>
        <w:t>八、一般公共预算财政拨款基本支出决算表</w:t>
      </w:r>
      <w:bookmarkEnd w:id="81"/>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82" w:name="_Toc15396627"/>
      <w:r>
        <w:rPr>
          <w:rFonts w:hint="eastAsia"/>
        </w:rPr>
        <w:t>九、一般公共预算财政拨款项目支出决算表</w:t>
      </w:r>
      <w:bookmarkEnd w:id="82"/>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83" w:name="_Toc15396628"/>
      <w:r>
        <w:rPr>
          <w:rFonts w:hint="eastAsia"/>
        </w:rPr>
        <w:t>十、</w:t>
      </w:r>
      <w:bookmarkEnd w:id="83"/>
      <w:r>
        <w:rPr>
          <w:rFonts w:hint="eastAsia"/>
        </w:rPr>
        <w:t>政府性基金预算财政拨款收入支出决算表</w:t>
      </w:r>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84" w:name="_Toc15396629"/>
      <w:r>
        <w:rPr>
          <w:rFonts w:hint="eastAsia"/>
        </w:rPr>
        <w:t>十一、</w:t>
      </w:r>
      <w:bookmarkEnd w:id="84"/>
      <w:r>
        <w:rPr>
          <w:rFonts w:hint="eastAsia"/>
        </w:rPr>
        <w:t>国有资本经营预算</w:t>
      </w:r>
      <w:r>
        <w:rPr>
          <w:rFonts w:hint="eastAsia"/>
          <w:lang w:eastAsia="zh-CN"/>
        </w:rPr>
        <w:t>财政拨款收入</w:t>
      </w:r>
      <w:r>
        <w:rPr>
          <w:rFonts w:hint="eastAsia"/>
        </w:rPr>
        <w:t>支出决算表</w:t>
      </w:r>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rPr>
      </w:pPr>
      <w:bookmarkStart w:id="85" w:name="_Toc15396630"/>
      <w:r>
        <w:rPr>
          <w:rFonts w:hint="eastAsia"/>
        </w:rPr>
        <w:t>十二、</w:t>
      </w:r>
      <w:bookmarkEnd w:id="85"/>
      <w:r>
        <w:rPr>
          <w:rFonts w:hint="eastAsia"/>
          <w:lang w:eastAsia="zh-CN"/>
        </w:rPr>
        <w:t>国有资本经营预算财政拨款支出决算表</w:t>
      </w:r>
    </w:p>
    <w:p>
      <w:pPr>
        <w:pStyle w:val="15"/>
        <w:pageBreakBefore w:val="0"/>
        <w:kinsoku/>
        <w:wordWrap/>
        <w:overflowPunct/>
        <w:topLinePunct w:val="0"/>
        <w:autoSpaceDE/>
        <w:autoSpaceDN/>
        <w:bidi w:val="0"/>
        <w:spacing w:line="560" w:lineRule="exact"/>
        <w:ind w:left="0" w:leftChars="0" w:right="0" w:rightChars="0" w:firstLine="640" w:firstLineChars="200"/>
        <w:jc w:val="both"/>
        <w:textAlignment w:val="auto"/>
        <w:rPr>
          <w:rFonts w:hint="eastAsia"/>
          <w:lang w:eastAsia="zh-CN"/>
        </w:rPr>
      </w:pPr>
      <w:bookmarkStart w:id="86" w:name="_Toc15396631"/>
      <w:r>
        <w:rPr>
          <w:rFonts w:hint="eastAsia"/>
        </w:rPr>
        <w:t>十三、</w:t>
      </w:r>
      <w:bookmarkEnd w:id="86"/>
      <w:r>
        <w:rPr>
          <w:rFonts w:hint="eastAsia"/>
          <w:lang w:eastAsia="zh-CN"/>
        </w:rPr>
        <w:t>财政拨款“三公”经费支出决算表</w:t>
      </w:r>
    </w:p>
    <w:p>
      <w:pPr>
        <w:pageBreakBefore w:val="0"/>
        <w:kinsoku/>
        <w:wordWrap/>
        <w:overflowPunct/>
        <w:topLinePunct w:val="0"/>
        <w:autoSpaceDE/>
        <w:autoSpaceDN/>
        <w:bidi w:val="0"/>
        <w:spacing w:line="560" w:lineRule="exact"/>
        <w:ind w:left="0" w:leftChars="0" w:right="0" w:rightChars="0" w:firstLine="420" w:firstLineChars="200"/>
        <w:jc w:val="both"/>
        <w:textAlignment w:val="auto"/>
        <w:outlineLvl w:val="9"/>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vGR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&#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bP7xkTECAABj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VmZ+MgIAAGMEAAAOAAAAZHJz&#10;L2Uyb0RvYy54bWytVEuOEzEQ3SNxB8t70klG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C5WZn4yAgAAYwQAAA4AAAAAAAAAAQAgAAAA&#10;NQEAAGRycy9lMm9Eb2MueG1sUEsFBgAAAAAGAAYAWQEAANk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A25607"/>
    <w:multiLevelType w:val="singleLevel"/>
    <w:tmpl w:val="8BA25607"/>
    <w:lvl w:ilvl="0" w:tentative="0">
      <w:start w:val="3"/>
      <w:numFmt w:val="decimal"/>
      <w:lvlText w:val="%1."/>
      <w:lvlJc w:val="left"/>
      <w:pPr>
        <w:tabs>
          <w:tab w:val="left" w:pos="312"/>
        </w:tabs>
      </w:pPr>
    </w:lvl>
  </w:abstractNum>
  <w:abstractNum w:abstractNumId="1">
    <w:nsid w:val="1B73BDDD"/>
    <w:multiLevelType w:val="singleLevel"/>
    <w:tmpl w:val="1B73BDDD"/>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5Y2EzZGQ1ZTg1MWZhNjY1YTE1OWY1YzBhOWI1OT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67D59FE"/>
    <w:rsid w:val="07996F6E"/>
    <w:rsid w:val="07DFD8BA"/>
    <w:rsid w:val="08DB07E4"/>
    <w:rsid w:val="09867E8F"/>
    <w:rsid w:val="0A2032A3"/>
    <w:rsid w:val="0BB551D2"/>
    <w:rsid w:val="0C6C4794"/>
    <w:rsid w:val="0CA8290A"/>
    <w:rsid w:val="0D35B1ED"/>
    <w:rsid w:val="0DE07E2B"/>
    <w:rsid w:val="0EDF13E7"/>
    <w:rsid w:val="0F98263C"/>
    <w:rsid w:val="101860EC"/>
    <w:rsid w:val="10C055FF"/>
    <w:rsid w:val="11772AA4"/>
    <w:rsid w:val="118107EC"/>
    <w:rsid w:val="13957196"/>
    <w:rsid w:val="13D50BC4"/>
    <w:rsid w:val="14022904"/>
    <w:rsid w:val="1467247A"/>
    <w:rsid w:val="152F2A07"/>
    <w:rsid w:val="15EA7DCB"/>
    <w:rsid w:val="165E0673"/>
    <w:rsid w:val="16BB723D"/>
    <w:rsid w:val="16F13FCB"/>
    <w:rsid w:val="17960941"/>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AFF7566"/>
    <w:rsid w:val="2BFF7BC6"/>
    <w:rsid w:val="2C8A61B5"/>
    <w:rsid w:val="2D2E01CF"/>
    <w:rsid w:val="2DE86020"/>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D42C0D"/>
    <w:rsid w:val="3BF5BC2F"/>
    <w:rsid w:val="3CEBA265"/>
    <w:rsid w:val="3D98207C"/>
    <w:rsid w:val="3D9B0D99"/>
    <w:rsid w:val="3DEE7CF3"/>
    <w:rsid w:val="3DF02244"/>
    <w:rsid w:val="3E78745D"/>
    <w:rsid w:val="3F3931BF"/>
    <w:rsid w:val="3FF4CAE0"/>
    <w:rsid w:val="3FF7B227"/>
    <w:rsid w:val="40CC265C"/>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28C0A30"/>
    <w:rsid w:val="53083A92"/>
    <w:rsid w:val="537E6D0A"/>
    <w:rsid w:val="53AF27A2"/>
    <w:rsid w:val="53F74C96"/>
    <w:rsid w:val="544C169C"/>
    <w:rsid w:val="5537222F"/>
    <w:rsid w:val="56E47B74"/>
    <w:rsid w:val="57BD3DD4"/>
    <w:rsid w:val="59BA5907"/>
    <w:rsid w:val="5AF92295"/>
    <w:rsid w:val="5BDD79E6"/>
    <w:rsid w:val="5BF561CA"/>
    <w:rsid w:val="5BFF5DFC"/>
    <w:rsid w:val="5CD71FC4"/>
    <w:rsid w:val="5D1F11B5"/>
    <w:rsid w:val="5DAE1B18"/>
    <w:rsid w:val="5DE7D9E5"/>
    <w:rsid w:val="5ECEC941"/>
    <w:rsid w:val="5EF20739"/>
    <w:rsid w:val="5F493CB7"/>
    <w:rsid w:val="5FBF9FF3"/>
    <w:rsid w:val="5FCD4E2C"/>
    <w:rsid w:val="5FD15F49"/>
    <w:rsid w:val="5FEF394A"/>
    <w:rsid w:val="5FF67715"/>
    <w:rsid w:val="61B70C1F"/>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DF7BD8"/>
    <w:rsid w:val="6FEFFFD8"/>
    <w:rsid w:val="6FF5CC65"/>
    <w:rsid w:val="6FFB47EC"/>
    <w:rsid w:val="6FFF034A"/>
    <w:rsid w:val="70496804"/>
    <w:rsid w:val="712A28F1"/>
    <w:rsid w:val="715C0E4B"/>
    <w:rsid w:val="72233669"/>
    <w:rsid w:val="72734D90"/>
    <w:rsid w:val="7332FE48"/>
    <w:rsid w:val="73AB61DA"/>
    <w:rsid w:val="73AD2002"/>
    <w:rsid w:val="73AD73D5"/>
    <w:rsid w:val="73B6EB34"/>
    <w:rsid w:val="73FA497D"/>
    <w:rsid w:val="744731E5"/>
    <w:rsid w:val="74527205"/>
    <w:rsid w:val="74BBD01D"/>
    <w:rsid w:val="74ED5379"/>
    <w:rsid w:val="74FC2395"/>
    <w:rsid w:val="75DEEEC2"/>
    <w:rsid w:val="76455F24"/>
    <w:rsid w:val="76AD15F9"/>
    <w:rsid w:val="76E3355F"/>
    <w:rsid w:val="76FF5125"/>
    <w:rsid w:val="776F6FFA"/>
    <w:rsid w:val="778769C8"/>
    <w:rsid w:val="77DC22F5"/>
    <w:rsid w:val="79086DAD"/>
    <w:rsid w:val="79974F09"/>
    <w:rsid w:val="79D7FD79"/>
    <w:rsid w:val="79EE5BA4"/>
    <w:rsid w:val="7A894339"/>
    <w:rsid w:val="7AFF7572"/>
    <w:rsid w:val="7B6C7DFB"/>
    <w:rsid w:val="7BBFBED0"/>
    <w:rsid w:val="7BC3E394"/>
    <w:rsid w:val="7BFB7CB5"/>
    <w:rsid w:val="7C1F3737"/>
    <w:rsid w:val="7C606DA6"/>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985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line="360" w:lineRule="auto"/>
      <w:jc w:val="center"/>
    </w:pPr>
    <w:rPr>
      <w:rFonts w:ascii="仿宋" w:hAnsi="仿宋" w:eastAsia="黑体"/>
      <w:sz w:val="32"/>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spacing w:line="360" w:lineRule="auto"/>
      <w:ind w:left="0" w:leftChars="0" w:firstLine="640" w:firstLineChars="200"/>
    </w:pPr>
    <w:rPr>
      <w:rFonts w:ascii="Times New Roman" w:hAnsi="Times New Roman" w:eastAsia="仿宋"/>
      <w:sz w:val="32"/>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    </a:t>
            </a:r>
            <a:r>
              <a:rPr altLang="en-US"/>
              <a:t>单位：万元</a:t>
            </a:r>
            <a:endParaRPr altLang="en-US"/>
          </a:p>
        </c:rich>
      </c:tx>
      <c:layout>
        <c:manualLayout>
          <c:xMode val="edge"/>
          <c:yMode val="edge"/>
          <c:x val="0.221944444444444"/>
          <c:y val="0.0310185185185185"/>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[工作簿1]Sheet1!$A$3:$D$3</c:f>
              <c:strCache>
                <c:ptCount val="4"/>
                <c:pt idx="0">
                  <c:v>2024年度收入</c:v>
                </c:pt>
                <c:pt idx="1">
                  <c:v>2025年度收入</c:v>
                </c:pt>
                <c:pt idx="2">
                  <c:v>2024年度支出</c:v>
                </c:pt>
                <c:pt idx="3">
                  <c:v>2025年度支出</c:v>
                </c:pt>
              </c:strCache>
            </c:strRef>
          </c:cat>
          <c:val>
            <c:numRef>
              <c:f>[工作簿1]Sheet1!$A$4:$D$4</c:f>
              <c:numCache>
                <c:formatCode>General</c:formatCode>
                <c:ptCount val="4"/>
                <c:pt idx="0">
                  <c:v>177.39</c:v>
                </c:pt>
                <c:pt idx="1">
                  <c:v>204.25</c:v>
                </c:pt>
                <c:pt idx="2">
                  <c:v>177.39</c:v>
                </c:pt>
                <c:pt idx="3">
                  <c:v>204.25</c:v>
                </c:pt>
              </c:numCache>
            </c:numRef>
          </c:val>
        </c:ser>
        <c:dLbls>
          <c:showLegendKey val="0"/>
          <c:showVal val="1"/>
          <c:showCatName val="0"/>
          <c:showSerName val="0"/>
          <c:showPercent val="0"/>
          <c:showBubbleSize val="0"/>
        </c:dLbls>
        <c:gapWidth val="219"/>
        <c:overlap val="-27"/>
        <c:axId val="858418492"/>
        <c:axId val="558197754"/>
      </c:barChart>
      <c:catAx>
        <c:axId val="85841849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197754"/>
        <c:crosses val="autoZero"/>
        <c:auto val="1"/>
        <c:lblAlgn val="ctr"/>
        <c:lblOffset val="100"/>
        <c:noMultiLvlLbl val="0"/>
      </c:catAx>
      <c:valAx>
        <c:axId val="55819775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84184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manualLayout>
          <c:xMode val="edge"/>
          <c:yMode val="edge"/>
          <c:x val="0.357182244279018"/>
          <c:y val="0.159492523787947"/>
        </c:manualLayout>
      </c:layout>
      <c:overlay val="0"/>
      <c:spPr>
        <a:noFill/>
        <a:ln>
          <a:noFill/>
        </a:ln>
        <a:effectLst/>
      </c:spPr>
    </c:title>
    <c:autoTitleDeleted val="0"/>
    <c:plotArea>
      <c:layout/>
      <c:pieChart>
        <c:varyColors val="1"/>
        <c:ser>
          <c:idx val="0"/>
          <c:order val="0"/>
          <c:tx>
            <c:strRef>
              <c:f>[工作簿1]Sheet1!$A$27</c:f>
              <c:strCache>
                <c:ptCount val="1"/>
                <c:pt idx="0">
                  <c:v>一般公共预算财政拨款</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[工作簿1]Sheet1!$B$27</c:f>
              <c:numCache>
                <c:formatCode>General</c:formatCode>
                <c:ptCount val="1"/>
                <c:pt idx="0">
                  <c:v>204.25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1"/>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[工作簿1]Sheet1!$A$43:$A$44</c:f>
              <c:strCache>
                <c:ptCount val="2"/>
                <c:pt idx="0">
                  <c:v>基本支出</c:v>
                </c:pt>
                <c:pt idx="1">
                  <c:v>项目支出</c:v>
                </c:pt>
              </c:strCache>
            </c:strRef>
          </c:cat>
          <c:val>
            <c:numRef>
              <c:f>[工作簿1]Sheet1!$B$43:$B$44</c:f>
              <c:numCache>
                <c:formatCode>General</c:formatCode>
                <c:ptCount val="2"/>
                <c:pt idx="0">
                  <c:v>155.25</c:v>
                </c:pt>
                <c:pt idx="1">
                  <c:v>49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000"/>
              <a:t>财政拨款收、支决算总计变动情况</a:t>
            </a:r>
            <a:endParaRPr sz="1000"/>
          </a:p>
          <a:p>
            <a:pPr defTabSz="914400">
              <a:defRPr lang="zh-CN" sz="1400" b="0" i="0" u="none" strike="noStrike" kern="1200" spc="0" baseline="0">
                <a:solidFill>
                  <a:schemeClr val="tx1">
                    <a:lumMod val="65000"/>
                    <a:lumOff val="35000"/>
                  </a:schemeClr>
                </a:solidFill>
                <a:latin typeface="+mn-lt"/>
                <a:ea typeface="+mn-ea"/>
                <a:cs typeface="+mn-cs"/>
              </a:defRPr>
            </a:pPr>
            <a:r>
              <a:rPr sz="1000"/>
              <a:t>单位：万元</a:t>
            </a:r>
            <a:endParaRPr sz="1000"/>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[工作簿1]Sheet1!$A$3:$D$3</c:f>
              <c:strCache>
                <c:ptCount val="4"/>
                <c:pt idx="0">
                  <c:v>2024年度财政拨款收入</c:v>
                </c:pt>
                <c:pt idx="1">
                  <c:v>2025年度财政拨款收入</c:v>
                </c:pt>
                <c:pt idx="2">
                  <c:v>2024年度财政拨款支出</c:v>
                </c:pt>
                <c:pt idx="3">
                  <c:v>2025年度财政拨款支出</c:v>
                </c:pt>
              </c:strCache>
            </c:strRef>
          </c:cat>
          <c:val>
            <c:numRef>
              <c:f>[工作簿1]Sheet1!$A$4:$D$4</c:f>
              <c:numCache>
                <c:formatCode>General</c:formatCode>
                <c:ptCount val="4"/>
                <c:pt idx="0">
                  <c:v>177.39</c:v>
                </c:pt>
                <c:pt idx="1">
                  <c:v>204.25</c:v>
                </c:pt>
                <c:pt idx="2">
                  <c:v>177.39</c:v>
                </c:pt>
                <c:pt idx="3">
                  <c:v>204.25</c:v>
                </c:pt>
              </c:numCache>
            </c:numRef>
          </c:val>
        </c:ser>
        <c:dLbls>
          <c:showLegendKey val="0"/>
          <c:showVal val="1"/>
          <c:showCatName val="0"/>
          <c:showSerName val="0"/>
          <c:showPercent val="0"/>
          <c:showBubbleSize val="0"/>
        </c:dLbls>
        <c:gapWidth val="219"/>
        <c:overlap val="-27"/>
        <c:axId val="129347667"/>
        <c:axId val="625356513"/>
      </c:barChart>
      <c:catAx>
        <c:axId val="12934766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5356513"/>
        <c:crosses val="autoZero"/>
        <c:auto val="1"/>
        <c:lblAlgn val="ctr"/>
        <c:lblOffset val="100"/>
        <c:noMultiLvlLbl val="0"/>
      </c:catAx>
      <c:valAx>
        <c:axId val="62535651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3476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[工作簿1]Sheet1!$A$3:$B$3</c:f>
              <c:strCache>
                <c:ptCount val="2"/>
                <c:pt idx="0">
                  <c:v>2024年度一般公共预算财政拨款支出</c:v>
                </c:pt>
                <c:pt idx="1">
                  <c:v>2025年度一般公共预算财政拨款支出</c:v>
                </c:pt>
              </c:strCache>
            </c:strRef>
          </c:cat>
          <c:val>
            <c:numRef>
              <c:f>[工作簿1]Sheet1!$A$4:$B$4</c:f>
              <c:numCache>
                <c:formatCode>General</c:formatCode>
                <c:ptCount val="2"/>
                <c:pt idx="0">
                  <c:v>177.39</c:v>
                </c:pt>
                <c:pt idx="1">
                  <c:v>204.25</c:v>
                </c:pt>
              </c:numCache>
            </c:numRef>
          </c:val>
        </c:ser>
        <c:dLbls>
          <c:showLegendKey val="0"/>
          <c:showVal val="0"/>
          <c:showCatName val="0"/>
          <c:showSerName val="0"/>
          <c:showPercent val="0"/>
          <c:showBubbleSize val="0"/>
        </c:dLbls>
        <c:gapWidth val="219"/>
        <c:overlap val="-27"/>
        <c:axId val="664858359"/>
        <c:axId val="569932556"/>
      </c:barChart>
      <c:catAx>
        <c:axId val="66485835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932556"/>
        <c:crosses val="autoZero"/>
        <c:auto val="1"/>
        <c:lblAlgn val="ctr"/>
        <c:lblOffset val="100"/>
        <c:noMultiLvlLbl val="0"/>
      </c:catAx>
      <c:valAx>
        <c:axId val="5699325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485835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[工作簿1]Sheet1!$A$26:$A$30</c:f>
              <c:strCache>
                <c:ptCount val="5"/>
                <c:pt idx="0">
                  <c:v>一般公共服务支出</c:v>
                </c:pt>
                <c:pt idx="1">
                  <c:v>科学技术支出</c:v>
                </c:pt>
                <c:pt idx="2">
                  <c:v>社会保障和就业支出</c:v>
                </c:pt>
                <c:pt idx="3">
                  <c:v>卫生健康支出</c:v>
                </c:pt>
                <c:pt idx="4">
                  <c:v>住房保障支出</c:v>
                </c:pt>
              </c:strCache>
            </c:strRef>
          </c:cat>
          <c:val>
            <c:numRef>
              <c:f>[工作簿1]Sheet1!$B$26:$B$30</c:f>
              <c:numCache>
                <c:formatCode>General</c:formatCode>
                <c:ptCount val="5"/>
                <c:pt idx="0">
                  <c:v>117.04</c:v>
                </c:pt>
                <c:pt idx="1">
                  <c:v>49</c:v>
                </c:pt>
                <c:pt idx="2">
                  <c:v>20.74</c:v>
                </c:pt>
                <c:pt idx="3">
                  <c:v>7.25</c:v>
                </c:pt>
                <c:pt idx="4">
                  <c:v>10.22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000"/>
              <a:t>财政拨款“三公”经费支出结构单位：万元</a:t>
            </a:r>
            <a:endParaRPr sz="1000"/>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[工作簿1]Sheet1!$A$46:$A$48</c:f>
              <c:strCache>
                <c:ptCount val="3"/>
                <c:pt idx="0">
                  <c:v>因公出国（境）费支出</c:v>
                </c:pt>
                <c:pt idx="1">
                  <c:v>公务用车购置及运行维护费支出</c:v>
                </c:pt>
                <c:pt idx="2">
                  <c:v>公务接待费支出</c:v>
                </c:pt>
              </c:strCache>
            </c:strRef>
          </c:cat>
          <c:val>
            <c:numRef>
              <c:f>[工作簿1]Sheet1!$B$46:$B$48</c:f>
              <c:numCache>
                <c:formatCode>General</c:formatCode>
                <c:ptCount val="3"/>
                <c:pt idx="0">
                  <c:v>0</c:v>
                </c:pt>
                <c:pt idx="1">
                  <c:v>3.01</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689413a1-ca57-4abe-b3d3-9f234ac585ef</errorID>
      <errorWord xmlns="http://schemas.wps.cn/vas-ai-hub/contract-review">主要变动原因是主要变动原因是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主要变动原因是</item>
      </candidateList>
      <explain xmlns="http://schemas.wps.cn/vas-ai-hub/contract-review"/>
      <paraID xmlns="http://schemas.wps.cn/vas-ai-hub/contract-review"> 459A5BC</paraID>
      <start xmlns="http://schemas.wps.cn/vas-ai-hub/contract-review">59</start>
      <end xmlns="http://schemas.wps.cn/vas-ai-hub/contract-review">66</end>
      <status xmlns="http://schemas.wps.cn/vas-ai-hub/contract-review">modified</status>
      <modifiedWord xmlns="http://schemas.wps.cn/vas-ai-hub/contract-review">主要变动原因是</modifiedWord>
      <trackRevisions xmlns="http://schemas.wps.cn/vas-ai-hub/contract-review">false</trackRevisions>
    </reviewItem>
    <reviewItem xmlns="http://schemas.wps.cn/vas-ai-hub/contract-review">
      <errorID xmlns="http://schemas.wps.cn/vas-ai-hub/contract-review">44d542c5-5b9c-490e-a6eb-79017998124d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62C03B9B</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be31375f-89eb-4217-89a5-6bc8fee3903c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2B84C64B</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84c8d25d-0351-4edf-aa3c-f232884cb608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6C4E1B56</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96a168e8-1a12-4a96-9a9c-03962df9543f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484FA417</paraID>
      <start xmlns="http://schemas.wps.cn/vas-ai-hub/contract-review">79</start>
      <end xmlns="http://schemas.wps.cn/vas-ai-hub/contract-review">81</end>
      <status xmlns="http://schemas.wps.cn/vas-ai-hub/contract-review">modified</status>
      <modifiedWord xmlns="http://schemas.wps.cn/vas-ai-hub/contract-review">，在</modifiedWord>
      <trackRevisions xmlns="http://schemas.wps.cn/vas-ai-hub/contract-review">false</trackRevisions>
    </reviewItem>
    <reviewItem xmlns="http://schemas.wps.cn/vas-ai-hub/contract-review">
      <errorID xmlns="http://schemas.wps.cn/vas-ai-hub/contract-review">cf25027a-cad2-4a16-82dd-104ca982d2db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4E29D603</paraID>
      <start xmlns="http://schemas.wps.cn/vas-ai-hub/contract-review">26</start>
      <end xmlns="http://schemas.wps.cn/vas-ai-hub/contract-review">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e6a1c09d-2fb3-423e-858e-33123746e052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4E29D603</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82c720dd-dcff-413a-8593-9652075d93f2</errorID>
      <errorWord xmlns="http://schemas.wps.cn/vas-ai-hub/contract-review">余次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次</item>
      </candidateList>
      <explain xmlns="http://schemas.wps.cn/vas-ai-hub/contract-review"/>
      <paraID xmlns="http://schemas.wps.cn/vas-ai-hub/contract-review">7ABAFFDE</paraID>
      <start xmlns="http://schemas.wps.cn/vas-ai-hub/contract-review">250</start>
      <end xmlns="http://schemas.wps.cn/vas-ai-hub/contract-review">252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d54c3eb1-9f66-4e8a-b82a-b07ea9882bb9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4252D743</paraID>
      <start xmlns="http://schemas.wps.cn/vas-ai-hub/contract-review">150</start>
      <end xmlns="http://schemas.wps.cn/vas-ai-hub/contract-review">151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dd252579-3c3f-4dd7-a369-89dbbb10f45f</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340D1E57</paraID>
      <start xmlns="http://schemas.wps.cn/vas-ai-hub/contract-review">101</start>
      <end xmlns="http://schemas.wps.cn/vas-ai-hub/contract-review">103</end>
      <status xmlns="http://schemas.wps.cn/vas-ai-hub/contract-review">modified</status>
      <modifiedWord xmlns="http://schemas.wps.cn/vas-ai-hub/contract-review">截至</modifiedWord>
      <trackRevisions xmlns="http://schemas.wps.cn/vas-ai-hub/contract-review">false</trackRevisions>
    </reviewItem>
    <reviewItem xmlns="http://schemas.wps.cn/vas-ai-hub/contract-review">
      <errorID xmlns="http://schemas.wps.cn/vas-ai-hub/contract-review">20befe2b-cc17-40c5-a459-c34d7accb86c</errorID>
      <errorWord xmlns="http://schemas.wps.cn/vas-ai-hub/contract-review">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全过</item>
      </candidateList>
      <explain xmlns="http://schemas.wps.cn/vas-ai-hub/contract-review"/>
      <paraID xmlns="http://schemas.wps.cn/vas-ai-hub/contract-review">2B9B325E</paraID>
      <start xmlns="http://schemas.wps.cn/vas-ai-hub/contract-review">37</start>
      <end xmlns="http://schemas.wps.cn/vas-ai-hub/contract-review">39</end>
      <status xmlns="http://schemas.wps.cn/vas-ai-hub/contract-review">modified</status>
      <modifiedWord xmlns="http://schemas.wps.cn/vas-ai-hub/contract-review">全过</modifiedWord>
      <trackRevisions xmlns="http://schemas.wps.cn/vas-ai-hub/contract-review">false</trackRevisions>
    </reviewItem>
    <reviewItem xmlns="http://schemas.wps.cn/vas-ai-hub/contract-review">
      <errorID xmlns="http://schemas.wps.cn/vas-ai-hub/contract-review">8057e3cd-d47a-4da6-acf5-85ec6d7bec3a</errorID>
      <errorWord xmlns="http://schemas.wps.cn/vas-ai-hub/contract-review">财政一般公共预算拨款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词汇“一般公共预算财政拨款”在特定场景下为固定表述形式，请确认此处的“财政一般公共预算拨款”是否存在不当。</explain>
      <paraID xmlns="http://schemas.wps.cn/vas-ai-hub/contract-review">628F9C62</paraID>
      <start xmlns="http://schemas.wps.cn/vas-ai-hub/contract-review">29</start>
      <end xmlns="http://schemas.wps.cn/vas-ai-hub/contract-review">39</end>
      <status xmlns="http://schemas.wps.cn/vas-ai-hub/contract-review">modified</status>
      <modifiedWord xmlns="http://schemas.wps.cn/vas-ai-hub/contract-review">一般公共预算财政拨款</modifiedWord>
      <trackRevisions xmlns="http://schemas.wps.cn/vas-ai-hub/contract-review">false</trackRevisions>
    </reviewItem>
    <reviewItem xmlns="http://schemas.wps.cn/vas-ai-hub/contract-review">
      <errorID xmlns="http://schemas.wps.cn/vas-ai-hub/contract-review">7ae440c8-5bb0-4e87-9f7c-ba5336f0b6ed</errorID>
      <errorWord xmlns="http://schemas.wps.cn/vas-ai-hub/contract-review">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未能</item>
      </candidateList>
      <explain xmlns="http://schemas.wps.cn/vas-ai-hub/contract-review"/>
      <paraID xmlns="http://schemas.wps.cn/vas-ai-hub/contract-review">188B4453</paraID>
      <start xmlns="http://schemas.wps.cn/vas-ai-hub/contract-review">69</start>
      <end xmlns="http://schemas.wps.cn/vas-ai-hub/contract-review">71</end>
      <status xmlns="http://schemas.wps.cn/vas-ai-hub/contract-review">modified</status>
      <modifiedWord xmlns="http://schemas.wps.cn/vas-ai-hub/contract-review">未能</modifiedWord>
      <trackRevisions xmlns="http://schemas.wps.cn/vas-ai-hub/contract-review">false</trackRevisions>
    </reviewItem>
    <reviewItem xmlns="http://schemas.wps.cn/vas-ai-hub/contract-review">
      <errorID xmlns="http://schemas.wps.cn/vas-ai-hub/contract-review">3815918d-ccc4-4593-8cb8-15116fb1797f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31B5055A</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4fabad5a-e96d-422e-8145-5871cd3fdcb6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31B5055A</paraID>
      <start xmlns="http://schemas.wps.cn/vas-ai-hub/contract-review">39</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ae26f6c6-2828-4628-bcb7-f96ef1b1c3f9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31B5055A</paraID>
      <start xmlns="http://schemas.wps.cn/vas-ai-hub/contract-review">62</start>
      <end xmlns="http://schemas.wps.cn/vas-ai-hub/contract-review">63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d5ac5ba5-e573-4f5c-91b1-8a00ecb047ef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31B5055A</paraID>
      <start xmlns="http://schemas.wps.cn/vas-ai-hub/contract-review">69</start>
      <end xmlns="http://schemas.wps.cn/vas-ai-hub/contract-review">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6e38358c-82d0-48aa-b137-f0c96658f91c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21E4A296</paraID>
      <start xmlns="http://schemas.wps.cn/vas-ai-hub/contract-review">13</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98d30cb3-586b-493f-95ec-0c8249681e81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21E4A296</paraID>
      <start xmlns="http://schemas.wps.cn/vas-ai-hub/contract-review">20</start>
      <end xmlns="http://schemas.wps.cn/vas-ai-hub/contract-review">21</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2d09b5-c931-46fb-ad05-fe2d2422459f}">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5909</Words>
  <Characters>6401</Characters>
  <Lines>61</Lines>
  <Paragraphs>17</Paragraphs>
  <TotalTime>34</TotalTime>
  <ScaleCrop>false</ScaleCrop>
  <LinksUpToDate>false</LinksUpToDate>
  <CharactersWithSpaces>6451</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2026-10-19T14:57:00Z</cp:lastPrinted>
  <dcterms:modified xsi:type="dcterms:W3CDTF">2026-10-19T16:18:02Z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6A58F916E076469083553C2951731698_13</vt:lpwstr>
  </property>
  <property fmtid="{D5CDD505-2E9C-101B-9397-08002B2CF9AE}" pid="4" name="KSOTemplateDocerSaveRecord">
    <vt:lpwstr>eyJoZGlkIjoiOTk0MmM1NDNkMjBiNTI0ZTYyYTE5NTZhZjc0YmY4ZmEiLCJ1c2VySWQiOiI4OTI4MjUxNzgifQ==</vt:lpwstr>
  </property>
</Properties>
</file>