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E9395">
      <w:pPr>
        <w:rPr>
          <w:rFonts w:ascii="黑体" w:hAnsi="黑体" w:eastAsia="黑体" w:cs="Times New Roman"/>
          <w:sz w:val="44"/>
          <w:szCs w:val="44"/>
        </w:rPr>
      </w:pPr>
    </w:p>
    <w:p w14:paraId="5ED219EC">
      <w:pPr>
        <w:rPr>
          <w:rFonts w:ascii="黑体" w:hAnsi="黑体" w:eastAsia="黑体" w:cs="Times New Roman"/>
          <w:sz w:val="44"/>
          <w:szCs w:val="44"/>
        </w:rPr>
      </w:pPr>
    </w:p>
    <w:p w14:paraId="47D6A647">
      <w:pPr>
        <w:rPr>
          <w:rFonts w:ascii="黑体" w:hAnsi="黑体" w:eastAsia="黑体" w:cs="Times New Roman"/>
          <w:sz w:val="44"/>
          <w:szCs w:val="44"/>
        </w:rPr>
      </w:pPr>
    </w:p>
    <w:p w14:paraId="2CE1E6C7">
      <w:pPr>
        <w:rPr>
          <w:rFonts w:ascii="黑体" w:hAnsi="黑体" w:eastAsia="黑体" w:cs="Times New Roman"/>
          <w:sz w:val="44"/>
          <w:szCs w:val="44"/>
        </w:rPr>
      </w:pPr>
    </w:p>
    <w:p w14:paraId="1F66FCE6">
      <w:pPr>
        <w:rPr>
          <w:rFonts w:ascii="黑体" w:hAnsi="黑体" w:eastAsia="黑体" w:cs="Times New Roman"/>
          <w:sz w:val="44"/>
          <w:szCs w:val="44"/>
        </w:rPr>
      </w:pPr>
    </w:p>
    <w:p w14:paraId="697CE35F">
      <w:pPr>
        <w:jc w:val="center"/>
        <w:rPr>
          <w:rFonts w:hint="eastAsia" w:ascii="黑体" w:hAnsi="黑体" w:eastAsia="黑体" w:cs="黑体"/>
          <w:sz w:val="72"/>
          <w:szCs w:val="72"/>
        </w:rPr>
      </w:pPr>
      <w:r>
        <w:rPr>
          <w:rFonts w:hint="eastAsia" w:ascii="黑体" w:hAnsi="黑体" w:eastAsia="黑体" w:cs="黑体"/>
          <w:sz w:val="72"/>
          <w:szCs w:val="72"/>
        </w:rPr>
        <w:t>壤塘县科学技术协会</w:t>
      </w:r>
    </w:p>
    <w:p w14:paraId="2C864FE4">
      <w:pPr>
        <w:jc w:val="center"/>
        <w:rPr>
          <w:rFonts w:ascii="黑体" w:hAnsi="黑体" w:eastAsia="黑体" w:cs="Times New Roman"/>
          <w:sz w:val="72"/>
          <w:szCs w:val="72"/>
        </w:rPr>
      </w:pPr>
      <w:r>
        <w:rPr>
          <w:rFonts w:hint="eastAsia" w:ascii="黑体" w:hAnsi="黑体" w:eastAsia="黑体" w:cs="黑体"/>
          <w:sz w:val="72"/>
          <w:szCs w:val="72"/>
          <w:lang w:eastAsia="zh-CN"/>
        </w:rPr>
        <w:t>202</w:t>
      </w:r>
      <w:r>
        <w:rPr>
          <w:rFonts w:hint="eastAsia" w:ascii="黑体" w:hAnsi="黑体" w:eastAsia="黑体" w:cs="黑体"/>
          <w:sz w:val="72"/>
          <w:szCs w:val="72"/>
          <w:lang w:val="en-US" w:eastAsia="zh-CN"/>
        </w:rPr>
        <w:t>6</w:t>
      </w:r>
      <w:r>
        <w:rPr>
          <w:rFonts w:hint="eastAsia" w:ascii="黑体" w:hAnsi="黑体" w:eastAsia="黑体" w:cs="黑体"/>
          <w:sz w:val="72"/>
          <w:szCs w:val="72"/>
          <w:lang w:eastAsia="zh-CN"/>
        </w:rPr>
        <w:t>年</w:t>
      </w:r>
      <w:r>
        <w:rPr>
          <w:rFonts w:hint="eastAsia" w:ascii="黑体" w:hAnsi="黑体" w:eastAsia="黑体" w:cs="黑体"/>
          <w:sz w:val="72"/>
          <w:szCs w:val="72"/>
        </w:rPr>
        <w:t>部门预算</w:t>
      </w:r>
    </w:p>
    <w:p w14:paraId="4202359D">
      <w:pPr>
        <w:jc w:val="center"/>
        <w:rPr>
          <w:rFonts w:ascii="黑体" w:hAnsi="黑体" w:eastAsia="黑体" w:cs="Times New Roman"/>
          <w:sz w:val="44"/>
          <w:szCs w:val="44"/>
        </w:rPr>
      </w:pPr>
    </w:p>
    <w:p w14:paraId="5D31D6DD">
      <w:pPr>
        <w:jc w:val="center"/>
        <w:rPr>
          <w:rFonts w:ascii="黑体" w:hAnsi="黑体" w:eastAsia="黑体" w:cs="Times New Roman"/>
          <w:sz w:val="44"/>
          <w:szCs w:val="44"/>
        </w:rPr>
      </w:pPr>
    </w:p>
    <w:p w14:paraId="3FA9DD75">
      <w:pPr>
        <w:jc w:val="center"/>
        <w:rPr>
          <w:rFonts w:ascii="黑体" w:hAnsi="黑体" w:eastAsia="黑体" w:cs="Times New Roman"/>
          <w:sz w:val="44"/>
          <w:szCs w:val="44"/>
        </w:rPr>
      </w:pPr>
    </w:p>
    <w:p w14:paraId="2EB08747">
      <w:pPr>
        <w:jc w:val="center"/>
        <w:rPr>
          <w:rFonts w:ascii="黑体" w:hAnsi="黑体" w:eastAsia="黑体" w:cs="Times New Roman"/>
          <w:sz w:val="44"/>
          <w:szCs w:val="44"/>
        </w:rPr>
      </w:pPr>
    </w:p>
    <w:p w14:paraId="7F753A59">
      <w:pPr>
        <w:jc w:val="center"/>
        <w:rPr>
          <w:rFonts w:ascii="黑体" w:hAnsi="黑体" w:eastAsia="黑体" w:cs="Times New Roman"/>
          <w:sz w:val="44"/>
          <w:szCs w:val="44"/>
        </w:rPr>
      </w:pPr>
    </w:p>
    <w:p w14:paraId="2FA0564E">
      <w:pPr>
        <w:jc w:val="center"/>
        <w:rPr>
          <w:rFonts w:ascii="黑体" w:hAnsi="黑体" w:eastAsia="黑体" w:cs="Times New Roman"/>
          <w:sz w:val="44"/>
          <w:szCs w:val="44"/>
        </w:rPr>
      </w:pPr>
    </w:p>
    <w:p w14:paraId="2CCFA55B">
      <w:pPr>
        <w:jc w:val="center"/>
        <w:rPr>
          <w:rFonts w:ascii="黑体" w:hAnsi="黑体" w:eastAsia="黑体" w:cs="Times New Roman"/>
          <w:sz w:val="44"/>
          <w:szCs w:val="44"/>
        </w:rPr>
      </w:pPr>
    </w:p>
    <w:p w14:paraId="6CA75DA6">
      <w:pPr>
        <w:jc w:val="center"/>
        <w:rPr>
          <w:rFonts w:ascii="黑体" w:hAnsi="黑体" w:eastAsia="黑体" w:cs="Times New Roman"/>
          <w:sz w:val="44"/>
          <w:szCs w:val="44"/>
        </w:rPr>
      </w:pPr>
    </w:p>
    <w:p w14:paraId="487253A3">
      <w:pPr>
        <w:jc w:val="center"/>
        <w:rPr>
          <w:rFonts w:ascii="黑体" w:hAnsi="黑体" w:eastAsia="黑体" w:cs="Times New Roman"/>
          <w:sz w:val="44"/>
          <w:szCs w:val="44"/>
        </w:rPr>
      </w:pPr>
    </w:p>
    <w:p w14:paraId="73F78375">
      <w:pPr>
        <w:jc w:val="center"/>
        <w:rPr>
          <w:rFonts w:ascii="黑体" w:hAnsi="黑体" w:eastAsia="黑体" w:cs="Times New Roman"/>
          <w:sz w:val="44"/>
          <w:szCs w:val="44"/>
        </w:rPr>
      </w:pPr>
    </w:p>
    <w:p w14:paraId="53F8F737">
      <w:pPr>
        <w:ind w:firstLine="2080" w:firstLineChars="400"/>
        <w:jc w:val="both"/>
        <w:rPr>
          <w:rFonts w:hint="eastAsia" w:ascii="黑体" w:hAnsi="黑体" w:eastAsia="黑体" w:cs="黑体"/>
          <w:sz w:val="52"/>
          <w:szCs w:val="52"/>
          <w:lang w:val="en-US" w:eastAsia="zh-CN"/>
        </w:rPr>
      </w:pPr>
    </w:p>
    <w:p w14:paraId="729D65A8">
      <w:pPr>
        <w:spacing w:before="0" w:beforeLines="0" w:after="0" w:afterLines="0" w:line="240" w:lineRule="auto"/>
        <w:ind w:left="0" w:leftChars="0" w:right="0" w:rightChars="0" w:firstLine="0" w:firstLineChars="0"/>
        <w:jc w:val="both"/>
        <w:rPr>
          <w:rFonts w:ascii="宋体" w:hAnsi="宋体" w:eastAsia="宋体" w:cs="Calibri"/>
          <w:kern w:val="2"/>
          <w:sz w:val="21"/>
          <w:szCs w:val="21"/>
          <w:lang w:val="en-US" w:eastAsia="zh-CN" w:bidi="ar-SA"/>
        </w:rPr>
      </w:pPr>
    </w:p>
    <w:p w14:paraId="785D71E8">
      <w:pPr>
        <w:spacing w:before="0" w:beforeLines="0" w:after="0" w:afterLines="0" w:line="240" w:lineRule="auto"/>
        <w:ind w:left="0" w:leftChars="0" w:right="0" w:rightChars="0" w:firstLine="0" w:firstLineChars="0"/>
        <w:jc w:val="both"/>
        <w:rPr>
          <w:rFonts w:ascii="宋体" w:hAnsi="宋体" w:eastAsia="宋体" w:cs="Calibri"/>
          <w:kern w:val="2"/>
          <w:sz w:val="21"/>
          <w:szCs w:val="21"/>
          <w:lang w:val="en-US" w:eastAsia="zh-CN" w:bidi="ar-SA"/>
        </w:rPr>
      </w:pPr>
    </w:p>
    <w:p w14:paraId="67CF5F67">
      <w:pPr>
        <w:spacing w:before="0" w:beforeLines="0" w:after="0" w:afterLines="0" w:line="240" w:lineRule="auto"/>
        <w:ind w:left="0" w:leftChars="0" w:right="0" w:rightChars="0" w:firstLine="0" w:firstLineChars="0"/>
        <w:jc w:val="both"/>
        <w:rPr>
          <w:rFonts w:ascii="宋体" w:hAnsi="宋体" w:eastAsia="宋体" w:cs="Calibri"/>
          <w:kern w:val="2"/>
          <w:sz w:val="21"/>
          <w:szCs w:val="21"/>
          <w:lang w:val="en-US" w:eastAsia="zh-CN" w:bidi="ar-SA"/>
        </w:rPr>
      </w:pPr>
    </w:p>
    <w:p w14:paraId="29680BAB">
      <w:pPr>
        <w:spacing w:before="0" w:beforeLines="0" w:after="0" w:afterLines="0" w:line="240" w:lineRule="auto"/>
        <w:ind w:left="0" w:leftChars="0" w:right="0" w:rightChars="0" w:firstLine="0" w:firstLineChars="0"/>
        <w:jc w:val="both"/>
        <w:rPr>
          <w:rFonts w:ascii="宋体" w:hAnsi="宋体" w:eastAsia="宋体" w:cs="Calibri"/>
          <w:kern w:val="2"/>
          <w:sz w:val="21"/>
          <w:szCs w:val="21"/>
          <w:lang w:val="en-US" w:eastAsia="zh-CN" w:bidi="ar-SA"/>
        </w:rPr>
      </w:pPr>
    </w:p>
    <w:p w14:paraId="0B660AEC">
      <w:pPr>
        <w:spacing w:before="0" w:beforeLines="0" w:after="0" w:afterLines="0" w:line="240" w:lineRule="auto"/>
        <w:ind w:left="0" w:leftChars="0" w:right="0" w:rightChars="0" w:firstLine="0" w:firstLineChars="0"/>
        <w:jc w:val="both"/>
        <w:rPr>
          <w:rFonts w:ascii="宋体" w:hAnsi="宋体" w:eastAsia="宋体" w:cs="Calibri"/>
          <w:kern w:val="2"/>
          <w:sz w:val="21"/>
          <w:szCs w:val="21"/>
          <w:lang w:val="en-US" w:eastAsia="zh-CN" w:bidi="ar-SA"/>
        </w:rPr>
      </w:pPr>
    </w:p>
    <w:p w14:paraId="0C623AA3">
      <w:pPr>
        <w:spacing w:before="0" w:beforeLines="0" w:after="0" w:afterLines="0" w:line="240" w:lineRule="auto"/>
        <w:ind w:left="0" w:leftChars="0" w:right="0" w:rightChars="0" w:firstLine="0" w:firstLineChars="0"/>
        <w:jc w:val="center"/>
        <w:rPr>
          <w:rFonts w:ascii="宋体" w:hAnsi="宋体" w:eastAsia="宋体" w:cs="Calibri"/>
          <w:kern w:val="2"/>
          <w:sz w:val="21"/>
          <w:szCs w:val="21"/>
          <w:lang w:val="en-US" w:eastAsia="zh-CN" w:bidi="ar-SA"/>
        </w:rPr>
      </w:pPr>
    </w:p>
    <w:p w14:paraId="2212BF9E">
      <w:pPr>
        <w:spacing w:before="0" w:beforeLines="0" w:after="0" w:afterLines="0" w:line="240" w:lineRule="auto"/>
        <w:ind w:left="0" w:leftChars="0" w:right="0" w:rightChars="0" w:firstLine="0" w:firstLineChars="0"/>
        <w:jc w:val="center"/>
        <w:rPr>
          <w:rFonts w:ascii="黑体" w:hAnsi="黑体" w:eastAsia="黑体" w:cs="Times New Roman"/>
          <w:sz w:val="52"/>
          <w:szCs w:val="52"/>
        </w:rPr>
      </w:pPr>
      <w:r>
        <w:rPr>
          <w:rFonts w:hint="eastAsia" w:ascii="黑体" w:hAnsi="黑体" w:eastAsia="黑体" w:cs="黑体"/>
          <w:sz w:val="52"/>
          <w:szCs w:val="52"/>
        </w:rPr>
        <w:t>目</w:t>
      </w:r>
      <w:r>
        <w:rPr>
          <w:rFonts w:ascii="黑体" w:hAnsi="黑体" w:eastAsia="黑体" w:cs="黑体"/>
          <w:sz w:val="52"/>
          <w:szCs w:val="52"/>
        </w:rPr>
        <w:t xml:space="preserve"> </w:t>
      </w:r>
      <w:r>
        <w:rPr>
          <w:rFonts w:hint="eastAsia" w:ascii="黑体" w:hAnsi="黑体" w:eastAsia="黑体" w:cs="黑体"/>
          <w:sz w:val="52"/>
          <w:szCs w:val="52"/>
        </w:rPr>
        <w:t>录</w:t>
      </w:r>
    </w:p>
    <w:p w14:paraId="19586908">
      <w:pPr>
        <w:ind w:firstLine="3080" w:firstLineChars="700"/>
        <w:rPr>
          <w:rFonts w:ascii="黑体" w:hAnsi="黑体" w:eastAsia="黑体" w:cs="Times New Roman"/>
          <w:sz w:val="44"/>
          <w:szCs w:val="44"/>
        </w:rPr>
      </w:pPr>
    </w:p>
    <w:p w14:paraId="30FD666D">
      <w:pPr>
        <w:pStyle w:val="18"/>
        <w:numPr>
          <w:ilvl w:val="0"/>
          <w:numId w:val="2"/>
        </w:numPr>
        <w:ind w:firstLineChars="0"/>
        <w:rPr>
          <w:rFonts w:ascii="黑体" w:hAnsi="黑体" w:eastAsia="黑体" w:cs="Times New Roman"/>
          <w:sz w:val="32"/>
          <w:szCs w:val="32"/>
        </w:rPr>
      </w:pPr>
      <w:r>
        <w:rPr>
          <w:rFonts w:hint="eastAsia" w:ascii="黑体" w:hAnsi="黑体" w:eastAsia="黑体" w:cs="黑体"/>
          <w:sz w:val="32"/>
          <w:szCs w:val="32"/>
        </w:rPr>
        <w:t>基本职能及主要工作</w:t>
      </w:r>
    </w:p>
    <w:p w14:paraId="42751F10">
      <w:pPr>
        <w:rPr>
          <w:rFonts w:ascii="仿宋_GB2312" w:hAnsi="黑体" w:eastAsia="仿宋_GB2312" w:cs="Times New Roman"/>
          <w:sz w:val="32"/>
          <w:szCs w:val="32"/>
        </w:rPr>
      </w:pPr>
      <w:r>
        <w:rPr>
          <w:rFonts w:hint="eastAsia" w:ascii="仿宋_GB2312" w:hAnsi="黑体" w:eastAsia="仿宋_GB2312" w:cs="仿宋_GB2312"/>
          <w:sz w:val="32"/>
          <w:szCs w:val="32"/>
        </w:rPr>
        <w:t>（一）部门职能简介</w:t>
      </w:r>
    </w:p>
    <w:p w14:paraId="16BBA6CB">
      <w:pPr>
        <w:rPr>
          <w:rFonts w:ascii="仿宋_GB2312" w:hAnsi="黑体" w:eastAsia="仿宋_GB2312" w:cs="Times New Roman"/>
          <w:sz w:val="32"/>
          <w:szCs w:val="32"/>
        </w:rPr>
      </w:pPr>
      <w:r>
        <w:rPr>
          <w:rFonts w:hint="eastAsia" w:ascii="仿宋_GB2312" w:hAnsi="黑体" w:eastAsia="仿宋_GB2312" w:cs="仿宋_GB2312"/>
          <w:sz w:val="32"/>
          <w:szCs w:val="32"/>
        </w:rPr>
        <w:t>（二）</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lang w:eastAsia="zh-CN"/>
        </w:rPr>
        <w:t>年</w:t>
      </w:r>
      <w:r>
        <w:rPr>
          <w:rFonts w:hint="eastAsia" w:ascii="仿宋_GB2312" w:hAnsi="黑体" w:eastAsia="仿宋_GB2312" w:cs="仿宋_GB2312"/>
          <w:sz w:val="32"/>
          <w:szCs w:val="32"/>
        </w:rPr>
        <w:t>重点工作</w:t>
      </w:r>
    </w:p>
    <w:p w14:paraId="14D23F12">
      <w:pPr>
        <w:rPr>
          <w:rFonts w:ascii="黑体" w:hAnsi="黑体" w:eastAsia="黑体" w:cs="Times New Roman"/>
          <w:sz w:val="32"/>
          <w:szCs w:val="32"/>
        </w:rPr>
      </w:pPr>
      <w:r>
        <w:rPr>
          <w:rFonts w:hint="eastAsia" w:ascii="黑体" w:hAnsi="黑体" w:eastAsia="黑体" w:cs="黑体"/>
          <w:sz w:val="32"/>
          <w:szCs w:val="32"/>
        </w:rPr>
        <w:t>二、部门预算单位构成</w:t>
      </w:r>
    </w:p>
    <w:p w14:paraId="0C3C4954">
      <w:pPr>
        <w:rPr>
          <w:rFonts w:ascii="黑体" w:hAnsi="黑体" w:eastAsia="黑体" w:cs="Times New Roman"/>
          <w:sz w:val="32"/>
          <w:szCs w:val="32"/>
        </w:rPr>
      </w:pPr>
      <w:r>
        <w:rPr>
          <w:rFonts w:hint="eastAsia" w:ascii="黑体" w:hAnsi="黑体" w:eastAsia="黑体" w:cs="黑体"/>
          <w:sz w:val="32"/>
          <w:szCs w:val="32"/>
        </w:rPr>
        <w:t>三、收支预算情况说明</w:t>
      </w:r>
    </w:p>
    <w:p w14:paraId="3FDCC2FF">
      <w:pPr>
        <w:rPr>
          <w:rFonts w:ascii="仿宋_GB2312" w:hAnsi="黑体" w:eastAsia="仿宋_GB2312" w:cs="Times New Roman"/>
          <w:sz w:val="32"/>
          <w:szCs w:val="32"/>
        </w:rPr>
      </w:pPr>
      <w:r>
        <w:rPr>
          <w:rFonts w:hint="eastAsia" w:ascii="黑体" w:hAnsi="黑体" w:eastAsia="黑体" w:cs="黑体"/>
          <w:sz w:val="32"/>
          <w:szCs w:val="32"/>
        </w:rPr>
        <w:t>（</w:t>
      </w:r>
      <w:r>
        <w:rPr>
          <w:rFonts w:hint="eastAsia" w:ascii="仿宋_GB2312" w:hAnsi="黑体" w:eastAsia="仿宋_GB2312" w:cs="仿宋_GB2312"/>
          <w:sz w:val="32"/>
          <w:szCs w:val="32"/>
        </w:rPr>
        <w:t>一）收入预算情况</w:t>
      </w:r>
    </w:p>
    <w:p w14:paraId="2CA67A9A">
      <w:pPr>
        <w:rPr>
          <w:rFonts w:ascii="仿宋_GB2312" w:hAnsi="黑体" w:eastAsia="仿宋_GB2312" w:cs="Times New Roman"/>
          <w:sz w:val="32"/>
          <w:szCs w:val="32"/>
        </w:rPr>
      </w:pPr>
      <w:r>
        <w:rPr>
          <w:rFonts w:hint="eastAsia" w:ascii="仿宋_GB2312" w:hAnsi="黑体" w:eastAsia="仿宋_GB2312" w:cs="仿宋_GB2312"/>
          <w:sz w:val="32"/>
          <w:szCs w:val="32"/>
        </w:rPr>
        <w:t>（二）支出预算情况</w:t>
      </w:r>
    </w:p>
    <w:p w14:paraId="5703D0F2">
      <w:pPr>
        <w:rPr>
          <w:rFonts w:ascii="黑体" w:hAnsi="黑体" w:eastAsia="黑体" w:cs="Times New Roman"/>
          <w:sz w:val="32"/>
          <w:szCs w:val="32"/>
        </w:rPr>
      </w:pPr>
      <w:r>
        <w:rPr>
          <w:rFonts w:hint="eastAsia" w:ascii="黑体" w:hAnsi="黑体" w:eastAsia="黑体" w:cs="黑体"/>
          <w:sz w:val="32"/>
          <w:szCs w:val="32"/>
        </w:rPr>
        <w:t>四、财政拨款收支预算情况说明</w:t>
      </w:r>
    </w:p>
    <w:p w14:paraId="153FDFF9">
      <w:pPr>
        <w:rPr>
          <w:rFonts w:ascii="黑体" w:hAnsi="黑体" w:eastAsia="黑体" w:cs="Times New Roman"/>
          <w:sz w:val="32"/>
          <w:szCs w:val="32"/>
        </w:rPr>
      </w:pPr>
      <w:r>
        <w:rPr>
          <w:rFonts w:hint="eastAsia" w:ascii="黑体" w:hAnsi="黑体" w:eastAsia="黑体" w:cs="黑体"/>
          <w:sz w:val="32"/>
          <w:szCs w:val="32"/>
        </w:rPr>
        <w:t>五、一般公共预算当年拨款情况说明</w:t>
      </w:r>
    </w:p>
    <w:p w14:paraId="33E16966">
      <w:pPr>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rPr>
        <w:t>（一）一般公共预算当年拨款规模变化情况</w:t>
      </w:r>
    </w:p>
    <w:p w14:paraId="365893C7">
      <w:pPr>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rPr>
        <w:t>（二）一般公共预算当年拨款结构情况</w:t>
      </w:r>
    </w:p>
    <w:p w14:paraId="04DDC823">
      <w:pPr>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rPr>
        <w:t>（三）一般公共预算当年拨款具体使用情况</w:t>
      </w:r>
    </w:p>
    <w:p w14:paraId="28D60FAC">
      <w:pPr>
        <w:rPr>
          <w:rFonts w:hint="eastAsia" w:ascii="黑体" w:hAnsi="黑体" w:eastAsia="黑体" w:cs="黑体"/>
          <w:sz w:val="32"/>
          <w:szCs w:val="32"/>
          <w:lang w:eastAsia="zh-CN"/>
        </w:rPr>
      </w:pPr>
      <w:r>
        <w:rPr>
          <w:rFonts w:hint="eastAsia" w:ascii="黑体" w:hAnsi="黑体" w:eastAsia="黑体" w:cs="黑体"/>
          <w:sz w:val="32"/>
          <w:szCs w:val="32"/>
        </w:rPr>
        <w:t>六、一般公共预算基本支出情况说明</w:t>
      </w:r>
    </w:p>
    <w:p w14:paraId="18EB03D0">
      <w:pPr>
        <w:rPr>
          <w:rFonts w:hint="eastAsia" w:ascii="黑体" w:hAnsi="黑体" w:eastAsia="黑体" w:cs="黑体"/>
          <w:sz w:val="32"/>
          <w:szCs w:val="32"/>
          <w:lang w:eastAsia="zh-CN"/>
        </w:rPr>
      </w:pPr>
      <w:r>
        <w:rPr>
          <w:rFonts w:hint="eastAsia" w:ascii="黑体" w:hAnsi="黑体" w:eastAsia="黑体" w:cs="黑体"/>
          <w:sz w:val="32"/>
          <w:szCs w:val="32"/>
        </w:rPr>
        <w:t>七、“三公”经费财政拨款预算安排情况说明</w:t>
      </w:r>
    </w:p>
    <w:p w14:paraId="3A2BA456">
      <w:pPr>
        <w:rPr>
          <w:rFonts w:hint="eastAsia" w:ascii="黑体" w:hAnsi="黑体" w:eastAsia="黑体" w:cs="黑体"/>
          <w:sz w:val="32"/>
          <w:szCs w:val="32"/>
          <w:lang w:eastAsia="zh-CN"/>
        </w:rPr>
      </w:pPr>
      <w:r>
        <w:rPr>
          <w:rFonts w:hint="eastAsia" w:ascii="黑体" w:hAnsi="黑体" w:eastAsia="黑体" w:cs="黑体"/>
          <w:sz w:val="32"/>
          <w:szCs w:val="32"/>
        </w:rPr>
        <w:t>八、政府性基金预算支出情况说明</w:t>
      </w:r>
    </w:p>
    <w:p w14:paraId="15857818">
      <w:pPr>
        <w:rPr>
          <w:rFonts w:hint="eastAsia" w:ascii="黑体" w:hAnsi="黑体" w:eastAsia="黑体" w:cs="黑体"/>
          <w:sz w:val="32"/>
          <w:szCs w:val="32"/>
          <w:lang w:eastAsia="zh-CN"/>
        </w:rPr>
      </w:pPr>
      <w:r>
        <w:rPr>
          <w:rFonts w:hint="eastAsia" w:ascii="黑体" w:hAnsi="黑体" w:eastAsia="黑体" w:cs="黑体"/>
          <w:sz w:val="32"/>
          <w:szCs w:val="32"/>
        </w:rPr>
        <w:t>九、其他重要事项的情况说明</w:t>
      </w:r>
    </w:p>
    <w:p w14:paraId="1D6441B1">
      <w:pPr>
        <w:rPr>
          <w:rFonts w:ascii="黑体" w:hAnsi="黑体" w:eastAsia="黑体" w:cs="Times New Roman"/>
          <w:sz w:val="32"/>
          <w:szCs w:val="32"/>
        </w:rPr>
      </w:pPr>
      <w:r>
        <w:rPr>
          <w:rFonts w:hint="eastAsia" w:ascii="黑体" w:hAnsi="黑体" w:eastAsia="黑体" w:cs="黑体"/>
          <w:sz w:val="32"/>
          <w:szCs w:val="32"/>
        </w:rPr>
        <w:t>十、名称解释</w:t>
      </w:r>
    </w:p>
    <w:p w14:paraId="35CD7548">
      <w:pPr>
        <w:rPr>
          <w:rFonts w:ascii="黑体" w:hAnsi="黑体" w:eastAsia="黑体" w:cs="Times New Roman"/>
          <w:sz w:val="44"/>
          <w:szCs w:val="44"/>
        </w:rPr>
      </w:pPr>
    </w:p>
    <w:p w14:paraId="51AEFFFB">
      <w:pPr>
        <w:pStyle w:val="3"/>
        <w:rPr>
          <w:rFonts w:ascii="黑体" w:hAnsi="黑体" w:eastAsia="黑体" w:cs="Times New Roman"/>
          <w:sz w:val="44"/>
          <w:szCs w:val="44"/>
        </w:rPr>
      </w:pPr>
    </w:p>
    <w:p w14:paraId="28D481FE">
      <w:pPr>
        <w:pStyle w:val="3"/>
        <w:ind w:left="0" w:leftChars="0" w:firstLine="0" w:firstLineChars="0"/>
        <w:rPr>
          <w:rFonts w:ascii="黑体" w:hAnsi="黑体" w:eastAsia="黑体" w:cs="Times New Roman"/>
          <w:sz w:val="44"/>
          <w:szCs w:val="44"/>
        </w:rPr>
      </w:pPr>
    </w:p>
    <w:p w14:paraId="61765312"/>
    <w:p w14:paraId="4824DF29">
      <w:pPr>
        <w:pStyle w:val="21"/>
        <w:numPr>
          <w:ilvl w:val="0"/>
          <w:numId w:val="3"/>
        </w:numPr>
        <w:spacing w:before="0" w:line="240" w:lineRule="auto"/>
        <w:ind w:firstLine="0" w:firstLineChars="0"/>
        <w:outlineLvl w:val="0"/>
        <w:rPr>
          <w:rFonts w:hint="eastAsia" w:ascii="楷体_GB2312" w:hAnsi="黑体" w:eastAsia="楷体_GB2312" w:cs="楷体_GB2312"/>
          <w:b/>
          <w:bCs/>
          <w:kern w:val="2"/>
          <w:sz w:val="32"/>
          <w:szCs w:val="32"/>
        </w:rPr>
      </w:pPr>
      <w:bookmarkStart w:id="0" w:name="_Toc9056"/>
      <w:bookmarkStart w:id="1" w:name="_Toc12374_WPSOffice_Level1"/>
      <w:r>
        <w:rPr>
          <w:rFonts w:hint="eastAsia" w:ascii="黑体" w:hAnsi="黑体" w:eastAsia="黑体" w:cs="黑体"/>
          <w:kern w:val="2"/>
          <w:sz w:val="32"/>
          <w:szCs w:val="32"/>
        </w:rPr>
        <w:t>基本职能及主要工作</w:t>
      </w:r>
      <w:bookmarkEnd w:id="0"/>
      <w:bookmarkEnd w:id="1"/>
    </w:p>
    <w:p w14:paraId="40DED125">
      <w:pPr>
        <w:pStyle w:val="21"/>
        <w:numPr>
          <w:ilvl w:val="0"/>
          <w:numId w:val="0"/>
        </w:numPr>
        <w:spacing w:before="0" w:line="360" w:lineRule="auto"/>
        <w:outlineLvl w:val="1"/>
        <w:rPr>
          <w:rFonts w:hint="eastAsia" w:ascii="楷体_GB2312" w:hAnsi="黑体" w:eastAsia="楷体_GB2312" w:cs="楷体_GB2312"/>
          <w:b/>
          <w:bCs/>
          <w:kern w:val="2"/>
          <w:sz w:val="32"/>
          <w:szCs w:val="32"/>
        </w:rPr>
      </w:pPr>
      <w:r>
        <w:rPr>
          <w:rFonts w:ascii="??" w:hAnsi="??" w:eastAsia="宋体" w:cs="??"/>
          <w:sz w:val="16"/>
          <w:szCs w:val="16"/>
        </w:rPr>
        <w:t xml:space="preserve"> </w:t>
      </w:r>
      <w:bookmarkStart w:id="2" w:name="_Toc22946_WPSOffice_Level1"/>
      <w:bookmarkStart w:id="3" w:name="_Toc26861"/>
      <w:r>
        <w:rPr>
          <w:rFonts w:hint="eastAsia" w:ascii="楷体_GB2312" w:hAnsi="黑体" w:eastAsia="楷体_GB2312" w:cs="楷体_GB2312"/>
          <w:b/>
          <w:bCs/>
          <w:kern w:val="2"/>
          <w:sz w:val="32"/>
          <w:szCs w:val="32"/>
        </w:rPr>
        <w:t>（一）壤塘县科学技术协会职能简介</w:t>
      </w:r>
      <w:bookmarkEnd w:id="2"/>
      <w:bookmarkEnd w:id="3"/>
    </w:p>
    <w:p w14:paraId="4E697030">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outlineLvl w:val="9"/>
        <w:rPr>
          <w:rFonts w:ascii="仿宋_GB2312" w:hAnsi="黑体" w:eastAsia="仿宋_GB2312" w:cs="仿宋_GB2312"/>
          <w:sz w:val="32"/>
          <w:szCs w:val="32"/>
        </w:rPr>
      </w:pPr>
      <w:r>
        <w:rPr>
          <w:rFonts w:hint="eastAsia" w:ascii="仿宋_GB2312" w:hAnsi="黑体" w:eastAsia="仿宋_GB2312" w:cs="仿宋_GB2312"/>
          <w:sz w:val="32"/>
          <w:szCs w:val="32"/>
        </w:rPr>
        <w:t>县科协是全县学会（协会）和乡镇科协、企业、学校科协组成的科技工作者的群众组织，是中共壤塘县委领导下的人民团体，是党委和政府联系科技工作者的纽带和发展科学技术事业的助手，其职能是： </w:t>
      </w:r>
    </w:p>
    <w:p w14:paraId="4189AC7E">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1.开展学术交流、活跃学术思想，促进学科发展，推动决策科学化和民主化。 </w:t>
      </w:r>
    </w:p>
    <w:p w14:paraId="61DC078F">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2.普及科学知识，推广先进技术，促进科技成果向现实生产力转化。 </w:t>
      </w:r>
    </w:p>
    <w:p w14:paraId="10143ACC">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3.为科技、经济、社会协调发展献计献策，进行决策咨询和技术服务，兴办科技经济实体。 </w:t>
      </w:r>
    </w:p>
    <w:p w14:paraId="67EBFF48">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4.反映科技工作者的呼声和要求，保护科技工作者的合法权益。 </w:t>
      </w:r>
    </w:p>
    <w:p w14:paraId="234B9A50">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5.开展继续教育，技术培训，农村科普和青少年科技教育活动。 </w:t>
      </w:r>
    </w:p>
    <w:p w14:paraId="3135E7DE">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6.参与地方性科技政策，法规及科技计划、规划的制定。 </w:t>
      </w:r>
    </w:p>
    <w:p w14:paraId="194FE4B7">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7.加强对县级学（协）会及农村专业技术团队的业务指导。 </w:t>
      </w:r>
    </w:p>
    <w:p w14:paraId="589A3091">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8.编辑学术刊</w:t>
      </w:r>
      <w:r>
        <w:rPr>
          <w:rFonts w:hint="eastAsia" w:ascii="仿宋_GB2312" w:hAnsi="黑体" w:eastAsia="仿宋_GB2312" w:cs="仿宋_GB2312"/>
          <w:b w:val="0"/>
          <w:bCs w:val="0"/>
          <w:sz w:val="32"/>
          <w:szCs w:val="32"/>
        </w:rPr>
        <w:t>物和科普读物，为科技团体和</w:t>
      </w:r>
      <w:r>
        <w:rPr>
          <w:rFonts w:hint="eastAsia" w:ascii="仿宋_GB2312" w:hAnsi="黑体" w:eastAsia="仿宋_GB2312" w:cs="仿宋_GB2312"/>
          <w:sz w:val="32"/>
          <w:szCs w:val="32"/>
        </w:rPr>
        <w:t>科技工作者服务。 </w:t>
      </w:r>
    </w:p>
    <w:p w14:paraId="7CB98EE1">
      <w:pPr>
        <w:pStyle w:val="21"/>
        <w:spacing w:before="0" w:line="360" w:lineRule="auto"/>
        <w:ind w:firstLine="630" w:firstLineChars="196"/>
        <w:outlineLvl w:val="1"/>
        <w:rPr>
          <w:rFonts w:ascii="楷体_GB2312" w:hAnsi="黑体" w:eastAsia="楷体_GB2312" w:cs="楷体_GB2312"/>
          <w:b/>
          <w:bCs/>
          <w:color w:val="auto"/>
          <w:kern w:val="2"/>
          <w:sz w:val="32"/>
          <w:szCs w:val="32"/>
        </w:rPr>
      </w:pPr>
      <w:bookmarkStart w:id="4" w:name="_Toc16204"/>
      <w:bookmarkStart w:id="5" w:name="_Toc30073_WPSOffice_Level1"/>
      <w:r>
        <w:rPr>
          <w:rFonts w:hint="eastAsia" w:ascii="楷体_GB2312" w:hAnsi="黑体" w:eastAsia="楷体_GB2312" w:cs="楷体_GB2312"/>
          <w:b/>
          <w:bCs/>
          <w:color w:val="auto"/>
          <w:kern w:val="2"/>
          <w:sz w:val="32"/>
          <w:szCs w:val="32"/>
        </w:rPr>
        <w:t>（二）壤塘县科学技术协会</w:t>
      </w:r>
      <w:r>
        <w:rPr>
          <w:rFonts w:hint="eastAsia" w:ascii="楷体_GB2312" w:hAnsi="黑体" w:eastAsia="楷体_GB2312" w:cs="楷体_GB2312"/>
          <w:b/>
          <w:bCs/>
          <w:color w:val="auto"/>
          <w:kern w:val="2"/>
          <w:sz w:val="32"/>
          <w:szCs w:val="32"/>
          <w:lang w:eastAsia="zh-CN"/>
        </w:rPr>
        <w:t>202</w:t>
      </w:r>
      <w:r>
        <w:rPr>
          <w:rFonts w:hint="eastAsia" w:ascii="楷体_GB2312" w:hAnsi="黑体" w:eastAsia="楷体_GB2312" w:cs="楷体_GB2312"/>
          <w:b/>
          <w:bCs/>
          <w:color w:val="auto"/>
          <w:kern w:val="2"/>
          <w:sz w:val="32"/>
          <w:szCs w:val="32"/>
          <w:lang w:val="en-US" w:eastAsia="zh-CN"/>
        </w:rPr>
        <w:t>6</w:t>
      </w:r>
      <w:r>
        <w:rPr>
          <w:rFonts w:hint="eastAsia" w:ascii="楷体_GB2312" w:hAnsi="黑体" w:eastAsia="楷体_GB2312" w:cs="楷体_GB2312"/>
          <w:b/>
          <w:bCs/>
          <w:color w:val="auto"/>
          <w:kern w:val="2"/>
          <w:sz w:val="32"/>
          <w:szCs w:val="32"/>
          <w:lang w:eastAsia="zh-CN"/>
        </w:rPr>
        <w:t>年</w:t>
      </w:r>
      <w:r>
        <w:rPr>
          <w:rFonts w:hint="eastAsia" w:ascii="楷体_GB2312" w:hAnsi="黑体" w:eastAsia="楷体_GB2312" w:cs="楷体_GB2312"/>
          <w:b/>
          <w:bCs/>
          <w:color w:val="auto"/>
          <w:kern w:val="2"/>
          <w:sz w:val="32"/>
          <w:szCs w:val="32"/>
        </w:rPr>
        <w:t>重点工作</w:t>
      </w:r>
      <w:bookmarkEnd w:id="4"/>
      <w:bookmarkEnd w:id="5"/>
    </w:p>
    <w:p w14:paraId="538F3AC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方正仿宋_GB2312" w:cs="Times New Roman"/>
          <w:b w:val="0"/>
          <w:bCs w:val="0"/>
          <w:kern w:val="2"/>
          <w:sz w:val="32"/>
          <w:szCs w:val="32"/>
          <w:lang w:val="en-US" w:eastAsia="zh-CN" w:bidi="ar-SA"/>
        </w:rPr>
      </w:pPr>
      <w:bookmarkStart w:id="6" w:name="_Toc16251_WPSOffice_Level1"/>
      <w:bookmarkStart w:id="7" w:name="_Toc8328"/>
      <w:r>
        <w:rPr>
          <w:rFonts w:hint="default" w:ascii="Times New Roman" w:hAnsi="Times New Roman" w:eastAsia="方正仿宋_GB2312" w:cs="Times New Roman"/>
          <w:b w:val="0"/>
          <w:bCs w:val="0"/>
          <w:kern w:val="2"/>
          <w:sz w:val="32"/>
          <w:szCs w:val="32"/>
          <w:lang w:val="en-US" w:eastAsia="zh-CN" w:bidi="ar-SA"/>
        </w:rPr>
        <w:t>助力产业转型升级。积极对接州科协的托底性帮扶资源，推动农特产品新技术的示范与推广，开展产业发展科技咨询服务，协助解决菌种优化、病虫害防治等产业痛点问题，推动“输血式帮扶”向“造血式赋能”的深度转变。</w:t>
      </w:r>
    </w:p>
    <w:p w14:paraId="2934259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方正仿宋_GB2312" w:cs="Times New Roman"/>
          <w:sz w:val="32"/>
          <w:szCs w:val="32"/>
          <w:lang w:eastAsia="zh-CN"/>
        </w:rPr>
      </w:pPr>
      <w:bookmarkStart w:id="42" w:name="_GoBack"/>
      <w:bookmarkEnd w:id="42"/>
      <w:r>
        <w:rPr>
          <w:rFonts w:hint="default" w:ascii="Times New Roman" w:hAnsi="Times New Roman" w:eastAsia="方正仿宋_GB2312" w:cs="Times New Roman"/>
          <w:b w:val="0"/>
          <w:bCs w:val="0"/>
          <w:kern w:val="2"/>
          <w:sz w:val="32"/>
          <w:szCs w:val="32"/>
          <w:lang w:val="en-US" w:eastAsia="zh-CN" w:bidi="ar-SA"/>
        </w:rPr>
        <w:t>开展精准科普七大行动。针对青少年、农牧民、企业职工、军人等不同群体，举办“科普进校园、进农村、进企业、进社区、进军营”等活动共12场，定制</w:t>
      </w:r>
      <w:r>
        <w:rPr>
          <w:rFonts w:hint="default" w:ascii="Times New Roman" w:hAnsi="Times New Roman" w:eastAsia="方正仿宋_GB2312" w:cs="Times New Roman"/>
          <w:b w:val="0"/>
          <w:bCs w:val="0"/>
          <w:kern w:val="2"/>
          <w:sz w:val="32"/>
          <w:szCs w:val="32"/>
          <w:lang w:val="en-US" w:eastAsia="zh-CN" w:bidi="bo-CN"/>
        </w:rPr>
        <w:t>10余种通俗易懂、引人入胜的双语科普知识手册。手册内容围绕“黑青稞种植”“龟背菇种植”等当地农牧产业实用技术，为确保其可读性和实用性，采用汉藏双语对照形式，语言简洁明了、图文并茂，通过步骤图解等方法，使群众能够轻松理解和掌握相关知识。</w:t>
      </w:r>
    </w:p>
    <w:p w14:paraId="19BBDBB7">
      <w:pPr>
        <w:pStyle w:val="21"/>
        <w:spacing w:before="0" w:line="360" w:lineRule="auto"/>
        <w:ind w:firstLine="627" w:firstLineChars="196"/>
        <w:outlineLvl w:val="0"/>
        <w:rPr>
          <w:rFonts w:hint="eastAsia" w:ascii="黑体" w:hAnsi="黑体" w:eastAsia="黑体" w:cs="黑体"/>
          <w:kern w:val="2"/>
          <w:sz w:val="32"/>
          <w:szCs w:val="32"/>
        </w:rPr>
      </w:pPr>
      <w:r>
        <w:rPr>
          <w:rFonts w:hint="eastAsia" w:ascii="黑体" w:hAnsi="黑体" w:eastAsia="黑体" w:cs="黑体"/>
          <w:kern w:val="2"/>
          <w:sz w:val="32"/>
          <w:szCs w:val="32"/>
        </w:rPr>
        <w:t>二、部门预算单位构成</w:t>
      </w:r>
      <w:bookmarkEnd w:id="6"/>
      <w:bookmarkEnd w:id="7"/>
    </w:p>
    <w:p w14:paraId="6B6D0298">
      <w:pPr>
        <w:pStyle w:val="21"/>
        <w:spacing w:before="0" w:line="360" w:lineRule="auto"/>
        <w:ind w:firstLine="627" w:firstLineChars="196"/>
        <w:outlineLvl w:val="9"/>
        <w:rPr>
          <w:rFonts w:hint="eastAsia" w:hAnsi="黑体" w:cs="Times New Roman"/>
          <w:kern w:val="2"/>
          <w:sz w:val="32"/>
          <w:szCs w:val="32"/>
        </w:rPr>
      </w:pPr>
      <w:r>
        <w:rPr>
          <w:rFonts w:hAnsi="黑体"/>
          <w:kern w:val="2"/>
          <w:sz w:val="32"/>
          <w:szCs w:val="32"/>
        </w:rPr>
        <w:t xml:space="preserve"> </w:t>
      </w:r>
      <w:r>
        <w:rPr>
          <w:rFonts w:hint="eastAsia" w:hAnsi="黑体"/>
          <w:kern w:val="2"/>
          <w:sz w:val="32"/>
          <w:szCs w:val="32"/>
        </w:rPr>
        <w:t>壤塘县科学技术协会属一级预算单位，下属预算单位0个。</w:t>
      </w:r>
    </w:p>
    <w:p w14:paraId="46F8FA20">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outlineLvl w:val="0"/>
        <w:rPr>
          <w:rFonts w:hint="eastAsia" w:ascii="黑体" w:hAnsi="黑体" w:eastAsia="黑体" w:cs="黑体"/>
          <w:kern w:val="2"/>
          <w:sz w:val="32"/>
          <w:szCs w:val="32"/>
        </w:rPr>
      </w:pPr>
      <w:bookmarkStart w:id="8" w:name="_Toc889"/>
      <w:bookmarkStart w:id="9" w:name="_Toc21275_WPSOffice_Level1"/>
      <w:r>
        <w:rPr>
          <w:rFonts w:hint="eastAsia" w:ascii="黑体" w:hAnsi="黑体" w:eastAsia="黑体" w:cs="黑体"/>
          <w:kern w:val="2"/>
          <w:sz w:val="32"/>
          <w:szCs w:val="32"/>
          <w:lang w:val="en-US" w:eastAsia="zh-CN"/>
        </w:rPr>
        <w:t>三、</w:t>
      </w:r>
      <w:r>
        <w:rPr>
          <w:rFonts w:hint="eastAsia" w:ascii="黑体" w:hAnsi="黑体" w:eastAsia="黑体" w:cs="黑体"/>
          <w:kern w:val="2"/>
          <w:sz w:val="32"/>
          <w:szCs w:val="32"/>
        </w:rPr>
        <w:t>收支预算情况说明</w:t>
      </w:r>
      <w:bookmarkEnd w:id="8"/>
      <w:bookmarkEnd w:id="9"/>
    </w:p>
    <w:p w14:paraId="6341E5AB">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640" w:firstLineChars="200"/>
        <w:textAlignment w:val="auto"/>
        <w:outlineLvl w:val="9"/>
        <w:rPr>
          <w:rFonts w:hint="eastAsia" w:hAnsi="黑体"/>
          <w:kern w:val="2"/>
          <w:sz w:val="32"/>
          <w:szCs w:val="32"/>
        </w:rPr>
      </w:pPr>
      <w:r>
        <w:rPr>
          <w:rFonts w:hint="eastAsia" w:hAnsi="黑体"/>
          <w:kern w:val="2"/>
          <w:sz w:val="32"/>
          <w:szCs w:val="32"/>
        </w:rPr>
        <w:t>按照综合预算的原则，壤塘县科学技术协会所有收入和支出均纳入部门预算管理。收入包括：一般公共预算拨款收入</w:t>
      </w:r>
      <w:r>
        <w:rPr>
          <w:rFonts w:hint="eastAsia" w:hAnsi="黑体" w:cs="Times New Roman"/>
          <w:kern w:val="2"/>
          <w:sz w:val="32"/>
          <w:szCs w:val="32"/>
          <w:lang w:val="en-US" w:eastAsia="zh-CN"/>
        </w:rPr>
        <w:t>136.27</w:t>
      </w:r>
      <w:r>
        <w:rPr>
          <w:rFonts w:hint="eastAsia" w:hAnsi="黑体" w:cs="Times New Roman"/>
          <w:kern w:val="2"/>
          <w:sz w:val="32"/>
          <w:szCs w:val="32"/>
          <w:lang w:eastAsia="zh-CN"/>
        </w:rPr>
        <w:t>万</w:t>
      </w:r>
      <w:r>
        <w:rPr>
          <w:rFonts w:hint="eastAsia" w:hAnsi="黑体"/>
          <w:kern w:val="2"/>
          <w:sz w:val="32"/>
          <w:szCs w:val="32"/>
        </w:rPr>
        <w:t>元；支出包括：一般公共服务支出</w:t>
      </w:r>
      <w:r>
        <w:rPr>
          <w:rFonts w:hint="eastAsia" w:hAnsi="黑体"/>
          <w:kern w:val="2"/>
          <w:sz w:val="32"/>
          <w:szCs w:val="32"/>
          <w:lang w:val="en-US" w:eastAsia="zh-CN"/>
        </w:rPr>
        <w:t>89.28</w:t>
      </w:r>
      <w:r>
        <w:rPr>
          <w:rFonts w:hint="eastAsia" w:hAnsi="黑体"/>
          <w:kern w:val="2"/>
          <w:sz w:val="32"/>
          <w:szCs w:val="32"/>
        </w:rPr>
        <w:t>万元，科学技术支出</w:t>
      </w:r>
      <w:r>
        <w:rPr>
          <w:rFonts w:hint="eastAsia" w:hAnsi="黑体"/>
          <w:kern w:val="2"/>
          <w:sz w:val="32"/>
          <w:szCs w:val="32"/>
          <w:lang w:val="en-US" w:eastAsia="zh-CN"/>
        </w:rPr>
        <w:t>9.2万元；</w:t>
      </w:r>
      <w:r>
        <w:rPr>
          <w:rFonts w:hint="eastAsia" w:hAnsi="黑体"/>
          <w:kern w:val="2"/>
          <w:sz w:val="32"/>
          <w:szCs w:val="32"/>
        </w:rPr>
        <w:t>社会保障和就业支出</w:t>
      </w:r>
      <w:r>
        <w:rPr>
          <w:rFonts w:hint="eastAsia" w:hAnsi="黑体" w:cs="Times New Roman"/>
          <w:kern w:val="2"/>
          <w:sz w:val="32"/>
          <w:szCs w:val="32"/>
          <w:lang w:val="en-US" w:eastAsia="zh-CN"/>
        </w:rPr>
        <w:t>20.13</w:t>
      </w:r>
      <w:r>
        <w:rPr>
          <w:rFonts w:hint="eastAsia" w:hAnsi="黑体"/>
          <w:kern w:val="2"/>
          <w:sz w:val="32"/>
          <w:szCs w:val="32"/>
        </w:rPr>
        <w:t>万元，卫生健康支出</w:t>
      </w:r>
      <w:r>
        <w:rPr>
          <w:rFonts w:hint="eastAsia" w:hAnsi="黑体" w:cs="Times New Roman"/>
          <w:kern w:val="2"/>
          <w:sz w:val="32"/>
          <w:szCs w:val="32"/>
          <w:lang w:val="en-US" w:eastAsia="zh-CN"/>
        </w:rPr>
        <w:t>4.6</w:t>
      </w:r>
      <w:r>
        <w:rPr>
          <w:rFonts w:hint="eastAsia" w:hAnsi="黑体"/>
          <w:kern w:val="2"/>
          <w:sz w:val="32"/>
          <w:szCs w:val="32"/>
        </w:rPr>
        <w:t>万元，住房保障支出</w:t>
      </w:r>
      <w:r>
        <w:rPr>
          <w:rFonts w:hint="eastAsia" w:hAnsi="黑体" w:cs="Times New Roman"/>
          <w:kern w:val="2"/>
          <w:sz w:val="32"/>
          <w:szCs w:val="32"/>
          <w:lang w:val="en-US" w:eastAsia="zh-CN"/>
        </w:rPr>
        <w:t>10.06</w:t>
      </w:r>
      <w:r>
        <w:rPr>
          <w:rFonts w:hint="eastAsia" w:hAnsi="黑体"/>
          <w:kern w:val="2"/>
          <w:sz w:val="32"/>
          <w:szCs w:val="32"/>
        </w:rPr>
        <w:t>万元。壤塘县科学技术协会</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收支总预算</w:t>
      </w:r>
      <w:r>
        <w:rPr>
          <w:rFonts w:hint="eastAsia" w:hAnsi="黑体" w:cs="Times New Roman"/>
          <w:kern w:val="2"/>
          <w:sz w:val="32"/>
          <w:szCs w:val="32"/>
          <w:lang w:val="en-US" w:eastAsia="zh-CN"/>
        </w:rPr>
        <w:t>136.27万</w:t>
      </w:r>
      <w:r>
        <w:rPr>
          <w:rFonts w:hint="eastAsia" w:hAnsi="黑体"/>
          <w:kern w:val="2"/>
          <w:sz w:val="32"/>
          <w:szCs w:val="32"/>
        </w:rPr>
        <w:t>元</w:t>
      </w:r>
      <w:r>
        <w:rPr>
          <w:rFonts w:hint="eastAsia" w:hAnsi="黑体"/>
          <w:kern w:val="2"/>
          <w:sz w:val="32"/>
          <w:szCs w:val="32"/>
          <w:lang w:eastAsia="zh-CN"/>
        </w:rPr>
        <w:t>，</w:t>
      </w:r>
      <w:r>
        <w:rPr>
          <w:rFonts w:hint="eastAsia" w:hAnsi="黑体"/>
          <w:kern w:val="2"/>
          <w:sz w:val="32"/>
          <w:szCs w:val="32"/>
        </w:rPr>
        <w:t>比</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收支预算总数</w:t>
      </w:r>
      <w:r>
        <w:rPr>
          <w:rFonts w:hint="eastAsia" w:hAnsi="黑体"/>
          <w:kern w:val="2"/>
          <w:sz w:val="32"/>
          <w:szCs w:val="32"/>
          <w:lang w:eastAsia="zh-CN"/>
        </w:rPr>
        <w:t>增加</w:t>
      </w:r>
      <w:r>
        <w:rPr>
          <w:rFonts w:hint="eastAsia" w:hAnsi="黑体"/>
          <w:kern w:val="2"/>
          <w:sz w:val="32"/>
          <w:szCs w:val="32"/>
          <w:lang w:val="en-US" w:eastAsia="zh-CN"/>
        </w:rPr>
        <w:t>27.97</w:t>
      </w:r>
      <w:r>
        <w:rPr>
          <w:rFonts w:hint="eastAsia" w:hAnsi="黑体"/>
          <w:kern w:val="2"/>
          <w:sz w:val="32"/>
          <w:szCs w:val="32"/>
        </w:rPr>
        <w:t>万元，主要</w:t>
      </w:r>
      <w:r>
        <w:rPr>
          <w:rFonts w:hint="eastAsia" w:hAnsi="黑体"/>
          <w:kern w:val="2"/>
          <w:sz w:val="32"/>
          <w:szCs w:val="32"/>
          <w:lang w:val="en-US" w:eastAsia="zh-CN"/>
        </w:rPr>
        <w:t>原</w:t>
      </w:r>
      <w:r>
        <w:rPr>
          <w:rFonts w:hint="eastAsia" w:hAnsi="黑体"/>
          <w:kern w:val="2"/>
          <w:sz w:val="32"/>
          <w:szCs w:val="32"/>
        </w:rPr>
        <w:t>因</w:t>
      </w:r>
      <w:r>
        <w:rPr>
          <w:rFonts w:hint="eastAsia" w:hAnsi="黑体"/>
          <w:kern w:val="2"/>
          <w:sz w:val="32"/>
          <w:szCs w:val="32"/>
          <w:lang w:eastAsia="zh-CN"/>
        </w:rPr>
        <w:t>：</w:t>
      </w:r>
      <w:r>
        <w:rPr>
          <w:rFonts w:hint="eastAsia" w:hAnsi="黑体"/>
          <w:kern w:val="2"/>
          <w:sz w:val="32"/>
          <w:szCs w:val="32"/>
          <w:lang w:val="en-US" w:eastAsia="zh-CN"/>
        </w:rPr>
        <w:t>人员增加，经费增加</w:t>
      </w:r>
      <w:r>
        <w:rPr>
          <w:rFonts w:hint="eastAsia" w:hAnsi="黑体"/>
          <w:kern w:val="2"/>
          <w:sz w:val="32"/>
          <w:szCs w:val="32"/>
        </w:rPr>
        <w:t>。</w:t>
      </w:r>
    </w:p>
    <w:p w14:paraId="547BE00B">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3" w:firstLineChars="200"/>
        <w:textAlignment w:val="auto"/>
        <w:outlineLvl w:val="1"/>
        <w:rPr>
          <w:rFonts w:hint="eastAsia" w:ascii="楷体_GB2312" w:hAnsi="黑体" w:eastAsia="楷体_GB2312" w:cs="楷体_GB2312"/>
          <w:b/>
          <w:bCs/>
          <w:kern w:val="2"/>
          <w:sz w:val="32"/>
          <w:szCs w:val="32"/>
        </w:rPr>
      </w:pPr>
      <w:bookmarkStart w:id="10" w:name="_Toc7699_WPSOffice_Level1"/>
      <w:bookmarkStart w:id="11" w:name="_Toc27562"/>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一）</w:t>
      </w:r>
      <w:r>
        <w:rPr>
          <w:rFonts w:hint="eastAsia" w:ascii="楷体_GB2312" w:hAnsi="黑体" w:eastAsia="楷体_GB2312" w:cs="楷体_GB2312"/>
          <w:b/>
          <w:bCs/>
          <w:kern w:val="2"/>
          <w:sz w:val="32"/>
          <w:szCs w:val="32"/>
        </w:rPr>
        <w:t>收入预算情况</w:t>
      </w:r>
      <w:bookmarkEnd w:id="10"/>
      <w:bookmarkEnd w:id="11"/>
    </w:p>
    <w:p w14:paraId="26AB5EB0">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outlineLvl w:val="9"/>
        <w:rPr>
          <w:rFonts w:hAnsi="黑体" w:cs="Times New Roman"/>
          <w:kern w:val="2"/>
          <w:sz w:val="32"/>
          <w:szCs w:val="32"/>
        </w:rPr>
      </w:pPr>
      <w:r>
        <w:rPr>
          <w:rFonts w:hint="eastAsia" w:hAnsi="黑体"/>
          <w:kern w:val="2"/>
          <w:sz w:val="32"/>
          <w:szCs w:val="32"/>
        </w:rPr>
        <w:t>壤塘县科学技术协会</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收入预算</w:t>
      </w:r>
      <w:r>
        <w:rPr>
          <w:rFonts w:hint="eastAsia" w:hAnsi="黑体" w:cs="Times New Roman"/>
          <w:kern w:val="2"/>
          <w:sz w:val="32"/>
          <w:szCs w:val="32"/>
          <w:lang w:val="en-US" w:eastAsia="zh-CN"/>
        </w:rPr>
        <w:t>136.27万</w:t>
      </w:r>
      <w:r>
        <w:rPr>
          <w:rFonts w:hint="eastAsia" w:hAnsi="黑体"/>
          <w:kern w:val="2"/>
          <w:sz w:val="32"/>
          <w:szCs w:val="32"/>
        </w:rPr>
        <w:t>元；一般公共预算拨款收入</w:t>
      </w:r>
      <w:r>
        <w:rPr>
          <w:rFonts w:hint="eastAsia" w:hAnsi="黑体" w:cs="Times New Roman"/>
          <w:kern w:val="2"/>
          <w:sz w:val="32"/>
          <w:szCs w:val="32"/>
          <w:lang w:val="en-US" w:eastAsia="zh-CN"/>
        </w:rPr>
        <w:t>136.27万</w:t>
      </w:r>
      <w:r>
        <w:rPr>
          <w:rFonts w:hint="eastAsia" w:hAnsi="黑体"/>
          <w:kern w:val="2"/>
          <w:sz w:val="32"/>
          <w:szCs w:val="32"/>
        </w:rPr>
        <w:t>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w:t>
      </w:r>
    </w:p>
    <w:p w14:paraId="4FDA2027">
      <w:pPr>
        <w:pStyle w:val="21"/>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firstLine="643" w:firstLineChars="200"/>
        <w:textAlignment w:val="auto"/>
        <w:outlineLvl w:val="1"/>
        <w:rPr>
          <w:rFonts w:hint="eastAsia" w:ascii="楷体_GB2312" w:hAnsi="黑体" w:eastAsia="楷体_GB2312" w:cs="楷体_GB2312"/>
          <w:b/>
          <w:bCs/>
          <w:kern w:val="2"/>
          <w:sz w:val="32"/>
          <w:szCs w:val="32"/>
        </w:rPr>
      </w:pPr>
      <w:bookmarkStart w:id="12" w:name="_Toc20798"/>
      <w:bookmarkStart w:id="13" w:name="_Toc24646_WPSOffice_Level1"/>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二）</w:t>
      </w:r>
      <w:r>
        <w:rPr>
          <w:rFonts w:hint="eastAsia" w:ascii="楷体_GB2312" w:hAnsi="黑体" w:eastAsia="楷体_GB2312" w:cs="楷体_GB2312"/>
          <w:b/>
          <w:bCs/>
          <w:kern w:val="2"/>
          <w:sz w:val="32"/>
          <w:szCs w:val="32"/>
        </w:rPr>
        <w:t>支出预算情况</w:t>
      </w:r>
      <w:bookmarkEnd w:id="12"/>
      <w:bookmarkEnd w:id="13"/>
    </w:p>
    <w:p w14:paraId="370DF83A">
      <w:pPr>
        <w:pStyle w:val="21"/>
        <w:spacing w:before="0" w:line="360" w:lineRule="auto"/>
        <w:ind w:firstLine="627" w:firstLineChars="196"/>
        <w:rPr>
          <w:rFonts w:hAnsi="黑体" w:cs="Times New Roman"/>
          <w:kern w:val="2"/>
          <w:sz w:val="32"/>
          <w:szCs w:val="32"/>
        </w:rPr>
      </w:pPr>
      <w:r>
        <w:rPr>
          <w:rFonts w:hint="eastAsia" w:hAnsi="黑体"/>
          <w:kern w:val="2"/>
          <w:sz w:val="32"/>
          <w:szCs w:val="32"/>
        </w:rPr>
        <w:t>壤塘县科学技术协会</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支出预算</w:t>
      </w:r>
      <w:r>
        <w:rPr>
          <w:rFonts w:hint="eastAsia" w:hAnsi="黑体" w:cs="Times New Roman"/>
          <w:kern w:val="2"/>
          <w:sz w:val="32"/>
          <w:szCs w:val="32"/>
          <w:lang w:val="en-US" w:eastAsia="zh-CN"/>
        </w:rPr>
        <w:t>136.27</w:t>
      </w:r>
      <w:r>
        <w:rPr>
          <w:rFonts w:hint="eastAsia" w:hAnsi="黑体" w:cs="Times New Roman"/>
          <w:kern w:val="2"/>
          <w:sz w:val="32"/>
          <w:szCs w:val="32"/>
          <w:lang w:eastAsia="zh-CN"/>
        </w:rPr>
        <w:t>万</w:t>
      </w:r>
      <w:r>
        <w:rPr>
          <w:rFonts w:hint="eastAsia" w:hAnsi="黑体"/>
          <w:kern w:val="2"/>
          <w:sz w:val="32"/>
          <w:szCs w:val="32"/>
        </w:rPr>
        <w:t>元，其中：基本支出</w:t>
      </w:r>
      <w:r>
        <w:rPr>
          <w:rFonts w:hint="eastAsia" w:hAnsi="黑体" w:cs="Times New Roman"/>
          <w:kern w:val="2"/>
          <w:sz w:val="32"/>
          <w:szCs w:val="32"/>
          <w:lang w:val="en-US" w:eastAsia="zh-CN"/>
        </w:rPr>
        <w:t>127.07万</w:t>
      </w:r>
      <w:r>
        <w:rPr>
          <w:rFonts w:hint="eastAsia" w:hAnsi="黑体"/>
          <w:kern w:val="2"/>
          <w:sz w:val="32"/>
          <w:szCs w:val="32"/>
        </w:rPr>
        <w:t>元，占</w:t>
      </w:r>
      <w:r>
        <w:rPr>
          <w:rFonts w:hint="eastAsia" w:hAnsi="黑体" w:cs="Times New Roman"/>
          <w:kern w:val="2"/>
          <w:sz w:val="32"/>
          <w:szCs w:val="32"/>
          <w:lang w:val="en-US" w:eastAsia="zh-CN"/>
        </w:rPr>
        <w:t>93.25</w:t>
      </w:r>
      <w:r>
        <w:rPr>
          <w:rFonts w:hAnsi="黑体"/>
          <w:kern w:val="2"/>
          <w:sz w:val="32"/>
          <w:szCs w:val="32"/>
        </w:rPr>
        <w:t>%</w:t>
      </w:r>
      <w:r>
        <w:rPr>
          <w:rFonts w:hint="eastAsia" w:hAnsi="黑体"/>
          <w:kern w:val="2"/>
          <w:sz w:val="32"/>
          <w:szCs w:val="32"/>
          <w:lang w:eastAsia="zh-CN"/>
        </w:rPr>
        <w:t>，</w:t>
      </w:r>
      <w:r>
        <w:rPr>
          <w:rFonts w:hint="eastAsia" w:hAnsi="黑体"/>
          <w:kern w:val="2"/>
          <w:sz w:val="32"/>
          <w:szCs w:val="32"/>
          <w:lang w:val="en-US" w:eastAsia="zh-CN"/>
        </w:rPr>
        <w:t>项目支出9.20万元，占6.75%</w:t>
      </w:r>
      <w:r>
        <w:rPr>
          <w:rFonts w:hint="eastAsia" w:hAnsi="黑体"/>
          <w:kern w:val="2"/>
          <w:sz w:val="32"/>
          <w:szCs w:val="32"/>
        </w:rPr>
        <w:t>。</w:t>
      </w:r>
    </w:p>
    <w:p w14:paraId="4B3901C4">
      <w:pPr>
        <w:pStyle w:val="21"/>
        <w:numPr>
          <w:ilvl w:val="0"/>
          <w:numId w:val="4"/>
        </w:numPr>
        <w:spacing w:before="0" w:line="360" w:lineRule="auto"/>
        <w:ind w:firstLine="627" w:firstLineChars="196"/>
        <w:outlineLvl w:val="0"/>
        <w:rPr>
          <w:rFonts w:hint="eastAsia" w:ascii="黑体" w:hAnsi="黑体" w:eastAsia="黑体" w:cs="黑体"/>
          <w:kern w:val="2"/>
          <w:sz w:val="32"/>
          <w:szCs w:val="32"/>
        </w:rPr>
      </w:pPr>
      <w:bookmarkStart w:id="14" w:name="_Toc4728"/>
      <w:bookmarkStart w:id="15" w:name="_Toc996_WPSOffice_Level1"/>
      <w:r>
        <w:rPr>
          <w:rFonts w:hint="eastAsia" w:ascii="黑体" w:hAnsi="黑体" w:eastAsia="黑体" w:cs="黑体"/>
          <w:kern w:val="2"/>
          <w:sz w:val="32"/>
          <w:szCs w:val="32"/>
        </w:rPr>
        <w:t>财政拨款收支预算情况说明</w:t>
      </w:r>
      <w:bookmarkEnd w:id="14"/>
      <w:bookmarkEnd w:id="15"/>
    </w:p>
    <w:p w14:paraId="59AB8215">
      <w:pPr>
        <w:pStyle w:val="21"/>
        <w:numPr>
          <w:ilvl w:val="0"/>
          <w:numId w:val="0"/>
        </w:numPr>
        <w:spacing w:before="0" w:line="360" w:lineRule="auto"/>
        <w:outlineLvl w:val="9"/>
        <w:rPr>
          <w:rFonts w:hAnsi="黑体"/>
          <w:kern w:val="2"/>
          <w:sz w:val="32"/>
          <w:szCs w:val="32"/>
        </w:rPr>
      </w:pPr>
      <w:r>
        <w:rPr>
          <w:rFonts w:hint="eastAsia" w:ascii="??" w:hAnsi="??" w:eastAsia="宋体" w:cs="宋体"/>
          <w:sz w:val="16"/>
          <w:szCs w:val="16"/>
          <w:lang w:val="en-US" w:eastAsia="zh-CN"/>
        </w:rPr>
        <w:t xml:space="preserve">    </w:t>
      </w:r>
      <w:r>
        <w:rPr>
          <w:rFonts w:hint="eastAsia" w:ascii="??" w:hAnsi="??" w:eastAsia="宋体" w:cs="宋体"/>
          <w:sz w:val="16"/>
          <w:szCs w:val="16"/>
        </w:rPr>
        <w:t>　</w:t>
      </w:r>
      <w:r>
        <w:rPr>
          <w:rFonts w:hint="eastAsia" w:hAnsi="黑体"/>
          <w:kern w:val="2"/>
          <w:sz w:val="32"/>
          <w:szCs w:val="32"/>
        </w:rPr>
        <w:t>壤塘县科学技术协会</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财政拨款收支总预算</w:t>
      </w:r>
      <w:r>
        <w:rPr>
          <w:rFonts w:hint="eastAsia" w:hAnsi="黑体" w:cs="Times New Roman"/>
          <w:kern w:val="2"/>
          <w:sz w:val="32"/>
          <w:szCs w:val="32"/>
          <w:lang w:val="en-US" w:eastAsia="zh-CN"/>
        </w:rPr>
        <w:t>136.27万</w:t>
      </w:r>
      <w:r>
        <w:rPr>
          <w:rFonts w:hint="eastAsia" w:hAnsi="黑体"/>
          <w:kern w:val="2"/>
          <w:sz w:val="32"/>
          <w:szCs w:val="32"/>
        </w:rPr>
        <w:t>元</w:t>
      </w:r>
      <w:r>
        <w:rPr>
          <w:rFonts w:hAnsi="黑体"/>
          <w:kern w:val="2"/>
          <w:sz w:val="32"/>
          <w:szCs w:val="32"/>
        </w:rPr>
        <w:t>,</w:t>
      </w:r>
      <w:r>
        <w:rPr>
          <w:rFonts w:hint="eastAsia" w:hAnsi="黑体"/>
          <w:kern w:val="2"/>
          <w:sz w:val="32"/>
          <w:szCs w:val="32"/>
        </w:rPr>
        <w:t>比</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财政拨款收支总预算</w:t>
      </w:r>
      <w:r>
        <w:rPr>
          <w:rFonts w:hint="eastAsia" w:hAnsi="黑体"/>
          <w:kern w:val="2"/>
          <w:sz w:val="32"/>
          <w:szCs w:val="32"/>
          <w:lang w:eastAsia="zh-CN"/>
        </w:rPr>
        <w:t>增加</w:t>
      </w:r>
      <w:r>
        <w:rPr>
          <w:rFonts w:hint="eastAsia" w:hAnsi="黑体"/>
          <w:kern w:val="2"/>
          <w:sz w:val="32"/>
          <w:szCs w:val="32"/>
          <w:lang w:val="en-US" w:eastAsia="zh-CN"/>
        </w:rPr>
        <w:t>27.97</w:t>
      </w:r>
      <w:r>
        <w:rPr>
          <w:rFonts w:hint="eastAsia" w:hAnsi="黑体"/>
          <w:kern w:val="2"/>
          <w:sz w:val="32"/>
          <w:szCs w:val="32"/>
        </w:rPr>
        <w:t>万元，主要</w:t>
      </w:r>
      <w:r>
        <w:rPr>
          <w:rFonts w:hint="eastAsia" w:hAnsi="黑体"/>
          <w:kern w:val="2"/>
          <w:sz w:val="32"/>
          <w:szCs w:val="32"/>
          <w:lang w:val="en-US" w:eastAsia="zh-CN"/>
        </w:rPr>
        <w:t>原因：</w:t>
      </w:r>
      <w:r>
        <w:rPr>
          <w:rFonts w:hAnsi="黑体"/>
          <w:kern w:val="2"/>
          <w:sz w:val="32"/>
          <w:szCs w:val="32"/>
        </w:rPr>
        <w:t xml:space="preserve"> </w:t>
      </w:r>
      <w:r>
        <w:rPr>
          <w:rFonts w:hint="eastAsia" w:hAnsi="黑体"/>
          <w:kern w:val="2"/>
          <w:sz w:val="32"/>
          <w:szCs w:val="32"/>
          <w:lang w:val="en-US" w:eastAsia="zh-CN"/>
        </w:rPr>
        <w:t>人员增加，经费增加</w:t>
      </w:r>
      <w:r>
        <w:rPr>
          <w:rFonts w:hint="eastAsia" w:hAnsi="黑体"/>
          <w:kern w:val="2"/>
          <w:sz w:val="32"/>
          <w:szCs w:val="32"/>
        </w:rPr>
        <w:t>。</w:t>
      </w:r>
    </w:p>
    <w:p w14:paraId="4531959C">
      <w:pPr>
        <w:pStyle w:val="21"/>
        <w:spacing w:before="0" w:line="360" w:lineRule="auto"/>
        <w:ind w:firstLine="627" w:firstLineChars="196"/>
        <w:rPr>
          <w:rFonts w:hint="default" w:hAnsi="黑体" w:eastAsia="仿宋_GB2312" w:cs="Times New Roman"/>
          <w:kern w:val="2"/>
          <w:sz w:val="32"/>
          <w:szCs w:val="32"/>
          <w:lang w:val="en-US" w:eastAsia="zh-CN"/>
        </w:rPr>
      </w:pPr>
      <w:r>
        <w:rPr>
          <w:rFonts w:hint="eastAsia" w:hAnsi="黑体"/>
          <w:kern w:val="2"/>
          <w:sz w:val="32"/>
          <w:szCs w:val="32"/>
        </w:rPr>
        <w:t>收入包括：本年一般公共预算拨款收入</w:t>
      </w:r>
      <w:r>
        <w:rPr>
          <w:rFonts w:hint="eastAsia" w:hAnsi="黑体" w:cs="Times New Roman"/>
          <w:kern w:val="2"/>
          <w:sz w:val="32"/>
          <w:szCs w:val="32"/>
          <w:lang w:val="en-US" w:eastAsia="zh-CN"/>
        </w:rPr>
        <w:t>136.27万</w:t>
      </w:r>
      <w:r>
        <w:rPr>
          <w:rFonts w:hint="eastAsia" w:hAnsi="黑体"/>
          <w:kern w:val="2"/>
          <w:sz w:val="32"/>
          <w:szCs w:val="32"/>
        </w:rPr>
        <w:t>元。</w:t>
      </w:r>
      <w:r>
        <w:rPr>
          <w:rFonts w:hAnsi="黑体" w:cs="Times New Roman"/>
          <w:kern w:val="2"/>
          <w:sz w:val="32"/>
          <w:szCs w:val="32"/>
        </w:rPr>
        <w:t xml:space="preserve"> </w:t>
      </w:r>
      <w:r>
        <w:rPr>
          <w:rFonts w:hint="eastAsia" w:hAnsi="黑体"/>
          <w:kern w:val="2"/>
          <w:sz w:val="32"/>
          <w:szCs w:val="32"/>
        </w:rPr>
        <w:t>支出包括：一般公共服务支出</w:t>
      </w:r>
      <w:r>
        <w:rPr>
          <w:rFonts w:hint="eastAsia" w:hAnsi="黑体"/>
          <w:kern w:val="2"/>
          <w:sz w:val="32"/>
          <w:szCs w:val="32"/>
          <w:lang w:val="en-US" w:eastAsia="zh-CN"/>
        </w:rPr>
        <w:t>89.28</w:t>
      </w:r>
      <w:r>
        <w:rPr>
          <w:rFonts w:hint="eastAsia" w:hAnsi="黑体"/>
          <w:kern w:val="2"/>
          <w:sz w:val="32"/>
          <w:szCs w:val="32"/>
        </w:rPr>
        <w:t>万元，科学技术支出</w:t>
      </w:r>
      <w:r>
        <w:rPr>
          <w:rFonts w:hint="eastAsia" w:hAnsi="黑体"/>
          <w:kern w:val="2"/>
          <w:sz w:val="32"/>
          <w:szCs w:val="32"/>
          <w:lang w:val="en-US" w:eastAsia="zh-CN"/>
        </w:rPr>
        <w:t>9.20万元；</w:t>
      </w:r>
      <w:r>
        <w:rPr>
          <w:rFonts w:hint="eastAsia" w:hAnsi="黑体"/>
          <w:kern w:val="2"/>
          <w:sz w:val="32"/>
          <w:szCs w:val="32"/>
        </w:rPr>
        <w:t>社会保障和就业支出</w:t>
      </w:r>
      <w:r>
        <w:rPr>
          <w:rFonts w:hint="eastAsia" w:hAnsi="黑体" w:cs="Times New Roman"/>
          <w:kern w:val="2"/>
          <w:sz w:val="32"/>
          <w:szCs w:val="32"/>
          <w:lang w:val="en-US" w:eastAsia="zh-CN"/>
        </w:rPr>
        <w:t>20.13</w:t>
      </w:r>
      <w:r>
        <w:rPr>
          <w:rFonts w:hint="eastAsia" w:hAnsi="黑体"/>
          <w:kern w:val="2"/>
          <w:sz w:val="32"/>
          <w:szCs w:val="32"/>
        </w:rPr>
        <w:t>万元，卫生健康支出</w:t>
      </w:r>
      <w:r>
        <w:rPr>
          <w:rFonts w:hint="eastAsia" w:hAnsi="黑体" w:cs="Times New Roman"/>
          <w:kern w:val="2"/>
          <w:sz w:val="32"/>
          <w:szCs w:val="32"/>
          <w:lang w:val="en-US" w:eastAsia="zh-CN"/>
        </w:rPr>
        <w:t>7.60</w:t>
      </w:r>
      <w:r>
        <w:rPr>
          <w:rFonts w:hint="eastAsia" w:hAnsi="黑体"/>
          <w:kern w:val="2"/>
          <w:sz w:val="32"/>
          <w:szCs w:val="32"/>
        </w:rPr>
        <w:t>万元，住房保障支出</w:t>
      </w:r>
      <w:r>
        <w:rPr>
          <w:rFonts w:hint="eastAsia" w:hAnsi="黑体" w:cs="Times New Roman"/>
          <w:kern w:val="2"/>
          <w:sz w:val="32"/>
          <w:szCs w:val="32"/>
          <w:lang w:val="en-US" w:eastAsia="zh-CN"/>
        </w:rPr>
        <w:t>10.06</w:t>
      </w:r>
      <w:r>
        <w:rPr>
          <w:rFonts w:hint="eastAsia" w:hAnsi="黑体"/>
          <w:kern w:val="2"/>
          <w:sz w:val="32"/>
          <w:szCs w:val="32"/>
        </w:rPr>
        <w:t>万元。</w:t>
      </w:r>
      <w:r>
        <w:rPr>
          <w:rFonts w:hint="eastAsia" w:hAnsi="黑体"/>
          <w:kern w:val="2"/>
          <w:sz w:val="32"/>
          <w:szCs w:val="32"/>
          <w:lang w:val="en-US" w:eastAsia="zh-CN"/>
        </w:rPr>
        <w:t xml:space="preserve">   </w:t>
      </w:r>
    </w:p>
    <w:p w14:paraId="3EB022E3">
      <w:pPr>
        <w:pStyle w:val="21"/>
        <w:spacing w:before="0" w:line="360" w:lineRule="auto"/>
        <w:ind w:firstLine="627" w:firstLineChars="196"/>
        <w:outlineLvl w:val="0"/>
        <w:rPr>
          <w:rFonts w:ascii="??" w:hAnsi="??" w:eastAsia="宋体" w:cs="Times New Roman"/>
          <w:sz w:val="16"/>
          <w:szCs w:val="16"/>
        </w:rPr>
      </w:pPr>
      <w:bookmarkStart w:id="16" w:name="_Toc3448_WPSOffice_Level1"/>
      <w:bookmarkStart w:id="17" w:name="_Toc21398"/>
      <w:r>
        <w:rPr>
          <w:rFonts w:hint="eastAsia" w:ascii="黑体" w:hAnsi="黑体" w:eastAsia="黑体" w:cs="黑体"/>
          <w:kern w:val="2"/>
          <w:sz w:val="32"/>
          <w:szCs w:val="32"/>
        </w:rPr>
        <w:t>五、一般公共预算当年拨款情况说明</w:t>
      </w:r>
      <w:bookmarkEnd w:id="16"/>
      <w:bookmarkEnd w:id="17"/>
    </w:p>
    <w:p w14:paraId="298E550E">
      <w:pPr>
        <w:pStyle w:val="21"/>
        <w:spacing w:before="0" w:line="360" w:lineRule="auto"/>
        <w:ind w:firstLine="630" w:firstLineChars="196"/>
        <w:outlineLvl w:val="1"/>
        <w:rPr>
          <w:rFonts w:hAnsi="黑体" w:cs="Times New Roman"/>
          <w:kern w:val="2"/>
          <w:sz w:val="32"/>
          <w:szCs w:val="32"/>
        </w:rPr>
      </w:pPr>
      <w:bookmarkStart w:id="18" w:name="_Toc12747"/>
      <w:bookmarkStart w:id="19" w:name="_Toc13338_WPSOffice_Level1"/>
      <w:r>
        <w:rPr>
          <w:rFonts w:hint="eastAsia" w:ascii="楷体_GB2312" w:hAnsi="黑体" w:eastAsia="楷体_GB2312" w:cs="楷体_GB2312"/>
          <w:b/>
          <w:bCs/>
          <w:kern w:val="2"/>
          <w:sz w:val="32"/>
          <w:szCs w:val="32"/>
        </w:rPr>
        <w:t>（一）一般公共预算当年拨款规模变化情况</w:t>
      </w:r>
      <w:bookmarkEnd w:id="18"/>
      <w:bookmarkEnd w:id="19"/>
    </w:p>
    <w:p w14:paraId="4DFEE6C2">
      <w:pPr>
        <w:pStyle w:val="21"/>
        <w:spacing w:before="0" w:line="360" w:lineRule="auto"/>
        <w:ind w:firstLine="627" w:firstLineChars="196"/>
        <w:rPr>
          <w:rFonts w:hint="eastAsia" w:hAnsi="黑体"/>
          <w:kern w:val="2"/>
          <w:sz w:val="32"/>
          <w:szCs w:val="32"/>
        </w:rPr>
      </w:pPr>
      <w:r>
        <w:rPr>
          <w:rFonts w:hint="eastAsia" w:hAnsi="黑体"/>
          <w:kern w:val="2"/>
          <w:sz w:val="32"/>
          <w:szCs w:val="32"/>
        </w:rPr>
        <w:t>壤塘县科学技术协会</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一般公共预算当年拨款</w:t>
      </w:r>
      <w:r>
        <w:rPr>
          <w:rFonts w:hint="eastAsia" w:hAnsi="黑体"/>
          <w:kern w:val="2"/>
          <w:sz w:val="32"/>
          <w:szCs w:val="32"/>
          <w:lang w:val="en-US" w:eastAsia="zh-CN"/>
        </w:rPr>
        <w:t>136.27万</w:t>
      </w:r>
      <w:r>
        <w:rPr>
          <w:rFonts w:hint="eastAsia" w:hAnsi="黑体"/>
          <w:kern w:val="2"/>
          <w:sz w:val="32"/>
          <w:szCs w:val="32"/>
        </w:rPr>
        <w:t>元，比</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预算数</w:t>
      </w:r>
      <w:r>
        <w:rPr>
          <w:rFonts w:hint="eastAsia" w:hAnsi="黑体"/>
          <w:kern w:val="2"/>
          <w:sz w:val="32"/>
          <w:szCs w:val="32"/>
          <w:lang w:eastAsia="zh-CN"/>
        </w:rPr>
        <w:t>增加</w:t>
      </w:r>
      <w:r>
        <w:rPr>
          <w:rFonts w:hint="eastAsia" w:hAnsi="黑体"/>
          <w:kern w:val="2"/>
          <w:sz w:val="32"/>
          <w:szCs w:val="32"/>
          <w:lang w:val="en-US" w:eastAsia="zh-CN"/>
        </w:rPr>
        <w:t>27.97</w:t>
      </w:r>
      <w:r>
        <w:rPr>
          <w:rFonts w:hint="eastAsia" w:hAnsi="黑体"/>
          <w:kern w:val="2"/>
          <w:sz w:val="32"/>
          <w:szCs w:val="32"/>
        </w:rPr>
        <w:t>万元，主要是基本支出</w:t>
      </w:r>
      <w:r>
        <w:rPr>
          <w:rFonts w:hint="eastAsia" w:hAnsi="黑体"/>
          <w:kern w:val="2"/>
          <w:sz w:val="32"/>
          <w:szCs w:val="32"/>
          <w:highlight w:val="none"/>
          <w:lang w:eastAsia="zh-CN"/>
        </w:rPr>
        <w:t>增加</w:t>
      </w:r>
      <w:r>
        <w:rPr>
          <w:rFonts w:hint="eastAsia" w:hAnsi="黑体"/>
          <w:kern w:val="2"/>
          <w:sz w:val="32"/>
          <w:szCs w:val="32"/>
          <w:highlight w:val="none"/>
          <w:lang w:val="en-US" w:eastAsia="zh-CN"/>
        </w:rPr>
        <w:t>27.97</w:t>
      </w:r>
      <w:r>
        <w:rPr>
          <w:rFonts w:hint="eastAsia" w:hAnsi="黑体"/>
          <w:kern w:val="2"/>
          <w:sz w:val="32"/>
          <w:szCs w:val="32"/>
          <w:lang w:val="en-US" w:eastAsia="zh-CN"/>
        </w:rPr>
        <w:t>，</w:t>
      </w:r>
      <w:r>
        <w:rPr>
          <w:rFonts w:hint="eastAsia" w:hAnsi="黑体"/>
          <w:kern w:val="2"/>
          <w:sz w:val="32"/>
          <w:szCs w:val="32"/>
        </w:rPr>
        <w:t>主要</w:t>
      </w:r>
      <w:r>
        <w:rPr>
          <w:rFonts w:hint="eastAsia" w:hAnsi="黑体"/>
          <w:kern w:val="2"/>
          <w:sz w:val="32"/>
          <w:szCs w:val="32"/>
          <w:lang w:val="en-US" w:eastAsia="zh-CN"/>
        </w:rPr>
        <w:t>原</w:t>
      </w:r>
      <w:r>
        <w:rPr>
          <w:rFonts w:hint="eastAsia" w:hAnsi="黑体"/>
          <w:kern w:val="2"/>
          <w:sz w:val="32"/>
          <w:szCs w:val="32"/>
        </w:rPr>
        <w:t>因</w:t>
      </w:r>
      <w:r>
        <w:rPr>
          <w:rFonts w:hint="eastAsia" w:hAnsi="黑体"/>
          <w:kern w:val="2"/>
          <w:sz w:val="32"/>
          <w:szCs w:val="32"/>
          <w:lang w:eastAsia="zh-CN"/>
        </w:rPr>
        <w:t>：</w:t>
      </w:r>
      <w:r>
        <w:rPr>
          <w:rFonts w:hint="eastAsia" w:hAnsi="黑体"/>
          <w:kern w:val="2"/>
          <w:sz w:val="32"/>
          <w:szCs w:val="32"/>
          <w:lang w:val="en-US" w:eastAsia="zh-CN"/>
        </w:rPr>
        <w:t>人员增加，经费增加</w:t>
      </w:r>
      <w:r>
        <w:rPr>
          <w:rFonts w:hint="eastAsia" w:hAnsi="黑体"/>
          <w:kern w:val="2"/>
          <w:sz w:val="32"/>
          <w:szCs w:val="32"/>
        </w:rPr>
        <w:t>。</w:t>
      </w:r>
    </w:p>
    <w:p w14:paraId="2A4E834F">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3" w:firstLineChars="200"/>
        <w:textAlignment w:val="auto"/>
        <w:outlineLvl w:val="1"/>
        <w:rPr>
          <w:rFonts w:hint="eastAsia" w:hAnsi="黑体"/>
          <w:kern w:val="2"/>
          <w:sz w:val="32"/>
          <w:szCs w:val="32"/>
        </w:rPr>
      </w:pPr>
      <w:bookmarkStart w:id="20" w:name="_Toc25264"/>
      <w:bookmarkStart w:id="21" w:name="_Toc15877_WPSOffice_Level1"/>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二）</w:t>
      </w:r>
      <w:r>
        <w:rPr>
          <w:rFonts w:hint="eastAsia" w:ascii="楷体_GB2312" w:hAnsi="黑体" w:eastAsia="楷体_GB2312" w:cs="楷体_GB2312"/>
          <w:b/>
          <w:bCs/>
          <w:kern w:val="2"/>
          <w:sz w:val="32"/>
          <w:szCs w:val="32"/>
        </w:rPr>
        <w:t>一般公共预算当年拨款结构情况</w:t>
      </w:r>
      <w:bookmarkEnd w:id="20"/>
      <w:bookmarkEnd w:id="21"/>
    </w:p>
    <w:p w14:paraId="6E150E67">
      <w:pPr>
        <w:pStyle w:val="21"/>
        <w:numPr>
          <w:ilvl w:val="0"/>
          <w:numId w:val="0"/>
        </w:numPr>
        <w:spacing w:before="0" w:line="360" w:lineRule="auto"/>
        <w:ind w:leftChars="196"/>
        <w:outlineLvl w:val="9"/>
        <w:rPr>
          <w:rFonts w:hint="eastAsia" w:hAnsi="黑体"/>
          <w:kern w:val="2"/>
          <w:sz w:val="32"/>
          <w:szCs w:val="32"/>
        </w:rPr>
      </w:pPr>
      <w:r>
        <w:rPr>
          <w:rFonts w:hint="eastAsia" w:ascii="楷体_GB2312" w:hAnsi="黑体" w:eastAsia="楷体_GB2312" w:cs="楷体_GB2312"/>
          <w:b/>
          <w:bCs/>
          <w:kern w:val="2"/>
          <w:sz w:val="32"/>
          <w:szCs w:val="32"/>
          <w:lang w:val="en-US" w:eastAsia="zh-CN"/>
        </w:rPr>
        <w:t xml:space="preserve">   </w:t>
      </w:r>
      <w:r>
        <w:rPr>
          <w:rFonts w:hint="eastAsia" w:hAnsi="黑体"/>
          <w:kern w:val="2"/>
          <w:sz w:val="32"/>
          <w:szCs w:val="32"/>
        </w:rPr>
        <w:t>一般公共服务支出</w:t>
      </w:r>
      <w:r>
        <w:rPr>
          <w:rFonts w:hint="eastAsia" w:hAnsi="黑体"/>
          <w:kern w:val="2"/>
          <w:sz w:val="32"/>
          <w:szCs w:val="32"/>
          <w:lang w:val="en-US" w:eastAsia="zh-CN"/>
        </w:rPr>
        <w:t>89.28</w:t>
      </w:r>
      <w:r>
        <w:rPr>
          <w:rFonts w:hint="eastAsia" w:hAnsi="黑体"/>
          <w:kern w:val="2"/>
          <w:sz w:val="32"/>
          <w:szCs w:val="32"/>
        </w:rPr>
        <w:t>万元，</w:t>
      </w:r>
      <w:r>
        <w:rPr>
          <w:rFonts w:hint="eastAsia" w:hAnsi="黑体"/>
          <w:kern w:val="2"/>
          <w:sz w:val="32"/>
          <w:szCs w:val="32"/>
          <w:lang w:val="en-US" w:eastAsia="zh-CN"/>
        </w:rPr>
        <w:t>占65.52%；</w:t>
      </w:r>
      <w:r>
        <w:rPr>
          <w:rFonts w:hint="eastAsia" w:hAnsi="黑体"/>
          <w:kern w:val="2"/>
          <w:sz w:val="32"/>
          <w:szCs w:val="32"/>
        </w:rPr>
        <w:t>科学技术支出</w:t>
      </w:r>
      <w:r>
        <w:rPr>
          <w:rFonts w:hint="eastAsia" w:hAnsi="黑体"/>
          <w:kern w:val="2"/>
          <w:sz w:val="32"/>
          <w:szCs w:val="32"/>
          <w:lang w:val="en-US" w:eastAsia="zh-CN"/>
        </w:rPr>
        <w:t>9.2万元，占6.75%；</w:t>
      </w:r>
      <w:r>
        <w:rPr>
          <w:rFonts w:hint="eastAsia" w:hAnsi="黑体"/>
          <w:kern w:val="2"/>
          <w:sz w:val="32"/>
          <w:szCs w:val="32"/>
        </w:rPr>
        <w:t>社会保障和就业支出</w:t>
      </w:r>
      <w:r>
        <w:rPr>
          <w:rFonts w:hint="eastAsia" w:hAnsi="黑体" w:cs="Times New Roman"/>
          <w:kern w:val="2"/>
          <w:sz w:val="32"/>
          <w:szCs w:val="32"/>
          <w:lang w:val="en-US" w:eastAsia="zh-CN"/>
        </w:rPr>
        <w:t>20.13</w:t>
      </w:r>
      <w:r>
        <w:rPr>
          <w:rFonts w:hint="eastAsia" w:hAnsi="黑体"/>
          <w:kern w:val="2"/>
          <w:sz w:val="32"/>
          <w:szCs w:val="32"/>
        </w:rPr>
        <w:t>万元，</w:t>
      </w:r>
      <w:r>
        <w:rPr>
          <w:rFonts w:hint="eastAsia" w:hAnsi="黑体"/>
          <w:kern w:val="2"/>
          <w:sz w:val="32"/>
          <w:szCs w:val="32"/>
          <w:lang w:val="en-US" w:eastAsia="zh-CN"/>
        </w:rPr>
        <w:t>占14.77%；</w:t>
      </w:r>
      <w:r>
        <w:rPr>
          <w:rFonts w:hint="eastAsia" w:hAnsi="黑体"/>
          <w:kern w:val="2"/>
          <w:sz w:val="32"/>
          <w:szCs w:val="32"/>
        </w:rPr>
        <w:t>卫生健康支出</w:t>
      </w:r>
      <w:r>
        <w:rPr>
          <w:rFonts w:hint="eastAsia" w:hAnsi="黑体" w:cs="Times New Roman"/>
          <w:kern w:val="2"/>
          <w:sz w:val="32"/>
          <w:szCs w:val="32"/>
          <w:lang w:val="en-US" w:eastAsia="zh-CN"/>
        </w:rPr>
        <w:t>7.60</w:t>
      </w:r>
      <w:r>
        <w:rPr>
          <w:rFonts w:hint="eastAsia" w:hAnsi="黑体"/>
          <w:kern w:val="2"/>
          <w:sz w:val="32"/>
          <w:szCs w:val="32"/>
        </w:rPr>
        <w:t>万元，</w:t>
      </w:r>
      <w:r>
        <w:rPr>
          <w:rFonts w:hint="eastAsia" w:hAnsi="黑体"/>
          <w:kern w:val="2"/>
          <w:sz w:val="32"/>
          <w:szCs w:val="32"/>
          <w:lang w:val="en-US" w:eastAsia="zh-CN"/>
        </w:rPr>
        <w:t>占5.58%；</w:t>
      </w:r>
      <w:r>
        <w:rPr>
          <w:rFonts w:hint="eastAsia" w:hAnsi="黑体"/>
          <w:kern w:val="2"/>
          <w:sz w:val="32"/>
          <w:szCs w:val="32"/>
        </w:rPr>
        <w:t>住房保障支出</w:t>
      </w:r>
      <w:r>
        <w:rPr>
          <w:rFonts w:hint="eastAsia" w:hAnsi="黑体" w:cs="Times New Roman"/>
          <w:kern w:val="2"/>
          <w:sz w:val="32"/>
          <w:szCs w:val="32"/>
          <w:lang w:val="en-US" w:eastAsia="zh-CN"/>
        </w:rPr>
        <w:t>10.06</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占7.38%</w:t>
      </w:r>
      <w:r>
        <w:rPr>
          <w:rFonts w:hint="eastAsia" w:hAnsi="黑体"/>
          <w:kern w:val="2"/>
          <w:sz w:val="32"/>
          <w:szCs w:val="32"/>
        </w:rPr>
        <w:t>。</w:t>
      </w:r>
    </w:p>
    <w:p w14:paraId="76D05981">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643" w:firstLineChars="200"/>
        <w:textAlignment w:val="auto"/>
        <w:outlineLvl w:val="1"/>
        <w:rPr>
          <w:rFonts w:hAnsi="黑体"/>
          <w:kern w:val="2"/>
          <w:sz w:val="32"/>
          <w:szCs w:val="32"/>
        </w:rPr>
      </w:pPr>
      <w:bookmarkStart w:id="22" w:name="_Toc20990_WPSOffice_Level1"/>
      <w:bookmarkStart w:id="23" w:name="_Toc7395"/>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三）</w:t>
      </w:r>
      <w:r>
        <w:rPr>
          <w:rFonts w:hint="eastAsia" w:ascii="楷体_GB2312" w:hAnsi="黑体" w:eastAsia="楷体_GB2312" w:cs="楷体_GB2312"/>
          <w:b/>
          <w:bCs/>
          <w:kern w:val="2"/>
          <w:sz w:val="32"/>
          <w:szCs w:val="32"/>
        </w:rPr>
        <w:t>一般公共预算当年拨款具体使用情况</w:t>
      </w:r>
      <w:bookmarkEnd w:id="22"/>
      <w:bookmarkEnd w:id="23"/>
    </w:p>
    <w:p w14:paraId="7566F2DC">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640" w:firstLineChars="200"/>
        <w:textAlignment w:val="auto"/>
        <w:outlineLvl w:val="9"/>
        <w:rPr>
          <w:rFonts w:hint="eastAsia" w:hAnsi="黑体" w:eastAsia="仿宋_GB2312"/>
          <w:kern w:val="2"/>
          <w:sz w:val="32"/>
          <w:szCs w:val="32"/>
          <w:lang w:eastAsia="zh-CN"/>
        </w:rPr>
      </w:pPr>
      <w:r>
        <w:rPr>
          <w:rFonts w:hint="eastAsia" w:hAnsi="黑体"/>
          <w:kern w:val="2"/>
          <w:sz w:val="32"/>
          <w:szCs w:val="32"/>
        </w:rPr>
        <w:t>1</w:t>
      </w:r>
      <w:r>
        <w:rPr>
          <w:rFonts w:hAnsi="黑体"/>
          <w:kern w:val="2"/>
          <w:sz w:val="32"/>
          <w:szCs w:val="32"/>
        </w:rPr>
        <w:t>.201</w:t>
      </w:r>
      <w:r>
        <w:rPr>
          <w:rFonts w:hint="eastAsia" w:hAnsi="黑体"/>
          <w:kern w:val="2"/>
          <w:sz w:val="32"/>
          <w:szCs w:val="32"/>
        </w:rPr>
        <w:t>（类）</w:t>
      </w:r>
      <w:r>
        <w:rPr>
          <w:rFonts w:hAnsi="黑体"/>
          <w:kern w:val="2"/>
          <w:sz w:val="32"/>
          <w:szCs w:val="32"/>
        </w:rPr>
        <w:t>29</w:t>
      </w:r>
      <w:r>
        <w:rPr>
          <w:rFonts w:hint="eastAsia" w:hAnsi="黑体"/>
          <w:kern w:val="2"/>
          <w:sz w:val="32"/>
          <w:szCs w:val="32"/>
        </w:rPr>
        <w:t>（款）</w:t>
      </w:r>
      <w:r>
        <w:rPr>
          <w:rFonts w:hAnsi="黑体"/>
          <w:kern w:val="2"/>
          <w:sz w:val="32"/>
          <w:szCs w:val="32"/>
        </w:rPr>
        <w:t>01</w:t>
      </w:r>
      <w:r>
        <w:rPr>
          <w:rFonts w:hint="eastAsia" w:hAnsi="黑体"/>
          <w:kern w:val="2"/>
          <w:sz w:val="32"/>
          <w:szCs w:val="32"/>
        </w:rPr>
        <w:t>（项）：行政运行</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89.28</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单位职工工资福利支出（基本工资、津补贴、绩效工资等）、日常公用经费支出（办公费、邮电费、劳务费等）、工会经费和公务用车运行维护费。</w:t>
      </w:r>
    </w:p>
    <w:p w14:paraId="67ACA087">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640" w:firstLineChars="200"/>
        <w:textAlignment w:val="auto"/>
        <w:outlineLvl w:val="9"/>
        <w:rPr>
          <w:rFonts w:hAnsi="黑体"/>
          <w:kern w:val="2"/>
          <w:sz w:val="32"/>
          <w:szCs w:val="32"/>
        </w:rPr>
      </w:pPr>
      <w:r>
        <w:rPr>
          <w:rFonts w:hAnsi="黑体"/>
          <w:kern w:val="2"/>
          <w:sz w:val="32"/>
          <w:szCs w:val="32"/>
        </w:rPr>
        <w:t>2.</w:t>
      </w:r>
      <w:r>
        <w:rPr>
          <w:rFonts w:hint="eastAsia" w:hAnsi="黑体"/>
          <w:kern w:val="2"/>
          <w:sz w:val="32"/>
          <w:szCs w:val="32"/>
        </w:rPr>
        <w:t>208（类）05（款）05（项）机关事业单位基本养老保险缴费支出</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13.42</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单位养老保险支出。</w:t>
      </w:r>
    </w:p>
    <w:p w14:paraId="1149F37A">
      <w:pPr>
        <w:pStyle w:val="21"/>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Ansi="黑体"/>
          <w:kern w:val="2"/>
          <w:sz w:val="32"/>
          <w:szCs w:val="32"/>
        </w:rPr>
      </w:pPr>
      <w:r>
        <w:rPr>
          <w:rFonts w:hint="eastAsia" w:hAnsi="黑体"/>
          <w:kern w:val="2"/>
          <w:sz w:val="32"/>
          <w:szCs w:val="32"/>
          <w:lang w:val="en-US" w:eastAsia="zh-CN"/>
        </w:rPr>
        <w:t xml:space="preserve"> 3</w:t>
      </w:r>
      <w:r>
        <w:rPr>
          <w:rFonts w:hAnsi="黑体"/>
          <w:kern w:val="2"/>
          <w:sz w:val="32"/>
          <w:szCs w:val="32"/>
        </w:rPr>
        <w:t>.</w:t>
      </w:r>
      <w:r>
        <w:rPr>
          <w:rFonts w:hint="eastAsia" w:hAnsi="黑体"/>
          <w:kern w:val="2"/>
          <w:sz w:val="32"/>
          <w:szCs w:val="32"/>
        </w:rPr>
        <w:t>208（类）05（款）06（项）机关事业单位职业年金缴费支出</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6.71</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单位职业年金支出。</w:t>
      </w:r>
    </w:p>
    <w:p w14:paraId="55205133">
      <w:pPr>
        <w:pStyle w:val="21"/>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hAnsi="黑体"/>
          <w:kern w:val="2"/>
          <w:sz w:val="32"/>
          <w:szCs w:val="32"/>
        </w:rPr>
      </w:pPr>
      <w:r>
        <w:rPr>
          <w:rFonts w:hint="eastAsia" w:hAnsi="黑体"/>
          <w:kern w:val="2"/>
          <w:sz w:val="32"/>
          <w:szCs w:val="32"/>
          <w:lang w:val="en-US" w:eastAsia="zh-CN"/>
        </w:rPr>
        <w:t>4</w:t>
      </w:r>
      <w:r>
        <w:rPr>
          <w:rFonts w:hAnsi="黑体"/>
          <w:kern w:val="2"/>
          <w:sz w:val="32"/>
          <w:szCs w:val="32"/>
        </w:rPr>
        <w:t>.</w:t>
      </w:r>
      <w:r>
        <w:rPr>
          <w:rFonts w:hint="eastAsia" w:hAnsi="黑体"/>
          <w:kern w:val="2"/>
          <w:sz w:val="32"/>
          <w:szCs w:val="32"/>
        </w:rPr>
        <w:t>210（类）11（款）01（项）行政单位医疗</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5.87</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单位行政医疗支出。</w:t>
      </w:r>
    </w:p>
    <w:p w14:paraId="5ECD2BE2">
      <w:pPr>
        <w:pStyle w:val="21"/>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hAnsi="黑体"/>
          <w:kern w:val="2"/>
          <w:sz w:val="32"/>
          <w:szCs w:val="32"/>
        </w:rPr>
      </w:pPr>
      <w:r>
        <w:rPr>
          <w:rFonts w:hint="eastAsia" w:hAnsi="黑体"/>
          <w:kern w:val="2"/>
          <w:sz w:val="32"/>
          <w:szCs w:val="32"/>
          <w:lang w:val="en-US" w:eastAsia="zh-CN"/>
        </w:rPr>
        <w:t>5</w:t>
      </w:r>
      <w:r>
        <w:rPr>
          <w:rFonts w:hAnsi="黑体"/>
          <w:kern w:val="2"/>
          <w:sz w:val="32"/>
          <w:szCs w:val="32"/>
        </w:rPr>
        <w:t>.</w:t>
      </w:r>
      <w:r>
        <w:rPr>
          <w:rFonts w:hint="eastAsia" w:hAnsi="黑体"/>
          <w:kern w:val="2"/>
          <w:sz w:val="32"/>
          <w:szCs w:val="32"/>
        </w:rPr>
        <w:t>210（类）11（款）03（项）公务员医疗补助</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1.73</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单位公务员医疗补助支出。</w:t>
      </w:r>
    </w:p>
    <w:p w14:paraId="0E7C7ED9">
      <w:pPr>
        <w:pStyle w:val="21"/>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hAnsi="黑体"/>
          <w:kern w:val="2"/>
          <w:sz w:val="32"/>
          <w:szCs w:val="32"/>
        </w:rPr>
      </w:pPr>
      <w:r>
        <w:rPr>
          <w:rFonts w:hint="eastAsia" w:hAnsi="黑体"/>
          <w:kern w:val="2"/>
          <w:sz w:val="32"/>
          <w:szCs w:val="32"/>
          <w:lang w:val="en-US" w:eastAsia="zh-CN"/>
        </w:rPr>
        <w:t>6.</w:t>
      </w:r>
      <w:r>
        <w:rPr>
          <w:rFonts w:hint="eastAsia" w:hAnsi="黑体"/>
          <w:kern w:val="2"/>
          <w:sz w:val="32"/>
          <w:szCs w:val="32"/>
        </w:rPr>
        <w:t>221（类）02（款）01（项）住房公积金</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10.06</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单位住房公积金支出。</w:t>
      </w:r>
    </w:p>
    <w:p w14:paraId="07384B16">
      <w:pPr>
        <w:pStyle w:val="21"/>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hAnsi="黑体"/>
          <w:kern w:val="2"/>
          <w:sz w:val="32"/>
          <w:szCs w:val="32"/>
          <w:lang w:val="en-US" w:eastAsia="zh-CN"/>
        </w:rPr>
      </w:pPr>
      <w:r>
        <w:rPr>
          <w:rFonts w:hint="eastAsia" w:hAnsi="黑体"/>
          <w:kern w:val="2"/>
          <w:sz w:val="32"/>
          <w:szCs w:val="32"/>
          <w:lang w:val="en-US" w:eastAsia="zh-CN"/>
        </w:rPr>
        <w:t>7</w:t>
      </w:r>
      <w:r>
        <w:rPr>
          <w:rFonts w:hAnsi="黑体"/>
          <w:kern w:val="2"/>
          <w:sz w:val="32"/>
          <w:szCs w:val="32"/>
        </w:rPr>
        <w:t>.20</w:t>
      </w:r>
      <w:r>
        <w:rPr>
          <w:rFonts w:hint="eastAsia" w:hAnsi="黑体"/>
          <w:kern w:val="2"/>
          <w:sz w:val="32"/>
          <w:szCs w:val="32"/>
          <w:lang w:val="en-US" w:eastAsia="zh-CN"/>
        </w:rPr>
        <w:t>6</w:t>
      </w:r>
      <w:r>
        <w:rPr>
          <w:rFonts w:hint="eastAsia" w:hAnsi="黑体"/>
          <w:kern w:val="2"/>
          <w:sz w:val="32"/>
          <w:szCs w:val="32"/>
        </w:rPr>
        <w:t>（类）</w:t>
      </w:r>
      <w:r>
        <w:rPr>
          <w:rFonts w:hint="eastAsia" w:hAnsi="黑体"/>
          <w:kern w:val="2"/>
          <w:sz w:val="32"/>
          <w:szCs w:val="32"/>
          <w:lang w:val="en-US" w:eastAsia="zh-CN"/>
        </w:rPr>
        <w:t>07</w:t>
      </w:r>
      <w:r>
        <w:rPr>
          <w:rFonts w:hint="eastAsia" w:hAnsi="黑体"/>
          <w:kern w:val="2"/>
          <w:sz w:val="32"/>
          <w:szCs w:val="32"/>
        </w:rPr>
        <w:t>（款）</w:t>
      </w:r>
      <w:r>
        <w:rPr>
          <w:rFonts w:hint="eastAsia" w:hAnsi="黑体"/>
          <w:kern w:val="2"/>
          <w:sz w:val="32"/>
          <w:szCs w:val="32"/>
          <w:lang w:val="en-US" w:eastAsia="zh-CN"/>
        </w:rPr>
        <w:t>02</w:t>
      </w:r>
      <w:r>
        <w:rPr>
          <w:rFonts w:hint="eastAsia" w:hAnsi="黑体"/>
          <w:kern w:val="2"/>
          <w:sz w:val="32"/>
          <w:szCs w:val="32"/>
        </w:rPr>
        <w:t>（项）：科普活动</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9.2</w:t>
      </w:r>
      <w:r>
        <w:rPr>
          <w:rFonts w:hint="eastAsia" w:hAnsi="黑体"/>
          <w:kern w:val="2"/>
          <w:sz w:val="32"/>
          <w:szCs w:val="32"/>
        </w:rPr>
        <w:t>万元，主要用于</w:t>
      </w:r>
      <w:r>
        <w:rPr>
          <w:rFonts w:hint="eastAsia" w:hAnsi="黑体"/>
          <w:kern w:val="2"/>
          <w:sz w:val="32"/>
          <w:szCs w:val="32"/>
          <w:lang w:eastAsia="zh-CN"/>
        </w:rPr>
        <w:t>：人均科普经费</w:t>
      </w:r>
      <w:r>
        <w:rPr>
          <w:rFonts w:hint="eastAsia" w:hAnsi="黑体"/>
          <w:kern w:val="2"/>
          <w:sz w:val="32"/>
          <w:szCs w:val="32"/>
          <w:lang w:val="en-US" w:eastAsia="zh-CN"/>
        </w:rPr>
        <w:t>项目的支出。</w:t>
      </w:r>
    </w:p>
    <w:p w14:paraId="1C8117AD">
      <w:pPr>
        <w:pStyle w:val="21"/>
        <w:spacing w:before="0" w:line="360" w:lineRule="auto"/>
        <w:ind w:firstLine="313" w:firstLineChars="196"/>
        <w:outlineLvl w:val="0"/>
        <w:rPr>
          <w:rFonts w:ascii="??" w:hAnsi="??" w:eastAsia="宋体" w:cs="Times New Roman"/>
          <w:b/>
          <w:bCs/>
          <w:sz w:val="16"/>
          <w:szCs w:val="16"/>
        </w:rPr>
      </w:pPr>
      <w:r>
        <w:rPr>
          <w:rFonts w:hint="eastAsia" w:ascii="??" w:hAnsi="??" w:eastAsia="宋体" w:cs="宋体"/>
          <w:sz w:val="16"/>
          <w:szCs w:val="16"/>
        </w:rPr>
        <w:t>　</w:t>
      </w:r>
      <w:r>
        <w:rPr>
          <w:rFonts w:hint="eastAsia" w:ascii="??" w:hAnsi="??" w:eastAsia="宋体" w:cs="宋体"/>
          <w:b/>
          <w:bCs/>
          <w:sz w:val="16"/>
          <w:szCs w:val="16"/>
        </w:rPr>
        <w:t>　</w:t>
      </w:r>
      <w:bookmarkStart w:id="24" w:name="_Toc14680"/>
      <w:bookmarkStart w:id="25" w:name="_Toc16417_WPSOffice_Level1"/>
      <w:r>
        <w:rPr>
          <w:rFonts w:hint="eastAsia" w:ascii="黑体" w:hAnsi="黑体" w:eastAsia="黑体" w:cs="黑体"/>
          <w:kern w:val="2"/>
          <w:sz w:val="32"/>
          <w:szCs w:val="32"/>
        </w:rPr>
        <w:t>六、一般公共预算基本支出情况说明</w:t>
      </w:r>
      <w:bookmarkEnd w:id="24"/>
      <w:bookmarkEnd w:id="25"/>
    </w:p>
    <w:p w14:paraId="2DF148EE">
      <w:pPr>
        <w:pStyle w:val="21"/>
        <w:spacing w:before="0" w:line="360" w:lineRule="auto"/>
        <w:ind w:firstLine="640" w:firstLineChars="200"/>
        <w:rPr>
          <w:rFonts w:hAnsi="黑体" w:cs="Times New Roman"/>
          <w:kern w:val="2"/>
          <w:sz w:val="32"/>
          <w:szCs w:val="32"/>
        </w:rPr>
      </w:pPr>
      <w:r>
        <w:rPr>
          <w:rFonts w:hint="eastAsia" w:hAnsi="黑体"/>
          <w:kern w:val="2"/>
          <w:sz w:val="32"/>
          <w:szCs w:val="32"/>
          <w:lang w:val="en-US" w:eastAsia="zh-CN"/>
        </w:rPr>
        <w:t xml:space="preserve">  </w:t>
      </w:r>
      <w:r>
        <w:rPr>
          <w:rFonts w:hint="eastAsia" w:hAnsi="黑体"/>
          <w:kern w:val="2"/>
          <w:sz w:val="32"/>
          <w:szCs w:val="32"/>
        </w:rPr>
        <w:t>壤塘县科学技术协会</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一般公共预算基本支出</w:t>
      </w:r>
      <w:r>
        <w:rPr>
          <w:rFonts w:hint="eastAsia" w:hAnsi="黑体"/>
          <w:kern w:val="2"/>
          <w:sz w:val="32"/>
          <w:szCs w:val="32"/>
          <w:lang w:val="en-US" w:eastAsia="zh-CN"/>
        </w:rPr>
        <w:t>127.07</w:t>
      </w:r>
      <w:r>
        <w:rPr>
          <w:rFonts w:hint="eastAsia" w:hAnsi="黑体"/>
          <w:kern w:val="2"/>
          <w:sz w:val="32"/>
          <w:szCs w:val="32"/>
          <w:lang w:eastAsia="zh-CN"/>
        </w:rPr>
        <w:t>万</w:t>
      </w:r>
      <w:r>
        <w:rPr>
          <w:rFonts w:hint="eastAsia" w:hAnsi="黑体"/>
          <w:kern w:val="2"/>
          <w:sz w:val="32"/>
          <w:szCs w:val="32"/>
        </w:rPr>
        <w:t>元，其中：人员经费</w:t>
      </w:r>
      <w:r>
        <w:rPr>
          <w:rFonts w:hint="eastAsia" w:hAnsi="黑体"/>
          <w:kern w:val="2"/>
          <w:sz w:val="32"/>
          <w:szCs w:val="32"/>
          <w:lang w:val="en-US" w:eastAsia="zh-CN"/>
        </w:rPr>
        <w:t>114.57</w:t>
      </w:r>
      <w:r>
        <w:rPr>
          <w:rFonts w:hint="eastAsia" w:hAnsi="黑体"/>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hAnsi="黑体"/>
          <w:kern w:val="2"/>
          <w:sz w:val="32"/>
          <w:szCs w:val="32"/>
          <w:lang w:val="en-US" w:eastAsia="zh-CN"/>
        </w:rPr>
        <w:t>12.5</w:t>
      </w:r>
      <w:r>
        <w:rPr>
          <w:rFonts w:hint="eastAsia" w:hAnsi="黑体"/>
          <w:kern w:val="2"/>
          <w:sz w:val="32"/>
          <w:szCs w:val="32"/>
        </w:rPr>
        <w:t>万元，主要包括：办公费、印刷费、手续费、水费、电费、邮电费、差旅费、维修（护）费、租赁费、会议费、培训费、劳务费、工会经费、福利费、其他交通工具运行维护费、其他商品和服务支出。</w:t>
      </w:r>
    </w:p>
    <w:p w14:paraId="36BDC0ED">
      <w:pPr>
        <w:pStyle w:val="21"/>
        <w:numPr>
          <w:ilvl w:val="0"/>
          <w:numId w:val="5"/>
        </w:numPr>
        <w:spacing w:before="0" w:line="360" w:lineRule="auto"/>
        <w:ind w:firstLine="640" w:firstLineChars="200"/>
        <w:outlineLvl w:val="0"/>
        <w:rPr>
          <w:rFonts w:hint="eastAsia" w:ascii="黑体" w:hAnsi="黑体" w:eastAsia="黑体" w:cs="黑体"/>
          <w:kern w:val="2"/>
          <w:sz w:val="32"/>
          <w:szCs w:val="32"/>
        </w:rPr>
      </w:pPr>
      <w:bookmarkStart w:id="26" w:name="_Toc4206_WPSOffice_Level1"/>
      <w:bookmarkStart w:id="27" w:name="_Toc11711"/>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bookmarkEnd w:id="26"/>
      <w:bookmarkEnd w:id="27"/>
    </w:p>
    <w:p w14:paraId="3D873E0E">
      <w:pPr>
        <w:pStyle w:val="21"/>
        <w:spacing w:before="0" w:line="360" w:lineRule="auto"/>
        <w:ind w:firstLine="640" w:firstLineChars="200"/>
        <w:rPr>
          <w:rFonts w:hint="eastAsia" w:hAnsi="黑体"/>
          <w:kern w:val="2"/>
          <w:sz w:val="32"/>
          <w:szCs w:val="32"/>
        </w:rPr>
      </w:pPr>
      <w:r>
        <w:rPr>
          <w:rFonts w:hint="eastAsia" w:hAnsi="黑体"/>
          <w:kern w:val="2"/>
          <w:sz w:val="32"/>
          <w:szCs w:val="32"/>
        </w:rPr>
        <w:t>壤塘县科学技术协会</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Ansi="黑体"/>
          <w:kern w:val="2"/>
          <w:sz w:val="32"/>
          <w:szCs w:val="32"/>
        </w:rPr>
        <w:t>4</w:t>
      </w:r>
      <w:r>
        <w:rPr>
          <w:rFonts w:hint="eastAsia" w:hAnsi="黑体"/>
          <w:kern w:val="2"/>
          <w:sz w:val="32"/>
          <w:szCs w:val="32"/>
        </w:rPr>
        <w:t>万元，其中：公务用车运行维护费</w:t>
      </w:r>
      <w:r>
        <w:rPr>
          <w:rFonts w:hAnsi="黑体"/>
          <w:kern w:val="2"/>
          <w:sz w:val="32"/>
          <w:szCs w:val="32"/>
        </w:rPr>
        <w:t>4</w:t>
      </w:r>
      <w:r>
        <w:rPr>
          <w:rFonts w:hint="eastAsia" w:hAnsi="黑体"/>
          <w:kern w:val="2"/>
          <w:sz w:val="32"/>
          <w:szCs w:val="32"/>
        </w:rPr>
        <w:t>万元。</w:t>
      </w:r>
    </w:p>
    <w:p w14:paraId="18276598">
      <w:pPr>
        <w:pStyle w:val="21"/>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（一）</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因公出国（境）经费</w:t>
      </w:r>
      <w:r>
        <w:rPr>
          <w:rFonts w:hint="eastAsia" w:hAnsi="黑体"/>
          <w:kern w:val="2"/>
          <w:sz w:val="32"/>
          <w:szCs w:val="32"/>
          <w:lang w:val="en-US" w:eastAsia="zh-CN"/>
        </w:rPr>
        <w:t>0</w:t>
      </w:r>
      <w:r>
        <w:rPr>
          <w:rFonts w:hint="eastAsia" w:hAnsi="黑体"/>
          <w:kern w:val="2"/>
          <w:sz w:val="32"/>
          <w:szCs w:val="32"/>
        </w:rPr>
        <w:t>万元。较</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lang w:eastAsia="zh-CN"/>
        </w:rPr>
        <w:t>。</w:t>
      </w:r>
      <w:r>
        <w:rPr>
          <w:rFonts w:hAnsi="黑体"/>
          <w:kern w:val="2"/>
          <w:sz w:val="32"/>
          <w:szCs w:val="32"/>
        </w:rPr>
        <w:t xml:space="preserve"> </w:t>
      </w:r>
    </w:p>
    <w:p w14:paraId="052B5163">
      <w:pPr>
        <w:pStyle w:val="21"/>
        <w:spacing w:before="0" w:line="360" w:lineRule="auto"/>
        <w:ind w:firstLine="640" w:firstLineChars="200"/>
        <w:rPr>
          <w:rFonts w:hint="eastAsia" w:hAnsi="黑体"/>
          <w:kern w:val="2"/>
          <w:sz w:val="32"/>
          <w:szCs w:val="32"/>
          <w:lang w:eastAsia="zh-CN"/>
        </w:rPr>
      </w:pPr>
      <w:r>
        <w:rPr>
          <w:rFonts w:hint="eastAsia" w:hAnsi="黑体"/>
          <w:kern w:val="2"/>
          <w:sz w:val="32"/>
          <w:szCs w:val="32"/>
        </w:rPr>
        <w:t>（二）</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公务接待费</w:t>
      </w:r>
      <w:r>
        <w:rPr>
          <w:rFonts w:hint="eastAsia" w:hAnsi="黑体"/>
          <w:kern w:val="2"/>
          <w:sz w:val="32"/>
          <w:szCs w:val="32"/>
          <w:lang w:val="en-US" w:eastAsia="zh-CN"/>
        </w:rPr>
        <w:t>0</w:t>
      </w:r>
      <w:r>
        <w:rPr>
          <w:rFonts w:hint="eastAsia" w:hAnsi="黑体"/>
          <w:kern w:val="2"/>
          <w:sz w:val="32"/>
          <w:szCs w:val="32"/>
        </w:rPr>
        <w:t>万元。较</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lang w:eastAsia="zh-CN"/>
        </w:rPr>
        <w:t>。</w:t>
      </w:r>
    </w:p>
    <w:p w14:paraId="41E2F2F3">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outlineLvl w:val="9"/>
        <w:rPr>
          <w:rFonts w:hint="eastAsia" w:hAnsi="黑体"/>
          <w:kern w:val="2"/>
          <w:sz w:val="32"/>
          <w:szCs w:val="32"/>
        </w:rPr>
      </w:pPr>
      <w:r>
        <w:rPr>
          <w:rFonts w:hint="eastAsia" w:hAnsi="黑体"/>
          <w:kern w:val="2"/>
          <w:sz w:val="32"/>
          <w:szCs w:val="32"/>
        </w:rPr>
        <w:t>（三）</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公务用车购置及运行维护费</w:t>
      </w:r>
      <w:r>
        <w:rPr>
          <w:rFonts w:hint="eastAsia" w:hAnsi="黑体"/>
          <w:kern w:val="2"/>
          <w:sz w:val="32"/>
          <w:szCs w:val="32"/>
          <w:lang w:val="en-US" w:eastAsia="zh-CN"/>
        </w:rPr>
        <w:t>4</w:t>
      </w:r>
      <w:r>
        <w:rPr>
          <w:rFonts w:hint="eastAsia" w:hAnsi="黑体"/>
          <w:kern w:val="2"/>
          <w:sz w:val="32"/>
          <w:szCs w:val="32"/>
        </w:rPr>
        <w:t>万元。</w:t>
      </w:r>
      <w:r>
        <w:rPr>
          <w:rFonts w:hint="eastAsia" w:hAnsi="黑体"/>
          <w:kern w:val="2"/>
          <w:sz w:val="32"/>
          <w:szCs w:val="32"/>
          <w:lang w:val="en-US" w:eastAsia="zh-CN"/>
        </w:rPr>
        <w:t>与</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预算经费</w:t>
      </w:r>
      <w:r>
        <w:rPr>
          <w:rFonts w:hint="eastAsia" w:hAnsi="黑体"/>
          <w:kern w:val="2"/>
          <w:sz w:val="32"/>
          <w:szCs w:val="32"/>
          <w:lang w:val="en-US" w:eastAsia="zh-CN"/>
        </w:rPr>
        <w:t>4</w:t>
      </w:r>
      <w:r>
        <w:rPr>
          <w:rFonts w:hint="eastAsia" w:hAnsi="黑体"/>
          <w:kern w:val="2"/>
          <w:sz w:val="32"/>
          <w:szCs w:val="32"/>
        </w:rPr>
        <w:t>万元</w:t>
      </w:r>
      <w:r>
        <w:rPr>
          <w:rFonts w:hint="eastAsia" w:hAnsi="黑体"/>
          <w:kern w:val="2"/>
          <w:sz w:val="32"/>
          <w:szCs w:val="32"/>
          <w:lang w:val="en-US" w:eastAsia="zh-CN"/>
        </w:rPr>
        <w:t>相等。</w:t>
      </w:r>
    </w:p>
    <w:p w14:paraId="7C4E9EF8">
      <w:pPr>
        <w:pStyle w:val="21"/>
        <w:numPr>
          <w:ilvl w:val="0"/>
          <w:numId w:val="0"/>
        </w:numPr>
        <w:spacing w:before="0" w:line="360" w:lineRule="auto"/>
        <w:ind w:leftChars="200"/>
        <w:outlineLvl w:val="0"/>
        <w:rPr>
          <w:rFonts w:hint="eastAsia" w:hAnsi="黑体"/>
          <w:kern w:val="2"/>
          <w:sz w:val="32"/>
          <w:szCs w:val="32"/>
        </w:rPr>
      </w:pPr>
      <w:bookmarkStart w:id="28" w:name="_Toc12902"/>
      <w:bookmarkStart w:id="29" w:name="_Toc9056_WPSOffice_Level1"/>
      <w:r>
        <w:rPr>
          <w:rFonts w:hint="eastAsia" w:ascii="黑体" w:hAnsi="黑体" w:eastAsia="黑体" w:cs="黑体"/>
          <w:kern w:val="2"/>
          <w:sz w:val="32"/>
          <w:szCs w:val="32"/>
          <w:lang w:val="en-US" w:eastAsia="zh-CN"/>
        </w:rPr>
        <w:t>八、</w:t>
      </w:r>
      <w:r>
        <w:rPr>
          <w:rFonts w:hint="eastAsia" w:ascii="黑体" w:hAnsi="黑体" w:eastAsia="黑体" w:cs="黑体"/>
          <w:kern w:val="2"/>
          <w:sz w:val="32"/>
          <w:szCs w:val="32"/>
        </w:rPr>
        <w:t>政府性基金预算支出情况说明</w:t>
      </w:r>
      <w:bookmarkEnd w:id="28"/>
      <w:bookmarkEnd w:id="29"/>
    </w:p>
    <w:p w14:paraId="20ED027D">
      <w:pPr>
        <w:pStyle w:val="21"/>
        <w:numPr>
          <w:ilvl w:val="0"/>
          <w:numId w:val="0"/>
        </w:numPr>
        <w:spacing w:before="0" w:line="360" w:lineRule="auto"/>
        <w:ind w:leftChars="200"/>
        <w:outlineLvl w:val="9"/>
        <w:rPr>
          <w:rFonts w:hint="eastAsia" w:hAnsi="黑体"/>
          <w:kern w:val="2"/>
          <w:sz w:val="32"/>
          <w:szCs w:val="32"/>
        </w:rPr>
      </w:pPr>
      <w:r>
        <w:rPr>
          <w:rFonts w:hint="eastAsia" w:ascii="??" w:hAnsi="??" w:eastAsia="宋体" w:cs="宋体"/>
          <w:sz w:val="16"/>
          <w:szCs w:val="16"/>
        </w:rPr>
        <w:t>　</w:t>
      </w:r>
      <w:r>
        <w:rPr>
          <w:rFonts w:hint="eastAsia" w:hAnsi="黑体"/>
          <w:kern w:val="2"/>
          <w:sz w:val="32"/>
          <w:szCs w:val="32"/>
        </w:rPr>
        <w:t>壤塘县科学技术协会</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无政府性基金预算拨款。</w:t>
      </w:r>
    </w:p>
    <w:p w14:paraId="1E3179B4">
      <w:pPr>
        <w:pStyle w:val="21"/>
        <w:numPr>
          <w:ilvl w:val="0"/>
          <w:numId w:val="0"/>
        </w:numPr>
        <w:spacing w:before="0" w:line="360" w:lineRule="auto"/>
        <w:ind w:leftChars="200"/>
        <w:outlineLvl w:val="0"/>
        <w:rPr>
          <w:rFonts w:hint="eastAsia" w:ascii="黑体" w:hAnsi="黑体" w:eastAsia="黑体" w:cs="黑体"/>
          <w:kern w:val="2"/>
          <w:sz w:val="32"/>
          <w:szCs w:val="32"/>
        </w:rPr>
      </w:pPr>
      <w:bookmarkStart w:id="30" w:name="_Toc329"/>
      <w:bookmarkStart w:id="31" w:name="_Toc26861_WPSOffice_Level1"/>
      <w:r>
        <w:rPr>
          <w:rFonts w:hint="eastAsia" w:ascii="黑体" w:hAnsi="黑体" w:eastAsia="黑体" w:cs="黑体"/>
          <w:kern w:val="2"/>
          <w:sz w:val="32"/>
          <w:szCs w:val="32"/>
          <w:lang w:val="en-US" w:eastAsia="zh-CN"/>
        </w:rPr>
        <w:t>九、</w:t>
      </w:r>
      <w:r>
        <w:rPr>
          <w:rFonts w:hint="eastAsia" w:ascii="黑体" w:hAnsi="黑体" w:eastAsia="黑体" w:cs="黑体"/>
          <w:kern w:val="2"/>
          <w:sz w:val="32"/>
          <w:szCs w:val="32"/>
        </w:rPr>
        <w:t>其他重要事项的情况说明</w:t>
      </w:r>
      <w:bookmarkEnd w:id="30"/>
      <w:bookmarkEnd w:id="31"/>
    </w:p>
    <w:p w14:paraId="4228C827">
      <w:pPr>
        <w:pStyle w:val="21"/>
        <w:numPr>
          <w:ilvl w:val="0"/>
          <w:numId w:val="6"/>
        </w:numPr>
        <w:spacing w:before="0" w:line="360" w:lineRule="auto"/>
        <w:ind w:left="741" w:leftChars="0" w:firstLine="0" w:firstLineChars="0"/>
        <w:outlineLvl w:val="1"/>
        <w:rPr>
          <w:rFonts w:hint="eastAsia" w:ascii="楷体_GB2312" w:hAnsi="黑体" w:eastAsia="楷体_GB2312" w:cs="楷体_GB2312"/>
          <w:b/>
          <w:bCs/>
          <w:kern w:val="2"/>
          <w:sz w:val="32"/>
          <w:szCs w:val="32"/>
        </w:rPr>
      </w:pPr>
      <w:bookmarkStart w:id="32" w:name="_Toc14029"/>
      <w:bookmarkStart w:id="33" w:name="_Toc31513_WPSOffice_Level1"/>
      <w:r>
        <w:rPr>
          <w:rFonts w:hint="eastAsia" w:ascii="楷体_GB2312" w:hAnsi="黑体" w:eastAsia="楷体_GB2312" w:cs="楷体_GB2312"/>
          <w:b/>
          <w:bCs/>
          <w:kern w:val="2"/>
          <w:sz w:val="32"/>
          <w:szCs w:val="32"/>
        </w:rPr>
        <w:t>机关运行经费</w:t>
      </w:r>
      <w:bookmarkEnd w:id="32"/>
      <w:bookmarkEnd w:id="33"/>
    </w:p>
    <w:p w14:paraId="07652895">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outlineLvl w:val="9"/>
        <w:rPr>
          <w:rFonts w:hint="eastAsia" w:hAnsi="黑体"/>
          <w:kern w:val="2"/>
          <w:sz w:val="32"/>
          <w:szCs w:val="32"/>
        </w:rPr>
      </w:pPr>
      <w:r>
        <w:rPr>
          <w:rFonts w:hAnsi="黑体"/>
          <w:kern w:val="2"/>
          <w:sz w:val="32"/>
          <w:szCs w:val="32"/>
        </w:rPr>
        <w:t xml:space="preserve"> </w:t>
      </w:r>
      <w:r>
        <w:rPr>
          <w:rFonts w:hint="eastAsia" w:hAnsi="黑体"/>
          <w:kern w:val="2"/>
          <w:sz w:val="32"/>
          <w:szCs w:val="32"/>
        </w:rPr>
        <w:t>壤塘县科学技术协会</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color w:val="000000" w:themeColor="text1"/>
          <w:kern w:val="2"/>
          <w:sz w:val="32"/>
          <w:szCs w:val="32"/>
          <w14:textFill>
            <w14:solidFill>
              <w14:schemeClr w14:val="tx1"/>
            </w14:solidFill>
          </w14:textFill>
        </w:rPr>
        <w:t>机关运行经费</w:t>
      </w:r>
      <w:r>
        <w:rPr>
          <w:rFonts w:hint="eastAsia" w:hAnsi="黑体"/>
          <w:kern w:val="2"/>
          <w:sz w:val="32"/>
          <w:szCs w:val="32"/>
        </w:rPr>
        <w:t>财政拨款预算为</w:t>
      </w:r>
      <w:r>
        <w:rPr>
          <w:rFonts w:hint="eastAsia" w:hAnsi="黑体"/>
          <w:kern w:val="2"/>
          <w:sz w:val="32"/>
          <w:szCs w:val="32"/>
          <w:lang w:val="en-US" w:eastAsia="zh-CN"/>
        </w:rPr>
        <w:t>12.5</w:t>
      </w:r>
      <w:r>
        <w:rPr>
          <w:rFonts w:hint="eastAsia" w:hAnsi="黑体"/>
          <w:kern w:val="2"/>
          <w:sz w:val="32"/>
          <w:szCs w:val="32"/>
        </w:rPr>
        <w:t>万元，比</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w:t>
      </w:r>
      <w:r>
        <w:rPr>
          <w:rFonts w:hint="eastAsia" w:hAnsi="黑体"/>
          <w:kern w:val="2"/>
          <w:sz w:val="32"/>
          <w:szCs w:val="32"/>
          <w:lang w:val="en-US" w:eastAsia="zh-CN"/>
        </w:rPr>
        <w:t>增加2.5</w:t>
      </w:r>
      <w:r>
        <w:rPr>
          <w:rFonts w:hint="eastAsia" w:hAnsi="黑体"/>
          <w:kern w:val="2"/>
          <w:sz w:val="32"/>
          <w:szCs w:val="32"/>
        </w:rPr>
        <w:t>万元，</w:t>
      </w:r>
      <w:r>
        <w:rPr>
          <w:rFonts w:hint="eastAsia" w:hAnsi="黑体"/>
          <w:kern w:val="2"/>
          <w:sz w:val="32"/>
          <w:szCs w:val="32"/>
          <w:lang w:val="en-US" w:eastAsia="zh-CN"/>
        </w:rPr>
        <w:t>增长25</w:t>
      </w:r>
      <w:r>
        <w:rPr>
          <w:rFonts w:hint="eastAsia" w:hAnsi="黑体"/>
          <w:kern w:val="2"/>
          <w:sz w:val="32"/>
          <w:szCs w:val="32"/>
        </w:rPr>
        <w:t>%。主要</w:t>
      </w:r>
      <w:r>
        <w:rPr>
          <w:rFonts w:hint="eastAsia" w:hAnsi="黑体"/>
          <w:kern w:val="2"/>
          <w:sz w:val="32"/>
          <w:szCs w:val="32"/>
          <w:lang w:val="en-US" w:eastAsia="zh-CN"/>
        </w:rPr>
        <w:t>原因：</w:t>
      </w:r>
      <w:r>
        <w:rPr>
          <w:rFonts w:hAnsi="黑体"/>
          <w:kern w:val="2"/>
          <w:sz w:val="32"/>
          <w:szCs w:val="32"/>
        </w:rPr>
        <w:t xml:space="preserve"> </w:t>
      </w:r>
      <w:r>
        <w:rPr>
          <w:rFonts w:hint="eastAsia" w:hAnsi="黑体"/>
          <w:kern w:val="2"/>
          <w:sz w:val="32"/>
          <w:szCs w:val="32"/>
          <w:lang w:val="en-US" w:eastAsia="zh-CN"/>
        </w:rPr>
        <w:t>人员增加，经费增加</w:t>
      </w:r>
      <w:r>
        <w:rPr>
          <w:rFonts w:hint="eastAsia" w:hAnsi="黑体"/>
          <w:kern w:val="2"/>
          <w:sz w:val="32"/>
          <w:szCs w:val="32"/>
        </w:rPr>
        <w:t>。</w:t>
      </w:r>
    </w:p>
    <w:p w14:paraId="796D4A01">
      <w:pPr>
        <w:pStyle w:val="21"/>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firstLine="643" w:firstLineChars="200"/>
        <w:textAlignment w:val="auto"/>
        <w:outlineLvl w:val="1"/>
        <w:rPr>
          <w:rFonts w:hAnsi="黑体" w:cs="Times New Roman"/>
          <w:kern w:val="2"/>
          <w:sz w:val="32"/>
          <w:szCs w:val="32"/>
        </w:rPr>
      </w:pPr>
      <w:bookmarkStart w:id="34" w:name="_Toc17834"/>
      <w:bookmarkStart w:id="35" w:name="_Toc8743_WPSOffice_Level1"/>
      <w:r>
        <w:rPr>
          <w:rFonts w:hint="eastAsia" w:ascii="楷体_GB2312" w:hAnsi="黑体" w:eastAsia="楷体_GB2312" w:cs="楷体_GB2312"/>
          <w:b/>
          <w:bCs/>
          <w:kern w:val="2"/>
          <w:sz w:val="32"/>
          <w:szCs w:val="32"/>
        </w:rPr>
        <w:t>（二）政府采购情况</w:t>
      </w:r>
      <w:bookmarkEnd w:id="34"/>
      <w:bookmarkEnd w:id="35"/>
    </w:p>
    <w:p w14:paraId="6D39F682">
      <w:pPr>
        <w:pStyle w:val="21"/>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Ansi="黑体"/>
          <w:kern w:val="2"/>
          <w:sz w:val="32"/>
          <w:szCs w:val="32"/>
        </w:rPr>
      </w:pP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壤塘县科学技术协会未安排政府采购预算。</w:t>
      </w:r>
    </w:p>
    <w:p w14:paraId="59728913">
      <w:pPr>
        <w:pStyle w:val="21"/>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outlineLvl w:val="1"/>
        <w:rPr>
          <w:rFonts w:ascii="楷体_GB2312" w:hAnsi="黑体" w:eastAsia="楷体_GB2312" w:cs="楷体_GB2312"/>
          <w:b/>
          <w:bCs/>
          <w:kern w:val="2"/>
          <w:sz w:val="32"/>
          <w:szCs w:val="32"/>
        </w:rPr>
      </w:pPr>
      <w:bookmarkStart w:id="36" w:name="_Toc4494_WPSOffice_Level1"/>
      <w:bookmarkStart w:id="37" w:name="_Toc2310"/>
      <w:r>
        <w:rPr>
          <w:rFonts w:hint="eastAsia" w:ascii="楷体_GB2312" w:hAnsi="黑体" w:eastAsia="楷体_GB2312" w:cs="楷体_GB2312"/>
          <w:b/>
          <w:bCs/>
          <w:kern w:val="2"/>
          <w:sz w:val="32"/>
          <w:szCs w:val="32"/>
        </w:rPr>
        <w:t>（三）国有资产占有使用情况</w:t>
      </w:r>
      <w:bookmarkEnd w:id="36"/>
      <w:bookmarkEnd w:id="37"/>
    </w:p>
    <w:p w14:paraId="2E6346BB">
      <w:pPr>
        <w:pStyle w:val="21"/>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outlineLvl w:val="9"/>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无</w:t>
      </w:r>
    </w:p>
    <w:p w14:paraId="684484B7">
      <w:pPr>
        <w:pStyle w:val="21"/>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0" w:leftChars="0" w:firstLine="643" w:firstLineChars="200"/>
        <w:textAlignment w:val="auto"/>
        <w:outlineLvl w:val="1"/>
        <w:rPr>
          <w:rFonts w:hint="eastAsia" w:ascii="楷体_GB2312" w:hAnsi="黑体" w:eastAsia="楷体_GB2312" w:cs="楷体_GB2312"/>
          <w:b/>
          <w:bCs/>
          <w:kern w:val="2"/>
          <w:sz w:val="32"/>
          <w:szCs w:val="32"/>
        </w:rPr>
      </w:pPr>
      <w:bookmarkStart w:id="38" w:name="_Toc13449"/>
      <w:bookmarkStart w:id="39" w:name="_Toc29331_WPSOffice_Level1"/>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四）</w:t>
      </w:r>
      <w:r>
        <w:rPr>
          <w:rFonts w:hint="eastAsia" w:ascii="楷体_GB2312" w:hAnsi="黑体" w:eastAsia="楷体_GB2312" w:cs="楷体_GB2312"/>
          <w:b/>
          <w:bCs/>
          <w:kern w:val="2"/>
          <w:sz w:val="32"/>
          <w:szCs w:val="32"/>
        </w:rPr>
        <w:t>绩效目标设置情况</w:t>
      </w:r>
      <w:bookmarkEnd w:id="38"/>
      <w:bookmarkEnd w:id="39"/>
    </w:p>
    <w:p w14:paraId="58D96FC4">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outlineLvl w:val="9"/>
        <w:rPr>
          <w:rFonts w:ascii="楷体_GB2312" w:hAnsi="黑体" w:eastAsia="楷体_GB2312" w:cs="楷体_GB2312"/>
          <w:b/>
          <w:bCs/>
          <w:kern w:val="2"/>
          <w:sz w:val="32"/>
          <w:szCs w:val="32"/>
        </w:rPr>
      </w:pPr>
      <w:r>
        <w:rPr>
          <w:rFonts w:hint="eastAsia" w:hAnsi="黑体"/>
          <w:kern w:val="2"/>
          <w:sz w:val="32"/>
          <w:szCs w:val="32"/>
          <w:lang w:val="en-US" w:eastAsia="zh-CN"/>
        </w:rPr>
        <w:t xml:space="preserve"> </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壤塘县科学技术协会通用项目和专用项目均按要求实行绩效目标管理</w:t>
      </w:r>
      <w:r>
        <w:rPr>
          <w:rFonts w:hint="eastAsia" w:hAnsi="黑体"/>
          <w:kern w:val="2"/>
          <w:sz w:val="32"/>
          <w:szCs w:val="32"/>
          <w:lang w:eastAsia="zh-CN"/>
        </w:rPr>
        <w:t>，</w:t>
      </w:r>
      <w:r>
        <w:rPr>
          <w:rFonts w:hint="eastAsia"/>
          <w:kern w:val="2"/>
          <w:sz w:val="32"/>
          <w:szCs w:val="32"/>
        </w:rPr>
        <w:t>涉及一般公共预算当年拨款</w:t>
      </w:r>
      <w:r>
        <w:rPr>
          <w:rFonts w:hint="eastAsia"/>
          <w:kern w:val="2"/>
          <w:sz w:val="32"/>
          <w:szCs w:val="32"/>
          <w:lang w:val="en-US" w:eastAsia="zh-CN"/>
        </w:rPr>
        <w:t>136.27</w:t>
      </w:r>
      <w:r>
        <w:rPr>
          <w:rFonts w:hint="eastAsia"/>
          <w:kern w:val="2"/>
          <w:sz w:val="32"/>
          <w:szCs w:val="32"/>
        </w:rPr>
        <w:t>万元</w:t>
      </w:r>
      <w:r>
        <w:rPr>
          <w:rFonts w:hint="eastAsia" w:hAnsi="黑体"/>
          <w:kern w:val="2"/>
          <w:sz w:val="32"/>
          <w:szCs w:val="32"/>
        </w:rPr>
        <w:t>。</w:t>
      </w:r>
    </w:p>
    <w:p w14:paraId="500A0721">
      <w:pPr>
        <w:pStyle w:val="21"/>
        <w:spacing w:before="0" w:line="360" w:lineRule="auto"/>
        <w:ind w:firstLine="640" w:firstLineChars="200"/>
        <w:outlineLvl w:val="0"/>
        <w:rPr>
          <w:rFonts w:hint="eastAsia" w:ascii="??" w:hAnsi="??" w:eastAsia="宋体" w:cs="Times New Roman"/>
          <w:sz w:val="16"/>
          <w:szCs w:val="16"/>
        </w:rPr>
      </w:pPr>
      <w:bookmarkStart w:id="40" w:name="_Toc16615"/>
      <w:bookmarkStart w:id="41" w:name="_Toc16204_WPSOffice_Level1"/>
      <w:r>
        <w:rPr>
          <w:rFonts w:hint="eastAsia" w:ascii="黑体" w:hAnsi="黑体" w:eastAsia="黑体" w:cs="黑体"/>
          <w:kern w:val="2"/>
          <w:sz w:val="32"/>
          <w:szCs w:val="32"/>
        </w:rPr>
        <w:t>十、名词解释</w:t>
      </w:r>
      <w:bookmarkEnd w:id="40"/>
      <w:bookmarkEnd w:id="41"/>
    </w:p>
    <w:p w14:paraId="5F7E291C">
      <w:pPr>
        <w:pStyle w:val="21"/>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p>
    <w:p w14:paraId="7A39AAE0">
      <w:pPr>
        <w:pStyle w:val="21"/>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（二）事业收入：指所属事业单位开展专业业务活动及辅助活动所取得的收入。</w:t>
      </w:r>
    </w:p>
    <w:p w14:paraId="024AFC89">
      <w:pPr>
        <w:pStyle w:val="21"/>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（三）事业单位经营收入：指所属事业单位在专业业务活动及其辅助活动之外开展非独立核算经营活动取得的收入。</w:t>
      </w:r>
    </w:p>
    <w:p w14:paraId="12B2FFB2">
      <w:pPr>
        <w:pStyle w:val="21"/>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（四）其他收入：指除上述</w:t>
      </w:r>
      <w:r>
        <w:rPr>
          <w:rFonts w:hAnsi="黑体" w:cs="Times New Roman"/>
          <w:kern w:val="2"/>
          <w:sz w:val="32"/>
          <w:szCs w:val="32"/>
        </w:rPr>
        <w:t>“</w:t>
      </w:r>
      <w:r>
        <w:rPr>
          <w:rFonts w:hint="eastAsia" w:hAnsi="黑体"/>
          <w:kern w:val="2"/>
          <w:sz w:val="32"/>
          <w:szCs w:val="32"/>
        </w:rPr>
        <w:t>财政拨款收入</w:t>
      </w:r>
      <w:r>
        <w:rPr>
          <w:rFonts w:hint="eastAsia" w:hAnsi="黑体"/>
          <w:kern w:val="2"/>
          <w:sz w:val="32"/>
          <w:szCs w:val="32"/>
          <w:lang w:eastAsia="zh-CN"/>
        </w:rPr>
        <w:t>”“</w:t>
      </w:r>
      <w:r>
        <w:rPr>
          <w:rFonts w:hint="eastAsia" w:hAnsi="黑体"/>
          <w:kern w:val="2"/>
          <w:sz w:val="32"/>
          <w:szCs w:val="32"/>
        </w:rPr>
        <w:t>事业收入</w:t>
      </w:r>
      <w:r>
        <w:rPr>
          <w:rFonts w:hint="eastAsia" w:hAnsi="黑体"/>
          <w:kern w:val="2"/>
          <w:sz w:val="32"/>
          <w:szCs w:val="32"/>
          <w:lang w:eastAsia="zh-CN"/>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等以外的收入，主要是所属行政事业单位按规定动用的售房收入、存款利息收入等。</w:t>
      </w:r>
    </w:p>
    <w:p w14:paraId="2AD4B14C">
      <w:pPr>
        <w:pStyle w:val="21"/>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（五）用事业基金弥补收支差额：指所属事业单位在</w:t>
      </w:r>
      <w:r>
        <w:rPr>
          <w:rFonts w:hint="eastAsia" w:hAnsi="黑体"/>
          <w:kern w:val="2"/>
          <w:sz w:val="32"/>
          <w:szCs w:val="32"/>
          <w:lang w:eastAsia="zh-CN"/>
        </w:rPr>
        <w:t>预计</w:t>
      </w:r>
      <w:r>
        <w:rPr>
          <w:rFonts w:hint="eastAsia" w:hAnsi="黑体"/>
          <w:kern w:val="2"/>
          <w:sz w:val="32"/>
          <w:szCs w:val="32"/>
        </w:rPr>
        <w:t>当年的</w:t>
      </w:r>
      <w:r>
        <w:rPr>
          <w:rFonts w:hAnsi="黑体" w:cs="Times New Roman"/>
          <w:kern w:val="2"/>
          <w:sz w:val="32"/>
          <w:szCs w:val="32"/>
        </w:rPr>
        <w:t>“</w:t>
      </w:r>
      <w:r>
        <w:rPr>
          <w:rFonts w:hint="eastAsia" w:hAnsi="黑体"/>
          <w:kern w:val="2"/>
          <w:sz w:val="32"/>
          <w:szCs w:val="32"/>
        </w:rPr>
        <w:t>财政拨款收入</w:t>
      </w:r>
      <w:r>
        <w:rPr>
          <w:rFonts w:hint="eastAsia" w:hAnsi="黑体"/>
          <w:kern w:val="2"/>
          <w:sz w:val="32"/>
          <w:szCs w:val="32"/>
          <w:lang w:eastAsia="zh-CN"/>
        </w:rPr>
        <w:t>”“</w:t>
      </w:r>
      <w:r>
        <w:rPr>
          <w:rFonts w:hint="eastAsia" w:hAnsi="黑体"/>
          <w:kern w:val="2"/>
          <w:sz w:val="32"/>
          <w:szCs w:val="32"/>
        </w:rPr>
        <w:t>事业收入</w:t>
      </w:r>
      <w:r>
        <w:rPr>
          <w:rFonts w:hint="eastAsia" w:hAnsi="黑体"/>
          <w:kern w:val="2"/>
          <w:sz w:val="32"/>
          <w:szCs w:val="32"/>
          <w:lang w:eastAsia="zh-CN"/>
        </w:rPr>
        <w:t>”“</w:t>
      </w:r>
      <w:r>
        <w:rPr>
          <w:rFonts w:hint="eastAsia" w:hAnsi="黑体"/>
          <w:kern w:val="2"/>
          <w:sz w:val="32"/>
          <w:szCs w:val="32"/>
        </w:rPr>
        <w:t>事业单位经营收入</w:t>
      </w:r>
      <w:r>
        <w:rPr>
          <w:rFonts w:hint="eastAsia" w:hAnsi="黑体"/>
          <w:kern w:val="2"/>
          <w:sz w:val="32"/>
          <w:szCs w:val="32"/>
          <w:lang w:eastAsia="zh-CN"/>
        </w:rPr>
        <w:t>”“</w:t>
      </w:r>
      <w:r>
        <w:rPr>
          <w:rFonts w:hint="eastAsia" w:hAnsi="黑体"/>
          <w:kern w:val="2"/>
          <w:sz w:val="32"/>
          <w:szCs w:val="32"/>
        </w:rPr>
        <w:t>其他收入</w:t>
      </w:r>
      <w:r>
        <w:rPr>
          <w:rFonts w:hAnsi="黑体" w:cs="Times New Roman"/>
          <w:kern w:val="2"/>
          <w:sz w:val="32"/>
          <w:szCs w:val="32"/>
        </w:rPr>
        <w:t>”</w:t>
      </w:r>
      <w:r>
        <w:rPr>
          <w:rFonts w:hint="eastAsia" w:hAnsi="黑体"/>
          <w:kern w:val="2"/>
          <w:sz w:val="32"/>
          <w:szCs w:val="32"/>
        </w:rPr>
        <w:t>不足以安排当年支出的情况下，使用以前年度积累的事业基金弥补本年度收支缺口的资金。</w:t>
      </w:r>
    </w:p>
    <w:p w14:paraId="246DDEBD">
      <w:pPr>
        <w:pStyle w:val="21"/>
        <w:spacing w:before="0" w:line="360" w:lineRule="auto"/>
        <w:ind w:firstLine="640" w:firstLineChars="200"/>
        <w:rPr>
          <w:rFonts w:hAnsi="黑体" w:cs="Times New Roman"/>
          <w:kern w:val="2"/>
          <w:sz w:val="32"/>
          <w:szCs w:val="32"/>
        </w:rPr>
      </w:pPr>
      <w:r>
        <w:rPr>
          <w:rFonts w:hint="eastAsia" w:hAnsi="黑体"/>
          <w:kern w:val="2"/>
          <w:sz w:val="32"/>
          <w:szCs w:val="32"/>
        </w:rPr>
        <w:t>（六）上年结转：指所属行政事业单位以前年度尚未完成、结转至本年按原规定用途继续使用的资金和以前年度已完成项目剩余资金经批准用于新用途使用的资金。</w:t>
      </w:r>
    </w:p>
    <w:p w14:paraId="6F3A9C53">
      <w:pPr>
        <w:rPr>
          <w:rFonts w:ascii="仿宋_GB2312" w:hAnsi="黑体" w:eastAsia="仿宋_GB2312" w:cs="Times New Roman"/>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仿宋_GB2312">
    <w:panose1 w:val="02000000000000000000"/>
    <w:charset w:val="86"/>
    <w:family w:val="auto"/>
    <w:pitch w:val="default"/>
    <w:sig w:usb0="A00002BF" w:usb1="184F6CFA" w:usb2="00000012"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5E5CB"/>
    <w:multiLevelType w:val="singleLevel"/>
    <w:tmpl w:val="B2C5E5CB"/>
    <w:lvl w:ilvl="0" w:tentative="0">
      <w:start w:val="1"/>
      <w:numFmt w:val="chineseCounting"/>
      <w:suff w:val="nothing"/>
      <w:lvlText w:val="（%1）"/>
      <w:lvlJc w:val="left"/>
      <w:pPr>
        <w:ind w:left="741" w:leftChars="0" w:firstLine="0" w:firstLineChars="0"/>
      </w:pPr>
      <w:rPr>
        <w:rFonts w:hint="eastAsia"/>
      </w:rPr>
    </w:lvl>
  </w:abstractNum>
  <w:abstractNum w:abstractNumId="1">
    <w:nsid w:val="DD9794F7"/>
    <w:multiLevelType w:val="singleLevel"/>
    <w:tmpl w:val="DD9794F7"/>
    <w:lvl w:ilvl="0" w:tentative="0">
      <w:start w:val="7"/>
      <w:numFmt w:val="chineseCounting"/>
      <w:suff w:val="nothing"/>
      <w:lvlText w:val="%1、"/>
      <w:lvlJc w:val="left"/>
      <w:rPr>
        <w:rFonts w:hint="eastAsia"/>
      </w:rPr>
    </w:lvl>
  </w:abstractNum>
  <w:abstractNum w:abstractNumId="2">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lvl>
    <w:lvl w:ilvl="1" w:tentative="0">
      <w:start w:val="1"/>
      <w:numFmt w:val="decimal"/>
      <w:suff w:val="space"/>
      <w:lvlText w:val="%1.%2 "/>
      <w:lvlJc w:val="left"/>
      <w:pPr>
        <w:ind w:left="794" w:hanging="794"/>
      </w:pPr>
    </w:lvl>
    <w:lvl w:ilvl="2" w:tentative="0">
      <w:start w:val="0"/>
      <w:numFmt w:val="decimal"/>
      <w:lvlText w:val=""/>
      <w:lvlJc w:val="left"/>
      <w:pPr>
        <w:tabs>
          <w:tab w:val="left" w:pos="360"/>
        </w:tabs>
      </w:pPr>
    </w:lvl>
    <w:lvl w:ilvl="3" w:tentative="0">
      <w:start w:val="0"/>
      <w:numFmt w:val="decimal"/>
      <w:lvlText w:val=""/>
      <w:lvlJc w:val="left"/>
      <w:pPr>
        <w:tabs>
          <w:tab w:val="left" w:pos="360"/>
        </w:tabs>
      </w:pPr>
    </w:lvl>
    <w:lvl w:ilvl="4" w:tentative="0">
      <w:start w:val="0"/>
      <w:numFmt w:val="decimal"/>
      <w:pStyle w:val="2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BA0D0C1"/>
    <w:multiLevelType w:val="singleLevel"/>
    <w:tmpl w:val="4BA0D0C1"/>
    <w:lvl w:ilvl="0" w:tentative="0">
      <w:start w:val="1"/>
      <w:numFmt w:val="chineseCounting"/>
      <w:suff w:val="nothing"/>
      <w:lvlText w:val="%1、"/>
      <w:lvlJc w:val="left"/>
      <w:rPr>
        <w:rFonts w:hint="eastAsia"/>
      </w:rPr>
    </w:lvl>
  </w:abstractNum>
  <w:abstractNum w:abstractNumId="5">
    <w:nsid w:val="68D9DC0D"/>
    <w:multiLevelType w:val="singleLevel"/>
    <w:tmpl w:val="68D9DC0D"/>
    <w:lvl w:ilvl="0" w:tentative="0">
      <w:start w:val="4"/>
      <w:numFmt w:val="chineseCounting"/>
      <w:suff w:val="nothing"/>
      <w:lvlText w:val="%1、"/>
      <w:lvlJc w:val="left"/>
      <w:rPr>
        <w:rFonts w:hint="eastAsia"/>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OWM3OGJlMzU1ZjMxMGIyM2U1ZDkxN2M2YjViMzEifQ=="/>
  </w:docVars>
  <w:rsids>
    <w:rsidRoot w:val="00352854"/>
    <w:rsid w:val="00002FEA"/>
    <w:rsid w:val="00021436"/>
    <w:rsid w:val="00082EF4"/>
    <w:rsid w:val="00085137"/>
    <w:rsid w:val="00097A74"/>
    <w:rsid w:val="00105B15"/>
    <w:rsid w:val="001A196D"/>
    <w:rsid w:val="002026C1"/>
    <w:rsid w:val="00212DBB"/>
    <w:rsid w:val="00215415"/>
    <w:rsid w:val="00257656"/>
    <w:rsid w:val="00260082"/>
    <w:rsid w:val="00264016"/>
    <w:rsid w:val="002946BD"/>
    <w:rsid w:val="002F6713"/>
    <w:rsid w:val="00316466"/>
    <w:rsid w:val="00352854"/>
    <w:rsid w:val="003762A5"/>
    <w:rsid w:val="004103CC"/>
    <w:rsid w:val="0043059D"/>
    <w:rsid w:val="00471829"/>
    <w:rsid w:val="0047755A"/>
    <w:rsid w:val="00484AEB"/>
    <w:rsid w:val="00487381"/>
    <w:rsid w:val="004A7CFC"/>
    <w:rsid w:val="00527A2C"/>
    <w:rsid w:val="0059475F"/>
    <w:rsid w:val="005E2F94"/>
    <w:rsid w:val="00681CB7"/>
    <w:rsid w:val="006E5FA7"/>
    <w:rsid w:val="006F18F1"/>
    <w:rsid w:val="00702F42"/>
    <w:rsid w:val="007B3677"/>
    <w:rsid w:val="007B3DD4"/>
    <w:rsid w:val="007C7CD1"/>
    <w:rsid w:val="00844940"/>
    <w:rsid w:val="00882412"/>
    <w:rsid w:val="008C1FFD"/>
    <w:rsid w:val="008D3923"/>
    <w:rsid w:val="008F63EB"/>
    <w:rsid w:val="00911B8A"/>
    <w:rsid w:val="009272A9"/>
    <w:rsid w:val="009544A0"/>
    <w:rsid w:val="00986E64"/>
    <w:rsid w:val="00987B5A"/>
    <w:rsid w:val="009C5F76"/>
    <w:rsid w:val="00A55379"/>
    <w:rsid w:val="00AE4FCF"/>
    <w:rsid w:val="00B35F0F"/>
    <w:rsid w:val="00B713B0"/>
    <w:rsid w:val="00B87AD1"/>
    <w:rsid w:val="00BB34A8"/>
    <w:rsid w:val="00BE2508"/>
    <w:rsid w:val="00C0348B"/>
    <w:rsid w:val="00C451EA"/>
    <w:rsid w:val="00C8183B"/>
    <w:rsid w:val="00D20EAB"/>
    <w:rsid w:val="00DB3485"/>
    <w:rsid w:val="00E14DF7"/>
    <w:rsid w:val="00EF71D0"/>
    <w:rsid w:val="00F517FB"/>
    <w:rsid w:val="00F743F0"/>
    <w:rsid w:val="00F806C0"/>
    <w:rsid w:val="00F80C32"/>
    <w:rsid w:val="00FA701D"/>
    <w:rsid w:val="00FF11B9"/>
    <w:rsid w:val="02B40D1A"/>
    <w:rsid w:val="03071C11"/>
    <w:rsid w:val="032A173B"/>
    <w:rsid w:val="03F62DA4"/>
    <w:rsid w:val="053D673B"/>
    <w:rsid w:val="05E875ED"/>
    <w:rsid w:val="063D115E"/>
    <w:rsid w:val="06ED12D4"/>
    <w:rsid w:val="073C521B"/>
    <w:rsid w:val="080C7C81"/>
    <w:rsid w:val="092108C3"/>
    <w:rsid w:val="09953199"/>
    <w:rsid w:val="0BFC4F49"/>
    <w:rsid w:val="0E661722"/>
    <w:rsid w:val="10323CA7"/>
    <w:rsid w:val="13540843"/>
    <w:rsid w:val="161A2538"/>
    <w:rsid w:val="16D90A2F"/>
    <w:rsid w:val="1869199E"/>
    <w:rsid w:val="187A4642"/>
    <w:rsid w:val="18927E0D"/>
    <w:rsid w:val="1931585E"/>
    <w:rsid w:val="1B641CC7"/>
    <w:rsid w:val="1BC17FC4"/>
    <w:rsid w:val="1CB3762C"/>
    <w:rsid w:val="1D66585C"/>
    <w:rsid w:val="1DA943C4"/>
    <w:rsid w:val="1E035A82"/>
    <w:rsid w:val="22E70030"/>
    <w:rsid w:val="231164DB"/>
    <w:rsid w:val="242B4894"/>
    <w:rsid w:val="24651B54"/>
    <w:rsid w:val="24F627AC"/>
    <w:rsid w:val="25884835"/>
    <w:rsid w:val="25E82A3D"/>
    <w:rsid w:val="28702875"/>
    <w:rsid w:val="28CD7CC8"/>
    <w:rsid w:val="2B5E7DB1"/>
    <w:rsid w:val="2CA55B9D"/>
    <w:rsid w:val="2E954963"/>
    <w:rsid w:val="30162ED9"/>
    <w:rsid w:val="315030F1"/>
    <w:rsid w:val="35495995"/>
    <w:rsid w:val="3AFB206B"/>
    <w:rsid w:val="3B530501"/>
    <w:rsid w:val="3DAC7832"/>
    <w:rsid w:val="3DB8680E"/>
    <w:rsid w:val="3FB939D6"/>
    <w:rsid w:val="410F279D"/>
    <w:rsid w:val="454B2248"/>
    <w:rsid w:val="470E1780"/>
    <w:rsid w:val="47BB36B5"/>
    <w:rsid w:val="47C54534"/>
    <w:rsid w:val="48023DBF"/>
    <w:rsid w:val="4972355A"/>
    <w:rsid w:val="4A0607AA"/>
    <w:rsid w:val="4C045991"/>
    <w:rsid w:val="4C27021A"/>
    <w:rsid w:val="4CD7513E"/>
    <w:rsid w:val="4F8D4E2F"/>
    <w:rsid w:val="5A0C396D"/>
    <w:rsid w:val="5F5D55DE"/>
    <w:rsid w:val="60AE06BF"/>
    <w:rsid w:val="618D7A19"/>
    <w:rsid w:val="6582029E"/>
    <w:rsid w:val="65F13345"/>
    <w:rsid w:val="66291030"/>
    <w:rsid w:val="680227E3"/>
    <w:rsid w:val="682E313A"/>
    <w:rsid w:val="68595713"/>
    <w:rsid w:val="6DD41873"/>
    <w:rsid w:val="6DF6312C"/>
    <w:rsid w:val="70567B70"/>
    <w:rsid w:val="71DC4024"/>
    <w:rsid w:val="738642C8"/>
    <w:rsid w:val="76962A74"/>
    <w:rsid w:val="7A065990"/>
    <w:rsid w:val="7A7722F9"/>
    <w:rsid w:val="7ADE49EA"/>
    <w:rsid w:val="7C517E61"/>
    <w:rsid w:val="7E1F0B8A"/>
    <w:rsid w:val="7F642C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11">
    <w:name w:val="Default Paragraph Font"/>
    <w:semiHidden/>
    <w:qFormat/>
    <w:uiPriority w:val="99"/>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tabs>
        <w:tab w:val="left" w:pos="960"/>
      </w:tabs>
      <w:spacing w:line="540" w:lineRule="exact"/>
      <w:ind w:firstLine="1700" w:firstLineChars="1700"/>
    </w:pPr>
    <w:rPr>
      <w:sz w:val="32"/>
      <w:szCs w:val="32"/>
    </w:rPr>
  </w:style>
  <w:style w:type="paragraph" w:styleId="3">
    <w:name w:val="Body Text First Indent 2"/>
    <w:basedOn w:val="2"/>
    <w:next w:val="1"/>
    <w:qFormat/>
    <w:uiPriority w:val="0"/>
    <w:pPr>
      <w:ind w:firstLine="200" w:firstLineChars="200"/>
    </w:pPr>
  </w:style>
  <w:style w:type="paragraph" w:styleId="4">
    <w:name w:val="footer"/>
    <w:basedOn w:val="1"/>
    <w:link w:val="14"/>
    <w:semiHidden/>
    <w:qFormat/>
    <w:uiPriority w:val="99"/>
    <w:pPr>
      <w:tabs>
        <w:tab w:val="center" w:pos="4153"/>
        <w:tab w:val="right" w:pos="8306"/>
      </w:tabs>
      <w:snapToGrid w:val="0"/>
      <w:jc w:val="left"/>
    </w:pPr>
    <w:rPr>
      <w:sz w:val="18"/>
      <w:szCs w:val="18"/>
    </w:rPr>
  </w:style>
  <w:style w:type="paragraph" w:styleId="5">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locked/>
    <w:uiPriority w:val="0"/>
  </w:style>
  <w:style w:type="paragraph" w:styleId="7">
    <w:name w:val="toc 2"/>
    <w:basedOn w:val="1"/>
    <w:next w:val="1"/>
    <w:autoRedefine/>
    <w:qFormat/>
    <w:locked/>
    <w:uiPriority w:val="0"/>
    <w:pPr>
      <w:ind w:left="420" w:leftChars="200"/>
    </w:p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unhideWhenUsed/>
    <w:qFormat/>
    <w:locked/>
    <w:uiPriority w:val="9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99"/>
  </w:style>
  <w:style w:type="paragraph" w:customStyle="1" w:styleId="13">
    <w:name w:val="列出段落1"/>
    <w:basedOn w:val="1"/>
    <w:qFormat/>
    <w:uiPriority w:val="34"/>
    <w:pPr>
      <w:ind w:firstLine="420" w:firstLineChars="200"/>
    </w:pPr>
    <w:rPr>
      <w:rFonts w:ascii="Calibri" w:hAnsi="Calibri" w:eastAsia="宋体" w:cs="Times New Roman"/>
    </w:rPr>
  </w:style>
  <w:style w:type="character" w:customStyle="1" w:styleId="14">
    <w:name w:val="页脚 Char"/>
    <w:link w:val="4"/>
    <w:autoRedefine/>
    <w:semiHidden/>
    <w:qFormat/>
    <w:locked/>
    <w:uiPriority w:val="99"/>
    <w:rPr>
      <w:sz w:val="18"/>
      <w:szCs w:val="18"/>
    </w:rPr>
  </w:style>
  <w:style w:type="character" w:customStyle="1" w:styleId="15">
    <w:name w:val="页眉 Char"/>
    <w:link w:val="5"/>
    <w:semiHidden/>
    <w:qFormat/>
    <w:locked/>
    <w:uiPriority w:val="99"/>
    <w:rPr>
      <w:sz w:val="18"/>
      <w:szCs w:val="18"/>
    </w:rPr>
  </w:style>
  <w:style w:type="character" w:customStyle="1" w:styleId="16">
    <w:name w:val="NormalCharacter"/>
    <w:autoRedefine/>
    <w:semiHidden/>
    <w:qFormat/>
    <w:uiPriority w:val="0"/>
  </w:style>
  <w:style w:type="character" w:customStyle="1" w:styleId="17">
    <w:name w:val="默认段落字体1"/>
    <w:qFormat/>
    <w:uiPriority w:val="99"/>
    <w:rPr>
      <w:sz w:val="22"/>
      <w:szCs w:val="22"/>
    </w:rPr>
  </w:style>
  <w:style w:type="paragraph" w:customStyle="1" w:styleId="18">
    <w:name w:val="List Paragraph"/>
    <w:basedOn w:val="1"/>
    <w:qFormat/>
    <w:uiPriority w:val="99"/>
    <w:pPr>
      <w:ind w:firstLine="420" w:firstLineChars="200"/>
    </w:pPr>
  </w:style>
  <w:style w:type="paragraph" w:customStyle="1" w:styleId="19">
    <w:name w:val="样式2"/>
    <w:basedOn w:val="1"/>
    <w:qFormat/>
    <w:uiPriority w:val="0"/>
    <w:pPr>
      <w:spacing w:line="560" w:lineRule="exact"/>
      <w:ind w:firstLine="420" w:firstLineChars="200"/>
    </w:pPr>
    <w:rPr>
      <w:rFonts w:ascii="Calibri" w:hAnsi="Calibri" w:eastAsia="仿宋_GB2312"/>
      <w:sz w:val="32"/>
      <w:szCs w:val="32"/>
    </w:rPr>
  </w:style>
  <w:style w:type="paragraph" w:customStyle="1" w:styleId="20">
    <w:name w:val="UserStyle_0"/>
    <w:autoRedefine/>
    <w:qFormat/>
    <w:uiPriority w:val="0"/>
    <w:pPr>
      <w:spacing w:line="300" w:lineRule="auto"/>
      <w:textAlignment w:val="baseline"/>
    </w:pPr>
    <w:rPr>
      <w:rFonts w:ascii="Arial" w:hAnsi="Arial" w:eastAsia="宋体" w:cs="Times New Roman"/>
      <w:sz w:val="21"/>
      <w:szCs w:val="21"/>
      <w:lang w:val="en-US" w:eastAsia="zh-CN" w:bidi="ar-SA"/>
    </w:rPr>
  </w:style>
  <w:style w:type="paragraph" w:customStyle="1" w:styleId="21">
    <w:name w:val="正文文本1"/>
    <w:basedOn w:val="1"/>
    <w:qFormat/>
    <w:uiPriority w:val="99"/>
    <w:pPr>
      <w:spacing w:before="93"/>
    </w:pPr>
    <w:rPr>
      <w:rFonts w:ascii="仿宋_GB2312" w:hAnsi="仿宋_GB2312" w:eastAsia="仿宋_GB2312" w:cs="仿宋_GB2312"/>
      <w:kern w:val="0"/>
      <w:sz w:val="30"/>
      <w:szCs w:val="30"/>
    </w:rPr>
  </w:style>
  <w:style w:type="paragraph" w:customStyle="1" w:styleId="22">
    <w:name w:val="UserStyle_1"/>
    <w:basedOn w:val="1"/>
    <w:next w:val="20"/>
    <w:qFormat/>
    <w:uiPriority w:val="0"/>
    <w:pPr>
      <w:keepNext/>
      <w:keepLines/>
      <w:widowControl w:val="0"/>
      <w:numPr>
        <w:ilvl w:val="4"/>
        <w:numId w:val="1"/>
      </w:numPr>
      <w:tabs>
        <w:tab w:val="left" w:pos="3600"/>
      </w:tabs>
      <w:spacing w:before="280" w:after="156" w:line="377" w:lineRule="auto"/>
      <w:ind w:left="3600" w:hanging="360"/>
      <w:textAlignment w:val="auto"/>
    </w:pPr>
    <w:rPr>
      <w:rFonts w:ascii="Arial" w:hAnsi="Arial" w:eastAsia="黑体" w:cs="Times New Roman"/>
      <w:b/>
      <w:sz w:val="24"/>
      <w:szCs w:val="28"/>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adcd1296-48e3-4ddf-97ef-a39e86422cb5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6341E5AB</paraID>
      <start>41</start>
      <end>49</end>
      <status>ignored</status>
      <modifiedWord/>
      <trackRevisions>false</trackRevisions>
    </reviewItem>
    <reviewItem>
      <errorID>738f5580-c764-4fe0-b5e8-73349e469b9a</errorID>
      <errorWord>,</errorWord>
      <group>L1_Format</group>
      <groupName>格式问题</groupName>
      <ability>L2_HalfPunc</ability>
      <abilityName>全半角检查</abilityName>
      <candidateList>
        <item>，</item>
      </candidateList>
      <explain>文本全半角错误。</explain>
      <paraID>6341E5AB</paraID>
      <start>163</start>
      <end>164</end>
      <status>modified</status>
      <modifiedWord>，</modifiedWord>
      <trackRevisions>false</trackRevisions>
    </reviewItem>
    <reviewItem>
      <errorID>51fe12ce-1e79-4b64-aa52-59a17f417263</errorID>
      <errorWord>:</errorWord>
      <group>L1_Format</group>
      <groupName>格式问题</groupName>
      <ability>L2_HalfPunc</ability>
      <abilityName>全半角检查</abilityName>
      <candidateList>
        <item>：</item>
      </candidateList>
      <explain>文本全半角错误。</explain>
      <paraID>6341E5AB</paraID>
      <start>190</start>
      <end>191</end>
      <status>modified</status>
      <modifiedWord>：</modifiedWord>
      <trackRevisions>false</trackRevisions>
    </reviewItem>
    <reviewItem>
      <errorID>460d3d59-75d9-4d0b-bc34-d0a17cec3171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26AB5EB0</paraID>
      <start>27</start>
      <end>35</end>
      <status>ignored</status>
      <modifiedWord/>
      <trackRevisions>false</trackRevisions>
    </reviewItem>
    <reviewItem>
      <errorID>74810b3e-8878-445f-a3be-56d58bc96ac3</errorID>
      <errorWord>,</errorWord>
      <group>L1_Format</group>
      <groupName>格式问题</groupName>
      <ability>L2_HalfPunc</ability>
      <abilityName>全半角检查</abilityName>
      <candidateList>
        <item>，</item>
      </candidateList>
      <explain>文本全半角错误。</explain>
      <paraID>59AB8215</paraID>
      <start>36</start>
      <end>37</end>
      <status>ignored</status>
      <modifiedWord/>
      <trackRevisions>false</trackRevisions>
    </reviewItem>
    <reviewItem>
      <errorID>223ad23b-7f37-4470-8a4a-98dd2af3bdf6</errorID>
      <errorWord>:</errorWord>
      <group>L1_Format</group>
      <groupName>格式问题</groupName>
      <ability>L2_HalfPunc</ability>
      <abilityName>全半角检查</abilityName>
      <candidateList>
        <item>：</item>
      </candidateList>
      <explain>文本全半角错误。</explain>
      <paraID>59AB8215</paraID>
      <start>66</start>
      <end>67</end>
      <status>modified</status>
      <modifiedWord>：</modifiedWord>
      <trackRevisions>false</trackRevisions>
    </reviewItem>
    <reviewItem>
      <errorID>f43f2ac8-ab15-4f32-b806-1129f11a68d8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4531959C</paraID>
      <start>7</start>
      <end>15</end>
      <status>ignored</status>
      <modifiedWord/>
      <trackRevisions>false</trackRevisions>
    </reviewItem>
    <reviewItem>
      <errorID>db12d862-919c-4d31-872b-719356de5c61</errorID>
      <errorWord>:</errorWord>
      <group>L1_Format</group>
      <groupName>格式问题</groupName>
      <ability>L2_HalfPunc</ability>
      <abilityName>全半角检查</abilityName>
      <candidateList>
        <item>：</item>
      </candidateList>
      <explain>文本全半角错误。</explain>
      <paraID> 7652895</paraID>
      <start>61</start>
      <end>62</end>
      <status>modified</status>
      <modifiedWord>：</modifiedWord>
      <trackRevisions>false</trackRevisions>
    </reviewItem>
    <reviewItem>
      <errorID>99314ff3-a829-48a6-b123-813fb225a6ec</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58D96FC4</paraID>
      <start>39</start>
      <end>49</end>
      <status>ignored</status>
      <modifiedWord/>
      <trackRevisions>false</trackRevisions>
    </reviewItem>
    <reviewItem>
      <errorID>f5cf90d3-0c5b-4d01-91e8-c3a1259f8729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5F7E291C</paraID>
      <start>47</start>
      <end>55</end>
      <status>ignored</status>
      <modifiedWord/>
      <trackRevisions>false</trackRevisions>
    </reviewItem>
  </reviewItems>
  <config/>
</contractReview>
</file>

<file path=customXml/itemProps1.xml><?xml version="1.0" encoding="utf-8"?>
<ds:datastoreItem xmlns:ds="http://schemas.openxmlformats.org/officeDocument/2006/customXml" ds:itemID="{0a6d76ce-d5a3-4e48-a98f-bfda8f87277c}">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2951</Words>
  <Characters>3320</Characters>
  <Lines>20</Lines>
  <Paragraphs>5</Paragraphs>
  <TotalTime>3</TotalTime>
  <ScaleCrop>false</ScaleCrop>
  <LinksUpToDate>false</LinksUpToDate>
  <CharactersWithSpaces>3352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2017-12-15T01:50:00Z</dcterms:created>
  <dc:creator>薛永萍</dc:creator>
  <cp:lastModifiedBy>小雨淅淅</cp:lastModifiedBy>
  <cp:lastPrinted>2024-01-31T07:44:00Z</cp:lastPrinted>
  <dcterms:modified xsi:type="dcterms:W3CDTF">2026-01-30T08:39:24Z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3E9F71502664404086A7EB7D96A70946_13</vt:lpwstr>
  </property>
  <property fmtid="{D5CDD505-2E9C-101B-9397-08002B2CF9AE}" pid="4" name="KSOTemplateDocerSaveRecord">
    <vt:lpwstr>eyJoZGlkIjoiYjIyOWM3OGJlMzU1ZjMxMGIyM2U1ZDkxN2M2YjViMzEiLCJ1c2VySWQiOiI2OTUzODg3NzcifQ==</vt:lpwstr>
  </property>
</Properties>
</file>