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E9395">
      <w:pPr>
        <w:rPr>
          <w:rFonts w:ascii="黑体" w:hAnsi="黑体" w:eastAsia="黑体" w:cs="Times New Roman"/>
          <w:sz w:val="44"/>
          <w:szCs w:val="44"/>
        </w:rPr>
      </w:pPr>
    </w:p>
    <w:p w14:paraId="5ED219EC">
      <w:pPr>
        <w:rPr>
          <w:rFonts w:ascii="黑体" w:hAnsi="黑体" w:eastAsia="黑体" w:cs="Times New Roman"/>
          <w:sz w:val="44"/>
          <w:szCs w:val="44"/>
        </w:rPr>
      </w:pPr>
    </w:p>
    <w:p w14:paraId="47D6A647">
      <w:pPr>
        <w:rPr>
          <w:rFonts w:ascii="黑体" w:hAnsi="黑体" w:eastAsia="黑体" w:cs="Times New Roman"/>
          <w:sz w:val="44"/>
          <w:szCs w:val="44"/>
        </w:rPr>
      </w:pPr>
    </w:p>
    <w:p w14:paraId="2CE1E6C7">
      <w:pPr>
        <w:rPr>
          <w:rFonts w:ascii="黑体" w:hAnsi="黑体" w:eastAsia="黑体" w:cs="Times New Roman"/>
          <w:sz w:val="44"/>
          <w:szCs w:val="44"/>
        </w:rPr>
      </w:pPr>
    </w:p>
    <w:p w14:paraId="1F66FCE6">
      <w:pPr>
        <w:rPr>
          <w:rFonts w:ascii="黑体" w:hAnsi="黑体" w:eastAsia="黑体" w:cs="Times New Roman"/>
          <w:sz w:val="44"/>
          <w:szCs w:val="44"/>
        </w:rPr>
      </w:pPr>
    </w:p>
    <w:p w14:paraId="697CE35F">
      <w:pPr>
        <w:jc w:val="center"/>
        <w:rPr>
          <w:rFonts w:hint="eastAsia" w:ascii="黑体" w:hAnsi="黑体" w:eastAsia="黑体" w:cs="黑体"/>
          <w:sz w:val="72"/>
          <w:szCs w:val="72"/>
        </w:rPr>
      </w:pPr>
      <w:r>
        <w:rPr>
          <w:rFonts w:hint="eastAsia" w:ascii="黑体" w:hAnsi="黑体" w:eastAsia="黑体" w:cs="黑体"/>
          <w:sz w:val="72"/>
          <w:szCs w:val="72"/>
        </w:rPr>
        <w:t>壤塘县科学技术协会</w:t>
      </w:r>
    </w:p>
    <w:p w14:paraId="2C864FE4">
      <w:pPr>
        <w:jc w:val="center"/>
        <w:rPr>
          <w:rFonts w:ascii="黑体" w:hAnsi="黑体" w:eastAsia="黑体" w:cs="Times New Roman"/>
          <w:sz w:val="72"/>
          <w:szCs w:val="72"/>
        </w:rPr>
      </w:pPr>
      <w:r>
        <w:rPr>
          <w:rFonts w:hint="eastAsia" w:ascii="黑体" w:hAnsi="黑体" w:eastAsia="黑体" w:cs="黑体"/>
          <w:sz w:val="72"/>
          <w:szCs w:val="72"/>
          <w:lang w:eastAsia="zh-CN"/>
        </w:rPr>
        <w:t>2025年</w:t>
      </w:r>
      <w:r>
        <w:rPr>
          <w:rFonts w:hint="eastAsia" w:ascii="黑体" w:hAnsi="黑体" w:eastAsia="黑体" w:cs="黑体"/>
          <w:sz w:val="72"/>
          <w:szCs w:val="72"/>
        </w:rPr>
        <w:t>部门预算</w:t>
      </w:r>
    </w:p>
    <w:p w14:paraId="4202359D">
      <w:pPr>
        <w:jc w:val="center"/>
        <w:rPr>
          <w:rFonts w:ascii="黑体" w:hAnsi="黑体" w:eastAsia="黑体" w:cs="Times New Roman"/>
          <w:sz w:val="44"/>
          <w:szCs w:val="44"/>
        </w:rPr>
      </w:pPr>
    </w:p>
    <w:p w14:paraId="5D31D6DD">
      <w:pPr>
        <w:jc w:val="center"/>
        <w:rPr>
          <w:rFonts w:ascii="黑体" w:hAnsi="黑体" w:eastAsia="黑体" w:cs="Times New Roman"/>
          <w:sz w:val="44"/>
          <w:szCs w:val="44"/>
        </w:rPr>
      </w:pPr>
    </w:p>
    <w:p w14:paraId="3FA9DD75">
      <w:pPr>
        <w:jc w:val="center"/>
        <w:rPr>
          <w:rFonts w:ascii="黑体" w:hAnsi="黑体" w:eastAsia="黑体" w:cs="Times New Roman"/>
          <w:sz w:val="44"/>
          <w:szCs w:val="44"/>
        </w:rPr>
      </w:pPr>
    </w:p>
    <w:p w14:paraId="2EB08747">
      <w:pPr>
        <w:jc w:val="center"/>
        <w:rPr>
          <w:rFonts w:ascii="黑体" w:hAnsi="黑体" w:eastAsia="黑体" w:cs="Times New Roman"/>
          <w:sz w:val="44"/>
          <w:szCs w:val="44"/>
        </w:rPr>
      </w:pPr>
    </w:p>
    <w:p w14:paraId="7F753A59">
      <w:pPr>
        <w:jc w:val="center"/>
        <w:rPr>
          <w:rFonts w:ascii="黑体" w:hAnsi="黑体" w:eastAsia="黑体" w:cs="Times New Roman"/>
          <w:sz w:val="44"/>
          <w:szCs w:val="44"/>
        </w:rPr>
      </w:pPr>
    </w:p>
    <w:p w14:paraId="2FA0564E">
      <w:pPr>
        <w:jc w:val="center"/>
        <w:rPr>
          <w:rFonts w:ascii="黑体" w:hAnsi="黑体" w:eastAsia="黑体" w:cs="Times New Roman"/>
          <w:sz w:val="44"/>
          <w:szCs w:val="44"/>
        </w:rPr>
      </w:pPr>
    </w:p>
    <w:p w14:paraId="2CCFA55B">
      <w:pPr>
        <w:jc w:val="center"/>
        <w:rPr>
          <w:rFonts w:ascii="黑体" w:hAnsi="黑体" w:eastAsia="黑体" w:cs="Times New Roman"/>
          <w:sz w:val="44"/>
          <w:szCs w:val="44"/>
        </w:rPr>
      </w:pPr>
    </w:p>
    <w:p w14:paraId="6CA75DA6">
      <w:pPr>
        <w:jc w:val="center"/>
        <w:rPr>
          <w:rFonts w:ascii="黑体" w:hAnsi="黑体" w:eastAsia="黑体" w:cs="Times New Roman"/>
          <w:sz w:val="44"/>
          <w:szCs w:val="44"/>
        </w:rPr>
      </w:pPr>
    </w:p>
    <w:p w14:paraId="487253A3">
      <w:pPr>
        <w:jc w:val="center"/>
        <w:rPr>
          <w:rFonts w:ascii="黑体" w:hAnsi="黑体" w:eastAsia="黑体" w:cs="Times New Roman"/>
          <w:sz w:val="44"/>
          <w:szCs w:val="44"/>
        </w:rPr>
      </w:pPr>
    </w:p>
    <w:p w14:paraId="73F78375">
      <w:pPr>
        <w:jc w:val="center"/>
        <w:rPr>
          <w:rFonts w:ascii="黑体" w:hAnsi="黑体" w:eastAsia="黑体" w:cs="Times New Roman"/>
          <w:sz w:val="44"/>
          <w:szCs w:val="44"/>
        </w:rPr>
      </w:pPr>
    </w:p>
    <w:p w14:paraId="53F8F737">
      <w:pPr>
        <w:ind w:firstLine="2080" w:firstLineChars="400"/>
        <w:jc w:val="both"/>
        <w:rPr>
          <w:rFonts w:hint="eastAsia" w:ascii="黑体" w:hAnsi="黑体" w:eastAsia="黑体" w:cs="黑体"/>
          <w:sz w:val="52"/>
          <w:szCs w:val="52"/>
          <w:lang w:val="en-US" w:eastAsia="zh-CN"/>
        </w:rPr>
      </w:pPr>
    </w:p>
    <w:p w14:paraId="729D65A8">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785D71E8">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67CF5F67">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29680BAB">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0B660AEC">
      <w:pPr>
        <w:spacing w:before="0" w:beforeLines="0" w:after="0" w:afterLines="0" w:line="240" w:lineRule="auto"/>
        <w:ind w:left="0" w:leftChars="0" w:right="0" w:rightChars="0" w:firstLine="0" w:firstLineChars="0"/>
        <w:jc w:val="both"/>
        <w:rPr>
          <w:rFonts w:ascii="宋体" w:hAnsi="宋体" w:eastAsia="宋体" w:cs="Calibri"/>
          <w:kern w:val="2"/>
          <w:sz w:val="21"/>
          <w:szCs w:val="21"/>
          <w:lang w:val="en-US" w:eastAsia="zh-CN" w:bidi="ar-SA"/>
        </w:rPr>
      </w:pPr>
    </w:p>
    <w:p w14:paraId="0C623AA3">
      <w:pPr>
        <w:spacing w:before="0" w:beforeLines="0" w:after="0" w:afterLines="0" w:line="240" w:lineRule="auto"/>
        <w:ind w:left="0" w:leftChars="0" w:right="0" w:rightChars="0" w:firstLine="0" w:firstLineChars="0"/>
        <w:jc w:val="center"/>
        <w:rPr>
          <w:rFonts w:ascii="宋体" w:hAnsi="宋体" w:eastAsia="宋体" w:cs="Calibri"/>
          <w:kern w:val="2"/>
          <w:sz w:val="21"/>
          <w:szCs w:val="21"/>
          <w:lang w:val="en-US" w:eastAsia="zh-CN" w:bidi="ar-SA"/>
        </w:rPr>
      </w:pPr>
    </w:p>
    <w:p w14:paraId="2212BF9E">
      <w:pPr>
        <w:spacing w:before="0" w:beforeLines="0" w:after="0" w:afterLines="0" w:line="240" w:lineRule="auto"/>
        <w:ind w:left="0" w:leftChars="0" w:right="0" w:rightChars="0" w:firstLine="0" w:firstLineChars="0"/>
        <w:jc w:val="center"/>
        <w:rPr>
          <w:rFonts w:ascii="黑体" w:hAnsi="黑体" w:eastAsia="黑体" w:cs="Times New Roman"/>
          <w:sz w:val="52"/>
          <w:szCs w:val="52"/>
        </w:rPr>
      </w:pPr>
      <w:r>
        <w:rPr>
          <w:rFonts w:hint="eastAsia" w:ascii="黑体" w:hAnsi="黑体" w:eastAsia="黑体" w:cs="黑体"/>
          <w:sz w:val="52"/>
          <w:szCs w:val="52"/>
        </w:rPr>
        <w:t>目</w:t>
      </w:r>
      <w:r>
        <w:rPr>
          <w:rFonts w:ascii="黑体" w:hAnsi="黑体" w:eastAsia="黑体" w:cs="黑体"/>
          <w:sz w:val="52"/>
          <w:szCs w:val="52"/>
        </w:rPr>
        <w:t xml:space="preserve"> </w:t>
      </w:r>
      <w:r>
        <w:rPr>
          <w:rFonts w:hint="eastAsia" w:ascii="黑体" w:hAnsi="黑体" w:eastAsia="黑体" w:cs="黑体"/>
          <w:sz w:val="52"/>
          <w:szCs w:val="52"/>
        </w:rPr>
        <w:t>录</w:t>
      </w:r>
    </w:p>
    <w:p w14:paraId="19586908">
      <w:pPr>
        <w:ind w:firstLine="3080" w:firstLineChars="700"/>
        <w:rPr>
          <w:rFonts w:ascii="黑体" w:hAnsi="黑体" w:eastAsia="黑体" w:cs="Times New Roman"/>
          <w:sz w:val="44"/>
          <w:szCs w:val="44"/>
        </w:rPr>
      </w:pPr>
    </w:p>
    <w:p w14:paraId="30FD666D">
      <w:pPr>
        <w:pStyle w:val="18"/>
        <w:numPr>
          <w:ilvl w:val="0"/>
          <w:numId w:val="2"/>
        </w:numPr>
        <w:ind w:firstLineChars="0"/>
        <w:rPr>
          <w:rFonts w:ascii="黑体" w:hAnsi="黑体" w:eastAsia="黑体" w:cs="Times New Roman"/>
          <w:sz w:val="32"/>
          <w:szCs w:val="32"/>
        </w:rPr>
      </w:pPr>
      <w:r>
        <w:rPr>
          <w:rFonts w:hint="eastAsia" w:ascii="黑体" w:hAnsi="黑体" w:eastAsia="黑体" w:cs="黑体"/>
          <w:sz w:val="32"/>
          <w:szCs w:val="32"/>
        </w:rPr>
        <w:t>基本职能及主要工作</w:t>
      </w:r>
    </w:p>
    <w:p w14:paraId="42751F10">
      <w:pPr>
        <w:rPr>
          <w:rFonts w:ascii="仿宋_GB2312" w:hAnsi="黑体" w:eastAsia="仿宋_GB2312" w:cs="Times New Roman"/>
          <w:sz w:val="32"/>
          <w:szCs w:val="32"/>
        </w:rPr>
      </w:pPr>
      <w:r>
        <w:rPr>
          <w:rFonts w:hint="eastAsia" w:ascii="仿宋_GB2312" w:hAnsi="黑体" w:eastAsia="仿宋_GB2312" w:cs="仿宋_GB2312"/>
          <w:sz w:val="32"/>
          <w:szCs w:val="32"/>
        </w:rPr>
        <w:t>（一）部门职能简介</w:t>
      </w:r>
    </w:p>
    <w:p w14:paraId="16BBA6CB">
      <w:pPr>
        <w:rPr>
          <w:rFonts w:ascii="仿宋_GB2312" w:hAnsi="黑体" w:eastAsia="仿宋_GB2312" w:cs="Times New Roman"/>
          <w:sz w:val="32"/>
          <w:szCs w:val="32"/>
        </w:rPr>
      </w:pPr>
      <w:r>
        <w:rPr>
          <w:rFonts w:hint="eastAsia" w:ascii="仿宋_GB2312" w:hAnsi="黑体" w:eastAsia="仿宋_GB2312" w:cs="仿宋_GB2312"/>
          <w:sz w:val="32"/>
          <w:szCs w:val="32"/>
        </w:rPr>
        <w:t>（二）</w:t>
      </w:r>
      <w:r>
        <w:rPr>
          <w:rFonts w:hint="eastAsia" w:ascii="仿宋_GB2312" w:hAnsi="黑体" w:eastAsia="仿宋_GB2312" w:cs="仿宋_GB2312"/>
          <w:sz w:val="32"/>
          <w:szCs w:val="32"/>
          <w:lang w:eastAsia="zh-CN"/>
        </w:rPr>
        <w:t>2025年</w:t>
      </w:r>
      <w:r>
        <w:rPr>
          <w:rFonts w:hint="eastAsia" w:ascii="仿宋_GB2312" w:hAnsi="黑体" w:eastAsia="仿宋_GB2312" w:cs="仿宋_GB2312"/>
          <w:sz w:val="32"/>
          <w:szCs w:val="32"/>
        </w:rPr>
        <w:t>重点工作</w:t>
      </w:r>
    </w:p>
    <w:p w14:paraId="14D23F12">
      <w:pPr>
        <w:rPr>
          <w:rFonts w:ascii="黑体" w:hAnsi="黑体" w:eastAsia="黑体" w:cs="Times New Roman"/>
          <w:sz w:val="32"/>
          <w:szCs w:val="32"/>
        </w:rPr>
      </w:pPr>
      <w:r>
        <w:rPr>
          <w:rFonts w:hint="eastAsia" w:ascii="黑体" w:hAnsi="黑体" w:eastAsia="黑体" w:cs="黑体"/>
          <w:sz w:val="32"/>
          <w:szCs w:val="32"/>
        </w:rPr>
        <w:t>二、部门预算单位构成</w:t>
      </w:r>
    </w:p>
    <w:p w14:paraId="0C3C4954">
      <w:pPr>
        <w:rPr>
          <w:rFonts w:ascii="黑体" w:hAnsi="黑体" w:eastAsia="黑体" w:cs="Times New Roman"/>
          <w:sz w:val="32"/>
          <w:szCs w:val="32"/>
        </w:rPr>
      </w:pPr>
      <w:r>
        <w:rPr>
          <w:rFonts w:hint="eastAsia" w:ascii="黑体" w:hAnsi="黑体" w:eastAsia="黑体" w:cs="黑体"/>
          <w:sz w:val="32"/>
          <w:szCs w:val="32"/>
        </w:rPr>
        <w:t>三、收支预算情况说明</w:t>
      </w:r>
    </w:p>
    <w:p w14:paraId="3FDCC2FF">
      <w:pPr>
        <w:rPr>
          <w:rFonts w:ascii="仿宋_GB2312" w:hAnsi="黑体" w:eastAsia="仿宋_GB2312" w:cs="Times New Roman"/>
          <w:sz w:val="32"/>
          <w:szCs w:val="32"/>
        </w:rPr>
      </w:pPr>
      <w:r>
        <w:rPr>
          <w:rFonts w:hint="eastAsia" w:ascii="黑体" w:hAnsi="黑体" w:eastAsia="黑体" w:cs="黑体"/>
          <w:sz w:val="32"/>
          <w:szCs w:val="32"/>
        </w:rPr>
        <w:t>（</w:t>
      </w:r>
      <w:r>
        <w:rPr>
          <w:rFonts w:hint="eastAsia" w:ascii="仿宋_GB2312" w:hAnsi="黑体" w:eastAsia="仿宋_GB2312" w:cs="仿宋_GB2312"/>
          <w:sz w:val="32"/>
          <w:szCs w:val="32"/>
        </w:rPr>
        <w:t>一）收入预算情况</w:t>
      </w:r>
    </w:p>
    <w:p w14:paraId="2CA67A9A">
      <w:pPr>
        <w:rPr>
          <w:rFonts w:ascii="仿宋_GB2312" w:hAnsi="黑体" w:eastAsia="仿宋_GB2312" w:cs="Times New Roman"/>
          <w:sz w:val="32"/>
          <w:szCs w:val="32"/>
        </w:rPr>
      </w:pPr>
      <w:r>
        <w:rPr>
          <w:rFonts w:hint="eastAsia" w:ascii="仿宋_GB2312" w:hAnsi="黑体" w:eastAsia="仿宋_GB2312" w:cs="仿宋_GB2312"/>
          <w:sz w:val="32"/>
          <w:szCs w:val="32"/>
        </w:rPr>
        <w:t>（二）支出预算情况</w:t>
      </w:r>
    </w:p>
    <w:p w14:paraId="5703D0F2">
      <w:pPr>
        <w:rPr>
          <w:rFonts w:ascii="黑体" w:hAnsi="黑体" w:eastAsia="黑体" w:cs="Times New Roman"/>
          <w:sz w:val="32"/>
          <w:szCs w:val="32"/>
        </w:rPr>
      </w:pPr>
      <w:r>
        <w:rPr>
          <w:rFonts w:hint="eastAsia" w:ascii="黑体" w:hAnsi="黑体" w:eastAsia="黑体" w:cs="黑体"/>
          <w:sz w:val="32"/>
          <w:szCs w:val="32"/>
        </w:rPr>
        <w:t>四、财政拨款收支预算情况说明</w:t>
      </w:r>
    </w:p>
    <w:p w14:paraId="153FDFF9">
      <w:pPr>
        <w:rPr>
          <w:rFonts w:ascii="黑体" w:hAnsi="黑体" w:eastAsia="黑体" w:cs="Times New Roman"/>
          <w:sz w:val="32"/>
          <w:szCs w:val="32"/>
        </w:rPr>
      </w:pPr>
      <w:r>
        <w:rPr>
          <w:rFonts w:hint="eastAsia" w:ascii="黑体" w:hAnsi="黑体" w:eastAsia="黑体" w:cs="黑体"/>
          <w:sz w:val="32"/>
          <w:szCs w:val="32"/>
        </w:rPr>
        <w:t>五、一般公共预算当年拨款情况说明</w:t>
      </w:r>
    </w:p>
    <w:p w14:paraId="33E16966">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（一）一般公共预算当年拨款规模变化情况</w:t>
      </w:r>
    </w:p>
    <w:p w14:paraId="365893C7">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（二）一般公共预算当年拨款结构情况</w:t>
      </w:r>
    </w:p>
    <w:p w14:paraId="04DDC823">
      <w:pP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（三）一般公共预算当年拨款具体使用情况</w:t>
      </w:r>
    </w:p>
    <w:p w14:paraId="28D60FAC">
      <w:pPr>
        <w:rPr>
          <w:rFonts w:hint="eastAsia" w:ascii="黑体" w:hAnsi="黑体" w:eastAsia="黑体" w:cs="黑体"/>
          <w:sz w:val="32"/>
          <w:szCs w:val="32"/>
          <w:lang w:eastAsia="zh-CN"/>
        </w:rPr>
      </w:pPr>
      <w:r>
        <w:rPr>
          <w:rFonts w:hint="eastAsia" w:ascii="黑体" w:hAnsi="黑体" w:eastAsia="黑体" w:cs="黑体"/>
          <w:sz w:val="32"/>
          <w:szCs w:val="32"/>
        </w:rPr>
        <w:t>六、一般公共预算基本支出情况说明</w:t>
      </w:r>
    </w:p>
    <w:p w14:paraId="18EB03D0">
      <w:pPr>
        <w:rPr>
          <w:rFonts w:hint="eastAsia" w:ascii="黑体" w:hAnsi="黑体" w:eastAsia="黑体" w:cs="黑体"/>
          <w:sz w:val="32"/>
          <w:szCs w:val="32"/>
          <w:lang w:eastAsia="zh-CN"/>
        </w:rPr>
      </w:pPr>
      <w:r>
        <w:rPr>
          <w:rFonts w:hint="eastAsia" w:ascii="黑体" w:hAnsi="黑体" w:eastAsia="黑体" w:cs="黑体"/>
          <w:sz w:val="32"/>
          <w:szCs w:val="32"/>
        </w:rPr>
        <w:t>七、“三公”经费财政拨款预算安排情况说明</w:t>
      </w:r>
    </w:p>
    <w:p w14:paraId="3A2BA456">
      <w:pPr>
        <w:rPr>
          <w:rFonts w:hint="eastAsia" w:ascii="黑体" w:hAnsi="黑体" w:eastAsia="黑体" w:cs="黑体"/>
          <w:sz w:val="32"/>
          <w:szCs w:val="32"/>
          <w:lang w:eastAsia="zh-CN"/>
        </w:rPr>
      </w:pPr>
      <w:r>
        <w:rPr>
          <w:rFonts w:hint="eastAsia" w:ascii="黑体" w:hAnsi="黑体" w:eastAsia="黑体" w:cs="黑体"/>
          <w:sz w:val="32"/>
          <w:szCs w:val="32"/>
        </w:rPr>
        <w:t>八、政府性基金预算支出情况说明</w:t>
      </w:r>
    </w:p>
    <w:p w14:paraId="15857818">
      <w:pPr>
        <w:rPr>
          <w:rFonts w:hint="eastAsia" w:ascii="黑体" w:hAnsi="黑体" w:eastAsia="黑体" w:cs="黑体"/>
          <w:sz w:val="32"/>
          <w:szCs w:val="32"/>
          <w:lang w:eastAsia="zh-CN"/>
        </w:rPr>
      </w:pPr>
      <w:r>
        <w:rPr>
          <w:rFonts w:hint="eastAsia" w:ascii="黑体" w:hAnsi="黑体" w:eastAsia="黑体" w:cs="黑体"/>
          <w:sz w:val="32"/>
          <w:szCs w:val="32"/>
        </w:rPr>
        <w:t>九、其他重要事项的情况说明</w:t>
      </w:r>
    </w:p>
    <w:p w14:paraId="1D6441B1">
      <w:pPr>
        <w:rPr>
          <w:rFonts w:ascii="黑体" w:hAnsi="黑体" w:eastAsia="黑体" w:cs="Times New Roman"/>
          <w:sz w:val="32"/>
          <w:szCs w:val="32"/>
        </w:rPr>
      </w:pPr>
      <w:r>
        <w:rPr>
          <w:rFonts w:hint="eastAsia" w:ascii="黑体" w:hAnsi="黑体" w:eastAsia="黑体" w:cs="黑体"/>
          <w:sz w:val="32"/>
          <w:szCs w:val="32"/>
        </w:rPr>
        <w:t>十、名称解释</w:t>
      </w:r>
    </w:p>
    <w:p w14:paraId="35CD7548">
      <w:pPr>
        <w:rPr>
          <w:rFonts w:ascii="黑体" w:hAnsi="黑体" w:eastAsia="黑体" w:cs="Times New Roman"/>
          <w:sz w:val="44"/>
          <w:szCs w:val="44"/>
        </w:rPr>
      </w:pPr>
    </w:p>
    <w:p w14:paraId="51AEFFFB">
      <w:pPr>
        <w:pStyle w:val="3"/>
        <w:rPr>
          <w:rFonts w:ascii="黑体" w:hAnsi="黑体" w:eastAsia="黑体" w:cs="Times New Roman"/>
          <w:sz w:val="44"/>
          <w:szCs w:val="44"/>
        </w:rPr>
      </w:pPr>
    </w:p>
    <w:p w14:paraId="28D481FE">
      <w:pPr>
        <w:pStyle w:val="3"/>
        <w:ind w:left="0" w:leftChars="0" w:firstLine="0" w:firstLineChars="0"/>
        <w:rPr>
          <w:rFonts w:ascii="黑体" w:hAnsi="黑体" w:eastAsia="黑体" w:cs="Times New Roman"/>
          <w:sz w:val="44"/>
          <w:szCs w:val="44"/>
        </w:rPr>
      </w:pPr>
    </w:p>
    <w:p w14:paraId="61765312"/>
    <w:p w14:paraId="4824DF29">
      <w:pPr>
        <w:pStyle w:val="21"/>
        <w:numPr>
          <w:ilvl w:val="0"/>
          <w:numId w:val="3"/>
        </w:numPr>
        <w:spacing w:before="0" w:line="240" w:lineRule="auto"/>
        <w:ind w:firstLine="0" w:firstLineChars="0"/>
        <w:outlineLvl w:val="0"/>
        <w:rPr>
          <w:rFonts w:hint="eastAsia" w:ascii="楷体_GB2312" w:hAnsi="黑体" w:eastAsia="楷体_GB2312" w:cs="楷体_GB2312"/>
          <w:b/>
          <w:bCs/>
          <w:kern w:val="2"/>
          <w:sz w:val="32"/>
          <w:szCs w:val="32"/>
        </w:rPr>
      </w:pPr>
      <w:bookmarkStart w:id="0" w:name="_Toc9056"/>
      <w:bookmarkStart w:id="1" w:name="_Toc12374_WPSOffice_Level1"/>
      <w:r>
        <w:rPr>
          <w:rFonts w:hint="eastAsia" w:ascii="黑体" w:hAnsi="黑体" w:eastAsia="黑体" w:cs="黑体"/>
          <w:kern w:val="2"/>
          <w:sz w:val="32"/>
          <w:szCs w:val="32"/>
        </w:rPr>
        <w:t>基本职能及主要工作</w:t>
      </w:r>
      <w:bookmarkEnd w:id="0"/>
      <w:bookmarkEnd w:id="1"/>
    </w:p>
    <w:p w14:paraId="40DED125">
      <w:pPr>
        <w:pStyle w:val="21"/>
        <w:numPr>
          <w:ilvl w:val="0"/>
          <w:numId w:val="0"/>
        </w:numPr>
        <w:spacing w:before="0" w:line="360" w:lineRule="auto"/>
        <w:outlineLvl w:val="1"/>
        <w:rPr>
          <w:rFonts w:hint="eastAsia" w:ascii="楷体_GB2312" w:hAnsi="黑体" w:eastAsia="楷体_GB2312" w:cs="楷体_GB2312"/>
          <w:b/>
          <w:bCs/>
          <w:kern w:val="2"/>
          <w:sz w:val="32"/>
          <w:szCs w:val="32"/>
        </w:rPr>
      </w:pPr>
      <w:r>
        <w:rPr>
          <w:rFonts w:ascii="??" w:hAnsi="??" w:eastAsia="宋体" w:cs="??"/>
          <w:sz w:val="16"/>
          <w:szCs w:val="16"/>
        </w:rPr>
        <w:t xml:space="preserve"> </w:t>
      </w:r>
      <w:bookmarkStart w:id="2" w:name="_Toc22946_WPSOffice_Level1"/>
      <w:bookmarkStart w:id="3" w:name="_Toc26861"/>
      <w:r>
        <w:rPr>
          <w:rFonts w:hint="eastAsia" w:ascii="楷体_GB2312" w:hAnsi="黑体" w:eastAsia="楷体_GB2312" w:cs="楷体_GB2312"/>
          <w:b/>
          <w:bCs/>
          <w:kern w:val="2"/>
          <w:sz w:val="32"/>
          <w:szCs w:val="32"/>
        </w:rPr>
        <w:t>（一）壤塘县科学技术协会职能简介</w:t>
      </w:r>
      <w:bookmarkEnd w:id="2"/>
      <w:bookmarkEnd w:id="3"/>
    </w:p>
    <w:p w14:paraId="4E69703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县科协是全县学会（协会）和乡镇科协、企业、学校科协组成的科技工作者的群众组织，是中共壤塘县委领导下的人民团体，是党委和政府联系科技工作者的纽带和发展科学技术事业的助手，其职能是： </w:t>
      </w:r>
    </w:p>
    <w:p w14:paraId="4189AC7E">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1.开展学术交流、活跃学术思想，促进学科发展，推动决策科学化和民主化。 </w:t>
      </w:r>
    </w:p>
    <w:p w14:paraId="61DC078F">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2.普及科学知识，推广先进技术，促进科技成果向现实生产力转化。 </w:t>
      </w:r>
    </w:p>
    <w:p w14:paraId="10143ACC">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3.为科技、经济、社会协调发展献计献策，进行决策咨询和技术服务，兴办科技经济实体。 </w:t>
      </w:r>
    </w:p>
    <w:p w14:paraId="67EBFF48">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4.反映科技工作者的呼声和要求，保护科技工作者的合法权益。 </w:t>
      </w:r>
    </w:p>
    <w:p w14:paraId="234B9A50">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5.开展继续教育，技术培训，农村科普和青少年科技教育活动。 </w:t>
      </w:r>
    </w:p>
    <w:p w14:paraId="3135E7DE">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6.参与地方性科技政策，法规及科技计划、规划的制定。 </w:t>
      </w:r>
    </w:p>
    <w:p w14:paraId="194FE4B7">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7.加强对县级学（协）会及农村专业技术团队的业务指导。 </w:t>
      </w:r>
    </w:p>
    <w:p w14:paraId="589A3091">
      <w:pPr>
        <w:widowControl/>
        <w:shd w:val="clear" w:color="auto" w:fill="auto"/>
        <w:spacing w:line="480" w:lineRule="auto"/>
        <w:ind w:firstLine="48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8.编辑学术刊物和科普读物，为科技团体和科技工作者服务。 </w:t>
      </w:r>
    </w:p>
    <w:p w14:paraId="7CB98EE1">
      <w:pPr>
        <w:pStyle w:val="21"/>
        <w:spacing w:before="0" w:line="360" w:lineRule="auto"/>
        <w:ind w:firstLine="630" w:firstLineChars="196"/>
        <w:outlineLvl w:val="1"/>
        <w:rPr>
          <w:rFonts w:ascii="楷体_GB2312" w:hAnsi="黑体" w:eastAsia="楷体_GB2312" w:cs="楷体_GB2312"/>
          <w:b/>
          <w:bCs/>
          <w:color w:val="auto"/>
          <w:kern w:val="2"/>
          <w:sz w:val="32"/>
          <w:szCs w:val="32"/>
        </w:rPr>
      </w:pPr>
      <w:bookmarkStart w:id="4" w:name="_Toc16204"/>
      <w:bookmarkStart w:id="5" w:name="_Toc30073_WPSOffice_Level1"/>
      <w:r>
        <w:rPr>
          <w:rFonts w:hint="eastAsia" w:ascii="楷体_GB2312" w:hAnsi="黑体" w:eastAsia="楷体_GB2312" w:cs="楷体_GB2312"/>
          <w:b/>
          <w:bCs/>
          <w:color w:val="auto"/>
          <w:kern w:val="2"/>
          <w:sz w:val="32"/>
          <w:szCs w:val="32"/>
        </w:rPr>
        <w:t>（二）壤塘县科学技术协会</w:t>
      </w:r>
      <w:r>
        <w:rPr>
          <w:rFonts w:hint="eastAsia" w:ascii="楷体_GB2312" w:hAnsi="黑体" w:eastAsia="楷体_GB2312" w:cs="楷体_GB2312"/>
          <w:b/>
          <w:bCs/>
          <w:color w:val="auto"/>
          <w:kern w:val="2"/>
          <w:sz w:val="32"/>
          <w:szCs w:val="32"/>
          <w:lang w:eastAsia="zh-CN"/>
        </w:rPr>
        <w:t>2025年</w:t>
      </w:r>
      <w:r>
        <w:rPr>
          <w:rFonts w:hint="eastAsia" w:ascii="楷体_GB2312" w:hAnsi="黑体" w:eastAsia="楷体_GB2312" w:cs="楷体_GB2312"/>
          <w:b/>
          <w:bCs/>
          <w:color w:val="auto"/>
          <w:kern w:val="2"/>
          <w:sz w:val="32"/>
          <w:szCs w:val="32"/>
        </w:rPr>
        <w:t>重点工作</w:t>
      </w:r>
      <w:bookmarkEnd w:id="4"/>
      <w:bookmarkEnd w:id="5"/>
    </w:p>
    <w:p w14:paraId="4AB823BD">
      <w:pPr>
        <w:widowControl/>
        <w:shd w:val="clear" w:color="auto" w:fill="auto"/>
        <w:spacing w:line="480" w:lineRule="auto"/>
        <w:ind w:firstLine="480"/>
        <w:jc w:val="left"/>
        <w:rPr>
          <w:rFonts w:hint="eastAsia" w:ascii="仿宋_GB2312" w:hAnsi="黑体" w:eastAsia="仿宋_GB2312" w:cs="仿宋_GB2312"/>
          <w:sz w:val="32"/>
          <w:szCs w:val="32"/>
          <w:lang w:val="en-US" w:eastAsia="zh-CN"/>
        </w:rPr>
      </w:pPr>
      <w:bookmarkStart w:id="6" w:name="_Toc8328"/>
      <w:bookmarkStart w:id="7" w:name="_Toc16251_WPSOffice_Level1"/>
      <w:r>
        <w:rPr>
          <w:rFonts w:hint="eastAsia" w:ascii="仿宋_GB2312" w:hAnsi="黑体" w:eastAsia="仿宋_GB2312" w:cs="仿宋_GB2312"/>
          <w:sz w:val="32"/>
          <w:szCs w:val="32"/>
          <w:lang w:val="en-US" w:eastAsia="zh-CN"/>
        </w:rPr>
        <w:t>1.科普提升计划</w:t>
      </w:r>
    </w:p>
    <w:p w14:paraId="7846A37B">
      <w:pPr>
        <w:widowControl/>
        <w:shd w:val="clear" w:color="auto" w:fill="auto"/>
        <w:spacing w:line="480" w:lineRule="auto"/>
        <w:ind w:firstLine="48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开展科普宣传工作，</w:t>
      </w:r>
      <w:r>
        <w:rPr>
          <w:rFonts w:hint="default" w:ascii="仿宋_GB2312" w:hAnsi="黑体" w:eastAsia="仿宋_GB2312" w:cs="仿宋_GB2312"/>
          <w:sz w:val="32"/>
          <w:szCs w:val="32"/>
          <w:lang w:val="en-US" w:eastAsia="zh-CN"/>
        </w:rPr>
        <w:t>举办科普讲座</w:t>
      </w:r>
      <w:r>
        <w:rPr>
          <w:rFonts w:hint="eastAsia" w:ascii="仿宋_GB2312" w:hAnsi="黑体" w:eastAsia="仿宋_GB2312" w:cs="仿宋_GB2312"/>
          <w:sz w:val="32"/>
          <w:szCs w:val="32"/>
          <w:lang w:val="en-US" w:eastAsia="zh-CN"/>
        </w:rPr>
        <w:t>，</w:t>
      </w:r>
      <w:r>
        <w:rPr>
          <w:rFonts w:hint="default" w:ascii="仿宋_GB2312" w:hAnsi="黑体" w:eastAsia="仿宋_GB2312" w:cs="仿宋_GB2312"/>
          <w:sz w:val="32"/>
          <w:szCs w:val="32"/>
          <w:lang w:val="en-US" w:eastAsia="zh-CN"/>
        </w:rPr>
        <w:t>组织青少年科普展览参观</w:t>
      </w:r>
      <w:r>
        <w:rPr>
          <w:rFonts w:hint="eastAsia" w:ascii="仿宋_GB2312" w:hAnsi="黑体" w:eastAsia="仿宋_GB2312" w:cs="仿宋_GB2312"/>
          <w:sz w:val="32"/>
          <w:szCs w:val="32"/>
          <w:lang w:val="en-US" w:eastAsia="zh-CN"/>
        </w:rPr>
        <w:t>、科技进校园、宪法宣传日、科技活动周、科技工作者日</w:t>
      </w:r>
      <w:r>
        <w:rPr>
          <w:rFonts w:hint="default" w:ascii="仿宋_GB2312" w:hAnsi="黑体" w:eastAsia="仿宋_GB2312" w:cs="仿宋_GB2312"/>
          <w:sz w:val="32"/>
          <w:szCs w:val="32"/>
          <w:lang w:val="en-US" w:eastAsia="zh-CN"/>
        </w:rPr>
        <w:t>活动</w:t>
      </w:r>
      <w:r>
        <w:rPr>
          <w:rFonts w:hint="eastAsia" w:ascii="仿宋_GB2312" w:hAnsi="黑体" w:eastAsia="仿宋_GB2312" w:cs="仿宋_GB2312"/>
          <w:sz w:val="32"/>
          <w:szCs w:val="32"/>
          <w:lang w:val="en-US" w:eastAsia="zh-CN"/>
        </w:rPr>
        <w:t>。</w:t>
      </w:r>
    </w:p>
    <w:p w14:paraId="3BC4DD25">
      <w:pPr>
        <w:widowControl/>
        <w:shd w:val="clear" w:color="auto" w:fill="auto"/>
        <w:spacing w:line="480" w:lineRule="auto"/>
        <w:ind w:firstLine="48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2.科技人才培优计划</w:t>
      </w:r>
    </w:p>
    <w:p w14:paraId="6A12AC31">
      <w:pPr>
        <w:widowControl/>
        <w:shd w:val="clear" w:color="auto" w:fill="auto"/>
        <w:spacing w:line="480" w:lineRule="auto"/>
        <w:ind w:firstLine="48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组织全县科技工作者参加有针对性的科技培训，学术交流，实践锻炼，评优活动等。</w:t>
      </w:r>
    </w:p>
    <w:p w14:paraId="35F091D3">
      <w:pPr>
        <w:widowControl/>
        <w:shd w:val="clear" w:color="auto" w:fill="auto"/>
        <w:spacing w:line="480" w:lineRule="auto"/>
        <w:ind w:firstLine="48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3.智慧服务平台提升</w:t>
      </w:r>
    </w:p>
    <w:p w14:paraId="08D6EDA9">
      <w:pPr>
        <w:widowControl/>
        <w:shd w:val="clear" w:color="auto" w:fill="auto"/>
        <w:spacing w:line="480" w:lineRule="auto"/>
        <w:ind w:firstLine="48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 xml:space="preserve">天府科技云服务智慧平台大数据、云计算、人工智能、智能匹配、精准对接、精准服务提升。 </w:t>
      </w:r>
    </w:p>
    <w:p w14:paraId="19BBDBB7">
      <w:pPr>
        <w:pStyle w:val="21"/>
        <w:spacing w:before="0" w:line="360" w:lineRule="auto"/>
        <w:ind w:firstLine="627" w:firstLineChars="196"/>
        <w:outlineLvl w:val="0"/>
        <w:rPr>
          <w:rFonts w:hint="eastAsia" w:ascii="黑体" w:hAnsi="黑体" w:eastAsia="黑体" w:cs="黑体"/>
          <w:kern w:val="2"/>
          <w:sz w:val="32"/>
          <w:szCs w:val="32"/>
        </w:rPr>
      </w:pPr>
      <w:r>
        <w:rPr>
          <w:rFonts w:hint="eastAsia" w:ascii="黑体" w:hAnsi="黑体" w:eastAsia="黑体" w:cs="黑体"/>
          <w:kern w:val="2"/>
          <w:sz w:val="32"/>
          <w:szCs w:val="32"/>
        </w:rPr>
        <w:t>二、部门预算单位构成</w:t>
      </w:r>
      <w:bookmarkEnd w:id="6"/>
      <w:bookmarkEnd w:id="7"/>
    </w:p>
    <w:p w14:paraId="6B6D0298">
      <w:pPr>
        <w:pStyle w:val="21"/>
        <w:spacing w:before="0" w:line="360" w:lineRule="auto"/>
        <w:ind w:firstLine="627" w:firstLineChars="196"/>
        <w:outlineLvl w:val="9"/>
        <w:rPr>
          <w:rFonts w:hint="eastAsia" w:hAnsi="黑体" w:cs="Times New Roman"/>
          <w:kern w:val="2"/>
          <w:sz w:val="32"/>
          <w:szCs w:val="32"/>
        </w:rPr>
      </w:pPr>
      <w:r>
        <w:rPr>
          <w:rFonts w:hAnsi="黑体"/>
          <w:kern w:val="2"/>
          <w:sz w:val="32"/>
          <w:szCs w:val="32"/>
        </w:rPr>
        <w:t xml:space="preserve"> </w:t>
      </w:r>
      <w:r>
        <w:rPr>
          <w:rFonts w:hint="eastAsia" w:hAnsi="黑体"/>
          <w:kern w:val="2"/>
          <w:sz w:val="32"/>
          <w:szCs w:val="32"/>
        </w:rPr>
        <w:t>壤塘县科学技术协会属一级预算单位，下属预算单位0个。</w:t>
      </w:r>
    </w:p>
    <w:p w14:paraId="46F8FA2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0"/>
        <w:rPr>
          <w:rFonts w:hint="eastAsia" w:ascii="黑体" w:hAnsi="黑体" w:eastAsia="黑体" w:cs="黑体"/>
          <w:kern w:val="2"/>
          <w:sz w:val="32"/>
          <w:szCs w:val="32"/>
        </w:rPr>
      </w:pPr>
      <w:bookmarkStart w:id="8" w:name="_Toc21275_WPSOffice_Level1"/>
      <w:bookmarkStart w:id="9" w:name="_Toc889"/>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收支预算情况说明</w:t>
      </w:r>
      <w:bookmarkEnd w:id="8"/>
      <w:bookmarkEnd w:id="9"/>
    </w:p>
    <w:p w14:paraId="6341E5AB">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int="eastAsia" w:hAnsi="黑体"/>
          <w:kern w:val="2"/>
          <w:sz w:val="32"/>
          <w:szCs w:val="32"/>
        </w:rPr>
      </w:pPr>
      <w:r>
        <w:rPr>
          <w:rFonts w:hint="eastAsia" w:hAnsi="黑体"/>
          <w:kern w:val="2"/>
          <w:sz w:val="32"/>
          <w:szCs w:val="32"/>
        </w:rPr>
        <w:t>按照综合预算的原则，壤塘县科学技术协会所有收入和支出均纳入部门预算管理。收入包括：一般公共预算拨款收入</w:t>
      </w:r>
      <w:r>
        <w:rPr>
          <w:rFonts w:hint="eastAsia" w:hAnsi="黑体" w:cs="Times New Roman"/>
          <w:kern w:val="2"/>
          <w:sz w:val="32"/>
          <w:szCs w:val="32"/>
          <w:lang w:eastAsia="zh-CN"/>
        </w:rPr>
        <w:t>105.3万</w:t>
      </w:r>
      <w:r>
        <w:rPr>
          <w:rFonts w:hint="eastAsia" w:hAnsi="黑体"/>
          <w:kern w:val="2"/>
          <w:sz w:val="32"/>
          <w:szCs w:val="32"/>
        </w:rPr>
        <w:t>元</w:t>
      </w:r>
      <w:r>
        <w:rPr>
          <w:rFonts w:hint="eastAsia" w:hAnsi="黑体"/>
          <w:kern w:val="2"/>
          <w:sz w:val="32"/>
          <w:szCs w:val="32"/>
          <w:lang w:eastAsia="zh-CN"/>
        </w:rPr>
        <w:t>，</w:t>
      </w:r>
      <w:r>
        <w:rPr>
          <w:rFonts w:hint="eastAsia" w:hAnsi="黑体"/>
          <w:kern w:val="2"/>
          <w:sz w:val="32"/>
          <w:szCs w:val="32"/>
          <w:lang w:val="en-US" w:eastAsia="zh-CN"/>
        </w:rPr>
        <w:t>上年结转3.4万元</w:t>
      </w:r>
      <w:r>
        <w:rPr>
          <w:rFonts w:hint="eastAsia" w:hAnsi="黑体"/>
          <w:kern w:val="2"/>
          <w:sz w:val="32"/>
          <w:szCs w:val="32"/>
        </w:rPr>
        <w:t>；支出包括：一般公共服务支出</w:t>
      </w:r>
      <w:r>
        <w:rPr>
          <w:rFonts w:hint="eastAsia" w:hAnsi="黑体"/>
          <w:kern w:val="2"/>
          <w:sz w:val="32"/>
          <w:szCs w:val="32"/>
          <w:lang w:eastAsia="zh-CN"/>
        </w:rPr>
        <w:t>72.73</w:t>
      </w:r>
      <w:r>
        <w:rPr>
          <w:rFonts w:hint="eastAsia" w:hAnsi="黑体"/>
          <w:kern w:val="2"/>
          <w:sz w:val="32"/>
          <w:szCs w:val="32"/>
        </w:rPr>
        <w:t>万元，科学技术支出</w:t>
      </w:r>
      <w:r>
        <w:rPr>
          <w:rFonts w:hint="eastAsia" w:hAnsi="黑体"/>
          <w:kern w:val="2"/>
          <w:sz w:val="32"/>
          <w:szCs w:val="32"/>
          <w:lang w:val="en-US" w:eastAsia="zh-CN"/>
        </w:rPr>
        <w:t>8万元；</w:t>
      </w:r>
      <w:r>
        <w:rPr>
          <w:rFonts w:hint="eastAsia" w:hAnsi="黑体"/>
          <w:kern w:val="2"/>
          <w:sz w:val="32"/>
          <w:szCs w:val="32"/>
        </w:rPr>
        <w:t>社会保障和就业支出</w:t>
      </w:r>
      <w:r>
        <w:rPr>
          <w:rFonts w:hint="eastAsia" w:hAnsi="黑体" w:cs="Times New Roman"/>
          <w:kern w:val="2"/>
          <w:sz w:val="32"/>
          <w:szCs w:val="32"/>
          <w:lang w:eastAsia="zh-CN"/>
        </w:rPr>
        <w:t>12.98</w:t>
      </w:r>
      <w:r>
        <w:rPr>
          <w:rFonts w:hint="eastAsia" w:hAnsi="黑体"/>
          <w:kern w:val="2"/>
          <w:sz w:val="32"/>
          <w:szCs w:val="32"/>
        </w:rPr>
        <w:t>万元，卫生健康支出</w:t>
      </w:r>
      <w:r>
        <w:rPr>
          <w:rFonts w:hint="eastAsia" w:hAnsi="黑体" w:cs="Times New Roman"/>
          <w:kern w:val="2"/>
          <w:sz w:val="32"/>
          <w:szCs w:val="32"/>
          <w:lang w:eastAsia="zh-CN"/>
        </w:rPr>
        <w:t>5.09</w:t>
      </w:r>
      <w:r>
        <w:rPr>
          <w:rFonts w:hint="eastAsia" w:hAnsi="黑体"/>
          <w:kern w:val="2"/>
          <w:sz w:val="32"/>
          <w:szCs w:val="32"/>
        </w:rPr>
        <w:t>万元，住房保障支出</w:t>
      </w:r>
      <w:r>
        <w:rPr>
          <w:rFonts w:hint="eastAsia" w:hAnsi="黑体" w:cs="Times New Roman"/>
          <w:kern w:val="2"/>
          <w:sz w:val="32"/>
          <w:szCs w:val="32"/>
          <w:lang w:eastAsia="zh-CN"/>
        </w:rPr>
        <w:t>6.49</w:t>
      </w:r>
      <w:r>
        <w:rPr>
          <w:rFonts w:hint="eastAsia" w:hAnsi="黑体"/>
          <w:kern w:val="2"/>
          <w:sz w:val="32"/>
          <w:szCs w:val="32"/>
        </w:rPr>
        <w:t>万元。壤塘县科学技术协会</w:t>
      </w:r>
      <w:r>
        <w:rPr>
          <w:rFonts w:hint="eastAsia" w:hAnsi="黑体"/>
          <w:kern w:val="2"/>
          <w:sz w:val="32"/>
          <w:szCs w:val="32"/>
          <w:lang w:eastAsia="zh-CN"/>
        </w:rPr>
        <w:t>2025年</w:t>
      </w:r>
      <w:r>
        <w:rPr>
          <w:rFonts w:hint="eastAsia" w:hAnsi="黑体"/>
          <w:kern w:val="2"/>
          <w:sz w:val="32"/>
          <w:szCs w:val="32"/>
        </w:rPr>
        <w:t>收支总预算</w:t>
      </w:r>
      <w:r>
        <w:rPr>
          <w:rFonts w:hint="eastAsia" w:hAnsi="黑体" w:cs="Times New Roman"/>
          <w:kern w:val="2"/>
          <w:sz w:val="32"/>
          <w:szCs w:val="32"/>
          <w:lang w:eastAsia="zh-CN"/>
        </w:rPr>
        <w:t>10</w:t>
      </w:r>
      <w:r>
        <w:rPr>
          <w:rFonts w:hint="eastAsia" w:hAnsi="黑体" w:cs="Times New Roman"/>
          <w:kern w:val="2"/>
          <w:sz w:val="32"/>
          <w:szCs w:val="32"/>
          <w:lang w:val="en-US" w:eastAsia="zh-CN"/>
        </w:rPr>
        <w:t>8</w:t>
      </w:r>
      <w:r>
        <w:rPr>
          <w:rFonts w:hint="eastAsia" w:hAnsi="黑体" w:cs="Times New Roman"/>
          <w:kern w:val="2"/>
          <w:sz w:val="32"/>
          <w:szCs w:val="32"/>
          <w:lang w:eastAsia="zh-CN"/>
        </w:rPr>
        <w:t>.</w:t>
      </w:r>
      <w:r>
        <w:rPr>
          <w:rFonts w:hint="eastAsia" w:hAnsi="黑体" w:cs="Times New Roman"/>
          <w:kern w:val="2"/>
          <w:sz w:val="32"/>
          <w:szCs w:val="32"/>
          <w:lang w:val="en-US" w:eastAsia="zh-CN"/>
        </w:rPr>
        <w:t>7万</w:t>
      </w:r>
      <w:r>
        <w:rPr>
          <w:rFonts w:hint="eastAsia" w:hAnsi="黑体"/>
          <w:kern w:val="2"/>
          <w:sz w:val="32"/>
          <w:szCs w:val="32"/>
        </w:rPr>
        <w:t>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2024年</w:t>
      </w:r>
      <w:r>
        <w:rPr>
          <w:rFonts w:hint="eastAsia" w:hAnsi="黑体"/>
          <w:kern w:val="2"/>
          <w:sz w:val="32"/>
          <w:szCs w:val="32"/>
        </w:rPr>
        <w:t>收支预算总数</w:t>
      </w:r>
      <w:r>
        <w:rPr>
          <w:rFonts w:hint="eastAsia" w:hAnsi="黑体"/>
          <w:kern w:val="2"/>
          <w:sz w:val="32"/>
          <w:szCs w:val="32"/>
          <w:lang w:eastAsia="zh-CN"/>
        </w:rPr>
        <w:t>减少36.66</w:t>
      </w:r>
      <w:r>
        <w:rPr>
          <w:rFonts w:hint="eastAsia" w:hAnsi="黑体"/>
          <w:kern w:val="2"/>
          <w:sz w:val="32"/>
          <w:szCs w:val="32"/>
        </w:rPr>
        <w:t>万元，主要</w:t>
      </w:r>
      <w:r>
        <w:rPr>
          <w:rFonts w:hint="eastAsia" w:hAnsi="黑体"/>
          <w:kern w:val="2"/>
          <w:sz w:val="32"/>
          <w:szCs w:val="32"/>
          <w:lang w:val="en-US" w:eastAsia="zh-CN"/>
        </w:rPr>
        <w:t>原</w:t>
      </w:r>
      <w:r>
        <w:rPr>
          <w:rFonts w:hint="eastAsia" w:hAnsi="黑体"/>
          <w:kern w:val="2"/>
          <w:sz w:val="32"/>
          <w:szCs w:val="32"/>
        </w:rPr>
        <w:t>因</w:t>
      </w:r>
      <w:r>
        <w:rPr>
          <w:rFonts w:hAnsi="黑体"/>
          <w:kern w:val="2"/>
          <w:sz w:val="32"/>
          <w:szCs w:val="32"/>
        </w:rPr>
        <w:t>:</w:t>
      </w:r>
      <w:r>
        <w:rPr>
          <w:rFonts w:hint="eastAsia" w:hAnsi="黑体"/>
          <w:kern w:val="2"/>
          <w:sz w:val="32"/>
          <w:szCs w:val="32"/>
          <w:lang w:val="en-US" w:eastAsia="zh-CN"/>
        </w:rPr>
        <w:t>人员经费减少</w:t>
      </w:r>
      <w:r>
        <w:rPr>
          <w:rFonts w:hint="eastAsia" w:hAnsi="黑体"/>
          <w:kern w:val="2"/>
          <w:sz w:val="32"/>
          <w:szCs w:val="32"/>
        </w:rPr>
        <w:t>。</w:t>
      </w:r>
    </w:p>
    <w:p w14:paraId="547BE00B">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outlineLvl w:val="1"/>
        <w:rPr>
          <w:rFonts w:hint="eastAsia" w:ascii="楷体_GB2312" w:hAnsi="黑体" w:eastAsia="楷体_GB2312" w:cs="楷体_GB2312"/>
          <w:b/>
          <w:bCs/>
          <w:kern w:val="2"/>
          <w:sz w:val="32"/>
          <w:szCs w:val="32"/>
        </w:rPr>
      </w:pPr>
      <w:bookmarkStart w:id="10" w:name="_Toc27562"/>
      <w:bookmarkStart w:id="11" w:name="_Toc7699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rPr>
        <w:t>收入预算情况</w:t>
      </w:r>
      <w:bookmarkEnd w:id="10"/>
      <w:bookmarkEnd w:id="11"/>
    </w:p>
    <w:p w14:paraId="26AB5EB0">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Ansi="黑体" w:cs="Times New Roman"/>
          <w:kern w:val="2"/>
          <w:sz w:val="32"/>
          <w:szCs w:val="32"/>
        </w:rPr>
      </w:pP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收入预算</w:t>
      </w:r>
      <w:r>
        <w:rPr>
          <w:rFonts w:hint="eastAsia" w:hAnsi="黑体" w:cs="Times New Roman"/>
          <w:kern w:val="2"/>
          <w:sz w:val="32"/>
          <w:szCs w:val="32"/>
          <w:lang w:eastAsia="zh-CN"/>
        </w:rPr>
        <w:t>10</w:t>
      </w:r>
      <w:r>
        <w:rPr>
          <w:rFonts w:hint="eastAsia" w:hAnsi="黑体" w:cs="Times New Roman"/>
          <w:kern w:val="2"/>
          <w:sz w:val="32"/>
          <w:szCs w:val="32"/>
          <w:lang w:val="en-US" w:eastAsia="zh-CN"/>
        </w:rPr>
        <w:t>8</w:t>
      </w:r>
      <w:r>
        <w:rPr>
          <w:rFonts w:hint="eastAsia" w:hAnsi="黑体" w:cs="Times New Roman"/>
          <w:kern w:val="2"/>
          <w:sz w:val="32"/>
          <w:szCs w:val="32"/>
          <w:lang w:eastAsia="zh-CN"/>
        </w:rPr>
        <w:t>.</w:t>
      </w:r>
      <w:r>
        <w:rPr>
          <w:rFonts w:hint="eastAsia" w:hAnsi="黑体" w:cs="Times New Roman"/>
          <w:kern w:val="2"/>
          <w:sz w:val="32"/>
          <w:szCs w:val="32"/>
          <w:lang w:val="en-US" w:eastAsia="zh-CN"/>
        </w:rPr>
        <w:t>7万</w:t>
      </w:r>
      <w:r>
        <w:rPr>
          <w:rFonts w:hint="eastAsia" w:hAnsi="黑体"/>
          <w:kern w:val="2"/>
          <w:sz w:val="32"/>
          <w:szCs w:val="32"/>
        </w:rPr>
        <w:t>元；一般公共预算拨款收入</w:t>
      </w:r>
      <w:r>
        <w:rPr>
          <w:rFonts w:hint="eastAsia" w:hAnsi="黑体" w:cs="Times New Roman"/>
          <w:kern w:val="2"/>
          <w:sz w:val="32"/>
          <w:szCs w:val="32"/>
          <w:lang w:eastAsia="zh-CN"/>
        </w:rPr>
        <w:t>105.3</w:t>
      </w:r>
      <w:r>
        <w:rPr>
          <w:rFonts w:hint="eastAsia" w:hAnsi="黑体" w:cs="Times New Roman"/>
          <w:kern w:val="2"/>
          <w:sz w:val="32"/>
          <w:szCs w:val="32"/>
          <w:lang w:val="en-US" w:eastAsia="zh-CN"/>
        </w:rPr>
        <w:t>万</w:t>
      </w:r>
      <w:r>
        <w:rPr>
          <w:rFonts w:hint="eastAsia" w:hAnsi="黑体"/>
          <w:kern w:val="2"/>
          <w:sz w:val="32"/>
          <w:szCs w:val="32"/>
        </w:rPr>
        <w:t>元，占</w:t>
      </w:r>
      <w:r>
        <w:rPr>
          <w:rFonts w:hint="eastAsia" w:hAnsi="黑体" w:cs="Times New Roman"/>
          <w:kern w:val="2"/>
          <w:sz w:val="32"/>
          <w:szCs w:val="32"/>
          <w:lang w:val="en-US" w:eastAsia="zh-CN"/>
        </w:rPr>
        <w:t>96.87</w:t>
      </w:r>
      <w:r>
        <w:rPr>
          <w:rFonts w:hAnsi="黑体"/>
          <w:kern w:val="2"/>
          <w:sz w:val="32"/>
          <w:szCs w:val="32"/>
        </w:rPr>
        <w:t>%</w:t>
      </w:r>
      <w:r>
        <w:rPr>
          <w:rFonts w:hint="eastAsia" w:hAnsi="黑体"/>
          <w:kern w:val="2"/>
          <w:sz w:val="32"/>
          <w:szCs w:val="32"/>
          <w:lang w:val="en-US" w:eastAsia="zh-CN"/>
        </w:rPr>
        <w:t>;上年结转3.4万元，占3.13%</w:t>
      </w:r>
      <w:r>
        <w:rPr>
          <w:rFonts w:hint="eastAsia" w:hAnsi="黑体"/>
          <w:kern w:val="2"/>
          <w:sz w:val="32"/>
          <w:szCs w:val="32"/>
        </w:rPr>
        <w:t>。</w:t>
      </w:r>
    </w:p>
    <w:p w14:paraId="4FDA202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643" w:firstLineChars="200"/>
        <w:textAlignment w:val="auto"/>
        <w:outlineLvl w:val="1"/>
        <w:rPr>
          <w:rFonts w:hint="eastAsia" w:ascii="楷体_GB2312" w:hAnsi="黑体" w:eastAsia="楷体_GB2312" w:cs="楷体_GB2312"/>
          <w:b/>
          <w:bCs/>
          <w:kern w:val="2"/>
          <w:sz w:val="32"/>
          <w:szCs w:val="32"/>
        </w:rPr>
      </w:pPr>
      <w:bookmarkStart w:id="12" w:name="_Toc24646_WPSOffice_Level1"/>
      <w:bookmarkStart w:id="13" w:name="_Toc20798"/>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支出预算情况</w:t>
      </w:r>
      <w:bookmarkEnd w:id="12"/>
      <w:bookmarkEnd w:id="13"/>
    </w:p>
    <w:p w14:paraId="370DF83A">
      <w:pPr>
        <w:pStyle w:val="21"/>
        <w:spacing w:before="0" w:line="360" w:lineRule="auto"/>
        <w:ind w:firstLine="627" w:firstLineChars="196"/>
        <w:rPr>
          <w:rFonts w:hAnsi="黑体" w:cs="Times New Roman"/>
          <w:kern w:val="2"/>
          <w:sz w:val="32"/>
          <w:szCs w:val="32"/>
        </w:rPr>
      </w:pP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支出预算</w:t>
      </w:r>
      <w:r>
        <w:rPr>
          <w:rFonts w:hint="eastAsia" w:hAnsi="黑体" w:cs="Times New Roman"/>
          <w:kern w:val="2"/>
          <w:sz w:val="32"/>
          <w:szCs w:val="32"/>
          <w:lang w:eastAsia="zh-CN"/>
        </w:rPr>
        <w:t>10</w:t>
      </w:r>
      <w:r>
        <w:rPr>
          <w:rFonts w:hint="eastAsia" w:hAnsi="黑体" w:cs="Times New Roman"/>
          <w:kern w:val="2"/>
          <w:sz w:val="32"/>
          <w:szCs w:val="32"/>
          <w:lang w:val="en-US" w:eastAsia="zh-CN"/>
        </w:rPr>
        <w:t>8.7</w:t>
      </w:r>
      <w:r>
        <w:rPr>
          <w:rFonts w:hint="eastAsia" w:hAnsi="黑体" w:cs="Times New Roman"/>
          <w:kern w:val="2"/>
          <w:sz w:val="32"/>
          <w:szCs w:val="32"/>
          <w:lang w:eastAsia="zh-CN"/>
        </w:rPr>
        <w:t>万</w:t>
      </w:r>
      <w:r>
        <w:rPr>
          <w:rFonts w:hint="eastAsia" w:hAnsi="黑体"/>
          <w:kern w:val="2"/>
          <w:sz w:val="32"/>
          <w:szCs w:val="32"/>
        </w:rPr>
        <w:t>元，其中：基本支出</w:t>
      </w:r>
      <w:r>
        <w:rPr>
          <w:rFonts w:hint="eastAsia" w:hAnsi="黑体" w:cs="Times New Roman"/>
          <w:kern w:val="2"/>
          <w:sz w:val="32"/>
          <w:szCs w:val="32"/>
          <w:lang w:val="en-US" w:eastAsia="zh-CN"/>
        </w:rPr>
        <w:t>97.3万</w:t>
      </w:r>
      <w:r>
        <w:rPr>
          <w:rFonts w:hint="eastAsia" w:hAnsi="黑体"/>
          <w:kern w:val="2"/>
          <w:sz w:val="32"/>
          <w:szCs w:val="32"/>
        </w:rPr>
        <w:t>元，占</w:t>
      </w:r>
      <w:r>
        <w:rPr>
          <w:rFonts w:hint="eastAsia" w:hAnsi="黑体" w:cs="Times New Roman"/>
          <w:kern w:val="2"/>
          <w:sz w:val="32"/>
          <w:szCs w:val="32"/>
          <w:lang w:val="en-US" w:eastAsia="zh-CN"/>
        </w:rPr>
        <w:t>89.51</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项目支出11.4万元，占10.49%</w:t>
      </w:r>
      <w:r>
        <w:rPr>
          <w:rFonts w:hint="eastAsia" w:hAnsi="黑体"/>
          <w:kern w:val="2"/>
          <w:sz w:val="32"/>
          <w:szCs w:val="32"/>
        </w:rPr>
        <w:t>。</w:t>
      </w:r>
    </w:p>
    <w:p w14:paraId="4B3901C4">
      <w:pPr>
        <w:pStyle w:val="21"/>
        <w:numPr>
          <w:ilvl w:val="0"/>
          <w:numId w:val="4"/>
        </w:numPr>
        <w:spacing w:before="0" w:line="360" w:lineRule="auto"/>
        <w:ind w:firstLine="627" w:firstLineChars="196"/>
        <w:outlineLvl w:val="0"/>
        <w:rPr>
          <w:rFonts w:hint="eastAsia" w:ascii="黑体" w:hAnsi="黑体" w:eastAsia="黑体" w:cs="黑体"/>
          <w:kern w:val="2"/>
          <w:sz w:val="32"/>
          <w:szCs w:val="32"/>
        </w:rPr>
      </w:pPr>
      <w:bookmarkStart w:id="14" w:name="_Toc4728"/>
      <w:bookmarkStart w:id="15" w:name="_Toc996_WPSOffice_Level1"/>
      <w:r>
        <w:rPr>
          <w:rFonts w:hint="eastAsia" w:ascii="黑体" w:hAnsi="黑体" w:eastAsia="黑体" w:cs="黑体"/>
          <w:kern w:val="2"/>
          <w:sz w:val="32"/>
          <w:szCs w:val="32"/>
        </w:rPr>
        <w:t>财政拨款收支预算情况说明</w:t>
      </w:r>
      <w:bookmarkEnd w:id="14"/>
      <w:bookmarkEnd w:id="15"/>
    </w:p>
    <w:p w14:paraId="59AB8215">
      <w:pPr>
        <w:pStyle w:val="21"/>
        <w:numPr>
          <w:ilvl w:val="0"/>
          <w:numId w:val="0"/>
        </w:numPr>
        <w:spacing w:before="0" w:line="360" w:lineRule="auto"/>
        <w:outlineLvl w:val="9"/>
        <w:rPr>
          <w:rFonts w:hAnsi="黑体"/>
          <w:kern w:val="2"/>
          <w:sz w:val="32"/>
          <w:szCs w:val="32"/>
        </w:rPr>
      </w:pPr>
      <w:r>
        <w:rPr>
          <w:rFonts w:hint="eastAsia" w:ascii="??" w:hAnsi="??" w:eastAsia="宋体" w:cs="宋体"/>
          <w:sz w:val="16"/>
          <w:szCs w:val="16"/>
          <w:lang w:val="en-US" w:eastAsia="zh-CN"/>
        </w:rPr>
        <w:t xml:space="preserve">    </w:t>
      </w:r>
      <w:r>
        <w:rPr>
          <w:rFonts w:hint="eastAsia" w:ascii="??" w:hAnsi="??" w:eastAsia="宋体" w:cs="宋体"/>
          <w:sz w:val="16"/>
          <w:szCs w:val="16"/>
        </w:rPr>
        <w:t>　</w:t>
      </w: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财政拨款收支总预算</w:t>
      </w:r>
      <w:r>
        <w:rPr>
          <w:rFonts w:hint="eastAsia" w:hAnsi="黑体" w:cs="Times New Roman"/>
          <w:kern w:val="2"/>
          <w:sz w:val="32"/>
          <w:szCs w:val="32"/>
          <w:lang w:eastAsia="zh-CN"/>
        </w:rPr>
        <w:t>10</w:t>
      </w:r>
      <w:r>
        <w:rPr>
          <w:rFonts w:hint="eastAsia" w:hAnsi="黑体" w:cs="Times New Roman"/>
          <w:kern w:val="2"/>
          <w:sz w:val="32"/>
          <w:szCs w:val="32"/>
          <w:lang w:val="en-US" w:eastAsia="zh-CN"/>
        </w:rPr>
        <w:t>8</w:t>
      </w:r>
      <w:r>
        <w:rPr>
          <w:rFonts w:hint="eastAsia" w:hAnsi="黑体" w:cs="Times New Roman"/>
          <w:kern w:val="2"/>
          <w:sz w:val="32"/>
          <w:szCs w:val="32"/>
          <w:lang w:eastAsia="zh-CN"/>
        </w:rPr>
        <w:t>.</w:t>
      </w:r>
      <w:r>
        <w:rPr>
          <w:rFonts w:hint="eastAsia" w:hAnsi="黑体" w:cs="Times New Roman"/>
          <w:kern w:val="2"/>
          <w:sz w:val="32"/>
          <w:szCs w:val="32"/>
          <w:lang w:val="en-US" w:eastAsia="zh-CN"/>
        </w:rPr>
        <w:t>7万</w:t>
      </w:r>
      <w:r>
        <w:rPr>
          <w:rFonts w:hint="eastAsia" w:hAnsi="黑体"/>
          <w:kern w:val="2"/>
          <w:sz w:val="32"/>
          <w:szCs w:val="32"/>
        </w:rPr>
        <w:t>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2024年</w:t>
      </w:r>
      <w:r>
        <w:rPr>
          <w:rFonts w:hint="eastAsia" w:hAnsi="黑体"/>
          <w:kern w:val="2"/>
          <w:sz w:val="32"/>
          <w:szCs w:val="32"/>
        </w:rPr>
        <w:t>财政拨款收支总预算</w:t>
      </w:r>
      <w:r>
        <w:rPr>
          <w:rFonts w:hint="eastAsia" w:hAnsi="黑体"/>
          <w:kern w:val="2"/>
          <w:sz w:val="32"/>
          <w:szCs w:val="32"/>
          <w:lang w:eastAsia="zh-CN"/>
        </w:rPr>
        <w:t>减少36.66</w:t>
      </w:r>
      <w:r>
        <w:rPr>
          <w:rFonts w:hint="eastAsia" w:hAnsi="黑体"/>
          <w:kern w:val="2"/>
          <w:sz w:val="32"/>
          <w:szCs w:val="32"/>
        </w:rPr>
        <w:t>万元，主要</w:t>
      </w:r>
      <w:r>
        <w:rPr>
          <w:rFonts w:hint="eastAsia" w:hAnsi="黑体"/>
          <w:kern w:val="2"/>
          <w:sz w:val="32"/>
          <w:szCs w:val="32"/>
          <w:lang w:val="en-US" w:eastAsia="zh-CN"/>
        </w:rPr>
        <w:t>原因</w:t>
      </w:r>
      <w:r>
        <w:rPr>
          <w:rFonts w:hAnsi="黑体"/>
          <w:kern w:val="2"/>
          <w:sz w:val="32"/>
          <w:szCs w:val="32"/>
        </w:rPr>
        <w:t xml:space="preserve">: </w:t>
      </w:r>
      <w:r>
        <w:rPr>
          <w:rFonts w:hint="eastAsia" w:hAnsi="黑体"/>
          <w:kern w:val="2"/>
          <w:sz w:val="32"/>
          <w:szCs w:val="32"/>
          <w:lang w:val="en-US" w:eastAsia="zh-CN"/>
        </w:rPr>
        <w:t>人员经费减少</w:t>
      </w:r>
      <w:r>
        <w:rPr>
          <w:rFonts w:hint="eastAsia" w:hAnsi="黑体"/>
          <w:kern w:val="2"/>
          <w:sz w:val="32"/>
          <w:szCs w:val="32"/>
        </w:rPr>
        <w:t>。</w:t>
      </w:r>
    </w:p>
    <w:p w14:paraId="4531959C">
      <w:pPr>
        <w:pStyle w:val="21"/>
        <w:spacing w:before="0" w:line="360" w:lineRule="auto"/>
        <w:ind w:firstLine="627" w:firstLineChars="196"/>
        <w:rPr>
          <w:rFonts w:hint="default" w:hAnsi="黑体" w:eastAsia="仿宋_GB2312" w:cs="Times New Roman"/>
          <w:kern w:val="2"/>
          <w:sz w:val="32"/>
          <w:szCs w:val="32"/>
          <w:lang w:val="en-US" w:eastAsia="zh-CN"/>
        </w:rPr>
      </w:pPr>
      <w:r>
        <w:rPr>
          <w:rFonts w:hint="eastAsia" w:hAnsi="黑体"/>
          <w:kern w:val="2"/>
          <w:sz w:val="32"/>
          <w:szCs w:val="32"/>
        </w:rPr>
        <w:t>收入包括：本年一般公共预算拨款收入</w:t>
      </w:r>
      <w:r>
        <w:rPr>
          <w:rFonts w:hint="eastAsia" w:hAnsi="黑体" w:cs="Times New Roman"/>
          <w:kern w:val="2"/>
          <w:sz w:val="32"/>
          <w:szCs w:val="32"/>
          <w:lang w:eastAsia="zh-CN"/>
        </w:rPr>
        <w:t>10</w:t>
      </w:r>
      <w:r>
        <w:rPr>
          <w:rFonts w:hint="eastAsia" w:hAnsi="黑体" w:cs="Times New Roman"/>
          <w:kern w:val="2"/>
          <w:sz w:val="32"/>
          <w:szCs w:val="32"/>
          <w:lang w:val="en-US" w:eastAsia="zh-CN"/>
        </w:rPr>
        <w:t>8</w:t>
      </w:r>
      <w:r>
        <w:rPr>
          <w:rFonts w:hint="eastAsia" w:hAnsi="黑体" w:cs="Times New Roman"/>
          <w:kern w:val="2"/>
          <w:sz w:val="32"/>
          <w:szCs w:val="32"/>
          <w:lang w:eastAsia="zh-CN"/>
        </w:rPr>
        <w:t>.</w:t>
      </w:r>
      <w:r>
        <w:rPr>
          <w:rFonts w:hint="eastAsia" w:hAnsi="黑体" w:cs="Times New Roman"/>
          <w:kern w:val="2"/>
          <w:sz w:val="32"/>
          <w:szCs w:val="32"/>
          <w:lang w:val="en-US" w:eastAsia="zh-CN"/>
        </w:rPr>
        <w:t>7万</w:t>
      </w:r>
      <w:r>
        <w:rPr>
          <w:rFonts w:hint="eastAsia" w:hAnsi="黑体"/>
          <w:kern w:val="2"/>
          <w:sz w:val="32"/>
          <w:szCs w:val="32"/>
        </w:rPr>
        <w:t>元。</w:t>
      </w:r>
      <w:r>
        <w:rPr>
          <w:rFonts w:hAnsi="黑体" w:cs="Times New Roman"/>
          <w:kern w:val="2"/>
          <w:sz w:val="32"/>
          <w:szCs w:val="32"/>
        </w:rPr>
        <w:t xml:space="preserve"> </w:t>
      </w:r>
      <w:r>
        <w:rPr>
          <w:rFonts w:hint="eastAsia" w:hAnsi="黑体"/>
          <w:kern w:val="2"/>
          <w:sz w:val="32"/>
          <w:szCs w:val="32"/>
        </w:rPr>
        <w:t>支出包括：一般公共服务支出</w:t>
      </w:r>
      <w:r>
        <w:rPr>
          <w:rFonts w:hint="eastAsia" w:hAnsi="黑体"/>
          <w:kern w:val="2"/>
          <w:sz w:val="32"/>
          <w:szCs w:val="32"/>
          <w:lang w:eastAsia="zh-CN"/>
        </w:rPr>
        <w:t>72.73</w:t>
      </w:r>
      <w:r>
        <w:rPr>
          <w:rFonts w:hint="eastAsia" w:hAnsi="黑体"/>
          <w:kern w:val="2"/>
          <w:sz w:val="32"/>
          <w:szCs w:val="32"/>
        </w:rPr>
        <w:t>万元，科学技术支出</w:t>
      </w:r>
      <w:r>
        <w:rPr>
          <w:rFonts w:hint="eastAsia" w:hAnsi="黑体"/>
          <w:kern w:val="2"/>
          <w:sz w:val="32"/>
          <w:szCs w:val="32"/>
          <w:lang w:val="en-US" w:eastAsia="zh-CN"/>
        </w:rPr>
        <w:t>11.4万元；</w:t>
      </w:r>
      <w:r>
        <w:rPr>
          <w:rFonts w:hint="eastAsia" w:hAnsi="黑体"/>
          <w:kern w:val="2"/>
          <w:sz w:val="32"/>
          <w:szCs w:val="32"/>
        </w:rPr>
        <w:t>社会保障和就业支出</w:t>
      </w:r>
      <w:r>
        <w:rPr>
          <w:rFonts w:hint="eastAsia" w:hAnsi="黑体" w:cs="Times New Roman"/>
          <w:kern w:val="2"/>
          <w:sz w:val="32"/>
          <w:szCs w:val="32"/>
          <w:lang w:eastAsia="zh-CN"/>
        </w:rPr>
        <w:t>12.98</w:t>
      </w:r>
      <w:r>
        <w:rPr>
          <w:rFonts w:hint="eastAsia" w:hAnsi="黑体"/>
          <w:kern w:val="2"/>
          <w:sz w:val="32"/>
          <w:szCs w:val="32"/>
        </w:rPr>
        <w:t>万元，卫生健康支出</w:t>
      </w:r>
      <w:r>
        <w:rPr>
          <w:rFonts w:hint="eastAsia" w:hAnsi="黑体" w:cs="Times New Roman"/>
          <w:kern w:val="2"/>
          <w:sz w:val="32"/>
          <w:szCs w:val="32"/>
          <w:lang w:eastAsia="zh-CN"/>
        </w:rPr>
        <w:t>5.09</w:t>
      </w:r>
      <w:r>
        <w:rPr>
          <w:rFonts w:hint="eastAsia" w:hAnsi="黑体"/>
          <w:kern w:val="2"/>
          <w:sz w:val="32"/>
          <w:szCs w:val="32"/>
        </w:rPr>
        <w:t>万元，住房保障支出</w:t>
      </w:r>
      <w:r>
        <w:rPr>
          <w:rFonts w:hint="eastAsia" w:hAnsi="黑体" w:cs="Times New Roman"/>
          <w:kern w:val="2"/>
          <w:sz w:val="32"/>
          <w:szCs w:val="32"/>
          <w:lang w:eastAsia="zh-CN"/>
        </w:rPr>
        <w:t>6.49</w:t>
      </w:r>
      <w:r>
        <w:rPr>
          <w:rFonts w:hint="eastAsia" w:hAnsi="黑体"/>
          <w:kern w:val="2"/>
          <w:sz w:val="32"/>
          <w:szCs w:val="32"/>
        </w:rPr>
        <w:t>万元。</w:t>
      </w:r>
      <w:r>
        <w:rPr>
          <w:rFonts w:hint="eastAsia" w:hAnsi="黑体"/>
          <w:kern w:val="2"/>
          <w:sz w:val="32"/>
          <w:szCs w:val="32"/>
          <w:lang w:val="en-US" w:eastAsia="zh-CN"/>
        </w:rPr>
        <w:t xml:space="preserve">   </w:t>
      </w:r>
    </w:p>
    <w:p w14:paraId="3EB022E3">
      <w:pPr>
        <w:pStyle w:val="21"/>
        <w:spacing w:before="0" w:line="360" w:lineRule="auto"/>
        <w:ind w:firstLine="627" w:firstLineChars="196"/>
        <w:outlineLvl w:val="0"/>
        <w:rPr>
          <w:rFonts w:ascii="??" w:hAnsi="??" w:eastAsia="宋体" w:cs="Times New Roman"/>
          <w:sz w:val="16"/>
          <w:szCs w:val="16"/>
        </w:rPr>
      </w:pPr>
      <w:bookmarkStart w:id="16" w:name="_Toc3448_WPSOffice_Level1"/>
      <w:bookmarkStart w:id="17" w:name="_Toc21398"/>
      <w:r>
        <w:rPr>
          <w:rFonts w:hint="eastAsia" w:ascii="黑体" w:hAnsi="黑体" w:eastAsia="黑体" w:cs="黑体"/>
          <w:kern w:val="2"/>
          <w:sz w:val="32"/>
          <w:szCs w:val="32"/>
        </w:rPr>
        <w:t>五、一般公共预算当年拨款情况说明</w:t>
      </w:r>
      <w:bookmarkEnd w:id="16"/>
      <w:bookmarkEnd w:id="17"/>
    </w:p>
    <w:p w14:paraId="298E550E">
      <w:pPr>
        <w:pStyle w:val="21"/>
        <w:spacing w:before="0" w:line="360" w:lineRule="auto"/>
        <w:ind w:firstLine="630" w:firstLineChars="196"/>
        <w:outlineLvl w:val="1"/>
        <w:rPr>
          <w:rFonts w:hAnsi="黑体" w:cs="Times New Roman"/>
          <w:kern w:val="2"/>
          <w:sz w:val="32"/>
          <w:szCs w:val="32"/>
        </w:rPr>
      </w:pPr>
      <w:bookmarkStart w:id="18" w:name="_Toc13338_WPSOffice_Level1"/>
      <w:bookmarkStart w:id="19" w:name="_Toc12747"/>
      <w:r>
        <w:rPr>
          <w:rFonts w:hint="eastAsia" w:ascii="楷体_GB2312" w:hAnsi="黑体" w:eastAsia="楷体_GB2312" w:cs="楷体_GB2312"/>
          <w:b/>
          <w:bCs/>
          <w:kern w:val="2"/>
          <w:sz w:val="32"/>
          <w:szCs w:val="32"/>
        </w:rPr>
        <w:t>（一）一般公共预算当年拨款规模变化情况</w:t>
      </w:r>
      <w:bookmarkEnd w:id="18"/>
      <w:bookmarkEnd w:id="19"/>
    </w:p>
    <w:p w14:paraId="4DFEE6C2">
      <w:pPr>
        <w:pStyle w:val="21"/>
        <w:spacing w:before="0" w:line="360" w:lineRule="auto"/>
        <w:ind w:firstLine="627" w:firstLineChars="196"/>
        <w:rPr>
          <w:rFonts w:hint="eastAsia" w:hAnsi="黑体"/>
          <w:kern w:val="2"/>
          <w:sz w:val="32"/>
          <w:szCs w:val="32"/>
        </w:rPr>
      </w:pP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一般公共预算当年拨款</w:t>
      </w:r>
      <w:r>
        <w:rPr>
          <w:rFonts w:hint="eastAsia" w:hAnsi="黑体"/>
          <w:kern w:val="2"/>
          <w:sz w:val="32"/>
          <w:szCs w:val="32"/>
          <w:lang w:eastAsia="zh-CN"/>
        </w:rPr>
        <w:t>10</w:t>
      </w:r>
      <w:r>
        <w:rPr>
          <w:rFonts w:hint="eastAsia" w:hAnsi="黑体"/>
          <w:kern w:val="2"/>
          <w:sz w:val="32"/>
          <w:szCs w:val="32"/>
          <w:lang w:val="en-US" w:eastAsia="zh-CN"/>
        </w:rPr>
        <w:t>8.7万</w:t>
      </w:r>
      <w:r>
        <w:rPr>
          <w:rFonts w:hint="eastAsia" w:hAnsi="黑体"/>
          <w:kern w:val="2"/>
          <w:sz w:val="32"/>
          <w:szCs w:val="32"/>
        </w:rPr>
        <w:t>元，比</w:t>
      </w:r>
      <w:r>
        <w:rPr>
          <w:rFonts w:hint="eastAsia" w:hAnsi="黑体"/>
          <w:kern w:val="2"/>
          <w:sz w:val="32"/>
          <w:szCs w:val="32"/>
          <w:lang w:eastAsia="zh-CN"/>
        </w:rPr>
        <w:t>2024年</w:t>
      </w:r>
      <w:r>
        <w:rPr>
          <w:rFonts w:hint="eastAsia" w:hAnsi="黑体"/>
          <w:kern w:val="2"/>
          <w:sz w:val="32"/>
          <w:szCs w:val="32"/>
        </w:rPr>
        <w:t>预算数</w:t>
      </w:r>
      <w:r>
        <w:rPr>
          <w:rFonts w:hint="eastAsia" w:hAnsi="黑体"/>
          <w:kern w:val="2"/>
          <w:sz w:val="32"/>
          <w:szCs w:val="32"/>
          <w:lang w:eastAsia="zh-CN"/>
        </w:rPr>
        <w:t>减少36.66</w:t>
      </w:r>
      <w:r>
        <w:rPr>
          <w:rFonts w:hint="eastAsia" w:hAnsi="黑体"/>
          <w:kern w:val="2"/>
          <w:sz w:val="32"/>
          <w:szCs w:val="32"/>
        </w:rPr>
        <w:t>万元，主要是基本支出</w:t>
      </w:r>
      <w:r>
        <w:rPr>
          <w:rFonts w:hint="eastAsia" w:hAnsi="黑体"/>
          <w:kern w:val="2"/>
          <w:sz w:val="32"/>
          <w:szCs w:val="32"/>
          <w:highlight w:val="none"/>
          <w:lang w:eastAsia="zh-CN"/>
        </w:rPr>
        <w:t>减少36.66</w:t>
      </w:r>
      <w:r>
        <w:rPr>
          <w:rFonts w:hint="eastAsia" w:hAnsi="黑体"/>
          <w:kern w:val="2"/>
          <w:sz w:val="32"/>
          <w:szCs w:val="32"/>
          <w:lang w:val="en-US" w:eastAsia="zh-CN"/>
        </w:rPr>
        <w:t>，</w:t>
      </w:r>
      <w:r>
        <w:rPr>
          <w:rFonts w:hint="eastAsia" w:hAnsi="黑体"/>
          <w:kern w:val="2"/>
          <w:sz w:val="32"/>
          <w:szCs w:val="32"/>
        </w:rPr>
        <w:t>主要</w:t>
      </w:r>
      <w:r>
        <w:rPr>
          <w:rFonts w:hint="eastAsia" w:hAnsi="黑体"/>
          <w:kern w:val="2"/>
          <w:sz w:val="32"/>
          <w:szCs w:val="32"/>
          <w:lang w:val="en-US" w:eastAsia="zh-CN"/>
        </w:rPr>
        <w:t>原</w:t>
      </w:r>
      <w:r>
        <w:rPr>
          <w:rFonts w:hint="eastAsia" w:hAnsi="黑体"/>
          <w:kern w:val="2"/>
          <w:sz w:val="32"/>
          <w:szCs w:val="32"/>
        </w:rPr>
        <w:t>因</w:t>
      </w:r>
      <w:r>
        <w:rPr>
          <w:rFonts w:hint="eastAsia" w:hAnsi="黑体"/>
          <w:kern w:val="2"/>
          <w:sz w:val="32"/>
          <w:szCs w:val="32"/>
          <w:lang w:eastAsia="zh-CN"/>
        </w:rPr>
        <w:t>：</w:t>
      </w:r>
      <w:r>
        <w:rPr>
          <w:rFonts w:hint="eastAsia" w:hAnsi="黑体"/>
          <w:kern w:val="2"/>
          <w:sz w:val="32"/>
          <w:szCs w:val="32"/>
          <w:lang w:val="en-US" w:eastAsia="zh-CN"/>
        </w:rPr>
        <w:t>人员经费减少</w:t>
      </w:r>
      <w:r>
        <w:rPr>
          <w:rFonts w:hint="eastAsia" w:hAnsi="黑体"/>
          <w:kern w:val="2"/>
          <w:sz w:val="32"/>
          <w:szCs w:val="32"/>
        </w:rPr>
        <w:t>。</w:t>
      </w:r>
    </w:p>
    <w:p w14:paraId="2A4E834F">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textAlignment w:val="auto"/>
        <w:outlineLvl w:val="1"/>
        <w:rPr>
          <w:rFonts w:hint="eastAsia" w:hAnsi="黑体"/>
          <w:kern w:val="2"/>
          <w:sz w:val="32"/>
          <w:szCs w:val="32"/>
        </w:rPr>
      </w:pPr>
      <w:bookmarkStart w:id="20" w:name="_Toc15877_WPSOffice_Level1"/>
      <w:bookmarkStart w:id="21" w:name="_Toc25264"/>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rPr>
        <w:t>一般公共预算当年拨款结构情况</w:t>
      </w:r>
      <w:bookmarkEnd w:id="20"/>
      <w:bookmarkEnd w:id="21"/>
    </w:p>
    <w:p w14:paraId="6E150E67">
      <w:pPr>
        <w:pStyle w:val="21"/>
        <w:numPr>
          <w:ilvl w:val="0"/>
          <w:numId w:val="0"/>
        </w:numPr>
        <w:spacing w:before="0" w:line="360" w:lineRule="auto"/>
        <w:ind w:leftChars="196"/>
        <w:outlineLvl w:val="9"/>
        <w:rPr>
          <w:rFonts w:hint="eastAsia" w:hAnsi="黑体"/>
          <w:kern w:val="2"/>
          <w:sz w:val="32"/>
          <w:szCs w:val="32"/>
        </w:rPr>
      </w:pPr>
      <w:r>
        <w:rPr>
          <w:rFonts w:hint="eastAsia" w:ascii="楷体_GB2312" w:hAnsi="黑体" w:eastAsia="楷体_GB2312" w:cs="楷体_GB2312"/>
          <w:b/>
          <w:bCs/>
          <w:kern w:val="2"/>
          <w:sz w:val="32"/>
          <w:szCs w:val="32"/>
          <w:lang w:val="en-US" w:eastAsia="zh-CN"/>
        </w:rPr>
        <w:t xml:space="preserve">   </w:t>
      </w:r>
      <w:r>
        <w:rPr>
          <w:rFonts w:hint="eastAsia" w:hAnsi="黑体"/>
          <w:kern w:val="2"/>
          <w:sz w:val="32"/>
          <w:szCs w:val="32"/>
        </w:rPr>
        <w:t>一般公共服务支出</w:t>
      </w:r>
      <w:r>
        <w:rPr>
          <w:rFonts w:hint="eastAsia" w:hAnsi="黑体"/>
          <w:kern w:val="2"/>
          <w:sz w:val="32"/>
          <w:szCs w:val="32"/>
          <w:lang w:eastAsia="zh-CN"/>
        </w:rPr>
        <w:t>72.73</w:t>
      </w:r>
      <w:r>
        <w:rPr>
          <w:rFonts w:hint="eastAsia" w:hAnsi="黑体"/>
          <w:kern w:val="2"/>
          <w:sz w:val="32"/>
          <w:szCs w:val="32"/>
        </w:rPr>
        <w:t>万元，</w:t>
      </w:r>
      <w:r>
        <w:rPr>
          <w:rFonts w:hint="eastAsia" w:hAnsi="黑体"/>
          <w:kern w:val="2"/>
          <w:sz w:val="32"/>
          <w:szCs w:val="32"/>
          <w:lang w:val="en-US" w:eastAsia="zh-CN"/>
        </w:rPr>
        <w:t>占66.92%；</w:t>
      </w:r>
      <w:r>
        <w:rPr>
          <w:rFonts w:hint="eastAsia" w:hAnsi="黑体"/>
          <w:kern w:val="2"/>
          <w:sz w:val="32"/>
          <w:szCs w:val="32"/>
        </w:rPr>
        <w:t>科学技术支出</w:t>
      </w:r>
      <w:r>
        <w:rPr>
          <w:rFonts w:hint="eastAsia" w:hAnsi="黑体"/>
          <w:kern w:val="2"/>
          <w:sz w:val="32"/>
          <w:szCs w:val="32"/>
          <w:lang w:val="en-US" w:eastAsia="zh-CN"/>
        </w:rPr>
        <w:t>11.4万元，占10.49%；</w:t>
      </w:r>
      <w:r>
        <w:rPr>
          <w:rFonts w:hint="eastAsia" w:hAnsi="黑体"/>
          <w:kern w:val="2"/>
          <w:sz w:val="32"/>
          <w:szCs w:val="32"/>
        </w:rPr>
        <w:t>社会保障和就业支出</w:t>
      </w:r>
      <w:r>
        <w:rPr>
          <w:rFonts w:hint="eastAsia" w:hAnsi="黑体" w:cs="Times New Roman"/>
          <w:kern w:val="2"/>
          <w:sz w:val="32"/>
          <w:szCs w:val="32"/>
          <w:lang w:eastAsia="zh-CN"/>
        </w:rPr>
        <w:t>12.98</w:t>
      </w:r>
      <w:r>
        <w:rPr>
          <w:rFonts w:hint="eastAsia" w:hAnsi="黑体"/>
          <w:kern w:val="2"/>
          <w:sz w:val="32"/>
          <w:szCs w:val="32"/>
        </w:rPr>
        <w:t>万元，</w:t>
      </w:r>
      <w:r>
        <w:rPr>
          <w:rFonts w:hint="eastAsia" w:hAnsi="黑体"/>
          <w:kern w:val="2"/>
          <w:sz w:val="32"/>
          <w:szCs w:val="32"/>
          <w:lang w:val="en-US" w:eastAsia="zh-CN"/>
        </w:rPr>
        <w:t>占11.94%；</w:t>
      </w:r>
      <w:r>
        <w:rPr>
          <w:rFonts w:hint="eastAsia" w:hAnsi="黑体"/>
          <w:kern w:val="2"/>
          <w:sz w:val="32"/>
          <w:szCs w:val="32"/>
        </w:rPr>
        <w:t>卫生健康支出</w:t>
      </w:r>
      <w:r>
        <w:rPr>
          <w:rFonts w:hint="eastAsia" w:hAnsi="黑体" w:cs="Times New Roman"/>
          <w:kern w:val="2"/>
          <w:sz w:val="32"/>
          <w:szCs w:val="32"/>
          <w:lang w:eastAsia="zh-CN"/>
        </w:rPr>
        <w:t>5.09</w:t>
      </w:r>
      <w:r>
        <w:rPr>
          <w:rFonts w:hint="eastAsia" w:hAnsi="黑体"/>
          <w:kern w:val="2"/>
          <w:sz w:val="32"/>
          <w:szCs w:val="32"/>
        </w:rPr>
        <w:t>万元，</w:t>
      </w:r>
      <w:r>
        <w:rPr>
          <w:rFonts w:hint="eastAsia" w:hAnsi="黑体"/>
          <w:kern w:val="2"/>
          <w:sz w:val="32"/>
          <w:szCs w:val="32"/>
          <w:lang w:val="en-US" w:eastAsia="zh-CN"/>
        </w:rPr>
        <w:t>占4.68%；</w:t>
      </w:r>
      <w:r>
        <w:rPr>
          <w:rFonts w:hint="eastAsia" w:hAnsi="黑体"/>
          <w:kern w:val="2"/>
          <w:sz w:val="32"/>
          <w:szCs w:val="32"/>
        </w:rPr>
        <w:t>住房保障支出</w:t>
      </w:r>
      <w:r>
        <w:rPr>
          <w:rFonts w:hint="eastAsia" w:hAnsi="黑体" w:cs="Times New Roman"/>
          <w:kern w:val="2"/>
          <w:sz w:val="32"/>
          <w:szCs w:val="32"/>
          <w:lang w:eastAsia="zh-CN"/>
        </w:rPr>
        <w:t>6.49</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占5.97%</w:t>
      </w:r>
      <w:r>
        <w:rPr>
          <w:rFonts w:hint="eastAsia" w:hAnsi="黑体"/>
          <w:kern w:val="2"/>
          <w:sz w:val="32"/>
          <w:szCs w:val="32"/>
        </w:rPr>
        <w:t>。</w:t>
      </w:r>
    </w:p>
    <w:p w14:paraId="76D05981">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3" w:firstLineChars="200"/>
        <w:textAlignment w:val="auto"/>
        <w:outlineLvl w:val="1"/>
        <w:rPr>
          <w:rFonts w:hAnsi="黑体"/>
          <w:kern w:val="2"/>
          <w:sz w:val="32"/>
          <w:szCs w:val="32"/>
        </w:rPr>
      </w:pPr>
      <w:bookmarkStart w:id="22" w:name="_Toc7395"/>
      <w:bookmarkStart w:id="23" w:name="_Toc20990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三）</w:t>
      </w:r>
      <w:r>
        <w:rPr>
          <w:rFonts w:hint="eastAsia" w:ascii="楷体_GB2312" w:hAnsi="黑体" w:eastAsia="楷体_GB2312" w:cs="楷体_GB2312"/>
          <w:b/>
          <w:bCs/>
          <w:kern w:val="2"/>
          <w:sz w:val="32"/>
          <w:szCs w:val="32"/>
        </w:rPr>
        <w:t>一般公共预算当年拨款具体使用情况</w:t>
      </w:r>
      <w:bookmarkEnd w:id="22"/>
      <w:bookmarkEnd w:id="23"/>
    </w:p>
    <w:p w14:paraId="7566F2DC">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int="eastAsia" w:hAnsi="黑体" w:eastAsia="仿宋_GB2312"/>
          <w:kern w:val="2"/>
          <w:sz w:val="32"/>
          <w:szCs w:val="32"/>
          <w:lang w:eastAsia="zh-CN"/>
        </w:rPr>
      </w:pPr>
      <w:r>
        <w:rPr>
          <w:rFonts w:hint="eastAsia" w:hAnsi="黑体"/>
          <w:kern w:val="2"/>
          <w:sz w:val="32"/>
          <w:szCs w:val="32"/>
        </w:rPr>
        <w:t>1</w:t>
      </w:r>
      <w:r>
        <w:rPr>
          <w:rFonts w:hAnsi="黑体"/>
          <w:kern w:val="2"/>
          <w:sz w:val="32"/>
          <w:szCs w:val="32"/>
        </w:rPr>
        <w:t>.201</w:t>
      </w:r>
      <w:r>
        <w:rPr>
          <w:rFonts w:hint="eastAsia" w:hAnsi="黑体"/>
          <w:kern w:val="2"/>
          <w:sz w:val="32"/>
          <w:szCs w:val="32"/>
        </w:rPr>
        <w:t>（类）</w:t>
      </w:r>
      <w:r>
        <w:rPr>
          <w:rFonts w:hAnsi="黑体"/>
          <w:kern w:val="2"/>
          <w:sz w:val="32"/>
          <w:szCs w:val="32"/>
        </w:rPr>
        <w:t>29</w:t>
      </w:r>
      <w:r>
        <w:rPr>
          <w:rFonts w:hint="eastAsia" w:hAnsi="黑体"/>
          <w:kern w:val="2"/>
          <w:sz w:val="32"/>
          <w:szCs w:val="32"/>
        </w:rPr>
        <w:t>（款）</w:t>
      </w:r>
      <w:r>
        <w:rPr>
          <w:rFonts w:hAnsi="黑体"/>
          <w:kern w:val="2"/>
          <w:sz w:val="32"/>
          <w:szCs w:val="32"/>
        </w:rPr>
        <w:t>01</w:t>
      </w:r>
      <w:r>
        <w:rPr>
          <w:rFonts w:hint="eastAsia" w:hAnsi="黑体"/>
          <w:kern w:val="2"/>
          <w:sz w:val="32"/>
          <w:szCs w:val="32"/>
        </w:rPr>
        <w:t>（项）：行政运行</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eastAsia="zh-CN"/>
        </w:rPr>
        <w:t>72.73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单位职工工资福利支出（基本工资、津补贴、绩效工资等）、日常公用经费支出（办公费、邮电费、劳务费等）、工会经费和公务用车运行维护费。</w:t>
      </w:r>
    </w:p>
    <w:p w14:paraId="67ACA08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640" w:firstLineChars="200"/>
        <w:textAlignment w:val="auto"/>
        <w:outlineLvl w:val="9"/>
        <w:rPr>
          <w:rFonts w:hAnsi="黑体"/>
          <w:kern w:val="2"/>
          <w:sz w:val="32"/>
          <w:szCs w:val="32"/>
        </w:rPr>
      </w:pPr>
      <w:r>
        <w:rPr>
          <w:rFonts w:hAnsi="黑体"/>
          <w:kern w:val="2"/>
          <w:sz w:val="32"/>
          <w:szCs w:val="32"/>
        </w:rPr>
        <w:t>2.</w:t>
      </w:r>
      <w:r>
        <w:rPr>
          <w:rFonts w:hint="eastAsia" w:hAnsi="黑体"/>
          <w:kern w:val="2"/>
          <w:sz w:val="32"/>
          <w:szCs w:val="32"/>
        </w:rPr>
        <w:t>208（类）05（款）05（项）机关事业单位基本养老保险缴费支出</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8.66</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单位养老保险支出。</w:t>
      </w:r>
    </w:p>
    <w:p w14:paraId="1149F37A">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Ansi="黑体"/>
          <w:kern w:val="2"/>
          <w:sz w:val="32"/>
          <w:szCs w:val="32"/>
        </w:rPr>
      </w:pPr>
      <w:r>
        <w:rPr>
          <w:rFonts w:hint="eastAsia" w:hAnsi="黑体"/>
          <w:kern w:val="2"/>
          <w:sz w:val="32"/>
          <w:szCs w:val="32"/>
          <w:lang w:val="en-US" w:eastAsia="zh-CN"/>
        </w:rPr>
        <w:t xml:space="preserve"> 3</w:t>
      </w:r>
      <w:r>
        <w:rPr>
          <w:rFonts w:hAnsi="黑体"/>
          <w:kern w:val="2"/>
          <w:sz w:val="32"/>
          <w:szCs w:val="32"/>
        </w:rPr>
        <w:t>.</w:t>
      </w:r>
      <w:r>
        <w:rPr>
          <w:rFonts w:hint="eastAsia" w:hAnsi="黑体"/>
          <w:kern w:val="2"/>
          <w:sz w:val="32"/>
          <w:szCs w:val="32"/>
        </w:rPr>
        <w:t>208（类）05（款）06（项）机关事业单位职业年金缴费支出</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4.33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单位职业年金支出。</w:t>
      </w:r>
    </w:p>
    <w:p w14:paraId="55205133">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4</w:t>
      </w:r>
      <w:r>
        <w:rPr>
          <w:rFonts w:hAnsi="黑体"/>
          <w:kern w:val="2"/>
          <w:sz w:val="32"/>
          <w:szCs w:val="32"/>
        </w:rPr>
        <w:t>.</w:t>
      </w:r>
      <w:r>
        <w:rPr>
          <w:rFonts w:hint="eastAsia" w:hAnsi="黑体"/>
          <w:kern w:val="2"/>
          <w:sz w:val="32"/>
          <w:szCs w:val="32"/>
        </w:rPr>
        <w:t>210（类）11（款）01（项）行政单位医疗</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3.79</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单位行政医疗支出。</w:t>
      </w:r>
    </w:p>
    <w:p w14:paraId="5ECD2BE2">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5</w:t>
      </w:r>
      <w:r>
        <w:rPr>
          <w:rFonts w:hAnsi="黑体"/>
          <w:kern w:val="2"/>
          <w:sz w:val="32"/>
          <w:szCs w:val="32"/>
        </w:rPr>
        <w:t>.</w:t>
      </w:r>
      <w:r>
        <w:rPr>
          <w:rFonts w:hint="eastAsia" w:hAnsi="黑体"/>
          <w:kern w:val="2"/>
          <w:sz w:val="32"/>
          <w:szCs w:val="32"/>
        </w:rPr>
        <w:t>210（类）11（款）03（项）公务员医疗补助</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1.3</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单位公务员医疗补助支出。</w:t>
      </w:r>
    </w:p>
    <w:p w14:paraId="0E7C7ED9">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rPr>
      </w:pPr>
      <w:r>
        <w:rPr>
          <w:rFonts w:hint="eastAsia" w:hAnsi="黑体"/>
          <w:kern w:val="2"/>
          <w:sz w:val="32"/>
          <w:szCs w:val="32"/>
          <w:lang w:val="en-US" w:eastAsia="zh-CN"/>
        </w:rPr>
        <w:t>6.</w:t>
      </w:r>
      <w:r>
        <w:rPr>
          <w:rFonts w:hint="eastAsia" w:hAnsi="黑体"/>
          <w:kern w:val="2"/>
          <w:sz w:val="32"/>
          <w:szCs w:val="32"/>
        </w:rPr>
        <w:t>221（类）02（款）01（项）住房公积金</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eastAsia="zh-CN"/>
        </w:rPr>
        <w:t>6.49</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2025年</w:t>
      </w:r>
      <w:r>
        <w:rPr>
          <w:rFonts w:hint="eastAsia" w:hAnsi="黑体"/>
          <w:kern w:val="2"/>
          <w:sz w:val="32"/>
          <w:szCs w:val="32"/>
        </w:rPr>
        <w:t>单位住房公积金支出。</w:t>
      </w:r>
    </w:p>
    <w:p w14:paraId="07384B16">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hAnsi="黑体"/>
          <w:kern w:val="2"/>
          <w:sz w:val="32"/>
          <w:szCs w:val="32"/>
          <w:lang w:val="en-US" w:eastAsia="zh-CN"/>
        </w:rPr>
      </w:pPr>
      <w:r>
        <w:rPr>
          <w:rFonts w:hint="eastAsia" w:hAnsi="黑体"/>
          <w:kern w:val="2"/>
          <w:sz w:val="32"/>
          <w:szCs w:val="32"/>
          <w:lang w:val="en-US" w:eastAsia="zh-CN"/>
        </w:rPr>
        <w:t>7</w:t>
      </w:r>
      <w:r>
        <w:rPr>
          <w:rFonts w:hAnsi="黑体"/>
          <w:kern w:val="2"/>
          <w:sz w:val="32"/>
          <w:szCs w:val="32"/>
        </w:rPr>
        <w:t>.20</w:t>
      </w:r>
      <w:r>
        <w:rPr>
          <w:rFonts w:hint="eastAsia" w:hAnsi="黑体"/>
          <w:kern w:val="2"/>
          <w:sz w:val="32"/>
          <w:szCs w:val="32"/>
          <w:lang w:val="en-US" w:eastAsia="zh-CN"/>
        </w:rPr>
        <w:t>6</w:t>
      </w:r>
      <w:r>
        <w:rPr>
          <w:rFonts w:hint="eastAsia" w:hAnsi="黑体"/>
          <w:kern w:val="2"/>
          <w:sz w:val="32"/>
          <w:szCs w:val="32"/>
        </w:rPr>
        <w:t>（类）</w:t>
      </w:r>
      <w:r>
        <w:rPr>
          <w:rFonts w:hint="eastAsia" w:hAnsi="黑体"/>
          <w:kern w:val="2"/>
          <w:sz w:val="32"/>
          <w:szCs w:val="32"/>
          <w:lang w:val="en-US" w:eastAsia="zh-CN"/>
        </w:rPr>
        <w:t>07</w:t>
      </w:r>
      <w:r>
        <w:rPr>
          <w:rFonts w:hint="eastAsia" w:hAnsi="黑体"/>
          <w:kern w:val="2"/>
          <w:sz w:val="32"/>
          <w:szCs w:val="32"/>
        </w:rPr>
        <w:t>（款）</w:t>
      </w:r>
      <w:r>
        <w:rPr>
          <w:rFonts w:hint="eastAsia" w:hAnsi="黑体"/>
          <w:kern w:val="2"/>
          <w:sz w:val="32"/>
          <w:szCs w:val="32"/>
          <w:lang w:val="en-US" w:eastAsia="zh-CN"/>
        </w:rPr>
        <w:t>02</w:t>
      </w:r>
      <w:r>
        <w:rPr>
          <w:rFonts w:hint="eastAsia" w:hAnsi="黑体"/>
          <w:kern w:val="2"/>
          <w:sz w:val="32"/>
          <w:szCs w:val="32"/>
        </w:rPr>
        <w:t>（项）：科普活动</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8</w:t>
      </w:r>
      <w:r>
        <w:rPr>
          <w:rFonts w:hint="eastAsia" w:hAnsi="黑体"/>
          <w:kern w:val="2"/>
          <w:sz w:val="32"/>
          <w:szCs w:val="32"/>
        </w:rPr>
        <w:t>万元，主要用于</w:t>
      </w:r>
      <w:r>
        <w:rPr>
          <w:rFonts w:hint="eastAsia" w:hAnsi="黑体"/>
          <w:kern w:val="2"/>
          <w:sz w:val="32"/>
          <w:szCs w:val="32"/>
          <w:lang w:eastAsia="zh-CN"/>
        </w:rPr>
        <w:t>：人均科普经费</w:t>
      </w:r>
      <w:r>
        <w:rPr>
          <w:rFonts w:hint="eastAsia" w:hAnsi="黑体"/>
          <w:kern w:val="2"/>
          <w:sz w:val="32"/>
          <w:szCs w:val="32"/>
          <w:lang w:val="en-US" w:eastAsia="zh-CN"/>
        </w:rPr>
        <w:t>项目的支出。</w:t>
      </w:r>
    </w:p>
    <w:p w14:paraId="2084619E">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default" w:hAnsi="黑体"/>
          <w:kern w:val="2"/>
          <w:sz w:val="32"/>
          <w:szCs w:val="32"/>
          <w:lang w:val="en-US" w:eastAsia="zh-CN"/>
        </w:rPr>
      </w:pPr>
      <w:r>
        <w:rPr>
          <w:rFonts w:hint="eastAsia" w:hAnsi="黑体"/>
          <w:kern w:val="2"/>
          <w:sz w:val="32"/>
          <w:szCs w:val="32"/>
          <w:lang w:val="en-US" w:eastAsia="zh-CN"/>
        </w:rPr>
        <w:t>8.</w:t>
      </w:r>
      <w:r>
        <w:rPr>
          <w:rFonts w:hAnsi="黑体"/>
          <w:kern w:val="2"/>
          <w:sz w:val="32"/>
          <w:szCs w:val="32"/>
        </w:rPr>
        <w:t>20</w:t>
      </w:r>
      <w:r>
        <w:rPr>
          <w:rFonts w:hint="eastAsia" w:hAnsi="黑体"/>
          <w:kern w:val="2"/>
          <w:sz w:val="32"/>
          <w:szCs w:val="32"/>
          <w:lang w:val="en-US" w:eastAsia="zh-CN"/>
        </w:rPr>
        <w:t>6</w:t>
      </w:r>
      <w:r>
        <w:rPr>
          <w:rFonts w:hint="eastAsia" w:hAnsi="黑体"/>
          <w:kern w:val="2"/>
          <w:sz w:val="32"/>
          <w:szCs w:val="32"/>
        </w:rPr>
        <w:t>（类）</w:t>
      </w:r>
      <w:r>
        <w:rPr>
          <w:rFonts w:hint="eastAsia" w:hAnsi="黑体"/>
          <w:kern w:val="2"/>
          <w:sz w:val="32"/>
          <w:szCs w:val="32"/>
          <w:lang w:val="en-US" w:eastAsia="zh-CN"/>
        </w:rPr>
        <w:t>99</w:t>
      </w:r>
      <w:r>
        <w:rPr>
          <w:rFonts w:hint="eastAsia" w:hAnsi="黑体"/>
          <w:kern w:val="2"/>
          <w:sz w:val="32"/>
          <w:szCs w:val="32"/>
        </w:rPr>
        <w:t>（款）</w:t>
      </w:r>
      <w:r>
        <w:rPr>
          <w:rFonts w:hint="eastAsia" w:hAnsi="黑体"/>
          <w:kern w:val="2"/>
          <w:sz w:val="32"/>
          <w:szCs w:val="32"/>
          <w:lang w:val="en-US" w:eastAsia="zh-CN"/>
        </w:rPr>
        <w:t>99</w:t>
      </w:r>
      <w:r>
        <w:rPr>
          <w:rFonts w:hint="eastAsia" w:hAnsi="黑体"/>
          <w:kern w:val="2"/>
          <w:sz w:val="32"/>
          <w:szCs w:val="32"/>
        </w:rPr>
        <w:t>（项）：</w:t>
      </w:r>
      <w:r>
        <w:rPr>
          <w:rFonts w:hint="eastAsia" w:hAnsi="黑体"/>
          <w:kern w:val="2"/>
          <w:sz w:val="32"/>
          <w:szCs w:val="32"/>
          <w:lang w:val="en-US" w:eastAsia="zh-CN"/>
        </w:rPr>
        <w:t>其他科学技术</w:t>
      </w:r>
      <w:r>
        <w:rPr>
          <w:rFonts w:hint="eastAsia" w:hAnsi="黑体"/>
          <w:kern w:val="2"/>
          <w:sz w:val="32"/>
          <w:szCs w:val="32"/>
        </w:rPr>
        <w:t>活动</w:t>
      </w:r>
      <w:r>
        <w:rPr>
          <w:rFonts w:hint="eastAsia" w:hAnsi="黑体"/>
          <w:kern w:val="2"/>
          <w:sz w:val="32"/>
          <w:szCs w:val="32"/>
          <w:lang w:eastAsia="zh-CN"/>
        </w:rPr>
        <w:t>2025年</w:t>
      </w:r>
      <w:r>
        <w:rPr>
          <w:rFonts w:hint="eastAsia" w:hAnsi="黑体"/>
          <w:kern w:val="2"/>
          <w:sz w:val="32"/>
          <w:szCs w:val="32"/>
        </w:rPr>
        <w:t>预算数为</w:t>
      </w:r>
      <w:r>
        <w:rPr>
          <w:rFonts w:hint="eastAsia" w:hAnsi="黑体"/>
          <w:kern w:val="2"/>
          <w:sz w:val="32"/>
          <w:szCs w:val="32"/>
          <w:lang w:val="en-US" w:eastAsia="zh-CN"/>
        </w:rPr>
        <w:t>3.4</w:t>
      </w:r>
      <w:r>
        <w:rPr>
          <w:rFonts w:hint="eastAsia" w:hAnsi="黑体"/>
          <w:kern w:val="2"/>
          <w:sz w:val="32"/>
          <w:szCs w:val="32"/>
        </w:rPr>
        <w:t>万元，主要用于</w:t>
      </w:r>
      <w:r>
        <w:rPr>
          <w:rFonts w:hint="eastAsia" w:hAnsi="黑体"/>
          <w:kern w:val="2"/>
          <w:sz w:val="32"/>
          <w:szCs w:val="32"/>
          <w:lang w:eastAsia="zh-CN"/>
        </w:rPr>
        <w:t>：</w:t>
      </w:r>
      <w:r>
        <w:rPr>
          <w:rFonts w:hint="eastAsia" w:hAnsi="黑体"/>
          <w:kern w:val="2"/>
          <w:sz w:val="32"/>
          <w:szCs w:val="32"/>
          <w:lang w:val="en-US" w:eastAsia="zh-CN"/>
        </w:rPr>
        <w:t>其他科学技术项目的支出。</w:t>
      </w:r>
    </w:p>
    <w:p w14:paraId="1C8117AD">
      <w:pPr>
        <w:pStyle w:val="21"/>
        <w:spacing w:before="0" w:line="360" w:lineRule="auto"/>
        <w:ind w:firstLine="313" w:firstLineChars="196"/>
        <w:outlineLvl w:val="0"/>
        <w:rPr>
          <w:rFonts w:ascii="??" w:hAnsi="??" w:eastAsia="宋体" w:cs="Times New Roman"/>
          <w:b/>
          <w:bCs/>
          <w:sz w:val="16"/>
          <w:szCs w:val="16"/>
        </w:rPr>
      </w:pPr>
      <w:r>
        <w:rPr>
          <w:rFonts w:hint="eastAsia" w:ascii="??" w:hAnsi="??" w:eastAsia="宋体" w:cs="宋体"/>
          <w:sz w:val="16"/>
          <w:szCs w:val="16"/>
        </w:rPr>
        <w:t>　</w:t>
      </w:r>
      <w:r>
        <w:rPr>
          <w:rFonts w:hint="eastAsia" w:ascii="??" w:hAnsi="??" w:eastAsia="宋体" w:cs="宋体"/>
          <w:b/>
          <w:bCs/>
          <w:sz w:val="16"/>
          <w:szCs w:val="16"/>
        </w:rPr>
        <w:t>　</w:t>
      </w:r>
      <w:bookmarkStart w:id="24" w:name="_Toc16417_WPSOffice_Level1"/>
      <w:bookmarkStart w:id="25" w:name="_Toc14680"/>
      <w:r>
        <w:rPr>
          <w:rFonts w:hint="eastAsia" w:ascii="黑体" w:hAnsi="黑体" w:eastAsia="黑体" w:cs="黑体"/>
          <w:kern w:val="2"/>
          <w:sz w:val="32"/>
          <w:szCs w:val="32"/>
        </w:rPr>
        <w:t>六、一般公共预算基本支出情况说明</w:t>
      </w:r>
      <w:bookmarkEnd w:id="24"/>
      <w:bookmarkEnd w:id="25"/>
    </w:p>
    <w:p w14:paraId="2DF148EE">
      <w:pPr>
        <w:pStyle w:val="21"/>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 xml:space="preserve">  </w:t>
      </w: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一般公共预算基本支出</w:t>
      </w:r>
      <w:r>
        <w:rPr>
          <w:rFonts w:hint="eastAsia" w:hAnsi="黑体"/>
          <w:kern w:val="2"/>
          <w:sz w:val="32"/>
          <w:szCs w:val="32"/>
          <w:lang w:val="en-US" w:eastAsia="zh-CN"/>
        </w:rPr>
        <w:t>97.3</w:t>
      </w:r>
      <w:r>
        <w:rPr>
          <w:rFonts w:hint="eastAsia" w:hAnsi="黑体"/>
          <w:kern w:val="2"/>
          <w:sz w:val="32"/>
          <w:szCs w:val="32"/>
          <w:lang w:eastAsia="zh-CN"/>
        </w:rPr>
        <w:t>万</w:t>
      </w:r>
      <w:r>
        <w:rPr>
          <w:rFonts w:hint="eastAsia" w:hAnsi="黑体"/>
          <w:kern w:val="2"/>
          <w:sz w:val="32"/>
          <w:szCs w:val="32"/>
        </w:rPr>
        <w:t>元，其中：人员经费</w:t>
      </w:r>
      <w:r>
        <w:rPr>
          <w:rFonts w:hint="eastAsia" w:hAnsi="黑体"/>
          <w:kern w:val="2"/>
          <w:sz w:val="32"/>
          <w:szCs w:val="32"/>
          <w:lang w:val="en-US" w:eastAsia="zh-CN"/>
        </w:rPr>
        <w:t>8</w:t>
      </w:r>
      <w:bookmarkStart w:id="42" w:name="_GoBack"/>
      <w:bookmarkEnd w:id="42"/>
      <w:r>
        <w:rPr>
          <w:rFonts w:hint="eastAsia" w:hAnsi="黑体"/>
          <w:kern w:val="2"/>
          <w:sz w:val="32"/>
          <w:szCs w:val="32"/>
          <w:lang w:val="en-US" w:eastAsia="zh-CN"/>
        </w:rPr>
        <w:t>7.3</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10</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36BDC0ED">
      <w:pPr>
        <w:pStyle w:val="21"/>
        <w:numPr>
          <w:ilvl w:val="0"/>
          <w:numId w:val="5"/>
        </w:numPr>
        <w:spacing w:before="0" w:line="360" w:lineRule="auto"/>
        <w:ind w:firstLine="640" w:firstLineChars="200"/>
        <w:outlineLvl w:val="0"/>
        <w:rPr>
          <w:rFonts w:hint="eastAsia" w:ascii="黑体" w:hAnsi="黑体" w:eastAsia="黑体" w:cs="黑体"/>
          <w:kern w:val="2"/>
          <w:sz w:val="32"/>
          <w:szCs w:val="32"/>
        </w:rPr>
      </w:pPr>
      <w:bookmarkStart w:id="26" w:name="_Toc11711"/>
      <w:bookmarkStart w:id="27" w:name="_Toc4206_WPSOffice_Level1"/>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26"/>
      <w:bookmarkEnd w:id="27"/>
    </w:p>
    <w:p w14:paraId="3D873E0E">
      <w:pPr>
        <w:pStyle w:val="21"/>
        <w:spacing w:before="0" w:line="360" w:lineRule="auto"/>
        <w:ind w:firstLine="640" w:firstLineChars="200"/>
        <w:rPr>
          <w:rFonts w:hint="eastAsia" w:hAnsi="黑体"/>
          <w:kern w:val="2"/>
          <w:sz w:val="32"/>
          <w:szCs w:val="32"/>
        </w:rPr>
      </w:pPr>
      <w:r>
        <w:rPr>
          <w:rFonts w:hint="eastAsia" w:hAnsi="黑体"/>
          <w:kern w:val="2"/>
          <w:sz w:val="32"/>
          <w:szCs w:val="32"/>
        </w:rPr>
        <w:t>壤塘县科学技术协会</w:t>
      </w:r>
      <w:r>
        <w:rPr>
          <w:rFonts w:hint="eastAsia" w:hAnsi="黑体"/>
          <w:kern w:val="2"/>
          <w:sz w:val="32"/>
          <w:szCs w:val="32"/>
          <w:lang w:eastAsia="zh-CN"/>
        </w:rPr>
        <w:t>2025年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Ansi="黑体"/>
          <w:kern w:val="2"/>
          <w:sz w:val="32"/>
          <w:szCs w:val="32"/>
        </w:rPr>
        <w:t>4</w:t>
      </w:r>
      <w:r>
        <w:rPr>
          <w:rFonts w:hint="eastAsia" w:hAnsi="黑体"/>
          <w:kern w:val="2"/>
          <w:sz w:val="32"/>
          <w:szCs w:val="32"/>
        </w:rPr>
        <w:t>万元，其中：公务用车运行维护费</w:t>
      </w:r>
      <w:r>
        <w:rPr>
          <w:rFonts w:hAnsi="黑体"/>
          <w:kern w:val="2"/>
          <w:sz w:val="32"/>
          <w:szCs w:val="32"/>
        </w:rPr>
        <w:t>4</w:t>
      </w:r>
      <w:r>
        <w:rPr>
          <w:rFonts w:hint="eastAsia" w:hAnsi="黑体"/>
          <w:kern w:val="2"/>
          <w:sz w:val="32"/>
          <w:szCs w:val="32"/>
        </w:rPr>
        <w:t>万元。</w:t>
      </w:r>
    </w:p>
    <w:p w14:paraId="18276598">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（一）</w:t>
      </w:r>
      <w:r>
        <w:rPr>
          <w:rFonts w:hint="eastAsia" w:hAnsi="黑体"/>
          <w:kern w:val="2"/>
          <w:sz w:val="32"/>
          <w:szCs w:val="32"/>
          <w:lang w:eastAsia="zh-CN"/>
        </w:rPr>
        <w:t>2025年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eastAsia="zh-CN"/>
        </w:rPr>
        <w:t>。</w:t>
      </w:r>
      <w:r>
        <w:rPr>
          <w:rFonts w:hAnsi="黑体"/>
          <w:kern w:val="2"/>
          <w:sz w:val="32"/>
          <w:szCs w:val="32"/>
        </w:rPr>
        <w:t xml:space="preserve"> </w:t>
      </w:r>
    </w:p>
    <w:p w14:paraId="052B5163">
      <w:pPr>
        <w:pStyle w:val="21"/>
        <w:spacing w:before="0" w:line="360" w:lineRule="auto"/>
        <w:ind w:firstLine="640" w:firstLineChars="200"/>
        <w:rPr>
          <w:rFonts w:hint="eastAsia" w:hAnsi="黑体"/>
          <w:kern w:val="2"/>
          <w:sz w:val="32"/>
          <w:szCs w:val="32"/>
          <w:lang w:eastAsia="zh-CN"/>
        </w:rPr>
      </w:pPr>
      <w:r>
        <w:rPr>
          <w:rFonts w:hint="eastAsia" w:hAnsi="黑体"/>
          <w:kern w:val="2"/>
          <w:sz w:val="32"/>
          <w:szCs w:val="32"/>
        </w:rPr>
        <w:t>（二）</w:t>
      </w:r>
      <w:r>
        <w:rPr>
          <w:rFonts w:hint="eastAsia" w:hAnsi="黑体"/>
          <w:kern w:val="2"/>
          <w:sz w:val="32"/>
          <w:szCs w:val="32"/>
          <w:lang w:eastAsia="zh-CN"/>
        </w:rPr>
        <w:t>2025年</w:t>
      </w:r>
      <w:r>
        <w:rPr>
          <w:rFonts w:hint="eastAsia" w:hAnsi="黑体"/>
          <w:kern w:val="2"/>
          <w:sz w:val="32"/>
          <w:szCs w:val="32"/>
        </w:rPr>
        <w:t>公务接待费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eastAsia="zh-CN"/>
        </w:rPr>
        <w:t>。</w:t>
      </w:r>
    </w:p>
    <w:p w14:paraId="41E2F2F3">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int="eastAsia" w:hAnsi="黑体"/>
          <w:kern w:val="2"/>
          <w:sz w:val="32"/>
          <w:szCs w:val="32"/>
        </w:rPr>
      </w:pPr>
      <w:r>
        <w:rPr>
          <w:rFonts w:hint="eastAsia" w:hAnsi="黑体"/>
          <w:kern w:val="2"/>
          <w:sz w:val="32"/>
          <w:szCs w:val="32"/>
        </w:rPr>
        <w:t>（三）</w:t>
      </w:r>
      <w:r>
        <w:rPr>
          <w:rFonts w:hint="eastAsia" w:hAnsi="黑体"/>
          <w:kern w:val="2"/>
          <w:sz w:val="32"/>
          <w:szCs w:val="32"/>
          <w:lang w:eastAsia="zh-CN"/>
        </w:rPr>
        <w:t>2025年</w:t>
      </w:r>
      <w:r>
        <w:rPr>
          <w:rFonts w:hint="eastAsia" w:hAnsi="黑体"/>
          <w:kern w:val="2"/>
          <w:sz w:val="32"/>
          <w:szCs w:val="32"/>
        </w:rPr>
        <w:t>公务用车购置及运行维护费</w:t>
      </w:r>
      <w:r>
        <w:rPr>
          <w:rFonts w:hint="eastAsia" w:hAnsi="黑体"/>
          <w:kern w:val="2"/>
          <w:sz w:val="32"/>
          <w:szCs w:val="32"/>
          <w:lang w:val="en-US" w:eastAsia="zh-CN"/>
        </w:rPr>
        <w:t>4</w:t>
      </w:r>
      <w:r>
        <w:rPr>
          <w:rFonts w:hint="eastAsia" w:hAnsi="黑体"/>
          <w:kern w:val="2"/>
          <w:sz w:val="32"/>
          <w:szCs w:val="32"/>
        </w:rPr>
        <w:t>万元。</w:t>
      </w:r>
      <w:r>
        <w:rPr>
          <w:rFonts w:hint="eastAsia" w:hAnsi="黑体"/>
          <w:kern w:val="2"/>
          <w:sz w:val="32"/>
          <w:szCs w:val="32"/>
          <w:lang w:val="en-US" w:eastAsia="zh-CN"/>
        </w:rPr>
        <w:t>与</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4</w:t>
      </w:r>
      <w:r>
        <w:rPr>
          <w:rFonts w:hint="eastAsia" w:hAnsi="黑体"/>
          <w:kern w:val="2"/>
          <w:sz w:val="32"/>
          <w:szCs w:val="32"/>
        </w:rPr>
        <w:t>万元</w:t>
      </w:r>
      <w:r>
        <w:rPr>
          <w:rFonts w:hint="eastAsia" w:hAnsi="黑体"/>
          <w:kern w:val="2"/>
          <w:sz w:val="32"/>
          <w:szCs w:val="32"/>
          <w:lang w:val="en-US" w:eastAsia="zh-CN"/>
        </w:rPr>
        <w:t>相等。</w:t>
      </w:r>
    </w:p>
    <w:p w14:paraId="7C4E9EF8">
      <w:pPr>
        <w:pStyle w:val="21"/>
        <w:numPr>
          <w:ilvl w:val="0"/>
          <w:numId w:val="0"/>
        </w:numPr>
        <w:spacing w:before="0" w:line="360" w:lineRule="auto"/>
        <w:ind w:leftChars="200"/>
        <w:outlineLvl w:val="0"/>
        <w:rPr>
          <w:rFonts w:hint="eastAsia" w:hAnsi="黑体"/>
          <w:kern w:val="2"/>
          <w:sz w:val="32"/>
          <w:szCs w:val="32"/>
        </w:rPr>
      </w:pPr>
      <w:bookmarkStart w:id="28" w:name="_Toc12902"/>
      <w:bookmarkStart w:id="29" w:name="_Toc9056_WPSOffice_Level1"/>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bookmarkEnd w:id="28"/>
      <w:bookmarkEnd w:id="29"/>
    </w:p>
    <w:p w14:paraId="20ED027D">
      <w:pPr>
        <w:pStyle w:val="21"/>
        <w:numPr>
          <w:ilvl w:val="0"/>
          <w:numId w:val="0"/>
        </w:numPr>
        <w:spacing w:before="0" w:line="360" w:lineRule="auto"/>
        <w:ind w:leftChars="200"/>
        <w:outlineLvl w:val="9"/>
        <w:rPr>
          <w:rFonts w:hint="eastAsia" w:hAnsi="黑体"/>
          <w:kern w:val="2"/>
          <w:sz w:val="32"/>
          <w:szCs w:val="32"/>
        </w:rPr>
      </w:pPr>
      <w:r>
        <w:rPr>
          <w:rFonts w:hint="eastAsia" w:ascii="??" w:hAnsi="??" w:eastAsia="宋体" w:cs="宋体"/>
          <w:sz w:val="16"/>
          <w:szCs w:val="16"/>
        </w:rPr>
        <w:t>　</w:t>
      </w: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kern w:val="2"/>
          <w:sz w:val="32"/>
          <w:szCs w:val="32"/>
        </w:rPr>
        <w:t>无政府性基金预算拨款。</w:t>
      </w:r>
    </w:p>
    <w:p w14:paraId="1E3179B4">
      <w:pPr>
        <w:pStyle w:val="21"/>
        <w:numPr>
          <w:ilvl w:val="0"/>
          <w:numId w:val="0"/>
        </w:numPr>
        <w:spacing w:before="0" w:line="360" w:lineRule="auto"/>
        <w:ind w:leftChars="200"/>
        <w:outlineLvl w:val="0"/>
        <w:rPr>
          <w:rFonts w:hint="eastAsia" w:ascii="黑体" w:hAnsi="黑体" w:eastAsia="黑体" w:cs="黑体"/>
          <w:kern w:val="2"/>
          <w:sz w:val="32"/>
          <w:szCs w:val="32"/>
        </w:rPr>
      </w:pPr>
      <w:bookmarkStart w:id="30" w:name="_Toc329"/>
      <w:bookmarkStart w:id="31" w:name="_Toc26861_WPSOffice_Level1"/>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bookmarkEnd w:id="30"/>
      <w:bookmarkEnd w:id="31"/>
    </w:p>
    <w:p w14:paraId="4228C827">
      <w:pPr>
        <w:pStyle w:val="21"/>
        <w:numPr>
          <w:ilvl w:val="0"/>
          <w:numId w:val="6"/>
        </w:numPr>
        <w:spacing w:before="0" w:line="360" w:lineRule="auto"/>
        <w:ind w:left="741" w:leftChars="0" w:firstLine="0" w:firstLineChars="0"/>
        <w:outlineLvl w:val="1"/>
        <w:rPr>
          <w:rFonts w:hint="eastAsia" w:ascii="楷体_GB2312" w:hAnsi="黑体" w:eastAsia="楷体_GB2312" w:cs="楷体_GB2312"/>
          <w:b/>
          <w:bCs/>
          <w:kern w:val="2"/>
          <w:sz w:val="32"/>
          <w:szCs w:val="32"/>
        </w:rPr>
      </w:pPr>
      <w:bookmarkStart w:id="32" w:name="_Toc14029"/>
      <w:bookmarkStart w:id="33" w:name="_Toc31513_WPSOffice_Level1"/>
      <w:r>
        <w:rPr>
          <w:rFonts w:hint="eastAsia" w:ascii="楷体_GB2312" w:hAnsi="黑体" w:eastAsia="楷体_GB2312" w:cs="楷体_GB2312"/>
          <w:b/>
          <w:bCs/>
          <w:kern w:val="2"/>
          <w:sz w:val="32"/>
          <w:szCs w:val="32"/>
        </w:rPr>
        <w:t>机关运行经费</w:t>
      </w:r>
      <w:bookmarkEnd w:id="32"/>
      <w:bookmarkEnd w:id="33"/>
    </w:p>
    <w:p w14:paraId="07652895">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hint="eastAsia" w:hAnsi="黑体"/>
          <w:kern w:val="2"/>
          <w:sz w:val="32"/>
          <w:szCs w:val="32"/>
        </w:rPr>
      </w:pPr>
      <w:r>
        <w:rPr>
          <w:rFonts w:hAnsi="黑体"/>
          <w:kern w:val="2"/>
          <w:sz w:val="32"/>
          <w:szCs w:val="32"/>
        </w:rPr>
        <w:t xml:space="preserve"> </w:t>
      </w:r>
      <w:r>
        <w:rPr>
          <w:rFonts w:hint="eastAsia" w:hAnsi="黑体"/>
          <w:kern w:val="2"/>
          <w:sz w:val="32"/>
          <w:szCs w:val="32"/>
        </w:rPr>
        <w:t>壤塘县科学技术协会</w:t>
      </w:r>
      <w:r>
        <w:rPr>
          <w:rFonts w:hint="eastAsia" w:hAnsi="黑体"/>
          <w:kern w:val="2"/>
          <w:sz w:val="32"/>
          <w:szCs w:val="32"/>
          <w:lang w:eastAsia="zh-CN"/>
        </w:rPr>
        <w:t>2025年</w:t>
      </w:r>
      <w:r>
        <w:rPr>
          <w:rFonts w:hint="eastAsia" w:hAnsi="黑体"/>
          <w:color w:val="000000" w:themeColor="text1"/>
          <w:kern w:val="2"/>
          <w:sz w:val="32"/>
          <w:szCs w:val="32"/>
          <w14:textFill>
            <w14:solidFill>
              <w14:schemeClr w14:val="tx1"/>
            </w14:solidFill>
          </w14:textFill>
        </w:rPr>
        <w:t>机关运行经费</w:t>
      </w:r>
      <w:r>
        <w:rPr>
          <w:rFonts w:hint="eastAsia" w:hAnsi="黑体"/>
          <w:kern w:val="2"/>
          <w:sz w:val="32"/>
          <w:szCs w:val="32"/>
        </w:rPr>
        <w:t>财政拨款预算为</w:t>
      </w:r>
      <w:r>
        <w:rPr>
          <w:rFonts w:hint="eastAsia" w:hAnsi="黑体"/>
          <w:kern w:val="2"/>
          <w:sz w:val="32"/>
          <w:szCs w:val="32"/>
          <w:lang w:val="en-US" w:eastAsia="zh-CN"/>
        </w:rPr>
        <w:t>10</w:t>
      </w:r>
      <w:r>
        <w:rPr>
          <w:rFonts w:hint="eastAsia" w:hAnsi="黑体"/>
          <w:kern w:val="2"/>
          <w:sz w:val="32"/>
          <w:szCs w:val="32"/>
        </w:rPr>
        <w:t>万元，比</w:t>
      </w:r>
      <w:r>
        <w:rPr>
          <w:rFonts w:hint="eastAsia" w:hAnsi="黑体"/>
          <w:kern w:val="2"/>
          <w:sz w:val="32"/>
          <w:szCs w:val="32"/>
          <w:lang w:eastAsia="zh-CN"/>
        </w:rPr>
        <w:t>2024年</w:t>
      </w:r>
      <w:r>
        <w:rPr>
          <w:rFonts w:hint="eastAsia" w:hAnsi="黑体"/>
          <w:kern w:val="2"/>
          <w:sz w:val="32"/>
          <w:szCs w:val="32"/>
        </w:rPr>
        <w:t>预算</w:t>
      </w:r>
      <w:r>
        <w:rPr>
          <w:rFonts w:hint="eastAsia" w:hAnsi="黑体"/>
          <w:kern w:val="2"/>
          <w:sz w:val="32"/>
          <w:szCs w:val="32"/>
          <w:lang w:val="en-US" w:eastAsia="zh-CN"/>
        </w:rPr>
        <w:t>增加/减少0</w:t>
      </w:r>
      <w:r>
        <w:rPr>
          <w:rFonts w:hint="eastAsia" w:hAnsi="黑体"/>
          <w:kern w:val="2"/>
          <w:sz w:val="32"/>
          <w:szCs w:val="32"/>
        </w:rPr>
        <w:t>万元，</w:t>
      </w:r>
      <w:r>
        <w:rPr>
          <w:rFonts w:hint="eastAsia" w:hAnsi="黑体"/>
          <w:kern w:val="2"/>
          <w:sz w:val="32"/>
          <w:szCs w:val="32"/>
          <w:lang w:val="en-US" w:eastAsia="zh-CN"/>
        </w:rPr>
        <w:t>增长/降低0</w:t>
      </w:r>
      <w:r>
        <w:rPr>
          <w:rFonts w:hint="eastAsia" w:hAnsi="黑体"/>
          <w:kern w:val="2"/>
          <w:sz w:val="32"/>
          <w:szCs w:val="32"/>
        </w:rPr>
        <w:t>%。</w:t>
      </w:r>
    </w:p>
    <w:p w14:paraId="796D4A01">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643" w:firstLineChars="200"/>
        <w:textAlignment w:val="auto"/>
        <w:outlineLvl w:val="1"/>
        <w:rPr>
          <w:rFonts w:hAnsi="黑体" w:cs="Times New Roman"/>
          <w:kern w:val="2"/>
          <w:sz w:val="32"/>
          <w:szCs w:val="32"/>
        </w:rPr>
      </w:pPr>
      <w:bookmarkStart w:id="34" w:name="_Toc8743_WPSOffice_Level1"/>
      <w:bookmarkStart w:id="35" w:name="_Toc17834"/>
      <w:r>
        <w:rPr>
          <w:rFonts w:hint="eastAsia" w:ascii="楷体_GB2312" w:hAnsi="黑体" w:eastAsia="楷体_GB2312" w:cs="楷体_GB2312"/>
          <w:b/>
          <w:bCs/>
          <w:kern w:val="2"/>
          <w:sz w:val="32"/>
          <w:szCs w:val="32"/>
        </w:rPr>
        <w:t>（二）政府采购情况</w:t>
      </w:r>
      <w:bookmarkEnd w:id="34"/>
      <w:bookmarkEnd w:id="35"/>
    </w:p>
    <w:p w14:paraId="6D39F682">
      <w:pPr>
        <w:pStyle w:val="21"/>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Ansi="黑体"/>
          <w:kern w:val="2"/>
          <w:sz w:val="32"/>
          <w:szCs w:val="32"/>
        </w:rPr>
      </w:pPr>
      <w:r>
        <w:rPr>
          <w:rFonts w:hint="eastAsia" w:hAnsi="黑体"/>
          <w:kern w:val="2"/>
          <w:sz w:val="32"/>
          <w:szCs w:val="32"/>
          <w:lang w:eastAsia="zh-CN"/>
        </w:rPr>
        <w:t>2025年</w:t>
      </w:r>
      <w:r>
        <w:rPr>
          <w:rFonts w:hint="eastAsia" w:hAnsi="黑体"/>
          <w:kern w:val="2"/>
          <w:sz w:val="32"/>
          <w:szCs w:val="32"/>
        </w:rPr>
        <w:t>壤塘县科学技术协会未安排政府采购预算。</w:t>
      </w:r>
    </w:p>
    <w:p w14:paraId="59728913">
      <w:pPr>
        <w:pStyle w:val="2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outlineLvl w:val="1"/>
        <w:rPr>
          <w:rFonts w:ascii="楷体_GB2312" w:hAnsi="黑体" w:eastAsia="楷体_GB2312" w:cs="楷体_GB2312"/>
          <w:b/>
          <w:bCs/>
          <w:kern w:val="2"/>
          <w:sz w:val="32"/>
          <w:szCs w:val="32"/>
        </w:rPr>
      </w:pPr>
      <w:bookmarkStart w:id="36" w:name="_Toc2310"/>
      <w:bookmarkStart w:id="37" w:name="_Toc4494_WPSOffice_Level1"/>
      <w:r>
        <w:rPr>
          <w:rFonts w:hint="eastAsia" w:ascii="楷体_GB2312" w:hAnsi="黑体" w:eastAsia="楷体_GB2312" w:cs="楷体_GB2312"/>
          <w:b/>
          <w:bCs/>
          <w:kern w:val="2"/>
          <w:sz w:val="32"/>
          <w:szCs w:val="32"/>
        </w:rPr>
        <w:t>（三）国有资产占有使用情况</w:t>
      </w:r>
      <w:bookmarkEnd w:id="36"/>
      <w:bookmarkEnd w:id="37"/>
    </w:p>
    <w:p w14:paraId="2E6346BB">
      <w:pPr>
        <w:pStyle w:val="21"/>
        <w:keepNext w:val="0"/>
        <w:keepLines w:val="0"/>
        <w:pageBreakBefore w:val="0"/>
        <w:widowControl w:val="0"/>
        <w:kinsoku/>
        <w:wordWrap/>
        <w:overflowPunct/>
        <w:topLinePunct w:val="0"/>
        <w:autoSpaceDE/>
        <w:autoSpaceDN/>
        <w:bidi w:val="0"/>
        <w:adjustRightInd/>
        <w:snapToGrid/>
        <w:spacing w:before="0" w:line="360" w:lineRule="auto"/>
        <w:ind w:firstLine="643" w:firstLineChars="200"/>
        <w:textAlignment w:val="auto"/>
        <w:outlineLvl w:val="9"/>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无</w:t>
      </w:r>
    </w:p>
    <w:p w14:paraId="684484B7">
      <w:pPr>
        <w:pStyle w:val="21"/>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firstLine="643" w:firstLineChars="200"/>
        <w:textAlignment w:val="auto"/>
        <w:outlineLvl w:val="1"/>
        <w:rPr>
          <w:rFonts w:hint="eastAsia" w:ascii="楷体_GB2312" w:hAnsi="黑体" w:eastAsia="楷体_GB2312" w:cs="楷体_GB2312"/>
          <w:b/>
          <w:bCs/>
          <w:kern w:val="2"/>
          <w:sz w:val="32"/>
          <w:szCs w:val="32"/>
        </w:rPr>
      </w:pPr>
      <w:bookmarkStart w:id="38" w:name="_Toc13449"/>
      <w:bookmarkStart w:id="39" w:name="_Toc29331_WPSOffice_Level1"/>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四）</w:t>
      </w:r>
      <w:r>
        <w:rPr>
          <w:rFonts w:hint="eastAsia" w:ascii="楷体_GB2312" w:hAnsi="黑体" w:eastAsia="楷体_GB2312" w:cs="楷体_GB2312"/>
          <w:b/>
          <w:bCs/>
          <w:kern w:val="2"/>
          <w:sz w:val="32"/>
          <w:szCs w:val="32"/>
        </w:rPr>
        <w:t>绩效目标设置情况</w:t>
      </w:r>
      <w:bookmarkEnd w:id="38"/>
      <w:bookmarkEnd w:id="39"/>
    </w:p>
    <w:p w14:paraId="58D96FC4">
      <w:pPr>
        <w:pStyle w:val="21"/>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firstLineChars="200"/>
        <w:textAlignment w:val="auto"/>
        <w:outlineLvl w:val="9"/>
        <w:rPr>
          <w:rFonts w:ascii="楷体_GB2312" w:hAnsi="黑体" w:eastAsia="楷体_GB2312" w:cs="楷体_GB2312"/>
          <w:b/>
          <w:bCs/>
          <w:kern w:val="2"/>
          <w:sz w:val="32"/>
          <w:szCs w:val="32"/>
        </w:rPr>
      </w:pPr>
      <w:r>
        <w:rPr>
          <w:rFonts w:hint="eastAsia" w:hAnsi="黑体"/>
          <w:kern w:val="2"/>
          <w:sz w:val="32"/>
          <w:szCs w:val="32"/>
          <w:lang w:val="en-US" w:eastAsia="zh-CN"/>
        </w:rPr>
        <w:t xml:space="preserve"> </w:t>
      </w:r>
      <w:r>
        <w:rPr>
          <w:rFonts w:hint="eastAsia" w:hAnsi="黑体"/>
          <w:kern w:val="2"/>
          <w:sz w:val="32"/>
          <w:szCs w:val="32"/>
          <w:lang w:eastAsia="zh-CN"/>
        </w:rPr>
        <w:t>2025年</w:t>
      </w:r>
      <w:r>
        <w:rPr>
          <w:rFonts w:hint="eastAsia" w:hAnsi="黑体"/>
          <w:kern w:val="2"/>
          <w:sz w:val="32"/>
          <w:szCs w:val="32"/>
        </w:rPr>
        <w:t>壤塘县科学技术协会通用项目和专用项目均按要求实行绩效目标管理</w:t>
      </w:r>
      <w:r>
        <w:rPr>
          <w:rFonts w:hint="eastAsia" w:hAnsi="黑体"/>
          <w:kern w:val="2"/>
          <w:sz w:val="32"/>
          <w:szCs w:val="32"/>
          <w:lang w:eastAsia="zh-CN"/>
        </w:rPr>
        <w:t>，</w:t>
      </w:r>
      <w:r>
        <w:rPr>
          <w:rFonts w:hint="eastAsia"/>
          <w:kern w:val="2"/>
          <w:sz w:val="32"/>
          <w:szCs w:val="32"/>
        </w:rPr>
        <w:t>涉及一般公共预算当年拨款</w:t>
      </w:r>
      <w:r>
        <w:rPr>
          <w:rFonts w:hint="eastAsia"/>
          <w:kern w:val="2"/>
          <w:sz w:val="32"/>
          <w:szCs w:val="32"/>
          <w:lang w:val="en-US" w:eastAsia="zh-CN"/>
        </w:rPr>
        <w:t>108.7</w:t>
      </w:r>
      <w:r>
        <w:rPr>
          <w:rFonts w:hint="eastAsia"/>
          <w:kern w:val="2"/>
          <w:sz w:val="32"/>
          <w:szCs w:val="32"/>
        </w:rPr>
        <w:t>万元</w:t>
      </w:r>
      <w:r>
        <w:rPr>
          <w:rFonts w:hint="eastAsia" w:hAnsi="黑体"/>
          <w:kern w:val="2"/>
          <w:sz w:val="32"/>
          <w:szCs w:val="32"/>
        </w:rPr>
        <w:t>。</w:t>
      </w:r>
    </w:p>
    <w:p w14:paraId="500A0721">
      <w:pPr>
        <w:pStyle w:val="21"/>
        <w:spacing w:before="0" w:line="360" w:lineRule="auto"/>
        <w:ind w:firstLine="640" w:firstLineChars="200"/>
        <w:outlineLvl w:val="0"/>
        <w:rPr>
          <w:rFonts w:hint="eastAsia" w:ascii="??" w:hAnsi="??" w:eastAsia="宋体" w:cs="Times New Roman"/>
          <w:sz w:val="16"/>
          <w:szCs w:val="16"/>
        </w:rPr>
      </w:pPr>
      <w:bookmarkStart w:id="40" w:name="_Toc16615"/>
      <w:bookmarkStart w:id="41" w:name="_Toc16204_WPSOffice_Level1"/>
      <w:r>
        <w:rPr>
          <w:rFonts w:hint="eastAsia" w:ascii="黑体" w:hAnsi="黑体" w:eastAsia="黑体" w:cs="黑体"/>
          <w:kern w:val="2"/>
          <w:sz w:val="32"/>
          <w:szCs w:val="32"/>
        </w:rPr>
        <w:t>十、名词解释</w:t>
      </w:r>
      <w:bookmarkEnd w:id="40"/>
      <w:bookmarkEnd w:id="41"/>
    </w:p>
    <w:p w14:paraId="5F7E291C">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7A39AAE0">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024AFC89">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（三）事业单位经营收入：指所属事业单位在专业业务活动及其辅助活动之外开展非独立核算经营活动取得的收入。</w:t>
      </w:r>
    </w:p>
    <w:p w14:paraId="12B2FFB2">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2AD4B14C">
      <w:pPr>
        <w:pStyle w:val="21"/>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（五）用事业基金弥补收支差额：指所属事业单位在</w:t>
      </w:r>
      <w:r>
        <w:rPr>
          <w:rFonts w:hint="eastAsia" w:hAnsi="黑体"/>
          <w:kern w:val="2"/>
          <w:sz w:val="32"/>
          <w:szCs w:val="32"/>
          <w:lang w:eastAsia="zh-CN"/>
        </w:rPr>
        <w:t>预计</w:t>
      </w:r>
      <w:r>
        <w:rPr>
          <w:rFonts w:hint="eastAsia" w:hAnsi="黑体"/>
          <w:kern w:val="2"/>
          <w:sz w:val="32"/>
          <w:szCs w:val="32"/>
        </w:rPr>
        <w:t>当年的</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int="eastAsia" w:hAnsi="黑体"/>
          <w:kern w:val="2"/>
          <w:sz w:val="32"/>
          <w:szCs w:val="32"/>
          <w:lang w:eastAsia="zh-CN"/>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246DDEBD">
      <w:pPr>
        <w:pStyle w:val="21"/>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6F3A9C53">
      <w:pPr>
        <w:rPr>
          <w:rFonts w:ascii="仿宋_GB2312" w:hAnsi="黑体" w:eastAsia="仿宋_GB2312" w:cs="Times New Roman"/>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5E5CB"/>
    <w:multiLevelType w:val="singleLevel"/>
    <w:tmpl w:val="B2C5E5CB"/>
    <w:lvl w:ilvl="0" w:tentative="0">
      <w:start w:val="1"/>
      <w:numFmt w:val="chineseCounting"/>
      <w:suff w:val="nothing"/>
      <w:lvlText w:val="（%1）"/>
      <w:lvlJc w:val="left"/>
      <w:pPr>
        <w:ind w:left="741" w:leftChars="0" w:firstLine="0" w:firstLineChars="0"/>
      </w:pPr>
      <w:rPr>
        <w:rFonts w:hint="eastAsia"/>
      </w:rPr>
    </w:lvl>
  </w:abstractNum>
  <w:abstractNum w:abstractNumId="1">
    <w:nsid w:val="DD9794F7"/>
    <w:multiLevelType w:val="singleLevel"/>
    <w:tmpl w:val="DD9794F7"/>
    <w:lvl w:ilvl="0" w:tentative="0">
      <w:start w:val="7"/>
      <w:numFmt w:val="chineseCounting"/>
      <w:suff w:val="nothing"/>
      <w:lvlText w:val="%1、"/>
      <w:lvlJc w:val="left"/>
      <w:rPr>
        <w:rFonts w:hint="eastAsia"/>
      </w:rPr>
    </w:lvl>
  </w:abstractNum>
  <w:abstractNum w:abstractNumId="2">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2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BA0D0C1"/>
    <w:multiLevelType w:val="singleLevel"/>
    <w:tmpl w:val="4BA0D0C1"/>
    <w:lvl w:ilvl="0" w:tentative="0">
      <w:start w:val="1"/>
      <w:numFmt w:val="chineseCounting"/>
      <w:suff w:val="nothing"/>
      <w:lvlText w:val="%1、"/>
      <w:lvlJc w:val="left"/>
      <w:rPr>
        <w:rFonts w:hint="eastAsia"/>
      </w:rPr>
    </w:lvl>
  </w:abstractNum>
  <w:abstractNum w:abstractNumId="5">
    <w:nsid w:val="68D9DC0D"/>
    <w:multiLevelType w:val="singleLevel"/>
    <w:tmpl w:val="68D9DC0D"/>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WM3OGJlMzU1ZjMxMGIyM2U1ZDkxN2M2YjViMzEifQ=="/>
  </w:docVars>
  <w:rsids>
    <w:rsidRoot w:val="00352854"/>
    <w:rsid w:val="00002FEA"/>
    <w:rsid w:val="00021436"/>
    <w:rsid w:val="00082EF4"/>
    <w:rsid w:val="00085137"/>
    <w:rsid w:val="00097A74"/>
    <w:rsid w:val="00105B15"/>
    <w:rsid w:val="001A196D"/>
    <w:rsid w:val="002026C1"/>
    <w:rsid w:val="00212DBB"/>
    <w:rsid w:val="00215415"/>
    <w:rsid w:val="00257656"/>
    <w:rsid w:val="00260082"/>
    <w:rsid w:val="00264016"/>
    <w:rsid w:val="002946BD"/>
    <w:rsid w:val="002F6713"/>
    <w:rsid w:val="00316466"/>
    <w:rsid w:val="00352854"/>
    <w:rsid w:val="003762A5"/>
    <w:rsid w:val="004103CC"/>
    <w:rsid w:val="0043059D"/>
    <w:rsid w:val="00471829"/>
    <w:rsid w:val="0047755A"/>
    <w:rsid w:val="00484AEB"/>
    <w:rsid w:val="00487381"/>
    <w:rsid w:val="004A7CFC"/>
    <w:rsid w:val="00527A2C"/>
    <w:rsid w:val="0059475F"/>
    <w:rsid w:val="005E2F94"/>
    <w:rsid w:val="00681CB7"/>
    <w:rsid w:val="006E5FA7"/>
    <w:rsid w:val="006F18F1"/>
    <w:rsid w:val="00702F42"/>
    <w:rsid w:val="007B3677"/>
    <w:rsid w:val="007B3DD4"/>
    <w:rsid w:val="007C7CD1"/>
    <w:rsid w:val="00844940"/>
    <w:rsid w:val="00882412"/>
    <w:rsid w:val="008C1FFD"/>
    <w:rsid w:val="008D3923"/>
    <w:rsid w:val="008F63EB"/>
    <w:rsid w:val="009272A9"/>
    <w:rsid w:val="009544A0"/>
    <w:rsid w:val="00986E64"/>
    <w:rsid w:val="00987B5A"/>
    <w:rsid w:val="009C5F76"/>
    <w:rsid w:val="00A55379"/>
    <w:rsid w:val="00AE4FCF"/>
    <w:rsid w:val="00B35F0F"/>
    <w:rsid w:val="00B713B0"/>
    <w:rsid w:val="00B87AD1"/>
    <w:rsid w:val="00BB34A8"/>
    <w:rsid w:val="00BE2508"/>
    <w:rsid w:val="00C0348B"/>
    <w:rsid w:val="00C451EA"/>
    <w:rsid w:val="00C8183B"/>
    <w:rsid w:val="00D20EAB"/>
    <w:rsid w:val="00DB3485"/>
    <w:rsid w:val="00E14DF7"/>
    <w:rsid w:val="00EF71D0"/>
    <w:rsid w:val="00F517FB"/>
    <w:rsid w:val="00F743F0"/>
    <w:rsid w:val="00F806C0"/>
    <w:rsid w:val="00F80C32"/>
    <w:rsid w:val="00FA701D"/>
    <w:rsid w:val="00FF11B9"/>
    <w:rsid w:val="02B40D1A"/>
    <w:rsid w:val="03071C11"/>
    <w:rsid w:val="03F62DA4"/>
    <w:rsid w:val="053D673B"/>
    <w:rsid w:val="05E875ED"/>
    <w:rsid w:val="063D115E"/>
    <w:rsid w:val="073C521B"/>
    <w:rsid w:val="080C7C81"/>
    <w:rsid w:val="09953199"/>
    <w:rsid w:val="10323CA7"/>
    <w:rsid w:val="13540843"/>
    <w:rsid w:val="161A2538"/>
    <w:rsid w:val="16D90A2F"/>
    <w:rsid w:val="1869199E"/>
    <w:rsid w:val="187A4642"/>
    <w:rsid w:val="18927E0D"/>
    <w:rsid w:val="1931585E"/>
    <w:rsid w:val="1B641CC7"/>
    <w:rsid w:val="1BC17FC4"/>
    <w:rsid w:val="1D66585C"/>
    <w:rsid w:val="1E035A82"/>
    <w:rsid w:val="22E70030"/>
    <w:rsid w:val="242B4894"/>
    <w:rsid w:val="24651B54"/>
    <w:rsid w:val="24F627AC"/>
    <w:rsid w:val="25E82A3D"/>
    <w:rsid w:val="28702875"/>
    <w:rsid w:val="28CD7CC8"/>
    <w:rsid w:val="2CA55B9D"/>
    <w:rsid w:val="2E954963"/>
    <w:rsid w:val="30162ED9"/>
    <w:rsid w:val="315030F1"/>
    <w:rsid w:val="3B530501"/>
    <w:rsid w:val="3DAC7832"/>
    <w:rsid w:val="3DB8680E"/>
    <w:rsid w:val="3FB939D6"/>
    <w:rsid w:val="470E1780"/>
    <w:rsid w:val="47BB36B5"/>
    <w:rsid w:val="47C54534"/>
    <w:rsid w:val="48023DBF"/>
    <w:rsid w:val="4972355A"/>
    <w:rsid w:val="4A0607AA"/>
    <w:rsid w:val="4C045991"/>
    <w:rsid w:val="4C27021A"/>
    <w:rsid w:val="4CD7513E"/>
    <w:rsid w:val="4F8D4E2F"/>
    <w:rsid w:val="5A0C396D"/>
    <w:rsid w:val="5F5D55DE"/>
    <w:rsid w:val="60AE06BF"/>
    <w:rsid w:val="618D7A19"/>
    <w:rsid w:val="6582029E"/>
    <w:rsid w:val="65F13345"/>
    <w:rsid w:val="66291030"/>
    <w:rsid w:val="68595713"/>
    <w:rsid w:val="6DD41873"/>
    <w:rsid w:val="6DF6312C"/>
    <w:rsid w:val="70567B70"/>
    <w:rsid w:val="71DC4024"/>
    <w:rsid w:val="738642C8"/>
    <w:rsid w:val="76962A74"/>
    <w:rsid w:val="7A065990"/>
    <w:rsid w:val="7C517E61"/>
    <w:rsid w:val="7E1F0B8A"/>
    <w:rsid w:val="7F642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tabs>
        <w:tab w:val="left" w:pos="960"/>
      </w:tabs>
      <w:spacing w:line="540" w:lineRule="exact"/>
      <w:ind w:firstLine="1700" w:firstLineChars="1700"/>
    </w:pPr>
    <w:rPr>
      <w:sz w:val="32"/>
      <w:szCs w:val="32"/>
    </w:rPr>
  </w:style>
  <w:style w:type="paragraph" w:styleId="3">
    <w:name w:val="Body Text First Indent 2"/>
    <w:basedOn w:val="2"/>
    <w:next w:val="1"/>
    <w:qFormat/>
    <w:uiPriority w:val="0"/>
    <w:pPr>
      <w:ind w:firstLine="200" w:firstLineChars="200"/>
    </w:pPr>
  </w:style>
  <w:style w:type="paragraph" w:styleId="4">
    <w:name w:val="footer"/>
    <w:basedOn w:val="1"/>
    <w:link w:val="14"/>
    <w:semiHidden/>
    <w:qFormat/>
    <w:uiPriority w:val="99"/>
    <w:pPr>
      <w:tabs>
        <w:tab w:val="center" w:pos="4153"/>
        <w:tab w:val="right" w:pos="8306"/>
      </w:tabs>
      <w:snapToGrid w:val="0"/>
      <w:jc w:val="left"/>
    </w:pPr>
    <w:rPr>
      <w:sz w:val="18"/>
      <w:szCs w:val="18"/>
    </w:rPr>
  </w:style>
  <w:style w:type="paragraph" w:styleId="5">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locked/>
    <w:uiPriority w:val="0"/>
  </w:style>
  <w:style w:type="paragraph" w:styleId="7">
    <w:name w:val="toc 2"/>
    <w:basedOn w:val="1"/>
    <w:next w:val="1"/>
    <w:autoRedefine/>
    <w:qFormat/>
    <w:locked/>
    <w:uiPriority w:val="0"/>
    <w:pPr>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unhideWhenUsed/>
    <w:qFormat/>
    <w:locked/>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99"/>
  </w:style>
  <w:style w:type="paragraph" w:customStyle="1" w:styleId="13">
    <w:name w:val="列出段落1"/>
    <w:basedOn w:val="1"/>
    <w:qFormat/>
    <w:uiPriority w:val="34"/>
    <w:pPr>
      <w:ind w:firstLine="420" w:firstLineChars="200"/>
    </w:pPr>
    <w:rPr>
      <w:rFonts w:ascii="Calibri" w:hAnsi="Calibri" w:eastAsia="宋体" w:cs="Times New Roman"/>
    </w:rPr>
  </w:style>
  <w:style w:type="character" w:customStyle="1" w:styleId="14">
    <w:name w:val="页脚 Char"/>
    <w:link w:val="4"/>
    <w:autoRedefine/>
    <w:semiHidden/>
    <w:qFormat/>
    <w:locked/>
    <w:uiPriority w:val="99"/>
    <w:rPr>
      <w:sz w:val="18"/>
      <w:szCs w:val="18"/>
    </w:rPr>
  </w:style>
  <w:style w:type="character" w:customStyle="1" w:styleId="15">
    <w:name w:val="页眉 Char"/>
    <w:link w:val="5"/>
    <w:semiHidden/>
    <w:qFormat/>
    <w:locked/>
    <w:uiPriority w:val="99"/>
    <w:rPr>
      <w:sz w:val="18"/>
      <w:szCs w:val="18"/>
    </w:rPr>
  </w:style>
  <w:style w:type="character" w:customStyle="1" w:styleId="16">
    <w:name w:val="NormalCharacter"/>
    <w:autoRedefine/>
    <w:semiHidden/>
    <w:qFormat/>
    <w:uiPriority w:val="0"/>
  </w:style>
  <w:style w:type="character" w:customStyle="1" w:styleId="17">
    <w:name w:val="默认段落字体1"/>
    <w:qFormat/>
    <w:uiPriority w:val="99"/>
    <w:rPr>
      <w:sz w:val="22"/>
      <w:szCs w:val="22"/>
    </w:rPr>
  </w:style>
  <w:style w:type="paragraph" w:customStyle="1" w:styleId="18">
    <w:name w:val="List Paragraph"/>
    <w:basedOn w:val="1"/>
    <w:qFormat/>
    <w:uiPriority w:val="99"/>
    <w:pPr>
      <w:ind w:firstLine="420" w:firstLineChars="200"/>
    </w:pPr>
  </w:style>
  <w:style w:type="paragraph" w:customStyle="1" w:styleId="19">
    <w:name w:val="样式2"/>
    <w:basedOn w:val="1"/>
    <w:qFormat/>
    <w:uiPriority w:val="0"/>
    <w:pPr>
      <w:spacing w:line="560" w:lineRule="exact"/>
      <w:ind w:firstLine="420" w:firstLineChars="200"/>
    </w:pPr>
    <w:rPr>
      <w:rFonts w:ascii="Calibri" w:hAnsi="Calibri" w:eastAsia="仿宋_GB2312"/>
      <w:sz w:val="32"/>
      <w:szCs w:val="32"/>
    </w:rPr>
  </w:style>
  <w:style w:type="paragraph" w:customStyle="1" w:styleId="20">
    <w:name w:val="UserStyle_0"/>
    <w:autoRedefine/>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21">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22">
    <w:name w:val="UserStyle_1"/>
    <w:basedOn w:val="1"/>
    <w:next w:val="20"/>
    <w:qFormat/>
    <w:uiPriority w:val="0"/>
    <w:pPr>
      <w:keepNext/>
      <w:keepLines/>
      <w:widowControl w:val="0"/>
      <w:numPr>
        <w:ilvl w:val="4"/>
        <w:numId w:val="1"/>
      </w:numPr>
      <w:tabs>
        <w:tab w:val="left" w:pos="3600"/>
      </w:tabs>
      <w:spacing w:before="280" w:after="156" w:line="377" w:lineRule="auto"/>
      <w:ind w:left="3600" w:hanging="360"/>
      <w:textAlignment w:val="auto"/>
    </w:pPr>
    <w:rPr>
      <w:rFonts w:ascii="Arial" w:hAnsi="Arial" w:eastAsia="黑体" w:cs="Times New Roman"/>
      <w:b/>
      <w:sz w:val="24"/>
      <w:szCs w:val="2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2876</Words>
  <Characters>3239</Characters>
  <Lines>20</Lines>
  <Paragraphs>5</Paragraphs>
  <TotalTime>9</TotalTime>
  <ScaleCrop>false</ScaleCrop>
  <LinksUpToDate>false</LinksUpToDate>
  <CharactersWithSpaces>3271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九八年生于南方</cp:lastModifiedBy>
  <cp:lastPrinted>2024-01-31T07:44:00Z</cp:lastPrinted>
  <dcterms:modified xsi:type="dcterms:W3CDTF">2025-03-04T08:40:55Z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3E9F71502664404086A7EB7D96A70946_13</vt:lpwstr>
  </property>
  <property fmtid="{D5CDD505-2E9C-101B-9397-08002B2CF9AE}" pid="4" name="KSOTemplateDocerSaveRecord">
    <vt:lpwstr>eyJoZGlkIjoiYzZkNzQ4ZWFiZmQ4NTRhOWRkZTk3YTMwMjlmMmZhYmUiLCJ1c2VySWQiOiIzMDMxMTU3ODcifQ==</vt:lpwstr>
  </property>
</Properties>
</file>