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widowControl/>
        <w:jc w:val="center"/>
        <w:rPr>
          <w:rFonts w:ascii="方正小标宋简体" w:eastAsia="方正小标宋简体" w:hint="eastAsia"/>
          <w:sz w:val="72"/>
          <w:szCs w:val="72"/>
          <w:lang w:eastAsia="zh-CN"/>
        </w:rPr>
      </w:pPr>
      <w:bookmarkStart w:id="1" w:name="_Toc15377193"/>
      <w:bookmarkStart w:id="2" w:name="_Toc15396475"/>
      <w:bookmarkStart w:id="3" w:name="_Toc15396597"/>
      <w:bookmarkStart w:id="4" w:name="_Toc15377425"/>
      <w:bookmarkStart w:id="5" w:name="_Toc15378441"/>
      <w:bookmarkEnd w:id="0"/>
      <w:r>
        <w:rPr>
          <w:rFonts w:ascii="方正小标宋简体" w:eastAsia="方正小标宋简体" w:hint="eastAsia"/>
          <w:sz w:val="72"/>
          <w:szCs w:val="72"/>
          <w:lang w:eastAsia="zh-CN"/>
        </w:rPr>
        <w:t>2023年度</w:t>
      </w:r>
      <w:bookmarkEnd w:id="1"/>
      <w:bookmarkEnd w:id="2"/>
      <w:bookmarkEnd w:id="3"/>
      <w:bookmarkEnd w:id="4"/>
      <w:bookmarkEnd w:id="5"/>
    </w:p>
    <w:p>
      <w:pPr>
        <w:widowControl/>
        <w:jc w:val="center"/>
        <w:rPr>
          <w:rFonts w:ascii="方正小标宋简体" w:eastAsia="方正小标宋简体"/>
          <w:sz w:val="72"/>
          <w:szCs w:val="72"/>
          <w:lang w:val="en-US" w:eastAsia="zh-CN"/>
        </w:rPr>
      </w:pPr>
      <w:bookmarkStart w:id="6" w:name="_Toc15377426"/>
      <w:bookmarkStart w:id="7" w:name="_Toc15377194"/>
      <w:bookmarkStart w:id="8" w:name="_Toc15396476"/>
      <w:bookmarkStart w:id="9" w:name="_Toc15396598"/>
      <w:bookmarkStart w:id="10" w:name="_Toc15378442"/>
      <w:bookmarkStart w:id="11" w:name="_Toc15306268"/>
      <w:r>
        <w:rPr>
          <w:rFonts w:ascii="方正小标宋简体" w:eastAsia="方正小标宋简体" w:hint="eastAsia"/>
          <w:sz w:val="72"/>
          <w:szCs w:val="72"/>
          <w:lang w:val="en-US" w:eastAsia="zh-CN"/>
        </w:rPr>
        <w:t>壤塘县科学技术协会</w:t>
      </w:r>
    </w:p>
    <w:p>
      <w:pPr>
        <w:widowControl/>
        <w:jc w:val="center"/>
        <w:rPr>
          <w:rFonts w:ascii="方正小标宋简体" w:eastAsia="方正小标宋简体" w:hint="eastAsia"/>
          <w:sz w:val="72"/>
          <w:szCs w:val="72"/>
          <w:lang w:eastAsia="zh-CN"/>
        </w:rPr>
      </w:pPr>
      <w:bookmarkEnd w:id="6"/>
      <w:bookmarkEnd w:id="7"/>
      <w:bookmarkEnd w:id="8"/>
      <w:bookmarkEnd w:id="9"/>
      <w:bookmarkEnd w:id="10"/>
      <w:bookmarkEnd w:id="11"/>
      <w:r>
        <w:rPr>
          <w:rFonts w:ascii="方正小标宋简体" w:eastAsia="方正小标宋简体" w:hint="eastAsia"/>
          <w:sz w:val="72"/>
          <w:szCs w:val="72"/>
          <w:lang w:val="en-US" w:eastAsia="zh-CN"/>
        </w:rPr>
        <w:t>部门</w:t>
      </w:r>
      <w:r>
        <w:rPr>
          <w:rFonts w:ascii="方正小标宋简体" w:eastAsia="方正小标宋简体" w:hint="eastAsia"/>
          <w:sz w:val="72"/>
          <w:szCs w:val="72"/>
          <w:lang w:eastAsia="zh-CN"/>
        </w:rPr>
        <w:t>决算</w:t>
      </w: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left"/>
        <w:rPr>
          <w:rFonts w:ascii="宋体" w:cs="仿宋_GB2312" w:hint="eastAsia"/>
          <w:sz w:val="32"/>
          <w:szCs w:val="32"/>
        </w:rPr>
      </w:pPr>
    </w:p>
    <w:p>
      <w:pPr>
        <w:pStyle w:val="19"/>
      </w:pPr>
    </w:p>
    <w:p>
      <w:pPr>
        <w:widowControl/>
        <w:jc w:val="center"/>
        <w:rPr>
          <w:rFonts w:ascii="黑体" w:eastAsia="黑体" w:hint="eastAsia"/>
          <w:color w:val="000000"/>
          <w:sz w:val="48"/>
          <w:szCs w:val="48"/>
        </w:rPr>
      </w:pPr>
    </w:p>
    <w:p>
      <w:pPr>
        <w:widowControl/>
        <w:jc w:val="center"/>
        <w:rPr>
          <w:rFonts w:ascii="黑体" w:eastAsia="黑体" w:hint="eastAsia"/>
          <w:color w:val="000000"/>
          <w:sz w:val="48"/>
          <w:szCs w:val="48"/>
        </w:rPr>
      </w:pPr>
    </w:p>
    <w:p>
      <w:pPr>
        <w:widowControl/>
        <w:jc w:val="center"/>
        <w:rPr>
          <w:rFonts w:ascii="黑体" w:eastAsia="黑体" w:hint="eastAsia"/>
          <w:color w:val="000000"/>
          <w:sz w:val="48"/>
          <w:szCs w:val="48"/>
        </w:rPr>
      </w:pPr>
    </w:p>
    <w:p>
      <w:pPr>
        <w:widowControl/>
        <w:jc w:val="center"/>
        <w:rPr>
          <w:rFonts w:ascii="黑体" w:eastAsia="黑体" w:hint="eastAsia"/>
          <w:color w:val="000000"/>
          <w:sz w:val="48"/>
          <w:szCs w:val="48"/>
        </w:rPr>
      </w:pPr>
    </w:p>
    <w:p>
      <w:pPr>
        <w:widowControl/>
        <w:jc w:val="center"/>
        <w:rPr>
          <w:rFonts w:ascii="黑体" w:eastAsia="黑体" w:hint="eastAsia"/>
          <w:color w:val="000000"/>
          <w:sz w:val="48"/>
          <w:szCs w:val="48"/>
        </w:rPr>
      </w:pPr>
    </w:p>
    <w:p>
      <w:pPr>
        <w:widowControl/>
        <w:jc w:val="center"/>
        <w:rPr>
          <w:rFonts w:ascii="黑体" w:eastAsia="黑体" w:hint="eastAsia"/>
          <w:color w:val="000000"/>
          <w:sz w:val="48"/>
          <w:szCs w:val="48"/>
        </w:rPr>
      </w:pPr>
    </w:p>
    <w:p>
      <w:pPr>
        <w:widowControl/>
        <w:jc w:val="center"/>
        <w:rPr>
          <w:rFonts w:ascii="黑体" w:eastAsia="黑体"/>
          <w:color w:val="000000"/>
          <w:sz w:val="48"/>
          <w:szCs w:val="48"/>
        </w:rPr>
      </w:pPr>
      <w:r>
        <w:rPr>
          <w:rFonts w:ascii="黑体" w:eastAsia="黑体" w:hint="eastAsia"/>
          <w:color w:val="000000"/>
          <w:sz w:val="48"/>
          <w:szCs w:val="48"/>
        </w:rPr>
        <w:t>目录</w:t>
      </w:r>
    </w:p>
    <w:p>
      <w:pPr>
        <w:pStyle w:val="26"/>
        <w:jc w:val="center"/>
        <w:rPr>
          <w:b w:val="0"/>
          <w:bCs w:val="0"/>
          <w:sz w:val="24"/>
          <w:szCs w:val="24"/>
        </w:rPr>
      </w:pPr>
      <w:r>
        <w:rPr>
          <w:rFonts w:hint="eastAsia"/>
          <w:b w:val="0"/>
          <w:bCs w:val="0"/>
          <w:sz w:val="24"/>
          <w:szCs w:val="24"/>
        </w:rPr>
        <w:t>公开时间：202</w:t>
      </w:r>
      <w:r>
        <w:rPr>
          <w:rFonts w:hint="eastAsia"/>
          <w:b w:val="0"/>
          <w:bCs w:val="0"/>
          <w:sz w:val="24"/>
          <w:szCs w:val="24"/>
          <w:lang w:val="en-US" w:eastAsia="zh-CN"/>
        </w:rPr>
        <w:t>4</w:t>
      </w:r>
      <w:r>
        <w:rPr>
          <w:rFonts w:hint="eastAsia"/>
          <w:b w:val="0"/>
          <w:bCs w:val="0"/>
          <w:sz w:val="24"/>
          <w:szCs w:val="24"/>
        </w:rPr>
        <w:t>年</w:t>
      </w:r>
      <w:r>
        <w:rPr>
          <w:rFonts w:hint="eastAsia"/>
          <w:b w:val="0"/>
          <w:bCs w:val="0"/>
          <w:sz w:val="24"/>
          <w:szCs w:val="24"/>
          <w:lang w:val="en-US" w:eastAsia="zh-CN"/>
        </w:rPr>
        <w:t>10</w:t>
      </w:r>
      <w:r>
        <w:rPr>
          <w:rFonts w:hint="eastAsia"/>
          <w:b w:val="0"/>
          <w:bCs w:val="0"/>
          <w:sz w:val="24"/>
          <w:szCs w:val="24"/>
        </w:rPr>
        <w:t>月</w:t>
      </w:r>
      <w:r>
        <w:rPr>
          <w:rFonts w:hint="eastAsia"/>
          <w:b w:val="0"/>
          <w:bCs w:val="0"/>
          <w:sz w:val="24"/>
          <w:szCs w:val="24"/>
          <w:lang w:val="en-US" w:eastAsia="zh-CN"/>
        </w:rPr>
        <w:t>23</w:t>
      </w:r>
      <w:r>
        <w:rPr>
          <w:rFonts w:hint="eastAsia"/>
          <w:b w:val="0"/>
          <w:bCs w:val="0"/>
          <w:sz w:val="24"/>
          <w:szCs w:val="24"/>
        </w:rPr>
        <w:t>日</w:t>
      </w:r>
    </w:p>
    <w:p>
      <w:pPr>
        <w:pStyle w:val="26"/>
        <w:tabs>
          <w:tab w:val="right" w:leader="dot" w:pos="8296"/>
        </w:tabs>
        <w:rPr>
          <w:rFonts w:eastAsia="等线" w:cs="Arial"/>
          <w:b w:val="0"/>
          <w:bCs w:val="0"/>
          <w:caps w:val="0"/>
          <w:smallCaps w:val="0"/>
          <w:sz w:val="21"/>
          <w:szCs w:val="22"/>
        </w:rPr>
      </w:pPr>
      <w:r>
        <w:rPr>
          <w:b w:val="0"/>
          <w:bCs w:val="0"/>
          <w:caps w:val="0"/>
          <w:smallCaps w:val="0"/>
        </w:rPr>
        <w:fldChar w:fldCharType="begin"/>
      </w:r>
      <w:r>
        <w:rPr>
          <w:b w:val="0"/>
          <w:bCs w:val="0"/>
          <w:caps w:val="0"/>
          <w:smallCaps w:val="0"/>
        </w:rPr>
        <w:instrText xml:space="preserve"> TOC \o \u </w:instrText>
      </w:r>
      <w:r>
        <w:rPr>
          <w:b w:val="0"/>
          <w:bCs w:val="0"/>
          <w:caps w:val="0"/>
          <w:smallCaps w:val="0"/>
        </w:rPr>
        <w:fldChar w:fldCharType="separate"/>
      </w:r>
      <w:r>
        <w:rPr>
          <w:rFonts w:ascii="黑体" w:eastAsia="黑体"/>
          <w:b w:val="0"/>
        </w:rPr>
        <w:t xml:space="preserve">第一部分 </w:t>
      </w:r>
      <w:r>
        <w:rPr>
          <w:rFonts w:ascii="黑体" w:eastAsia="黑体"/>
          <w:b w:val="0"/>
          <w:bCs w:val="0"/>
        </w:rPr>
        <w:t>部门概况</w:t>
      </w:r>
      <w:r>
        <w:tab/>
      </w:r>
      <w:r>
        <w:fldChar w:fldCharType="begin"/>
      </w:r>
      <w:r>
        <w:instrText xml:space="preserve"> PAGEREF _Toc79163851 \h </w:instrText>
      </w:r>
      <w:r>
        <w:fldChar w:fldCharType="separate"/>
      </w:r>
      <w:r>
        <w:t>1</w:t>
      </w:r>
      <w:r>
        <w:fldChar w:fldCharType="end"/>
      </w:r>
    </w:p>
    <w:p>
      <w:pPr>
        <w:pStyle w:val="30"/>
        <w:tabs>
          <w:tab w:val="right" w:leader="dot" w:pos="8296"/>
        </w:tabs>
        <w:rPr>
          <w:rFonts w:eastAsia="等线" w:cs="Arial" w:hint="eastAsia"/>
          <w:i w:val="0"/>
          <w:iCs w:val="0"/>
          <w:sz w:val="21"/>
          <w:szCs w:val="22"/>
          <w:lang w:val="en-US" w:eastAsia="zh-CN"/>
        </w:rPr>
      </w:pPr>
      <w:r>
        <w:rPr>
          <w:rFonts w:ascii="黑体" w:eastAsia="黑体"/>
          <w:color w:val="000000"/>
        </w:rPr>
        <w:t>一、</w:t>
      </w:r>
      <w:r>
        <w:rPr>
          <w:rFonts w:ascii="黑体" w:eastAsia="黑体" w:hint="eastAsia"/>
          <w:color w:val="000000"/>
          <w:lang w:val="en-US" w:eastAsia="zh-CN"/>
        </w:rPr>
        <w:t>部门职责</w:t>
      </w:r>
      <w:r>
        <w:tab/>
      </w:r>
      <w:r>
        <w:rPr>
          <w:rFonts w:hint="eastAsia"/>
          <w:lang w:val="en-US" w:eastAsia="zh-CN"/>
        </w:rPr>
        <w:t>3</w:t>
      </w:r>
    </w:p>
    <w:p>
      <w:pPr>
        <w:pStyle w:val="30"/>
        <w:tabs>
          <w:tab w:val="right" w:leader="dot" w:pos="8296"/>
        </w:tabs>
        <w:rPr>
          <w:rFonts w:eastAsia="等线" w:cs="Arial"/>
          <w:caps w:val="0"/>
          <w:smallCaps w:val="0"/>
          <w:sz w:val="21"/>
          <w:szCs w:val="22"/>
        </w:rPr>
      </w:pPr>
      <w:r>
        <w:rPr>
          <w:rFonts w:ascii="黑体" w:eastAsia="黑体"/>
          <w:color w:val="000000"/>
        </w:rPr>
        <w:t>二、机</w:t>
      </w:r>
      <w:r>
        <w:rPr>
          <w:rFonts w:ascii="黑体" w:eastAsia="黑体"/>
        </w:rPr>
        <w:t>构设置</w:t>
      </w:r>
      <w:r>
        <w:tab/>
      </w:r>
      <w:r>
        <w:fldChar w:fldCharType="begin"/>
      </w:r>
      <w:r>
        <w:instrText xml:space="preserve"> PAGEREF _Toc79163855 \h </w:instrText>
      </w:r>
      <w:r>
        <w:fldChar w:fldCharType="separate"/>
      </w:r>
      <w:r>
        <w:t>1</w:t>
      </w:r>
      <w:r>
        <w:fldChar w:fldCharType="end"/>
      </w:r>
    </w:p>
    <w:p>
      <w:pPr>
        <w:pStyle w:val="26"/>
        <w:tabs>
          <w:tab w:val="right" w:leader="dot" w:pos="8296"/>
        </w:tabs>
        <w:rPr>
          <w:rFonts w:eastAsia="等线" w:cs="Arial"/>
          <w:b w:val="0"/>
          <w:bCs w:val="0"/>
          <w:caps w:val="0"/>
          <w:smallCaps w:val="0"/>
          <w:sz w:val="21"/>
          <w:szCs w:val="22"/>
        </w:rPr>
      </w:pPr>
      <w:r>
        <w:rPr>
          <w:rFonts w:ascii="黑体" w:eastAsia="黑体"/>
          <w:b w:val="0"/>
          <w:color w:val="000000"/>
        </w:rPr>
        <w:t>第二部分</w:t>
      </w:r>
      <w:r>
        <w:rPr>
          <w:rFonts w:ascii="黑体" w:eastAsia="黑体"/>
          <w:color w:val="000000"/>
        </w:rPr>
        <w:t xml:space="preserve"> </w:t>
      </w:r>
      <w:r>
        <w:rPr>
          <w:rFonts w:ascii="黑体" w:eastAsia="黑体" w:hint="eastAsia"/>
          <w:b w:val="0"/>
          <w:bCs w:val="0"/>
          <w:lang w:eastAsia="zh-CN"/>
        </w:rPr>
        <w:t>2023年</w:t>
      </w:r>
      <w:r>
        <w:rPr>
          <w:rFonts w:ascii="黑体" w:eastAsia="黑体"/>
          <w:b w:val="0"/>
          <w:bCs w:val="0"/>
        </w:rPr>
        <w:t>度部门决算情况说明</w:t>
      </w:r>
      <w:r>
        <w:tab/>
      </w:r>
      <w:r>
        <w:fldChar w:fldCharType="begin"/>
      </w:r>
      <w:r>
        <w:instrText xml:space="preserve"> PAGEREF _Toc79163859 \h </w:instrText>
      </w:r>
      <w:r>
        <w:fldChar w:fldCharType="separate"/>
      </w:r>
      <w:r>
        <w:t>2</w:t>
      </w:r>
      <w:r>
        <w:fldChar w:fldCharType="end"/>
      </w:r>
    </w:p>
    <w:p>
      <w:pPr>
        <w:pStyle w:val="30"/>
        <w:tabs>
          <w:tab w:val="left" w:pos="840"/>
          <w:tab w:val="right" w:leader="dot" w:pos="8296"/>
        </w:tabs>
        <w:rPr>
          <w:rFonts w:eastAsia="等线" w:cs="Arial" w:hint="eastAsia"/>
          <w:caps w:val="0"/>
          <w:smallCaps w:val="0"/>
          <w:sz w:val="21"/>
          <w:szCs w:val="22"/>
          <w:lang w:val="en-US" w:eastAsia="zh-CN"/>
        </w:rPr>
      </w:pPr>
      <w:r>
        <w:rPr>
          <w:rFonts w:ascii="黑体" w:eastAsia="黑体"/>
          <w:bCs/>
        </w:rPr>
        <w:t>一、</w:t>
      </w:r>
      <w:r>
        <w:rPr>
          <w:rFonts w:eastAsia="等线" w:cs="Arial"/>
          <w:caps w:val="0"/>
          <w:smallCaps w:val="0"/>
          <w:sz w:val="21"/>
          <w:szCs w:val="22"/>
        </w:rPr>
        <w:tab/>
      </w:r>
      <w:r>
        <w:rPr>
          <w:rFonts w:ascii="黑体" w:eastAsia="黑体"/>
          <w:color w:val="000000"/>
        </w:rPr>
        <w:t>收</w:t>
      </w:r>
      <w:r>
        <w:rPr>
          <w:rFonts w:ascii="黑体" w:eastAsia="黑体"/>
          <w:bCs/>
        </w:rPr>
        <w:t>入支出决算总体情况说</w:t>
      </w:r>
      <w:r>
        <w:rPr>
          <w:rFonts w:ascii="黑体" w:eastAsia="黑体" w:hint="eastAsia"/>
          <w:bCs/>
          <w:lang w:val="en-US" w:eastAsia="zh-CN"/>
        </w:rPr>
        <w:t xml:space="preserve">明 </w:t>
      </w:r>
      <w:r>
        <w:tab/>
      </w:r>
      <w:r>
        <w:rPr>
          <w:rFonts w:hint="eastAsia"/>
          <w:lang w:val="en-US" w:eastAsia="zh-CN"/>
        </w:rPr>
        <w:t>2</w:t>
      </w:r>
    </w:p>
    <w:p>
      <w:pPr>
        <w:pStyle w:val="30"/>
        <w:tabs>
          <w:tab w:val="left" w:pos="840"/>
          <w:tab w:val="right" w:leader="dot" w:pos="8296"/>
        </w:tabs>
        <w:rPr>
          <w:rFonts w:eastAsia="等线" w:cs="Arial" w:hint="eastAsia"/>
          <w:caps w:val="0"/>
          <w:smallCaps w:val="0"/>
          <w:sz w:val="21"/>
          <w:szCs w:val="22"/>
          <w:lang w:eastAsia="zh-CN"/>
        </w:rPr>
      </w:pPr>
      <w:r>
        <w:rPr>
          <w:rFonts w:ascii="黑体" w:eastAsia="黑体"/>
          <w:bCs/>
        </w:rPr>
        <w:t>二、</w:t>
      </w:r>
      <w:r>
        <w:rPr>
          <w:rFonts w:eastAsia="等线" w:cs="Arial"/>
          <w:caps w:val="0"/>
          <w:smallCaps w:val="0"/>
          <w:sz w:val="21"/>
          <w:szCs w:val="22"/>
        </w:rPr>
        <w:tab/>
      </w:r>
      <w:r>
        <w:rPr>
          <w:rFonts w:ascii="黑体" w:eastAsia="黑体"/>
          <w:color w:val="000000"/>
        </w:rPr>
        <w:t>收</w:t>
      </w:r>
      <w:r>
        <w:rPr>
          <w:rFonts w:ascii="黑体" w:eastAsia="黑体"/>
          <w:bCs/>
        </w:rPr>
        <w:t>入决算情况说明</w:t>
      </w:r>
      <w:r>
        <w:tab/>
      </w:r>
      <w:r>
        <w:rPr>
          <w:rFonts w:hint="eastAsia"/>
          <w:lang w:val="en-US" w:eastAsia="zh-CN"/>
        </w:rPr>
        <w:t>3</w:t>
      </w:r>
    </w:p>
    <w:p>
      <w:pPr>
        <w:pStyle w:val="30"/>
        <w:tabs>
          <w:tab w:val="left" w:pos="840"/>
          <w:tab w:val="right" w:leader="dot" w:pos="8296"/>
        </w:tabs>
        <w:rPr>
          <w:rFonts w:eastAsia="等线" w:cs="Arial" w:hint="eastAsia"/>
          <w:caps w:val="0"/>
          <w:smallCaps w:val="0"/>
          <w:sz w:val="21"/>
          <w:szCs w:val="22"/>
          <w:lang w:eastAsia="zh-CN"/>
        </w:rPr>
      </w:pPr>
      <w:r>
        <w:rPr>
          <w:rFonts w:ascii="黑体" w:eastAsia="黑体"/>
          <w:bCs/>
        </w:rPr>
        <w:t>三、</w:t>
      </w:r>
      <w:r>
        <w:rPr>
          <w:rFonts w:eastAsia="等线" w:cs="Arial"/>
          <w:caps w:val="0"/>
          <w:smallCaps w:val="0"/>
          <w:sz w:val="21"/>
          <w:szCs w:val="22"/>
        </w:rPr>
        <w:tab/>
      </w:r>
      <w:r>
        <w:rPr>
          <w:rFonts w:ascii="黑体" w:eastAsia="黑体"/>
          <w:color w:val="000000"/>
        </w:rPr>
        <w:t>支</w:t>
      </w:r>
      <w:r>
        <w:rPr>
          <w:rFonts w:ascii="黑体" w:eastAsia="黑体"/>
          <w:bCs/>
        </w:rPr>
        <w:t>出决算情况说明</w:t>
      </w:r>
      <w:r>
        <w:tab/>
      </w:r>
      <w:r>
        <w:rPr>
          <w:rFonts w:hint="eastAsia"/>
          <w:lang w:val="en-US" w:eastAsia="zh-CN"/>
        </w:rPr>
        <w:t>3</w:t>
      </w:r>
    </w:p>
    <w:p>
      <w:pPr>
        <w:pStyle w:val="30"/>
        <w:tabs>
          <w:tab w:val="right" w:leader="dot" w:pos="8296"/>
        </w:tabs>
        <w:rPr>
          <w:rFonts w:eastAsia="等线" w:cs="Arial" w:hint="eastAsia"/>
          <w:caps w:val="0"/>
          <w:smallCaps w:val="0"/>
          <w:sz w:val="21"/>
          <w:szCs w:val="22"/>
          <w:lang w:eastAsia="zh-CN"/>
        </w:rPr>
      </w:pPr>
      <w:r>
        <w:rPr>
          <w:rFonts w:ascii="黑体" w:eastAsia="黑体"/>
          <w:color w:val="000000"/>
        </w:rPr>
        <w:t>四、财</w:t>
      </w:r>
      <w:r>
        <w:rPr>
          <w:rFonts w:ascii="黑体" w:eastAsia="黑体"/>
          <w:bCs/>
        </w:rPr>
        <w:t>政拨款收入支出决算总体情况说明</w:t>
      </w:r>
      <w:r>
        <w:tab/>
      </w:r>
      <w:r>
        <w:rPr>
          <w:rFonts w:hint="eastAsia"/>
          <w:lang w:val="en-US" w:eastAsia="zh-CN"/>
        </w:rPr>
        <w:t>4</w:t>
      </w:r>
    </w:p>
    <w:p>
      <w:pPr>
        <w:pStyle w:val="30"/>
        <w:tabs>
          <w:tab w:val="right" w:leader="dot" w:pos="8296"/>
        </w:tabs>
        <w:rPr>
          <w:rFonts w:eastAsia="等线" w:cs="Arial" w:hint="eastAsia"/>
          <w:caps w:val="0"/>
          <w:smallCaps w:val="0"/>
          <w:sz w:val="21"/>
          <w:szCs w:val="22"/>
          <w:lang w:eastAsia="zh-CN"/>
        </w:rPr>
      </w:pPr>
      <w:r>
        <w:rPr>
          <w:rFonts w:ascii="黑体" w:eastAsia="黑体"/>
          <w:color w:val="000000"/>
        </w:rPr>
        <w:t>五、</w:t>
      </w:r>
      <w:r>
        <w:rPr>
          <w:rFonts w:ascii="黑体" w:eastAsia="黑体"/>
          <w:b/>
          <w:color w:val="000000"/>
        </w:rPr>
        <w:t>一</w:t>
      </w:r>
      <w:r>
        <w:rPr>
          <w:rFonts w:ascii="黑体" w:eastAsia="黑体"/>
          <w:bCs/>
        </w:rPr>
        <w:t>般公共预算财政拨款支出决算情况说明</w:t>
      </w:r>
      <w:r>
        <w:tab/>
      </w:r>
      <w:r>
        <w:rPr>
          <w:rFonts w:hint="eastAsia"/>
          <w:lang w:val="en-US" w:eastAsia="zh-CN"/>
        </w:rPr>
        <w:t>7</w:t>
      </w:r>
    </w:p>
    <w:p>
      <w:pPr>
        <w:pStyle w:val="30"/>
        <w:tabs>
          <w:tab w:val="right" w:leader="dot" w:pos="8296"/>
        </w:tabs>
        <w:rPr>
          <w:rFonts w:eastAsia="等线" w:cs="Arial"/>
          <w:caps w:val="0"/>
          <w:smallCaps w:val="0"/>
          <w:sz w:val="21"/>
          <w:szCs w:val="22"/>
        </w:rPr>
      </w:pPr>
      <w:r>
        <w:rPr>
          <w:rFonts w:ascii="黑体" w:eastAsia="黑体"/>
          <w:color w:val="000000"/>
        </w:rPr>
        <w:t>六</w:t>
      </w:r>
      <w:r>
        <w:rPr>
          <w:rFonts w:ascii="黑体" w:eastAsia="黑体"/>
          <w:b/>
          <w:color w:val="000000"/>
        </w:rPr>
        <w:t>、一</w:t>
      </w:r>
      <w:r>
        <w:rPr>
          <w:rFonts w:ascii="黑体" w:eastAsia="黑体"/>
          <w:bCs/>
        </w:rPr>
        <w:t>般公共预算财政拨款基本支出决算情况说明</w:t>
      </w:r>
      <w:r>
        <w:tab/>
      </w:r>
      <w:r>
        <w:fldChar w:fldCharType="begin"/>
      </w:r>
      <w:r>
        <w:instrText xml:space="preserve"> PAGEREF _Toc79163868 \h </w:instrText>
      </w:r>
      <w:r>
        <w:fldChar w:fldCharType="separate"/>
      </w:r>
      <w:r>
        <w:t>7</w:t>
      </w:r>
      <w:r>
        <w:fldChar w:fldCharType="end"/>
      </w:r>
    </w:p>
    <w:p>
      <w:pPr>
        <w:pStyle w:val="30"/>
        <w:tabs>
          <w:tab w:val="right" w:leader="dot" w:pos="8296"/>
        </w:tabs>
        <w:rPr>
          <w:rFonts w:eastAsia="等线" w:cs="Arial"/>
          <w:caps w:val="0"/>
          <w:smallCaps w:val="0"/>
          <w:sz w:val="21"/>
          <w:szCs w:val="22"/>
        </w:rPr>
      </w:pPr>
      <w:r>
        <w:rPr>
          <w:rFonts w:ascii="黑体" w:eastAsia="黑体"/>
          <w:color w:val="000000"/>
        </w:rPr>
        <w:t>七、</w:t>
      </w:r>
      <w:r>
        <w:rPr>
          <w:rFonts w:ascii="黑体" w:eastAsia="黑体"/>
          <w:b/>
          <w:bCs/>
        </w:rPr>
        <w:t>“</w:t>
      </w:r>
      <w:r>
        <w:rPr>
          <w:rFonts w:ascii="黑体" w:eastAsia="黑体"/>
          <w:bCs/>
        </w:rPr>
        <w:t>三公”经费财政拨款支出决算情况说明</w:t>
      </w:r>
      <w:r>
        <w:tab/>
      </w:r>
      <w:r>
        <w:fldChar w:fldCharType="begin"/>
      </w:r>
      <w:r>
        <w:instrText xml:space="preserve"> PAGEREF _Toc79163869 \h </w:instrText>
      </w:r>
      <w:r>
        <w:fldChar w:fldCharType="separate"/>
      </w:r>
      <w:r>
        <w:t>7</w:t>
      </w:r>
      <w:r>
        <w:fldChar w:fldCharType="end"/>
      </w:r>
    </w:p>
    <w:p>
      <w:pPr>
        <w:pStyle w:val="30"/>
        <w:tabs>
          <w:tab w:val="right" w:leader="dot" w:pos="8296"/>
        </w:tabs>
        <w:rPr>
          <w:rFonts w:eastAsia="等线" w:cs="Arial"/>
          <w:caps w:val="0"/>
          <w:smallCaps w:val="0"/>
          <w:sz w:val="21"/>
          <w:szCs w:val="22"/>
        </w:rPr>
      </w:pPr>
      <w:r>
        <w:rPr>
          <w:rFonts w:ascii="黑体" w:eastAsia="黑体"/>
          <w:color w:val="000000"/>
        </w:rPr>
        <w:t>八、</w:t>
      </w:r>
      <w:r>
        <w:rPr>
          <w:rFonts w:ascii="黑体" w:eastAsia="黑体"/>
          <w:bCs/>
        </w:rPr>
        <w:t>政府性基金预算支出决算情况说明</w:t>
      </w:r>
      <w:r>
        <w:tab/>
      </w:r>
      <w:r>
        <w:fldChar w:fldCharType="begin"/>
      </w:r>
      <w:r>
        <w:instrText xml:space="preserve"> PAGEREF _Toc79163872 \h </w:instrText>
      </w:r>
      <w:r>
        <w:fldChar w:fldCharType="separate"/>
      </w:r>
      <w:r>
        <w:t>9</w:t>
      </w:r>
      <w:r>
        <w:fldChar w:fldCharType="end"/>
      </w:r>
    </w:p>
    <w:p>
      <w:pPr>
        <w:pStyle w:val="30"/>
        <w:tabs>
          <w:tab w:val="right" w:leader="dot" w:pos="8296"/>
        </w:tabs>
        <w:rPr>
          <w:rFonts w:eastAsia="等线" w:cs="Arial"/>
          <w:caps w:val="0"/>
          <w:smallCaps w:val="0"/>
          <w:sz w:val="21"/>
          <w:szCs w:val="22"/>
        </w:rPr>
      </w:pPr>
      <w:r>
        <w:rPr>
          <w:rFonts w:ascii="黑体" w:eastAsia="黑体"/>
          <w:bCs/>
        </w:rPr>
        <w:t>九、 国有资本经营预算支出决算情况说明</w:t>
      </w:r>
      <w:r>
        <w:tab/>
      </w:r>
      <w:r>
        <w:fldChar w:fldCharType="begin"/>
      </w:r>
      <w:r>
        <w:instrText xml:space="preserve"> PAGEREF _Toc79163873 \h </w:instrText>
      </w:r>
      <w:r>
        <w:fldChar w:fldCharType="separate"/>
      </w:r>
      <w:r>
        <w:t>9</w:t>
      </w:r>
      <w:r>
        <w:fldChar w:fldCharType="end"/>
      </w:r>
    </w:p>
    <w:p>
      <w:pPr>
        <w:pStyle w:val="30"/>
        <w:tabs>
          <w:tab w:val="right" w:leader="dot" w:pos="8296"/>
        </w:tabs>
        <w:rPr>
          <w:rFonts w:eastAsia="等线" w:cs="Arial"/>
          <w:caps w:val="0"/>
          <w:smallCaps w:val="0"/>
          <w:sz w:val="21"/>
          <w:szCs w:val="22"/>
        </w:rPr>
      </w:pPr>
      <w:r>
        <w:rPr>
          <w:rFonts w:ascii="黑体" w:eastAsia="黑体"/>
          <w:color w:val="000000"/>
        </w:rPr>
        <w:t>十</w:t>
      </w:r>
      <w:r>
        <w:rPr>
          <w:rFonts w:ascii="黑体" w:eastAsia="黑体"/>
          <w:b/>
          <w:bCs/>
        </w:rPr>
        <w:t>、</w:t>
      </w:r>
      <w:r>
        <w:rPr>
          <w:rFonts w:ascii="黑体" w:eastAsia="黑体"/>
          <w:bCs/>
        </w:rPr>
        <w:t>其他重要事项的情况说明</w:t>
      </w:r>
      <w:r>
        <w:tab/>
      </w:r>
      <w:r>
        <w:fldChar w:fldCharType="begin"/>
      </w:r>
      <w:r>
        <w:instrText xml:space="preserve"> PAGEREF _Toc79163874 \h </w:instrText>
      </w:r>
      <w:r>
        <w:fldChar w:fldCharType="separate"/>
      </w:r>
      <w:r>
        <w:t>9</w:t>
      </w:r>
      <w:r>
        <w:fldChar w:fldCharType="end"/>
      </w:r>
    </w:p>
    <w:p>
      <w:pPr>
        <w:pStyle w:val="26"/>
        <w:tabs>
          <w:tab w:val="right" w:leader="dot" w:pos="8296"/>
        </w:tabs>
        <w:rPr>
          <w:rFonts w:eastAsia="等线" w:cs="Arial"/>
          <w:b w:val="0"/>
          <w:bCs w:val="0"/>
          <w:caps w:val="0"/>
          <w:smallCaps w:val="0"/>
          <w:sz w:val="21"/>
          <w:szCs w:val="22"/>
        </w:rPr>
      </w:pPr>
      <w:r>
        <w:rPr>
          <w:rFonts w:ascii="黑体" w:eastAsia="黑体"/>
          <w:kern w:val="44"/>
        </w:rPr>
        <w:t>第三部分</w:t>
      </w:r>
      <w:r>
        <w:rPr>
          <w:rFonts w:ascii="黑体" w:eastAsia="黑体"/>
          <w:color w:val="000000"/>
        </w:rPr>
        <w:t xml:space="preserve"> 名</w:t>
      </w:r>
      <w:r>
        <w:rPr>
          <w:rFonts w:ascii="黑体" w:eastAsia="黑体"/>
          <w:kern w:val="44"/>
        </w:rPr>
        <w:t>词解释</w:t>
      </w:r>
      <w:r>
        <w:tab/>
      </w:r>
      <w:r>
        <w:fldChar w:fldCharType="begin"/>
      </w:r>
      <w:r>
        <w:instrText xml:space="preserve"> PAGEREF _Toc79163879 \h </w:instrText>
      </w:r>
      <w:r>
        <w:fldChar w:fldCharType="separate"/>
      </w:r>
      <w:r>
        <w:t>11</w:t>
      </w:r>
      <w:r>
        <w:fldChar w:fldCharType="end"/>
      </w:r>
    </w:p>
    <w:p>
      <w:pPr>
        <w:pStyle w:val="26"/>
        <w:tabs>
          <w:tab w:val="right" w:leader="dot" w:pos="8296"/>
        </w:tabs>
        <w:rPr>
          <w:rFonts w:eastAsia="等线" w:cs="Arial"/>
          <w:b w:val="0"/>
          <w:bCs w:val="0"/>
          <w:caps w:val="0"/>
          <w:smallCaps w:val="0"/>
          <w:sz w:val="21"/>
          <w:szCs w:val="22"/>
        </w:rPr>
      </w:pPr>
      <w:r>
        <w:rPr>
          <w:rFonts w:ascii="黑体" w:eastAsia="黑体"/>
          <w:color w:val="000000"/>
        </w:rPr>
        <w:t>第</w:t>
      </w:r>
      <w:r>
        <w:rPr>
          <w:rFonts w:ascii="黑体" w:eastAsia="黑体"/>
          <w:kern w:val="44"/>
        </w:rPr>
        <w:t>四部分 附件</w:t>
      </w:r>
      <w:r>
        <w:tab/>
      </w:r>
      <w:r>
        <w:fldChar w:fldCharType="begin"/>
      </w:r>
      <w:r>
        <w:instrText xml:space="preserve"> PAGEREF _Toc79163880 \h </w:instrText>
      </w:r>
      <w:r>
        <w:fldChar w:fldCharType="separate"/>
      </w:r>
      <w:r>
        <w:t>14</w:t>
      </w:r>
      <w:r>
        <w:fldChar w:fldCharType="end"/>
      </w:r>
    </w:p>
    <w:p>
      <w:pPr>
        <w:pStyle w:val="26"/>
        <w:tabs>
          <w:tab w:val="right" w:leader="dot" w:pos="8296"/>
        </w:tabs>
        <w:rPr>
          <w:rFonts w:eastAsia="等线" w:cs="Arial"/>
          <w:b w:val="0"/>
          <w:bCs w:val="0"/>
          <w:caps w:val="0"/>
          <w:smallCaps w:val="0"/>
          <w:sz w:val="21"/>
          <w:szCs w:val="22"/>
        </w:rPr>
      </w:pPr>
      <w:r>
        <w:rPr>
          <w:rFonts w:ascii="黑体" w:eastAsia="黑体"/>
          <w:color w:val="000000"/>
        </w:rPr>
        <w:t>第</w:t>
      </w:r>
      <w:r>
        <w:rPr>
          <w:rFonts w:ascii="黑体" w:eastAsia="黑体"/>
          <w:kern w:val="44"/>
        </w:rPr>
        <w:t>五部分 附表</w:t>
      </w:r>
      <w:r>
        <w:tab/>
      </w:r>
      <w:r>
        <w:fldChar w:fldCharType="begin"/>
      </w:r>
      <w:r>
        <w:instrText xml:space="preserve"> PAGEREF _Toc79163885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color w:val="000000"/>
        </w:rPr>
        <w:t>一、收</w:t>
      </w:r>
      <w:r>
        <w:rPr>
          <w:rFonts w:ascii="仿宋" w:eastAsia="仿宋"/>
        </w:rPr>
        <w:t>入支出决算总表</w:t>
      </w:r>
      <w:r>
        <w:tab/>
      </w:r>
      <w:r>
        <w:fldChar w:fldCharType="begin"/>
      </w:r>
      <w:r>
        <w:instrText xml:space="preserve"> PAGEREF _Toc79163886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color w:val="000000"/>
        </w:rPr>
        <w:t>二、收</w:t>
      </w:r>
      <w:r>
        <w:rPr>
          <w:rFonts w:ascii="仿宋" w:eastAsia="仿宋"/>
        </w:rPr>
        <w:t>入决算表</w:t>
      </w:r>
      <w:r>
        <w:tab/>
      </w:r>
      <w:r>
        <w:fldChar w:fldCharType="begin"/>
      </w:r>
      <w:r>
        <w:instrText xml:space="preserve"> PAGEREF _Toc79163887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rPr>
        <w:t>三、</w:t>
      </w:r>
      <w:r>
        <w:rPr>
          <w:rFonts w:ascii="仿宋" w:eastAsia="仿宋"/>
          <w:color w:val="000000"/>
        </w:rPr>
        <w:t>支</w:t>
      </w:r>
      <w:r>
        <w:rPr>
          <w:rFonts w:ascii="仿宋" w:eastAsia="仿宋"/>
        </w:rPr>
        <w:t>出决算表</w:t>
      </w:r>
      <w:r>
        <w:tab/>
      </w:r>
      <w:r>
        <w:fldChar w:fldCharType="begin"/>
      </w:r>
      <w:r>
        <w:instrText xml:space="preserve"> PAGEREF _Toc79163888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rPr>
        <w:t>四、</w:t>
      </w:r>
      <w:r>
        <w:rPr>
          <w:rFonts w:ascii="仿宋" w:eastAsia="仿宋"/>
          <w:color w:val="000000"/>
        </w:rPr>
        <w:t>财</w:t>
      </w:r>
      <w:r>
        <w:rPr>
          <w:rFonts w:ascii="仿宋" w:eastAsia="仿宋"/>
        </w:rPr>
        <w:t>政拨款收入支出决算总表</w:t>
      </w:r>
      <w:r>
        <w:tab/>
      </w:r>
      <w:r>
        <w:fldChar w:fldCharType="begin"/>
      </w:r>
      <w:r>
        <w:instrText xml:space="preserve"> PAGEREF _Toc79163889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rPr>
        <w:t>五、</w:t>
      </w:r>
      <w:r>
        <w:rPr>
          <w:rFonts w:ascii="仿宋" w:eastAsia="仿宋"/>
          <w:color w:val="000000"/>
        </w:rPr>
        <w:t>财</w:t>
      </w:r>
      <w:r>
        <w:rPr>
          <w:rFonts w:ascii="仿宋" w:eastAsia="仿宋"/>
        </w:rPr>
        <w:t>政拨款支出决算明细表</w:t>
      </w:r>
      <w:r>
        <w:tab/>
      </w:r>
      <w:r>
        <w:fldChar w:fldCharType="begin"/>
      </w:r>
      <w:r>
        <w:instrText xml:space="preserve"> PAGEREF _Toc79163890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rPr>
        <w:t>六、</w:t>
      </w:r>
      <w:r>
        <w:rPr>
          <w:rFonts w:ascii="仿宋" w:eastAsia="仿宋"/>
          <w:color w:val="000000"/>
        </w:rPr>
        <w:t>一</w:t>
      </w:r>
      <w:r>
        <w:rPr>
          <w:rFonts w:ascii="仿宋" w:eastAsia="仿宋"/>
        </w:rPr>
        <w:t>般公共预算财政拨款支出决算表</w:t>
      </w:r>
      <w:r>
        <w:tab/>
      </w:r>
      <w:r>
        <w:fldChar w:fldCharType="begin"/>
      </w:r>
      <w:r>
        <w:instrText xml:space="preserve"> PAGEREF _Toc79163891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rPr>
        <w:t>七、</w:t>
      </w:r>
      <w:r>
        <w:rPr>
          <w:rFonts w:ascii="仿宋" w:eastAsia="仿宋"/>
          <w:color w:val="000000"/>
        </w:rPr>
        <w:t>一</w:t>
      </w:r>
      <w:r>
        <w:rPr>
          <w:rFonts w:ascii="仿宋" w:eastAsia="仿宋"/>
        </w:rPr>
        <w:t>般公共预算财政拨款支出决算明细表</w:t>
      </w:r>
      <w:r>
        <w:tab/>
      </w:r>
      <w:r>
        <w:fldChar w:fldCharType="begin"/>
      </w:r>
      <w:r>
        <w:instrText xml:space="preserve"> PAGEREF _Toc79163892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rPr>
        <w:t>八、</w:t>
      </w:r>
      <w:r>
        <w:rPr>
          <w:rFonts w:ascii="仿宋" w:eastAsia="仿宋"/>
          <w:color w:val="000000"/>
        </w:rPr>
        <w:t>一</w:t>
      </w:r>
      <w:r>
        <w:rPr>
          <w:rFonts w:ascii="仿宋" w:eastAsia="仿宋"/>
        </w:rPr>
        <w:t>般公共预算财政拨款基本支出决算表</w:t>
      </w:r>
      <w:r>
        <w:tab/>
      </w:r>
      <w:r>
        <w:fldChar w:fldCharType="begin"/>
      </w:r>
      <w:r>
        <w:instrText xml:space="preserve"> PAGEREF _Toc79163893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rPr>
        <w:t>九、</w:t>
      </w:r>
      <w:r>
        <w:rPr>
          <w:rFonts w:ascii="仿宋" w:eastAsia="仿宋"/>
          <w:color w:val="000000"/>
        </w:rPr>
        <w:t>一</w:t>
      </w:r>
      <w:r>
        <w:rPr>
          <w:rFonts w:ascii="仿宋" w:eastAsia="仿宋"/>
        </w:rPr>
        <w:t>般公共预算财政拨款项目支出决算表</w:t>
      </w:r>
      <w:r>
        <w:tab/>
      </w:r>
      <w:r>
        <w:fldChar w:fldCharType="begin"/>
      </w:r>
      <w:r>
        <w:instrText xml:space="preserve"> PAGEREF _Toc79163894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rPr>
        <w:t>十、</w:t>
      </w:r>
      <w:r>
        <w:rPr>
          <w:rFonts w:ascii="仿宋" w:eastAsia="仿宋"/>
          <w:color w:val="000000"/>
        </w:rPr>
        <w:t>政</w:t>
      </w:r>
      <w:r>
        <w:rPr>
          <w:rFonts w:ascii="仿宋" w:eastAsia="仿宋"/>
        </w:rPr>
        <w:t>府性基金预算财政拨款收入支出决算表</w:t>
      </w:r>
      <w:r>
        <w:tab/>
      </w:r>
      <w:r>
        <w:fldChar w:fldCharType="begin"/>
      </w:r>
      <w:r>
        <w:instrText xml:space="preserve"> PAGEREF _Toc79163896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rPr>
        <w:t>十</w:t>
      </w:r>
      <w:r>
        <w:rPr>
          <w:rFonts w:ascii="仿宋" w:eastAsia="仿宋" w:hint="eastAsia"/>
          <w:lang w:val="en-US" w:eastAsia="zh-CN"/>
        </w:rPr>
        <w:t>一</w:t>
      </w:r>
      <w:r>
        <w:rPr>
          <w:rFonts w:ascii="仿宋" w:eastAsia="仿宋"/>
        </w:rPr>
        <w:t>、</w:t>
      </w:r>
      <w:r>
        <w:rPr>
          <w:rFonts w:ascii="仿宋" w:eastAsia="仿宋"/>
          <w:color w:val="000000"/>
        </w:rPr>
        <w:t>国</w:t>
      </w:r>
      <w:r>
        <w:rPr>
          <w:rFonts w:ascii="仿宋" w:eastAsia="仿宋"/>
        </w:rPr>
        <w:t>有资本经营预算财政拨款</w:t>
      </w:r>
      <w:r>
        <w:rPr>
          <w:rFonts w:ascii="仿宋" w:eastAsia="仿宋" w:hint="eastAsia"/>
        </w:rPr>
        <w:t>收入</w:t>
      </w:r>
      <w:r>
        <w:rPr>
          <w:rFonts w:ascii="仿宋" w:eastAsia="仿宋"/>
        </w:rPr>
        <w:t>支出决算表</w:t>
      </w:r>
      <w:r>
        <w:tab/>
      </w:r>
      <w:r>
        <w:fldChar w:fldCharType="begin"/>
      </w:r>
      <w:r>
        <w:instrText xml:space="preserve"> PAGEREF _Toc79163898 \h </w:instrText>
      </w:r>
      <w:r>
        <w:fldChar w:fldCharType="separate"/>
      </w:r>
      <w:r>
        <w:t>21</w:t>
      </w:r>
      <w:r>
        <w:fldChar w:fldCharType="end"/>
      </w:r>
    </w:p>
    <w:p>
      <w:pPr>
        <w:pStyle w:val="30"/>
        <w:tabs>
          <w:tab w:val="right" w:leader="dot" w:pos="8296"/>
        </w:tabs>
      </w:pPr>
      <w:r>
        <w:rPr>
          <w:rFonts w:ascii="仿宋" w:eastAsia="仿宋"/>
        </w:rPr>
        <w:t>十</w:t>
      </w:r>
      <w:r>
        <w:rPr>
          <w:rFonts w:ascii="仿宋" w:eastAsia="仿宋" w:hint="eastAsia"/>
          <w:lang w:val="en-US" w:eastAsia="zh-CN"/>
        </w:rPr>
        <w:t>二</w:t>
      </w:r>
      <w:r>
        <w:rPr>
          <w:rFonts w:ascii="仿宋" w:eastAsia="仿宋"/>
        </w:rPr>
        <w:t>、国有资本经营预算财政拨款支出决算表</w:t>
      </w:r>
      <w:r>
        <w:tab/>
      </w:r>
      <w:r>
        <w:fldChar w:fldCharType="begin"/>
      </w:r>
      <w:r>
        <w:instrText xml:space="preserve"> PAGEREF _Toc79163899 \h </w:instrText>
      </w:r>
      <w:r>
        <w:fldChar w:fldCharType="separate"/>
      </w:r>
      <w:r>
        <w:t>21</w:t>
      </w:r>
      <w:r>
        <w:fldChar w:fldCharType="end"/>
      </w:r>
    </w:p>
    <w:p>
      <w:pPr>
        <w:pStyle w:val="30"/>
        <w:tabs>
          <w:tab w:val="right" w:leader="dot" w:pos="8296"/>
        </w:tabs>
        <w:rPr>
          <w:rFonts w:eastAsia="等线" w:cs="Arial"/>
          <w:caps w:val="0"/>
          <w:smallCaps w:val="0"/>
          <w:sz w:val="21"/>
          <w:szCs w:val="22"/>
        </w:rPr>
      </w:pPr>
      <w:r>
        <w:rPr>
          <w:rFonts w:ascii="仿宋" w:eastAsia="仿宋" w:cs="Times New Roman"/>
        </w:rPr>
        <w:t>十</w:t>
      </w:r>
      <w:r>
        <w:rPr>
          <w:rFonts w:ascii="仿宋" w:eastAsia="仿宋" w:cs="Times New Roman" w:hint="eastAsia"/>
          <w:lang w:val="en-US" w:eastAsia="zh-CN"/>
        </w:rPr>
        <w:t>三</w:t>
      </w:r>
      <w:r>
        <w:rPr>
          <w:rFonts w:ascii="仿宋" w:eastAsia="仿宋" w:cs="Times New Roman"/>
        </w:rPr>
        <w:t>、</w:t>
      </w:r>
      <w:r>
        <w:rPr>
          <w:rFonts w:ascii="仿宋" w:eastAsia="仿宋" w:cs="Times New Roman" w:hint="eastAsia"/>
          <w:lang w:val="en-US" w:eastAsia="zh-CN"/>
        </w:rPr>
        <w:t>财政拨款“三公”经费支</w:t>
      </w:r>
      <w:r>
        <w:rPr>
          <w:rFonts w:ascii="仿宋" w:eastAsia="仿宋" w:cs="Times New Roman"/>
        </w:rPr>
        <w:t>出决算</w:t>
      </w:r>
      <w:r>
        <w:rPr>
          <w:rFonts w:ascii="仿宋" w:eastAsia="仿宋" w:cs="Times New Roman" w:hint="eastAsia"/>
          <w:lang w:val="en-US" w:eastAsia="zh-CN"/>
        </w:rPr>
        <w:t>表</w:t>
      </w:r>
      <w:r>
        <w:tab/>
      </w:r>
      <w:r>
        <w:rPr>
          <w:rFonts w:ascii="仿宋" w:eastAsia="仿宋" w:cs="Times New Roman"/>
        </w:rPr>
        <w:fldChar w:fldCharType="begin"/>
      </w:r>
      <w:r>
        <w:rPr>
          <w:rFonts w:ascii="仿宋" w:eastAsia="仿宋" w:cs="Times New Roman"/>
        </w:rPr>
        <w:instrText xml:space="preserve"> PAGEREF _Toc79163899 \h </w:instrText>
      </w:r>
      <w:r>
        <w:rPr>
          <w:rFonts w:ascii="仿宋" w:eastAsia="仿宋" w:cs="Times New Roman"/>
        </w:rPr>
        <w:fldChar w:fldCharType="separate"/>
      </w:r>
      <w:r>
        <w:rPr>
          <w:rFonts w:ascii="仿宋" w:eastAsia="仿宋" w:cs="Times New Roman"/>
        </w:rPr>
        <w:t>21</w:t>
      </w:r>
      <w:r>
        <w:rPr>
          <w:rFonts w:ascii="仿宋" w:eastAsia="仿宋" w:cs="Times New Roman"/>
        </w:rPr>
        <w:fldChar w:fldCharType="end"/>
      </w:r>
    </w:p>
    <w:p>
      <w:r>
        <w:rPr>
          <w:rFonts w:ascii="等线" w:eastAsia="等线"/>
          <w:b/>
          <w:bCs/>
          <w:caps/>
          <w:smallCaps w:val="0"/>
          <w:sz w:val="20"/>
          <w:szCs w:val="20"/>
        </w:rPr>
        <w:fldChar w:fldCharType="end"/>
      </w:r>
    </w:p>
    <w:p>
      <w:pPr>
        <w:pStyle w:val="1"/>
        <w:jc w:val="center"/>
        <w:rPr>
          <w:rFonts w:ascii="黑体" w:eastAsia="黑体" w:hint="eastAsia"/>
          <w:b w:val="0"/>
        </w:rPr>
        <w:sectPr>
          <w:headerReference w:type="default" r:id="rId2"/>
          <w:pgSz w:w="11906" w:h="16838"/>
          <w:pgMar w:top="1440" w:right="1800" w:bottom="1440" w:left="1800" w:header="851" w:footer="992" w:gutter="0"/>
          <w:pgNumType w:start="1"/>
          <w:titlePg/>
          <w:docGrid w:type="lines" w:linePitch="312" w:charSpace="0"/>
        </w:sectPr>
      </w:pPr>
      <w:bookmarkStart w:id="12" w:name="_Toc79163851"/>
      <w:bookmarkStart w:id="13" w:name="_Toc15396599"/>
      <w:bookmarkStart w:id="14" w:name="_Toc79163601"/>
      <w:bookmarkStart w:id="15" w:name="_Toc15377196"/>
    </w:p>
    <w:p>
      <w:pPr>
        <w:pStyle w:val="1"/>
        <w:jc w:val="center"/>
        <w:rPr>
          <w:rStyle w:val="1Char"/>
          <w:rFonts w:ascii="黑体" w:eastAsia="黑体"/>
          <w:b/>
          <w:bCs w:val="0"/>
        </w:rPr>
      </w:pPr>
      <w:r>
        <w:rPr>
          <w:rFonts w:ascii="黑体" w:eastAsia="黑体" w:hint="eastAsia"/>
          <w:b w:val="0"/>
        </w:rPr>
        <w:t>第一部分</w:t>
      </w:r>
      <w:r>
        <w:rPr>
          <w:rFonts w:ascii="黑体" w:eastAsia="黑体"/>
          <w:b w:val="0"/>
        </w:rPr>
        <w:t xml:space="preserve"> </w:t>
      </w:r>
      <w:r>
        <w:rPr>
          <w:rStyle w:val="1Char"/>
          <w:rFonts w:ascii="黑体" w:eastAsia="黑体" w:hint="eastAsia"/>
          <w:b w:val="0"/>
          <w:bCs w:val="0"/>
        </w:rPr>
        <w:t>部门概况</w:t>
      </w:r>
      <w:bookmarkEnd w:id="12"/>
      <w:bookmarkEnd w:id="13"/>
      <w:bookmarkEnd w:id="14"/>
      <w:bookmarkEnd w:id="15"/>
    </w:p>
    <w:p>
      <w:pPr>
        <w:widowControl/>
        <w:jc w:val="left"/>
        <w:rPr>
          <w:rFonts w:ascii="黑体" w:eastAsia="黑体"/>
          <w:color w:val="000000"/>
          <w:sz w:val="32"/>
          <w:szCs w:val="32"/>
        </w:rPr>
      </w:pPr>
    </w:p>
    <w:p>
      <w:pPr>
        <w:pStyle w:val="2"/>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Style w:val="2Char"/>
          <w:rFonts w:ascii="黑体" w:eastAsia="黑体" w:hint="eastAsia"/>
          <w:b w:val="0"/>
          <w:bCs w:val="0"/>
        </w:rPr>
      </w:pPr>
      <w:bookmarkStart w:id="16" w:name="_Toc15377197"/>
      <w:bookmarkStart w:id="17" w:name="_Toc79163602"/>
      <w:bookmarkStart w:id="18" w:name="_Toc15396600"/>
      <w:bookmarkStart w:id="19" w:name="_Toc79163852"/>
      <w:r>
        <w:rPr>
          <w:rFonts w:ascii="黑体" w:eastAsia="黑体" w:hint="eastAsia"/>
          <w:b w:val="0"/>
          <w:color w:val="000000"/>
          <w:lang w:val="en-US" w:eastAsia="zh-CN"/>
        </w:rPr>
        <w:t>部门职责</w:t>
      </w:r>
      <w:bookmarkStart w:id="20" w:name="_Toc15377198"/>
      <w:bookmarkStart w:id="21" w:name="_Toc79163853"/>
      <w:bookmarkStart w:id="22" w:name="_Toc15378445"/>
      <w:bookmarkStart w:id="23" w:name="_Toc79163603"/>
      <w:bookmarkEnd w:id="16"/>
      <w:bookmarkEnd w:id="17"/>
      <w:bookmarkEnd w:id="18"/>
      <w:bookmarkEnd w:id="19"/>
    </w:p>
    <w:p>
      <w:pPr>
        <w:pStyle w:val="17"/>
        <w:keepNext w:val="0"/>
        <w:keepLines w:val="0"/>
        <w:pageBreakBefore w:val="0"/>
        <w:widowControl w:val="0"/>
        <w:kinsoku/>
        <w:wordWrap/>
        <w:overflowPunct/>
        <w:topLinePunct w:val="0"/>
        <w:autoSpaceDE/>
        <w:autoSpaceDN/>
        <w:bidi w:val="0"/>
        <w:adjustRightInd/>
        <w:snapToGrid/>
        <w:spacing w:beforeLines="0" w:before="30" w:line="560" w:lineRule="exact"/>
        <w:ind w:firstLineChars="200" w:firstLine="640"/>
        <w:textAlignment w:val="auto"/>
        <w:rPr>
          <w:rFonts w:cs="Times New Roman" w:hint="eastAsia"/>
          <w:sz w:val="32"/>
          <w:szCs w:val="32"/>
          <w:lang w:eastAsia="zh-CN"/>
        </w:rPr>
      </w:pPr>
      <w:bookmarkEnd w:id="20"/>
      <w:bookmarkEnd w:id="21"/>
      <w:bookmarkEnd w:id="22"/>
      <w:bookmarkEnd w:id="23"/>
      <w:r>
        <w:rPr>
          <w:rFonts w:hint="eastAsia"/>
          <w:sz w:val="32"/>
          <w:szCs w:val="32"/>
          <w:lang w:val="en-US" w:eastAsia="zh-CN"/>
        </w:rPr>
        <w:t>县科协是全县性学会（协会）和乡镇科协、企业、学校科协组成的科技工作者的群众组织；是党委和政府联系科技工作者的纽带和发展科学技术事业的助手，主要的职能职责是普及科学知识，推广先进技术，促进科技成果向现实生产力转化。为科技、经济、社会协调发展献计献策，进行决策咨询和技术服务，兴办科技经济实体</w:t>
      </w:r>
      <w:r>
        <w:rPr>
          <w:rFonts w:cs="Times New Roman" w:hint="eastAsia"/>
          <w:sz w:val="32"/>
          <w:szCs w:val="32"/>
          <w:lang w:eastAsia="zh-CN"/>
        </w:rPr>
        <w:t>。</w:t>
      </w:r>
    </w:p>
    <w:p>
      <w:pPr>
        <w:pStyle w:val="17"/>
        <w:keepNext w:val="0"/>
        <w:keepLines w:val="0"/>
        <w:pageBreakBefore w:val="0"/>
        <w:widowControl w:val="0"/>
        <w:kinsoku/>
        <w:wordWrap/>
        <w:overflowPunct/>
        <w:topLinePunct w:val="0"/>
        <w:autoSpaceDE/>
        <w:autoSpaceDN/>
        <w:bidi w:val="0"/>
        <w:adjustRightInd/>
        <w:snapToGrid/>
        <w:spacing w:beforeLines="0" w:before="30" w:line="560" w:lineRule="exact"/>
        <w:ind w:firstLineChars="200" w:firstLine="640"/>
        <w:textAlignment w:val="auto"/>
        <w:rPr>
          <w:rFonts w:cs="Times New Roman" w:hint="eastAsia"/>
          <w:sz w:val="32"/>
          <w:szCs w:val="32"/>
          <w:lang w:eastAsia="zh-CN"/>
        </w:rPr>
      </w:pPr>
    </w:p>
    <w:p>
      <w:pPr>
        <w:pStyle w:val="2"/>
        <w:keepNext/>
        <w:keepLines/>
        <w:pageBreakBefore w:val="0"/>
        <w:widowControl w:val="0"/>
        <w:kinsoku/>
        <w:wordWrap/>
        <w:overflowPunct/>
        <w:topLinePunct w:val="0"/>
        <w:bidi w:val="0"/>
        <w:spacing w:line="560" w:lineRule="exact"/>
        <w:textAlignment w:val="auto"/>
        <w:rPr>
          <w:rStyle w:val="2Char"/>
          <w:b w:val="0"/>
          <w:bCs w:val="0"/>
        </w:rPr>
      </w:pPr>
      <w:bookmarkStart w:id="24" w:name="_Toc79163855"/>
      <w:bookmarkStart w:id="25" w:name="_Toc15396601"/>
      <w:bookmarkStart w:id="26" w:name="_Toc79163605"/>
      <w:bookmarkStart w:id="27" w:name="_Toc15377200"/>
      <w:r>
        <w:rPr>
          <w:rFonts w:ascii="黑体" w:eastAsia="黑体" w:hint="eastAsia"/>
          <w:b w:val="0"/>
          <w:color w:val="000000"/>
        </w:rPr>
        <w:t>二、机</w:t>
      </w:r>
      <w:r>
        <w:rPr>
          <w:rStyle w:val="2Char"/>
          <w:rFonts w:ascii="黑体" w:eastAsia="黑体" w:hint="eastAsia"/>
          <w:b w:val="0"/>
          <w:bCs w:val="0"/>
        </w:rPr>
        <w:t>构设置</w:t>
      </w:r>
      <w:bookmarkEnd w:id="24"/>
      <w:bookmarkEnd w:id="25"/>
      <w:bookmarkEnd w:id="26"/>
      <w:bookmarkEnd w:id="27"/>
    </w:p>
    <w:p>
      <w:pPr>
        <w:pStyle w:val="17"/>
        <w:pageBreakBefore w:val="0"/>
        <w:widowControl w:val="0"/>
        <w:kinsoku/>
        <w:wordWrap/>
        <w:overflowPunct/>
        <w:topLinePunct w:val="0"/>
        <w:bidi w:val="0"/>
        <w:adjustRightInd w:val="0"/>
        <w:snapToGrid w:val="0"/>
        <w:spacing w:beforeLines="0" w:before="93" w:line="560" w:lineRule="exact"/>
        <w:ind w:firstLineChars="209" w:firstLine="672"/>
        <w:textAlignment w:val="auto"/>
        <w:rPr>
          <w:rFonts w:ascii="仿宋" w:eastAsia="仿宋"/>
          <w:color w:val="000000"/>
          <w:kern w:val="0"/>
          <w:sz w:val="32"/>
          <w:szCs w:val="32"/>
        </w:rPr>
      </w:pPr>
      <w:bookmarkStart w:id="28" w:name="_Toc10699"/>
      <w:bookmarkStart w:id="29" w:name="_Toc12356"/>
      <w:bookmarkStart w:id="30" w:name="_Toc30939"/>
      <w:r>
        <w:rPr>
          <w:rFonts w:cs="Times New Roman" w:hint="eastAsia"/>
          <w:b w:val="0"/>
          <w:bCs w:val="0"/>
          <w:kern w:val="2"/>
          <w:sz w:val="32"/>
          <w:szCs w:val="32"/>
          <w:lang w:val="en-US" w:eastAsia="zh-CN" w:bidi="ar-SA"/>
          <w:highlight w:val="auto"/>
        </w:rPr>
        <w:t>壤塘县科学技术协会</w:t>
      </w:r>
      <w:r>
        <w:rPr>
          <w:rFonts w:ascii="仿宋_GB2312" w:eastAsia="仿宋_GB2312" w:cs="Times New Roman" w:hint="eastAsia"/>
          <w:b w:val="0"/>
          <w:bCs w:val="0"/>
          <w:kern w:val="2"/>
          <w:sz w:val="32"/>
          <w:szCs w:val="32"/>
          <w:lang w:val="en-US" w:eastAsia="zh-CN" w:bidi="ar-SA"/>
          <w:highlight w:val="auto"/>
        </w:rPr>
        <w:t>无下属二级单位，本单位属</w:t>
      </w:r>
      <w:r>
        <w:rPr>
          <w:rFonts w:cs="Times New Roman" w:hint="eastAsia"/>
          <w:b w:val="0"/>
          <w:bCs w:val="0"/>
          <w:kern w:val="2"/>
          <w:sz w:val="32"/>
          <w:szCs w:val="32"/>
          <w:lang w:val="en-US" w:eastAsia="zh-CN" w:bidi="ar-SA"/>
          <w:highlight w:val="auto"/>
        </w:rPr>
        <w:t>行政</w:t>
      </w:r>
      <w:r>
        <w:rPr>
          <w:rFonts w:ascii="仿宋_GB2312" w:eastAsia="仿宋_GB2312" w:cs="Times New Roman" w:hint="eastAsia"/>
          <w:b w:val="0"/>
          <w:bCs w:val="0"/>
          <w:kern w:val="2"/>
          <w:sz w:val="32"/>
          <w:szCs w:val="32"/>
          <w:lang w:val="en-US" w:eastAsia="zh-CN" w:bidi="ar-SA"/>
          <w:highlight w:val="auto"/>
        </w:rPr>
        <w:t>单位。</w:t>
      </w:r>
      <w:bookmarkEnd w:id="28"/>
      <w:bookmarkEnd w:id="29"/>
      <w:bookmarkEnd w:id="30"/>
      <w:r>
        <w:rPr>
          <w:rFonts w:ascii="仿宋" w:eastAsia="仿宋"/>
          <w:color w:val="000000"/>
          <w:sz w:val="32"/>
          <w:szCs w:val="32"/>
        </w:rPr>
        <w:br w:type="page"/>
      </w:r>
    </w:p>
    <w:p>
      <w:pPr>
        <w:pStyle w:val="1"/>
        <w:keepNext/>
        <w:keepLines/>
        <w:pageBreakBefore w:val="0"/>
        <w:widowControl w:val="0"/>
        <w:kinsoku/>
        <w:wordWrap/>
        <w:overflowPunct/>
        <w:topLinePunct w:val="0"/>
        <w:bidi w:val="0"/>
        <w:spacing w:line="560" w:lineRule="exact"/>
        <w:ind w:right="440"/>
        <w:jc w:val="right"/>
        <w:textAlignment w:val="auto"/>
        <w:rPr>
          <w:rStyle w:val="1Char"/>
          <w:rFonts w:ascii="黑体" w:eastAsia="黑体"/>
          <w:b w:val="0"/>
          <w:bCs w:val="0"/>
        </w:rPr>
      </w:pPr>
      <w:bookmarkStart w:id="31" w:name="_Toc15396602"/>
      <w:bookmarkStart w:id="32" w:name="_Toc15377204"/>
      <w:bookmarkStart w:id="33" w:name="_Toc79163609"/>
      <w:bookmarkStart w:id="34" w:name="_Toc79163859"/>
      <w:r>
        <w:rPr>
          <w:rFonts w:ascii="黑体" w:eastAsia="黑体" w:hint="eastAsia"/>
          <w:b w:val="0"/>
          <w:color w:val="000000"/>
        </w:rPr>
        <w:t>第二部分</w:t>
      </w:r>
      <w:r>
        <w:rPr>
          <w:rFonts w:ascii="黑体" w:eastAsia="黑体"/>
          <w:color w:val="000000"/>
        </w:rPr>
        <w:t xml:space="preserve"> </w:t>
      </w:r>
      <w:r>
        <w:rPr>
          <w:rStyle w:val="1Char"/>
          <w:rFonts w:ascii="黑体" w:eastAsia="黑体" w:hint="eastAsia"/>
          <w:b w:val="0"/>
          <w:bCs w:val="0"/>
          <w:lang w:eastAsia="zh-CN"/>
        </w:rPr>
        <w:t>2023年</w:t>
      </w:r>
      <w:r>
        <w:rPr>
          <w:rStyle w:val="1Char"/>
          <w:rFonts w:ascii="黑体" w:eastAsia="黑体" w:hint="eastAsia"/>
          <w:b w:val="0"/>
          <w:bCs w:val="0"/>
        </w:rPr>
        <w:t>度部门决算情况说明</w:t>
      </w:r>
      <w:bookmarkEnd w:id="31"/>
      <w:bookmarkEnd w:id="32"/>
      <w:bookmarkEnd w:id="33"/>
      <w:bookmarkEnd w:id="34"/>
    </w:p>
    <w:p>
      <w:pPr>
        <w:pStyle w:val="2"/>
        <w:keepNext/>
        <w:keepLines/>
        <w:pageBreakBefore w:val="0"/>
        <w:widowControl w:val="0"/>
        <w:kinsoku/>
        <w:wordWrap/>
        <w:overflowPunct/>
        <w:topLinePunct w:val="0"/>
        <w:autoSpaceDE/>
        <w:autoSpaceDN/>
        <w:bidi w:val="0"/>
        <w:adjustRightInd/>
        <w:snapToGrid/>
        <w:spacing w:line="560" w:lineRule="exact"/>
        <w:ind w:firstLineChars="200" w:firstLine="640"/>
        <w:textAlignment w:val="auto"/>
        <w:rPr>
          <w:rFonts w:ascii="黑体" w:eastAsia="黑体" w:cs="黑体" w:hint="eastAsia"/>
          <w:lang w:val="en-US" w:eastAsia="zh-CN"/>
        </w:rPr>
      </w:pPr>
      <w:r>
        <w:rPr>
          <w:rFonts w:ascii="黑体" w:eastAsia="黑体" w:cs="黑体" w:hint="eastAsia"/>
          <w:lang w:val="en-US" w:eastAsia="zh-CN"/>
        </w:rPr>
        <w:t>一、收入支出决算总体情况说明</w:t>
      </w:r>
    </w:p>
    <w:p>
      <w:pPr>
        <w:keepNext w:val="0"/>
        <w:keepLines w:val="0"/>
        <w:widowControl w:val="0"/>
        <w:suppressLineNumbers w:val="0"/>
        <w:spacing w:before="0" w:beforeAutospacing="0" w:after="0" w:afterAutospacing="0" w:line="560" w:lineRule="exact"/>
        <w:ind w:left="0" w:right="0" w:firstLineChars="200" w:firstLine="640"/>
        <w:jc w:val="both"/>
        <w:rPr>
          <w:rFonts w:ascii="仿宋" w:eastAsia="仿宋" w:cs="Times New Roman"/>
          <w:color w:val="000000"/>
          <w:kern w:val="2"/>
          <w:sz w:val="32"/>
          <w:szCs w:val="32"/>
          <w:lang w:val="en-US"/>
        </w:rPr>
      </w:pPr>
      <w:r>
        <w:rPr>
          <w:rFonts w:ascii="仿宋" w:eastAsia="仿宋" w:cs="仿宋" w:hint="eastAsia"/>
          <w:color w:val="000000"/>
          <w:kern w:val="2"/>
          <w:sz w:val="32"/>
          <w:szCs w:val="32"/>
          <w:lang w:val="en-US" w:eastAsia="zh-CN"/>
        </w:rPr>
        <w:t>2023年度收入总计196.79万元，与2022年相比，增加18.68万元，增长10.49%。主要变动原因：本年度工资变动导致人员经费增加，相应收支增加； 支出总计196.79万元。与2022年相比，减少32.75万元，下降14.27%。主要变动原因：上年度新购入公务用车一辆，本年无新增，故支出减少。</w:t>
      </w:r>
    </w:p>
    <w:p>
      <w:pPr>
        <w:pStyle w:val="32"/>
        <w:keepNext w:val="0"/>
        <w:keepLines w:val="0"/>
        <w:widowControl w:val="0"/>
        <w:suppressLineNumbers w:val="0"/>
        <w:spacing w:before="0" w:beforeAutospacing="1" w:after="0" w:afterAutospacing="0" w:line="360" w:lineRule="auto"/>
        <w:ind w:left="0" w:right="0" w:firstLine="0"/>
        <w:jc w:val="right"/>
        <w:rPr>
          <w:rFonts w:ascii="Times New Roman" w:eastAsia="宋体" w:cs="Times New Roman" w:hAnsi="Times New Roman" w:hint="eastAsia"/>
          <w:kern w:val="2"/>
          <w:sz w:val="21"/>
          <w:szCs w:val="21"/>
        </w:rPr>
      </w:pPr>
      <w:r>
        <w:rPr>
          <w:rFonts w:ascii="Times New Roman" w:eastAsia="宋体" w:cs="Times New Roman" w:hAnsi="Times New Roman" w:hint="eastAsia"/>
          <w:kern w:val="2"/>
          <w:sz w:val="21"/>
          <w:szCs w:val="21"/>
          <w:lang w:val="en-US" w:eastAsia="zh-CN"/>
        </w:rPr>
        <w:t xml:space="preserve"> </w:t>
      </w:r>
      <w:r>
        <w:drawing>
          <wp:inline distT="0" distB="0" distL="114300" distR="114300">
            <wp:extent cx="4542790" cy="2230754"/>
            <wp:effectExtent l="0" t="0" r="0" b="0"/>
            <wp:docPr id="1" name="图表 1"/>
            <wp:cNvGraphicFramePr>
              <a:graphicFrameLocks noChangeAspect="0"/>
            </wp:cNvGraphicFramePr>
            <a:graphic>
              <a:graphicData uri="http://schemas.openxmlformats.org/drawingml/2006/chart">
                <c:chart xmlns:c="http://schemas.openxmlformats.org/drawingml/2006/chart" r:id="rId5"/>
              </a:graphicData>
            </a:graphic>
          </wp:inline>
        </w:drawing>
      </w:r>
      <w:r>
        <w:drawing>
          <wp:inline distT="0" distB="0" distL="114300" distR="114300">
            <wp:extent cx="4617085" cy="2406015"/>
            <wp:effectExtent l="0" t="0" r="0" b="0"/>
            <wp:docPr id="2" name="图表 2"/>
            <wp:cNvGraphicFramePr>
              <a:graphicFrameLocks noChangeAspect="0"/>
            </wp:cNvGraphicFramePr>
            <a:graphic>
              <a:graphicData uri="http://schemas.openxmlformats.org/drawingml/2006/chart">
                <c:chart xmlns:c="http://schemas.openxmlformats.org/drawingml/2006/chart" r:id="rId6"/>
              </a:graphicData>
            </a:graphic>
          </wp:inline>
        </w:drawing>
      </w:r>
    </w:p>
    <w:p>
      <w:pPr>
        <w:keepNext w:val="0"/>
        <w:keepLines w:val="0"/>
        <w:widowControl w:val="0"/>
        <w:suppressLineNumbers w:val="0"/>
        <w:spacing w:before="0" w:beforeAutospacing="0" w:after="0" w:afterAutospacing="0" w:line="560" w:lineRule="exact"/>
        <w:ind w:left="0" w:right="0" w:firstLineChars="200" w:firstLine="640"/>
        <w:jc w:val="both"/>
        <w:rPr>
          <w:rFonts w:ascii="仿宋_GB2312" w:eastAsia="仿宋_GB2312" w:cs="Times New Roman"/>
          <w:color w:val="000000"/>
          <w:kern w:val="2"/>
          <w:sz w:val="32"/>
          <w:szCs w:val="32"/>
        </w:rPr>
      </w:pPr>
      <w:r>
        <w:rPr>
          <w:rFonts w:ascii="仿宋" w:eastAsia="仿宋" w:cs="仿宋" w:hint="eastAsia"/>
          <w:color w:val="000000"/>
          <w:kern w:val="2"/>
          <w:sz w:val="32"/>
          <w:szCs w:val="32"/>
          <w:lang w:val="en-US" w:eastAsia="zh-CN"/>
        </w:rPr>
        <w:t>（图</w:t>
      </w:r>
      <w:r>
        <w:rPr>
          <w:rFonts w:ascii="仿宋" w:eastAsia="仿宋" w:cs="Times New Roman" w:hint="eastAsia"/>
          <w:color w:val="000000"/>
          <w:kern w:val="2"/>
          <w:sz w:val="32"/>
          <w:szCs w:val="32"/>
          <w:lang w:val="en-US" w:eastAsia="zh-CN"/>
        </w:rPr>
        <w:t>1</w:t>
      </w:r>
      <w:r>
        <w:rPr>
          <w:rFonts w:ascii="仿宋" w:eastAsia="仿宋" w:cs="仿宋" w:hint="eastAsia"/>
          <w:color w:val="000000"/>
          <w:kern w:val="2"/>
          <w:sz w:val="32"/>
          <w:szCs w:val="32"/>
          <w:lang w:val="en-US" w:eastAsia="zh-CN"/>
        </w:rPr>
        <w:t>：收、支决算总计变动情况图）（柱状图）</w:t>
      </w:r>
    </w:p>
    <w:p>
      <w:pPr>
        <w:pStyle w:val="2"/>
        <w:keepNext/>
        <w:keepLines/>
        <w:pageBreakBefore w:val="0"/>
        <w:widowControl w:val="0"/>
        <w:kinsoku/>
        <w:wordWrap/>
        <w:overflowPunct/>
        <w:topLinePunct w:val="0"/>
        <w:autoSpaceDE/>
        <w:autoSpaceDN/>
        <w:bidi w:val="0"/>
        <w:adjustRightInd/>
        <w:snapToGrid/>
        <w:spacing w:line="560" w:lineRule="exact"/>
        <w:ind w:firstLineChars="200" w:firstLine="640"/>
        <w:textAlignment w:val="auto"/>
        <w:rPr>
          <w:rFonts w:hint="eastAsia"/>
          <w:lang w:val="en-US" w:eastAsia="zh-CN"/>
        </w:rPr>
      </w:pPr>
      <w:r>
        <w:rPr>
          <w:rFonts w:ascii="黑体" w:eastAsia="黑体" w:cs="Times New Roman" w:hint="eastAsia"/>
          <w:b w:val="0"/>
          <w:bCs w:val="0"/>
          <w:color w:val="000000"/>
          <w:kern w:val="2"/>
          <w:sz w:val="32"/>
          <w:szCs w:val="32"/>
          <w:lang w:val="en-US" w:eastAsia="zh-CN" w:bidi="ar-SA"/>
        </w:rPr>
        <w:t>二、收入决算情况说明</w:t>
      </w:r>
    </w:p>
    <w:p>
      <w:pPr>
        <w:keepNext w:val="0"/>
        <w:keepLines w:val="0"/>
        <w:widowControl w:val="0"/>
        <w:suppressLineNumbers w:val="0"/>
        <w:spacing w:before="0" w:beforeAutospacing="0" w:after="0" w:afterAutospacing="0" w:line="560" w:lineRule="exact"/>
        <w:ind w:left="0" w:right="0" w:firstLineChars="200" w:firstLine="640"/>
        <w:jc w:val="both"/>
        <w:rPr>
          <w:rFonts w:ascii="仿宋" w:eastAsia="仿宋" w:cs="Times New Roman" w:hint="eastAsia"/>
          <w:color w:val="000000"/>
          <w:kern w:val="2"/>
          <w:sz w:val="32"/>
          <w:szCs w:val="32"/>
        </w:rPr>
      </w:pPr>
      <w:r>
        <w:rPr>
          <w:rFonts w:ascii="仿宋" w:eastAsia="仿宋" w:cs="Times New Roman" w:hint="eastAsia"/>
          <w:color w:val="000000"/>
          <w:kern w:val="2"/>
          <w:sz w:val="32"/>
          <w:szCs w:val="32"/>
          <w:lang w:val="en-US" w:eastAsia="zh-CN"/>
        </w:rPr>
        <w:t>2023年</w:t>
      </w:r>
      <w:r>
        <w:rPr>
          <w:rFonts w:ascii="仿宋" w:eastAsia="仿宋" w:cs="仿宋" w:hint="eastAsia"/>
          <w:color w:val="000000"/>
          <w:kern w:val="2"/>
          <w:sz w:val="32"/>
          <w:szCs w:val="32"/>
          <w:lang w:val="en-US" w:eastAsia="zh-CN"/>
        </w:rPr>
        <w:t>本年收入合计196.79万元，其中：一般公共预算财政拨款收入196.79万元，占100</w:t>
      </w:r>
      <w:r>
        <w:rPr>
          <w:rFonts w:ascii="仿宋" w:eastAsia="仿宋" w:cs="Times New Roman" w:hint="eastAsia"/>
          <w:color w:val="000000"/>
          <w:kern w:val="2"/>
          <w:sz w:val="32"/>
          <w:szCs w:val="32"/>
          <w:lang w:val="en-US" w:eastAsia="zh-CN"/>
        </w:rPr>
        <w:t>%</w:t>
      </w:r>
      <w:r>
        <w:rPr>
          <w:rFonts w:ascii="仿宋" w:eastAsia="仿宋" w:cs="仿宋" w:hint="eastAsia"/>
          <w:color w:val="000000"/>
          <w:kern w:val="2"/>
          <w:sz w:val="32"/>
          <w:szCs w:val="32"/>
          <w:lang w:val="en-US" w:eastAsia="zh-CN"/>
        </w:rPr>
        <w:t>。</w:t>
      </w:r>
    </w:p>
    <w:p>
      <w:pPr>
        <w:pStyle w:val="32"/>
        <w:keepNext w:val="0"/>
        <w:keepLines w:val="0"/>
        <w:widowControl w:val="0"/>
        <w:suppressLineNumbers w:val="0"/>
        <w:spacing w:before="0" w:beforeAutospacing="1" w:after="120" w:afterAutospacing="0" w:line="360" w:lineRule="auto"/>
        <w:ind w:right="0"/>
        <w:jc w:val="center"/>
        <w:rPr>
          <w:rFonts w:ascii="Times New Roman" w:eastAsia="宋体" w:cs="Times New Roman" w:hAnsi="Times New Roman"/>
          <w:kern w:val="2"/>
          <w:sz w:val="21"/>
          <w:szCs w:val="21"/>
        </w:rPr>
      </w:pPr>
      <w:r>
        <w:drawing>
          <wp:inline distT="0" distB="0" distL="114300" distR="114300">
            <wp:extent cx="3488054" cy="2031999"/>
            <wp:effectExtent l="0" t="0" r="0" b="0"/>
            <wp:docPr id="3" name="图表 2"/>
            <wp:cNvGraphicFramePr>
              <a:graphicFrameLocks noChangeAspect="0"/>
            </wp:cNvGraphicFramePr>
            <a:graphic>
              <a:graphicData uri="http://schemas.openxmlformats.org/drawingml/2006/chart">
                <c:chart xmlns:c="http://schemas.openxmlformats.org/drawingml/2006/chart" r:id="rId7"/>
              </a:graphicData>
            </a:graphic>
          </wp:inline>
        </w:drawing>
      </w:r>
    </w:p>
    <w:p>
      <w:pPr>
        <w:keepNext w:val="0"/>
        <w:keepLines w:val="0"/>
        <w:widowControl w:val="0"/>
        <w:suppressLineNumbers w:val="0"/>
        <w:spacing w:before="0" w:beforeAutospacing="0" w:after="0" w:afterAutospacing="0" w:line="560" w:lineRule="exact"/>
        <w:ind w:left="0" w:right="0" w:firstLineChars="200" w:firstLine="640"/>
        <w:jc w:val="center"/>
        <w:rPr>
          <w:rFonts w:ascii="仿宋_GB2312" w:eastAsia="仿宋_GB2312" w:cs="Times New Roman"/>
          <w:color w:val="FF0000"/>
          <w:kern w:val="2"/>
          <w:sz w:val="32"/>
          <w:szCs w:val="32"/>
        </w:rPr>
      </w:pPr>
      <w:r>
        <w:rPr>
          <w:rFonts w:ascii="仿宋" w:eastAsia="仿宋" w:cs="仿宋" w:hint="eastAsia"/>
          <w:color w:val="000000"/>
          <w:kern w:val="2"/>
          <w:sz w:val="32"/>
          <w:szCs w:val="32"/>
          <w:lang w:val="en-US" w:eastAsia="zh-CN"/>
        </w:rPr>
        <w:t>（图</w:t>
      </w:r>
      <w:r>
        <w:rPr>
          <w:rFonts w:ascii="仿宋" w:eastAsia="仿宋" w:cs="Times New Roman" w:hint="eastAsia"/>
          <w:color w:val="000000"/>
          <w:kern w:val="2"/>
          <w:sz w:val="32"/>
          <w:szCs w:val="32"/>
          <w:lang w:val="en-US" w:eastAsia="zh-CN"/>
        </w:rPr>
        <w:t>2</w:t>
      </w:r>
      <w:r>
        <w:rPr>
          <w:rFonts w:ascii="仿宋" w:eastAsia="仿宋" w:cs="仿宋" w:hint="eastAsia"/>
          <w:color w:val="000000"/>
          <w:kern w:val="2"/>
          <w:sz w:val="32"/>
          <w:szCs w:val="32"/>
          <w:lang w:val="en-US" w:eastAsia="zh-CN"/>
        </w:rPr>
        <w:t>：收入决算结构图）（饼状图）</w:t>
      </w:r>
    </w:p>
    <w:p>
      <w:pPr>
        <w:pStyle w:val="2"/>
        <w:keepNext/>
        <w:keepLines/>
        <w:pageBreakBefore w:val="0"/>
        <w:widowControl w:val="0"/>
        <w:kinsoku/>
        <w:wordWrap/>
        <w:overflowPunct/>
        <w:topLinePunct w:val="0"/>
        <w:autoSpaceDE/>
        <w:autoSpaceDN/>
        <w:bidi w:val="0"/>
        <w:adjustRightInd/>
        <w:snapToGrid/>
        <w:spacing w:line="560" w:lineRule="exact"/>
        <w:ind w:firstLineChars="200" w:firstLine="640"/>
        <w:textAlignment w:val="auto"/>
        <w:rPr>
          <w:rFonts w:hint="eastAsia"/>
        </w:rPr>
      </w:pPr>
      <w:r>
        <w:rPr>
          <w:rFonts w:ascii="黑体" w:eastAsia="黑体" w:cs="Times New Roman" w:hint="eastAsia"/>
          <w:b w:val="0"/>
          <w:bCs w:val="0"/>
          <w:color w:val="000000"/>
          <w:kern w:val="2"/>
          <w:sz w:val="32"/>
          <w:szCs w:val="32"/>
          <w:lang w:val="en-US" w:eastAsia="zh-CN" w:bidi="ar-SA"/>
        </w:rPr>
        <w:t>三、支出决算情况说</w:t>
      </w:r>
      <w:r>
        <w:rPr>
          <w:rFonts w:hint="eastAsia"/>
          <w:lang w:val="en-US" w:eastAsia="zh-CN"/>
        </w:rPr>
        <w:t>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Chars="200" w:firstLine="640"/>
        <w:jc w:val="both"/>
        <w:textAlignment w:val="auto"/>
        <w:rPr>
          <w:rFonts w:ascii="仿宋_GB2312" w:eastAsia="仿宋_GB2312" w:hint="eastAsia"/>
          <w:sz w:val="32"/>
          <w:szCs w:val="32"/>
        </w:rPr>
      </w:pPr>
      <w:r>
        <w:rPr>
          <w:rFonts w:ascii="仿宋_GB2312" w:eastAsia="仿宋_GB2312" w:cs="Times New Roman" w:hint="eastAsia"/>
          <w:kern w:val="2"/>
          <w:sz w:val="32"/>
          <w:szCs w:val="32"/>
          <w:lang w:val="en-US" w:eastAsia="zh-CN"/>
        </w:rPr>
        <w:t>2023年</w:t>
      </w:r>
      <w:r>
        <w:rPr>
          <w:rFonts w:ascii="仿宋_GB2312" w:eastAsia="仿宋_GB2312" w:cs="仿宋_GB2312"/>
          <w:kern w:val="2"/>
          <w:sz w:val="32"/>
          <w:szCs w:val="32"/>
          <w:lang w:val="en-US" w:eastAsia="zh-CN"/>
        </w:rPr>
        <w:t>本年支出合计</w:t>
      </w:r>
      <w:r>
        <w:rPr>
          <w:rFonts w:ascii="仿宋_GB2312" w:eastAsia="仿宋_GB2312" w:cs="仿宋_GB2312" w:hint="eastAsia"/>
          <w:kern w:val="2"/>
          <w:sz w:val="32"/>
          <w:szCs w:val="32"/>
          <w:lang w:val="en-US" w:eastAsia="zh-CN"/>
        </w:rPr>
        <w:t>196.79</w:t>
      </w:r>
      <w:r>
        <w:rPr>
          <w:rFonts w:ascii="仿宋_GB2312" w:eastAsia="仿宋_GB2312" w:cs="仿宋_GB2312"/>
          <w:kern w:val="2"/>
          <w:sz w:val="32"/>
          <w:szCs w:val="32"/>
          <w:lang w:val="en-US" w:eastAsia="zh-CN"/>
        </w:rPr>
        <w:t>万元</w:t>
      </w:r>
      <w:r>
        <w:rPr>
          <w:rFonts w:ascii="仿宋_GB2312" w:eastAsia="仿宋_GB2312" w:hint="eastAsia"/>
          <w:sz w:val="32"/>
          <w:szCs w:val="32"/>
        </w:rPr>
        <w:t>，其中：基本支出159.90万元，占</w:t>
      </w:r>
      <w:r>
        <w:rPr>
          <w:rFonts w:ascii="仿宋_GB2312" w:eastAsia="仿宋_GB2312" w:hint="eastAsia"/>
          <w:sz w:val="32"/>
          <w:szCs w:val="32"/>
          <w:lang w:val="en-US" w:eastAsia="zh-CN"/>
        </w:rPr>
        <w:t>81.25</w:t>
      </w:r>
      <w:r>
        <w:rPr>
          <w:rFonts w:ascii="仿宋_GB2312" w:eastAsia="仿宋_GB2312" w:hint="eastAsia"/>
          <w:sz w:val="32"/>
          <w:szCs w:val="32"/>
        </w:rPr>
        <w:t>%；项目支出36.89万元，占</w:t>
      </w:r>
      <w:r>
        <w:rPr>
          <w:rFonts w:ascii="仿宋_GB2312" w:eastAsia="仿宋_GB2312" w:hint="eastAsia"/>
          <w:sz w:val="32"/>
          <w:szCs w:val="32"/>
          <w:lang w:val="en-US" w:eastAsia="zh-CN"/>
        </w:rPr>
        <w:t>18.75</w:t>
      </w:r>
      <w:r>
        <w:rPr>
          <w:rFonts w:ascii="仿宋_GB2312" w:eastAsia="仿宋_GB2312" w:hint="eastAsia"/>
          <w:sz w:val="32"/>
          <w:szCs w:val="32"/>
        </w:rPr>
        <w:t>%。</w:t>
      </w:r>
    </w:p>
    <w:p>
      <w:pPr>
        <w:pStyle w:val="19"/>
        <w:jc w:val="center"/>
        <w:rPr>
          <w:rFonts w:ascii="仿宋" w:eastAsia="仿宋"/>
          <w:color w:val="000000"/>
          <w:sz w:val="32"/>
          <w:szCs w:val="32"/>
          <w:shd w:val="pct10" w:color="auto" w:fill="FFFFFF"/>
        </w:rPr>
      </w:pPr>
      <w:r>
        <w:drawing>
          <wp:inline distT="0" distB="0" distL="114300" distR="114300">
            <wp:extent cx="4107180" cy="2176145"/>
            <wp:effectExtent l="0" t="0" r="0" b="0"/>
            <wp:docPr id="4" name="图表 5"/>
            <wp:cNvGraphicFramePr>
              <a:graphicFrameLocks noChangeAspect="0"/>
            </wp:cNvGraphicFramePr>
            <a:graphic>
              <a:graphicData uri="http://schemas.openxmlformats.org/drawingml/2006/chart">
                <c:chart xmlns:c="http://schemas.openxmlformats.org/drawingml/2006/chart" r:id="rId8"/>
              </a:graphicData>
            </a:graphic>
          </wp:inline>
        </w:drawing>
      </w:r>
    </w:p>
    <w:p>
      <w:pPr>
        <w:pageBreakBefore w:val="0"/>
        <w:widowControl w:val="0"/>
        <w:kinsoku/>
        <w:wordWrap/>
        <w:overflowPunct/>
        <w:topLinePunct w:val="0"/>
        <w:bidi w:val="0"/>
        <w:spacing w:line="560" w:lineRule="exact"/>
        <w:ind w:firstLineChars="200" w:firstLine="640"/>
        <w:textAlignment w:val="auto"/>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3</w:t>
      </w:r>
      <w:r>
        <w:rPr>
          <w:rFonts w:ascii="仿宋" w:eastAsia="仿宋" w:hint="eastAsia"/>
          <w:color w:val="000000"/>
          <w:sz w:val="32"/>
          <w:szCs w:val="32"/>
        </w:rPr>
        <w:t>：支出决算结构图）（饼状图）</w:t>
      </w:r>
    </w:p>
    <w:p>
      <w:pPr>
        <w:pageBreakBefore w:val="0"/>
        <w:widowControl w:val="0"/>
        <w:kinsoku/>
        <w:wordWrap/>
        <w:overflowPunct/>
        <w:topLinePunct w:val="0"/>
        <w:bidi w:val="0"/>
        <w:spacing w:line="560" w:lineRule="exact"/>
        <w:ind w:firstLineChars="200" w:firstLine="640"/>
        <w:textAlignment w:val="auto"/>
        <w:rPr>
          <w:rFonts w:ascii="仿宋_GB2312" w:eastAsia="仿宋_GB2312"/>
          <w:color w:val="FF0000"/>
          <w:sz w:val="32"/>
          <w:szCs w:val="32"/>
        </w:rPr>
      </w:pPr>
    </w:p>
    <w:p>
      <w:pPr>
        <w:pageBreakBefore w:val="0"/>
        <w:widowControl w:val="0"/>
        <w:kinsoku/>
        <w:wordWrap/>
        <w:overflowPunct/>
        <w:topLinePunct w:val="0"/>
        <w:bidi w:val="0"/>
        <w:spacing w:line="560" w:lineRule="exact"/>
        <w:ind w:firstLineChars="200" w:firstLine="640"/>
        <w:textAlignment w:val="auto"/>
        <w:outlineLvl w:val="1"/>
        <w:rPr>
          <w:rStyle w:val="2Char"/>
          <w:rFonts w:ascii="黑体" w:eastAsia="黑体"/>
          <w:b w:val="0"/>
        </w:rPr>
      </w:pPr>
      <w:bookmarkStart w:id="35" w:name="_Toc15396606"/>
      <w:bookmarkStart w:id="36" w:name="_Toc79163613"/>
      <w:bookmarkStart w:id="37" w:name="_Toc15377208"/>
      <w:bookmarkStart w:id="38" w:name="_Toc79163863"/>
      <w:r>
        <w:rPr>
          <w:rFonts w:ascii="黑体" w:eastAsia="黑体" w:hint="eastAsia"/>
          <w:color w:val="000000"/>
          <w:sz w:val="32"/>
          <w:szCs w:val="32"/>
        </w:rPr>
        <w:t>四、财</w:t>
      </w:r>
      <w:r>
        <w:rPr>
          <w:rStyle w:val="2Char"/>
          <w:rFonts w:ascii="黑体" w:eastAsia="黑体" w:hint="eastAsia"/>
          <w:b w:val="0"/>
        </w:rPr>
        <w:t>政拨款收入支出决算总体情况说明</w:t>
      </w:r>
      <w:bookmarkEnd w:id="35"/>
      <w:bookmarkEnd w:id="36"/>
      <w:bookmarkEnd w:id="37"/>
      <w:bookmarkEnd w:id="38"/>
    </w:p>
    <w:p>
      <w:pPr>
        <w:pageBreakBefore w:val="0"/>
        <w:widowControl w:val="0"/>
        <w:kinsoku/>
        <w:wordWrap/>
        <w:overflowPunct/>
        <w:topLinePunct w:val="0"/>
        <w:bidi w:val="0"/>
        <w:spacing w:line="560" w:lineRule="exact"/>
        <w:ind w:firstLine="640"/>
        <w:textAlignment w:val="auto"/>
        <w:rPr>
          <w:rFonts w:ascii="仿宋" w:eastAsia="仿宋" w:hint="eastAsia"/>
          <w:color w:val="000000"/>
          <w:sz w:val="32"/>
          <w:szCs w:val="32"/>
          <w:lang w:eastAsia="zh-CN"/>
        </w:rPr>
      </w:pPr>
      <w:r>
        <w:rPr>
          <w:rFonts w:ascii="仿宋" w:eastAsia="仿宋" w:hint="eastAsia"/>
          <w:color w:val="000000"/>
          <w:sz w:val="32"/>
          <w:szCs w:val="32"/>
          <w:lang w:eastAsia="zh-CN"/>
        </w:rPr>
        <w:t>2023年</w:t>
      </w:r>
      <w:r>
        <w:rPr>
          <w:rFonts w:ascii="仿宋" w:eastAsia="仿宋" w:hint="eastAsia"/>
          <w:color w:val="000000"/>
          <w:sz w:val="32"/>
          <w:szCs w:val="32"/>
        </w:rPr>
        <w:t>财政拨款</w:t>
      </w:r>
      <w:r>
        <w:rPr>
          <w:rFonts w:ascii="仿宋" w:eastAsia="仿宋" w:hint="eastAsia"/>
          <w:color w:val="000000"/>
          <w:sz w:val="32"/>
          <w:szCs w:val="32"/>
          <w:lang w:eastAsia="zh-CN"/>
        </w:rPr>
        <w:t>收入</w:t>
      </w:r>
      <w:r>
        <w:rPr>
          <w:rFonts w:ascii="仿宋" w:eastAsia="仿宋" w:hint="eastAsia"/>
          <w:color w:val="000000"/>
          <w:sz w:val="32"/>
          <w:szCs w:val="32"/>
        </w:rPr>
        <w:t>总计</w:t>
      </w:r>
      <w:r>
        <w:rPr>
          <w:rFonts w:ascii="仿宋" w:eastAsia="仿宋" w:hint="eastAsia"/>
          <w:color w:val="000000"/>
          <w:sz w:val="32"/>
          <w:szCs w:val="32"/>
          <w:lang w:val="en-US" w:eastAsia="zh-CN"/>
        </w:rPr>
        <w:t>196.79万元，与2022年相比，增加18.68万元，增长10.49%。主要变动原因：</w:t>
      </w:r>
      <w:r>
        <w:rPr>
          <w:rFonts w:ascii="仿宋" w:eastAsia="仿宋" w:cs="仿宋" w:hint="eastAsia"/>
          <w:color w:val="000000"/>
          <w:kern w:val="2"/>
          <w:sz w:val="32"/>
          <w:szCs w:val="32"/>
          <w:lang w:val="en-US" w:eastAsia="zh-CN"/>
        </w:rPr>
        <w:t>本年度工资变动导致人员经费增加，相应收支增加</w:t>
      </w:r>
      <w:r>
        <w:rPr>
          <w:rFonts w:ascii="仿宋" w:eastAsia="仿宋" w:hint="eastAsia"/>
          <w:color w:val="000000"/>
          <w:sz w:val="32"/>
          <w:szCs w:val="32"/>
          <w:lang w:val="en-US" w:eastAsia="zh-CN"/>
        </w:rPr>
        <w:t xml:space="preserve">； </w:t>
      </w:r>
      <w:r>
        <w:rPr>
          <w:rFonts w:ascii="仿宋" w:eastAsia="仿宋" w:hint="eastAsia"/>
          <w:color w:val="000000"/>
          <w:sz w:val="32"/>
          <w:szCs w:val="32"/>
          <w:lang w:eastAsia="zh-CN"/>
        </w:rPr>
        <w:t>2023年</w:t>
      </w:r>
      <w:r>
        <w:rPr>
          <w:rFonts w:ascii="仿宋" w:eastAsia="仿宋" w:hint="eastAsia"/>
          <w:color w:val="000000"/>
          <w:sz w:val="32"/>
          <w:szCs w:val="32"/>
        </w:rPr>
        <w:t>财政拨款支出总计</w:t>
      </w:r>
      <w:r>
        <w:rPr>
          <w:rFonts w:ascii="仿宋" w:eastAsia="仿宋" w:hint="eastAsia"/>
          <w:color w:val="000000"/>
          <w:sz w:val="32"/>
          <w:szCs w:val="32"/>
          <w:lang w:val="en-US" w:eastAsia="zh-CN"/>
        </w:rPr>
        <w:t>196.79万元，与2022年相比，减少32.75万元，下降14.27%。主要变动原因：</w:t>
      </w:r>
      <w:r>
        <w:rPr>
          <w:rFonts w:ascii="仿宋" w:eastAsia="仿宋" w:cs="仿宋" w:hint="eastAsia"/>
          <w:color w:val="000000"/>
          <w:kern w:val="2"/>
          <w:sz w:val="32"/>
          <w:szCs w:val="32"/>
          <w:lang w:val="en-US" w:eastAsia="zh-CN"/>
        </w:rPr>
        <w:t>上年度新购入公务用车一辆，本年无新增，故支出减少。</w:t>
      </w:r>
    </w:p>
    <w:p>
      <w:pPr>
        <w:pStyle w:val="19"/>
        <w:jc w:val="center"/>
        <w:rPr>
          <w:rFonts w:ascii="仿宋" w:eastAsia="仿宋"/>
          <w:color w:val="000000"/>
          <w:sz w:val="32"/>
          <w:szCs w:val="32"/>
        </w:rPr>
      </w:pPr>
      <w:r>
        <w:drawing>
          <wp:inline distT="0" distB="0" distL="114300" distR="114300">
            <wp:extent cx="4208780" cy="2270760"/>
            <wp:effectExtent l="0" t="0" r="0" b="0"/>
            <wp:docPr id="5" name="图表 6"/>
            <wp:cNvGraphicFramePr>
              <a:graphicFrameLocks noChangeAspect="0"/>
            </wp:cNvGraphicFramePr>
            <a:graphic>
              <a:graphicData uri="http://schemas.openxmlformats.org/drawingml/2006/chart">
                <c:chart xmlns:c="http://schemas.openxmlformats.org/drawingml/2006/chart" r:id="rId9"/>
              </a:graphicData>
            </a:graphic>
          </wp:inline>
        </w:drawing>
      </w:r>
      <w:r>
        <w:drawing>
          <wp:inline distT="0" distB="0" distL="114300" distR="114300">
            <wp:extent cx="4403725" cy="2031365"/>
            <wp:effectExtent l="0" t="0" r="0" b="0"/>
            <wp:docPr id="6" name="图表 7"/>
            <wp:cNvGraphicFramePr>
              <a:graphicFrameLocks noChangeAspect="0"/>
            </wp:cNvGraphicFramePr>
            <a:graphic>
              <a:graphicData uri="http://schemas.openxmlformats.org/drawingml/2006/chart">
                <c:chart xmlns:c="http://schemas.openxmlformats.org/drawingml/2006/chart" r:id="rId10"/>
              </a:graphicData>
            </a:graphic>
          </wp:inline>
        </w:drawing>
      </w:r>
    </w:p>
    <w:p>
      <w:pPr>
        <w:pageBreakBefore w:val="0"/>
        <w:widowControl w:val="0"/>
        <w:kinsoku/>
        <w:wordWrap/>
        <w:overflowPunct/>
        <w:topLinePunct w:val="0"/>
        <w:bidi w:val="0"/>
        <w:spacing w:line="560" w:lineRule="exact"/>
        <w:ind w:firstLineChars="200" w:firstLine="640"/>
        <w:textAlignment w:val="auto"/>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4</w:t>
      </w:r>
      <w:r>
        <w:rPr>
          <w:rFonts w:ascii="仿宋" w:eastAsia="仿宋" w:hint="eastAsia"/>
          <w:color w:val="000000"/>
          <w:sz w:val="32"/>
          <w:szCs w:val="32"/>
        </w:rPr>
        <w:t>：财政拨款收、支决算总计变动情况）（柱状图）</w:t>
      </w:r>
    </w:p>
    <w:p>
      <w:pPr>
        <w:pageBreakBefore w:val="0"/>
        <w:widowControl w:val="0"/>
        <w:kinsoku/>
        <w:wordWrap/>
        <w:overflowPunct/>
        <w:topLinePunct w:val="0"/>
        <w:bidi w:val="0"/>
        <w:spacing w:line="560" w:lineRule="exact"/>
        <w:ind w:firstLine="640"/>
        <w:textAlignment w:val="auto"/>
        <w:rPr>
          <w:rFonts w:ascii="仿宋" w:eastAsia="仿宋"/>
          <w:b/>
          <w:color w:val="00B050"/>
          <w:sz w:val="32"/>
          <w:szCs w:val="32"/>
        </w:rPr>
      </w:pPr>
    </w:p>
    <w:p>
      <w:pPr>
        <w:pageBreakBefore w:val="0"/>
        <w:widowControl w:val="0"/>
        <w:kinsoku/>
        <w:wordWrap/>
        <w:overflowPunct/>
        <w:topLinePunct w:val="0"/>
        <w:bidi w:val="0"/>
        <w:spacing w:line="560" w:lineRule="exact"/>
        <w:ind w:firstLineChars="200" w:firstLine="640"/>
        <w:textAlignment w:val="auto"/>
        <w:outlineLvl w:val="1"/>
        <w:rPr>
          <w:rStyle w:val="2Char"/>
          <w:rFonts w:ascii="黑体" w:eastAsia="黑体"/>
          <w:b w:val="0"/>
        </w:rPr>
      </w:pPr>
      <w:bookmarkStart w:id="39" w:name="_Toc15377209"/>
      <w:bookmarkStart w:id="40" w:name="_Toc15396607"/>
      <w:bookmarkStart w:id="41" w:name="_Toc79163864"/>
      <w:bookmarkStart w:id="42" w:name="_Toc79163614"/>
      <w:r>
        <w:rPr>
          <w:rFonts w:ascii="黑体" w:eastAsia="黑体" w:hint="eastAsia"/>
          <w:color w:val="000000"/>
          <w:sz w:val="32"/>
          <w:szCs w:val="32"/>
        </w:rPr>
        <w:t>五、</w:t>
      </w:r>
      <w:r>
        <w:rPr>
          <w:rFonts w:ascii="黑体" w:eastAsia="黑体" w:hint="eastAsia"/>
          <w:b/>
          <w:color w:val="000000"/>
          <w:sz w:val="32"/>
          <w:szCs w:val="32"/>
        </w:rPr>
        <w:t>一</w:t>
      </w:r>
      <w:r>
        <w:rPr>
          <w:rStyle w:val="2Char"/>
          <w:rFonts w:ascii="黑体" w:eastAsia="黑体" w:hint="eastAsia"/>
          <w:b w:val="0"/>
        </w:rPr>
        <w:t>般公共预算财政拨款支出决算情况说明</w:t>
      </w:r>
      <w:bookmarkEnd w:id="39"/>
      <w:bookmarkEnd w:id="40"/>
      <w:bookmarkEnd w:id="41"/>
      <w:bookmarkEnd w:id="42"/>
    </w:p>
    <w:p>
      <w:pPr>
        <w:pageBreakBefore w:val="0"/>
        <w:widowControl w:val="0"/>
        <w:kinsoku/>
        <w:wordWrap/>
        <w:overflowPunct/>
        <w:topLinePunct w:val="0"/>
        <w:bidi w:val="0"/>
        <w:spacing w:line="560" w:lineRule="exact"/>
        <w:ind w:firstLineChars="200" w:firstLine="640"/>
        <w:textAlignment w:val="auto"/>
        <w:outlineLvl w:val="2"/>
        <w:rPr>
          <w:rFonts w:ascii="仿宋" w:eastAsia="仿宋"/>
          <w:b/>
          <w:color w:val="000000"/>
          <w:sz w:val="32"/>
          <w:szCs w:val="32"/>
        </w:rPr>
      </w:pPr>
      <w:bookmarkStart w:id="43" w:name="_Toc79163865"/>
      <w:bookmarkStart w:id="44" w:name="_Toc15377210"/>
      <w:bookmarkStart w:id="45" w:name="_Toc79163615"/>
      <w:r>
        <w:rPr>
          <w:rFonts w:ascii="仿宋" w:eastAsia="仿宋" w:hint="eastAsia"/>
          <w:b/>
          <w:color w:val="000000"/>
          <w:sz w:val="32"/>
          <w:szCs w:val="32"/>
        </w:rPr>
        <w:t>（一）一般公共预算财政拨款支出决算总体情况</w:t>
      </w:r>
      <w:bookmarkEnd w:id="43"/>
      <w:bookmarkEnd w:id="44"/>
      <w:bookmarkEnd w:id="45"/>
    </w:p>
    <w:p>
      <w:pPr>
        <w:pageBreakBefore w:val="0"/>
        <w:widowControl w:val="0"/>
        <w:kinsoku/>
        <w:wordWrap/>
        <w:overflowPunct/>
        <w:topLinePunct w:val="0"/>
        <w:bidi w:val="0"/>
        <w:spacing w:line="560" w:lineRule="exact"/>
        <w:ind w:firstLine="640"/>
        <w:textAlignment w:val="auto"/>
        <w:rPr>
          <w:rFonts w:ascii="仿宋" w:eastAsia="仿宋" w:hint="eastAsia"/>
          <w:color w:val="000000"/>
          <w:sz w:val="32"/>
          <w:szCs w:val="32"/>
          <w:lang w:eastAsia="zh-CN"/>
        </w:rPr>
      </w:pPr>
      <w:r>
        <w:rPr>
          <w:rFonts w:ascii="仿宋" w:eastAsia="仿宋" w:hint="eastAsia"/>
          <w:color w:val="000000"/>
          <w:sz w:val="32"/>
          <w:szCs w:val="32"/>
          <w:lang w:eastAsia="zh-CN"/>
        </w:rPr>
        <w:t>2023年</w:t>
      </w:r>
      <w:r>
        <w:rPr>
          <w:rFonts w:ascii="仿宋" w:eastAsia="仿宋" w:hint="eastAsia"/>
          <w:color w:val="000000"/>
          <w:sz w:val="32"/>
          <w:szCs w:val="32"/>
        </w:rPr>
        <w:t>一般公共预算财政拨款支出</w:t>
      </w:r>
      <w:r>
        <w:rPr>
          <w:rFonts w:ascii="仿宋" w:eastAsia="仿宋" w:hint="eastAsia"/>
          <w:color w:val="000000"/>
          <w:sz w:val="32"/>
          <w:szCs w:val="32"/>
          <w:lang w:val="en-US" w:eastAsia="zh-CN"/>
        </w:rPr>
        <w:t>196.79</w:t>
      </w:r>
      <w:r>
        <w:rPr>
          <w:rFonts w:ascii="仿宋" w:eastAsia="仿宋" w:hint="eastAsia"/>
          <w:color w:val="000000"/>
          <w:sz w:val="32"/>
          <w:szCs w:val="32"/>
        </w:rPr>
        <w:t>万元，占本年支出合计的</w:t>
      </w:r>
      <w:r>
        <w:rPr>
          <w:rFonts w:ascii="仿宋" w:eastAsia="仿宋" w:hint="eastAsia"/>
          <w:color w:val="000000"/>
          <w:sz w:val="32"/>
          <w:szCs w:val="32"/>
          <w:lang w:val="en-US" w:eastAsia="zh-CN"/>
        </w:rPr>
        <w:t>100</w:t>
      </w:r>
      <w:r>
        <w:rPr>
          <w:rFonts w:ascii="仿宋" w:eastAsia="仿宋"/>
          <w:color w:val="000000"/>
          <w:sz w:val="32"/>
          <w:szCs w:val="32"/>
        </w:rPr>
        <w:t>%</w:t>
      </w:r>
      <w:r>
        <w:rPr>
          <w:rFonts w:ascii="仿宋" w:eastAsia="仿宋" w:hint="eastAsia"/>
          <w:color w:val="000000"/>
          <w:sz w:val="32"/>
          <w:szCs w:val="32"/>
        </w:rPr>
        <w:t>。与</w:t>
      </w:r>
      <w:r>
        <w:rPr>
          <w:rFonts w:ascii="仿宋" w:eastAsia="仿宋" w:hint="eastAsia"/>
          <w:color w:val="000000"/>
          <w:sz w:val="32"/>
          <w:szCs w:val="32"/>
          <w:lang w:eastAsia="zh-CN"/>
        </w:rPr>
        <w:t>2022年</w:t>
      </w:r>
      <w:r>
        <w:rPr>
          <w:rFonts w:ascii="仿宋" w:eastAsia="仿宋" w:hint="eastAsia"/>
          <w:color w:val="000000"/>
          <w:sz w:val="32"/>
          <w:szCs w:val="32"/>
        </w:rPr>
        <w:t>相比，一般公共预算财政拨款</w:t>
      </w:r>
      <w:r>
        <w:rPr>
          <w:rFonts w:ascii="仿宋" w:eastAsia="仿宋" w:hint="eastAsia"/>
          <w:color w:val="000000"/>
          <w:sz w:val="32"/>
          <w:szCs w:val="32"/>
          <w:lang w:val="en-US" w:eastAsia="zh-CN"/>
        </w:rPr>
        <w:t>减少32.75万元，下降14.27%。主要变动原因：</w:t>
      </w:r>
      <w:r>
        <w:rPr>
          <w:rFonts w:ascii="仿宋" w:eastAsia="仿宋" w:cs="仿宋" w:hint="eastAsia"/>
          <w:color w:val="000000"/>
          <w:kern w:val="2"/>
          <w:sz w:val="32"/>
          <w:szCs w:val="32"/>
          <w:lang w:val="en-US" w:eastAsia="zh-CN"/>
        </w:rPr>
        <w:t>上年度新购入公务用车一辆，本年无新增，故支出减少。</w:t>
      </w:r>
    </w:p>
    <w:p>
      <w:pPr>
        <w:pageBreakBefore w:val="0"/>
        <w:widowControl w:val="0"/>
        <w:kinsoku/>
        <w:wordWrap/>
        <w:overflowPunct/>
        <w:topLinePunct w:val="0"/>
        <w:bidi w:val="0"/>
        <w:spacing w:line="560" w:lineRule="exact"/>
        <w:ind w:firstLineChars="200" w:firstLine="640"/>
        <w:textAlignment w:val="auto"/>
        <w:rPr>
          <w:rFonts w:ascii="仿宋" w:eastAsia="仿宋" w:hint="eastAsia"/>
          <w:color w:val="000000"/>
          <w:sz w:val="32"/>
          <w:szCs w:val="32"/>
          <w:lang w:val="en-US" w:eastAsia="zh-CN"/>
        </w:rPr>
      </w:pPr>
    </w:p>
    <w:p>
      <w:pPr>
        <w:jc w:val="center"/>
        <w:rPr>
          <w:rFonts w:ascii="仿宋" w:eastAsia="仿宋"/>
          <w:color w:val="000000"/>
          <w:sz w:val="32"/>
          <w:szCs w:val="32"/>
        </w:rPr>
      </w:pPr>
      <w:r>
        <w:drawing>
          <wp:inline distT="0" distB="0" distL="114300" distR="114300">
            <wp:extent cx="4451350" cy="2411095"/>
            <wp:effectExtent l="0" t="0" r="0" b="0"/>
            <wp:docPr id="7" name="图表 8"/>
            <wp:cNvGraphicFramePr>
              <a:graphicFrameLocks noChangeAspect="0"/>
            </wp:cNvGraphicFramePr>
            <a:graphic>
              <a:graphicData uri="http://schemas.openxmlformats.org/drawingml/2006/chart">
                <c:chart xmlns:c="http://schemas.openxmlformats.org/drawingml/2006/chart" r:id="rId11"/>
              </a:graphicData>
            </a:graphic>
          </wp:inline>
        </w:drawing>
      </w:r>
    </w:p>
    <w:p>
      <w:pPr>
        <w:pageBreakBefore w:val="0"/>
        <w:widowControl w:val="0"/>
        <w:kinsoku/>
        <w:wordWrap/>
        <w:overflowPunct/>
        <w:topLinePunct w:val="0"/>
        <w:bidi w:val="0"/>
        <w:spacing w:line="560" w:lineRule="exact"/>
        <w:textAlignment w:val="auto"/>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5</w:t>
      </w:r>
      <w:r>
        <w:rPr>
          <w:rFonts w:ascii="仿宋" w:eastAsia="仿宋" w:hint="eastAsia"/>
          <w:color w:val="000000"/>
          <w:sz w:val="32"/>
          <w:szCs w:val="32"/>
        </w:rPr>
        <w:t>：一般公共预算财政拨款支出决算变动情况）（柱状图）</w:t>
      </w:r>
    </w:p>
    <w:p>
      <w:pPr>
        <w:pageBreakBefore w:val="0"/>
        <w:widowControl w:val="0"/>
        <w:kinsoku/>
        <w:wordWrap/>
        <w:overflowPunct/>
        <w:topLinePunct w:val="0"/>
        <w:bidi w:val="0"/>
        <w:spacing w:line="560" w:lineRule="exact"/>
        <w:ind w:firstLineChars="200" w:firstLine="640"/>
        <w:textAlignment w:val="auto"/>
        <w:rPr>
          <w:rFonts w:ascii="仿宋" w:eastAsia="仿宋"/>
          <w:color w:val="000000"/>
          <w:sz w:val="32"/>
          <w:szCs w:val="32"/>
        </w:rPr>
      </w:pPr>
    </w:p>
    <w:p>
      <w:pPr>
        <w:pageBreakBefore w:val="0"/>
        <w:widowControl w:val="0"/>
        <w:kinsoku/>
        <w:wordWrap/>
        <w:overflowPunct/>
        <w:topLinePunct w:val="0"/>
        <w:bidi w:val="0"/>
        <w:spacing w:line="560" w:lineRule="exact"/>
        <w:ind w:firstLineChars="200" w:firstLine="640"/>
        <w:textAlignment w:val="auto"/>
        <w:outlineLvl w:val="2"/>
        <w:rPr>
          <w:rFonts w:ascii="仿宋" w:eastAsia="仿宋"/>
          <w:b/>
          <w:color w:val="000000"/>
          <w:sz w:val="32"/>
          <w:szCs w:val="32"/>
        </w:rPr>
      </w:pPr>
      <w:bookmarkStart w:id="46" w:name="_Toc15377211"/>
      <w:bookmarkStart w:id="47" w:name="_Toc79163866"/>
      <w:bookmarkStart w:id="48" w:name="_Toc79163616"/>
      <w:r>
        <w:rPr>
          <w:rFonts w:ascii="仿宋" w:eastAsia="仿宋" w:hint="eastAsia"/>
          <w:b/>
          <w:color w:val="000000"/>
          <w:sz w:val="32"/>
          <w:szCs w:val="32"/>
        </w:rPr>
        <w:t>（二）一般公共预算财政拨款支出决算结构情况</w:t>
      </w:r>
      <w:bookmarkEnd w:id="46"/>
      <w:bookmarkEnd w:id="47"/>
      <w:bookmarkEnd w:id="48"/>
    </w:p>
    <w:p>
      <w:pPr>
        <w:pageBreakBefore w:val="0"/>
        <w:widowControl w:val="0"/>
        <w:kinsoku/>
        <w:wordWrap/>
        <w:overflowPunct/>
        <w:topLinePunct w:val="0"/>
        <w:bidi w:val="0"/>
        <w:spacing w:line="560" w:lineRule="exact"/>
        <w:ind w:firstLine="640"/>
        <w:textAlignment w:val="auto"/>
        <w:rPr>
          <w:rFonts w:ascii="仿宋" w:eastAsia="仿宋" w:hint="eastAsia"/>
          <w:b/>
          <w:color w:val="000000"/>
          <w:sz w:val="32"/>
          <w:szCs w:val="32"/>
        </w:rPr>
      </w:pPr>
      <w:r>
        <w:rPr>
          <w:rFonts w:ascii="仿宋" w:eastAsia="仿宋" w:hint="eastAsia"/>
          <w:color w:val="000000"/>
          <w:sz w:val="32"/>
          <w:szCs w:val="32"/>
          <w:lang w:eastAsia="zh-CN"/>
        </w:rPr>
        <w:t>2023年</w:t>
      </w:r>
      <w:r>
        <w:rPr>
          <w:rFonts w:ascii="仿宋" w:eastAsia="仿宋" w:hint="eastAsia"/>
          <w:color w:val="000000"/>
          <w:sz w:val="32"/>
          <w:szCs w:val="32"/>
        </w:rPr>
        <w:t>一般公共预算财政拨款支出</w:t>
      </w:r>
      <w:r>
        <w:rPr>
          <w:rFonts w:ascii="仿宋" w:eastAsia="仿宋" w:hint="eastAsia"/>
          <w:b/>
          <w:bCs/>
          <w:color w:val="000000"/>
          <w:sz w:val="32"/>
          <w:szCs w:val="32"/>
          <w:lang w:val="en-US" w:eastAsia="zh-CN"/>
        </w:rPr>
        <w:t>196.79</w:t>
      </w:r>
      <w:r>
        <w:rPr>
          <w:rFonts w:ascii="仿宋" w:eastAsia="仿宋" w:hint="eastAsia"/>
          <w:color w:val="000000"/>
          <w:sz w:val="32"/>
          <w:szCs w:val="32"/>
        </w:rPr>
        <w:t>万元，主要用于以下方面</w:t>
      </w:r>
      <w:r>
        <w:rPr>
          <w:rFonts w:ascii="仿宋" w:eastAsia="仿宋" w:hint="eastAsia"/>
          <w:color w:val="000000"/>
          <w:sz w:val="32"/>
          <w:szCs w:val="32"/>
          <w:lang w:eastAsia="zh-CN"/>
        </w:rPr>
        <w:t>：</w:t>
      </w:r>
      <w:r>
        <w:rPr>
          <w:rFonts w:ascii="仿宋" w:eastAsia="仿宋" w:hint="eastAsia"/>
          <w:b/>
          <w:bCs/>
          <w:color w:val="000000"/>
          <w:sz w:val="32"/>
          <w:szCs w:val="32"/>
        </w:rPr>
        <w:t>一般公共服务支出</w:t>
      </w:r>
      <w:r>
        <w:rPr>
          <w:rFonts w:ascii="仿宋" w:eastAsia="仿宋" w:hint="eastAsia"/>
          <w:b w:val="0"/>
          <w:bCs w:val="0"/>
          <w:color w:val="000000"/>
          <w:sz w:val="32"/>
          <w:szCs w:val="32"/>
        </w:rPr>
        <w:t>112.77</w:t>
      </w:r>
      <w:r>
        <w:rPr>
          <w:rFonts w:ascii="仿宋" w:eastAsia="仿宋" w:hint="eastAsia"/>
          <w:color w:val="000000"/>
          <w:sz w:val="32"/>
          <w:szCs w:val="32"/>
        </w:rPr>
        <w:t>万元，占</w:t>
      </w:r>
      <w:r>
        <w:rPr>
          <w:rFonts w:ascii="仿宋" w:eastAsia="仿宋" w:hint="eastAsia"/>
          <w:color w:val="000000"/>
          <w:sz w:val="32"/>
          <w:szCs w:val="32"/>
          <w:lang w:val="en-US" w:eastAsia="zh-CN"/>
        </w:rPr>
        <w:t>57.30</w:t>
      </w:r>
      <w:r>
        <w:rPr>
          <w:rFonts w:ascii="仿宋" w:eastAsia="仿宋" w:hint="eastAsia"/>
          <w:color w:val="000000"/>
          <w:sz w:val="32"/>
          <w:szCs w:val="32"/>
        </w:rPr>
        <w:t>%；</w:t>
      </w:r>
      <w:r>
        <w:rPr>
          <w:rFonts w:ascii="仿宋" w:eastAsia="仿宋" w:hint="eastAsia"/>
          <w:b/>
          <w:bCs/>
          <w:color w:val="000000"/>
          <w:sz w:val="32"/>
          <w:szCs w:val="32"/>
          <w:lang w:val="en-US" w:eastAsia="zh-CN"/>
        </w:rPr>
        <w:t>教育支出</w:t>
      </w:r>
      <w:r>
        <w:rPr>
          <w:rFonts w:ascii="仿宋" w:eastAsia="仿宋" w:hint="eastAsia"/>
          <w:color w:val="000000"/>
          <w:sz w:val="32"/>
          <w:szCs w:val="32"/>
          <w:lang w:val="en-US" w:eastAsia="zh-CN"/>
        </w:rPr>
        <w:t>1.34万元，占0.68%;</w:t>
      </w:r>
      <w:r>
        <w:rPr>
          <w:rFonts w:ascii="仿宋" w:eastAsia="仿宋" w:hint="eastAsia"/>
          <w:b/>
          <w:bCs/>
          <w:color w:val="000000"/>
          <w:sz w:val="32"/>
          <w:szCs w:val="32"/>
        </w:rPr>
        <w:t>科学技术支出</w:t>
      </w:r>
      <w:r>
        <w:rPr>
          <w:rFonts w:ascii="仿宋" w:eastAsia="仿宋" w:hint="eastAsia"/>
          <w:b w:val="0"/>
          <w:bCs w:val="0"/>
          <w:color w:val="000000"/>
          <w:sz w:val="32"/>
          <w:szCs w:val="32"/>
        </w:rPr>
        <w:t>35.55</w:t>
      </w:r>
      <w:r>
        <w:rPr>
          <w:rFonts w:ascii="仿宋" w:eastAsia="仿宋" w:hint="eastAsia"/>
          <w:color w:val="000000"/>
          <w:sz w:val="32"/>
          <w:szCs w:val="32"/>
          <w:lang w:val="en-US" w:eastAsia="zh-CN"/>
        </w:rPr>
        <w:t>万元，占18.06%；</w:t>
      </w:r>
      <w:r>
        <w:rPr>
          <w:rFonts w:ascii="仿宋" w:eastAsia="仿宋" w:hint="eastAsia"/>
          <w:b/>
          <w:color w:val="000000"/>
          <w:sz w:val="32"/>
          <w:szCs w:val="32"/>
        </w:rPr>
        <w:t>社会保障和就业</w:t>
      </w:r>
      <w:r>
        <w:rPr>
          <w:rFonts w:ascii="仿宋" w:eastAsia="仿宋" w:hint="eastAsia"/>
          <w:b/>
          <w:bCs/>
          <w:color w:val="000000"/>
          <w:sz w:val="32"/>
          <w:szCs w:val="32"/>
        </w:rPr>
        <w:t>支出</w:t>
      </w:r>
      <w:r>
        <w:rPr>
          <w:rFonts w:ascii="仿宋" w:eastAsia="仿宋" w:hint="eastAsia"/>
          <w:color w:val="000000"/>
          <w:sz w:val="32"/>
          <w:szCs w:val="32"/>
        </w:rPr>
        <w:t>27.86万元，占</w:t>
      </w:r>
      <w:r>
        <w:rPr>
          <w:rFonts w:ascii="仿宋" w:eastAsia="仿宋" w:hint="eastAsia"/>
          <w:color w:val="000000"/>
          <w:sz w:val="32"/>
          <w:szCs w:val="32"/>
          <w:lang w:val="en-US" w:eastAsia="zh-CN"/>
        </w:rPr>
        <w:t>14.16</w:t>
      </w:r>
      <w:r>
        <w:rPr>
          <w:rFonts w:ascii="仿宋" w:eastAsia="仿宋" w:hint="eastAsia"/>
          <w:color w:val="000000"/>
          <w:sz w:val="32"/>
          <w:szCs w:val="32"/>
        </w:rPr>
        <w:t>%；</w:t>
      </w:r>
      <w:r>
        <w:rPr>
          <w:rFonts w:ascii="仿宋" w:eastAsia="仿宋" w:hint="eastAsia"/>
          <w:b/>
          <w:bCs/>
          <w:color w:val="000000"/>
          <w:sz w:val="32"/>
          <w:szCs w:val="32"/>
        </w:rPr>
        <w:t>卫生健康支出</w:t>
      </w:r>
      <w:r>
        <w:rPr>
          <w:rFonts w:ascii="仿宋" w:eastAsia="仿宋" w:hint="eastAsia"/>
          <w:b w:val="0"/>
          <w:bCs w:val="0"/>
          <w:color w:val="000000"/>
          <w:sz w:val="32"/>
          <w:szCs w:val="32"/>
        </w:rPr>
        <w:t>8.59</w:t>
      </w:r>
      <w:r>
        <w:rPr>
          <w:rFonts w:ascii="仿宋" w:eastAsia="仿宋" w:hint="eastAsia"/>
          <w:color w:val="000000"/>
          <w:sz w:val="32"/>
          <w:szCs w:val="32"/>
        </w:rPr>
        <w:t>万元，占</w:t>
      </w:r>
      <w:r>
        <w:rPr>
          <w:rFonts w:ascii="仿宋" w:eastAsia="仿宋" w:hint="eastAsia"/>
          <w:color w:val="000000"/>
          <w:sz w:val="32"/>
          <w:szCs w:val="32"/>
          <w:lang w:val="en-US" w:eastAsia="zh-CN"/>
        </w:rPr>
        <w:t>4.37</w:t>
      </w:r>
      <w:r>
        <w:rPr>
          <w:rFonts w:ascii="仿宋" w:eastAsia="仿宋" w:hint="eastAsia"/>
          <w:color w:val="000000"/>
          <w:sz w:val="32"/>
          <w:szCs w:val="32"/>
        </w:rPr>
        <w:t>%；</w:t>
      </w:r>
      <w:r>
        <w:rPr>
          <w:rFonts w:ascii="仿宋" w:eastAsia="仿宋" w:hint="eastAsia"/>
          <w:b/>
          <w:bCs/>
          <w:color w:val="000000"/>
          <w:sz w:val="32"/>
          <w:szCs w:val="32"/>
          <w:lang w:val="en-US" w:eastAsia="zh-CN"/>
        </w:rPr>
        <w:t>住</w:t>
      </w:r>
      <w:r>
        <w:rPr>
          <w:rFonts w:ascii="仿宋" w:eastAsia="仿宋" w:hint="eastAsia"/>
          <w:b/>
          <w:bCs/>
          <w:color w:val="000000"/>
          <w:sz w:val="32"/>
          <w:szCs w:val="32"/>
          <w:lang w:eastAsia="zh-CN"/>
        </w:rPr>
        <w:t>房保障支出</w:t>
      </w:r>
      <w:r>
        <w:rPr>
          <w:rFonts w:ascii="仿宋" w:eastAsia="仿宋" w:hint="eastAsia"/>
          <w:b w:val="0"/>
          <w:bCs w:val="0"/>
          <w:color w:val="000000"/>
          <w:sz w:val="32"/>
          <w:szCs w:val="32"/>
          <w:lang w:val="en-US" w:eastAsia="zh-CN"/>
        </w:rPr>
        <w:t>10.68</w:t>
      </w:r>
      <w:r>
        <w:rPr>
          <w:rFonts w:ascii="仿宋" w:eastAsia="仿宋" w:hint="eastAsia"/>
          <w:color w:val="000000"/>
          <w:sz w:val="32"/>
          <w:szCs w:val="32"/>
          <w:lang w:eastAsia="zh-CN"/>
        </w:rPr>
        <w:t>万元，占</w:t>
      </w:r>
      <w:r>
        <w:rPr>
          <w:rFonts w:ascii="仿宋" w:eastAsia="仿宋" w:hint="eastAsia"/>
          <w:color w:val="000000"/>
          <w:sz w:val="32"/>
          <w:szCs w:val="32"/>
          <w:lang w:val="en-US" w:eastAsia="zh-CN"/>
        </w:rPr>
        <w:t>5.43</w:t>
      </w:r>
      <w:r>
        <w:rPr>
          <w:rFonts w:ascii="仿宋" w:eastAsia="仿宋" w:hint="eastAsia"/>
          <w:color w:val="000000"/>
          <w:sz w:val="32"/>
          <w:szCs w:val="32"/>
          <w:lang w:eastAsia="zh-CN"/>
        </w:rPr>
        <w:t>%。</w:t>
      </w:r>
    </w:p>
    <w:p>
      <w:pPr>
        <w:jc w:val="center"/>
        <w:rPr>
          <w:rFonts w:ascii="仿宋" w:eastAsia="仿宋"/>
          <w:color w:val="000000"/>
          <w:sz w:val="32"/>
          <w:szCs w:val="32"/>
        </w:rPr>
      </w:pPr>
      <w:r>
        <w:drawing>
          <wp:inline distT="0" distB="0" distL="114300" distR="114300">
            <wp:extent cx="4466590" cy="2393950"/>
            <wp:effectExtent l="0" t="0" r="0" b="0"/>
            <wp:docPr id="8" name="图表 7"/>
            <wp:cNvGraphicFramePr>
              <a:graphicFrameLocks noChangeAspect="0"/>
            </wp:cNvGraphicFramePr>
            <a:graphic>
              <a:graphicData uri="http://schemas.openxmlformats.org/drawingml/2006/chart">
                <c:chart xmlns:c="http://schemas.openxmlformats.org/drawingml/2006/chart" r:id="rId12"/>
              </a:graphicData>
            </a:graphic>
          </wp:inline>
        </w:drawing>
      </w:r>
    </w:p>
    <w:p>
      <w:pPr>
        <w:pageBreakBefore w:val="0"/>
        <w:widowControl w:val="0"/>
        <w:kinsoku/>
        <w:wordWrap/>
        <w:overflowPunct/>
        <w:topLinePunct w:val="0"/>
        <w:bidi w:val="0"/>
        <w:spacing w:line="560" w:lineRule="exact"/>
        <w:textAlignment w:val="auto"/>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6</w:t>
      </w:r>
      <w:r>
        <w:rPr>
          <w:rFonts w:ascii="仿宋" w:eastAsia="仿宋" w:hint="eastAsia"/>
          <w:color w:val="000000"/>
          <w:sz w:val="32"/>
          <w:szCs w:val="32"/>
        </w:rPr>
        <w:t>：一般公共预算财政拨款支出决算结构）（饼状图）</w:t>
      </w:r>
    </w:p>
    <w:p>
      <w:pPr>
        <w:pageBreakBefore w:val="0"/>
        <w:widowControl w:val="0"/>
        <w:kinsoku/>
        <w:wordWrap/>
        <w:overflowPunct/>
        <w:topLinePunct w:val="0"/>
        <w:bidi w:val="0"/>
        <w:spacing w:line="560" w:lineRule="exact"/>
        <w:ind w:firstLineChars="200" w:firstLine="640"/>
        <w:textAlignment w:val="auto"/>
        <w:rPr>
          <w:rFonts w:ascii="仿宋" w:eastAsia="仿宋"/>
          <w:color w:val="000000"/>
          <w:sz w:val="32"/>
          <w:szCs w:val="32"/>
        </w:rPr>
      </w:pPr>
    </w:p>
    <w:p>
      <w:pPr>
        <w:pageBreakBefore w:val="0"/>
        <w:widowControl w:val="0"/>
        <w:kinsoku/>
        <w:wordWrap/>
        <w:overflowPunct/>
        <w:topLinePunct w:val="0"/>
        <w:bidi w:val="0"/>
        <w:spacing w:line="560" w:lineRule="exact"/>
        <w:ind w:firstLineChars="200" w:firstLine="640"/>
        <w:textAlignment w:val="auto"/>
        <w:outlineLvl w:val="2"/>
        <w:rPr>
          <w:rFonts w:ascii="仿宋" w:eastAsia="仿宋"/>
          <w:b/>
          <w:color w:val="000000"/>
          <w:sz w:val="32"/>
          <w:szCs w:val="32"/>
        </w:rPr>
      </w:pPr>
      <w:bookmarkStart w:id="49" w:name="_Toc15377212"/>
      <w:bookmarkStart w:id="50" w:name="_Toc79163867"/>
      <w:bookmarkStart w:id="51" w:name="_Toc79163617"/>
      <w:r>
        <w:rPr>
          <w:rFonts w:ascii="仿宋" w:eastAsia="仿宋" w:hint="eastAsia"/>
          <w:b/>
          <w:color w:val="000000"/>
          <w:sz w:val="32"/>
          <w:szCs w:val="32"/>
        </w:rPr>
        <w:t>（三）一般公共预算财政拨款支出决算具体情况</w:t>
      </w:r>
      <w:bookmarkEnd w:id="49"/>
      <w:bookmarkEnd w:id="50"/>
      <w:bookmarkEnd w:id="51"/>
    </w:p>
    <w:p>
      <w:pPr>
        <w:keepNext w:val="0"/>
        <w:keepLines w:val="0"/>
        <w:widowControl w:val="0"/>
        <w:suppressLineNumbers w:val="0"/>
        <w:spacing w:before="0" w:beforeAutospacing="0" w:after="0" w:afterAutospacing="0" w:line="560" w:lineRule="exact"/>
        <w:ind w:left="0" w:right="0" w:firstLineChars="200" w:firstLine="640"/>
        <w:jc w:val="both"/>
        <w:rPr>
          <w:rFonts w:ascii="仿宋_GB2312" w:eastAsia="仿宋_GB2312" w:hint="eastAsia"/>
          <w:b/>
          <w:bCs/>
          <w:sz w:val="32"/>
          <w:szCs w:val="32"/>
        </w:rPr>
      </w:pPr>
      <w:bookmarkStart w:id="52" w:name="_Toc15377213"/>
      <w:bookmarkStart w:id="53" w:name="_Toc15378460"/>
      <w:bookmarkStart w:id="54" w:name="_Toc15377444"/>
      <w:r>
        <w:rPr>
          <w:rFonts w:ascii="仿宋_GB2312" w:eastAsia="仿宋_GB2312" w:hint="eastAsia"/>
          <w:b/>
          <w:bCs/>
          <w:sz w:val="32"/>
          <w:szCs w:val="32"/>
          <w:lang w:eastAsia="zh-CN"/>
        </w:rPr>
        <w:t>2023年</w:t>
      </w:r>
      <w:r>
        <w:rPr>
          <w:rFonts w:ascii="仿宋_GB2312" w:eastAsia="仿宋_GB2312" w:hint="eastAsia"/>
          <w:b/>
          <w:bCs/>
          <w:sz w:val="32"/>
          <w:szCs w:val="32"/>
        </w:rPr>
        <w:t>一般公共预算支出决算数为</w:t>
      </w:r>
      <w:r>
        <w:rPr>
          <w:rFonts w:ascii="仿宋_GB2312" w:eastAsia="仿宋_GB2312" w:hint="eastAsia"/>
          <w:b/>
          <w:bCs/>
          <w:sz w:val="32"/>
          <w:szCs w:val="32"/>
          <w:lang w:val="en-US" w:eastAsia="zh-CN"/>
        </w:rPr>
        <w:t>196.79万元</w:t>
      </w:r>
      <w:r>
        <w:rPr>
          <w:rFonts w:ascii="仿宋_GB2312" w:eastAsia="仿宋_GB2312" w:hint="eastAsia"/>
          <w:b/>
          <w:bCs/>
          <w:sz w:val="32"/>
          <w:szCs w:val="32"/>
        </w:rPr>
        <w:t>，完成预算</w:t>
      </w:r>
      <w:r>
        <w:rPr>
          <w:rFonts w:ascii="仿宋_GB2312" w:eastAsia="仿宋_GB2312" w:hint="eastAsia"/>
          <w:b/>
          <w:bCs/>
          <w:sz w:val="32"/>
          <w:szCs w:val="32"/>
          <w:lang w:val="en-US" w:eastAsia="zh-CN"/>
        </w:rPr>
        <w:t>100</w:t>
      </w:r>
      <w:r>
        <w:rPr>
          <w:rFonts w:ascii="仿宋_GB2312" w:eastAsia="仿宋_GB2312"/>
          <w:b/>
          <w:bCs/>
          <w:sz w:val="32"/>
          <w:szCs w:val="32"/>
        </w:rPr>
        <w:t>%</w:t>
      </w:r>
      <w:r>
        <w:rPr>
          <w:rFonts w:ascii="仿宋_GB2312" w:eastAsia="仿宋_GB2312" w:hint="eastAsia"/>
          <w:b/>
          <w:bCs/>
          <w:sz w:val="32"/>
          <w:szCs w:val="32"/>
        </w:rPr>
        <w:t>。其中：</w:t>
      </w:r>
      <w:bookmarkEnd w:id="52"/>
      <w:bookmarkEnd w:id="53"/>
      <w:bookmarkEnd w:id="54"/>
    </w:p>
    <w:p>
      <w:pPr>
        <w:keepNext w:val="0"/>
        <w:keepLines w:val="0"/>
        <w:widowControl w:val="0"/>
        <w:numPr>
          <w:ilvl w:val="0"/>
          <w:numId w:val="2"/>
        </w:numPr>
        <w:suppressLineNumbers w:val="0"/>
        <w:spacing w:before="0" w:beforeAutospacing="0" w:after="0" w:afterAutospacing="0" w:line="560" w:lineRule="exact"/>
        <w:ind w:left="0" w:right="0" w:firstLineChars="200" w:firstLine="640"/>
        <w:jc w:val="both"/>
        <w:rPr>
          <w:rFonts w:ascii="仿宋" w:eastAsia="仿宋" w:cs="仿宋" w:hint="eastAsia"/>
          <w:b w:val="0"/>
          <w:bCs/>
          <w:color w:val="000000"/>
          <w:kern w:val="2"/>
          <w:sz w:val="32"/>
          <w:szCs w:val="32"/>
          <w:lang w:val="en-US" w:eastAsia="zh-CN"/>
        </w:rPr>
      </w:pPr>
      <w:r>
        <w:rPr>
          <w:rFonts w:ascii="仿宋" w:eastAsia="仿宋" w:cs="Times New Roman" w:hint="eastAsia"/>
          <w:b/>
          <w:bCs/>
          <w:color w:val="000000"/>
          <w:kern w:val="2"/>
          <w:sz w:val="32"/>
          <w:szCs w:val="32"/>
          <w:lang w:val="en-US" w:eastAsia="zh-CN"/>
        </w:rPr>
        <w:t>一般公共服务支出</w:t>
      </w:r>
      <w:r>
        <w:rPr>
          <w:rFonts w:ascii="仿宋" w:eastAsia="仿宋" w:cs="仿宋" w:hint="eastAsia"/>
          <w:b/>
          <w:bCs/>
          <w:color w:val="000000"/>
          <w:kern w:val="2"/>
          <w:sz w:val="32"/>
          <w:szCs w:val="32"/>
          <w:lang w:val="en-US" w:eastAsia="zh-CN"/>
        </w:rPr>
        <w:t>（类）群众团体事务（款）行政运行（项）：</w:t>
      </w:r>
      <w:r>
        <w:rPr>
          <w:rFonts w:ascii="仿宋" w:eastAsia="仿宋" w:cs="Times New Roman" w:hint="eastAsia"/>
          <w:b w:val="0"/>
          <w:bCs/>
          <w:color w:val="000000"/>
          <w:kern w:val="2"/>
          <w:sz w:val="32"/>
          <w:szCs w:val="32"/>
          <w:lang w:val="en-US" w:eastAsia="zh-CN"/>
        </w:rPr>
        <w:t xml:space="preserve"> </w:t>
      </w:r>
      <w:r>
        <w:rPr>
          <w:rFonts w:ascii="仿宋" w:eastAsia="仿宋" w:cs="仿宋" w:hint="eastAsia"/>
          <w:b w:val="0"/>
          <w:bCs/>
          <w:color w:val="000000"/>
          <w:kern w:val="2"/>
          <w:sz w:val="32"/>
          <w:szCs w:val="32"/>
          <w:lang w:val="en-US" w:eastAsia="zh-CN"/>
        </w:rPr>
        <w:t>支出决算为112.77万元，完成预算100</w:t>
      </w:r>
      <w:r>
        <w:rPr>
          <w:rFonts w:ascii="仿宋" w:eastAsia="仿宋" w:cs="Times New Roman" w:hint="eastAsia"/>
          <w:b w:val="0"/>
          <w:bCs/>
          <w:color w:val="000000"/>
          <w:kern w:val="2"/>
          <w:sz w:val="32"/>
          <w:szCs w:val="32"/>
          <w:lang w:val="en-US" w:eastAsia="zh-CN"/>
        </w:rPr>
        <w:t>%</w:t>
      </w:r>
      <w:r>
        <w:rPr>
          <w:rFonts w:ascii="仿宋" w:eastAsia="仿宋" w:cs="仿宋" w:hint="eastAsia"/>
          <w:b w:val="0"/>
          <w:bCs/>
          <w:color w:val="000000"/>
          <w:kern w:val="2"/>
          <w:sz w:val="32"/>
          <w:szCs w:val="32"/>
          <w:lang w:val="en-US" w:eastAsia="zh-CN"/>
        </w:rPr>
        <w:t>。</w:t>
      </w:r>
    </w:p>
    <w:p>
      <w:pPr>
        <w:pStyle w:val="4"/>
        <w:ind w:left="0" w:firstLineChars="200" w:firstLine="640"/>
        <w:rPr>
          <w:rFonts w:hint="eastAsia"/>
        </w:rPr>
      </w:pPr>
      <w:r>
        <w:rPr>
          <w:rFonts w:ascii="仿宋" w:eastAsia="仿宋" w:cs="仿宋" w:hint="eastAsia"/>
          <w:b/>
          <w:bCs/>
          <w:color w:val="000000"/>
          <w:kern w:val="2"/>
          <w:sz w:val="32"/>
          <w:szCs w:val="32"/>
          <w:lang w:val="en-US" w:eastAsia="zh-CN"/>
        </w:rPr>
        <w:t>2</w:t>
      </w:r>
      <w:r>
        <w:rPr>
          <w:rFonts w:ascii="仿宋" w:eastAsia="仿宋" w:cs="Times New Roman" w:hint="eastAsia"/>
          <w:b/>
          <w:bCs/>
          <w:color w:val="000000"/>
          <w:kern w:val="2"/>
          <w:sz w:val="32"/>
          <w:szCs w:val="32"/>
          <w:lang w:val="en-US" w:eastAsia="zh-CN"/>
        </w:rPr>
        <w:t>.教育支出</w:t>
      </w:r>
      <w:r>
        <w:rPr>
          <w:rFonts w:ascii="仿宋" w:eastAsia="仿宋" w:cs="仿宋" w:hint="eastAsia"/>
          <w:b/>
          <w:bCs/>
          <w:color w:val="000000"/>
          <w:kern w:val="2"/>
          <w:sz w:val="32"/>
          <w:szCs w:val="32"/>
          <w:lang w:val="en-US" w:eastAsia="zh-CN"/>
        </w:rPr>
        <w:t>（类）进修及培训（款）其他进修及培训（项）：</w:t>
      </w:r>
      <w:r>
        <w:rPr>
          <w:rFonts w:ascii="仿宋" w:eastAsia="仿宋" w:cs="仿宋" w:hint="eastAsia"/>
          <w:b w:val="0"/>
          <w:bCs/>
          <w:color w:val="000000"/>
          <w:kern w:val="2"/>
          <w:sz w:val="32"/>
          <w:szCs w:val="32"/>
          <w:lang w:val="en-US" w:eastAsia="zh-CN"/>
        </w:rPr>
        <w:t>支出决算为1.34万元，完成预算100</w:t>
      </w:r>
      <w:r>
        <w:rPr>
          <w:rFonts w:ascii="仿宋" w:eastAsia="仿宋" w:cs="Times New Roman" w:hint="eastAsia"/>
          <w:b w:val="0"/>
          <w:bCs/>
          <w:color w:val="000000"/>
          <w:kern w:val="2"/>
          <w:sz w:val="32"/>
          <w:szCs w:val="32"/>
          <w:lang w:val="en-US" w:eastAsia="zh-CN"/>
        </w:rPr>
        <w:t>%</w:t>
      </w:r>
      <w:r>
        <w:rPr>
          <w:rFonts w:ascii="仿宋" w:eastAsia="仿宋" w:cs="仿宋" w:hint="eastAsia"/>
          <w:b w:val="0"/>
          <w:bCs/>
          <w:color w:val="000000"/>
          <w:kern w:val="2"/>
          <w:sz w:val="32"/>
          <w:szCs w:val="32"/>
          <w:lang w:val="en-US" w:eastAsia="zh-CN"/>
        </w:rPr>
        <w:t>。</w:t>
      </w:r>
    </w:p>
    <w:p>
      <w:pPr>
        <w:keepNext w:val="0"/>
        <w:keepLines w:val="0"/>
        <w:widowControl w:val="0"/>
        <w:suppressLineNumbers w:val="0"/>
        <w:spacing w:before="0" w:beforeAutospacing="0" w:after="0" w:afterAutospacing="0" w:line="560" w:lineRule="exact"/>
        <w:ind w:left="0" w:right="0" w:firstLineChars="200" w:firstLine="640"/>
        <w:jc w:val="both"/>
        <w:rPr>
          <w:rFonts w:ascii="仿宋" w:eastAsia="仿宋" w:cs="Times New Roman" w:hint="eastAsia"/>
          <w:b w:val="0"/>
          <w:bCs/>
          <w:color w:val="000000"/>
          <w:sz w:val="32"/>
          <w:szCs w:val="32"/>
        </w:rPr>
      </w:pPr>
      <w:r>
        <w:rPr>
          <w:rFonts w:ascii="仿宋" w:eastAsia="仿宋" w:cs="仿宋" w:hint="eastAsia"/>
          <w:b/>
          <w:bCs/>
          <w:color w:val="000000"/>
          <w:kern w:val="2"/>
          <w:sz w:val="32"/>
          <w:szCs w:val="32"/>
          <w:lang w:val="en-US" w:eastAsia="zh-CN"/>
        </w:rPr>
        <w:t>3</w:t>
      </w:r>
      <w:r>
        <w:rPr>
          <w:rFonts w:ascii="仿宋" w:eastAsia="仿宋" w:cs="Times New Roman" w:hint="eastAsia"/>
          <w:b/>
          <w:bCs/>
          <w:color w:val="000000"/>
          <w:kern w:val="2"/>
          <w:sz w:val="32"/>
          <w:szCs w:val="32"/>
          <w:lang w:val="en-US" w:eastAsia="zh-CN"/>
        </w:rPr>
        <w:t>.科学技术支出</w:t>
      </w:r>
      <w:r>
        <w:rPr>
          <w:rFonts w:ascii="仿宋" w:eastAsia="仿宋" w:cs="仿宋" w:hint="eastAsia"/>
          <w:b/>
          <w:bCs/>
          <w:color w:val="000000"/>
          <w:kern w:val="2"/>
          <w:sz w:val="32"/>
          <w:szCs w:val="32"/>
          <w:lang w:val="en-US" w:eastAsia="zh-CN"/>
        </w:rPr>
        <w:t>（类）科学技术普及（款）科普活动（项）：</w:t>
      </w:r>
      <w:r>
        <w:rPr>
          <w:rFonts w:ascii="仿宋" w:eastAsia="仿宋" w:cs="仿宋" w:hint="eastAsia"/>
          <w:b w:val="0"/>
          <w:bCs/>
          <w:color w:val="000000"/>
          <w:kern w:val="2"/>
          <w:sz w:val="32"/>
          <w:szCs w:val="32"/>
          <w:lang w:val="en-US" w:eastAsia="zh-CN"/>
        </w:rPr>
        <w:t>支出决算为6.68万元，完成预算100</w:t>
      </w:r>
      <w:r>
        <w:rPr>
          <w:rFonts w:ascii="仿宋" w:eastAsia="仿宋" w:cs="Times New Roman" w:hint="eastAsia"/>
          <w:b w:val="0"/>
          <w:bCs/>
          <w:color w:val="000000"/>
          <w:kern w:val="2"/>
          <w:sz w:val="32"/>
          <w:szCs w:val="32"/>
          <w:lang w:val="en-US" w:eastAsia="zh-CN"/>
        </w:rPr>
        <w:t>%</w:t>
      </w:r>
      <w:r>
        <w:rPr>
          <w:rFonts w:ascii="仿宋" w:eastAsia="仿宋" w:cs="仿宋" w:hint="eastAsia"/>
          <w:b w:val="0"/>
          <w:bCs/>
          <w:color w:val="000000"/>
          <w:kern w:val="2"/>
          <w:sz w:val="32"/>
          <w:szCs w:val="32"/>
          <w:lang w:val="en-US" w:eastAsia="zh-CN"/>
        </w:rPr>
        <w:t>。</w:t>
      </w:r>
    </w:p>
    <w:p>
      <w:pPr>
        <w:keepNext w:val="0"/>
        <w:keepLines w:val="0"/>
        <w:widowControl w:val="0"/>
        <w:suppressLineNumbers w:val="0"/>
        <w:spacing w:before="0" w:beforeAutospacing="0" w:after="0" w:afterAutospacing="0" w:line="560" w:lineRule="exact"/>
        <w:ind w:left="0" w:right="0" w:firstLineChars="200" w:firstLine="640"/>
        <w:jc w:val="both"/>
        <w:rPr>
          <w:rFonts w:ascii="仿宋" w:eastAsia="仿宋" w:cs="Times New Roman" w:hint="eastAsia"/>
          <w:b/>
          <w:bCs w:val="0"/>
          <w:color w:val="000000"/>
          <w:kern w:val="2"/>
          <w:sz w:val="32"/>
          <w:szCs w:val="32"/>
        </w:rPr>
      </w:pPr>
      <w:r>
        <w:rPr>
          <w:rFonts w:ascii="仿宋" w:eastAsia="仿宋" w:cs="仿宋" w:hint="eastAsia"/>
          <w:b/>
          <w:bCs w:val="0"/>
          <w:color w:val="000000"/>
          <w:kern w:val="2"/>
          <w:sz w:val="32"/>
          <w:szCs w:val="32"/>
          <w:lang w:val="en-US" w:eastAsia="zh-CN"/>
        </w:rPr>
        <w:t>4.科学技术支出（类）科学技术普及（款）其他科学技术普及支出（项）：</w:t>
      </w:r>
      <w:r>
        <w:rPr>
          <w:rFonts w:ascii="仿宋" w:eastAsia="仿宋" w:cs="Times New Roman" w:hint="eastAsia"/>
          <w:b w:val="0"/>
          <w:color w:val="000000"/>
          <w:kern w:val="2"/>
          <w:sz w:val="32"/>
          <w:szCs w:val="32"/>
          <w:lang w:val="en-US" w:eastAsia="zh-CN"/>
        </w:rPr>
        <w:t xml:space="preserve"> </w:t>
      </w:r>
      <w:r>
        <w:rPr>
          <w:rFonts w:ascii="仿宋" w:eastAsia="仿宋" w:cs="仿宋" w:hint="eastAsia"/>
          <w:b w:val="0"/>
          <w:color w:val="000000"/>
          <w:kern w:val="2"/>
          <w:sz w:val="32"/>
          <w:szCs w:val="32"/>
          <w:lang w:val="en-US" w:eastAsia="zh-CN"/>
        </w:rPr>
        <w:t>支出决算为28.86万元，完成预算100%。</w:t>
      </w:r>
    </w:p>
    <w:p>
      <w:pPr>
        <w:pageBreakBefore w:val="0"/>
        <w:widowControl w:val="0"/>
        <w:kinsoku/>
        <w:wordWrap/>
        <w:overflowPunct/>
        <w:topLinePunct w:val="0"/>
        <w:bidi w:val="0"/>
        <w:spacing w:line="560" w:lineRule="exact"/>
        <w:ind w:firstLineChars="200" w:firstLine="640"/>
        <w:textAlignment w:val="auto"/>
        <w:rPr>
          <w:rFonts w:ascii="仿宋" w:eastAsia="仿宋"/>
          <w:b/>
          <w:color w:val="000000"/>
          <w:sz w:val="32"/>
          <w:szCs w:val="32"/>
        </w:rPr>
      </w:pPr>
      <w:r>
        <w:rPr>
          <w:rFonts w:ascii="仿宋" w:eastAsia="仿宋" w:cs="仿宋" w:hint="eastAsia"/>
          <w:b/>
          <w:bCs w:val="0"/>
          <w:color w:val="000000"/>
          <w:kern w:val="2"/>
          <w:sz w:val="32"/>
          <w:szCs w:val="32"/>
          <w:lang w:val="en-US" w:eastAsia="zh-CN"/>
        </w:rPr>
        <w:t>5.</w:t>
      </w:r>
      <w:r>
        <w:rPr>
          <w:rStyle w:val="33"/>
          <w:rFonts w:ascii="仿宋" w:eastAsia="仿宋" w:hint="eastAsia"/>
          <w:bCs/>
          <w:color w:val="000000"/>
          <w:sz w:val="32"/>
          <w:szCs w:val="32"/>
        </w:rPr>
        <w:t>社会保障和就业支出（类）行政事业单位养老支出（款）机关事业单位基本养老保险缴费支出（项）</w:t>
      </w:r>
      <w:r>
        <w:rPr>
          <w:rStyle w:val="33"/>
          <w:rFonts w:ascii="仿宋" w:eastAsia="仿宋" w:hint="eastAsia"/>
          <w:bCs/>
          <w:color w:val="000000"/>
          <w:sz w:val="32"/>
          <w:szCs w:val="32"/>
          <w:lang w:eastAsia="zh-CN"/>
        </w:rPr>
        <w:t>：</w:t>
      </w:r>
      <w:r>
        <w:rPr>
          <w:rStyle w:val="33"/>
          <w:rFonts w:ascii="仿宋" w:eastAsia="仿宋"/>
          <w:b w:val="0"/>
          <w:bCs/>
          <w:color w:val="000000"/>
          <w:sz w:val="32"/>
          <w:szCs w:val="32"/>
        </w:rPr>
        <w:t xml:space="preserve"> </w:t>
      </w:r>
      <w:r>
        <w:rPr>
          <w:rStyle w:val="33"/>
          <w:rFonts w:ascii="仿宋" w:eastAsia="仿宋" w:hint="eastAsia"/>
          <w:b w:val="0"/>
          <w:bCs/>
          <w:color w:val="000000"/>
          <w:sz w:val="32"/>
          <w:szCs w:val="32"/>
        </w:rPr>
        <w:t>支出决算为18.58万元，完成预算</w:t>
      </w:r>
      <w:r>
        <w:rPr>
          <w:rStyle w:val="33"/>
          <w:rFonts w:ascii="仿宋" w:eastAsia="仿宋" w:hint="eastAsia"/>
          <w:b w:val="0"/>
          <w:bCs/>
          <w:color w:val="000000"/>
          <w:sz w:val="32"/>
          <w:szCs w:val="32"/>
          <w:lang w:val="en-US" w:eastAsia="zh-CN"/>
        </w:rPr>
        <w:t>100</w:t>
      </w:r>
      <w:r>
        <w:rPr>
          <w:rStyle w:val="33"/>
          <w:rFonts w:ascii="仿宋" w:eastAsia="仿宋"/>
          <w:b w:val="0"/>
          <w:bCs/>
          <w:color w:val="000000"/>
          <w:sz w:val="32"/>
          <w:szCs w:val="32"/>
        </w:rPr>
        <w:t>%</w:t>
      </w:r>
      <w:r>
        <w:rPr>
          <w:rStyle w:val="33"/>
          <w:rFonts w:ascii="仿宋" w:eastAsia="仿宋" w:hint="eastAsia"/>
          <w:b w:val="0"/>
          <w:bCs/>
          <w:color w:val="000000"/>
          <w:sz w:val="32"/>
          <w:szCs w:val="32"/>
        </w:rPr>
        <w:t>。</w:t>
      </w:r>
    </w:p>
    <w:p>
      <w:pPr>
        <w:spacing w:line="560" w:lineRule="exact"/>
        <w:ind w:firstLineChars="200" w:firstLine="640"/>
        <w:rPr>
          <w:rStyle w:val="33"/>
          <w:rFonts w:ascii="仿宋" w:eastAsia="仿宋" w:hint="eastAsia"/>
          <w:b w:val="0"/>
          <w:bCs/>
          <w:color w:val="000000"/>
          <w:sz w:val="32"/>
          <w:szCs w:val="32"/>
        </w:rPr>
      </w:pPr>
      <w:r>
        <w:rPr>
          <w:rStyle w:val="33"/>
          <w:rFonts w:ascii="仿宋" w:eastAsia="仿宋" w:hint="eastAsia"/>
          <w:bCs/>
          <w:color w:val="000000"/>
          <w:sz w:val="32"/>
          <w:szCs w:val="32"/>
          <w:lang w:val="en-US" w:eastAsia="zh-CN"/>
        </w:rPr>
        <w:t>6</w:t>
      </w:r>
      <w:r>
        <w:rPr>
          <w:rStyle w:val="33"/>
          <w:rFonts w:ascii="仿宋" w:eastAsia="仿宋"/>
          <w:bCs/>
          <w:color w:val="000000"/>
          <w:sz w:val="32"/>
          <w:szCs w:val="32"/>
        </w:rPr>
        <w:t>.</w:t>
      </w:r>
      <w:r>
        <w:rPr>
          <w:rFonts w:ascii="仿宋" w:eastAsia="仿宋" w:hint="eastAsia"/>
          <w:b/>
          <w:bCs/>
          <w:color w:val="000000"/>
          <w:sz w:val="32"/>
          <w:szCs w:val="32"/>
        </w:rPr>
        <w:t>社会保障和就业支出（类）行政事业单位养老支出（款）机关事业单位职业年金缴费支出（项）</w:t>
      </w:r>
      <w:r>
        <w:rPr>
          <w:rFonts w:ascii="仿宋" w:eastAsia="仿宋" w:hint="eastAsia"/>
          <w:b/>
          <w:bCs/>
          <w:color w:val="000000"/>
          <w:sz w:val="32"/>
          <w:szCs w:val="32"/>
          <w:lang w:eastAsia="zh-CN"/>
        </w:rPr>
        <w:t>：</w:t>
      </w:r>
      <w:r>
        <w:rPr>
          <w:rStyle w:val="33"/>
          <w:rFonts w:ascii="仿宋" w:eastAsia="仿宋" w:hint="eastAsia"/>
          <w:b w:val="0"/>
          <w:bCs/>
          <w:color w:val="000000"/>
          <w:sz w:val="32"/>
          <w:szCs w:val="32"/>
        </w:rPr>
        <w:t>支出决算为9.29万元，完成预算</w:t>
      </w:r>
      <w:r>
        <w:rPr>
          <w:rStyle w:val="33"/>
          <w:rFonts w:ascii="仿宋" w:eastAsia="仿宋" w:hint="eastAsia"/>
          <w:b w:val="0"/>
          <w:bCs/>
          <w:color w:val="000000"/>
          <w:sz w:val="32"/>
          <w:szCs w:val="32"/>
          <w:lang w:val="en-US" w:eastAsia="zh-CN"/>
        </w:rPr>
        <w:t>100</w:t>
      </w:r>
      <w:r>
        <w:rPr>
          <w:rStyle w:val="33"/>
          <w:rFonts w:ascii="仿宋" w:eastAsia="仿宋"/>
          <w:b w:val="0"/>
          <w:bCs/>
          <w:color w:val="000000"/>
          <w:sz w:val="32"/>
          <w:szCs w:val="32"/>
        </w:rPr>
        <w:t>%</w:t>
      </w:r>
      <w:r>
        <w:rPr>
          <w:rStyle w:val="33"/>
          <w:rFonts w:ascii="仿宋" w:eastAsia="仿宋" w:hint="eastAsia"/>
          <w:b w:val="0"/>
          <w:bCs/>
          <w:color w:val="000000"/>
          <w:sz w:val="32"/>
          <w:szCs w:val="32"/>
        </w:rPr>
        <w:t>。</w:t>
      </w:r>
    </w:p>
    <w:p>
      <w:pPr>
        <w:spacing w:line="560" w:lineRule="exact"/>
        <w:ind w:firstLineChars="200" w:firstLine="640"/>
        <w:rPr>
          <w:rFonts w:ascii="仿宋" w:eastAsia="仿宋" w:hint="eastAsia"/>
          <w:b/>
          <w:color w:val="000000"/>
          <w:sz w:val="32"/>
          <w:szCs w:val="32"/>
        </w:rPr>
      </w:pPr>
      <w:r>
        <w:rPr>
          <w:rStyle w:val="33"/>
          <w:rFonts w:ascii="仿宋" w:eastAsia="仿宋" w:hint="eastAsia"/>
          <w:color w:val="000000"/>
          <w:sz w:val="32"/>
          <w:szCs w:val="32"/>
          <w:lang w:val="en-US" w:eastAsia="zh-CN"/>
        </w:rPr>
        <w:t>7</w:t>
      </w:r>
      <w:r>
        <w:rPr>
          <w:rStyle w:val="33"/>
          <w:rFonts w:ascii="仿宋" w:eastAsia="仿宋" w:hint="eastAsia"/>
          <w:color w:val="000000"/>
          <w:sz w:val="32"/>
          <w:szCs w:val="32"/>
        </w:rPr>
        <w:t>.卫生健康支出（类）行政事业单位医疗（款）行政单位医疗（项）</w:t>
      </w:r>
      <w:r>
        <w:rPr>
          <w:rStyle w:val="33"/>
          <w:rFonts w:ascii="仿宋" w:eastAsia="仿宋" w:hint="eastAsia"/>
          <w:color w:val="000000"/>
          <w:sz w:val="32"/>
          <w:szCs w:val="32"/>
          <w:lang w:eastAsia="zh-CN"/>
        </w:rPr>
        <w:t>：</w:t>
      </w:r>
      <w:r>
        <w:rPr>
          <w:rStyle w:val="33"/>
          <w:rFonts w:ascii="仿宋" w:eastAsia="仿宋" w:hint="eastAsia"/>
          <w:b w:val="0"/>
          <w:color w:val="000000"/>
          <w:sz w:val="32"/>
          <w:szCs w:val="32"/>
        </w:rPr>
        <w:t xml:space="preserve"> 支出决算为7.41万元，完成预算100%。</w:t>
      </w:r>
    </w:p>
    <w:p>
      <w:pPr>
        <w:spacing w:line="560" w:lineRule="exact"/>
        <w:ind w:firstLineChars="200" w:firstLine="640"/>
        <w:rPr>
          <w:rFonts w:ascii="仿宋" w:eastAsia="仿宋" w:hint="eastAsia"/>
          <w:b/>
          <w:color w:val="000000"/>
          <w:sz w:val="32"/>
          <w:szCs w:val="32"/>
        </w:rPr>
      </w:pPr>
      <w:r>
        <w:rPr>
          <w:rStyle w:val="33"/>
          <w:rFonts w:ascii="仿宋" w:eastAsia="仿宋" w:hint="eastAsia"/>
          <w:color w:val="000000"/>
          <w:sz w:val="32"/>
          <w:szCs w:val="32"/>
          <w:lang w:val="en-US" w:eastAsia="zh-CN"/>
        </w:rPr>
        <w:t>8</w:t>
      </w:r>
      <w:r>
        <w:rPr>
          <w:rStyle w:val="33"/>
          <w:rFonts w:ascii="仿宋" w:eastAsia="仿宋" w:hint="eastAsia"/>
          <w:color w:val="000000"/>
          <w:sz w:val="32"/>
          <w:szCs w:val="32"/>
        </w:rPr>
        <w:t>.卫生健康支出（类）行政事业单位医疗（款）公务员医疗补助（项）</w:t>
      </w:r>
      <w:r>
        <w:rPr>
          <w:rStyle w:val="33"/>
          <w:rFonts w:ascii="仿宋" w:eastAsia="仿宋" w:hint="eastAsia"/>
          <w:color w:val="000000"/>
          <w:sz w:val="32"/>
          <w:szCs w:val="32"/>
          <w:lang w:eastAsia="zh-CN"/>
        </w:rPr>
        <w:t>：</w:t>
      </w:r>
      <w:r>
        <w:rPr>
          <w:rStyle w:val="33"/>
          <w:rFonts w:ascii="仿宋" w:eastAsia="仿宋" w:hint="eastAsia"/>
          <w:color w:val="000000"/>
          <w:sz w:val="32"/>
          <w:szCs w:val="32"/>
        </w:rPr>
        <w:t xml:space="preserve"> </w:t>
      </w:r>
      <w:r>
        <w:rPr>
          <w:rStyle w:val="33"/>
          <w:rFonts w:ascii="仿宋" w:eastAsia="仿宋" w:hint="eastAsia"/>
          <w:b w:val="0"/>
          <w:color w:val="000000"/>
          <w:sz w:val="32"/>
          <w:szCs w:val="32"/>
        </w:rPr>
        <w:t>支出决算为1.17万元，完成预算100%。</w:t>
      </w:r>
    </w:p>
    <w:p>
      <w:pPr>
        <w:pageBreakBefore w:val="0"/>
        <w:widowControl w:val="0"/>
        <w:kinsoku/>
        <w:wordWrap/>
        <w:overflowPunct/>
        <w:topLinePunct w:val="0"/>
        <w:bidi w:val="0"/>
        <w:spacing w:line="560" w:lineRule="exact"/>
        <w:ind w:firstLineChars="200" w:firstLine="640"/>
        <w:textAlignment w:val="auto"/>
        <w:rPr>
          <w:rFonts w:ascii="仿宋" w:eastAsia="仿宋"/>
          <w:b/>
          <w:color w:val="FF0000"/>
          <w:sz w:val="32"/>
          <w:szCs w:val="32"/>
        </w:rPr>
      </w:pPr>
      <w:r>
        <w:rPr>
          <w:rStyle w:val="33"/>
          <w:rFonts w:ascii="仿宋" w:eastAsia="仿宋" w:hint="eastAsia"/>
          <w:color w:val="000000"/>
          <w:sz w:val="32"/>
          <w:szCs w:val="32"/>
          <w:lang w:val="en-US" w:eastAsia="zh-CN"/>
        </w:rPr>
        <w:t>9</w:t>
      </w:r>
      <w:r>
        <w:rPr>
          <w:rFonts w:ascii="仿宋" w:eastAsia="仿宋" w:cs="仿宋" w:hint="eastAsia"/>
          <w:b/>
          <w:bCs w:val="0"/>
          <w:color w:val="000000"/>
          <w:kern w:val="2"/>
          <w:sz w:val="32"/>
          <w:szCs w:val="32"/>
          <w:lang w:val="en-US" w:eastAsia="zh-CN"/>
        </w:rPr>
        <w:t>.住房保障支出（类）住房改革支出（款）住房公积金（项）：</w:t>
      </w:r>
      <w:r>
        <w:rPr>
          <w:rFonts w:ascii="仿宋" w:eastAsia="仿宋" w:cs="仿宋" w:hint="eastAsia"/>
          <w:b w:val="0"/>
          <w:color w:val="000000"/>
          <w:kern w:val="2"/>
          <w:sz w:val="32"/>
          <w:szCs w:val="32"/>
          <w:lang w:val="en-US" w:eastAsia="zh-CN"/>
        </w:rPr>
        <w:t>支出决算为10.68万元，完成预算100%。</w:t>
      </w:r>
    </w:p>
    <w:p>
      <w:pPr>
        <w:pageBreakBefore w:val="0"/>
        <w:widowControl w:val="0"/>
        <w:kinsoku/>
        <w:wordWrap/>
        <w:overflowPunct/>
        <w:topLinePunct w:val="0"/>
        <w:bidi w:val="0"/>
        <w:spacing w:line="560" w:lineRule="exact"/>
        <w:ind w:firstLine="640"/>
        <w:textAlignment w:val="auto"/>
        <w:rPr>
          <w:rFonts w:ascii="仿宋" w:eastAsia="仿宋"/>
          <w:b/>
          <w:color w:val="000000"/>
          <w:sz w:val="32"/>
          <w:szCs w:val="32"/>
        </w:rPr>
      </w:pPr>
    </w:p>
    <w:p>
      <w:pPr>
        <w:pageBreakBefore w:val="0"/>
        <w:widowControl w:val="0"/>
        <w:tabs>
          <w:tab w:val="right" w:pos="8306"/>
        </w:tabs>
        <w:kinsoku/>
        <w:wordWrap/>
        <w:overflowPunct/>
        <w:topLinePunct w:val="0"/>
        <w:bidi w:val="0"/>
        <w:spacing w:line="560" w:lineRule="exact"/>
        <w:ind w:firstLine="640"/>
        <w:textAlignment w:val="auto"/>
        <w:outlineLvl w:val="1"/>
        <w:rPr>
          <w:rStyle w:val="2Char"/>
        </w:rPr>
      </w:pPr>
      <w:bookmarkStart w:id="55" w:name="_Toc79163618"/>
      <w:bookmarkStart w:id="56" w:name="_Toc15377214"/>
      <w:bookmarkStart w:id="57" w:name="_Toc79163868"/>
      <w:bookmarkStart w:id="58" w:name="_Toc15396608"/>
      <w:r>
        <w:rPr>
          <w:rFonts w:ascii="黑体" w:eastAsia="黑体" w:hint="eastAsia"/>
          <w:color w:val="000000"/>
          <w:sz w:val="32"/>
          <w:szCs w:val="32"/>
        </w:rPr>
        <w:t>六</w:t>
      </w:r>
      <w:r>
        <w:rPr>
          <w:rFonts w:ascii="黑体" w:eastAsia="黑体" w:hint="eastAsia"/>
          <w:b/>
          <w:color w:val="000000"/>
          <w:sz w:val="32"/>
          <w:szCs w:val="32"/>
        </w:rPr>
        <w:t>、一</w:t>
      </w:r>
      <w:r>
        <w:rPr>
          <w:rStyle w:val="2Char"/>
          <w:rFonts w:ascii="黑体" w:eastAsia="黑体" w:hint="eastAsia"/>
          <w:b w:val="0"/>
        </w:rPr>
        <w:t>般公共预算财政拨款基本支出决算情况说明</w:t>
      </w:r>
      <w:bookmarkEnd w:id="55"/>
      <w:bookmarkEnd w:id="56"/>
      <w:bookmarkEnd w:id="57"/>
      <w:bookmarkEnd w:id="58"/>
      <w:r>
        <w:rPr>
          <w:rStyle w:val="2Char"/>
          <w:rFonts w:ascii="黑体" w:eastAsia="黑体"/>
          <w:b w:val="0"/>
        </w:rPr>
        <w:tab/>
      </w:r>
    </w:p>
    <w:p>
      <w:pPr>
        <w:pageBreakBefore w:val="0"/>
        <w:widowControl w:val="0"/>
        <w:kinsoku/>
        <w:wordWrap/>
        <w:overflowPunct/>
        <w:topLinePunct w:val="0"/>
        <w:bidi w:val="0"/>
        <w:spacing w:line="560" w:lineRule="exact"/>
        <w:ind w:firstLine="645"/>
        <w:textAlignment w:val="auto"/>
        <w:rPr>
          <w:rFonts w:ascii="仿宋" w:eastAsia="仿宋"/>
          <w:color w:val="000000"/>
          <w:sz w:val="32"/>
          <w:szCs w:val="32"/>
        </w:rPr>
      </w:pPr>
      <w:r>
        <w:rPr>
          <w:rFonts w:ascii="仿宋" w:eastAsia="仿宋" w:hint="eastAsia"/>
          <w:color w:val="000000"/>
          <w:sz w:val="32"/>
          <w:szCs w:val="32"/>
          <w:lang w:eastAsia="zh-CN"/>
        </w:rPr>
        <w:t>2023年</w:t>
      </w:r>
      <w:r>
        <w:rPr>
          <w:rFonts w:ascii="仿宋" w:eastAsia="仿宋" w:hint="eastAsia"/>
          <w:color w:val="000000"/>
          <w:sz w:val="32"/>
          <w:szCs w:val="32"/>
        </w:rPr>
        <w:t>一般公共预算财政拨款基本支出159.9万元，其中：</w:t>
      </w:r>
    </w:p>
    <w:p>
      <w:pPr>
        <w:pageBreakBefore w:val="0"/>
        <w:widowControl w:val="0"/>
        <w:kinsoku/>
        <w:wordWrap/>
        <w:overflowPunct/>
        <w:topLinePunct w:val="0"/>
        <w:bidi w:val="0"/>
        <w:spacing w:line="560" w:lineRule="exact"/>
        <w:ind w:firstLine="645"/>
        <w:textAlignment w:val="auto"/>
        <w:rPr>
          <w:rFonts w:ascii="仿宋" w:eastAsia="仿宋" w:hint="eastAsia"/>
          <w:color w:val="000000"/>
          <w:sz w:val="32"/>
          <w:szCs w:val="32"/>
          <w:lang w:eastAsia="zh-CN"/>
        </w:rPr>
      </w:pPr>
      <w:r>
        <w:rPr>
          <w:rFonts w:ascii="仿宋" w:eastAsia="仿宋" w:hint="eastAsia"/>
          <w:color w:val="000000"/>
          <w:sz w:val="32"/>
          <w:szCs w:val="32"/>
        </w:rPr>
        <w:t>人员经</w:t>
      </w:r>
      <w:r>
        <w:rPr>
          <w:rFonts w:ascii="仿宋" w:eastAsia="仿宋" w:hint="eastAsia"/>
          <w:color w:val="auto"/>
          <w:sz w:val="32"/>
          <w:szCs w:val="32"/>
        </w:rPr>
        <w:t>费155.77万</w:t>
      </w:r>
      <w:r>
        <w:rPr>
          <w:rFonts w:ascii="仿宋" w:eastAsia="仿宋" w:hint="eastAsia"/>
          <w:color w:val="000000"/>
          <w:sz w:val="32"/>
          <w:szCs w:val="32"/>
        </w:rPr>
        <w:t>元，主要包括：基本工资、津贴补贴</w:t>
      </w:r>
      <w:r>
        <w:rPr>
          <w:rFonts w:ascii="仿宋" w:eastAsia="仿宋" w:hint="eastAsia"/>
          <w:color w:val="000000"/>
          <w:sz w:val="32"/>
          <w:szCs w:val="32"/>
          <w:lang w:eastAsia="zh-CN"/>
        </w:rPr>
        <w:t>、奖金、</w:t>
      </w:r>
      <w:r>
        <w:rPr>
          <w:rFonts w:ascii="仿宋" w:eastAsia="仿宋" w:hint="eastAsia"/>
          <w:color w:val="000000"/>
          <w:sz w:val="32"/>
          <w:szCs w:val="32"/>
          <w:lang w:val="en-US" w:eastAsia="zh-CN"/>
        </w:rPr>
        <w:t>绩效工资、</w:t>
      </w:r>
      <w:r>
        <w:rPr>
          <w:rFonts w:ascii="仿宋" w:eastAsia="仿宋" w:hint="eastAsia"/>
          <w:color w:val="000000"/>
          <w:sz w:val="32"/>
          <w:szCs w:val="32"/>
          <w:lang w:eastAsia="zh-CN"/>
        </w:rPr>
        <w:t>机关事业单位基本养老保险费、职业年金缴费、职工基本医疗保险缴费、其他社会保障缴费、住房公积金、医疗费补助</w:t>
      </w:r>
      <w:r>
        <w:rPr>
          <w:rFonts w:ascii="仿宋" w:eastAsia="仿宋" w:hint="eastAsia"/>
          <w:color w:val="000000"/>
          <w:sz w:val="32"/>
          <w:szCs w:val="32"/>
        </w:rPr>
        <w:t>。</w:t>
      </w:r>
    </w:p>
    <w:p>
      <w:pPr>
        <w:pageBreakBefore w:val="0"/>
        <w:widowControl w:val="0"/>
        <w:kinsoku/>
        <w:wordWrap/>
        <w:overflowPunct/>
        <w:topLinePunct w:val="0"/>
        <w:bidi w:val="0"/>
        <w:spacing w:line="560" w:lineRule="exact"/>
        <w:ind w:firstLine="645"/>
        <w:textAlignment w:val="auto"/>
        <w:rPr>
          <w:rFonts w:ascii="仿宋" w:eastAsia="仿宋"/>
          <w:b/>
          <w:color w:val="FF0000"/>
          <w:sz w:val="32"/>
          <w:szCs w:val="32"/>
        </w:rPr>
      </w:pPr>
      <w:r>
        <w:rPr>
          <w:rFonts w:ascii="仿宋" w:eastAsia="仿宋" w:hint="eastAsia"/>
          <w:color w:val="000000"/>
          <w:sz w:val="32"/>
          <w:szCs w:val="32"/>
        </w:rPr>
        <w:t>日常公用经费</w:t>
      </w:r>
      <w:r>
        <w:rPr>
          <w:rFonts w:ascii="仿宋" w:eastAsia="仿宋" w:hint="eastAsia"/>
          <w:color w:val="auto"/>
          <w:sz w:val="32"/>
          <w:szCs w:val="32"/>
        </w:rPr>
        <w:t>4.13</w:t>
      </w:r>
      <w:r>
        <w:rPr>
          <w:rFonts w:ascii="仿宋" w:eastAsia="仿宋" w:hint="eastAsia"/>
          <w:color w:val="000000"/>
          <w:sz w:val="32"/>
          <w:szCs w:val="32"/>
        </w:rPr>
        <w:t>万元，主要包括：办公费、</w:t>
      </w:r>
      <w:r>
        <w:rPr>
          <w:rFonts w:ascii="仿宋" w:eastAsia="仿宋" w:hint="eastAsia"/>
          <w:color w:val="000000"/>
          <w:sz w:val="32"/>
          <w:szCs w:val="32"/>
          <w:lang w:eastAsia="zh-CN"/>
        </w:rPr>
        <w:t>印刷</w:t>
      </w:r>
      <w:r>
        <w:rPr>
          <w:rFonts w:ascii="仿宋" w:eastAsia="仿宋" w:hint="eastAsia"/>
          <w:color w:val="000000"/>
          <w:sz w:val="32"/>
          <w:szCs w:val="32"/>
        </w:rPr>
        <w:t>费</w:t>
      </w:r>
      <w:r>
        <w:rPr>
          <w:rFonts w:ascii="仿宋" w:eastAsia="仿宋" w:hint="eastAsia"/>
          <w:color w:val="000000"/>
          <w:sz w:val="32"/>
          <w:szCs w:val="32"/>
          <w:lang w:eastAsia="zh-CN"/>
        </w:rPr>
        <w:t>、电费、</w:t>
      </w:r>
      <w:r>
        <w:rPr>
          <w:rFonts w:ascii="仿宋" w:eastAsia="仿宋" w:hint="eastAsia"/>
          <w:color w:val="000000"/>
          <w:sz w:val="32"/>
          <w:szCs w:val="32"/>
          <w:lang w:val="en-US" w:eastAsia="zh-CN"/>
        </w:rPr>
        <w:t>邮电费、</w:t>
      </w:r>
      <w:r>
        <w:rPr>
          <w:rFonts w:ascii="仿宋" w:eastAsia="仿宋" w:hint="eastAsia"/>
          <w:color w:val="000000"/>
          <w:sz w:val="32"/>
          <w:szCs w:val="32"/>
          <w:lang w:eastAsia="zh-CN"/>
        </w:rPr>
        <w:t>差旅费、</w:t>
      </w:r>
      <w:r>
        <w:rPr>
          <w:rFonts w:ascii="仿宋" w:eastAsia="仿宋" w:hint="eastAsia"/>
          <w:color w:val="000000"/>
          <w:sz w:val="32"/>
          <w:szCs w:val="32"/>
          <w:lang w:val="en-US" w:eastAsia="zh-CN"/>
        </w:rPr>
        <w:t>维修（护）费、</w:t>
      </w:r>
      <w:r>
        <w:rPr>
          <w:rFonts w:ascii="仿宋" w:eastAsia="仿宋" w:hint="eastAsia"/>
          <w:color w:val="000000"/>
          <w:sz w:val="32"/>
          <w:szCs w:val="32"/>
          <w:lang w:eastAsia="zh-CN"/>
        </w:rPr>
        <w:t>劳务费、公务用车运行维护费</w:t>
      </w:r>
      <w:r>
        <w:rPr>
          <w:rFonts w:ascii="仿宋" w:eastAsia="仿宋" w:hint="eastAsia"/>
          <w:color w:val="000000"/>
          <w:sz w:val="32"/>
          <w:szCs w:val="32"/>
        </w:rPr>
        <w:t>。</w:t>
      </w:r>
    </w:p>
    <w:p>
      <w:pPr>
        <w:pageBreakBefore w:val="0"/>
        <w:widowControl w:val="0"/>
        <w:kinsoku/>
        <w:wordWrap/>
        <w:overflowPunct/>
        <w:topLinePunct w:val="0"/>
        <w:bidi w:val="0"/>
        <w:spacing w:line="560" w:lineRule="exact"/>
        <w:ind w:firstLine="640"/>
        <w:textAlignment w:val="auto"/>
        <w:rPr>
          <w:rFonts w:ascii="仿宋" w:eastAsia="仿宋"/>
          <w:b/>
          <w:color w:val="FF0000"/>
          <w:sz w:val="32"/>
          <w:szCs w:val="32"/>
        </w:rPr>
      </w:pPr>
    </w:p>
    <w:p>
      <w:pPr>
        <w:pageBreakBefore w:val="0"/>
        <w:widowControl w:val="0"/>
        <w:kinsoku/>
        <w:wordWrap/>
        <w:overflowPunct/>
        <w:topLinePunct w:val="0"/>
        <w:bidi w:val="0"/>
        <w:spacing w:line="560" w:lineRule="exact"/>
        <w:ind w:firstLine="640"/>
        <w:textAlignment w:val="auto"/>
        <w:outlineLvl w:val="1"/>
        <w:rPr>
          <w:rStyle w:val="2Char"/>
          <w:rFonts w:ascii="黑体" w:eastAsia="黑体"/>
          <w:b w:val="0"/>
        </w:rPr>
      </w:pPr>
      <w:bookmarkStart w:id="59" w:name="_Toc15377215"/>
      <w:bookmarkStart w:id="60" w:name="_Toc79163869"/>
      <w:bookmarkStart w:id="61" w:name="_Toc15396609"/>
      <w:bookmarkStart w:id="62" w:name="_Toc79163619"/>
      <w:r>
        <w:rPr>
          <w:rFonts w:ascii="黑体" w:eastAsia="黑体" w:hint="eastAsia"/>
          <w:color w:val="000000"/>
          <w:sz w:val="32"/>
          <w:szCs w:val="32"/>
        </w:rPr>
        <w:t>七、</w:t>
      </w:r>
      <w:r>
        <w:rPr>
          <w:rStyle w:val="2Char"/>
          <w:rFonts w:ascii="黑体" w:eastAsia="黑体" w:hint="eastAsia"/>
        </w:rPr>
        <w:t>“</w:t>
      </w:r>
      <w:r>
        <w:rPr>
          <w:rStyle w:val="2Char"/>
          <w:rFonts w:ascii="黑体" w:eastAsia="黑体" w:hint="eastAsia"/>
          <w:b w:val="0"/>
        </w:rPr>
        <w:t>三公”经费财政拨款支出决算情况说明</w:t>
      </w:r>
      <w:bookmarkEnd w:id="59"/>
      <w:bookmarkEnd w:id="60"/>
      <w:bookmarkEnd w:id="61"/>
      <w:bookmarkEnd w:id="62"/>
    </w:p>
    <w:p>
      <w:pPr>
        <w:pageBreakBefore w:val="0"/>
        <w:widowControl w:val="0"/>
        <w:kinsoku/>
        <w:wordWrap/>
        <w:overflowPunct/>
        <w:topLinePunct w:val="0"/>
        <w:bidi w:val="0"/>
        <w:spacing w:line="560" w:lineRule="exact"/>
        <w:ind w:firstLine="640"/>
        <w:textAlignment w:val="auto"/>
        <w:outlineLvl w:val="2"/>
        <w:rPr>
          <w:rFonts w:ascii="仿宋" w:eastAsia="仿宋"/>
          <w:b/>
          <w:color w:val="000000"/>
          <w:sz w:val="32"/>
          <w:szCs w:val="32"/>
        </w:rPr>
      </w:pPr>
      <w:bookmarkStart w:id="63" w:name="_Toc79163870"/>
      <w:bookmarkStart w:id="64" w:name="_Toc15377216"/>
      <w:bookmarkStart w:id="65" w:name="_Toc79163620"/>
      <w:r>
        <w:rPr>
          <w:rFonts w:ascii="仿宋" w:eastAsia="仿宋" w:hint="eastAsia"/>
          <w:b/>
          <w:color w:val="000000"/>
          <w:sz w:val="32"/>
          <w:szCs w:val="32"/>
        </w:rPr>
        <w:t>（一）“三公”经费财政拨款支出决算总体情况说明</w:t>
      </w:r>
      <w:bookmarkEnd w:id="63"/>
      <w:bookmarkEnd w:id="64"/>
      <w:bookmarkEnd w:id="65"/>
    </w:p>
    <w:p>
      <w:pPr>
        <w:pageBreakBefore w:val="0"/>
        <w:widowControl w:val="0"/>
        <w:kinsoku/>
        <w:wordWrap/>
        <w:overflowPunct/>
        <w:topLinePunct w:val="0"/>
        <w:bidi w:val="0"/>
        <w:spacing w:line="560" w:lineRule="exact"/>
        <w:ind w:firstLine="640"/>
        <w:textAlignment w:val="auto"/>
        <w:rPr>
          <w:rFonts w:ascii="仿宋" w:eastAsia="仿宋"/>
          <w:color w:val="000000"/>
          <w:sz w:val="32"/>
          <w:szCs w:val="32"/>
        </w:rPr>
      </w:pPr>
      <w:r>
        <w:rPr>
          <w:rFonts w:ascii="仿宋" w:eastAsia="仿宋" w:hint="eastAsia"/>
          <w:color w:val="000000"/>
          <w:sz w:val="32"/>
          <w:szCs w:val="32"/>
          <w:lang w:eastAsia="zh-CN"/>
        </w:rPr>
        <w:t>2023年</w:t>
      </w:r>
      <w:r>
        <w:rPr>
          <w:rFonts w:ascii="仿宋" w:eastAsia="仿宋" w:hint="eastAsia"/>
          <w:color w:val="000000"/>
          <w:sz w:val="32"/>
          <w:szCs w:val="32"/>
        </w:rPr>
        <w:t>“三公”经费财政拨款支出决算为</w:t>
      </w:r>
      <w:r>
        <w:rPr>
          <w:rFonts w:ascii="仿宋" w:eastAsia="仿宋" w:hint="eastAsia"/>
          <w:color w:val="000000"/>
          <w:sz w:val="32"/>
          <w:szCs w:val="32"/>
          <w:lang w:val="en-US" w:eastAsia="zh-CN"/>
        </w:rPr>
        <w:t>1.88</w:t>
      </w:r>
      <w:r>
        <w:rPr>
          <w:rFonts w:ascii="仿宋" w:eastAsia="仿宋" w:hint="eastAsia"/>
          <w:color w:val="000000"/>
          <w:sz w:val="32"/>
          <w:szCs w:val="32"/>
        </w:rPr>
        <w:t>万元，完成预算</w:t>
      </w:r>
      <w:r>
        <w:rPr>
          <w:rFonts w:ascii="仿宋" w:eastAsia="仿宋" w:hint="eastAsia"/>
          <w:color w:val="000000"/>
          <w:sz w:val="32"/>
          <w:szCs w:val="32"/>
          <w:lang w:val="en-US" w:eastAsia="zh-CN"/>
        </w:rPr>
        <w:t>100</w:t>
      </w:r>
      <w:r>
        <w:rPr>
          <w:rFonts w:ascii="仿宋" w:eastAsia="仿宋"/>
          <w:color w:val="000000"/>
          <w:sz w:val="32"/>
          <w:szCs w:val="32"/>
        </w:rPr>
        <w:t>%</w:t>
      </w:r>
      <w:r>
        <w:rPr>
          <w:rFonts w:ascii="仿宋" w:eastAsia="仿宋" w:hint="eastAsia"/>
          <w:color w:val="000000"/>
          <w:sz w:val="32"/>
          <w:szCs w:val="32"/>
        </w:rPr>
        <w:t>。</w:t>
      </w:r>
    </w:p>
    <w:p>
      <w:pPr>
        <w:pageBreakBefore w:val="0"/>
        <w:widowControl w:val="0"/>
        <w:kinsoku/>
        <w:wordWrap/>
        <w:overflowPunct/>
        <w:topLinePunct w:val="0"/>
        <w:bidi w:val="0"/>
        <w:spacing w:line="560" w:lineRule="exact"/>
        <w:ind w:firstLine="640"/>
        <w:textAlignment w:val="auto"/>
        <w:outlineLvl w:val="2"/>
        <w:rPr>
          <w:rFonts w:ascii="仿宋" w:eastAsia="仿宋"/>
          <w:b/>
          <w:color w:val="000000"/>
          <w:sz w:val="32"/>
          <w:szCs w:val="32"/>
        </w:rPr>
      </w:pPr>
      <w:bookmarkStart w:id="66" w:name="_Toc79163871"/>
      <w:bookmarkStart w:id="67" w:name="_Toc15377217"/>
      <w:bookmarkStart w:id="68" w:name="_Toc79163621"/>
      <w:r>
        <w:rPr>
          <w:rFonts w:ascii="仿宋" w:eastAsia="仿宋" w:hint="eastAsia"/>
          <w:b/>
          <w:color w:val="000000"/>
          <w:sz w:val="32"/>
          <w:szCs w:val="32"/>
        </w:rPr>
        <w:t>（二）“三公”经费财政拨款支出决算具体情况说明</w:t>
      </w:r>
      <w:bookmarkEnd w:id="66"/>
      <w:bookmarkEnd w:id="67"/>
      <w:bookmarkEnd w:id="68"/>
    </w:p>
    <w:p>
      <w:pPr>
        <w:pageBreakBefore w:val="0"/>
        <w:widowControl w:val="0"/>
        <w:kinsoku/>
        <w:wordWrap/>
        <w:overflowPunct/>
        <w:topLinePunct w:val="0"/>
        <w:bidi w:val="0"/>
        <w:spacing w:line="560" w:lineRule="exact"/>
        <w:ind w:firstLine="640"/>
        <w:textAlignment w:val="auto"/>
        <w:rPr>
          <w:rFonts w:ascii="仿宋" w:eastAsia="仿宋" w:hint="eastAsia"/>
          <w:color w:val="000000"/>
          <w:sz w:val="32"/>
          <w:szCs w:val="32"/>
        </w:rPr>
      </w:pPr>
      <w:r>
        <w:rPr>
          <w:rFonts w:ascii="仿宋" w:eastAsia="仿宋" w:hint="eastAsia"/>
          <w:color w:val="000000"/>
          <w:sz w:val="32"/>
          <w:szCs w:val="32"/>
          <w:lang w:eastAsia="zh-CN"/>
        </w:rPr>
        <w:t>2023年</w:t>
      </w:r>
      <w:r>
        <w:rPr>
          <w:rFonts w:ascii="仿宋" w:eastAsia="仿宋" w:hint="eastAsia"/>
          <w:color w:val="000000"/>
          <w:sz w:val="32"/>
          <w:szCs w:val="32"/>
        </w:rPr>
        <w:t>“三公”经费财政拨款支出决算中，因公出国（境）费支出决算</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rPr>
        <w:t>；公务用车购置及运行维护费支出决算</w:t>
      </w:r>
      <w:r>
        <w:rPr>
          <w:rFonts w:ascii="仿宋" w:eastAsia="仿宋" w:hint="eastAsia"/>
          <w:color w:val="000000"/>
          <w:sz w:val="32"/>
          <w:szCs w:val="32"/>
          <w:lang w:val="en-US" w:eastAsia="zh-CN"/>
        </w:rPr>
        <w:t>1.88</w:t>
      </w:r>
      <w:r>
        <w:rPr>
          <w:rFonts w:ascii="仿宋" w:eastAsia="仿宋" w:hint="eastAsia"/>
          <w:color w:val="000000"/>
          <w:sz w:val="32"/>
          <w:szCs w:val="32"/>
        </w:rPr>
        <w:t>万元，占</w:t>
      </w:r>
      <w:r>
        <w:rPr>
          <w:rFonts w:ascii="仿宋" w:eastAsia="仿宋" w:hint="eastAsia"/>
          <w:color w:val="000000"/>
          <w:sz w:val="32"/>
          <w:szCs w:val="32"/>
          <w:lang w:val="en-US" w:eastAsia="zh-CN"/>
        </w:rPr>
        <w:t>100</w:t>
      </w:r>
      <w:r>
        <w:rPr>
          <w:rFonts w:ascii="仿宋" w:eastAsia="仿宋"/>
          <w:color w:val="000000"/>
          <w:sz w:val="32"/>
          <w:szCs w:val="32"/>
        </w:rPr>
        <w:t>%</w:t>
      </w:r>
      <w:r>
        <w:rPr>
          <w:rFonts w:ascii="仿宋" w:eastAsia="仿宋" w:hint="eastAsia"/>
          <w:color w:val="000000"/>
          <w:sz w:val="32"/>
          <w:szCs w:val="32"/>
        </w:rPr>
        <w:t>；公务接待费支出决算</w:t>
      </w:r>
      <w:r>
        <w:rPr>
          <w:rFonts w:ascii="仿宋" w:eastAsia="仿宋" w:hint="eastAsia"/>
          <w:color w:val="000000"/>
          <w:sz w:val="32"/>
          <w:szCs w:val="32"/>
          <w:lang w:val="en-US" w:eastAsia="zh-CN"/>
        </w:rPr>
        <w:t>0</w:t>
      </w:r>
      <w:r>
        <w:rPr>
          <w:rFonts w:ascii="仿宋" w:eastAsia="仿宋" w:hint="eastAsia"/>
          <w:color w:val="000000"/>
          <w:sz w:val="32"/>
          <w:szCs w:val="32"/>
        </w:rPr>
        <w:t>万元，占</w:t>
      </w:r>
      <w:r>
        <w:rPr>
          <w:rFonts w:ascii="仿宋" w:eastAsia="仿宋" w:hint="eastAsia"/>
          <w:color w:val="000000"/>
          <w:sz w:val="32"/>
          <w:szCs w:val="32"/>
          <w:lang w:val="en-US" w:eastAsia="zh-CN"/>
        </w:rPr>
        <w:t>0</w:t>
      </w:r>
      <w:r>
        <w:rPr>
          <w:rFonts w:ascii="仿宋" w:eastAsia="仿宋"/>
          <w:color w:val="000000"/>
          <w:sz w:val="32"/>
          <w:szCs w:val="32"/>
        </w:rPr>
        <w:t>%</w:t>
      </w:r>
      <w:r>
        <w:rPr>
          <w:rFonts w:ascii="仿宋" w:eastAsia="仿宋" w:hint="eastAsia"/>
          <w:color w:val="000000"/>
          <w:sz w:val="32"/>
          <w:szCs w:val="32"/>
          <w:lang w:eastAsia="zh-CN"/>
        </w:rPr>
        <w:t>，</w:t>
      </w:r>
      <w:r>
        <w:rPr>
          <w:rFonts w:ascii="仿宋" w:eastAsia="仿宋" w:hint="eastAsia"/>
          <w:color w:val="000000"/>
          <w:sz w:val="32"/>
          <w:szCs w:val="32"/>
          <w:lang w:val="en-US" w:eastAsia="zh-CN"/>
        </w:rPr>
        <w:t>具体情况如下：</w:t>
      </w:r>
    </w:p>
    <w:p>
      <w:pPr>
        <w:pStyle w:val="44"/>
        <w:rPr>
          <w:rFonts w:ascii="仿宋" w:eastAsia="仿宋" w:hint="eastAsia"/>
          <w:color w:val="000000"/>
          <w:sz w:val="32"/>
          <w:szCs w:val="32"/>
        </w:rPr>
      </w:pPr>
      <w:r>
        <w:drawing>
          <wp:inline distT="0" distB="0" distL="114300" distR="114300">
            <wp:extent cx="4623434" cy="2080895"/>
            <wp:effectExtent l="0" t="0" r="0" b="0"/>
            <wp:docPr id="9" name="图表 11"/>
            <wp:cNvGraphicFramePr>
              <a:graphicFrameLocks noChangeAspect="0"/>
            </wp:cNvGraphicFramePr>
            <a:graphic>
              <a:graphicData uri="http://schemas.openxmlformats.org/drawingml/2006/chart">
                <c:chart xmlns:c="http://schemas.openxmlformats.org/drawingml/2006/chart" r:id="rId13"/>
              </a:graphicData>
            </a:graphic>
          </wp:inline>
        </w:drawing>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p>
    <w:p>
      <w:pPr>
        <w:pageBreakBefore w:val="0"/>
        <w:widowControl w:val="0"/>
        <w:kinsoku/>
        <w:wordWrap/>
        <w:overflowPunct/>
        <w:topLinePunct w:val="0"/>
        <w:bidi w:val="0"/>
        <w:spacing w:line="560" w:lineRule="exact"/>
        <w:ind w:firstLine="640"/>
        <w:textAlignment w:val="auto"/>
        <w:rPr>
          <w:rFonts w:ascii="仿宋_GB2312" w:eastAsia="仿宋_GB2312" w:hint="eastAsia"/>
          <w:b/>
          <w:color w:val="auto"/>
          <w:sz w:val="32"/>
          <w:szCs w:val="32"/>
          <w:lang w:val="en-US" w:eastAsia="zh-CN"/>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lang w:val="en-US" w:eastAsia="zh-CN"/>
        </w:rPr>
        <w:t>1.88</w:t>
      </w:r>
      <w:r>
        <w:rPr>
          <w:rFonts w:ascii="仿宋_GB2312" w:eastAsia="仿宋_GB2312" w:hint="eastAsia"/>
          <w:color w:val="auto"/>
          <w:sz w:val="32"/>
          <w:szCs w:val="32"/>
        </w:rPr>
        <w:t>万元</w:t>
      </w:r>
      <w:r>
        <w:rPr>
          <w:rFonts w:ascii="仿宋_GB2312" w:eastAsia="仿宋_GB2312" w:hint="eastAsia"/>
          <w:color w:val="auto"/>
          <w:sz w:val="32"/>
          <w:szCs w:val="32"/>
          <w:lang w:eastAsia="zh-CN"/>
        </w:rPr>
        <w:t>，</w:t>
      </w:r>
      <w:r>
        <w:rPr>
          <w:rStyle w:val="33"/>
          <w:rFonts w:ascii="仿宋" w:eastAsia="仿宋" w:hint="eastAsia"/>
          <w:b w:val="0"/>
          <w:bCs/>
          <w:color w:val="auto"/>
          <w:sz w:val="32"/>
          <w:szCs w:val="32"/>
        </w:rPr>
        <w:t>完成预算</w:t>
      </w:r>
      <w:r>
        <w:rPr>
          <w:rStyle w:val="33"/>
          <w:rFonts w:ascii="仿宋" w:eastAsia="仿宋" w:hint="eastAsia"/>
          <w:b w:val="0"/>
          <w:bCs/>
          <w:color w:val="auto"/>
          <w:sz w:val="32"/>
          <w:szCs w:val="32"/>
          <w:lang w:val="en-US" w:eastAsia="zh-CN"/>
        </w:rPr>
        <w:t>100</w:t>
      </w:r>
      <w:r>
        <w:rPr>
          <w:rStyle w:val="33"/>
          <w:rFonts w:ascii="仿宋" w:eastAsia="仿宋"/>
          <w:b w:val="0"/>
          <w:bCs/>
          <w:color w:val="auto"/>
          <w:sz w:val="32"/>
          <w:szCs w:val="32"/>
        </w:rPr>
        <w:t>%</w:t>
      </w:r>
      <w:r>
        <w:rPr>
          <w:rStyle w:val="33"/>
          <w:rFonts w:ascii="仿宋" w:eastAsia="仿宋" w:hint="eastAsia"/>
          <w:b w:val="0"/>
          <w:bCs/>
          <w:color w:val="auto"/>
          <w:sz w:val="32"/>
          <w:szCs w:val="32"/>
        </w:rPr>
        <w:t>。</w:t>
      </w:r>
      <w:r>
        <w:rPr>
          <w:rFonts w:ascii="仿宋_GB2312" w:eastAsia="仿宋_GB2312" w:hint="eastAsia"/>
          <w:color w:val="auto"/>
          <w:sz w:val="32"/>
          <w:szCs w:val="32"/>
        </w:rPr>
        <w:t>公务用车购置及运行维护费支出决算比</w:t>
      </w:r>
      <w:r>
        <w:rPr>
          <w:rFonts w:ascii="仿宋_GB2312" w:eastAsia="仿宋_GB2312" w:hint="eastAsia"/>
          <w:color w:val="auto"/>
          <w:sz w:val="32"/>
          <w:szCs w:val="32"/>
          <w:lang w:eastAsia="zh-CN"/>
        </w:rPr>
        <w:t>2022年</w:t>
      </w:r>
      <w:r>
        <w:rPr>
          <w:rFonts w:ascii="仿宋_GB2312" w:eastAsia="仿宋_GB2312" w:hint="eastAsia"/>
          <w:color w:val="auto"/>
          <w:sz w:val="32"/>
          <w:szCs w:val="32"/>
          <w:lang w:val="en-US" w:eastAsia="zh-CN"/>
        </w:rPr>
        <w:t>减少1.88</w:t>
      </w:r>
      <w:r>
        <w:rPr>
          <w:rFonts w:ascii="仿宋_GB2312" w:eastAsia="仿宋_GB2312" w:hint="eastAsia"/>
          <w:color w:val="auto"/>
          <w:sz w:val="32"/>
          <w:szCs w:val="32"/>
        </w:rPr>
        <w:t>万元，</w:t>
      </w:r>
      <w:r>
        <w:rPr>
          <w:rFonts w:ascii="仿宋_GB2312" w:eastAsia="仿宋_GB2312" w:hint="eastAsia"/>
          <w:color w:val="auto"/>
          <w:sz w:val="32"/>
          <w:szCs w:val="32"/>
          <w:lang w:val="en-US" w:eastAsia="zh-CN"/>
        </w:rPr>
        <w:t>下降</w:t>
      </w:r>
      <w:r>
        <w:rPr>
          <w:rFonts w:ascii="仿宋_GB2312" w:eastAsia="仿宋_GB2312" w:hint="eastAsia"/>
          <w:color w:val="auto"/>
          <w:sz w:val="32"/>
          <w:szCs w:val="32"/>
        </w:rPr>
        <w:t>50.04</w:t>
      </w:r>
      <w:r>
        <w:rPr>
          <w:rFonts w:ascii="仿宋_GB2312" w:eastAsia="仿宋_GB2312"/>
          <w:color w:val="auto"/>
          <w:sz w:val="32"/>
          <w:szCs w:val="32"/>
        </w:rPr>
        <w:t>%</w:t>
      </w:r>
      <w:r>
        <w:rPr>
          <w:rFonts w:ascii="仿宋_GB2312" w:eastAsia="仿宋_GB2312" w:hint="eastAsia"/>
          <w:color w:val="auto"/>
          <w:sz w:val="32"/>
          <w:szCs w:val="32"/>
          <w:lang w:eastAsia="zh-CN"/>
        </w:rPr>
        <w:t>，</w:t>
      </w:r>
      <w:r>
        <w:rPr>
          <w:rFonts w:ascii="仿宋_GB2312" w:eastAsia="仿宋_GB2312" w:hint="eastAsia"/>
          <w:color w:val="auto"/>
          <w:sz w:val="32"/>
          <w:szCs w:val="32"/>
          <w:lang w:val="en-US" w:eastAsia="zh-CN"/>
        </w:rPr>
        <w:t>主要原因本年度业务活动减少，相应费用减少。</w:t>
      </w:r>
    </w:p>
    <w:p>
      <w:pPr>
        <w:pageBreakBefore w:val="0"/>
        <w:widowControl w:val="0"/>
        <w:kinsoku/>
        <w:wordWrap/>
        <w:overflowPunct/>
        <w:topLinePunct w:val="0"/>
        <w:bidi w:val="0"/>
        <w:spacing w:line="560" w:lineRule="exact"/>
        <w:ind w:firstLineChars="200" w:firstLine="640"/>
        <w:textAlignment w:val="auto"/>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b w:val="0"/>
          <w:bCs/>
          <w:color w:val="000000"/>
          <w:sz w:val="32"/>
          <w:szCs w:val="32"/>
          <w:lang w:val="en-US" w:eastAsia="zh-CN"/>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辆，其中：轿车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万元，越野车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万元，载客汽车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r>
        <w:rPr>
          <w:rFonts w:ascii="仿宋_GB2312" w:eastAsia="仿宋_GB2312" w:hint="eastAsia"/>
          <w:color w:val="000000"/>
          <w:sz w:val="32"/>
          <w:szCs w:val="32"/>
          <w:lang w:eastAsia="zh-CN"/>
        </w:rPr>
        <w:t>。2023年</w:t>
      </w:r>
      <w:r>
        <w:rPr>
          <w:rFonts w:ascii="仿宋_GB2312" w:eastAsia="仿宋_GB2312"/>
          <w:color w:val="000000"/>
          <w:sz w:val="32"/>
          <w:szCs w:val="32"/>
        </w:rPr>
        <w:t>12</w:t>
      </w:r>
      <w:r>
        <w:rPr>
          <w:rFonts w:ascii="仿宋_GB2312" w:eastAsia="仿宋_GB2312" w:hint="eastAsia"/>
          <w:color w:val="000000"/>
          <w:sz w:val="32"/>
          <w:szCs w:val="32"/>
        </w:rPr>
        <w:t>月底，单位共有公</w:t>
      </w:r>
      <w:r>
        <w:rPr>
          <w:rFonts w:ascii="仿宋_GB2312" w:eastAsia="仿宋_GB2312" w:hint="eastAsia"/>
          <w:color w:val="auto"/>
          <w:sz w:val="32"/>
          <w:szCs w:val="32"/>
        </w:rPr>
        <w:t>务用车</w:t>
      </w:r>
      <w:r>
        <w:rPr>
          <w:rFonts w:ascii="仿宋_GB2312" w:eastAsia="仿宋_GB2312" w:hint="eastAsia"/>
          <w:color w:val="auto"/>
          <w:sz w:val="32"/>
          <w:szCs w:val="32"/>
          <w:lang w:val="en-US" w:eastAsia="zh-CN"/>
        </w:rPr>
        <w:t>1</w:t>
      </w:r>
      <w:r>
        <w:rPr>
          <w:rFonts w:ascii="仿宋_GB2312" w:eastAsia="仿宋_GB2312" w:hint="eastAsia"/>
          <w:color w:val="auto"/>
          <w:sz w:val="32"/>
          <w:szCs w:val="32"/>
        </w:rPr>
        <w:t>辆，其中：轿车</w:t>
      </w:r>
      <w:r>
        <w:rPr>
          <w:rFonts w:ascii="仿宋_GB2312" w:eastAsia="仿宋_GB2312" w:hint="eastAsia"/>
          <w:color w:val="auto"/>
          <w:sz w:val="32"/>
          <w:szCs w:val="32"/>
          <w:lang w:val="en-US" w:eastAsia="zh-CN"/>
        </w:rPr>
        <w:t>0</w:t>
      </w:r>
      <w:r>
        <w:rPr>
          <w:rFonts w:ascii="仿宋_GB2312" w:eastAsia="仿宋_GB2312" w:hint="eastAsia"/>
          <w:color w:val="auto"/>
          <w:sz w:val="32"/>
          <w:szCs w:val="32"/>
        </w:rPr>
        <w:t>辆、越野车</w:t>
      </w:r>
      <w:r>
        <w:rPr>
          <w:rFonts w:ascii="仿宋_GB2312" w:eastAsia="仿宋_GB2312" w:hint="eastAsia"/>
          <w:color w:val="auto"/>
          <w:sz w:val="32"/>
          <w:szCs w:val="32"/>
          <w:lang w:val="en-US" w:eastAsia="zh-CN"/>
        </w:rPr>
        <w:t>0</w:t>
      </w:r>
      <w:r>
        <w:rPr>
          <w:rFonts w:ascii="仿宋_GB2312" w:eastAsia="仿宋_GB2312" w:hint="eastAsia"/>
          <w:color w:val="auto"/>
          <w:sz w:val="32"/>
          <w:szCs w:val="32"/>
        </w:rPr>
        <w:t>辆、载客汽车</w:t>
      </w:r>
      <w:r>
        <w:rPr>
          <w:rFonts w:ascii="仿宋_GB2312" w:eastAsia="仿宋_GB2312" w:hint="eastAsia"/>
          <w:color w:val="auto"/>
          <w:sz w:val="32"/>
          <w:szCs w:val="32"/>
          <w:lang w:val="en-US" w:eastAsia="zh-CN"/>
        </w:rPr>
        <w:t>0</w:t>
      </w:r>
      <w:r>
        <w:rPr>
          <w:rFonts w:ascii="仿宋_GB2312" w:eastAsia="仿宋_GB2312" w:hint="eastAsia"/>
          <w:color w:val="auto"/>
          <w:sz w:val="32"/>
          <w:szCs w:val="32"/>
        </w:rPr>
        <w:t>辆</w:t>
      </w:r>
      <w:r>
        <w:rPr>
          <w:rFonts w:ascii="仿宋_GB2312" w:eastAsia="仿宋_GB2312" w:hint="eastAsia"/>
          <w:color w:val="auto"/>
          <w:sz w:val="32"/>
          <w:szCs w:val="32"/>
          <w:lang w:eastAsia="zh-CN"/>
        </w:rPr>
        <w:t>，</w:t>
      </w:r>
      <w:r>
        <w:rPr>
          <w:rFonts w:ascii="仿宋_GB2312" w:eastAsia="仿宋_GB2312" w:hint="eastAsia"/>
          <w:color w:val="auto"/>
          <w:sz w:val="32"/>
          <w:szCs w:val="32"/>
          <w:lang w:val="en-US" w:eastAsia="zh-CN"/>
        </w:rPr>
        <w:t>其他用车1辆</w:t>
      </w:r>
      <w:r>
        <w:rPr>
          <w:rFonts w:ascii="仿宋_GB2312" w:eastAsia="仿宋_GB2312" w:hint="eastAsia"/>
          <w:color w:val="auto"/>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hint="eastAsia"/>
          <w:color w:val="000000"/>
          <w:sz w:val="32"/>
          <w:szCs w:val="32"/>
          <w:lang w:eastAsia="zh-CN"/>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lang w:val="en-US" w:eastAsia="zh-CN"/>
        </w:rPr>
        <w:t>1.88</w:t>
      </w:r>
      <w:r>
        <w:rPr>
          <w:rFonts w:ascii="仿宋_GB2312" w:eastAsia="仿宋_GB2312" w:hint="eastAsia"/>
          <w:color w:val="000000"/>
          <w:sz w:val="32"/>
          <w:szCs w:val="32"/>
        </w:rPr>
        <w:t>万元。主要用于</w:t>
      </w:r>
      <w:r>
        <w:rPr>
          <w:rFonts w:ascii="仿宋_GB2312" w:eastAsia="仿宋_GB2312" w:hint="eastAsia"/>
          <w:color w:val="000000"/>
          <w:sz w:val="32"/>
          <w:szCs w:val="32"/>
          <w:lang w:val="en-US" w:eastAsia="zh-CN"/>
        </w:rPr>
        <w:t>车辆日常</w:t>
      </w:r>
      <w:r>
        <w:rPr>
          <w:rFonts w:ascii="仿宋_GB2312" w:eastAsia="仿宋_GB2312" w:hint="eastAsia"/>
          <w:color w:val="000000"/>
          <w:sz w:val="32"/>
          <w:szCs w:val="32"/>
        </w:rPr>
        <w:t>所需的维修费、保险费</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过路费</w:t>
      </w:r>
      <w:r>
        <w:rPr>
          <w:rFonts w:ascii="仿宋_GB2312" w:eastAsia="仿宋_GB2312" w:hint="eastAsia"/>
          <w:color w:val="000000"/>
          <w:sz w:val="32"/>
          <w:szCs w:val="32"/>
        </w:rPr>
        <w:t>等支出</w:t>
      </w:r>
      <w:r>
        <w:rPr>
          <w:rFonts w:ascii="仿宋_GB2312" w:eastAsia="仿宋_GB2312" w:hint="eastAsia"/>
          <w:color w:val="000000"/>
          <w:sz w:val="32"/>
          <w:szCs w:val="32"/>
          <w:lang w:eastAsia="zh-CN"/>
        </w:rPr>
        <w:t>。</w:t>
      </w:r>
    </w:p>
    <w:p>
      <w:pPr>
        <w:pageBreakBefore w:val="0"/>
        <w:widowControl w:val="0"/>
        <w:kinsoku/>
        <w:wordWrap/>
        <w:overflowPunct/>
        <w:topLinePunct w:val="0"/>
        <w:bidi w:val="0"/>
        <w:spacing w:line="560" w:lineRule="exact"/>
        <w:ind w:firstLineChars="200"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p>
    <w:p>
      <w:pPr>
        <w:pageBreakBefore w:val="0"/>
        <w:widowControl w:val="0"/>
        <w:kinsoku/>
        <w:wordWrap/>
        <w:overflowPunct/>
        <w:topLinePunct w:val="0"/>
        <w:bidi w:val="0"/>
        <w:spacing w:line="560" w:lineRule="exact"/>
        <w:ind w:firstLine="640"/>
        <w:textAlignment w:val="auto"/>
        <w:outlineLvl w:val="1"/>
        <w:rPr>
          <w:rStyle w:val="2Char"/>
          <w:rFonts w:ascii="黑体" w:eastAsia="黑体"/>
        </w:rPr>
      </w:pPr>
      <w:bookmarkStart w:id="69" w:name="_Toc15396610"/>
      <w:bookmarkStart w:id="70" w:name="_Toc79163622"/>
      <w:bookmarkStart w:id="71" w:name="_Toc15377218"/>
      <w:bookmarkStart w:id="72" w:name="_Toc79163872"/>
      <w:r>
        <w:rPr>
          <w:rFonts w:ascii="黑体" w:eastAsia="黑体" w:hint="eastAsia"/>
          <w:color w:val="000000"/>
          <w:sz w:val="32"/>
          <w:szCs w:val="32"/>
        </w:rPr>
        <w:t>八、</w:t>
      </w:r>
      <w:r>
        <w:rPr>
          <w:rStyle w:val="2Char"/>
          <w:rFonts w:ascii="黑体" w:eastAsia="黑体" w:hint="eastAsia"/>
          <w:b w:val="0"/>
        </w:rPr>
        <w:t>政府性基金预算支出决算情况说明</w:t>
      </w:r>
      <w:bookmarkEnd w:id="69"/>
      <w:bookmarkEnd w:id="70"/>
      <w:bookmarkEnd w:id="71"/>
      <w:bookmarkEnd w:id="72"/>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hint="eastAsia"/>
          <w:color w:val="000000"/>
          <w:sz w:val="32"/>
          <w:szCs w:val="32"/>
          <w:lang w:eastAsia="zh-CN"/>
        </w:rPr>
        <w:t>2023年</w:t>
      </w:r>
      <w:r>
        <w:rPr>
          <w:rFonts w:ascii="仿宋_GB2312" w:eastAsia="仿宋_GB2312" w:hint="eastAsia"/>
          <w:color w:val="000000"/>
          <w:sz w:val="32"/>
          <w:szCs w:val="32"/>
        </w:rPr>
        <w:t>政府性基金预算拨款支出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p>
    <w:p>
      <w:pPr>
        <w:pageBreakBefore w:val="0"/>
        <w:widowControl w:val="0"/>
        <w:numPr>
          <w:ilvl w:val="0"/>
          <w:numId w:val="3"/>
        </w:numPr>
        <w:kinsoku/>
        <w:wordWrap/>
        <w:overflowPunct/>
        <w:topLinePunct w:val="0"/>
        <w:bidi w:val="0"/>
        <w:spacing w:line="560" w:lineRule="exact"/>
        <w:ind w:left="0" w:firstLine="640"/>
        <w:textAlignment w:val="auto"/>
        <w:outlineLvl w:val="1"/>
        <w:rPr>
          <w:rStyle w:val="2Char"/>
          <w:rFonts w:ascii="黑体" w:eastAsia="黑体"/>
          <w:b w:val="0"/>
        </w:rPr>
      </w:pPr>
      <w:bookmarkStart w:id="73" w:name="_Toc79163873"/>
      <w:bookmarkStart w:id="74" w:name="_Toc15396611"/>
      <w:bookmarkStart w:id="75" w:name="_Toc79163623"/>
      <w:bookmarkStart w:id="76" w:name="_Toc15377219"/>
      <w:r>
        <w:rPr>
          <w:rStyle w:val="2Char"/>
          <w:rFonts w:ascii="黑体" w:eastAsia="黑体" w:hint="eastAsia"/>
          <w:b w:val="0"/>
        </w:rPr>
        <w:t>国有资本经营预算支出决算情况说明</w:t>
      </w:r>
      <w:bookmarkEnd w:id="73"/>
      <w:bookmarkEnd w:id="74"/>
      <w:bookmarkEnd w:id="75"/>
      <w:bookmarkEnd w:id="76"/>
    </w:p>
    <w:p>
      <w:pPr>
        <w:pageBreakBefore w:val="0"/>
        <w:widowControl w:val="0"/>
        <w:kinsoku/>
        <w:wordWrap/>
        <w:overflowPunct/>
        <w:topLinePunct w:val="0"/>
        <w:bidi w:val="0"/>
        <w:spacing w:line="560" w:lineRule="exact"/>
        <w:ind w:firstLine="640"/>
        <w:textAlignment w:val="auto"/>
        <w:rPr>
          <w:rFonts w:ascii="方正小标宋简体" w:eastAsia="方正小标宋简体" w:cs="方正小标宋简体"/>
          <w:sz w:val="44"/>
          <w:szCs w:val="44"/>
        </w:rPr>
      </w:pPr>
      <w:r>
        <w:rPr>
          <w:rFonts w:ascii="仿宋_GB2312" w:eastAsia="仿宋_GB2312" w:hint="eastAsia"/>
          <w:color w:val="000000"/>
          <w:sz w:val="32"/>
          <w:szCs w:val="32"/>
          <w:lang w:eastAsia="zh-CN"/>
        </w:rPr>
        <w:t>2023年</w:t>
      </w:r>
      <w:r>
        <w:rPr>
          <w:rFonts w:ascii="仿宋_GB2312" w:eastAsia="仿宋_GB2312" w:hint="eastAsia"/>
          <w:color w:val="000000"/>
          <w:sz w:val="32"/>
          <w:szCs w:val="32"/>
        </w:rPr>
        <w:t>国有资本经营预算拨款支出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p>
    <w:p>
      <w:pPr>
        <w:pageBreakBefore w:val="0"/>
        <w:widowControl w:val="0"/>
        <w:kinsoku/>
        <w:wordWrap/>
        <w:overflowPunct/>
        <w:topLinePunct w:val="0"/>
        <w:bidi w:val="0"/>
        <w:spacing w:line="560" w:lineRule="exact"/>
        <w:ind w:firstLineChars="250" w:firstLine="800"/>
        <w:textAlignment w:val="auto"/>
        <w:outlineLvl w:val="1"/>
        <w:rPr>
          <w:rStyle w:val="2Char"/>
          <w:rFonts w:ascii="黑体" w:eastAsia="黑体"/>
        </w:rPr>
      </w:pPr>
      <w:bookmarkStart w:id="77" w:name="_Toc15377221"/>
      <w:bookmarkStart w:id="78" w:name="_Toc79163874"/>
      <w:bookmarkStart w:id="79" w:name="_Toc15396612"/>
      <w:bookmarkStart w:id="80" w:name="_Toc79163624"/>
      <w:r>
        <w:rPr>
          <w:rFonts w:ascii="黑体" w:eastAsia="黑体" w:hint="eastAsia"/>
          <w:color w:val="000000"/>
          <w:sz w:val="32"/>
          <w:szCs w:val="32"/>
        </w:rPr>
        <w:t>十</w:t>
      </w:r>
      <w:r>
        <w:rPr>
          <w:rStyle w:val="2Char"/>
          <w:rFonts w:ascii="黑体" w:eastAsia="黑体" w:hint="eastAsia"/>
        </w:rPr>
        <w:t>、</w:t>
      </w:r>
      <w:r>
        <w:rPr>
          <w:rStyle w:val="2Char"/>
          <w:rFonts w:ascii="黑体" w:eastAsia="黑体" w:hint="eastAsia"/>
          <w:b w:val="0"/>
        </w:rPr>
        <w:t>其他重要事项的情况说明</w:t>
      </w:r>
      <w:bookmarkEnd w:id="77"/>
      <w:bookmarkEnd w:id="78"/>
      <w:bookmarkEnd w:id="79"/>
      <w:bookmarkEnd w:id="80"/>
    </w:p>
    <w:p>
      <w:pPr>
        <w:pageBreakBefore w:val="0"/>
        <w:widowControl w:val="0"/>
        <w:kinsoku/>
        <w:wordWrap/>
        <w:overflowPunct/>
        <w:topLinePunct w:val="0"/>
        <w:bidi w:val="0"/>
        <w:spacing w:line="560" w:lineRule="exact"/>
        <w:ind w:firstLineChars="200" w:firstLine="640"/>
        <w:textAlignment w:val="auto"/>
        <w:outlineLvl w:val="2"/>
        <w:rPr>
          <w:rFonts w:ascii="仿宋" w:eastAsia="仿宋"/>
          <w:color w:val="000000"/>
          <w:sz w:val="32"/>
          <w:szCs w:val="32"/>
        </w:rPr>
      </w:pPr>
      <w:bookmarkStart w:id="81" w:name="_Toc79163875"/>
      <w:bookmarkStart w:id="82" w:name="_Toc79163625"/>
      <w:bookmarkStart w:id="83" w:name="_Toc15377222"/>
      <w:r>
        <w:rPr>
          <w:rFonts w:ascii="仿宋" w:eastAsia="仿宋" w:hint="eastAsia"/>
          <w:b/>
          <w:color w:val="000000"/>
          <w:sz w:val="32"/>
          <w:szCs w:val="32"/>
        </w:rPr>
        <w:t>（一）机关运行经费支出情况</w:t>
      </w:r>
      <w:bookmarkEnd w:id="81"/>
      <w:bookmarkEnd w:id="82"/>
      <w:bookmarkEnd w:id="83"/>
    </w:p>
    <w:p>
      <w:pPr>
        <w:pageBreakBefore w:val="0"/>
        <w:widowControl w:val="0"/>
        <w:kinsoku/>
        <w:wordWrap/>
        <w:overflowPunct/>
        <w:topLinePunct w:val="0"/>
        <w:bidi w:val="0"/>
        <w:spacing w:line="560" w:lineRule="exact"/>
        <w:ind w:firstLineChars="200" w:firstLine="640"/>
        <w:textAlignment w:val="auto"/>
        <w:rPr>
          <w:rFonts w:ascii="仿宋_GB2312" w:eastAsia="仿宋_GB2312" w:hint="eastAsia"/>
          <w:color w:val="000000"/>
          <w:sz w:val="32"/>
          <w:szCs w:val="32"/>
          <w:lang w:val="en-US" w:eastAsia="zh-CN"/>
        </w:rPr>
      </w:pPr>
      <w:r>
        <w:rPr>
          <w:rFonts w:ascii="仿宋_GB2312" w:eastAsia="仿宋_GB2312" w:hint="eastAsia"/>
          <w:color w:val="000000"/>
          <w:sz w:val="32"/>
          <w:szCs w:val="32"/>
          <w:lang w:eastAsia="zh-CN"/>
        </w:rPr>
        <w:t>2023年</w:t>
      </w:r>
      <w:r>
        <w:rPr>
          <w:rFonts w:ascii="仿宋_GB2312" w:eastAsia="仿宋_GB2312" w:hint="eastAsia"/>
          <w:color w:val="000000"/>
          <w:sz w:val="32"/>
          <w:szCs w:val="32"/>
        </w:rPr>
        <w:t>，</w:t>
      </w:r>
      <w:r>
        <w:rPr>
          <w:rFonts w:ascii="仿宋_GB2312" w:eastAsia="仿宋_GB2312" w:hint="eastAsia"/>
          <w:color w:val="000000"/>
          <w:sz w:val="32"/>
          <w:szCs w:val="32"/>
          <w:lang w:eastAsia="zh-CN"/>
        </w:rPr>
        <w:t>壤塘县科学技术协会</w:t>
      </w:r>
      <w:r>
        <w:rPr>
          <w:rFonts w:ascii="仿宋_GB2312" w:eastAsia="仿宋_GB2312" w:hint="eastAsia"/>
          <w:color w:val="000000"/>
          <w:sz w:val="32"/>
          <w:szCs w:val="32"/>
        </w:rPr>
        <w:t>机关运行经费支出</w:t>
      </w:r>
      <w:r>
        <w:rPr>
          <w:rFonts w:ascii="仿宋_GB2312" w:eastAsia="仿宋_GB2312" w:hint="eastAsia"/>
          <w:color w:val="000000"/>
          <w:sz w:val="32"/>
          <w:szCs w:val="32"/>
          <w:lang w:val="en-US" w:eastAsia="zh-CN"/>
        </w:rPr>
        <w:t>4.13</w:t>
      </w:r>
      <w:r>
        <w:rPr>
          <w:rFonts w:ascii="仿宋_GB2312" w:eastAsia="仿宋_GB2312" w:hint="eastAsia"/>
          <w:color w:val="000000"/>
          <w:sz w:val="32"/>
          <w:szCs w:val="32"/>
        </w:rPr>
        <w:t>万元，比</w:t>
      </w:r>
      <w:r>
        <w:rPr>
          <w:rFonts w:ascii="仿宋_GB2312" w:eastAsia="仿宋_GB2312" w:hint="eastAsia"/>
          <w:color w:val="000000"/>
          <w:sz w:val="32"/>
          <w:szCs w:val="32"/>
          <w:lang w:eastAsia="zh-CN"/>
        </w:rPr>
        <w:t>2022年</w:t>
      </w:r>
      <w:r>
        <w:rPr>
          <w:rFonts w:ascii="仿宋_GB2312" w:eastAsia="仿宋_GB2312" w:hint="eastAsia"/>
          <w:color w:val="000000"/>
          <w:sz w:val="32"/>
          <w:szCs w:val="32"/>
          <w:lang w:val="en-US" w:eastAsia="zh-CN"/>
        </w:rPr>
        <w:t>减少</w:t>
      </w:r>
      <w:r>
        <w:rPr>
          <w:rFonts w:ascii="仿宋_GB2312" w:eastAsia="仿宋_GB2312" w:hint="eastAsia"/>
          <w:color w:val="000000"/>
          <w:sz w:val="32"/>
          <w:szCs w:val="32"/>
        </w:rPr>
        <w:t>92.78万元，</w:t>
      </w:r>
      <w:r>
        <w:rPr>
          <w:rFonts w:ascii="仿宋_GB2312" w:eastAsia="仿宋_GB2312" w:hint="eastAsia"/>
          <w:color w:val="000000"/>
          <w:sz w:val="32"/>
          <w:szCs w:val="32"/>
          <w:lang w:val="en-US" w:eastAsia="zh-CN"/>
        </w:rPr>
        <w:t>下降</w:t>
      </w:r>
      <w:r>
        <w:rPr>
          <w:rFonts w:ascii="仿宋_GB2312" w:eastAsia="仿宋_GB2312" w:hint="eastAsia"/>
          <w:color w:val="000000"/>
          <w:sz w:val="32"/>
          <w:szCs w:val="32"/>
        </w:rPr>
        <w:t>95.74</w:t>
      </w:r>
      <w:r>
        <w:rPr>
          <w:rFonts w:ascii="仿宋_GB2312" w:eastAsia="仿宋_GB2312" w:hint="eastAsia"/>
          <w:color w:val="000000"/>
          <w:sz w:val="32"/>
          <w:szCs w:val="32"/>
          <w:lang w:val="en-US" w:eastAsia="zh-CN"/>
        </w:rPr>
        <w:t>%</w:t>
      </w:r>
      <w:r>
        <w:rPr>
          <w:rFonts w:ascii="仿宋_GB2312" w:eastAsia="仿宋_GB2312" w:hint="eastAsia"/>
          <w:color w:val="000000"/>
          <w:sz w:val="32"/>
          <w:szCs w:val="32"/>
        </w:rPr>
        <w:t>。主要原因</w:t>
      </w:r>
      <w:r>
        <w:rPr>
          <w:rFonts w:ascii="仿宋_GB2312" w:eastAsia="仿宋_GB2312" w:hint="eastAsia"/>
          <w:color w:val="000000"/>
          <w:sz w:val="32"/>
          <w:szCs w:val="32"/>
          <w:lang w:val="en-US" w:eastAsia="zh-CN"/>
        </w:rPr>
        <w:t>上年度新购入公务用车一辆，本年度业务活动减少，相应费用减少</w:t>
      </w:r>
      <w:r>
        <w:rPr>
          <w:rFonts w:ascii="仿宋_GB2312" w:eastAsia="仿宋_GB2312" w:hint="eastAsia"/>
          <w:color w:val="000000"/>
          <w:sz w:val="32"/>
          <w:szCs w:val="32"/>
          <w:lang w:eastAsia="zh-CN"/>
        </w:rPr>
        <w:t>。</w:t>
      </w:r>
    </w:p>
    <w:p>
      <w:pPr>
        <w:pageBreakBefore w:val="0"/>
        <w:widowControl w:val="0"/>
        <w:kinsoku/>
        <w:wordWrap/>
        <w:overflowPunct/>
        <w:topLinePunct w:val="0"/>
        <w:autoSpaceDE w:val="0"/>
        <w:autoSpaceDN w:val="0"/>
        <w:bidi w:val="0"/>
        <w:adjustRightInd w:val="0"/>
        <w:spacing w:line="560" w:lineRule="exact"/>
        <w:ind w:firstLineChars="200" w:firstLine="640"/>
        <w:jc w:val="left"/>
        <w:textAlignment w:val="auto"/>
        <w:outlineLvl w:val="2"/>
        <w:rPr>
          <w:rFonts w:ascii="仿宋" w:eastAsia="仿宋"/>
          <w:b/>
          <w:color w:val="000000"/>
          <w:sz w:val="32"/>
          <w:szCs w:val="32"/>
        </w:rPr>
      </w:pPr>
      <w:bookmarkStart w:id="84" w:name="_Toc79163626"/>
      <w:bookmarkStart w:id="85" w:name="_Toc15377223"/>
      <w:bookmarkStart w:id="86" w:name="_Toc79163876"/>
      <w:r>
        <w:rPr>
          <w:rFonts w:ascii="仿宋" w:eastAsia="仿宋" w:hint="eastAsia"/>
          <w:b/>
          <w:color w:val="000000"/>
          <w:sz w:val="32"/>
          <w:szCs w:val="32"/>
        </w:rPr>
        <w:t>（二）政府采购支出情况</w:t>
      </w:r>
      <w:bookmarkEnd w:id="84"/>
      <w:bookmarkEnd w:id="85"/>
      <w:bookmarkEnd w:id="86"/>
    </w:p>
    <w:p>
      <w:pPr>
        <w:pageBreakBefore w:val="0"/>
        <w:widowControl w:val="0"/>
        <w:kinsoku/>
        <w:wordWrap/>
        <w:overflowPunct/>
        <w:topLinePunct w:val="0"/>
        <w:bidi w:val="0"/>
        <w:spacing w:line="560" w:lineRule="exact"/>
        <w:ind w:firstLineChars="200" w:firstLine="640"/>
        <w:textAlignment w:val="auto"/>
        <w:rPr>
          <w:rFonts w:ascii="仿宋_GB2312" w:eastAsia="仿宋_GB2312"/>
          <w:color w:val="000000"/>
          <w:sz w:val="32"/>
          <w:szCs w:val="32"/>
        </w:rPr>
      </w:pPr>
      <w:r>
        <w:rPr>
          <w:rFonts w:ascii="仿宋_GB2312" w:eastAsia="仿宋_GB2312" w:hint="eastAsia"/>
          <w:color w:val="000000"/>
          <w:sz w:val="32"/>
          <w:szCs w:val="32"/>
          <w:lang w:eastAsia="zh-CN"/>
        </w:rPr>
        <w:t>2023年</w:t>
      </w:r>
      <w:r>
        <w:rPr>
          <w:rFonts w:ascii="仿宋_GB2312" w:eastAsia="仿宋_GB2312" w:hint="eastAsia"/>
          <w:color w:val="000000"/>
          <w:sz w:val="32"/>
          <w:szCs w:val="32"/>
        </w:rPr>
        <w:t>，</w:t>
      </w:r>
      <w:r>
        <w:rPr>
          <w:rFonts w:ascii="仿宋_GB2312" w:eastAsia="仿宋_GB2312" w:hint="eastAsia"/>
          <w:color w:val="000000"/>
          <w:sz w:val="32"/>
          <w:szCs w:val="32"/>
          <w:lang w:eastAsia="zh-CN"/>
        </w:rPr>
        <w:t>壤塘县科学技术协会</w:t>
      </w:r>
      <w:r>
        <w:rPr>
          <w:rFonts w:ascii="仿宋_GB2312" w:eastAsia="仿宋_GB2312" w:hint="eastAsia"/>
          <w:color w:val="000000"/>
          <w:sz w:val="32"/>
          <w:szCs w:val="32"/>
        </w:rPr>
        <w:t>政府采购支出总额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元，其中：政府采购货物支出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r>
        <w:rPr>
          <w:rFonts w:ascii="仿宋_GB2312" w:eastAsia="仿宋_GB2312" w:hint="eastAsia"/>
          <w:color w:val="000000"/>
          <w:sz w:val="32"/>
          <w:szCs w:val="32"/>
          <w:lang w:val="en-US" w:eastAsia="zh-CN"/>
        </w:rPr>
        <w:t>其中：</w:t>
      </w:r>
      <w:r>
        <w:rPr>
          <w:rFonts w:ascii="仿宋_GB2312" w:eastAsia="仿宋_GB2312" w:hint="eastAsia"/>
          <w:color w:val="000000"/>
          <w:sz w:val="32"/>
          <w:szCs w:val="32"/>
        </w:rPr>
        <w:t>授予中小企业合同金额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lang w:val="en-US" w:eastAsia="zh-CN"/>
        </w:rPr>
        <w:t>100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lang w:val="en-US" w:eastAsia="zh-CN"/>
        </w:rPr>
        <w:t>0</w:t>
      </w:r>
      <w:r>
        <w:rPr>
          <w:rFonts w:ascii="仿宋_GB2312" w:eastAsia="仿宋_GB2312"/>
          <w:color w:val="000000"/>
          <w:sz w:val="32"/>
          <w:szCs w:val="32"/>
        </w:rPr>
        <w:t>%</w:t>
      </w:r>
      <w:r>
        <w:rPr>
          <w:rFonts w:ascii="仿宋_GB2312" w:eastAsia="仿宋_GB2312" w:hint="eastAsia"/>
          <w:color w:val="000000"/>
          <w:sz w:val="32"/>
          <w:szCs w:val="32"/>
        </w:rPr>
        <w:t>。</w:t>
      </w:r>
    </w:p>
    <w:p>
      <w:pPr>
        <w:pageBreakBefore w:val="0"/>
        <w:widowControl w:val="0"/>
        <w:kinsoku/>
        <w:wordWrap/>
        <w:overflowPunct/>
        <w:topLinePunct w:val="0"/>
        <w:autoSpaceDE w:val="0"/>
        <w:autoSpaceDN w:val="0"/>
        <w:bidi w:val="0"/>
        <w:adjustRightInd w:val="0"/>
        <w:spacing w:line="560" w:lineRule="exact"/>
        <w:ind w:firstLineChars="200" w:firstLine="640"/>
        <w:jc w:val="left"/>
        <w:textAlignment w:val="auto"/>
        <w:outlineLvl w:val="2"/>
        <w:rPr>
          <w:rFonts w:ascii="仿宋" w:eastAsia="仿宋"/>
          <w:b/>
          <w:color w:val="000000"/>
          <w:sz w:val="32"/>
          <w:szCs w:val="32"/>
        </w:rPr>
      </w:pPr>
      <w:bookmarkStart w:id="87" w:name="_Toc79163627"/>
      <w:bookmarkStart w:id="88" w:name="_Toc79163877"/>
      <w:bookmarkStart w:id="89" w:name="_Toc15377224"/>
      <w:r>
        <w:rPr>
          <w:rFonts w:ascii="仿宋" w:eastAsia="仿宋" w:hint="eastAsia"/>
          <w:b/>
          <w:color w:val="000000"/>
          <w:sz w:val="32"/>
          <w:szCs w:val="32"/>
        </w:rPr>
        <w:t>（三）国有资产占有使用情况</w:t>
      </w:r>
      <w:bookmarkEnd w:id="87"/>
      <w:bookmarkEnd w:id="88"/>
      <w:bookmarkEnd w:id="89"/>
    </w:p>
    <w:p>
      <w:pPr>
        <w:pageBreakBefore w:val="0"/>
        <w:widowControl w:val="0"/>
        <w:kinsoku/>
        <w:wordWrap/>
        <w:overflowPunct/>
        <w:topLinePunct w:val="0"/>
        <w:autoSpaceDE w:val="0"/>
        <w:autoSpaceDN w:val="0"/>
        <w:bidi w:val="0"/>
        <w:adjustRightInd w:val="0"/>
        <w:spacing w:line="560" w:lineRule="exact"/>
        <w:ind w:firstLineChars="200" w:firstLine="640"/>
        <w:jc w:val="left"/>
        <w:textAlignment w:val="auto"/>
        <w:rPr>
          <w:rFonts w:ascii="仿宋" w:eastAsia="仿宋"/>
          <w:b/>
          <w:color w:val="FF0000"/>
          <w:sz w:val="32"/>
          <w:szCs w:val="32"/>
        </w:rPr>
      </w:pPr>
      <w:r>
        <w:rPr>
          <w:rFonts w:ascii="仿宋_GB2312" w:eastAsia="仿宋_GB2312" w:hint="eastAsia"/>
          <w:color w:val="000000"/>
          <w:sz w:val="32"/>
          <w:szCs w:val="32"/>
          <w:lang w:eastAsia="zh-CN"/>
        </w:rPr>
        <w:t>2023年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hint="eastAsia"/>
          <w:color w:val="000000"/>
          <w:sz w:val="32"/>
          <w:szCs w:val="32"/>
          <w:lang w:eastAsia="zh-CN"/>
        </w:rPr>
        <w:t>壤塘县科学技术协会</w:t>
      </w:r>
      <w:r>
        <w:rPr>
          <w:rFonts w:ascii="仿宋_GB2312" w:eastAsia="仿宋_GB2312" w:hint="eastAsia"/>
          <w:color w:val="000000"/>
          <w:sz w:val="32"/>
          <w:szCs w:val="32"/>
        </w:rPr>
        <w:t>共有车辆</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辆、其他用车</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rPr>
        <w:t>辆</w:t>
      </w:r>
      <w:r>
        <w:rPr>
          <w:rFonts w:ascii="仿宋_GB2312" w:eastAsia="仿宋_GB2312" w:hint="eastAsia"/>
          <w:color w:val="000000"/>
          <w:sz w:val="32"/>
          <w:szCs w:val="32"/>
          <w:lang w:eastAsia="zh-CN"/>
        </w:rPr>
        <w:t>，</w:t>
      </w:r>
      <w:r>
        <w:rPr>
          <w:rFonts w:ascii="仿宋_GB2312" w:eastAsia="仿宋_GB2312" w:hint="eastAsia"/>
          <w:color w:val="000000"/>
          <w:sz w:val="32"/>
          <w:szCs w:val="32"/>
        </w:rPr>
        <w:t>其他用车主要是用于</w:t>
      </w:r>
      <w:r>
        <w:rPr>
          <w:rFonts w:ascii="仿宋_GB2312" w:eastAsia="仿宋_GB2312" w:hint="eastAsia"/>
          <w:color w:val="000000"/>
          <w:sz w:val="32"/>
          <w:szCs w:val="32"/>
          <w:lang w:val="en-US" w:eastAsia="zh-CN"/>
        </w:rPr>
        <w:t>单位日常活动，</w:t>
      </w:r>
      <w:r>
        <w:rPr>
          <w:rFonts w:ascii="仿宋_GB2312" w:eastAsia="仿宋_GB2312" w:hint="eastAsia"/>
          <w:color w:val="000000"/>
          <w:sz w:val="32"/>
          <w:szCs w:val="32"/>
        </w:rPr>
        <w:t>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台（套）。</w:t>
      </w:r>
    </w:p>
    <w:p>
      <w:pPr>
        <w:pageBreakBefore w:val="0"/>
        <w:widowControl w:val="0"/>
        <w:kinsoku/>
        <w:wordWrap/>
        <w:overflowPunct/>
        <w:topLinePunct w:val="0"/>
        <w:autoSpaceDE w:val="0"/>
        <w:autoSpaceDN w:val="0"/>
        <w:bidi w:val="0"/>
        <w:adjustRightInd w:val="0"/>
        <w:spacing w:line="560" w:lineRule="exact"/>
        <w:ind w:firstLineChars="200" w:firstLine="640"/>
        <w:jc w:val="left"/>
        <w:textAlignment w:val="auto"/>
        <w:outlineLvl w:val="2"/>
        <w:rPr>
          <w:rFonts w:ascii="仿宋" w:eastAsia="仿宋"/>
          <w:b/>
          <w:color w:val="000000"/>
          <w:sz w:val="32"/>
          <w:szCs w:val="32"/>
        </w:rPr>
      </w:pPr>
      <w:bookmarkStart w:id="90" w:name="_Toc79163878"/>
      <w:bookmarkStart w:id="91" w:name="_Toc79163628"/>
      <w:r>
        <w:rPr>
          <w:rFonts w:ascii="仿宋" w:eastAsia="仿宋" w:hint="eastAsia"/>
          <w:b/>
          <w:color w:val="000000"/>
          <w:sz w:val="32"/>
          <w:szCs w:val="32"/>
        </w:rPr>
        <w:t>（四）预算绩效管理情况。</w:t>
      </w:r>
      <w:bookmarkEnd w:id="90"/>
      <w:bookmarkEnd w:id="91"/>
    </w:p>
    <w:p>
      <w:pPr>
        <w:pageBreakBefore w:val="0"/>
        <w:widowControl w:val="0"/>
        <w:kinsoku/>
        <w:wordWrap/>
        <w:overflowPunct/>
        <w:topLinePunct w:val="0"/>
        <w:bidi w:val="0"/>
        <w:spacing w:line="560" w:lineRule="exact"/>
        <w:ind w:firstLineChars="200" w:firstLine="640"/>
        <w:textAlignment w:val="auto"/>
        <w:rPr>
          <w:rFonts w:ascii="仿宋_GB2312" w:eastAsia="仿宋_GB2312" w:cs="仿宋_GB2312"/>
          <w:sz w:val="32"/>
          <w:szCs w:val="32"/>
        </w:rPr>
      </w:pPr>
      <w:r>
        <w:rPr>
          <w:rFonts w:ascii="仿宋_GB2312" w:eastAsia="仿宋_GB2312" w:cs="仿宋_GB2312" w:hint="eastAsia"/>
          <w:sz w:val="32"/>
          <w:szCs w:val="32"/>
        </w:rPr>
        <w:t>根据预算绩效管理要求，本单位在年初预算编制阶段，组织对</w:t>
      </w:r>
      <w:r>
        <w:rPr>
          <w:rFonts w:ascii="仿宋_GB2312" w:eastAsia="仿宋_GB2312" w:cs="仿宋_GB2312" w:hint="eastAsia"/>
          <w:sz w:val="32"/>
          <w:szCs w:val="32"/>
          <w:lang w:val="en-US" w:eastAsia="zh-CN"/>
        </w:rPr>
        <w:t>云服务中心“专职保姆”经费等2个项目</w:t>
      </w:r>
      <w:r>
        <w:rPr>
          <w:rFonts w:ascii="仿宋_GB2312" w:eastAsia="仿宋_GB2312" w:cs="仿宋_GB2312" w:hint="eastAsia"/>
          <w:sz w:val="32"/>
          <w:szCs w:val="32"/>
        </w:rPr>
        <w:t>开展了预算事前绩效评估，对</w:t>
      </w:r>
      <w:r>
        <w:rPr>
          <w:rFonts w:ascii="仿宋_GB2312" w:eastAsia="仿宋_GB2312" w:cs="仿宋_GB2312" w:hint="eastAsia"/>
          <w:sz w:val="32"/>
          <w:szCs w:val="32"/>
          <w:lang w:val="en-US" w:eastAsia="zh-CN"/>
        </w:rPr>
        <w:t>2个项目</w:t>
      </w:r>
      <w:r>
        <w:rPr>
          <w:rFonts w:ascii="仿宋_GB2312" w:eastAsia="仿宋_GB2312" w:cs="仿宋_GB2312" w:hint="eastAsia"/>
          <w:sz w:val="32"/>
          <w:szCs w:val="32"/>
        </w:rPr>
        <w:t>编制了绩效目标</w:t>
      </w:r>
      <w:r>
        <w:rPr>
          <w:rFonts w:ascii="仿宋_GB2312" w:eastAsia="仿宋_GB2312" w:cs="仿宋_GB2312" w:hint="eastAsia"/>
          <w:sz w:val="32"/>
          <w:szCs w:val="32"/>
          <w:lang w:eastAsia="zh-CN"/>
        </w:rPr>
        <w:t>，在</w:t>
      </w:r>
      <w:r>
        <w:rPr>
          <w:rFonts w:ascii="仿宋_GB2312" w:eastAsia="仿宋_GB2312" w:cs="仿宋_GB2312" w:hint="eastAsia"/>
          <w:sz w:val="32"/>
          <w:szCs w:val="32"/>
        </w:rPr>
        <w:t>预算执行过程中，选取</w:t>
      </w:r>
      <w:r>
        <w:rPr>
          <w:rFonts w:ascii="仿宋_GB2312" w:eastAsia="仿宋_GB2312" w:cs="仿宋_GB2312" w:hint="eastAsia"/>
          <w:sz w:val="32"/>
          <w:szCs w:val="32"/>
          <w:lang w:val="en-US" w:eastAsia="zh-CN"/>
        </w:rPr>
        <w:t>2个项目</w:t>
      </w:r>
      <w:r>
        <w:rPr>
          <w:rFonts w:ascii="仿宋_GB2312" w:eastAsia="仿宋_GB2312" w:cs="仿宋_GB2312" w:hint="eastAsia"/>
          <w:sz w:val="32"/>
          <w:szCs w:val="32"/>
        </w:rPr>
        <w:t>开展绩效监控，年终执行完毕后，对</w:t>
      </w:r>
      <w:r>
        <w:rPr>
          <w:rFonts w:ascii="仿宋_GB2312" w:eastAsia="仿宋_GB2312" w:cs="仿宋_GB2312" w:hint="eastAsia"/>
          <w:sz w:val="32"/>
          <w:szCs w:val="32"/>
          <w:lang w:val="en-US" w:eastAsia="zh-CN"/>
        </w:rPr>
        <w:t>0个项目</w:t>
      </w:r>
      <w:r>
        <w:rPr>
          <w:rFonts w:ascii="仿宋_GB2312" w:eastAsia="仿宋_GB2312" w:cs="仿宋_GB2312" w:hint="eastAsia"/>
          <w:sz w:val="32"/>
          <w:szCs w:val="32"/>
        </w:rPr>
        <w:t>开展了绩效目标完成情况自评。</w:t>
      </w:r>
    </w:p>
    <w:p>
      <w:pPr>
        <w:spacing w:line="580" w:lineRule="exact"/>
        <w:ind w:firstLineChars="200" w:firstLine="640"/>
        <w:rPr>
          <w:rFonts w:ascii="仿宋_GB2312" w:eastAsia="仿宋_GB2312"/>
          <w:b/>
          <w:color w:val="000000"/>
          <w:sz w:val="32"/>
          <w:szCs w:val="32"/>
        </w:rPr>
      </w:pPr>
      <w:r>
        <w:rPr>
          <w:rFonts w:ascii="仿宋_GB2312" w:eastAsia="仿宋_GB2312" w:cs="仿宋_GB2312" w:hint="eastAsia"/>
          <w:sz w:val="32"/>
          <w:szCs w:val="32"/>
        </w:rPr>
        <w:t>组织对2023年度一般公共预算、政府性基金预算、国有资本经营预算、社会保险基金预算以及资本资产、债券资金等全面开展绩效自评，形成</w:t>
      </w:r>
      <w:r>
        <w:rPr>
          <w:rFonts w:ascii="仿宋_GB2312" w:eastAsia="仿宋_GB2312" w:cs="仿宋_GB2312" w:hint="eastAsia"/>
          <w:sz w:val="32"/>
          <w:szCs w:val="32"/>
          <w:lang w:val="en-US" w:eastAsia="zh-CN"/>
        </w:rPr>
        <w:t>壤塘县科学技术协会</w:t>
      </w:r>
      <w:r>
        <w:rPr>
          <w:rFonts w:ascii="仿宋_GB2312" w:eastAsia="仿宋_GB2312" w:cs="仿宋_GB2312" w:hint="eastAsia"/>
          <w:sz w:val="32"/>
          <w:szCs w:val="32"/>
        </w:rPr>
        <w:t>（含部门预算项目）绩效自评报告</w:t>
      </w:r>
      <w:r>
        <w:rPr>
          <w:rFonts w:ascii="仿宋_GB2312" w:eastAsia="仿宋_GB2312" w:cs="仿宋_GB2312" w:hint="eastAsia"/>
          <w:sz w:val="32"/>
          <w:szCs w:val="32"/>
          <w:lang w:eastAsia="zh-CN"/>
        </w:rPr>
        <w:t>，</w:t>
      </w:r>
      <w:r>
        <w:rPr>
          <w:rFonts w:ascii="仿宋_GB2312" w:eastAsia="仿宋_GB2312" w:cs="仿宋_GB2312" w:hint="eastAsia"/>
          <w:sz w:val="32"/>
          <w:szCs w:val="32"/>
        </w:rPr>
        <w:t>其中，</w:t>
      </w:r>
      <w:r>
        <w:rPr>
          <w:rFonts w:ascii="仿宋_GB2312" w:eastAsia="仿宋_GB2312" w:cs="仿宋_GB2312" w:hint="eastAsia"/>
          <w:sz w:val="32"/>
          <w:szCs w:val="32"/>
          <w:lang w:val="en-US" w:eastAsia="zh-CN"/>
        </w:rPr>
        <w:t>壤塘县科学技术协会</w:t>
      </w:r>
      <w:r>
        <w:rPr>
          <w:rFonts w:ascii="仿宋_GB2312" w:eastAsia="仿宋_GB2312" w:cs="仿宋_GB2312" w:hint="eastAsia"/>
          <w:sz w:val="32"/>
          <w:szCs w:val="32"/>
        </w:rPr>
        <w:t>（含部门预算项目）绩效自评得分为</w:t>
      </w:r>
      <w:r>
        <w:rPr>
          <w:rFonts w:ascii="仿宋_GB2312" w:eastAsia="仿宋_GB2312" w:cs="仿宋_GB2312" w:hint="eastAsia"/>
          <w:sz w:val="32"/>
          <w:szCs w:val="32"/>
          <w:lang w:val="en-US" w:eastAsia="zh-CN"/>
        </w:rPr>
        <w:t>96</w:t>
      </w:r>
      <w:r>
        <w:rPr>
          <w:rFonts w:ascii="仿宋_GB2312" w:eastAsia="仿宋_GB2312" w:cs="仿宋_GB2312" w:hint="eastAsia"/>
          <w:sz w:val="32"/>
          <w:szCs w:val="32"/>
        </w:rPr>
        <w:t>分，绩效自评综述：</w:t>
      </w:r>
      <w:r>
        <w:rPr>
          <w:rFonts w:ascii="仿宋_GB2312" w:eastAsia="仿宋_GB2312" w:cs="仿宋_GB2312" w:hint="eastAsia"/>
          <w:sz w:val="32"/>
          <w:szCs w:val="32"/>
          <w:lang w:val="en-US" w:eastAsia="zh-CN"/>
        </w:rPr>
        <w:t>本次部门整体支出绩效自评得分为96分，总体表现良好；本单位无专项项目，故未开展专项自评；整体</w:t>
      </w:r>
      <w:r>
        <w:rPr>
          <w:rFonts w:ascii="仿宋_GB2312" w:eastAsia="仿宋_GB2312" w:cs="仿宋_GB2312" w:hint="eastAsia"/>
          <w:sz w:val="32"/>
          <w:szCs w:val="32"/>
        </w:rPr>
        <w:t>绩效自评报告详见附件。</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left="0" w:firstLineChars="150" w:firstLine="660"/>
        <w:jc w:val="center"/>
        <w:outlineLvl w:val="0"/>
        <w:rPr>
          <w:rStyle w:val="1Char"/>
          <w:rFonts w:ascii="黑体" w:eastAsia="黑体"/>
          <w:b w:val="0"/>
        </w:rPr>
      </w:pPr>
      <w:bookmarkStart w:id="92" w:name="_Toc15396613"/>
      <w:bookmarkStart w:id="93" w:name="_Toc15377225"/>
      <w:bookmarkStart w:id="94" w:name="_Toc79163879"/>
      <w:bookmarkStart w:id="95" w:name="_Toc79163629"/>
      <w:r>
        <w:rPr>
          <w:rFonts w:ascii="黑体" w:eastAsia="黑体" w:hint="eastAsia"/>
          <w:color w:val="000000"/>
          <w:sz w:val="44"/>
          <w:szCs w:val="44"/>
        </w:rPr>
        <w:t>名</w:t>
      </w:r>
      <w:r>
        <w:rPr>
          <w:rStyle w:val="1Char"/>
          <w:rFonts w:ascii="黑体" w:eastAsia="黑体" w:hint="eastAsia"/>
          <w:b w:val="0"/>
        </w:rPr>
        <w:t>词解释</w:t>
      </w:r>
      <w:bookmarkEnd w:id="92"/>
      <w:bookmarkEnd w:id="93"/>
      <w:bookmarkEnd w:id="94"/>
      <w:bookmarkEnd w:id="95"/>
    </w:p>
    <w:p>
      <w:pPr>
        <w:spacing w:line="600" w:lineRule="exact"/>
        <w:jc w:val="left"/>
        <w:rPr>
          <w:rFonts w:ascii="宋体"/>
          <w:b/>
          <w:color w:val="000000"/>
          <w:sz w:val="44"/>
          <w:szCs w:val="44"/>
        </w:rPr>
      </w:pPr>
    </w:p>
    <w:p>
      <w:pPr>
        <w:pStyle w:val="38"/>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pPr>
        <w:pStyle w:val="38"/>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事业收入：指事业单位开展专业业务活动及辅助活动取得的收入。（二级预算单位事业收入情况）等。</w:t>
      </w:r>
    </w:p>
    <w:p>
      <w:pPr>
        <w:pStyle w:val="38"/>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经营收入：指事业单位在专业业务活动及其辅助活动之外开展非独立核算经营活动取得的收入。（二级预算单位经营收入情况）等。</w:t>
      </w:r>
    </w:p>
    <w:p>
      <w:pPr>
        <w:pStyle w:val="38"/>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pPr>
        <w:pStyle w:val="38"/>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8"/>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pPr>
        <w:pStyle w:val="38"/>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pPr>
        <w:pStyle w:val="38"/>
        <w:spacing w:line="560" w:lineRule="exact"/>
        <w:ind w:firstLineChars="200" w:firstLine="640"/>
        <w:rPr>
          <w:rFonts w:ascii="仿宋_GB2312" w:eastAsia="仿宋_GB2312"/>
          <w:sz w:val="32"/>
          <w:szCs w:val="32"/>
        </w:rPr>
      </w:pPr>
      <w:r>
        <w:rPr>
          <w:rFonts w:ascii="仿宋_GB2312" w:eastAsia="仿宋_GB2312" w:hint="eastAsia"/>
          <w:sz w:val="32"/>
          <w:szCs w:val="32"/>
          <w:lang w:val="en-US" w:eastAsia="zh-CN"/>
        </w:rPr>
        <w:t>8.</w:t>
      </w:r>
      <w:r>
        <w:rPr>
          <w:rFonts w:ascii="仿宋_GB2312" w:eastAsia="仿宋_GB2312" w:hint="eastAsia"/>
          <w:sz w:val="32"/>
          <w:szCs w:val="32"/>
        </w:rPr>
        <w:t>年末结转和结余：指单位按有关规定结转到下年或以后年度继续使用的资金。</w:t>
      </w:r>
    </w:p>
    <w:p>
      <w:pPr>
        <w:ind w:firstLineChars="200" w:firstLine="640"/>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9.社会保障和就业（类）行政事业单位养老支出（款）机关事业单位基本养老保险缴费支出（项）：指由单位缴纳的基本养老保险费支出。</w:t>
      </w:r>
    </w:p>
    <w:p>
      <w:pPr>
        <w:ind w:firstLineChars="200" w:firstLine="640"/>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10.社会保障和就业（类）行政事业单位养老支出（款）  机关事业单位职业年金缴费支出（项）：指机关事业单位实施养老保险制度由单位实际缴纳的职业年金。</w:t>
      </w:r>
    </w:p>
    <w:p>
      <w:pPr>
        <w:ind w:firstLineChars="200" w:firstLine="640"/>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11.一般公共服务支出（类）群众团体事务（款）行政运行（项）：指行政单位（包括实行公务员管理的事业单位）的基本支出。</w:t>
      </w:r>
    </w:p>
    <w:p>
      <w:pPr>
        <w:ind w:firstLineChars="200" w:firstLine="640"/>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12.科学技术支出（类）科学技术普及（款）科普活动（项）：指用于开展科普活动的支出。</w:t>
      </w:r>
    </w:p>
    <w:p>
      <w:pPr>
        <w:ind w:firstLineChars="200" w:firstLine="640"/>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13.科学技术支出（类）科学技术普及（款）其他科学技术普及支出（项）：指其他用于科学技术普及方面的支出。</w:t>
      </w:r>
    </w:p>
    <w:p>
      <w:pPr>
        <w:ind w:firstLineChars="200" w:firstLine="640"/>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14.卫生健康支出（类）行政事业单位医疗（款）行政单位医疗（项）：指财政部门集中安排的行政单位基本医疗保险缴费经费。</w:t>
      </w:r>
    </w:p>
    <w:p>
      <w:pPr>
        <w:ind w:firstLineChars="200" w:firstLine="640"/>
        <w:rPr>
          <w:rFonts w:ascii="仿宋_GB2312" w:eastAsia="仿宋_GB2312"/>
          <w:color w:val="000000"/>
          <w:sz w:val="32"/>
          <w:szCs w:val="32"/>
        </w:rPr>
      </w:pPr>
      <w:r>
        <w:rPr>
          <w:rFonts w:ascii="仿宋_GB2312" w:eastAsia="仿宋_GB2312" w:hint="eastAsia"/>
          <w:color w:val="000000"/>
          <w:sz w:val="32"/>
          <w:szCs w:val="32"/>
          <w:lang w:val="en-US" w:eastAsia="zh-CN"/>
        </w:rPr>
        <w:t>15.住房保障支出（类）住房改革支出（款）住房公积金（项）：指行政事业单位按工资比例为职工缴纳的住房公积金</w:t>
      </w:r>
      <w:r>
        <w:rPr>
          <w:rFonts w:ascii="仿宋_GB2312" w:eastAsia="仿宋_GB2312" w:hint="eastAsia"/>
          <w:color w:val="000000"/>
          <w:sz w:val="32"/>
          <w:szCs w:val="32"/>
        </w:rPr>
        <w:t>。</w:t>
      </w:r>
    </w:p>
    <w:p>
      <w:pPr>
        <w:pStyle w:val="38"/>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lang w:val="en-US" w:eastAsia="zh-CN"/>
        </w:rPr>
        <w:t>6</w:t>
      </w:r>
      <w:r>
        <w:rPr>
          <w:rFonts w:ascii="仿宋_GB2312" w:eastAsia="仿宋_GB2312" w:hint="eastAsia"/>
          <w:color w:val="000000"/>
          <w:sz w:val="32"/>
          <w:szCs w:val="32"/>
        </w:rPr>
        <w:t>.基本支出：指为保障机构正常运转、完成日常工作任务而发生的人员支出和公用支出。</w:t>
      </w:r>
    </w:p>
    <w:p>
      <w:pPr>
        <w:pStyle w:val="38"/>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lang w:val="en-US" w:eastAsia="zh-CN"/>
        </w:rPr>
        <w:t>7</w:t>
      </w:r>
      <w:r>
        <w:rPr>
          <w:rFonts w:ascii="仿宋_GB2312" w:eastAsia="仿宋_GB2312" w:hint="eastAsia"/>
          <w:color w:val="000000"/>
          <w:sz w:val="32"/>
          <w:szCs w:val="32"/>
        </w:rPr>
        <w:t>.项目支出：指在基本支出之外为完成特定行政任务和事业发展目标所发生的支出。</w:t>
      </w:r>
    </w:p>
    <w:p>
      <w:pPr>
        <w:pStyle w:val="38"/>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lang w:val="en-US" w:eastAsia="zh-CN"/>
        </w:rPr>
        <w:t>8</w:t>
      </w:r>
      <w:r>
        <w:rPr>
          <w:rFonts w:ascii="仿宋_GB2312" w:eastAsia="仿宋_GB2312" w:hint="eastAsia"/>
          <w:color w:val="000000"/>
          <w:sz w:val="32"/>
          <w:szCs w:val="32"/>
        </w:rPr>
        <w:t>.经营支出：指事业单位在专业业务活动及其辅助活动之外开展非独立核算经营活动发生的支出。</w:t>
      </w:r>
    </w:p>
    <w:p>
      <w:pPr>
        <w:pStyle w:val="38"/>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lang w:val="en-US" w:eastAsia="zh-CN"/>
        </w:rPr>
        <w:t>9</w:t>
      </w:r>
      <w:r>
        <w:rPr>
          <w:rFonts w:ascii="仿宋_GB2312" w:eastAsia="仿宋_GB2312" w:hint="eastAsia"/>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8"/>
        <w:spacing w:line="560" w:lineRule="exact"/>
        <w:ind w:firstLineChars="200" w:firstLine="640"/>
        <w:rPr>
          <w:rFonts w:ascii="仿宋_GB2312" w:eastAsia="仿宋_GB2312"/>
          <w:sz w:val="32"/>
          <w:szCs w:val="32"/>
        </w:rPr>
      </w:pPr>
      <w:r>
        <w:rPr>
          <w:rFonts w:ascii="仿宋_GB2312" w:eastAsia="仿宋_GB2312" w:hint="eastAsia"/>
          <w:color w:val="000000"/>
          <w:sz w:val="32"/>
          <w:szCs w:val="32"/>
          <w:lang w:val="en-US" w:eastAsia="zh-CN"/>
        </w:rPr>
        <w:t>20</w:t>
      </w:r>
      <w:r>
        <w:rPr>
          <w:rFonts w:ascii="仿宋_GB2312" w:eastAsia="仿宋_GB2312" w:hint="eastAsia"/>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eastAsia="仿宋_GB2312" w:hint="eastAsia"/>
          <w:sz w:val="32"/>
          <w:szCs w:val="32"/>
        </w:rPr>
        <w:t>。</w:t>
      </w:r>
    </w:p>
    <w:p>
      <w:pPr>
        <w:spacing w:line="600" w:lineRule="exact"/>
        <w:jc w:val="center"/>
        <w:outlineLvl w:val="0"/>
        <w:rPr>
          <w:rStyle w:val="1Char"/>
          <w:rFonts w:ascii="黑体" w:eastAsia="黑体"/>
          <w:b w:val="0"/>
        </w:rPr>
      </w:pPr>
      <w:bookmarkStart w:id="96" w:name="_Toc15377226"/>
      <w:r>
        <w:rPr>
          <w:rFonts w:ascii="宋体"/>
          <w:b/>
          <w:color w:val="000000"/>
          <w:sz w:val="44"/>
          <w:szCs w:val="44"/>
        </w:rPr>
        <w:br w:type="page"/>
      </w:r>
      <w:bookmarkStart w:id="97" w:name="_Toc79163630"/>
      <w:bookmarkStart w:id="98" w:name="_Toc79163880"/>
      <w:bookmarkStart w:id="99" w:name="_Toc15396614"/>
      <w:r>
        <w:rPr>
          <w:rFonts w:ascii="黑体" w:eastAsia="黑体" w:hint="eastAsia"/>
          <w:color w:val="000000"/>
          <w:sz w:val="44"/>
          <w:szCs w:val="44"/>
        </w:rPr>
        <w:t>第</w:t>
      </w:r>
      <w:r>
        <w:rPr>
          <w:rStyle w:val="1Char"/>
          <w:rFonts w:ascii="黑体" w:eastAsia="黑体" w:hint="eastAsia"/>
          <w:b w:val="0"/>
        </w:rPr>
        <w:t>四部分</w:t>
      </w:r>
      <w:r>
        <w:rPr>
          <w:rStyle w:val="1Char"/>
          <w:rFonts w:ascii="黑体" w:eastAsia="黑体"/>
          <w:b w:val="0"/>
        </w:rPr>
        <w:t xml:space="preserve"> </w:t>
      </w:r>
      <w:r>
        <w:rPr>
          <w:rStyle w:val="1Char"/>
          <w:rFonts w:ascii="黑体" w:eastAsia="黑体" w:hint="eastAsia"/>
          <w:b w:val="0"/>
        </w:rPr>
        <w:t>附件</w:t>
      </w:r>
      <w:bookmarkEnd w:id="97"/>
      <w:bookmarkEnd w:id="98"/>
      <w:bookmarkEnd w:id="99"/>
    </w:p>
    <w:p>
      <w:pPr>
        <w:spacing w:line="600" w:lineRule="exact"/>
        <w:jc w:val="left"/>
        <w:outlineLvl w:val="0"/>
        <w:rPr>
          <w:rFonts w:ascii="方正小标宋简体" w:eastAsia="方正小标宋简体" w:cs="方正小标宋简体"/>
          <w:sz w:val="32"/>
          <w:szCs w:val="32"/>
        </w:rPr>
      </w:pPr>
      <w:bookmarkStart w:id="100" w:name="_Toc79163881"/>
      <w:bookmarkStart w:id="101" w:name="_Toc79163631"/>
      <w:r>
        <w:rPr>
          <w:rFonts w:ascii="黑体" w:eastAsia="黑体" w:cs="黑体" w:hint="eastAsia"/>
          <w:sz w:val="32"/>
          <w:szCs w:val="32"/>
        </w:rPr>
        <w:t>附件</w:t>
      </w:r>
      <w:r>
        <w:rPr>
          <w:rFonts w:ascii="黑体" w:eastAsia="黑体" w:cs="黑体"/>
          <w:sz w:val="32"/>
          <w:szCs w:val="32"/>
        </w:rPr>
        <w:t>1</w:t>
      </w:r>
      <w:bookmarkEnd w:id="100"/>
      <w:bookmarkEnd w:id="101"/>
    </w:p>
    <w:p>
      <w:pPr>
        <w:spacing w:line="580" w:lineRule="exact"/>
        <w:jc w:val="center"/>
        <w:rPr>
          <w:rFonts w:ascii="方正小标宋简体" w:eastAsia="方正小标宋简体" w:cs="方正小标宋简体"/>
          <w:sz w:val="44"/>
          <w:szCs w:val="44"/>
        </w:rPr>
      </w:pPr>
    </w:p>
    <w:p>
      <w:pPr>
        <w:spacing w:line="360" w:lineRule="auto"/>
        <w:jc w:val="center"/>
        <w:rPr>
          <w:rFonts w:ascii="宋体" w:cs="宋体" w:hint="eastAsia"/>
          <w:b/>
          <w:bCs/>
          <w:kern w:val="0"/>
          <w:sz w:val="44"/>
          <w:szCs w:val="44"/>
        </w:rPr>
      </w:pPr>
      <w:r>
        <w:rPr>
          <w:rFonts w:ascii="宋体" w:cs="宋体" w:hint="eastAsia"/>
          <w:b/>
          <w:bCs/>
          <w:kern w:val="0"/>
          <w:sz w:val="44"/>
          <w:szCs w:val="44"/>
        </w:rPr>
        <w:t>壤塘县科学技术协会</w:t>
      </w:r>
    </w:p>
    <w:p>
      <w:pPr>
        <w:spacing w:line="360" w:lineRule="auto"/>
        <w:jc w:val="center"/>
        <w:rPr>
          <w:rFonts w:ascii="宋体" w:cs="宋体"/>
          <w:b/>
          <w:bCs/>
          <w:kern w:val="0"/>
          <w:sz w:val="44"/>
          <w:szCs w:val="44"/>
        </w:rPr>
      </w:pPr>
      <w:r>
        <w:rPr>
          <w:rFonts w:ascii="宋体" w:cs="宋体" w:hint="eastAsia"/>
          <w:b/>
          <w:bCs/>
          <w:kern w:val="0"/>
          <w:sz w:val="44"/>
          <w:szCs w:val="44"/>
          <w:lang w:eastAsia="zh-CN"/>
        </w:rPr>
        <w:t>2023年</w:t>
      </w:r>
      <w:r>
        <w:rPr>
          <w:rFonts w:ascii="宋体" w:cs="宋体" w:hint="eastAsia"/>
          <w:b/>
          <w:bCs/>
          <w:kern w:val="0"/>
          <w:sz w:val="44"/>
          <w:szCs w:val="44"/>
        </w:rPr>
        <w:t>度部门整体支出绩效评价自评报告</w:t>
      </w:r>
    </w:p>
    <w:p>
      <w:pPr>
        <w:spacing w:line="360" w:lineRule="auto"/>
        <w:jc w:val="center"/>
        <w:rPr>
          <w:rFonts w:ascii="宋体" w:cs="宋体"/>
          <w:kern w:val="0"/>
          <w:szCs w:val="21"/>
        </w:rPr>
      </w:pPr>
    </w:p>
    <w:p>
      <w:pPr>
        <w:spacing w:line="360" w:lineRule="auto"/>
        <w:ind w:firstLineChars="200" w:firstLine="640"/>
        <w:rPr>
          <w:rFonts w:ascii="仿宋_GB2312" w:eastAsia="仿宋_GB2312" w:cs="仿宋_GB2312" w:hint="eastAsia"/>
          <w:b/>
          <w:bCs/>
          <w:sz w:val="32"/>
          <w:szCs w:val="32"/>
        </w:rPr>
      </w:pPr>
      <w:r>
        <w:rPr>
          <w:rFonts w:ascii="仿宋_GB2312" w:eastAsia="仿宋_GB2312" w:cs="仿宋_GB2312" w:hint="eastAsia"/>
          <w:b/>
          <w:bCs/>
          <w:kern w:val="0"/>
          <w:sz w:val="32"/>
          <w:szCs w:val="32"/>
        </w:rPr>
        <w:t>一、部门（单位）概况</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壤塘县科学技术协会机构性质：行政单位，机构地址：四川省壤塘县罗吾塘中街90号，单位负责人：韩明德。</w:t>
      </w:r>
    </w:p>
    <w:p>
      <w:pPr>
        <w:spacing w:line="360" w:lineRule="auto"/>
        <w:ind w:firstLineChars="200" w:firstLine="640"/>
        <w:rPr>
          <w:rFonts w:ascii="仿宋_GB2312" w:eastAsia="仿宋_GB2312" w:cs="仿宋_GB2312" w:hint="eastAsia"/>
          <w:b/>
          <w:bCs/>
          <w:kern w:val="0"/>
          <w:sz w:val="32"/>
          <w:szCs w:val="32"/>
        </w:rPr>
      </w:pPr>
      <w:r>
        <w:rPr>
          <w:rFonts w:ascii="仿宋_GB2312" w:eastAsia="仿宋_GB2312" w:cs="仿宋_GB2312" w:hint="eastAsia"/>
          <w:b/>
          <w:bCs/>
          <w:kern w:val="0"/>
          <w:sz w:val="32"/>
          <w:szCs w:val="32"/>
        </w:rPr>
        <w:t>（一）机构组成</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lang w:val="zh-CN"/>
        </w:rPr>
        <w:t>壤塘县科学技术</w:t>
      </w:r>
      <w:r>
        <w:rPr>
          <w:rFonts w:ascii="仿宋_GB2312" w:eastAsia="仿宋_GB2312" w:cs="仿宋_GB2312" w:hint="eastAsia"/>
          <w:color w:val="auto"/>
          <w:sz w:val="32"/>
          <w:szCs w:val="32"/>
          <w:lang w:val="zh-CN"/>
        </w:rPr>
        <w:t>协会由</w:t>
      </w:r>
      <w:r>
        <w:rPr>
          <w:rFonts w:ascii="仿宋_GB2312" w:eastAsia="仿宋_GB2312" w:cs="仿宋_GB2312" w:hint="eastAsia"/>
          <w:color w:val="auto"/>
          <w:sz w:val="32"/>
          <w:szCs w:val="32"/>
          <w:lang w:val="en-US" w:eastAsia="zh-CN"/>
        </w:rPr>
        <w:t>办公室</w:t>
      </w:r>
      <w:r>
        <w:rPr>
          <w:rFonts w:ascii="仿宋_GB2312" w:eastAsia="仿宋_GB2312" w:cs="仿宋_GB2312" w:hint="eastAsia"/>
          <w:color w:val="auto"/>
          <w:sz w:val="32"/>
          <w:szCs w:val="32"/>
          <w:lang w:val="zh-CN"/>
        </w:rPr>
        <w:t>组</w:t>
      </w:r>
      <w:r>
        <w:rPr>
          <w:rFonts w:ascii="仿宋_GB2312" w:eastAsia="仿宋_GB2312" w:cs="仿宋_GB2312" w:hint="eastAsia"/>
          <w:sz w:val="32"/>
          <w:szCs w:val="32"/>
          <w:lang w:val="zh-CN"/>
        </w:rPr>
        <w:t>成</w:t>
      </w:r>
      <w:r>
        <w:rPr>
          <w:rFonts w:ascii="仿宋_GB2312" w:eastAsia="仿宋_GB2312" w:cs="仿宋_GB2312" w:hint="eastAsia"/>
          <w:sz w:val="32"/>
          <w:szCs w:val="32"/>
        </w:rPr>
        <w:t>。</w:t>
      </w:r>
    </w:p>
    <w:p>
      <w:pPr>
        <w:numPr>
          <w:ilvl w:val="0"/>
          <w:numId w:val="5"/>
        </w:numPr>
        <w:spacing w:line="360" w:lineRule="auto"/>
        <w:ind w:left="0" w:firstLineChars="200" w:firstLine="640"/>
        <w:rPr>
          <w:rFonts w:ascii="仿宋_GB2312" w:eastAsia="仿宋_GB2312" w:cs="仿宋_GB2312" w:hint="eastAsia"/>
          <w:b/>
          <w:bCs/>
          <w:sz w:val="32"/>
          <w:szCs w:val="32"/>
        </w:rPr>
      </w:pPr>
      <w:r>
        <w:rPr>
          <w:rFonts w:ascii="仿宋_GB2312" w:eastAsia="仿宋_GB2312" w:cs="仿宋_GB2312" w:hint="eastAsia"/>
          <w:b/>
          <w:bCs/>
          <w:kern w:val="0"/>
          <w:sz w:val="32"/>
          <w:szCs w:val="32"/>
        </w:rPr>
        <w:t>机构职能</w:t>
      </w:r>
    </w:p>
    <w:p>
      <w:pPr>
        <w:spacing w:line="360" w:lineRule="auto"/>
        <w:ind w:firstLineChars="200" w:firstLine="640"/>
        <w:rPr>
          <w:rFonts w:ascii="仿宋_GB2312" w:eastAsia="仿宋_GB2312" w:cs="仿宋_GB2312" w:hint="eastAsia"/>
          <w:kern w:val="10"/>
          <w:sz w:val="32"/>
          <w:szCs w:val="32"/>
        </w:rPr>
      </w:pPr>
      <w:r>
        <w:rPr>
          <w:rFonts w:ascii="仿宋_GB2312" w:eastAsia="仿宋_GB2312" w:cs="仿宋_GB2312" w:hint="eastAsia"/>
          <w:kern w:val="10"/>
          <w:sz w:val="32"/>
          <w:szCs w:val="32"/>
        </w:rPr>
        <w:t>1.开展学术交流、活跃学术思想，促进学科发展，推动决策科学化和民主化。 </w:t>
      </w:r>
    </w:p>
    <w:p>
      <w:pPr>
        <w:spacing w:line="360" w:lineRule="auto"/>
        <w:ind w:firstLineChars="200" w:firstLine="640"/>
        <w:rPr>
          <w:rFonts w:ascii="仿宋_GB2312" w:eastAsia="仿宋_GB2312" w:cs="仿宋_GB2312" w:hint="eastAsia"/>
          <w:kern w:val="10"/>
          <w:sz w:val="32"/>
          <w:szCs w:val="32"/>
        </w:rPr>
      </w:pPr>
      <w:r>
        <w:rPr>
          <w:rFonts w:ascii="仿宋_GB2312" w:eastAsia="仿宋_GB2312" w:cs="仿宋_GB2312" w:hint="eastAsia"/>
          <w:kern w:val="10"/>
          <w:sz w:val="32"/>
          <w:szCs w:val="32"/>
        </w:rPr>
        <w:t>2.普及科学知识，推广先进技术，促进科技成果向现实生产力转化。 </w:t>
      </w:r>
    </w:p>
    <w:p>
      <w:pPr>
        <w:spacing w:line="360" w:lineRule="auto"/>
        <w:ind w:firstLineChars="200" w:firstLine="640"/>
        <w:rPr>
          <w:rFonts w:ascii="仿宋_GB2312" w:eastAsia="仿宋_GB2312" w:cs="仿宋_GB2312" w:hint="eastAsia"/>
          <w:kern w:val="10"/>
          <w:sz w:val="32"/>
          <w:szCs w:val="32"/>
        </w:rPr>
      </w:pPr>
      <w:r>
        <w:rPr>
          <w:rFonts w:ascii="仿宋_GB2312" w:eastAsia="仿宋_GB2312" w:cs="仿宋_GB2312" w:hint="eastAsia"/>
          <w:kern w:val="10"/>
          <w:sz w:val="32"/>
          <w:szCs w:val="32"/>
        </w:rPr>
        <w:t>3.为科技、经济、社会协调发展献计献策，进行决策咨询和技术服务，兴办科技经济实体。 </w:t>
      </w:r>
    </w:p>
    <w:p>
      <w:pPr>
        <w:spacing w:line="360" w:lineRule="auto"/>
        <w:ind w:firstLineChars="200" w:firstLine="640"/>
        <w:rPr>
          <w:rFonts w:ascii="仿宋_GB2312" w:eastAsia="仿宋_GB2312" w:cs="仿宋_GB2312" w:hint="eastAsia"/>
          <w:kern w:val="10"/>
          <w:sz w:val="32"/>
          <w:szCs w:val="32"/>
        </w:rPr>
      </w:pPr>
      <w:r>
        <w:rPr>
          <w:rFonts w:ascii="仿宋_GB2312" w:eastAsia="仿宋_GB2312" w:cs="仿宋_GB2312" w:hint="eastAsia"/>
          <w:kern w:val="10"/>
          <w:sz w:val="32"/>
          <w:szCs w:val="32"/>
        </w:rPr>
        <w:t>4.反映科技工作者的呼声和要求，保护科技工作者的合法权益。 </w:t>
      </w:r>
    </w:p>
    <w:p>
      <w:pPr>
        <w:spacing w:line="360" w:lineRule="auto"/>
        <w:ind w:firstLineChars="200" w:firstLine="640"/>
        <w:rPr>
          <w:rFonts w:ascii="仿宋_GB2312" w:eastAsia="仿宋_GB2312" w:cs="仿宋_GB2312" w:hint="eastAsia"/>
          <w:kern w:val="10"/>
          <w:sz w:val="32"/>
          <w:szCs w:val="32"/>
        </w:rPr>
      </w:pPr>
      <w:r>
        <w:rPr>
          <w:rFonts w:ascii="仿宋_GB2312" w:eastAsia="仿宋_GB2312" w:cs="仿宋_GB2312" w:hint="eastAsia"/>
          <w:kern w:val="10"/>
          <w:sz w:val="32"/>
          <w:szCs w:val="32"/>
        </w:rPr>
        <w:t>5.开展继续教育，技术培训，农村科普和青少年科技教育活动。 </w:t>
      </w:r>
    </w:p>
    <w:p>
      <w:pPr>
        <w:spacing w:line="360" w:lineRule="auto"/>
        <w:ind w:firstLineChars="200" w:firstLine="640"/>
        <w:rPr>
          <w:rFonts w:ascii="仿宋_GB2312" w:eastAsia="仿宋_GB2312" w:cs="仿宋_GB2312" w:hint="eastAsia"/>
          <w:kern w:val="10"/>
          <w:sz w:val="32"/>
          <w:szCs w:val="32"/>
        </w:rPr>
      </w:pPr>
      <w:r>
        <w:rPr>
          <w:rFonts w:ascii="仿宋_GB2312" w:eastAsia="仿宋_GB2312" w:cs="仿宋_GB2312" w:hint="eastAsia"/>
          <w:kern w:val="10"/>
          <w:sz w:val="32"/>
          <w:szCs w:val="32"/>
        </w:rPr>
        <w:t>6.参与地方性科技政策，法规及科技计划、规划的制定。</w:t>
      </w:r>
    </w:p>
    <w:p>
      <w:pPr>
        <w:spacing w:line="360" w:lineRule="auto"/>
        <w:ind w:firstLineChars="200" w:firstLine="640"/>
        <w:rPr>
          <w:rFonts w:ascii="仿宋_GB2312" w:eastAsia="仿宋_GB2312" w:cs="仿宋_GB2312" w:hint="eastAsia"/>
          <w:kern w:val="10"/>
          <w:sz w:val="32"/>
          <w:szCs w:val="32"/>
        </w:rPr>
      </w:pPr>
      <w:r>
        <w:rPr>
          <w:rFonts w:ascii="仿宋_GB2312" w:eastAsia="仿宋_GB2312" w:cs="仿宋_GB2312" w:hint="eastAsia"/>
          <w:kern w:val="10"/>
          <w:sz w:val="32"/>
          <w:szCs w:val="32"/>
        </w:rPr>
        <w:t>7.加强对县级学（协）会及农村专业技术团队的业务指导。 </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kern w:val="10"/>
          <w:sz w:val="32"/>
          <w:szCs w:val="32"/>
        </w:rPr>
        <w:t>8.编辑学术刊物和科普读物，为科技团体和科技工作者服务</w:t>
      </w:r>
      <w:r>
        <w:rPr>
          <w:rFonts w:ascii="仿宋_GB2312" w:eastAsia="仿宋_GB2312" w:cs="仿宋_GB2312" w:hint="eastAsia"/>
          <w:sz w:val="32"/>
          <w:szCs w:val="32"/>
        </w:rPr>
        <w:t>。</w:t>
      </w:r>
    </w:p>
    <w:p>
      <w:pPr>
        <w:numPr>
          <w:ilvl w:val="0"/>
          <w:numId w:val="5"/>
        </w:numPr>
        <w:spacing w:line="360" w:lineRule="auto"/>
        <w:ind w:left="0" w:firstLineChars="200" w:firstLine="640"/>
        <w:rPr>
          <w:rFonts w:ascii="仿宋_GB2312" w:eastAsia="仿宋_GB2312" w:cs="仿宋_GB2312" w:hint="eastAsia"/>
          <w:b/>
          <w:bCs/>
          <w:kern w:val="0"/>
          <w:sz w:val="32"/>
          <w:szCs w:val="32"/>
        </w:rPr>
      </w:pPr>
      <w:r>
        <w:rPr>
          <w:rFonts w:ascii="仿宋_GB2312" w:eastAsia="仿宋_GB2312" w:cs="仿宋_GB2312" w:hint="eastAsia"/>
          <w:b/>
          <w:bCs/>
          <w:kern w:val="0"/>
          <w:sz w:val="32"/>
          <w:szCs w:val="32"/>
        </w:rPr>
        <w:t>人员概况</w:t>
      </w:r>
    </w:p>
    <w:p>
      <w:pPr>
        <w:ind w:firstLineChars="250" w:firstLine="800"/>
        <w:rPr>
          <w:rFonts w:ascii="仿宋_GB2312" w:eastAsia="仿宋_GB2312" w:cs="仿宋_GB2312"/>
          <w:sz w:val="32"/>
          <w:szCs w:val="32"/>
        </w:rPr>
      </w:pPr>
      <w:r>
        <w:rPr>
          <w:rFonts w:ascii="仿宋_GB2312" w:eastAsia="仿宋_GB2312" w:cs="仿宋_GB2312" w:hint="eastAsia"/>
          <w:kern w:val="0"/>
          <w:sz w:val="32"/>
          <w:szCs w:val="32"/>
        </w:rPr>
        <w:t>人员情况：总编制5名</w:t>
      </w:r>
      <w:r>
        <w:rPr>
          <w:rFonts w:ascii="仿宋_GB2312" w:eastAsia="仿宋_GB2312" w:cs="仿宋_GB2312"/>
          <w:kern w:val="0"/>
          <w:sz w:val="32"/>
          <w:szCs w:val="32"/>
        </w:rPr>
        <w:t>,</w:t>
      </w:r>
      <w:r>
        <w:rPr>
          <w:rFonts w:ascii="仿宋_GB2312" w:eastAsia="仿宋_GB2312" w:cs="仿宋_GB2312" w:hint="eastAsia"/>
          <w:kern w:val="0"/>
          <w:sz w:val="32"/>
          <w:szCs w:val="32"/>
        </w:rPr>
        <w:t>其中</w:t>
      </w:r>
      <w:r>
        <w:rPr>
          <w:rFonts w:ascii="仿宋_GB2312" w:eastAsia="仿宋_GB2312" w:cs="仿宋_GB2312"/>
          <w:kern w:val="0"/>
          <w:sz w:val="32"/>
          <w:szCs w:val="32"/>
        </w:rPr>
        <w:t>:</w:t>
      </w:r>
      <w:r>
        <w:rPr>
          <w:rFonts w:ascii="仿宋_GB2312" w:eastAsia="仿宋_GB2312" w:cs="仿宋_GB2312" w:hint="eastAsia"/>
          <w:kern w:val="0"/>
          <w:sz w:val="32"/>
          <w:szCs w:val="32"/>
        </w:rPr>
        <w:t>行政编制5人</w:t>
      </w:r>
      <w:r>
        <w:rPr>
          <w:rFonts w:ascii="仿宋_GB2312" w:eastAsia="仿宋_GB2312" w:cs="仿宋_GB2312" w:hint="eastAsia"/>
          <w:sz w:val="32"/>
          <w:szCs w:val="32"/>
        </w:rPr>
        <w:t>。</w:t>
      </w:r>
    </w:p>
    <w:p>
      <w:pPr>
        <w:spacing w:line="360" w:lineRule="auto"/>
        <w:ind w:firstLineChars="200" w:firstLine="640"/>
        <w:rPr>
          <w:rFonts w:ascii="仿宋_GB2312" w:eastAsia="仿宋_GB2312" w:cs="仿宋_GB2312" w:hint="eastAsia"/>
          <w:b/>
          <w:bCs/>
          <w:kern w:val="0"/>
          <w:sz w:val="32"/>
          <w:szCs w:val="32"/>
        </w:rPr>
      </w:pPr>
      <w:r>
        <w:rPr>
          <w:rFonts w:ascii="仿宋_GB2312" w:eastAsia="仿宋_GB2312" w:cs="仿宋_GB2312" w:hint="eastAsia"/>
          <w:b/>
          <w:bCs/>
          <w:kern w:val="0"/>
          <w:sz w:val="32"/>
          <w:szCs w:val="32"/>
        </w:rPr>
        <w:t>二、部门财政资金收支情况</w:t>
      </w:r>
    </w:p>
    <w:p>
      <w:pPr>
        <w:spacing w:line="360" w:lineRule="auto"/>
        <w:ind w:firstLineChars="200" w:firstLine="640"/>
        <w:rPr>
          <w:rFonts w:ascii="仿宋_GB2312" w:eastAsia="仿宋_GB2312" w:cs="仿宋_GB2312" w:hint="eastAsia"/>
          <w:b/>
          <w:bCs/>
          <w:sz w:val="32"/>
          <w:szCs w:val="32"/>
        </w:rPr>
      </w:pPr>
      <w:r>
        <w:rPr>
          <w:rFonts w:ascii="仿宋_GB2312" w:eastAsia="仿宋_GB2312" w:cs="仿宋_GB2312" w:hint="eastAsia"/>
          <w:b/>
          <w:bCs/>
          <w:sz w:val="32"/>
          <w:szCs w:val="32"/>
        </w:rPr>
        <w:t>（一）部门财政资金收入情况</w:t>
      </w:r>
    </w:p>
    <w:p>
      <w:pPr>
        <w:pStyle w:val="44"/>
        <w:spacing w:line="360" w:lineRule="auto"/>
        <w:rPr>
          <w:rFonts w:ascii="仿宋_GB2312" w:eastAsia="仿宋_GB2312" w:cs="仿宋_GB2312" w:hint="eastAsia"/>
          <w:sz w:val="32"/>
          <w:szCs w:val="32"/>
        </w:rPr>
      </w:pPr>
      <w:r>
        <w:rPr>
          <w:rFonts w:ascii="仿宋_GB2312" w:eastAsia="仿宋_GB2312" w:cs="仿宋_GB2312" w:hint="eastAsia"/>
          <w:sz w:val="32"/>
          <w:szCs w:val="32"/>
          <w:lang w:eastAsia="zh-CN"/>
        </w:rPr>
        <w:t>2023年</w:t>
      </w:r>
      <w:r>
        <w:rPr>
          <w:rFonts w:ascii="仿宋_GB2312" w:eastAsia="仿宋_GB2312" w:cs="仿宋_GB2312" w:hint="eastAsia"/>
          <w:sz w:val="32"/>
          <w:szCs w:val="32"/>
        </w:rPr>
        <w:t>财政下达壤塘县科学技术协会年初预算收入</w:t>
      </w:r>
      <w:r>
        <w:rPr>
          <w:rFonts w:ascii="仿宋_GB2312" w:eastAsia="仿宋_GB2312" w:cs="仿宋_GB2312" w:hint="eastAsia"/>
          <w:sz w:val="32"/>
          <w:szCs w:val="32"/>
          <w:lang w:val="en-US" w:eastAsia="zh-CN"/>
        </w:rPr>
        <w:t>114.96</w:t>
      </w:r>
      <w:r>
        <w:rPr>
          <w:rFonts w:ascii="仿宋_GB2312" w:eastAsia="仿宋_GB2312" w:cs="仿宋_GB2312" w:hint="eastAsia"/>
          <w:sz w:val="32"/>
          <w:szCs w:val="32"/>
        </w:rPr>
        <w:t>万元，执行期中追加收入</w:t>
      </w:r>
      <w:r>
        <w:rPr>
          <w:rFonts w:ascii="仿宋_GB2312" w:eastAsia="仿宋_GB2312" w:cs="仿宋_GB2312" w:hint="eastAsia"/>
          <w:sz w:val="32"/>
          <w:szCs w:val="32"/>
          <w:lang w:eastAsia="zh-CN"/>
        </w:rPr>
        <w:t>81.83</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全年实际收入合计为196.79万元，本年度无财政应返还额度</w:t>
      </w:r>
      <w:r>
        <w:rPr>
          <w:rFonts w:ascii="仿宋_GB2312" w:eastAsia="仿宋_GB2312" w:cs="仿宋_GB2312" w:hint="eastAsia"/>
          <w:sz w:val="32"/>
          <w:szCs w:val="32"/>
        </w:rPr>
        <w:t xml:space="preserve">。 </w:t>
      </w:r>
    </w:p>
    <w:p>
      <w:pPr>
        <w:pStyle w:val="44"/>
        <w:spacing w:line="360" w:lineRule="auto"/>
        <w:rPr>
          <w:rFonts w:ascii="仿宋_GB2312" w:eastAsia="仿宋_GB2312" w:cs="仿宋_GB2312" w:hint="eastAsia"/>
          <w:sz w:val="32"/>
          <w:szCs w:val="32"/>
        </w:rPr>
      </w:pPr>
      <w:r>
        <w:rPr>
          <w:rFonts w:ascii="仿宋_GB2312" w:eastAsia="仿宋_GB2312" w:cs="仿宋_GB2312" w:hint="eastAsia"/>
          <w:b/>
          <w:bCs/>
          <w:sz w:val="32"/>
          <w:szCs w:val="32"/>
        </w:rPr>
        <w:t>（二）部门财政资金支出情况</w:t>
      </w:r>
      <w:r>
        <w:rPr>
          <w:rFonts w:ascii="仿宋_GB2312" w:eastAsia="仿宋_GB2312" w:cs="仿宋_GB2312" w:hint="eastAsia"/>
          <w:sz w:val="32"/>
          <w:szCs w:val="32"/>
        </w:rPr>
        <w:t xml:space="preserve">  </w:t>
      </w:r>
    </w:p>
    <w:p>
      <w:pPr>
        <w:pStyle w:val="44"/>
        <w:spacing w:line="360" w:lineRule="auto"/>
        <w:rPr>
          <w:rFonts w:ascii="仿宋_GB2312" w:eastAsia="仿宋_GB2312" w:cs="仿宋_GB2312" w:hint="eastAsia"/>
          <w:sz w:val="32"/>
          <w:szCs w:val="32"/>
        </w:rPr>
      </w:pPr>
      <w:r>
        <w:rPr>
          <w:rFonts w:ascii="仿宋_GB2312" w:eastAsia="仿宋_GB2312" w:cs="仿宋_GB2312" w:hint="eastAsia"/>
          <w:sz w:val="32"/>
          <w:szCs w:val="32"/>
          <w:lang w:eastAsia="zh-CN"/>
        </w:rPr>
        <w:t>2023年</w:t>
      </w:r>
      <w:r>
        <w:rPr>
          <w:rFonts w:ascii="仿宋_GB2312" w:eastAsia="仿宋_GB2312" w:cs="仿宋_GB2312" w:hint="eastAsia"/>
          <w:sz w:val="32"/>
          <w:szCs w:val="32"/>
        </w:rPr>
        <w:t>壤塘县科学技术协会支出全年预算数共计</w:t>
      </w:r>
      <w:r>
        <w:rPr>
          <w:rFonts w:ascii="仿宋_GB2312" w:eastAsia="仿宋_GB2312" w:cs="仿宋_GB2312" w:hint="eastAsia"/>
          <w:sz w:val="32"/>
          <w:szCs w:val="32"/>
          <w:lang w:eastAsia="zh-CN"/>
        </w:rPr>
        <w:t>196.79</w:t>
      </w:r>
      <w:r>
        <w:rPr>
          <w:rFonts w:ascii="仿宋_GB2312" w:eastAsia="仿宋_GB2312" w:cs="仿宋_GB2312" w:hint="eastAsia"/>
          <w:sz w:val="32"/>
          <w:szCs w:val="32"/>
        </w:rPr>
        <w:t>万元，其中基本支出</w:t>
      </w:r>
      <w:r>
        <w:rPr>
          <w:rFonts w:ascii="仿宋_GB2312" w:eastAsia="仿宋_GB2312" w:cs="仿宋_GB2312" w:hint="eastAsia"/>
          <w:sz w:val="32"/>
          <w:szCs w:val="32"/>
          <w:lang w:val="en-US" w:eastAsia="zh-CN"/>
        </w:rPr>
        <w:t>159.90</w:t>
      </w:r>
      <w:r>
        <w:rPr>
          <w:rFonts w:ascii="仿宋_GB2312" w:eastAsia="仿宋_GB2312" w:cs="仿宋_GB2312" w:hint="eastAsia"/>
          <w:sz w:val="32"/>
          <w:szCs w:val="32"/>
        </w:rPr>
        <w:t>万元，项目支出</w:t>
      </w:r>
      <w:r>
        <w:rPr>
          <w:rFonts w:ascii="仿宋_GB2312" w:eastAsia="仿宋_GB2312" w:cs="仿宋_GB2312" w:hint="eastAsia"/>
          <w:sz w:val="32"/>
          <w:szCs w:val="32"/>
          <w:lang w:val="en-US" w:eastAsia="zh-CN"/>
        </w:rPr>
        <w:t>36.88</w:t>
      </w:r>
      <w:r>
        <w:rPr>
          <w:rFonts w:ascii="仿宋_GB2312" w:eastAsia="仿宋_GB2312" w:cs="仿宋_GB2312" w:hint="eastAsia"/>
          <w:sz w:val="32"/>
          <w:szCs w:val="32"/>
        </w:rPr>
        <w:t>万元。</w:t>
      </w:r>
    </w:p>
    <w:p>
      <w:pPr>
        <w:spacing w:line="360" w:lineRule="auto"/>
        <w:ind w:firstLineChars="200" w:firstLine="640"/>
        <w:rPr>
          <w:rFonts w:ascii="仿宋_GB2312" w:eastAsia="仿宋_GB2312" w:cs="仿宋_GB2312" w:hint="eastAsia"/>
          <w:b/>
          <w:bCs/>
          <w:kern w:val="0"/>
          <w:sz w:val="32"/>
          <w:szCs w:val="32"/>
        </w:rPr>
      </w:pPr>
      <w:r>
        <w:rPr>
          <w:rFonts w:ascii="仿宋_GB2312" w:eastAsia="仿宋_GB2312" w:cs="仿宋_GB2312" w:hint="eastAsia"/>
          <w:b/>
          <w:bCs/>
          <w:kern w:val="0"/>
          <w:sz w:val="32"/>
          <w:szCs w:val="32"/>
        </w:rPr>
        <w:t>三、部门整体预算绩效管理情况</w:t>
      </w:r>
    </w:p>
    <w:p>
      <w:pPr>
        <w:pStyle w:val="44"/>
        <w:spacing w:line="360" w:lineRule="auto"/>
        <w:rPr>
          <w:rFonts w:ascii="仿宋_GB2312" w:eastAsia="仿宋_GB2312" w:cs="仿宋_GB2312" w:hint="eastAsia"/>
          <w:b/>
          <w:bCs/>
          <w:kern w:val="0"/>
          <w:sz w:val="32"/>
          <w:szCs w:val="32"/>
        </w:rPr>
      </w:pPr>
      <w:r>
        <w:rPr>
          <w:rFonts w:ascii="仿宋_GB2312" w:eastAsia="仿宋_GB2312" w:cs="仿宋_GB2312" w:hint="eastAsia"/>
          <w:b/>
          <w:bCs/>
          <w:kern w:val="0"/>
          <w:sz w:val="32"/>
          <w:szCs w:val="32"/>
        </w:rPr>
        <w:t>（一）部门预算管理</w:t>
      </w:r>
    </w:p>
    <w:p>
      <w:pPr>
        <w:pStyle w:val="44"/>
        <w:spacing w:line="360" w:lineRule="auto"/>
        <w:rPr>
          <w:rFonts w:ascii="仿宋_GB2312" w:eastAsia="仿宋_GB2312" w:cs="仿宋_GB2312" w:hint="eastAsia"/>
          <w:b/>
          <w:bCs/>
          <w:kern w:val="0"/>
          <w:sz w:val="32"/>
          <w:szCs w:val="32"/>
        </w:rPr>
      </w:pPr>
      <w:r>
        <w:rPr>
          <w:rFonts w:ascii="仿宋_GB2312" w:eastAsia="仿宋_GB2312" w:cs="仿宋_GB2312" w:hint="eastAsia"/>
          <w:b/>
          <w:bCs/>
          <w:kern w:val="0"/>
          <w:sz w:val="32"/>
          <w:szCs w:val="32"/>
        </w:rPr>
        <w:t>1.部门整体绩效目标制定情况</w:t>
      </w:r>
    </w:p>
    <w:p>
      <w:pPr>
        <w:pStyle w:val="44"/>
        <w:spacing w:line="360" w:lineRule="auto"/>
        <w:rPr>
          <w:rFonts w:ascii="仿宋_GB2312" w:eastAsia="仿宋_GB2312" w:cs="仿宋_GB2312"/>
          <w:sz w:val="32"/>
          <w:szCs w:val="32"/>
        </w:rPr>
      </w:pPr>
      <w:r>
        <w:rPr>
          <w:rFonts w:ascii="仿宋_GB2312" w:eastAsia="仿宋_GB2312" w:cs="仿宋_GB2312"/>
          <w:sz w:val="32"/>
          <w:szCs w:val="32"/>
        </w:rPr>
        <w:t>县科协紧紧围绕</w:t>
      </w:r>
      <w:r>
        <w:rPr>
          <w:rFonts w:ascii="仿宋_GB2312" w:eastAsia="仿宋_GB2312" w:cs="仿宋_GB2312" w:hint="eastAsia"/>
          <w:sz w:val="32"/>
          <w:szCs w:val="32"/>
        </w:rPr>
        <w:t>县委</w:t>
      </w:r>
      <w:r>
        <w:rPr>
          <w:rFonts w:ascii="仿宋_GB2312" w:eastAsia="仿宋_GB2312" w:cs="仿宋_GB2312"/>
          <w:sz w:val="32"/>
          <w:szCs w:val="32"/>
        </w:rPr>
        <w:t>县</w:t>
      </w:r>
      <w:r>
        <w:rPr>
          <w:rFonts w:ascii="仿宋_GB2312" w:eastAsia="仿宋_GB2312" w:cs="仿宋_GB2312" w:hint="eastAsia"/>
          <w:sz w:val="32"/>
          <w:szCs w:val="32"/>
        </w:rPr>
        <w:t>政府</w:t>
      </w:r>
      <w:r>
        <w:rPr>
          <w:rFonts w:ascii="仿宋_GB2312" w:eastAsia="仿宋_GB2312" w:cs="仿宋_GB2312"/>
          <w:sz w:val="32"/>
          <w:szCs w:val="32"/>
        </w:rPr>
        <w:t>工作总体目标，团结、依靠广大科技工作者，发挥科协人才荟萃和健全的科普网络优势，积极开展科普宣传、科技咨询、科技示范和农村实用技术培训，促进科学技术与生产力的结合，为我县经济社会可持续发展做好服务工作</w:t>
      </w:r>
      <w:r>
        <w:rPr>
          <w:rFonts w:ascii="仿宋_GB2312" w:eastAsia="仿宋_GB2312" w:cs="仿宋_GB2312" w:hint="eastAsia"/>
          <w:sz w:val="32"/>
          <w:szCs w:val="32"/>
        </w:rPr>
        <w:t>。</w:t>
      </w:r>
    </w:p>
    <w:p>
      <w:pPr>
        <w:pStyle w:val="44"/>
        <w:spacing w:line="360" w:lineRule="auto"/>
        <w:rPr>
          <w:rFonts w:ascii="仿宋_GB2312" w:eastAsia="仿宋_GB2312" w:cs="仿宋_GB2312" w:hint="eastAsia"/>
          <w:b/>
          <w:bCs/>
          <w:kern w:val="0"/>
          <w:sz w:val="32"/>
          <w:szCs w:val="32"/>
        </w:rPr>
      </w:pPr>
      <w:r>
        <w:rPr>
          <w:rFonts w:ascii="仿宋_GB2312" w:eastAsia="仿宋_GB2312" w:cs="仿宋_GB2312" w:hint="eastAsia"/>
          <w:b/>
          <w:bCs/>
          <w:kern w:val="0"/>
          <w:sz w:val="32"/>
          <w:szCs w:val="32"/>
        </w:rPr>
        <w:t>2.部门整体绩效目标完成情况</w:t>
      </w:r>
    </w:p>
    <w:p>
      <w:pPr>
        <w:pStyle w:val="44"/>
        <w:spacing w:line="360" w:lineRule="auto"/>
        <w:rPr>
          <w:rFonts w:ascii="仿宋_GB2312" w:eastAsia="仿宋_GB2312" w:cs="仿宋_GB2312" w:hint="eastAsia"/>
          <w:sz w:val="32"/>
          <w:szCs w:val="32"/>
        </w:rPr>
      </w:pPr>
      <w:r>
        <w:rPr>
          <w:rFonts w:ascii="仿宋_GB2312" w:eastAsia="仿宋_GB2312" w:cs="仿宋_GB2312" w:hint="eastAsia"/>
          <w:b w:val="0"/>
          <w:bCs w:val="0"/>
          <w:sz w:val="32"/>
          <w:szCs w:val="32"/>
          <w:lang w:val="en-US" w:eastAsia="zh-CN"/>
        </w:rPr>
        <w:t>（1）组织全县师生参加首届阿坝州青少年科技创新大赛暨机器人大赛，全县师生参赛获得了理想的成绩。</w:t>
      </w:r>
      <w:r>
        <w:rPr>
          <w:rFonts w:ascii="仿宋_GB2312" w:eastAsia="仿宋_GB2312" w:cs="仿宋_GB2312" w:hint="eastAsia"/>
          <w:b w:val="0"/>
          <w:bCs w:val="0"/>
          <w:sz w:val="32"/>
          <w:szCs w:val="32"/>
        </w:rPr>
        <w:t>其中一等奖</w:t>
      </w:r>
      <w:r>
        <w:rPr>
          <w:rFonts w:ascii="仿宋_GB2312" w:eastAsia="仿宋_GB2312" w:cs="仿宋_GB2312" w:hint="eastAsia"/>
          <w:b w:val="0"/>
          <w:bCs w:val="0"/>
          <w:sz w:val="32"/>
          <w:szCs w:val="32"/>
          <w:lang w:val="en-US" w:eastAsia="zh-CN"/>
        </w:rPr>
        <w:t>1</w:t>
      </w:r>
      <w:r>
        <w:rPr>
          <w:rFonts w:ascii="仿宋_GB2312" w:eastAsia="仿宋_GB2312" w:cs="仿宋_GB2312" w:hint="eastAsia"/>
          <w:b w:val="0"/>
          <w:bCs w:val="0"/>
          <w:sz w:val="32"/>
          <w:szCs w:val="32"/>
        </w:rPr>
        <w:t>个，二等奖</w:t>
      </w:r>
      <w:r>
        <w:rPr>
          <w:rFonts w:ascii="仿宋_GB2312" w:eastAsia="仿宋_GB2312" w:cs="仿宋_GB2312" w:hint="eastAsia"/>
          <w:b w:val="0"/>
          <w:bCs w:val="0"/>
          <w:sz w:val="32"/>
          <w:szCs w:val="32"/>
          <w:lang w:val="en-US" w:eastAsia="zh-CN"/>
        </w:rPr>
        <w:t>4</w:t>
      </w:r>
      <w:r>
        <w:rPr>
          <w:rFonts w:ascii="仿宋_GB2312" w:eastAsia="仿宋_GB2312" w:cs="仿宋_GB2312" w:hint="eastAsia"/>
          <w:b w:val="0"/>
          <w:bCs w:val="0"/>
          <w:sz w:val="32"/>
          <w:szCs w:val="32"/>
        </w:rPr>
        <w:t>个，三等奖</w:t>
      </w:r>
      <w:r>
        <w:rPr>
          <w:rFonts w:ascii="仿宋_GB2312" w:eastAsia="仿宋_GB2312" w:cs="仿宋_GB2312" w:hint="eastAsia"/>
          <w:b w:val="0"/>
          <w:bCs w:val="0"/>
          <w:sz w:val="32"/>
          <w:szCs w:val="32"/>
          <w:lang w:val="en-US" w:eastAsia="zh-CN"/>
        </w:rPr>
        <w:t>5</w:t>
      </w:r>
      <w:r>
        <w:rPr>
          <w:rFonts w:ascii="仿宋_GB2312" w:eastAsia="仿宋_GB2312" w:cs="仿宋_GB2312" w:hint="eastAsia"/>
          <w:b w:val="0"/>
          <w:bCs w:val="0"/>
          <w:sz w:val="32"/>
          <w:szCs w:val="32"/>
        </w:rPr>
        <w:t>个。为</w:t>
      </w:r>
      <w:r>
        <w:rPr>
          <w:rFonts w:ascii="仿宋_GB2312" w:eastAsia="仿宋_GB2312" w:cs="仿宋_GB2312" w:hint="eastAsia"/>
          <w:b w:val="0"/>
          <w:bCs w:val="0"/>
          <w:sz w:val="32"/>
          <w:szCs w:val="32"/>
          <w:lang w:eastAsia="zh-CN"/>
        </w:rPr>
        <w:t>有创造力的师生</w:t>
      </w:r>
      <w:r>
        <w:rPr>
          <w:rFonts w:ascii="仿宋_GB2312" w:eastAsia="仿宋_GB2312" w:cs="仿宋_GB2312" w:hint="eastAsia"/>
          <w:b w:val="0"/>
          <w:bCs w:val="0"/>
          <w:sz w:val="32"/>
          <w:szCs w:val="32"/>
        </w:rPr>
        <w:t>提供交流平台</w:t>
      </w:r>
      <w:r>
        <w:rPr>
          <w:rFonts w:ascii="仿宋_GB2312" w:eastAsia="仿宋_GB2312" w:cs="仿宋_GB2312"/>
          <w:b w:val="0"/>
          <w:bCs w:val="0"/>
          <w:sz w:val="32"/>
          <w:szCs w:val="32"/>
        </w:rPr>
        <w:t>。</w:t>
      </w:r>
      <w:r>
        <w:rPr>
          <w:rFonts w:ascii="仿宋_GB2312" w:eastAsia="仿宋_GB2312" w:cs="仿宋_GB2312" w:hint="eastAsia"/>
          <w:b w:val="0"/>
          <w:bCs w:val="0"/>
          <w:sz w:val="32"/>
          <w:szCs w:val="32"/>
        </w:rPr>
        <w:t>对获得二等奖以上作品</w:t>
      </w:r>
      <w:r>
        <w:rPr>
          <w:rFonts w:ascii="仿宋_GB2312" w:eastAsia="仿宋_GB2312" w:cs="仿宋_GB2312" w:hint="eastAsia"/>
          <w:b w:val="0"/>
          <w:bCs w:val="0"/>
          <w:sz w:val="32"/>
          <w:szCs w:val="32"/>
          <w:lang w:eastAsia="zh-CN"/>
        </w:rPr>
        <w:t>人员全部带到汶川现场进行科创作品</w:t>
      </w:r>
      <w:r>
        <w:rPr>
          <w:rFonts w:ascii="仿宋_GB2312" w:eastAsia="仿宋_GB2312" w:cs="仿宋_GB2312" w:hint="eastAsia"/>
          <w:b w:val="0"/>
          <w:bCs w:val="0"/>
          <w:sz w:val="32"/>
          <w:szCs w:val="32"/>
        </w:rPr>
        <w:t>现场演示，供同学们观摩、学习。</w:t>
      </w:r>
    </w:p>
    <w:p>
      <w:pPr>
        <w:pStyle w:val="44"/>
        <w:keepNext w:val="0"/>
        <w:keepLines w:val="0"/>
        <w:pageBreakBefore w:val="0"/>
        <w:widowControl w:val="0"/>
        <w:kinsoku/>
        <w:wordWrap/>
        <w:overflowPunct/>
        <w:topLinePunct w:val="0"/>
        <w:autoSpaceDE/>
        <w:autoSpaceDN/>
        <w:bidi w:val="0"/>
        <w:adjustRightInd/>
        <w:snapToGrid/>
        <w:spacing w:line="240" w:lineRule="auto"/>
        <w:ind w:firstLineChars="200" w:firstLine="640"/>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（3）组织全县智慧科普员工作培训会。县科协邀请省科协老师对11个乡镇科普管理员、53个村科普员进行了业务培训，科普员结合自身工作，围绕</w:t>
      </w:r>
      <w:r>
        <w:rPr>
          <w:rFonts w:ascii="仿宋_GB2312" w:eastAsia="仿宋_GB2312" w:cs="仿宋_GB2312"/>
          <w:b w:val="0"/>
          <w:bCs w:val="0"/>
          <w:sz w:val="32"/>
          <w:szCs w:val="32"/>
          <w:lang w:val="en-US" w:eastAsia="zh-CN"/>
        </w:rPr>
        <w:t>全县重点工作</w:t>
      </w:r>
      <w:r>
        <w:rPr>
          <w:rFonts w:ascii="仿宋_GB2312" w:eastAsia="仿宋_GB2312" w:cs="仿宋_GB2312" w:hint="eastAsia"/>
          <w:b w:val="0"/>
          <w:bCs w:val="0"/>
          <w:sz w:val="32"/>
          <w:szCs w:val="32"/>
          <w:lang w:val="en-US" w:eastAsia="zh-CN"/>
        </w:rPr>
        <w:t>交流成绩和经验。</w:t>
      </w:r>
    </w:p>
    <w:p>
      <w:pPr>
        <w:pStyle w:val="44"/>
        <w:keepNext w:val="0"/>
        <w:keepLines w:val="0"/>
        <w:pageBreakBefore w:val="0"/>
        <w:widowControl w:val="0"/>
        <w:kinsoku/>
        <w:wordWrap/>
        <w:overflowPunct/>
        <w:topLinePunct w:val="0"/>
        <w:autoSpaceDE/>
        <w:autoSpaceDN/>
        <w:bidi w:val="0"/>
        <w:adjustRightInd/>
        <w:snapToGrid/>
        <w:spacing w:line="240" w:lineRule="auto"/>
        <w:ind w:firstLineChars="200" w:firstLine="640"/>
        <w:textAlignment w:val="auto"/>
        <w:rPr>
          <w:rFonts w:ascii="仿宋_GB2312" w:eastAsia="仿宋_GB2312" w:cs="仿宋_GB2312" w:hint="eastAsia"/>
          <w:sz w:val="32"/>
          <w:szCs w:val="32"/>
        </w:rPr>
      </w:pPr>
      <w:r>
        <w:rPr>
          <w:rFonts w:ascii="仿宋_GB2312" w:eastAsia="仿宋_GB2312" w:cs="仿宋_GB2312" w:hint="eastAsia"/>
          <w:b w:val="0"/>
          <w:bCs w:val="0"/>
          <w:sz w:val="32"/>
          <w:szCs w:val="32"/>
          <w:lang w:val="en-US" w:eastAsia="zh-CN"/>
        </w:rPr>
        <w:t>（4）经多方努力筹集资金、收编印发了一万余册《中药材种植技术》《牛羊疫病防治手册》科普手册，发放到全县农牧民手中</w:t>
      </w:r>
      <w:r>
        <w:rPr>
          <w:rFonts w:ascii="仿宋_GB2312" w:eastAsia="仿宋_GB2312" w:cs="仿宋_GB2312" w:hint="eastAsia"/>
          <w:sz w:val="32"/>
          <w:szCs w:val="32"/>
        </w:rPr>
        <w:t>。</w:t>
      </w:r>
    </w:p>
    <w:p>
      <w:pPr>
        <w:pStyle w:val="44"/>
        <w:spacing w:line="360" w:lineRule="auto"/>
        <w:rPr>
          <w:rFonts w:ascii="仿宋_GB2312" w:eastAsia="仿宋_GB2312" w:cs="仿宋_GB2312" w:hint="eastAsia"/>
          <w:b/>
          <w:bCs/>
          <w:sz w:val="32"/>
          <w:szCs w:val="32"/>
        </w:rPr>
      </w:pPr>
      <w:r>
        <w:rPr>
          <w:rFonts w:ascii="仿宋_GB2312" w:eastAsia="仿宋_GB2312" w:cs="仿宋_GB2312" w:hint="eastAsia"/>
          <w:b/>
          <w:bCs/>
          <w:sz w:val="32"/>
          <w:szCs w:val="32"/>
        </w:rPr>
        <w:t>3.预算编制情况</w:t>
      </w:r>
    </w:p>
    <w:p>
      <w:pPr>
        <w:pStyle w:val="44"/>
        <w:spacing w:line="360" w:lineRule="auto"/>
        <w:rPr>
          <w:rFonts w:ascii="仿宋_GB2312" w:eastAsia="仿宋_GB2312" w:cs="仿宋_GB2312"/>
          <w:sz w:val="32"/>
          <w:szCs w:val="32"/>
        </w:rPr>
      </w:pPr>
      <w:r>
        <w:rPr>
          <w:rFonts w:ascii="仿宋_GB2312" w:eastAsia="仿宋_GB2312" w:cs="仿宋_GB2312" w:hint="eastAsia"/>
          <w:sz w:val="32"/>
          <w:szCs w:val="32"/>
          <w:lang w:eastAsia="zh-CN"/>
        </w:rPr>
        <w:t>2023年</w:t>
      </w:r>
      <w:r>
        <w:rPr>
          <w:rFonts w:ascii="仿宋_GB2312" w:eastAsia="仿宋_GB2312" w:cs="仿宋_GB2312" w:hint="eastAsia"/>
          <w:sz w:val="32"/>
          <w:szCs w:val="32"/>
        </w:rPr>
        <w:t>壤塘县科学技术协会</w:t>
      </w:r>
      <w:r>
        <w:rPr>
          <w:rFonts w:ascii="仿宋_GB2312" w:eastAsia="仿宋_GB2312" w:cs="仿宋_GB2312"/>
          <w:sz w:val="32"/>
          <w:szCs w:val="32"/>
        </w:rPr>
        <w:t>年初预算数为</w:t>
      </w:r>
      <w:r>
        <w:rPr>
          <w:rFonts w:ascii="仿宋_GB2312" w:eastAsia="仿宋_GB2312" w:cs="仿宋_GB2312" w:hint="eastAsia"/>
          <w:sz w:val="32"/>
          <w:szCs w:val="32"/>
          <w:lang w:val="en-US" w:eastAsia="zh-CN"/>
        </w:rPr>
        <w:t>114.96</w:t>
      </w:r>
      <w:r>
        <w:rPr>
          <w:rFonts w:ascii="仿宋_GB2312" w:eastAsia="仿宋_GB2312" w:cs="仿宋_GB2312"/>
          <w:sz w:val="32"/>
          <w:szCs w:val="32"/>
        </w:rPr>
        <w:t>万元，</w:t>
      </w:r>
      <w:r>
        <w:rPr>
          <w:rFonts w:ascii="仿宋_GB2312" w:eastAsia="仿宋_GB2312" w:cs="仿宋_GB2312" w:hint="eastAsia"/>
          <w:sz w:val="32"/>
          <w:szCs w:val="32"/>
        </w:rPr>
        <w:t>执行期间根据工作安排和开展情况追加收入</w:t>
      </w:r>
      <w:r>
        <w:rPr>
          <w:rFonts w:ascii="仿宋_GB2312" w:eastAsia="仿宋_GB2312" w:cs="仿宋_GB2312" w:hint="eastAsia"/>
          <w:sz w:val="32"/>
          <w:szCs w:val="32"/>
          <w:lang w:eastAsia="zh-CN"/>
        </w:rPr>
        <w:t>81.83</w:t>
      </w:r>
      <w:r>
        <w:rPr>
          <w:rFonts w:ascii="仿宋_GB2312" w:eastAsia="仿宋_GB2312" w:cs="仿宋_GB2312" w:hint="eastAsia"/>
          <w:sz w:val="32"/>
          <w:szCs w:val="32"/>
        </w:rPr>
        <w:t>万元，</w:t>
      </w:r>
      <w:r>
        <w:rPr>
          <w:rFonts w:ascii="仿宋_GB2312" w:eastAsia="仿宋_GB2312" w:cs="仿宋_GB2312"/>
          <w:sz w:val="32"/>
          <w:szCs w:val="32"/>
        </w:rPr>
        <w:t>调整预算数为</w:t>
      </w:r>
      <w:r>
        <w:rPr>
          <w:rFonts w:ascii="仿宋_GB2312" w:eastAsia="仿宋_GB2312" w:cs="仿宋_GB2312" w:hint="eastAsia"/>
          <w:sz w:val="32"/>
          <w:szCs w:val="32"/>
          <w:lang w:val="en-US" w:eastAsia="zh-CN"/>
        </w:rPr>
        <w:t>196.79</w:t>
      </w:r>
      <w:r>
        <w:rPr>
          <w:rFonts w:ascii="仿宋_GB2312" w:eastAsia="仿宋_GB2312" w:cs="仿宋_GB2312"/>
          <w:sz w:val="32"/>
          <w:szCs w:val="32"/>
        </w:rPr>
        <w:t>万元，</w:t>
      </w:r>
      <w:r>
        <w:rPr>
          <w:rFonts w:ascii="仿宋_GB2312" w:eastAsia="仿宋_GB2312" w:cs="仿宋_GB2312" w:hint="eastAsia"/>
          <w:sz w:val="32"/>
          <w:szCs w:val="32"/>
        </w:rPr>
        <w:t>年末无结转结余，</w:t>
      </w:r>
      <w:r>
        <w:rPr>
          <w:rFonts w:ascii="仿宋_GB2312" w:eastAsia="仿宋_GB2312" w:cs="仿宋_GB2312"/>
          <w:sz w:val="32"/>
          <w:szCs w:val="32"/>
        </w:rPr>
        <w:t>预算安排准确。</w:t>
      </w:r>
    </w:p>
    <w:p>
      <w:pPr>
        <w:pStyle w:val="44"/>
        <w:spacing w:line="360" w:lineRule="auto"/>
        <w:rPr>
          <w:rFonts w:ascii="仿宋_GB2312" w:eastAsia="仿宋_GB2312" w:cs="仿宋_GB2312" w:hint="eastAsia"/>
          <w:b/>
          <w:bCs/>
          <w:kern w:val="0"/>
          <w:sz w:val="32"/>
          <w:szCs w:val="32"/>
        </w:rPr>
      </w:pPr>
      <w:r>
        <w:rPr>
          <w:rFonts w:ascii="仿宋_GB2312" w:eastAsia="仿宋_GB2312" w:cs="仿宋_GB2312" w:hint="eastAsia"/>
          <w:b/>
          <w:bCs/>
          <w:kern w:val="0"/>
          <w:sz w:val="32"/>
          <w:szCs w:val="32"/>
        </w:rPr>
        <w:t>4.执行进度</w:t>
      </w:r>
    </w:p>
    <w:p>
      <w:pPr>
        <w:pStyle w:val="44"/>
        <w:spacing w:line="360" w:lineRule="auto"/>
        <w:rPr>
          <w:rFonts w:ascii="仿宋_GB2312" w:eastAsia="仿宋_GB2312" w:cs="仿宋_GB2312" w:hint="eastAsia"/>
          <w:sz w:val="32"/>
          <w:szCs w:val="32"/>
        </w:rPr>
      </w:pPr>
      <w:r>
        <w:rPr>
          <w:rFonts w:ascii="仿宋_GB2312" w:eastAsia="仿宋_GB2312" w:cs="仿宋_GB2312" w:hint="eastAsia"/>
          <w:sz w:val="32"/>
          <w:szCs w:val="32"/>
          <w:lang w:eastAsia="zh-CN"/>
        </w:rPr>
        <w:t>2023年</w:t>
      </w:r>
      <w:r>
        <w:rPr>
          <w:rFonts w:ascii="仿宋_GB2312" w:eastAsia="仿宋_GB2312" w:cs="仿宋_GB2312" w:hint="eastAsia"/>
          <w:sz w:val="32"/>
          <w:szCs w:val="32"/>
        </w:rPr>
        <w:t>壤塘县科学技术协会财政拨款执行数</w:t>
      </w:r>
      <w:r>
        <w:rPr>
          <w:rFonts w:ascii="仿宋_GB2312" w:eastAsia="仿宋_GB2312" w:cs="仿宋_GB2312" w:hint="eastAsia"/>
          <w:sz w:val="32"/>
          <w:szCs w:val="32"/>
          <w:lang w:eastAsia="zh-CN"/>
        </w:rPr>
        <w:t>196.79</w:t>
      </w:r>
      <w:r>
        <w:rPr>
          <w:rFonts w:ascii="仿宋_GB2312" w:eastAsia="仿宋_GB2312" w:cs="仿宋_GB2312" w:hint="eastAsia"/>
          <w:sz w:val="32"/>
          <w:szCs w:val="32"/>
        </w:rPr>
        <w:t>万元，财政拨款调整预算数</w:t>
      </w:r>
      <w:r>
        <w:rPr>
          <w:rFonts w:ascii="仿宋_GB2312" w:eastAsia="仿宋_GB2312" w:cs="仿宋_GB2312" w:hint="eastAsia"/>
          <w:sz w:val="32"/>
          <w:szCs w:val="32"/>
          <w:lang w:val="en-US" w:eastAsia="zh-CN"/>
        </w:rPr>
        <w:t>196.79</w:t>
      </w:r>
      <w:r>
        <w:rPr>
          <w:rFonts w:ascii="仿宋_GB2312" w:eastAsia="仿宋_GB2312" w:cs="仿宋_GB2312" w:hint="eastAsia"/>
          <w:sz w:val="32"/>
          <w:szCs w:val="32"/>
        </w:rPr>
        <w:t>万元，</w:t>
      </w:r>
      <w:r>
        <w:rPr>
          <w:rFonts w:ascii="仿宋_GB2312" w:eastAsia="仿宋_GB2312" w:cs="仿宋_GB2312" w:hint="eastAsia"/>
          <w:sz w:val="32"/>
          <w:szCs w:val="32"/>
          <w:lang w:val="en-US" w:eastAsia="zh-CN"/>
        </w:rPr>
        <w:t>执行进度为100%，</w:t>
      </w:r>
      <w:r>
        <w:rPr>
          <w:rFonts w:ascii="仿宋_GB2312" w:eastAsia="仿宋_GB2312" w:cs="仿宋_GB2312" w:hint="eastAsia"/>
          <w:sz w:val="32"/>
          <w:szCs w:val="32"/>
        </w:rPr>
        <w:t>执行进度</w:t>
      </w:r>
      <w:r>
        <w:rPr>
          <w:rFonts w:ascii="仿宋_GB2312" w:eastAsia="仿宋_GB2312" w:cs="仿宋_GB2312" w:hint="eastAsia"/>
          <w:sz w:val="32"/>
          <w:szCs w:val="32"/>
          <w:lang w:val="en-US" w:eastAsia="zh-CN"/>
        </w:rPr>
        <w:t>较</w:t>
      </w:r>
      <w:r>
        <w:rPr>
          <w:rFonts w:ascii="仿宋_GB2312" w:eastAsia="仿宋_GB2312" w:cs="仿宋_GB2312" w:hint="eastAsia"/>
          <w:sz w:val="32"/>
          <w:szCs w:val="32"/>
        </w:rPr>
        <w:t>高。</w:t>
      </w:r>
    </w:p>
    <w:p>
      <w:pPr>
        <w:pStyle w:val="44"/>
        <w:spacing w:line="360" w:lineRule="auto"/>
        <w:rPr>
          <w:rFonts w:ascii="仿宋_GB2312" w:eastAsia="仿宋_GB2312" w:cs="仿宋_GB2312" w:hint="eastAsia"/>
          <w:b/>
          <w:bCs/>
          <w:sz w:val="32"/>
          <w:szCs w:val="32"/>
        </w:rPr>
      </w:pPr>
      <w:r>
        <w:rPr>
          <w:rFonts w:ascii="仿宋_GB2312" w:eastAsia="仿宋_GB2312" w:cs="仿宋_GB2312" w:hint="eastAsia"/>
          <w:b/>
          <w:bCs/>
          <w:sz w:val="32"/>
          <w:szCs w:val="32"/>
        </w:rPr>
        <w:t>5.预算完成情况</w:t>
      </w:r>
    </w:p>
    <w:p>
      <w:pPr>
        <w:pStyle w:val="44"/>
        <w:spacing w:line="360" w:lineRule="auto"/>
        <w:rPr>
          <w:rFonts w:ascii="仿宋_GB2312" w:eastAsia="仿宋_GB2312" w:cs="仿宋_GB2312"/>
          <w:b/>
          <w:bCs/>
          <w:sz w:val="32"/>
          <w:szCs w:val="32"/>
        </w:rPr>
      </w:pPr>
      <w:r>
        <w:rPr>
          <w:rFonts w:ascii="仿宋_GB2312" w:eastAsia="仿宋_GB2312" w:cs="仿宋_GB2312" w:hint="eastAsia"/>
          <w:sz w:val="32"/>
          <w:szCs w:val="32"/>
          <w:lang w:eastAsia="zh-CN"/>
        </w:rPr>
        <w:t>2023</w:t>
      </w:r>
      <w:r>
        <w:rPr>
          <w:rFonts w:ascii="仿宋_GB2312" w:eastAsia="仿宋_GB2312" w:cs="仿宋_GB2312" w:hint="eastAsia"/>
          <w:sz w:val="32"/>
          <w:szCs w:val="32"/>
        </w:rPr>
        <w:t>壤塘县科学技术协会</w:t>
      </w:r>
      <w:r>
        <w:rPr>
          <w:rFonts w:ascii="仿宋_GB2312" w:eastAsia="仿宋_GB2312" w:cs="仿宋_GB2312"/>
          <w:sz w:val="32"/>
          <w:szCs w:val="32"/>
        </w:rPr>
        <w:t>年初预算数为</w:t>
      </w:r>
      <w:r>
        <w:rPr>
          <w:rFonts w:ascii="仿宋_GB2312" w:eastAsia="仿宋_GB2312" w:cs="仿宋_GB2312" w:hint="eastAsia"/>
          <w:sz w:val="32"/>
          <w:szCs w:val="32"/>
          <w:lang w:val="en-US" w:eastAsia="zh-CN"/>
        </w:rPr>
        <w:t>114.96</w:t>
      </w:r>
      <w:r>
        <w:rPr>
          <w:rFonts w:ascii="仿宋_GB2312" w:eastAsia="仿宋_GB2312" w:cs="仿宋_GB2312"/>
          <w:sz w:val="32"/>
          <w:szCs w:val="32"/>
        </w:rPr>
        <w:t>万元，</w:t>
      </w:r>
      <w:r>
        <w:rPr>
          <w:rFonts w:ascii="仿宋_GB2312" w:eastAsia="仿宋_GB2312" w:cs="仿宋_GB2312" w:hint="eastAsia"/>
          <w:sz w:val="32"/>
          <w:szCs w:val="32"/>
        </w:rPr>
        <w:t>执行期间根据工作安排和开展情况追加收入</w:t>
      </w:r>
      <w:r>
        <w:rPr>
          <w:rFonts w:ascii="仿宋_GB2312" w:eastAsia="仿宋_GB2312" w:cs="仿宋_GB2312" w:hint="eastAsia"/>
          <w:sz w:val="32"/>
          <w:szCs w:val="32"/>
          <w:lang w:eastAsia="zh-CN"/>
        </w:rPr>
        <w:t>81.83</w:t>
      </w:r>
      <w:r>
        <w:rPr>
          <w:rFonts w:ascii="仿宋_GB2312" w:eastAsia="仿宋_GB2312" w:cs="仿宋_GB2312" w:hint="eastAsia"/>
          <w:sz w:val="32"/>
          <w:szCs w:val="32"/>
        </w:rPr>
        <w:t>万元，</w:t>
      </w:r>
      <w:r>
        <w:rPr>
          <w:rFonts w:ascii="仿宋_GB2312" w:eastAsia="仿宋_GB2312" w:cs="仿宋_GB2312"/>
          <w:sz w:val="32"/>
          <w:szCs w:val="32"/>
        </w:rPr>
        <w:t>调整预算数为</w:t>
      </w:r>
      <w:r>
        <w:rPr>
          <w:rFonts w:ascii="仿宋_GB2312" w:eastAsia="仿宋_GB2312" w:cs="仿宋_GB2312" w:hint="eastAsia"/>
          <w:sz w:val="32"/>
          <w:szCs w:val="32"/>
          <w:lang w:val="en-US" w:eastAsia="zh-CN"/>
        </w:rPr>
        <w:t>196.79</w:t>
      </w:r>
      <w:r>
        <w:rPr>
          <w:rFonts w:ascii="仿宋_GB2312" w:eastAsia="仿宋_GB2312" w:cs="仿宋_GB2312"/>
          <w:sz w:val="32"/>
          <w:szCs w:val="32"/>
        </w:rPr>
        <w:t>万元</w:t>
      </w:r>
      <w:r>
        <w:rPr>
          <w:rFonts w:ascii="仿宋_GB2312" w:eastAsia="仿宋_GB2312" w:cs="仿宋_GB2312" w:hint="eastAsia"/>
          <w:sz w:val="32"/>
          <w:szCs w:val="32"/>
        </w:rPr>
        <w:t>，预算完成进度为100%，预算完成度较高。</w:t>
      </w:r>
    </w:p>
    <w:p>
      <w:pPr>
        <w:pStyle w:val="44"/>
        <w:spacing w:line="360" w:lineRule="auto"/>
        <w:rPr>
          <w:rFonts w:ascii="仿宋_GB2312" w:eastAsia="仿宋_GB2312" w:cs="仿宋_GB2312" w:hint="eastAsia"/>
          <w:b/>
          <w:bCs/>
          <w:sz w:val="32"/>
          <w:szCs w:val="32"/>
        </w:rPr>
      </w:pPr>
      <w:r>
        <w:rPr>
          <w:rFonts w:ascii="仿宋_GB2312" w:eastAsia="仿宋_GB2312" w:cs="仿宋_GB2312" w:hint="eastAsia"/>
          <w:b/>
          <w:bCs/>
          <w:sz w:val="32"/>
          <w:szCs w:val="32"/>
        </w:rPr>
        <w:t>6.违规</w:t>
      </w:r>
      <w:r>
        <w:rPr>
          <w:rFonts w:ascii="仿宋_GB2312" w:eastAsia="仿宋_GB2312" w:cs="仿宋_GB2312" w:hint="eastAsia"/>
          <w:b/>
          <w:bCs/>
          <w:sz w:val="32"/>
          <w:szCs w:val="32"/>
          <w:lang w:eastAsia="zh-CN"/>
        </w:rPr>
        <w:t>记录</w:t>
      </w:r>
    </w:p>
    <w:p>
      <w:pPr>
        <w:pStyle w:val="44"/>
        <w:spacing w:line="360" w:lineRule="auto"/>
        <w:rPr>
          <w:rFonts w:ascii="仿宋_GB2312" w:eastAsia="仿宋_GB2312" w:cs="仿宋_GB2312" w:hint="eastAsia"/>
          <w:sz w:val="32"/>
          <w:szCs w:val="32"/>
        </w:rPr>
      </w:pPr>
      <w:r>
        <w:rPr>
          <w:rFonts w:ascii="仿宋_GB2312" w:eastAsia="仿宋_GB2312" w:cs="仿宋_GB2312" w:hint="eastAsia"/>
          <w:sz w:val="32"/>
          <w:szCs w:val="32"/>
          <w:lang w:eastAsia="zh-CN"/>
        </w:rPr>
        <w:t>2023年</w:t>
      </w:r>
      <w:r>
        <w:rPr>
          <w:rFonts w:ascii="仿宋_GB2312" w:eastAsia="仿宋_GB2312" w:cs="仿宋_GB2312" w:hint="eastAsia"/>
          <w:sz w:val="32"/>
          <w:szCs w:val="32"/>
        </w:rPr>
        <w:t>12月31日，</w:t>
      </w:r>
      <w:r>
        <w:rPr>
          <w:rFonts w:ascii="仿宋_GB2312" w:eastAsia="仿宋_GB2312" w:cs="仿宋_GB2312" w:hint="eastAsia"/>
          <w:sz w:val="32"/>
          <w:szCs w:val="32"/>
          <w:lang w:val="en-US" w:eastAsia="zh-CN"/>
        </w:rPr>
        <w:t>壤塘县科学技术协会</w:t>
      </w:r>
      <w:r>
        <w:rPr>
          <w:rFonts w:ascii="仿宋_GB2312" w:eastAsia="仿宋_GB2312" w:cs="仿宋_GB2312" w:hint="eastAsia"/>
          <w:sz w:val="32"/>
          <w:szCs w:val="32"/>
        </w:rPr>
        <w:t>无违规</w:t>
      </w:r>
      <w:r>
        <w:rPr>
          <w:rFonts w:ascii="仿宋_GB2312" w:eastAsia="仿宋_GB2312" w:cs="仿宋_GB2312" w:hint="eastAsia"/>
          <w:sz w:val="32"/>
          <w:szCs w:val="32"/>
          <w:lang w:eastAsia="zh-CN"/>
        </w:rPr>
        <w:t>记录</w:t>
      </w:r>
      <w:r>
        <w:rPr>
          <w:rFonts w:ascii="仿宋_GB2312" w:eastAsia="仿宋_GB2312" w:cs="仿宋_GB2312" w:hint="eastAsia"/>
          <w:sz w:val="32"/>
          <w:szCs w:val="32"/>
        </w:rPr>
        <w:t>情况。</w:t>
      </w:r>
    </w:p>
    <w:p>
      <w:pPr>
        <w:pStyle w:val="44"/>
        <w:spacing w:line="360" w:lineRule="auto"/>
        <w:rPr>
          <w:rFonts w:ascii="仿宋_GB2312" w:eastAsia="仿宋_GB2312" w:cs="仿宋_GB2312" w:hint="eastAsia"/>
          <w:b/>
          <w:bCs/>
          <w:sz w:val="32"/>
          <w:szCs w:val="32"/>
          <w:lang w:val="en-US" w:eastAsia="zh-CN"/>
        </w:rPr>
      </w:pPr>
      <w:r>
        <w:rPr>
          <w:rFonts w:ascii="仿宋_GB2312" w:eastAsia="仿宋_GB2312" w:cs="仿宋_GB2312" w:hint="eastAsia"/>
          <w:b/>
          <w:bCs/>
          <w:sz w:val="32"/>
          <w:szCs w:val="32"/>
          <w:lang w:val="en-US" w:eastAsia="zh-CN"/>
        </w:rPr>
        <w:t>7.“三公”经费</w:t>
      </w:r>
    </w:p>
    <w:p>
      <w:pPr>
        <w:pStyle w:val="44"/>
        <w:spacing w:line="360" w:lineRule="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三公”经费控制。壤塘县科学技术协会2023年“三公”经费年初预算4万元，决算支出1.87万元。其中公务用车购置及运行维护费预算4万元，决算支出1.87万元（其中公务用车运行维护费1.87万元），未发生因公出国（境）费及公务接待费，2023年“三公”经费决算均未超过预算。</w:t>
      </w:r>
    </w:p>
    <w:p>
      <w:pPr>
        <w:pStyle w:val="44"/>
        <w:spacing w:line="360" w:lineRule="auto"/>
        <w:rPr>
          <w:rFonts w:ascii="仿宋_GB2312" w:eastAsia="仿宋_GB2312" w:cs="仿宋_GB2312" w:hint="eastAsia"/>
          <w:b/>
          <w:bCs/>
          <w:sz w:val="32"/>
          <w:szCs w:val="32"/>
          <w:lang w:val="en-US" w:eastAsia="zh-CN"/>
        </w:rPr>
      </w:pPr>
      <w:r>
        <w:rPr>
          <w:rFonts w:ascii="仿宋_GB2312" w:eastAsia="仿宋_GB2312" w:cs="仿宋_GB2312" w:hint="eastAsia"/>
          <w:b/>
          <w:bCs/>
          <w:sz w:val="32"/>
          <w:szCs w:val="32"/>
          <w:lang w:val="en-US" w:eastAsia="zh-CN"/>
        </w:rPr>
        <w:t>8.政府采购</w:t>
      </w:r>
    </w:p>
    <w:p>
      <w:pPr>
        <w:pStyle w:val="44"/>
        <w:spacing w:line="360" w:lineRule="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采购规范性。壤塘县科学技术协会2023年度政府采购货物支出0万元，政府采购工程支出0万元，政府采购服务支出0万元。</w:t>
      </w:r>
    </w:p>
    <w:p>
      <w:pPr>
        <w:pStyle w:val="44"/>
        <w:spacing w:line="360" w:lineRule="auto"/>
        <w:rPr>
          <w:rFonts w:ascii="仿宋_GB2312" w:eastAsia="仿宋_GB2312" w:cs="仿宋_GB2312" w:hint="eastAsia"/>
          <w:sz w:val="32"/>
          <w:szCs w:val="32"/>
          <w:lang w:val="en-US" w:eastAsia="zh-CN"/>
        </w:rPr>
      </w:pPr>
      <w:r>
        <w:rPr>
          <w:rFonts w:ascii="仿宋_GB2312" w:eastAsia="仿宋_GB2312" w:cs="仿宋_GB2312" w:hint="eastAsia"/>
          <w:b/>
          <w:bCs/>
          <w:sz w:val="32"/>
          <w:szCs w:val="32"/>
          <w:lang w:val="en-US" w:eastAsia="zh-CN"/>
        </w:rPr>
        <w:t>9.资产管理</w:t>
      </w:r>
      <w:r>
        <w:rPr>
          <w:rFonts w:ascii="仿宋_GB2312" w:eastAsia="仿宋_GB2312" w:cs="仿宋_GB2312" w:hint="eastAsia"/>
          <w:sz w:val="32"/>
          <w:szCs w:val="32"/>
          <w:lang w:val="en-US" w:eastAsia="zh-CN"/>
        </w:rPr>
        <w:t xml:space="preserve">  </w:t>
      </w:r>
    </w:p>
    <w:p>
      <w:pPr>
        <w:pStyle w:val="44"/>
        <w:spacing w:line="360" w:lineRule="auto"/>
        <w:rPr>
          <w:rFonts w:ascii="仿宋_GB2312" w:eastAsia="仿宋_GB2312" w:cs="仿宋_GB2312"/>
          <w:b/>
          <w:bCs/>
          <w:sz w:val="32"/>
          <w:szCs w:val="32"/>
        </w:rPr>
      </w:pPr>
      <w:r>
        <w:rPr>
          <w:rFonts w:ascii="仿宋_GB2312" w:eastAsia="仿宋_GB2312" w:cs="仿宋_GB2312" w:hint="eastAsia"/>
          <w:sz w:val="32"/>
          <w:szCs w:val="32"/>
          <w:lang w:val="en-US" w:eastAsia="zh-CN"/>
        </w:rPr>
        <w:t>固定资产在用率。2023年12月31日，壤塘县科学技术协会《行政单位资产管理系统》固定资产总计62.88万元，在用的固定资产总计62.88万元，固定资产在用率达100%。</w:t>
      </w:r>
    </w:p>
    <w:p>
      <w:pPr>
        <w:pStyle w:val="44"/>
        <w:numPr>
          <w:ilvl w:val="0"/>
          <w:numId w:val="6"/>
        </w:numPr>
        <w:spacing w:line="360" w:lineRule="auto"/>
        <w:ind w:left="0" w:firstLineChars="0" w:firstLine="643"/>
        <w:rPr>
          <w:rFonts w:ascii="仿宋_GB2312" w:eastAsia="仿宋_GB2312" w:cs="仿宋_GB2312" w:hint="eastAsia"/>
          <w:b/>
          <w:bCs/>
          <w:kern w:val="0"/>
          <w:sz w:val="32"/>
          <w:szCs w:val="32"/>
        </w:rPr>
      </w:pPr>
      <w:r>
        <w:rPr>
          <w:rFonts w:ascii="仿宋_GB2312" w:eastAsia="仿宋_GB2312" w:cs="仿宋_GB2312" w:hint="eastAsia"/>
          <w:b/>
          <w:bCs/>
          <w:kern w:val="0"/>
          <w:sz w:val="32"/>
          <w:szCs w:val="32"/>
        </w:rPr>
        <w:t>结果应用情况</w:t>
      </w:r>
    </w:p>
    <w:p>
      <w:pPr>
        <w:pStyle w:val="44"/>
        <w:spacing w:line="360" w:lineRule="auto"/>
        <w:ind w:firstLineChars="0" w:firstLine="0"/>
        <w:rPr>
          <w:rFonts w:ascii="仿宋_GB2312" w:eastAsia="仿宋_GB2312" w:cs="仿宋_GB2312" w:hint="eastAsia"/>
          <w:sz w:val="32"/>
          <w:szCs w:val="32"/>
        </w:rPr>
      </w:pPr>
      <w:r>
        <w:rPr>
          <w:rFonts w:ascii="仿宋_GB2312" w:eastAsia="仿宋_GB2312" w:cs="仿宋_GB2312" w:hint="eastAsia"/>
          <w:b/>
          <w:bCs/>
          <w:kern w:val="0"/>
          <w:sz w:val="32"/>
          <w:szCs w:val="32"/>
        </w:rPr>
        <w:t>　</w:t>
      </w:r>
      <w:r>
        <w:rPr>
          <w:rFonts w:ascii="仿宋_GB2312" w:eastAsia="仿宋_GB2312" w:cs="仿宋_GB2312" w:hint="eastAsia"/>
          <w:sz w:val="32"/>
          <w:szCs w:val="32"/>
        </w:rPr>
        <w:t>　根据县财政局要求，成立自评工作小组，组织实施本单位</w:t>
      </w:r>
      <w:r>
        <w:rPr>
          <w:rFonts w:ascii="仿宋_GB2312" w:eastAsia="仿宋_GB2312" w:cs="仿宋_GB2312" w:hint="eastAsia"/>
          <w:sz w:val="32"/>
          <w:szCs w:val="32"/>
          <w:lang w:eastAsia="zh-CN"/>
        </w:rPr>
        <w:t>2023年</w:t>
      </w:r>
      <w:r>
        <w:rPr>
          <w:rFonts w:ascii="仿宋_GB2312" w:eastAsia="仿宋_GB2312" w:cs="仿宋_GB2312" w:hint="eastAsia"/>
          <w:sz w:val="32"/>
          <w:szCs w:val="32"/>
        </w:rPr>
        <w:t>绩效管理自评工作。信息公开情况：按照财政要求，及时在预决算批复后20日内，在壤塘县人民政府的网站进行了信息公开，公开内容真实、完整。严守财经法规，严格财经纪律，依法接受财政、审计、巡察、派驻纪检监督，按时上报各类资料。严格执行财务管理制度，根据年初预算合理安排日常公用经费资金，做到厉行节约、精打细算，把有效的资金用到刀刃上，让财政资金发挥最大的社会及经济效益并保证各项工作的正常运转。</w:t>
      </w:r>
    </w:p>
    <w:p>
      <w:pPr>
        <w:pStyle w:val="44"/>
        <w:spacing w:line="360" w:lineRule="auto"/>
        <w:rPr>
          <w:rFonts w:ascii="仿宋_GB2312" w:eastAsia="仿宋_GB2312" w:cs="仿宋_GB2312" w:hint="eastAsia"/>
          <w:b/>
          <w:bCs/>
          <w:kern w:val="0"/>
          <w:sz w:val="32"/>
          <w:szCs w:val="32"/>
        </w:rPr>
      </w:pPr>
      <w:r>
        <w:rPr>
          <w:rFonts w:ascii="仿宋_GB2312" w:eastAsia="仿宋_GB2312" w:cs="仿宋_GB2312" w:hint="eastAsia"/>
          <w:b/>
          <w:bCs/>
          <w:kern w:val="0"/>
          <w:sz w:val="32"/>
          <w:szCs w:val="32"/>
        </w:rPr>
        <w:t>四、评价结论及措施</w:t>
      </w:r>
    </w:p>
    <w:p>
      <w:pPr>
        <w:pStyle w:val="44"/>
        <w:spacing w:line="360" w:lineRule="auto"/>
        <w:rPr>
          <w:rFonts w:ascii="仿宋_GB2312" w:eastAsia="仿宋_GB2312" w:cs="仿宋_GB2312" w:hint="eastAsia"/>
          <w:b/>
          <w:bCs/>
          <w:sz w:val="32"/>
          <w:szCs w:val="32"/>
        </w:rPr>
      </w:pPr>
      <w:r>
        <w:rPr>
          <w:rFonts w:ascii="仿宋_GB2312" w:eastAsia="仿宋_GB2312" w:cs="仿宋_GB2312" w:hint="eastAsia"/>
          <w:b/>
          <w:bCs/>
          <w:sz w:val="32"/>
          <w:szCs w:val="32"/>
        </w:rPr>
        <w:t>（一）评价结论</w:t>
      </w:r>
    </w:p>
    <w:p>
      <w:pPr>
        <w:pStyle w:val="44"/>
        <w:spacing w:line="360" w:lineRule="auto"/>
        <w:rPr>
          <w:rFonts w:ascii="仿宋_GB2312" w:eastAsia="仿宋_GB2312" w:cs="仿宋_GB2312" w:hint="eastAsia"/>
          <w:b/>
          <w:bCs/>
          <w:sz w:val="32"/>
          <w:szCs w:val="32"/>
        </w:rPr>
      </w:pPr>
      <w:r>
        <w:rPr>
          <w:rFonts w:ascii="仿宋_GB2312" w:eastAsia="仿宋_GB2312" w:cs="仿宋_GB2312" w:hint="eastAsia"/>
          <w:sz w:val="32"/>
          <w:szCs w:val="32"/>
          <w:lang w:val="zh-CN"/>
        </w:rPr>
        <w:t>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将继续努力，科学合理编制预决算，进行绩效评价，加强精细管理，完善不足</w:t>
      </w:r>
      <w:r>
        <w:rPr>
          <w:rFonts w:ascii="仿宋_GB2312" w:eastAsia="仿宋_GB2312" w:cs="仿宋_GB2312" w:hint="eastAsia"/>
          <w:sz w:val="32"/>
          <w:szCs w:val="32"/>
        </w:rPr>
        <w:t>。</w:t>
      </w:r>
    </w:p>
    <w:p>
      <w:pPr>
        <w:keepNext w:val="0"/>
        <w:keepLines w:val="0"/>
        <w:pageBreakBefore w:val="0"/>
        <w:widowControl/>
        <w:kinsoku/>
        <w:wordWrap/>
        <w:overflowPunct/>
        <w:topLinePunct w:val="0"/>
        <w:autoSpaceDE/>
        <w:autoSpaceDN/>
        <w:bidi w:val="0"/>
        <w:adjustRightInd/>
        <w:snapToGrid/>
        <w:ind w:left="0" w:firstLineChars="200" w:firstLine="640"/>
        <w:textAlignment w:val="auto"/>
        <w:rPr>
          <w:rFonts w:ascii="仿宋_GB2312" w:eastAsia="仿宋_GB2312" w:cs="仿宋_GB2312" w:hint="eastAsia"/>
          <w:b/>
          <w:bCs/>
          <w:sz w:val="32"/>
          <w:szCs w:val="32"/>
        </w:rPr>
      </w:pP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lang w:val="en-US" w:eastAsia="zh-CN"/>
        </w:rPr>
        <w:t>二）</w:t>
      </w:r>
      <w:r>
        <w:rPr>
          <w:rFonts w:ascii="仿宋_GB2312" w:eastAsia="仿宋_GB2312" w:cs="仿宋_GB2312" w:hint="eastAsia"/>
          <w:b/>
          <w:bCs/>
          <w:sz w:val="32"/>
          <w:szCs w:val="32"/>
        </w:rPr>
        <w:t>存在问题</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1.执行期间根据工作安排和开展情况追加收入较多，年初预算数与调整预算数差别较大。</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2.未制定明确的财务监控监督措施。</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（三）改进建议</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1.加强预算安排准确性，尽量减少执行中期追加数。</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2.制定明确的财务监控监督措施且确保监控、监督措施执行有效。</w:t>
      </w:r>
    </w:p>
    <w:p>
      <w:pPr>
        <w:pStyle w:val="15"/>
        <w:rPr>
          <w:rFonts w:ascii="仿宋_GB2312" w:eastAsia="仿宋_GB2312" w:cs="仿宋_GB2312" w:hint="eastAsia"/>
          <w:sz w:val="32"/>
          <w:szCs w:val="32"/>
          <w:lang w:val="en-US" w:eastAsia="zh-CN"/>
        </w:rPr>
      </w:pPr>
    </w:p>
    <w:p>
      <w:pPr>
        <w:rPr>
          <w:rFonts w:ascii="仿宋_GB2312" w:eastAsia="仿宋_GB2312" w:cs="仿宋_GB2312" w:hint="eastAsia"/>
          <w:sz w:val="32"/>
          <w:szCs w:val="32"/>
          <w:lang w:val="en-US" w:eastAsia="zh-CN"/>
        </w:rPr>
      </w:pPr>
    </w:p>
    <w:p>
      <w:pPr>
        <w:pStyle w:val="15"/>
        <w:rPr>
          <w:rFonts w:ascii="仿宋_GB2312" w:eastAsia="仿宋_GB2312" w:cs="仿宋_GB2312" w:hint="eastAsia"/>
          <w:sz w:val="32"/>
          <w:szCs w:val="32"/>
          <w:lang w:val="en-US" w:eastAsia="zh-CN"/>
        </w:rPr>
      </w:pPr>
    </w:p>
    <w:p>
      <w:pPr>
        <w:rPr>
          <w:rFonts w:ascii="仿宋_GB2312" w:eastAsia="仿宋_GB2312" w:cs="仿宋_GB2312" w:hint="eastAsia"/>
          <w:sz w:val="32"/>
          <w:szCs w:val="32"/>
          <w:lang w:val="en-US" w:eastAsia="zh-CN"/>
        </w:rPr>
      </w:pPr>
    </w:p>
    <w:p>
      <w:pPr>
        <w:pStyle w:val="15"/>
        <w:rPr>
          <w:rFonts w:ascii="仿宋_GB2312" w:eastAsia="仿宋_GB2312" w:cs="仿宋_GB2312" w:hint="eastAsia"/>
          <w:sz w:val="32"/>
          <w:szCs w:val="32"/>
          <w:lang w:val="en-US" w:eastAsia="zh-CN"/>
        </w:rPr>
      </w:pPr>
    </w:p>
    <w:p>
      <w:pPr>
        <w:rPr>
          <w:rFonts w:ascii="仿宋_GB2312" w:eastAsia="仿宋_GB2312" w:cs="仿宋_GB2312" w:hint="eastAsia"/>
          <w:sz w:val="32"/>
          <w:szCs w:val="32"/>
          <w:lang w:val="en-US" w:eastAsia="zh-CN"/>
        </w:rPr>
      </w:pPr>
    </w:p>
    <w:p>
      <w:pPr>
        <w:pStyle w:val="15"/>
        <w:rPr>
          <w:rFonts w:ascii="仿宋_GB2312" w:eastAsia="仿宋_GB2312" w:cs="仿宋_GB2312" w:hint="eastAsia"/>
          <w:sz w:val="32"/>
          <w:szCs w:val="32"/>
          <w:lang w:val="en-US" w:eastAsia="zh-CN"/>
        </w:rPr>
      </w:pPr>
    </w:p>
    <w:p>
      <w:pPr>
        <w:rPr>
          <w:rFonts w:ascii="仿宋_GB2312" w:eastAsia="仿宋_GB2312" w:cs="仿宋_GB2312" w:hint="eastAsia"/>
          <w:sz w:val="32"/>
          <w:szCs w:val="32"/>
          <w:lang w:val="en-US" w:eastAsia="zh-CN"/>
        </w:rPr>
      </w:pPr>
    </w:p>
    <w:p>
      <w:pPr>
        <w:pStyle w:val="15"/>
        <w:rPr>
          <w:rFonts w:ascii="仿宋_GB2312" w:eastAsia="仿宋_GB2312" w:cs="仿宋_GB2312" w:hint="eastAsia"/>
          <w:sz w:val="32"/>
          <w:szCs w:val="32"/>
          <w:lang w:val="en-US" w:eastAsia="zh-CN"/>
        </w:rPr>
      </w:pPr>
    </w:p>
    <w:p>
      <w:pPr>
        <w:rPr>
          <w:rFonts w:hint="eastAsia"/>
          <w:lang w:val="en-US" w:eastAsia="zh-CN"/>
        </w:rPr>
      </w:pPr>
    </w:p>
    <w:p>
      <w:pPr>
        <w:rPr>
          <w:rFonts w:ascii="黑体" w:eastAsia="黑体" w:cs="黑体" w:hint="eastAsia"/>
          <w:sz w:val="32"/>
          <w:szCs w:val="32"/>
          <w:lang w:val="en-US" w:eastAsia="zh-CN"/>
        </w:rPr>
      </w:pPr>
      <w:r>
        <w:rPr>
          <w:rFonts w:ascii="黑体" w:eastAsia="黑体" w:cs="黑体" w:hint="eastAsia"/>
          <w:sz w:val="32"/>
          <w:szCs w:val="32"/>
          <w:lang w:val="en-US" w:eastAsia="zh-CN"/>
        </w:rPr>
        <w:t>附件2</w:t>
      </w:r>
    </w:p>
    <w:p>
      <w:pPr>
        <w:rPr>
          <w:rFonts w:ascii="仿宋_GB2312" w:eastAsia="仿宋_GB2312" w:cs="仿宋_GB2312"/>
          <w:sz w:val="32"/>
          <w:szCs w:val="32"/>
        </w:rPr>
      </w:pPr>
      <w:r>
        <w:drawing>
          <wp:inline distT="0" distB="0" distL="114300" distR="114300">
            <wp:extent cx="5271134" cy="7753985"/>
            <wp:effectExtent l="0" t="0" r="15" b="9"/>
            <wp:docPr id="10" name="图片 1"/>
            <wp:cNvGraphicFramePr>
              <a:graphicFrameLocks noChangeAspect="1"/>
            </wp:cNvGraphicFramePr>
            <a:graphic>
              <a:graphicData uri="http://schemas.openxmlformats.org/drawingml/2006/picture">
                <pic:pic>
                  <pic:nvPicPr>
                    <pic:cNvPr id="12" name="图片 1 12"/>
                    <pic:cNvPicPr/>
                  </pic:nvPicPr>
                  <pic:blipFill>
                    <a:blip r:embed="rId14"/>
                    <a:stretch>
                      <a:fillRect/>
                    </a:stretch>
                  </pic:blipFill>
                  <pic:spPr>
                    <a:xfrm rot="0">
                      <a:off x="0" y="0"/>
                      <a:ext cx="5271134" cy="7753985"/>
                    </a:xfrm>
                    <a:prstGeom prst="rect"/>
                    <a:noFill/>
                    <a:ln w="9525" cmpd="sng" cap="flat">
                      <a:noFill/>
                      <a:prstDash val="solid"/>
                      <a:round/>
                    </a:ln>
                  </pic:spPr>
                </pic:pic>
              </a:graphicData>
            </a:graphic>
          </wp:inline>
        </w:drawing>
      </w:r>
    </w:p>
    <w:p>
      <w:pPr>
        <w:rPr>
          <w:rFonts w:ascii="仿宋_GB2312" w:eastAsia="仿宋_GB2312" w:cs="仿宋_GB2312"/>
          <w:sz w:val="32"/>
          <w:szCs w:val="32"/>
        </w:rPr>
      </w:pPr>
    </w:p>
    <w:p>
      <w:pPr>
        <w:pStyle w:val="44"/>
        <w:ind w:left="0" w:firstLineChars="0" w:firstLine="0"/>
      </w:pPr>
    </w:p>
    <w:p>
      <w:pPr>
        <w:pStyle w:val="15"/>
        <w:ind w:leftChars="0" w:left="0" w:firstLineChars="0" w:firstLine="0"/>
      </w:pPr>
    </w:p>
    <w:p>
      <w:pPr>
        <w:spacing w:line="600" w:lineRule="exact"/>
        <w:jc w:val="center"/>
        <w:outlineLvl w:val="0"/>
        <w:rPr>
          <w:rStyle w:val="1Char"/>
          <w:rFonts w:ascii="黑体" w:eastAsia="黑体"/>
          <w:b w:val="0"/>
        </w:rPr>
      </w:pPr>
      <w:bookmarkStart w:id="102" w:name="_Toc15396618"/>
      <w:bookmarkStart w:id="103" w:name="_Toc79163635"/>
      <w:bookmarkStart w:id="104" w:name="_Toc79163885"/>
      <w:r>
        <w:rPr>
          <w:rFonts w:ascii="黑体" w:eastAsia="黑体" w:hint="eastAsia"/>
          <w:color w:val="000000"/>
          <w:sz w:val="44"/>
          <w:szCs w:val="44"/>
        </w:rPr>
        <w:t>第</w:t>
      </w:r>
      <w:r>
        <w:rPr>
          <w:rStyle w:val="1Char"/>
          <w:rFonts w:ascii="黑体" w:eastAsia="黑体" w:hint="eastAsia"/>
          <w:b w:val="0"/>
        </w:rPr>
        <w:t>五部分</w:t>
      </w:r>
      <w:r>
        <w:rPr>
          <w:rStyle w:val="1Char"/>
          <w:rFonts w:ascii="黑体" w:eastAsia="黑体"/>
          <w:b w:val="0"/>
        </w:rPr>
        <w:t xml:space="preserve"> </w:t>
      </w:r>
      <w:r>
        <w:rPr>
          <w:rStyle w:val="1Char"/>
          <w:rFonts w:ascii="黑体" w:eastAsia="黑体" w:hint="eastAsia"/>
          <w:b w:val="0"/>
        </w:rPr>
        <w:t>附表</w:t>
      </w:r>
      <w:bookmarkEnd w:id="96"/>
      <w:bookmarkEnd w:id="102"/>
      <w:bookmarkEnd w:id="103"/>
      <w:bookmarkEnd w:id="104"/>
    </w:p>
    <w:p>
      <w:pPr>
        <w:pStyle w:val="2"/>
        <w:rPr>
          <w:rFonts w:ascii="仿宋" w:eastAsia="仿宋"/>
          <w:color w:val="000000"/>
        </w:rPr>
      </w:pPr>
      <w:bookmarkStart w:id="105" w:name="_Toc79163636"/>
      <w:bookmarkStart w:id="106" w:name="_Toc15396619"/>
      <w:bookmarkStart w:id="107" w:name="_Toc79163886"/>
      <w:r>
        <w:rPr>
          <w:rFonts w:ascii="仿宋" w:eastAsia="仿宋" w:hint="eastAsia"/>
          <w:b w:val="0"/>
          <w:color w:val="000000"/>
        </w:rPr>
        <w:t>一、收</w:t>
      </w:r>
      <w:r>
        <w:rPr>
          <w:rStyle w:val="2Char"/>
          <w:rFonts w:ascii="仿宋" w:eastAsia="仿宋" w:hint="eastAsia"/>
          <w:b w:val="0"/>
          <w:bCs w:val="0"/>
        </w:rPr>
        <w:t>入支出决算总表</w:t>
      </w:r>
      <w:bookmarkEnd w:id="105"/>
      <w:bookmarkEnd w:id="106"/>
      <w:bookmarkEnd w:id="107"/>
    </w:p>
    <w:p>
      <w:pPr>
        <w:pStyle w:val="2"/>
        <w:rPr>
          <w:rFonts w:ascii="仿宋" w:eastAsia="仿宋"/>
          <w:color w:val="000000"/>
        </w:rPr>
      </w:pPr>
      <w:bookmarkStart w:id="108" w:name="_Toc79163887"/>
      <w:bookmarkStart w:id="109" w:name="_Toc79163637"/>
      <w:bookmarkStart w:id="110" w:name="_Toc15396620"/>
      <w:r>
        <w:rPr>
          <w:rFonts w:ascii="仿宋" w:eastAsia="仿宋" w:hint="eastAsia"/>
          <w:b w:val="0"/>
          <w:color w:val="000000"/>
        </w:rPr>
        <w:t>二、收</w:t>
      </w:r>
      <w:r>
        <w:rPr>
          <w:rStyle w:val="2Char"/>
          <w:rFonts w:ascii="仿宋" w:eastAsia="仿宋" w:hint="eastAsia"/>
          <w:b w:val="0"/>
          <w:bCs w:val="0"/>
        </w:rPr>
        <w:t>入决算表</w:t>
      </w:r>
      <w:bookmarkEnd w:id="108"/>
      <w:bookmarkEnd w:id="109"/>
      <w:bookmarkEnd w:id="110"/>
    </w:p>
    <w:p>
      <w:pPr>
        <w:pStyle w:val="2"/>
        <w:rPr>
          <w:rFonts w:ascii="仿宋" w:eastAsia="仿宋"/>
          <w:color w:val="000000"/>
        </w:rPr>
      </w:pPr>
      <w:bookmarkStart w:id="111" w:name="_Toc79163638"/>
      <w:bookmarkStart w:id="112" w:name="_Toc15396621"/>
      <w:bookmarkStart w:id="113" w:name="_Toc79163888"/>
      <w:r>
        <w:rPr>
          <w:rStyle w:val="2Char"/>
          <w:rFonts w:ascii="仿宋" w:eastAsia="仿宋" w:hint="eastAsia"/>
          <w:b w:val="0"/>
          <w:bCs w:val="0"/>
        </w:rPr>
        <w:t>三、</w:t>
      </w:r>
      <w:r>
        <w:rPr>
          <w:rFonts w:ascii="仿宋" w:eastAsia="仿宋" w:hint="eastAsia"/>
          <w:b w:val="0"/>
          <w:color w:val="000000"/>
        </w:rPr>
        <w:t>支</w:t>
      </w:r>
      <w:r>
        <w:rPr>
          <w:rStyle w:val="2Char"/>
          <w:rFonts w:ascii="仿宋" w:eastAsia="仿宋" w:hint="eastAsia"/>
          <w:b w:val="0"/>
          <w:bCs w:val="0"/>
        </w:rPr>
        <w:t>出决算表</w:t>
      </w:r>
      <w:bookmarkEnd w:id="111"/>
      <w:bookmarkEnd w:id="112"/>
      <w:bookmarkEnd w:id="113"/>
    </w:p>
    <w:p>
      <w:pPr>
        <w:pStyle w:val="2"/>
        <w:rPr>
          <w:rFonts w:ascii="仿宋" w:eastAsia="仿宋"/>
          <w:b w:val="0"/>
          <w:color w:val="000000"/>
        </w:rPr>
      </w:pPr>
      <w:bookmarkStart w:id="114" w:name="_Toc15396622"/>
      <w:bookmarkStart w:id="115" w:name="_Toc79163889"/>
      <w:bookmarkStart w:id="116" w:name="_Toc79163639"/>
      <w:r>
        <w:rPr>
          <w:rStyle w:val="2Char"/>
          <w:rFonts w:ascii="仿宋" w:eastAsia="仿宋" w:hint="eastAsia"/>
          <w:b w:val="0"/>
          <w:bCs w:val="0"/>
        </w:rPr>
        <w:t>四、</w:t>
      </w:r>
      <w:r>
        <w:rPr>
          <w:rFonts w:ascii="仿宋" w:eastAsia="仿宋" w:hint="eastAsia"/>
          <w:b w:val="0"/>
          <w:color w:val="000000"/>
        </w:rPr>
        <w:t>财</w:t>
      </w:r>
      <w:r>
        <w:rPr>
          <w:rStyle w:val="2Char"/>
          <w:rFonts w:ascii="仿宋" w:eastAsia="仿宋" w:hint="eastAsia"/>
          <w:b w:val="0"/>
          <w:bCs w:val="0"/>
        </w:rPr>
        <w:t>政拨款收入支出决算总表</w:t>
      </w:r>
      <w:bookmarkEnd w:id="114"/>
      <w:bookmarkEnd w:id="115"/>
      <w:bookmarkEnd w:id="116"/>
    </w:p>
    <w:p>
      <w:pPr>
        <w:pStyle w:val="2"/>
        <w:rPr>
          <w:rStyle w:val="2Char"/>
          <w:rFonts w:ascii="仿宋" w:eastAsia="仿宋"/>
          <w:b w:val="0"/>
          <w:bCs w:val="0"/>
        </w:rPr>
      </w:pPr>
      <w:bookmarkStart w:id="117" w:name="_Toc15396623"/>
      <w:bookmarkStart w:id="118" w:name="_Toc79163890"/>
      <w:bookmarkStart w:id="119" w:name="_Toc79163640"/>
      <w:r>
        <w:rPr>
          <w:rStyle w:val="2Char"/>
          <w:rFonts w:ascii="仿宋" w:eastAsia="仿宋" w:hint="eastAsia"/>
          <w:b w:val="0"/>
          <w:bCs w:val="0"/>
        </w:rPr>
        <w:t>五、</w:t>
      </w:r>
      <w:r>
        <w:rPr>
          <w:rFonts w:ascii="仿宋" w:eastAsia="仿宋" w:hint="eastAsia"/>
          <w:b w:val="0"/>
          <w:color w:val="000000"/>
        </w:rPr>
        <w:t>财</w:t>
      </w:r>
      <w:r>
        <w:rPr>
          <w:rStyle w:val="2Char"/>
          <w:rFonts w:ascii="仿宋" w:eastAsia="仿宋" w:hint="eastAsia"/>
          <w:b w:val="0"/>
          <w:bCs w:val="0"/>
        </w:rPr>
        <w:t>政拨款支出决算明细表</w:t>
      </w:r>
      <w:bookmarkStart w:id="120" w:name="_Toc15396624"/>
      <w:bookmarkEnd w:id="117"/>
      <w:bookmarkEnd w:id="118"/>
      <w:bookmarkEnd w:id="119"/>
    </w:p>
    <w:p>
      <w:pPr>
        <w:pStyle w:val="2"/>
        <w:rPr>
          <w:rFonts w:ascii="仿宋" w:eastAsia="仿宋"/>
          <w:color w:val="000000"/>
        </w:rPr>
      </w:pPr>
      <w:bookmarkStart w:id="121" w:name="_Toc79163891"/>
      <w:bookmarkStart w:id="122" w:name="_Toc79163641"/>
      <w:r>
        <w:rPr>
          <w:rStyle w:val="2Char"/>
          <w:rFonts w:ascii="仿宋" w:eastAsia="仿宋" w:hint="eastAsia"/>
          <w:b w:val="0"/>
          <w:bCs w:val="0"/>
        </w:rPr>
        <w:t>六、</w:t>
      </w:r>
      <w:r>
        <w:rPr>
          <w:rFonts w:ascii="仿宋" w:eastAsia="仿宋" w:hint="eastAsia"/>
          <w:b w:val="0"/>
          <w:color w:val="000000"/>
        </w:rPr>
        <w:t>一</w:t>
      </w:r>
      <w:r>
        <w:rPr>
          <w:rStyle w:val="2Char"/>
          <w:rFonts w:ascii="仿宋" w:eastAsia="仿宋" w:hint="eastAsia"/>
          <w:b w:val="0"/>
          <w:bCs w:val="0"/>
        </w:rPr>
        <w:t>般公共预算财政拨款支出决算表</w:t>
      </w:r>
      <w:bookmarkEnd w:id="120"/>
      <w:bookmarkEnd w:id="121"/>
      <w:bookmarkEnd w:id="122"/>
    </w:p>
    <w:p>
      <w:pPr>
        <w:pStyle w:val="2"/>
        <w:rPr>
          <w:rFonts w:ascii="仿宋" w:eastAsia="仿宋"/>
          <w:color w:val="000000"/>
        </w:rPr>
      </w:pPr>
      <w:bookmarkStart w:id="123" w:name="_Toc79163642"/>
      <w:bookmarkStart w:id="124" w:name="_Toc79163892"/>
      <w:bookmarkStart w:id="125" w:name="_Toc15396625"/>
      <w:r>
        <w:rPr>
          <w:rStyle w:val="2Char"/>
          <w:rFonts w:ascii="仿宋" w:eastAsia="仿宋" w:hint="eastAsia"/>
          <w:b w:val="0"/>
          <w:bCs w:val="0"/>
        </w:rPr>
        <w:t>七、</w:t>
      </w:r>
      <w:r>
        <w:rPr>
          <w:rFonts w:ascii="仿宋" w:eastAsia="仿宋" w:hint="eastAsia"/>
          <w:b w:val="0"/>
          <w:color w:val="000000"/>
        </w:rPr>
        <w:t>一</w:t>
      </w:r>
      <w:r>
        <w:rPr>
          <w:rStyle w:val="2Char"/>
          <w:rFonts w:ascii="仿宋" w:eastAsia="仿宋" w:hint="eastAsia"/>
          <w:b w:val="0"/>
          <w:bCs w:val="0"/>
        </w:rPr>
        <w:t>般公共预算财政拨款支出决算明细表</w:t>
      </w:r>
      <w:bookmarkEnd w:id="123"/>
      <w:bookmarkEnd w:id="124"/>
      <w:bookmarkEnd w:id="125"/>
    </w:p>
    <w:p>
      <w:pPr>
        <w:pStyle w:val="2"/>
        <w:rPr>
          <w:rFonts w:ascii="仿宋" w:eastAsia="仿宋"/>
          <w:color w:val="000000"/>
        </w:rPr>
      </w:pPr>
      <w:bookmarkStart w:id="126" w:name="_Toc79163643"/>
      <w:bookmarkStart w:id="127" w:name="_Toc79163893"/>
      <w:bookmarkStart w:id="128" w:name="_Toc15396626"/>
      <w:r>
        <w:rPr>
          <w:rStyle w:val="2Char"/>
          <w:rFonts w:ascii="仿宋" w:eastAsia="仿宋" w:hint="eastAsia"/>
          <w:b w:val="0"/>
          <w:bCs w:val="0"/>
        </w:rPr>
        <w:t>八、</w:t>
      </w:r>
      <w:r>
        <w:rPr>
          <w:rFonts w:ascii="仿宋" w:eastAsia="仿宋" w:hint="eastAsia"/>
          <w:b w:val="0"/>
          <w:color w:val="000000"/>
        </w:rPr>
        <w:t>一</w:t>
      </w:r>
      <w:r>
        <w:rPr>
          <w:rStyle w:val="2Char"/>
          <w:rFonts w:ascii="仿宋" w:eastAsia="仿宋" w:hint="eastAsia"/>
          <w:b w:val="0"/>
          <w:bCs w:val="0"/>
        </w:rPr>
        <w:t>般公共预算财政拨款基本支出决算表</w:t>
      </w:r>
      <w:bookmarkEnd w:id="126"/>
      <w:bookmarkEnd w:id="127"/>
      <w:bookmarkEnd w:id="128"/>
    </w:p>
    <w:p>
      <w:pPr>
        <w:pStyle w:val="2"/>
        <w:rPr>
          <w:rFonts w:ascii="仿宋" w:eastAsia="仿宋"/>
          <w:color w:val="000000"/>
        </w:rPr>
      </w:pPr>
      <w:bookmarkStart w:id="129" w:name="_Toc79163644"/>
      <w:bookmarkStart w:id="130" w:name="_Toc15396627"/>
      <w:bookmarkStart w:id="131" w:name="_Toc79163894"/>
      <w:r>
        <w:rPr>
          <w:rStyle w:val="2Char"/>
          <w:rFonts w:ascii="仿宋" w:eastAsia="仿宋" w:hint="eastAsia"/>
          <w:b w:val="0"/>
          <w:bCs w:val="0"/>
        </w:rPr>
        <w:t>九、</w:t>
      </w:r>
      <w:r>
        <w:rPr>
          <w:rFonts w:ascii="仿宋" w:eastAsia="仿宋" w:hint="eastAsia"/>
          <w:b w:val="0"/>
          <w:color w:val="000000"/>
        </w:rPr>
        <w:t>一</w:t>
      </w:r>
      <w:r>
        <w:rPr>
          <w:rStyle w:val="2Char"/>
          <w:rFonts w:ascii="仿宋" w:eastAsia="仿宋" w:hint="eastAsia"/>
          <w:b w:val="0"/>
          <w:bCs w:val="0"/>
        </w:rPr>
        <w:t>般公共预算财政拨款项目支出决算表</w:t>
      </w:r>
      <w:bookmarkEnd w:id="129"/>
      <w:bookmarkEnd w:id="130"/>
      <w:bookmarkEnd w:id="131"/>
    </w:p>
    <w:p>
      <w:pPr>
        <w:pStyle w:val="2"/>
        <w:rPr>
          <w:rFonts w:ascii="仿宋" w:eastAsia="仿宋"/>
          <w:color w:val="000000"/>
        </w:rPr>
      </w:pPr>
      <w:bookmarkStart w:id="132" w:name="_Toc15396628"/>
      <w:bookmarkStart w:id="133" w:name="_Toc79163645"/>
      <w:bookmarkStart w:id="134" w:name="_Toc79163895"/>
      <w:r>
        <w:rPr>
          <w:rStyle w:val="2Char"/>
          <w:rFonts w:ascii="仿宋" w:eastAsia="仿宋" w:hint="eastAsia"/>
          <w:b w:val="0"/>
          <w:bCs w:val="0"/>
        </w:rPr>
        <w:t>十、</w:t>
      </w:r>
      <w:bookmarkStart w:id="135" w:name="_Toc15396629"/>
      <w:bookmarkStart w:id="136" w:name="_Toc79163896"/>
      <w:bookmarkStart w:id="137" w:name="_Toc79163646"/>
      <w:bookmarkEnd w:id="132"/>
      <w:bookmarkEnd w:id="133"/>
      <w:bookmarkEnd w:id="134"/>
      <w:r>
        <w:rPr>
          <w:rFonts w:ascii="仿宋" w:eastAsia="仿宋" w:hint="eastAsia"/>
          <w:b w:val="0"/>
          <w:color w:val="000000"/>
        </w:rPr>
        <w:t>政</w:t>
      </w:r>
      <w:r>
        <w:rPr>
          <w:rStyle w:val="2Char"/>
          <w:rFonts w:ascii="仿宋" w:eastAsia="仿宋" w:hint="eastAsia"/>
          <w:b w:val="0"/>
          <w:bCs w:val="0"/>
        </w:rPr>
        <w:t>府性基金预算财政拨款收入支出决算表</w:t>
      </w:r>
      <w:bookmarkEnd w:id="135"/>
      <w:bookmarkEnd w:id="136"/>
      <w:bookmarkEnd w:id="137"/>
    </w:p>
    <w:p>
      <w:pPr>
        <w:pStyle w:val="2"/>
        <w:rPr>
          <w:rStyle w:val="2Char"/>
          <w:rFonts w:ascii="仿宋" w:eastAsia="仿宋"/>
          <w:b w:val="0"/>
          <w:bCs w:val="0"/>
        </w:rPr>
      </w:pPr>
      <w:bookmarkStart w:id="138" w:name="_Toc79163647"/>
      <w:bookmarkStart w:id="139" w:name="_Toc15396630"/>
      <w:bookmarkStart w:id="140" w:name="_Toc79163897"/>
      <w:r>
        <w:rPr>
          <w:rStyle w:val="2Char"/>
          <w:rFonts w:ascii="仿宋" w:eastAsia="仿宋" w:hint="eastAsia"/>
          <w:b w:val="0"/>
          <w:bCs w:val="0"/>
        </w:rPr>
        <w:t>十</w:t>
      </w:r>
      <w:bookmarkStart w:id="141" w:name="_Toc15396631"/>
      <w:bookmarkStart w:id="142" w:name="_Toc79163648"/>
      <w:bookmarkStart w:id="143" w:name="_Toc79163898"/>
      <w:bookmarkEnd w:id="138"/>
      <w:bookmarkEnd w:id="139"/>
      <w:bookmarkEnd w:id="140"/>
      <w:r>
        <w:rPr>
          <w:rStyle w:val="2Char"/>
          <w:rFonts w:ascii="仿宋" w:eastAsia="仿宋" w:hint="eastAsia"/>
          <w:b w:val="0"/>
          <w:bCs w:val="0"/>
          <w:lang w:val="en-US" w:eastAsia="zh-CN"/>
        </w:rPr>
        <w:t>一</w:t>
      </w:r>
      <w:r>
        <w:rPr>
          <w:rStyle w:val="2Char"/>
          <w:rFonts w:ascii="仿宋" w:eastAsia="仿宋" w:hint="eastAsia"/>
          <w:b w:val="0"/>
          <w:bCs w:val="0"/>
        </w:rPr>
        <w:t>、</w:t>
      </w:r>
      <w:r>
        <w:rPr>
          <w:rFonts w:ascii="仿宋" w:eastAsia="仿宋" w:hint="eastAsia"/>
          <w:b w:val="0"/>
          <w:color w:val="000000"/>
        </w:rPr>
        <w:t>国</w:t>
      </w:r>
      <w:r>
        <w:rPr>
          <w:rStyle w:val="2Char"/>
          <w:rFonts w:ascii="仿宋" w:eastAsia="仿宋" w:hint="eastAsia"/>
          <w:b w:val="0"/>
          <w:bCs w:val="0"/>
        </w:rPr>
        <w:t>有资本经营预算财政拨款</w:t>
      </w:r>
      <w:r>
        <w:rPr>
          <w:rStyle w:val="2Char"/>
          <w:rFonts w:ascii="仿宋" w:eastAsia="仿宋" w:hint="eastAsia"/>
          <w:b w:val="0"/>
          <w:bCs w:val="0"/>
          <w:lang w:val="en-US" w:eastAsia="zh-CN"/>
        </w:rPr>
        <w:t>收入</w:t>
      </w:r>
      <w:r>
        <w:rPr>
          <w:rStyle w:val="2Char"/>
          <w:rFonts w:ascii="仿宋" w:eastAsia="仿宋" w:hint="eastAsia"/>
          <w:b w:val="0"/>
          <w:bCs w:val="0"/>
        </w:rPr>
        <w:t>支出决算表</w:t>
      </w:r>
      <w:bookmarkEnd w:id="141"/>
      <w:bookmarkEnd w:id="142"/>
      <w:bookmarkEnd w:id="143"/>
    </w:p>
    <w:p>
      <w:pPr>
        <w:pStyle w:val="2"/>
        <w:rPr>
          <w:rStyle w:val="2Char"/>
          <w:rFonts w:ascii="仿宋" w:eastAsia="仿宋" w:hint="eastAsia"/>
          <w:b w:val="0"/>
          <w:bCs w:val="0"/>
        </w:rPr>
      </w:pPr>
      <w:bookmarkStart w:id="144" w:name="_Toc79163649"/>
      <w:bookmarkStart w:id="145" w:name="_Toc79163899"/>
      <w:r>
        <w:rPr>
          <w:rStyle w:val="2Char"/>
          <w:rFonts w:ascii="仿宋" w:eastAsia="仿宋" w:hint="eastAsia"/>
          <w:b w:val="0"/>
          <w:bCs w:val="0"/>
        </w:rPr>
        <w:t>十</w:t>
      </w:r>
      <w:r>
        <w:rPr>
          <w:rStyle w:val="2Char"/>
          <w:rFonts w:ascii="仿宋" w:eastAsia="仿宋" w:hint="eastAsia"/>
          <w:b w:val="0"/>
          <w:bCs w:val="0"/>
          <w:lang w:val="en-US" w:eastAsia="zh-CN"/>
        </w:rPr>
        <w:t>二</w:t>
      </w:r>
      <w:r>
        <w:rPr>
          <w:rStyle w:val="2Char"/>
          <w:rFonts w:ascii="仿宋" w:eastAsia="仿宋" w:hint="eastAsia"/>
          <w:b w:val="0"/>
          <w:bCs w:val="0"/>
        </w:rPr>
        <w:t>、国有资本经营预算财政拨款支出决算表</w:t>
      </w:r>
      <w:bookmarkEnd w:id="144"/>
      <w:bookmarkEnd w:id="145"/>
    </w:p>
    <w:p>
      <w:pPr>
        <w:rPr>
          <w:rStyle w:val="2Char"/>
          <w:rFonts w:ascii="仿宋" w:eastAsia="仿宋"/>
          <w:b w:val="0"/>
          <w:bCs w:val="0"/>
        </w:rPr>
      </w:pPr>
      <w:r>
        <w:rPr>
          <w:rStyle w:val="2Char"/>
          <w:rFonts w:ascii="仿宋" w:eastAsia="仿宋" w:hint="eastAsia"/>
          <w:b w:val="0"/>
          <w:bCs w:val="0"/>
          <w:lang w:val="en-US" w:eastAsia="zh-CN"/>
        </w:rPr>
        <w:t>十三、</w:t>
      </w:r>
      <w:r>
        <w:rPr>
          <w:rStyle w:val="2Char"/>
          <w:rFonts w:ascii="仿宋" w:eastAsia="仿宋" w:hint="eastAsia"/>
          <w:b w:val="0"/>
          <w:bCs w:val="0"/>
        </w:rPr>
        <w:t>财政拨款“三公”经费支出决算表</w:t>
      </w:r>
    </w:p>
    <w:sectPr>
      <w:footerReference w:type="default" r:id="rId3"/>
      <w:footerReference w:type="first" r:id="rId4"/>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宋体">
    <w:panose1 w:val="02010600030101010101"/>
    <w:charset w:val="7A"/>
    <w:family w:val="auto"/>
    <w:pitch w:val="variable"/>
    <w:sig w:usb0="00000203" w:usb1="288F0000" w:usb2="0000000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EFF" w:usb1="C000785B" w:usb2="00000009" w:usb3="00000000" w:csb0="400001FF" w:csb1="FFFF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1"/>
    <w:family w:val="roman"/>
    <w:pitch w:val="variable"/>
    <w:sig w:usb0="E0002EFF" w:usb1="C000785B" w:usb2="00000009" w:usb3="00000000" w:csb0="400001FF" w:csb1="FFFF0000"/>
  </w:font>
  <w:font w:name="Cambria">
    <w:altName w:val="DejaVu Sans"/>
    <w:panose1 w:val="02040503050406030204"/>
    <w:charset w:val="00"/>
    <w:family w:val="roman"/>
    <w:pitch w:val="variable"/>
    <w:sig w:usb0="E00006FF" w:usb1="420024FF" w:usb2="02000000" w:usb3="00000000" w:csb0="2000019F" w:csb1="00000000"/>
  </w:font>
  <w:font w:name="Calibri">
    <w:altName w:val="Times New Roman"/>
    <w:panose1 w:val="020F0502020204030204"/>
    <w:charset w:val="00"/>
    <w:family w:val="swiss"/>
    <w:pitch w:val="variable"/>
    <w:sig w:usb0="E4002EFF" w:usb1="C000247B" w:usb2="00000009" w:usb3="00000000" w:csb0="200001FF" w:csb1="00000000"/>
  </w:font>
  <w:font w:name="等线 Light">
    <w:altName w:val="宋体"/>
    <w:panose1 w:val="02010600030101010101"/>
    <w:charset w:val="86"/>
    <w:family w:val="auto"/>
    <w:pitch w:val="variable"/>
    <w:sig w:usb0="A00002BF" w:usb1="38CF7CFA" w:usb2="00000016" w:usb3="00000000" w:csb0="0004000F" w:csb1="00000000"/>
  </w:font>
  <w:font w:name="??">
    <w:altName w:val="Times New Roman"/>
    <w:panose1 w:val="00000000000000000000"/>
    <w:charset w:val="00"/>
    <w:family w:val="roman"/>
    <w:pitch w:val="variable"/>
    <w:sig w:usb0="00000000" w:usb1="0000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4"/>
      <w:tabs>
        <w:tab w:val="center" w:pos="4153"/>
        <w:tab w:val="right" w:pos="8306"/>
      </w:tabs>
      <w:jc w:val="center"/>
    </w:pPr>
    <w:r>
      <w:fldChar w:fldCharType="begin"/>
    </w:r>
    <w:r>
      <w:instrText>PAGE   \* MERGEFORMAT</w:instrText>
    </w:r>
    <w:r>
      <w:fldChar w:fldCharType="separate"/>
    </w:r>
    <w:r>
      <w:t>25</w:t>
    </w:r>
    <w:r>
      <w:fldChar w:fldCharType="end"/>
    </w:r>
  </w:p>
  <w:p>
    <w:pPr>
      <w:pStyle w:val="24"/>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4"/>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5"/>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EED1195"/>
    <w:multiLevelType w:val="singleLevel"/>
    <w:tmpl w:val="7EED1195"/>
    <w:lvl w:ilvl="0">
      <w:start w:val="1"/>
      <w:numFmt w:val="chineseCounting"/>
      <w:lvlRestart w:val="0"/>
      <w:suff w:val="nothing"/>
      <w:lvlText w:val="%1、"/>
      <w:lvlJc w:val="left"/>
      <w:pPr>
        <w:ind w:left="0" w:hanging="0"/>
      </w:pPr>
      <w:rPr>
        <w:rFonts w:hint="eastAsia"/>
      </w:rPr>
    </w:lvl>
  </w:abstractNum>
  <w:abstractNum w:abstractNumId="1">
    <w:nsid w:val="5A949ACD"/>
    <w:multiLevelType w:val="singleLevel"/>
    <w:tmpl w:val="5A949ACD"/>
    <w:lvl w:ilvl="0">
      <w:start w:val="1"/>
      <w:numFmt w:val="decimal"/>
      <w:lvlRestart w:val="0"/>
      <w:lvlText w:val="%1."/>
      <w:lvlJc w:val="left"/>
      <w:pPr>
        <w:ind w:left="0" w:hanging="0"/>
      </w:pPr>
    </w:lvl>
  </w:abstractNum>
  <w:abstractNum w:abstractNumId="2">
    <w:nsid w:val="CF652CEC"/>
    <w:multiLevelType w:val="singleLevel"/>
    <w:tmpl w:val="CF652CEC"/>
    <w:lvl w:ilvl="0">
      <w:start w:val="9"/>
      <w:numFmt w:val="chineseCounting"/>
      <w:lvlRestart w:val="0"/>
      <w:suff w:val="nothing"/>
      <w:lvlText w:val="%1、"/>
      <w:lvlJc w:val="left"/>
      <w:pPr>
        <w:ind w:left="0" w:hanging="0"/>
      </w:pPr>
      <w:rPr>
        <w:rFonts w:cs="Times New Roman" w:hint="eastAsia"/>
      </w:rPr>
    </w:lvl>
  </w:abstractNum>
  <w:abstractNum w:abstractNumId="3">
    <w:nsid w:val="E2FA047D"/>
    <w:multiLevelType w:val="singleLevel"/>
    <w:tmpl w:val="E2FA047D"/>
    <w:lvl w:ilvl="0">
      <w:start w:val="3"/>
      <w:numFmt w:val="chineseCounting"/>
      <w:lvlRestart w:val="0"/>
      <w:suff w:val="space"/>
      <w:lvlText w:val="第%1部分"/>
      <w:lvlJc w:val="left"/>
      <w:pPr>
        <w:ind w:left="0" w:hanging="0"/>
      </w:pPr>
      <w:rPr>
        <w:rFonts w:cs="Times New Roman" w:hint="eastAsia"/>
      </w:rPr>
    </w:lvl>
  </w:abstractNum>
  <w:abstractNum w:abstractNumId="4">
    <w:nsid w:val="27BE6324"/>
    <w:multiLevelType w:val="singleLevel"/>
    <w:tmpl w:val="27BE6324"/>
    <w:lvl w:ilvl="0">
      <w:start w:val="2"/>
      <w:numFmt w:val="chineseCounting"/>
      <w:lvlRestart w:val="0"/>
      <w:suff w:val="nothing"/>
      <w:lvlText w:val="（%1）"/>
      <w:lvlJc w:val="left"/>
      <w:pPr>
        <w:ind w:left="0" w:hanging="0"/>
      </w:pPr>
      <w:rPr>
        <w:rFonts w:hint="eastAsia"/>
      </w:rPr>
    </w:lvl>
  </w:abstractNum>
  <w:abstractNum w:abstractNumId="5">
    <w:nsid w:val="ACE33080"/>
    <w:multiLevelType w:val="singleLevel"/>
    <w:tmpl w:val="ACE33080"/>
    <w:lvl w:ilvl="0">
      <w:start w:val="2"/>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zZkNzQ4ZWFiZmQ4NTRhOWRkZTk3YTMwMjlmMmZhYm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character" w:default="1" w:styleId="10">
    <w:name w:val="Default Paragraph Font"/>
  </w:style>
  <w:style w:type="paragraph" w:styleId="15">
    <w:name w:val="table of figures"/>
    <w:basedOn w:val="0"/>
    <w:next w:val="0"/>
    <w:pPr>
      <w:widowControl w:val="0"/>
      <w:ind w:leftChars="200" w:left="400" w:hangingChars="200" w:hanging="200"/>
      <w:jc w:val="both"/>
    </w:pPr>
    <w:rPr>
      <w:rFonts w:ascii="Calibri" w:eastAsia="宋体" w:cs="Times New Roman" w:hAnsi="Calibri"/>
      <w:kern w:val="2"/>
      <w:sz w:val="21"/>
      <w:szCs w:val="24"/>
      <w:lang w:val="en-US" w:eastAsia="zh-CN" w:bidi="ar-SA"/>
    </w:rPr>
  </w:style>
  <w:style w:type="paragraph" w:styleId="16">
    <w:name w:val="toc 7"/>
    <w:basedOn w:val="0"/>
    <w:next w:val="0"/>
    <w:pPr>
      <w:ind w:left="1260"/>
      <w:jc w:val="left"/>
    </w:pPr>
    <w:rPr>
      <w:rFonts w:ascii="等线" w:eastAsia="等线"/>
      <w:sz w:val="18"/>
      <w:szCs w:val="18"/>
    </w:rPr>
  </w:style>
  <w:style w:type="paragraph" w:styleId="17">
    <w:name w:val="Body Text"/>
    <w:basedOn w:val="0"/>
    <w:pPr>
      <w:spacing w:beforeLines="30" w:before="30"/>
    </w:pPr>
    <w:rPr>
      <w:rFonts w:ascii="仿宋_GB2312" w:eastAsia="仿宋_GB2312"/>
      <w:kern w:val="0"/>
      <w:sz w:val="24"/>
      <w:szCs w:val="20"/>
      <w:lang w:val="zh-CN"/>
    </w:rPr>
  </w:style>
  <w:style w:type="paragraph" w:styleId="18">
    <w:name w:val="Body Text Indent"/>
    <w:basedOn w:val="0"/>
    <w:next w:val="19"/>
    <w:pPr>
      <w:spacing w:after="120"/>
      <w:ind w:leftChars="200" w:left="200"/>
    </w:pPr>
    <w:rPr>
      <w:rFonts w:ascii="Calibri" w:hAnsi="Calibri"/>
      <w:szCs w:val="22"/>
    </w:rPr>
  </w:style>
  <w:style w:type="paragraph" w:styleId="19">
    <w:name w:val="Body Text First Indent 2"/>
    <w:basedOn w:val="18"/>
    <w:next w:val="0"/>
    <w:pPr>
      <w:spacing w:line="360" w:lineRule="auto"/>
      <w:ind w:leftChars="0" w:left="0" w:firstLineChars="200" w:firstLine="200"/>
    </w:pPr>
    <w:rPr>
      <w:rFonts w:ascii="Times New Roman" w:eastAsia="宋体" w:hAnsi="Times New Roman"/>
    </w:rPr>
  </w:style>
  <w:style w:type="paragraph" w:styleId="20">
    <w:name w:val="toc 5"/>
    <w:basedOn w:val="0"/>
    <w:next w:val="0"/>
    <w:pPr>
      <w:ind w:left="840"/>
      <w:jc w:val="left"/>
    </w:pPr>
    <w:rPr>
      <w:rFonts w:ascii="等线" w:eastAsia="等线"/>
      <w:sz w:val="18"/>
      <w:szCs w:val="18"/>
    </w:rPr>
  </w:style>
  <w:style w:type="paragraph" w:styleId="21">
    <w:name w:val="toc 3"/>
    <w:basedOn w:val="0"/>
    <w:next w:val="0"/>
    <w:pPr>
      <w:ind w:left="420"/>
      <w:jc w:val="left"/>
    </w:pPr>
    <w:rPr>
      <w:rFonts w:ascii="等线" w:eastAsia="等线"/>
      <w:i/>
      <w:iCs/>
      <w:sz w:val="20"/>
      <w:szCs w:val="20"/>
    </w:rPr>
  </w:style>
  <w:style w:type="paragraph" w:styleId="22">
    <w:name w:val="toc 8"/>
    <w:basedOn w:val="0"/>
    <w:next w:val="0"/>
    <w:pPr>
      <w:ind w:left="1470"/>
      <w:jc w:val="left"/>
    </w:pPr>
    <w:rPr>
      <w:rFonts w:ascii="等线" w:eastAsia="等线"/>
      <w:sz w:val="18"/>
      <w:szCs w:val="18"/>
    </w:rPr>
  </w:style>
  <w:style w:type="paragraph" w:styleId="23">
    <w:name w:val="Balloon Text"/>
    <w:basedOn w:val="0"/>
    <w:rPr>
      <w:sz w:val="18"/>
      <w:szCs w:val="18"/>
    </w:rPr>
  </w:style>
  <w:style w:type="paragraph" w:styleId="24">
    <w:name w:val="footer"/>
    <w:basedOn w:val="0"/>
    <w:pPr>
      <w:tabs>
        <w:tab w:val="center" w:pos="4153"/>
        <w:tab w:val="right" w:pos="8306"/>
      </w:tabs>
      <w:snapToGrid w:val="0"/>
      <w:jc w:val="left"/>
    </w:pPr>
    <w:rPr>
      <w:rFonts w:ascii="Calibri" w:hAnsi="Calibri"/>
      <w:kern w:val="0"/>
      <w:sz w:val="18"/>
      <w:szCs w:val="20"/>
      <w:lang w:val="zh-CN"/>
    </w:rPr>
  </w:style>
  <w:style w:type="paragraph" w:styleId="25">
    <w:name w:val="header"/>
    <w:basedOn w:val="0"/>
    <w:pPr>
      <w:pBdr>
        <w:bottom w:val="single" w:sz="6" w:space="1" w:color="auto"/>
      </w:pBdr>
      <w:tabs>
        <w:tab w:val="center" w:pos="4153"/>
        <w:tab w:val="right" w:pos="8306"/>
      </w:tabs>
      <w:snapToGrid w:val="0"/>
      <w:jc w:val="center"/>
    </w:pPr>
    <w:rPr>
      <w:rFonts w:ascii="Calibri" w:hAnsi="Calibri"/>
      <w:kern w:val="0"/>
      <w:sz w:val="18"/>
      <w:szCs w:val="20"/>
      <w:lang w:val="zh-CN"/>
    </w:rPr>
  </w:style>
  <w:style w:type="paragraph" w:styleId="26">
    <w:name w:val="toc 1"/>
    <w:basedOn w:val="0"/>
    <w:next w:val="0"/>
    <w:pPr>
      <w:spacing w:before="120" w:after="120"/>
      <w:jc w:val="left"/>
    </w:pPr>
    <w:rPr>
      <w:rFonts w:ascii="等线" w:eastAsia="等线"/>
      <w:b/>
      <w:bCs/>
      <w:caps/>
      <w:smallCaps w:val="0"/>
      <w:sz w:val="20"/>
      <w:szCs w:val="20"/>
    </w:rPr>
  </w:style>
  <w:style w:type="paragraph" w:styleId="27">
    <w:name w:val="toc 4"/>
    <w:basedOn w:val="0"/>
    <w:next w:val="0"/>
    <w:pPr>
      <w:ind w:left="630"/>
      <w:jc w:val="left"/>
    </w:pPr>
    <w:rPr>
      <w:rFonts w:ascii="等线" w:eastAsia="等线"/>
      <w:sz w:val="18"/>
      <w:szCs w:val="18"/>
    </w:rPr>
  </w:style>
  <w:style w:type="paragraph" w:styleId="28">
    <w:name w:val="footnote text"/>
    <w:basedOn w:val="0"/>
    <w:next w:val="19"/>
    <w:pPr>
      <w:snapToGrid w:val="0"/>
      <w:jc w:val="left"/>
    </w:pPr>
    <w:rPr>
      <w:sz w:val="18"/>
      <w:szCs w:val="18"/>
    </w:rPr>
  </w:style>
  <w:style w:type="paragraph" w:styleId="29">
    <w:name w:val="toc 6"/>
    <w:basedOn w:val="0"/>
    <w:next w:val="0"/>
    <w:pPr>
      <w:ind w:left="1050"/>
      <w:jc w:val="left"/>
    </w:pPr>
    <w:rPr>
      <w:rFonts w:ascii="等线" w:eastAsia="等线"/>
      <w:sz w:val="18"/>
      <w:szCs w:val="18"/>
    </w:rPr>
  </w:style>
  <w:style w:type="paragraph" w:styleId="30">
    <w:name w:val="toc 2"/>
    <w:basedOn w:val="0"/>
    <w:next w:val="0"/>
    <w:pPr>
      <w:ind w:left="210"/>
      <w:jc w:val="left"/>
    </w:pPr>
    <w:rPr>
      <w:rFonts w:ascii="等线" w:eastAsia="等线"/>
      <w:caps w:val="0"/>
      <w:smallCaps/>
      <w:sz w:val="20"/>
      <w:szCs w:val="20"/>
    </w:rPr>
  </w:style>
  <w:style w:type="paragraph" w:styleId="31">
    <w:name w:val="toc 9"/>
    <w:basedOn w:val="0"/>
    <w:next w:val="0"/>
    <w:pPr>
      <w:ind w:left="1680"/>
      <w:jc w:val="left"/>
    </w:pPr>
    <w:rPr>
      <w:rFonts w:ascii="等线" w:eastAsia="等线"/>
      <w:sz w:val="18"/>
      <w:szCs w:val="18"/>
    </w:rPr>
  </w:style>
  <w:style w:type="paragraph" w:styleId="32">
    <w:name w:val="Normal (Web)"/>
    <w:basedOn w:val="0"/>
    <w:pPr>
      <w:spacing w:before="100" w:beforeAutospacing="1" w:after="100" w:afterAutospacing="1"/>
    </w:pPr>
  </w:style>
  <w:style w:type="character" w:styleId="33">
    <w:name w:val="Strong"/>
    <w:basedOn w:val="10"/>
    <w:rPr>
      <w:rFonts w:cs="Times New Roman"/>
      <w:b/>
    </w:rPr>
  </w:style>
  <w:style w:type="character" w:styleId="34">
    <w:name w:val="Hyperlink"/>
    <w:basedOn w:val="10"/>
    <w:rPr>
      <w:rFonts w:cs="Times New Roman"/>
      <w:color w:val="0000FF"/>
      <w:u w:val="single"/>
    </w:rPr>
  </w:style>
  <w:style w:type="character" w:customStyle="1" w:styleId="35">
    <w:name w:val="Body Text Char"/>
    <w:basedOn w:val="10"/>
    <w:rPr>
      <w:rFonts w:ascii="Times New Roman" w:cs="Times New Roman" w:hAnsi="Times New Roman"/>
      <w:sz w:val="24"/>
      <w:szCs w:val="24"/>
    </w:rPr>
  </w:style>
  <w:style w:type="character" w:customStyle="1" w:styleId="36">
    <w:name w:val="Footer Char"/>
    <w:basedOn w:val="10"/>
    <w:rPr>
      <w:rFonts w:ascii="Times New Roman" w:cs="Times New Roman" w:hAnsi="Times New Roman"/>
      <w:sz w:val="18"/>
      <w:szCs w:val="18"/>
    </w:rPr>
  </w:style>
  <w:style w:type="character" w:customStyle="1" w:styleId="37">
    <w:name w:val="Header Char"/>
    <w:basedOn w:val="10"/>
    <w:rPr>
      <w:rFonts w:ascii="Times New Roman" w:cs="Times New Roman" w:hAnsi="Times New Roman"/>
      <w:sz w:val="18"/>
      <w:szCs w:val="18"/>
    </w:rPr>
  </w:style>
  <w:style w:type="paragraph" w:customStyle="1" w:styleId="38">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39">
    <w:name w:val="列表段落1"/>
    <w:basedOn w:val="0"/>
    <w:pPr>
      <w:ind w:firstLineChars="200" w:firstLine="200"/>
    </w:pPr>
  </w:style>
  <w:style w:type="paragraph" w:customStyle="1" w:styleId="40">
    <w:name w:val="TOC 标题1"/>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1"/>
    <w:next w:val="0"/>
    <w:pPr>
      <w:keepNext/>
      <w:keepLines/>
      <w:widowControl/>
      <w:spacing w:before="240" w:after="0" w:line="259" w:lineRule="auto"/>
      <w:jc w:val="left"/>
      <w:outlineLvl w:val="9"/>
    </w:pPr>
    <w:rPr>
      <w:rFonts w:ascii="等线 Light" w:eastAsia="等线 Light" w:cs="Times New Roman"/>
      <w:b w:val="0"/>
      <w:bCs w:val="0"/>
      <w:color w:val="2F5597"/>
      <w:kern w:val="0"/>
      <w:sz w:val="32"/>
      <w:szCs w:val="32"/>
    </w:rPr>
  </w:style>
  <w:style w:type="character" w:customStyle="1" w:styleId="43">
    <w:name w:val="NormalCharacter"/>
    <w:rPr>
      <w:rFonts w:ascii="Calibri" w:eastAsia="宋体" w:cs="Times New Roman" w:hAnsi="Calibri"/>
      <w:kern w:val="2"/>
      <w:sz w:val="21"/>
      <w:szCs w:val="24"/>
      <w:lang w:val="en-US" w:eastAsia="zh-CN" w:bidi="ar-SA"/>
    </w:rPr>
  </w:style>
  <w:style w:type="paragraph" w:customStyle="1" w:styleId="44">
    <w:name w:val="列出段落1"/>
    <w:basedOn w:val="0"/>
    <w:pPr>
      <w:ind w:firstLineChars="200" w:firstLine="200"/>
    </w:pPr>
    <w:rPr>
      <w:rFonts w:ascii="Calibri" w:eastAsia="宋体" w:cs="Times New Roman" w:hAnsi="Calibri"/>
    </w:rPr>
  </w:style>
  <w:style w:type="character" w:customStyle="1" w:styleId="45">
    <w:name w:val="15"/>
    <w:basedOn w:val="10"/>
    <w:rPr>
      <w:rFonts w:ascii="Cambria" w:eastAsia="宋体" w:cs="Times New Roman" w:hAnsi="Cambria"/>
      <w:b/>
      <w:bCs/>
      <w:kern w:val="2"/>
      <w:sz w:val="32"/>
      <w:szCs w:val="32"/>
    </w:rPr>
  </w:style>
  <w:style w:type="character" w:customStyle="1" w:styleId="46">
    <w:name w:val="10"/>
    <w:basedOn w:val="10"/>
    <w:rPr>
      <w:rFonts w:ascii="Times New Roman" w:cs="Times New Roman" w:hAnsi="Times New Roman"/>
    </w:rPr>
  </w:style>
  <w:style w:type="paragraph" w:customStyle="1" w:styleId="47">
    <w:name w:val="四号正文"/>
    <w:basedOn w:val="0"/>
    <w:pPr>
      <w:keepNext w:val="0"/>
      <w:keepLines w:val="0"/>
      <w:widowControl w:val="0"/>
      <w:suppressLineNumbers w:val="0"/>
      <w:spacing w:before="0" w:beforeAutospacing="0" w:after="0" w:afterAutospacing="0" w:line="360" w:lineRule="auto"/>
      <w:ind w:left="0" w:right="0"/>
      <w:jc w:val="both"/>
    </w:pPr>
    <w:rPr>
      <w:rFonts w:ascii="??" w:eastAsia="宋体" w:cs="宋体" w:hAnsi="??"/>
      <w:color w:val="000000"/>
      <w:kern w:val="0"/>
      <w:sz w:val="28"/>
      <w:szCs w:val="28"/>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0" Type="http://schemas.openxmlformats.org/officeDocument/2006/relationships/chart" Target="charts/chart6.xml"/><Relationship Id="rId11" Type="http://schemas.openxmlformats.org/officeDocument/2006/relationships/chart" Target="charts/chart7.xml"/><Relationship Id="rId12" Type="http://schemas.openxmlformats.org/officeDocument/2006/relationships/chart" Target="charts/chart8.xml"/><Relationship Id="rId13" Type="http://schemas.openxmlformats.org/officeDocument/2006/relationships/chart" Target="charts/chart9.xml"/><Relationship Id="rId14" Type="http://schemas.openxmlformats.org/officeDocument/2006/relationships/image" Target="media/11.png"/><Relationship Id="rId15" Type="http://schemas.openxmlformats.org/officeDocument/2006/relationships/styles" Target="styles.xml"/><Relationship Id="rId16" Type="http://schemas.openxmlformats.org/officeDocument/2006/relationships/numbering" Target="numbering.xml"/><Relationship Id="rId1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char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char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收入决算总计变动情况图</a:t>
            </a:r>
          </a:p>
        </c:rich>
      </c:tx>
      <c:layout/>
      <c:overlay val="0"/>
      <c:spPr>
        <a:noFill/>
        <a:ln>
          <a:noFill/>
        </a:ln>
      </c:spPr>
    </c:title>
    <c:autoTitleDeleted val="1"/>
    <c:plotArea>
      <c:layout>
        <c:manualLayout>
          <c:layoutTarget val="inner"/>
          <c:xMode val="edge"/>
          <c:yMode val="edge"/>
          <c:x val="0.09883333"/>
          <c:y val="0.22037037"/>
          <c:w val="0.84422225"/>
          <c:h val="0.71166664"/>
        </c:manualLayout>
      </c:layout>
      <c:barChart>
        <c:barDir val="col"/>
        <c:grouping val="clustered"/>
        <c:varyColors val="0"/>
        <c:ser>
          <c:idx val="0"/>
          <c:order val="0"/>
          <c:spPr>
            <a:solidFill>
              <a:srgbClr val="4472C4"/>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0.00" sourceLinked="0"/>
            <c:showLegendKey val="0"/>
            <c:showVal val="0"/>
            <c:showCatName val="0"/>
            <c:showSerName val="0"/>
            <c:showPercent val="0"/>
            <c:showBubbleSize val="0"/>
            <c:showLeaderLines val="0"/>
          </c:dLbls>
          <c:cat>
            <c:strLit>
              <c:ptCount val="2"/>
              <c:pt idx="0">
                <c:v>2022年</c:v>
              </c:pt>
              <c:pt idx="1">
                <c:v>2023年</c:v>
              </c:pt>
            </c:strLit>
          </c:cat>
          <c:val>
            <c:numRef>
              <c:f/>
              <c:numCache>
                <c:formatCode>#,##0.00</c:formatCode>
                <c:ptCount val="2"/>
                <c:pt idx="0">
                  <c:v>178.1</c:v>
                </c:pt>
                <c:pt idx="1">
                  <c:v>196.79</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0.00"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支出决算总计变动情况图</a:t>
            </a:r>
          </a:p>
        </c:rich>
      </c:tx>
      <c:layout/>
      <c:overlay val="0"/>
      <c:spPr>
        <a:noFill/>
        <a:ln>
          <a:noFill/>
        </a:ln>
      </c:spPr>
    </c:title>
    <c:autoTitleDeleted val="1"/>
    <c:plotArea>
      <c:layout/>
      <c:barChart>
        <c:barDir val="col"/>
        <c:grouping val="clustered"/>
        <c:varyColors val="0"/>
        <c:ser>
          <c:idx val="0"/>
          <c:order val="0"/>
          <c:spPr>
            <a:solidFill>
              <a:srgbClr val="4472C4"/>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0.00" sourceLinked="0"/>
            <c:showLegendKey val="0"/>
            <c:showVal val="0"/>
            <c:showCatName val="0"/>
            <c:showSerName val="0"/>
            <c:showPercent val="0"/>
            <c:showBubbleSize val="0"/>
            <c:showLeaderLines val="0"/>
          </c:dLbls>
          <c:cat>
            <c:strLit>
              <c:ptCount val="2"/>
              <c:pt idx="0">
                <c:v>2022年</c:v>
              </c:pt>
              <c:pt idx="1">
                <c:v>2023年</c:v>
              </c:pt>
            </c:strLit>
          </c:cat>
          <c:val>
            <c:numRef>
              <c:f/>
              <c:numCache>
                <c:formatCode>#,##0.00</c:formatCode>
                <c:ptCount val="2"/>
                <c:pt idx="0">
                  <c:v>229.53</c:v>
                </c:pt>
                <c:pt idx="1">
                  <c:v>196.79</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0.00"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收入决算结构图</a:t>
            </a:r>
          </a:p>
        </c:rich>
      </c:tx>
      <c:layout/>
      <c:overlay val="0"/>
      <c:spPr>
        <a:noFill/>
        <a:ln>
          <a:noFill/>
        </a:ln>
      </c:spPr>
    </c:title>
    <c:autoTitleDeleted val="1"/>
    <c:plotArea>
      <c:layout/>
      <c:pieChart>
        <c:varyColors val="1"/>
        <c:ser>
          <c:idx val="0"/>
          <c:order val="0"/>
          <c:tx>
            <c:v>一般公共预算财政拨款收入</c:v>
          </c:tx>
          <c:spPr>
            <a:ln>
              <a:noFill/>
            </a:ln>
          </c:spPr>
          <c:dPt>
            <c:idx val="0"/>
            <c:bubble3D val="0"/>
            <c:spPr>
              <a:solidFill>
                <a:srgbClr val="4472C4"/>
              </a:solidFill>
              <a:ln w="190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0"/>
            <c:showCatName val="0"/>
            <c:showSerName val="0"/>
            <c:showPercent val="0"/>
            <c:showBubbleSize val="0"/>
            <c:showLeaderLines val="0"/>
          </c:dLbls>
          <c:cat>
            <c:strLit>
              <c:ptCount val="1"/>
              <c:pt idx="0">
                <c:v>一般公共预算财政拨款收入</c:v>
              </c:pt>
            </c:strLit>
          </c:cat>
          <c:val>
            <c:numRef>
              <c:f/>
              <c:numCache>
                <c:formatCode>General</c:formatCode>
                <c:ptCount val="1"/>
                <c:pt idx="0">
                  <c:v>178.1</c:v>
                </c:pt>
              </c:numCache>
            </c:numRef>
          </c:val>
        </c:ser>
        <c:firstSliceAng val="0"/>
      </c:pieChart>
      <c:spPr>
        <a:noFill/>
        <a:ln>
          <a:noFill/>
        </a:ln>
      </c:spPr>
    </c:plotArea>
    <c:legend>
      <c:legendPos val="b"/>
      <c:layout>
        <c:manualLayout>
          <c:xMode val="edge"/>
          <c:yMode val="edge"/>
          <c:x val="0.31354052"/>
          <c:y val="0.8946759"/>
          <c:w val="0.3962264"/>
          <c:h val="0.077083334"/>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支出决算结构图</a:t>
            </a:r>
          </a:p>
        </c:rich>
      </c:tx>
      <c:layout/>
      <c:overlay val="0"/>
      <c:spPr>
        <a:noFill/>
        <a:ln>
          <a:noFill/>
        </a:ln>
      </c:spPr>
    </c:title>
    <c:autoTitleDeleted val="1"/>
    <c:plotArea>
      <c:layout/>
      <c:pieChart>
        <c:varyColors val="1"/>
        <c:ser>
          <c:idx val="0"/>
          <c:order val="0"/>
          <c:spPr>
            <a:ln>
              <a:noFill/>
            </a:ln>
          </c:spPr>
          <c:dPt>
            <c:idx val="0"/>
            <c:bubble3D val="0"/>
            <c:explosion val="0"/>
            <c:spPr>
              <a:solidFill>
                <a:srgbClr val="4472C4"/>
              </a:solidFill>
              <a:ln w="19050">
                <a:solidFill>
                  <a:srgbClr val="FFFFFF"/>
                </a:solidFill>
                <a:prstDash val="solid"/>
              </a:ln>
            </c:spPr>
          </c:dPt>
          <c:dPt>
            <c:idx val="1"/>
            <c:bubble3D val="0"/>
            <c:explosion val="0"/>
            <c:spPr>
              <a:solidFill>
                <a:srgbClr val="ED7D31"/>
              </a:solidFill>
              <a:ln w="19050">
                <a:solidFill>
                  <a:srgbClr val="FFFFFF"/>
                </a:solidFill>
                <a:prstDash val="solid"/>
              </a:ln>
            </c:spPr>
          </c:dPt>
          <c:dPt>
            <c:idx val="2"/>
            <c:bubble3D val="0"/>
            <c:explosion val="0"/>
            <c:spPr>
              <a:solidFill>
                <a:srgbClr val="A5A5A5"/>
              </a:solidFill>
              <a:ln w="19050">
                <a:solidFill>
                  <a:srgbClr val="FFFFFF"/>
                </a:solidFill>
                <a:prstDash val="solid"/>
              </a:ln>
            </c:spPr>
          </c:dPt>
          <c:dPt>
            <c:idx val="3"/>
            <c:bubble3D val="0"/>
            <c:explosion val="0"/>
            <c:spPr>
              <a:solidFill>
                <a:srgbClr val="FFC000"/>
              </a:solidFill>
              <a:ln w="19050">
                <a:solidFill>
                  <a:srgbClr val="FFFFFF"/>
                </a:solidFill>
                <a:prstDash val="solid"/>
              </a:ln>
            </c:spPr>
          </c:dPt>
          <c:dPt>
            <c:idx val="4"/>
            <c:bubble3D val="0"/>
            <c:explosion val="0"/>
            <c:spPr>
              <a:solidFill>
                <a:srgbClr val="5B9BD5"/>
              </a:solidFill>
              <a:ln w="190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0.00" sourceLinked="0"/>
            <c:showLegendKey val="0"/>
            <c:showVal val="0"/>
            <c:showCatName val="0"/>
            <c:showSerName val="0"/>
            <c:showPercent val="0"/>
            <c:showBubbleSize val="0"/>
            <c:showLeaderLines val="0"/>
          </c:dLbls>
          <c:cat>
            <c:strLit>
              <c:ptCount val="5"/>
              <c:pt idx="0">
                <c:v>基本支出</c:v>
              </c:pt>
              <c:pt idx="1">
                <c:v>项目支出</c:v>
              </c:pt>
              <c:pt idx="2">
                <c:v>上缴上级支出</c:v>
              </c:pt>
              <c:pt idx="3">
                <c:v>经营支出</c:v>
              </c:pt>
              <c:pt idx="4">
                <c:v>对附属单位补助支出</c:v>
              </c:pt>
            </c:strLit>
          </c:cat>
          <c:val>
            <c:numRef>
              <c:f/>
              <c:numCache>
                <c:formatCode>General</c:formatCode>
                <c:ptCount val="5"/>
                <c:pt idx="0">
                  <c:v>159.9</c:v>
                </c:pt>
                <c:pt idx="1">
                  <c:v>36.89</c:v>
                </c:pt>
                <c:pt idx="2">
                  <c:v>0.0</c:v>
                </c:pt>
                <c:pt idx="3">
                  <c:v>0.0</c:v>
                </c:pt>
                <c:pt idx="4">
                  <c:v>0.0</c:v>
                </c:pt>
              </c:numCache>
            </c:numRef>
          </c:val>
        </c:ser>
        <c:firstSliceAng val="0"/>
      </c:pieChart>
      <c:spPr>
        <a:noFill/>
        <a:ln>
          <a:noFill/>
        </a:ln>
      </c:spPr>
    </c:plotArea>
    <c:legend>
      <c:legendPos val="b"/>
      <c:layout>
        <c:manualLayout>
          <c:xMode val="edge"/>
          <c:yMode val="edge"/>
          <c:x val="0.022088353"/>
          <c:y val="0.8949519"/>
          <c:w val="0.9283287"/>
          <c:h val="0.09600233"/>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财政拨款收入总计变动表</a:t>
            </a:r>
          </a:p>
        </c:rich>
      </c:tx>
      <c:layout/>
      <c:overlay val="0"/>
      <c:spPr>
        <a:noFill/>
        <a:ln>
          <a:noFill/>
        </a:ln>
      </c:spPr>
    </c:title>
    <c:autoTitleDeleted val="1"/>
    <c:plotArea>
      <c:layout/>
      <c:barChart>
        <c:barDir val="col"/>
        <c:grouping val="clustered"/>
        <c:varyColors val="0"/>
        <c:ser>
          <c:idx val="0"/>
          <c:order val="0"/>
          <c:spPr>
            <a:solidFill>
              <a:srgbClr val="4472C4"/>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0.00" sourceLinked="0"/>
            <c:showLegendKey val="0"/>
            <c:showVal val="0"/>
            <c:showCatName val="0"/>
            <c:showSerName val="0"/>
            <c:showPercent val="0"/>
            <c:showBubbleSize val="0"/>
            <c:showLeaderLines val="0"/>
          </c:dLbls>
          <c:cat>
            <c:strLit>
              <c:ptCount val="2"/>
              <c:pt idx="0">
                <c:v>2022年</c:v>
              </c:pt>
              <c:pt idx="1">
                <c:v>2023年</c:v>
              </c:pt>
            </c:strLit>
          </c:cat>
          <c:val>
            <c:numRef>
              <c:f/>
              <c:numCache>
                <c:formatCode>#,##0.00</c:formatCode>
                <c:ptCount val="2"/>
                <c:pt idx="0">
                  <c:v>178.1</c:v>
                </c:pt>
                <c:pt idx="1">
                  <c:v>196.79</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0.00"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财政拨款支出总计变动表</a:t>
            </a:r>
          </a:p>
        </c:rich>
      </c:tx>
      <c:layout/>
      <c:overlay val="0"/>
      <c:spPr>
        <a:noFill/>
        <a:ln>
          <a:noFill/>
        </a:ln>
      </c:spPr>
    </c:title>
    <c:autoTitleDeleted val="1"/>
    <c:plotArea>
      <c:layout/>
      <c:barChart>
        <c:barDir val="col"/>
        <c:grouping val="clustered"/>
        <c:varyColors val="0"/>
        <c:ser>
          <c:idx val="0"/>
          <c:order val="0"/>
          <c:spPr>
            <a:solidFill>
              <a:srgbClr val="4472C4"/>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0.00" sourceLinked="0"/>
            <c:showLegendKey val="0"/>
            <c:showVal val="0"/>
            <c:showCatName val="0"/>
            <c:showSerName val="0"/>
            <c:showPercent val="0"/>
            <c:showBubbleSize val="0"/>
            <c:showLeaderLines val="0"/>
          </c:dLbls>
          <c:cat>
            <c:strLit>
              <c:ptCount val="2"/>
              <c:pt idx="0">
                <c:v>2022年</c:v>
              </c:pt>
              <c:pt idx="1">
                <c:v>2023年</c:v>
              </c:pt>
            </c:strLit>
          </c:cat>
          <c:val>
            <c:numRef>
              <c:f/>
              <c:numCache>
                <c:formatCode>#,##0.00</c:formatCode>
                <c:ptCount val="2"/>
                <c:pt idx="0">
                  <c:v>229.53</c:v>
                </c:pt>
                <c:pt idx="1">
                  <c:v>196.79</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0.00"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一般公共预算财政拨款支出决算变动情况</a:t>
            </a:r>
          </a:p>
        </c:rich>
      </c:tx>
      <c:layout>
        <c:manualLayout>
          <c:xMode val="edge"/>
          <c:yMode val="edge"/>
          <c:x val="0.23825924"/>
          <c:y val="0.06160616"/>
        </c:manualLayout>
      </c:layout>
      <c:overlay val="0"/>
      <c:spPr>
        <a:noFill/>
        <a:ln>
          <a:noFill/>
        </a:ln>
      </c:spPr>
    </c:title>
    <c:autoTitleDeleted val="1"/>
    <c:plotArea>
      <c:layout>
        <c:manualLayout>
          <c:layoutTarget val="inner"/>
          <c:xMode val="edge"/>
          <c:yMode val="edge"/>
          <c:x val="0.058544688"/>
          <c:y val="0.25596237"/>
          <c:w val="0.9159818"/>
          <c:h val="0.5815922"/>
        </c:manualLayout>
      </c:layout>
      <c:barChart>
        <c:barDir val="col"/>
        <c:grouping val="clustered"/>
        <c:varyColors val="0"/>
        <c:ser>
          <c:idx val="0"/>
          <c:order val="0"/>
          <c:spPr>
            <a:solidFill>
              <a:srgbClr val="4472C4"/>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0.00" sourceLinked="0"/>
            <c:showLegendKey val="0"/>
            <c:showVal val="0"/>
            <c:showCatName val="0"/>
            <c:showSerName val="0"/>
            <c:showPercent val="0"/>
            <c:showBubbleSize val="0"/>
            <c:showLeaderLines val="0"/>
          </c:dLbls>
          <c:cat>
            <c:strLit>
              <c:ptCount val="2"/>
              <c:pt idx="0">
                <c:v>2022年</c:v>
              </c:pt>
              <c:pt idx="1">
                <c:v>2023年</c:v>
              </c:pt>
            </c:strLit>
          </c:cat>
          <c:val>
            <c:numRef>
              <c:f/>
              <c:numCache>
                <c:formatCode>#,##0.00</c:formatCode>
                <c:ptCount val="2"/>
                <c:pt idx="0">
                  <c:v>229.53</c:v>
                </c:pt>
                <c:pt idx="1">
                  <c:v>196.79</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0.00"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一般公共预算财政拨款支出决算结构</a:t>
            </a:r>
          </a:p>
        </c:rich>
      </c:tx>
      <c:layout/>
      <c:overlay val="0"/>
      <c:spPr>
        <a:noFill/>
        <a:ln>
          <a:noFill/>
        </a:ln>
      </c:spPr>
    </c:title>
    <c:autoTitleDeleted val="1"/>
    <c:plotArea>
      <c:layout/>
      <c:pieChart>
        <c:varyColors val="1"/>
        <c:ser>
          <c:idx val="0"/>
          <c:order val="0"/>
          <c:spPr>
            <a:ln>
              <a:noFill/>
            </a:ln>
          </c:spPr>
          <c:dPt>
            <c:idx val="0"/>
            <c:bubble3D val="0"/>
            <c:explosion val="0"/>
            <c:spPr>
              <a:solidFill>
                <a:srgbClr val="4472C4"/>
              </a:solidFill>
              <a:ln w="19050">
                <a:solidFill>
                  <a:srgbClr val="FFFFFF"/>
                </a:solidFill>
                <a:prstDash val="solid"/>
              </a:ln>
            </c:spPr>
          </c:dPt>
          <c:dPt>
            <c:idx val="1"/>
            <c:bubble3D val="0"/>
            <c:explosion val="0"/>
            <c:spPr>
              <a:solidFill>
                <a:srgbClr val="ED7D31"/>
              </a:solidFill>
              <a:ln w="19050">
                <a:solidFill>
                  <a:srgbClr val="FFFFFF"/>
                </a:solidFill>
                <a:prstDash val="solid"/>
              </a:ln>
            </c:spPr>
          </c:dPt>
          <c:dPt>
            <c:idx val="2"/>
            <c:bubble3D val="0"/>
            <c:explosion val="0"/>
            <c:spPr>
              <a:solidFill>
                <a:srgbClr val="A5A5A5"/>
              </a:solidFill>
              <a:ln w="19050">
                <a:solidFill>
                  <a:srgbClr val="FFFFFF"/>
                </a:solidFill>
                <a:prstDash val="solid"/>
              </a:ln>
            </c:spPr>
          </c:dPt>
          <c:dPt>
            <c:idx val="3"/>
            <c:bubble3D val="0"/>
            <c:explosion val="0"/>
            <c:spPr>
              <a:solidFill>
                <a:srgbClr val="FFC000"/>
              </a:solidFill>
              <a:ln w="19050">
                <a:solidFill>
                  <a:srgbClr val="FFFFFF"/>
                </a:solidFill>
                <a:prstDash val="solid"/>
              </a:ln>
            </c:spPr>
          </c:dPt>
          <c:dPt>
            <c:idx val="4"/>
            <c:bubble3D val="0"/>
            <c:spPr>
              <a:solidFill>
                <a:srgbClr val="4198AF"/>
              </a:solidFill>
            </c:spPr>
          </c:dPt>
          <c:dPt>
            <c:idx val="5"/>
            <c:bubble3D val="0"/>
            <c:spPr>
              <a:solidFill>
                <a:srgbClr val="DB843D"/>
              </a:solidFill>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0"/>
            <c:showCatName val="0"/>
            <c:showSerName val="0"/>
            <c:showPercent val="0"/>
            <c:showBubbleSize val="0"/>
            <c:showLeaderLines val="0"/>
          </c:dLbls>
          <c:cat>
            <c:strLit>
              <c:ptCount val="6"/>
              <c:pt idx="0">
                <c:v>科学技术支出</c:v>
              </c:pt>
              <c:pt idx="1">
                <c:v>教育支出</c:v>
              </c:pt>
              <c:pt idx="2">
                <c:v>一般公共服务支出</c:v>
              </c:pt>
              <c:pt idx="3">
                <c:v>社会保障和就业支出</c:v>
              </c:pt>
              <c:pt idx="4">
                <c:v>卫生健康支出</c:v>
              </c:pt>
              <c:pt idx="5">
                <c:v>住房保障支出</c:v>
              </c:pt>
            </c:strLit>
          </c:cat>
          <c:val>
            <c:numRef>
              <c:f/>
              <c:numCache>
                <c:formatCode>General</c:formatCode>
                <c:ptCount val="6"/>
                <c:pt idx="0">
                  <c:v>35.55</c:v>
                </c:pt>
                <c:pt idx="1">
                  <c:v>1.34</c:v>
                </c:pt>
                <c:pt idx="2">
                  <c:v>112.77</c:v>
                </c:pt>
                <c:pt idx="3">
                  <c:v>27.86</c:v>
                </c:pt>
                <c:pt idx="4">
                  <c:v>8.59</c:v>
                </c:pt>
                <c:pt idx="5">
                  <c:v>10.68</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“三公”经费财政拨款支出结构</a:t>
            </a:r>
          </a:p>
        </c:rich>
      </c:tx>
      <c:layout/>
      <c:overlay val="0"/>
      <c:spPr>
        <a:noFill/>
        <a:ln>
          <a:noFill/>
        </a:ln>
      </c:spPr>
    </c:title>
    <c:autoTitleDeleted val="1"/>
    <c:plotArea>
      <c:layout/>
      <c:pieChart>
        <c:varyColors val="1"/>
        <c:ser>
          <c:idx val="0"/>
          <c:order val="0"/>
          <c:spPr>
            <a:ln>
              <a:noFill/>
            </a:ln>
          </c:spPr>
          <c:dPt>
            <c:idx val="0"/>
            <c:bubble3D val="0"/>
            <c:explosion val="0"/>
            <c:spPr>
              <a:solidFill>
                <a:srgbClr val="4472C4"/>
              </a:solidFill>
              <a:ln w="19050">
                <a:solidFill>
                  <a:srgbClr val="FFFFFF"/>
                </a:solidFill>
                <a:prstDash val="solid"/>
              </a:ln>
            </c:spPr>
          </c:dPt>
          <c:dPt>
            <c:idx val="1"/>
            <c:bubble3D val="0"/>
            <c:explosion val="0"/>
            <c:spPr>
              <a:solidFill>
                <a:srgbClr val="ED7D31"/>
              </a:solidFill>
              <a:ln w="19050">
                <a:solidFill>
                  <a:srgbClr val="FFFFFF"/>
                </a:solidFill>
                <a:prstDash val="solid"/>
              </a:ln>
            </c:spPr>
          </c:dPt>
          <c:dPt>
            <c:idx val="2"/>
            <c:bubble3D val="0"/>
            <c:explosion val="0"/>
            <c:spPr>
              <a:solidFill>
                <a:srgbClr val="A5A5A5"/>
              </a:solidFill>
              <a:ln w="190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0"/>
            <c:showCatName val="0"/>
            <c:showSerName val="0"/>
            <c:showPercent val="0"/>
            <c:showBubbleSize val="0"/>
            <c:showLeaderLines val="0"/>
          </c:dLbls>
          <c:cat>
            <c:strLit>
              <c:ptCount val="3"/>
              <c:pt idx="0">
                <c:v>因公出国（境）费</c:v>
              </c:pt>
              <c:pt idx="1">
                <c:v>公务接待费</c:v>
              </c:pt>
              <c:pt idx="2">
                <c:v>公务用车购置及运行维护费</c:v>
              </c:pt>
            </c:strLit>
          </c:cat>
          <c:val>
            <c:numRef>
              <c:f/>
              <c:numCache>
                <c:formatCode>General</c:formatCode>
                <c:ptCount val="3"/>
                <c:pt idx="0">
                  <c:v>0.0</c:v>
                </c:pt>
                <c:pt idx="1">
                  <c:v>0.0</c:v>
                </c:pt>
                <c:pt idx="2">
                  <c:v>1.88</c:v>
                </c:pt>
              </c:numCache>
            </c:numRef>
          </c:val>
        </c:ser>
        <c:firstSliceAng val="0"/>
      </c:pieChart>
      <c:spPr>
        <a:noFill/>
        <a:ln>
          <a:noFill/>
        </a:ln>
      </c:spPr>
    </c:plotArea>
    <c:legend>
      <c:legendPos val="b"/>
      <c:layout>
        <c:manualLayout>
          <c:xMode val="edge"/>
          <c:yMode val="edge"/>
          <c:x val="0.03297156"/>
          <c:y val="0.8949939"/>
          <c:w val="0.928699"/>
          <c:h val="0.07753358"/>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25</TotalTime>
  <Application>Yozo_Office27021597764231179</Application>
  <Pages>23</Pages>
  <Words>6637</Words>
  <Characters>7236</Characters>
  <Lines>419</Lines>
  <Paragraphs>192</Paragraphs>
  <CharactersWithSpaces>7308</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阿坝州部门决算说明</dc:title>
  <dc:creator>曹颖</dc:creator>
  <cp:lastModifiedBy>user</cp:lastModifiedBy>
  <cp:revision>1</cp:revision>
  <cp:lastPrinted>2023-12-23T07:46:00Z</cp:lastPrinted>
  <dcterms:created xsi:type="dcterms:W3CDTF">2021-08-06T09:38:00Z</dcterms:created>
  <dcterms:modified xsi:type="dcterms:W3CDTF">2026-06-17T09:23:16Z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ICV">
    <vt:lpwstr>1388C2F025C74B848E26D35E8B6EA87F_13</vt:lpwstr>
  </property>
  <property fmtid="{D5CDD505-2E9C-101B-9397-08002B2CF9AE}" pid="4" name="KSOTemplateDocerSaveRecord">
    <vt:lpwstr>eyJoZGlkIjoiYjIyOWM3OGJlMzU1ZjMxMGIyM2U1ZDkxN2M2YjViMzEiLCJ1c2VySWQiOiI2OTUzODg3NzcifQ==</vt:lpwstr>
  </property>
</Properties>
</file>