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cs="Times New Roman"/>
          <w:sz w:val="44"/>
          <w:szCs w:val="44"/>
        </w:rPr>
      </w:pPr>
    </w:p>
    <w:p>
      <w:pPr>
        <w:rPr>
          <w:rFonts w:ascii="黑体" w:eastAsia="黑体" w:cs="Times New Roman"/>
          <w:sz w:val="44"/>
          <w:szCs w:val="44"/>
        </w:rPr>
      </w:pPr>
    </w:p>
    <w:p>
      <w:pPr>
        <w:rPr>
          <w:rFonts w:ascii="黑体" w:eastAsia="黑体" w:cs="Times New Roman"/>
          <w:sz w:val="44"/>
          <w:szCs w:val="44"/>
        </w:rPr>
      </w:pPr>
    </w:p>
    <w:p>
      <w:pPr>
        <w:rPr>
          <w:rFonts w:ascii="黑体" w:eastAsia="黑体" w:cs="Times New Roman"/>
          <w:sz w:val="44"/>
          <w:szCs w:val="44"/>
        </w:rPr>
      </w:pPr>
    </w:p>
    <w:p>
      <w:pPr>
        <w:rPr>
          <w:rFonts w:ascii="黑体" w:eastAsia="黑体" w:cs="Times New Roman"/>
          <w:sz w:val="44"/>
          <w:szCs w:val="44"/>
        </w:rPr>
      </w:pPr>
    </w:p>
    <w:p>
      <w:pPr>
        <w:jc w:val="center"/>
        <w:rPr>
          <w:rFonts w:ascii="黑体" w:eastAsia="黑体" w:cs="黑体" w:hint="eastAsia"/>
          <w:sz w:val="72"/>
          <w:szCs w:val="72"/>
        </w:rPr>
      </w:pPr>
      <w:r>
        <w:rPr>
          <w:rFonts w:ascii="黑体" w:eastAsia="黑体" w:cs="黑体" w:hint="eastAsia"/>
          <w:sz w:val="72"/>
          <w:szCs w:val="72"/>
        </w:rPr>
        <w:t>壤塘县科学技术协会</w:t>
      </w:r>
    </w:p>
    <w:p>
      <w:pPr>
        <w:jc w:val="center"/>
        <w:rPr>
          <w:rFonts w:ascii="黑体" w:eastAsia="黑体" w:cs="Times New Roman"/>
          <w:sz w:val="72"/>
          <w:szCs w:val="72"/>
        </w:rPr>
      </w:pPr>
      <w:r>
        <w:rPr>
          <w:rFonts w:ascii="黑体" w:eastAsia="黑体" w:cs="黑体" w:hint="eastAsia"/>
          <w:sz w:val="72"/>
          <w:szCs w:val="72"/>
          <w:lang w:eastAsia="zh-CN"/>
        </w:rPr>
        <w:t>2024年</w:t>
      </w:r>
      <w:r>
        <w:rPr>
          <w:rFonts w:ascii="黑体" w:eastAsia="黑体" w:cs="黑体" w:hint="eastAsia"/>
          <w:sz w:val="72"/>
          <w:szCs w:val="72"/>
        </w:rPr>
        <w:t>部门预算</w:t>
      </w: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44"/>
          <w:szCs w:val="44"/>
        </w:rPr>
      </w:pPr>
    </w:p>
    <w:p>
      <w:pPr>
        <w:pStyle w:val="16"/>
        <w:tabs>
          <w:tab w:val="left" w:pos="960"/>
        </w:tabs>
      </w:pPr>
    </w:p>
    <w:p>
      <w:pPr>
        <w:jc w:val="center"/>
        <w:rPr>
          <w:rFonts w:ascii="黑体" w:eastAsia="黑体" w:cs="Times New Roman"/>
          <w:sz w:val="44"/>
          <w:szCs w:val="44"/>
        </w:rPr>
      </w:pPr>
    </w:p>
    <w:p>
      <w:pPr>
        <w:jc w:val="center"/>
        <w:rPr>
          <w:rFonts w:ascii="黑体" w:eastAsia="黑体" w:cs="Times New Roman"/>
          <w:sz w:val="44"/>
          <w:szCs w:val="44"/>
        </w:rPr>
      </w:pPr>
    </w:p>
    <w:p>
      <w:pPr>
        <w:jc w:val="center"/>
        <w:rPr>
          <w:rFonts w:ascii="黑体" w:eastAsia="黑体" w:cs="Times New Roman"/>
          <w:sz w:val="52"/>
          <w:szCs w:val="52"/>
        </w:rPr>
      </w:pPr>
      <w:r>
        <w:rPr>
          <w:rFonts w:ascii="黑体" w:eastAsia="黑体" w:cs="黑体" w:hint="eastAsia"/>
          <w:sz w:val="52"/>
          <w:szCs w:val="52"/>
          <w:lang w:val="en-US" w:eastAsia="zh-CN"/>
        </w:rPr>
        <w:t>2024年1月31日</w:t>
      </w:r>
    </w:p>
    <w:p>
      <w:pPr>
        <w:rPr>
          <w:rFonts w:ascii="黑体" w:eastAsia="黑体" w:cs="Times New Roman"/>
          <w:sz w:val="44"/>
          <w:szCs w:val="44"/>
        </w:rPr>
      </w:pPr>
    </w:p>
    <w:p>
      <w:pPr>
        <w:ind w:firstLineChars="600" w:firstLine="3120"/>
        <w:rPr>
          <w:rFonts w:ascii="黑体" w:eastAsia="黑体" w:cs="Times New Roman"/>
          <w:sz w:val="52"/>
          <w:szCs w:val="52"/>
        </w:rPr>
      </w:pPr>
      <w:r>
        <w:rPr>
          <w:rFonts w:ascii="黑体" w:eastAsia="黑体" w:cs="黑体" w:hint="eastAsia"/>
          <w:sz w:val="52"/>
          <w:szCs w:val="52"/>
        </w:rPr>
        <w:t>目</w:t>
      </w:r>
      <w:r>
        <w:rPr>
          <w:rFonts w:ascii="黑体" w:eastAsia="黑体" w:cs="黑体"/>
          <w:sz w:val="52"/>
          <w:szCs w:val="52"/>
        </w:rPr>
        <w:t xml:space="preserve"> </w:t>
      </w:r>
      <w:r>
        <w:rPr>
          <w:rFonts w:ascii="黑体" w:eastAsia="黑体" w:cs="黑体" w:hint="eastAsia"/>
          <w:sz w:val="52"/>
          <w:szCs w:val="52"/>
        </w:rPr>
        <w:t>录</w:t>
      </w:r>
    </w:p>
    <w:p>
      <w:pPr>
        <w:ind w:firstLineChars="700" w:firstLine="3080"/>
        <w:rPr>
          <w:rFonts w:ascii="黑体" w:eastAsia="黑体" w:cs="Times New Roman"/>
          <w:sz w:val="44"/>
          <w:szCs w:val="44"/>
        </w:rPr>
      </w:pPr>
    </w:p>
    <w:p>
      <w:pPr>
        <w:pStyle w:val="26"/>
        <w:numPr>
          <w:ilvl w:val="0"/>
          <w:numId w:val="1"/>
        </w:numPr>
        <w:ind w:firstLineChars="0"/>
        <w:rPr>
          <w:rFonts w:ascii="黑体" w:eastAsia="黑体" w:cs="Times New Roman"/>
          <w:sz w:val="32"/>
          <w:szCs w:val="32"/>
        </w:rPr>
      </w:pPr>
      <w:r>
        <w:rPr>
          <w:rFonts w:ascii="黑体" w:eastAsia="黑体" w:cs="黑体" w:hint="eastAsia"/>
          <w:sz w:val="32"/>
          <w:szCs w:val="32"/>
        </w:rPr>
        <w:t>基本职能及主要工作</w:t>
      </w:r>
    </w:p>
    <w:p>
      <w:pPr>
        <w:rPr>
          <w:rFonts w:ascii="仿宋_GB2312" w:eastAsia="仿宋_GB2312" w:cs="Times New Roman"/>
          <w:sz w:val="32"/>
          <w:szCs w:val="32"/>
        </w:rPr>
      </w:pPr>
      <w:r>
        <w:rPr>
          <w:rFonts w:ascii="仿宋_GB2312" w:eastAsia="仿宋_GB2312" w:cs="仿宋_GB2312" w:hint="eastAsia"/>
          <w:sz w:val="32"/>
          <w:szCs w:val="32"/>
        </w:rPr>
        <w:t>（一）部门职能简介</w:t>
      </w:r>
    </w:p>
    <w:p>
      <w:pPr>
        <w:rPr>
          <w:rFonts w:ascii="仿宋_GB2312" w:eastAsia="仿宋_GB2312" w:cs="Times New Roman"/>
          <w:sz w:val="32"/>
          <w:szCs w:val="32"/>
        </w:rPr>
      </w:pPr>
      <w:r>
        <w:rPr>
          <w:rFonts w:ascii="仿宋_GB2312" w:eastAsia="仿宋_GB2312" w:cs="仿宋_GB2312" w:hint="eastAsia"/>
          <w:sz w:val="32"/>
          <w:szCs w:val="32"/>
        </w:rPr>
        <w:t>（二）</w:t>
      </w: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lang w:eastAsia="zh-CN"/>
        </w:rPr>
        <w:t>年</w:t>
      </w:r>
      <w:r>
        <w:rPr>
          <w:rFonts w:ascii="仿宋_GB2312" w:eastAsia="仿宋_GB2312" w:cs="仿宋_GB2312" w:hint="eastAsia"/>
          <w:sz w:val="32"/>
          <w:szCs w:val="32"/>
        </w:rPr>
        <w:t>重点工作</w:t>
      </w:r>
    </w:p>
    <w:p>
      <w:pPr>
        <w:rPr>
          <w:rFonts w:ascii="黑体" w:eastAsia="黑体" w:cs="Times New Roman"/>
          <w:sz w:val="32"/>
          <w:szCs w:val="32"/>
        </w:rPr>
      </w:pPr>
      <w:r>
        <w:rPr>
          <w:rFonts w:ascii="黑体" w:eastAsia="黑体" w:cs="黑体" w:hint="eastAsia"/>
          <w:sz w:val="32"/>
          <w:szCs w:val="32"/>
        </w:rPr>
        <w:t>二、部门预算单位构成</w:t>
      </w:r>
    </w:p>
    <w:p>
      <w:pPr>
        <w:rPr>
          <w:rFonts w:ascii="黑体" w:eastAsia="黑体" w:cs="Times New Roman"/>
          <w:sz w:val="32"/>
          <w:szCs w:val="32"/>
        </w:rPr>
      </w:pPr>
      <w:r>
        <w:rPr>
          <w:rFonts w:ascii="黑体" w:eastAsia="黑体" w:cs="黑体" w:hint="eastAsia"/>
          <w:sz w:val="32"/>
          <w:szCs w:val="32"/>
        </w:rPr>
        <w:t>三、收支预算情况说明</w:t>
      </w:r>
    </w:p>
    <w:p>
      <w:pPr>
        <w:rPr>
          <w:rFonts w:ascii="仿宋_GB2312" w:eastAsia="仿宋_GB2312" w:cs="Times New Roman"/>
          <w:sz w:val="32"/>
          <w:szCs w:val="32"/>
        </w:rPr>
      </w:pPr>
      <w:r>
        <w:rPr>
          <w:rFonts w:ascii="黑体" w:eastAsia="黑体" w:cs="黑体" w:hint="eastAsia"/>
          <w:sz w:val="32"/>
          <w:szCs w:val="32"/>
        </w:rPr>
        <w:t>（</w:t>
      </w:r>
      <w:r>
        <w:rPr>
          <w:rFonts w:ascii="仿宋_GB2312" w:eastAsia="仿宋_GB2312" w:cs="仿宋_GB2312" w:hint="eastAsia"/>
          <w:sz w:val="32"/>
          <w:szCs w:val="32"/>
        </w:rPr>
        <w:t>一）收入预算情况</w:t>
      </w:r>
    </w:p>
    <w:p>
      <w:pPr>
        <w:rPr>
          <w:rFonts w:ascii="仿宋_GB2312" w:eastAsia="仿宋_GB2312" w:cs="Times New Roman"/>
          <w:sz w:val="32"/>
          <w:szCs w:val="32"/>
        </w:rPr>
      </w:pPr>
      <w:r>
        <w:rPr>
          <w:rFonts w:ascii="仿宋_GB2312" w:eastAsia="仿宋_GB2312" w:cs="仿宋_GB2312" w:hint="eastAsia"/>
          <w:sz w:val="32"/>
          <w:szCs w:val="32"/>
        </w:rPr>
        <w:t>（二）支出预算情况</w:t>
      </w:r>
    </w:p>
    <w:p>
      <w:pPr>
        <w:rPr>
          <w:rFonts w:ascii="黑体" w:eastAsia="黑体" w:cs="Times New Roman"/>
          <w:sz w:val="32"/>
          <w:szCs w:val="32"/>
        </w:rPr>
      </w:pPr>
      <w:r>
        <w:rPr>
          <w:rFonts w:ascii="黑体" w:eastAsia="黑体" w:cs="黑体" w:hint="eastAsia"/>
          <w:sz w:val="32"/>
          <w:szCs w:val="32"/>
        </w:rPr>
        <w:t>四、财政拨款收支预算情况说明</w:t>
      </w:r>
    </w:p>
    <w:p>
      <w:pPr>
        <w:rPr>
          <w:rFonts w:ascii="黑体" w:eastAsia="黑体" w:cs="Times New Roman"/>
          <w:sz w:val="32"/>
          <w:szCs w:val="32"/>
        </w:rPr>
      </w:pPr>
      <w:r>
        <w:rPr>
          <w:rFonts w:ascii="黑体" w:eastAsia="黑体" w:cs="黑体" w:hint="eastAsia"/>
          <w:sz w:val="32"/>
          <w:szCs w:val="32"/>
        </w:rPr>
        <w:t>五、一般公共预算当年拨款情况说明</w:t>
      </w:r>
    </w:p>
    <w:p>
      <w:pPr>
        <w:rPr>
          <w:rFonts w:ascii="仿宋_GB2312" w:eastAsia="仿宋_GB2312" w:cs="仿宋_GB2312" w:hint="eastAsia"/>
          <w:sz w:val="32"/>
          <w:szCs w:val="32"/>
          <w:lang w:eastAsia="zh-CN"/>
        </w:rPr>
      </w:pPr>
      <w:r>
        <w:rPr>
          <w:rFonts w:ascii="仿宋_GB2312" w:eastAsia="仿宋_GB2312" w:cs="仿宋_GB2312" w:hint="eastAsia"/>
          <w:sz w:val="32"/>
          <w:szCs w:val="32"/>
        </w:rPr>
        <w:t>（一）一般公共预算当年拨款规模变化情况</w:t>
      </w:r>
    </w:p>
    <w:p>
      <w:pPr>
        <w:rPr>
          <w:rFonts w:ascii="仿宋_GB2312" w:eastAsia="仿宋_GB2312" w:cs="仿宋_GB2312" w:hint="eastAsia"/>
          <w:sz w:val="32"/>
          <w:szCs w:val="32"/>
          <w:lang w:eastAsia="zh-CN"/>
        </w:rPr>
      </w:pPr>
      <w:r>
        <w:rPr>
          <w:rFonts w:ascii="仿宋_GB2312" w:eastAsia="仿宋_GB2312" w:cs="仿宋_GB2312" w:hint="eastAsia"/>
          <w:sz w:val="32"/>
          <w:szCs w:val="32"/>
        </w:rPr>
        <w:t>（二）一般公共预算当年拨款结构情况</w:t>
      </w:r>
    </w:p>
    <w:p>
      <w:pPr>
        <w:rPr>
          <w:rFonts w:ascii="仿宋_GB2312" w:eastAsia="仿宋_GB2312" w:cs="仿宋_GB2312" w:hint="eastAsia"/>
          <w:sz w:val="32"/>
          <w:szCs w:val="32"/>
          <w:lang w:eastAsia="zh-CN"/>
        </w:rPr>
      </w:pPr>
      <w:r>
        <w:rPr>
          <w:rFonts w:ascii="仿宋_GB2312" w:eastAsia="仿宋_GB2312" w:cs="仿宋_GB2312" w:hint="eastAsia"/>
          <w:sz w:val="32"/>
          <w:szCs w:val="32"/>
        </w:rPr>
        <w:t>（三）一般公共预算当年拨款具体使用情况</w:t>
      </w:r>
    </w:p>
    <w:p>
      <w:pPr>
        <w:rPr>
          <w:rFonts w:ascii="黑体" w:eastAsia="黑体" w:cs="黑体" w:hint="eastAsia"/>
          <w:sz w:val="32"/>
          <w:szCs w:val="32"/>
          <w:lang w:eastAsia="zh-CN"/>
        </w:rPr>
      </w:pPr>
      <w:r>
        <w:rPr>
          <w:rFonts w:ascii="黑体" w:eastAsia="黑体" w:cs="黑体" w:hint="eastAsia"/>
          <w:sz w:val="32"/>
          <w:szCs w:val="32"/>
        </w:rPr>
        <w:t>六、一般公共预算基本支出情况说明</w:t>
      </w:r>
    </w:p>
    <w:p>
      <w:pPr>
        <w:rPr>
          <w:rFonts w:ascii="黑体" w:eastAsia="黑体" w:cs="黑体" w:hint="eastAsia"/>
          <w:sz w:val="32"/>
          <w:szCs w:val="32"/>
          <w:lang w:eastAsia="zh-CN"/>
        </w:rPr>
      </w:pPr>
      <w:r>
        <w:rPr>
          <w:rFonts w:ascii="黑体" w:eastAsia="黑体" w:cs="黑体" w:hint="eastAsia"/>
          <w:sz w:val="32"/>
          <w:szCs w:val="32"/>
        </w:rPr>
        <w:t>七、“三公”经费财政拨款预算安排情况说明</w:t>
      </w:r>
    </w:p>
    <w:p>
      <w:pPr>
        <w:rPr>
          <w:rFonts w:ascii="黑体" w:eastAsia="黑体" w:cs="黑体" w:hint="eastAsia"/>
          <w:sz w:val="32"/>
          <w:szCs w:val="32"/>
          <w:lang w:eastAsia="zh-CN"/>
        </w:rPr>
      </w:pPr>
      <w:r>
        <w:rPr>
          <w:rFonts w:ascii="黑体" w:eastAsia="黑体" w:cs="黑体" w:hint="eastAsia"/>
          <w:sz w:val="32"/>
          <w:szCs w:val="32"/>
        </w:rPr>
        <w:t>八、政府性基金预算支出情况说明</w:t>
      </w:r>
    </w:p>
    <w:p>
      <w:pPr>
        <w:rPr>
          <w:rFonts w:ascii="黑体" w:eastAsia="黑体" w:cs="黑体" w:hint="eastAsia"/>
          <w:sz w:val="32"/>
          <w:szCs w:val="32"/>
          <w:lang w:eastAsia="zh-CN"/>
        </w:rPr>
      </w:pPr>
      <w:r>
        <w:rPr>
          <w:rFonts w:ascii="黑体" w:eastAsia="黑体" w:cs="黑体" w:hint="eastAsia"/>
          <w:sz w:val="32"/>
          <w:szCs w:val="32"/>
        </w:rPr>
        <w:t>九、其他重要事项的情况说明</w:t>
      </w:r>
    </w:p>
    <w:p>
      <w:pPr>
        <w:rPr>
          <w:rFonts w:ascii="黑体" w:eastAsia="黑体" w:cs="Times New Roman"/>
          <w:sz w:val="32"/>
          <w:szCs w:val="32"/>
        </w:rPr>
      </w:pPr>
      <w:r>
        <w:rPr>
          <w:rFonts w:ascii="黑体" w:eastAsia="黑体" w:cs="黑体" w:hint="eastAsia"/>
          <w:sz w:val="32"/>
          <w:szCs w:val="32"/>
        </w:rPr>
        <w:t>十、名称解释</w:t>
      </w:r>
    </w:p>
    <w:p>
      <w:pPr>
        <w:rPr>
          <w:rFonts w:ascii="黑体" w:eastAsia="黑体" w:cs="Times New Roman"/>
          <w:sz w:val="44"/>
          <w:szCs w:val="44"/>
        </w:rPr>
      </w:pPr>
    </w:p>
    <w:sdt>
      <w:sdtPr>
        <w:rPr>
          <w:rFonts w:ascii="宋体" w:eastAsia="宋体" w:cs="Calibri"/>
          <w:kern w:val="2"/>
          <w:sz w:val="21"/>
          <w:szCs w:val="21"/>
          <w:lang w:val="en-US" w:eastAsia="zh-CN" w:bidi="ar-SA"/>
        </w:rPr>
        <w:id w:val="-637706313"/>
        <w15:color w:val="DBDBDB"/>
        <w:docPartObj>
          <w:docPartGallery w:val="Table of Contents"/>
          <w:docPartUnique/>
        </w:docPartObj>
      </w:sdtPr>
      <w:sdtEndPr>
        <w:rPr>
          <w:rFonts w:ascii="仿宋" w:eastAsia="仿宋" w:cs="仿宋" w:hint="eastAsia"/>
          <w:sz w:val="28"/>
          <w:szCs w:val="28"/>
        </w:rPr>
      </w:sdtEndPr>
      <w:sdtContent>
        <w:bookmarkStart w:id="0" w:name="_Toc16251_WPSOffice_Type1" w:displacedByCustomXml="prev"/>
        <w:p>
          <w:pPr>
            <w:spacing w:before="0" w:after="0" w:line="240" w:lineRule="auto"/>
            <w:ind w:left="0" w:right="0" w:firstLine="0"/>
            <w:jc w:val="center"/>
            <w:rPr>
              <w:rFonts w:ascii="宋体" w:eastAsia="宋体" w:cs="Calibri"/>
              <w:kern w:val="2"/>
              <w:sz w:val="21"/>
              <w:szCs w:val="21"/>
              <w:lang w:val="en-US" w:eastAsia="zh-CN" w:bidi="ar-SA"/>
            </w:rPr>
          </w:pPr>
        </w:p>
        <w:p>
          <w:pPr>
            <w:rPr>
              <w:rFonts w:ascii="黑体" w:eastAsia="黑体" w:cs="Times New Roman"/>
              <w:sz w:val="44"/>
              <w:szCs w:val="44"/>
            </w:rPr>
          </w:pPr>
        </w:p>
        <w:bookmarkEnd w:id="0" w:displacedByCustomXml="next"/>
      </w:sdtContent>
    </w:sdt>
    <w:p>
      <w:pPr>
        <w:pStyle w:val="16"/>
        <w:tabs>
          <w:tab w:val="left" w:pos="960"/>
        </w:tabs>
        <w:rPr>
          <w:rFonts w:ascii="黑体" w:eastAsia="黑体" w:cs="Times New Roman"/>
          <w:sz w:val="44"/>
          <w:szCs w:val="44"/>
        </w:rPr>
      </w:pPr>
    </w:p>
    <w:p>
      <w:pPr>
        <w:pStyle w:val="16"/>
        <w:tabs>
          <w:tab w:val="left" w:pos="960"/>
        </w:tabs>
        <w:ind w:left="0" w:firstLineChars="0" w:firstLine="0"/>
        <w:rPr>
          <w:rFonts w:ascii="黑体" w:eastAsia="黑体" w:cs="Times New Roman"/>
          <w:sz w:val="44"/>
          <w:szCs w:val="44"/>
        </w:rPr>
      </w:pPr>
    </w:p>
    <w:p/>
    <w:p>
      <w:pPr>
        <w:pStyle w:val="29"/>
        <w:numPr>
          <w:ilvl w:val="0"/>
          <w:numId w:val="2"/>
        </w:numPr>
        <w:spacing w:before="0" w:line="240" w:lineRule="auto"/>
        <w:ind w:left="0" w:firstLine="0"/>
        <w:outlineLvl w:val="0"/>
        <w:rPr>
          <w:rFonts w:ascii="楷体_GB2312" w:eastAsia="楷体_GB2312" w:cs="楷体_GB2312" w:hint="eastAsia"/>
          <w:b/>
          <w:bCs/>
          <w:kern w:val="2"/>
          <w:sz w:val="32"/>
          <w:szCs w:val="32"/>
        </w:rPr>
      </w:pPr>
      <w:bookmarkStart w:id="1" w:name="_Toc12374_WPSOffice_Level1"/>
      <w:bookmarkStart w:id="2" w:name="_Toc9056"/>
      <w:r>
        <w:rPr>
          <w:rFonts w:ascii="黑体" w:eastAsia="黑体" w:cs="黑体" w:hint="eastAsia"/>
          <w:kern w:val="2"/>
          <w:sz w:val="32"/>
          <w:szCs w:val="32"/>
        </w:rPr>
        <w:t>基本职能及主要工作</w:t>
      </w:r>
      <w:bookmarkEnd w:id="1"/>
      <w:bookmarkEnd w:id="2"/>
    </w:p>
    <w:p>
      <w:pPr>
        <w:pStyle w:val="29"/>
        <w:spacing w:before="0" w:line="360" w:lineRule="auto"/>
        <w:outlineLvl w:val="1"/>
        <w:rPr>
          <w:rFonts w:ascii="楷体_GB2312" w:eastAsia="楷体_GB2312" w:cs="楷体_GB2312" w:hint="eastAsia"/>
          <w:b/>
          <w:bCs/>
          <w:kern w:val="2"/>
          <w:sz w:val="32"/>
          <w:szCs w:val="32"/>
        </w:rPr>
      </w:pPr>
      <w:r>
        <w:rPr>
          <w:rFonts w:ascii="??" w:eastAsia="宋体" w:cs="??" w:hAnsi="??"/>
          <w:sz w:val="16"/>
          <w:szCs w:val="16"/>
        </w:rPr>
        <w:t xml:space="preserve"> </w:t>
      </w:r>
      <w:bookmarkStart w:id="3" w:name="_Toc26861"/>
      <w:bookmarkStart w:id="4" w:name="_Toc22946_WPSOffice_Level1"/>
      <w:r>
        <w:rPr>
          <w:rFonts w:ascii="楷体_GB2312" w:eastAsia="楷体_GB2312" w:cs="楷体_GB2312" w:hint="eastAsia"/>
          <w:b/>
          <w:bCs/>
          <w:kern w:val="2"/>
          <w:sz w:val="32"/>
          <w:szCs w:val="32"/>
        </w:rPr>
        <w:t>（一）壤塘县科学技术协会职能简介</w:t>
      </w:r>
      <w:bookmarkEnd w:id="3"/>
      <w:bookmarkEnd w:id="4"/>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ascii="仿宋_GB2312" w:eastAsia="仿宋_GB2312" w:cs="仿宋_GB2312"/>
          <w:sz w:val="32"/>
          <w:szCs w:val="32"/>
        </w:rPr>
      </w:pPr>
      <w:r>
        <w:rPr>
          <w:rFonts w:ascii="仿宋_GB2312" w:eastAsia="仿宋_GB2312" w:cs="仿宋_GB2312" w:hint="eastAsia"/>
          <w:sz w:val="32"/>
          <w:szCs w:val="32"/>
        </w:rPr>
        <w:t>县科协是全县学会（协会）和乡镇科协、企业、学校科协组成的科技工作者的群众组织，是党委和政府联系科技工作者的纽带和发展科学技术事业的助手，其职能是： 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1.开展学术交流、活跃学术思想，促进学科发展，推动决策科学化和民主化。 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2.普及科学知识，推广先进技术，促进科技成果向现实生产力转化。 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3.为科技、经济、社会协调发展献计献策，进行决策咨询和技术服务，兴办科技经济实体。 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4.反映科技工作者的呼声和要求，保护科技工作者的合法权益。 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5.开展继续教育，技术培训，农村科普和青少年科技教育活动。 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6.参与地方性科技政策，法规及科技计划、规划的制定。 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7.加强对县级学（协）会及农村专业技术团队的业务指导。 </w:t>
      </w:r>
    </w:p>
    <w:p>
      <w:pPr>
        <w:widowControl/>
        <w:shd w:val="clear" w:color="auto" w:fill="auto"/>
        <w:spacing w:line="480" w:lineRule="auto"/>
        <w:ind w:firstLine="480"/>
        <w:jc w:val="left"/>
        <w:rPr>
          <w:rFonts w:ascii="仿宋_GB2312" w:eastAsia="仿宋_GB2312" w:cs="仿宋_GB2312" w:hint="eastAsia"/>
          <w:sz w:val="32"/>
          <w:szCs w:val="32"/>
        </w:rPr>
      </w:pPr>
      <w:r>
        <w:rPr>
          <w:rFonts w:ascii="仿宋_GB2312" w:eastAsia="仿宋_GB2312" w:cs="仿宋_GB2312" w:hint="eastAsia"/>
          <w:sz w:val="32"/>
          <w:szCs w:val="32"/>
        </w:rPr>
        <w:t>8.编辑学术刊物和科普读物，为科技团体和科技工作者服务。 </w:t>
      </w:r>
    </w:p>
    <w:p>
      <w:pPr>
        <w:pStyle w:val="29"/>
        <w:spacing w:before="0" w:line="360" w:lineRule="auto"/>
        <w:ind w:firstLineChars="196" w:firstLine="627"/>
        <w:outlineLvl w:val="1"/>
        <w:rPr>
          <w:rFonts w:ascii="楷体_GB2312" w:eastAsia="楷体_GB2312" w:cs="楷体_GB2312"/>
          <w:b/>
          <w:bCs/>
          <w:color w:val="auto"/>
          <w:kern w:val="2"/>
          <w:sz w:val="32"/>
          <w:szCs w:val="32"/>
        </w:rPr>
      </w:pPr>
      <w:bookmarkStart w:id="5" w:name="_Toc30073_WPSOffice_Level1"/>
      <w:bookmarkStart w:id="6" w:name="_Toc16204"/>
      <w:r>
        <w:rPr>
          <w:rFonts w:ascii="楷体_GB2312" w:eastAsia="楷体_GB2312" w:cs="楷体_GB2312" w:hint="eastAsia"/>
          <w:b/>
          <w:bCs/>
          <w:color w:val="auto"/>
          <w:kern w:val="2"/>
          <w:sz w:val="32"/>
          <w:szCs w:val="32"/>
        </w:rPr>
        <w:t>（二）壤塘县科学技术协会</w:t>
      </w:r>
      <w:r>
        <w:rPr>
          <w:rFonts w:ascii="楷体_GB2312" w:eastAsia="楷体_GB2312" w:cs="楷体_GB2312" w:hint="eastAsia"/>
          <w:b/>
          <w:bCs/>
          <w:color w:val="auto"/>
          <w:kern w:val="2"/>
          <w:sz w:val="32"/>
          <w:szCs w:val="32"/>
          <w:lang w:eastAsia="zh-CN"/>
        </w:rPr>
        <w:t>2024年</w:t>
      </w:r>
      <w:r>
        <w:rPr>
          <w:rFonts w:ascii="楷体_GB2312" w:eastAsia="楷体_GB2312" w:cs="楷体_GB2312" w:hint="eastAsia"/>
          <w:b/>
          <w:bCs/>
          <w:color w:val="auto"/>
          <w:kern w:val="2"/>
          <w:sz w:val="32"/>
          <w:szCs w:val="32"/>
        </w:rPr>
        <w:t>重点工作</w:t>
      </w:r>
      <w:bookmarkEnd w:id="5"/>
      <w:bookmarkEnd w:id="6"/>
    </w:p>
    <w:p>
      <w:pPr>
        <w:pStyle w:val="27"/>
        <w:rPr>
          <w:rFonts w:ascii="Times New Roman" w:cs="Times New Roman" w:hAnsi="Times New Roman"/>
          <w:b w:val="0"/>
          <w:bCs w:val="0"/>
        </w:rPr>
      </w:pPr>
      <w:r>
        <w:rPr>
          <w:rFonts w:ascii="Times New Roman" w:cs="Times New Roman" w:hAnsi="Times New Roman"/>
          <w:b w:val="0"/>
          <w:bCs w:val="0"/>
        </w:rPr>
        <w:t>1</w:t>
      </w:r>
      <w:r>
        <w:rPr>
          <w:rFonts w:ascii="Times New Roman" w:cs="Times New Roman" w:hAnsi="Times New Roman"/>
          <w:b w:val="0"/>
          <w:bCs w:val="0"/>
          <w:lang w:val="en-US" w:eastAsia="zh-CN"/>
        </w:rPr>
        <w:t>.</w:t>
      </w:r>
      <w:r>
        <w:rPr>
          <w:rFonts w:ascii="Times New Roman" w:cs="Times New Roman" w:hAnsi="Times New Roman"/>
          <w:b w:val="0"/>
          <w:bCs w:val="0"/>
        </w:rPr>
        <w:t>继续抓好科普宣传、科技培训和科技服务活动</w:t>
      </w:r>
      <w:r>
        <w:rPr>
          <w:rFonts w:ascii="Times New Roman" w:cs="Times New Roman" w:hAnsi="Times New Roman"/>
          <w:b w:val="0"/>
          <w:bCs w:val="0"/>
          <w:lang w:eastAsia="zh-CN"/>
        </w:rPr>
        <w:t>，利用科技宣传周、科普宣传日、科技工作者日等节点，结合春耕夏收工作，把科技宣传工作做实</w:t>
      </w:r>
      <w:r>
        <w:rPr>
          <w:rFonts w:ascii="Times New Roman" w:cs="Times New Roman" w:hAnsi="Times New Roman"/>
          <w:b w:val="0"/>
          <w:bCs w:val="0"/>
        </w:rPr>
        <w:t>。</w:t>
      </w:r>
    </w:p>
    <w:p>
      <w:pPr>
        <w:pStyle w:val="27"/>
        <w:rPr>
          <w:rFonts w:ascii="Times New Roman" w:cs="Times New Roman" w:hAnsi="Times New Roman"/>
          <w:b w:val="0"/>
          <w:bCs w:val="0"/>
        </w:rPr>
      </w:pPr>
      <w:r>
        <w:rPr>
          <w:rFonts w:ascii="Times New Roman" w:cs="Times New Roman" w:hAnsi="Times New Roman"/>
          <w:b w:val="0"/>
          <w:bCs w:val="0"/>
        </w:rPr>
        <w:t>2</w:t>
      </w:r>
      <w:r>
        <w:rPr>
          <w:rFonts w:ascii="Times New Roman" w:cs="Times New Roman" w:hAnsi="Times New Roman"/>
          <w:b w:val="0"/>
          <w:bCs w:val="0"/>
          <w:lang w:val="en-US" w:eastAsia="zh-CN"/>
        </w:rPr>
        <w:t>.</w:t>
      </w:r>
      <w:r>
        <w:rPr>
          <w:rFonts w:ascii="Times New Roman" w:cs="Times New Roman" w:hAnsi="Times New Roman"/>
          <w:b w:val="0"/>
          <w:bCs w:val="0"/>
          <w:lang w:eastAsia="zh-CN"/>
        </w:rPr>
        <w:t>持续加强基层科协建设工作，把乡镇科协建设</w:t>
      </w:r>
      <w:r>
        <w:rPr>
          <w:rFonts w:ascii="Times New Roman" w:cs="Times New Roman" w:hAnsi="Times New Roman" w:hint="eastAsia"/>
          <w:b w:val="0"/>
          <w:bCs w:val="0"/>
          <w:lang w:eastAsia="zh-CN"/>
        </w:rPr>
        <w:t>落到实处</w:t>
      </w:r>
      <w:r>
        <w:rPr>
          <w:rFonts w:ascii="Times New Roman" w:cs="Times New Roman" w:hAnsi="Times New Roman"/>
          <w:b w:val="0"/>
          <w:bCs w:val="0"/>
          <w:lang w:eastAsia="zh-CN"/>
        </w:rPr>
        <w:t>，完善乡镇组织机构，充分发挥基层科协为广大农牧民服务作用</w:t>
      </w:r>
      <w:r>
        <w:rPr>
          <w:rFonts w:ascii="Times New Roman" w:cs="Times New Roman" w:hAnsi="Times New Roman"/>
          <w:b w:val="0"/>
          <w:bCs w:val="0"/>
        </w:rPr>
        <w:t>。</w:t>
      </w:r>
    </w:p>
    <w:p>
      <w:pPr>
        <w:pStyle w:val="27"/>
        <w:rPr>
          <w:rFonts w:ascii="Times New Roman" w:cs="Times New Roman" w:hAnsi="Times New Roman"/>
          <w:b w:val="0"/>
          <w:bCs w:val="0"/>
        </w:rPr>
      </w:pPr>
      <w:r>
        <w:rPr>
          <w:rFonts w:ascii="Times New Roman" w:cs="Times New Roman" w:hAnsi="Times New Roman"/>
          <w:b w:val="0"/>
          <w:bCs w:val="0"/>
        </w:rPr>
        <w:t>3</w:t>
      </w:r>
      <w:r>
        <w:rPr>
          <w:rFonts w:ascii="Times New Roman" w:cs="Times New Roman" w:hAnsi="Times New Roman"/>
          <w:b w:val="0"/>
          <w:bCs w:val="0"/>
          <w:lang w:val="en-US" w:eastAsia="zh-CN"/>
        </w:rPr>
        <w:t>.</w:t>
      </w:r>
      <w:r>
        <w:rPr>
          <w:rFonts w:ascii="Times New Roman" w:cs="Times New Roman" w:hAnsi="Times New Roman"/>
          <w:b w:val="0"/>
          <w:bCs w:val="0"/>
        </w:rPr>
        <w:t>认真实施“科普惠农兴村计划”工程，把科普示范基地和科普示范项目的建设作为科协系统服务“三农”和推进社会主义新农村建设的重要措施认真落实，抓出成效。</w:t>
      </w:r>
    </w:p>
    <w:p>
      <w:pPr>
        <w:pStyle w:val="27"/>
        <w:rPr>
          <w:rFonts w:ascii="Times New Roman" w:cs="Times New Roman" w:hAnsi="Times New Roman"/>
          <w:b w:val="0"/>
          <w:bCs w:val="0"/>
        </w:rPr>
      </w:pPr>
      <w:r>
        <w:rPr>
          <w:rFonts w:ascii="Times New Roman" w:cs="Times New Roman" w:hAnsi="Times New Roman"/>
          <w:b w:val="0"/>
          <w:bCs w:val="0"/>
          <w:lang w:val="en-US" w:eastAsia="zh-CN"/>
        </w:rPr>
        <w:t>4.结合上级科协工作安排，继续开展</w:t>
      </w:r>
      <w:r>
        <w:rPr>
          <w:rFonts w:ascii="Times New Roman" w:cs="Times New Roman" w:hAnsi="Times New Roman"/>
          <w:b w:val="0"/>
          <w:bCs w:val="0"/>
          <w:lang w:eastAsia="zh-CN"/>
        </w:rPr>
        <w:t>“天府科技云”工作，使科技工作在全县的乡村振兴工作发挥更大的作用。</w:t>
      </w:r>
    </w:p>
    <w:p>
      <w:pPr>
        <w:pStyle w:val="27"/>
        <w:rPr>
          <w:rFonts w:ascii="Times New Roman" w:cs="Times New Roman" w:hAnsi="Times New Roman"/>
          <w:b w:val="0"/>
          <w:bCs w:val="0"/>
          <w:lang w:val="en-US" w:eastAsia="zh-CN"/>
        </w:rPr>
      </w:pPr>
      <w:r>
        <w:rPr>
          <w:rFonts w:ascii="Times New Roman" w:cs="Times New Roman" w:hAnsi="Times New Roman"/>
          <w:b w:val="0"/>
          <w:bCs w:val="0"/>
          <w:lang w:val="en-US" w:eastAsia="zh-CN"/>
        </w:rPr>
        <w:t>5.结合科协的本职工作，开展好“两联一进”工作，帮助自己的联系户做好新一年的规划，力争做到不返贫。</w:t>
      </w:r>
    </w:p>
    <w:p>
      <w:pPr>
        <w:pStyle w:val="27"/>
        <w:rPr>
          <w:rFonts w:ascii="楷体_GB2312" w:eastAsia="楷体_GB2312" w:cs="楷体_GB2312" w:hint="eastAsia"/>
          <w:b/>
          <w:bCs/>
          <w:color w:val="FF0000"/>
          <w:kern w:val="2"/>
          <w:sz w:val="32"/>
          <w:szCs w:val="32"/>
        </w:rPr>
      </w:pPr>
      <w:r>
        <w:rPr>
          <w:rFonts w:ascii="Times New Roman" w:cs="Times New Roman" w:hAnsi="Times New Roman"/>
          <w:b w:val="0"/>
          <w:bCs w:val="0"/>
          <w:lang w:val="en-US" w:eastAsia="zh-CN"/>
        </w:rPr>
        <w:t>6.</w:t>
      </w:r>
      <w:r>
        <w:rPr>
          <w:rFonts w:ascii="Times New Roman" w:cs="Times New Roman" w:hAnsi="Times New Roman"/>
          <w:b w:val="0"/>
          <w:bCs w:val="0"/>
        </w:rPr>
        <w:t>完成好县委县政府和上级主管部门交办的其他事项</w:t>
      </w:r>
      <w:r>
        <w:rPr>
          <w:rFonts w:ascii="Times New Roman" w:cs="Times New Roman" w:hAnsi="Times New Roman" w:hint="eastAsia"/>
          <w:lang w:eastAsia="zh-CN"/>
        </w:rPr>
        <w:t>。</w:t>
      </w:r>
    </w:p>
    <w:p>
      <w:pPr>
        <w:pStyle w:val="29"/>
        <w:spacing w:before="0" w:line="360" w:lineRule="auto"/>
        <w:ind w:firstLineChars="196" w:firstLine="627"/>
        <w:outlineLvl w:val="0"/>
        <w:rPr>
          <w:rFonts w:ascii="黑体" w:eastAsia="黑体" w:cs="黑体" w:hint="eastAsia"/>
          <w:kern w:val="2"/>
          <w:sz w:val="32"/>
          <w:szCs w:val="32"/>
        </w:rPr>
      </w:pPr>
      <w:bookmarkStart w:id="7" w:name="_Toc8328"/>
      <w:bookmarkStart w:id="8" w:name="_Toc16251_WPSOffice_Level1"/>
      <w:r>
        <w:rPr>
          <w:rFonts w:ascii="黑体" w:eastAsia="黑体" w:cs="黑体" w:hint="eastAsia"/>
          <w:kern w:val="2"/>
          <w:sz w:val="32"/>
          <w:szCs w:val="32"/>
        </w:rPr>
        <w:t>二、部门预算单位构成</w:t>
      </w:r>
      <w:bookmarkEnd w:id="7"/>
      <w:bookmarkEnd w:id="8"/>
    </w:p>
    <w:p>
      <w:pPr>
        <w:pStyle w:val="29"/>
        <w:spacing w:before="0" w:line="360" w:lineRule="auto"/>
        <w:ind w:firstLineChars="196" w:firstLine="627"/>
        <w:outlineLvl w:val="9"/>
        <w:rPr>
          <w:rFonts w:cs="Times New Roman" w:hint="eastAsia"/>
          <w:kern w:val="2"/>
          <w:sz w:val="32"/>
          <w:szCs w:val="32"/>
        </w:rPr>
      </w:pPr>
      <w:r>
        <w:rPr>
          <w:kern w:val="2"/>
          <w:sz w:val="32"/>
          <w:szCs w:val="32"/>
        </w:rPr>
        <w:t xml:space="preserve"> </w:t>
      </w:r>
      <w:r>
        <w:rPr>
          <w:rFonts w:hint="eastAsia"/>
          <w:kern w:val="2"/>
          <w:sz w:val="32"/>
          <w:szCs w:val="32"/>
        </w:rPr>
        <w:t>壤塘县科学技术协会属一级预算单位，下属预算单位0个。</w:t>
      </w:r>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0"/>
        <w:rPr>
          <w:rFonts w:ascii="黑体" w:eastAsia="黑体" w:cs="黑体" w:hint="eastAsia"/>
          <w:kern w:val="2"/>
          <w:sz w:val="32"/>
          <w:szCs w:val="32"/>
        </w:rPr>
      </w:pPr>
      <w:bookmarkStart w:id="9" w:name="_Toc21275_WPSOffice_Level1"/>
      <w:bookmarkStart w:id="10" w:name="_Toc889"/>
      <w:r>
        <w:rPr>
          <w:rFonts w:ascii="黑体" w:eastAsia="黑体" w:cs="黑体" w:hint="eastAsia"/>
          <w:kern w:val="2"/>
          <w:sz w:val="32"/>
          <w:szCs w:val="32"/>
          <w:lang w:val="en-US" w:eastAsia="zh-CN"/>
        </w:rPr>
        <w:t>三、</w:t>
      </w:r>
      <w:r>
        <w:rPr>
          <w:rFonts w:ascii="黑体" w:eastAsia="黑体" w:cs="黑体" w:hint="eastAsia"/>
          <w:kern w:val="2"/>
          <w:sz w:val="32"/>
          <w:szCs w:val="32"/>
        </w:rPr>
        <w:t>收支预算情况说明</w:t>
      </w:r>
      <w:bookmarkEnd w:id="9"/>
      <w:bookmarkEnd w:id="10"/>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hint="eastAsia"/>
          <w:kern w:val="2"/>
          <w:sz w:val="32"/>
          <w:szCs w:val="32"/>
        </w:rPr>
      </w:pPr>
      <w:r>
        <w:rPr>
          <w:rFonts w:hint="eastAsia"/>
          <w:kern w:val="2"/>
          <w:sz w:val="32"/>
          <w:szCs w:val="32"/>
        </w:rPr>
        <w:t>按照综合预算的原则，壤塘县科学技术协会所有收入和支出均纳入部门预算管理。收入包括：</w:t>
      </w:r>
      <w:r>
        <w:rPr>
          <w:rFonts w:hint="eastAsia"/>
          <w:kern w:val="2"/>
          <w:sz w:val="32"/>
          <w:szCs w:val="32"/>
          <w:lang w:eastAsia="zh-CN"/>
        </w:rPr>
        <w:t>一般公共预算财政拨款</w:t>
      </w:r>
      <w:r>
        <w:rPr>
          <w:rFonts w:hint="eastAsia"/>
          <w:kern w:val="2"/>
          <w:sz w:val="32"/>
          <w:szCs w:val="32"/>
        </w:rPr>
        <w:t>收入</w:t>
      </w:r>
      <w:r>
        <w:rPr>
          <w:rFonts w:cs="Times New Roman" w:hint="eastAsia"/>
          <w:kern w:val="2"/>
          <w:sz w:val="32"/>
          <w:szCs w:val="32"/>
          <w:lang w:eastAsia="zh-CN"/>
        </w:rPr>
        <w:t>147.36万</w:t>
      </w:r>
      <w:r>
        <w:rPr>
          <w:rFonts w:hint="eastAsia"/>
          <w:kern w:val="2"/>
          <w:sz w:val="32"/>
          <w:szCs w:val="32"/>
        </w:rPr>
        <w:t>元；支出包括：一般公共服务支出90.47万元，科学技术支出</w:t>
      </w:r>
      <w:r>
        <w:rPr>
          <w:rFonts w:hint="eastAsia"/>
          <w:kern w:val="2"/>
          <w:sz w:val="32"/>
          <w:szCs w:val="32"/>
          <w:lang w:val="en-US" w:eastAsia="zh-CN"/>
        </w:rPr>
        <w:t>8万元；</w:t>
      </w:r>
      <w:r>
        <w:rPr>
          <w:rFonts w:hint="eastAsia"/>
          <w:kern w:val="2"/>
          <w:sz w:val="32"/>
          <w:szCs w:val="32"/>
        </w:rPr>
        <w:t>社会保障和就业支出</w:t>
      </w:r>
      <w:r>
        <w:rPr>
          <w:rFonts w:cs="Times New Roman" w:hint="eastAsia"/>
          <w:kern w:val="2"/>
          <w:sz w:val="32"/>
          <w:szCs w:val="32"/>
        </w:rPr>
        <w:t>26.57</w:t>
      </w:r>
      <w:r>
        <w:rPr>
          <w:rFonts w:hint="eastAsia"/>
          <w:kern w:val="2"/>
          <w:sz w:val="32"/>
          <w:szCs w:val="32"/>
        </w:rPr>
        <w:t>万元，卫生健康支出</w:t>
      </w:r>
      <w:r>
        <w:rPr>
          <w:rFonts w:cs="Times New Roman" w:hint="eastAsia"/>
          <w:kern w:val="2"/>
          <w:sz w:val="32"/>
          <w:szCs w:val="32"/>
        </w:rPr>
        <w:t>9.05</w:t>
      </w:r>
      <w:r>
        <w:rPr>
          <w:rFonts w:hint="eastAsia"/>
          <w:kern w:val="2"/>
          <w:sz w:val="32"/>
          <w:szCs w:val="32"/>
        </w:rPr>
        <w:t>万元，住房保障支出</w:t>
      </w:r>
      <w:r>
        <w:rPr>
          <w:rFonts w:cs="Times New Roman" w:hint="eastAsia"/>
          <w:kern w:val="2"/>
          <w:sz w:val="32"/>
          <w:szCs w:val="32"/>
        </w:rPr>
        <w:t>13.28</w:t>
      </w:r>
      <w:r>
        <w:rPr>
          <w:rFonts w:hint="eastAsia"/>
          <w:kern w:val="2"/>
          <w:sz w:val="32"/>
          <w:szCs w:val="32"/>
        </w:rPr>
        <w:t>万元。壤塘县科学技术协会</w:t>
      </w:r>
      <w:r>
        <w:rPr>
          <w:rFonts w:hint="eastAsia"/>
          <w:kern w:val="2"/>
          <w:sz w:val="32"/>
          <w:szCs w:val="32"/>
          <w:lang w:eastAsia="zh-CN"/>
        </w:rPr>
        <w:t>2024年</w:t>
      </w:r>
      <w:r>
        <w:rPr>
          <w:rFonts w:hint="eastAsia"/>
          <w:kern w:val="2"/>
          <w:sz w:val="32"/>
          <w:szCs w:val="32"/>
        </w:rPr>
        <w:t>收支总预算</w:t>
      </w:r>
      <w:r>
        <w:rPr>
          <w:rFonts w:cs="Times New Roman" w:hint="eastAsia"/>
          <w:kern w:val="2"/>
          <w:sz w:val="32"/>
          <w:szCs w:val="32"/>
          <w:lang w:eastAsia="zh-CN"/>
        </w:rPr>
        <w:t>147.36</w:t>
      </w:r>
      <w:r>
        <w:rPr>
          <w:rFonts w:cs="Times New Roman" w:hint="eastAsia"/>
          <w:kern w:val="2"/>
          <w:sz w:val="32"/>
          <w:szCs w:val="32"/>
          <w:lang w:val="en-US" w:eastAsia="zh-CN"/>
        </w:rPr>
        <w:t>万</w:t>
      </w:r>
      <w:r>
        <w:rPr>
          <w:rFonts w:hint="eastAsia"/>
          <w:kern w:val="2"/>
          <w:sz w:val="32"/>
          <w:szCs w:val="32"/>
        </w:rPr>
        <w:t>元</w:t>
      </w:r>
      <w:r>
        <w:rPr>
          <w:rFonts w:hint="eastAsia"/>
          <w:kern w:val="2"/>
          <w:sz w:val="32"/>
          <w:szCs w:val="32"/>
          <w:lang w:eastAsia="zh-CN"/>
        </w:rPr>
        <w:t>，</w:t>
      </w:r>
      <w:r>
        <w:rPr>
          <w:rFonts w:hint="eastAsia"/>
          <w:kern w:val="2"/>
          <w:sz w:val="32"/>
          <w:szCs w:val="32"/>
        </w:rPr>
        <w:t>比</w:t>
      </w:r>
      <w:r>
        <w:rPr>
          <w:rFonts w:hint="eastAsia"/>
          <w:kern w:val="2"/>
          <w:sz w:val="32"/>
          <w:szCs w:val="32"/>
          <w:lang w:eastAsia="zh-CN"/>
        </w:rPr>
        <w:t>2023年</w:t>
      </w:r>
      <w:r>
        <w:rPr>
          <w:rFonts w:hint="eastAsia"/>
          <w:kern w:val="2"/>
          <w:sz w:val="32"/>
          <w:szCs w:val="32"/>
        </w:rPr>
        <w:t>收支预算总数</w:t>
      </w:r>
      <w:r>
        <w:rPr>
          <w:rFonts w:hint="eastAsia"/>
          <w:kern w:val="2"/>
          <w:sz w:val="32"/>
          <w:szCs w:val="32"/>
          <w:lang w:eastAsia="zh-CN"/>
        </w:rPr>
        <w:t>增加</w:t>
      </w:r>
      <w:r>
        <w:rPr>
          <w:rFonts w:hint="eastAsia"/>
          <w:kern w:val="2"/>
          <w:sz w:val="32"/>
          <w:szCs w:val="32"/>
          <w:lang w:val="en-US" w:eastAsia="zh-CN"/>
        </w:rPr>
        <w:t>32.4</w:t>
      </w:r>
      <w:r>
        <w:rPr>
          <w:rFonts w:hint="eastAsia"/>
          <w:kern w:val="2"/>
          <w:sz w:val="32"/>
          <w:szCs w:val="32"/>
        </w:rPr>
        <w:t>万元，主要</w:t>
      </w:r>
      <w:r>
        <w:rPr>
          <w:rFonts w:hint="eastAsia"/>
          <w:kern w:val="2"/>
          <w:sz w:val="32"/>
          <w:szCs w:val="32"/>
          <w:lang w:val="en-US" w:eastAsia="zh-CN"/>
        </w:rPr>
        <w:t>原</w:t>
      </w:r>
      <w:r>
        <w:rPr>
          <w:rFonts w:hint="eastAsia"/>
          <w:kern w:val="2"/>
          <w:sz w:val="32"/>
          <w:szCs w:val="32"/>
        </w:rPr>
        <w:t>因</w:t>
      </w:r>
      <w:r>
        <w:rPr>
          <w:rFonts w:hint="eastAsia"/>
          <w:kern w:val="2"/>
          <w:sz w:val="32"/>
          <w:szCs w:val="32"/>
          <w:lang w:eastAsia="zh-CN"/>
        </w:rPr>
        <w:t>：</w:t>
      </w:r>
      <w:r>
        <w:rPr>
          <w:rFonts w:hint="eastAsia"/>
          <w:kern w:val="2"/>
          <w:sz w:val="32"/>
          <w:szCs w:val="32"/>
          <w:lang w:val="en-US" w:eastAsia="zh-CN"/>
        </w:rPr>
        <w:t>人员经费和项目增加</w:t>
      </w:r>
      <w:r>
        <w:rPr>
          <w:rFonts w:hint="eastAsia"/>
          <w:kern w:val="2"/>
          <w:sz w:val="32"/>
          <w:szCs w:val="32"/>
        </w:rPr>
        <w:t>。</w:t>
      </w:r>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1"/>
        <w:rPr>
          <w:rFonts w:ascii="楷体_GB2312" w:eastAsia="楷体_GB2312" w:cs="楷体_GB2312" w:hint="eastAsia"/>
          <w:b/>
          <w:bCs/>
          <w:kern w:val="2"/>
          <w:sz w:val="32"/>
          <w:szCs w:val="32"/>
        </w:rPr>
      </w:pPr>
      <w:bookmarkStart w:id="11" w:name="_Toc27562"/>
      <w:bookmarkStart w:id="12" w:name="_Toc7699_WPSOffice_Level1"/>
      <w:r>
        <w:rPr>
          <w:rFonts w:ascii="楷体_GB2312" w:eastAsia="楷体_GB2312" w:cs="楷体_GB2312" w:hint="eastAsia"/>
          <w:b/>
          <w:bCs/>
          <w:kern w:val="2"/>
          <w:sz w:val="32"/>
          <w:szCs w:val="32"/>
          <w:lang w:eastAsia="zh-CN"/>
        </w:rPr>
        <w:t>（</w:t>
      </w:r>
      <w:r>
        <w:rPr>
          <w:rFonts w:ascii="楷体_GB2312" w:eastAsia="楷体_GB2312" w:cs="楷体_GB2312" w:hint="eastAsia"/>
          <w:b/>
          <w:bCs/>
          <w:kern w:val="2"/>
          <w:sz w:val="32"/>
          <w:szCs w:val="32"/>
          <w:lang w:val="en-US" w:eastAsia="zh-CN"/>
        </w:rPr>
        <w:t>一）</w:t>
      </w:r>
      <w:r>
        <w:rPr>
          <w:rFonts w:ascii="楷体_GB2312" w:eastAsia="楷体_GB2312" w:cs="楷体_GB2312" w:hint="eastAsia"/>
          <w:b/>
          <w:bCs/>
          <w:kern w:val="2"/>
          <w:sz w:val="32"/>
          <w:szCs w:val="32"/>
        </w:rPr>
        <w:t>收入预算情况</w:t>
      </w:r>
      <w:bookmarkEnd w:id="11"/>
      <w:bookmarkEnd w:id="12"/>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cs="Times New Roman"/>
          <w:kern w:val="2"/>
          <w:sz w:val="32"/>
          <w:szCs w:val="32"/>
        </w:rPr>
      </w:pPr>
      <w:r>
        <w:rPr>
          <w:rFonts w:hint="eastAsia"/>
          <w:kern w:val="2"/>
          <w:sz w:val="32"/>
          <w:szCs w:val="32"/>
        </w:rPr>
        <w:t>壤塘县科学技术协会</w:t>
      </w:r>
      <w:r>
        <w:rPr>
          <w:rFonts w:hint="eastAsia"/>
          <w:kern w:val="2"/>
          <w:sz w:val="32"/>
          <w:szCs w:val="32"/>
          <w:lang w:eastAsia="zh-CN"/>
        </w:rPr>
        <w:t>2024年</w:t>
      </w:r>
      <w:r>
        <w:rPr>
          <w:rFonts w:hint="eastAsia"/>
          <w:kern w:val="2"/>
          <w:sz w:val="32"/>
          <w:szCs w:val="32"/>
        </w:rPr>
        <w:t>收入预算</w:t>
      </w:r>
      <w:r>
        <w:rPr>
          <w:rFonts w:cs="Times New Roman" w:hint="eastAsia"/>
          <w:kern w:val="2"/>
          <w:sz w:val="32"/>
          <w:szCs w:val="32"/>
          <w:lang w:eastAsia="zh-CN"/>
        </w:rPr>
        <w:t>147.36</w:t>
      </w:r>
      <w:r>
        <w:rPr>
          <w:rFonts w:cs="Times New Roman" w:hint="eastAsia"/>
          <w:kern w:val="2"/>
          <w:sz w:val="32"/>
          <w:szCs w:val="32"/>
          <w:lang w:val="en-US" w:eastAsia="zh-CN"/>
        </w:rPr>
        <w:t>万</w:t>
      </w:r>
      <w:r>
        <w:rPr>
          <w:rFonts w:hint="eastAsia"/>
          <w:kern w:val="2"/>
          <w:sz w:val="32"/>
          <w:szCs w:val="32"/>
        </w:rPr>
        <w:t>元；</w:t>
      </w:r>
      <w:r>
        <w:rPr>
          <w:rFonts w:hint="eastAsia"/>
          <w:kern w:val="2"/>
          <w:sz w:val="32"/>
          <w:szCs w:val="32"/>
          <w:lang w:eastAsia="zh-CN"/>
        </w:rPr>
        <w:t>一般公共预算财政拨款</w:t>
      </w:r>
      <w:r>
        <w:rPr>
          <w:rFonts w:hint="eastAsia"/>
          <w:kern w:val="2"/>
          <w:sz w:val="32"/>
          <w:szCs w:val="32"/>
        </w:rPr>
        <w:t>收入</w:t>
      </w:r>
      <w:r>
        <w:rPr>
          <w:rFonts w:cs="Times New Roman" w:hint="eastAsia"/>
          <w:kern w:val="2"/>
          <w:sz w:val="32"/>
          <w:szCs w:val="32"/>
          <w:lang w:eastAsia="zh-CN"/>
        </w:rPr>
        <w:t>147.36</w:t>
      </w:r>
      <w:r>
        <w:rPr>
          <w:rFonts w:cs="Times New Roman" w:hint="eastAsia"/>
          <w:kern w:val="2"/>
          <w:sz w:val="32"/>
          <w:szCs w:val="32"/>
          <w:lang w:val="en-US" w:eastAsia="zh-CN"/>
        </w:rPr>
        <w:t>万</w:t>
      </w:r>
      <w:r>
        <w:rPr>
          <w:rFonts w:hint="eastAsia"/>
          <w:kern w:val="2"/>
          <w:sz w:val="32"/>
          <w:szCs w:val="32"/>
        </w:rPr>
        <w:t>元，占</w:t>
      </w:r>
      <w:r>
        <w:rPr>
          <w:rFonts w:cs="Times New Roman"/>
          <w:kern w:val="2"/>
          <w:sz w:val="32"/>
          <w:szCs w:val="32"/>
        </w:rPr>
        <w:t>100</w:t>
      </w:r>
      <w:r>
        <w:rPr>
          <w:kern w:val="2"/>
          <w:sz w:val="32"/>
          <w:szCs w:val="32"/>
        </w:rPr>
        <w:t>%</w:t>
      </w:r>
      <w:r>
        <w:rPr>
          <w:rFonts w:hint="eastAsia"/>
          <w:kern w:val="2"/>
          <w:sz w:val="32"/>
          <w:szCs w:val="32"/>
        </w:rPr>
        <w:t>。</w:t>
      </w:r>
    </w:p>
    <w:p>
      <w:pPr>
        <w:pStyle w:val="29"/>
        <w:keepNext w:val="0"/>
        <w:keepLines w:val="0"/>
        <w:pageBreakBefore w:val="0"/>
        <w:widowControl w:val="0"/>
        <w:kinsoku/>
        <w:wordWrap/>
        <w:overflowPunct/>
        <w:topLinePunct w:val="0"/>
        <w:autoSpaceDE/>
        <w:autoSpaceDN/>
        <w:bidi w:val="0"/>
        <w:adjustRightInd/>
        <w:snapToGrid/>
        <w:spacing w:before="0" w:line="240" w:lineRule="auto"/>
        <w:ind w:left="0" w:firstLineChars="200" w:firstLine="640"/>
        <w:textAlignment w:val="auto"/>
        <w:outlineLvl w:val="1"/>
        <w:rPr>
          <w:rFonts w:ascii="楷体_GB2312" w:eastAsia="楷体_GB2312" w:cs="楷体_GB2312" w:hint="eastAsia"/>
          <w:b/>
          <w:bCs/>
          <w:kern w:val="2"/>
          <w:sz w:val="32"/>
          <w:szCs w:val="32"/>
        </w:rPr>
      </w:pPr>
      <w:bookmarkStart w:id="13" w:name="_Toc20798"/>
      <w:bookmarkStart w:id="14" w:name="_Toc24646_WPSOffice_Level1"/>
      <w:r>
        <w:rPr>
          <w:rFonts w:ascii="楷体_GB2312" w:eastAsia="楷体_GB2312" w:cs="楷体_GB2312" w:hint="eastAsia"/>
          <w:b/>
          <w:bCs/>
          <w:kern w:val="2"/>
          <w:sz w:val="32"/>
          <w:szCs w:val="32"/>
          <w:lang w:eastAsia="zh-CN"/>
        </w:rPr>
        <w:t>（</w:t>
      </w:r>
      <w:r>
        <w:rPr>
          <w:rFonts w:ascii="楷体_GB2312" w:eastAsia="楷体_GB2312" w:cs="楷体_GB2312" w:hint="eastAsia"/>
          <w:b/>
          <w:bCs/>
          <w:kern w:val="2"/>
          <w:sz w:val="32"/>
          <w:szCs w:val="32"/>
          <w:lang w:val="en-US" w:eastAsia="zh-CN"/>
        </w:rPr>
        <w:t>二）</w:t>
      </w:r>
      <w:r>
        <w:rPr>
          <w:rFonts w:ascii="楷体_GB2312" w:eastAsia="楷体_GB2312" w:cs="楷体_GB2312" w:hint="eastAsia"/>
          <w:b/>
          <w:bCs/>
          <w:kern w:val="2"/>
          <w:sz w:val="32"/>
          <w:szCs w:val="32"/>
        </w:rPr>
        <w:t>支出预算情况</w:t>
      </w:r>
      <w:bookmarkEnd w:id="13"/>
      <w:bookmarkEnd w:id="14"/>
    </w:p>
    <w:p>
      <w:pPr>
        <w:pStyle w:val="29"/>
        <w:spacing w:before="0" w:line="360" w:lineRule="auto"/>
        <w:ind w:firstLineChars="196" w:firstLine="627"/>
        <w:rPr>
          <w:rFonts w:cs="Times New Roman"/>
          <w:kern w:val="2"/>
          <w:sz w:val="32"/>
          <w:szCs w:val="32"/>
        </w:rPr>
      </w:pPr>
      <w:r>
        <w:rPr>
          <w:rFonts w:hint="eastAsia"/>
          <w:kern w:val="2"/>
          <w:sz w:val="32"/>
          <w:szCs w:val="32"/>
        </w:rPr>
        <w:t>壤塘县科学技术协会</w:t>
      </w:r>
      <w:r>
        <w:rPr>
          <w:rFonts w:hint="eastAsia"/>
          <w:kern w:val="2"/>
          <w:sz w:val="32"/>
          <w:szCs w:val="32"/>
          <w:lang w:eastAsia="zh-CN"/>
        </w:rPr>
        <w:t>2024年</w:t>
      </w:r>
      <w:r>
        <w:rPr>
          <w:rFonts w:hint="eastAsia"/>
          <w:kern w:val="2"/>
          <w:sz w:val="32"/>
          <w:szCs w:val="32"/>
        </w:rPr>
        <w:t>支出预算</w:t>
      </w:r>
      <w:r>
        <w:rPr>
          <w:rFonts w:cs="Times New Roman" w:hint="eastAsia"/>
          <w:kern w:val="2"/>
          <w:sz w:val="32"/>
          <w:szCs w:val="32"/>
          <w:lang w:eastAsia="zh-CN"/>
        </w:rPr>
        <w:t>147.36万</w:t>
      </w:r>
      <w:r>
        <w:rPr>
          <w:rFonts w:hint="eastAsia"/>
          <w:kern w:val="2"/>
          <w:sz w:val="32"/>
          <w:szCs w:val="32"/>
        </w:rPr>
        <w:t>元，其中：基本支出</w:t>
      </w:r>
      <w:r>
        <w:rPr>
          <w:rFonts w:cs="Times New Roman" w:hint="eastAsia"/>
          <w:kern w:val="2"/>
          <w:sz w:val="32"/>
          <w:szCs w:val="32"/>
          <w:lang w:eastAsia="zh-CN"/>
        </w:rPr>
        <w:t>139.36</w:t>
      </w:r>
      <w:r>
        <w:rPr>
          <w:rFonts w:cs="Times New Roman" w:hint="eastAsia"/>
          <w:kern w:val="2"/>
          <w:sz w:val="32"/>
          <w:szCs w:val="32"/>
          <w:lang w:val="en-US" w:eastAsia="zh-CN"/>
        </w:rPr>
        <w:t>万</w:t>
      </w:r>
      <w:r>
        <w:rPr>
          <w:rFonts w:hint="eastAsia"/>
          <w:kern w:val="2"/>
          <w:sz w:val="32"/>
          <w:szCs w:val="32"/>
        </w:rPr>
        <w:t>元，占</w:t>
      </w:r>
      <w:r>
        <w:rPr>
          <w:rFonts w:cs="Times New Roman" w:hint="eastAsia"/>
          <w:kern w:val="2"/>
          <w:sz w:val="32"/>
          <w:szCs w:val="32"/>
          <w:lang w:val="en-US" w:eastAsia="zh-CN"/>
        </w:rPr>
        <w:t>94.57</w:t>
      </w:r>
      <w:r>
        <w:rPr>
          <w:kern w:val="2"/>
          <w:sz w:val="32"/>
          <w:szCs w:val="32"/>
        </w:rPr>
        <w:t>%</w:t>
      </w:r>
      <w:r>
        <w:rPr>
          <w:rFonts w:hint="eastAsia"/>
          <w:kern w:val="2"/>
          <w:sz w:val="32"/>
          <w:szCs w:val="32"/>
          <w:lang w:eastAsia="zh-CN"/>
        </w:rPr>
        <w:t>，</w:t>
      </w:r>
      <w:r>
        <w:rPr>
          <w:rFonts w:hint="eastAsia"/>
          <w:kern w:val="2"/>
          <w:sz w:val="32"/>
          <w:szCs w:val="32"/>
          <w:lang w:val="en-US" w:eastAsia="zh-CN"/>
        </w:rPr>
        <w:t>项目支出8元，占5.43%</w:t>
      </w:r>
      <w:r>
        <w:rPr>
          <w:rFonts w:hint="eastAsia"/>
          <w:kern w:val="2"/>
          <w:sz w:val="32"/>
          <w:szCs w:val="32"/>
        </w:rPr>
        <w:t>。</w:t>
      </w:r>
    </w:p>
    <w:p>
      <w:pPr>
        <w:pStyle w:val="29"/>
        <w:numPr>
          <w:ilvl w:val="0"/>
          <w:numId w:val="3"/>
        </w:numPr>
        <w:spacing w:before="0" w:line="360" w:lineRule="auto"/>
        <w:ind w:left="0" w:firstLineChars="196" w:firstLine="627"/>
        <w:outlineLvl w:val="0"/>
        <w:rPr>
          <w:rFonts w:ascii="黑体" w:eastAsia="黑体" w:cs="黑体" w:hint="eastAsia"/>
          <w:kern w:val="2"/>
          <w:sz w:val="32"/>
          <w:szCs w:val="32"/>
        </w:rPr>
      </w:pPr>
      <w:bookmarkStart w:id="15" w:name="_Toc996_WPSOffice_Level1"/>
      <w:bookmarkStart w:id="16" w:name="_Toc4728"/>
      <w:r>
        <w:rPr>
          <w:rFonts w:ascii="黑体" w:eastAsia="黑体" w:cs="黑体" w:hint="eastAsia"/>
          <w:kern w:val="2"/>
          <w:sz w:val="32"/>
          <w:szCs w:val="32"/>
        </w:rPr>
        <w:t>财政拨款收支预算情况说明</w:t>
      </w:r>
      <w:bookmarkEnd w:id="15"/>
      <w:bookmarkEnd w:id="16"/>
    </w:p>
    <w:p>
      <w:pPr>
        <w:pStyle w:val="29"/>
        <w:spacing w:before="0" w:line="360" w:lineRule="auto"/>
        <w:outlineLvl w:val="9"/>
        <w:rPr>
          <w:kern w:val="2"/>
          <w:sz w:val="32"/>
          <w:szCs w:val="32"/>
        </w:rPr>
      </w:pPr>
      <w:r>
        <w:rPr>
          <w:rFonts w:ascii="??" w:eastAsia="宋体" w:cs="宋体" w:hAnsi="??" w:hint="eastAsia"/>
          <w:sz w:val="16"/>
          <w:szCs w:val="16"/>
          <w:lang w:val="en-US" w:eastAsia="zh-CN"/>
        </w:rPr>
        <w:t xml:space="preserve">    </w:t>
      </w:r>
      <w:r>
        <w:rPr>
          <w:rFonts w:ascii="??" w:eastAsia="宋体" w:cs="宋体" w:hAnsi="??" w:hint="eastAsia"/>
          <w:sz w:val="16"/>
          <w:szCs w:val="16"/>
        </w:rPr>
        <w:t>　</w:t>
      </w:r>
      <w:r>
        <w:rPr>
          <w:rFonts w:hint="eastAsia"/>
          <w:kern w:val="2"/>
          <w:sz w:val="32"/>
          <w:szCs w:val="32"/>
        </w:rPr>
        <w:t>壤塘县科学技术协会</w:t>
      </w:r>
      <w:r>
        <w:rPr>
          <w:rFonts w:hint="eastAsia"/>
          <w:kern w:val="2"/>
          <w:sz w:val="32"/>
          <w:szCs w:val="32"/>
          <w:lang w:eastAsia="zh-CN"/>
        </w:rPr>
        <w:t>2024年</w:t>
      </w:r>
      <w:r>
        <w:rPr>
          <w:rFonts w:hint="eastAsia"/>
          <w:kern w:val="2"/>
          <w:sz w:val="32"/>
          <w:szCs w:val="32"/>
        </w:rPr>
        <w:t>财政拨款收支总预算</w:t>
      </w:r>
      <w:r>
        <w:rPr>
          <w:rFonts w:cs="Times New Roman" w:hint="eastAsia"/>
          <w:kern w:val="2"/>
          <w:sz w:val="32"/>
          <w:szCs w:val="32"/>
          <w:lang w:eastAsia="zh-CN"/>
        </w:rPr>
        <w:t>147.36</w:t>
      </w:r>
      <w:r>
        <w:rPr>
          <w:rFonts w:cs="Times New Roman" w:hint="eastAsia"/>
          <w:kern w:val="2"/>
          <w:sz w:val="32"/>
          <w:szCs w:val="32"/>
          <w:lang w:val="en-US" w:eastAsia="zh-CN"/>
        </w:rPr>
        <w:t>万</w:t>
      </w:r>
      <w:r>
        <w:rPr>
          <w:rFonts w:hint="eastAsia"/>
          <w:kern w:val="2"/>
          <w:sz w:val="32"/>
          <w:szCs w:val="32"/>
        </w:rPr>
        <w:t>元</w:t>
      </w:r>
      <w:r>
        <w:rPr>
          <w:rFonts w:hint="eastAsia"/>
          <w:kern w:val="2"/>
          <w:sz w:val="32"/>
          <w:szCs w:val="32"/>
          <w:lang w:eastAsia="zh-CN"/>
        </w:rPr>
        <w:t>，</w:t>
      </w:r>
      <w:r>
        <w:rPr>
          <w:rFonts w:hint="eastAsia"/>
          <w:kern w:val="2"/>
          <w:sz w:val="32"/>
          <w:szCs w:val="32"/>
        </w:rPr>
        <w:t>比</w:t>
      </w:r>
      <w:r>
        <w:rPr>
          <w:rFonts w:hint="eastAsia"/>
          <w:kern w:val="2"/>
          <w:sz w:val="32"/>
          <w:szCs w:val="32"/>
          <w:lang w:eastAsia="zh-CN"/>
        </w:rPr>
        <w:t>2023年</w:t>
      </w:r>
      <w:r>
        <w:rPr>
          <w:rFonts w:hint="eastAsia"/>
          <w:kern w:val="2"/>
          <w:sz w:val="32"/>
          <w:szCs w:val="32"/>
        </w:rPr>
        <w:t>财政拨款收支总预算</w:t>
      </w:r>
      <w:r>
        <w:rPr>
          <w:rFonts w:hint="eastAsia"/>
          <w:kern w:val="2"/>
          <w:sz w:val="32"/>
          <w:szCs w:val="32"/>
          <w:lang w:eastAsia="zh-CN"/>
        </w:rPr>
        <w:t>增加32.</w:t>
      </w:r>
      <w:r>
        <w:rPr>
          <w:rFonts w:hint="eastAsia"/>
          <w:kern w:val="2"/>
          <w:sz w:val="32"/>
          <w:szCs w:val="32"/>
          <w:lang w:val="en-US" w:eastAsia="zh-CN"/>
        </w:rPr>
        <w:t>4</w:t>
      </w:r>
      <w:r>
        <w:rPr>
          <w:rFonts w:hint="eastAsia"/>
          <w:kern w:val="2"/>
          <w:sz w:val="32"/>
          <w:szCs w:val="32"/>
        </w:rPr>
        <w:t>万元，主要</w:t>
      </w:r>
      <w:r>
        <w:rPr>
          <w:rFonts w:hint="eastAsia"/>
          <w:kern w:val="2"/>
          <w:sz w:val="32"/>
          <w:szCs w:val="32"/>
          <w:lang w:val="en-US" w:eastAsia="zh-CN"/>
        </w:rPr>
        <w:t>原因：人员经费和项目增加</w:t>
      </w:r>
      <w:r>
        <w:rPr>
          <w:rFonts w:hint="eastAsia"/>
          <w:kern w:val="2"/>
          <w:sz w:val="32"/>
          <w:szCs w:val="32"/>
        </w:rPr>
        <w:t>。</w:t>
      </w:r>
    </w:p>
    <w:p>
      <w:pPr>
        <w:pStyle w:val="29"/>
        <w:spacing w:before="0" w:line="360" w:lineRule="auto"/>
        <w:ind w:firstLineChars="196" w:firstLine="627"/>
        <w:rPr>
          <w:rFonts w:eastAsia="仿宋_GB2312" w:cs="Times New Roman"/>
          <w:kern w:val="2"/>
          <w:sz w:val="32"/>
          <w:szCs w:val="32"/>
          <w:lang w:val="en-US" w:eastAsia="zh-CN"/>
        </w:rPr>
      </w:pPr>
      <w:r>
        <w:rPr>
          <w:rFonts w:hint="eastAsia"/>
          <w:kern w:val="2"/>
          <w:sz w:val="32"/>
          <w:szCs w:val="32"/>
        </w:rPr>
        <w:t>收入包括：本年</w:t>
      </w:r>
      <w:r>
        <w:rPr>
          <w:rFonts w:hint="eastAsia"/>
          <w:kern w:val="2"/>
          <w:sz w:val="32"/>
          <w:szCs w:val="32"/>
          <w:lang w:eastAsia="zh-CN"/>
        </w:rPr>
        <w:t>一般公共预算财政拨款</w:t>
      </w:r>
      <w:r>
        <w:rPr>
          <w:rFonts w:hint="eastAsia"/>
          <w:kern w:val="2"/>
          <w:sz w:val="32"/>
          <w:szCs w:val="32"/>
        </w:rPr>
        <w:t>收入</w:t>
      </w:r>
      <w:r>
        <w:rPr>
          <w:rFonts w:cs="Times New Roman" w:hint="eastAsia"/>
          <w:kern w:val="2"/>
          <w:sz w:val="32"/>
          <w:szCs w:val="32"/>
          <w:lang w:eastAsia="zh-CN"/>
        </w:rPr>
        <w:t>147.36</w:t>
      </w:r>
      <w:r>
        <w:rPr>
          <w:rFonts w:cs="Times New Roman" w:hint="eastAsia"/>
          <w:kern w:val="2"/>
          <w:sz w:val="32"/>
          <w:szCs w:val="32"/>
          <w:lang w:val="en-US" w:eastAsia="zh-CN"/>
        </w:rPr>
        <w:t>万</w:t>
      </w:r>
      <w:r>
        <w:rPr>
          <w:rFonts w:hint="eastAsia"/>
          <w:kern w:val="2"/>
          <w:sz w:val="32"/>
          <w:szCs w:val="32"/>
        </w:rPr>
        <w:t>元。</w:t>
      </w:r>
      <w:r>
        <w:rPr>
          <w:rFonts w:cs="Times New Roman"/>
          <w:kern w:val="2"/>
          <w:sz w:val="32"/>
          <w:szCs w:val="32"/>
        </w:rPr>
        <w:t xml:space="preserve"> </w:t>
      </w:r>
      <w:r>
        <w:rPr>
          <w:rFonts w:hint="eastAsia"/>
          <w:kern w:val="2"/>
          <w:sz w:val="32"/>
          <w:szCs w:val="32"/>
        </w:rPr>
        <w:t>支出包括：一般公共服务支出90.47万元，科学技术支出</w:t>
      </w:r>
      <w:r>
        <w:rPr>
          <w:rFonts w:hint="eastAsia"/>
          <w:kern w:val="2"/>
          <w:sz w:val="32"/>
          <w:szCs w:val="32"/>
          <w:lang w:val="en-US" w:eastAsia="zh-CN"/>
        </w:rPr>
        <w:t>8万元；</w:t>
      </w:r>
      <w:r>
        <w:rPr>
          <w:rFonts w:hint="eastAsia"/>
          <w:kern w:val="2"/>
          <w:sz w:val="32"/>
          <w:szCs w:val="32"/>
        </w:rPr>
        <w:t>社会保障和就业支出</w:t>
      </w:r>
      <w:r>
        <w:rPr>
          <w:rFonts w:cs="Times New Roman" w:hint="eastAsia"/>
          <w:kern w:val="2"/>
          <w:sz w:val="32"/>
          <w:szCs w:val="32"/>
        </w:rPr>
        <w:t>26.57</w:t>
      </w:r>
      <w:r>
        <w:rPr>
          <w:rFonts w:hint="eastAsia"/>
          <w:kern w:val="2"/>
          <w:sz w:val="32"/>
          <w:szCs w:val="32"/>
        </w:rPr>
        <w:t>万元，卫生健康支出</w:t>
      </w:r>
      <w:r>
        <w:rPr>
          <w:rFonts w:cs="Times New Roman" w:hint="eastAsia"/>
          <w:kern w:val="2"/>
          <w:sz w:val="32"/>
          <w:szCs w:val="32"/>
        </w:rPr>
        <w:t>9.05</w:t>
      </w:r>
      <w:r>
        <w:rPr>
          <w:rFonts w:hint="eastAsia"/>
          <w:kern w:val="2"/>
          <w:sz w:val="32"/>
          <w:szCs w:val="32"/>
        </w:rPr>
        <w:t>万元，住房保障支出</w:t>
      </w:r>
      <w:r>
        <w:rPr>
          <w:rFonts w:cs="Times New Roman" w:hint="eastAsia"/>
          <w:kern w:val="2"/>
          <w:sz w:val="32"/>
          <w:szCs w:val="32"/>
        </w:rPr>
        <w:t>13.28</w:t>
      </w:r>
      <w:r>
        <w:rPr>
          <w:rFonts w:hint="eastAsia"/>
          <w:kern w:val="2"/>
          <w:sz w:val="32"/>
          <w:szCs w:val="32"/>
        </w:rPr>
        <w:t>万元。</w:t>
      </w:r>
      <w:r>
        <w:rPr>
          <w:rFonts w:hint="eastAsia"/>
          <w:kern w:val="2"/>
          <w:sz w:val="32"/>
          <w:szCs w:val="32"/>
          <w:lang w:val="en-US" w:eastAsia="zh-CN"/>
        </w:rPr>
        <w:t xml:space="preserve">   </w:t>
      </w:r>
    </w:p>
    <w:p>
      <w:pPr>
        <w:pStyle w:val="29"/>
        <w:spacing w:before="0" w:line="360" w:lineRule="auto"/>
        <w:ind w:firstLineChars="196" w:firstLine="627"/>
        <w:outlineLvl w:val="0"/>
        <w:rPr>
          <w:rFonts w:ascii="??" w:eastAsia="宋体" w:cs="Times New Roman" w:hAnsi="??"/>
          <w:sz w:val="16"/>
          <w:szCs w:val="16"/>
        </w:rPr>
      </w:pPr>
      <w:bookmarkStart w:id="17" w:name="_Toc21398"/>
      <w:bookmarkStart w:id="18" w:name="_Toc3448_WPSOffice_Level1"/>
      <w:r>
        <w:rPr>
          <w:rFonts w:ascii="黑体" w:eastAsia="黑体" w:cs="黑体" w:hint="eastAsia"/>
          <w:kern w:val="2"/>
          <w:sz w:val="32"/>
          <w:szCs w:val="32"/>
        </w:rPr>
        <w:t>五、一般公共预算当年拨款情况说明</w:t>
      </w:r>
      <w:bookmarkEnd w:id="17"/>
      <w:bookmarkEnd w:id="18"/>
    </w:p>
    <w:p>
      <w:pPr>
        <w:pStyle w:val="29"/>
        <w:spacing w:before="0" w:line="360" w:lineRule="auto"/>
        <w:ind w:firstLineChars="196" w:firstLine="627"/>
        <w:outlineLvl w:val="1"/>
        <w:rPr>
          <w:rFonts w:cs="Times New Roman"/>
          <w:kern w:val="2"/>
          <w:sz w:val="32"/>
          <w:szCs w:val="32"/>
        </w:rPr>
      </w:pPr>
      <w:bookmarkStart w:id="19" w:name="_Toc12747"/>
      <w:bookmarkStart w:id="20" w:name="_Toc13338_WPSOffice_Level1"/>
      <w:r>
        <w:rPr>
          <w:rFonts w:ascii="楷体_GB2312" w:eastAsia="楷体_GB2312" w:cs="楷体_GB2312" w:hint="eastAsia"/>
          <w:b/>
          <w:bCs/>
          <w:kern w:val="2"/>
          <w:sz w:val="32"/>
          <w:szCs w:val="32"/>
        </w:rPr>
        <w:t>（一）一般公共预算当年拨款规模变化情况</w:t>
      </w:r>
      <w:bookmarkEnd w:id="19"/>
      <w:bookmarkEnd w:id="20"/>
    </w:p>
    <w:p>
      <w:pPr>
        <w:pStyle w:val="29"/>
        <w:spacing w:before="0" w:line="360" w:lineRule="auto"/>
        <w:ind w:firstLineChars="196" w:firstLine="627"/>
        <w:rPr>
          <w:rFonts w:hint="eastAsia"/>
          <w:kern w:val="2"/>
          <w:sz w:val="32"/>
          <w:szCs w:val="32"/>
        </w:rPr>
      </w:pPr>
      <w:r>
        <w:rPr>
          <w:rFonts w:hint="eastAsia"/>
          <w:kern w:val="2"/>
          <w:sz w:val="32"/>
          <w:szCs w:val="32"/>
        </w:rPr>
        <w:t>壤塘县科学技术协会</w:t>
      </w:r>
      <w:r>
        <w:rPr>
          <w:rFonts w:hint="eastAsia"/>
          <w:kern w:val="2"/>
          <w:sz w:val="32"/>
          <w:szCs w:val="32"/>
          <w:lang w:eastAsia="zh-CN"/>
        </w:rPr>
        <w:t>2024年</w:t>
      </w:r>
      <w:r>
        <w:rPr>
          <w:rFonts w:hint="eastAsia"/>
          <w:kern w:val="2"/>
          <w:sz w:val="32"/>
          <w:szCs w:val="32"/>
        </w:rPr>
        <w:t>一般公共预算当年拨款</w:t>
      </w:r>
      <w:r>
        <w:rPr>
          <w:rFonts w:hint="eastAsia"/>
          <w:kern w:val="2"/>
          <w:sz w:val="32"/>
          <w:szCs w:val="32"/>
          <w:lang w:eastAsia="zh-CN"/>
        </w:rPr>
        <w:t>147.36</w:t>
      </w:r>
      <w:r>
        <w:rPr>
          <w:rFonts w:hint="eastAsia"/>
          <w:kern w:val="2"/>
          <w:sz w:val="32"/>
          <w:szCs w:val="32"/>
          <w:lang w:val="en-US" w:eastAsia="zh-CN"/>
        </w:rPr>
        <w:t>万</w:t>
      </w:r>
      <w:r>
        <w:rPr>
          <w:rFonts w:hint="eastAsia"/>
          <w:kern w:val="2"/>
          <w:sz w:val="32"/>
          <w:szCs w:val="32"/>
        </w:rPr>
        <w:t>元，比</w:t>
      </w:r>
      <w:r>
        <w:rPr>
          <w:rFonts w:hint="eastAsia"/>
          <w:kern w:val="2"/>
          <w:sz w:val="32"/>
          <w:szCs w:val="32"/>
          <w:lang w:eastAsia="zh-CN"/>
        </w:rPr>
        <w:t>2023年</w:t>
      </w:r>
      <w:r>
        <w:rPr>
          <w:rFonts w:hint="eastAsia"/>
          <w:kern w:val="2"/>
          <w:sz w:val="32"/>
          <w:szCs w:val="32"/>
        </w:rPr>
        <w:t>预算数</w:t>
      </w:r>
      <w:r>
        <w:rPr>
          <w:rFonts w:hint="eastAsia"/>
          <w:kern w:val="2"/>
          <w:sz w:val="32"/>
          <w:szCs w:val="32"/>
          <w:lang w:eastAsia="zh-CN"/>
        </w:rPr>
        <w:t>增加32.</w:t>
      </w:r>
      <w:r>
        <w:rPr>
          <w:rFonts w:hint="eastAsia"/>
          <w:kern w:val="2"/>
          <w:sz w:val="32"/>
          <w:szCs w:val="32"/>
          <w:lang w:val="en-US" w:eastAsia="zh-CN"/>
        </w:rPr>
        <w:t>4</w:t>
      </w:r>
      <w:r>
        <w:rPr>
          <w:rFonts w:hint="eastAsia"/>
          <w:kern w:val="2"/>
          <w:sz w:val="32"/>
          <w:szCs w:val="32"/>
        </w:rPr>
        <w:t>万元，主要是基本支出</w:t>
      </w:r>
      <w:r>
        <w:rPr>
          <w:rFonts w:hint="eastAsia"/>
          <w:kern w:val="2"/>
          <w:sz w:val="32"/>
          <w:szCs w:val="32"/>
          <w:lang w:eastAsia="zh-CN"/>
        </w:rPr>
        <w:t>增加</w:t>
      </w:r>
      <w:r>
        <w:rPr>
          <w:rFonts w:hint="eastAsia"/>
          <w:kern w:val="2"/>
          <w:sz w:val="32"/>
          <w:szCs w:val="32"/>
          <w:lang w:val="en-US" w:eastAsia="zh-CN"/>
        </w:rPr>
        <w:t>24</w:t>
      </w:r>
      <w:r>
        <w:rPr>
          <w:rFonts w:hint="eastAsia"/>
          <w:kern w:val="2"/>
          <w:sz w:val="32"/>
          <w:szCs w:val="32"/>
          <w:lang w:eastAsia="zh-CN"/>
        </w:rPr>
        <w:t>.</w:t>
      </w:r>
      <w:r>
        <w:rPr>
          <w:rFonts w:hint="eastAsia"/>
          <w:kern w:val="2"/>
          <w:sz w:val="32"/>
          <w:szCs w:val="32"/>
          <w:lang w:val="en-US" w:eastAsia="zh-CN"/>
        </w:rPr>
        <w:t>4</w:t>
      </w:r>
      <w:r>
        <w:rPr>
          <w:rFonts w:hint="eastAsia"/>
          <w:kern w:val="2"/>
          <w:sz w:val="32"/>
          <w:szCs w:val="32"/>
        </w:rPr>
        <w:t>万元，</w:t>
      </w:r>
      <w:r>
        <w:rPr>
          <w:rFonts w:hint="eastAsia"/>
          <w:kern w:val="2"/>
          <w:sz w:val="32"/>
          <w:szCs w:val="32"/>
          <w:lang w:val="en-US" w:eastAsia="zh-CN"/>
        </w:rPr>
        <w:t>项目支出增加8万元，</w:t>
      </w:r>
      <w:r>
        <w:rPr>
          <w:rFonts w:hint="eastAsia"/>
          <w:kern w:val="2"/>
          <w:sz w:val="32"/>
          <w:szCs w:val="32"/>
        </w:rPr>
        <w:t>主要</w:t>
      </w:r>
      <w:r>
        <w:rPr>
          <w:rFonts w:hint="eastAsia"/>
          <w:kern w:val="2"/>
          <w:sz w:val="32"/>
          <w:szCs w:val="32"/>
          <w:lang w:val="en-US" w:eastAsia="zh-CN"/>
        </w:rPr>
        <w:t>原</w:t>
      </w:r>
      <w:r>
        <w:rPr>
          <w:rFonts w:hint="eastAsia"/>
          <w:kern w:val="2"/>
          <w:sz w:val="32"/>
          <w:szCs w:val="32"/>
        </w:rPr>
        <w:t>因</w:t>
      </w:r>
      <w:r>
        <w:rPr>
          <w:rFonts w:hint="eastAsia"/>
          <w:kern w:val="2"/>
          <w:sz w:val="32"/>
          <w:szCs w:val="32"/>
          <w:lang w:eastAsia="zh-CN"/>
        </w:rPr>
        <w:t>：</w:t>
      </w:r>
      <w:r>
        <w:rPr>
          <w:rFonts w:hint="eastAsia"/>
          <w:kern w:val="2"/>
          <w:sz w:val="32"/>
          <w:szCs w:val="32"/>
          <w:lang w:val="en-US" w:eastAsia="zh-CN"/>
        </w:rPr>
        <w:t>人员经费和项目增加</w:t>
      </w:r>
      <w:r>
        <w:rPr>
          <w:rFonts w:hint="eastAsia"/>
          <w:kern w:val="2"/>
          <w:sz w:val="32"/>
          <w:szCs w:val="32"/>
        </w:rPr>
        <w:t>。</w:t>
      </w:r>
      <w:bookmarkStart w:id="21" w:name="_GoBack"/>
      <w:bookmarkEnd w:id="21"/>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1"/>
        <w:rPr>
          <w:rFonts w:hint="eastAsia"/>
          <w:kern w:val="2"/>
          <w:sz w:val="32"/>
          <w:szCs w:val="32"/>
        </w:rPr>
      </w:pPr>
      <w:bookmarkStart w:id="22" w:name="_Toc25264"/>
      <w:bookmarkStart w:id="23" w:name="_Toc15877_WPSOffice_Level1"/>
      <w:r>
        <w:rPr>
          <w:rFonts w:ascii="楷体_GB2312" w:eastAsia="楷体_GB2312" w:cs="楷体_GB2312" w:hint="eastAsia"/>
          <w:b/>
          <w:bCs/>
          <w:kern w:val="2"/>
          <w:sz w:val="32"/>
          <w:szCs w:val="32"/>
          <w:lang w:eastAsia="zh-CN"/>
        </w:rPr>
        <w:t>（</w:t>
      </w:r>
      <w:r>
        <w:rPr>
          <w:rFonts w:ascii="楷体_GB2312" w:eastAsia="楷体_GB2312" w:cs="楷体_GB2312" w:hint="eastAsia"/>
          <w:b/>
          <w:bCs/>
          <w:kern w:val="2"/>
          <w:sz w:val="32"/>
          <w:szCs w:val="32"/>
          <w:lang w:val="en-US" w:eastAsia="zh-CN"/>
        </w:rPr>
        <w:t>二）</w:t>
      </w:r>
      <w:r>
        <w:rPr>
          <w:rFonts w:ascii="楷体_GB2312" w:eastAsia="楷体_GB2312" w:cs="楷体_GB2312" w:hint="eastAsia"/>
          <w:b/>
          <w:bCs/>
          <w:kern w:val="2"/>
          <w:sz w:val="32"/>
          <w:szCs w:val="32"/>
        </w:rPr>
        <w:t>一般公共预算当年拨款结构情况</w:t>
      </w:r>
      <w:bookmarkEnd w:id="22"/>
      <w:bookmarkEnd w:id="23"/>
    </w:p>
    <w:p>
      <w:pPr>
        <w:pStyle w:val="29"/>
        <w:spacing w:before="0" w:line="360" w:lineRule="auto"/>
        <w:ind w:leftChars="196" w:left="412"/>
        <w:outlineLvl w:val="9"/>
        <w:rPr>
          <w:rFonts w:hint="eastAsia"/>
          <w:kern w:val="2"/>
          <w:sz w:val="32"/>
          <w:szCs w:val="32"/>
        </w:rPr>
      </w:pPr>
      <w:r>
        <w:rPr>
          <w:rFonts w:ascii="楷体_GB2312" w:eastAsia="楷体_GB2312" w:cs="楷体_GB2312" w:hint="eastAsia"/>
          <w:b/>
          <w:bCs/>
          <w:kern w:val="2"/>
          <w:sz w:val="32"/>
          <w:szCs w:val="32"/>
          <w:lang w:val="en-US" w:eastAsia="zh-CN"/>
        </w:rPr>
        <w:t xml:space="preserve">   </w:t>
      </w:r>
      <w:r>
        <w:rPr>
          <w:rFonts w:hint="eastAsia"/>
          <w:kern w:val="2"/>
          <w:sz w:val="32"/>
          <w:szCs w:val="32"/>
        </w:rPr>
        <w:t>一般公共服务支出90.47万元，</w:t>
      </w:r>
      <w:r>
        <w:rPr>
          <w:rFonts w:hint="eastAsia"/>
          <w:kern w:val="2"/>
          <w:sz w:val="32"/>
          <w:szCs w:val="32"/>
          <w:lang w:val="en-US" w:eastAsia="zh-CN"/>
        </w:rPr>
        <w:t>占61.39%；</w:t>
      </w:r>
      <w:r>
        <w:rPr>
          <w:rFonts w:hint="eastAsia"/>
          <w:kern w:val="2"/>
          <w:sz w:val="32"/>
          <w:szCs w:val="32"/>
        </w:rPr>
        <w:t>科学技术支出</w:t>
      </w:r>
      <w:r>
        <w:rPr>
          <w:rFonts w:hint="eastAsia"/>
          <w:kern w:val="2"/>
          <w:sz w:val="32"/>
          <w:szCs w:val="32"/>
          <w:lang w:val="en-US" w:eastAsia="zh-CN"/>
        </w:rPr>
        <w:t>8万元，占5.43%；</w:t>
      </w:r>
      <w:r>
        <w:rPr>
          <w:rFonts w:hint="eastAsia"/>
          <w:kern w:val="2"/>
          <w:sz w:val="32"/>
          <w:szCs w:val="32"/>
        </w:rPr>
        <w:t>社会保障和就业支出</w:t>
      </w:r>
      <w:r>
        <w:rPr>
          <w:rFonts w:cs="Times New Roman" w:hint="eastAsia"/>
          <w:kern w:val="2"/>
          <w:sz w:val="32"/>
          <w:szCs w:val="32"/>
        </w:rPr>
        <w:t>26.57</w:t>
      </w:r>
      <w:r>
        <w:rPr>
          <w:rFonts w:hint="eastAsia"/>
          <w:kern w:val="2"/>
          <w:sz w:val="32"/>
          <w:szCs w:val="32"/>
        </w:rPr>
        <w:t>万元，</w:t>
      </w:r>
      <w:r>
        <w:rPr>
          <w:rFonts w:hint="eastAsia"/>
          <w:kern w:val="2"/>
          <w:sz w:val="32"/>
          <w:szCs w:val="32"/>
          <w:lang w:val="en-US" w:eastAsia="zh-CN"/>
        </w:rPr>
        <w:t>占18.03%；</w:t>
      </w:r>
      <w:r>
        <w:rPr>
          <w:rFonts w:hint="eastAsia"/>
          <w:kern w:val="2"/>
          <w:sz w:val="32"/>
          <w:szCs w:val="32"/>
        </w:rPr>
        <w:t>卫生健康支出</w:t>
      </w:r>
      <w:r>
        <w:rPr>
          <w:rFonts w:cs="Times New Roman" w:hint="eastAsia"/>
          <w:kern w:val="2"/>
          <w:sz w:val="32"/>
          <w:szCs w:val="32"/>
        </w:rPr>
        <w:t>9.05</w:t>
      </w:r>
      <w:r>
        <w:rPr>
          <w:rFonts w:hint="eastAsia"/>
          <w:kern w:val="2"/>
          <w:sz w:val="32"/>
          <w:szCs w:val="32"/>
        </w:rPr>
        <w:t>万元，</w:t>
      </w:r>
      <w:r>
        <w:rPr>
          <w:rFonts w:hint="eastAsia"/>
          <w:kern w:val="2"/>
          <w:sz w:val="32"/>
          <w:szCs w:val="32"/>
          <w:lang w:val="en-US" w:eastAsia="zh-CN"/>
        </w:rPr>
        <w:t>占6.14%；</w:t>
      </w:r>
      <w:r>
        <w:rPr>
          <w:rFonts w:hint="eastAsia"/>
          <w:kern w:val="2"/>
          <w:sz w:val="32"/>
          <w:szCs w:val="32"/>
        </w:rPr>
        <w:t>住房保障支出</w:t>
      </w:r>
      <w:r>
        <w:rPr>
          <w:rFonts w:cs="Times New Roman" w:hint="eastAsia"/>
          <w:kern w:val="2"/>
          <w:sz w:val="32"/>
          <w:szCs w:val="32"/>
        </w:rPr>
        <w:t>13.28</w:t>
      </w:r>
      <w:r>
        <w:rPr>
          <w:rFonts w:hint="eastAsia"/>
          <w:kern w:val="2"/>
          <w:sz w:val="32"/>
          <w:szCs w:val="32"/>
        </w:rPr>
        <w:t>万元</w:t>
      </w:r>
      <w:r>
        <w:rPr>
          <w:rFonts w:hint="eastAsia"/>
          <w:kern w:val="2"/>
          <w:sz w:val="32"/>
          <w:szCs w:val="32"/>
          <w:lang w:eastAsia="zh-CN"/>
        </w:rPr>
        <w:t>，</w:t>
      </w:r>
      <w:r>
        <w:rPr>
          <w:rFonts w:hint="eastAsia"/>
          <w:kern w:val="2"/>
          <w:sz w:val="32"/>
          <w:szCs w:val="32"/>
          <w:lang w:val="en-US" w:eastAsia="zh-CN"/>
        </w:rPr>
        <w:t>占9.01%</w:t>
      </w:r>
      <w:r>
        <w:rPr>
          <w:rFonts w:hint="eastAsia"/>
          <w:kern w:val="2"/>
          <w:sz w:val="32"/>
          <w:szCs w:val="32"/>
        </w:rPr>
        <w:t>。</w:t>
      </w:r>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1"/>
        <w:rPr>
          <w:kern w:val="2"/>
          <w:sz w:val="32"/>
          <w:szCs w:val="32"/>
        </w:rPr>
      </w:pPr>
      <w:bookmarkStart w:id="24" w:name="_Toc20990_WPSOffice_Level1"/>
      <w:bookmarkStart w:id="25" w:name="_Toc7395"/>
      <w:r>
        <w:rPr>
          <w:rFonts w:ascii="楷体_GB2312" w:eastAsia="楷体_GB2312" w:cs="楷体_GB2312" w:hint="eastAsia"/>
          <w:b/>
          <w:bCs/>
          <w:kern w:val="2"/>
          <w:sz w:val="32"/>
          <w:szCs w:val="32"/>
          <w:lang w:eastAsia="zh-CN"/>
        </w:rPr>
        <w:t>（</w:t>
      </w:r>
      <w:r>
        <w:rPr>
          <w:rFonts w:ascii="楷体_GB2312" w:eastAsia="楷体_GB2312" w:cs="楷体_GB2312" w:hint="eastAsia"/>
          <w:b/>
          <w:bCs/>
          <w:kern w:val="2"/>
          <w:sz w:val="32"/>
          <w:szCs w:val="32"/>
          <w:lang w:val="en-US" w:eastAsia="zh-CN"/>
        </w:rPr>
        <w:t>三）</w:t>
      </w:r>
      <w:r>
        <w:rPr>
          <w:rFonts w:ascii="楷体_GB2312" w:eastAsia="楷体_GB2312" w:cs="楷体_GB2312" w:hint="eastAsia"/>
          <w:b/>
          <w:bCs/>
          <w:kern w:val="2"/>
          <w:sz w:val="32"/>
          <w:szCs w:val="32"/>
        </w:rPr>
        <w:t>一般公共预算当年拨款具体使用情况</w:t>
      </w:r>
      <w:bookmarkEnd w:id="24"/>
      <w:bookmarkEnd w:id="25"/>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eastAsia="仿宋_GB2312" w:hint="eastAsia"/>
          <w:kern w:val="2"/>
          <w:sz w:val="32"/>
          <w:szCs w:val="32"/>
          <w:lang w:eastAsia="zh-CN"/>
        </w:rPr>
      </w:pPr>
      <w:r>
        <w:rPr>
          <w:rFonts w:hint="eastAsia"/>
          <w:kern w:val="2"/>
          <w:sz w:val="32"/>
          <w:szCs w:val="32"/>
        </w:rPr>
        <w:t>1</w:t>
      </w:r>
      <w:r>
        <w:rPr>
          <w:kern w:val="2"/>
          <w:sz w:val="32"/>
          <w:szCs w:val="32"/>
        </w:rPr>
        <w:t>.201</w:t>
      </w:r>
      <w:r>
        <w:rPr>
          <w:rFonts w:hint="eastAsia"/>
          <w:kern w:val="2"/>
          <w:sz w:val="32"/>
          <w:szCs w:val="32"/>
        </w:rPr>
        <w:t>（类）</w:t>
      </w:r>
      <w:r>
        <w:rPr>
          <w:kern w:val="2"/>
          <w:sz w:val="32"/>
          <w:szCs w:val="32"/>
        </w:rPr>
        <w:t>29</w:t>
      </w:r>
      <w:r>
        <w:rPr>
          <w:rFonts w:hint="eastAsia"/>
          <w:kern w:val="2"/>
          <w:sz w:val="32"/>
          <w:szCs w:val="32"/>
        </w:rPr>
        <w:t>（款）</w:t>
      </w:r>
      <w:r>
        <w:rPr>
          <w:kern w:val="2"/>
          <w:sz w:val="32"/>
          <w:szCs w:val="32"/>
        </w:rPr>
        <w:t>01</w:t>
      </w:r>
      <w:r>
        <w:rPr>
          <w:rFonts w:hint="eastAsia"/>
          <w:kern w:val="2"/>
          <w:sz w:val="32"/>
          <w:szCs w:val="32"/>
        </w:rPr>
        <w:t>（项）：行政运行</w:t>
      </w:r>
      <w:r>
        <w:rPr>
          <w:rFonts w:hint="eastAsia"/>
          <w:kern w:val="2"/>
          <w:sz w:val="32"/>
          <w:szCs w:val="32"/>
          <w:lang w:eastAsia="zh-CN"/>
        </w:rPr>
        <w:t>2024年</w:t>
      </w:r>
      <w:r>
        <w:rPr>
          <w:rFonts w:hint="eastAsia"/>
          <w:kern w:val="2"/>
          <w:sz w:val="32"/>
          <w:szCs w:val="32"/>
        </w:rPr>
        <w:t>预算数为90.47万元，主要用于</w:t>
      </w:r>
      <w:r>
        <w:rPr>
          <w:kern w:val="2"/>
          <w:sz w:val="32"/>
          <w:szCs w:val="32"/>
        </w:rPr>
        <w:t xml:space="preserve"> :</w:t>
      </w:r>
      <w:r>
        <w:rPr>
          <w:rFonts w:hint="eastAsia"/>
          <w:kern w:val="2"/>
          <w:sz w:val="32"/>
          <w:szCs w:val="32"/>
          <w:lang w:eastAsia="zh-CN"/>
        </w:rPr>
        <w:t>2024年</w:t>
      </w:r>
      <w:r>
        <w:rPr>
          <w:rFonts w:hint="eastAsia"/>
          <w:kern w:val="2"/>
          <w:sz w:val="32"/>
          <w:szCs w:val="32"/>
        </w:rPr>
        <w:t>单位职工工资福利支出（基本工资、津补贴、绩效工资等）、日常公用经费支出（办公费、邮电费、劳务费等）、工会经费和公务用车运行维护费。</w:t>
      </w:r>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kern w:val="2"/>
          <w:sz w:val="32"/>
          <w:szCs w:val="32"/>
        </w:rPr>
      </w:pPr>
      <w:r>
        <w:rPr>
          <w:kern w:val="2"/>
          <w:sz w:val="32"/>
          <w:szCs w:val="32"/>
        </w:rPr>
        <w:t>2.</w:t>
      </w:r>
      <w:r>
        <w:rPr>
          <w:rFonts w:hint="eastAsia"/>
          <w:kern w:val="2"/>
          <w:sz w:val="32"/>
          <w:szCs w:val="32"/>
        </w:rPr>
        <w:t>208（类）05（款）05（项）机关事业单位基本养老保险缴费支出</w:t>
      </w:r>
      <w:r>
        <w:rPr>
          <w:rFonts w:hint="eastAsia"/>
          <w:kern w:val="2"/>
          <w:sz w:val="32"/>
          <w:szCs w:val="32"/>
          <w:lang w:eastAsia="zh-CN"/>
        </w:rPr>
        <w:t>2024年</w:t>
      </w:r>
      <w:r>
        <w:rPr>
          <w:rFonts w:hint="eastAsia"/>
          <w:kern w:val="2"/>
          <w:sz w:val="32"/>
          <w:szCs w:val="32"/>
        </w:rPr>
        <w:t>预算数为17.71万元，主要用于</w:t>
      </w:r>
      <w:r>
        <w:rPr>
          <w:kern w:val="2"/>
          <w:sz w:val="32"/>
          <w:szCs w:val="32"/>
        </w:rPr>
        <w:t xml:space="preserve"> :</w:t>
      </w:r>
      <w:r>
        <w:rPr>
          <w:rFonts w:hint="eastAsia"/>
          <w:kern w:val="2"/>
          <w:sz w:val="32"/>
          <w:szCs w:val="32"/>
          <w:lang w:eastAsia="zh-CN"/>
        </w:rPr>
        <w:t>2024年</w:t>
      </w:r>
      <w:r>
        <w:rPr>
          <w:rFonts w:hint="eastAsia"/>
          <w:kern w:val="2"/>
          <w:sz w:val="32"/>
          <w:szCs w:val="32"/>
        </w:rPr>
        <w:t>单位养老保险支出。</w:t>
      </w:r>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rPr>
          <w:kern w:val="2"/>
          <w:sz w:val="32"/>
          <w:szCs w:val="32"/>
        </w:rPr>
      </w:pPr>
      <w:r>
        <w:rPr>
          <w:rFonts w:hint="eastAsia"/>
          <w:kern w:val="2"/>
          <w:sz w:val="32"/>
          <w:szCs w:val="32"/>
          <w:lang w:val="en-US" w:eastAsia="zh-CN"/>
        </w:rPr>
        <w:t xml:space="preserve"> 3</w:t>
      </w:r>
      <w:r>
        <w:rPr>
          <w:kern w:val="2"/>
          <w:sz w:val="32"/>
          <w:szCs w:val="32"/>
        </w:rPr>
        <w:t>.</w:t>
      </w:r>
      <w:r>
        <w:rPr>
          <w:rFonts w:hint="eastAsia"/>
          <w:kern w:val="2"/>
          <w:sz w:val="32"/>
          <w:szCs w:val="32"/>
        </w:rPr>
        <w:t>208（类）05（款）06（项）机关事业单位职业年金缴费支出</w:t>
      </w:r>
      <w:r>
        <w:rPr>
          <w:rFonts w:hint="eastAsia"/>
          <w:kern w:val="2"/>
          <w:sz w:val="32"/>
          <w:szCs w:val="32"/>
          <w:lang w:eastAsia="zh-CN"/>
        </w:rPr>
        <w:t>2024年</w:t>
      </w:r>
      <w:r>
        <w:rPr>
          <w:rFonts w:hint="eastAsia"/>
          <w:kern w:val="2"/>
          <w:sz w:val="32"/>
          <w:szCs w:val="32"/>
        </w:rPr>
        <w:t>预算数为8.86万元，主要用于</w:t>
      </w:r>
      <w:r>
        <w:rPr>
          <w:kern w:val="2"/>
          <w:sz w:val="32"/>
          <w:szCs w:val="32"/>
        </w:rPr>
        <w:t xml:space="preserve"> :</w:t>
      </w:r>
      <w:r>
        <w:rPr>
          <w:rFonts w:hint="eastAsia"/>
          <w:kern w:val="2"/>
          <w:sz w:val="32"/>
          <w:szCs w:val="32"/>
          <w:lang w:eastAsia="zh-CN"/>
        </w:rPr>
        <w:t>2024年</w:t>
      </w:r>
      <w:r>
        <w:rPr>
          <w:rFonts w:hint="eastAsia"/>
          <w:kern w:val="2"/>
          <w:sz w:val="32"/>
          <w:szCs w:val="32"/>
        </w:rPr>
        <w:t>单位职业年金支出。</w:t>
      </w:r>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rPr>
          <w:rFonts w:hint="eastAsia"/>
          <w:kern w:val="2"/>
          <w:sz w:val="32"/>
          <w:szCs w:val="32"/>
        </w:rPr>
      </w:pPr>
      <w:r>
        <w:rPr>
          <w:rFonts w:hint="eastAsia"/>
          <w:kern w:val="2"/>
          <w:sz w:val="32"/>
          <w:szCs w:val="32"/>
          <w:lang w:val="en-US" w:eastAsia="zh-CN"/>
        </w:rPr>
        <w:t>4</w:t>
      </w:r>
      <w:r>
        <w:rPr>
          <w:kern w:val="2"/>
          <w:sz w:val="32"/>
          <w:szCs w:val="32"/>
        </w:rPr>
        <w:t>.</w:t>
      </w:r>
      <w:r>
        <w:rPr>
          <w:rFonts w:hint="eastAsia"/>
          <w:kern w:val="2"/>
          <w:sz w:val="32"/>
          <w:szCs w:val="32"/>
        </w:rPr>
        <w:t>210（类）11（款）01（项）行政单位医疗</w:t>
      </w:r>
      <w:r>
        <w:rPr>
          <w:rFonts w:hint="eastAsia"/>
          <w:kern w:val="2"/>
          <w:sz w:val="32"/>
          <w:szCs w:val="32"/>
          <w:lang w:eastAsia="zh-CN"/>
        </w:rPr>
        <w:t>2024年</w:t>
      </w:r>
      <w:r>
        <w:rPr>
          <w:rFonts w:hint="eastAsia"/>
          <w:kern w:val="2"/>
          <w:sz w:val="32"/>
          <w:szCs w:val="32"/>
        </w:rPr>
        <w:t>预算数为7.75万元，主要用于</w:t>
      </w:r>
      <w:r>
        <w:rPr>
          <w:kern w:val="2"/>
          <w:sz w:val="32"/>
          <w:szCs w:val="32"/>
        </w:rPr>
        <w:t xml:space="preserve"> :</w:t>
      </w:r>
      <w:r>
        <w:rPr>
          <w:rFonts w:hint="eastAsia"/>
          <w:kern w:val="2"/>
          <w:sz w:val="32"/>
          <w:szCs w:val="32"/>
          <w:lang w:eastAsia="zh-CN"/>
        </w:rPr>
        <w:t>2024年</w:t>
      </w:r>
      <w:r>
        <w:rPr>
          <w:rFonts w:hint="eastAsia"/>
          <w:kern w:val="2"/>
          <w:sz w:val="32"/>
          <w:szCs w:val="32"/>
        </w:rPr>
        <w:t>单位行政医疗支出。</w:t>
      </w:r>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rPr>
          <w:rFonts w:hint="eastAsia"/>
          <w:kern w:val="2"/>
          <w:sz w:val="32"/>
          <w:szCs w:val="32"/>
        </w:rPr>
      </w:pPr>
      <w:r>
        <w:rPr>
          <w:rFonts w:hint="eastAsia"/>
          <w:kern w:val="2"/>
          <w:sz w:val="32"/>
          <w:szCs w:val="32"/>
          <w:lang w:val="en-US" w:eastAsia="zh-CN"/>
        </w:rPr>
        <w:t>5</w:t>
      </w:r>
      <w:r>
        <w:rPr>
          <w:kern w:val="2"/>
          <w:sz w:val="32"/>
          <w:szCs w:val="32"/>
        </w:rPr>
        <w:t>.</w:t>
      </w:r>
      <w:r>
        <w:rPr>
          <w:rFonts w:hint="eastAsia"/>
          <w:kern w:val="2"/>
          <w:sz w:val="32"/>
          <w:szCs w:val="32"/>
        </w:rPr>
        <w:t>210（类）11（款）03（项）公务员医疗补助</w:t>
      </w:r>
      <w:r>
        <w:rPr>
          <w:rFonts w:hint="eastAsia"/>
          <w:kern w:val="2"/>
          <w:sz w:val="32"/>
          <w:szCs w:val="32"/>
          <w:lang w:eastAsia="zh-CN"/>
        </w:rPr>
        <w:t>2024年</w:t>
      </w:r>
      <w:r>
        <w:rPr>
          <w:rFonts w:hint="eastAsia"/>
          <w:kern w:val="2"/>
          <w:sz w:val="32"/>
          <w:szCs w:val="32"/>
        </w:rPr>
        <w:t>预算数为</w:t>
      </w:r>
      <w:r>
        <w:rPr>
          <w:rFonts w:hint="eastAsia"/>
          <w:kern w:val="2"/>
          <w:sz w:val="32"/>
          <w:szCs w:val="32"/>
          <w:lang w:val="en-US" w:eastAsia="zh-CN"/>
        </w:rPr>
        <w:t>1.3</w:t>
      </w:r>
      <w:r>
        <w:rPr>
          <w:rFonts w:hint="eastAsia"/>
          <w:kern w:val="2"/>
          <w:sz w:val="32"/>
          <w:szCs w:val="32"/>
        </w:rPr>
        <w:t>万元，主要用于</w:t>
      </w:r>
      <w:r>
        <w:rPr>
          <w:kern w:val="2"/>
          <w:sz w:val="32"/>
          <w:szCs w:val="32"/>
        </w:rPr>
        <w:t xml:space="preserve"> :</w:t>
      </w:r>
      <w:r>
        <w:rPr>
          <w:rFonts w:hint="eastAsia"/>
          <w:kern w:val="2"/>
          <w:sz w:val="32"/>
          <w:szCs w:val="32"/>
          <w:lang w:eastAsia="zh-CN"/>
        </w:rPr>
        <w:t>2024年</w:t>
      </w:r>
      <w:r>
        <w:rPr>
          <w:rFonts w:hint="eastAsia"/>
          <w:kern w:val="2"/>
          <w:sz w:val="32"/>
          <w:szCs w:val="32"/>
        </w:rPr>
        <w:t>单位公务员医疗补助支出。</w:t>
      </w:r>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rPr>
          <w:rFonts w:hint="eastAsia"/>
          <w:kern w:val="2"/>
          <w:sz w:val="32"/>
          <w:szCs w:val="32"/>
        </w:rPr>
      </w:pPr>
      <w:r>
        <w:rPr>
          <w:rFonts w:hint="eastAsia"/>
          <w:kern w:val="2"/>
          <w:sz w:val="32"/>
          <w:szCs w:val="32"/>
          <w:lang w:val="en-US" w:eastAsia="zh-CN"/>
        </w:rPr>
        <w:t>6.</w:t>
      </w:r>
      <w:r>
        <w:rPr>
          <w:rFonts w:hint="eastAsia"/>
          <w:kern w:val="2"/>
          <w:sz w:val="32"/>
          <w:szCs w:val="32"/>
        </w:rPr>
        <w:t>221（类）02（款）01（项）住房公积金</w:t>
      </w:r>
      <w:r>
        <w:rPr>
          <w:rFonts w:hint="eastAsia"/>
          <w:kern w:val="2"/>
          <w:sz w:val="32"/>
          <w:szCs w:val="32"/>
          <w:lang w:eastAsia="zh-CN"/>
        </w:rPr>
        <w:t>2024年</w:t>
      </w:r>
      <w:r>
        <w:rPr>
          <w:rFonts w:hint="eastAsia"/>
          <w:kern w:val="2"/>
          <w:sz w:val="32"/>
          <w:szCs w:val="32"/>
        </w:rPr>
        <w:t>预算数为13.28万元，主要用于</w:t>
      </w:r>
      <w:r>
        <w:rPr>
          <w:kern w:val="2"/>
          <w:sz w:val="32"/>
          <w:szCs w:val="32"/>
        </w:rPr>
        <w:t xml:space="preserve"> :</w:t>
      </w:r>
      <w:r>
        <w:rPr>
          <w:rFonts w:hint="eastAsia"/>
          <w:kern w:val="2"/>
          <w:sz w:val="32"/>
          <w:szCs w:val="32"/>
          <w:lang w:eastAsia="zh-CN"/>
        </w:rPr>
        <w:t>2024年</w:t>
      </w:r>
      <w:r>
        <w:rPr>
          <w:rFonts w:hint="eastAsia"/>
          <w:kern w:val="2"/>
          <w:sz w:val="32"/>
          <w:szCs w:val="32"/>
        </w:rPr>
        <w:t>单位住房公积金支出。</w:t>
      </w:r>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rPr>
          <w:rFonts w:eastAsia="仿宋_GB2312"/>
          <w:kern w:val="2"/>
          <w:sz w:val="32"/>
          <w:szCs w:val="32"/>
          <w:lang w:val="en-US" w:eastAsia="zh-CN"/>
        </w:rPr>
      </w:pPr>
      <w:r>
        <w:rPr>
          <w:rFonts w:hint="eastAsia"/>
          <w:kern w:val="2"/>
          <w:sz w:val="32"/>
          <w:szCs w:val="32"/>
          <w:lang w:val="en-US" w:eastAsia="zh-CN"/>
        </w:rPr>
        <w:t>7</w:t>
      </w:r>
      <w:r>
        <w:rPr>
          <w:kern w:val="2"/>
          <w:sz w:val="32"/>
          <w:szCs w:val="32"/>
        </w:rPr>
        <w:t>.20</w:t>
      </w:r>
      <w:r>
        <w:rPr>
          <w:rFonts w:hint="eastAsia"/>
          <w:kern w:val="2"/>
          <w:sz w:val="32"/>
          <w:szCs w:val="32"/>
          <w:lang w:val="en-US" w:eastAsia="zh-CN"/>
        </w:rPr>
        <w:t>6</w:t>
      </w:r>
      <w:r>
        <w:rPr>
          <w:rFonts w:hint="eastAsia"/>
          <w:kern w:val="2"/>
          <w:sz w:val="32"/>
          <w:szCs w:val="32"/>
        </w:rPr>
        <w:t>（类）</w:t>
      </w:r>
      <w:r>
        <w:rPr>
          <w:rFonts w:hint="eastAsia"/>
          <w:kern w:val="2"/>
          <w:sz w:val="32"/>
          <w:szCs w:val="32"/>
          <w:lang w:val="en-US" w:eastAsia="zh-CN"/>
        </w:rPr>
        <w:t>07</w:t>
      </w:r>
      <w:r>
        <w:rPr>
          <w:rFonts w:hint="eastAsia"/>
          <w:kern w:val="2"/>
          <w:sz w:val="32"/>
          <w:szCs w:val="32"/>
        </w:rPr>
        <w:t>（款）</w:t>
      </w:r>
      <w:r>
        <w:rPr>
          <w:rFonts w:hint="eastAsia"/>
          <w:kern w:val="2"/>
          <w:sz w:val="32"/>
          <w:szCs w:val="32"/>
          <w:lang w:val="en-US" w:eastAsia="zh-CN"/>
        </w:rPr>
        <w:t>02</w:t>
      </w:r>
      <w:r>
        <w:rPr>
          <w:rFonts w:hint="eastAsia"/>
          <w:kern w:val="2"/>
          <w:sz w:val="32"/>
          <w:szCs w:val="32"/>
        </w:rPr>
        <w:t>（项）：科普活动</w:t>
      </w:r>
      <w:r>
        <w:rPr>
          <w:rFonts w:hint="eastAsia"/>
          <w:kern w:val="2"/>
          <w:sz w:val="32"/>
          <w:szCs w:val="32"/>
          <w:lang w:eastAsia="zh-CN"/>
        </w:rPr>
        <w:t>2024年</w:t>
      </w:r>
      <w:r>
        <w:rPr>
          <w:rFonts w:hint="eastAsia"/>
          <w:kern w:val="2"/>
          <w:sz w:val="32"/>
          <w:szCs w:val="32"/>
        </w:rPr>
        <w:t>预算数为</w:t>
      </w:r>
      <w:r>
        <w:rPr>
          <w:rFonts w:hint="eastAsia"/>
          <w:kern w:val="2"/>
          <w:sz w:val="32"/>
          <w:szCs w:val="32"/>
          <w:lang w:val="en-US" w:eastAsia="zh-CN"/>
        </w:rPr>
        <w:t>8</w:t>
      </w:r>
      <w:r>
        <w:rPr>
          <w:rFonts w:hint="eastAsia"/>
          <w:kern w:val="2"/>
          <w:sz w:val="32"/>
          <w:szCs w:val="32"/>
        </w:rPr>
        <w:t>万元，主要用于</w:t>
      </w:r>
      <w:r>
        <w:rPr>
          <w:rFonts w:hint="eastAsia"/>
          <w:kern w:val="2"/>
          <w:sz w:val="32"/>
          <w:szCs w:val="32"/>
          <w:lang w:eastAsia="zh-CN"/>
        </w:rPr>
        <w:t>：人均科普经费</w:t>
      </w:r>
      <w:r>
        <w:rPr>
          <w:rFonts w:hint="eastAsia"/>
          <w:kern w:val="2"/>
          <w:sz w:val="32"/>
          <w:szCs w:val="32"/>
          <w:lang w:val="en-US" w:eastAsia="zh-CN"/>
        </w:rPr>
        <w:t>项目的支出。</w:t>
      </w:r>
    </w:p>
    <w:p>
      <w:pPr>
        <w:pStyle w:val="29"/>
        <w:spacing w:before="0" w:line="360" w:lineRule="auto"/>
        <w:ind w:firstLineChars="196" w:firstLine="314"/>
        <w:outlineLvl w:val="0"/>
        <w:rPr>
          <w:rFonts w:ascii="??" w:eastAsia="宋体" w:cs="Times New Roman" w:hAnsi="??"/>
          <w:b/>
          <w:bCs/>
          <w:sz w:val="16"/>
          <w:szCs w:val="16"/>
        </w:rPr>
      </w:pPr>
      <w:r>
        <w:rPr>
          <w:rFonts w:ascii="??" w:eastAsia="宋体" w:cs="宋体" w:hAnsi="??" w:hint="eastAsia"/>
          <w:sz w:val="16"/>
          <w:szCs w:val="16"/>
        </w:rPr>
        <w:t>　</w:t>
      </w:r>
      <w:r>
        <w:rPr>
          <w:rFonts w:ascii="??" w:eastAsia="宋体" w:cs="宋体" w:hAnsi="??" w:hint="eastAsia"/>
          <w:b/>
          <w:bCs/>
          <w:sz w:val="16"/>
          <w:szCs w:val="16"/>
        </w:rPr>
        <w:t>　</w:t>
      </w:r>
      <w:bookmarkStart w:id="26" w:name="_Toc14680"/>
      <w:bookmarkStart w:id="27" w:name="_Toc16417_WPSOffice_Level1"/>
      <w:r>
        <w:rPr>
          <w:rFonts w:ascii="黑体" w:eastAsia="黑体" w:cs="黑体" w:hint="eastAsia"/>
          <w:kern w:val="2"/>
          <w:sz w:val="32"/>
          <w:szCs w:val="32"/>
        </w:rPr>
        <w:t>六、一般公共预算基本支出情况说明</w:t>
      </w:r>
      <w:bookmarkEnd w:id="26"/>
      <w:bookmarkEnd w:id="27"/>
    </w:p>
    <w:p>
      <w:pPr>
        <w:pStyle w:val="29"/>
        <w:spacing w:before="0" w:line="360" w:lineRule="auto"/>
        <w:ind w:firstLineChars="200" w:firstLine="640"/>
        <w:rPr>
          <w:rFonts w:cs="Times New Roman"/>
          <w:kern w:val="2"/>
          <w:sz w:val="32"/>
          <w:szCs w:val="32"/>
        </w:rPr>
      </w:pPr>
      <w:r>
        <w:rPr>
          <w:rFonts w:hint="eastAsia"/>
          <w:kern w:val="2"/>
          <w:sz w:val="32"/>
          <w:szCs w:val="32"/>
          <w:lang w:val="en-US" w:eastAsia="zh-CN"/>
        </w:rPr>
        <w:t xml:space="preserve">  </w:t>
      </w:r>
      <w:r>
        <w:rPr>
          <w:rFonts w:hint="eastAsia"/>
          <w:kern w:val="2"/>
          <w:sz w:val="32"/>
          <w:szCs w:val="32"/>
        </w:rPr>
        <w:t>壤塘县科学技术协会</w:t>
      </w:r>
      <w:r>
        <w:rPr>
          <w:rFonts w:hint="eastAsia"/>
          <w:kern w:val="2"/>
          <w:sz w:val="32"/>
          <w:szCs w:val="32"/>
          <w:lang w:eastAsia="zh-CN"/>
        </w:rPr>
        <w:t>2024年</w:t>
      </w:r>
      <w:r>
        <w:rPr>
          <w:rFonts w:hint="eastAsia"/>
          <w:kern w:val="2"/>
          <w:sz w:val="32"/>
          <w:szCs w:val="32"/>
        </w:rPr>
        <w:t>一般公共预算基本支出</w:t>
      </w:r>
      <w:r>
        <w:rPr>
          <w:rFonts w:hint="eastAsia"/>
          <w:kern w:val="2"/>
          <w:sz w:val="32"/>
          <w:szCs w:val="32"/>
          <w:lang w:eastAsia="zh-CN"/>
        </w:rPr>
        <w:t>139.36万</w:t>
      </w:r>
      <w:r>
        <w:rPr>
          <w:rFonts w:hint="eastAsia"/>
          <w:kern w:val="2"/>
          <w:sz w:val="32"/>
          <w:szCs w:val="32"/>
        </w:rPr>
        <w:t>元，其中：人员经费129.36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kern w:val="2"/>
          <w:sz w:val="32"/>
          <w:szCs w:val="32"/>
          <w:lang w:val="en-US" w:eastAsia="zh-CN"/>
        </w:rPr>
        <w:t>10</w:t>
      </w:r>
      <w:r>
        <w:rPr>
          <w:rFonts w:hint="eastAsia"/>
          <w:kern w:val="2"/>
          <w:sz w:val="32"/>
          <w:szCs w:val="32"/>
        </w:rPr>
        <w:t>万元，主要包括：办公费、印刷费、手续费、水费、电费、邮电费、差旅费、维修（护）费、租赁费、会议费、培训费、劳务费、工会经费、福利费、其他交通工具运行维护费、其他商品和服务支出。</w:t>
      </w:r>
    </w:p>
    <w:p>
      <w:pPr>
        <w:pStyle w:val="29"/>
        <w:numPr>
          <w:ilvl w:val="0"/>
          <w:numId w:val="4"/>
        </w:numPr>
        <w:spacing w:before="0" w:line="360" w:lineRule="auto"/>
        <w:ind w:left="0" w:firstLineChars="200" w:firstLine="640"/>
        <w:outlineLvl w:val="0"/>
        <w:rPr>
          <w:rFonts w:ascii="黑体" w:eastAsia="黑体" w:cs="黑体" w:hint="eastAsia"/>
          <w:kern w:val="2"/>
          <w:sz w:val="32"/>
          <w:szCs w:val="32"/>
        </w:rPr>
      </w:pPr>
      <w:bookmarkStart w:id="28" w:name="_Toc4206_WPSOffice_Level1"/>
      <w:bookmarkStart w:id="29" w:name="_Toc11711"/>
      <w:r>
        <w:rPr>
          <w:rFonts w:ascii="黑体" w:eastAsia="黑体" w:cs="Times New Roman"/>
          <w:kern w:val="2"/>
          <w:sz w:val="32"/>
          <w:szCs w:val="32"/>
        </w:rPr>
        <w:t>“</w:t>
      </w:r>
      <w:r>
        <w:rPr>
          <w:rFonts w:ascii="黑体" w:eastAsia="黑体" w:cs="黑体" w:hint="eastAsia"/>
          <w:kern w:val="2"/>
          <w:sz w:val="32"/>
          <w:szCs w:val="32"/>
        </w:rPr>
        <w:t>三公</w:t>
      </w:r>
      <w:r>
        <w:rPr>
          <w:rFonts w:ascii="黑体" w:eastAsia="黑体" w:cs="Times New Roman"/>
          <w:kern w:val="2"/>
          <w:sz w:val="32"/>
          <w:szCs w:val="32"/>
        </w:rPr>
        <w:t>”</w:t>
      </w:r>
      <w:r>
        <w:rPr>
          <w:rFonts w:ascii="黑体" w:eastAsia="黑体" w:cs="黑体" w:hint="eastAsia"/>
          <w:kern w:val="2"/>
          <w:sz w:val="32"/>
          <w:szCs w:val="32"/>
        </w:rPr>
        <w:t>经费财政拨款预算安排情况说明</w:t>
      </w:r>
      <w:bookmarkEnd w:id="28"/>
      <w:bookmarkEnd w:id="29"/>
    </w:p>
    <w:p>
      <w:pPr>
        <w:pStyle w:val="29"/>
        <w:spacing w:before="0" w:line="360" w:lineRule="auto"/>
        <w:ind w:firstLineChars="200" w:firstLine="640"/>
        <w:rPr>
          <w:rFonts w:hint="eastAsia"/>
          <w:kern w:val="2"/>
          <w:sz w:val="32"/>
          <w:szCs w:val="32"/>
        </w:rPr>
      </w:pPr>
      <w:r>
        <w:rPr>
          <w:rFonts w:hint="eastAsia"/>
          <w:kern w:val="2"/>
          <w:sz w:val="32"/>
          <w:szCs w:val="32"/>
        </w:rPr>
        <w:t>壤塘县科学技术协会</w:t>
      </w:r>
      <w:r>
        <w:rPr>
          <w:rFonts w:hint="eastAsia"/>
          <w:kern w:val="2"/>
          <w:sz w:val="32"/>
          <w:szCs w:val="32"/>
          <w:lang w:eastAsia="zh-CN"/>
        </w:rPr>
        <w:t>2024年</w:t>
      </w:r>
      <w:r>
        <w:rPr>
          <w:rFonts w:cs="Times New Roman"/>
          <w:kern w:val="2"/>
          <w:sz w:val="32"/>
          <w:szCs w:val="32"/>
        </w:rPr>
        <w:t>“</w:t>
      </w:r>
      <w:r>
        <w:rPr>
          <w:rFonts w:hint="eastAsia"/>
          <w:kern w:val="2"/>
          <w:sz w:val="32"/>
          <w:szCs w:val="32"/>
        </w:rPr>
        <w:t>三公</w:t>
      </w:r>
      <w:r>
        <w:rPr>
          <w:rFonts w:cs="Times New Roman"/>
          <w:kern w:val="2"/>
          <w:sz w:val="32"/>
          <w:szCs w:val="32"/>
        </w:rPr>
        <w:t>”</w:t>
      </w:r>
      <w:r>
        <w:rPr>
          <w:rFonts w:hint="eastAsia"/>
          <w:kern w:val="2"/>
          <w:sz w:val="32"/>
          <w:szCs w:val="32"/>
        </w:rPr>
        <w:t>经费财政拨款预算数</w:t>
      </w:r>
      <w:r>
        <w:rPr>
          <w:kern w:val="2"/>
          <w:sz w:val="32"/>
          <w:szCs w:val="32"/>
        </w:rPr>
        <w:t>4</w:t>
      </w:r>
      <w:r>
        <w:rPr>
          <w:rFonts w:hint="eastAsia"/>
          <w:kern w:val="2"/>
          <w:sz w:val="32"/>
          <w:szCs w:val="32"/>
        </w:rPr>
        <w:t>万元，其中：公务用车运行维护费</w:t>
      </w:r>
      <w:r>
        <w:rPr>
          <w:kern w:val="2"/>
          <w:sz w:val="32"/>
          <w:szCs w:val="32"/>
        </w:rPr>
        <w:t>4</w:t>
      </w:r>
      <w:r>
        <w:rPr>
          <w:rFonts w:hint="eastAsia"/>
          <w:kern w:val="2"/>
          <w:sz w:val="32"/>
          <w:szCs w:val="32"/>
        </w:rPr>
        <w:t>万元。</w:t>
      </w:r>
    </w:p>
    <w:p>
      <w:pPr>
        <w:pStyle w:val="29"/>
        <w:spacing w:before="0" w:line="360" w:lineRule="auto"/>
        <w:ind w:firstLineChars="200" w:firstLine="640"/>
        <w:rPr>
          <w:rFonts w:eastAsia="仿宋_GB2312" w:hint="eastAsia"/>
          <w:kern w:val="2"/>
          <w:sz w:val="32"/>
          <w:szCs w:val="32"/>
          <w:lang w:eastAsia="zh-CN"/>
        </w:rPr>
      </w:pPr>
      <w:r>
        <w:rPr>
          <w:rFonts w:hint="eastAsia"/>
          <w:kern w:val="2"/>
          <w:sz w:val="32"/>
          <w:szCs w:val="32"/>
        </w:rPr>
        <w:t>（一）</w:t>
      </w:r>
      <w:r>
        <w:rPr>
          <w:rFonts w:hint="eastAsia"/>
          <w:kern w:val="2"/>
          <w:sz w:val="32"/>
          <w:szCs w:val="32"/>
          <w:lang w:eastAsia="zh-CN"/>
        </w:rPr>
        <w:t>2024年</w:t>
      </w:r>
      <w:r>
        <w:rPr>
          <w:rFonts w:hint="eastAsia"/>
          <w:kern w:val="2"/>
          <w:sz w:val="32"/>
          <w:szCs w:val="32"/>
        </w:rPr>
        <w:t>因公出国（境）经费</w:t>
      </w:r>
      <w:r>
        <w:rPr>
          <w:rFonts w:hint="eastAsia"/>
          <w:kern w:val="2"/>
          <w:sz w:val="32"/>
          <w:szCs w:val="32"/>
          <w:lang w:val="en-US" w:eastAsia="zh-CN"/>
        </w:rPr>
        <w:t>0</w:t>
      </w:r>
      <w:r>
        <w:rPr>
          <w:rFonts w:hint="eastAsia"/>
          <w:kern w:val="2"/>
          <w:sz w:val="32"/>
          <w:szCs w:val="32"/>
        </w:rPr>
        <w:t>万元。较</w:t>
      </w:r>
      <w:r>
        <w:rPr>
          <w:rFonts w:hint="eastAsia"/>
          <w:kern w:val="2"/>
          <w:sz w:val="32"/>
          <w:szCs w:val="32"/>
          <w:lang w:eastAsia="zh-CN"/>
        </w:rPr>
        <w:t>2023年</w:t>
      </w:r>
      <w:r>
        <w:rPr>
          <w:rFonts w:hint="eastAsia"/>
          <w:kern w:val="2"/>
          <w:sz w:val="32"/>
          <w:szCs w:val="32"/>
        </w:rPr>
        <w:t>预算经费</w:t>
      </w:r>
      <w:r>
        <w:rPr>
          <w:rFonts w:hint="eastAsia"/>
          <w:kern w:val="2"/>
          <w:sz w:val="32"/>
          <w:szCs w:val="32"/>
          <w:lang w:val="en-US" w:eastAsia="zh-CN"/>
        </w:rPr>
        <w:t>0</w:t>
      </w:r>
      <w:r>
        <w:rPr>
          <w:rFonts w:hint="eastAsia"/>
          <w:kern w:val="2"/>
          <w:sz w:val="32"/>
          <w:szCs w:val="32"/>
        </w:rPr>
        <w:t>万元增长</w:t>
      </w:r>
      <w:r>
        <w:rPr>
          <w:rFonts w:hint="eastAsia"/>
          <w:kern w:val="2"/>
          <w:sz w:val="32"/>
          <w:szCs w:val="32"/>
          <w:lang w:val="en-US" w:eastAsia="zh-CN"/>
        </w:rPr>
        <w:t>0</w:t>
      </w:r>
      <w:r>
        <w:rPr>
          <w:kern w:val="2"/>
          <w:sz w:val="32"/>
          <w:szCs w:val="32"/>
        </w:rPr>
        <w:t>%</w:t>
      </w:r>
      <w:r>
        <w:rPr>
          <w:rFonts w:hint="eastAsia"/>
          <w:kern w:val="2"/>
          <w:sz w:val="32"/>
          <w:szCs w:val="32"/>
          <w:lang w:eastAsia="zh-CN"/>
        </w:rPr>
        <w:t>。</w:t>
      </w:r>
      <w:r>
        <w:rPr>
          <w:kern w:val="2"/>
          <w:sz w:val="32"/>
          <w:szCs w:val="32"/>
        </w:rPr>
        <w:t xml:space="preserve"> </w:t>
      </w:r>
    </w:p>
    <w:p>
      <w:pPr>
        <w:pStyle w:val="29"/>
        <w:spacing w:before="0" w:line="360" w:lineRule="auto"/>
        <w:ind w:firstLineChars="200" w:firstLine="640"/>
        <w:rPr>
          <w:rFonts w:hint="eastAsia"/>
          <w:kern w:val="2"/>
          <w:sz w:val="32"/>
          <w:szCs w:val="32"/>
          <w:lang w:eastAsia="zh-CN"/>
        </w:rPr>
      </w:pPr>
      <w:r>
        <w:rPr>
          <w:rFonts w:hint="eastAsia"/>
          <w:kern w:val="2"/>
          <w:sz w:val="32"/>
          <w:szCs w:val="32"/>
        </w:rPr>
        <w:t>（二）</w:t>
      </w:r>
      <w:r>
        <w:rPr>
          <w:rFonts w:hint="eastAsia"/>
          <w:kern w:val="2"/>
          <w:sz w:val="32"/>
          <w:szCs w:val="32"/>
          <w:lang w:eastAsia="zh-CN"/>
        </w:rPr>
        <w:t>2024年</w:t>
      </w:r>
      <w:r>
        <w:rPr>
          <w:rFonts w:hint="eastAsia"/>
          <w:kern w:val="2"/>
          <w:sz w:val="32"/>
          <w:szCs w:val="32"/>
        </w:rPr>
        <w:t>公务接待费</w:t>
      </w:r>
      <w:r>
        <w:rPr>
          <w:rFonts w:hint="eastAsia"/>
          <w:kern w:val="2"/>
          <w:sz w:val="32"/>
          <w:szCs w:val="32"/>
          <w:lang w:val="en-US" w:eastAsia="zh-CN"/>
        </w:rPr>
        <w:t>0</w:t>
      </w:r>
      <w:r>
        <w:rPr>
          <w:rFonts w:hint="eastAsia"/>
          <w:kern w:val="2"/>
          <w:sz w:val="32"/>
          <w:szCs w:val="32"/>
        </w:rPr>
        <w:t>万元。较</w:t>
      </w:r>
      <w:r>
        <w:rPr>
          <w:rFonts w:hint="eastAsia"/>
          <w:kern w:val="2"/>
          <w:sz w:val="32"/>
          <w:szCs w:val="32"/>
          <w:lang w:eastAsia="zh-CN"/>
        </w:rPr>
        <w:t>2023年</w:t>
      </w:r>
      <w:r>
        <w:rPr>
          <w:rFonts w:hint="eastAsia"/>
          <w:kern w:val="2"/>
          <w:sz w:val="32"/>
          <w:szCs w:val="32"/>
        </w:rPr>
        <w:t>预算经费</w:t>
      </w:r>
      <w:r>
        <w:rPr>
          <w:rFonts w:hint="eastAsia"/>
          <w:kern w:val="2"/>
          <w:sz w:val="32"/>
          <w:szCs w:val="32"/>
          <w:lang w:val="en-US" w:eastAsia="zh-CN"/>
        </w:rPr>
        <w:t>0</w:t>
      </w:r>
      <w:r>
        <w:rPr>
          <w:rFonts w:hint="eastAsia"/>
          <w:kern w:val="2"/>
          <w:sz w:val="32"/>
          <w:szCs w:val="32"/>
        </w:rPr>
        <w:t>万元增长</w:t>
      </w:r>
      <w:r>
        <w:rPr>
          <w:rFonts w:hint="eastAsia"/>
          <w:kern w:val="2"/>
          <w:sz w:val="32"/>
          <w:szCs w:val="32"/>
          <w:lang w:val="en-US" w:eastAsia="zh-CN"/>
        </w:rPr>
        <w:t>0</w:t>
      </w:r>
      <w:r>
        <w:rPr>
          <w:kern w:val="2"/>
          <w:sz w:val="32"/>
          <w:szCs w:val="32"/>
        </w:rPr>
        <w:t>%</w:t>
      </w:r>
      <w:r>
        <w:rPr>
          <w:rFonts w:hint="eastAsia"/>
          <w:kern w:val="2"/>
          <w:sz w:val="32"/>
          <w:szCs w:val="32"/>
          <w:lang w:eastAsia="zh-CN"/>
        </w:rPr>
        <w:t>。</w:t>
      </w:r>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hint="eastAsia"/>
          <w:kern w:val="2"/>
          <w:sz w:val="32"/>
          <w:szCs w:val="32"/>
        </w:rPr>
      </w:pPr>
      <w:r>
        <w:rPr>
          <w:rFonts w:hint="eastAsia"/>
          <w:kern w:val="2"/>
          <w:sz w:val="32"/>
          <w:szCs w:val="32"/>
        </w:rPr>
        <w:t>（三）</w:t>
      </w:r>
      <w:r>
        <w:rPr>
          <w:rFonts w:hint="eastAsia"/>
          <w:kern w:val="2"/>
          <w:sz w:val="32"/>
          <w:szCs w:val="32"/>
          <w:lang w:eastAsia="zh-CN"/>
        </w:rPr>
        <w:t>2024年</w:t>
      </w:r>
      <w:r>
        <w:rPr>
          <w:rFonts w:hint="eastAsia"/>
          <w:kern w:val="2"/>
          <w:sz w:val="32"/>
          <w:szCs w:val="32"/>
        </w:rPr>
        <w:t>公务用车购置及运行维护费</w:t>
      </w:r>
      <w:r>
        <w:rPr>
          <w:rFonts w:hint="eastAsia"/>
          <w:kern w:val="2"/>
          <w:sz w:val="32"/>
          <w:szCs w:val="32"/>
          <w:lang w:val="en-US" w:eastAsia="zh-CN"/>
        </w:rPr>
        <w:t>4</w:t>
      </w:r>
      <w:r>
        <w:rPr>
          <w:rFonts w:hint="eastAsia"/>
          <w:kern w:val="2"/>
          <w:sz w:val="32"/>
          <w:szCs w:val="32"/>
        </w:rPr>
        <w:t>万元。</w:t>
      </w:r>
      <w:r>
        <w:rPr>
          <w:rFonts w:hint="eastAsia"/>
          <w:kern w:val="2"/>
          <w:sz w:val="32"/>
          <w:szCs w:val="32"/>
          <w:lang w:val="en-US" w:eastAsia="zh-CN"/>
        </w:rPr>
        <w:t>与</w:t>
      </w:r>
      <w:r>
        <w:rPr>
          <w:rFonts w:hint="eastAsia"/>
          <w:kern w:val="2"/>
          <w:sz w:val="32"/>
          <w:szCs w:val="32"/>
          <w:lang w:eastAsia="zh-CN"/>
        </w:rPr>
        <w:t>2023年</w:t>
      </w:r>
      <w:r>
        <w:rPr>
          <w:rFonts w:hint="eastAsia"/>
          <w:kern w:val="2"/>
          <w:sz w:val="32"/>
          <w:szCs w:val="32"/>
        </w:rPr>
        <w:t>预算经费</w:t>
      </w:r>
      <w:r>
        <w:rPr>
          <w:rFonts w:hint="eastAsia"/>
          <w:kern w:val="2"/>
          <w:sz w:val="32"/>
          <w:szCs w:val="32"/>
          <w:lang w:val="en-US" w:eastAsia="zh-CN"/>
        </w:rPr>
        <w:t>4</w:t>
      </w:r>
      <w:r>
        <w:rPr>
          <w:rFonts w:hint="eastAsia"/>
          <w:kern w:val="2"/>
          <w:sz w:val="32"/>
          <w:szCs w:val="32"/>
        </w:rPr>
        <w:t>万元</w:t>
      </w:r>
      <w:r>
        <w:rPr>
          <w:rFonts w:hint="eastAsia"/>
          <w:kern w:val="2"/>
          <w:sz w:val="32"/>
          <w:szCs w:val="32"/>
          <w:lang w:val="en-US" w:eastAsia="zh-CN"/>
        </w:rPr>
        <w:t>相等。</w:t>
      </w:r>
    </w:p>
    <w:p>
      <w:pPr>
        <w:pStyle w:val="29"/>
        <w:spacing w:before="0" w:line="360" w:lineRule="auto"/>
        <w:ind w:leftChars="200" w:left="420"/>
        <w:outlineLvl w:val="0"/>
        <w:rPr>
          <w:rFonts w:hint="eastAsia"/>
          <w:kern w:val="2"/>
          <w:sz w:val="32"/>
          <w:szCs w:val="32"/>
        </w:rPr>
      </w:pPr>
      <w:bookmarkStart w:id="30" w:name="_Toc9056_WPSOffice_Level1"/>
      <w:bookmarkStart w:id="31" w:name="_Toc12902"/>
      <w:r>
        <w:rPr>
          <w:rFonts w:ascii="黑体" w:eastAsia="黑体" w:cs="黑体" w:hint="eastAsia"/>
          <w:kern w:val="2"/>
          <w:sz w:val="32"/>
          <w:szCs w:val="32"/>
          <w:lang w:val="en-US" w:eastAsia="zh-CN"/>
        </w:rPr>
        <w:t>八、</w:t>
      </w:r>
      <w:r>
        <w:rPr>
          <w:rFonts w:ascii="黑体" w:eastAsia="黑体" w:cs="黑体" w:hint="eastAsia"/>
          <w:kern w:val="2"/>
          <w:sz w:val="32"/>
          <w:szCs w:val="32"/>
        </w:rPr>
        <w:t>政府性基金预算支出情况说明</w:t>
      </w:r>
      <w:bookmarkEnd w:id="30"/>
      <w:bookmarkEnd w:id="31"/>
    </w:p>
    <w:p>
      <w:pPr>
        <w:pStyle w:val="29"/>
        <w:spacing w:before="0" w:line="360" w:lineRule="auto"/>
        <w:ind w:leftChars="200" w:left="420"/>
        <w:outlineLvl w:val="9"/>
        <w:rPr>
          <w:rFonts w:hint="eastAsia"/>
          <w:kern w:val="2"/>
          <w:sz w:val="32"/>
          <w:szCs w:val="32"/>
        </w:rPr>
      </w:pPr>
      <w:r>
        <w:rPr>
          <w:rFonts w:ascii="??" w:eastAsia="宋体" w:cs="宋体" w:hAnsi="??" w:hint="eastAsia"/>
          <w:sz w:val="16"/>
          <w:szCs w:val="16"/>
        </w:rPr>
        <w:t>　</w:t>
      </w:r>
      <w:r>
        <w:rPr>
          <w:rFonts w:hint="eastAsia"/>
          <w:kern w:val="2"/>
          <w:sz w:val="32"/>
          <w:szCs w:val="32"/>
        </w:rPr>
        <w:t>壤塘县科学技术协会</w:t>
      </w:r>
      <w:r>
        <w:rPr>
          <w:rFonts w:hint="eastAsia"/>
          <w:kern w:val="2"/>
          <w:sz w:val="32"/>
          <w:szCs w:val="32"/>
          <w:lang w:eastAsia="zh-CN"/>
        </w:rPr>
        <w:t>2024年</w:t>
      </w:r>
      <w:r>
        <w:rPr>
          <w:rFonts w:hint="eastAsia"/>
          <w:kern w:val="2"/>
          <w:sz w:val="32"/>
          <w:szCs w:val="32"/>
        </w:rPr>
        <w:t>无政府性基金预算拨款。</w:t>
      </w:r>
    </w:p>
    <w:p>
      <w:pPr>
        <w:pStyle w:val="29"/>
        <w:spacing w:before="0" w:line="360" w:lineRule="auto"/>
        <w:ind w:leftChars="200" w:left="420"/>
        <w:outlineLvl w:val="0"/>
        <w:rPr>
          <w:rFonts w:ascii="黑体" w:eastAsia="黑体" w:cs="黑体" w:hint="eastAsia"/>
          <w:kern w:val="2"/>
          <w:sz w:val="32"/>
          <w:szCs w:val="32"/>
        </w:rPr>
      </w:pPr>
      <w:bookmarkStart w:id="32" w:name="_Toc26861_WPSOffice_Level1"/>
      <w:bookmarkStart w:id="33" w:name="_Toc329"/>
      <w:r>
        <w:rPr>
          <w:rFonts w:ascii="黑体" w:eastAsia="黑体" w:cs="黑体" w:hint="eastAsia"/>
          <w:kern w:val="2"/>
          <w:sz w:val="32"/>
          <w:szCs w:val="32"/>
          <w:lang w:val="en-US" w:eastAsia="zh-CN"/>
        </w:rPr>
        <w:t>九、</w:t>
      </w:r>
      <w:r>
        <w:rPr>
          <w:rFonts w:ascii="黑体" w:eastAsia="黑体" w:cs="黑体" w:hint="eastAsia"/>
          <w:kern w:val="2"/>
          <w:sz w:val="32"/>
          <w:szCs w:val="32"/>
        </w:rPr>
        <w:t>其他重要事项的情况说明</w:t>
      </w:r>
      <w:bookmarkEnd w:id="32"/>
      <w:bookmarkEnd w:id="33"/>
    </w:p>
    <w:p>
      <w:pPr>
        <w:pStyle w:val="29"/>
        <w:numPr>
          <w:ilvl w:val="0"/>
          <w:numId w:val="5"/>
        </w:numPr>
        <w:spacing w:before="0" w:line="360" w:lineRule="auto"/>
        <w:ind w:left="741" w:firstLine="0"/>
        <w:outlineLvl w:val="1"/>
        <w:rPr>
          <w:rFonts w:ascii="楷体_GB2312" w:eastAsia="楷体_GB2312" w:cs="楷体_GB2312" w:hint="eastAsia"/>
          <w:b/>
          <w:bCs/>
          <w:kern w:val="2"/>
          <w:sz w:val="32"/>
          <w:szCs w:val="32"/>
        </w:rPr>
      </w:pPr>
      <w:bookmarkStart w:id="34" w:name="_Toc14029"/>
      <w:bookmarkStart w:id="35" w:name="_Toc31513_WPSOffice_Level1"/>
      <w:r>
        <w:rPr>
          <w:rFonts w:ascii="楷体_GB2312" w:eastAsia="楷体_GB2312" w:cs="楷体_GB2312" w:hint="eastAsia"/>
          <w:b/>
          <w:bCs/>
          <w:kern w:val="2"/>
          <w:sz w:val="32"/>
          <w:szCs w:val="32"/>
        </w:rPr>
        <w:t>机关运行经费</w:t>
      </w:r>
      <w:bookmarkEnd w:id="34"/>
      <w:bookmarkEnd w:id="35"/>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hint="eastAsia"/>
          <w:kern w:val="2"/>
          <w:sz w:val="32"/>
          <w:szCs w:val="32"/>
        </w:rPr>
      </w:pPr>
      <w:r>
        <w:rPr>
          <w:kern w:val="2"/>
          <w:sz w:val="32"/>
          <w:szCs w:val="32"/>
        </w:rPr>
        <w:t xml:space="preserve"> </w:t>
      </w:r>
      <w:r>
        <w:rPr>
          <w:rFonts w:hint="eastAsia"/>
          <w:kern w:val="2"/>
          <w:sz w:val="32"/>
          <w:szCs w:val="32"/>
        </w:rPr>
        <w:t>壤塘县科学技术协会</w:t>
      </w:r>
      <w:r>
        <w:rPr>
          <w:rFonts w:hint="eastAsia"/>
          <w:kern w:val="2"/>
          <w:sz w:val="32"/>
          <w:szCs w:val="32"/>
          <w:lang w:eastAsia="zh-CN"/>
        </w:rPr>
        <w:t>2024年</w:t>
      </w:r>
      <w:r>
        <w:rPr>
          <w:rFonts w:hint="eastAsia"/>
          <w:color w:val="000000"/>
          <w:kern w:val="2"/>
          <w:sz w:val="32"/>
          <w:szCs w:val="32"/>
          <w14:textFill>
            <w14:solidFill>
              <w14:srgbClr w14:val="000000"/>
            </w14:solidFill>
          </w14:textFill>
        </w:rPr>
        <w:t>机关运行经费</w:t>
      </w:r>
      <w:r>
        <w:rPr>
          <w:rFonts w:hint="eastAsia"/>
          <w:kern w:val="2"/>
          <w:sz w:val="32"/>
          <w:szCs w:val="32"/>
        </w:rPr>
        <w:t>财政拨款预算为</w:t>
      </w:r>
      <w:r>
        <w:rPr>
          <w:rFonts w:hint="eastAsia"/>
          <w:kern w:val="2"/>
          <w:sz w:val="32"/>
          <w:szCs w:val="32"/>
          <w:lang w:val="en-US" w:eastAsia="zh-CN"/>
        </w:rPr>
        <w:t>10</w:t>
      </w:r>
      <w:r>
        <w:rPr>
          <w:rFonts w:hint="eastAsia"/>
          <w:kern w:val="2"/>
          <w:sz w:val="32"/>
          <w:szCs w:val="32"/>
        </w:rPr>
        <w:t>万元，比</w:t>
      </w:r>
      <w:r>
        <w:rPr>
          <w:rFonts w:hint="eastAsia"/>
          <w:kern w:val="2"/>
          <w:sz w:val="32"/>
          <w:szCs w:val="32"/>
          <w:lang w:eastAsia="zh-CN"/>
        </w:rPr>
        <w:t>2023年</w:t>
      </w:r>
      <w:r>
        <w:rPr>
          <w:rFonts w:hint="eastAsia"/>
          <w:kern w:val="2"/>
          <w:sz w:val="32"/>
          <w:szCs w:val="32"/>
        </w:rPr>
        <w:t>预算</w:t>
      </w:r>
      <w:r>
        <w:rPr>
          <w:rFonts w:hint="eastAsia"/>
          <w:kern w:val="2"/>
          <w:sz w:val="32"/>
          <w:szCs w:val="32"/>
          <w:lang w:val="en-US" w:eastAsia="zh-CN"/>
        </w:rPr>
        <w:t>减少</w:t>
      </w:r>
      <w:r>
        <w:rPr>
          <w:rFonts w:hint="eastAsia"/>
          <w:kern w:val="2"/>
          <w:sz w:val="32"/>
          <w:szCs w:val="32"/>
        </w:rPr>
        <w:t>1.</w:t>
      </w:r>
      <w:r>
        <w:rPr>
          <w:rFonts w:hint="eastAsia"/>
          <w:kern w:val="2"/>
          <w:sz w:val="32"/>
          <w:szCs w:val="32"/>
          <w:lang w:val="en-US" w:eastAsia="zh-CN"/>
        </w:rPr>
        <w:t>24</w:t>
      </w:r>
      <w:r>
        <w:rPr>
          <w:rFonts w:hint="eastAsia"/>
          <w:kern w:val="2"/>
          <w:sz w:val="32"/>
          <w:szCs w:val="32"/>
        </w:rPr>
        <w:t>万元，</w:t>
      </w:r>
      <w:r>
        <w:rPr>
          <w:rFonts w:hint="eastAsia"/>
          <w:kern w:val="2"/>
          <w:sz w:val="32"/>
          <w:szCs w:val="32"/>
          <w:lang w:val="en-US" w:eastAsia="zh-CN"/>
        </w:rPr>
        <w:t>降低12.4</w:t>
      </w:r>
      <w:r>
        <w:rPr>
          <w:rFonts w:hint="eastAsia"/>
          <w:kern w:val="2"/>
          <w:sz w:val="32"/>
          <w:szCs w:val="32"/>
        </w:rPr>
        <w:t>%。</w:t>
      </w:r>
    </w:p>
    <w:p>
      <w:pPr>
        <w:pStyle w:val="29"/>
        <w:keepNext w:val="0"/>
        <w:keepLines w:val="0"/>
        <w:pageBreakBefore w:val="0"/>
        <w:widowControl w:val="0"/>
        <w:kinsoku/>
        <w:wordWrap/>
        <w:overflowPunct/>
        <w:topLinePunct w:val="0"/>
        <w:autoSpaceDE/>
        <w:autoSpaceDN/>
        <w:bidi w:val="0"/>
        <w:adjustRightInd/>
        <w:snapToGrid/>
        <w:spacing w:before="0" w:line="240" w:lineRule="auto"/>
        <w:ind w:left="0" w:firstLineChars="200" w:firstLine="640"/>
        <w:textAlignment w:val="auto"/>
        <w:outlineLvl w:val="1"/>
        <w:rPr>
          <w:rFonts w:cs="Times New Roman"/>
          <w:kern w:val="2"/>
          <w:sz w:val="32"/>
          <w:szCs w:val="32"/>
        </w:rPr>
      </w:pPr>
      <w:bookmarkStart w:id="36" w:name="_Toc17834"/>
      <w:bookmarkStart w:id="37" w:name="_Toc8743_WPSOffice_Level1"/>
      <w:r>
        <w:rPr>
          <w:rFonts w:ascii="楷体_GB2312" w:eastAsia="楷体_GB2312" w:cs="楷体_GB2312" w:hint="eastAsia"/>
          <w:b/>
          <w:bCs/>
          <w:kern w:val="2"/>
          <w:sz w:val="32"/>
          <w:szCs w:val="32"/>
        </w:rPr>
        <w:t>（二）政府采购情况</w:t>
      </w:r>
      <w:bookmarkEnd w:id="36"/>
      <w:bookmarkEnd w:id="37"/>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rPr>
          <w:kern w:val="2"/>
          <w:sz w:val="32"/>
          <w:szCs w:val="32"/>
        </w:rPr>
      </w:pPr>
      <w:r>
        <w:rPr>
          <w:rFonts w:hint="eastAsia"/>
          <w:kern w:val="2"/>
          <w:sz w:val="32"/>
          <w:szCs w:val="32"/>
          <w:lang w:eastAsia="zh-CN"/>
        </w:rPr>
        <w:t>2024年</w:t>
      </w:r>
      <w:r>
        <w:rPr>
          <w:rFonts w:hint="eastAsia"/>
          <w:kern w:val="2"/>
          <w:sz w:val="32"/>
          <w:szCs w:val="32"/>
        </w:rPr>
        <w:t>壤塘县科学技术协会未安排政府采购预算。</w:t>
      </w:r>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outlineLvl w:val="1"/>
        <w:rPr>
          <w:rFonts w:ascii="楷体_GB2312" w:eastAsia="楷体_GB2312" w:cs="楷体_GB2312"/>
          <w:b/>
          <w:bCs/>
          <w:kern w:val="2"/>
          <w:sz w:val="32"/>
          <w:szCs w:val="32"/>
        </w:rPr>
      </w:pPr>
      <w:bookmarkStart w:id="38" w:name="_Toc4494_WPSOffice_Level1"/>
      <w:bookmarkStart w:id="39" w:name="_Toc2310"/>
      <w:r>
        <w:rPr>
          <w:rFonts w:ascii="楷体_GB2312" w:eastAsia="楷体_GB2312" w:cs="楷体_GB2312" w:hint="eastAsia"/>
          <w:b/>
          <w:bCs/>
          <w:kern w:val="2"/>
          <w:sz w:val="32"/>
          <w:szCs w:val="32"/>
        </w:rPr>
        <w:t>（三）国有资产占有使用情况</w:t>
      </w:r>
      <w:bookmarkEnd w:id="38"/>
      <w:bookmarkEnd w:id="39"/>
    </w:p>
    <w:p>
      <w:pPr>
        <w:pStyle w:val="29"/>
        <w:keepNext w:val="0"/>
        <w:keepLines w:val="0"/>
        <w:pageBreakBefore w:val="0"/>
        <w:widowControl w:val="0"/>
        <w:kinsoku/>
        <w:wordWrap/>
        <w:overflowPunct/>
        <w:topLinePunct w:val="0"/>
        <w:autoSpaceDE/>
        <w:autoSpaceDN/>
        <w:bidi w:val="0"/>
        <w:adjustRightInd/>
        <w:snapToGrid/>
        <w:spacing w:before="0" w:line="360" w:lineRule="auto"/>
        <w:ind w:firstLineChars="200" w:firstLine="640"/>
        <w:textAlignment w:val="auto"/>
        <w:outlineLvl w:val="9"/>
        <w:rPr>
          <w:rFonts w:ascii="楷体_GB2312" w:eastAsia="楷体_GB2312" w:cs="楷体_GB2312" w:hint="eastAsia"/>
          <w:b/>
          <w:bCs/>
          <w:kern w:val="2"/>
          <w:sz w:val="32"/>
          <w:szCs w:val="32"/>
        </w:rPr>
      </w:pPr>
      <w:r>
        <w:rPr>
          <w:rFonts w:ascii="楷体_GB2312" w:eastAsia="楷体_GB2312" w:cs="楷体_GB2312" w:hint="eastAsia"/>
          <w:b/>
          <w:bCs/>
          <w:kern w:val="2"/>
          <w:sz w:val="32"/>
          <w:szCs w:val="32"/>
        </w:rPr>
        <w:t>无</w:t>
      </w:r>
    </w:p>
    <w:p>
      <w:pPr>
        <w:pStyle w:val="29"/>
        <w:keepNext w:val="0"/>
        <w:keepLines w:val="0"/>
        <w:pageBreakBefore w:val="0"/>
        <w:widowControl w:val="0"/>
        <w:kinsoku/>
        <w:wordWrap/>
        <w:overflowPunct/>
        <w:topLinePunct w:val="0"/>
        <w:autoSpaceDE/>
        <w:autoSpaceDN/>
        <w:bidi w:val="0"/>
        <w:adjustRightInd/>
        <w:snapToGrid/>
        <w:spacing w:before="0" w:line="240" w:lineRule="auto"/>
        <w:ind w:left="0" w:firstLineChars="200" w:firstLine="640"/>
        <w:textAlignment w:val="auto"/>
        <w:outlineLvl w:val="1"/>
        <w:rPr>
          <w:rFonts w:ascii="楷体_GB2312" w:eastAsia="楷体_GB2312" w:cs="楷体_GB2312" w:hint="eastAsia"/>
          <w:b/>
          <w:bCs/>
          <w:kern w:val="2"/>
          <w:sz w:val="32"/>
          <w:szCs w:val="32"/>
        </w:rPr>
      </w:pPr>
      <w:bookmarkStart w:id="40" w:name="_Toc13449"/>
      <w:bookmarkStart w:id="41" w:name="_Toc29331_WPSOffice_Level1"/>
      <w:r>
        <w:rPr>
          <w:rFonts w:ascii="楷体_GB2312" w:eastAsia="楷体_GB2312" w:cs="楷体_GB2312" w:hint="eastAsia"/>
          <w:b/>
          <w:bCs/>
          <w:kern w:val="2"/>
          <w:sz w:val="32"/>
          <w:szCs w:val="32"/>
          <w:lang w:eastAsia="zh-CN"/>
        </w:rPr>
        <w:t>（</w:t>
      </w:r>
      <w:r>
        <w:rPr>
          <w:rFonts w:ascii="楷体_GB2312" w:eastAsia="楷体_GB2312" w:cs="楷体_GB2312" w:hint="eastAsia"/>
          <w:b/>
          <w:bCs/>
          <w:kern w:val="2"/>
          <w:sz w:val="32"/>
          <w:szCs w:val="32"/>
          <w:lang w:val="en-US" w:eastAsia="zh-CN"/>
        </w:rPr>
        <w:t>四）</w:t>
      </w:r>
      <w:r>
        <w:rPr>
          <w:rFonts w:ascii="楷体_GB2312" w:eastAsia="楷体_GB2312" w:cs="楷体_GB2312" w:hint="eastAsia"/>
          <w:b/>
          <w:bCs/>
          <w:kern w:val="2"/>
          <w:sz w:val="32"/>
          <w:szCs w:val="32"/>
        </w:rPr>
        <w:t>绩效目标设置情况</w:t>
      </w:r>
      <w:bookmarkEnd w:id="40"/>
      <w:bookmarkEnd w:id="41"/>
    </w:p>
    <w:p>
      <w:pPr>
        <w:pStyle w:val="29"/>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outlineLvl w:val="9"/>
        <w:rPr>
          <w:rFonts w:ascii="楷体_GB2312" w:eastAsia="楷体_GB2312" w:cs="楷体_GB2312"/>
          <w:b/>
          <w:bCs/>
          <w:kern w:val="2"/>
          <w:sz w:val="32"/>
          <w:szCs w:val="32"/>
        </w:rPr>
      </w:pPr>
      <w:r>
        <w:rPr>
          <w:rFonts w:hint="eastAsia"/>
          <w:kern w:val="2"/>
          <w:sz w:val="32"/>
          <w:szCs w:val="32"/>
          <w:lang w:val="en-US" w:eastAsia="zh-CN"/>
        </w:rPr>
        <w:t xml:space="preserve"> </w:t>
      </w:r>
      <w:r>
        <w:rPr>
          <w:rFonts w:hint="eastAsia"/>
          <w:kern w:val="2"/>
          <w:sz w:val="32"/>
          <w:szCs w:val="32"/>
          <w:lang w:eastAsia="zh-CN"/>
        </w:rPr>
        <w:t>2024年</w:t>
      </w:r>
      <w:r>
        <w:rPr>
          <w:rFonts w:hint="eastAsia"/>
          <w:kern w:val="2"/>
          <w:sz w:val="32"/>
          <w:szCs w:val="32"/>
        </w:rPr>
        <w:t>壤塘县科学技术协会通用项目和专用项目均按要求实行绩效目标管理</w:t>
      </w:r>
      <w:r>
        <w:rPr>
          <w:rFonts w:hint="eastAsia"/>
          <w:kern w:val="2"/>
          <w:sz w:val="32"/>
          <w:szCs w:val="32"/>
          <w:lang w:eastAsia="zh-CN"/>
        </w:rPr>
        <w:t>，</w:t>
      </w:r>
      <w:r>
        <w:rPr>
          <w:rFonts w:hint="eastAsia"/>
          <w:kern w:val="2"/>
          <w:sz w:val="32"/>
          <w:szCs w:val="32"/>
        </w:rPr>
        <w:t>涉及</w:t>
      </w:r>
      <w:r>
        <w:rPr>
          <w:rFonts w:hint="eastAsia"/>
          <w:kern w:val="2"/>
          <w:sz w:val="32"/>
          <w:szCs w:val="32"/>
          <w:lang w:eastAsia="zh-CN"/>
        </w:rPr>
        <w:t>一般公共预算财政拨款</w:t>
      </w:r>
      <w:r>
        <w:rPr>
          <w:rFonts w:hint="eastAsia"/>
          <w:kern w:val="2"/>
          <w:sz w:val="32"/>
          <w:szCs w:val="32"/>
          <w:lang w:val="en-US" w:eastAsia="zh-CN"/>
        </w:rPr>
        <w:t>147.36</w:t>
      </w:r>
      <w:r>
        <w:rPr>
          <w:rFonts w:hint="eastAsia"/>
          <w:kern w:val="2"/>
          <w:sz w:val="32"/>
          <w:szCs w:val="32"/>
        </w:rPr>
        <w:t>万元。</w:t>
      </w:r>
    </w:p>
    <w:p>
      <w:pPr>
        <w:pStyle w:val="29"/>
        <w:spacing w:before="0" w:line="360" w:lineRule="auto"/>
        <w:ind w:firstLineChars="200" w:firstLine="640"/>
        <w:outlineLvl w:val="0"/>
        <w:rPr>
          <w:rFonts w:ascii="??" w:eastAsia="宋体" w:cs="Times New Roman" w:hAnsi="??" w:hint="eastAsia"/>
          <w:sz w:val="16"/>
          <w:szCs w:val="16"/>
        </w:rPr>
      </w:pPr>
      <w:bookmarkStart w:id="42" w:name="_Toc16204_WPSOffice_Level1"/>
      <w:bookmarkStart w:id="43" w:name="_Toc16615"/>
      <w:r>
        <w:rPr>
          <w:rFonts w:ascii="黑体" w:eastAsia="黑体" w:cs="黑体" w:hint="eastAsia"/>
          <w:kern w:val="2"/>
          <w:sz w:val="32"/>
          <w:szCs w:val="32"/>
        </w:rPr>
        <w:t>十、名词解释</w:t>
      </w:r>
      <w:bookmarkEnd w:id="42"/>
      <w:bookmarkEnd w:id="43"/>
    </w:p>
    <w:p>
      <w:pPr>
        <w:pStyle w:val="29"/>
        <w:spacing w:before="0" w:line="360" w:lineRule="auto"/>
        <w:ind w:firstLineChars="200" w:firstLine="640"/>
        <w:rPr>
          <w:rFonts w:eastAsia="仿宋_GB2312" w:hint="eastAsia"/>
          <w:kern w:val="2"/>
          <w:sz w:val="32"/>
          <w:szCs w:val="32"/>
          <w:lang w:eastAsia="zh-CN"/>
        </w:rPr>
      </w:pPr>
      <w:r>
        <w:rPr>
          <w:rFonts w:hint="eastAsia"/>
          <w:kern w:val="2"/>
          <w:sz w:val="32"/>
          <w:szCs w:val="32"/>
        </w:rPr>
        <w:t>（一）财政拨款收入：指由财政拨款形成的部门收入。按现行管理制度，部门预算中反映的财政拨款仅包括</w:t>
      </w:r>
      <w:r>
        <w:rPr>
          <w:rFonts w:hint="eastAsia"/>
          <w:kern w:val="2"/>
          <w:sz w:val="32"/>
          <w:szCs w:val="32"/>
          <w:lang w:eastAsia="zh-CN"/>
        </w:rPr>
        <w:t>一般公共预算财政拨款</w:t>
      </w:r>
      <w:r>
        <w:rPr>
          <w:rFonts w:hint="eastAsia"/>
          <w:kern w:val="2"/>
          <w:sz w:val="32"/>
          <w:szCs w:val="32"/>
        </w:rPr>
        <w:t>和政府性基金预算拨款。</w:t>
      </w:r>
    </w:p>
    <w:p>
      <w:pPr>
        <w:pStyle w:val="29"/>
        <w:spacing w:before="0" w:line="360" w:lineRule="auto"/>
        <w:ind w:firstLineChars="200" w:firstLine="640"/>
        <w:rPr>
          <w:rFonts w:eastAsia="仿宋_GB2312" w:hint="eastAsia"/>
          <w:kern w:val="2"/>
          <w:sz w:val="32"/>
          <w:szCs w:val="32"/>
          <w:lang w:eastAsia="zh-CN"/>
        </w:rPr>
      </w:pPr>
      <w:r>
        <w:rPr>
          <w:rFonts w:hint="eastAsia"/>
          <w:kern w:val="2"/>
          <w:sz w:val="32"/>
          <w:szCs w:val="32"/>
        </w:rPr>
        <w:t>（二）事业收入：指所属事业单位开展专业业务活动及辅助活动所取得的收入。</w:t>
      </w:r>
    </w:p>
    <w:p>
      <w:pPr>
        <w:pStyle w:val="29"/>
        <w:spacing w:before="0" w:line="360" w:lineRule="auto"/>
        <w:ind w:firstLineChars="200" w:firstLine="640"/>
        <w:rPr>
          <w:rFonts w:eastAsia="仿宋_GB2312" w:hint="eastAsia"/>
          <w:kern w:val="2"/>
          <w:sz w:val="32"/>
          <w:szCs w:val="32"/>
          <w:lang w:eastAsia="zh-CN"/>
        </w:rPr>
      </w:pPr>
      <w:r>
        <w:rPr>
          <w:rFonts w:hint="eastAsia"/>
          <w:kern w:val="2"/>
          <w:sz w:val="32"/>
          <w:szCs w:val="32"/>
        </w:rPr>
        <w:t>（三）事业单位经营收入：指所属事业单位在专业业务活动及其辅助活动之外开展非独立核算经营活动取得的收入。</w:t>
      </w:r>
    </w:p>
    <w:p>
      <w:pPr>
        <w:pStyle w:val="29"/>
        <w:spacing w:before="0" w:line="360" w:lineRule="auto"/>
        <w:ind w:firstLineChars="200" w:firstLine="640"/>
        <w:rPr>
          <w:rFonts w:eastAsia="仿宋_GB2312" w:hint="eastAsia"/>
          <w:kern w:val="2"/>
          <w:sz w:val="32"/>
          <w:szCs w:val="32"/>
          <w:lang w:eastAsia="zh-CN"/>
        </w:rPr>
      </w:pPr>
      <w:r>
        <w:rPr>
          <w:rFonts w:hint="eastAsia"/>
          <w:kern w:val="2"/>
          <w:sz w:val="32"/>
          <w:szCs w:val="32"/>
        </w:rPr>
        <w:t>（四）其他收入：指除上述</w:t>
      </w:r>
      <w:r>
        <w:rPr>
          <w:rFonts w:cs="Times New Roman"/>
          <w:kern w:val="2"/>
          <w:sz w:val="32"/>
          <w:szCs w:val="32"/>
        </w:rPr>
        <w:t>“</w:t>
      </w:r>
      <w:r>
        <w:rPr>
          <w:rFonts w:hint="eastAsia"/>
          <w:kern w:val="2"/>
          <w:sz w:val="32"/>
          <w:szCs w:val="32"/>
        </w:rPr>
        <w:t>财政拨款收入</w:t>
      </w:r>
      <w:r>
        <w:rPr>
          <w:rFonts w:hint="eastAsia"/>
          <w:kern w:val="2"/>
          <w:sz w:val="32"/>
          <w:szCs w:val="32"/>
          <w:lang w:eastAsia="zh-CN"/>
        </w:rPr>
        <w:t>”“</w:t>
      </w:r>
      <w:r>
        <w:rPr>
          <w:rFonts w:hint="eastAsia"/>
          <w:kern w:val="2"/>
          <w:sz w:val="32"/>
          <w:szCs w:val="32"/>
        </w:rPr>
        <w:t>事业收入</w:t>
      </w:r>
      <w:r>
        <w:rPr>
          <w:rFonts w:hint="eastAsia"/>
          <w:kern w:val="2"/>
          <w:sz w:val="32"/>
          <w:szCs w:val="32"/>
          <w:lang w:eastAsia="zh-CN"/>
        </w:rPr>
        <w:t>”“</w:t>
      </w:r>
      <w:r>
        <w:rPr>
          <w:rFonts w:hint="eastAsia"/>
          <w:kern w:val="2"/>
          <w:sz w:val="32"/>
          <w:szCs w:val="32"/>
        </w:rPr>
        <w:t>事业单位经营收入</w:t>
      </w:r>
      <w:r>
        <w:rPr>
          <w:rFonts w:cs="Times New Roman"/>
          <w:kern w:val="2"/>
          <w:sz w:val="32"/>
          <w:szCs w:val="32"/>
        </w:rPr>
        <w:t>”</w:t>
      </w:r>
      <w:r>
        <w:rPr>
          <w:rFonts w:hint="eastAsia"/>
          <w:kern w:val="2"/>
          <w:sz w:val="32"/>
          <w:szCs w:val="32"/>
        </w:rPr>
        <w:t>等以外的收入，主要是所属行政事业单位按规定动用的售房收入、存款利息收入等。</w:t>
      </w:r>
    </w:p>
    <w:p>
      <w:pPr>
        <w:pStyle w:val="29"/>
        <w:spacing w:before="0" w:line="360" w:lineRule="auto"/>
        <w:ind w:firstLineChars="200" w:firstLine="640"/>
        <w:rPr>
          <w:rFonts w:eastAsia="仿宋_GB2312" w:hint="eastAsia"/>
          <w:kern w:val="2"/>
          <w:sz w:val="32"/>
          <w:szCs w:val="32"/>
          <w:lang w:eastAsia="zh-CN"/>
        </w:rPr>
      </w:pPr>
      <w:r>
        <w:rPr>
          <w:rFonts w:hint="eastAsia"/>
          <w:kern w:val="2"/>
          <w:sz w:val="32"/>
          <w:szCs w:val="32"/>
        </w:rPr>
        <w:t>（五）用事业基金弥补收支差额：指所属事业单位在</w:t>
      </w:r>
      <w:r>
        <w:rPr>
          <w:rFonts w:hint="eastAsia"/>
          <w:kern w:val="2"/>
          <w:sz w:val="32"/>
          <w:szCs w:val="32"/>
          <w:lang w:eastAsia="zh-CN"/>
        </w:rPr>
        <w:t>预计</w:t>
      </w:r>
      <w:r>
        <w:rPr>
          <w:rFonts w:hint="eastAsia"/>
          <w:kern w:val="2"/>
          <w:sz w:val="32"/>
          <w:szCs w:val="32"/>
        </w:rPr>
        <w:t>当年的</w:t>
      </w:r>
      <w:r>
        <w:rPr>
          <w:rFonts w:cs="Times New Roman"/>
          <w:kern w:val="2"/>
          <w:sz w:val="32"/>
          <w:szCs w:val="32"/>
        </w:rPr>
        <w:t>“</w:t>
      </w:r>
      <w:r>
        <w:rPr>
          <w:rFonts w:hint="eastAsia"/>
          <w:kern w:val="2"/>
          <w:sz w:val="32"/>
          <w:szCs w:val="32"/>
        </w:rPr>
        <w:t>财政拨款收入</w:t>
      </w:r>
      <w:r>
        <w:rPr>
          <w:rFonts w:hint="eastAsia"/>
          <w:kern w:val="2"/>
          <w:sz w:val="32"/>
          <w:szCs w:val="32"/>
          <w:lang w:eastAsia="zh-CN"/>
        </w:rPr>
        <w:t>”“</w:t>
      </w:r>
      <w:r>
        <w:rPr>
          <w:rFonts w:hint="eastAsia"/>
          <w:kern w:val="2"/>
          <w:sz w:val="32"/>
          <w:szCs w:val="32"/>
        </w:rPr>
        <w:t>事业收入</w:t>
      </w:r>
      <w:r>
        <w:rPr>
          <w:rFonts w:hint="eastAsia"/>
          <w:kern w:val="2"/>
          <w:sz w:val="32"/>
          <w:szCs w:val="32"/>
          <w:lang w:eastAsia="zh-CN"/>
        </w:rPr>
        <w:t>”“</w:t>
      </w:r>
      <w:r>
        <w:rPr>
          <w:rFonts w:hint="eastAsia"/>
          <w:kern w:val="2"/>
          <w:sz w:val="32"/>
          <w:szCs w:val="32"/>
        </w:rPr>
        <w:t>事业单位经营收入</w:t>
      </w:r>
      <w:r>
        <w:rPr>
          <w:rFonts w:hint="eastAsia"/>
          <w:kern w:val="2"/>
          <w:sz w:val="32"/>
          <w:szCs w:val="32"/>
          <w:lang w:eastAsia="zh-CN"/>
        </w:rPr>
        <w:t>”“</w:t>
      </w:r>
      <w:r>
        <w:rPr>
          <w:rFonts w:hint="eastAsia"/>
          <w:kern w:val="2"/>
          <w:sz w:val="32"/>
          <w:szCs w:val="32"/>
        </w:rPr>
        <w:t>其他收入</w:t>
      </w:r>
      <w:r>
        <w:rPr>
          <w:rFonts w:cs="Times New Roman"/>
          <w:kern w:val="2"/>
          <w:sz w:val="32"/>
          <w:szCs w:val="32"/>
        </w:rPr>
        <w:t>”</w:t>
      </w:r>
      <w:r>
        <w:rPr>
          <w:rFonts w:hint="eastAsia"/>
          <w:kern w:val="2"/>
          <w:sz w:val="32"/>
          <w:szCs w:val="32"/>
        </w:rPr>
        <w:t>不足以安排当年支出的情况下，使用以前年度积累的事业基金弥补本年度收支缺口的资金。</w:t>
      </w:r>
    </w:p>
    <w:p>
      <w:pPr>
        <w:pStyle w:val="29"/>
        <w:spacing w:before="0" w:line="360" w:lineRule="auto"/>
        <w:ind w:firstLineChars="200" w:firstLine="640"/>
        <w:rPr>
          <w:rFonts w:cs="Times New Roman"/>
          <w:kern w:val="2"/>
          <w:sz w:val="32"/>
          <w:szCs w:val="32"/>
        </w:rPr>
      </w:pPr>
      <w:r>
        <w:rPr>
          <w:rFonts w:hint="eastAsia"/>
          <w:kern w:val="2"/>
          <w:sz w:val="32"/>
          <w:szCs w:val="32"/>
        </w:rPr>
        <w:t>（六）上年结转：指所属行政事业单位以前年度尚未完成、结转至本年按原规定用途继续使用的资金和以前年度已完成项目剩余资金经批准用于新用途使用的资金。</w:t>
      </w:r>
    </w:p>
    <w:p>
      <w:pPr>
        <w:rPr>
          <w:rFonts w:ascii="仿宋_GB2312" w:eastAsia="仿宋_GB2312" w:cs="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仿宋_GB2312">
    <w:altName w:val="仿宋"/>
    <w:panose1 w:val="02010609030101010101"/>
    <w:charset w:val="86"/>
    <w:family w:val="modern"/>
    <w:pitch w:val="variable"/>
    <w:sig w:usb0="00000000" w:usb1="00000000" w:usb2="00000000" w:usb3="00000000" w:csb0="00040000" w:csb1="00000000"/>
  </w:font>
  <w:font w:name="宋体">
    <w:panose1 w:val="02010600030101010101"/>
    <w:charset w:val="7A"/>
    <w:family w:val="auto"/>
    <w:pitch w:val="variable"/>
    <w:sig w:usb0="000002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仿宋">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Arial">
    <w:altName w:val="DejaVu Sans"/>
    <w:panose1 w:val="020B0604020202020204"/>
    <w:charset w:val="01"/>
    <w:family w:val="swiss"/>
    <w:pitch w:val="variable"/>
    <w:sig w:usb0="E0002EFF" w:usb1="C000785B"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F27FE7"/>
    <w:multiLevelType w:val="multilevel"/>
    <w:tmpl w:val="28F27FE7"/>
    <w:lvl w:ilvl="0">
      <w:start w:val="1"/>
      <w:numFmt w:val="japaneseCounting"/>
      <w:lvlRestart w:val="0"/>
      <w:lvlText w:val="%1、"/>
      <w:lvlJc w:val="left"/>
      <w:pPr>
        <w:ind w:left="880" w:hanging="8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A0D0C1"/>
    <w:multiLevelType w:val="singleLevel"/>
    <w:tmpl w:val="4BA0D0C1"/>
    <w:lvl w:ilvl="0">
      <w:start w:val="1"/>
      <w:numFmt w:val="chineseCounting"/>
      <w:lvlRestart w:val="0"/>
      <w:suff w:val="nothing"/>
      <w:lvlText w:val="%1、"/>
      <w:lvlJc w:val="left"/>
      <w:pPr>
        <w:ind w:left="0" w:hanging="0"/>
      </w:pPr>
      <w:rPr>
        <w:rFonts w:hint="eastAsia"/>
      </w:rPr>
    </w:lvl>
  </w:abstractNum>
  <w:abstractNum w:abstractNumId="2">
    <w:nsid w:val="68D9DC0D"/>
    <w:multiLevelType w:val="singleLevel"/>
    <w:tmpl w:val="68D9DC0D"/>
    <w:lvl w:ilvl="0">
      <w:start w:val="4"/>
      <w:numFmt w:val="chineseCounting"/>
      <w:lvlRestart w:val="0"/>
      <w:suff w:val="nothing"/>
      <w:lvlText w:val="%1、"/>
      <w:lvlJc w:val="left"/>
      <w:pPr>
        <w:ind w:left="0" w:hanging="0"/>
      </w:pPr>
      <w:rPr>
        <w:rFonts w:hint="eastAsia"/>
      </w:rPr>
    </w:lvl>
  </w:abstractNum>
  <w:abstractNum w:abstractNumId="3">
    <w:nsid w:val="DD9794F7"/>
    <w:multiLevelType w:val="singleLevel"/>
    <w:tmpl w:val="DD9794F7"/>
    <w:lvl w:ilvl="0">
      <w:start w:val="7"/>
      <w:numFmt w:val="chineseCounting"/>
      <w:lvlRestart w:val="0"/>
      <w:suff w:val="nothing"/>
      <w:lvlText w:val="%1、"/>
      <w:lvlJc w:val="left"/>
      <w:pPr>
        <w:ind w:left="0" w:hanging="0"/>
      </w:pPr>
      <w:rPr>
        <w:rFonts w:hint="eastAsia"/>
      </w:rPr>
    </w:lvl>
  </w:abstractNum>
  <w:abstractNum w:abstractNumId="4">
    <w:nsid w:val="B2C5E5CB"/>
    <w:multiLevelType w:val="singleLevel"/>
    <w:tmpl w:val="B2C5E5CB"/>
    <w:lvl w:ilvl="0">
      <w:start w:val="1"/>
      <w:numFmt w:val="chineseCounting"/>
      <w:lvlRestart w:val="0"/>
      <w:suff w:val="nothing"/>
      <w:lvlText w:val="（%1）"/>
      <w:lvlJc w:val="left"/>
      <w:pPr>
        <w:ind w:left="741" w:hanging="0"/>
      </w:pPr>
      <w:rPr>
        <w:rFonts w:hint="eastAsia"/>
      </w:rPr>
    </w:lvl>
  </w:abstractNum>
  <w:abstractNum w:abstractNumId="5">
    <w:nsid w:val="3EBB3C91"/>
    <w:multiLevelType w:val="multilevel"/>
    <w:tmpl w:val="3EBB3C91"/>
    <w:lvl w:ilvl="0">
      <w:start w:val="1"/>
      <w:numFmt w:val="chineseCountingThousand"/>
      <w:lvlRestart w:val="0"/>
      <w:suff w:val="space"/>
      <w:lvlText w:val="%1. "/>
      <w:lvlJc w:val="left"/>
      <w:pPr>
        <w:ind w:left="907" w:hanging="907"/>
      </w:pPr>
    </w:lvl>
    <w:lvl w:ilvl="1">
      <w:start w:val="1"/>
      <w:numFmt w:val="decimal"/>
      <w:suff w:val="space"/>
      <w:lvlText w:val="%1.%2 "/>
      <w:lvlJc w:val="left"/>
      <w:pPr>
        <w:ind w:left="794" w:hanging="794"/>
      </w:pPr>
    </w:lvl>
    <w:lvl w:ilvl="2">
      <w:start w:val="0"/>
      <w:numFmt w:val="decimal"/>
      <w:lvlJc w:val="left"/>
      <w:pPr>
        <w:ind w:left="0" w:hanging="0"/>
      </w:pPr>
    </w:lvl>
    <w:lvl w:ilvl="3">
      <w:start w:val="0"/>
      <w:numFmt w:val="decimal"/>
      <w:lvlJc w:val="left"/>
      <w:pPr>
        <w:ind w:left="0" w:hanging="0"/>
      </w:pPr>
    </w:lvl>
    <w:lvl w:ilvl="4">
      <w:start w:val="0"/>
      <w:numFmt w:val="decimal"/>
      <w:pStyle w:val="30"/>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docVar w:name="commondata" w:val="eyJoZGlkIjoiYjIyOWM3OGJlMzU1ZjMxMGIyM2U1ZDkxN2M2YjViMz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Times New Roman" w:eastAsia="宋体" w:cs="Calibri" w:hAnsi="Times New Roman"/>
      <w:kern w:val="2"/>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Indent"/>
    <w:basedOn w:val="0"/>
    <w:next w:val="16"/>
    <w:pPr>
      <w:tabs>
        <w:tab w:val="left" w:pos="960"/>
      </w:tabs>
      <w:spacing w:line="540" w:lineRule="exact"/>
      <w:ind w:firstLineChars="1700" w:firstLine="1700"/>
    </w:pPr>
    <w:rPr>
      <w:sz w:val="32"/>
      <w:szCs w:val="32"/>
    </w:rPr>
  </w:style>
  <w:style w:type="paragraph" w:styleId="16">
    <w:name w:val="Body Text First Indent 2"/>
    <w:basedOn w:val="15"/>
    <w:autoRedefine/>
    <w:next w:val="0"/>
    <w:pPr>
      <w:tabs>
        <w:tab w:val="left" w:pos="960"/>
      </w:tabs>
      <w:ind w:firstLineChars="200" w:firstLine="200"/>
    </w:p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toc 1"/>
    <w:basedOn w:val="0"/>
    <w:next w:val="0"/>
  </w:style>
  <w:style w:type="paragraph" w:styleId="20">
    <w:name w:val="toc 2"/>
    <w:basedOn w:val="0"/>
    <w:next w:val="0"/>
    <w:pPr>
      <w:ind w:leftChars="200" w:left="200"/>
    </w:pPr>
  </w:style>
  <w:style w:type="paragraph" w:styleId="21">
    <w:name w:val="Normal (Web)"/>
    <w:basedOn w:val="0"/>
    <w:autoRedefine/>
    <w:pPr>
      <w:widowControl/>
      <w:spacing w:before="100" w:beforeAutospacing="1" w:after="100" w:afterAutospacing="1"/>
      <w:jc w:val="left"/>
    </w:pPr>
    <w:rPr>
      <w:rFonts w:ascii="宋体" w:cs="宋体"/>
      <w:kern w:val="0"/>
      <w:sz w:val="24"/>
      <w:szCs w:val="24"/>
    </w:rPr>
  </w:style>
  <w:style w:type="character" w:styleId="22">
    <w:name w:val="Emphasis"/>
    <w:basedOn w:val="10"/>
    <w:autoRedefine/>
  </w:style>
  <w:style w:type="paragraph" w:customStyle="1" w:styleId="23">
    <w:name w:val="列出段落1"/>
    <w:basedOn w:val="0"/>
    <w:autoRedefine/>
    <w:pPr>
      <w:ind w:firstLineChars="200" w:firstLine="200"/>
    </w:pPr>
    <w:rPr>
      <w:rFonts w:ascii="Calibri" w:eastAsia="宋体" w:cs="Times New Roman" w:hAnsi="Calibri"/>
    </w:rPr>
  </w:style>
  <w:style w:type="character" w:customStyle="1" w:styleId="24">
    <w:name w:val="NormalCharacter"/>
    <w:autoRedefine/>
  </w:style>
  <w:style w:type="character" w:customStyle="1" w:styleId="25">
    <w:name w:val="默认段落字体1"/>
    <w:autoRedefine/>
    <w:rPr>
      <w:sz w:val="22"/>
      <w:szCs w:val="22"/>
    </w:rPr>
  </w:style>
  <w:style w:type="paragraph" w:customStyle="1" w:styleId="26">
    <w:name w:val="List Paragraph"/>
    <w:basedOn w:val="0"/>
    <w:autoRedefine/>
    <w:pPr>
      <w:ind w:firstLineChars="200" w:firstLine="200"/>
    </w:pPr>
  </w:style>
  <w:style w:type="paragraph" w:customStyle="1" w:styleId="27">
    <w:name w:val="样式2"/>
    <w:basedOn w:val="0"/>
    <w:autoRedefine/>
    <w:pPr>
      <w:spacing w:line="560" w:lineRule="exact"/>
      <w:ind w:firstLineChars="200" w:firstLine="200"/>
    </w:pPr>
    <w:rPr>
      <w:rFonts w:ascii="Calibri" w:eastAsia="仿宋_GB2312" w:hAnsi="Calibri"/>
      <w:sz w:val="32"/>
      <w:szCs w:val="32"/>
    </w:rPr>
  </w:style>
  <w:style w:type="paragraph" w:customStyle="1" w:styleId="28">
    <w:name w:val="UserStyle_0"/>
    <w:autoRedefine/>
    <w:pPr>
      <w:spacing w:line="300" w:lineRule="auto"/>
      <w:textAlignment w:val="baseline"/>
    </w:pPr>
    <w:rPr>
      <w:rFonts w:ascii="Arial" w:eastAsia="宋体" w:cs="Times New Roman" w:hAnsi="Arial"/>
      <w:sz w:val="21"/>
      <w:szCs w:val="21"/>
      <w:lang w:val="en-US" w:eastAsia="zh-CN" w:bidi="ar-SA"/>
    </w:rPr>
  </w:style>
  <w:style w:type="paragraph" w:customStyle="1" w:styleId="29">
    <w:name w:val="正文文本1"/>
    <w:basedOn w:val="0"/>
    <w:autoRedefine/>
    <w:pPr>
      <w:spacing w:before="93"/>
    </w:pPr>
    <w:rPr>
      <w:rFonts w:ascii="仿宋_GB2312" w:eastAsia="仿宋_GB2312" w:cs="仿宋_GB2312"/>
      <w:kern w:val="0"/>
      <w:sz w:val="30"/>
      <w:szCs w:val="30"/>
    </w:rPr>
  </w:style>
  <w:style w:type="paragraph" w:customStyle="1" w:styleId="30">
    <w:name w:val="UserStyle_1"/>
    <w:basedOn w:val="0"/>
    <w:autoRedefine/>
    <w:next w:val="28"/>
    <w:pPr>
      <w:keepNext/>
      <w:keepLines/>
      <w:widowControl w:val="0"/>
      <w:numPr>
        <w:ilvl w:val="4"/>
        <w:numId w:val="6"/>
      </w:numPr>
      <w:tabs>
        <w:tab w:val="left" w:pos="3600"/>
      </w:tabs>
      <w:spacing w:before="280" w:after="156" w:line="377" w:lineRule="auto"/>
      <w:ind w:left="3600" w:hanging="360"/>
      <w:textAlignment w:val="auto"/>
    </w:pPr>
    <w:rPr>
      <w:rFonts w:ascii="Arial" w:eastAsia="黑体" w:cs="Times New Roman" w:hAnsi="Arial"/>
      <w:b/>
      <w:sz w:val="24"/>
      <w:szCs w:val="28"/>
    </w:rPr>
  </w:style>
  <w:style w:type="paragraph" w:customStyle="1" w:styleId="31">
    <w:name w:val="WPSOffice手动目录 1"/>
    <w:autoRedefine/>
    <w:rPr>
      <w:rFonts w:ascii="Times New Roman" w:eastAsia="宋体" w:cs="Times New Roman" w:hAnsi="Times New Roman"/>
      <w:sz w:val="20"/>
      <w:szCs w:val="20"/>
    </w:rPr>
  </w:style>
  <w:style w:type="paragraph" w:customStyle="1" w:styleId="32">
    <w:name w:val="WPSOffice手动目录 2"/>
    <w:autoRedefine/>
    <w:pPr>
      <w:ind w:leftChars="200" w:left="200"/>
    </w:pPr>
    <w:rPr>
      <w:rFonts w:ascii="Times New Roman" w:eastAsia="宋体" w:cs="Times New Roman" w:hAnsi="Times New Roman"/>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9</Pages>
  <Words>2988</Words>
  <Characters>3338</Characters>
  <Lines>192</Lines>
  <Paragraphs>90</Paragraphs>
  <CharactersWithSpaces>3378</CharactersWithSpaces>
  <Company>Sky123.Org</Company>
</Properties>
</file>

<file path=docProps/core.xml><?xml version="1.0" encoding="utf-8"?>
<cp:coreProperties xmlns:cp="http://schemas.openxmlformats.org/package/2006/metadata/core-properties" xmlns:dc="http://purl.org/dc/elements/1.1/" xmlns:dcterms="http://purl.org/dc/terms/" xmlns:xsi="http://www.w3.org/2001/XMLSchema-instance">
  <dc:creator>薛永萍</dc:creator>
  <cp:lastModifiedBy>user</cp:lastModifiedBy>
  <cp:revision>22</cp:revision>
  <cp:lastPrinted>2021-04-25T03:19:00Z</cp:lastPrinted>
  <dcterms:created xsi:type="dcterms:W3CDTF">2017-12-15T01:50:00Z</dcterms:created>
  <dcterms:modified xsi:type="dcterms:W3CDTF">2026-06-17T09:30:25Z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2052-12.1.0.26895</vt:lpwstr>
  </property>
  <property fmtid="{D5CDD505-2E9C-101B-9397-08002B2CF9AE}" pid="3" name="ICV">
    <vt:lpwstr>75A31E63F971499C8EDB1E1BD38F8D7E</vt:lpwstr>
  </property>
  <property fmtid="{D5CDD505-2E9C-101B-9397-08002B2CF9AE}" pid="4" name="KSOTemplateDocerSaveRecord">
    <vt:lpwstr>eyJoZGlkIjoiYjIyOWM3OGJlMzU1ZjMxMGIyM2U1ZDkxN2M2YjViMzEiLCJ1c2VySWQiOiI2OTUzODg3NzcifQ==</vt:lpwstr>
  </property>
</Properties>
</file>