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9"/>
        <w:rPr>
          <w:rFonts w:ascii="方正小标宋简体" w:eastAsia="方正小标宋简体"/>
          <w:color w:val="000000"/>
          <w:sz w:val="72"/>
          <w:szCs w:val="72"/>
        </w:rPr>
      </w:pPr>
      <w:bookmarkStart w:id="0" w:name="_Toc15306267"/>
    </w:p>
    <w:p>
      <w:pPr>
        <w:spacing w:line="600" w:lineRule="exact"/>
        <w:jc w:val="center"/>
        <w:outlineLvl w:val="9"/>
        <w:rPr>
          <w:rFonts w:ascii="方正小标宋简体" w:eastAsia="方正小标宋简体"/>
          <w:color w:val="000000"/>
          <w:sz w:val="72"/>
          <w:szCs w:val="72"/>
        </w:rPr>
      </w:pPr>
    </w:p>
    <w:p>
      <w:pPr>
        <w:spacing w:line="600" w:lineRule="exact"/>
        <w:jc w:val="center"/>
        <w:outlineLvl w:val="9"/>
        <w:rPr>
          <w:rFonts w:ascii="方正小标宋简体" w:eastAsia="方正小标宋简体"/>
          <w:color w:val="000000"/>
          <w:sz w:val="72"/>
          <w:szCs w:val="72"/>
        </w:rPr>
      </w:pPr>
    </w:p>
    <w:p>
      <w:pPr>
        <w:jc w:val="center"/>
        <w:rPr>
          <w:rFonts w:ascii="黑体" w:eastAsia="黑体"/>
          <w:sz w:val="72"/>
          <w:szCs w:val="72"/>
        </w:rPr>
      </w:pPr>
      <w:bookmarkStart w:id="1" w:name="_Toc15396597"/>
      <w:bookmarkStart w:id="2" w:name="_Toc15377425"/>
      <w:bookmarkStart w:id="3" w:name="_Toc15396475"/>
      <w:bookmarkStart w:id="4" w:name="_Toc15378441"/>
      <w:bookmarkStart w:id="5" w:name="_Toc15377193"/>
      <w:r>
        <w:rPr>
          <w:rFonts w:ascii="黑体" w:eastAsia="黑体"/>
          <w:sz w:val="72"/>
          <w:szCs w:val="72"/>
        </w:rPr>
        <w:t>2020</w:t>
      </w:r>
      <w:r>
        <w:rPr>
          <w:rFonts w:ascii="黑体" w:eastAsia="黑体" w:hint="eastAsia"/>
          <w:sz w:val="72"/>
          <w:szCs w:val="72"/>
        </w:rPr>
        <w:t>年度</w:t>
      </w:r>
      <w:bookmarkEnd w:id="1"/>
      <w:bookmarkEnd w:id="2"/>
      <w:bookmarkEnd w:id="3"/>
      <w:bookmarkEnd w:id="4"/>
      <w:bookmarkEnd w:id="5"/>
    </w:p>
    <w:p>
      <w:pPr>
        <w:jc w:val="center"/>
        <w:rPr>
          <w:rFonts w:ascii="黑体" w:eastAsia="黑体" w:cs="Times New Roman"/>
          <w:sz w:val="72"/>
          <w:szCs w:val="72"/>
        </w:rPr>
      </w:pPr>
      <w:bookmarkStart w:id="6" w:name="_Toc15378442"/>
      <w:bookmarkStart w:id="7" w:name="_Toc15377194"/>
      <w:bookmarkStart w:id="8" w:name="_Toc15396476"/>
      <w:bookmarkStart w:id="9" w:name="_Toc15377426"/>
      <w:bookmarkStart w:id="10" w:name="_Toc15396598"/>
      <w:r>
        <w:rPr>
          <w:rFonts w:ascii="黑体" w:eastAsia="黑体" w:cs="Times New Roman" w:hint="eastAsia"/>
          <w:sz w:val="72"/>
          <w:szCs w:val="72"/>
        </w:rPr>
        <w:t>四川省阿坝州</w:t>
      </w:r>
      <w:bookmarkStart w:id="11" w:name="_Toc15306268"/>
      <w:bookmarkEnd w:id="0"/>
      <w:r>
        <w:rPr>
          <w:rFonts w:ascii="黑体" w:eastAsia="黑体" w:cs="Times New Roman" w:hint="eastAsia"/>
          <w:sz w:val="72"/>
          <w:szCs w:val="72"/>
          <w:lang w:val="en-US" w:eastAsia="zh-CN"/>
        </w:rPr>
        <w:t>壤塘县科学技术协会</w:t>
      </w:r>
      <w:r>
        <w:rPr>
          <w:rFonts w:ascii="黑体" w:eastAsia="黑体" w:cs="Times New Roman" w:hint="eastAsia"/>
          <w:sz w:val="72"/>
          <w:szCs w:val="72"/>
        </w:rPr>
        <w:t>部门决算</w:t>
      </w:r>
      <w:bookmarkEnd w:id="6"/>
      <w:bookmarkEnd w:id="7"/>
      <w:bookmarkEnd w:id="8"/>
      <w:bookmarkEnd w:id="9"/>
      <w:bookmarkEnd w:id="10"/>
      <w:bookmarkEnd w:id="11"/>
    </w:p>
    <w:p>
      <w:pPr>
        <w:jc w:val="center"/>
        <w:rPr>
          <w:rFonts w:ascii="黑体" w:eastAsia="黑体" w:cs="Times New Roman"/>
          <w:sz w:val="72"/>
          <w:szCs w:val="72"/>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pStyle w:val="25"/>
        <w:jc w:val="center"/>
        <w:rPr>
          <w:b w:val="0"/>
          <w:bCs w:val="0"/>
          <w:sz w:val="24"/>
          <w:szCs w:val="24"/>
        </w:rPr>
      </w:pPr>
      <w:r>
        <w:rPr>
          <w:rFonts w:hint="eastAsia"/>
          <w:b w:val="0"/>
          <w:bCs w:val="0"/>
          <w:sz w:val="24"/>
          <w:szCs w:val="24"/>
        </w:rPr>
        <w:t xml:space="preserve">2021年 </w:t>
      </w:r>
      <w:r>
        <w:rPr>
          <w:rFonts w:hint="eastAsia"/>
          <w:b w:val="0"/>
          <w:bCs w:val="0"/>
          <w:sz w:val="24"/>
          <w:szCs w:val="24"/>
          <w:lang w:val="en-US" w:eastAsia="zh-CN"/>
        </w:rPr>
        <w:t>10</w:t>
      </w:r>
      <w:r>
        <w:rPr>
          <w:rFonts w:hint="eastAsia"/>
          <w:b w:val="0"/>
          <w:bCs w:val="0"/>
          <w:sz w:val="24"/>
          <w:szCs w:val="24"/>
        </w:rPr>
        <w:t>月</w:t>
      </w:r>
      <w:r>
        <w:rPr>
          <w:rFonts w:hint="eastAsia"/>
          <w:b w:val="0"/>
          <w:bCs w:val="0"/>
          <w:sz w:val="24"/>
          <w:szCs w:val="24"/>
          <w:lang w:val="en-US" w:eastAsia="zh-CN"/>
        </w:rPr>
        <w:t>22</w:t>
      </w:r>
      <w:r>
        <w:rPr>
          <w:rFonts w:hint="eastAsia"/>
          <w:b w:val="0"/>
          <w:bCs w:val="0"/>
          <w:sz w:val="24"/>
          <w:szCs w:val="24"/>
        </w:rPr>
        <w:t>日</w:t>
      </w: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ascii="黑体" w:eastAsia="黑体" w:hint="eastAsia"/>
          <w:color w:val="000000"/>
          <w:sz w:val="48"/>
          <w:szCs w:val="48"/>
        </w:rPr>
        <w:t>目录</w:t>
      </w:r>
    </w:p>
    <w:sdt>
      <w:sdtPr>
        <w:rPr>
          <w:rFonts w:ascii="宋体" w:eastAsia="宋体" w:cs="Times New Roman"/>
          <w:kern w:val="2"/>
          <w:sz w:val="21"/>
          <w:szCs w:val="24"/>
          <w:lang w:val="en-US" w:eastAsia="zh-CN" w:bidi="ar-SA"/>
        </w:rPr>
        <w:id w:val="1574142601"/>
        <w15:color w:val="DBDBDB"/>
        <w:docPartObj>
          <w:docPartGallery w:val="Table of Contents"/>
          <w:docPartUnique/>
        </w:docPartObj>
      </w:sdtPr>
      <w:sdtEndPr>
        <w:rPr>
          <w:rFonts w:ascii="仿宋_GB2312" w:eastAsia="仿宋_GB2312" w:cs="仿宋_GB2312" w:hint="eastAsia"/>
        </w:rPr>
      </w:sdtEndPr>
      <w:sdtContent>
        <w:p>
          <w:pPr>
            <w:spacing w:before="0" w:after="0" w:line="240" w:lineRule="auto"/>
            <w:ind w:left="0" w:right="0" w:firstLine="0"/>
            <w:jc w:val="center"/>
          </w:pPr>
        </w:p>
        <w:p>
          <w:pPr>
            <w:pStyle w:val="45"/>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TOC \o "1-3" \h \u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_Toc16431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 xml:space="preserve">第一部分 </w:t>
          </w:r>
          <w:r>
            <w:rPr>
              <w:rFonts w:ascii="仿宋_GB2312" w:eastAsia="仿宋_GB2312" w:cs="仿宋_GB2312" w:hint="eastAsia"/>
              <w:bCs w:val="0"/>
              <w:sz w:val="22"/>
              <w:szCs w:val="22"/>
            </w:rPr>
            <w:t>部门概况</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_Toc16431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_Toc1497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一、基</w:t>
          </w:r>
          <w:r>
            <w:rPr>
              <w:rFonts w:ascii="仿宋_GB2312" w:eastAsia="仿宋_GB2312" w:cs="仿宋_GB2312" w:hint="eastAsia"/>
              <w:bCs w:val="0"/>
              <w:sz w:val="22"/>
              <w:szCs w:val="22"/>
            </w:rPr>
            <w:t>本职能及主要工作</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_Toc1497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7"/>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_Toc20285 </w:instrText>
          </w:r>
          <w:r>
            <w:rPr>
              <w:rFonts w:ascii="仿宋_GB2312" w:eastAsia="仿宋_GB2312" w:cs="仿宋_GB2312" w:hint="eastAsia"/>
              <w:sz w:val="22"/>
              <w:szCs w:val="22"/>
            </w:rPr>
            <w:fldChar w:fldCharType="separate"/>
          </w:r>
          <w:r>
            <w:rPr>
              <w:rFonts w:ascii="仿宋_GB2312" w:eastAsia="仿宋_GB2312" w:cs="仿宋_GB2312" w:hint="eastAsia"/>
              <w:bCs/>
              <w:sz w:val="22"/>
              <w:szCs w:val="40"/>
            </w:rPr>
            <w:t>（一）主要职能</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_Toc20285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7"/>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_Toc31319 </w:instrText>
          </w:r>
          <w:r>
            <w:rPr>
              <w:rFonts w:ascii="仿宋_GB2312" w:eastAsia="仿宋_GB2312" w:cs="仿宋_GB2312" w:hint="eastAsia"/>
              <w:sz w:val="22"/>
              <w:szCs w:val="22"/>
            </w:rPr>
            <w:fldChar w:fldCharType="separate"/>
          </w:r>
          <w:r>
            <w:rPr>
              <w:rFonts w:ascii="仿宋_GB2312" w:eastAsia="仿宋_GB2312" w:cs="仿宋_GB2312" w:hint="eastAsia"/>
              <w:bCs/>
              <w:sz w:val="22"/>
              <w:szCs w:val="40"/>
            </w:rPr>
            <w:t>（二）2020年重点工作完成情况</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_Toc31319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_Toc8163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二、机</w:t>
          </w:r>
          <w:r>
            <w:rPr>
              <w:rFonts w:ascii="仿宋_GB2312" w:eastAsia="仿宋_GB2312" w:cs="仿宋_GB2312" w:hint="eastAsia"/>
              <w:bCs w:val="0"/>
              <w:sz w:val="22"/>
              <w:szCs w:val="22"/>
            </w:rPr>
            <w:t>构设置</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_Toc8163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5</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5"/>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_Toc17571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 xml:space="preserve">第二部分 </w:t>
          </w:r>
          <w:r>
            <w:rPr>
              <w:rFonts w:ascii="仿宋_GB2312" w:eastAsia="仿宋_GB2312" w:cs="仿宋_GB2312" w:hint="eastAsia"/>
              <w:bCs w:val="0"/>
              <w:sz w:val="22"/>
              <w:szCs w:val="22"/>
            </w:rPr>
            <w:t>2020年度部门决算情况说明</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_Toc17571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_Toc14442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 xml:space="preserve">一、 </w:t>
          </w:r>
          <w:r>
            <w:rPr>
              <w:rFonts w:ascii="仿宋_GB2312" w:eastAsia="仿宋_GB2312" w:cs="仿宋_GB2312" w:hint="eastAsia"/>
              <w:sz w:val="22"/>
              <w:szCs w:val="40"/>
            </w:rPr>
            <w:t>收</w:t>
          </w:r>
          <w:r>
            <w:rPr>
              <w:rFonts w:ascii="仿宋_GB2312" w:eastAsia="仿宋_GB2312" w:cs="仿宋_GB2312" w:hint="eastAsia"/>
              <w:sz w:val="22"/>
              <w:szCs w:val="22"/>
            </w:rPr>
            <w:t>入支出决算总体情况说明</w:t>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_Toc14442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_Toc4207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 xml:space="preserve">二、 </w:t>
          </w:r>
          <w:r>
            <w:rPr>
              <w:rFonts w:ascii="仿宋_GB2312" w:eastAsia="仿宋_GB2312" w:cs="仿宋_GB2312" w:hint="eastAsia"/>
              <w:sz w:val="22"/>
              <w:szCs w:val="40"/>
            </w:rPr>
            <w:t>收</w:t>
          </w:r>
          <w:r>
            <w:rPr>
              <w:rFonts w:ascii="仿宋_GB2312" w:eastAsia="仿宋_GB2312" w:cs="仿宋_GB2312" w:hint="eastAsia"/>
              <w:sz w:val="22"/>
              <w:szCs w:val="22"/>
            </w:rPr>
            <w:t>入决算情况说明</w:t>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_Toc4207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7</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_Toc8709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 xml:space="preserve">三、 </w:t>
          </w:r>
          <w:r>
            <w:rPr>
              <w:rFonts w:ascii="仿宋_GB2312" w:eastAsia="仿宋_GB2312" w:cs="仿宋_GB2312" w:hint="eastAsia"/>
              <w:sz w:val="22"/>
              <w:szCs w:val="40"/>
            </w:rPr>
            <w:t>支</w:t>
          </w:r>
          <w:r>
            <w:rPr>
              <w:rFonts w:ascii="仿宋_GB2312" w:eastAsia="仿宋_GB2312" w:cs="仿宋_GB2312" w:hint="eastAsia"/>
              <w:sz w:val="22"/>
              <w:szCs w:val="22"/>
            </w:rPr>
            <w:t>出决算情况说明</w:t>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_Toc8709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7</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_Toc17733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四、财</w:t>
          </w:r>
          <w:r>
            <w:rPr>
              <w:rFonts w:ascii="仿宋_GB2312" w:eastAsia="仿宋_GB2312" w:cs="仿宋_GB2312" w:hint="eastAsia"/>
              <w:sz w:val="22"/>
              <w:szCs w:val="22"/>
            </w:rPr>
            <w:t>政拨款收入支出决算总体情况说明</w:t>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_Toc17733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8</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_Toc9389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五、一</w:t>
          </w:r>
          <w:r>
            <w:rPr>
              <w:rFonts w:ascii="仿宋_GB2312" w:eastAsia="仿宋_GB2312" w:cs="仿宋_GB2312" w:hint="eastAsia"/>
              <w:sz w:val="22"/>
              <w:szCs w:val="22"/>
            </w:rPr>
            <w:t>般公共预算财政拨款支出决算情况说明</w:t>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_Toc9389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9</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7"/>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_Toc30572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（一）一般公共预算财政拨款支出决算总体情况</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_Toc30572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9</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7"/>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_Toc1787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（二）一般公共预算财政拨款支出决算结构情况</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_Toc1787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9</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7"/>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_Toc28891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（三）一般公共预算财政拨款支出决算具体情况</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_Toc28891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10</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_Toc6592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六、一</w:t>
          </w:r>
          <w:r>
            <w:rPr>
              <w:rFonts w:ascii="仿宋_GB2312" w:eastAsia="仿宋_GB2312" w:cs="仿宋_GB2312" w:hint="eastAsia"/>
              <w:sz w:val="22"/>
              <w:szCs w:val="22"/>
            </w:rPr>
            <w:t>般公共预算财政拨款基本支出决算情况说明</w:t>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_Toc6592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11</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_Toc6899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七、</w:t>
          </w:r>
          <w:r>
            <w:rPr>
              <w:rFonts w:ascii="仿宋_GB2312" w:eastAsia="仿宋_GB2312" w:cs="仿宋_GB2312" w:hint="eastAsia"/>
              <w:sz w:val="22"/>
              <w:szCs w:val="22"/>
            </w:rPr>
            <w:t>“三公”经费财政拨款支出决算情况说明</w:t>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_Toc6899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12</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7"/>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_Toc21862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（一）“三公”经费财政拨款支出决算总体情况说明</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_Toc21862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12</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7"/>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_Toc5844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（二）“三公”经费财政拨款支出决算具体情况说明</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_Toc5844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12</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_Toc16231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八、</w:t>
          </w:r>
          <w:r>
            <w:rPr>
              <w:rFonts w:ascii="仿宋_GB2312" w:eastAsia="仿宋_GB2312" w:cs="仿宋_GB2312" w:hint="eastAsia"/>
              <w:sz w:val="22"/>
              <w:szCs w:val="22"/>
            </w:rPr>
            <w:t>政府性基金预算支出决算情况说明</w:t>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_Toc16231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13</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_Toc390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九、 国有资本经营预算支出决算情况说明</w:t>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_Toc390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13</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_Toc16468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十</w:t>
          </w:r>
          <w:r>
            <w:rPr>
              <w:rFonts w:ascii="仿宋_GB2312" w:eastAsia="仿宋_GB2312" w:cs="仿宋_GB2312" w:hint="eastAsia"/>
              <w:sz w:val="22"/>
              <w:szCs w:val="22"/>
            </w:rPr>
            <w:t>、其他重要事项的情况说明</w:t>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_Toc16468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13</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7"/>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_Toc2644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（一）机关运行经费支出情况</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_Toc2644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13</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7"/>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_Toc5960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（二）政府采购支出情况</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_Toc5960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14</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7"/>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_Toc29956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（三）国有资产占有使用情况</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_Toc29956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14</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7"/>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_Toc15800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（四）预算绩效管理情况。</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_Toc15800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14</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5"/>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_Toc11990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 xml:space="preserve">第三部分 </w:t>
          </w:r>
          <w:r>
            <w:rPr>
              <w:rFonts w:ascii="仿宋_GB2312" w:eastAsia="仿宋_GB2312" w:cs="仿宋_GB2312" w:hint="eastAsia"/>
              <w:sz w:val="22"/>
              <w:szCs w:val="52"/>
            </w:rPr>
            <w:t>名</w:t>
          </w:r>
          <w:r>
            <w:rPr>
              <w:rFonts w:ascii="仿宋_GB2312" w:eastAsia="仿宋_GB2312" w:cs="仿宋_GB2312" w:hint="eastAsia"/>
              <w:sz w:val="22"/>
              <w:szCs w:val="22"/>
            </w:rPr>
            <w:t>词解释</w:t>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_Toc11990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14</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5"/>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_Toc26365 </w:instrText>
          </w:r>
          <w:r>
            <w:rPr>
              <w:rFonts w:ascii="仿宋_GB2312" w:eastAsia="仿宋_GB2312" w:cs="仿宋_GB2312" w:hint="eastAsia"/>
              <w:sz w:val="22"/>
              <w:szCs w:val="22"/>
            </w:rPr>
            <w:fldChar w:fldCharType="separate"/>
          </w:r>
          <w:r>
            <w:rPr>
              <w:rFonts w:ascii="仿宋_GB2312" w:eastAsia="仿宋_GB2312" w:cs="仿宋_GB2312" w:hint="eastAsia"/>
              <w:sz w:val="22"/>
              <w:szCs w:val="52"/>
            </w:rPr>
            <w:t>第</w:t>
          </w:r>
          <w:r>
            <w:rPr>
              <w:rFonts w:ascii="仿宋_GB2312" w:eastAsia="仿宋_GB2312" w:cs="仿宋_GB2312" w:hint="eastAsia"/>
              <w:sz w:val="22"/>
              <w:szCs w:val="22"/>
            </w:rPr>
            <w:t>四部分 附件</w:t>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_Toc26365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18</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5"/>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_Toc5231 </w:instrText>
          </w:r>
          <w:r>
            <w:rPr>
              <w:rFonts w:ascii="仿宋_GB2312" w:eastAsia="仿宋_GB2312" w:cs="仿宋_GB2312" w:hint="eastAsia"/>
              <w:sz w:val="22"/>
              <w:szCs w:val="22"/>
            </w:rPr>
            <w:fldChar w:fldCharType="separate"/>
          </w:r>
          <w:r>
            <w:rPr>
              <w:rFonts w:ascii="仿宋_GB2312" w:eastAsia="仿宋_GB2312" w:cs="仿宋_GB2312" w:hint="eastAsia"/>
              <w:sz w:val="22"/>
              <w:szCs w:val="40"/>
            </w:rPr>
            <w:t>附件1</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_Toc5231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18</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5"/>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_Toc24855 </w:instrText>
          </w:r>
          <w:r>
            <w:rPr>
              <w:rFonts w:ascii="仿宋_GB2312" w:eastAsia="仿宋_GB2312" w:cs="仿宋_GB2312" w:hint="eastAsia"/>
              <w:sz w:val="22"/>
              <w:szCs w:val="22"/>
            </w:rPr>
            <w:fldChar w:fldCharType="separate"/>
          </w:r>
          <w:r>
            <w:rPr>
              <w:rFonts w:ascii="仿宋_GB2312" w:eastAsia="仿宋_GB2312" w:cs="仿宋_GB2312" w:hint="eastAsia"/>
              <w:bCs/>
              <w:kern w:val="0"/>
              <w:sz w:val="22"/>
              <w:szCs w:val="52"/>
            </w:rPr>
            <w:t>20</w:t>
          </w:r>
          <w:r>
            <w:rPr>
              <w:rFonts w:ascii="仿宋_GB2312" w:eastAsia="仿宋_GB2312" w:cs="仿宋_GB2312" w:hint="eastAsia"/>
              <w:bCs/>
              <w:kern w:val="0"/>
              <w:sz w:val="22"/>
              <w:szCs w:val="52"/>
              <w:lang w:val="en-US" w:eastAsia="zh-CN"/>
            </w:rPr>
            <w:t>20</w:t>
          </w:r>
          <w:r>
            <w:rPr>
              <w:rFonts w:ascii="仿宋_GB2312" w:eastAsia="仿宋_GB2312" w:cs="仿宋_GB2312" w:hint="eastAsia"/>
              <w:bCs/>
              <w:kern w:val="0"/>
              <w:sz w:val="22"/>
              <w:szCs w:val="52"/>
            </w:rPr>
            <w:t>年度壤塘县科学技术协会部门整体支出绩效评价自评报告</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_Toc24855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18</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5"/>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_Toc15674 </w:instrText>
          </w:r>
          <w:r>
            <w:rPr>
              <w:rFonts w:ascii="仿宋_GB2312" w:eastAsia="仿宋_GB2312" w:cs="仿宋_GB2312" w:hint="eastAsia"/>
              <w:sz w:val="22"/>
              <w:szCs w:val="22"/>
            </w:rPr>
            <w:fldChar w:fldCharType="separate"/>
          </w:r>
          <w:r>
            <w:rPr>
              <w:rFonts w:ascii="仿宋_GB2312" w:eastAsia="仿宋_GB2312" w:cs="仿宋_GB2312" w:hint="eastAsia"/>
              <w:kern w:val="0"/>
              <w:sz w:val="22"/>
              <w:szCs w:val="40"/>
              <w:shd w:val="clear" w:color="auto" w:fill="FFFFFF"/>
              <w:lang w:val="en-US" w:eastAsia="zh-CN"/>
            </w:rPr>
            <w:t>附件二：</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_Toc15674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30</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5"/>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_Toc989 </w:instrText>
          </w:r>
          <w:r>
            <w:rPr>
              <w:rFonts w:ascii="仿宋_GB2312" w:eastAsia="仿宋_GB2312" w:cs="仿宋_GB2312" w:hint="eastAsia"/>
              <w:sz w:val="22"/>
              <w:szCs w:val="22"/>
            </w:rPr>
            <w:fldChar w:fldCharType="separate"/>
          </w:r>
          <w:r>
            <w:rPr>
              <w:rFonts w:ascii="仿宋_GB2312" w:eastAsia="仿宋_GB2312" w:cs="仿宋_GB2312" w:hint="eastAsia"/>
              <w:sz w:val="22"/>
              <w:szCs w:val="52"/>
              <w:lang w:val="en-US" w:eastAsia="zh-CN"/>
            </w:rPr>
            <w:t>2020年四川省科普专项资金</w:t>
          </w:r>
          <w:r>
            <w:rPr>
              <w:rFonts w:ascii="仿宋_GB2312" w:eastAsia="仿宋_GB2312" w:cs="仿宋_GB2312" w:hint="eastAsia"/>
              <w:sz w:val="22"/>
              <w:szCs w:val="52"/>
            </w:rPr>
            <w:t>项目绩效自评报告</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_Toc989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30</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5"/>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_Toc8505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lang w:eastAsia="zh-CN"/>
            </w:rPr>
            <w:t>第五部分</w:t>
          </w:r>
          <w:r>
            <w:rPr>
              <w:rFonts w:ascii="仿宋_GB2312" w:eastAsia="仿宋_GB2312" w:cs="仿宋_GB2312" w:hint="eastAsia"/>
              <w:sz w:val="22"/>
              <w:szCs w:val="22"/>
              <w:lang w:val="en-US" w:eastAsia="zh-CN"/>
            </w:rPr>
            <w:t xml:space="preserve"> </w:t>
          </w:r>
          <w:r>
            <w:rPr>
              <w:rFonts w:ascii="仿宋_GB2312" w:eastAsia="仿宋_GB2312" w:cs="仿宋_GB2312" w:hint="eastAsia"/>
              <w:sz w:val="22"/>
              <w:szCs w:val="22"/>
            </w:rPr>
            <w:t>附表</w:t>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_Toc8505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_Toc25118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一、收入支出决算总表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_Toc25118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_Toc28196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二、收入决算表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_Toc28196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_Toc27871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三、</w:t>
          </w:r>
          <w:r>
            <w:rPr>
              <w:rFonts w:ascii="仿宋_GB2312" w:eastAsia="仿宋_GB2312" w:cs="仿宋_GB2312" w:hint="eastAsia"/>
              <w:sz w:val="22"/>
              <w:szCs w:val="22"/>
            </w:rPr>
            <w:t>支</w:t>
          </w:r>
          <w:r>
            <w:rPr>
              <w:rFonts w:ascii="仿宋_GB2312" w:eastAsia="仿宋_GB2312" w:cs="仿宋_GB2312" w:hint="eastAsia"/>
              <w:bCs w:val="0"/>
              <w:sz w:val="22"/>
              <w:szCs w:val="22"/>
            </w:rPr>
            <w:t>出决算表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_Toc27871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_Toc7036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四、</w:t>
          </w:r>
          <w:r>
            <w:rPr>
              <w:rFonts w:ascii="仿宋_GB2312" w:eastAsia="仿宋_GB2312" w:cs="仿宋_GB2312" w:hint="eastAsia"/>
              <w:sz w:val="22"/>
              <w:szCs w:val="22"/>
            </w:rPr>
            <w:t>财</w:t>
          </w:r>
          <w:r>
            <w:rPr>
              <w:rFonts w:ascii="仿宋_GB2312" w:eastAsia="仿宋_GB2312" w:cs="仿宋_GB2312" w:hint="eastAsia"/>
              <w:bCs w:val="0"/>
              <w:sz w:val="22"/>
              <w:szCs w:val="22"/>
            </w:rPr>
            <w:t>政拨款收入支出决算总表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_Toc7036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_Toc5545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五、</w:t>
          </w:r>
          <w:r>
            <w:rPr>
              <w:rFonts w:ascii="仿宋_GB2312" w:eastAsia="仿宋_GB2312" w:cs="仿宋_GB2312" w:hint="eastAsia"/>
              <w:sz w:val="22"/>
              <w:szCs w:val="22"/>
            </w:rPr>
            <w:t>财</w:t>
          </w:r>
          <w:r>
            <w:rPr>
              <w:rFonts w:ascii="仿宋_GB2312" w:eastAsia="仿宋_GB2312" w:cs="仿宋_GB2312" w:hint="eastAsia"/>
              <w:bCs w:val="0"/>
              <w:sz w:val="22"/>
              <w:szCs w:val="22"/>
            </w:rPr>
            <w:t>政拨款支出决算明细表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_Toc5545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_Toc16841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六、</w:t>
          </w:r>
          <w:r>
            <w:rPr>
              <w:rFonts w:ascii="仿宋_GB2312" w:eastAsia="仿宋_GB2312" w:cs="仿宋_GB2312" w:hint="eastAsia"/>
              <w:sz w:val="22"/>
              <w:szCs w:val="22"/>
            </w:rPr>
            <w:t>一</w:t>
          </w:r>
          <w:r>
            <w:rPr>
              <w:rFonts w:ascii="仿宋_GB2312" w:eastAsia="仿宋_GB2312" w:cs="仿宋_GB2312" w:hint="eastAsia"/>
              <w:bCs w:val="0"/>
              <w:sz w:val="22"/>
              <w:szCs w:val="22"/>
            </w:rPr>
            <w:t>般公共预算财政拨款支出决算表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_Toc16841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_Toc10087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七、</w:t>
          </w:r>
          <w:r>
            <w:rPr>
              <w:rFonts w:ascii="仿宋_GB2312" w:eastAsia="仿宋_GB2312" w:cs="仿宋_GB2312" w:hint="eastAsia"/>
              <w:sz w:val="22"/>
              <w:szCs w:val="22"/>
            </w:rPr>
            <w:t>一</w:t>
          </w:r>
          <w:r>
            <w:rPr>
              <w:rFonts w:ascii="仿宋_GB2312" w:eastAsia="仿宋_GB2312" w:cs="仿宋_GB2312" w:hint="eastAsia"/>
              <w:bCs w:val="0"/>
              <w:sz w:val="22"/>
              <w:szCs w:val="22"/>
            </w:rPr>
            <w:t>般公共预算财政拨款支出决算明细表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_Toc10087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_Toc19134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八、</w:t>
          </w:r>
          <w:r>
            <w:rPr>
              <w:rFonts w:ascii="仿宋_GB2312" w:eastAsia="仿宋_GB2312" w:cs="仿宋_GB2312" w:hint="eastAsia"/>
              <w:sz w:val="22"/>
              <w:szCs w:val="22"/>
            </w:rPr>
            <w:t>一</w:t>
          </w:r>
          <w:r>
            <w:rPr>
              <w:rFonts w:ascii="仿宋_GB2312" w:eastAsia="仿宋_GB2312" w:cs="仿宋_GB2312" w:hint="eastAsia"/>
              <w:bCs w:val="0"/>
              <w:sz w:val="22"/>
              <w:szCs w:val="22"/>
            </w:rPr>
            <w:t>般公共预算财政拨款基本支出决算表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_Toc19134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_Toc28047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九、</w:t>
          </w:r>
          <w:r>
            <w:rPr>
              <w:rFonts w:ascii="仿宋_GB2312" w:eastAsia="仿宋_GB2312" w:cs="仿宋_GB2312" w:hint="eastAsia"/>
              <w:sz w:val="22"/>
              <w:szCs w:val="22"/>
            </w:rPr>
            <w:t>一</w:t>
          </w:r>
          <w:r>
            <w:rPr>
              <w:rFonts w:ascii="仿宋_GB2312" w:eastAsia="仿宋_GB2312" w:cs="仿宋_GB2312" w:hint="eastAsia"/>
              <w:bCs w:val="0"/>
              <w:sz w:val="22"/>
              <w:szCs w:val="22"/>
            </w:rPr>
            <w:t>般公共预算财政拨款项目支出决算表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_Toc28047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_Toc590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十、</w:t>
          </w:r>
          <w:r>
            <w:rPr>
              <w:rFonts w:ascii="仿宋_GB2312" w:eastAsia="仿宋_GB2312" w:cs="仿宋_GB2312" w:hint="eastAsia"/>
              <w:sz w:val="22"/>
              <w:szCs w:val="22"/>
            </w:rPr>
            <w:t>一</w:t>
          </w:r>
          <w:r>
            <w:rPr>
              <w:rFonts w:ascii="仿宋_GB2312" w:eastAsia="仿宋_GB2312" w:cs="仿宋_GB2312" w:hint="eastAsia"/>
              <w:bCs w:val="0"/>
              <w:sz w:val="22"/>
              <w:szCs w:val="22"/>
            </w:rPr>
            <w:t>般公共预算财政拨款“三公”经费支出决算表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_Toc590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_Toc8558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十一、</w:t>
          </w:r>
          <w:r>
            <w:rPr>
              <w:rFonts w:ascii="仿宋_GB2312" w:eastAsia="仿宋_GB2312" w:cs="仿宋_GB2312" w:hint="eastAsia"/>
              <w:sz w:val="22"/>
              <w:szCs w:val="22"/>
            </w:rPr>
            <w:t>政</w:t>
          </w:r>
          <w:r>
            <w:rPr>
              <w:rFonts w:ascii="仿宋_GB2312" w:eastAsia="仿宋_GB2312" w:cs="仿宋_GB2312" w:hint="eastAsia"/>
              <w:bCs w:val="0"/>
              <w:sz w:val="22"/>
              <w:szCs w:val="22"/>
            </w:rPr>
            <w:t>府性基金预算财政拨款收入支出决算表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_Toc8558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_Toc27940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十二、</w:t>
          </w:r>
          <w:r>
            <w:rPr>
              <w:rFonts w:ascii="仿宋_GB2312" w:eastAsia="仿宋_GB2312" w:cs="仿宋_GB2312" w:hint="eastAsia"/>
              <w:sz w:val="22"/>
              <w:szCs w:val="22"/>
            </w:rPr>
            <w:t>政</w:t>
          </w:r>
          <w:r>
            <w:rPr>
              <w:rFonts w:ascii="仿宋_GB2312" w:eastAsia="仿宋_GB2312" w:cs="仿宋_GB2312" w:hint="eastAsia"/>
              <w:bCs w:val="0"/>
              <w:sz w:val="22"/>
              <w:szCs w:val="22"/>
            </w:rPr>
            <w:t>府性基金预算财政拨款“三公”经费支出决算表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_Toc27940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_Toc2867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十三、</w:t>
          </w:r>
          <w:r>
            <w:rPr>
              <w:rFonts w:ascii="仿宋_GB2312" w:eastAsia="仿宋_GB2312" w:cs="仿宋_GB2312" w:hint="eastAsia"/>
              <w:sz w:val="22"/>
              <w:szCs w:val="22"/>
            </w:rPr>
            <w:t>国</w:t>
          </w:r>
          <w:r>
            <w:rPr>
              <w:rFonts w:ascii="仿宋_GB2312" w:eastAsia="仿宋_GB2312" w:cs="仿宋_GB2312" w:hint="eastAsia"/>
              <w:bCs w:val="0"/>
              <w:sz w:val="22"/>
              <w:szCs w:val="22"/>
            </w:rPr>
            <w:t>有资本经营预算财政拨款支出决算表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_Toc2867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pStyle w:val="46"/>
            <w:tabs>
              <w:tab w:val="right" w:leader="dot" w:pos="8306"/>
            </w:tabs>
            <w:rPr>
              <w:rFonts w:ascii="仿宋_GB2312" w:eastAsia="仿宋_GB2312" w:cs="仿宋_GB2312" w:hint="eastAsia"/>
              <w:sz w:val="22"/>
              <w:szCs w:val="22"/>
            </w:rPr>
          </w:pP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HYPERLINK \l _Toc30752 </w:instrText>
          </w:r>
          <w:r>
            <w:rPr>
              <w:rFonts w:ascii="仿宋_GB2312" w:eastAsia="仿宋_GB2312" w:cs="仿宋_GB2312" w:hint="eastAsia"/>
              <w:sz w:val="22"/>
              <w:szCs w:val="22"/>
            </w:rPr>
            <w:fldChar w:fldCharType="separate"/>
          </w:r>
          <w:r>
            <w:rPr>
              <w:rFonts w:ascii="仿宋_GB2312" w:eastAsia="仿宋_GB2312" w:cs="仿宋_GB2312" w:hint="eastAsia"/>
              <w:bCs w:val="0"/>
              <w:sz w:val="22"/>
              <w:szCs w:val="22"/>
            </w:rPr>
            <w:t>十四、国有资本经营预算财政拨款支出决算表</w:t>
          </w:r>
          <w:r>
            <w:rPr>
              <w:rFonts w:ascii="仿宋_GB2312" w:eastAsia="仿宋_GB2312" w:cs="仿宋_GB2312" w:hint="eastAsia"/>
              <w:sz w:val="22"/>
              <w:szCs w:val="22"/>
            </w:rPr>
            <w:tab/>
          </w:r>
          <w:r>
            <w:rPr>
              <w:rFonts w:ascii="仿宋_GB2312" w:eastAsia="仿宋_GB2312" w:cs="仿宋_GB2312" w:hint="eastAsia"/>
              <w:sz w:val="22"/>
              <w:szCs w:val="22"/>
            </w:rPr>
            <w:fldChar w:fldCharType="begin"/>
          </w:r>
          <w:r>
            <w:rPr>
              <w:rFonts w:ascii="仿宋_GB2312" w:eastAsia="仿宋_GB2312" w:cs="仿宋_GB2312" w:hint="eastAsia"/>
              <w:sz w:val="22"/>
              <w:szCs w:val="22"/>
            </w:rPr>
            <w:instrText xml:space="preserve"> PAGEREF _Toc30752 \h </w:instrText>
          </w:r>
          <w:r>
            <w:rPr>
              <w:rFonts w:ascii="仿宋_GB2312" w:eastAsia="仿宋_GB2312" w:cs="仿宋_GB2312" w:hint="eastAsia"/>
              <w:sz w:val="22"/>
              <w:szCs w:val="22"/>
            </w:rPr>
            <w:fldChar w:fldCharType="separate"/>
          </w:r>
          <w:r>
            <w:rPr>
              <w:rFonts w:ascii="仿宋_GB2312" w:eastAsia="仿宋_GB2312" w:cs="仿宋_GB2312" w:hint="eastAsia"/>
              <w:sz w:val="22"/>
              <w:szCs w:val="22"/>
            </w:rPr>
            <w:t>36</w:t>
          </w:r>
          <w:r>
            <w:rPr>
              <w:rFonts w:ascii="仿宋_GB2312" w:eastAsia="仿宋_GB2312" w:cs="仿宋_GB2312" w:hint="eastAsia"/>
              <w:sz w:val="22"/>
              <w:szCs w:val="22"/>
            </w:rPr>
            <w:fldChar w:fldCharType="end"/>
          </w:r>
          <w:r>
            <w:rPr>
              <w:rFonts w:ascii="仿宋_GB2312" w:eastAsia="仿宋_GB2312" w:cs="仿宋_GB2312" w:hint="eastAsia"/>
              <w:sz w:val="22"/>
              <w:szCs w:val="22"/>
            </w:rPr>
            <w:fldChar w:fldCharType="end"/>
          </w:r>
        </w:p>
        <w:p>
          <w:pPr>
            <w:rPr>
              <w:rFonts w:ascii="仿宋_GB2312" w:eastAsia="仿宋_GB2312" w:cs="仿宋_GB2312" w:hint="eastAsia"/>
            </w:rPr>
          </w:pPr>
          <w:r>
            <w:rPr>
              <w:rFonts w:ascii="仿宋_GB2312" w:eastAsia="仿宋_GB2312" w:cs="仿宋_GB2312" w:hint="eastAsia"/>
              <w:sz w:val="22"/>
              <w:szCs w:val="22"/>
            </w:rPr>
            <w:fldChar w:fldCharType="end"/>
          </w:r>
        </w:p>
      </w:sdtContent>
    </w:sdt>
    <w:p>
      <w:pPr>
        <w:pStyle w:val="1"/>
        <w:jc w:val="center"/>
        <w:rPr>
          <w:rFonts w:ascii="黑体" w:eastAsia="黑体" w:hint="eastAsia"/>
          <w:b w:val="0"/>
        </w:rPr>
        <w:sectPr>
          <w:headerReference w:type="default" r:id="rId2"/>
          <w:pgSz w:w="11906" w:h="16838"/>
          <w:pgMar w:top="1440" w:right="1800" w:bottom="1440" w:left="1800" w:header="851" w:footer="992" w:gutter="0"/>
          <w:pgNumType w:start="1"/>
          <w:titlePg/>
          <w:docGrid w:type="lines" w:linePitch="312" w:charSpace="0"/>
        </w:sectPr>
      </w:pPr>
      <w:bookmarkStart w:id="12" w:name="_Toc25421"/>
      <w:bookmarkStart w:id="13" w:name="_Toc79163601"/>
      <w:bookmarkStart w:id="14" w:name="_Toc16431"/>
    </w:p>
    <w:p>
      <w:pPr>
        <w:pStyle w:val="1"/>
        <w:jc w:val="center"/>
        <w:rPr>
          <w:rStyle w:val="1Char"/>
          <w:rFonts w:ascii="黑体" w:eastAsia="黑体"/>
          <w:b/>
          <w:bCs w:val="0"/>
        </w:rPr>
      </w:pPr>
      <w:r>
        <w:rPr>
          <w:rFonts w:ascii="黑体" w:eastAsia="黑体" w:hint="eastAsia"/>
          <w:b w:val="0"/>
        </w:rPr>
        <w:t>第一部分</w:t>
      </w:r>
      <w:r>
        <w:rPr>
          <w:rFonts w:ascii="黑体" w:eastAsia="黑体"/>
          <w:b w:val="0"/>
        </w:rPr>
        <w:t xml:space="preserve"> </w:t>
      </w:r>
      <w:r>
        <w:rPr>
          <w:rStyle w:val="1Char"/>
          <w:rFonts w:ascii="黑体" w:eastAsia="黑体" w:hint="eastAsia"/>
          <w:b w:val="0"/>
          <w:bCs w:val="0"/>
        </w:rPr>
        <w:t>部门概况</w:t>
      </w:r>
      <w:bookmarkEnd w:id="12"/>
      <w:bookmarkEnd w:id="13"/>
      <w:bookmarkEnd w:id="14"/>
    </w:p>
    <w:p>
      <w:pPr>
        <w:widowControl/>
        <w:jc w:val="left"/>
        <w:rPr>
          <w:rFonts w:ascii="黑体" w:eastAsia="黑体"/>
          <w:color w:val="000000"/>
          <w:sz w:val="32"/>
          <w:szCs w:val="32"/>
        </w:rPr>
      </w:pPr>
    </w:p>
    <w:p>
      <w:pPr>
        <w:pStyle w:val="2"/>
        <w:rPr>
          <w:rStyle w:val="2Char"/>
          <w:rFonts w:ascii="仿宋" w:eastAsia="仿宋"/>
          <w:b w:val="0"/>
          <w:bCs w:val="0"/>
        </w:rPr>
      </w:pPr>
      <w:bookmarkStart w:id="15" w:name="_Toc15396600"/>
      <w:bookmarkStart w:id="16" w:name="_Toc1497"/>
      <w:bookmarkStart w:id="17" w:name="_Toc79163602"/>
      <w:bookmarkStart w:id="18" w:name="_Toc15377197"/>
      <w:bookmarkStart w:id="19" w:name="_Toc32139"/>
      <w:r>
        <w:rPr>
          <w:rFonts w:ascii="黑体" w:eastAsia="黑体" w:hint="eastAsia"/>
          <w:b w:val="0"/>
          <w:color w:val="000000"/>
        </w:rPr>
        <w:t>一、基</w:t>
      </w:r>
      <w:r>
        <w:rPr>
          <w:rStyle w:val="2Char"/>
          <w:rFonts w:ascii="黑体" w:eastAsia="黑体" w:hint="eastAsia"/>
          <w:b w:val="0"/>
          <w:bCs w:val="0"/>
        </w:rPr>
        <w:t>本职能及主要工作</w:t>
      </w:r>
      <w:bookmarkEnd w:id="15"/>
      <w:bookmarkEnd w:id="16"/>
      <w:bookmarkEnd w:id="17"/>
      <w:bookmarkEnd w:id="18"/>
      <w:bookmarkEnd w:id="19"/>
    </w:p>
    <w:p>
      <w:pPr>
        <w:pStyle w:val="17"/>
        <w:adjustRightInd w:val="0"/>
        <w:snapToGrid w:val="0"/>
        <w:spacing w:beforeLines="0" w:before="93" w:line="600" w:lineRule="exact"/>
        <w:ind w:firstLineChars="209" w:firstLine="672"/>
        <w:outlineLvl w:val="2"/>
        <w:rPr>
          <w:rFonts w:ascii="仿宋" w:eastAsia="仿宋"/>
          <w:bCs/>
          <w:color w:val="000000"/>
          <w:sz w:val="32"/>
          <w:szCs w:val="32"/>
        </w:rPr>
      </w:pPr>
      <w:bookmarkStart w:id="20" w:name="_Toc29983"/>
      <w:bookmarkStart w:id="21" w:name="_Toc79163603"/>
      <w:bookmarkStart w:id="22" w:name="_Toc20285"/>
      <w:bookmarkStart w:id="23" w:name="_Toc15377198"/>
      <w:bookmarkStart w:id="24" w:name="_Toc15378445"/>
      <w:r>
        <w:rPr>
          <w:rFonts w:ascii="仿宋" w:eastAsia="仿宋" w:hint="eastAsia"/>
          <w:bCs/>
          <w:color w:val="000000"/>
          <w:sz w:val="32"/>
          <w:szCs w:val="32"/>
        </w:rPr>
        <w:t>（一）主要职能</w:t>
      </w:r>
      <w:bookmarkEnd w:id="20"/>
      <w:bookmarkEnd w:id="21"/>
      <w:bookmarkEnd w:id="22"/>
    </w:p>
    <w:p>
      <w:pPr>
        <w:pStyle w:val="17"/>
        <w:keepNext w:val="0"/>
        <w:keepLines w:val="0"/>
        <w:pageBreakBefore w:val="0"/>
        <w:widowControl w:val="0"/>
        <w:kinsoku/>
        <w:wordWrap/>
        <w:overflowPunct/>
        <w:topLinePunct w:val="0"/>
        <w:autoSpaceDE/>
        <w:autoSpaceDN/>
        <w:bidi w:val="0"/>
        <w:adjustRightInd w:val="0"/>
        <w:snapToGrid w:val="0"/>
        <w:spacing w:beforeLines="0" w:before="93" w:line="600" w:lineRule="exact"/>
        <w:ind w:firstLineChars="209" w:firstLine="672"/>
        <w:textAlignment w:val="auto"/>
        <w:outlineLvl w:val="9"/>
        <w:rPr>
          <w:rFonts w:ascii="仿宋_GB2312" w:eastAsia="仿宋_GB2312" w:cs="仿宋_GB2312" w:hint="eastAsia"/>
          <w:kern w:val="2"/>
          <w:sz w:val="32"/>
          <w:szCs w:val="32"/>
          <w:lang w:val="en-US" w:eastAsia="zh-CN" w:bidi="ar-SA"/>
        </w:rPr>
      </w:pPr>
      <w:bookmarkStart w:id="25" w:name="_Toc79163604"/>
      <w:bookmarkStart w:id="26" w:name="_Toc15377199"/>
      <w:bookmarkStart w:id="27" w:name="_Toc20843"/>
      <w:bookmarkStart w:id="28" w:name="_Toc15378446"/>
      <w:bookmarkEnd w:id="23"/>
      <w:bookmarkEnd w:id="24"/>
      <w:r>
        <w:rPr>
          <w:rFonts w:ascii="仿宋_GB2312" w:eastAsia="仿宋_GB2312" w:cs="仿宋_GB2312" w:hint="eastAsia"/>
          <w:kern w:val="2"/>
          <w:sz w:val="32"/>
          <w:szCs w:val="32"/>
          <w:lang w:val="en-US" w:eastAsia="zh-CN" w:bidi="ar-SA"/>
        </w:rPr>
        <w:t>县科协是全县性学会（协会）和乡镇科协、企业、学校科协组成的科技工作者的群众组织</w:t>
      </w:r>
      <w:r>
        <w:rPr>
          <w:rFonts w:cs="仿宋_GB2312" w:hint="eastAsia"/>
          <w:kern w:val="2"/>
          <w:sz w:val="32"/>
          <w:szCs w:val="32"/>
          <w:lang w:val="en-US" w:eastAsia="zh-CN" w:bidi="ar-SA"/>
        </w:rPr>
        <w:t>；</w:t>
      </w:r>
      <w:r>
        <w:rPr>
          <w:rFonts w:ascii="仿宋_GB2312" w:eastAsia="仿宋_GB2312" w:cs="仿宋_GB2312" w:hint="eastAsia"/>
          <w:kern w:val="2"/>
          <w:sz w:val="32"/>
          <w:szCs w:val="32"/>
          <w:lang w:val="en-US" w:eastAsia="zh-CN" w:bidi="ar-SA"/>
        </w:rPr>
        <w:t>是党委和政府联系科技工作者的纽带和发展科学技术事业的助手，主要的职能职责是普及科学知识，推广先进技术，促进科技成果向现实生产力转化。为科技、经济、社会协调发展献计献策，进行决策咨询和技术服务，兴办科技经济实体。</w:t>
      </w:r>
    </w:p>
    <w:p>
      <w:pPr>
        <w:pStyle w:val="17"/>
        <w:adjustRightInd w:val="0"/>
        <w:snapToGrid w:val="0"/>
        <w:spacing w:beforeLines="0" w:before="93" w:line="600" w:lineRule="exact"/>
        <w:ind w:firstLineChars="209" w:firstLine="672"/>
        <w:outlineLvl w:val="2"/>
        <w:rPr>
          <w:rFonts w:ascii="仿宋" w:eastAsia="仿宋" w:hint="eastAsia"/>
          <w:bCs/>
          <w:color w:val="000000"/>
          <w:sz w:val="32"/>
          <w:szCs w:val="32"/>
          <w14:textFill>
            <w14:solidFill>
              <w14:srgbClr w14:val="000000"/>
            </w14:solidFill>
          </w14:textFill>
        </w:rPr>
      </w:pPr>
      <w:bookmarkStart w:id="29" w:name="_Toc31319"/>
      <w:r>
        <w:rPr>
          <w:rFonts w:ascii="仿宋" w:eastAsia="仿宋" w:hint="eastAsia"/>
          <w:bCs/>
          <w:color w:val="000000"/>
          <w:sz w:val="32"/>
          <w:szCs w:val="32"/>
          <w14:textFill>
            <w14:solidFill>
              <w14:srgbClr w14:val="000000"/>
            </w14:solidFill>
          </w14:textFill>
        </w:rPr>
        <w:t>（二）</w:t>
      </w:r>
      <w:r>
        <w:rPr>
          <w:rFonts w:ascii="仿宋" w:eastAsia="仿宋"/>
          <w:bCs/>
          <w:color w:val="000000"/>
          <w:sz w:val="32"/>
          <w:szCs w:val="32"/>
          <w14:textFill>
            <w14:solidFill>
              <w14:srgbClr w14:val="000000"/>
            </w14:solidFill>
          </w14:textFill>
        </w:rPr>
        <w:t>2020</w:t>
      </w:r>
      <w:r>
        <w:rPr>
          <w:rFonts w:ascii="仿宋" w:eastAsia="仿宋" w:hint="eastAsia"/>
          <w:bCs/>
          <w:color w:val="000000"/>
          <w:sz w:val="32"/>
          <w:szCs w:val="32"/>
          <w14:textFill>
            <w14:solidFill>
              <w14:srgbClr w14:val="000000"/>
            </w14:solidFill>
          </w14:textFill>
        </w:rPr>
        <w:t>年重点工作完成情况</w:t>
      </w:r>
      <w:bookmarkEnd w:id="25"/>
      <w:bookmarkEnd w:id="26"/>
      <w:bookmarkEnd w:id="27"/>
      <w:bookmarkEnd w:id="28"/>
      <w:bookmarkEnd w:id="29"/>
    </w:p>
    <w:p>
      <w:pPr>
        <w:pStyle w:val="17"/>
        <w:keepNext w:val="0"/>
        <w:keepLines w:val="0"/>
        <w:pageBreakBefore w:val="0"/>
        <w:widowControl w:val="0"/>
        <w:kinsoku/>
        <w:wordWrap/>
        <w:overflowPunct/>
        <w:topLinePunct w:val="0"/>
        <w:autoSpaceDE/>
        <w:autoSpaceDN/>
        <w:bidi w:val="0"/>
        <w:adjustRightInd w:val="0"/>
        <w:snapToGrid w:val="0"/>
        <w:spacing w:beforeLines="0" w:before="93" w:line="600" w:lineRule="exact"/>
        <w:ind w:firstLineChars="209" w:firstLine="672"/>
        <w:textAlignment w:val="auto"/>
        <w:outlineLvl w:val="9"/>
        <w:rPr>
          <w:rFonts w:ascii="仿宋" w:eastAsia="仿宋" w:hint="eastAsia"/>
          <w:bCs/>
          <w:color w:val="000000"/>
          <w:sz w:val="32"/>
          <w:szCs w:val="32"/>
          <w14:textFill>
            <w14:solidFill>
              <w14:srgbClr w14:val="000000"/>
            </w14:solidFill>
          </w14:textFill>
        </w:rPr>
      </w:pPr>
      <w:r>
        <w:rPr>
          <w:rFonts w:ascii="仿宋" w:eastAsia="仿宋" w:hint="eastAsia"/>
          <w:bCs/>
          <w:color w:val="000000"/>
          <w:sz w:val="32"/>
          <w:szCs w:val="32"/>
          <w14:textFill>
            <w14:solidFill>
              <w14:srgbClr w14:val="000000"/>
            </w14:solidFill>
          </w14:textFill>
        </w:rPr>
        <w:t>加强科普宣传，积极推进“天府科技云”工作</w:t>
      </w:r>
    </w:p>
    <w:p>
      <w:pPr>
        <w:pStyle w:val="17"/>
        <w:keepNext w:val="0"/>
        <w:keepLines w:val="0"/>
        <w:pageBreakBefore w:val="0"/>
        <w:widowControl w:val="0"/>
        <w:kinsoku/>
        <w:wordWrap/>
        <w:overflowPunct/>
        <w:topLinePunct w:val="0"/>
        <w:autoSpaceDE/>
        <w:autoSpaceDN/>
        <w:bidi w:val="0"/>
        <w:adjustRightInd w:val="0"/>
        <w:snapToGrid w:val="0"/>
        <w:spacing w:beforeLines="0" w:before="93" w:line="600" w:lineRule="exact"/>
        <w:ind w:firstLineChars="209" w:firstLine="672"/>
        <w:textAlignment w:val="auto"/>
        <w:outlineLvl w:val="9"/>
        <w:rPr>
          <w:rFonts w:ascii="仿宋" w:eastAsia="仿宋" w:hint="eastAsia"/>
          <w:bCs/>
          <w:color w:val="000000"/>
          <w:sz w:val="32"/>
          <w:szCs w:val="32"/>
          <w14:textFill>
            <w14:solidFill>
              <w14:srgbClr w14:val="000000"/>
            </w14:solidFill>
          </w14:textFill>
        </w:rPr>
      </w:pPr>
      <w:r>
        <w:rPr>
          <w:rFonts w:ascii="仿宋" w:eastAsia="仿宋" w:hint="eastAsia"/>
          <w:bCs/>
          <w:color w:val="000000"/>
          <w:sz w:val="32"/>
          <w:szCs w:val="32"/>
          <w14:textFill>
            <w14:solidFill>
              <w14:srgbClr w14:val="000000"/>
            </w14:solidFill>
          </w14:textFill>
        </w:rPr>
        <w:t>4月16日县科协和县科学技术和农业畜牧局组织科技人员</w:t>
      </w:r>
      <w:r>
        <w:rPr>
          <w:rFonts w:ascii="仿宋" w:eastAsia="仿宋" w:hint="eastAsia"/>
          <w:bCs/>
          <w:color w:val="000000"/>
          <w:sz w:val="32"/>
          <w:szCs w:val="32"/>
          <w14:textFill>
            <w14:solidFill>
              <w14:srgbClr w14:val="000000"/>
            </w14:solidFill>
          </w14:textFill>
          <w:lang w:eastAsia="zh-CN"/>
        </w:rPr>
        <w:t>来到</w:t>
      </w:r>
      <w:r>
        <w:rPr>
          <w:rFonts w:ascii="仿宋" w:eastAsia="仿宋" w:hint="eastAsia"/>
          <w:bCs/>
          <w:color w:val="000000"/>
          <w:sz w:val="32"/>
          <w:szCs w:val="32"/>
          <w14:textFill>
            <w14:solidFill>
              <w14:srgbClr w14:val="000000"/>
            </w14:solidFill>
          </w14:textFill>
        </w:rPr>
        <w:t>上壤塘乡仁棚村开展机播作业。县科农局专家服务团、巡回小组、农技综合站、农机监理站、驻村农技员现场教授村民高原马铃薯机械化种植技术。并实地宣传机械化种植技术的重要作用，该技术的推广不仅可以降低生产成本、提高工作效率，还能提高生活质量。仁棚村的马铃薯机械化种植起到了良好的现代种植示范作用，为下一步逐步改进当地农牧民传统种植模式，提高农作物的产量，增加农业收入奠定了基础。</w:t>
      </w:r>
    </w:p>
    <w:p>
      <w:pPr>
        <w:pStyle w:val="17"/>
        <w:keepNext w:val="0"/>
        <w:keepLines w:val="0"/>
        <w:pageBreakBefore w:val="0"/>
        <w:widowControl w:val="0"/>
        <w:kinsoku/>
        <w:wordWrap/>
        <w:overflowPunct/>
        <w:topLinePunct w:val="0"/>
        <w:autoSpaceDE/>
        <w:autoSpaceDN/>
        <w:bidi w:val="0"/>
        <w:adjustRightInd w:val="0"/>
        <w:snapToGrid w:val="0"/>
        <w:spacing w:beforeLines="0" w:before="93" w:line="600" w:lineRule="exact"/>
        <w:ind w:firstLineChars="209" w:firstLine="672"/>
        <w:textAlignment w:val="auto"/>
        <w:outlineLvl w:val="9"/>
        <w:rPr>
          <w:rFonts w:ascii="仿宋" w:eastAsia="仿宋" w:hint="eastAsia"/>
          <w:bCs/>
          <w:color w:val="000000"/>
          <w:sz w:val="32"/>
          <w:szCs w:val="32"/>
          <w14:textFill>
            <w14:solidFill>
              <w14:srgbClr w14:val="000000"/>
            </w14:solidFill>
          </w14:textFill>
        </w:rPr>
      </w:pPr>
      <w:r>
        <w:rPr>
          <w:rFonts w:ascii="仿宋" w:eastAsia="仿宋" w:hint="eastAsia"/>
          <w:bCs/>
          <w:color w:val="000000"/>
          <w:sz w:val="32"/>
          <w:szCs w:val="32"/>
          <w14:textFill>
            <w14:solidFill>
              <w14:srgbClr w14:val="000000"/>
            </w14:solidFill>
          </w14:textFill>
        </w:rPr>
        <w:t>4月21日，结合全县知识产权宣传，精心准备，带着收编的《农牧民种植实用技术</w:t>
      </w:r>
      <w:r>
        <w:rPr>
          <w:rFonts w:ascii="仿宋" w:eastAsia="仿宋" w:hint="eastAsia"/>
          <w:bCs/>
          <w:color w:val="000000"/>
          <w:sz w:val="32"/>
          <w:szCs w:val="32"/>
          <w14:textFill>
            <w14:solidFill>
              <w14:srgbClr w14:val="000000"/>
            </w14:solidFill>
          </w14:textFill>
          <w:lang w:eastAsia="zh-CN"/>
        </w:rPr>
        <w:t>》《</w:t>
      </w:r>
      <w:r>
        <w:rPr>
          <w:rFonts w:ascii="仿宋" w:eastAsia="仿宋" w:hint="eastAsia"/>
          <w:bCs/>
          <w:color w:val="000000"/>
          <w:sz w:val="32"/>
          <w:szCs w:val="32"/>
          <w14:textFill>
            <w14:solidFill>
              <w14:srgbClr w14:val="000000"/>
            </w14:solidFill>
          </w14:textFill>
        </w:rPr>
        <w:t>壤巴拉科普</w:t>
      </w:r>
      <w:r>
        <w:rPr>
          <w:rFonts w:ascii="仿宋" w:eastAsia="仿宋" w:hint="eastAsia"/>
          <w:bCs/>
          <w:color w:val="000000"/>
          <w:sz w:val="32"/>
          <w:szCs w:val="32"/>
          <w14:textFill>
            <w14:solidFill>
              <w14:srgbClr w14:val="000000"/>
            </w14:solidFill>
          </w14:textFill>
          <w:lang w:eastAsia="zh-CN"/>
        </w:rPr>
        <w:t>》《</w:t>
      </w:r>
      <w:r>
        <w:rPr>
          <w:rFonts w:ascii="仿宋" w:eastAsia="仿宋" w:hint="eastAsia"/>
          <w:bCs/>
          <w:color w:val="000000"/>
          <w:sz w:val="32"/>
          <w:szCs w:val="32"/>
          <w14:textFill>
            <w14:solidFill>
              <w14:srgbClr w14:val="000000"/>
            </w14:solidFill>
          </w14:textFill>
        </w:rPr>
        <w:t>庭院经济发展</w:t>
      </w:r>
      <w:r>
        <w:rPr>
          <w:rFonts w:ascii="仿宋" w:eastAsia="仿宋" w:hint="eastAsia"/>
          <w:bCs/>
          <w:color w:val="000000"/>
          <w:sz w:val="32"/>
          <w:szCs w:val="32"/>
          <w14:textFill>
            <w14:solidFill>
              <w14:srgbClr w14:val="000000"/>
            </w14:solidFill>
          </w14:textFill>
          <w:lang w:eastAsia="zh-CN"/>
        </w:rPr>
        <w:t>》《</w:t>
      </w:r>
      <w:r>
        <w:rPr>
          <w:rFonts w:ascii="仿宋" w:eastAsia="仿宋" w:hint="eastAsia"/>
          <w:bCs/>
          <w:color w:val="000000"/>
          <w:sz w:val="32"/>
          <w:szCs w:val="32"/>
          <w14:textFill>
            <w14:solidFill>
              <w14:srgbClr w14:val="000000"/>
            </w14:solidFill>
          </w14:textFill>
        </w:rPr>
        <w:t>科学与生活</w:t>
      </w:r>
      <w:r>
        <w:rPr>
          <w:rFonts w:ascii="仿宋" w:eastAsia="仿宋" w:hint="eastAsia"/>
          <w:bCs/>
          <w:color w:val="000000"/>
          <w:sz w:val="32"/>
          <w:szCs w:val="32"/>
          <w14:textFill>
            <w14:solidFill>
              <w14:srgbClr w14:val="000000"/>
            </w14:solidFill>
          </w14:textFill>
          <w:lang w:eastAsia="zh-CN"/>
        </w:rPr>
        <w:t>》《</w:t>
      </w:r>
      <w:r>
        <w:rPr>
          <w:rFonts w:ascii="仿宋" w:eastAsia="仿宋" w:hint="eastAsia"/>
          <w:bCs/>
          <w:color w:val="000000"/>
          <w:sz w:val="32"/>
          <w:szCs w:val="32"/>
          <w14:textFill>
            <w14:solidFill>
              <w14:srgbClr w14:val="000000"/>
            </w14:solidFill>
          </w14:textFill>
        </w:rPr>
        <w:t>城乡治理 美化家园》等科普读物来到政府广场开展知识产权宣传活动。</w:t>
      </w:r>
    </w:p>
    <w:p>
      <w:pPr>
        <w:pStyle w:val="17"/>
        <w:keepNext w:val="0"/>
        <w:keepLines w:val="0"/>
        <w:pageBreakBefore w:val="0"/>
        <w:widowControl w:val="0"/>
        <w:kinsoku/>
        <w:wordWrap/>
        <w:overflowPunct/>
        <w:topLinePunct w:val="0"/>
        <w:autoSpaceDE/>
        <w:autoSpaceDN/>
        <w:bidi w:val="0"/>
        <w:adjustRightInd w:val="0"/>
        <w:snapToGrid w:val="0"/>
        <w:spacing w:beforeLines="0" w:before="93" w:line="600" w:lineRule="exact"/>
        <w:ind w:firstLineChars="209" w:firstLine="672"/>
        <w:textAlignment w:val="auto"/>
        <w:outlineLvl w:val="9"/>
        <w:rPr>
          <w:rFonts w:ascii="仿宋" w:eastAsia="仿宋" w:hint="eastAsia"/>
          <w:bCs/>
          <w:color w:val="000000"/>
          <w:sz w:val="32"/>
          <w:szCs w:val="32"/>
          <w14:textFill>
            <w14:solidFill>
              <w14:srgbClr w14:val="000000"/>
            </w14:solidFill>
          </w14:textFill>
        </w:rPr>
      </w:pPr>
      <w:r>
        <w:rPr>
          <w:rFonts w:ascii="仿宋" w:eastAsia="仿宋" w:hint="eastAsia"/>
          <w:bCs/>
          <w:color w:val="000000"/>
          <w:sz w:val="32"/>
          <w:szCs w:val="32"/>
          <w14:textFill>
            <w14:solidFill>
              <w14:srgbClr w14:val="000000"/>
            </w14:solidFill>
          </w14:textFill>
        </w:rPr>
        <w:t>本次宣传活动向群众送出各类科普图书60册，藏汉两文农村实用技术资料130份，接受群众咨询150人次。通过此次活动的开展，营造了良好的社会氛围，扩大了知识产权的社会影响力。</w:t>
      </w:r>
    </w:p>
    <w:p>
      <w:pPr>
        <w:pStyle w:val="17"/>
        <w:keepNext w:val="0"/>
        <w:keepLines w:val="0"/>
        <w:pageBreakBefore w:val="0"/>
        <w:widowControl w:val="0"/>
        <w:kinsoku/>
        <w:wordWrap/>
        <w:overflowPunct/>
        <w:topLinePunct w:val="0"/>
        <w:autoSpaceDE/>
        <w:autoSpaceDN/>
        <w:bidi w:val="0"/>
        <w:adjustRightInd w:val="0"/>
        <w:snapToGrid w:val="0"/>
        <w:spacing w:beforeLines="0" w:before="93" w:line="600" w:lineRule="exact"/>
        <w:ind w:firstLineChars="209" w:firstLine="672"/>
        <w:textAlignment w:val="auto"/>
        <w:outlineLvl w:val="9"/>
        <w:rPr>
          <w:rFonts w:ascii="仿宋" w:eastAsia="仿宋"/>
          <w:bCs/>
          <w:color w:val="000000"/>
          <w:sz w:val="32"/>
          <w:szCs w:val="32"/>
          <w14:textFill>
            <w14:solidFill>
              <w14:srgbClr w14:val="000000"/>
            </w14:solidFill>
          </w14:textFill>
        </w:rPr>
      </w:pPr>
      <w:r>
        <w:rPr>
          <w:rFonts w:ascii="仿宋" w:eastAsia="仿宋" w:hint="eastAsia"/>
          <w:bCs/>
          <w:color w:val="000000"/>
          <w:sz w:val="32"/>
          <w:szCs w:val="32"/>
          <w14:textFill>
            <w14:solidFill>
              <w14:srgbClr w14:val="000000"/>
            </w14:solidFill>
          </w14:textFill>
        </w:rPr>
        <w:t>9月22日，壤塘县科学技术协会积极响应省、州科协《关于举办2020年四川省全国科普日活动的通知》，开展了以“决胜全面小康，践行科技为民”为主题的科普宣传活动。这次活动，紧紧围绕活动主题，通过丰富的活动内容和人民群众喜闻乐见的活动方式。</w:t>
      </w:r>
    </w:p>
    <w:p>
      <w:pPr>
        <w:pStyle w:val="17"/>
        <w:keepNext w:val="0"/>
        <w:keepLines w:val="0"/>
        <w:pageBreakBefore w:val="0"/>
        <w:widowControl w:val="0"/>
        <w:kinsoku/>
        <w:wordWrap/>
        <w:overflowPunct/>
        <w:topLinePunct w:val="0"/>
        <w:autoSpaceDE/>
        <w:autoSpaceDN/>
        <w:bidi w:val="0"/>
        <w:adjustRightInd w:val="0"/>
        <w:snapToGrid w:val="0"/>
        <w:spacing w:beforeLines="0" w:before="93" w:line="600" w:lineRule="exact"/>
        <w:ind w:firstLineChars="209" w:firstLine="672"/>
        <w:textAlignment w:val="auto"/>
        <w:outlineLvl w:val="9"/>
        <w:rPr>
          <w:rFonts w:ascii="仿宋" w:eastAsia="仿宋" w:hint="eastAsia"/>
          <w:bCs/>
          <w:color w:val="000000"/>
          <w:sz w:val="32"/>
          <w:szCs w:val="32"/>
          <w14:textFill>
            <w14:solidFill>
              <w14:srgbClr w14:val="000000"/>
            </w14:solidFill>
          </w14:textFill>
        </w:rPr>
      </w:pPr>
      <w:r>
        <w:rPr>
          <w:rFonts w:ascii="仿宋" w:eastAsia="仿宋" w:hint="eastAsia"/>
          <w:bCs/>
          <w:color w:val="000000"/>
          <w:sz w:val="32"/>
          <w:szCs w:val="32"/>
          <w14:textFill>
            <w14:solidFill>
              <w14:srgbClr w14:val="000000"/>
            </w14:solidFill>
          </w14:textFill>
        </w:rPr>
        <w:t>为了更好地落实“天府科技云”这项工作，县科协认真谋划和设计。6月3日县科协团队实地考察借鉴省科协、成都和德阳等第一批启动“天府科技云”工作项目的地区，交流学习经验和做法，努力把我县“天府科技云”服务中心建设</w:t>
      </w:r>
      <w:r>
        <w:rPr>
          <w:rFonts w:ascii="仿宋" w:eastAsia="仿宋" w:hint="eastAsia"/>
          <w:bCs/>
          <w:color w:val="000000"/>
          <w:sz w:val="32"/>
          <w:szCs w:val="32"/>
          <w14:textFill>
            <w14:solidFill>
              <w14:srgbClr w14:val="000000"/>
            </w14:solidFill>
          </w14:textFill>
          <w:lang w:eastAsia="zh-CN"/>
        </w:rPr>
        <w:t>得</w:t>
      </w:r>
      <w:r>
        <w:rPr>
          <w:rFonts w:ascii="仿宋" w:eastAsia="仿宋" w:hint="eastAsia"/>
          <w:bCs/>
          <w:color w:val="000000"/>
          <w:sz w:val="32"/>
          <w:szCs w:val="32"/>
          <w14:textFill>
            <w14:solidFill>
              <w14:srgbClr w14:val="000000"/>
            </w14:solidFill>
          </w14:textFill>
        </w:rPr>
        <w:t>更好，更有成效。</w:t>
      </w:r>
    </w:p>
    <w:p>
      <w:pPr>
        <w:pStyle w:val="17"/>
        <w:keepNext w:val="0"/>
        <w:keepLines w:val="0"/>
        <w:pageBreakBefore w:val="0"/>
        <w:widowControl w:val="0"/>
        <w:kinsoku/>
        <w:wordWrap/>
        <w:overflowPunct/>
        <w:topLinePunct w:val="0"/>
        <w:autoSpaceDE/>
        <w:autoSpaceDN/>
        <w:bidi w:val="0"/>
        <w:adjustRightInd w:val="0"/>
        <w:snapToGrid w:val="0"/>
        <w:spacing w:beforeLines="0" w:before="93" w:line="600" w:lineRule="exact"/>
        <w:ind w:firstLineChars="209" w:firstLine="672"/>
        <w:textAlignment w:val="auto"/>
        <w:outlineLvl w:val="9"/>
        <w:rPr>
          <w:rFonts w:ascii="仿宋" w:eastAsia="仿宋"/>
          <w:bCs/>
          <w:color w:val="000000"/>
          <w:sz w:val="32"/>
          <w:szCs w:val="32"/>
          <w14:textFill>
            <w14:solidFill>
              <w14:srgbClr w14:val="000000"/>
            </w14:solidFill>
          </w14:textFill>
        </w:rPr>
      </w:pPr>
      <w:r>
        <w:rPr>
          <w:rFonts w:ascii="仿宋" w:eastAsia="仿宋" w:hint="eastAsia"/>
          <w:bCs/>
          <w:color w:val="000000"/>
          <w:sz w:val="32"/>
          <w:szCs w:val="32"/>
          <w14:textFill>
            <w14:solidFill>
              <w14:srgbClr w14:val="000000"/>
            </w14:solidFill>
          </w14:textFill>
        </w:rPr>
        <w:t>县科协推进“天府科技云”各项工作，充分发挥主观能动性，采取各种行之有效的办法和措施，大力开展宣传推广活动，让各级各部门和社会各界最大范围知晓和运用“天府科技云”平台，有序推进云服务各项工作。</w:t>
      </w:r>
    </w:p>
    <w:p>
      <w:pPr>
        <w:pStyle w:val="17"/>
        <w:keepNext w:val="0"/>
        <w:keepLines w:val="0"/>
        <w:pageBreakBefore w:val="0"/>
        <w:widowControl w:val="0"/>
        <w:kinsoku/>
        <w:wordWrap/>
        <w:overflowPunct/>
        <w:topLinePunct w:val="0"/>
        <w:autoSpaceDE/>
        <w:autoSpaceDN/>
        <w:bidi w:val="0"/>
        <w:adjustRightInd w:val="0"/>
        <w:snapToGrid w:val="0"/>
        <w:spacing w:beforeLines="0" w:before="93" w:line="600" w:lineRule="exact"/>
        <w:ind w:firstLineChars="209" w:firstLine="672"/>
        <w:textAlignment w:val="auto"/>
        <w:outlineLvl w:val="9"/>
        <w:rPr>
          <w:rFonts w:ascii="仿宋" w:eastAsia="仿宋" w:hint="eastAsia"/>
          <w:bCs/>
          <w:color w:val="000000"/>
          <w:sz w:val="32"/>
          <w:szCs w:val="32"/>
          <w14:textFill>
            <w14:solidFill>
              <w14:srgbClr w14:val="000000"/>
            </w14:solidFill>
          </w14:textFill>
        </w:rPr>
      </w:pPr>
      <w:r>
        <w:rPr>
          <w:rFonts w:ascii="仿宋" w:eastAsia="仿宋" w:hint="eastAsia"/>
          <w:bCs/>
          <w:color w:val="000000"/>
          <w:sz w:val="32"/>
          <w:szCs w:val="32"/>
          <w14:textFill>
            <w14:solidFill>
              <w14:srgbClr w14:val="000000"/>
            </w14:solidFill>
          </w14:textFill>
        </w:rPr>
        <w:t>我协今年积极响应省科协将“天府科技云”平台建设纳入本行业头号工程来抓，圆满完成该项目各项工作。从宣传注册到引进企业、线上交易和精准服务，</w:t>
      </w:r>
      <w:r>
        <w:rPr>
          <w:rFonts w:ascii="仿宋" w:eastAsia="仿宋" w:hint="eastAsia"/>
          <w:bCs/>
          <w:color w:val="000000"/>
          <w:sz w:val="32"/>
          <w:szCs w:val="32"/>
          <w14:textFill>
            <w14:solidFill>
              <w14:srgbClr w14:val="000000"/>
            </w14:solidFill>
          </w14:textFill>
          <w:lang w:eastAsia="zh-CN"/>
        </w:rPr>
        <w:t>截</w:t>
      </w:r>
      <w:r>
        <w:rPr>
          <w:rFonts w:ascii="仿宋" w:eastAsia="仿宋"/>
          <w:bCs/>
          <w:color w:val="000000"/>
          <w:sz w:val="32"/>
          <w:szCs w:val="32"/>
          <w14:textFill>
            <w14:solidFill>
              <w14:srgbClr w14:val="000000"/>
            </w14:solidFill>
          </w14:textFill>
          <w:lang w:eastAsia="zh-CN"/>
        </w:rPr>
        <w:t>止</w:t>
      </w:r>
      <w:r>
        <w:rPr>
          <w:rFonts w:ascii="仿宋" w:eastAsia="仿宋" w:hint="eastAsia"/>
          <w:bCs/>
          <w:color w:val="000000"/>
          <w:sz w:val="32"/>
          <w:szCs w:val="32"/>
          <w14:textFill>
            <w14:solidFill>
              <w14:srgbClr w14:val="000000"/>
            </w14:solidFill>
          </w14:textFill>
          <w:lang w:eastAsia="zh-CN"/>
        </w:rPr>
        <w:t>11月</w:t>
      </w:r>
      <w:r>
        <w:rPr>
          <w:rFonts w:ascii="仿宋" w:eastAsia="仿宋" w:hint="eastAsia"/>
          <w:bCs/>
          <w:color w:val="000000"/>
          <w:sz w:val="32"/>
          <w:szCs w:val="32"/>
          <w14:textFill>
            <w14:solidFill>
              <w14:srgbClr w14:val="000000"/>
            </w14:solidFill>
          </w14:textFill>
        </w:rPr>
        <w:t>28日15:00，各项指标在全州均排列前三</w:t>
      </w:r>
      <w:r>
        <w:rPr>
          <w:rFonts w:ascii="仿宋" w:eastAsia="仿宋" w:hint="eastAsia"/>
          <w:bCs/>
          <w:color w:val="000000"/>
          <w:sz w:val="32"/>
          <w:szCs w:val="32"/>
          <w14:textFill>
            <w14:solidFill>
              <w14:srgbClr w14:val="000000"/>
            </w14:solidFill>
          </w14:textFill>
          <w:lang w:eastAsia="zh-CN"/>
        </w:rPr>
        <w:t>，在</w:t>
      </w:r>
      <w:r>
        <w:rPr>
          <w:rFonts w:ascii="仿宋" w:eastAsia="仿宋" w:hint="eastAsia"/>
          <w:bCs/>
          <w:color w:val="000000"/>
          <w:sz w:val="32"/>
          <w:szCs w:val="32"/>
          <w14:textFill>
            <w14:solidFill>
              <w14:srgbClr w14:val="000000"/>
            </w14:solidFill>
          </w14:textFill>
        </w:rPr>
        <w:t>全省180余个县市中排名71-87之间，受到省州科协一致好评。</w:t>
      </w:r>
    </w:p>
    <w:p>
      <w:pPr>
        <w:pStyle w:val="2"/>
        <w:rPr>
          <w:rStyle w:val="2Char"/>
          <w:b w:val="0"/>
          <w:bCs w:val="0"/>
        </w:rPr>
      </w:pPr>
      <w:bookmarkStart w:id="30" w:name="_Toc15396601"/>
      <w:bookmarkStart w:id="31" w:name="_Toc29083"/>
      <w:bookmarkStart w:id="32" w:name="_Toc79163605"/>
      <w:bookmarkStart w:id="33" w:name="_Toc8163"/>
      <w:bookmarkStart w:id="34" w:name="_Toc15377200"/>
      <w:r>
        <w:rPr>
          <w:rFonts w:ascii="黑体" w:eastAsia="黑体" w:hint="eastAsia"/>
          <w:b w:val="0"/>
          <w:color w:val="000000"/>
        </w:rPr>
        <w:t>二、机</w:t>
      </w:r>
      <w:r>
        <w:rPr>
          <w:rStyle w:val="2Char"/>
          <w:rFonts w:ascii="黑体" w:eastAsia="黑体" w:hint="eastAsia"/>
          <w:b w:val="0"/>
          <w:bCs w:val="0"/>
        </w:rPr>
        <w:t>构设置</w:t>
      </w:r>
      <w:bookmarkEnd w:id="30"/>
      <w:bookmarkEnd w:id="31"/>
      <w:bookmarkEnd w:id="32"/>
      <w:bookmarkEnd w:id="33"/>
      <w:bookmarkEnd w:id="34"/>
    </w:p>
    <w:p>
      <w:pPr>
        <w:keepNext w:val="0"/>
        <w:keepLines w:val="0"/>
        <w:pageBreakBefore w:val="0"/>
        <w:widowControl/>
        <w:kinsoku/>
        <w:wordWrap/>
        <w:overflowPunct/>
        <w:topLinePunct w:val="0"/>
        <w:autoSpaceDE/>
        <w:autoSpaceDN/>
        <w:bidi w:val="0"/>
        <w:adjustRightInd/>
        <w:snapToGrid/>
        <w:ind w:firstLineChars="200" w:firstLine="640"/>
        <w:jc w:val="left"/>
        <w:textAlignment w:val="auto"/>
        <w:rPr>
          <w:rFonts w:ascii="仿宋" w:eastAsia="仿宋"/>
          <w:color w:val="000000"/>
          <w:kern w:val="0"/>
          <w:sz w:val="32"/>
          <w:szCs w:val="32"/>
        </w:rPr>
      </w:pPr>
      <w:r>
        <w:rPr>
          <w:rFonts w:ascii="仿宋_GB2312" w:eastAsia="仿宋_GB2312" w:hint="eastAsia"/>
          <w:sz w:val="32"/>
          <w:szCs w:val="32"/>
        </w:rPr>
        <w:t>壤塘县科学技术协会</w:t>
      </w:r>
      <w:r>
        <w:rPr>
          <w:rFonts w:ascii="仿宋_GB2312" w:eastAsia="仿宋_GB2312"/>
          <w:sz w:val="32"/>
          <w:szCs w:val="32"/>
          <w:lang w:val="zh-CN"/>
        </w:rPr>
        <w:t>为一级预算单位，基本性质为</w:t>
      </w:r>
      <w:r>
        <w:rPr>
          <w:rFonts w:ascii="仿宋_GB2312" w:eastAsia="仿宋_GB2312" w:hint="eastAsia"/>
          <w:sz w:val="32"/>
          <w:szCs w:val="32"/>
          <w:lang w:val="zh-CN"/>
        </w:rPr>
        <w:t>行政</w:t>
      </w:r>
      <w:r>
        <w:rPr>
          <w:rFonts w:ascii="仿宋_GB2312" w:eastAsia="仿宋_GB2312"/>
          <w:sz w:val="32"/>
          <w:szCs w:val="32"/>
          <w:lang w:val="zh-CN"/>
        </w:rPr>
        <w:t>单位</w:t>
      </w:r>
      <w:r>
        <w:rPr>
          <w:rFonts w:ascii="仿宋_GB2312" w:eastAsia="仿宋_GB2312" w:hint="eastAsia"/>
          <w:sz w:val="32"/>
          <w:szCs w:val="32"/>
          <w:lang w:val="zh-CN"/>
        </w:rPr>
        <w:t>。</w:t>
      </w:r>
      <w:r>
        <w:rPr>
          <w:rFonts w:ascii="仿宋" w:eastAsia="仿宋"/>
          <w:color w:val="000000"/>
          <w:sz w:val="32"/>
          <w:szCs w:val="32"/>
        </w:rPr>
        <w:br w:type="page"/>
      </w:r>
    </w:p>
    <w:p>
      <w:pPr>
        <w:pStyle w:val="1"/>
        <w:ind w:right="440"/>
        <w:jc w:val="right"/>
        <w:rPr>
          <w:rStyle w:val="1Char"/>
          <w:rFonts w:ascii="黑体" w:eastAsia="黑体"/>
          <w:b w:val="0"/>
          <w:bCs w:val="0"/>
        </w:rPr>
      </w:pPr>
      <w:bookmarkStart w:id="35" w:name="_Toc14147"/>
      <w:bookmarkStart w:id="36" w:name="_Toc15377204"/>
      <w:bookmarkStart w:id="37" w:name="_Toc79163609"/>
      <w:bookmarkStart w:id="38" w:name="_Toc15396602"/>
      <w:bookmarkStart w:id="39" w:name="_Toc17571"/>
      <w:r>
        <w:rPr>
          <w:rFonts w:ascii="黑体" w:eastAsia="黑体" w:hint="eastAsia"/>
          <w:b w:val="0"/>
          <w:color w:val="000000"/>
        </w:rPr>
        <w:t>第二部分</w:t>
      </w:r>
      <w:r>
        <w:rPr>
          <w:rFonts w:ascii="黑体" w:eastAsia="黑体"/>
          <w:color w:val="000000"/>
        </w:rPr>
        <w:t xml:space="preserve"> </w:t>
      </w:r>
      <w:r>
        <w:rPr>
          <w:rStyle w:val="1Char"/>
          <w:rFonts w:ascii="黑体" w:eastAsia="黑体"/>
          <w:b w:val="0"/>
          <w:bCs w:val="0"/>
        </w:rPr>
        <w:t>2020</w:t>
      </w:r>
      <w:r>
        <w:rPr>
          <w:rStyle w:val="1Char"/>
          <w:rFonts w:ascii="黑体" w:eastAsia="黑体" w:hint="eastAsia"/>
          <w:b w:val="0"/>
          <w:bCs w:val="0"/>
        </w:rPr>
        <w:t>年度部门决算情况说明</w:t>
      </w:r>
      <w:bookmarkEnd w:id="35"/>
      <w:bookmarkEnd w:id="36"/>
      <w:bookmarkEnd w:id="37"/>
      <w:bookmarkEnd w:id="38"/>
      <w:bookmarkEnd w:id="39"/>
    </w:p>
    <w:p/>
    <w:p>
      <w:pPr>
        <w:pStyle w:val="38"/>
        <w:numPr>
          <w:ilvl w:val="0"/>
          <w:numId w:val="1"/>
        </w:numPr>
        <w:spacing w:line="600" w:lineRule="exact"/>
        <w:ind w:firstLineChars="0"/>
        <w:outlineLvl w:val="1"/>
        <w:rPr>
          <w:rStyle w:val="2Char"/>
          <w:rFonts w:ascii="黑体" w:eastAsia="黑体"/>
          <w:b w:val="0"/>
        </w:rPr>
      </w:pPr>
      <w:bookmarkStart w:id="40" w:name="_Toc15396603"/>
      <w:bookmarkStart w:id="41" w:name="_Toc25426"/>
      <w:bookmarkStart w:id="42" w:name="_Toc14442"/>
      <w:bookmarkStart w:id="43" w:name="_Toc79163610"/>
      <w:bookmarkStart w:id="44" w:name="_Toc15377205"/>
      <w:r>
        <w:rPr>
          <w:rFonts w:ascii="黑体" w:eastAsia="黑体" w:hint="eastAsia"/>
          <w:color w:val="000000"/>
          <w:sz w:val="32"/>
          <w:szCs w:val="32"/>
        </w:rPr>
        <w:t>收</w:t>
      </w:r>
      <w:r>
        <w:rPr>
          <w:rStyle w:val="2Char"/>
          <w:rFonts w:ascii="黑体" w:eastAsia="黑体" w:hint="eastAsia"/>
          <w:b w:val="0"/>
        </w:rPr>
        <w:t>入支出决算总体情况说明</w:t>
      </w:r>
      <w:bookmarkEnd w:id="40"/>
      <w:bookmarkEnd w:id="41"/>
      <w:bookmarkEnd w:id="42"/>
      <w:bookmarkEnd w:id="43"/>
      <w:bookmarkEnd w:id="44"/>
    </w:p>
    <w:p>
      <w:pPr>
        <w:spacing w:line="600" w:lineRule="exact"/>
        <w:ind w:firstLineChars="200" w:firstLine="640"/>
        <w:rPr>
          <w:rFonts w:ascii="仿宋" w:eastAsia="仿宋" w:hint="eastAsia"/>
          <w:color w:val="000000"/>
          <w:sz w:val="32"/>
          <w:szCs w:val="32"/>
          <w:lang w:eastAsia="zh-CN"/>
        </w:rPr>
      </w:pPr>
      <w:r>
        <w:rPr>
          <w:rFonts w:ascii="仿宋" w:eastAsia="仿宋"/>
          <w:color w:val="000000"/>
          <w:sz w:val="32"/>
          <w:szCs w:val="32"/>
        </w:rPr>
        <w:t>2020</w:t>
      </w:r>
      <w:r>
        <w:rPr>
          <w:rFonts w:ascii="仿宋" w:eastAsia="仿宋" w:hint="eastAsia"/>
          <w:color w:val="000000"/>
          <w:sz w:val="32"/>
          <w:szCs w:val="32"/>
        </w:rPr>
        <w:t>年度收</w:t>
      </w:r>
      <w:r>
        <w:rPr>
          <w:rFonts w:ascii="仿宋" w:eastAsia="仿宋" w:hint="eastAsia"/>
          <w:color w:val="000000"/>
          <w:sz w:val="32"/>
          <w:szCs w:val="32"/>
          <w:lang w:val="en-US" w:eastAsia="zh-CN"/>
        </w:rPr>
        <w:t>入</w:t>
      </w:r>
      <w:r>
        <w:rPr>
          <w:rFonts w:ascii="仿宋" w:eastAsia="仿宋" w:hint="eastAsia"/>
          <w:color w:val="000000"/>
          <w:sz w:val="32"/>
          <w:szCs w:val="32"/>
        </w:rPr>
        <w:t>总计</w:t>
      </w:r>
      <w:r>
        <w:rPr>
          <w:rFonts w:ascii="仿宋" w:eastAsia="仿宋" w:hint="eastAsia"/>
          <w:color w:val="000000"/>
          <w:sz w:val="32"/>
          <w:szCs w:val="32"/>
          <w:lang w:val="en-US" w:eastAsia="zh-CN"/>
        </w:rPr>
        <w:t>160.69</w:t>
      </w:r>
      <w:r>
        <w:rPr>
          <w:rFonts w:ascii="仿宋" w:eastAsia="仿宋" w:hint="eastAsia"/>
          <w:color w:val="000000"/>
          <w:sz w:val="32"/>
          <w:szCs w:val="32"/>
        </w:rPr>
        <w:t>万元。与</w:t>
      </w:r>
      <w:r>
        <w:rPr>
          <w:rFonts w:ascii="仿宋" w:eastAsia="仿宋"/>
          <w:color w:val="000000"/>
          <w:sz w:val="32"/>
          <w:szCs w:val="32"/>
        </w:rPr>
        <w:t>2019</w:t>
      </w:r>
      <w:r>
        <w:rPr>
          <w:rFonts w:ascii="仿宋" w:eastAsia="仿宋" w:hint="eastAsia"/>
          <w:color w:val="000000"/>
          <w:sz w:val="32"/>
          <w:szCs w:val="32"/>
        </w:rPr>
        <w:t>年相比，收</w:t>
      </w:r>
      <w:r>
        <w:rPr>
          <w:rFonts w:ascii="仿宋" w:eastAsia="仿宋" w:hint="eastAsia"/>
          <w:color w:val="000000"/>
          <w:sz w:val="32"/>
          <w:szCs w:val="32"/>
          <w:lang w:val="en-US" w:eastAsia="zh-CN"/>
        </w:rPr>
        <w:t>入</w:t>
      </w:r>
      <w:r>
        <w:rPr>
          <w:rFonts w:ascii="仿宋" w:eastAsia="仿宋" w:hint="eastAsia"/>
          <w:color w:val="000000"/>
          <w:sz w:val="32"/>
          <w:szCs w:val="32"/>
        </w:rPr>
        <w:t>总计增加26.78万元，增长20.00</w:t>
      </w:r>
      <w:r>
        <w:rPr>
          <w:rFonts w:ascii="仿宋" w:eastAsia="仿宋"/>
          <w:color w:val="000000"/>
          <w:sz w:val="32"/>
          <w:szCs w:val="32"/>
        </w:rPr>
        <w:t>%</w:t>
      </w:r>
      <w:r>
        <w:rPr>
          <w:rFonts w:ascii="仿宋" w:eastAsia="仿宋" w:hint="eastAsia"/>
          <w:color w:val="000000"/>
          <w:sz w:val="32"/>
          <w:szCs w:val="32"/>
        </w:rPr>
        <w:t>。主要变动原因本年度业务量增加</w:t>
      </w:r>
      <w:r>
        <w:rPr>
          <w:rFonts w:ascii="仿宋" w:eastAsia="仿宋" w:hint="eastAsia"/>
          <w:color w:val="000000"/>
          <w:sz w:val="32"/>
          <w:szCs w:val="32"/>
          <w:lang w:eastAsia="zh-CN"/>
        </w:rPr>
        <w:t>。</w:t>
      </w:r>
    </w:p>
    <w:p>
      <w:pPr>
        <w:pStyle w:val="30"/>
        <w:tabs>
          <w:tab w:val="left" w:pos="960"/>
        </w:tabs>
        <w:rPr>
          <w:rFonts w:ascii="仿宋" w:eastAsia="仿宋" w:hint="eastAsia"/>
          <w:color w:val="000000"/>
          <w:sz w:val="32"/>
          <w:szCs w:val="32"/>
          <w:lang w:eastAsia="zh-CN"/>
        </w:rPr>
      </w:pPr>
      <w:r>
        <w:rPr>
          <w:rFonts w:ascii="仿宋" w:eastAsia="仿宋"/>
          <w:color w:val="000000"/>
          <w:sz w:val="32"/>
          <w:szCs w:val="32"/>
        </w:rPr>
        <w:t>2020</w:t>
      </w:r>
      <w:r>
        <w:rPr>
          <w:rFonts w:ascii="仿宋" w:eastAsia="仿宋" w:hint="eastAsia"/>
          <w:color w:val="000000"/>
          <w:sz w:val="32"/>
          <w:szCs w:val="32"/>
        </w:rPr>
        <w:t>年度</w:t>
      </w:r>
      <w:r>
        <w:rPr>
          <w:rFonts w:ascii="仿宋" w:eastAsia="仿宋" w:hint="eastAsia"/>
          <w:color w:val="000000"/>
          <w:sz w:val="32"/>
          <w:szCs w:val="32"/>
          <w:lang w:val="en-US" w:eastAsia="zh-CN"/>
        </w:rPr>
        <w:t>支出</w:t>
      </w:r>
      <w:r>
        <w:rPr>
          <w:rFonts w:ascii="仿宋" w:eastAsia="仿宋" w:hint="eastAsia"/>
          <w:color w:val="000000"/>
          <w:sz w:val="32"/>
          <w:szCs w:val="32"/>
        </w:rPr>
        <w:t>总计</w:t>
      </w:r>
      <w:r>
        <w:rPr>
          <w:rFonts w:ascii="仿宋" w:eastAsia="仿宋" w:hint="eastAsia"/>
          <w:color w:val="000000"/>
          <w:sz w:val="32"/>
          <w:szCs w:val="32"/>
          <w:lang w:val="en-US" w:eastAsia="zh-CN"/>
        </w:rPr>
        <w:t>166.43</w:t>
      </w:r>
      <w:r>
        <w:rPr>
          <w:rFonts w:ascii="仿宋" w:eastAsia="仿宋" w:hint="eastAsia"/>
          <w:color w:val="000000"/>
          <w:sz w:val="32"/>
          <w:szCs w:val="32"/>
        </w:rPr>
        <w:t>万元。与</w:t>
      </w:r>
      <w:r>
        <w:rPr>
          <w:rFonts w:ascii="仿宋" w:eastAsia="仿宋"/>
          <w:color w:val="000000"/>
          <w:sz w:val="32"/>
          <w:szCs w:val="32"/>
        </w:rPr>
        <w:t>2019</w:t>
      </w:r>
      <w:r>
        <w:rPr>
          <w:rFonts w:ascii="仿宋" w:eastAsia="仿宋" w:hint="eastAsia"/>
          <w:color w:val="000000"/>
          <w:sz w:val="32"/>
          <w:szCs w:val="32"/>
        </w:rPr>
        <w:t>年相比，</w:t>
      </w:r>
      <w:r>
        <w:rPr>
          <w:rFonts w:ascii="仿宋" w:eastAsia="仿宋" w:hint="eastAsia"/>
          <w:color w:val="000000"/>
          <w:sz w:val="32"/>
          <w:szCs w:val="32"/>
          <w:lang w:val="en-US" w:eastAsia="zh-CN"/>
        </w:rPr>
        <w:t>支出</w:t>
      </w:r>
      <w:r>
        <w:rPr>
          <w:rFonts w:ascii="仿宋" w:eastAsia="仿宋" w:hint="eastAsia"/>
          <w:color w:val="000000"/>
          <w:sz w:val="32"/>
          <w:szCs w:val="32"/>
        </w:rPr>
        <w:t>总计</w:t>
      </w:r>
      <w:r>
        <w:rPr>
          <w:rFonts w:ascii="仿宋" w:eastAsia="仿宋" w:hint="eastAsia"/>
          <w:color w:val="000000"/>
          <w:sz w:val="32"/>
          <w:szCs w:val="32"/>
          <w:lang w:val="en-US" w:eastAsia="zh-CN"/>
        </w:rPr>
        <w:t>增加41.22</w:t>
      </w:r>
      <w:r>
        <w:rPr>
          <w:rFonts w:ascii="仿宋" w:eastAsia="仿宋" w:hint="eastAsia"/>
          <w:color w:val="000000"/>
          <w:sz w:val="32"/>
          <w:szCs w:val="32"/>
        </w:rPr>
        <w:t>万元，</w:t>
      </w:r>
      <w:r>
        <w:rPr>
          <w:rFonts w:ascii="仿宋" w:eastAsia="仿宋" w:hint="eastAsia"/>
          <w:color w:val="000000"/>
          <w:sz w:val="32"/>
          <w:szCs w:val="32"/>
          <w:lang w:val="en-US" w:eastAsia="zh-CN"/>
        </w:rPr>
        <w:t>增长32.92</w:t>
      </w:r>
      <w:r>
        <w:rPr>
          <w:rFonts w:ascii="仿宋" w:eastAsia="仿宋"/>
          <w:color w:val="000000"/>
          <w:sz w:val="32"/>
          <w:szCs w:val="32"/>
        </w:rPr>
        <w:t>%</w:t>
      </w:r>
      <w:r>
        <w:rPr>
          <w:rFonts w:ascii="仿宋" w:eastAsia="仿宋" w:hint="eastAsia"/>
          <w:color w:val="000000"/>
          <w:sz w:val="32"/>
          <w:szCs w:val="32"/>
        </w:rPr>
        <w:t>。主要变动原因本年业务量增加，相应费用增加</w:t>
      </w:r>
      <w:r>
        <w:rPr>
          <w:rFonts w:ascii="仿宋" w:eastAsia="仿宋" w:hint="eastAsia"/>
          <w:color w:val="000000"/>
          <w:sz w:val="32"/>
          <w:szCs w:val="32"/>
          <w:lang w:eastAsia="zh-CN"/>
        </w:rPr>
        <w:t>。</w:t>
      </w:r>
    </w:p>
    <w:p>
      <w:pPr>
        <w:spacing w:line="600" w:lineRule="exact"/>
        <w:ind w:firstLineChars="200" w:firstLine="640"/>
        <w:rPr>
          <w:rFonts w:ascii="仿宋" w:eastAsia="仿宋" w:hint="eastAsia"/>
          <w:color w:val="000000"/>
          <w:sz w:val="32"/>
          <w:szCs w:val="32"/>
          <w:lang w:eastAsia="zh-CN"/>
        </w:rPr>
      </w:pPr>
      <w:r>
        <w:rPr>
          <w:rFonts w:ascii="仿宋_GB2312" w:eastAsia="仿宋_GB2312" w:hint="eastAsia"/>
          <w:color w:val="000000"/>
          <w:sz w:val="32"/>
          <w:szCs w:val="32"/>
          <w14:textFill>
            <w14:solidFill>
              <w14:srgbClr w14:val="000000"/>
            </w14:solidFill>
          </w14:textFill>
        </w:rPr>
        <w:t>（图1：收、支决算总计变动情况图）（柱状图）</w:t>
      </w:r>
    </w:p>
    <w:p>
      <w:pPr>
        <w:pStyle w:val="30"/>
        <w:tabs>
          <w:tab w:val="left" w:pos="960"/>
        </w:tabs>
        <w:rPr>
          <w:rFonts w:ascii="仿宋" w:eastAsia="仿宋" w:hint="eastAsia"/>
          <w:color w:val="000000"/>
          <w:sz w:val="32"/>
          <w:szCs w:val="32"/>
          <w:lang w:eastAsia="zh-CN"/>
        </w:rPr>
      </w:pPr>
      <w:r>
        <w:drawing>
          <wp:anchor distT="0" distB="0" distL="114300" distR="114300" simplePos="0" relativeHeight="4" behindDoc="1" locked="0" layoutInCell="1" hidden="0" allowOverlap="1">
            <wp:simplePos x="0" y="0"/>
            <wp:positionH relativeFrom="column">
              <wp:posOffset>389254</wp:posOffset>
            </wp:positionH>
            <wp:positionV relativeFrom="paragraph">
              <wp:posOffset>85089</wp:posOffset>
            </wp:positionV>
            <wp:extent cx="4704080" cy="2244725"/>
            <wp:effectExtent l="0" t="0" r="0" b="0"/>
            <wp:wrapNone/>
            <wp:docPr id="1" name="图表 1"/>
            <wp:cNvGraphicFramePr>
              <a:graphicFrameLocks noChangeAspect="0"/>
            </wp:cNvGraphicFramePr>
            <a:graphic>
              <a:graphicData uri="http://schemas.openxmlformats.org/drawingml/2006/chart">
                <c:chart xmlns:c="http://schemas.openxmlformats.org/drawingml/2006/chart" r:id="rId5"/>
              </a:graphicData>
            </a:graphic>
          </wp:anchor>
        </w:drawing>
      </w:r>
    </w:p>
    <w:p>
      <w:pPr>
        <w:pStyle w:val="30"/>
        <w:tabs>
          <w:tab w:val="left" w:pos="960"/>
        </w:tabs>
        <w:rPr>
          <w:rFonts w:ascii="仿宋" w:eastAsia="仿宋" w:hint="eastAsia"/>
          <w:color w:val="000000"/>
          <w:sz w:val="32"/>
          <w:szCs w:val="32"/>
          <w:lang w:eastAsia="zh-CN"/>
        </w:rPr>
      </w:pPr>
    </w:p>
    <w:p>
      <w:pPr>
        <w:pStyle w:val="30"/>
        <w:tabs>
          <w:tab w:val="left" w:pos="960"/>
        </w:tabs>
        <w:rPr>
          <w:rFonts w:ascii="仿宋" w:eastAsia="仿宋" w:hint="eastAsia"/>
          <w:color w:val="000000"/>
          <w:sz w:val="32"/>
          <w:szCs w:val="32"/>
          <w:lang w:eastAsia="zh-CN"/>
        </w:rPr>
      </w:pPr>
    </w:p>
    <w:p>
      <w:pPr>
        <w:pStyle w:val="30"/>
        <w:tabs>
          <w:tab w:val="left" w:pos="960"/>
        </w:tabs>
        <w:rPr>
          <w:rFonts w:ascii="仿宋" w:eastAsia="仿宋" w:hint="eastAsia"/>
          <w:color w:val="000000"/>
          <w:sz w:val="32"/>
          <w:szCs w:val="32"/>
          <w:lang w:eastAsia="zh-CN"/>
        </w:rPr>
      </w:pPr>
    </w:p>
    <w:p>
      <w:pPr>
        <w:pStyle w:val="30"/>
        <w:tabs>
          <w:tab w:val="left" w:pos="960"/>
        </w:tabs>
        <w:rPr>
          <w:rFonts w:ascii="仿宋" w:eastAsia="仿宋" w:hint="eastAsia"/>
          <w:color w:val="000000"/>
          <w:sz w:val="32"/>
          <w:szCs w:val="32"/>
          <w:lang w:eastAsia="zh-CN"/>
        </w:rPr>
      </w:pPr>
    </w:p>
    <w:p>
      <w:pPr>
        <w:pStyle w:val="30"/>
        <w:tabs>
          <w:tab w:val="left" w:pos="960"/>
        </w:tabs>
        <w:rPr>
          <w:rFonts w:ascii="仿宋" w:eastAsia="仿宋" w:hint="eastAsia"/>
          <w:color w:val="000000"/>
          <w:sz w:val="32"/>
          <w:szCs w:val="32"/>
          <w:lang w:val="en-US" w:eastAsia="zh-CN"/>
        </w:rPr>
      </w:pPr>
    </w:p>
    <w:p>
      <w:pPr>
        <w:spacing w:line="600" w:lineRule="exact"/>
        <w:ind w:firstLineChars="200" w:firstLine="640"/>
        <w:jc w:val="left"/>
        <w:rPr>
          <w:rFonts w:ascii="仿宋_GB2312" w:eastAsia="仿宋_GB2312" w:hint="eastAsia"/>
          <w:color w:val="000000"/>
          <w:sz w:val="32"/>
          <w:szCs w:val="32"/>
          <w:lang w:val="en-US" w:eastAsia="zh-CN"/>
        </w:rPr>
      </w:pPr>
      <w:r>
        <w:rPr>
          <w:rFonts w:ascii="仿宋_GB2312" w:eastAsia="仿宋_GB2312" w:hint="eastAsia"/>
          <w:color w:val="000000"/>
          <w:sz w:val="32"/>
          <w:szCs w:val="32"/>
          <w:lang w:val="en-US" w:eastAsia="zh-CN"/>
        </w:rPr>
        <w:t xml:space="preserve"> </w:t>
      </w:r>
    </w:p>
    <w:p>
      <w:pPr>
        <w:pStyle w:val="30"/>
        <w:tabs>
          <w:tab w:val="left" w:pos="960"/>
        </w:tabs>
        <w:rPr>
          <w:rFonts w:ascii="仿宋_GB2312" w:eastAsia="仿宋_GB2312" w:hint="eastAsia"/>
          <w:color w:val="000000"/>
          <w:sz w:val="32"/>
          <w:szCs w:val="32"/>
          <w:lang w:val="en-US" w:eastAsia="zh-CN"/>
        </w:rPr>
      </w:pPr>
      <w:r>
        <w:drawing>
          <wp:anchor distT="0" distB="0" distL="114300" distR="114300" simplePos="0" relativeHeight="6" behindDoc="1" locked="0" layoutInCell="1" hidden="0" allowOverlap="1">
            <wp:simplePos x="0" y="0"/>
            <wp:positionH relativeFrom="column">
              <wp:posOffset>396875</wp:posOffset>
            </wp:positionH>
            <wp:positionV relativeFrom="paragraph">
              <wp:posOffset>93980</wp:posOffset>
            </wp:positionV>
            <wp:extent cx="4685665" cy="2250440"/>
            <wp:effectExtent l="0" t="0" r="0" b="0"/>
            <wp:wrapNone/>
            <wp:docPr id="2" name="图表 2"/>
            <wp:cNvGraphicFramePr>
              <a:graphicFrameLocks noChangeAspect="0"/>
            </wp:cNvGraphicFramePr>
            <a:graphic>
              <a:graphicData uri="http://schemas.openxmlformats.org/drawingml/2006/chart">
                <c:chart xmlns:c="http://schemas.openxmlformats.org/drawingml/2006/chart" r:id="rId6"/>
              </a:graphicData>
            </a:graphic>
          </wp:anchor>
        </w:drawing>
      </w:r>
    </w:p>
    <w:p>
      <w:pPr>
        <w:pStyle w:val="30"/>
        <w:tabs>
          <w:tab w:val="left" w:pos="960"/>
        </w:tabs>
        <w:rPr>
          <w:rFonts w:ascii="仿宋_GB2312" w:eastAsia="仿宋_GB2312" w:hint="eastAsia"/>
          <w:color w:val="000000"/>
          <w:sz w:val="32"/>
          <w:szCs w:val="32"/>
          <w:lang w:val="en-US" w:eastAsia="zh-CN"/>
        </w:rPr>
      </w:pPr>
    </w:p>
    <w:p>
      <w:pPr>
        <w:pStyle w:val="30"/>
        <w:tabs>
          <w:tab w:val="left" w:pos="960"/>
        </w:tabs>
        <w:rPr>
          <w:rFonts w:ascii="仿宋_GB2312" w:eastAsia="仿宋_GB2312" w:hint="eastAsia"/>
          <w:color w:val="000000"/>
          <w:sz w:val="32"/>
          <w:szCs w:val="32"/>
          <w:lang w:val="en-US" w:eastAsia="zh-CN"/>
        </w:rPr>
      </w:pPr>
    </w:p>
    <w:p>
      <w:pPr>
        <w:pStyle w:val="30"/>
        <w:tabs>
          <w:tab w:val="left" w:pos="960"/>
        </w:tabs>
        <w:rPr>
          <w:rFonts w:ascii="仿宋_GB2312" w:eastAsia="仿宋_GB2312" w:hint="eastAsia"/>
          <w:color w:val="000000"/>
          <w:sz w:val="32"/>
          <w:szCs w:val="32"/>
          <w:lang w:val="en-US" w:eastAsia="zh-CN"/>
        </w:rPr>
      </w:pPr>
    </w:p>
    <w:p>
      <w:pPr>
        <w:pStyle w:val="30"/>
        <w:tabs>
          <w:tab w:val="left" w:pos="960"/>
        </w:tabs>
        <w:rPr>
          <w:rFonts w:ascii="仿宋_GB2312" w:eastAsia="仿宋_GB2312" w:hint="eastAsia"/>
          <w:color w:val="000000"/>
          <w:sz w:val="32"/>
          <w:szCs w:val="32"/>
          <w:lang w:val="en-US" w:eastAsia="zh-CN"/>
        </w:rPr>
      </w:pPr>
    </w:p>
    <w:p>
      <w:pPr>
        <w:pStyle w:val="30"/>
        <w:tabs>
          <w:tab w:val="left" w:pos="960"/>
        </w:tabs>
        <w:rPr>
          <w:rFonts w:ascii="仿宋_GB2312" w:eastAsia="仿宋_GB2312" w:hint="eastAsia"/>
          <w:color w:val="000000"/>
          <w:sz w:val="32"/>
          <w:szCs w:val="32"/>
          <w:lang w:val="en-US" w:eastAsia="zh-CN"/>
        </w:rPr>
      </w:pPr>
    </w:p>
    <w:p>
      <w:pPr>
        <w:pStyle w:val="30"/>
        <w:tabs>
          <w:tab w:val="left" w:pos="960"/>
        </w:tabs>
        <w:rPr>
          <w:rFonts w:ascii="仿宋_GB2312" w:eastAsia="仿宋_GB2312" w:hint="eastAsia"/>
          <w:color w:val="000000"/>
          <w:sz w:val="32"/>
          <w:szCs w:val="32"/>
          <w:lang w:val="en-US" w:eastAsia="zh-CN"/>
        </w:rPr>
      </w:pPr>
    </w:p>
    <w:p>
      <w:pPr>
        <w:pStyle w:val="38"/>
        <w:numPr>
          <w:ilvl w:val="0"/>
          <w:numId w:val="1"/>
        </w:numPr>
        <w:spacing w:line="600" w:lineRule="exact"/>
        <w:ind w:firstLineChars="0"/>
        <w:outlineLvl w:val="1"/>
        <w:rPr>
          <w:rStyle w:val="2Char"/>
          <w:rFonts w:ascii="黑体" w:eastAsia="黑体"/>
          <w:b w:val="0"/>
        </w:rPr>
      </w:pPr>
      <w:bookmarkStart w:id="45" w:name="_Toc22783"/>
      <w:bookmarkStart w:id="46" w:name="_Toc15396604"/>
      <w:bookmarkStart w:id="47" w:name="_Toc79163611"/>
      <w:bookmarkStart w:id="48" w:name="_Toc15377206"/>
      <w:bookmarkStart w:id="49" w:name="_Toc4207"/>
      <w:r>
        <w:rPr>
          <w:rFonts w:ascii="黑体" w:eastAsia="黑体" w:hint="eastAsia"/>
          <w:color w:val="000000"/>
          <w:sz w:val="32"/>
          <w:szCs w:val="32"/>
        </w:rPr>
        <w:t>收</w:t>
      </w:r>
      <w:r>
        <w:rPr>
          <w:rStyle w:val="2Char"/>
          <w:rFonts w:ascii="黑体" w:eastAsia="黑体" w:hint="eastAsia"/>
          <w:b w:val="0"/>
        </w:rPr>
        <w:t>入决算情况说明</w:t>
      </w:r>
      <w:bookmarkEnd w:id="45"/>
      <w:bookmarkEnd w:id="46"/>
      <w:bookmarkEnd w:id="47"/>
      <w:bookmarkEnd w:id="48"/>
      <w:bookmarkEnd w:id="49"/>
    </w:p>
    <w:p>
      <w:pPr>
        <w:spacing w:line="600" w:lineRule="exact"/>
        <w:ind w:firstLineChars="200" w:firstLine="640"/>
        <w:rPr>
          <w:rFonts w:ascii="仿宋" w:eastAsia="仿宋"/>
          <w:color w:val="000000"/>
          <w:sz w:val="32"/>
          <w:szCs w:val="32"/>
        </w:rPr>
      </w:pPr>
      <w:r>
        <w:rPr>
          <w:rFonts w:ascii="仿宋" w:eastAsia="仿宋"/>
          <w:color w:val="000000"/>
          <w:sz w:val="32"/>
          <w:szCs w:val="32"/>
        </w:rPr>
        <w:t>2020</w:t>
      </w:r>
      <w:r>
        <w:rPr>
          <w:rFonts w:ascii="仿宋" w:eastAsia="仿宋" w:hint="eastAsia"/>
          <w:color w:val="000000"/>
          <w:sz w:val="32"/>
          <w:szCs w:val="32"/>
        </w:rPr>
        <w:t>年本年收入合计</w:t>
      </w:r>
      <w:r>
        <w:rPr>
          <w:rFonts w:ascii="仿宋" w:eastAsia="仿宋" w:hint="eastAsia"/>
          <w:color w:val="000000"/>
          <w:sz w:val="32"/>
          <w:szCs w:val="32"/>
          <w:lang w:val="en-US" w:eastAsia="zh-CN"/>
        </w:rPr>
        <w:t>160.69</w:t>
      </w:r>
      <w:r>
        <w:rPr>
          <w:rFonts w:ascii="仿宋" w:eastAsia="仿宋" w:hint="eastAsia"/>
          <w:color w:val="000000"/>
          <w:sz w:val="32"/>
          <w:szCs w:val="32"/>
        </w:rPr>
        <w:t>万元，其中：一般公共预算财政拨款收入</w:t>
      </w:r>
      <w:r>
        <w:rPr>
          <w:rFonts w:ascii="仿宋" w:eastAsia="仿宋" w:hint="eastAsia"/>
          <w:color w:val="000000"/>
          <w:sz w:val="32"/>
          <w:szCs w:val="32"/>
          <w:lang w:val="en-US" w:eastAsia="zh-CN"/>
        </w:rPr>
        <w:t>160.69</w:t>
      </w:r>
      <w:r>
        <w:rPr>
          <w:rFonts w:ascii="仿宋" w:eastAsia="仿宋" w:hint="eastAsia"/>
          <w:color w:val="000000"/>
          <w:sz w:val="32"/>
          <w:szCs w:val="32"/>
        </w:rPr>
        <w:t>万元，占</w:t>
      </w:r>
      <w:r>
        <w:rPr>
          <w:rFonts w:ascii="仿宋" w:eastAsia="仿宋" w:hint="eastAsia"/>
          <w:color w:val="000000"/>
          <w:sz w:val="32"/>
          <w:szCs w:val="32"/>
          <w:lang w:val="en-US" w:eastAsia="zh-CN"/>
        </w:rPr>
        <w:t>100</w:t>
      </w:r>
      <w:r>
        <w:rPr>
          <w:rFonts w:ascii="仿宋" w:eastAsia="仿宋"/>
          <w:color w:val="000000"/>
          <w:sz w:val="32"/>
          <w:szCs w:val="32"/>
        </w:rPr>
        <w:t>%</w:t>
      </w:r>
      <w:r>
        <w:rPr>
          <w:rFonts w:ascii="仿宋" w:eastAsia="仿宋" w:hint="eastAsia"/>
          <w:color w:val="000000"/>
          <w:sz w:val="32"/>
          <w:szCs w:val="32"/>
        </w:rPr>
        <w:t>；政府性基金预算财政拨款收入</w:t>
      </w:r>
      <w:r>
        <w:rPr>
          <w:rFonts w:ascii="仿宋" w:eastAsia="仿宋" w:hint="eastAsia"/>
          <w:color w:val="000000"/>
          <w:sz w:val="32"/>
          <w:szCs w:val="32"/>
          <w:lang w:val="en-US" w:eastAsia="zh-CN"/>
        </w:rPr>
        <w:t>0</w:t>
      </w:r>
      <w:r>
        <w:rPr>
          <w:rFonts w:ascii="仿宋" w:eastAsia="仿宋" w:hint="eastAsia"/>
          <w:color w:val="000000"/>
          <w:sz w:val="32"/>
          <w:szCs w:val="32"/>
        </w:rPr>
        <w:t>万元</w:t>
      </w:r>
      <w:r>
        <w:rPr>
          <w:rFonts w:ascii="仿宋" w:eastAsia="仿宋" w:hint="eastAsia"/>
          <w:color w:val="000000"/>
          <w:sz w:val="32"/>
          <w:szCs w:val="32"/>
          <w:lang w:eastAsia="zh-CN"/>
        </w:rPr>
        <w:t>，</w:t>
      </w:r>
      <w:r>
        <w:rPr>
          <w:rFonts w:ascii="仿宋" w:eastAsia="仿宋" w:hint="eastAsia"/>
          <w:color w:val="000000"/>
          <w:sz w:val="32"/>
          <w:szCs w:val="32"/>
          <w:lang w:val="en-US" w:eastAsia="zh-CN"/>
        </w:rPr>
        <w:t>占0%</w:t>
      </w:r>
      <w:r>
        <w:rPr>
          <w:rFonts w:ascii="仿宋" w:eastAsia="仿宋" w:hint="eastAsia"/>
          <w:color w:val="000000"/>
          <w:sz w:val="32"/>
          <w:szCs w:val="32"/>
        </w:rPr>
        <w:t>；上级补助收入</w:t>
      </w:r>
      <w:r>
        <w:rPr>
          <w:rFonts w:ascii="仿宋" w:eastAsia="仿宋" w:hint="eastAsia"/>
          <w:color w:val="000000"/>
          <w:sz w:val="32"/>
          <w:szCs w:val="32"/>
          <w:lang w:val="en-US" w:eastAsia="zh-CN"/>
        </w:rPr>
        <w:t>0</w:t>
      </w:r>
      <w:r>
        <w:rPr>
          <w:rFonts w:ascii="仿宋" w:eastAsia="仿宋" w:hint="eastAsia"/>
          <w:color w:val="000000"/>
          <w:sz w:val="32"/>
          <w:szCs w:val="32"/>
        </w:rPr>
        <w:t>万元</w:t>
      </w:r>
      <w:r>
        <w:rPr>
          <w:rFonts w:ascii="仿宋" w:eastAsia="仿宋" w:hint="eastAsia"/>
          <w:color w:val="000000"/>
          <w:sz w:val="32"/>
          <w:szCs w:val="32"/>
          <w:lang w:eastAsia="zh-CN"/>
        </w:rPr>
        <w:t>，</w:t>
      </w:r>
      <w:r>
        <w:rPr>
          <w:rFonts w:ascii="仿宋" w:eastAsia="仿宋" w:hint="eastAsia"/>
          <w:color w:val="000000"/>
          <w:sz w:val="32"/>
          <w:szCs w:val="32"/>
          <w:lang w:val="en-US" w:eastAsia="zh-CN"/>
        </w:rPr>
        <w:t>占0%</w:t>
      </w:r>
      <w:r>
        <w:rPr>
          <w:rFonts w:ascii="仿宋" w:eastAsia="仿宋" w:hint="eastAsia"/>
          <w:color w:val="000000"/>
          <w:sz w:val="32"/>
          <w:szCs w:val="32"/>
        </w:rPr>
        <w:t>；事业收入</w:t>
      </w:r>
      <w:r>
        <w:rPr>
          <w:rFonts w:ascii="仿宋" w:eastAsia="仿宋" w:hint="eastAsia"/>
          <w:color w:val="000000"/>
          <w:sz w:val="32"/>
          <w:szCs w:val="32"/>
          <w:lang w:val="en-US" w:eastAsia="zh-CN"/>
        </w:rPr>
        <w:t>0</w:t>
      </w:r>
      <w:r>
        <w:rPr>
          <w:rFonts w:ascii="仿宋" w:eastAsia="仿宋" w:hint="eastAsia"/>
          <w:color w:val="000000"/>
          <w:sz w:val="32"/>
          <w:szCs w:val="32"/>
        </w:rPr>
        <w:t>万元</w:t>
      </w:r>
      <w:r>
        <w:rPr>
          <w:rFonts w:ascii="仿宋" w:eastAsia="仿宋" w:hint="eastAsia"/>
          <w:color w:val="000000"/>
          <w:sz w:val="32"/>
          <w:szCs w:val="32"/>
          <w:lang w:eastAsia="zh-CN"/>
        </w:rPr>
        <w:t>，</w:t>
      </w:r>
      <w:r>
        <w:rPr>
          <w:rFonts w:ascii="仿宋" w:eastAsia="仿宋" w:hint="eastAsia"/>
          <w:color w:val="000000"/>
          <w:sz w:val="32"/>
          <w:szCs w:val="32"/>
          <w:lang w:val="en-US" w:eastAsia="zh-CN"/>
        </w:rPr>
        <w:t>占0%</w:t>
      </w:r>
      <w:r>
        <w:rPr>
          <w:rFonts w:ascii="仿宋" w:eastAsia="仿宋" w:hint="eastAsia"/>
          <w:color w:val="000000"/>
          <w:sz w:val="32"/>
          <w:szCs w:val="32"/>
        </w:rPr>
        <w:t>；经营收入</w:t>
      </w:r>
      <w:r>
        <w:rPr>
          <w:rFonts w:ascii="仿宋" w:eastAsia="仿宋" w:hint="eastAsia"/>
          <w:color w:val="000000"/>
          <w:sz w:val="32"/>
          <w:szCs w:val="32"/>
          <w:lang w:val="en-US" w:eastAsia="zh-CN"/>
        </w:rPr>
        <w:t>0</w:t>
      </w:r>
      <w:r>
        <w:rPr>
          <w:rFonts w:ascii="仿宋" w:eastAsia="仿宋" w:hint="eastAsia"/>
          <w:color w:val="000000"/>
          <w:sz w:val="32"/>
          <w:szCs w:val="32"/>
        </w:rPr>
        <w:t>万元</w:t>
      </w:r>
      <w:r>
        <w:rPr>
          <w:rFonts w:ascii="仿宋" w:eastAsia="仿宋" w:hint="eastAsia"/>
          <w:color w:val="000000"/>
          <w:sz w:val="32"/>
          <w:szCs w:val="32"/>
          <w:lang w:eastAsia="zh-CN"/>
        </w:rPr>
        <w:t>，</w:t>
      </w:r>
      <w:r>
        <w:rPr>
          <w:rFonts w:ascii="仿宋" w:eastAsia="仿宋" w:hint="eastAsia"/>
          <w:color w:val="000000"/>
          <w:sz w:val="32"/>
          <w:szCs w:val="32"/>
          <w:lang w:val="en-US" w:eastAsia="zh-CN"/>
        </w:rPr>
        <w:t>占0%</w:t>
      </w:r>
      <w:r>
        <w:rPr>
          <w:rFonts w:ascii="仿宋" w:eastAsia="仿宋" w:hint="eastAsia"/>
          <w:color w:val="000000"/>
          <w:sz w:val="32"/>
          <w:szCs w:val="32"/>
        </w:rPr>
        <w:t>；附属单位上缴收入</w:t>
      </w:r>
      <w:r>
        <w:rPr>
          <w:rFonts w:ascii="仿宋" w:eastAsia="仿宋" w:hint="eastAsia"/>
          <w:color w:val="000000"/>
          <w:sz w:val="32"/>
          <w:szCs w:val="32"/>
          <w:lang w:val="en-US" w:eastAsia="zh-CN"/>
        </w:rPr>
        <w:t>0</w:t>
      </w:r>
      <w:r>
        <w:rPr>
          <w:rFonts w:ascii="仿宋" w:eastAsia="仿宋" w:hint="eastAsia"/>
          <w:color w:val="000000"/>
          <w:sz w:val="32"/>
          <w:szCs w:val="32"/>
        </w:rPr>
        <w:t>万元</w:t>
      </w:r>
      <w:r>
        <w:rPr>
          <w:rFonts w:ascii="仿宋" w:eastAsia="仿宋" w:hint="eastAsia"/>
          <w:color w:val="000000"/>
          <w:sz w:val="32"/>
          <w:szCs w:val="32"/>
          <w:lang w:eastAsia="zh-CN"/>
        </w:rPr>
        <w:t>，</w:t>
      </w:r>
      <w:r>
        <w:rPr>
          <w:rFonts w:ascii="仿宋" w:eastAsia="仿宋" w:hint="eastAsia"/>
          <w:color w:val="000000"/>
          <w:sz w:val="32"/>
          <w:szCs w:val="32"/>
          <w:lang w:val="en-US" w:eastAsia="zh-CN"/>
        </w:rPr>
        <w:t>占0%</w:t>
      </w:r>
      <w:r>
        <w:rPr>
          <w:rFonts w:ascii="仿宋" w:eastAsia="仿宋" w:hint="eastAsia"/>
          <w:color w:val="000000"/>
          <w:sz w:val="32"/>
          <w:szCs w:val="32"/>
        </w:rPr>
        <w:t>；其他收入</w:t>
      </w:r>
      <w:r>
        <w:rPr>
          <w:rFonts w:ascii="仿宋" w:eastAsia="仿宋" w:hint="eastAsia"/>
          <w:color w:val="000000"/>
          <w:sz w:val="32"/>
          <w:szCs w:val="32"/>
          <w:lang w:val="en-US" w:eastAsia="zh-CN"/>
        </w:rPr>
        <w:t>0</w:t>
      </w:r>
      <w:r>
        <w:rPr>
          <w:rFonts w:ascii="仿宋" w:eastAsia="仿宋" w:hint="eastAsia"/>
          <w:color w:val="000000"/>
          <w:sz w:val="32"/>
          <w:szCs w:val="32"/>
        </w:rPr>
        <w:t>万元</w:t>
      </w:r>
      <w:r>
        <w:rPr>
          <w:rFonts w:ascii="仿宋" w:eastAsia="仿宋" w:hint="eastAsia"/>
          <w:color w:val="000000"/>
          <w:sz w:val="32"/>
          <w:szCs w:val="32"/>
          <w:lang w:eastAsia="zh-CN"/>
        </w:rPr>
        <w:t>，</w:t>
      </w:r>
      <w:r>
        <w:rPr>
          <w:rFonts w:ascii="仿宋" w:eastAsia="仿宋" w:hint="eastAsia"/>
          <w:color w:val="000000"/>
          <w:sz w:val="32"/>
          <w:szCs w:val="32"/>
          <w:lang w:val="en-US" w:eastAsia="zh-CN"/>
        </w:rPr>
        <w:t>占0%</w:t>
      </w:r>
      <w:r>
        <w:rPr>
          <w:rFonts w:ascii="仿宋" w:eastAsia="仿宋" w:hint="eastAsia"/>
          <w:color w:val="000000"/>
          <w:sz w:val="32"/>
          <w:szCs w:val="32"/>
        </w:rPr>
        <w:t>。</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（图</w:t>
      </w:r>
      <w:r>
        <w:rPr>
          <w:rFonts w:ascii="仿宋" w:eastAsia="仿宋"/>
          <w:color w:val="000000"/>
          <w:sz w:val="32"/>
          <w:szCs w:val="32"/>
        </w:rPr>
        <w:t>2</w:t>
      </w:r>
      <w:r>
        <w:rPr>
          <w:rFonts w:ascii="仿宋" w:eastAsia="仿宋" w:hint="eastAsia"/>
          <w:color w:val="000000"/>
          <w:sz w:val="32"/>
          <w:szCs w:val="32"/>
        </w:rPr>
        <w:t>：收入决算结构图）（饼状图）</w:t>
      </w:r>
    </w:p>
    <w:p>
      <w:pPr>
        <w:spacing w:line="600" w:lineRule="exact"/>
        <w:ind w:firstLineChars="200" w:firstLine="420"/>
        <w:rPr>
          <w:rFonts w:ascii="仿宋_GB2312" w:eastAsia="仿宋_GB2312"/>
          <w:color w:val="FF0000"/>
          <w:sz w:val="32"/>
          <w:szCs w:val="32"/>
        </w:rPr>
      </w:pPr>
      <w:r>
        <w:drawing>
          <wp:anchor distT="0" distB="0" distL="114300" distR="114300" simplePos="0" relativeHeight="2" behindDoc="1" locked="0" layoutInCell="1" hidden="0" allowOverlap="1">
            <wp:simplePos x="0" y="0"/>
            <wp:positionH relativeFrom="column">
              <wp:posOffset>410844</wp:posOffset>
            </wp:positionH>
            <wp:positionV relativeFrom="paragraph">
              <wp:posOffset>171450</wp:posOffset>
            </wp:positionV>
            <wp:extent cx="5271770" cy="2577465"/>
            <wp:effectExtent l="0" t="0" r="0" b="0"/>
            <wp:wrapNone/>
            <wp:docPr id="3" name="图表 4"/>
            <wp:cNvGraphicFramePr>
              <a:graphicFrameLocks noChangeAspect="0"/>
            </wp:cNvGraphicFramePr>
            <a:graphic>
              <a:graphicData uri="http://schemas.openxmlformats.org/drawingml/2006/chart">
                <c:chart xmlns:c="http://schemas.openxmlformats.org/drawingml/2006/chart" r:id="rId7"/>
              </a:graphicData>
            </a:graphic>
          </wp:anchor>
        </w:drawing>
      </w: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pStyle w:val="38"/>
        <w:numPr>
          <w:ilvl w:val="0"/>
          <w:numId w:val="1"/>
        </w:numPr>
        <w:spacing w:line="600" w:lineRule="exact"/>
        <w:ind w:firstLineChars="0"/>
        <w:outlineLvl w:val="1"/>
        <w:rPr>
          <w:rStyle w:val="2Char"/>
          <w:rFonts w:ascii="黑体" w:eastAsia="黑体"/>
          <w:b w:val="0"/>
        </w:rPr>
      </w:pPr>
      <w:bookmarkStart w:id="50" w:name="_Toc79163612"/>
      <w:bookmarkStart w:id="51" w:name="_Toc15396605"/>
      <w:bookmarkStart w:id="52" w:name="_Toc30618"/>
      <w:bookmarkStart w:id="53" w:name="_Toc15377207"/>
      <w:bookmarkStart w:id="54" w:name="_Toc8709"/>
      <w:r>
        <w:rPr>
          <w:rFonts w:ascii="黑体" w:eastAsia="黑体" w:hint="eastAsia"/>
          <w:color w:val="000000"/>
          <w:sz w:val="32"/>
          <w:szCs w:val="32"/>
        </w:rPr>
        <w:t>支</w:t>
      </w:r>
      <w:r>
        <w:rPr>
          <w:rStyle w:val="2Char"/>
          <w:rFonts w:ascii="黑体" w:eastAsia="黑体" w:hint="eastAsia"/>
          <w:b w:val="0"/>
        </w:rPr>
        <w:t>出决算情况说明</w:t>
      </w:r>
      <w:bookmarkEnd w:id="50"/>
      <w:bookmarkEnd w:id="51"/>
      <w:bookmarkEnd w:id="52"/>
      <w:bookmarkEnd w:id="53"/>
      <w:bookmarkEnd w:id="54"/>
    </w:p>
    <w:p>
      <w:pPr>
        <w:spacing w:line="600" w:lineRule="exact"/>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年本年支出合计</w:t>
      </w:r>
      <w:r>
        <w:rPr>
          <w:rFonts w:ascii="仿宋" w:eastAsia="仿宋" w:hint="eastAsia"/>
          <w:color w:val="000000"/>
          <w:sz w:val="32"/>
          <w:szCs w:val="32"/>
          <w:lang w:val="en-US" w:eastAsia="zh-CN"/>
        </w:rPr>
        <w:t>166.43</w:t>
      </w:r>
      <w:r>
        <w:rPr>
          <w:rFonts w:ascii="仿宋_GB2312" w:eastAsia="仿宋_GB2312" w:hint="eastAsia"/>
          <w:sz w:val="32"/>
          <w:szCs w:val="32"/>
        </w:rPr>
        <w:t>万元，其中：基本支出112.08万元，占</w:t>
      </w:r>
      <w:r>
        <w:rPr>
          <w:rFonts w:ascii="仿宋_GB2312" w:hAnsi="仿宋_GB2312" w:hint="eastAsia"/>
          <w:color w:val="auto"/>
          <w:sz w:val="32"/>
          <w:szCs w:val="32"/>
          <w:lang w:val="en-US" w:eastAsia="zh-CN"/>
        </w:rPr>
        <w:t>67.34</w:t>
      </w:r>
      <w:r>
        <w:rPr>
          <w:rFonts w:ascii="仿宋_GB2312" w:eastAsia="仿宋_GB2312"/>
          <w:sz w:val="32"/>
          <w:szCs w:val="32"/>
        </w:rPr>
        <w:t>%</w:t>
      </w:r>
      <w:r>
        <w:rPr>
          <w:rFonts w:ascii="仿宋_GB2312" w:eastAsia="仿宋_GB2312" w:hint="eastAsia"/>
          <w:sz w:val="32"/>
          <w:szCs w:val="32"/>
        </w:rPr>
        <w:t>；项目支出54.35万元，占</w:t>
      </w:r>
      <w:r>
        <w:rPr>
          <w:rFonts w:ascii="仿宋_GB2312" w:hAnsi="仿宋_GB2312" w:hint="eastAsia"/>
          <w:color w:val="auto"/>
          <w:sz w:val="32"/>
          <w:szCs w:val="32"/>
          <w:lang w:val="en-US" w:eastAsia="zh-CN"/>
        </w:rPr>
        <w:t>32.66%</w:t>
      </w:r>
      <w:r>
        <w:rPr>
          <w:rFonts w:ascii="仿宋_GB2312" w:eastAsia="仿宋_GB2312" w:hint="eastAsia"/>
          <w:sz w:val="32"/>
          <w:szCs w:val="32"/>
        </w:rPr>
        <w:t>；上缴上级支出</w:t>
      </w:r>
      <w:r>
        <w:rPr>
          <w:rFonts w:ascii="仿宋_GB2312" w:eastAsia="仿宋_GB2312" w:hint="eastAsia"/>
          <w:sz w:val="32"/>
          <w:szCs w:val="32"/>
          <w:lang w:val="en-US" w:eastAsia="zh-CN"/>
        </w:rPr>
        <w:t>0</w:t>
      </w:r>
      <w:r>
        <w:rPr>
          <w:rFonts w:ascii="仿宋_GB2312" w:eastAsia="仿宋_GB2312" w:hint="eastAsia"/>
          <w:sz w:val="32"/>
          <w:szCs w:val="32"/>
        </w:rPr>
        <w:t>万元</w:t>
      </w:r>
      <w:r>
        <w:rPr>
          <w:rFonts w:ascii="仿宋" w:eastAsia="仿宋" w:hint="eastAsia"/>
          <w:color w:val="000000"/>
          <w:sz w:val="32"/>
          <w:szCs w:val="32"/>
          <w:lang w:eastAsia="zh-CN"/>
        </w:rPr>
        <w:t>，</w:t>
      </w:r>
      <w:r>
        <w:rPr>
          <w:rFonts w:ascii="仿宋" w:eastAsia="仿宋" w:hint="eastAsia"/>
          <w:color w:val="000000"/>
          <w:sz w:val="32"/>
          <w:szCs w:val="32"/>
          <w:lang w:val="en-US" w:eastAsia="zh-CN"/>
        </w:rPr>
        <w:t>占0%</w:t>
      </w:r>
      <w:r>
        <w:rPr>
          <w:rFonts w:ascii="仿宋_GB2312" w:eastAsia="仿宋_GB2312" w:hint="eastAsia"/>
          <w:sz w:val="32"/>
          <w:szCs w:val="32"/>
        </w:rPr>
        <w:t>；经营支出</w:t>
      </w:r>
      <w:r>
        <w:rPr>
          <w:rFonts w:ascii="仿宋_GB2312" w:eastAsia="仿宋_GB2312" w:hint="eastAsia"/>
          <w:sz w:val="32"/>
          <w:szCs w:val="32"/>
          <w:lang w:val="en-US" w:eastAsia="zh-CN"/>
        </w:rPr>
        <w:t>0</w:t>
      </w:r>
      <w:r>
        <w:rPr>
          <w:rFonts w:ascii="仿宋_GB2312" w:eastAsia="仿宋_GB2312" w:hint="eastAsia"/>
          <w:sz w:val="32"/>
          <w:szCs w:val="32"/>
        </w:rPr>
        <w:t>万元</w:t>
      </w:r>
      <w:r>
        <w:rPr>
          <w:rFonts w:ascii="仿宋" w:eastAsia="仿宋" w:hint="eastAsia"/>
          <w:color w:val="000000"/>
          <w:sz w:val="32"/>
          <w:szCs w:val="32"/>
          <w:lang w:eastAsia="zh-CN"/>
        </w:rPr>
        <w:t>，</w:t>
      </w:r>
      <w:r>
        <w:rPr>
          <w:rFonts w:ascii="仿宋" w:eastAsia="仿宋" w:hint="eastAsia"/>
          <w:color w:val="000000"/>
          <w:sz w:val="32"/>
          <w:szCs w:val="32"/>
          <w:lang w:val="en-US" w:eastAsia="zh-CN"/>
        </w:rPr>
        <w:t>占0%</w:t>
      </w:r>
      <w:r>
        <w:rPr>
          <w:rFonts w:ascii="仿宋_GB2312" w:eastAsia="仿宋_GB2312" w:hint="eastAsia"/>
          <w:sz w:val="32"/>
          <w:szCs w:val="32"/>
        </w:rPr>
        <w:t>；对附属单位补助支出</w:t>
      </w:r>
      <w:r>
        <w:rPr>
          <w:rFonts w:ascii="仿宋_GB2312" w:eastAsia="仿宋_GB2312" w:hint="eastAsia"/>
          <w:sz w:val="32"/>
          <w:szCs w:val="32"/>
          <w:lang w:val="en-US" w:eastAsia="zh-CN"/>
        </w:rPr>
        <w:t>0</w:t>
      </w:r>
      <w:r>
        <w:rPr>
          <w:rFonts w:ascii="仿宋_GB2312" w:eastAsia="仿宋_GB2312" w:hint="eastAsia"/>
          <w:sz w:val="32"/>
          <w:szCs w:val="32"/>
        </w:rPr>
        <w:t>万元</w:t>
      </w:r>
      <w:r>
        <w:rPr>
          <w:rFonts w:ascii="仿宋" w:eastAsia="仿宋" w:hint="eastAsia"/>
          <w:color w:val="000000"/>
          <w:sz w:val="32"/>
          <w:szCs w:val="32"/>
          <w:lang w:eastAsia="zh-CN"/>
        </w:rPr>
        <w:t>，</w:t>
      </w:r>
      <w:r>
        <w:rPr>
          <w:rFonts w:ascii="仿宋" w:eastAsia="仿宋" w:hint="eastAsia"/>
          <w:color w:val="000000"/>
          <w:sz w:val="32"/>
          <w:szCs w:val="32"/>
          <w:lang w:val="en-US" w:eastAsia="zh-CN"/>
        </w:rPr>
        <w:t>占0%</w:t>
      </w:r>
      <w:r>
        <w:rPr>
          <w:rFonts w:ascii="仿宋_GB2312" w:eastAsia="仿宋_GB2312" w:hint="eastAsia"/>
          <w:sz w:val="32"/>
          <w:szCs w:val="32"/>
        </w:rPr>
        <w:t>。</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（图</w:t>
      </w:r>
      <w:r>
        <w:rPr>
          <w:rFonts w:ascii="仿宋" w:eastAsia="仿宋"/>
          <w:color w:val="000000"/>
          <w:sz w:val="32"/>
          <w:szCs w:val="32"/>
        </w:rPr>
        <w:t>3</w:t>
      </w:r>
      <w:r>
        <w:rPr>
          <w:rFonts w:ascii="仿宋" w:eastAsia="仿宋" w:hint="eastAsia"/>
          <w:color w:val="000000"/>
          <w:sz w:val="32"/>
          <w:szCs w:val="32"/>
        </w:rPr>
        <w:t>：支出决算结构图）（饼状图）</w:t>
      </w:r>
    </w:p>
    <w:p>
      <w:pPr>
        <w:spacing w:line="600" w:lineRule="exact"/>
        <w:ind w:firstLineChars="200" w:firstLine="640"/>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r>
        <w:drawing>
          <wp:anchor distT="0" distB="0" distL="114300" distR="114300" simplePos="0" relativeHeight="8" behindDoc="1" locked="0" layoutInCell="1" hidden="0" allowOverlap="1">
            <wp:simplePos x="0" y="0"/>
            <wp:positionH relativeFrom="column">
              <wp:posOffset>502919</wp:posOffset>
            </wp:positionH>
            <wp:positionV relativeFrom="paragraph">
              <wp:posOffset>6350</wp:posOffset>
            </wp:positionV>
            <wp:extent cx="4140199" cy="2084705"/>
            <wp:effectExtent l="0" t="0" r="0" b="0"/>
            <wp:wrapNone/>
            <wp:docPr id="4" name="图表 5"/>
            <wp:cNvGraphicFramePr>
              <a:graphicFrameLocks noChangeAspect="0"/>
            </wp:cNvGraphicFramePr>
            <a:graphic>
              <a:graphicData uri="http://schemas.openxmlformats.org/drawingml/2006/chart">
                <c:chart xmlns:c="http://schemas.openxmlformats.org/drawingml/2006/chart" r:id="rId8"/>
              </a:graphicData>
            </a:graphic>
          </wp:anchor>
        </w:drawing>
      </w: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pStyle w:val="30"/>
        <w:tabs>
          <w:tab w:val="left" w:pos="960"/>
        </w:tabs>
        <w:rPr>
          <w:rFonts w:ascii="仿宋_GB2312" w:eastAsia="仿宋_GB2312"/>
          <w:color w:val="FF0000"/>
          <w:sz w:val="32"/>
          <w:szCs w:val="32"/>
        </w:rPr>
      </w:pPr>
    </w:p>
    <w:p>
      <w:pPr>
        <w:spacing w:line="600" w:lineRule="exact"/>
        <w:ind w:firstLineChars="200" w:firstLine="640"/>
        <w:outlineLvl w:val="1"/>
        <w:rPr>
          <w:rStyle w:val="2Char"/>
          <w:rFonts w:ascii="黑体" w:eastAsia="黑体"/>
          <w:b w:val="0"/>
        </w:rPr>
      </w:pPr>
      <w:bookmarkStart w:id="55" w:name="_Toc15396606"/>
      <w:bookmarkStart w:id="56" w:name="_Toc5455"/>
      <w:bookmarkStart w:id="57" w:name="_Toc79163613"/>
      <w:bookmarkStart w:id="58" w:name="_Toc17733"/>
      <w:bookmarkStart w:id="59" w:name="_Toc15377208"/>
      <w:r>
        <w:rPr>
          <w:rFonts w:ascii="黑体" w:eastAsia="黑体" w:hint="eastAsia"/>
          <w:color w:val="000000"/>
          <w:sz w:val="32"/>
          <w:szCs w:val="32"/>
        </w:rPr>
        <w:t>四、财</w:t>
      </w:r>
      <w:r>
        <w:rPr>
          <w:rStyle w:val="2Char"/>
          <w:rFonts w:ascii="黑体" w:eastAsia="黑体" w:hint="eastAsia"/>
          <w:b w:val="0"/>
        </w:rPr>
        <w:t>政拨款收入支出决算总体情况说明</w:t>
      </w:r>
      <w:bookmarkEnd w:id="55"/>
      <w:bookmarkEnd w:id="56"/>
      <w:bookmarkEnd w:id="57"/>
      <w:bookmarkEnd w:id="58"/>
      <w:bookmarkEnd w:id="59"/>
    </w:p>
    <w:p>
      <w:pPr>
        <w:spacing w:line="600" w:lineRule="exact"/>
        <w:ind w:firstLineChars="200" w:firstLine="640"/>
        <w:rPr>
          <w:rFonts w:ascii="仿宋" w:eastAsia="仿宋" w:hint="eastAsia"/>
          <w:color w:val="000000"/>
          <w:sz w:val="32"/>
          <w:szCs w:val="32"/>
          <w:lang w:eastAsia="zh-CN"/>
        </w:rPr>
      </w:pPr>
      <w:r>
        <w:rPr>
          <w:rFonts w:ascii="仿宋" w:eastAsia="仿宋"/>
          <w:color w:val="000000"/>
          <w:sz w:val="32"/>
          <w:szCs w:val="32"/>
        </w:rPr>
        <w:t>2020</w:t>
      </w:r>
      <w:r>
        <w:rPr>
          <w:rFonts w:ascii="仿宋" w:eastAsia="仿宋" w:hint="eastAsia"/>
          <w:color w:val="000000"/>
          <w:sz w:val="32"/>
          <w:szCs w:val="32"/>
        </w:rPr>
        <w:t>年财政拨款收</w:t>
      </w:r>
      <w:r>
        <w:rPr>
          <w:rFonts w:ascii="仿宋" w:eastAsia="仿宋" w:hint="eastAsia"/>
          <w:color w:val="000000"/>
          <w:sz w:val="32"/>
          <w:szCs w:val="32"/>
          <w:lang w:val="en-US" w:eastAsia="zh-CN"/>
        </w:rPr>
        <w:t>入</w:t>
      </w:r>
      <w:r>
        <w:rPr>
          <w:rFonts w:ascii="仿宋" w:eastAsia="仿宋" w:hint="eastAsia"/>
          <w:color w:val="000000"/>
          <w:sz w:val="32"/>
          <w:szCs w:val="32"/>
        </w:rPr>
        <w:t>总计</w:t>
      </w:r>
      <w:r>
        <w:rPr>
          <w:rFonts w:ascii="仿宋" w:eastAsia="仿宋" w:hint="eastAsia"/>
          <w:color w:val="000000"/>
          <w:sz w:val="32"/>
          <w:szCs w:val="32"/>
          <w:lang w:val="en-US" w:eastAsia="zh-CN"/>
        </w:rPr>
        <w:t>160.69</w:t>
      </w:r>
      <w:r>
        <w:rPr>
          <w:rFonts w:ascii="仿宋" w:eastAsia="仿宋" w:hint="eastAsia"/>
          <w:color w:val="000000"/>
          <w:sz w:val="32"/>
          <w:szCs w:val="32"/>
        </w:rPr>
        <w:t>万元。与</w:t>
      </w:r>
      <w:r>
        <w:rPr>
          <w:rFonts w:ascii="仿宋" w:eastAsia="仿宋"/>
          <w:color w:val="000000"/>
          <w:sz w:val="32"/>
          <w:szCs w:val="32"/>
        </w:rPr>
        <w:t>2019</w:t>
      </w:r>
      <w:r>
        <w:rPr>
          <w:rFonts w:ascii="仿宋" w:eastAsia="仿宋" w:hint="eastAsia"/>
          <w:color w:val="000000"/>
          <w:sz w:val="32"/>
          <w:szCs w:val="32"/>
        </w:rPr>
        <w:t>年相比，财政拨款收</w:t>
      </w:r>
      <w:r>
        <w:rPr>
          <w:rFonts w:ascii="仿宋" w:eastAsia="仿宋" w:hint="eastAsia"/>
          <w:color w:val="000000"/>
          <w:sz w:val="32"/>
          <w:szCs w:val="32"/>
          <w:lang w:val="en-US" w:eastAsia="zh-CN"/>
        </w:rPr>
        <w:t>入</w:t>
      </w:r>
      <w:r>
        <w:rPr>
          <w:rFonts w:ascii="仿宋" w:eastAsia="仿宋" w:hint="eastAsia"/>
          <w:color w:val="000000"/>
          <w:sz w:val="32"/>
          <w:szCs w:val="32"/>
        </w:rPr>
        <w:t>总计增加26.78万元，增长20.00</w:t>
      </w:r>
      <w:r>
        <w:rPr>
          <w:rFonts w:ascii="仿宋" w:eastAsia="仿宋"/>
          <w:color w:val="000000"/>
          <w:sz w:val="32"/>
          <w:szCs w:val="32"/>
        </w:rPr>
        <w:t>%</w:t>
      </w:r>
      <w:r>
        <w:rPr>
          <w:rFonts w:ascii="仿宋" w:eastAsia="仿宋" w:hint="eastAsia"/>
          <w:color w:val="000000"/>
          <w:sz w:val="32"/>
          <w:szCs w:val="32"/>
        </w:rPr>
        <w:t>。主要变动原因本年度业务量增加</w:t>
      </w:r>
      <w:r>
        <w:rPr>
          <w:rFonts w:ascii="仿宋" w:eastAsia="仿宋" w:hint="eastAsia"/>
          <w:color w:val="000000"/>
          <w:sz w:val="32"/>
          <w:szCs w:val="32"/>
          <w:lang w:eastAsia="zh-CN"/>
        </w:rPr>
        <w:t>。</w:t>
      </w:r>
    </w:p>
    <w:p>
      <w:pPr>
        <w:pStyle w:val="30"/>
        <w:tabs>
          <w:tab w:val="left" w:pos="960"/>
        </w:tabs>
        <w:rPr>
          <w:rFonts w:eastAsia="仿宋" w:hint="eastAsia"/>
          <w:lang w:eastAsia="zh-CN"/>
        </w:rPr>
      </w:pPr>
      <w:r>
        <w:rPr>
          <w:rFonts w:ascii="仿宋" w:eastAsia="仿宋"/>
          <w:color w:val="000000"/>
          <w:sz w:val="32"/>
          <w:szCs w:val="32"/>
        </w:rPr>
        <w:t>2020</w:t>
      </w:r>
      <w:r>
        <w:rPr>
          <w:rFonts w:ascii="仿宋" w:eastAsia="仿宋" w:hint="eastAsia"/>
          <w:color w:val="000000"/>
          <w:sz w:val="32"/>
          <w:szCs w:val="32"/>
        </w:rPr>
        <w:t>年财政拨款</w:t>
      </w:r>
      <w:r>
        <w:rPr>
          <w:rFonts w:ascii="仿宋" w:eastAsia="仿宋" w:hint="eastAsia"/>
          <w:color w:val="000000"/>
          <w:sz w:val="32"/>
          <w:szCs w:val="32"/>
          <w:lang w:val="en-US" w:eastAsia="zh-CN"/>
        </w:rPr>
        <w:t>支出</w:t>
      </w:r>
      <w:r>
        <w:rPr>
          <w:rFonts w:ascii="仿宋" w:eastAsia="仿宋" w:hint="eastAsia"/>
          <w:color w:val="000000"/>
          <w:sz w:val="32"/>
          <w:szCs w:val="32"/>
        </w:rPr>
        <w:t>总计</w:t>
      </w:r>
      <w:r>
        <w:rPr>
          <w:rFonts w:ascii="仿宋" w:eastAsia="仿宋" w:hint="eastAsia"/>
          <w:color w:val="000000"/>
          <w:sz w:val="32"/>
          <w:szCs w:val="32"/>
          <w:lang w:val="en-US" w:eastAsia="zh-CN"/>
        </w:rPr>
        <w:t>166.43</w:t>
      </w:r>
      <w:r>
        <w:rPr>
          <w:rFonts w:ascii="仿宋" w:eastAsia="仿宋" w:hint="eastAsia"/>
          <w:color w:val="000000"/>
          <w:sz w:val="32"/>
          <w:szCs w:val="32"/>
        </w:rPr>
        <w:t>万元。与</w:t>
      </w:r>
      <w:r>
        <w:rPr>
          <w:rFonts w:ascii="仿宋" w:eastAsia="仿宋"/>
          <w:color w:val="000000"/>
          <w:sz w:val="32"/>
          <w:szCs w:val="32"/>
        </w:rPr>
        <w:t>2019</w:t>
      </w:r>
      <w:r>
        <w:rPr>
          <w:rFonts w:ascii="仿宋" w:eastAsia="仿宋" w:hint="eastAsia"/>
          <w:color w:val="000000"/>
          <w:sz w:val="32"/>
          <w:szCs w:val="32"/>
        </w:rPr>
        <w:t>年相比，财政拨款</w:t>
      </w:r>
      <w:r>
        <w:rPr>
          <w:rFonts w:ascii="仿宋" w:eastAsia="仿宋" w:hint="eastAsia"/>
          <w:color w:val="000000"/>
          <w:sz w:val="32"/>
          <w:szCs w:val="32"/>
          <w:lang w:val="en-US" w:eastAsia="zh-CN"/>
        </w:rPr>
        <w:t>支出</w:t>
      </w:r>
      <w:r>
        <w:rPr>
          <w:rFonts w:ascii="仿宋" w:eastAsia="仿宋" w:hint="eastAsia"/>
          <w:color w:val="000000"/>
          <w:sz w:val="32"/>
          <w:szCs w:val="32"/>
        </w:rPr>
        <w:t>总计</w:t>
      </w:r>
      <w:r>
        <w:rPr>
          <w:rFonts w:ascii="仿宋" w:eastAsia="仿宋" w:hint="eastAsia"/>
          <w:color w:val="000000"/>
          <w:sz w:val="32"/>
          <w:szCs w:val="32"/>
          <w:lang w:val="en-US" w:eastAsia="zh-CN"/>
        </w:rPr>
        <w:t>增加41.22</w:t>
      </w:r>
      <w:r>
        <w:rPr>
          <w:rFonts w:ascii="仿宋" w:eastAsia="仿宋" w:hint="eastAsia"/>
          <w:color w:val="000000"/>
          <w:sz w:val="32"/>
          <w:szCs w:val="32"/>
        </w:rPr>
        <w:t>万元，</w:t>
      </w:r>
      <w:r>
        <w:rPr>
          <w:rFonts w:ascii="仿宋" w:eastAsia="仿宋" w:hint="eastAsia"/>
          <w:color w:val="000000"/>
          <w:sz w:val="32"/>
          <w:szCs w:val="32"/>
          <w:lang w:val="en-US" w:eastAsia="zh-CN"/>
        </w:rPr>
        <w:t>增长32.92</w:t>
      </w:r>
      <w:r>
        <w:rPr>
          <w:rFonts w:ascii="仿宋" w:eastAsia="仿宋"/>
          <w:color w:val="000000"/>
          <w:sz w:val="32"/>
          <w:szCs w:val="32"/>
        </w:rPr>
        <w:t>%</w:t>
      </w:r>
      <w:r>
        <w:rPr>
          <w:rFonts w:ascii="仿宋" w:eastAsia="仿宋" w:hint="eastAsia"/>
          <w:color w:val="000000"/>
          <w:sz w:val="32"/>
          <w:szCs w:val="32"/>
        </w:rPr>
        <w:t>。主要变动原因本年业务量增加，相应费用增加</w:t>
      </w:r>
      <w:r>
        <w:rPr>
          <w:rFonts w:ascii="仿宋" w:eastAsia="仿宋" w:hint="eastAsia"/>
          <w:color w:val="000000"/>
          <w:sz w:val="32"/>
          <w:szCs w:val="32"/>
          <w:lang w:eastAsia="zh-CN"/>
        </w:rPr>
        <w:t>。</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（图</w:t>
      </w:r>
      <w:r>
        <w:rPr>
          <w:rFonts w:ascii="仿宋" w:eastAsia="仿宋"/>
          <w:color w:val="000000"/>
          <w:sz w:val="32"/>
          <w:szCs w:val="32"/>
        </w:rPr>
        <w:t>4</w:t>
      </w:r>
      <w:r>
        <w:rPr>
          <w:rFonts w:ascii="仿宋" w:eastAsia="仿宋" w:hint="eastAsia"/>
          <w:color w:val="000000"/>
          <w:sz w:val="32"/>
          <w:szCs w:val="32"/>
        </w:rPr>
        <w:t>：财政拨款收、支决算总计变动情况）（柱状图）</w:t>
      </w:r>
    </w:p>
    <w:p>
      <w:pPr>
        <w:spacing w:line="600" w:lineRule="exact"/>
        <w:ind w:firstLine="640"/>
        <w:rPr>
          <w:rFonts w:ascii="仿宋" w:eastAsia="仿宋"/>
          <w:b/>
          <w:color w:val="00B050"/>
          <w:sz w:val="32"/>
          <w:szCs w:val="32"/>
        </w:rPr>
      </w:pPr>
      <w:r>
        <w:drawing>
          <wp:anchor distT="0" distB="0" distL="114300" distR="114300" simplePos="0" relativeHeight="10" behindDoc="1" locked="0" layoutInCell="1" hidden="0" allowOverlap="1">
            <wp:simplePos x="0" y="0"/>
            <wp:positionH relativeFrom="column">
              <wp:posOffset>495935</wp:posOffset>
            </wp:positionH>
            <wp:positionV relativeFrom="paragraph">
              <wp:posOffset>280670</wp:posOffset>
            </wp:positionV>
            <wp:extent cx="4208145" cy="2270760"/>
            <wp:effectExtent l="0" t="0" r="0" b="0"/>
            <wp:wrapNone/>
            <wp:docPr id="5" name="图表 6"/>
            <wp:cNvGraphicFramePr>
              <a:graphicFrameLocks noChangeAspect="0"/>
            </wp:cNvGraphicFramePr>
            <a:graphic>
              <a:graphicData uri="http://schemas.openxmlformats.org/drawingml/2006/chart">
                <c:chart xmlns:c="http://schemas.openxmlformats.org/drawingml/2006/chart" r:id="rId9"/>
              </a:graphicData>
            </a:graphic>
          </wp:anchor>
        </w:drawing>
      </w:r>
    </w:p>
    <w:p>
      <w:pPr>
        <w:pStyle w:val="30"/>
        <w:tabs>
          <w:tab w:val="left" w:pos="960"/>
        </w:tabs>
        <w:rPr>
          <w:rFonts w:ascii="仿宋" w:eastAsia="仿宋"/>
          <w:b/>
          <w:color w:val="00B050"/>
          <w:sz w:val="32"/>
          <w:szCs w:val="32"/>
        </w:rPr>
      </w:pPr>
    </w:p>
    <w:p>
      <w:pPr>
        <w:pStyle w:val="30"/>
        <w:tabs>
          <w:tab w:val="left" w:pos="960"/>
        </w:tabs>
        <w:rPr>
          <w:rFonts w:ascii="仿宋" w:eastAsia="仿宋"/>
          <w:b/>
          <w:color w:val="00B050"/>
          <w:sz w:val="32"/>
          <w:szCs w:val="32"/>
        </w:rPr>
      </w:pPr>
    </w:p>
    <w:p>
      <w:pPr>
        <w:pStyle w:val="30"/>
        <w:tabs>
          <w:tab w:val="left" w:pos="960"/>
        </w:tabs>
        <w:rPr>
          <w:rFonts w:ascii="仿宋" w:eastAsia="仿宋"/>
          <w:b/>
          <w:color w:val="00B050"/>
          <w:sz w:val="32"/>
          <w:szCs w:val="32"/>
        </w:rPr>
      </w:pPr>
    </w:p>
    <w:p>
      <w:pPr>
        <w:pStyle w:val="30"/>
        <w:tabs>
          <w:tab w:val="left" w:pos="960"/>
        </w:tabs>
        <w:rPr>
          <w:rFonts w:ascii="仿宋" w:eastAsia="仿宋"/>
          <w:b/>
          <w:color w:val="00B050"/>
          <w:sz w:val="32"/>
          <w:szCs w:val="32"/>
        </w:rPr>
      </w:pPr>
    </w:p>
    <w:p>
      <w:pPr>
        <w:pStyle w:val="30"/>
        <w:tabs>
          <w:tab w:val="left" w:pos="960"/>
        </w:tabs>
        <w:rPr>
          <w:rFonts w:ascii="仿宋" w:eastAsia="仿宋"/>
          <w:b/>
          <w:color w:val="00B050"/>
          <w:sz w:val="32"/>
          <w:szCs w:val="32"/>
        </w:rPr>
      </w:pPr>
    </w:p>
    <w:p>
      <w:pPr>
        <w:pStyle w:val="30"/>
        <w:tabs>
          <w:tab w:val="left" w:pos="960"/>
        </w:tabs>
        <w:rPr>
          <w:rFonts w:ascii="仿宋" w:eastAsia="仿宋"/>
          <w:b/>
          <w:color w:val="00B050"/>
          <w:sz w:val="32"/>
          <w:szCs w:val="32"/>
        </w:rPr>
      </w:pPr>
    </w:p>
    <w:p>
      <w:pPr>
        <w:pStyle w:val="30"/>
        <w:tabs>
          <w:tab w:val="left" w:pos="960"/>
        </w:tabs>
        <w:ind w:left="0" w:firstLineChars="0" w:firstLine="0"/>
        <w:rPr>
          <w:rFonts w:ascii="黑体" w:eastAsia="黑体" w:hint="eastAsia"/>
          <w:color w:val="000000"/>
          <w:sz w:val="32"/>
          <w:szCs w:val="32"/>
        </w:rPr>
      </w:pPr>
      <w:bookmarkStart w:id="60" w:name="_Toc9806"/>
      <w:bookmarkStart w:id="61" w:name="_Toc15396607"/>
      <w:bookmarkStart w:id="62" w:name="_Toc79163614"/>
      <w:bookmarkStart w:id="63" w:name="_Toc15377209"/>
    </w:p>
    <w:p>
      <w:pPr>
        <w:spacing w:line="600" w:lineRule="exact"/>
        <w:outlineLvl w:val="9"/>
        <w:rPr>
          <w:rFonts w:ascii="黑体" w:eastAsia="黑体" w:hint="eastAsia"/>
          <w:color w:val="000000"/>
          <w:sz w:val="32"/>
          <w:szCs w:val="32"/>
        </w:rPr>
      </w:pPr>
    </w:p>
    <w:p>
      <w:pPr>
        <w:spacing w:line="600" w:lineRule="exact"/>
        <w:outlineLvl w:val="9"/>
        <w:rPr>
          <w:rFonts w:ascii="黑体" w:eastAsia="黑体" w:hint="eastAsia"/>
          <w:color w:val="000000"/>
          <w:sz w:val="32"/>
          <w:szCs w:val="32"/>
        </w:rPr>
      </w:pPr>
      <w:r>
        <w:drawing>
          <wp:anchor distT="0" distB="0" distL="114300" distR="114300" simplePos="0" relativeHeight="12" behindDoc="1" locked="0" layoutInCell="1" hidden="0" allowOverlap="1">
            <wp:simplePos x="0" y="0"/>
            <wp:positionH relativeFrom="column">
              <wp:posOffset>347345</wp:posOffset>
            </wp:positionH>
            <wp:positionV relativeFrom="paragraph">
              <wp:posOffset>181610</wp:posOffset>
            </wp:positionV>
            <wp:extent cx="4656455" cy="2130425"/>
            <wp:effectExtent l="0" t="0" r="0" b="0"/>
            <wp:wrapNone/>
            <wp:docPr id="6" name="图表 7"/>
            <wp:cNvGraphicFramePr>
              <a:graphicFrameLocks noChangeAspect="0"/>
            </wp:cNvGraphicFramePr>
            <a:graphic>
              <a:graphicData uri="http://schemas.openxmlformats.org/drawingml/2006/chart">
                <c:chart xmlns:c="http://schemas.openxmlformats.org/drawingml/2006/chart" r:id="rId10"/>
              </a:graphicData>
            </a:graphic>
          </wp:anchor>
        </w:drawing>
      </w:r>
    </w:p>
    <w:p>
      <w:pPr>
        <w:spacing w:line="600" w:lineRule="exact"/>
        <w:ind w:firstLineChars="200" w:firstLine="640"/>
        <w:outlineLvl w:val="9"/>
        <w:rPr>
          <w:rFonts w:ascii="黑体" w:eastAsia="黑体" w:hint="eastAsia"/>
          <w:color w:val="000000"/>
          <w:sz w:val="32"/>
          <w:szCs w:val="32"/>
        </w:rPr>
      </w:pPr>
    </w:p>
    <w:p>
      <w:pPr>
        <w:spacing w:line="600" w:lineRule="exact"/>
        <w:ind w:firstLineChars="200" w:firstLine="640"/>
        <w:outlineLvl w:val="9"/>
        <w:rPr>
          <w:rFonts w:ascii="黑体" w:eastAsia="黑体" w:hint="eastAsia"/>
          <w:color w:val="000000"/>
          <w:sz w:val="32"/>
          <w:szCs w:val="32"/>
        </w:rPr>
      </w:pPr>
    </w:p>
    <w:p>
      <w:pPr>
        <w:pStyle w:val="30"/>
        <w:tabs>
          <w:tab w:val="left" w:pos="960"/>
        </w:tabs>
        <w:rPr>
          <w:rFonts w:ascii="黑体" w:eastAsia="黑体" w:hint="eastAsia"/>
          <w:color w:val="000000"/>
          <w:sz w:val="32"/>
          <w:szCs w:val="32"/>
        </w:rPr>
      </w:pPr>
    </w:p>
    <w:p>
      <w:pPr>
        <w:pStyle w:val="30"/>
        <w:tabs>
          <w:tab w:val="left" w:pos="960"/>
        </w:tabs>
        <w:rPr>
          <w:rFonts w:ascii="黑体" w:eastAsia="黑体" w:hint="eastAsia"/>
          <w:color w:val="000000"/>
          <w:sz w:val="32"/>
          <w:szCs w:val="32"/>
        </w:rPr>
      </w:pPr>
    </w:p>
    <w:p>
      <w:pPr>
        <w:pStyle w:val="30"/>
        <w:tabs>
          <w:tab w:val="left" w:pos="960"/>
        </w:tabs>
        <w:rPr>
          <w:rFonts w:ascii="黑体" w:eastAsia="黑体" w:hint="eastAsia"/>
          <w:color w:val="000000"/>
          <w:sz w:val="32"/>
          <w:szCs w:val="32"/>
        </w:rPr>
      </w:pPr>
    </w:p>
    <w:p>
      <w:pPr>
        <w:pStyle w:val="30"/>
        <w:tabs>
          <w:tab w:val="left" w:pos="960"/>
        </w:tabs>
        <w:rPr>
          <w:rFonts w:ascii="黑体" w:eastAsia="黑体" w:hint="eastAsia"/>
          <w:color w:val="000000"/>
          <w:sz w:val="32"/>
          <w:szCs w:val="32"/>
        </w:rPr>
      </w:pPr>
    </w:p>
    <w:p>
      <w:pPr>
        <w:pStyle w:val="30"/>
        <w:tabs>
          <w:tab w:val="left" w:pos="960"/>
        </w:tabs>
        <w:rPr>
          <w:rFonts w:ascii="黑体" w:eastAsia="黑体" w:hint="eastAsia"/>
          <w:color w:val="000000"/>
          <w:sz w:val="32"/>
          <w:szCs w:val="32"/>
        </w:rPr>
      </w:pPr>
    </w:p>
    <w:p>
      <w:pPr>
        <w:spacing w:line="600" w:lineRule="exact"/>
        <w:ind w:firstLineChars="200" w:firstLine="640"/>
        <w:outlineLvl w:val="1"/>
        <w:rPr>
          <w:rStyle w:val="2Char"/>
          <w:rFonts w:ascii="黑体" w:eastAsia="黑体"/>
          <w:b w:val="0"/>
        </w:rPr>
      </w:pPr>
      <w:bookmarkStart w:id="64" w:name="_Toc9389"/>
      <w:r>
        <w:rPr>
          <w:rFonts w:ascii="黑体" w:eastAsia="黑体" w:hint="eastAsia"/>
          <w:color w:val="000000"/>
          <w:sz w:val="32"/>
          <w:szCs w:val="32"/>
        </w:rPr>
        <w:t>五、</w:t>
      </w:r>
      <w:r>
        <w:rPr>
          <w:rFonts w:ascii="黑体" w:eastAsia="黑体" w:hint="eastAsia"/>
          <w:b/>
          <w:color w:val="000000"/>
          <w:sz w:val="32"/>
          <w:szCs w:val="32"/>
        </w:rPr>
        <w:t>一</w:t>
      </w:r>
      <w:r>
        <w:rPr>
          <w:rStyle w:val="2Char"/>
          <w:rFonts w:ascii="黑体" w:eastAsia="黑体" w:hint="eastAsia"/>
          <w:b w:val="0"/>
        </w:rPr>
        <w:t>般公共预算财政拨款支出决算情况说明</w:t>
      </w:r>
      <w:bookmarkEnd w:id="60"/>
      <w:bookmarkEnd w:id="61"/>
      <w:bookmarkEnd w:id="62"/>
      <w:bookmarkEnd w:id="63"/>
      <w:bookmarkEnd w:id="64"/>
    </w:p>
    <w:p>
      <w:pPr>
        <w:spacing w:line="600" w:lineRule="exact"/>
        <w:ind w:firstLineChars="200" w:firstLine="640"/>
        <w:outlineLvl w:val="2"/>
        <w:rPr>
          <w:rFonts w:ascii="仿宋" w:eastAsia="仿宋"/>
          <w:b/>
          <w:color w:val="000000"/>
          <w:sz w:val="32"/>
          <w:szCs w:val="32"/>
        </w:rPr>
      </w:pPr>
      <w:bookmarkStart w:id="65" w:name="_Toc28903"/>
      <w:bookmarkStart w:id="66" w:name="_Toc30572"/>
      <w:bookmarkStart w:id="67" w:name="_Toc15377210"/>
      <w:bookmarkStart w:id="68" w:name="_Toc79163615"/>
      <w:r>
        <w:rPr>
          <w:rFonts w:ascii="仿宋" w:eastAsia="仿宋" w:hint="eastAsia"/>
          <w:b/>
          <w:color w:val="000000"/>
          <w:sz w:val="32"/>
          <w:szCs w:val="32"/>
        </w:rPr>
        <w:t>（一）一般公共预算财政拨款支出决算总体情况</w:t>
      </w:r>
      <w:bookmarkEnd w:id="65"/>
      <w:bookmarkEnd w:id="66"/>
      <w:bookmarkEnd w:id="67"/>
      <w:bookmarkEnd w:id="68"/>
    </w:p>
    <w:p>
      <w:pPr>
        <w:pStyle w:val="30"/>
        <w:tabs>
          <w:tab w:val="left" w:pos="960"/>
        </w:tabs>
        <w:rPr>
          <w:rFonts w:ascii="仿宋" w:eastAsia="仿宋"/>
          <w:color w:val="000000"/>
          <w:sz w:val="32"/>
          <w:szCs w:val="32"/>
        </w:rPr>
      </w:pPr>
      <w:r>
        <w:rPr>
          <w:rFonts w:ascii="仿宋" w:eastAsia="仿宋"/>
          <w:color w:val="000000"/>
          <w:sz w:val="32"/>
          <w:szCs w:val="32"/>
        </w:rPr>
        <w:t>2020</w:t>
      </w:r>
      <w:r>
        <w:rPr>
          <w:rFonts w:ascii="仿宋" w:eastAsia="仿宋" w:hint="eastAsia"/>
          <w:color w:val="000000"/>
          <w:sz w:val="32"/>
          <w:szCs w:val="32"/>
        </w:rPr>
        <w:t>年一般公共预算财政拨款支出</w:t>
      </w:r>
      <w:r>
        <w:rPr>
          <w:rFonts w:ascii="仿宋" w:eastAsia="仿宋" w:hint="eastAsia"/>
          <w:color w:val="000000"/>
          <w:sz w:val="32"/>
          <w:szCs w:val="32"/>
          <w:lang w:val="en-US" w:eastAsia="zh-CN"/>
        </w:rPr>
        <w:t>166.43</w:t>
      </w:r>
      <w:r>
        <w:rPr>
          <w:rFonts w:ascii="仿宋" w:eastAsia="仿宋" w:hint="eastAsia"/>
          <w:color w:val="000000"/>
          <w:sz w:val="32"/>
          <w:szCs w:val="32"/>
        </w:rPr>
        <w:t>万元，占本年支出合计的</w:t>
      </w:r>
      <w:r>
        <w:rPr>
          <w:rFonts w:ascii="仿宋" w:eastAsia="仿宋" w:hint="eastAsia"/>
          <w:color w:val="000000"/>
          <w:sz w:val="32"/>
          <w:szCs w:val="32"/>
          <w:lang w:val="en-US" w:eastAsia="zh-CN"/>
        </w:rPr>
        <w:t>100</w:t>
      </w:r>
      <w:r>
        <w:rPr>
          <w:rFonts w:ascii="仿宋" w:eastAsia="仿宋"/>
          <w:color w:val="000000"/>
          <w:sz w:val="32"/>
          <w:szCs w:val="32"/>
        </w:rPr>
        <w:t>%</w:t>
      </w:r>
      <w:r>
        <w:rPr>
          <w:rFonts w:ascii="仿宋" w:eastAsia="仿宋" w:hint="eastAsia"/>
          <w:color w:val="000000"/>
          <w:sz w:val="32"/>
          <w:szCs w:val="32"/>
        </w:rPr>
        <w:t>。与</w:t>
      </w:r>
      <w:r>
        <w:rPr>
          <w:rFonts w:ascii="仿宋" w:eastAsia="仿宋"/>
          <w:color w:val="000000"/>
          <w:sz w:val="32"/>
          <w:szCs w:val="32"/>
        </w:rPr>
        <w:t>2019</w:t>
      </w:r>
      <w:r>
        <w:rPr>
          <w:rFonts w:ascii="仿宋" w:eastAsia="仿宋" w:hint="eastAsia"/>
          <w:color w:val="000000"/>
          <w:sz w:val="32"/>
          <w:szCs w:val="32"/>
        </w:rPr>
        <w:t>年相比，一般公共预算财政拨款</w:t>
      </w:r>
      <w:r>
        <w:rPr>
          <w:rFonts w:ascii="仿宋" w:eastAsia="仿宋" w:hint="eastAsia"/>
          <w:color w:val="000000"/>
          <w:sz w:val="32"/>
          <w:szCs w:val="32"/>
          <w:lang w:val="en-US" w:eastAsia="zh-CN"/>
        </w:rPr>
        <w:t>支出增加41.22</w:t>
      </w:r>
      <w:r>
        <w:rPr>
          <w:rFonts w:ascii="仿宋" w:eastAsia="仿宋" w:hint="eastAsia"/>
          <w:color w:val="000000"/>
          <w:sz w:val="32"/>
          <w:szCs w:val="32"/>
        </w:rPr>
        <w:t>万元，</w:t>
      </w:r>
      <w:r>
        <w:rPr>
          <w:rFonts w:ascii="仿宋" w:eastAsia="仿宋" w:hint="eastAsia"/>
          <w:color w:val="000000"/>
          <w:sz w:val="32"/>
          <w:szCs w:val="32"/>
          <w:lang w:val="en-US" w:eastAsia="zh-CN"/>
        </w:rPr>
        <w:t>增长32.92</w:t>
      </w:r>
      <w:r>
        <w:rPr>
          <w:rFonts w:ascii="仿宋" w:eastAsia="仿宋"/>
          <w:color w:val="000000"/>
          <w:sz w:val="32"/>
          <w:szCs w:val="32"/>
        </w:rPr>
        <w:t>%</w:t>
      </w:r>
      <w:r>
        <w:rPr>
          <w:rFonts w:ascii="仿宋" w:eastAsia="仿宋" w:hint="eastAsia"/>
          <w:color w:val="000000"/>
          <w:sz w:val="32"/>
          <w:szCs w:val="32"/>
        </w:rPr>
        <w:t>。主要变动原因本年业务量增加，相应费用增加</w:t>
      </w:r>
      <w:r>
        <w:rPr>
          <w:rFonts w:ascii="仿宋" w:eastAsia="仿宋" w:hint="eastAsia"/>
          <w:color w:val="000000"/>
          <w:sz w:val="32"/>
          <w:szCs w:val="32"/>
          <w:lang w:eastAsia="zh-CN"/>
        </w:rPr>
        <w:t>。</w:t>
      </w:r>
    </w:p>
    <w:p>
      <w:pPr>
        <w:spacing w:line="600" w:lineRule="exact"/>
        <w:rPr>
          <w:rFonts w:ascii="仿宋" w:eastAsia="仿宋"/>
          <w:color w:val="000000"/>
          <w:sz w:val="32"/>
          <w:szCs w:val="32"/>
        </w:rPr>
      </w:pPr>
      <w:r>
        <w:rPr>
          <w:rFonts w:ascii="仿宋" w:eastAsia="仿宋" w:hint="eastAsia"/>
          <w:color w:val="000000"/>
          <w:sz w:val="32"/>
          <w:szCs w:val="32"/>
        </w:rPr>
        <w:t>（图</w:t>
      </w:r>
      <w:r>
        <w:rPr>
          <w:rFonts w:ascii="仿宋" w:eastAsia="仿宋"/>
          <w:color w:val="000000"/>
          <w:sz w:val="32"/>
          <w:szCs w:val="32"/>
        </w:rPr>
        <w:t>5</w:t>
      </w:r>
      <w:r>
        <w:rPr>
          <w:rFonts w:ascii="仿宋" w:eastAsia="仿宋" w:hint="eastAsia"/>
          <w:color w:val="000000"/>
          <w:sz w:val="32"/>
          <w:szCs w:val="32"/>
        </w:rPr>
        <w:t>：一般公共预算财政拨款支出决算变动情况）（柱状图）</w:t>
      </w:r>
    </w:p>
    <w:p>
      <w:pPr>
        <w:spacing w:line="600" w:lineRule="exact"/>
        <w:ind w:firstLineChars="200" w:firstLine="420"/>
        <w:rPr>
          <w:rFonts w:ascii="仿宋" w:eastAsia="仿宋"/>
          <w:color w:val="000000"/>
          <w:sz w:val="32"/>
          <w:szCs w:val="32"/>
        </w:rPr>
      </w:pPr>
      <w:r>
        <w:drawing>
          <wp:anchor distT="0" distB="0" distL="114300" distR="114300" simplePos="0" relativeHeight="14" behindDoc="1" locked="0" layoutInCell="1" hidden="0" allowOverlap="1">
            <wp:simplePos x="0" y="0"/>
            <wp:positionH relativeFrom="column">
              <wp:posOffset>321310</wp:posOffset>
            </wp:positionH>
            <wp:positionV relativeFrom="paragraph">
              <wp:posOffset>111125</wp:posOffset>
            </wp:positionV>
            <wp:extent cx="4779645" cy="2330450"/>
            <wp:effectExtent l="0" t="0" r="0" b="0"/>
            <wp:wrapNone/>
            <wp:docPr id="7" name="图表 8"/>
            <wp:cNvGraphicFramePr>
              <a:graphicFrameLocks noChangeAspect="0"/>
            </wp:cNvGraphicFramePr>
            <a:graphic>
              <a:graphicData uri="http://schemas.openxmlformats.org/drawingml/2006/chart">
                <c:chart xmlns:c="http://schemas.openxmlformats.org/drawingml/2006/chart" r:id="rId11"/>
              </a:graphicData>
            </a:graphic>
          </wp:anchor>
        </w:drawing>
      </w:r>
    </w:p>
    <w:p>
      <w:pPr>
        <w:pStyle w:val="30"/>
        <w:tabs>
          <w:tab w:val="left" w:pos="960"/>
        </w:tabs>
        <w:rPr>
          <w:rFonts w:ascii="仿宋" w:eastAsia="仿宋"/>
          <w:color w:val="000000"/>
          <w:sz w:val="32"/>
          <w:szCs w:val="32"/>
        </w:rPr>
      </w:pPr>
    </w:p>
    <w:p>
      <w:pPr>
        <w:pStyle w:val="30"/>
        <w:tabs>
          <w:tab w:val="left" w:pos="960"/>
        </w:tabs>
        <w:rPr>
          <w:rFonts w:ascii="仿宋" w:eastAsia="仿宋"/>
          <w:color w:val="000000"/>
          <w:sz w:val="32"/>
          <w:szCs w:val="32"/>
        </w:rPr>
      </w:pPr>
    </w:p>
    <w:p>
      <w:pPr>
        <w:pStyle w:val="30"/>
        <w:tabs>
          <w:tab w:val="left" w:pos="960"/>
        </w:tabs>
        <w:rPr>
          <w:rFonts w:ascii="仿宋" w:eastAsia="仿宋"/>
          <w:color w:val="000000"/>
          <w:sz w:val="32"/>
          <w:szCs w:val="32"/>
        </w:rPr>
      </w:pPr>
    </w:p>
    <w:p>
      <w:pPr>
        <w:pStyle w:val="30"/>
        <w:tabs>
          <w:tab w:val="left" w:pos="960"/>
        </w:tabs>
        <w:rPr>
          <w:rFonts w:ascii="仿宋" w:eastAsia="仿宋"/>
          <w:color w:val="000000"/>
          <w:sz w:val="32"/>
          <w:szCs w:val="32"/>
        </w:rPr>
      </w:pPr>
    </w:p>
    <w:p>
      <w:pPr>
        <w:pStyle w:val="30"/>
        <w:tabs>
          <w:tab w:val="left" w:pos="960"/>
        </w:tabs>
        <w:rPr>
          <w:rFonts w:ascii="仿宋" w:eastAsia="仿宋"/>
          <w:color w:val="000000"/>
          <w:sz w:val="32"/>
          <w:szCs w:val="32"/>
        </w:rPr>
      </w:pPr>
    </w:p>
    <w:p>
      <w:pPr>
        <w:pStyle w:val="30"/>
        <w:tabs>
          <w:tab w:val="left" w:pos="960"/>
        </w:tabs>
        <w:rPr>
          <w:rFonts w:ascii="仿宋" w:eastAsia="仿宋"/>
          <w:color w:val="000000"/>
          <w:sz w:val="32"/>
          <w:szCs w:val="32"/>
        </w:rPr>
      </w:pPr>
    </w:p>
    <w:p>
      <w:pPr>
        <w:pStyle w:val="30"/>
        <w:tabs>
          <w:tab w:val="left" w:pos="960"/>
        </w:tabs>
        <w:ind w:left="0" w:firstLineChars="0" w:firstLine="0"/>
        <w:rPr>
          <w:rFonts w:ascii="仿宋" w:eastAsia="仿宋"/>
          <w:color w:val="000000"/>
          <w:sz w:val="32"/>
          <w:szCs w:val="32"/>
        </w:rPr>
      </w:pPr>
    </w:p>
    <w:p>
      <w:pPr>
        <w:spacing w:line="600" w:lineRule="exact"/>
        <w:ind w:firstLineChars="200" w:firstLine="640"/>
        <w:outlineLvl w:val="2"/>
        <w:rPr>
          <w:rFonts w:ascii="仿宋" w:eastAsia="仿宋"/>
          <w:b/>
          <w:color w:val="000000"/>
          <w:sz w:val="32"/>
          <w:szCs w:val="32"/>
        </w:rPr>
      </w:pPr>
      <w:bookmarkStart w:id="69" w:name="_Toc15377211"/>
      <w:bookmarkStart w:id="70" w:name="_Toc9357"/>
      <w:bookmarkStart w:id="71" w:name="_Toc1787"/>
      <w:bookmarkStart w:id="72" w:name="_Toc79163616"/>
      <w:r>
        <w:rPr>
          <w:rFonts w:ascii="仿宋" w:eastAsia="仿宋" w:hint="eastAsia"/>
          <w:b/>
          <w:color w:val="000000"/>
          <w:sz w:val="32"/>
          <w:szCs w:val="32"/>
        </w:rPr>
        <w:t>（二）一般公共预算财政拨款支出决算结构情况</w:t>
      </w:r>
      <w:bookmarkEnd w:id="69"/>
      <w:bookmarkEnd w:id="70"/>
      <w:bookmarkEnd w:id="71"/>
      <w:bookmarkEnd w:id="72"/>
    </w:p>
    <w:p>
      <w:pPr>
        <w:spacing w:line="600" w:lineRule="exact"/>
        <w:ind w:firstLine="640"/>
        <w:rPr>
          <w:rFonts w:ascii="仿宋" w:eastAsia="仿宋" w:cs="Times New Roman" w:hint="eastAsia"/>
          <w:color w:val="000000"/>
          <w:sz w:val="32"/>
          <w:szCs w:val="32"/>
          <w:lang w:val="en-US" w:eastAsia="zh-CN"/>
        </w:rPr>
      </w:pPr>
      <w:r>
        <w:rPr>
          <w:rFonts w:ascii="仿宋" w:eastAsia="仿宋"/>
          <w:color w:val="000000"/>
          <w:sz w:val="32"/>
          <w:szCs w:val="32"/>
        </w:rPr>
        <w:t>2020</w:t>
      </w:r>
      <w:r>
        <w:rPr>
          <w:rFonts w:ascii="仿宋" w:eastAsia="仿宋" w:hint="eastAsia"/>
          <w:color w:val="000000"/>
          <w:sz w:val="32"/>
          <w:szCs w:val="32"/>
        </w:rPr>
        <w:t>年一般公共预算财政拨款支</w:t>
      </w:r>
      <w:r>
        <w:rPr>
          <w:rFonts w:ascii="仿宋" w:eastAsia="仿宋" w:cs="Times New Roman" w:hint="eastAsia"/>
          <w:color w:val="000000"/>
          <w:sz w:val="32"/>
          <w:szCs w:val="32"/>
        </w:rPr>
        <w:t>出</w:t>
      </w:r>
      <w:r>
        <w:rPr>
          <w:rFonts w:ascii="仿宋" w:eastAsia="仿宋" w:hint="eastAsia"/>
          <w:color w:val="000000"/>
          <w:sz w:val="32"/>
          <w:szCs w:val="32"/>
          <w:lang w:val="en-US" w:eastAsia="zh-CN"/>
        </w:rPr>
        <w:t>166.43</w:t>
      </w:r>
      <w:r>
        <w:rPr>
          <w:rFonts w:ascii="仿宋" w:eastAsia="仿宋" w:cs="Times New Roman" w:hint="eastAsia"/>
          <w:color w:val="000000"/>
          <w:sz w:val="32"/>
          <w:szCs w:val="32"/>
        </w:rPr>
        <w:t>万元，主要用于以下方面</w:t>
      </w:r>
      <w:r>
        <w:rPr>
          <w:rFonts w:ascii="仿宋" w:eastAsia="仿宋" w:cs="Times New Roman" w:hint="eastAsia"/>
          <w:color w:val="000000"/>
          <w:sz w:val="32"/>
          <w:szCs w:val="32"/>
          <w:lang w:eastAsia="zh-CN"/>
        </w:rPr>
        <w:t>：</w:t>
      </w:r>
      <w:r>
        <w:rPr>
          <w:rFonts w:ascii="仿宋" w:eastAsia="仿宋" w:hint="eastAsia"/>
          <w:b/>
          <w:color w:val="000000"/>
          <w:sz w:val="32"/>
          <w:szCs w:val="32"/>
          <w:lang w:val="en-US" w:eastAsia="zh-CN"/>
        </w:rPr>
        <w:t>一般公共服务支出（类）</w:t>
      </w:r>
      <w:r>
        <w:rPr>
          <w:rFonts w:ascii="仿宋" w:eastAsia="仿宋" w:cs="Times New Roman" w:hint="eastAsia"/>
          <w:color w:val="000000"/>
          <w:sz w:val="32"/>
          <w:szCs w:val="32"/>
          <w:lang w:val="en-US" w:eastAsia="zh-CN"/>
        </w:rPr>
        <w:t>支出82.96万元，占比49.85%；</w:t>
      </w:r>
      <w:r>
        <w:rPr>
          <w:rFonts w:ascii="仿宋" w:eastAsia="仿宋" w:hint="eastAsia"/>
          <w:b/>
          <w:color w:val="000000"/>
          <w:sz w:val="32"/>
          <w:szCs w:val="32"/>
          <w:lang w:val="en-US" w:eastAsia="zh-CN"/>
        </w:rPr>
        <w:t>科学技术支出（类）</w:t>
      </w:r>
      <w:r>
        <w:rPr>
          <w:rFonts w:ascii="仿宋" w:eastAsia="仿宋" w:cs="Times New Roman" w:hint="eastAsia"/>
          <w:color w:val="000000"/>
          <w:sz w:val="32"/>
          <w:szCs w:val="32"/>
          <w:lang w:val="en-US" w:eastAsia="zh-CN"/>
        </w:rPr>
        <w:t>支出54.35万元，占比32.66%；</w:t>
      </w:r>
      <w:r>
        <w:rPr>
          <w:rFonts w:ascii="仿宋" w:eastAsia="仿宋" w:hint="eastAsia"/>
          <w:b/>
          <w:color w:val="000000"/>
          <w:sz w:val="32"/>
          <w:szCs w:val="32"/>
          <w:lang w:val="en-US" w:eastAsia="zh-CN"/>
        </w:rPr>
        <w:t>社会保障和就业支出（类）</w:t>
      </w:r>
      <w:r>
        <w:rPr>
          <w:rFonts w:ascii="仿宋" w:eastAsia="仿宋" w:cs="Times New Roman" w:hint="eastAsia"/>
          <w:color w:val="000000"/>
          <w:sz w:val="32"/>
          <w:szCs w:val="32"/>
          <w:lang w:val="en-US" w:eastAsia="zh-CN"/>
        </w:rPr>
        <w:t>支出15.94万元，占比9.58%；</w:t>
      </w:r>
      <w:r>
        <w:rPr>
          <w:rFonts w:ascii="仿宋" w:eastAsia="仿宋" w:hint="eastAsia"/>
          <w:b/>
          <w:color w:val="000000"/>
          <w:sz w:val="32"/>
          <w:szCs w:val="32"/>
          <w:lang w:val="en-US" w:eastAsia="zh-CN"/>
        </w:rPr>
        <w:t>卫生健康支出（类</w:t>
        <w:tab/>
        <w:t>）</w:t>
      </w:r>
      <w:r>
        <w:rPr>
          <w:rFonts w:ascii="仿宋" w:eastAsia="仿宋" w:cs="Times New Roman" w:hint="eastAsia"/>
          <w:color w:val="000000"/>
          <w:sz w:val="32"/>
          <w:szCs w:val="32"/>
          <w:lang w:val="en-US" w:eastAsia="zh-CN"/>
        </w:rPr>
        <w:t>支出4.72万元，占比2.84%；</w:t>
      </w:r>
      <w:r>
        <w:rPr>
          <w:rFonts w:ascii="仿宋" w:eastAsia="仿宋" w:hint="eastAsia"/>
          <w:b/>
          <w:color w:val="000000"/>
          <w:sz w:val="32"/>
          <w:szCs w:val="32"/>
          <w:lang w:val="en-US" w:eastAsia="zh-CN"/>
        </w:rPr>
        <w:t>住房保障（类）</w:t>
      </w:r>
      <w:r>
        <w:rPr>
          <w:rFonts w:ascii="仿宋" w:eastAsia="仿宋" w:cs="Times New Roman" w:hint="eastAsia"/>
          <w:color w:val="000000"/>
          <w:sz w:val="32"/>
          <w:szCs w:val="32"/>
          <w:lang w:val="en-US" w:eastAsia="zh-CN"/>
        </w:rPr>
        <w:t>支出8.46万元，占比5.04%。</w:t>
      </w:r>
    </w:p>
    <w:p>
      <w:pPr>
        <w:spacing w:line="600" w:lineRule="exact"/>
        <w:ind w:firstLineChars="200" w:firstLine="640"/>
        <w:rPr>
          <w:rFonts w:ascii="仿宋" w:eastAsia="仿宋"/>
          <w:color w:val="000000"/>
          <w:sz w:val="32"/>
          <w:szCs w:val="32"/>
        </w:rPr>
      </w:pPr>
      <w:r>
        <w:rPr>
          <w:rFonts w:ascii="仿宋" w:eastAsia="仿宋" w:hint="eastAsia"/>
          <w:color w:val="000000"/>
          <w:sz w:val="32"/>
          <w:szCs w:val="32"/>
        </w:rPr>
        <w:t>（图</w:t>
      </w:r>
      <w:r>
        <w:rPr>
          <w:rFonts w:ascii="仿宋" w:eastAsia="仿宋"/>
          <w:color w:val="000000"/>
          <w:sz w:val="32"/>
          <w:szCs w:val="32"/>
        </w:rPr>
        <w:t>6</w:t>
      </w:r>
      <w:r>
        <w:rPr>
          <w:rFonts w:ascii="仿宋" w:eastAsia="仿宋" w:hint="eastAsia"/>
          <w:color w:val="000000"/>
          <w:sz w:val="32"/>
          <w:szCs w:val="32"/>
        </w:rPr>
        <w:t>：一般公共预算财政拨款支出决算结构）（饼状图）</w:t>
      </w:r>
    </w:p>
    <w:p>
      <w:pPr>
        <w:spacing w:line="600" w:lineRule="exact"/>
        <w:ind w:firstLineChars="200" w:firstLine="420"/>
        <w:rPr>
          <w:rFonts w:ascii="仿宋" w:eastAsia="仿宋"/>
          <w:color w:val="000000"/>
          <w:sz w:val="32"/>
          <w:szCs w:val="32"/>
        </w:rPr>
      </w:pPr>
      <w:r>
        <w:drawing>
          <wp:anchor distT="0" distB="0" distL="114300" distR="114300" simplePos="0" relativeHeight="16" behindDoc="1" locked="0" layoutInCell="1" hidden="0" allowOverlap="1">
            <wp:simplePos x="0" y="0"/>
            <wp:positionH relativeFrom="column">
              <wp:posOffset>410844</wp:posOffset>
            </wp:positionH>
            <wp:positionV relativeFrom="paragraph">
              <wp:posOffset>52705</wp:posOffset>
            </wp:positionV>
            <wp:extent cx="4568825" cy="2651760"/>
            <wp:effectExtent l="0" t="0" r="0" b="0"/>
            <wp:wrapNone/>
            <wp:docPr id="8" name="图表 2"/>
            <wp:cNvGraphicFramePr>
              <a:graphicFrameLocks noChangeAspect="0"/>
            </wp:cNvGraphicFramePr>
            <a:graphic>
              <a:graphicData uri="http://schemas.openxmlformats.org/drawingml/2006/chart">
                <c:chart xmlns:c="http://schemas.openxmlformats.org/drawingml/2006/chart" r:id="rId12"/>
              </a:graphicData>
            </a:graphic>
          </wp:anchor>
        </w:drawing>
      </w:r>
    </w:p>
    <w:p>
      <w:pPr>
        <w:pStyle w:val="30"/>
        <w:tabs>
          <w:tab w:val="left" w:pos="960"/>
        </w:tabs>
        <w:rPr>
          <w:rFonts w:ascii="仿宋" w:eastAsia="仿宋"/>
          <w:color w:val="000000"/>
          <w:sz w:val="32"/>
          <w:szCs w:val="32"/>
        </w:rPr>
      </w:pPr>
    </w:p>
    <w:p>
      <w:pPr>
        <w:pStyle w:val="30"/>
        <w:tabs>
          <w:tab w:val="left" w:pos="960"/>
        </w:tabs>
        <w:rPr>
          <w:rFonts w:ascii="仿宋" w:eastAsia="仿宋"/>
          <w:color w:val="000000"/>
          <w:sz w:val="32"/>
          <w:szCs w:val="32"/>
        </w:rPr>
      </w:pPr>
    </w:p>
    <w:p>
      <w:pPr>
        <w:pStyle w:val="30"/>
        <w:tabs>
          <w:tab w:val="left" w:pos="960"/>
        </w:tabs>
        <w:rPr>
          <w:rFonts w:ascii="仿宋" w:eastAsia="仿宋"/>
          <w:color w:val="000000"/>
          <w:sz w:val="32"/>
          <w:szCs w:val="32"/>
        </w:rPr>
      </w:pPr>
    </w:p>
    <w:p>
      <w:pPr>
        <w:pStyle w:val="30"/>
        <w:tabs>
          <w:tab w:val="left" w:pos="960"/>
        </w:tabs>
        <w:rPr>
          <w:rFonts w:ascii="仿宋" w:eastAsia="仿宋"/>
          <w:color w:val="000000"/>
          <w:sz w:val="32"/>
          <w:szCs w:val="32"/>
        </w:rPr>
      </w:pPr>
    </w:p>
    <w:p>
      <w:pPr>
        <w:pStyle w:val="30"/>
        <w:tabs>
          <w:tab w:val="left" w:pos="960"/>
        </w:tabs>
        <w:rPr>
          <w:rFonts w:ascii="仿宋" w:eastAsia="仿宋"/>
          <w:color w:val="000000"/>
          <w:sz w:val="32"/>
          <w:szCs w:val="32"/>
        </w:rPr>
      </w:pPr>
    </w:p>
    <w:p>
      <w:pPr>
        <w:pStyle w:val="30"/>
        <w:tabs>
          <w:tab w:val="left" w:pos="960"/>
        </w:tabs>
        <w:rPr>
          <w:rFonts w:ascii="仿宋" w:eastAsia="仿宋"/>
          <w:color w:val="000000"/>
          <w:sz w:val="32"/>
          <w:szCs w:val="32"/>
        </w:rPr>
      </w:pPr>
    </w:p>
    <w:p>
      <w:pPr>
        <w:pStyle w:val="30"/>
        <w:tabs>
          <w:tab w:val="left" w:pos="960"/>
        </w:tabs>
        <w:rPr>
          <w:rFonts w:ascii="仿宋" w:eastAsia="仿宋"/>
          <w:color w:val="000000"/>
          <w:sz w:val="32"/>
          <w:szCs w:val="32"/>
        </w:rPr>
      </w:pPr>
    </w:p>
    <w:p>
      <w:pPr>
        <w:spacing w:line="600" w:lineRule="exact"/>
        <w:ind w:firstLineChars="200" w:firstLine="640"/>
        <w:outlineLvl w:val="2"/>
        <w:rPr>
          <w:rFonts w:ascii="仿宋" w:eastAsia="仿宋"/>
          <w:b/>
          <w:color w:val="000000"/>
          <w:sz w:val="32"/>
          <w:szCs w:val="32"/>
        </w:rPr>
      </w:pPr>
      <w:bookmarkStart w:id="73" w:name="_Toc79163617"/>
      <w:bookmarkStart w:id="74" w:name="_Toc15377212"/>
      <w:bookmarkStart w:id="75" w:name="_Toc27321"/>
      <w:bookmarkStart w:id="76" w:name="_Toc28891"/>
      <w:r>
        <w:rPr>
          <w:rFonts w:ascii="仿宋" w:eastAsia="仿宋" w:hint="eastAsia"/>
          <w:b/>
          <w:color w:val="000000"/>
          <w:sz w:val="32"/>
          <w:szCs w:val="32"/>
        </w:rPr>
        <w:t>（三）一般公共预算财政拨款支出决算具体情况</w:t>
      </w:r>
      <w:bookmarkEnd w:id="73"/>
      <w:bookmarkEnd w:id="74"/>
      <w:bookmarkEnd w:id="75"/>
      <w:bookmarkEnd w:id="76"/>
    </w:p>
    <w:p>
      <w:pPr>
        <w:spacing w:line="600" w:lineRule="exact"/>
        <w:ind w:firstLineChars="200" w:firstLine="640"/>
        <w:rPr>
          <w:rFonts w:ascii="仿宋_GB2312" w:eastAsia="仿宋_GB2312"/>
          <w:b/>
          <w:bCs/>
          <w:sz w:val="32"/>
          <w:szCs w:val="32"/>
        </w:rPr>
      </w:pPr>
      <w:bookmarkStart w:id="77" w:name="_Toc15377213"/>
      <w:bookmarkStart w:id="78" w:name="_Toc15377444"/>
      <w:bookmarkStart w:id="79" w:name="_Toc15378460"/>
      <w:r>
        <w:rPr>
          <w:rFonts w:ascii="仿宋" w:eastAsia="仿宋" w:cs="Times New Roman" w:hint="eastAsia"/>
          <w:b/>
          <w:color w:val="000000"/>
          <w:sz w:val="32"/>
          <w:szCs w:val="32"/>
          <w:lang w:val="en-US" w:eastAsia="zh-CN"/>
        </w:rPr>
        <w:t>2020年一般公共预算支出决算数为</w:t>
      </w:r>
      <w:r>
        <w:rPr>
          <w:rFonts w:ascii="仿宋" w:eastAsia="仿宋" w:hint="eastAsia"/>
          <w:b/>
          <w:bCs/>
          <w:color w:val="000000"/>
          <w:sz w:val="32"/>
          <w:szCs w:val="32"/>
          <w:lang w:val="en-US" w:eastAsia="zh-CN"/>
        </w:rPr>
        <w:t>166.43</w:t>
      </w:r>
      <w:r>
        <w:rPr>
          <w:rFonts w:ascii="仿宋" w:eastAsia="仿宋" w:cs="Times New Roman" w:hint="eastAsia"/>
          <w:b/>
          <w:color w:val="000000"/>
          <w:sz w:val="32"/>
          <w:szCs w:val="32"/>
          <w:lang w:val="en-US" w:eastAsia="zh-CN"/>
        </w:rPr>
        <w:t>万元，完成预算97.50%。其中：</w:t>
      </w:r>
      <w:bookmarkEnd w:id="77"/>
      <w:bookmarkEnd w:id="78"/>
      <w:bookmarkEnd w:id="79"/>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Style w:val="31"/>
          <w:rFonts w:ascii="仿宋_GB2312" w:eastAsia="仿宋_GB2312" w:hint="eastAsia"/>
          <w:b w:val="0"/>
          <w:bCs/>
          <w:color w:val="000000"/>
          <w:sz w:val="32"/>
          <w:szCs w:val="32"/>
          <w:lang w:eastAsia="zh-CN"/>
        </w:rPr>
      </w:pPr>
      <w:r>
        <w:rPr>
          <w:rStyle w:val="31"/>
          <w:rFonts w:ascii="仿宋" w:eastAsia="仿宋" w:cs="Times New Roman" w:hint="eastAsia"/>
          <w:bCs/>
          <w:color w:val="000000"/>
          <w:kern w:val="2"/>
          <w:sz w:val="32"/>
          <w:szCs w:val="32"/>
          <w:lang w:val="en-US" w:eastAsia="zh-CN" w:bidi="ar-SA"/>
        </w:rPr>
        <w:t>1.一般公共服务支出（类）群众团体事务（款）  行政运行（项）：</w:t>
      </w:r>
      <w:r>
        <w:rPr>
          <w:rStyle w:val="31"/>
          <w:rFonts w:ascii="仿宋" w:eastAsia="仿宋"/>
          <w:b w:val="0"/>
          <w:bCs/>
          <w:color w:val="000000"/>
          <w:sz w:val="32"/>
          <w:szCs w:val="32"/>
        </w:rPr>
        <w:t xml:space="preserve"> </w:t>
      </w:r>
      <w:r>
        <w:rPr>
          <w:rStyle w:val="31"/>
          <w:rFonts w:ascii="仿宋" w:eastAsia="仿宋" w:hint="eastAsia"/>
          <w:b w:val="0"/>
          <w:bCs/>
          <w:color w:val="000000"/>
          <w:sz w:val="32"/>
          <w:szCs w:val="32"/>
        </w:rPr>
        <w:t>支出决算为</w:t>
      </w:r>
      <w:r>
        <w:rPr>
          <w:rStyle w:val="31"/>
          <w:rFonts w:ascii="仿宋" w:eastAsia="仿宋" w:hint="eastAsia"/>
          <w:b w:val="0"/>
          <w:bCs/>
          <w:color w:val="000000"/>
          <w:sz w:val="32"/>
          <w:szCs w:val="32"/>
          <w:lang w:val="en-US" w:eastAsia="zh-CN"/>
        </w:rPr>
        <w:t>82.96</w:t>
      </w:r>
      <w:r>
        <w:rPr>
          <w:rStyle w:val="31"/>
          <w:rFonts w:ascii="仿宋" w:eastAsia="仿宋" w:hint="eastAsia"/>
          <w:b w:val="0"/>
          <w:bCs/>
          <w:color w:val="000000"/>
          <w:sz w:val="32"/>
          <w:szCs w:val="32"/>
        </w:rPr>
        <w:t>万元，完成预算</w:t>
      </w:r>
      <w:r>
        <w:rPr>
          <w:rStyle w:val="31"/>
          <w:rFonts w:ascii="仿宋" w:eastAsia="仿宋" w:hint="eastAsia"/>
          <w:b w:val="0"/>
          <w:bCs/>
          <w:color w:val="000000"/>
          <w:sz w:val="32"/>
          <w:szCs w:val="32"/>
          <w:lang w:val="en-US" w:eastAsia="zh-CN"/>
        </w:rPr>
        <w:t>100</w:t>
      </w:r>
      <w:r>
        <w:rPr>
          <w:rStyle w:val="31"/>
          <w:rFonts w:ascii="仿宋" w:eastAsia="仿宋"/>
          <w:b w:val="0"/>
          <w:bCs/>
          <w:color w:val="000000"/>
          <w:sz w:val="32"/>
          <w:szCs w:val="32"/>
        </w:rPr>
        <w:t>%</w:t>
      </w:r>
      <w:r>
        <w:rPr>
          <w:rStyle w:val="31"/>
          <w:rFonts w:ascii="仿宋" w:eastAsia="仿宋" w:hint="eastAsia"/>
          <w:b w:val="0"/>
          <w:bCs/>
          <w:color w:val="000000"/>
          <w:sz w:val="32"/>
          <w:szCs w:val="32"/>
          <w:lang w:eastAsia="zh-CN"/>
        </w:rPr>
        <w:t>，</w:t>
      </w:r>
      <w:r>
        <w:rPr>
          <w:rStyle w:val="31"/>
          <w:rFonts w:ascii="仿宋_GB2312" w:eastAsia="仿宋_GB2312" w:hint="eastAsia"/>
          <w:b w:val="0"/>
          <w:bCs/>
          <w:color w:val="000000"/>
          <w:sz w:val="32"/>
          <w:szCs w:val="32"/>
        </w:rPr>
        <w:t>决算数等于预算数</w:t>
      </w:r>
      <w:r>
        <w:rPr>
          <w:rStyle w:val="31"/>
          <w:rFonts w:ascii="仿宋_GB2312" w:eastAsia="仿宋_GB2312" w:hint="eastAsia"/>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仿宋" w:eastAsia="仿宋"/>
          <w:b/>
          <w:color w:val="000000"/>
          <w:sz w:val="32"/>
          <w:szCs w:val="32"/>
        </w:rPr>
      </w:pPr>
      <w:r>
        <w:rPr>
          <w:rStyle w:val="31"/>
          <w:rFonts w:ascii="仿宋" w:eastAsia="仿宋"/>
          <w:bCs/>
          <w:color w:val="000000"/>
          <w:sz w:val="32"/>
          <w:szCs w:val="32"/>
        </w:rPr>
        <w:t>2.</w:t>
      </w:r>
      <w:r>
        <w:rPr>
          <w:rStyle w:val="31"/>
          <w:rFonts w:ascii="仿宋" w:eastAsia="仿宋" w:cs="Times New Roman" w:hint="eastAsia"/>
          <w:bCs/>
          <w:color w:val="000000"/>
          <w:kern w:val="2"/>
          <w:sz w:val="32"/>
          <w:szCs w:val="32"/>
          <w:lang w:val="en-US" w:eastAsia="zh-CN" w:bidi="ar-SA"/>
        </w:rPr>
        <w:t>科学技术支出（类）科学技术普及（款）科普活动（项）：</w:t>
      </w:r>
      <w:r>
        <w:rPr>
          <w:rStyle w:val="31"/>
          <w:rFonts w:ascii="仿宋" w:eastAsia="仿宋" w:hint="eastAsia"/>
          <w:b w:val="0"/>
          <w:bCs/>
          <w:color w:val="000000"/>
          <w:sz w:val="32"/>
          <w:szCs w:val="32"/>
        </w:rPr>
        <w:t>支出决算为</w:t>
      </w:r>
      <w:r>
        <w:rPr>
          <w:rStyle w:val="31"/>
          <w:rFonts w:ascii="仿宋" w:eastAsia="仿宋" w:hint="eastAsia"/>
          <w:b w:val="0"/>
          <w:bCs/>
          <w:color w:val="000000"/>
          <w:sz w:val="32"/>
          <w:szCs w:val="32"/>
          <w:lang w:val="en-US" w:eastAsia="zh-CN"/>
        </w:rPr>
        <w:t>8.00</w:t>
      </w:r>
      <w:r>
        <w:rPr>
          <w:rStyle w:val="31"/>
          <w:rFonts w:ascii="仿宋" w:eastAsia="仿宋" w:hint="eastAsia"/>
          <w:b w:val="0"/>
          <w:bCs/>
          <w:color w:val="000000"/>
          <w:sz w:val="32"/>
          <w:szCs w:val="32"/>
        </w:rPr>
        <w:t>万元，完成预算</w:t>
      </w:r>
      <w:r>
        <w:rPr>
          <w:rStyle w:val="31"/>
          <w:rFonts w:ascii="仿宋" w:eastAsia="仿宋" w:hint="eastAsia"/>
          <w:b w:val="0"/>
          <w:bCs/>
          <w:color w:val="000000"/>
          <w:sz w:val="32"/>
          <w:szCs w:val="32"/>
          <w:lang w:val="en-US" w:eastAsia="zh-CN"/>
        </w:rPr>
        <w:t>100</w:t>
      </w:r>
      <w:r>
        <w:rPr>
          <w:rStyle w:val="31"/>
          <w:rFonts w:ascii="仿宋" w:eastAsia="仿宋"/>
          <w:b w:val="0"/>
          <w:bCs/>
          <w:color w:val="000000"/>
          <w:sz w:val="32"/>
          <w:szCs w:val="32"/>
        </w:rPr>
        <w:t>%</w:t>
      </w:r>
      <w:r>
        <w:rPr>
          <w:rStyle w:val="31"/>
          <w:rFonts w:ascii="仿宋" w:eastAsia="仿宋" w:cs="Times New Roman" w:hint="eastAsia"/>
          <w:b w:val="0"/>
          <w:bCs/>
          <w:color w:val="000000"/>
          <w:sz w:val="32"/>
          <w:szCs w:val="32"/>
          <w:lang w:eastAsia="zh-CN"/>
        </w:rPr>
        <w:t>，</w:t>
      </w:r>
      <w:r>
        <w:rPr>
          <w:rStyle w:val="31"/>
          <w:rFonts w:ascii="仿宋" w:eastAsia="仿宋" w:cs="Times New Roman" w:hint="eastAsia"/>
          <w:b w:val="0"/>
          <w:bCs/>
          <w:color w:val="000000"/>
          <w:sz w:val="32"/>
          <w:szCs w:val="32"/>
        </w:rPr>
        <w:t>决算数等于预算数</w:t>
      </w:r>
      <w:r>
        <w:rPr>
          <w:rStyle w:val="31"/>
          <w:rFonts w:ascii="仿宋" w:eastAsia="仿宋" w:cs="Times New Roman" w:hint="eastAsia"/>
          <w:b w:val="0"/>
          <w:bCs/>
          <w:color w:val="000000"/>
          <w:sz w:val="32"/>
          <w:szCs w:val="32"/>
          <w:lang w:eastAsia="zh-CN"/>
        </w:rPr>
        <w:t>；</w:t>
      </w:r>
      <w:r>
        <w:rPr>
          <w:rStyle w:val="31"/>
          <w:rFonts w:ascii="仿宋" w:eastAsia="仿宋" w:cs="Times New Roman" w:hint="eastAsia"/>
          <w:b/>
          <w:bCs w:val="0"/>
          <w:color w:val="000000"/>
          <w:sz w:val="32"/>
          <w:szCs w:val="32"/>
          <w:lang w:eastAsia="zh-CN"/>
        </w:rPr>
        <w:t>其他科学技术普及支出（</w:t>
      </w:r>
      <w:r>
        <w:rPr>
          <w:rStyle w:val="31"/>
          <w:rFonts w:ascii="仿宋" w:eastAsia="仿宋" w:cs="Times New Roman" w:hint="eastAsia"/>
          <w:b/>
          <w:bCs w:val="0"/>
          <w:color w:val="000000"/>
          <w:sz w:val="32"/>
          <w:szCs w:val="32"/>
          <w:lang w:val="en-US" w:eastAsia="zh-CN"/>
        </w:rPr>
        <w:t>项）：</w:t>
      </w:r>
      <w:r>
        <w:rPr>
          <w:rStyle w:val="31"/>
          <w:rFonts w:ascii="仿宋" w:eastAsia="仿宋" w:hint="eastAsia"/>
          <w:b w:val="0"/>
          <w:bCs/>
          <w:color w:val="000000"/>
          <w:sz w:val="32"/>
          <w:szCs w:val="32"/>
        </w:rPr>
        <w:t>支出决算为</w:t>
      </w:r>
      <w:r>
        <w:rPr>
          <w:rStyle w:val="31"/>
          <w:rFonts w:ascii="仿宋" w:eastAsia="仿宋" w:hint="eastAsia"/>
          <w:b w:val="0"/>
          <w:bCs/>
          <w:color w:val="000000"/>
          <w:sz w:val="32"/>
          <w:szCs w:val="32"/>
          <w:lang w:val="en-US" w:eastAsia="zh-CN"/>
        </w:rPr>
        <w:t>46.35</w:t>
      </w:r>
      <w:r>
        <w:rPr>
          <w:rStyle w:val="31"/>
          <w:rFonts w:ascii="仿宋" w:eastAsia="仿宋" w:hint="eastAsia"/>
          <w:b w:val="0"/>
          <w:bCs/>
          <w:color w:val="000000"/>
          <w:sz w:val="32"/>
          <w:szCs w:val="32"/>
        </w:rPr>
        <w:t>万元，完成预算</w:t>
      </w:r>
      <w:r>
        <w:rPr>
          <w:rStyle w:val="31"/>
          <w:rFonts w:ascii="仿宋" w:eastAsia="仿宋" w:hint="eastAsia"/>
          <w:b w:val="0"/>
          <w:bCs/>
          <w:color w:val="000000"/>
          <w:sz w:val="32"/>
          <w:szCs w:val="32"/>
          <w:lang w:val="en-US" w:eastAsia="zh-CN"/>
        </w:rPr>
        <w:t>91.5</w:t>
      </w:r>
      <w:r>
        <w:rPr>
          <w:rStyle w:val="31"/>
          <w:rFonts w:ascii="仿宋" w:eastAsia="仿宋" w:hint="eastAsia"/>
          <w:b w:val="0"/>
          <w:bCs/>
          <w:color w:val="auto"/>
          <w:sz w:val="32"/>
          <w:szCs w:val="32"/>
          <w:lang w:val="en-US" w:eastAsia="zh-CN"/>
        </w:rPr>
        <w:t>8</w:t>
      </w:r>
      <w:r>
        <w:rPr>
          <w:rStyle w:val="31"/>
          <w:rFonts w:ascii="仿宋" w:eastAsia="仿宋"/>
          <w:b w:val="0"/>
          <w:bCs/>
          <w:color w:val="auto"/>
          <w:sz w:val="32"/>
          <w:szCs w:val="32"/>
        </w:rPr>
        <w:t>%</w:t>
      </w:r>
      <w:r>
        <w:rPr>
          <w:rStyle w:val="31"/>
          <w:rFonts w:ascii="仿宋" w:eastAsia="仿宋" w:cs="Times New Roman" w:hint="eastAsia"/>
          <w:b w:val="0"/>
          <w:bCs/>
          <w:color w:val="auto"/>
          <w:sz w:val="32"/>
          <w:szCs w:val="32"/>
          <w:lang w:eastAsia="zh-CN"/>
        </w:rPr>
        <w:t>，</w:t>
      </w:r>
      <w:r>
        <w:rPr>
          <w:rStyle w:val="31"/>
          <w:rFonts w:ascii="仿宋" w:eastAsia="仿宋" w:cs="Times New Roman" w:hint="eastAsia"/>
          <w:b w:val="0"/>
          <w:bCs/>
          <w:color w:val="auto"/>
          <w:sz w:val="32"/>
          <w:szCs w:val="32"/>
        </w:rPr>
        <w:t>决算数</w:t>
      </w:r>
      <w:r>
        <w:rPr>
          <w:rStyle w:val="31"/>
          <w:rFonts w:ascii="仿宋" w:eastAsia="仿宋" w:cs="Times New Roman" w:hint="eastAsia"/>
          <w:b w:val="0"/>
          <w:bCs/>
          <w:color w:val="auto"/>
          <w:sz w:val="32"/>
          <w:szCs w:val="32"/>
          <w:lang w:val="en-US" w:eastAsia="zh-CN"/>
        </w:rPr>
        <w:t>小于</w:t>
      </w:r>
      <w:r>
        <w:rPr>
          <w:rStyle w:val="31"/>
          <w:rFonts w:ascii="仿宋" w:eastAsia="仿宋" w:cs="Times New Roman" w:hint="eastAsia"/>
          <w:b w:val="0"/>
          <w:bCs/>
          <w:color w:val="auto"/>
          <w:sz w:val="32"/>
          <w:szCs w:val="32"/>
        </w:rPr>
        <w:t>预算数</w:t>
      </w:r>
      <w:r>
        <w:rPr>
          <w:rStyle w:val="31"/>
          <w:rFonts w:ascii="仿宋" w:eastAsia="仿宋" w:cs="Times New Roman" w:hint="eastAsia"/>
          <w:b w:val="0"/>
          <w:bCs/>
          <w:color w:val="auto"/>
          <w:sz w:val="32"/>
          <w:szCs w:val="32"/>
          <w:lang w:val="en-US" w:eastAsia="zh-CN"/>
        </w:rPr>
        <w:t>的主要原因是</w:t>
      </w:r>
      <w:r>
        <w:rPr>
          <w:rStyle w:val="31"/>
          <w:rFonts w:ascii="仿宋" w:eastAsia="仿宋" w:cs="仿宋" w:hint="eastAsia"/>
          <w:b w:val="0"/>
          <w:bCs/>
          <w:color w:val="auto"/>
          <w:sz w:val="32"/>
          <w:szCs w:val="32"/>
          <w:lang w:val="en-US" w:eastAsia="zh-CN"/>
        </w:rPr>
        <w:t>厉行节约，控制支出</w:t>
      </w:r>
      <w:r>
        <w:rPr>
          <w:rStyle w:val="31"/>
          <w:rFonts w:ascii="仿宋" w:eastAsia="仿宋" w:cs="Times New Roman" w:hint="eastAsia"/>
          <w:b w:val="0"/>
          <w:bCs/>
          <w:color w:val="000000"/>
          <w:sz w:val="32"/>
          <w:szCs w:val="32"/>
        </w:rPr>
        <w:t>。</w:t>
      </w:r>
    </w:p>
    <w:p>
      <w:pPr>
        <w:spacing w:line="600" w:lineRule="exact"/>
        <w:ind w:firstLineChars="200" w:firstLine="640"/>
        <w:rPr>
          <w:rStyle w:val="31"/>
          <w:rFonts w:ascii="仿宋_GB2312" w:eastAsia="仿宋_GB2312" w:hint="eastAsia"/>
          <w:b w:val="0"/>
          <w:bCs/>
          <w:color w:val="000000"/>
          <w:sz w:val="32"/>
          <w:szCs w:val="32"/>
          <w:lang w:eastAsia="zh-CN"/>
        </w:rPr>
      </w:pPr>
      <w:r>
        <w:rPr>
          <w:rStyle w:val="31"/>
          <w:rFonts w:ascii="仿宋" w:eastAsia="仿宋"/>
          <w:bCs/>
          <w:color w:val="000000"/>
          <w:sz w:val="32"/>
          <w:szCs w:val="32"/>
        </w:rPr>
        <w:t>3.</w:t>
      </w:r>
      <w:r>
        <w:rPr>
          <w:rStyle w:val="31"/>
          <w:rFonts w:ascii="仿宋" w:eastAsia="仿宋" w:cs="Times New Roman" w:hint="eastAsia"/>
          <w:bCs/>
          <w:color w:val="000000"/>
          <w:kern w:val="2"/>
          <w:sz w:val="32"/>
          <w:szCs w:val="32"/>
          <w:lang w:val="en-US" w:eastAsia="zh-CN" w:bidi="ar-SA"/>
        </w:rPr>
        <w:t>社会保障和就业支出（类）行政事业单位养老支出（款）机关事业单位基本养老保险缴费支出（项）：</w:t>
      </w:r>
      <w:r>
        <w:rPr>
          <w:rStyle w:val="31"/>
          <w:rFonts w:ascii="仿宋" w:eastAsia="仿宋"/>
          <w:b w:val="0"/>
          <w:bCs/>
          <w:color w:val="000000"/>
          <w:sz w:val="32"/>
          <w:szCs w:val="32"/>
        </w:rPr>
        <w:t xml:space="preserve"> </w:t>
      </w:r>
      <w:r>
        <w:rPr>
          <w:rStyle w:val="31"/>
          <w:rFonts w:ascii="仿宋" w:eastAsia="仿宋" w:hint="eastAsia"/>
          <w:b w:val="0"/>
          <w:bCs/>
          <w:color w:val="000000"/>
          <w:sz w:val="32"/>
          <w:szCs w:val="32"/>
        </w:rPr>
        <w:t>支出决算为</w:t>
      </w:r>
      <w:r>
        <w:rPr>
          <w:rStyle w:val="31"/>
          <w:rFonts w:ascii="仿宋" w:eastAsia="仿宋" w:hint="eastAsia"/>
          <w:b w:val="0"/>
          <w:bCs/>
          <w:color w:val="000000"/>
          <w:sz w:val="32"/>
          <w:szCs w:val="32"/>
          <w:lang w:val="en-US" w:eastAsia="zh-CN"/>
        </w:rPr>
        <w:t>10.63</w:t>
      </w:r>
      <w:r>
        <w:rPr>
          <w:rStyle w:val="31"/>
          <w:rFonts w:ascii="仿宋" w:eastAsia="仿宋" w:hint="eastAsia"/>
          <w:b w:val="0"/>
          <w:bCs/>
          <w:color w:val="000000"/>
          <w:sz w:val="32"/>
          <w:szCs w:val="32"/>
        </w:rPr>
        <w:t>万元，完成预算</w:t>
      </w:r>
      <w:r>
        <w:rPr>
          <w:rStyle w:val="31"/>
          <w:rFonts w:ascii="仿宋" w:eastAsia="仿宋" w:hint="eastAsia"/>
          <w:b w:val="0"/>
          <w:bCs/>
          <w:color w:val="000000"/>
          <w:sz w:val="32"/>
          <w:szCs w:val="32"/>
          <w:lang w:val="en-US" w:eastAsia="zh-CN"/>
        </w:rPr>
        <w:t>100</w:t>
      </w:r>
      <w:r>
        <w:rPr>
          <w:rStyle w:val="31"/>
          <w:rFonts w:ascii="仿宋" w:eastAsia="仿宋"/>
          <w:b w:val="0"/>
          <w:bCs/>
          <w:color w:val="000000"/>
          <w:sz w:val="32"/>
          <w:szCs w:val="32"/>
        </w:rPr>
        <w:t>%</w:t>
      </w:r>
      <w:r>
        <w:rPr>
          <w:rStyle w:val="31"/>
          <w:rFonts w:ascii="仿宋" w:eastAsia="仿宋" w:hint="eastAsia"/>
          <w:b w:val="0"/>
          <w:bCs/>
          <w:color w:val="000000"/>
          <w:sz w:val="32"/>
          <w:szCs w:val="32"/>
          <w:lang w:eastAsia="zh-CN"/>
        </w:rPr>
        <w:t>，</w:t>
      </w:r>
      <w:r>
        <w:rPr>
          <w:rStyle w:val="31"/>
          <w:rFonts w:ascii="仿宋_GB2312" w:eastAsia="仿宋_GB2312" w:hint="eastAsia"/>
          <w:b w:val="0"/>
          <w:bCs/>
          <w:color w:val="000000"/>
          <w:sz w:val="32"/>
          <w:szCs w:val="32"/>
        </w:rPr>
        <w:t>决算数等于预算数</w:t>
      </w:r>
      <w:r>
        <w:rPr>
          <w:rStyle w:val="31"/>
          <w:rFonts w:ascii="仿宋_GB2312" w:eastAsia="仿宋_GB2312" w:hint="eastAsia"/>
          <w:b w:val="0"/>
          <w:bCs/>
          <w:color w:val="000000"/>
          <w:sz w:val="32"/>
          <w:szCs w:val="32"/>
          <w:lang w:eastAsia="zh-CN"/>
        </w:rPr>
        <w:t>。</w:t>
      </w:r>
    </w:p>
    <w:p>
      <w:pPr>
        <w:spacing w:line="600" w:lineRule="exact"/>
        <w:ind w:firstLineChars="200" w:firstLine="640"/>
        <w:rPr>
          <w:rFonts w:ascii="仿宋" w:eastAsia="仿宋"/>
          <w:b/>
          <w:color w:val="000000"/>
          <w:sz w:val="32"/>
          <w:szCs w:val="32"/>
        </w:rPr>
      </w:pPr>
      <w:r>
        <w:rPr>
          <w:rStyle w:val="31"/>
          <w:rFonts w:ascii="仿宋_GB2312" w:eastAsia="仿宋_GB2312" w:hint="eastAsia"/>
          <w:b/>
          <w:bCs w:val="0"/>
          <w:color w:val="000000"/>
          <w:sz w:val="32"/>
          <w:szCs w:val="32"/>
          <w:lang w:val="en-US" w:eastAsia="zh-CN"/>
        </w:rPr>
        <w:t>4.</w:t>
      </w:r>
      <w:r>
        <w:rPr>
          <w:rStyle w:val="31"/>
          <w:rFonts w:ascii="仿宋" w:eastAsia="仿宋" w:cs="Times New Roman" w:hint="eastAsia"/>
          <w:bCs/>
          <w:color w:val="000000"/>
          <w:kern w:val="2"/>
          <w:sz w:val="32"/>
          <w:szCs w:val="32"/>
          <w:lang w:val="en-US" w:eastAsia="zh-CN" w:bidi="ar-SA"/>
        </w:rPr>
        <w:t>社会保障和就业支出（类）行政事业单位养老支出（款）机关事业单位职业年金缴费支出（项）：</w:t>
      </w:r>
      <w:r>
        <w:rPr>
          <w:rStyle w:val="31"/>
          <w:rFonts w:ascii="仿宋" w:eastAsia="仿宋" w:hint="eastAsia"/>
          <w:b w:val="0"/>
          <w:bCs/>
          <w:color w:val="000000"/>
          <w:sz w:val="32"/>
          <w:szCs w:val="32"/>
        </w:rPr>
        <w:t>支出决算为</w:t>
      </w:r>
      <w:r>
        <w:rPr>
          <w:rStyle w:val="31"/>
          <w:rFonts w:ascii="仿宋" w:eastAsia="仿宋" w:hint="eastAsia"/>
          <w:b w:val="0"/>
          <w:bCs/>
          <w:color w:val="000000"/>
          <w:sz w:val="32"/>
          <w:szCs w:val="32"/>
          <w:lang w:val="en-US" w:eastAsia="zh-CN"/>
        </w:rPr>
        <w:t>5.31</w:t>
      </w:r>
      <w:r>
        <w:rPr>
          <w:rStyle w:val="31"/>
          <w:rFonts w:ascii="仿宋" w:eastAsia="仿宋" w:hint="eastAsia"/>
          <w:b w:val="0"/>
          <w:bCs/>
          <w:color w:val="000000"/>
          <w:sz w:val="32"/>
          <w:szCs w:val="32"/>
        </w:rPr>
        <w:t>万元，完成预算</w:t>
      </w:r>
      <w:r>
        <w:rPr>
          <w:rStyle w:val="31"/>
          <w:rFonts w:ascii="仿宋" w:eastAsia="仿宋" w:hint="eastAsia"/>
          <w:b w:val="0"/>
          <w:bCs/>
          <w:color w:val="000000"/>
          <w:sz w:val="32"/>
          <w:szCs w:val="32"/>
          <w:lang w:val="en-US" w:eastAsia="zh-CN"/>
        </w:rPr>
        <w:t>100</w:t>
      </w:r>
      <w:r>
        <w:rPr>
          <w:rStyle w:val="31"/>
          <w:rFonts w:ascii="仿宋" w:eastAsia="仿宋"/>
          <w:b w:val="0"/>
          <w:bCs/>
          <w:color w:val="000000"/>
          <w:sz w:val="32"/>
          <w:szCs w:val="32"/>
        </w:rPr>
        <w:t>%</w:t>
      </w:r>
      <w:r>
        <w:rPr>
          <w:rStyle w:val="31"/>
          <w:rFonts w:ascii="仿宋" w:eastAsia="仿宋" w:cs="Times New Roman" w:hint="eastAsia"/>
          <w:b w:val="0"/>
          <w:bCs/>
          <w:color w:val="000000"/>
          <w:sz w:val="32"/>
          <w:szCs w:val="32"/>
          <w:lang w:eastAsia="zh-CN"/>
        </w:rPr>
        <w:t>，</w:t>
      </w:r>
      <w:r>
        <w:rPr>
          <w:rStyle w:val="31"/>
          <w:rFonts w:ascii="仿宋" w:eastAsia="仿宋" w:cs="Times New Roman" w:hint="eastAsia"/>
          <w:b w:val="0"/>
          <w:bCs/>
          <w:color w:val="000000"/>
          <w:sz w:val="32"/>
          <w:szCs w:val="32"/>
        </w:rPr>
        <w:t>决算数等于预算数</w:t>
      </w:r>
      <w:r>
        <w:rPr>
          <w:rStyle w:val="31"/>
          <w:rFonts w:ascii="仿宋" w:eastAsia="仿宋" w:hint="eastAsia"/>
          <w:b w:val="0"/>
          <w:bCs/>
          <w:color w:val="000000"/>
          <w:sz w:val="32"/>
          <w:szCs w:val="32"/>
        </w:rPr>
        <w:t>。</w:t>
      </w:r>
    </w:p>
    <w:p>
      <w:pPr>
        <w:spacing w:line="600" w:lineRule="exact"/>
        <w:ind w:firstLineChars="200" w:firstLine="640"/>
        <w:rPr>
          <w:rFonts w:ascii="仿宋" w:eastAsia="仿宋"/>
          <w:b/>
          <w:color w:val="000000"/>
          <w:sz w:val="32"/>
          <w:szCs w:val="32"/>
        </w:rPr>
      </w:pPr>
      <w:r>
        <w:rPr>
          <w:rStyle w:val="31"/>
          <w:rFonts w:ascii="仿宋" w:eastAsia="仿宋" w:hint="eastAsia"/>
          <w:bCs/>
          <w:color w:val="000000"/>
          <w:sz w:val="32"/>
          <w:szCs w:val="32"/>
          <w:lang w:val="en-US" w:eastAsia="zh-CN"/>
        </w:rPr>
        <w:t>5</w:t>
      </w:r>
      <w:r>
        <w:rPr>
          <w:rStyle w:val="31"/>
          <w:rFonts w:ascii="仿宋" w:eastAsia="仿宋"/>
          <w:bCs/>
          <w:color w:val="000000"/>
          <w:sz w:val="32"/>
          <w:szCs w:val="32"/>
        </w:rPr>
        <w:t>.</w:t>
      </w:r>
      <w:r>
        <w:rPr>
          <w:rStyle w:val="31"/>
          <w:rFonts w:ascii="仿宋" w:eastAsia="仿宋" w:cs="Times New Roman" w:hint="eastAsia"/>
          <w:bCs/>
          <w:color w:val="000000"/>
          <w:kern w:val="2"/>
          <w:sz w:val="32"/>
          <w:szCs w:val="32"/>
          <w:lang w:val="en-US" w:eastAsia="zh-CN" w:bidi="ar-SA"/>
        </w:rPr>
        <w:t>卫生健康支出（类）行政事业单位医疗（款）行政单位医疗（项）：</w:t>
      </w:r>
      <w:r>
        <w:rPr>
          <w:rStyle w:val="31"/>
          <w:rFonts w:ascii="仿宋" w:eastAsia="仿宋"/>
          <w:b w:val="0"/>
          <w:bCs/>
          <w:color w:val="000000"/>
          <w:sz w:val="32"/>
          <w:szCs w:val="32"/>
        </w:rPr>
        <w:t xml:space="preserve"> </w:t>
      </w:r>
      <w:r>
        <w:rPr>
          <w:rStyle w:val="31"/>
          <w:rFonts w:ascii="仿宋" w:eastAsia="仿宋" w:hint="eastAsia"/>
          <w:b w:val="0"/>
          <w:bCs/>
          <w:color w:val="000000"/>
          <w:sz w:val="32"/>
          <w:szCs w:val="32"/>
        </w:rPr>
        <w:t>支出决算为</w:t>
      </w:r>
      <w:r>
        <w:rPr>
          <w:rStyle w:val="31"/>
          <w:rFonts w:ascii="仿宋" w:eastAsia="仿宋" w:hint="eastAsia"/>
          <w:b w:val="0"/>
          <w:bCs/>
          <w:color w:val="000000"/>
          <w:sz w:val="32"/>
          <w:szCs w:val="32"/>
          <w:lang w:val="en-US" w:eastAsia="zh-CN"/>
        </w:rPr>
        <w:t>4.72</w:t>
      </w:r>
      <w:r>
        <w:rPr>
          <w:rStyle w:val="31"/>
          <w:rFonts w:ascii="仿宋" w:eastAsia="仿宋" w:hint="eastAsia"/>
          <w:b w:val="0"/>
          <w:bCs/>
          <w:color w:val="000000"/>
          <w:sz w:val="32"/>
          <w:szCs w:val="32"/>
        </w:rPr>
        <w:t>万元，完成预算</w:t>
      </w:r>
      <w:r>
        <w:rPr>
          <w:rStyle w:val="31"/>
          <w:rFonts w:ascii="仿宋" w:eastAsia="仿宋" w:hint="eastAsia"/>
          <w:b w:val="0"/>
          <w:bCs/>
          <w:color w:val="000000"/>
          <w:sz w:val="32"/>
          <w:szCs w:val="32"/>
          <w:lang w:val="en-US" w:eastAsia="zh-CN"/>
        </w:rPr>
        <w:t>100</w:t>
      </w:r>
      <w:r>
        <w:rPr>
          <w:rStyle w:val="31"/>
          <w:rFonts w:ascii="仿宋" w:eastAsia="仿宋"/>
          <w:b w:val="0"/>
          <w:bCs/>
          <w:color w:val="000000"/>
          <w:sz w:val="32"/>
          <w:szCs w:val="32"/>
        </w:rPr>
        <w:t>%</w:t>
      </w:r>
      <w:r>
        <w:rPr>
          <w:rStyle w:val="31"/>
          <w:rFonts w:ascii="仿宋" w:eastAsia="仿宋" w:hint="eastAsia"/>
          <w:b w:val="0"/>
          <w:bCs/>
          <w:color w:val="000000"/>
          <w:sz w:val="32"/>
          <w:szCs w:val="32"/>
          <w:lang w:eastAsia="zh-CN"/>
        </w:rPr>
        <w:t>，</w:t>
      </w:r>
      <w:r>
        <w:rPr>
          <w:rStyle w:val="31"/>
          <w:rFonts w:ascii="仿宋" w:eastAsia="仿宋" w:cs="Times New Roman" w:hint="eastAsia"/>
          <w:b w:val="0"/>
          <w:bCs/>
          <w:color w:val="000000"/>
          <w:sz w:val="32"/>
          <w:szCs w:val="32"/>
          <w:lang w:eastAsia="zh-CN"/>
        </w:rPr>
        <w:t>决算数等于预算数。</w:t>
      </w:r>
    </w:p>
    <w:p>
      <w:pPr>
        <w:spacing w:line="600" w:lineRule="exact"/>
        <w:ind w:firstLineChars="200" w:firstLine="640"/>
        <w:rPr>
          <w:rStyle w:val="31"/>
          <w:rFonts w:ascii="仿宋" w:eastAsia="仿宋" w:cs="Times New Roman" w:hint="eastAsia"/>
          <w:b w:val="0"/>
          <w:bCs/>
          <w:color w:val="000000"/>
          <w:sz w:val="32"/>
          <w:szCs w:val="32"/>
        </w:rPr>
      </w:pPr>
      <w:r>
        <w:rPr>
          <w:rStyle w:val="31"/>
          <w:rFonts w:ascii="仿宋" w:eastAsia="仿宋" w:hint="eastAsia"/>
          <w:bCs/>
          <w:color w:val="000000"/>
          <w:sz w:val="32"/>
          <w:szCs w:val="32"/>
          <w:lang w:val="en-US" w:eastAsia="zh-CN"/>
        </w:rPr>
        <w:t>6</w:t>
      </w:r>
      <w:r>
        <w:rPr>
          <w:rStyle w:val="31"/>
          <w:rFonts w:ascii="仿宋" w:eastAsia="仿宋"/>
          <w:bCs/>
          <w:color w:val="000000"/>
          <w:sz w:val="32"/>
          <w:szCs w:val="32"/>
        </w:rPr>
        <w:t>.</w:t>
      </w:r>
      <w:r>
        <w:rPr>
          <w:rStyle w:val="31"/>
          <w:rFonts w:ascii="仿宋" w:eastAsia="仿宋" w:cs="Times New Roman" w:hint="eastAsia"/>
          <w:bCs/>
          <w:color w:val="000000"/>
          <w:kern w:val="2"/>
          <w:sz w:val="32"/>
          <w:szCs w:val="32"/>
          <w:lang w:val="en-US" w:eastAsia="zh-CN" w:bidi="ar-SA"/>
        </w:rPr>
        <w:t>住房保障支出（类）住房改革支出（款）住房公积金（项）：</w:t>
      </w:r>
      <w:r>
        <w:rPr>
          <w:rStyle w:val="31"/>
          <w:rFonts w:ascii="仿宋" w:eastAsia="仿宋" w:hint="eastAsia"/>
          <w:b w:val="0"/>
          <w:bCs/>
          <w:color w:val="000000"/>
          <w:sz w:val="32"/>
          <w:szCs w:val="32"/>
        </w:rPr>
        <w:t>支出决算为</w:t>
      </w:r>
      <w:r>
        <w:rPr>
          <w:rStyle w:val="31"/>
          <w:rFonts w:ascii="仿宋" w:eastAsia="仿宋" w:hint="eastAsia"/>
          <w:b w:val="0"/>
          <w:bCs/>
          <w:color w:val="000000"/>
          <w:sz w:val="32"/>
          <w:szCs w:val="32"/>
          <w:lang w:val="en-US" w:eastAsia="zh-CN"/>
        </w:rPr>
        <w:t>8.46</w:t>
      </w:r>
      <w:r>
        <w:rPr>
          <w:rStyle w:val="31"/>
          <w:rFonts w:ascii="仿宋" w:eastAsia="仿宋" w:hint="eastAsia"/>
          <w:b w:val="0"/>
          <w:bCs/>
          <w:color w:val="000000"/>
          <w:sz w:val="32"/>
          <w:szCs w:val="32"/>
        </w:rPr>
        <w:t>万元，完成预算</w:t>
      </w:r>
      <w:r>
        <w:rPr>
          <w:rStyle w:val="31"/>
          <w:rFonts w:ascii="仿宋" w:eastAsia="仿宋" w:hint="eastAsia"/>
          <w:b w:val="0"/>
          <w:bCs/>
          <w:color w:val="000000"/>
          <w:sz w:val="32"/>
          <w:szCs w:val="32"/>
          <w:lang w:val="en-US" w:eastAsia="zh-CN"/>
        </w:rPr>
        <w:t>100</w:t>
      </w:r>
      <w:r>
        <w:rPr>
          <w:rStyle w:val="31"/>
          <w:rFonts w:ascii="仿宋" w:eastAsia="仿宋"/>
          <w:b w:val="0"/>
          <w:bCs/>
          <w:color w:val="000000"/>
          <w:sz w:val="32"/>
          <w:szCs w:val="32"/>
        </w:rPr>
        <w:t>%</w:t>
      </w:r>
      <w:r>
        <w:rPr>
          <w:rStyle w:val="31"/>
          <w:rFonts w:ascii="仿宋" w:eastAsia="仿宋" w:cs="Times New Roman" w:hint="eastAsia"/>
          <w:b w:val="0"/>
          <w:bCs/>
          <w:color w:val="000000"/>
          <w:sz w:val="32"/>
          <w:szCs w:val="32"/>
          <w:lang w:eastAsia="zh-CN"/>
        </w:rPr>
        <w:t>，</w:t>
      </w:r>
      <w:r>
        <w:rPr>
          <w:rStyle w:val="31"/>
          <w:rFonts w:ascii="仿宋" w:eastAsia="仿宋" w:cs="Times New Roman" w:hint="eastAsia"/>
          <w:b w:val="0"/>
          <w:bCs/>
          <w:color w:val="000000"/>
          <w:sz w:val="32"/>
          <w:szCs w:val="32"/>
        </w:rPr>
        <w:t>决算数等于预算数。</w:t>
      </w:r>
    </w:p>
    <w:p>
      <w:pPr>
        <w:pStyle w:val="30"/>
        <w:tabs>
          <w:tab w:val="left" w:pos="960"/>
        </w:tabs>
        <w:rPr>
          <w:rFonts w:hint="eastAsia"/>
        </w:rPr>
      </w:pPr>
    </w:p>
    <w:p>
      <w:pPr>
        <w:tabs>
          <w:tab w:val="right" w:pos="8306"/>
        </w:tabs>
        <w:spacing w:line="600" w:lineRule="exact"/>
        <w:ind w:firstLine="640"/>
        <w:outlineLvl w:val="1"/>
        <w:rPr>
          <w:rStyle w:val="2Char"/>
        </w:rPr>
      </w:pPr>
      <w:bookmarkStart w:id="80" w:name="_Toc15377214"/>
      <w:bookmarkStart w:id="81" w:name="_Toc25222"/>
      <w:bookmarkStart w:id="82" w:name="_Toc15396608"/>
      <w:bookmarkStart w:id="83" w:name="_Toc6592"/>
      <w:bookmarkStart w:id="84" w:name="_Toc79163618"/>
      <w:r>
        <w:rPr>
          <w:rFonts w:ascii="黑体" w:eastAsia="黑体" w:hint="eastAsia"/>
          <w:color w:val="000000"/>
          <w:sz w:val="32"/>
          <w:szCs w:val="32"/>
        </w:rPr>
        <w:t>六</w:t>
      </w:r>
      <w:r>
        <w:rPr>
          <w:rFonts w:ascii="黑体" w:eastAsia="黑体" w:hint="eastAsia"/>
          <w:b/>
          <w:color w:val="000000"/>
          <w:sz w:val="32"/>
          <w:szCs w:val="32"/>
        </w:rPr>
        <w:t>、一</w:t>
      </w:r>
      <w:r>
        <w:rPr>
          <w:rStyle w:val="2Char"/>
          <w:rFonts w:ascii="黑体" w:eastAsia="黑体" w:hint="eastAsia"/>
          <w:b w:val="0"/>
        </w:rPr>
        <w:t>般公共预算财政拨款基本支出决算情况说明</w:t>
      </w:r>
      <w:bookmarkEnd w:id="80"/>
      <w:bookmarkEnd w:id="81"/>
      <w:bookmarkEnd w:id="82"/>
      <w:bookmarkEnd w:id="83"/>
      <w:bookmarkEnd w:id="84"/>
      <w:r>
        <w:rPr>
          <w:rStyle w:val="2Char"/>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2020</w:t>
      </w:r>
      <w:r>
        <w:rPr>
          <w:rFonts w:ascii="仿宋" w:eastAsia="仿宋" w:hint="eastAsia"/>
          <w:color w:val="000000"/>
          <w:sz w:val="32"/>
          <w:szCs w:val="32"/>
        </w:rPr>
        <w:t>年一般公共预算财政拨款基本支出</w:t>
      </w:r>
      <w:r>
        <w:rPr>
          <w:rFonts w:ascii="仿宋" w:eastAsia="仿宋" w:hint="eastAsia"/>
          <w:color w:val="000000"/>
          <w:sz w:val="32"/>
          <w:szCs w:val="32"/>
          <w:lang w:val="en-US" w:eastAsia="zh-CN"/>
        </w:rPr>
        <w:t>112.08</w:t>
      </w:r>
      <w:r>
        <w:rPr>
          <w:rFonts w:ascii="仿宋" w:eastAsia="仿宋" w:hint="eastAsia"/>
          <w:color w:val="000000"/>
          <w:sz w:val="32"/>
          <w:szCs w:val="32"/>
        </w:rPr>
        <w:t>万元，其中：</w:t>
      </w:r>
    </w:p>
    <w:p>
      <w:pPr>
        <w:spacing w:line="600" w:lineRule="exact"/>
        <w:ind w:firstLine="645"/>
        <w:rPr>
          <w:rFonts w:ascii="仿宋" w:eastAsia="仿宋" w:cs="Times New Roman" w:hint="eastAsia"/>
          <w:color w:val="000000"/>
          <w:sz w:val="32"/>
          <w:szCs w:val="32"/>
          <w:lang w:eastAsia="zh-CN"/>
        </w:rPr>
      </w:pPr>
      <w:r>
        <w:rPr>
          <w:rFonts w:ascii="仿宋" w:eastAsia="仿宋" w:hint="eastAsia"/>
          <w:color w:val="000000"/>
          <w:sz w:val="32"/>
          <w:szCs w:val="32"/>
        </w:rPr>
        <w:t>人员经费</w:t>
      </w:r>
      <w:r>
        <w:rPr>
          <w:rFonts w:ascii="仿宋" w:eastAsia="仿宋" w:cs="Times New Roman" w:hint="eastAsia"/>
          <w:color w:val="000000"/>
          <w:sz w:val="32"/>
          <w:szCs w:val="32"/>
          <w:lang w:val="en-US" w:eastAsia="zh-CN"/>
        </w:rPr>
        <w:t>104.33</w:t>
      </w:r>
      <w:r>
        <w:rPr>
          <w:rFonts w:ascii="仿宋" w:eastAsia="仿宋" w:cs="Times New Roman" w:hint="eastAsia"/>
          <w:color w:val="000000"/>
          <w:sz w:val="32"/>
          <w:szCs w:val="32"/>
        </w:rPr>
        <w:t>万元，主要包括：基本工资、津贴补贴、奖金、机关事业单位基本养老保险缴费、职业年金缴费、</w:t>
      </w:r>
      <w:r>
        <w:rPr>
          <w:rFonts w:ascii="仿宋" w:eastAsia="仿宋" w:cs="Times New Roman" w:hint="eastAsia"/>
          <w:color w:val="000000"/>
          <w:sz w:val="32"/>
          <w:szCs w:val="32"/>
          <w:lang w:val="en-US" w:eastAsia="zh-CN"/>
        </w:rPr>
        <w:t>职工基本医疗保险缴费、</w:t>
      </w:r>
      <w:r>
        <w:rPr>
          <w:rFonts w:ascii="仿宋" w:eastAsia="仿宋" w:cs="Times New Roman" w:hint="eastAsia"/>
          <w:color w:val="000000"/>
          <w:sz w:val="32"/>
          <w:szCs w:val="32"/>
        </w:rPr>
        <w:t>其他社会保障缴费、住房公积金</w:t>
      </w:r>
      <w:r>
        <w:rPr>
          <w:rFonts w:ascii="仿宋" w:eastAsia="仿宋" w:cs="Times New Roman" w:hint="eastAsia"/>
          <w:color w:val="000000"/>
          <w:sz w:val="32"/>
          <w:szCs w:val="32"/>
          <w:lang w:eastAsia="zh-CN"/>
        </w:rPr>
        <w:t>、</w:t>
      </w:r>
      <w:r>
        <w:rPr>
          <w:rFonts w:ascii="仿宋" w:eastAsia="仿宋" w:cs="Times New Roman" w:hint="eastAsia"/>
          <w:color w:val="000000"/>
          <w:sz w:val="32"/>
          <w:szCs w:val="32"/>
          <w:lang w:val="en-US" w:eastAsia="zh-CN"/>
        </w:rPr>
        <w:t>医疗费补助、奖励金</w:t>
      </w:r>
      <w:r>
        <w:rPr>
          <w:rFonts w:ascii="仿宋" w:eastAsia="仿宋" w:cs="Times New Roman" w:hint="eastAsia"/>
          <w:color w:val="000000"/>
          <w:sz w:val="32"/>
          <w:szCs w:val="32"/>
        </w:rPr>
        <w:t>。</w:t>
      </w:r>
    </w:p>
    <w:p>
      <w:pPr>
        <w:spacing w:line="600" w:lineRule="exact"/>
        <w:ind w:firstLineChars="200" w:firstLine="640"/>
        <w:rPr>
          <w:rFonts w:ascii="仿宋" w:eastAsia="仿宋"/>
          <w:b/>
          <w:color w:val="FF0000"/>
          <w:sz w:val="32"/>
          <w:szCs w:val="32"/>
        </w:rPr>
      </w:pPr>
      <w:r>
        <w:rPr>
          <w:rFonts w:ascii="仿宋" w:eastAsia="仿宋" w:hint="eastAsia"/>
          <w:color w:val="000000"/>
          <w:sz w:val="32"/>
          <w:szCs w:val="32"/>
        </w:rPr>
        <w:t>日常公用经费</w:t>
      </w:r>
      <w:r>
        <w:rPr>
          <w:rFonts w:ascii="仿宋" w:eastAsia="仿宋" w:hint="eastAsia"/>
          <w:color w:val="000000"/>
          <w:sz w:val="32"/>
          <w:szCs w:val="32"/>
          <w:lang w:val="en-US" w:eastAsia="zh-CN"/>
        </w:rPr>
        <w:t>7.76</w:t>
      </w:r>
      <w:r>
        <w:rPr>
          <w:rFonts w:ascii="仿宋" w:eastAsia="仿宋" w:hint="eastAsia"/>
          <w:color w:val="000000"/>
          <w:sz w:val="32"/>
          <w:szCs w:val="32"/>
        </w:rPr>
        <w:t>万元，主要包</w:t>
      </w:r>
      <w:r>
        <w:rPr>
          <w:rFonts w:ascii="仿宋" w:eastAsia="仿宋" w:cs="Times New Roman" w:hint="eastAsia"/>
          <w:color w:val="000000"/>
          <w:sz w:val="32"/>
          <w:szCs w:val="32"/>
        </w:rPr>
        <w:t>括：</w:t>
      </w:r>
      <w:r>
        <w:rPr>
          <w:rFonts w:ascii="仿宋" w:eastAsia="仿宋" w:cs="Times New Roman" w:hint="eastAsia"/>
          <w:color w:val="000000"/>
          <w:sz w:val="32"/>
          <w:szCs w:val="32"/>
          <w:lang w:val="en-US" w:eastAsia="zh-CN"/>
        </w:rPr>
        <w:t>办公费、水费、电费、邮电费、取暖费、物业管理费、差旅费、公务用车运行维护费</w:t>
      </w:r>
      <w:r>
        <w:rPr>
          <w:rFonts w:ascii="仿宋" w:eastAsia="仿宋" w:cs="Times New Roman" w:hint="eastAsia"/>
          <w:color w:val="000000"/>
          <w:sz w:val="32"/>
          <w:szCs w:val="32"/>
        </w:rPr>
        <w:t>。</w:t>
      </w:r>
    </w:p>
    <w:p>
      <w:pPr>
        <w:spacing w:line="600" w:lineRule="exact"/>
        <w:ind w:firstLine="640"/>
        <w:outlineLvl w:val="1"/>
        <w:rPr>
          <w:rStyle w:val="2Char"/>
          <w:rFonts w:ascii="黑体" w:eastAsia="黑体"/>
          <w:b w:val="0"/>
        </w:rPr>
      </w:pPr>
      <w:bookmarkStart w:id="85" w:name="_Toc4893"/>
      <w:bookmarkStart w:id="86" w:name="_Toc15396609"/>
      <w:bookmarkStart w:id="87" w:name="_Toc15377215"/>
      <w:bookmarkStart w:id="88" w:name="_Toc79163619"/>
      <w:bookmarkStart w:id="89" w:name="_Toc6899"/>
      <w:r>
        <w:rPr>
          <w:rFonts w:ascii="黑体" w:eastAsia="黑体" w:hint="eastAsia"/>
          <w:color w:val="000000"/>
          <w:sz w:val="32"/>
          <w:szCs w:val="32"/>
        </w:rPr>
        <w:t>七、</w:t>
      </w:r>
      <w:r>
        <w:rPr>
          <w:rStyle w:val="2Char"/>
          <w:rFonts w:ascii="黑体" w:eastAsia="黑体" w:hint="eastAsia"/>
        </w:rPr>
        <w:t>“</w:t>
      </w:r>
      <w:r>
        <w:rPr>
          <w:rStyle w:val="2Char"/>
          <w:rFonts w:ascii="黑体" w:eastAsia="黑体" w:hint="eastAsia"/>
          <w:b w:val="0"/>
        </w:rPr>
        <w:t>三公”经费财政拨款支出决算情况说明</w:t>
      </w:r>
      <w:bookmarkEnd w:id="85"/>
      <w:bookmarkEnd w:id="86"/>
      <w:bookmarkEnd w:id="87"/>
      <w:bookmarkEnd w:id="88"/>
      <w:bookmarkEnd w:id="89"/>
    </w:p>
    <w:p>
      <w:pPr>
        <w:spacing w:line="600" w:lineRule="exact"/>
        <w:ind w:firstLine="640"/>
        <w:outlineLvl w:val="2"/>
        <w:rPr>
          <w:rFonts w:ascii="仿宋" w:eastAsia="仿宋"/>
          <w:b/>
          <w:color w:val="000000"/>
          <w:sz w:val="32"/>
          <w:szCs w:val="32"/>
        </w:rPr>
      </w:pPr>
      <w:bookmarkStart w:id="90" w:name="_Toc21862"/>
      <w:bookmarkStart w:id="91" w:name="_Toc5266"/>
      <w:bookmarkStart w:id="92" w:name="_Toc15377216"/>
      <w:bookmarkStart w:id="93" w:name="_Toc79163620"/>
      <w:r>
        <w:rPr>
          <w:rFonts w:ascii="仿宋" w:eastAsia="仿宋" w:hint="eastAsia"/>
          <w:b/>
          <w:color w:val="000000"/>
          <w:sz w:val="32"/>
          <w:szCs w:val="32"/>
        </w:rPr>
        <w:t>（一）“三公”经费财政拨款支出决算总体情况说明</w:t>
      </w:r>
      <w:bookmarkEnd w:id="90"/>
      <w:bookmarkEnd w:id="91"/>
      <w:bookmarkEnd w:id="92"/>
      <w:bookmarkEnd w:id="93"/>
    </w:p>
    <w:p>
      <w:pPr>
        <w:spacing w:line="600" w:lineRule="exact"/>
        <w:ind w:firstLine="640"/>
        <w:rPr>
          <w:rFonts w:ascii="仿宋" w:eastAsia="仿宋" w:hint="eastAsia"/>
          <w:color w:val="FF0000"/>
          <w:sz w:val="32"/>
          <w:szCs w:val="32"/>
          <w:lang w:eastAsia="zh-CN"/>
        </w:rPr>
      </w:pPr>
      <w:r>
        <w:rPr>
          <w:rFonts w:ascii="仿宋" w:eastAsia="仿宋"/>
          <w:color w:val="000000"/>
          <w:sz w:val="32"/>
          <w:szCs w:val="32"/>
        </w:rPr>
        <w:t>2020</w:t>
      </w:r>
      <w:r>
        <w:rPr>
          <w:rFonts w:ascii="仿宋" w:eastAsia="仿宋" w:hint="eastAsia"/>
          <w:color w:val="000000"/>
          <w:sz w:val="32"/>
          <w:szCs w:val="32"/>
        </w:rPr>
        <w:t>年“三公”经费财政拨款支出决算为</w:t>
      </w:r>
      <w:r>
        <w:rPr>
          <w:rFonts w:ascii="仿宋" w:eastAsia="仿宋" w:hint="eastAsia"/>
          <w:color w:val="000000"/>
          <w:sz w:val="32"/>
          <w:szCs w:val="32"/>
          <w:lang w:val="en-US" w:eastAsia="zh-CN"/>
        </w:rPr>
        <w:t>4.00</w:t>
      </w:r>
      <w:r>
        <w:rPr>
          <w:rFonts w:ascii="仿宋" w:eastAsia="仿宋" w:hint="eastAsia"/>
          <w:color w:val="000000"/>
          <w:sz w:val="32"/>
          <w:szCs w:val="32"/>
        </w:rPr>
        <w:t>万元，完成预算</w:t>
      </w:r>
      <w:r>
        <w:rPr>
          <w:rFonts w:ascii="仿宋" w:eastAsia="仿宋" w:hint="eastAsia"/>
          <w:color w:val="000000"/>
          <w:sz w:val="32"/>
          <w:szCs w:val="32"/>
          <w:lang w:val="en-US" w:eastAsia="zh-CN"/>
        </w:rPr>
        <w:t>100</w:t>
      </w:r>
      <w:r>
        <w:rPr>
          <w:rFonts w:ascii="仿宋" w:eastAsia="仿宋"/>
          <w:color w:val="000000"/>
          <w:sz w:val="32"/>
          <w:szCs w:val="32"/>
        </w:rPr>
        <w:t>%</w:t>
      </w:r>
      <w:r>
        <w:rPr>
          <w:rFonts w:ascii="仿宋" w:eastAsia="仿宋" w:hint="eastAsia"/>
          <w:color w:val="000000"/>
          <w:sz w:val="32"/>
          <w:szCs w:val="32"/>
          <w:lang w:eastAsia="zh-CN"/>
        </w:rPr>
        <w:t>。</w:t>
      </w:r>
    </w:p>
    <w:p>
      <w:pPr>
        <w:spacing w:line="600" w:lineRule="exact"/>
        <w:ind w:firstLine="640"/>
        <w:outlineLvl w:val="2"/>
        <w:rPr>
          <w:rFonts w:ascii="仿宋" w:eastAsia="仿宋"/>
          <w:b/>
          <w:color w:val="000000"/>
          <w:sz w:val="32"/>
          <w:szCs w:val="32"/>
        </w:rPr>
      </w:pPr>
      <w:bookmarkStart w:id="94" w:name="_Toc15377217"/>
      <w:bookmarkStart w:id="95" w:name="_Toc5844"/>
      <w:bookmarkStart w:id="96" w:name="_Toc1271"/>
      <w:bookmarkStart w:id="97" w:name="_Toc79163621"/>
      <w:r>
        <w:rPr>
          <w:rFonts w:ascii="仿宋" w:eastAsia="仿宋" w:hint="eastAsia"/>
          <w:b/>
          <w:color w:val="000000"/>
          <w:sz w:val="32"/>
          <w:szCs w:val="32"/>
        </w:rPr>
        <w:t>（二）“三公”经费财政拨款支出决算具体情况说明</w:t>
      </w:r>
      <w:bookmarkEnd w:id="94"/>
      <w:bookmarkEnd w:id="95"/>
      <w:bookmarkEnd w:id="96"/>
      <w:bookmarkEnd w:id="97"/>
    </w:p>
    <w:p>
      <w:pPr>
        <w:spacing w:line="600" w:lineRule="exact"/>
        <w:ind w:firstLine="640"/>
        <w:rPr>
          <w:rFonts w:ascii="仿宋" w:eastAsia="仿宋" w:hint="eastAsia"/>
          <w:color w:val="000000"/>
          <w:sz w:val="32"/>
          <w:szCs w:val="32"/>
        </w:rPr>
      </w:pPr>
      <w:r>
        <w:rPr>
          <w:rFonts w:ascii="仿宋" w:eastAsia="仿宋"/>
          <w:color w:val="000000"/>
          <w:sz w:val="32"/>
          <w:szCs w:val="32"/>
        </w:rPr>
        <w:t>2020</w:t>
      </w:r>
      <w:r>
        <w:rPr>
          <w:rFonts w:ascii="仿宋" w:eastAsia="仿宋" w:hint="eastAsia"/>
          <w:color w:val="000000"/>
          <w:sz w:val="32"/>
          <w:szCs w:val="32"/>
        </w:rPr>
        <w:t>年“三公”经费财政拨款支出决算中，因公出国（境）费支出决算</w:t>
      </w:r>
      <w:r>
        <w:rPr>
          <w:rFonts w:ascii="仿宋" w:eastAsia="仿宋" w:hint="eastAsia"/>
          <w:color w:val="000000"/>
          <w:sz w:val="32"/>
          <w:szCs w:val="32"/>
          <w:lang w:val="en-US" w:eastAsia="zh-CN"/>
        </w:rPr>
        <w:t>0</w:t>
      </w:r>
      <w:r>
        <w:rPr>
          <w:rFonts w:ascii="仿宋" w:eastAsia="仿宋" w:hint="eastAsia"/>
          <w:color w:val="000000"/>
          <w:sz w:val="32"/>
          <w:szCs w:val="32"/>
        </w:rPr>
        <w:t>万元；公务用车购置及运行维护费支出决算</w:t>
      </w:r>
      <w:r>
        <w:rPr>
          <w:rFonts w:ascii="仿宋" w:eastAsia="仿宋" w:hint="eastAsia"/>
          <w:color w:val="000000"/>
          <w:sz w:val="32"/>
          <w:szCs w:val="32"/>
          <w:lang w:val="en-US" w:eastAsia="zh-CN"/>
        </w:rPr>
        <w:t>4</w:t>
      </w:r>
      <w:r>
        <w:rPr>
          <w:rFonts w:ascii="仿宋" w:eastAsia="仿宋" w:hint="eastAsia"/>
          <w:color w:val="000000"/>
          <w:sz w:val="32"/>
          <w:szCs w:val="32"/>
        </w:rPr>
        <w:t>万元；公务接待费支出决算</w:t>
      </w:r>
      <w:r>
        <w:rPr>
          <w:rFonts w:ascii="仿宋" w:eastAsia="仿宋" w:hint="eastAsia"/>
          <w:color w:val="000000"/>
          <w:sz w:val="32"/>
          <w:szCs w:val="32"/>
          <w:lang w:val="en-US" w:eastAsia="zh-CN"/>
        </w:rPr>
        <w:t>0</w:t>
      </w:r>
      <w:r>
        <w:rPr>
          <w:rFonts w:ascii="仿宋" w:eastAsia="仿宋" w:hint="eastAsia"/>
          <w:color w:val="000000"/>
          <w:sz w:val="32"/>
          <w:szCs w:val="32"/>
        </w:rPr>
        <w:t>万元。具体情况如下：</w:t>
      </w:r>
    </w:p>
    <w:p>
      <w:pPr>
        <w:pStyle w:val="30"/>
        <w:tabs>
          <w:tab w:val="left" w:pos="960"/>
        </w:tabs>
        <w:rPr>
          <w:rFonts w:ascii="仿宋_GB2312" w:eastAsia="仿宋_GB2312" w:hint="eastAsia"/>
          <w:color w:val="000000"/>
          <w:sz w:val="32"/>
          <w:szCs w:val="32"/>
        </w:rPr>
      </w:pPr>
      <w:r>
        <w:rPr>
          <w:rFonts w:ascii="仿宋_GB2312" w:eastAsia="仿宋_GB2312" w:hint="eastAsia"/>
          <w:color w:val="000000"/>
          <w:sz w:val="32"/>
          <w:szCs w:val="32"/>
        </w:rPr>
        <w:t>（图8：“三公”经费财政拨款支出结构）（饼状图）</w:t>
      </w:r>
    </w:p>
    <w:p>
      <w:pPr>
        <w:pStyle w:val="30"/>
        <w:tabs>
          <w:tab w:val="left" w:pos="960"/>
        </w:tabs>
        <w:rPr>
          <w:rFonts w:ascii="仿宋_GB2312" w:eastAsia="仿宋_GB2312" w:hint="eastAsia"/>
          <w:color w:val="000000"/>
          <w:sz w:val="32"/>
          <w:szCs w:val="32"/>
        </w:rPr>
      </w:pPr>
    </w:p>
    <w:p>
      <w:pPr>
        <w:pStyle w:val="30"/>
        <w:tabs>
          <w:tab w:val="left" w:pos="960"/>
        </w:tabs>
        <w:rPr>
          <w:rFonts w:ascii="仿宋_GB2312" w:eastAsia="仿宋_GB2312" w:hint="eastAsia"/>
          <w:color w:val="000000"/>
          <w:sz w:val="32"/>
          <w:szCs w:val="32"/>
        </w:rPr>
      </w:pPr>
    </w:p>
    <w:p>
      <w:pPr>
        <w:pStyle w:val="30"/>
        <w:tabs>
          <w:tab w:val="left" w:pos="960"/>
        </w:tabs>
        <w:rPr>
          <w:rFonts w:ascii="仿宋_GB2312" w:eastAsia="仿宋_GB2312" w:hint="eastAsia"/>
          <w:color w:val="000000"/>
          <w:sz w:val="32"/>
          <w:szCs w:val="32"/>
        </w:rPr>
      </w:pPr>
    </w:p>
    <w:p>
      <w:pPr>
        <w:pStyle w:val="30"/>
        <w:tabs>
          <w:tab w:val="left" w:pos="960"/>
        </w:tabs>
        <w:rPr>
          <w:rFonts w:ascii="仿宋_GB2312" w:eastAsia="仿宋_GB2312" w:hint="eastAsia"/>
          <w:color w:val="000000"/>
          <w:sz w:val="32"/>
          <w:szCs w:val="32"/>
        </w:rPr>
      </w:pPr>
    </w:p>
    <w:p>
      <w:pPr>
        <w:pStyle w:val="30"/>
        <w:tabs>
          <w:tab w:val="left" w:pos="960"/>
        </w:tabs>
        <w:rPr>
          <w:rFonts w:ascii="仿宋_GB2312" w:eastAsia="仿宋_GB2312" w:hint="eastAsia"/>
          <w:color w:val="000000"/>
          <w:sz w:val="32"/>
          <w:szCs w:val="32"/>
        </w:rPr>
      </w:pPr>
    </w:p>
    <w:p>
      <w:pPr>
        <w:pStyle w:val="30"/>
        <w:tabs>
          <w:tab w:val="left" w:pos="960"/>
        </w:tabs>
        <w:rPr>
          <w:rFonts w:ascii="仿宋_GB2312" w:eastAsia="仿宋_GB2312" w:hint="eastAsia"/>
          <w:color w:val="000000"/>
          <w:sz w:val="32"/>
          <w:szCs w:val="32"/>
        </w:rPr>
      </w:pPr>
    </w:p>
    <w:p>
      <w:pPr>
        <w:pStyle w:val="30"/>
        <w:tabs>
          <w:tab w:val="left" w:pos="960"/>
        </w:tabs>
        <w:rPr>
          <w:rFonts w:ascii="仿宋_GB2312" w:eastAsia="仿宋_GB2312" w:hint="eastAsia"/>
          <w:color w:val="000000"/>
          <w:sz w:val="32"/>
          <w:szCs w:val="32"/>
        </w:rPr>
      </w:pPr>
      <w:r>
        <w:drawing>
          <wp:anchor distT="0" distB="0" distL="114300" distR="114300" simplePos="0" relativeHeight="18" behindDoc="1" locked="0" layoutInCell="1" hidden="0" allowOverlap="1">
            <wp:simplePos x="0" y="0"/>
            <wp:positionH relativeFrom="column">
              <wp:posOffset>410844</wp:posOffset>
            </wp:positionH>
            <wp:positionV relativeFrom="paragraph">
              <wp:posOffset>-1816735</wp:posOffset>
            </wp:positionV>
            <wp:extent cx="4622165" cy="2080260"/>
            <wp:effectExtent l="0" t="0" r="0" b="0"/>
            <wp:wrapNone/>
            <wp:docPr id="9" name="图表 11"/>
            <wp:cNvGraphicFramePr>
              <a:graphicFrameLocks noChangeAspect="0"/>
            </wp:cNvGraphicFramePr>
            <a:graphic>
              <a:graphicData uri="http://schemas.openxmlformats.org/drawingml/2006/chart">
                <c:chart xmlns:c="http://schemas.openxmlformats.org/drawingml/2006/chart" r:id="rId13"/>
              </a:graphicData>
            </a:graphic>
          </wp:anchor>
        </w:drawing>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r>
        <w:rPr>
          <w:rStyle w:val="31"/>
          <w:rFonts w:ascii="仿宋" w:eastAsia="仿宋" w:hint="eastAsia"/>
          <w:b w:val="0"/>
          <w:bCs/>
          <w:color w:val="000000"/>
          <w:sz w:val="32"/>
          <w:szCs w:val="32"/>
        </w:rPr>
        <w:t>完成预算</w:t>
      </w:r>
      <w:r>
        <w:rPr>
          <w:rStyle w:val="31"/>
          <w:rFonts w:ascii="仿宋" w:eastAsia="仿宋" w:hint="eastAsia"/>
          <w:b w:val="0"/>
          <w:bCs/>
          <w:color w:val="000000"/>
          <w:sz w:val="32"/>
          <w:szCs w:val="32"/>
          <w:lang w:val="en-US" w:eastAsia="zh-CN"/>
        </w:rPr>
        <w:t>100</w:t>
      </w:r>
      <w:r>
        <w:rPr>
          <w:rStyle w:val="31"/>
          <w:rFonts w:ascii="仿宋" w:eastAsia="仿宋"/>
          <w:b w:val="0"/>
          <w:bCs/>
          <w:color w:val="000000"/>
          <w:sz w:val="32"/>
          <w:szCs w:val="32"/>
        </w:rPr>
        <w:t>%</w:t>
      </w:r>
      <w:r>
        <w:rPr>
          <w:rStyle w:val="31"/>
          <w:rFonts w:ascii="仿宋" w:eastAsia="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次，出国（境）</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lang w:val="en-US" w:eastAsia="zh-CN"/>
        </w:rPr>
        <w:t>9</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lang w:val="en-US" w:eastAsia="zh-CN"/>
        </w:rPr>
        <w:t>0</w:t>
      </w:r>
      <w:r>
        <w:rPr>
          <w:rFonts w:ascii="仿宋_GB2312" w:eastAsia="仿宋_GB2312"/>
          <w:color w:val="000000"/>
          <w:sz w:val="32"/>
          <w:szCs w:val="32"/>
        </w:rPr>
        <w:t>%</w:t>
      </w:r>
      <w:r>
        <w:rPr>
          <w:rFonts w:ascii="仿宋_GB2312" w:eastAsia="仿宋_GB2312" w:hint="eastAsia"/>
          <w:color w:val="000000"/>
          <w:sz w:val="32"/>
          <w:szCs w:val="32"/>
        </w:rPr>
        <w:t>。主要原因是</w:t>
      </w:r>
      <w:r>
        <w:rPr>
          <w:rFonts w:ascii="仿宋_GB2312" w:eastAsia="仿宋_GB2312" w:hint="eastAsia"/>
          <w:color w:val="000000"/>
          <w:sz w:val="32"/>
          <w:szCs w:val="32"/>
          <w:lang w:val="en-US" w:eastAsia="zh-CN"/>
        </w:rPr>
        <w:t>本年度无因公出国（境）经费支出</w:t>
      </w:r>
      <w:r>
        <w:rPr>
          <w:rFonts w:ascii="仿宋_GB2312" w:eastAsia="仿宋_GB2312" w:hint="eastAsia"/>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lang w:val="en-US" w:eastAsia="zh-CN"/>
        </w:rPr>
        <w:t>4.00</w:t>
      </w:r>
      <w:r>
        <w:rPr>
          <w:rFonts w:ascii="仿宋_GB2312" w:eastAsia="仿宋_GB2312" w:hint="eastAsia"/>
          <w:color w:val="000000"/>
          <w:sz w:val="32"/>
          <w:szCs w:val="32"/>
        </w:rPr>
        <w:t>万元</w:t>
      </w:r>
      <w:r>
        <w:rPr>
          <w:rFonts w:ascii="仿宋_GB2312" w:eastAsia="仿宋_GB2312" w:hint="eastAsia"/>
          <w:color w:val="000000"/>
          <w:sz w:val="32"/>
          <w:szCs w:val="32"/>
          <w:lang w:eastAsia="zh-CN"/>
        </w:rPr>
        <w:t>，</w:t>
      </w:r>
      <w:r>
        <w:rPr>
          <w:rStyle w:val="31"/>
          <w:rFonts w:ascii="仿宋" w:eastAsia="仿宋" w:hint="eastAsia"/>
          <w:b w:val="0"/>
          <w:bCs/>
          <w:color w:val="000000"/>
          <w:sz w:val="32"/>
          <w:szCs w:val="32"/>
        </w:rPr>
        <w:t>完成预算</w:t>
      </w:r>
      <w:r>
        <w:rPr>
          <w:rStyle w:val="31"/>
          <w:rFonts w:ascii="仿宋" w:eastAsia="仿宋" w:hint="eastAsia"/>
          <w:b w:val="0"/>
          <w:bCs/>
          <w:color w:val="000000"/>
          <w:sz w:val="32"/>
          <w:szCs w:val="32"/>
          <w:lang w:val="en-US" w:eastAsia="zh-CN"/>
        </w:rPr>
        <w:t>100</w:t>
      </w:r>
      <w:r>
        <w:rPr>
          <w:rStyle w:val="31"/>
          <w:rFonts w:ascii="仿宋" w:eastAsia="仿宋"/>
          <w:b w:val="0"/>
          <w:bCs/>
          <w:color w:val="000000"/>
          <w:sz w:val="32"/>
          <w:szCs w:val="32"/>
        </w:rPr>
        <w:t>%</w:t>
      </w:r>
      <w:r>
        <w:rPr>
          <w:rStyle w:val="31"/>
          <w:rFonts w:ascii="仿宋" w:eastAsia="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lang w:val="en-US" w:eastAsia="zh-CN"/>
        </w:rPr>
        <w:t>9</w:t>
      </w:r>
      <w:r>
        <w:rPr>
          <w:rFonts w:ascii="仿宋_GB2312" w:eastAsia="仿宋_GB2312" w:hint="eastAsia"/>
          <w:color w:val="000000"/>
          <w:sz w:val="32"/>
          <w:szCs w:val="32"/>
        </w:rPr>
        <w:t>年增加0.05万元，增长1.38</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auto"/>
          <w:sz w:val="32"/>
          <w:szCs w:val="32"/>
        </w:rPr>
        <w:t>主要原因是</w:t>
      </w:r>
      <w:r>
        <w:rPr>
          <w:rFonts w:ascii="仿宋_GB2312" w:eastAsia="仿宋_GB2312" w:hint="eastAsia"/>
          <w:color w:val="auto"/>
          <w:sz w:val="32"/>
          <w:szCs w:val="32"/>
          <w:lang w:val="en-US" w:eastAsia="zh-CN"/>
        </w:rPr>
        <w:t>公务用车运行维护费增加</w:t>
      </w:r>
      <w:r>
        <w:rPr>
          <w:rFonts w:ascii="仿宋_GB2312" w:eastAsia="仿宋_GB2312" w:hint="eastAsia"/>
          <w:color w:val="auto"/>
          <w:sz w:val="32"/>
          <w:szCs w:val="32"/>
        </w:rPr>
        <w:t>。</w:t>
      </w:r>
    </w:p>
    <w:p>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万元。全年按规定更新购置公务用车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辆，其中：轿车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辆、金额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万元，越野车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辆、金额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万元，载客汽车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辆、金额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r>
        <w:rPr>
          <w:rFonts w:ascii="仿宋_GB2312" w:eastAsia="仿宋_GB2312" w:hint="eastAsia"/>
          <w:color w:val="000000"/>
          <w:sz w:val="32"/>
          <w:szCs w:val="32"/>
          <w:lang w:eastAsia="zh-CN"/>
        </w:rPr>
        <w:t>。</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hint="eastAsia"/>
          <w:color w:val="000000"/>
          <w:sz w:val="32"/>
          <w:szCs w:val="32"/>
          <w:lang w:val="en-US" w:eastAsia="zh-CN"/>
        </w:rPr>
        <w:t>1</w:t>
      </w:r>
      <w:r>
        <w:rPr>
          <w:rFonts w:ascii="仿宋_GB2312" w:eastAsia="仿宋_GB2312" w:hint="eastAsia"/>
          <w:color w:val="000000"/>
          <w:sz w:val="32"/>
          <w:szCs w:val="32"/>
        </w:rPr>
        <w:t>辆，其中：轿车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辆、越野车</w:t>
      </w:r>
      <w:r>
        <w:rPr>
          <w:rFonts w:ascii="仿宋_GB2312" w:eastAsia="仿宋_GB2312" w:hint="eastAsia"/>
          <w:color w:val="000000"/>
          <w:sz w:val="32"/>
          <w:szCs w:val="32"/>
          <w:lang w:val="en-US" w:eastAsia="zh-CN"/>
        </w:rPr>
        <w:t>1</w:t>
      </w:r>
      <w:r>
        <w:rPr>
          <w:rFonts w:ascii="仿宋_GB2312" w:eastAsia="仿宋_GB2312" w:hint="eastAsia"/>
          <w:color w:val="000000"/>
          <w:sz w:val="32"/>
          <w:szCs w:val="32"/>
        </w:rPr>
        <w:t>辆、载客汽车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w:t>
      </w:r>
    </w:p>
    <w:p>
      <w:pPr>
        <w:spacing w:line="600" w:lineRule="exact"/>
        <w:ind w:firstLine="640"/>
        <w:rPr>
          <w:rFonts w:ascii="仿宋_GB2312" w:eastAsia="仿宋_GB2312" w:hint="eastAsia"/>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lang w:val="en-US" w:eastAsia="zh-CN"/>
        </w:rPr>
        <w:t>4.00</w:t>
      </w:r>
      <w:r>
        <w:rPr>
          <w:rFonts w:ascii="仿宋_GB2312" w:eastAsia="仿宋_GB2312" w:hint="eastAsia"/>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r>
        <w:rPr>
          <w:rStyle w:val="31"/>
          <w:rFonts w:ascii="仿宋" w:eastAsia="仿宋" w:hint="eastAsia"/>
          <w:b w:val="0"/>
          <w:bCs/>
          <w:color w:val="000000"/>
          <w:sz w:val="32"/>
          <w:szCs w:val="32"/>
        </w:rPr>
        <w:t>完成预算</w:t>
      </w:r>
      <w:r>
        <w:rPr>
          <w:rStyle w:val="31"/>
          <w:rFonts w:ascii="仿宋" w:eastAsia="仿宋" w:hint="eastAsia"/>
          <w:b w:val="0"/>
          <w:bCs/>
          <w:color w:val="000000"/>
          <w:sz w:val="32"/>
          <w:szCs w:val="32"/>
          <w:lang w:val="en-US" w:eastAsia="zh-CN"/>
        </w:rPr>
        <w:t>100</w:t>
      </w:r>
      <w:r>
        <w:rPr>
          <w:rStyle w:val="31"/>
          <w:rFonts w:ascii="仿宋" w:eastAsia="仿宋"/>
          <w:b w:val="0"/>
          <w:bCs/>
          <w:color w:val="000000"/>
          <w:sz w:val="32"/>
          <w:szCs w:val="32"/>
        </w:rPr>
        <w:t>%</w:t>
      </w:r>
      <w:r>
        <w:rPr>
          <w:rStyle w:val="31"/>
          <w:rFonts w:ascii="仿宋" w:eastAsia="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2019</w:t>
      </w:r>
      <w:r>
        <w:rPr>
          <w:rFonts w:ascii="仿宋_GB2312" w:eastAsia="仿宋_GB2312" w:hint="eastAsia"/>
          <w:color w:val="000000"/>
          <w:sz w:val="32"/>
          <w:szCs w:val="32"/>
        </w:rPr>
        <w:t>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lang w:val="en-US" w:eastAsia="zh-CN"/>
        </w:rPr>
        <w:t>0</w:t>
      </w:r>
      <w:r>
        <w:rPr>
          <w:rFonts w:ascii="仿宋_GB2312" w:eastAsia="仿宋_GB2312"/>
          <w:color w:val="000000"/>
          <w:sz w:val="32"/>
          <w:szCs w:val="32"/>
        </w:rPr>
        <w:t>%</w:t>
      </w:r>
      <w:r>
        <w:rPr>
          <w:rFonts w:ascii="仿宋_GB2312" w:eastAsia="仿宋_GB2312" w:hint="eastAsia"/>
          <w:color w:val="000000"/>
          <w:sz w:val="32"/>
          <w:szCs w:val="32"/>
        </w:rPr>
        <w:t>。主要原因是</w:t>
      </w:r>
      <w:r>
        <w:rPr>
          <w:rFonts w:ascii="仿宋_GB2312" w:eastAsia="仿宋_GB2312" w:hint="eastAsia"/>
          <w:color w:val="000000"/>
          <w:sz w:val="32"/>
          <w:szCs w:val="32"/>
          <w:lang w:val="en-US" w:eastAsia="zh-CN"/>
        </w:rPr>
        <w:t>今年未发生公务接待费</w:t>
      </w:r>
      <w:r>
        <w:rPr>
          <w:rFonts w:ascii="仿宋_GB2312" w:eastAsia="仿宋_GB2312" w:hint="eastAsia"/>
          <w:color w:val="000000"/>
          <w:sz w:val="32"/>
          <w:szCs w:val="32"/>
        </w:rPr>
        <w:t>。其中：</w:t>
      </w:r>
    </w:p>
    <w:p>
      <w:pPr>
        <w:spacing w:line="600" w:lineRule="exact"/>
        <w:ind w:firstLine="640"/>
        <w:rPr>
          <w:rFonts w:ascii="仿宋_GB2312" w:eastAsia="仿宋_GB2312"/>
          <w:color w:val="000000"/>
          <w:sz w:val="32"/>
          <w:szCs w:val="32"/>
        </w:rPr>
      </w:pPr>
      <w:r>
        <w:rPr>
          <w:rFonts w:ascii="仿宋" w:eastAsia="仿宋" w:hint="eastAsia"/>
          <w:b/>
          <w:color w:val="000000"/>
          <w:sz w:val="32"/>
          <w:szCs w:val="32"/>
        </w:rPr>
        <w:t>国内公务接待支出</w:t>
      </w:r>
      <w:r>
        <w:rPr>
          <w:rFonts w:ascii="仿宋" w:eastAsia="仿宋" w:hint="eastAsia"/>
          <w:color w:val="000000"/>
          <w:sz w:val="32"/>
          <w:szCs w:val="32"/>
          <w:lang w:val="en-US" w:eastAsia="zh-CN"/>
        </w:rPr>
        <w:t>0</w:t>
      </w:r>
      <w:r>
        <w:rPr>
          <w:rFonts w:ascii="仿宋_GB2312" w:eastAsia="仿宋_GB2312" w:hint="eastAsia"/>
          <w:color w:val="000000"/>
          <w:sz w:val="32"/>
          <w:szCs w:val="32"/>
        </w:rPr>
        <w:t>万元。国内公务接待</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批次，</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人次（不包括陪同人员），共计支出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p>
    <w:p>
      <w:pPr>
        <w:spacing w:line="600" w:lineRule="exact"/>
        <w:ind w:firstLineChars="200" w:firstLine="640"/>
        <w:rPr>
          <w:rFonts w:ascii="仿宋_GB2312" w:eastAsia="仿宋_GB2312"/>
          <w:color w:val="000000"/>
          <w:sz w:val="32"/>
          <w:szCs w:val="32"/>
        </w:rPr>
      </w:pPr>
      <w:r>
        <w:rPr>
          <w:rFonts w:ascii="仿宋" w:eastAsia="仿宋" w:hint="eastAsia"/>
          <w:b/>
          <w:color w:val="000000"/>
          <w:sz w:val="32"/>
          <w:szCs w:val="32"/>
        </w:rPr>
        <w:t>外事接待支出</w:t>
      </w:r>
      <w:r>
        <w:rPr>
          <w:rFonts w:ascii="仿宋" w:eastAsia="仿宋" w:hint="eastAsia"/>
          <w:color w:val="000000"/>
          <w:sz w:val="32"/>
          <w:szCs w:val="32"/>
          <w:lang w:val="en-US" w:eastAsia="zh-CN"/>
        </w:rPr>
        <w:t>0</w:t>
      </w:r>
      <w:r>
        <w:rPr>
          <w:rFonts w:ascii="仿宋_GB2312" w:eastAsia="仿宋_GB2312" w:hint="eastAsia"/>
          <w:color w:val="000000"/>
          <w:sz w:val="32"/>
          <w:szCs w:val="32"/>
        </w:rPr>
        <w:t>万元，外事接待</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批次，</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人，共计支出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r>
        <w:rPr>
          <w:rFonts w:ascii="仿宋_GB2312" w:eastAsia="仿宋_GB2312" w:hint="eastAsia"/>
          <w:color w:val="000000"/>
          <w:sz w:val="32"/>
          <w:szCs w:val="32"/>
          <w:lang w:eastAsia="zh-CN"/>
        </w:rPr>
        <w:t>。</w:t>
      </w:r>
    </w:p>
    <w:p>
      <w:pPr>
        <w:spacing w:line="600" w:lineRule="exact"/>
        <w:ind w:firstLine="640"/>
        <w:outlineLvl w:val="1"/>
        <w:rPr>
          <w:rStyle w:val="2Char"/>
          <w:rFonts w:ascii="黑体" w:eastAsia="黑体"/>
        </w:rPr>
      </w:pPr>
      <w:bookmarkStart w:id="98" w:name="_Toc79163622"/>
      <w:bookmarkStart w:id="99" w:name="_Toc16231"/>
      <w:bookmarkStart w:id="100" w:name="_Toc15396610"/>
      <w:bookmarkStart w:id="101" w:name="_Toc15377218"/>
      <w:bookmarkStart w:id="102" w:name="_Toc2602"/>
      <w:r>
        <w:rPr>
          <w:rFonts w:ascii="黑体" w:eastAsia="黑体" w:hint="eastAsia"/>
          <w:color w:val="000000"/>
          <w:sz w:val="32"/>
          <w:szCs w:val="32"/>
        </w:rPr>
        <w:t>八、</w:t>
      </w:r>
      <w:r>
        <w:rPr>
          <w:rStyle w:val="2Char"/>
          <w:rFonts w:ascii="黑体" w:eastAsia="黑体" w:hint="eastAsia"/>
          <w:b w:val="0"/>
        </w:rPr>
        <w:t>政府性基金预算支出决算情况说明</w:t>
      </w:r>
      <w:bookmarkEnd w:id="98"/>
      <w:bookmarkEnd w:id="99"/>
      <w:bookmarkEnd w:id="100"/>
      <w:bookmarkEnd w:id="101"/>
      <w:bookmarkEnd w:id="10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年政府性基金预算拨款支出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p>
    <w:p>
      <w:pPr>
        <w:numPr>
          <w:ilvl w:val="0"/>
          <w:numId w:val="2"/>
        </w:numPr>
        <w:spacing w:line="600" w:lineRule="exact"/>
        <w:ind w:left="0" w:firstLine="640"/>
        <w:outlineLvl w:val="1"/>
        <w:rPr>
          <w:rStyle w:val="2Char"/>
          <w:rFonts w:ascii="黑体" w:eastAsia="黑体"/>
          <w:b w:val="0"/>
        </w:rPr>
      </w:pPr>
      <w:bookmarkStart w:id="103" w:name="_Toc390"/>
      <w:bookmarkStart w:id="104" w:name="_Toc79163623"/>
      <w:bookmarkStart w:id="105" w:name="_Toc15377219"/>
      <w:bookmarkStart w:id="106" w:name="_Toc15396611"/>
      <w:bookmarkStart w:id="107" w:name="_Toc6497"/>
      <w:r>
        <w:rPr>
          <w:rStyle w:val="2Char"/>
          <w:rFonts w:ascii="黑体" w:eastAsia="黑体" w:hint="eastAsia"/>
          <w:b w:val="0"/>
        </w:rPr>
        <w:t>国有资本经营预算支出决算情况说明</w:t>
      </w:r>
      <w:bookmarkEnd w:id="103"/>
      <w:bookmarkEnd w:id="104"/>
      <w:bookmarkEnd w:id="105"/>
      <w:bookmarkEnd w:id="106"/>
      <w:bookmarkEnd w:id="107"/>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2020</w:t>
      </w:r>
      <w:r>
        <w:rPr>
          <w:rFonts w:ascii="仿宋_GB2312" w:eastAsia="仿宋_GB2312" w:hint="eastAsia"/>
          <w:color w:val="000000"/>
          <w:sz w:val="32"/>
          <w:szCs w:val="32"/>
        </w:rPr>
        <w:t>年国有资本经营预算拨款支出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p>
    <w:p>
      <w:pPr>
        <w:spacing w:line="600" w:lineRule="exact"/>
        <w:ind w:firstLineChars="250" w:firstLine="800"/>
        <w:outlineLvl w:val="1"/>
        <w:rPr>
          <w:rStyle w:val="2Char"/>
          <w:rFonts w:ascii="黑体" w:eastAsia="黑体"/>
        </w:rPr>
      </w:pPr>
      <w:bookmarkStart w:id="108" w:name="_Toc16468"/>
      <w:bookmarkStart w:id="109" w:name="_Toc15377221"/>
      <w:bookmarkStart w:id="110" w:name="_Toc79163624"/>
      <w:bookmarkStart w:id="111" w:name="_Toc15396612"/>
      <w:bookmarkStart w:id="112" w:name="_Toc27000"/>
      <w:r>
        <w:rPr>
          <w:rFonts w:ascii="黑体" w:eastAsia="黑体" w:hint="eastAsia"/>
          <w:color w:val="000000"/>
          <w:sz w:val="32"/>
          <w:szCs w:val="32"/>
        </w:rPr>
        <w:t>十</w:t>
      </w:r>
      <w:r>
        <w:rPr>
          <w:rStyle w:val="2Char"/>
          <w:rFonts w:ascii="黑体" w:eastAsia="黑体" w:hint="eastAsia"/>
        </w:rPr>
        <w:t>、</w:t>
      </w:r>
      <w:r>
        <w:rPr>
          <w:rStyle w:val="2Char"/>
          <w:rFonts w:ascii="黑体" w:eastAsia="黑体" w:hint="eastAsia"/>
          <w:b w:val="0"/>
        </w:rPr>
        <w:t>其他重要事项的情况说明</w:t>
      </w:r>
      <w:bookmarkEnd w:id="108"/>
      <w:bookmarkEnd w:id="109"/>
      <w:bookmarkEnd w:id="110"/>
      <w:bookmarkEnd w:id="111"/>
      <w:bookmarkEnd w:id="112"/>
    </w:p>
    <w:p>
      <w:pPr>
        <w:spacing w:line="600" w:lineRule="exact"/>
        <w:ind w:firstLineChars="200" w:firstLine="640"/>
        <w:outlineLvl w:val="2"/>
        <w:rPr>
          <w:rFonts w:ascii="仿宋" w:eastAsia="仿宋"/>
          <w:color w:val="000000"/>
          <w:sz w:val="32"/>
          <w:szCs w:val="32"/>
        </w:rPr>
      </w:pPr>
      <w:bookmarkStart w:id="113" w:name="_Toc79163625"/>
      <w:bookmarkStart w:id="114" w:name="_Toc12652"/>
      <w:bookmarkStart w:id="115" w:name="_Toc2644"/>
      <w:bookmarkStart w:id="116" w:name="_Toc15377222"/>
      <w:r>
        <w:rPr>
          <w:rFonts w:ascii="仿宋" w:eastAsia="仿宋" w:hint="eastAsia"/>
          <w:b/>
          <w:color w:val="000000"/>
          <w:sz w:val="32"/>
          <w:szCs w:val="32"/>
        </w:rPr>
        <w:t>（一）机关运行经费支出情况</w:t>
      </w:r>
      <w:bookmarkEnd w:id="113"/>
      <w:bookmarkEnd w:id="114"/>
      <w:bookmarkEnd w:id="115"/>
      <w:bookmarkEnd w:id="116"/>
    </w:p>
    <w:p>
      <w:pPr>
        <w:spacing w:line="600" w:lineRule="exact"/>
        <w:ind w:firstLineChars="200" w:firstLine="640"/>
        <w:rPr>
          <w:rFonts w:ascii="仿宋_GB2312" w:eastAsia="仿宋_GB2312" w:hint="eastAsia"/>
          <w:color w:val="000000"/>
          <w:sz w:val="32"/>
          <w:szCs w:val="32"/>
          <w:lang w:eastAsia="zh-CN"/>
        </w:rPr>
      </w:pPr>
      <w:r>
        <w:rPr>
          <w:rFonts w:ascii="仿宋_GB2312" w:eastAsia="仿宋_GB2312"/>
          <w:color w:val="000000"/>
          <w:sz w:val="32"/>
          <w:szCs w:val="32"/>
        </w:rPr>
        <w:t>2020</w:t>
      </w:r>
      <w:r>
        <w:rPr>
          <w:rFonts w:ascii="仿宋_GB2312" w:eastAsia="仿宋_GB2312" w:hint="eastAsia"/>
          <w:color w:val="000000"/>
          <w:sz w:val="32"/>
          <w:szCs w:val="32"/>
        </w:rPr>
        <w:t>年，</w:t>
      </w:r>
      <w:r>
        <w:rPr>
          <w:rFonts w:ascii="仿宋" w:eastAsia="仿宋" w:hint="eastAsia"/>
          <w:sz w:val="32"/>
          <w:szCs w:val="32"/>
          <w:lang w:val="en-US" w:eastAsia="zh-CN"/>
        </w:rPr>
        <w:t>壤塘县科学技术协会</w:t>
      </w:r>
      <w:r>
        <w:rPr>
          <w:rFonts w:ascii="仿宋_GB2312" w:eastAsia="仿宋_GB2312" w:hint="eastAsia"/>
          <w:color w:val="000000"/>
          <w:sz w:val="32"/>
          <w:szCs w:val="32"/>
        </w:rPr>
        <w:t>机关运行经费支出</w:t>
      </w:r>
      <w:r>
        <w:rPr>
          <w:rFonts w:ascii="仿宋_GB2312" w:eastAsia="仿宋_GB2312" w:hint="eastAsia"/>
          <w:color w:val="000000"/>
          <w:sz w:val="32"/>
          <w:szCs w:val="32"/>
          <w:lang w:val="en-US" w:eastAsia="zh-CN"/>
        </w:rPr>
        <w:t>7.76</w:t>
      </w:r>
      <w:r>
        <w:rPr>
          <w:rFonts w:ascii="仿宋_GB2312" w:eastAsia="仿宋_GB2312" w:hint="eastAsia"/>
          <w:color w:val="000000"/>
          <w:sz w:val="32"/>
          <w:szCs w:val="32"/>
        </w:rPr>
        <w:t>万元，比</w:t>
      </w:r>
      <w:r>
        <w:rPr>
          <w:rFonts w:ascii="仿宋_GB2312" w:eastAsia="仿宋_GB2312"/>
          <w:color w:val="000000"/>
          <w:sz w:val="32"/>
          <w:szCs w:val="32"/>
        </w:rPr>
        <w:t>2019</w:t>
      </w:r>
      <w:r>
        <w:rPr>
          <w:rFonts w:ascii="仿宋_GB2312" w:eastAsia="仿宋_GB2312" w:hint="eastAsia"/>
          <w:color w:val="000000"/>
          <w:sz w:val="32"/>
          <w:szCs w:val="32"/>
        </w:rPr>
        <w:t>年</w:t>
      </w:r>
      <w:r>
        <w:rPr>
          <w:rFonts w:ascii="仿宋_GB2312" w:eastAsia="仿宋_GB2312" w:hint="eastAsia"/>
          <w:color w:val="000000"/>
          <w:sz w:val="32"/>
          <w:szCs w:val="32"/>
          <w:lang w:val="en-US" w:eastAsia="zh-CN"/>
        </w:rPr>
        <w:t>减少0.52</w:t>
      </w:r>
      <w:r>
        <w:rPr>
          <w:rFonts w:ascii="仿宋_GB2312" w:eastAsia="仿宋_GB2312" w:hint="eastAsia"/>
          <w:color w:val="000000"/>
          <w:sz w:val="32"/>
          <w:szCs w:val="32"/>
        </w:rPr>
        <w:t>万元，</w:t>
      </w:r>
      <w:r>
        <w:rPr>
          <w:rFonts w:ascii="仿宋_GB2312" w:eastAsia="仿宋_GB2312" w:hint="eastAsia"/>
          <w:color w:val="000000"/>
          <w:sz w:val="32"/>
          <w:szCs w:val="32"/>
          <w:lang w:val="en-US" w:eastAsia="zh-CN"/>
        </w:rPr>
        <w:t>下降6.24</w:t>
      </w:r>
      <w:r>
        <w:rPr>
          <w:rFonts w:ascii="仿宋_GB2312" w:eastAsia="仿宋_GB2312"/>
          <w:color w:val="000000"/>
          <w:sz w:val="32"/>
          <w:szCs w:val="32"/>
        </w:rPr>
        <w:t>%</w:t>
      </w:r>
      <w:r>
        <w:rPr>
          <w:rFonts w:ascii="仿宋_GB2312" w:eastAsia="仿宋_GB2312" w:hint="eastAsia"/>
          <w:color w:val="000000"/>
          <w:sz w:val="32"/>
          <w:szCs w:val="32"/>
          <w:lang w:eastAsia="zh-CN"/>
        </w:rPr>
        <w:t>，</w:t>
      </w:r>
      <w:r>
        <w:rPr>
          <w:rFonts w:ascii="仿宋_GB2312" w:eastAsia="仿宋_GB2312" w:hint="eastAsia"/>
          <w:color w:val="000000"/>
          <w:sz w:val="32"/>
          <w:szCs w:val="32"/>
        </w:rPr>
        <w:t>主要原因</w:t>
      </w:r>
      <w:r>
        <w:rPr>
          <w:rFonts w:ascii="仿宋_GB2312" w:eastAsia="仿宋_GB2312" w:hint="eastAsia"/>
          <w:color w:val="000000"/>
          <w:sz w:val="32"/>
          <w:szCs w:val="32"/>
          <w:lang w:eastAsia="zh-CN"/>
        </w:rPr>
        <w:t>精减支出。</w:t>
      </w:r>
    </w:p>
    <w:p>
      <w:pPr>
        <w:autoSpaceDE w:val="0"/>
        <w:autoSpaceDN w:val="0"/>
        <w:adjustRightInd w:val="0"/>
        <w:spacing w:line="600" w:lineRule="exact"/>
        <w:ind w:firstLineChars="200" w:firstLine="640"/>
        <w:jc w:val="left"/>
        <w:outlineLvl w:val="2"/>
        <w:rPr>
          <w:rFonts w:ascii="仿宋" w:eastAsia="仿宋"/>
          <w:b/>
          <w:color w:val="000000"/>
          <w:sz w:val="32"/>
          <w:szCs w:val="32"/>
        </w:rPr>
      </w:pPr>
      <w:bookmarkStart w:id="117" w:name="_Toc5960"/>
      <w:bookmarkStart w:id="118" w:name="_Toc79163626"/>
      <w:bookmarkStart w:id="119" w:name="_Toc15377223"/>
      <w:bookmarkStart w:id="120" w:name="_Toc23706"/>
      <w:r>
        <w:rPr>
          <w:rFonts w:ascii="仿宋" w:eastAsia="仿宋" w:hint="eastAsia"/>
          <w:b/>
          <w:color w:val="000000"/>
          <w:sz w:val="32"/>
          <w:szCs w:val="32"/>
        </w:rPr>
        <w:t>（二）政府采购支出情况</w:t>
      </w:r>
      <w:bookmarkEnd w:id="117"/>
      <w:bookmarkEnd w:id="118"/>
      <w:bookmarkEnd w:id="119"/>
      <w:bookmarkEnd w:id="120"/>
    </w:p>
    <w:p>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s="Times New Roman" w:hint="eastAsia"/>
          <w:color w:val="000000"/>
          <w:sz w:val="32"/>
          <w:szCs w:val="32"/>
        </w:rPr>
        <w:t>，</w:t>
      </w:r>
      <w:r>
        <w:rPr>
          <w:rFonts w:ascii="仿宋_GB2312" w:eastAsia="仿宋_GB2312" w:cs="Times New Roman" w:hint="eastAsia"/>
          <w:color w:val="000000"/>
          <w:sz w:val="32"/>
          <w:szCs w:val="32"/>
          <w:lang w:val="en-US" w:eastAsia="zh-CN"/>
        </w:rPr>
        <w:t>壤塘县</w:t>
      </w:r>
      <w:r>
        <w:rPr>
          <w:rFonts w:ascii="仿宋" w:eastAsia="仿宋" w:hint="eastAsia"/>
          <w:sz w:val="32"/>
          <w:szCs w:val="32"/>
          <w:lang w:val="en-US" w:eastAsia="zh-CN"/>
        </w:rPr>
        <w:t>科学技术协会</w:t>
      </w:r>
      <w:r>
        <w:rPr>
          <w:rFonts w:ascii="仿宋_GB2312" w:eastAsia="仿宋_GB2312" w:cs="Times New Roman" w:hint="eastAsia"/>
          <w:color w:val="000000"/>
          <w:sz w:val="32"/>
          <w:szCs w:val="32"/>
        </w:rPr>
        <w:t>政府采购支出总额</w:t>
      </w:r>
      <w:r>
        <w:rPr>
          <w:rFonts w:ascii="仿宋_GB2312" w:eastAsia="仿宋_GB2312" w:cs="Times New Roman" w:hint="eastAsia"/>
          <w:color w:val="000000"/>
          <w:sz w:val="32"/>
          <w:szCs w:val="32"/>
          <w:lang w:val="en-US" w:eastAsia="zh-CN"/>
        </w:rPr>
        <w:t>0</w:t>
      </w:r>
      <w:r>
        <w:rPr>
          <w:rFonts w:ascii="仿宋_GB2312" w:eastAsia="仿宋_GB2312" w:cs="Times New Roman" w:hint="eastAsia"/>
          <w:color w:val="000000"/>
          <w:sz w:val="32"/>
          <w:szCs w:val="32"/>
        </w:rPr>
        <w:t>万元，</w:t>
      </w:r>
      <w:r>
        <w:rPr>
          <w:rFonts w:ascii="仿宋_GB2312" w:eastAsia="仿宋_GB2312" w:hint="eastAsia"/>
          <w:color w:val="000000"/>
          <w:sz w:val="32"/>
          <w:szCs w:val="32"/>
        </w:rPr>
        <w:t>其中：政府采购货物支出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万元、政府采购工程支出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万元、政府采购服务支出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万元。授予中小企业合同金额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万元，占政府采购支出总额的</w:t>
      </w:r>
      <w:r>
        <w:rPr>
          <w:rFonts w:ascii="仿宋_GB2312" w:eastAsia="仿宋_GB2312" w:hint="eastAsia"/>
          <w:color w:val="000000"/>
          <w:sz w:val="32"/>
          <w:szCs w:val="32"/>
          <w:lang w:val="en-US" w:eastAsia="zh-CN"/>
        </w:rPr>
        <w:t>100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万元。</w:t>
      </w:r>
    </w:p>
    <w:p>
      <w:pPr>
        <w:autoSpaceDE w:val="0"/>
        <w:autoSpaceDN w:val="0"/>
        <w:adjustRightInd w:val="0"/>
        <w:spacing w:line="600" w:lineRule="exact"/>
        <w:ind w:firstLineChars="200" w:firstLine="640"/>
        <w:jc w:val="left"/>
        <w:outlineLvl w:val="2"/>
        <w:rPr>
          <w:rFonts w:ascii="仿宋" w:eastAsia="仿宋"/>
          <w:b/>
          <w:color w:val="000000"/>
          <w:sz w:val="32"/>
          <w:szCs w:val="32"/>
        </w:rPr>
      </w:pPr>
      <w:bookmarkStart w:id="121" w:name="_Toc29956"/>
      <w:bookmarkStart w:id="122" w:name="_Toc79163627"/>
      <w:bookmarkStart w:id="123" w:name="_Toc15377224"/>
      <w:bookmarkStart w:id="124" w:name="_Toc3807"/>
      <w:r>
        <w:rPr>
          <w:rFonts w:ascii="仿宋" w:eastAsia="仿宋" w:hint="eastAsia"/>
          <w:b/>
          <w:color w:val="000000"/>
          <w:sz w:val="32"/>
          <w:szCs w:val="32"/>
        </w:rPr>
        <w:t>（三）国有资产占有使用情况</w:t>
      </w:r>
      <w:bookmarkEnd w:id="121"/>
      <w:bookmarkEnd w:id="122"/>
      <w:bookmarkEnd w:id="123"/>
      <w:bookmarkEnd w:id="124"/>
    </w:p>
    <w:p>
      <w:pPr>
        <w:autoSpaceDE w:val="0"/>
        <w:autoSpaceDN w:val="0"/>
        <w:adjustRightInd w:val="0"/>
        <w:spacing w:line="600" w:lineRule="exact"/>
        <w:ind w:firstLineChars="200" w:firstLine="640"/>
        <w:jc w:val="left"/>
        <w:rPr>
          <w:rFonts w:ascii="仿宋" w:eastAsia="仿宋"/>
          <w:b/>
          <w:color w:val="FF0000"/>
          <w:sz w:val="32"/>
          <w:szCs w:val="32"/>
        </w:rPr>
      </w:pP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Pr>
          <w:rFonts w:ascii="仿宋_GB2312" w:eastAsia="仿宋_GB2312" w:cs="Times New Roman" w:hint="eastAsia"/>
          <w:color w:val="000000"/>
          <w:sz w:val="32"/>
          <w:szCs w:val="32"/>
          <w:lang w:val="en-US" w:eastAsia="zh-CN"/>
        </w:rPr>
        <w:t>壤塘县</w:t>
      </w:r>
      <w:r>
        <w:rPr>
          <w:rFonts w:ascii="仿宋" w:eastAsia="仿宋" w:hint="eastAsia"/>
          <w:sz w:val="32"/>
          <w:szCs w:val="32"/>
          <w:lang w:val="en-US" w:eastAsia="zh-CN"/>
        </w:rPr>
        <w:t>科学技术协会</w:t>
      </w:r>
      <w:r>
        <w:rPr>
          <w:rFonts w:ascii="仿宋_GB2312" w:eastAsia="仿宋_GB2312" w:hint="eastAsia"/>
          <w:color w:val="000000"/>
          <w:sz w:val="32"/>
          <w:szCs w:val="32"/>
        </w:rPr>
        <w:t>共有车辆</w:t>
      </w:r>
      <w:r>
        <w:rPr>
          <w:rFonts w:ascii="仿宋_GB2312" w:eastAsia="仿宋_GB2312" w:hint="eastAsia"/>
          <w:color w:val="000000"/>
          <w:sz w:val="32"/>
          <w:szCs w:val="32"/>
          <w:lang w:val="en-US" w:eastAsia="zh-CN"/>
        </w:rPr>
        <w:t>1</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辆、应急保障用车</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辆、其他用车</w:t>
      </w:r>
      <w:r>
        <w:rPr>
          <w:rFonts w:ascii="仿宋_GB2312" w:eastAsia="仿宋_GB2312" w:hint="eastAsia"/>
          <w:color w:val="000000"/>
          <w:sz w:val="32"/>
          <w:szCs w:val="32"/>
          <w:lang w:val="en-US" w:eastAsia="zh-CN"/>
        </w:rPr>
        <w:t>1</w:t>
      </w:r>
      <w:r>
        <w:rPr>
          <w:rFonts w:ascii="仿宋_GB2312" w:eastAsia="仿宋_GB2312" w:hint="eastAsia"/>
          <w:color w:val="000000"/>
          <w:sz w:val="32"/>
          <w:szCs w:val="32"/>
        </w:rPr>
        <w:t>辆</w:t>
      </w:r>
      <w:r>
        <w:rPr>
          <w:rFonts w:ascii="仿宋_GB2312" w:eastAsia="仿宋_GB2312" w:hint="eastAsia"/>
          <w:color w:val="000000"/>
          <w:sz w:val="32"/>
          <w:szCs w:val="32"/>
          <w:lang w:eastAsia="zh-CN"/>
        </w:rPr>
        <w:t>。</w:t>
      </w:r>
      <w:r>
        <w:rPr>
          <w:rFonts w:ascii="仿宋_GB2312" w:eastAsia="仿宋_GB2312" w:hint="eastAsia"/>
          <w:color w:val="000000"/>
          <w:sz w:val="32"/>
          <w:szCs w:val="32"/>
        </w:rPr>
        <w:t>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台（套）。</w:t>
      </w:r>
    </w:p>
    <w:p>
      <w:pPr>
        <w:autoSpaceDE w:val="0"/>
        <w:autoSpaceDN w:val="0"/>
        <w:adjustRightInd w:val="0"/>
        <w:spacing w:line="600" w:lineRule="exact"/>
        <w:ind w:firstLineChars="200" w:firstLine="640"/>
        <w:jc w:val="left"/>
        <w:outlineLvl w:val="2"/>
        <w:rPr>
          <w:rFonts w:ascii="仿宋" w:eastAsia="仿宋"/>
          <w:b/>
          <w:color w:val="000000"/>
          <w:sz w:val="32"/>
          <w:szCs w:val="32"/>
        </w:rPr>
      </w:pPr>
      <w:bookmarkStart w:id="125" w:name="_Toc26064"/>
      <w:bookmarkStart w:id="126" w:name="_Toc79163628"/>
      <w:bookmarkStart w:id="127" w:name="_Toc15800"/>
      <w:r>
        <w:rPr>
          <w:rFonts w:ascii="仿宋" w:eastAsia="仿宋" w:hint="eastAsia"/>
          <w:b/>
          <w:color w:val="000000"/>
          <w:sz w:val="32"/>
          <w:szCs w:val="32"/>
        </w:rPr>
        <w:t>（四）预算绩效管理情况。</w:t>
      </w:r>
      <w:bookmarkEnd w:id="125"/>
      <w:bookmarkEnd w:id="126"/>
      <w:bookmarkEnd w:id="127"/>
    </w:p>
    <w:p>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根据预算绩效管理要求，本单</w:t>
      </w:r>
      <w:r>
        <w:rPr>
          <w:rFonts w:ascii="仿宋_GB2312" w:eastAsia="仿宋_GB2312" w:cs="仿宋_GB2312" w:hint="eastAsia"/>
          <w:sz w:val="32"/>
          <w:szCs w:val="32"/>
          <w:lang w:eastAsia="zh-CN"/>
        </w:rPr>
        <w:t>位在</w:t>
      </w:r>
      <w:r>
        <w:rPr>
          <w:rFonts w:ascii="仿宋_GB2312" w:eastAsia="仿宋_GB2312" w:cs="仿宋_GB2312" w:hint="eastAsia"/>
          <w:sz w:val="32"/>
          <w:szCs w:val="32"/>
        </w:rPr>
        <w:t>2020年初预算编制阶段，无专项项目资金，本年无项目支出绩效自评。</w:t>
      </w:r>
    </w:p>
    <w:p>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本部门按要求对2020年部门整体支出开展绩效自评，从评价情况来看，2020年目标任务基本完成，预算执行情况较好。</w:t>
      </w:r>
    </w:p>
    <w:p>
      <w:pPr>
        <w:numPr>
          <w:ilvl w:val="0"/>
          <w:numId w:val="3"/>
        </w:numPr>
        <w:spacing w:line="600" w:lineRule="exact"/>
        <w:ind w:left="0" w:firstLineChars="150" w:firstLine="660"/>
        <w:jc w:val="center"/>
        <w:outlineLvl w:val="0"/>
        <w:rPr>
          <w:rStyle w:val="1Char"/>
          <w:rFonts w:ascii="黑体" w:eastAsia="黑体"/>
          <w:b w:val="0"/>
        </w:rPr>
      </w:pPr>
      <w:bookmarkStart w:id="128" w:name="_Toc11990"/>
      <w:bookmarkStart w:id="129" w:name="_Toc79163629"/>
      <w:bookmarkStart w:id="130" w:name="_Toc15377225"/>
      <w:bookmarkStart w:id="131" w:name="_Toc15396613"/>
      <w:bookmarkStart w:id="132" w:name="_Toc15409"/>
      <w:r>
        <w:rPr>
          <w:rFonts w:ascii="黑体" w:eastAsia="黑体" w:hint="eastAsia"/>
          <w:color w:val="000000"/>
          <w:sz w:val="44"/>
          <w:szCs w:val="44"/>
        </w:rPr>
        <w:t>名</w:t>
      </w:r>
      <w:r>
        <w:rPr>
          <w:rStyle w:val="1Char"/>
          <w:rFonts w:ascii="黑体" w:eastAsia="黑体" w:hint="eastAsia"/>
          <w:b w:val="0"/>
        </w:rPr>
        <w:t>词解释</w:t>
      </w:r>
      <w:bookmarkEnd w:id="128"/>
      <w:bookmarkEnd w:id="129"/>
      <w:bookmarkEnd w:id="130"/>
      <w:bookmarkEnd w:id="131"/>
      <w:bookmarkEnd w:id="132"/>
    </w:p>
    <w:p>
      <w:pPr>
        <w:spacing w:line="600" w:lineRule="exact"/>
        <w:jc w:val="left"/>
        <w:rPr>
          <w:rFonts w:ascii="宋体"/>
          <w:b/>
          <w:color w:val="000000"/>
          <w:sz w:val="44"/>
          <w:szCs w:val="44"/>
        </w:rPr>
      </w:pPr>
    </w:p>
    <w:p>
      <w:pPr>
        <w:pStyle w:val="37"/>
        <w:spacing w:line="560" w:lineRule="exact"/>
        <w:ind w:firstLineChars="200" w:firstLine="640"/>
        <w:rPr>
          <w:rFonts w:ascii="仿宋_GB2312" w:eastAsia="仿宋_GB2312"/>
          <w:sz w:val="32"/>
          <w:szCs w:val="32"/>
        </w:rPr>
      </w:pPr>
      <w:bookmarkStart w:id="133" w:name="_Toc15377226"/>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pPr>
        <w:pStyle w:val="37"/>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pPr>
        <w:pStyle w:val="37"/>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pPr>
        <w:pStyle w:val="37"/>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w:t>
      </w:r>
      <w:r>
        <w:rPr>
          <w:rFonts w:ascii="仿宋_GB2312" w:eastAsia="仿宋_GB2312" w:hint="eastAsia"/>
          <w:sz w:val="32"/>
          <w:szCs w:val="32"/>
          <w:lang w:eastAsia="zh-CN"/>
        </w:rPr>
        <w:t>援建资金</w:t>
      </w:r>
      <w:r>
        <w:rPr>
          <w:rFonts w:ascii="仿宋_GB2312" w:eastAsia="仿宋_GB2312" w:hint="eastAsia"/>
          <w:sz w:val="32"/>
          <w:szCs w:val="32"/>
        </w:rPr>
        <w:t>。</w:t>
      </w:r>
    </w:p>
    <w:p>
      <w:pPr>
        <w:pStyle w:val="37"/>
        <w:spacing w:line="560" w:lineRule="exact"/>
        <w:ind w:firstLineChars="200" w:firstLine="640"/>
        <w:rPr>
          <w:rFonts w:ascii="仿宋_GB2312" w:eastAsia="仿宋_GB2312"/>
          <w:sz w:val="32"/>
          <w:szCs w:val="32"/>
        </w:rPr>
      </w:pPr>
      <w:r>
        <w:rPr>
          <w:rFonts w:ascii="仿宋_GB2312" w:eastAsia="仿宋_GB2312" w:hint="eastAsia"/>
          <w:sz w:val="32"/>
          <w:szCs w:val="32"/>
          <w:lang w:val="en-US" w:eastAsia="zh-CN"/>
        </w:rPr>
        <w:t>5</w:t>
      </w:r>
      <w:r>
        <w:rPr>
          <w:rFonts w:ascii="仿宋_GB2312" w:eastAsia="仿宋_GB2312"/>
          <w:sz w:val="32"/>
          <w:szCs w:val="32"/>
        </w:rPr>
        <w:t>.</w:t>
      </w:r>
      <w:r>
        <w:rPr>
          <w:rFonts w:ascii="仿宋_GB2312" w:eastAsia="仿宋_GB2312" w:hint="eastAsia"/>
          <w:sz w:val="32"/>
          <w:szCs w:val="32"/>
        </w:rPr>
        <w:t>年初结转和结余：指以前年度尚未完成、结转到本年按有关规定继续使用的资金。</w:t>
      </w:r>
    </w:p>
    <w:p>
      <w:pPr>
        <w:pStyle w:val="37"/>
        <w:spacing w:line="560" w:lineRule="exact"/>
        <w:ind w:firstLineChars="200" w:firstLine="640"/>
        <w:rPr>
          <w:rFonts w:ascii="仿宋_GB2312" w:eastAsia="仿宋_GB2312" w:hint="eastAsia"/>
          <w:sz w:val="32"/>
          <w:szCs w:val="32"/>
        </w:rPr>
      </w:pPr>
      <w:r>
        <w:rPr>
          <w:rFonts w:ascii="仿宋_GB2312" w:eastAsia="仿宋_GB2312" w:hint="eastAsia"/>
          <w:sz w:val="32"/>
          <w:szCs w:val="32"/>
          <w:lang w:val="en-US" w:eastAsia="zh-CN"/>
        </w:rPr>
        <w:t>6.</w:t>
      </w:r>
      <w:r>
        <w:rPr>
          <w:rFonts w:ascii="仿宋_GB2312" w:eastAsia="仿宋_GB2312" w:hint="eastAsia"/>
          <w:sz w:val="32"/>
          <w:szCs w:val="32"/>
        </w:rPr>
        <w:t>年末结转和结余：指单位按有关规定结转到下年或以后年度继续使用的资金。</w:t>
      </w:r>
    </w:p>
    <w:p>
      <w:pPr>
        <w:pStyle w:val="37"/>
        <w:spacing w:line="560" w:lineRule="exact"/>
        <w:ind w:firstLineChars="200" w:firstLine="640"/>
        <w:rPr>
          <w:rFonts w:ascii="仿宋_GB2312" w:eastAsia="仿宋_GB2312" w:hint="eastAsia"/>
          <w:sz w:val="32"/>
          <w:szCs w:val="32"/>
        </w:rPr>
      </w:pPr>
      <w:r>
        <w:rPr>
          <w:rFonts w:ascii="仿宋_GB2312" w:eastAsia="仿宋_GB2312" w:hint="eastAsia"/>
          <w:sz w:val="32"/>
          <w:szCs w:val="32"/>
          <w:lang w:val="en-US" w:eastAsia="zh-CN"/>
        </w:rPr>
        <w:t>7</w:t>
      </w:r>
      <w:r>
        <w:rPr>
          <w:rFonts w:ascii="仿宋_GB2312" w:eastAsia="仿宋_GB2312" w:hint="eastAsia"/>
          <w:sz w:val="32"/>
          <w:szCs w:val="32"/>
        </w:rPr>
        <w:t>.</w:t>
      </w:r>
      <w:r>
        <w:rPr>
          <w:rFonts w:ascii="仿宋_GB2312" w:eastAsia="仿宋_GB2312" w:hint="eastAsia"/>
          <w:sz w:val="32"/>
          <w:szCs w:val="32"/>
          <w:lang w:eastAsia="zh-CN"/>
        </w:rPr>
        <w:t>社会保障和就业</w:t>
      </w:r>
      <w:r>
        <w:rPr>
          <w:rFonts w:ascii="仿宋_GB2312" w:eastAsia="仿宋_GB2312" w:hint="eastAsia"/>
          <w:sz w:val="32"/>
          <w:szCs w:val="32"/>
        </w:rPr>
        <w:t>（类）</w:t>
      </w:r>
      <w:r>
        <w:rPr>
          <w:rFonts w:ascii="仿宋_GB2312" w:eastAsia="仿宋_GB2312" w:hint="eastAsia"/>
          <w:sz w:val="32"/>
          <w:szCs w:val="32"/>
          <w:lang w:eastAsia="zh-CN"/>
        </w:rPr>
        <w:t>行政事业单位</w:t>
      </w:r>
      <w:r>
        <w:rPr>
          <w:rFonts w:ascii="仿宋_GB2312" w:eastAsia="仿宋_GB2312" w:hint="eastAsia"/>
          <w:sz w:val="32"/>
          <w:szCs w:val="32"/>
          <w:lang w:val="en-US" w:eastAsia="zh-CN"/>
        </w:rPr>
        <w:t>养老支出</w:t>
      </w:r>
      <w:r>
        <w:rPr>
          <w:rFonts w:ascii="仿宋_GB2312" w:eastAsia="仿宋_GB2312" w:hint="eastAsia"/>
          <w:sz w:val="32"/>
          <w:szCs w:val="32"/>
        </w:rPr>
        <w:t>（款）</w:t>
      </w:r>
      <w:r>
        <w:rPr>
          <w:rFonts w:ascii="仿宋_GB2312" w:eastAsia="仿宋_GB2312" w:hint="eastAsia"/>
          <w:sz w:val="32"/>
          <w:szCs w:val="32"/>
          <w:lang w:eastAsia="zh-CN"/>
        </w:rPr>
        <w:t>机关事业单位基本养老保险缴费支出</w:t>
      </w:r>
      <w:r>
        <w:rPr>
          <w:rFonts w:ascii="仿宋_GB2312" w:eastAsia="仿宋_GB2312" w:hint="eastAsia"/>
          <w:sz w:val="32"/>
          <w:szCs w:val="32"/>
        </w:rPr>
        <w:t>（项）：指</w:t>
      </w:r>
      <w:r>
        <w:rPr>
          <w:rFonts w:ascii="仿宋_GB2312" w:eastAsia="仿宋_GB2312" w:hint="eastAsia"/>
          <w:sz w:val="32"/>
          <w:szCs w:val="32"/>
          <w:lang w:eastAsia="zh-CN"/>
        </w:rPr>
        <w:t>由单位缴纳的基本养老保险费支出</w:t>
      </w:r>
      <w:r>
        <w:rPr>
          <w:rFonts w:ascii="仿宋_GB2312" w:eastAsia="仿宋_GB2312" w:hint="eastAsia"/>
          <w:sz w:val="32"/>
          <w:szCs w:val="32"/>
        </w:rPr>
        <w:t>。</w:t>
      </w:r>
    </w:p>
    <w:p>
      <w:pPr>
        <w:pStyle w:val="37"/>
        <w:spacing w:line="560" w:lineRule="exact"/>
        <w:ind w:firstLineChars="200" w:firstLine="640"/>
        <w:rPr>
          <w:rFonts w:ascii="仿宋_GB2312" w:eastAsia="仿宋_GB2312" w:hint="eastAsia"/>
          <w:sz w:val="32"/>
          <w:szCs w:val="32"/>
        </w:rPr>
      </w:pPr>
      <w:r>
        <w:rPr>
          <w:rFonts w:ascii="仿宋_GB2312" w:eastAsia="仿宋_GB2312" w:hint="eastAsia"/>
          <w:sz w:val="32"/>
          <w:szCs w:val="32"/>
          <w:lang w:val="en-US" w:eastAsia="zh-CN"/>
        </w:rPr>
        <w:t>8</w:t>
      </w:r>
      <w:r>
        <w:rPr>
          <w:rFonts w:ascii="仿宋_GB2312" w:eastAsia="仿宋_GB2312" w:hint="eastAsia"/>
          <w:sz w:val="32"/>
          <w:szCs w:val="32"/>
        </w:rPr>
        <w:t>.</w:t>
      </w:r>
      <w:r>
        <w:rPr>
          <w:rFonts w:ascii="仿宋_GB2312" w:eastAsia="仿宋_GB2312" w:hint="eastAsia"/>
          <w:sz w:val="32"/>
          <w:szCs w:val="32"/>
          <w:lang w:eastAsia="zh-CN"/>
        </w:rPr>
        <w:t>社会保障和就业</w:t>
      </w:r>
      <w:r>
        <w:rPr>
          <w:rFonts w:ascii="仿宋_GB2312" w:eastAsia="仿宋_GB2312" w:hint="eastAsia"/>
          <w:sz w:val="32"/>
          <w:szCs w:val="32"/>
        </w:rPr>
        <w:t>（类）</w:t>
      </w:r>
      <w:r>
        <w:rPr>
          <w:rFonts w:ascii="仿宋_GB2312" w:eastAsia="仿宋_GB2312" w:hint="eastAsia"/>
          <w:sz w:val="32"/>
          <w:szCs w:val="32"/>
          <w:lang w:eastAsia="zh-CN"/>
        </w:rPr>
        <w:t>行政事业单位</w:t>
      </w:r>
      <w:r>
        <w:rPr>
          <w:rFonts w:ascii="仿宋_GB2312" w:eastAsia="仿宋_GB2312" w:hint="eastAsia"/>
          <w:sz w:val="32"/>
          <w:szCs w:val="32"/>
          <w:lang w:val="en-US" w:eastAsia="zh-CN"/>
        </w:rPr>
        <w:t>养老支出</w:t>
      </w:r>
      <w:r>
        <w:rPr>
          <w:rFonts w:ascii="仿宋_GB2312" w:eastAsia="仿宋_GB2312" w:hint="eastAsia"/>
          <w:sz w:val="32"/>
          <w:szCs w:val="32"/>
        </w:rPr>
        <w:t>（款）</w:t>
      </w:r>
      <w:r>
        <w:rPr>
          <w:rFonts w:ascii="仿宋_GB2312" w:eastAsia="仿宋_GB2312" w:hint="eastAsia"/>
          <w:sz w:val="32"/>
          <w:szCs w:val="32"/>
          <w:lang w:eastAsia="zh-CN"/>
        </w:rPr>
        <w:t xml:space="preserve">  机关事业单位职业年金缴费支出</w:t>
      </w:r>
      <w:r>
        <w:rPr>
          <w:rFonts w:ascii="仿宋_GB2312" w:eastAsia="仿宋_GB2312" w:hint="eastAsia"/>
          <w:sz w:val="32"/>
          <w:szCs w:val="32"/>
        </w:rPr>
        <w:t>（项）：指</w:t>
      </w:r>
      <w:r>
        <w:rPr>
          <w:rFonts w:ascii="仿宋_GB2312" w:eastAsia="仿宋_GB2312" w:hint="eastAsia"/>
          <w:sz w:val="32"/>
          <w:szCs w:val="32"/>
          <w:lang w:val="en-US" w:eastAsia="zh-CN"/>
        </w:rPr>
        <w:t>机关事业单位实施养老保险制度由单位实际缴纳的职业年金</w:t>
      </w:r>
      <w:r>
        <w:rPr>
          <w:rFonts w:ascii="仿宋_GB2312" w:eastAsia="仿宋_GB2312" w:hint="eastAsia"/>
          <w:sz w:val="32"/>
          <w:szCs w:val="32"/>
        </w:rPr>
        <w:t>。</w:t>
      </w:r>
    </w:p>
    <w:p>
      <w:pPr>
        <w:pStyle w:val="37"/>
        <w:spacing w:line="560" w:lineRule="exact"/>
        <w:ind w:firstLineChars="200" w:firstLine="640"/>
        <w:rPr>
          <w:rFonts w:ascii="仿宋_GB2312" w:eastAsia="仿宋_GB2312" w:hint="eastAsia"/>
          <w:sz w:val="32"/>
          <w:szCs w:val="32"/>
        </w:rPr>
      </w:pPr>
      <w:r>
        <w:rPr>
          <w:rFonts w:ascii="仿宋_GB2312" w:eastAsia="仿宋_GB2312" w:hint="eastAsia"/>
          <w:sz w:val="32"/>
          <w:szCs w:val="32"/>
          <w:lang w:val="en-US" w:eastAsia="zh-CN"/>
        </w:rPr>
        <w:t>9.</w:t>
      </w:r>
      <w:r>
        <w:rPr>
          <w:rFonts w:ascii="仿宋_GB2312" w:eastAsia="仿宋_GB2312" w:hint="eastAsia"/>
          <w:sz w:val="32"/>
          <w:szCs w:val="32"/>
          <w:lang w:eastAsia="zh-CN"/>
        </w:rPr>
        <w:t>一般公共服务支出</w:t>
      </w:r>
      <w:r>
        <w:rPr>
          <w:rFonts w:ascii="仿宋_GB2312" w:eastAsia="仿宋_GB2312" w:hint="eastAsia"/>
          <w:sz w:val="32"/>
          <w:szCs w:val="32"/>
        </w:rPr>
        <w:t>（类）</w:t>
      </w:r>
      <w:r>
        <w:rPr>
          <w:rFonts w:ascii="仿宋_GB2312" w:eastAsia="仿宋_GB2312" w:hint="eastAsia"/>
          <w:sz w:val="32"/>
          <w:szCs w:val="32"/>
          <w:lang w:eastAsia="zh-CN"/>
        </w:rPr>
        <w:t>群众团体事务</w:t>
      </w:r>
      <w:r>
        <w:rPr>
          <w:rFonts w:ascii="仿宋_GB2312" w:eastAsia="仿宋_GB2312" w:hint="eastAsia"/>
          <w:sz w:val="32"/>
          <w:szCs w:val="32"/>
        </w:rPr>
        <w:t>（款</w:t>
      </w:r>
      <w:r>
        <w:rPr>
          <w:rFonts w:ascii="仿宋_GB2312" w:eastAsia="仿宋_GB2312" w:hint="eastAsia"/>
          <w:sz w:val="32"/>
          <w:szCs w:val="32"/>
          <w:lang w:eastAsia="zh-CN"/>
        </w:rPr>
        <w:t>）行政运行</w:t>
      </w:r>
      <w:r>
        <w:rPr>
          <w:rFonts w:ascii="仿宋_GB2312" w:eastAsia="仿宋_GB2312" w:hint="eastAsia"/>
          <w:sz w:val="32"/>
          <w:szCs w:val="32"/>
        </w:rPr>
        <w:t>（项）：指</w:t>
      </w:r>
      <w:r>
        <w:rPr>
          <w:rFonts w:ascii="仿宋_GB2312" w:eastAsia="仿宋_GB2312" w:hint="eastAsia"/>
          <w:sz w:val="32"/>
          <w:szCs w:val="32"/>
          <w:lang w:val="en-US" w:eastAsia="zh-CN"/>
        </w:rPr>
        <w:t>行政单位（包括实行公务员管理的事业单位）的基本支出</w:t>
      </w:r>
      <w:r>
        <w:rPr>
          <w:rFonts w:ascii="仿宋_GB2312" w:eastAsia="仿宋_GB2312" w:hint="eastAsia"/>
          <w:sz w:val="32"/>
          <w:szCs w:val="32"/>
        </w:rPr>
        <w:t>。</w:t>
      </w:r>
    </w:p>
    <w:p>
      <w:pPr>
        <w:ind w:firstLineChars="200" w:firstLine="640"/>
        <w:rPr>
          <w:rFonts w:ascii="仿宋_GB2312" w:eastAsia="仿宋_GB2312" w:hint="eastAsia"/>
          <w:color w:val="000000"/>
          <w:sz w:val="32"/>
          <w:szCs w:val="32"/>
        </w:rPr>
      </w:pPr>
      <w:r>
        <w:rPr>
          <w:rFonts w:ascii="仿宋_GB2312" w:eastAsia="仿宋_GB2312" w:hint="eastAsia"/>
          <w:color w:val="000000"/>
          <w:sz w:val="32"/>
          <w:szCs w:val="32"/>
          <w:lang w:val="en-US" w:eastAsia="zh-CN"/>
        </w:rPr>
        <w:t>10.</w:t>
      </w:r>
      <w:r>
        <w:rPr>
          <w:rFonts w:ascii="仿宋_GB2312" w:eastAsia="仿宋_GB2312" w:hint="eastAsia"/>
          <w:color w:val="000000"/>
          <w:sz w:val="32"/>
          <w:szCs w:val="32"/>
          <w:lang w:eastAsia="zh-CN"/>
        </w:rPr>
        <w:t>科学技术支出</w:t>
      </w:r>
      <w:r>
        <w:rPr>
          <w:rFonts w:ascii="仿宋_GB2312" w:eastAsia="仿宋_GB2312" w:hint="eastAsia"/>
          <w:color w:val="000000"/>
          <w:sz w:val="32"/>
          <w:szCs w:val="32"/>
        </w:rPr>
        <w:t>（类）</w:t>
      </w:r>
      <w:r>
        <w:rPr>
          <w:rFonts w:ascii="仿宋_GB2312" w:eastAsia="仿宋_GB2312" w:hint="eastAsia"/>
          <w:color w:val="000000"/>
          <w:sz w:val="32"/>
          <w:szCs w:val="32"/>
          <w:lang w:eastAsia="zh-CN"/>
        </w:rPr>
        <w:t>科学技术普及</w:t>
      </w:r>
      <w:r>
        <w:rPr>
          <w:rFonts w:ascii="仿宋_GB2312" w:eastAsia="仿宋_GB2312" w:hint="eastAsia"/>
          <w:color w:val="000000"/>
          <w:sz w:val="32"/>
          <w:szCs w:val="32"/>
        </w:rPr>
        <w:t>（款</w:t>
      </w:r>
      <w:r>
        <w:rPr>
          <w:rFonts w:ascii="仿宋_GB2312" w:eastAsia="仿宋_GB2312" w:hint="eastAsia"/>
          <w:color w:val="000000"/>
          <w:sz w:val="32"/>
          <w:szCs w:val="32"/>
          <w:lang w:eastAsia="zh-CN"/>
        </w:rPr>
        <w:t>）科普活动</w:t>
      </w:r>
      <w:r>
        <w:rPr>
          <w:rFonts w:ascii="仿宋_GB2312" w:eastAsia="仿宋_GB2312" w:hint="eastAsia"/>
          <w:color w:val="000000"/>
          <w:sz w:val="32"/>
          <w:szCs w:val="32"/>
        </w:rPr>
        <w:t>（项）：</w:t>
      </w:r>
      <w:r>
        <w:rPr>
          <w:rFonts w:ascii="仿宋_GB2312" w:eastAsia="仿宋_GB2312" w:hint="eastAsia"/>
          <w:color w:val="000000"/>
          <w:sz w:val="32"/>
          <w:szCs w:val="32"/>
          <w:lang w:val="en-US" w:eastAsia="zh-CN"/>
        </w:rPr>
        <w:t>指用于开展科普活动的支出</w:t>
      </w:r>
      <w:r>
        <w:rPr>
          <w:rFonts w:ascii="仿宋_GB2312" w:eastAsia="仿宋_GB2312" w:hint="eastAsia"/>
          <w:color w:val="000000"/>
          <w:sz w:val="32"/>
          <w:szCs w:val="32"/>
        </w:rPr>
        <w:t>。</w:t>
      </w:r>
    </w:p>
    <w:p>
      <w:pPr>
        <w:ind w:firstLineChars="200" w:firstLine="640"/>
        <w:rPr>
          <w:rFonts w:eastAsia="仿宋_GB2312"/>
          <w:lang w:val="en-US" w:eastAsia="zh-CN"/>
        </w:rPr>
      </w:pPr>
      <w:r>
        <w:rPr>
          <w:rFonts w:ascii="仿宋_GB2312" w:eastAsia="仿宋_GB2312" w:hint="eastAsia"/>
          <w:color w:val="000000"/>
          <w:sz w:val="32"/>
          <w:szCs w:val="32"/>
          <w:lang w:val="en-US" w:eastAsia="zh-CN"/>
        </w:rPr>
        <w:t>11.</w:t>
      </w:r>
      <w:r>
        <w:rPr>
          <w:rFonts w:ascii="仿宋_GB2312" w:eastAsia="仿宋_GB2312" w:hint="eastAsia"/>
          <w:color w:val="000000"/>
          <w:sz w:val="32"/>
          <w:szCs w:val="32"/>
          <w:lang w:eastAsia="zh-CN"/>
        </w:rPr>
        <w:t>科学技术支出</w:t>
      </w:r>
      <w:r>
        <w:rPr>
          <w:rFonts w:ascii="仿宋_GB2312" w:eastAsia="仿宋_GB2312" w:hint="eastAsia"/>
          <w:color w:val="000000"/>
          <w:sz w:val="32"/>
          <w:szCs w:val="32"/>
        </w:rPr>
        <w:t>（类）</w:t>
      </w:r>
      <w:r>
        <w:rPr>
          <w:rFonts w:ascii="仿宋_GB2312" w:eastAsia="仿宋_GB2312" w:hint="eastAsia"/>
          <w:color w:val="000000"/>
          <w:sz w:val="32"/>
          <w:szCs w:val="32"/>
          <w:lang w:eastAsia="zh-CN"/>
        </w:rPr>
        <w:t>科学技术普及</w:t>
      </w:r>
      <w:r>
        <w:rPr>
          <w:rFonts w:ascii="仿宋_GB2312" w:eastAsia="仿宋_GB2312" w:hint="eastAsia"/>
          <w:color w:val="000000"/>
          <w:sz w:val="32"/>
          <w:szCs w:val="32"/>
        </w:rPr>
        <w:t>（款</w:t>
      </w:r>
      <w:r>
        <w:rPr>
          <w:rFonts w:ascii="仿宋_GB2312" w:eastAsia="仿宋_GB2312" w:hint="eastAsia"/>
          <w:color w:val="000000"/>
          <w:sz w:val="32"/>
          <w:szCs w:val="32"/>
          <w:lang w:eastAsia="zh-CN"/>
        </w:rPr>
        <w:t>）其他科学技术普及支出</w:t>
      </w:r>
      <w:r>
        <w:rPr>
          <w:rFonts w:ascii="仿宋_GB2312" w:eastAsia="仿宋_GB2312" w:hint="eastAsia"/>
          <w:color w:val="000000"/>
          <w:sz w:val="32"/>
          <w:szCs w:val="32"/>
        </w:rPr>
        <w:t>（项）：</w:t>
      </w:r>
      <w:r>
        <w:rPr>
          <w:rFonts w:ascii="仿宋_GB2312" w:eastAsia="仿宋_GB2312" w:hint="eastAsia"/>
          <w:color w:val="000000"/>
          <w:sz w:val="32"/>
          <w:szCs w:val="32"/>
          <w:lang w:val="en-US" w:eastAsia="zh-CN"/>
        </w:rPr>
        <w:t>指其他用于科学技术普及方面的支出</w:t>
      </w:r>
      <w:r>
        <w:rPr>
          <w:rFonts w:ascii="仿宋_GB2312" w:eastAsia="仿宋_GB2312" w:hint="eastAsia"/>
          <w:color w:val="000000"/>
          <w:sz w:val="32"/>
          <w:szCs w:val="32"/>
        </w:rPr>
        <w:t>。</w:t>
      </w:r>
    </w:p>
    <w:p>
      <w:pPr>
        <w:ind w:firstLineChars="200" w:firstLine="640"/>
        <w:rPr>
          <w:rFonts w:ascii="仿宋_GB2312" w:eastAsia="仿宋_GB2312" w:cs="Times New Roman" w:hint="eastAsia"/>
          <w:color w:val="000000"/>
          <w:sz w:val="32"/>
          <w:szCs w:val="32"/>
          <w:lang w:eastAsia="zh-CN"/>
        </w:rPr>
      </w:pPr>
      <w:r>
        <w:rPr>
          <w:rFonts w:ascii="仿宋_GB2312" w:eastAsia="仿宋_GB2312" w:cs="Times New Roman" w:hint="eastAsia"/>
          <w:color w:val="000000"/>
          <w:sz w:val="32"/>
          <w:szCs w:val="32"/>
          <w:lang w:val="en-US" w:eastAsia="zh-CN"/>
        </w:rPr>
        <w:t>12</w:t>
      </w:r>
      <w:r>
        <w:rPr>
          <w:rFonts w:ascii="仿宋_GB2312" w:eastAsia="仿宋_GB2312" w:cs="Times New Roman" w:hint="eastAsia"/>
          <w:color w:val="000000"/>
          <w:sz w:val="32"/>
          <w:szCs w:val="32"/>
          <w:lang w:eastAsia="zh-CN"/>
        </w:rPr>
        <w:t>.</w:t>
      </w:r>
      <w:r>
        <w:rPr>
          <w:rFonts w:ascii="仿宋_GB2312" w:eastAsia="仿宋_GB2312" w:hint="eastAsia"/>
          <w:color w:val="000000"/>
          <w:sz w:val="32"/>
          <w:szCs w:val="32"/>
          <w:lang w:val="en-US" w:eastAsia="zh-CN"/>
        </w:rPr>
        <w:t>卫生健康支出（类）行政事业单位医疗（款）行政单位医疗（项）：指财政</w:t>
      </w:r>
      <w:r>
        <w:rPr>
          <w:rFonts w:ascii="仿宋_GB2312" w:eastAsia="仿宋_GB2312" w:cs="Times New Roman" w:hint="eastAsia"/>
          <w:color w:val="000000"/>
          <w:sz w:val="32"/>
          <w:szCs w:val="32"/>
          <w:lang w:eastAsia="zh-CN"/>
        </w:rPr>
        <w:t>部门集中安排的行政单位基本医疗保险缴费经费。</w:t>
      </w:r>
    </w:p>
    <w:p>
      <w:pPr>
        <w:ind w:firstLineChars="200" w:firstLine="640"/>
        <w:rPr>
          <w:rFonts w:ascii="仿宋_GB2312" w:eastAsia="仿宋_GB2312"/>
          <w:color w:val="000000"/>
          <w:sz w:val="32"/>
          <w:szCs w:val="32"/>
          <w:lang w:val="en-US" w:eastAsia="zh-CN"/>
        </w:rPr>
      </w:pPr>
      <w:r>
        <w:rPr>
          <w:rFonts w:ascii="仿宋_GB2312" w:eastAsia="仿宋_GB2312" w:cs="Times New Roman" w:hint="eastAsia"/>
          <w:color w:val="000000"/>
          <w:sz w:val="32"/>
          <w:szCs w:val="32"/>
          <w:lang w:val="en-US" w:eastAsia="zh-CN"/>
        </w:rPr>
        <w:t>13</w:t>
      </w:r>
      <w:r>
        <w:rPr>
          <w:rFonts w:ascii="仿宋_GB2312" w:eastAsia="仿宋_GB2312" w:cs="Times New Roman" w:hint="eastAsia"/>
          <w:color w:val="000000"/>
          <w:sz w:val="32"/>
          <w:szCs w:val="32"/>
          <w:lang w:eastAsia="zh-CN"/>
        </w:rPr>
        <w:t>.住房</w:t>
      </w:r>
      <w:r>
        <w:rPr>
          <w:rFonts w:ascii="仿宋_GB2312" w:eastAsia="仿宋_GB2312" w:cs="Times New Roman" w:hint="eastAsia"/>
          <w:color w:val="000000"/>
          <w:sz w:val="32"/>
          <w:szCs w:val="32"/>
          <w:lang w:val="en-US" w:eastAsia="zh-CN"/>
        </w:rPr>
        <w:t>保障支出（类）住房改革支出（款）住房公积金（项）：指行政事业单位</w:t>
      </w:r>
      <w:r>
        <w:rPr>
          <w:rFonts w:ascii="仿宋_GB2312" w:eastAsia="仿宋_GB2312" w:cs="Times New Roman" w:hint="eastAsia"/>
          <w:color w:val="000000"/>
          <w:sz w:val="32"/>
          <w:szCs w:val="32"/>
          <w:lang w:eastAsia="zh-CN"/>
        </w:rPr>
        <w:t>安装工资比例为职工缴纳的住房公积金。</w:t>
      </w:r>
    </w:p>
    <w:p>
      <w:pPr>
        <w:ind w:firstLineChars="200" w:firstLine="640"/>
        <w:rPr>
          <w:rFonts w:ascii="仿宋_GB2312" w:eastAsia="仿宋_GB2312" w:cs="Times New Roman" w:hint="eastAsia"/>
          <w:color w:val="000000"/>
          <w:sz w:val="32"/>
          <w:szCs w:val="32"/>
          <w:lang w:eastAsia="zh-CN"/>
        </w:rPr>
      </w:pPr>
      <w:r>
        <w:rPr>
          <w:rFonts w:ascii="仿宋_GB2312" w:eastAsia="仿宋_GB2312" w:cs="Times New Roman" w:hint="eastAsia"/>
          <w:color w:val="000000"/>
          <w:sz w:val="32"/>
          <w:szCs w:val="32"/>
          <w:lang w:val="en-US" w:eastAsia="zh-CN"/>
        </w:rPr>
        <w:t>14</w:t>
      </w:r>
      <w:r>
        <w:rPr>
          <w:rFonts w:ascii="仿宋_GB2312" w:eastAsia="仿宋_GB2312" w:cs="Times New Roman" w:hint="eastAsia"/>
          <w:color w:val="000000"/>
          <w:sz w:val="32"/>
          <w:szCs w:val="32"/>
          <w:lang w:eastAsia="zh-CN"/>
        </w:rPr>
        <w:t>.基本支出：指为保障机构正常运转、完成日常工作任务而发生的人员支出和公用支出。</w:t>
      </w:r>
    </w:p>
    <w:p>
      <w:pPr>
        <w:ind w:firstLineChars="200" w:firstLine="640"/>
        <w:rPr>
          <w:rFonts w:ascii="仿宋_GB2312" w:eastAsia="仿宋_GB2312" w:cs="Times New Roman" w:hint="eastAsia"/>
          <w:color w:val="000000"/>
          <w:sz w:val="32"/>
          <w:szCs w:val="32"/>
          <w:lang w:eastAsia="zh-CN"/>
        </w:rPr>
      </w:pPr>
      <w:r>
        <w:rPr>
          <w:rFonts w:ascii="仿宋_GB2312" w:eastAsia="仿宋_GB2312" w:cs="Times New Roman" w:hint="eastAsia"/>
          <w:color w:val="000000"/>
          <w:sz w:val="32"/>
          <w:szCs w:val="32"/>
          <w:lang w:val="en-US" w:eastAsia="zh-CN"/>
        </w:rPr>
        <w:t>15</w:t>
      </w:r>
      <w:r>
        <w:rPr>
          <w:rFonts w:ascii="仿宋_GB2312" w:eastAsia="仿宋_GB2312" w:cs="Times New Roman" w:hint="eastAsia"/>
          <w:color w:val="000000"/>
          <w:sz w:val="32"/>
          <w:szCs w:val="32"/>
          <w:lang w:eastAsia="zh-CN"/>
        </w:rPr>
        <w:t>.项目支出：指在基本支出之外为完成特定行政任务和事业发展目标所发生的支出。</w:t>
      </w:r>
    </w:p>
    <w:p>
      <w:pPr>
        <w:ind w:firstLineChars="200" w:firstLine="640"/>
        <w:rPr>
          <w:rFonts w:ascii="仿宋_GB2312" w:eastAsia="仿宋_GB2312" w:cs="Times New Roman" w:hint="eastAsia"/>
          <w:color w:val="000000"/>
          <w:sz w:val="32"/>
          <w:szCs w:val="32"/>
          <w:lang w:eastAsia="zh-CN"/>
        </w:rPr>
      </w:pPr>
      <w:r>
        <w:rPr>
          <w:rFonts w:ascii="仿宋_GB2312" w:eastAsia="仿宋_GB2312" w:cs="Times New Roman" w:hint="eastAsia"/>
          <w:color w:val="000000"/>
          <w:sz w:val="32"/>
          <w:szCs w:val="32"/>
          <w:lang w:val="en-US" w:eastAsia="zh-CN"/>
        </w:rPr>
        <w:t>16</w:t>
      </w:r>
      <w:r>
        <w:rPr>
          <w:rFonts w:ascii="仿宋_GB2312" w:eastAsia="仿宋_GB2312" w:cs="Times New Roman" w:hint="eastAsia"/>
          <w:color w:val="000000"/>
          <w:sz w:val="32"/>
          <w:szCs w:val="32"/>
          <w:lang w:eastAsia="zh-CN"/>
        </w:rPr>
        <w:t>.经营支出：指事业单位在专业业务活动及其辅助活动之外开展非独立核算经营活动发生的支出。</w:t>
      </w:r>
    </w:p>
    <w:p>
      <w:pPr>
        <w:ind w:firstLineChars="200" w:firstLine="640"/>
        <w:rPr>
          <w:rFonts w:ascii="仿宋_GB2312" w:eastAsia="仿宋_GB2312" w:cs="Times New Roman" w:hint="eastAsia"/>
          <w:color w:val="000000"/>
          <w:sz w:val="32"/>
          <w:szCs w:val="32"/>
          <w:lang w:eastAsia="zh-CN"/>
        </w:rPr>
      </w:pPr>
      <w:r>
        <w:rPr>
          <w:rFonts w:ascii="仿宋_GB2312" w:eastAsia="仿宋_GB2312" w:cs="Times New Roman" w:hint="eastAsia"/>
          <w:color w:val="000000"/>
          <w:sz w:val="32"/>
          <w:szCs w:val="32"/>
          <w:lang w:val="en-US" w:eastAsia="zh-CN"/>
        </w:rPr>
        <w:t>17</w:t>
      </w:r>
      <w:r>
        <w:rPr>
          <w:rFonts w:ascii="仿宋_GB2312" w:eastAsia="仿宋_GB2312" w:cs="Times New Roman" w:hint="eastAsia"/>
          <w:color w:val="000000"/>
          <w:sz w:val="32"/>
          <w:szCs w:val="32"/>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Chars="200" w:firstLine="640"/>
        <w:rPr>
          <w:rFonts w:ascii="仿宋_GB2312" w:eastAsia="仿宋_GB2312"/>
          <w:sz w:val="32"/>
          <w:szCs w:val="32"/>
        </w:rPr>
      </w:pPr>
      <w:r>
        <w:rPr>
          <w:rFonts w:ascii="仿宋_GB2312" w:eastAsia="仿宋_GB2312" w:cs="Times New Roman" w:hint="eastAsia"/>
          <w:color w:val="000000"/>
          <w:sz w:val="32"/>
          <w:szCs w:val="32"/>
          <w:lang w:val="en-US" w:eastAsia="zh-CN"/>
        </w:rPr>
        <w:t>18</w:t>
      </w:r>
      <w:r>
        <w:rPr>
          <w:rFonts w:ascii="仿宋_GB2312" w:eastAsia="仿宋_GB2312" w:cs="Times New Roman" w:hint="eastAsia"/>
          <w:color w:val="000000"/>
          <w:sz w:val="32"/>
          <w:szCs w:val="32"/>
          <w:lang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Char"/>
          <w:rFonts w:ascii="黑体" w:eastAsia="黑体"/>
          <w:b w:val="0"/>
        </w:rPr>
      </w:pPr>
      <w:r>
        <w:rPr>
          <w:rFonts w:ascii="宋体"/>
          <w:b/>
          <w:color w:val="000000"/>
          <w:sz w:val="44"/>
          <w:szCs w:val="44"/>
        </w:rPr>
        <w:br w:type="page"/>
      </w:r>
      <w:bookmarkStart w:id="134" w:name="_Toc79163630"/>
      <w:bookmarkStart w:id="135" w:name="_Toc31265"/>
      <w:bookmarkStart w:id="136" w:name="_Toc15396614"/>
      <w:bookmarkStart w:id="137" w:name="_Toc26365"/>
      <w:r>
        <w:rPr>
          <w:rFonts w:ascii="黑体" w:eastAsia="黑体" w:hint="eastAsia"/>
          <w:color w:val="000000"/>
          <w:sz w:val="44"/>
          <w:szCs w:val="44"/>
        </w:rPr>
        <w:t>第</w:t>
      </w:r>
      <w:r>
        <w:rPr>
          <w:rStyle w:val="1Char"/>
          <w:rFonts w:ascii="黑体" w:eastAsia="黑体" w:hint="eastAsia"/>
          <w:b w:val="0"/>
        </w:rPr>
        <w:t>四部分</w:t>
      </w:r>
      <w:r>
        <w:rPr>
          <w:rStyle w:val="1Char"/>
          <w:rFonts w:ascii="黑体" w:eastAsia="黑体"/>
          <w:b w:val="0"/>
        </w:rPr>
        <w:t xml:space="preserve"> </w:t>
      </w:r>
      <w:r>
        <w:rPr>
          <w:rStyle w:val="1Char"/>
          <w:rFonts w:ascii="黑体" w:eastAsia="黑体" w:hint="eastAsia"/>
          <w:b w:val="0"/>
        </w:rPr>
        <w:t>附件</w:t>
      </w:r>
      <w:bookmarkEnd w:id="134"/>
      <w:bookmarkEnd w:id="135"/>
      <w:bookmarkEnd w:id="136"/>
      <w:bookmarkEnd w:id="137"/>
    </w:p>
    <w:p>
      <w:pPr>
        <w:spacing w:line="600" w:lineRule="exact"/>
        <w:jc w:val="left"/>
        <w:outlineLvl w:val="0"/>
        <w:rPr>
          <w:rFonts w:ascii="方正小标宋简体" w:eastAsia="方正小标宋简体" w:cs="方正小标宋简体"/>
          <w:sz w:val="32"/>
          <w:szCs w:val="32"/>
        </w:rPr>
      </w:pPr>
      <w:bookmarkStart w:id="138" w:name="_Toc79163631"/>
      <w:bookmarkStart w:id="139" w:name="_Toc5231"/>
      <w:bookmarkStart w:id="140" w:name="_Toc17676"/>
      <w:r>
        <w:rPr>
          <w:rFonts w:ascii="黑体" w:eastAsia="黑体" w:cs="黑体" w:hint="eastAsia"/>
          <w:sz w:val="32"/>
          <w:szCs w:val="32"/>
        </w:rPr>
        <w:t>附件</w:t>
      </w:r>
      <w:r>
        <w:rPr>
          <w:rFonts w:ascii="黑体" w:eastAsia="黑体" w:cs="黑体"/>
          <w:sz w:val="32"/>
          <w:szCs w:val="32"/>
        </w:rPr>
        <w:t>1</w:t>
      </w:r>
      <w:bookmarkEnd w:id="138"/>
      <w:bookmarkEnd w:id="139"/>
      <w:bookmarkEnd w:id="140"/>
    </w:p>
    <w:p>
      <w:pPr>
        <w:spacing w:line="580" w:lineRule="exact"/>
        <w:jc w:val="center"/>
        <w:rPr>
          <w:rFonts w:ascii="方正小标宋简体" w:eastAsia="方正小标宋简体" w:cs="方正小标宋简体"/>
          <w:sz w:val="44"/>
          <w:szCs w:val="44"/>
        </w:rPr>
      </w:pPr>
    </w:p>
    <w:p>
      <w:pPr>
        <w:spacing w:line="360" w:lineRule="auto"/>
        <w:jc w:val="center"/>
        <w:outlineLvl w:val="0"/>
        <w:rPr>
          <w:rFonts w:ascii="等线" w:cs="等线" w:hAnsi="等线"/>
          <w:b/>
          <w:bCs/>
          <w:kern w:val="0"/>
          <w:sz w:val="44"/>
          <w:szCs w:val="44"/>
        </w:rPr>
      </w:pPr>
      <w:bookmarkStart w:id="141" w:name="_Toc24855"/>
      <w:r>
        <w:rPr>
          <w:rFonts w:ascii="等线" w:cs="等线" w:hAnsi="等线" w:hint="eastAsia"/>
          <w:b/>
          <w:bCs/>
          <w:kern w:val="0"/>
          <w:sz w:val="44"/>
          <w:szCs w:val="44"/>
        </w:rPr>
        <w:t>20</w:t>
      </w:r>
      <w:r>
        <w:rPr>
          <w:rFonts w:ascii="等线" w:cs="等线" w:hAnsi="等线" w:hint="eastAsia"/>
          <w:b/>
          <w:bCs/>
          <w:kern w:val="0"/>
          <w:sz w:val="44"/>
          <w:szCs w:val="44"/>
          <w:lang w:val="en-US" w:eastAsia="zh-CN"/>
        </w:rPr>
        <w:t>20</w:t>
      </w:r>
      <w:r>
        <w:rPr>
          <w:rFonts w:ascii="等线" w:cs="等线" w:hAnsi="等线" w:hint="eastAsia"/>
          <w:b/>
          <w:bCs/>
          <w:kern w:val="0"/>
          <w:sz w:val="44"/>
          <w:szCs w:val="44"/>
        </w:rPr>
        <w:t>年度</w:t>
      </w:r>
      <w:bookmarkStart w:id="142" w:name="_Hlk60146400"/>
      <w:r>
        <w:rPr>
          <w:rFonts w:ascii="等线" w:cs="等线" w:hAnsi="等线" w:hint="eastAsia"/>
          <w:b/>
          <w:bCs/>
          <w:kern w:val="0"/>
          <w:sz w:val="44"/>
          <w:szCs w:val="44"/>
        </w:rPr>
        <w:t>壤塘县科学技术协会</w:t>
      </w:r>
      <w:bookmarkEnd w:id="142"/>
      <w:r>
        <w:rPr>
          <w:rFonts w:ascii="等线" w:cs="等线" w:hAnsi="等线" w:hint="eastAsia"/>
          <w:b/>
          <w:bCs/>
          <w:kern w:val="0"/>
          <w:sz w:val="44"/>
          <w:szCs w:val="44"/>
        </w:rPr>
        <w:t>部门整体支出绩效评价自评报告</w:t>
      </w:r>
      <w:bookmarkEnd w:id="141"/>
    </w:p>
    <w:p>
      <w:pPr>
        <w:spacing w:line="360" w:lineRule="auto"/>
        <w:rPr>
          <w:rFonts w:ascii="等线" w:cs="等线" w:hAnsi="等线"/>
          <w:kern w:val="0"/>
          <w:szCs w:val="21"/>
        </w:rPr>
      </w:pPr>
    </w:p>
    <w:p>
      <w:pPr>
        <w:numPr>
          <w:ilvl w:val="0"/>
          <w:numId w:val="4"/>
        </w:numPr>
        <w:spacing w:line="360" w:lineRule="auto"/>
        <w:outlineLvl w:val="0"/>
        <w:rPr>
          <w:rFonts w:ascii="仿宋_GB2312" w:eastAsia="仿宋_GB2312" w:cs="仿宋_GB2312"/>
          <w:b/>
          <w:bCs/>
          <w:sz w:val="32"/>
          <w:szCs w:val="32"/>
        </w:rPr>
      </w:pPr>
      <w:bookmarkStart w:id="143" w:name="_Toc14358"/>
      <w:bookmarkStart w:id="144" w:name="_Toc16832"/>
      <w:r>
        <w:rPr>
          <w:rFonts w:ascii="仿宋_GB2312" w:eastAsia="仿宋_GB2312" w:cs="仿宋_GB2312" w:hint="eastAsia"/>
          <w:b/>
          <w:bCs/>
          <w:kern w:val="0"/>
          <w:sz w:val="32"/>
          <w:szCs w:val="32"/>
        </w:rPr>
        <w:t>部门（单位）概况</w:t>
      </w:r>
      <w:bookmarkEnd w:id="143"/>
      <w:bookmarkEnd w:id="144"/>
    </w:p>
    <w:p>
      <w:pPr>
        <w:spacing w:line="360" w:lineRule="auto"/>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highlight w:val="auto"/>
        </w:rPr>
        <w:t>壤塘县科学技术协会（以下简称“科协”），机构性质：机关，机构地址：四川省阿坝州壤塘县壤柯镇罗吾塘中街90号，负责人：</w:t>
      </w:r>
      <w:r>
        <w:rPr>
          <w:rFonts w:ascii="仿宋_GB2312" w:eastAsia="仿宋_GB2312" w:cs="仿宋_GB2312" w:hint="eastAsia"/>
          <w:sz w:val="32"/>
          <w:szCs w:val="32"/>
          <w:lang w:eastAsia="zh-CN"/>
          <w:highlight w:val="auto"/>
        </w:rPr>
        <w:t>韩明德</w:t>
      </w:r>
    </w:p>
    <w:p>
      <w:pPr>
        <w:spacing w:line="360" w:lineRule="auto"/>
        <w:ind w:firstLineChars="200" w:firstLine="640"/>
        <w:outlineLvl w:val="1"/>
        <w:rPr>
          <w:rFonts w:ascii="仿宋_GB2312" w:eastAsia="仿宋_GB2312" w:cs="仿宋_GB2312"/>
          <w:b/>
          <w:bCs/>
          <w:kern w:val="0"/>
          <w:sz w:val="32"/>
          <w:szCs w:val="32"/>
        </w:rPr>
      </w:pPr>
      <w:bookmarkStart w:id="145" w:name="_Toc12052"/>
      <w:bookmarkStart w:id="146" w:name="_Toc2152"/>
      <w:r>
        <w:rPr>
          <w:rFonts w:ascii="仿宋_GB2312" w:eastAsia="仿宋_GB2312" w:cs="仿宋_GB2312" w:hint="eastAsia"/>
          <w:b/>
          <w:bCs/>
          <w:kern w:val="0"/>
          <w:sz w:val="32"/>
          <w:szCs w:val="32"/>
        </w:rPr>
        <w:t>（一）机构组成</w:t>
      </w:r>
      <w:bookmarkEnd w:id="145"/>
      <w:bookmarkEnd w:id="146"/>
    </w:p>
    <w:p>
      <w:pPr>
        <w:pStyle w:val="42"/>
        <w:ind w:left="420"/>
        <w:rPr>
          <w:rFonts w:ascii="仿宋_GB2312" w:eastAsia="仿宋_GB2312" w:cs="仿宋_GB2312"/>
          <w:sz w:val="32"/>
          <w:szCs w:val="32"/>
        </w:rPr>
      </w:pPr>
      <w:r>
        <w:rPr>
          <w:rFonts w:ascii="仿宋_GB2312" w:eastAsia="仿宋_GB2312" w:cs="仿宋_GB2312" w:hint="eastAsia"/>
          <w:sz w:val="32"/>
          <w:szCs w:val="32"/>
        </w:rPr>
        <w:t>壤塘县科协有编制5名（参公单位）。其中：科协主席1名；副主席1名；秘书长1名；办公室主任1名；财务人员1名。科协下设办公室，</w:t>
      </w:r>
      <w:r>
        <w:rPr>
          <w:rFonts w:ascii="仿宋_GB2312" w:eastAsia="仿宋_GB2312" w:cs="仿宋_GB2312" w:hint="eastAsia"/>
          <w:sz w:val="32"/>
          <w:szCs w:val="32"/>
          <w:lang w:eastAsia="zh-CN"/>
        </w:rPr>
        <w:t>财务</w:t>
      </w:r>
      <w:r>
        <w:rPr>
          <w:rFonts w:ascii="仿宋_GB2312" w:eastAsia="仿宋_GB2312" w:cs="仿宋_GB2312" w:hint="eastAsia"/>
          <w:sz w:val="32"/>
          <w:szCs w:val="32"/>
        </w:rPr>
        <w:t>股两个股室。</w:t>
      </w:r>
    </w:p>
    <w:p>
      <w:pPr>
        <w:pStyle w:val="42"/>
        <w:ind w:left="420"/>
        <w:rPr>
          <w:rFonts w:ascii="仿宋_GB2312" w:eastAsia="仿宋_GB2312" w:cs="仿宋_GB2312"/>
          <w:sz w:val="32"/>
          <w:szCs w:val="32"/>
        </w:rPr>
      </w:pPr>
      <w:r>
        <w:rPr>
          <w:rFonts w:ascii="仿宋_GB2312" w:eastAsia="仿宋_GB2312" w:cs="仿宋_GB2312" w:hint="eastAsia"/>
          <w:sz w:val="32"/>
          <w:szCs w:val="32"/>
        </w:rPr>
        <w:t>无纳入壤塘县科协20</w:t>
      </w:r>
      <w:r>
        <w:rPr>
          <w:rFonts w:ascii="仿宋_GB2312" w:eastAsia="仿宋_GB2312" w:cs="仿宋_GB2312" w:hint="eastAsia"/>
          <w:sz w:val="32"/>
          <w:szCs w:val="32"/>
          <w:lang w:val="en-US" w:eastAsia="zh-CN"/>
        </w:rPr>
        <w:t>20</w:t>
      </w:r>
      <w:r>
        <w:rPr>
          <w:rFonts w:ascii="仿宋_GB2312" w:eastAsia="仿宋_GB2312" w:cs="仿宋_GB2312" w:hint="eastAsia"/>
          <w:sz w:val="32"/>
          <w:szCs w:val="32"/>
        </w:rPr>
        <w:t>年度部门决算编制范围的二级预算单位。</w:t>
      </w:r>
    </w:p>
    <w:p>
      <w:pPr>
        <w:numPr>
          <w:ilvl w:val="0"/>
          <w:numId w:val="5"/>
        </w:numPr>
        <w:spacing w:line="360" w:lineRule="auto"/>
        <w:ind w:left="0" w:firstLineChars="200" w:firstLine="640"/>
        <w:outlineLvl w:val="1"/>
        <w:rPr>
          <w:rFonts w:ascii="仿宋_GB2312" w:eastAsia="仿宋_GB2312" w:cs="仿宋_GB2312"/>
          <w:b/>
          <w:bCs/>
          <w:kern w:val="0"/>
          <w:sz w:val="32"/>
          <w:szCs w:val="32"/>
        </w:rPr>
      </w:pPr>
      <w:bookmarkStart w:id="147" w:name="_Toc23858"/>
      <w:bookmarkStart w:id="148" w:name="_Toc13042"/>
      <w:r>
        <w:rPr>
          <w:rFonts w:ascii="仿宋_GB2312" w:eastAsia="仿宋_GB2312" w:cs="仿宋_GB2312" w:hint="eastAsia"/>
          <w:b/>
          <w:bCs/>
          <w:kern w:val="0"/>
          <w:sz w:val="32"/>
          <w:szCs w:val="32"/>
        </w:rPr>
        <w:t>机构职能</w:t>
      </w:r>
      <w:bookmarkEnd w:id="147"/>
      <w:bookmarkEnd w:id="148"/>
    </w:p>
    <w:p>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办公室。负责调查研究、综合协调、检查督办、目标管理、会议组织、文秘、档案、接待、保密、政务信息</w:t>
      </w:r>
      <w:r>
        <w:rPr>
          <w:rFonts w:ascii="仿宋_GB2312" w:eastAsia="仿宋_GB2312" w:cs="仿宋_GB2312" w:hint="eastAsia"/>
          <w:sz w:val="32"/>
          <w:szCs w:val="32"/>
          <w:lang w:eastAsia="zh-CN"/>
        </w:rPr>
        <w:t>，以及</w:t>
      </w:r>
      <w:r>
        <w:rPr>
          <w:rFonts w:ascii="仿宋_GB2312" w:eastAsia="仿宋_GB2312" w:cs="仿宋_GB2312" w:hint="eastAsia"/>
          <w:sz w:val="32"/>
          <w:szCs w:val="32"/>
        </w:rPr>
        <w:t xml:space="preserve">机关财务等机关行政管理工作；组织有关综合性报告、材料的起草工作，协助局领导处理日常工作，组织制定机关内部管理制度，指导科技宣传工作；组织贯彻落实国家、省、州有关 </w:t>
      </w:r>
      <w:r>
        <w:rPr>
          <w:rFonts w:ascii="仿宋_GB2312" w:eastAsia="仿宋_GB2312" w:cs="仿宋_GB2312"/>
          <w:sz w:val="32"/>
          <w:szCs w:val="32"/>
        </w:rPr>
        <w:t xml:space="preserve"> </w:t>
      </w:r>
      <w:r>
        <w:rPr>
          <w:rFonts w:ascii="仿宋_GB2312" w:eastAsia="仿宋_GB2312" w:cs="仿宋_GB2312" w:hint="eastAsia"/>
          <w:sz w:val="32"/>
          <w:szCs w:val="32"/>
        </w:rPr>
        <w:t>科技工作的政策、法规，组织拟定科技发展战备法规草案，会同有关部门拟订科技体制改革的总体规划，负责拟订科技宣传，科技普及工作，负责全县性学会、协会的组织管理和日常联络工作。承办县科技顾问团的有关事项；承办局领导交办的其他工作。</w:t>
      </w:r>
    </w:p>
    <w:p>
      <w:pPr>
        <w:spacing w:line="360" w:lineRule="auto"/>
        <w:ind w:firstLineChars="200" w:firstLine="640"/>
        <w:rPr>
          <w:rFonts w:ascii="仿宋_GB2312" w:eastAsia="仿宋_GB2312" w:cs="仿宋_GB2312"/>
          <w:sz w:val="32"/>
          <w:szCs w:val="32"/>
          <w:highlight w:val="auto"/>
        </w:rPr>
      </w:pPr>
      <w:r>
        <w:rPr>
          <w:rFonts w:ascii="仿宋_GB2312" w:eastAsia="仿宋_GB2312" w:cs="仿宋_GB2312" w:hint="eastAsia"/>
          <w:sz w:val="32"/>
          <w:szCs w:val="32"/>
        </w:rPr>
        <w:t>业务股。</w:t>
      </w:r>
      <w:r>
        <w:rPr>
          <w:rFonts w:ascii="仿宋_GB2312" w:eastAsia="仿宋_GB2312" w:cs="仿宋_GB2312" w:hint="eastAsia"/>
          <w:sz w:val="32"/>
          <w:szCs w:val="32"/>
          <w:lang w:val="en-US" w:eastAsia="zh-CN"/>
          <w:highlight w:val="auto"/>
        </w:rPr>
        <w:t>1、</w:t>
      </w:r>
      <w:r>
        <w:rPr>
          <w:rFonts w:ascii="仿宋_GB2312" w:eastAsia="仿宋_GB2312" w:cs="仿宋_GB2312" w:hint="eastAsia"/>
          <w:sz w:val="32"/>
          <w:szCs w:val="32"/>
        </w:rPr>
        <w:t>贯彻执行国家财经政策法规，按照《</w:t>
      </w:r>
      <w:r>
        <w:rPr>
          <w:rFonts w:ascii="仿宋_GB2312" w:eastAsia="仿宋_GB2312" w:cs="仿宋_GB2312" w:hint="eastAsia"/>
          <w:sz w:val="32"/>
          <w:szCs w:val="32"/>
          <w:lang w:eastAsia="zh-CN"/>
        </w:rPr>
        <w:t>中华人民共和国会计法</w:t>
      </w:r>
      <w:r>
        <w:rPr>
          <w:rFonts w:ascii="仿宋_GB2312" w:eastAsia="仿宋_GB2312" w:cs="仿宋_GB2312" w:hint="eastAsia"/>
          <w:sz w:val="32"/>
          <w:szCs w:val="32"/>
        </w:rPr>
        <w:t xml:space="preserve">》规定，参与草拟本单位财务内控制度、稽核评价财务内控制度的执行状况，及时提出整改的措施与意见建议。  </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组织单位年度预算的编制、执行、检查、考核工作，保证年度预算目标的实现。</w:t>
      </w:r>
      <w:r>
        <w:rPr>
          <w:rFonts w:ascii="仿宋_GB2312" w:eastAsia="仿宋_GB2312" w:cs="仿宋_GB2312" w:hint="eastAsia"/>
          <w:sz w:val="32"/>
          <w:szCs w:val="32"/>
          <w:lang w:val="en-US" w:eastAsia="zh-CN"/>
        </w:rPr>
        <w:t>3、</w:t>
      </w:r>
      <w:r>
        <w:rPr>
          <w:rFonts w:ascii="仿宋_GB2312" w:eastAsia="仿宋_GB2312" w:cs="仿宋_GB2312" w:hint="eastAsia"/>
          <w:sz w:val="32"/>
          <w:szCs w:val="32"/>
        </w:rPr>
        <w:t xml:space="preserve">会同有关职能部门定期进行财产清查，及时清理债权债务，保证单位资产安全、完整。  </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 xml:space="preserve">参与组织经济活动分析，向领导提供正确会计信息，并通报财务状况。  </w:t>
      </w:r>
      <w:r>
        <w:rPr>
          <w:rFonts w:ascii="仿宋_GB2312" w:eastAsia="仿宋_GB2312" w:cs="仿宋_GB2312" w:hint="eastAsia"/>
          <w:sz w:val="32"/>
          <w:szCs w:val="32"/>
          <w:lang w:val="en-US" w:eastAsia="zh-CN"/>
        </w:rPr>
        <w:t>5、</w:t>
      </w:r>
      <w:r>
        <w:rPr>
          <w:rFonts w:ascii="仿宋_GB2312" w:eastAsia="仿宋_GB2312" w:cs="仿宋_GB2312" w:hint="eastAsia"/>
          <w:sz w:val="32"/>
          <w:szCs w:val="32"/>
        </w:rPr>
        <w:t>负责检查财务历史资料、文件、凭证、报表的整理、搜集和立卷归档工作，并按规定手续报请销毁。 </w:t>
      </w:r>
    </w:p>
    <w:p>
      <w:pPr>
        <w:numPr>
          <w:ilvl w:val="0"/>
          <w:numId w:val="5"/>
        </w:numPr>
        <w:spacing w:line="360" w:lineRule="auto"/>
        <w:ind w:left="0" w:firstLineChars="200" w:firstLine="640"/>
        <w:outlineLvl w:val="1"/>
        <w:rPr>
          <w:rFonts w:ascii="仿宋_GB2312" w:eastAsia="仿宋_GB2312" w:cs="仿宋_GB2312"/>
          <w:kern w:val="0"/>
          <w:sz w:val="32"/>
          <w:szCs w:val="32"/>
          <w:highlight w:val="auto"/>
        </w:rPr>
      </w:pPr>
      <w:bookmarkStart w:id="149" w:name="_Toc20099"/>
      <w:bookmarkStart w:id="150" w:name="_Toc14648"/>
      <w:r>
        <w:rPr>
          <w:rFonts w:ascii="仿宋_GB2312" w:eastAsia="仿宋_GB2312" w:cs="仿宋_GB2312" w:hint="eastAsia"/>
          <w:kern w:val="0"/>
          <w:sz w:val="32"/>
          <w:szCs w:val="32"/>
          <w:highlight w:val="auto"/>
        </w:rPr>
        <w:t>人员概况</w:t>
      </w:r>
      <w:bookmarkEnd w:id="149"/>
      <w:bookmarkEnd w:id="150"/>
    </w:p>
    <w:p>
      <w:pPr>
        <w:pStyle w:val="15"/>
        <w:rPr>
          <w:rFonts w:eastAsia="仿宋_GB2312"/>
          <w:lang w:val="en-US" w:eastAsia="zh-CN"/>
          <w:highlight w:val="auto"/>
        </w:rPr>
      </w:pPr>
      <w:r>
        <w:rPr>
          <w:rFonts w:ascii="仿宋_GB2312" w:eastAsia="仿宋_GB2312" w:cs="仿宋_GB2312" w:hint="eastAsia"/>
          <w:kern w:val="0"/>
          <w:sz w:val="32"/>
          <w:szCs w:val="32"/>
          <w:lang w:val="en-US" w:eastAsia="zh-CN"/>
          <w:highlight w:val="auto"/>
        </w:rPr>
        <w:t>2020年年末单位在职总人数为5人。</w:t>
      </w:r>
    </w:p>
    <w:p>
      <w:pPr>
        <w:spacing w:line="360" w:lineRule="auto"/>
        <w:outlineLvl w:val="0"/>
        <w:rPr>
          <w:rFonts w:ascii="仿宋_GB2312" w:eastAsia="仿宋_GB2312" w:cs="仿宋_GB2312"/>
          <w:b/>
          <w:bCs/>
          <w:kern w:val="0"/>
          <w:sz w:val="32"/>
          <w:szCs w:val="32"/>
        </w:rPr>
      </w:pPr>
      <w:bookmarkStart w:id="151" w:name="_Toc22516"/>
      <w:bookmarkStart w:id="152" w:name="_Toc8494"/>
      <w:r>
        <w:rPr>
          <w:rFonts w:ascii="仿宋_GB2312" w:eastAsia="仿宋_GB2312" w:cs="仿宋_GB2312" w:hint="eastAsia"/>
          <w:b/>
          <w:bCs/>
          <w:kern w:val="0"/>
          <w:sz w:val="32"/>
          <w:szCs w:val="32"/>
          <w:highlight w:val="auto"/>
        </w:rPr>
        <w:t>二、部门财政资金收</w:t>
      </w:r>
      <w:r>
        <w:rPr>
          <w:rFonts w:ascii="仿宋_GB2312" w:eastAsia="仿宋_GB2312" w:cs="仿宋_GB2312" w:hint="eastAsia"/>
          <w:b/>
          <w:bCs/>
          <w:kern w:val="0"/>
          <w:sz w:val="32"/>
          <w:szCs w:val="32"/>
        </w:rPr>
        <w:t>支情况</w:t>
      </w:r>
      <w:bookmarkEnd w:id="151"/>
      <w:bookmarkEnd w:id="152"/>
    </w:p>
    <w:p>
      <w:pPr>
        <w:spacing w:line="360" w:lineRule="auto"/>
        <w:ind w:firstLineChars="100" w:firstLine="320"/>
        <w:outlineLvl w:val="1"/>
        <w:rPr>
          <w:rFonts w:ascii="仿宋_GB2312" w:eastAsia="仿宋_GB2312" w:cs="仿宋_GB2312"/>
          <w:b/>
          <w:bCs/>
          <w:kern w:val="0"/>
          <w:sz w:val="32"/>
          <w:szCs w:val="32"/>
        </w:rPr>
      </w:pPr>
      <w:bookmarkStart w:id="153" w:name="_Toc5190"/>
      <w:bookmarkStart w:id="154" w:name="_Toc29062"/>
      <w:r>
        <w:rPr>
          <w:rFonts w:ascii="仿宋_GB2312" w:eastAsia="仿宋_GB2312" w:cs="仿宋_GB2312" w:hint="eastAsia"/>
          <w:b/>
          <w:bCs/>
          <w:kern w:val="0"/>
          <w:sz w:val="32"/>
          <w:szCs w:val="32"/>
        </w:rPr>
        <w:t>（一）财政资金收入情况</w:t>
      </w:r>
      <w:bookmarkEnd w:id="153"/>
      <w:bookmarkEnd w:id="154"/>
    </w:p>
    <w:p>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2020年财政下达壤塘</w:t>
      </w:r>
      <w:r>
        <w:rPr>
          <w:rFonts w:ascii="仿宋_GB2312" w:eastAsia="仿宋_GB2312" w:cs="仿宋_GB2312"/>
          <w:sz w:val="32"/>
          <w:szCs w:val="32"/>
        </w:rPr>
        <w:t>县</w:t>
      </w:r>
      <w:r>
        <w:rPr>
          <w:rFonts w:ascii="仿宋_GB2312" w:eastAsia="仿宋_GB2312" w:cs="仿宋_GB2312" w:hint="eastAsia"/>
          <w:sz w:val="32"/>
          <w:szCs w:val="32"/>
          <w:lang w:val="en-US" w:eastAsia="zh-CN"/>
        </w:rPr>
        <w:t>科协</w:t>
      </w:r>
      <w:r>
        <w:rPr>
          <w:rFonts w:ascii="仿宋_GB2312" w:eastAsia="仿宋_GB2312" w:cs="仿宋_GB2312" w:hint="eastAsia"/>
          <w:sz w:val="32"/>
          <w:szCs w:val="32"/>
        </w:rPr>
        <w:t>年初预算收入</w:t>
      </w:r>
      <w:r>
        <w:rPr>
          <w:rFonts w:ascii="仿宋_GB2312" w:eastAsia="仿宋_GB2312" w:cs="仿宋_GB2312" w:hint="eastAsia"/>
          <w:sz w:val="32"/>
          <w:szCs w:val="32"/>
          <w:lang w:val="en-US" w:eastAsia="zh-CN"/>
        </w:rPr>
        <w:t>111.25</w:t>
      </w:r>
      <w:r>
        <w:rPr>
          <w:rFonts w:ascii="仿宋_GB2312" w:eastAsia="仿宋_GB2312" w:cs="仿宋_GB2312" w:hint="eastAsia"/>
          <w:sz w:val="32"/>
          <w:szCs w:val="32"/>
        </w:rPr>
        <w:t>万元，全年预算收入为</w:t>
      </w:r>
      <w:r>
        <w:rPr>
          <w:rFonts w:ascii="仿宋_GB2312" w:eastAsia="仿宋_GB2312" w:cs="仿宋_GB2312" w:hint="eastAsia"/>
          <w:sz w:val="32"/>
          <w:szCs w:val="32"/>
          <w:lang w:val="en-US" w:eastAsia="zh-CN"/>
        </w:rPr>
        <w:t>160.69</w:t>
      </w:r>
      <w:r>
        <w:rPr>
          <w:rFonts w:ascii="仿宋_GB2312" w:eastAsia="仿宋_GB2312" w:cs="仿宋_GB2312" w:hint="eastAsia"/>
          <w:sz w:val="32"/>
          <w:szCs w:val="32"/>
        </w:rPr>
        <w:t>万元，</w:t>
      </w:r>
      <w:r>
        <w:rPr>
          <w:rFonts w:ascii="仿宋_GB2312" w:eastAsia="仿宋_GB2312" w:cs="仿宋_GB2312" w:hint="eastAsia"/>
          <w:sz w:val="32"/>
          <w:szCs w:val="32"/>
          <w:lang w:val="en-US" w:eastAsia="zh-CN"/>
        </w:rPr>
        <w:t>全年预算调增49.43万元，</w:t>
      </w:r>
      <w:r>
        <w:rPr>
          <w:rFonts w:ascii="仿宋_GB2312" w:eastAsia="仿宋_GB2312" w:cs="仿宋_GB2312" w:hint="eastAsia"/>
          <w:sz w:val="32"/>
          <w:szCs w:val="32"/>
        </w:rPr>
        <w:t>使用上年结转结余资金</w:t>
      </w:r>
      <w:r>
        <w:rPr>
          <w:rFonts w:ascii="仿宋_GB2312" w:eastAsia="仿宋_GB2312" w:cs="仿宋_GB2312" w:hint="eastAsia"/>
          <w:sz w:val="32"/>
          <w:szCs w:val="32"/>
          <w:lang w:val="en-US" w:eastAsia="zh-CN"/>
        </w:rPr>
        <w:t>10.00</w:t>
      </w:r>
      <w:r>
        <w:rPr>
          <w:rFonts w:ascii="仿宋_GB2312" w:eastAsia="仿宋_GB2312" w:cs="仿宋_GB2312" w:hint="eastAsia"/>
          <w:sz w:val="32"/>
          <w:szCs w:val="32"/>
        </w:rPr>
        <w:t>万元。</w:t>
      </w:r>
    </w:p>
    <w:p>
      <w:pPr>
        <w:spacing w:line="360" w:lineRule="auto"/>
        <w:ind w:firstLineChars="200" w:firstLine="640"/>
        <w:outlineLvl w:val="1"/>
        <w:rPr>
          <w:rFonts w:ascii="仿宋_GB2312" w:eastAsia="仿宋_GB2312" w:cs="仿宋_GB2312"/>
          <w:b/>
          <w:bCs/>
          <w:kern w:val="0"/>
          <w:sz w:val="32"/>
          <w:szCs w:val="32"/>
        </w:rPr>
      </w:pPr>
      <w:bookmarkStart w:id="155" w:name="_Toc22764"/>
      <w:bookmarkStart w:id="156" w:name="_Toc10275"/>
      <w:r>
        <w:rPr>
          <w:rFonts w:ascii="仿宋_GB2312" w:eastAsia="仿宋_GB2312" w:cs="仿宋_GB2312" w:hint="eastAsia"/>
          <w:b/>
          <w:bCs/>
          <w:kern w:val="0"/>
          <w:sz w:val="32"/>
          <w:szCs w:val="32"/>
        </w:rPr>
        <w:t>（二）财政资金支出情况</w:t>
      </w:r>
      <w:bookmarkEnd w:id="155"/>
      <w:bookmarkEnd w:id="156"/>
    </w:p>
    <w:p>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2020年壤塘县</w:t>
      </w:r>
      <w:r>
        <w:rPr>
          <w:rFonts w:ascii="仿宋_GB2312" w:eastAsia="仿宋_GB2312" w:cs="仿宋_GB2312" w:hint="eastAsia"/>
          <w:sz w:val="32"/>
          <w:szCs w:val="32"/>
          <w:lang w:eastAsia="zh-CN"/>
        </w:rPr>
        <w:t>科协</w:t>
      </w:r>
      <w:r>
        <w:rPr>
          <w:rFonts w:ascii="仿宋_GB2312" w:eastAsia="仿宋_GB2312" w:cs="仿宋_GB2312" w:hint="eastAsia"/>
          <w:sz w:val="32"/>
          <w:szCs w:val="32"/>
        </w:rPr>
        <w:t>年初预算支出</w:t>
      </w:r>
      <w:r>
        <w:rPr>
          <w:rFonts w:ascii="仿宋_GB2312" w:eastAsia="仿宋_GB2312" w:cs="仿宋_GB2312" w:hint="eastAsia"/>
          <w:sz w:val="32"/>
          <w:szCs w:val="32"/>
          <w:lang w:val="en-US" w:eastAsia="zh-CN"/>
        </w:rPr>
        <w:t>111.25</w:t>
      </w:r>
      <w:r>
        <w:rPr>
          <w:rFonts w:ascii="仿宋_GB2312" w:eastAsia="仿宋_GB2312" w:cs="仿宋_GB2312" w:hint="eastAsia"/>
          <w:sz w:val="32"/>
          <w:szCs w:val="32"/>
        </w:rPr>
        <w:t>万元，年末预算总支出为</w:t>
      </w:r>
      <w:r>
        <w:rPr>
          <w:rFonts w:ascii="仿宋_GB2312" w:eastAsia="仿宋_GB2312" w:cs="仿宋_GB2312" w:hint="eastAsia"/>
          <w:sz w:val="32"/>
          <w:szCs w:val="32"/>
          <w:lang w:val="en-US" w:eastAsia="zh-CN"/>
        </w:rPr>
        <w:t>170.69</w:t>
      </w:r>
      <w:r>
        <w:rPr>
          <w:rFonts w:ascii="仿宋_GB2312" w:eastAsia="仿宋_GB2312" w:cs="仿宋_GB2312" w:hint="eastAsia"/>
          <w:sz w:val="32"/>
          <w:szCs w:val="32"/>
        </w:rPr>
        <w:t>万元，其中基本支出为</w:t>
      </w:r>
      <w:r>
        <w:rPr>
          <w:rFonts w:ascii="仿宋_GB2312" w:eastAsia="仿宋_GB2312" w:cs="仿宋_GB2312" w:hint="eastAsia"/>
          <w:sz w:val="32"/>
          <w:szCs w:val="32"/>
          <w:lang w:val="en-US" w:eastAsia="zh-CN"/>
        </w:rPr>
        <w:t>112.08</w:t>
      </w:r>
      <w:r>
        <w:rPr>
          <w:rFonts w:ascii="仿宋_GB2312" w:eastAsia="仿宋_GB2312" w:cs="仿宋_GB2312" w:hint="eastAsia"/>
          <w:sz w:val="32"/>
          <w:szCs w:val="32"/>
        </w:rPr>
        <w:t>万元，项目支出总额为</w:t>
      </w:r>
      <w:r>
        <w:rPr>
          <w:rFonts w:ascii="仿宋_GB2312" w:eastAsia="仿宋_GB2312" w:cs="仿宋_GB2312" w:hint="eastAsia"/>
          <w:sz w:val="32"/>
          <w:szCs w:val="32"/>
          <w:lang w:val="en-US" w:eastAsia="zh-CN"/>
        </w:rPr>
        <w:t>54.34</w:t>
      </w:r>
      <w:r>
        <w:rPr>
          <w:rFonts w:ascii="仿宋_GB2312" w:eastAsia="仿宋_GB2312" w:cs="仿宋_GB2312" w:hint="eastAsia"/>
          <w:sz w:val="32"/>
          <w:szCs w:val="32"/>
        </w:rPr>
        <w:t>万元；并且年末项目结转资金为</w:t>
      </w:r>
      <w:r>
        <w:rPr>
          <w:rFonts w:ascii="仿宋_GB2312" w:eastAsia="仿宋_GB2312" w:cs="仿宋_GB2312" w:hint="eastAsia"/>
          <w:sz w:val="32"/>
          <w:szCs w:val="32"/>
          <w:lang w:val="en-US" w:eastAsia="zh-CN"/>
        </w:rPr>
        <w:t>4.26</w:t>
      </w:r>
      <w:r>
        <w:rPr>
          <w:rFonts w:ascii="仿宋_GB2312" w:eastAsia="仿宋_GB2312" w:cs="仿宋_GB2312" w:hint="eastAsia"/>
          <w:sz w:val="32"/>
          <w:szCs w:val="32"/>
        </w:rPr>
        <w:t>万元。</w:t>
      </w:r>
    </w:p>
    <w:p>
      <w:pPr>
        <w:spacing w:line="360" w:lineRule="auto"/>
        <w:outlineLvl w:val="0"/>
        <w:rPr>
          <w:rFonts w:ascii="仿宋_GB2312" w:eastAsia="仿宋_GB2312" w:cs="仿宋_GB2312"/>
          <w:b/>
          <w:bCs/>
          <w:kern w:val="0"/>
          <w:sz w:val="32"/>
          <w:szCs w:val="32"/>
        </w:rPr>
      </w:pPr>
      <w:bookmarkStart w:id="157" w:name="_Toc22989"/>
      <w:bookmarkStart w:id="158" w:name="_Toc1558"/>
      <w:r>
        <w:rPr>
          <w:rFonts w:ascii="仿宋_GB2312" w:eastAsia="仿宋_GB2312" w:cs="仿宋_GB2312" w:hint="eastAsia"/>
          <w:b/>
          <w:bCs/>
          <w:kern w:val="0"/>
          <w:sz w:val="32"/>
          <w:szCs w:val="32"/>
        </w:rPr>
        <w:t>三、部门整体预算绩效管理情况</w:t>
      </w:r>
      <w:bookmarkEnd w:id="157"/>
      <w:bookmarkEnd w:id="158"/>
    </w:p>
    <w:p>
      <w:pPr>
        <w:spacing w:line="360" w:lineRule="auto"/>
        <w:ind w:firstLineChars="200" w:firstLine="640"/>
        <w:outlineLvl w:val="1"/>
        <w:rPr>
          <w:rFonts w:ascii="仿宋_GB2312" w:eastAsia="仿宋_GB2312" w:cs="仿宋_GB2312" w:hint="eastAsia"/>
          <w:sz w:val="32"/>
          <w:szCs w:val="32"/>
        </w:rPr>
      </w:pPr>
      <w:bookmarkStart w:id="159" w:name="_Toc5493"/>
      <w:bookmarkStart w:id="160" w:name="_Toc7935"/>
      <w:r>
        <w:rPr>
          <w:rFonts w:ascii="仿宋_GB2312" w:eastAsia="仿宋_GB2312" w:cs="仿宋_GB2312" w:hint="eastAsia"/>
          <w:sz w:val="32"/>
          <w:szCs w:val="32"/>
        </w:rPr>
        <w:t>（一）目标制定</w:t>
      </w:r>
      <w:bookmarkEnd w:id="159"/>
      <w:bookmarkEnd w:id="160"/>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单位2020部门整体绩效目标及年度任务：</w:t>
      </w:r>
    </w:p>
    <w:p>
      <w:pPr>
        <w:spacing w:line="360" w:lineRule="auto"/>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rPr>
        <w:t>县科协紧紧围绕</w:t>
      </w:r>
      <w:r>
        <w:rPr>
          <w:rFonts w:ascii="仿宋_GB2312" w:eastAsia="仿宋_GB2312" w:cs="仿宋_GB2312" w:hint="eastAsia"/>
          <w:sz w:val="32"/>
          <w:szCs w:val="32"/>
          <w:lang w:eastAsia="zh-CN"/>
        </w:rPr>
        <w:t>县委、县政府</w:t>
      </w:r>
      <w:r>
        <w:rPr>
          <w:rFonts w:ascii="仿宋_GB2312" w:eastAsia="仿宋_GB2312" w:cs="仿宋_GB2312" w:hint="eastAsia"/>
          <w:sz w:val="32"/>
          <w:szCs w:val="32"/>
        </w:rPr>
        <w:t>工作总体目标，团结、依靠广大科技工作者，发挥科协人才荟萃和健全的科普网络优势，积极开展科普宣传、科技咨询、科技示范和农村实用技术培训，促进科学技术与生产力的结合，为我县经济社会可持续发展做好服务工作</w:t>
      </w:r>
      <w:r>
        <w:rPr>
          <w:rFonts w:ascii="仿宋_GB2312" w:eastAsia="仿宋_GB2312" w:cs="仿宋_GB2312" w:hint="eastAsia"/>
          <w:sz w:val="32"/>
          <w:szCs w:val="32"/>
          <w:lang w:eastAsia="zh-CN"/>
        </w:rPr>
        <w:t>。</w:t>
      </w:r>
    </w:p>
    <w:p>
      <w:pPr>
        <w:pStyle w:val="15"/>
        <w:spacing w:line="360" w:lineRule="auto"/>
        <w:rPr>
          <w:rFonts w:ascii="仿宋_GB2312" w:eastAsia="仿宋_GB2312" w:cs="仿宋_GB2312" w:hint="eastAsia"/>
          <w:kern w:val="0"/>
          <w:sz w:val="32"/>
          <w:szCs w:val="32"/>
        </w:rPr>
      </w:pPr>
      <w:r>
        <w:rPr>
          <w:rFonts w:ascii="仿宋_GB2312" w:eastAsia="仿宋_GB2312" w:cs="仿宋_GB2312" w:hint="eastAsia"/>
          <w:kern w:val="0"/>
          <w:sz w:val="32"/>
          <w:szCs w:val="32"/>
          <w:lang w:val="en-US" w:eastAsia="zh-CN"/>
        </w:rPr>
        <w:t>单位</w:t>
      </w:r>
      <w:r>
        <w:rPr>
          <w:rFonts w:ascii="仿宋_GB2312" w:eastAsia="仿宋_GB2312" w:cs="仿宋_GB2312" w:hint="eastAsia"/>
          <w:kern w:val="0"/>
          <w:sz w:val="32"/>
          <w:szCs w:val="32"/>
        </w:rPr>
        <w:t>主要任务</w:t>
      </w:r>
      <w:r>
        <w:rPr>
          <w:rFonts w:ascii="仿宋_GB2312" w:eastAsia="仿宋_GB2312" w:cs="仿宋_GB2312" w:hint="eastAsia"/>
          <w:kern w:val="0"/>
          <w:sz w:val="32"/>
          <w:szCs w:val="32"/>
          <w:lang w:eastAsia="zh-CN"/>
        </w:rPr>
        <w:t>：</w:t>
      </w:r>
      <w:r>
        <w:rPr>
          <w:rFonts w:ascii="仿宋_GB2312" w:eastAsia="仿宋_GB2312" w:cs="仿宋_GB2312" w:hint="eastAsia"/>
          <w:kern w:val="0"/>
          <w:sz w:val="32"/>
          <w:szCs w:val="32"/>
        </w:rPr>
        <w:t xml:space="preserve"> </w:t>
      </w:r>
    </w:p>
    <w:p>
      <w:pPr>
        <w:spacing w:line="240" w:lineRule="auto"/>
        <w:ind w:firstLineChars="200" w:firstLine="640"/>
        <w:jc w:val="left"/>
        <w:rPr>
          <w:rFonts w:ascii="仿宋_GB2312" w:eastAsia="仿宋_GB2312" w:cs="仿宋_GB2312" w:hint="eastAsia"/>
          <w:sz w:val="32"/>
          <w:szCs w:val="32"/>
          <w:lang w:val="en-US" w:eastAsia="zh-CN"/>
        </w:rPr>
      </w:pPr>
      <w:r>
        <w:rPr>
          <w:rFonts w:ascii="仿宋_GB2312" w:eastAsia="仿宋_GB2312" w:cs="仿宋_GB2312" w:hint="eastAsia"/>
          <w:kern w:val="0"/>
          <w:sz w:val="32"/>
          <w:szCs w:val="32"/>
          <w:lang w:val="en-US" w:eastAsia="zh-CN" w:bidi="ar-SA"/>
        </w:rPr>
        <w:t>加强科普宣传，积极推进“天府科技云”工作。供需对接的精准性，将变得前所未有。天府科技云致力于实现科技服务智能精准供给、科技成果智能精准转化、科研项目智能精准承接、科普服务智能精准直达四大功能。在应急状态下，还将实现应急科技救助和服务、应急科普服务。“科技云”利用大数据、人工智能和先进算法将科技工作者“科技所能”与企事业单位“科技所需”，将海量权威“科普资源”与城乡群众“科普所需”进行智能精准匹配，实现科技供需高效率无延迟精准对接，真正做到“一人一策”“一单一策”“一企一策”。</w:t>
      </w:r>
      <w:r>
        <w:rPr>
          <w:rFonts w:ascii="仿宋_GB2312" w:eastAsia="仿宋_GB2312" w:cs="仿宋_GB2312"/>
          <w:kern w:val="0"/>
          <w:sz w:val="32"/>
          <w:szCs w:val="32"/>
          <w:lang w:val="en-US" w:eastAsia="zh-CN" w:bidi="ar-SA"/>
        </w:rPr>
        <w:t>为下一步</w:t>
      </w:r>
      <w:r>
        <w:rPr>
          <w:rFonts w:ascii="仿宋_GB2312" w:eastAsia="仿宋_GB2312" w:cs="仿宋_GB2312" w:hint="eastAsia"/>
          <w:kern w:val="0"/>
          <w:sz w:val="32"/>
          <w:szCs w:val="32"/>
          <w:lang w:val="en-US" w:eastAsia="zh-CN" w:bidi="ar-SA"/>
        </w:rPr>
        <w:t>逐步改进</w:t>
      </w:r>
      <w:r>
        <w:rPr>
          <w:rFonts w:ascii="仿宋_GB2312" w:eastAsia="仿宋_GB2312" w:cs="仿宋_GB2312"/>
          <w:kern w:val="0"/>
          <w:sz w:val="32"/>
          <w:szCs w:val="32"/>
          <w:lang w:val="en-US" w:eastAsia="zh-CN" w:bidi="ar-SA"/>
        </w:rPr>
        <w:t>当地农牧民</w:t>
      </w:r>
      <w:r>
        <w:rPr>
          <w:rFonts w:ascii="仿宋_GB2312" w:eastAsia="仿宋_GB2312" w:cs="仿宋_GB2312" w:hint="eastAsia"/>
          <w:kern w:val="0"/>
          <w:sz w:val="32"/>
          <w:szCs w:val="32"/>
          <w:lang w:val="en-US" w:eastAsia="zh-CN" w:bidi="ar-SA"/>
        </w:rPr>
        <w:t>传统种植模式，提</w:t>
      </w:r>
      <w:r>
        <w:rPr>
          <w:rFonts w:ascii="仿宋_GB2312" w:eastAsia="仿宋_GB2312" w:cs="仿宋_GB2312" w:hint="eastAsia"/>
          <w:sz w:val="32"/>
          <w:szCs w:val="32"/>
          <w:lang w:val="en-US" w:eastAsia="zh-CN"/>
        </w:rPr>
        <w:t>高农作物的产量，增加</w:t>
      </w:r>
      <w:r>
        <w:rPr>
          <w:rFonts w:ascii="仿宋_GB2312" w:eastAsia="仿宋_GB2312" w:cs="仿宋_GB2312"/>
          <w:sz w:val="32"/>
          <w:szCs w:val="32"/>
          <w:lang w:val="en-US" w:eastAsia="zh-CN"/>
        </w:rPr>
        <w:t>农业</w:t>
      </w:r>
      <w:r>
        <w:rPr>
          <w:rFonts w:ascii="仿宋_GB2312" w:eastAsia="仿宋_GB2312" w:cs="仿宋_GB2312" w:hint="eastAsia"/>
          <w:sz w:val="32"/>
          <w:szCs w:val="32"/>
          <w:lang w:val="en-US" w:eastAsia="zh-CN"/>
        </w:rPr>
        <w:t>收入奠定基础。</w:t>
      </w:r>
    </w:p>
    <w:p>
      <w:pPr>
        <w:pStyle w:val="15"/>
        <w:ind w:firstLineChars="200" w:firstLine="640"/>
        <w:rPr>
          <w:rFonts w:ascii="仿宋_GB2312" w:eastAsia="仿宋_GB2312" w:cs="仿宋_GB2312" w:hint="eastAsia"/>
          <w:kern w:val="0"/>
          <w:sz w:val="32"/>
          <w:szCs w:val="32"/>
          <w:lang w:val="en-US" w:eastAsia="zh-CN" w:bidi="ar-SA"/>
        </w:rPr>
      </w:pPr>
      <w:r>
        <w:rPr>
          <w:rFonts w:ascii="仿宋_GB2312" w:eastAsia="仿宋_GB2312" w:cs="仿宋_GB2312" w:hint="eastAsia"/>
          <w:kern w:val="0"/>
          <w:sz w:val="32"/>
          <w:szCs w:val="32"/>
          <w:lang w:val="en-US" w:eastAsia="zh-CN" w:bidi="ar-SA"/>
        </w:rPr>
        <w:t>加强“科普惠农兴村计划”工作，抓好</w:t>
      </w:r>
      <w:r>
        <w:rPr>
          <w:rFonts w:ascii="仿宋_GB2312" w:eastAsia="仿宋_GB2312" w:cs="仿宋_GB2312"/>
          <w:kern w:val="0"/>
          <w:sz w:val="32"/>
          <w:szCs w:val="32"/>
          <w:lang w:val="en-US" w:eastAsia="zh-CN" w:bidi="ar-SA"/>
        </w:rPr>
        <w:t>“科普惠农兴村计划”项目实施，促进科技成果转化。以“科普惠农兴村计划”项目为载体，切实推动新技术、新产品的引进、示范和推广，促进科技成果</w:t>
      </w:r>
      <w:r>
        <w:rPr>
          <w:rFonts w:ascii="仿宋_GB2312" w:eastAsia="仿宋_GB2312" w:cs="仿宋_GB2312" w:hint="eastAsia"/>
          <w:kern w:val="0"/>
          <w:sz w:val="32"/>
          <w:szCs w:val="32"/>
          <w:lang w:val="en-US" w:eastAsia="zh-CN" w:bidi="ar-SA"/>
        </w:rPr>
        <w:t>向</w:t>
      </w:r>
      <w:r>
        <w:rPr>
          <w:rFonts w:ascii="仿宋_GB2312" w:eastAsia="仿宋_GB2312" w:cs="仿宋_GB2312"/>
          <w:kern w:val="0"/>
          <w:sz w:val="32"/>
          <w:szCs w:val="32"/>
          <w:lang w:val="en-US" w:eastAsia="zh-CN" w:bidi="ar-SA"/>
        </w:rPr>
        <w:t>现实生产力转化。</w:t>
      </w:r>
      <w:r>
        <w:rPr>
          <w:rFonts w:ascii="仿宋_GB2312" w:eastAsia="仿宋_GB2312" w:cs="仿宋_GB2312" w:hint="eastAsia"/>
          <w:kern w:val="0"/>
          <w:sz w:val="32"/>
          <w:szCs w:val="32"/>
          <w:lang w:val="en-US" w:eastAsia="zh-CN" w:bidi="ar-SA"/>
        </w:rPr>
        <w:t>为全县经济社会可持续发展服务。</w:t>
      </w:r>
    </w:p>
    <w:p>
      <w:pPr>
        <w:pStyle w:val="15"/>
        <w:outlineLvl w:val="1"/>
        <w:rPr>
          <w:rFonts w:ascii="仿宋_GB2312" w:eastAsia="仿宋_GB2312" w:cs="仿宋_GB2312"/>
          <w:color w:val="000000"/>
          <w:sz w:val="32"/>
          <w:szCs w:val="32"/>
        </w:rPr>
      </w:pPr>
      <w:bookmarkStart w:id="161" w:name="_Toc6919"/>
      <w:bookmarkStart w:id="162" w:name="_Toc8175"/>
      <w:r>
        <w:rPr>
          <w:rFonts w:ascii="仿宋_GB2312" w:eastAsia="仿宋_GB2312" w:cs="仿宋_GB2312" w:hint="eastAsia"/>
          <w:color w:val="000000"/>
          <w:sz w:val="32"/>
          <w:szCs w:val="32"/>
        </w:rPr>
        <w:t>（二）目标完成情况</w:t>
      </w:r>
      <w:bookmarkEnd w:id="161"/>
      <w:bookmarkEnd w:id="162"/>
    </w:p>
    <w:p>
      <w:pPr>
        <w:tabs>
          <w:tab w:val="left" w:pos="5781"/>
        </w:tabs>
        <w:spacing w:line="240" w:lineRule="auto"/>
        <w:ind w:firstLineChars="200"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4月16日县科协和县科学技术和农业畜牧局组织科技人员来到上壤塘乡仁棚村开展机播作业。县科农局专家服务团、巡回小组、农技综合站、农机监理站、驻村农技员现场</w:t>
      </w:r>
      <w:r>
        <w:rPr>
          <w:rFonts w:ascii="仿宋_GB2312" w:eastAsia="仿宋_GB2312" w:cs="仿宋_GB2312"/>
          <w:sz w:val="32"/>
          <w:szCs w:val="32"/>
          <w:lang w:val="en-US" w:eastAsia="zh-CN"/>
        </w:rPr>
        <w:t>教授</w:t>
      </w:r>
      <w:r>
        <w:rPr>
          <w:rFonts w:ascii="仿宋_GB2312" w:eastAsia="仿宋_GB2312" w:cs="仿宋_GB2312" w:hint="eastAsia"/>
          <w:sz w:val="32"/>
          <w:szCs w:val="32"/>
          <w:lang w:val="en-US" w:eastAsia="zh-CN"/>
        </w:rPr>
        <w:t>村民高原马铃薯机械化种植技术。</w:t>
      </w:r>
      <w:r>
        <w:rPr>
          <w:rFonts w:ascii="仿宋_GB2312" w:eastAsia="仿宋_GB2312" w:cs="仿宋_GB2312"/>
          <w:sz w:val="32"/>
          <w:szCs w:val="32"/>
          <w:lang w:val="en-US" w:eastAsia="zh-CN"/>
        </w:rPr>
        <w:t>并实地宣传</w:t>
      </w:r>
      <w:r>
        <w:rPr>
          <w:rFonts w:ascii="仿宋_GB2312" w:eastAsia="仿宋_GB2312" w:cs="仿宋_GB2312" w:hint="eastAsia"/>
          <w:sz w:val="32"/>
          <w:szCs w:val="32"/>
          <w:lang w:val="en-US" w:eastAsia="zh-CN"/>
        </w:rPr>
        <w:t>机械化种植技术的</w:t>
      </w:r>
      <w:r>
        <w:rPr>
          <w:rFonts w:ascii="仿宋_GB2312" w:eastAsia="仿宋_GB2312" w:cs="仿宋_GB2312"/>
          <w:sz w:val="32"/>
          <w:szCs w:val="32"/>
          <w:lang w:val="en-US" w:eastAsia="zh-CN"/>
        </w:rPr>
        <w:t>重要作用，该技术的</w:t>
      </w:r>
      <w:r>
        <w:rPr>
          <w:rFonts w:ascii="仿宋_GB2312" w:eastAsia="仿宋_GB2312" w:cs="仿宋_GB2312" w:hint="eastAsia"/>
          <w:sz w:val="32"/>
          <w:szCs w:val="32"/>
          <w:lang w:val="en-US" w:eastAsia="zh-CN"/>
        </w:rPr>
        <w:t>推广</w:t>
      </w:r>
      <w:r>
        <w:rPr>
          <w:rFonts w:ascii="仿宋_GB2312" w:eastAsia="仿宋_GB2312" w:cs="仿宋_GB2312"/>
          <w:sz w:val="32"/>
          <w:szCs w:val="32"/>
          <w:lang w:val="en-US" w:eastAsia="zh-CN"/>
        </w:rPr>
        <w:t>不仅</w:t>
      </w:r>
      <w:r>
        <w:rPr>
          <w:rFonts w:ascii="仿宋_GB2312" w:eastAsia="仿宋_GB2312" w:cs="仿宋_GB2312" w:hint="eastAsia"/>
          <w:sz w:val="32"/>
          <w:szCs w:val="32"/>
          <w:lang w:val="en-US" w:eastAsia="zh-CN"/>
        </w:rPr>
        <w:t>可以降低生产成本、提高工作效率</w:t>
      </w:r>
      <w:r>
        <w:rPr>
          <w:rFonts w:ascii="仿宋_GB2312" w:eastAsia="仿宋_GB2312" w:cs="仿宋_GB2312"/>
          <w:sz w:val="32"/>
          <w:szCs w:val="32"/>
          <w:lang w:val="en-US" w:eastAsia="zh-CN"/>
        </w:rPr>
        <w:t>，还能提高生活质量。仁棚村的</w:t>
      </w:r>
      <w:r>
        <w:rPr>
          <w:rFonts w:ascii="仿宋_GB2312" w:eastAsia="仿宋_GB2312" w:cs="仿宋_GB2312" w:hint="eastAsia"/>
          <w:sz w:val="32"/>
          <w:szCs w:val="32"/>
          <w:lang w:val="en-US" w:eastAsia="zh-CN"/>
        </w:rPr>
        <w:t>马铃薯机械化种植起到了良好的</w:t>
      </w:r>
      <w:r>
        <w:rPr>
          <w:rFonts w:ascii="仿宋_GB2312" w:eastAsia="仿宋_GB2312" w:cs="仿宋_GB2312"/>
          <w:sz w:val="32"/>
          <w:szCs w:val="32"/>
          <w:lang w:val="en-US" w:eastAsia="zh-CN"/>
        </w:rPr>
        <w:t>现代种植</w:t>
      </w:r>
      <w:r>
        <w:rPr>
          <w:rFonts w:ascii="仿宋_GB2312" w:eastAsia="仿宋_GB2312" w:cs="仿宋_GB2312" w:hint="eastAsia"/>
          <w:sz w:val="32"/>
          <w:szCs w:val="32"/>
          <w:lang w:val="en-US" w:eastAsia="zh-CN"/>
        </w:rPr>
        <w:t>示范作用，</w:t>
      </w:r>
      <w:r>
        <w:rPr>
          <w:rFonts w:ascii="仿宋_GB2312" w:eastAsia="仿宋_GB2312" w:cs="仿宋_GB2312"/>
          <w:sz w:val="32"/>
          <w:szCs w:val="32"/>
          <w:lang w:val="en-US" w:eastAsia="zh-CN"/>
        </w:rPr>
        <w:t>为下一步</w:t>
      </w:r>
      <w:r>
        <w:rPr>
          <w:rFonts w:ascii="仿宋_GB2312" w:eastAsia="仿宋_GB2312" w:cs="仿宋_GB2312" w:hint="eastAsia"/>
          <w:sz w:val="32"/>
          <w:szCs w:val="32"/>
          <w:lang w:val="en-US" w:eastAsia="zh-CN"/>
        </w:rPr>
        <w:t>逐步改进</w:t>
      </w:r>
      <w:r>
        <w:rPr>
          <w:rFonts w:ascii="仿宋_GB2312" w:eastAsia="仿宋_GB2312" w:cs="仿宋_GB2312"/>
          <w:sz w:val="32"/>
          <w:szCs w:val="32"/>
          <w:lang w:val="en-US" w:eastAsia="zh-CN"/>
        </w:rPr>
        <w:t>当地农牧民</w:t>
      </w:r>
      <w:r>
        <w:rPr>
          <w:rFonts w:ascii="仿宋_GB2312" w:eastAsia="仿宋_GB2312" w:cs="仿宋_GB2312" w:hint="eastAsia"/>
          <w:sz w:val="32"/>
          <w:szCs w:val="32"/>
          <w:lang w:val="en-US" w:eastAsia="zh-CN"/>
        </w:rPr>
        <w:t>传统种植模式，提高农作物的产量，增加</w:t>
      </w:r>
      <w:r>
        <w:rPr>
          <w:rFonts w:ascii="仿宋_GB2312" w:eastAsia="仿宋_GB2312" w:cs="仿宋_GB2312"/>
          <w:sz w:val="32"/>
          <w:szCs w:val="32"/>
          <w:lang w:val="en-US" w:eastAsia="zh-CN"/>
        </w:rPr>
        <w:t>农业</w:t>
      </w:r>
      <w:r>
        <w:rPr>
          <w:rFonts w:ascii="仿宋_GB2312" w:eastAsia="仿宋_GB2312" w:cs="仿宋_GB2312" w:hint="eastAsia"/>
          <w:sz w:val="32"/>
          <w:szCs w:val="32"/>
          <w:lang w:val="en-US" w:eastAsia="zh-CN"/>
        </w:rPr>
        <w:t>收入</w:t>
      </w:r>
      <w:r>
        <w:rPr>
          <w:rFonts w:ascii="仿宋_GB2312" w:eastAsia="仿宋_GB2312" w:cs="仿宋_GB2312"/>
          <w:sz w:val="32"/>
          <w:szCs w:val="32"/>
          <w:lang w:val="en-US" w:eastAsia="zh-CN"/>
        </w:rPr>
        <w:t>奠定了基础</w:t>
      </w:r>
      <w:r>
        <w:rPr>
          <w:rFonts w:ascii="仿宋_GB2312" w:eastAsia="仿宋_GB2312" w:cs="仿宋_GB2312" w:hint="eastAsia"/>
          <w:sz w:val="32"/>
          <w:szCs w:val="32"/>
          <w:lang w:val="en-US" w:eastAsia="zh-CN"/>
        </w:rPr>
        <w:t>。</w:t>
      </w:r>
    </w:p>
    <w:p>
      <w:pPr>
        <w:tabs>
          <w:tab w:val="left" w:pos="5781"/>
        </w:tabs>
        <w:spacing w:line="24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月</w:t>
      </w:r>
      <w:r>
        <w:rPr>
          <w:rFonts w:ascii="仿宋_GB2312" w:eastAsia="仿宋_GB2312" w:cs="仿宋_GB2312" w:hint="eastAsia"/>
          <w:sz w:val="32"/>
          <w:szCs w:val="32"/>
          <w:lang w:val="en-US" w:eastAsia="zh-CN"/>
        </w:rPr>
        <w:t>21</w:t>
      </w:r>
      <w:r>
        <w:rPr>
          <w:rFonts w:ascii="仿宋_GB2312" w:eastAsia="仿宋_GB2312" w:cs="仿宋_GB2312" w:hint="eastAsia"/>
          <w:sz w:val="32"/>
          <w:szCs w:val="32"/>
        </w:rPr>
        <w:t>日，</w:t>
      </w:r>
      <w:r>
        <w:rPr>
          <w:rFonts w:ascii="仿宋_GB2312" w:eastAsia="仿宋_GB2312" w:cs="仿宋_GB2312" w:hint="eastAsia"/>
          <w:sz w:val="32"/>
          <w:szCs w:val="32"/>
          <w:lang w:eastAsia="zh-CN"/>
        </w:rPr>
        <w:t>结合全县知识产权宣传，</w:t>
      </w:r>
      <w:r>
        <w:rPr>
          <w:rFonts w:ascii="仿宋_GB2312" w:eastAsia="仿宋_GB2312" w:cs="仿宋_GB2312" w:hint="eastAsia"/>
          <w:sz w:val="32"/>
          <w:szCs w:val="32"/>
        </w:rPr>
        <w:t>我协精心准备，</w:t>
      </w:r>
      <w:r>
        <w:rPr>
          <w:rFonts w:ascii="仿宋_GB2312" w:eastAsia="仿宋_GB2312" w:cs="仿宋_GB2312" w:hint="eastAsia"/>
          <w:sz w:val="32"/>
          <w:szCs w:val="32"/>
          <w:lang w:eastAsia="zh-CN"/>
        </w:rPr>
        <w:t>带着收</w:t>
      </w:r>
      <w:r>
        <w:rPr>
          <w:rFonts w:ascii="仿宋_GB2312" w:eastAsia="仿宋_GB2312" w:cs="仿宋_GB2312" w:hint="eastAsia"/>
          <w:sz w:val="32"/>
          <w:szCs w:val="32"/>
        </w:rPr>
        <w:t>编</w:t>
      </w:r>
      <w:r>
        <w:rPr>
          <w:rFonts w:ascii="仿宋_GB2312" w:eastAsia="仿宋_GB2312" w:cs="仿宋_GB2312" w:hint="eastAsia"/>
          <w:sz w:val="32"/>
          <w:szCs w:val="32"/>
          <w:lang w:eastAsia="zh-CN"/>
        </w:rPr>
        <w:t>的</w:t>
      </w:r>
      <w:r>
        <w:rPr>
          <w:rFonts w:ascii="仿宋_GB2312" w:eastAsia="仿宋_GB2312" w:cs="仿宋_GB2312" w:hint="eastAsia"/>
          <w:sz w:val="32"/>
          <w:szCs w:val="32"/>
        </w:rPr>
        <w:t>《农牧民种植实用技术</w:t>
      </w:r>
      <w:r>
        <w:rPr>
          <w:rFonts w:ascii="仿宋_GB2312" w:eastAsia="仿宋_GB2312" w:cs="仿宋_GB2312" w:hint="eastAsia"/>
          <w:sz w:val="32"/>
          <w:szCs w:val="32"/>
          <w:lang w:eastAsia="zh-CN"/>
        </w:rPr>
        <w:t>》《</w:t>
      </w:r>
      <w:r>
        <w:rPr>
          <w:rFonts w:ascii="仿宋_GB2312" w:eastAsia="仿宋_GB2312" w:cs="仿宋_GB2312" w:hint="eastAsia"/>
          <w:sz w:val="32"/>
          <w:szCs w:val="32"/>
        </w:rPr>
        <w:t>壤巴拉科普</w:t>
      </w:r>
      <w:r>
        <w:rPr>
          <w:rFonts w:ascii="仿宋_GB2312" w:eastAsia="仿宋_GB2312" w:cs="仿宋_GB2312" w:hint="eastAsia"/>
          <w:sz w:val="32"/>
          <w:szCs w:val="32"/>
          <w:lang w:eastAsia="zh-CN"/>
        </w:rPr>
        <w:t>》《</w:t>
      </w:r>
      <w:r>
        <w:rPr>
          <w:rFonts w:ascii="仿宋_GB2312" w:eastAsia="仿宋_GB2312" w:cs="仿宋_GB2312" w:hint="eastAsia"/>
          <w:sz w:val="32"/>
          <w:szCs w:val="32"/>
        </w:rPr>
        <w:t>庭院经济发展</w:t>
      </w:r>
      <w:r>
        <w:rPr>
          <w:rFonts w:ascii="仿宋_GB2312" w:eastAsia="仿宋_GB2312" w:cs="仿宋_GB2312" w:hint="eastAsia"/>
          <w:sz w:val="32"/>
          <w:szCs w:val="32"/>
          <w:lang w:eastAsia="zh-CN"/>
        </w:rPr>
        <w:t>》《科学与生活》《城乡治理</w:t>
      </w:r>
      <w:r>
        <w:rPr>
          <w:rFonts w:ascii="仿宋_GB2312" w:eastAsia="仿宋_GB2312" w:cs="仿宋_GB2312" w:hint="eastAsia"/>
          <w:sz w:val="32"/>
          <w:szCs w:val="32"/>
          <w:lang w:val="en-US" w:eastAsia="zh-CN"/>
        </w:rPr>
        <w:t xml:space="preserve"> 美化家园</w:t>
      </w:r>
      <w:r>
        <w:rPr>
          <w:rFonts w:ascii="仿宋_GB2312" w:eastAsia="仿宋_GB2312" w:cs="仿宋_GB2312" w:hint="eastAsia"/>
          <w:sz w:val="32"/>
          <w:szCs w:val="32"/>
        </w:rPr>
        <w:t>》等</w:t>
      </w:r>
      <w:r>
        <w:rPr>
          <w:rFonts w:ascii="仿宋_GB2312" w:eastAsia="仿宋_GB2312" w:cs="仿宋_GB2312" w:hint="eastAsia"/>
          <w:sz w:val="32"/>
          <w:szCs w:val="32"/>
          <w:lang w:eastAsia="zh-CN"/>
        </w:rPr>
        <w:t>科普读物</w:t>
      </w:r>
      <w:r>
        <w:rPr>
          <w:rFonts w:ascii="仿宋_GB2312" w:eastAsia="仿宋_GB2312" w:cs="仿宋_GB2312" w:hint="eastAsia"/>
          <w:sz w:val="32"/>
          <w:szCs w:val="32"/>
        </w:rPr>
        <w:t>来</w:t>
      </w:r>
      <w:r>
        <w:rPr>
          <w:rFonts w:ascii="仿宋_GB2312" w:eastAsia="仿宋_GB2312" w:cs="仿宋_GB2312" w:hint="eastAsia"/>
          <w:sz w:val="32"/>
          <w:szCs w:val="32"/>
          <w:lang w:eastAsia="zh-CN"/>
        </w:rPr>
        <w:t>到政府广场开展知识产权</w:t>
      </w:r>
      <w:r>
        <w:rPr>
          <w:rFonts w:ascii="仿宋_GB2312" w:eastAsia="仿宋_GB2312" w:cs="仿宋_GB2312" w:hint="eastAsia"/>
          <w:sz w:val="32"/>
          <w:szCs w:val="32"/>
          <w:lang w:val="en-US" w:eastAsia="zh-CN"/>
        </w:rPr>
        <w:t>宣传活动</w:t>
      </w:r>
      <w:r>
        <w:rPr>
          <w:rFonts w:ascii="仿宋_GB2312" w:eastAsia="仿宋_GB2312" w:cs="仿宋_GB2312" w:hint="eastAsia"/>
          <w:sz w:val="32"/>
          <w:szCs w:val="32"/>
        </w:rPr>
        <w:t>。</w:t>
      </w:r>
    </w:p>
    <w:p>
      <w:pPr>
        <w:tabs>
          <w:tab w:val="left" w:pos="5781"/>
        </w:tabs>
        <w:spacing w:line="24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lang w:eastAsia="zh-CN"/>
        </w:rPr>
        <w:t>本次宣传活动</w:t>
      </w:r>
      <w:r>
        <w:rPr>
          <w:rFonts w:ascii="仿宋_GB2312" w:eastAsia="仿宋_GB2312" w:cs="仿宋_GB2312" w:hint="eastAsia"/>
          <w:sz w:val="32"/>
          <w:szCs w:val="32"/>
        </w:rPr>
        <w:t>向群众送</w:t>
      </w:r>
      <w:r>
        <w:rPr>
          <w:rFonts w:ascii="仿宋_GB2312" w:eastAsia="仿宋_GB2312" w:cs="仿宋_GB2312" w:hint="eastAsia"/>
          <w:sz w:val="32"/>
          <w:szCs w:val="32"/>
          <w:lang w:eastAsia="zh-CN"/>
        </w:rPr>
        <w:t>出</w:t>
      </w:r>
      <w:r>
        <w:rPr>
          <w:rFonts w:ascii="仿宋_GB2312" w:eastAsia="仿宋_GB2312" w:cs="仿宋_GB2312" w:hint="eastAsia"/>
          <w:sz w:val="32"/>
          <w:szCs w:val="32"/>
        </w:rPr>
        <w:t>各类科普图书</w:t>
      </w:r>
      <w:r>
        <w:rPr>
          <w:rFonts w:ascii="仿宋_GB2312" w:eastAsia="仿宋_GB2312" w:cs="仿宋_GB2312" w:hint="eastAsia"/>
          <w:sz w:val="32"/>
          <w:szCs w:val="32"/>
          <w:lang w:val="en-US" w:eastAsia="zh-CN"/>
        </w:rPr>
        <w:t>60</w:t>
      </w:r>
      <w:r>
        <w:rPr>
          <w:rFonts w:ascii="仿宋_GB2312" w:eastAsia="仿宋_GB2312" w:cs="仿宋_GB2312" w:hint="eastAsia"/>
          <w:sz w:val="32"/>
          <w:szCs w:val="32"/>
        </w:rPr>
        <w:t>册，藏汉两文农村实用技术资料</w:t>
      </w:r>
      <w:r>
        <w:rPr>
          <w:rFonts w:ascii="仿宋_GB2312" w:eastAsia="仿宋_GB2312" w:cs="仿宋_GB2312" w:hint="eastAsia"/>
          <w:sz w:val="32"/>
          <w:szCs w:val="32"/>
          <w:lang w:val="en-US" w:eastAsia="zh-CN"/>
        </w:rPr>
        <w:t>130</w:t>
      </w:r>
      <w:r>
        <w:rPr>
          <w:rFonts w:ascii="仿宋_GB2312" w:eastAsia="仿宋_GB2312" w:cs="仿宋_GB2312" w:hint="eastAsia"/>
          <w:sz w:val="32"/>
          <w:szCs w:val="32"/>
        </w:rPr>
        <w:t>份，接受群众咨询</w:t>
      </w:r>
      <w:r>
        <w:rPr>
          <w:rFonts w:ascii="仿宋_GB2312" w:eastAsia="仿宋_GB2312" w:cs="仿宋_GB2312" w:hint="eastAsia"/>
          <w:sz w:val="32"/>
          <w:szCs w:val="32"/>
          <w:lang w:val="en-US" w:eastAsia="zh-CN"/>
        </w:rPr>
        <w:t>150</w:t>
      </w:r>
      <w:r>
        <w:rPr>
          <w:rFonts w:ascii="仿宋_GB2312" w:eastAsia="仿宋_GB2312" w:cs="仿宋_GB2312" w:hint="eastAsia"/>
          <w:sz w:val="32"/>
          <w:szCs w:val="32"/>
        </w:rPr>
        <w:t>人次。通过此次活动的开展，营造了良好的社会氛围，扩大了</w:t>
      </w:r>
      <w:r>
        <w:rPr>
          <w:rFonts w:ascii="仿宋_GB2312" w:eastAsia="仿宋_GB2312" w:cs="仿宋_GB2312" w:hint="eastAsia"/>
          <w:sz w:val="32"/>
          <w:szCs w:val="32"/>
          <w:lang w:eastAsia="zh-CN"/>
        </w:rPr>
        <w:t>知识产权</w:t>
      </w:r>
      <w:r>
        <w:rPr>
          <w:rFonts w:ascii="仿宋_GB2312" w:eastAsia="仿宋_GB2312" w:cs="仿宋_GB2312" w:hint="eastAsia"/>
          <w:sz w:val="32"/>
          <w:szCs w:val="32"/>
        </w:rPr>
        <w:t>的社会影响力</w:t>
      </w:r>
      <w:r>
        <w:rPr>
          <w:rFonts w:ascii="仿宋_GB2312" w:eastAsia="仿宋_GB2312" w:cs="仿宋_GB2312" w:hint="eastAsia"/>
          <w:sz w:val="32"/>
          <w:szCs w:val="32"/>
          <w:lang w:eastAsia="zh-CN"/>
        </w:rPr>
        <w:t>。</w:t>
      </w:r>
    </w:p>
    <w:p>
      <w:pPr>
        <w:bidi w:val="0"/>
        <w:ind w:firstLineChars="200" w:firstLine="640"/>
        <w:rPr>
          <w:rFonts w:ascii="仿宋" w:eastAsia="仿宋" w:cs="仿宋" w:hint="eastAsia"/>
          <w:i w:val="0"/>
          <w:caps w:val="0"/>
          <w:smallCaps w:val="0"/>
          <w:color w:val="333333"/>
          <w:spacing w:val="0"/>
          <w:sz w:val="32"/>
          <w:szCs w:val="32"/>
          <w:shd w:val="clear" w:color="auto" w:fill="FFFFFF"/>
          <w:lang w:val="en-US" w:eastAsia="zh-CN"/>
        </w:rPr>
      </w:pPr>
      <w:r>
        <w:rPr>
          <w:rFonts w:ascii="仿宋" w:eastAsia="仿宋" w:cs="仿宋" w:hint="eastAsia"/>
          <w:i w:val="0"/>
          <w:caps w:val="0"/>
          <w:smallCaps w:val="0"/>
          <w:color w:val="333333"/>
          <w:spacing w:val="0"/>
          <w:kern w:val="2"/>
          <w:sz w:val="32"/>
          <w:szCs w:val="32"/>
          <w:shd w:val="clear" w:color="auto" w:fill="FFFFFF"/>
          <w:lang w:val="en-US" w:eastAsia="zh-CN" w:bidi="bo-CN"/>
        </w:rPr>
        <w:t>为了更好地落实“天府科技云”这项工作，县科协认真谋划和设计。6月3日县科协团队实地考察借鉴省科协、</w:t>
      </w:r>
      <w:r>
        <w:rPr>
          <w:rFonts w:ascii="仿宋" w:eastAsia="仿宋" w:cs="仿宋" w:hint="eastAsia"/>
          <w:i w:val="0"/>
          <w:caps w:val="0"/>
          <w:smallCaps w:val="0"/>
          <w:color w:val="333333"/>
          <w:spacing w:val="0"/>
          <w:sz w:val="32"/>
          <w:szCs w:val="32"/>
          <w:shd w:val="clear" w:color="auto" w:fill="FFFFFF"/>
          <w:lang w:val="en-US" w:eastAsia="zh-CN"/>
        </w:rPr>
        <w:t>成都和德阳等第一批启动“天府科技云”工作项目的地区，交流学习经验和做法，努力把“天府科技云”服务中心建设得更好，更有成效。</w:t>
      </w:r>
    </w:p>
    <w:p>
      <w:pPr>
        <w:pStyle w:val="43"/>
        <w:rPr>
          <w:rFonts w:ascii="仿宋" w:eastAsia="仿宋" w:cs="仿宋"/>
          <w:color w:val="000000"/>
          <w:sz w:val="32"/>
          <w:szCs w:val="32"/>
          <w:lang w:val="en-US" w:eastAsia="zh-CN"/>
        </w:rPr>
      </w:pPr>
      <w:r>
        <w:rPr>
          <w:rFonts w:ascii="仿宋" w:eastAsia="仿宋" w:cs="仿宋" w:hint="eastAsia"/>
          <w:i w:val="0"/>
          <w:caps w:val="0"/>
          <w:smallCaps w:val="0"/>
          <w:color w:val="333333"/>
          <w:spacing w:val="0"/>
          <w:sz w:val="32"/>
          <w:szCs w:val="32"/>
          <w:shd w:val="clear" w:color="auto" w:fill="FFFFFF"/>
          <w:lang w:val="en-US" w:eastAsia="zh-CN"/>
        </w:rPr>
        <w:t>县科协推进“天府科技云”各项工作，充分发挥主观能动性，采取各种行之有效的办法和措施，大力开展宣传推广活动，让各级各部门和社会各界最大范围知晓和运用“天府科技云”平台，有序推进云服务各项工作。经过在行政群进行文字通知、电话通知以及到重点单位进行推广宣传。“天府科技云”服务平台推广宣传工作得到显著成效，取得初步成果，目前完成天府科技云个人注册2100人，在全州排名前列。</w:t>
      </w:r>
    </w:p>
    <w:p>
      <w:pPr>
        <w:pStyle w:val="43"/>
        <w:jc w:val="left"/>
        <w:rPr>
          <w:rFonts w:eastAsia="仿宋_GB2312" w:hint="eastAsia"/>
          <w:color w:val="000000"/>
          <w:sz w:val="32"/>
          <w:szCs w:val="32"/>
          <w:lang w:val="en-US" w:eastAsia="zh-CN"/>
        </w:rPr>
      </w:pPr>
      <w:r>
        <w:rPr>
          <w:rFonts w:eastAsia="仿宋_GB2312" w:hint="eastAsia"/>
          <w:color w:val="000000"/>
          <w:sz w:val="32"/>
          <w:szCs w:val="32"/>
          <w:lang w:val="en-US" w:eastAsia="zh-CN"/>
        </w:rPr>
        <w:t>今年积极响应省科协将“天府科技云”平台建设纳入本行业头号工程来抓，圆满完成该项目各项工作。从宣传注册到引进企业、线上交易和精准服务，</w:t>
      </w:r>
      <w:r>
        <w:rPr>
          <w:rFonts w:hint="eastAsia"/>
          <w:color w:val="000000"/>
          <w:sz w:val="32"/>
          <w:szCs w:val="32"/>
          <w:lang w:val="en-US" w:eastAsia="zh-CN"/>
        </w:rPr>
        <w:t>截</w:t>
      </w:r>
      <w:r>
        <w:rPr>
          <w:color w:val="000000"/>
          <w:sz w:val="32"/>
          <w:szCs w:val="32"/>
          <w:lang w:val="en-US" w:eastAsia="zh-CN"/>
        </w:rPr>
        <w:t>止</w:t>
      </w:r>
      <w:r>
        <w:rPr>
          <w:rFonts w:hint="eastAsia"/>
          <w:color w:val="000000"/>
          <w:sz w:val="32"/>
          <w:szCs w:val="32"/>
          <w:lang w:val="en-US" w:eastAsia="zh-CN"/>
        </w:rPr>
        <w:t>11月</w:t>
      </w:r>
      <w:r>
        <w:rPr>
          <w:rFonts w:eastAsia="仿宋_GB2312" w:hint="eastAsia"/>
          <w:color w:val="000000"/>
          <w:sz w:val="32"/>
          <w:szCs w:val="32"/>
          <w:lang w:val="en-US" w:eastAsia="zh-CN"/>
        </w:rPr>
        <w:t>28日15:00，各项指标在全州均排列前三</w:t>
      </w:r>
      <w:r>
        <w:rPr>
          <w:rFonts w:hint="eastAsia"/>
          <w:color w:val="000000"/>
          <w:sz w:val="32"/>
          <w:szCs w:val="32"/>
          <w:lang w:val="en-US" w:eastAsia="zh-CN"/>
        </w:rPr>
        <w:t>，在</w:t>
      </w:r>
      <w:r>
        <w:rPr>
          <w:rFonts w:eastAsia="仿宋_GB2312" w:hint="eastAsia"/>
          <w:color w:val="000000"/>
          <w:sz w:val="32"/>
          <w:szCs w:val="32"/>
          <w:lang w:val="en-US" w:eastAsia="zh-CN"/>
        </w:rPr>
        <w:t>全省180余个县市中排名71-87之间，受到省州科协一致好评。</w:t>
      </w:r>
    </w:p>
    <w:p>
      <w:pPr>
        <w:pStyle w:val="15"/>
        <w:spacing w:line="360" w:lineRule="auto"/>
        <w:outlineLvl w:val="1"/>
        <w:rPr>
          <w:rFonts w:ascii="仿宋_GB2312" w:eastAsia="仿宋_GB2312" w:cs="仿宋_GB2312" w:hint="eastAsia"/>
          <w:b/>
          <w:bCs/>
          <w:kern w:val="0"/>
          <w:sz w:val="32"/>
          <w:szCs w:val="32"/>
        </w:rPr>
      </w:pPr>
      <w:bookmarkStart w:id="163" w:name="_Toc7979"/>
      <w:bookmarkStart w:id="164" w:name="_Toc30085"/>
      <w:r>
        <w:rPr>
          <w:rFonts w:ascii="仿宋_GB2312" w:eastAsia="仿宋_GB2312" w:cs="仿宋_GB2312" w:hint="eastAsia"/>
          <w:b/>
          <w:bCs/>
          <w:kern w:val="0"/>
          <w:sz w:val="32"/>
          <w:szCs w:val="32"/>
        </w:rPr>
        <w:t>（三）预算编制准确率</w:t>
      </w:r>
      <w:bookmarkEnd w:id="163"/>
      <w:bookmarkEnd w:id="164"/>
    </w:p>
    <w:p>
      <w:pPr>
        <w:pStyle w:val="15"/>
        <w:rPr>
          <w:rFonts w:ascii="仿宋_GB2312" w:eastAsia="仿宋_GB2312" w:cs="仿宋_GB2312" w:hint="eastAsia"/>
          <w:color w:val="000000"/>
          <w:sz w:val="32"/>
          <w:szCs w:val="32"/>
        </w:rPr>
      </w:pPr>
      <w:r>
        <w:rPr>
          <w:rFonts w:ascii="仿宋_GB2312" w:eastAsia="仿宋_GB2312" w:cs="仿宋_GB2312" w:hint="eastAsia"/>
          <w:color w:val="000000"/>
          <w:sz w:val="32"/>
          <w:szCs w:val="32"/>
        </w:rPr>
        <w:t>单位2020年年初预算收入支出均为</w:t>
      </w:r>
      <w:r>
        <w:rPr>
          <w:rFonts w:ascii="仿宋_GB2312" w:eastAsia="仿宋_GB2312" w:cs="仿宋_GB2312" w:hint="eastAsia"/>
          <w:color w:val="000000"/>
          <w:sz w:val="32"/>
          <w:szCs w:val="32"/>
          <w:lang w:val="en-US" w:eastAsia="zh-CN"/>
        </w:rPr>
        <w:t>111.25</w:t>
      </w:r>
      <w:r>
        <w:rPr>
          <w:rFonts w:ascii="仿宋_GB2312" w:eastAsia="仿宋_GB2312" w:cs="仿宋_GB2312" w:hint="eastAsia"/>
          <w:color w:val="000000"/>
          <w:sz w:val="32"/>
          <w:szCs w:val="32"/>
        </w:rPr>
        <w:t>万元，年末实际预算收入为</w:t>
      </w:r>
      <w:r>
        <w:rPr>
          <w:rFonts w:ascii="仿宋_GB2312" w:eastAsia="仿宋_GB2312" w:cs="仿宋_GB2312" w:hint="eastAsia"/>
          <w:color w:val="000000"/>
          <w:sz w:val="32"/>
          <w:szCs w:val="32"/>
          <w:lang w:val="en-US" w:eastAsia="zh-CN"/>
        </w:rPr>
        <w:t>160.69</w:t>
      </w:r>
      <w:r>
        <w:rPr>
          <w:rFonts w:ascii="仿宋_GB2312" w:eastAsia="仿宋_GB2312" w:cs="仿宋_GB2312" w:hint="eastAsia"/>
          <w:color w:val="000000"/>
          <w:sz w:val="32"/>
          <w:szCs w:val="32"/>
        </w:rPr>
        <w:t>万元，</w:t>
      </w:r>
      <w:r>
        <w:rPr>
          <w:rFonts w:ascii="仿宋_GB2312" w:eastAsia="仿宋_GB2312" w:cs="仿宋_GB2312" w:hint="eastAsia"/>
          <w:color w:val="000000"/>
          <w:sz w:val="32"/>
          <w:szCs w:val="32"/>
          <w:lang w:val="en-US" w:eastAsia="zh-CN"/>
        </w:rPr>
        <w:t>调增预算收入49.43万元，</w:t>
      </w:r>
      <w:r>
        <w:rPr>
          <w:rFonts w:ascii="仿宋_GB2312" w:eastAsia="仿宋_GB2312" w:cs="仿宋_GB2312" w:hint="eastAsia"/>
          <w:color w:val="000000"/>
          <w:sz w:val="32"/>
          <w:szCs w:val="32"/>
        </w:rPr>
        <w:t>年末实际支出总额为</w:t>
      </w:r>
      <w:r>
        <w:rPr>
          <w:rFonts w:ascii="仿宋_GB2312" w:eastAsia="仿宋_GB2312" w:cs="仿宋_GB2312" w:hint="eastAsia"/>
          <w:color w:val="000000"/>
          <w:sz w:val="32"/>
          <w:szCs w:val="32"/>
          <w:lang w:val="en-US" w:eastAsia="zh-CN"/>
        </w:rPr>
        <w:t>166.43</w:t>
      </w:r>
      <w:r>
        <w:rPr>
          <w:rFonts w:ascii="仿宋_GB2312" w:eastAsia="仿宋_GB2312" w:cs="仿宋_GB2312" w:hint="eastAsia"/>
          <w:color w:val="000000"/>
          <w:sz w:val="32"/>
          <w:szCs w:val="32"/>
        </w:rPr>
        <w:t>万元，年末项目结转</w:t>
      </w:r>
      <w:r>
        <w:rPr>
          <w:rFonts w:ascii="仿宋_GB2312" w:eastAsia="仿宋_GB2312" w:cs="仿宋_GB2312" w:hint="eastAsia"/>
          <w:color w:val="000000"/>
          <w:sz w:val="32"/>
          <w:szCs w:val="32"/>
          <w:lang w:val="en-US" w:eastAsia="zh-CN"/>
        </w:rPr>
        <w:t>4.25</w:t>
      </w:r>
      <w:r>
        <w:rPr>
          <w:rFonts w:ascii="仿宋_GB2312" w:eastAsia="仿宋_GB2312" w:cs="仿宋_GB2312" w:hint="eastAsia"/>
          <w:color w:val="000000"/>
          <w:sz w:val="32"/>
          <w:szCs w:val="32"/>
        </w:rPr>
        <w:t>万元，预算编制准确率较高。</w:t>
      </w:r>
    </w:p>
    <w:p>
      <w:pPr>
        <w:spacing w:line="360" w:lineRule="auto"/>
        <w:ind w:firstLineChars="200" w:firstLine="640"/>
        <w:outlineLvl w:val="1"/>
        <w:rPr>
          <w:rFonts w:ascii="仿宋_GB2312" w:eastAsia="仿宋_GB2312" w:cs="仿宋_GB2312"/>
          <w:kern w:val="0"/>
          <w:sz w:val="32"/>
          <w:szCs w:val="32"/>
          <w:lang w:val="en-US" w:eastAsia="zh-CN"/>
        </w:rPr>
      </w:pPr>
      <w:bookmarkStart w:id="165" w:name="_Toc9719"/>
      <w:bookmarkStart w:id="166" w:name="_Toc11305"/>
      <w:r>
        <w:rPr>
          <w:rFonts w:ascii="仿宋_GB2312" w:eastAsia="仿宋_GB2312" w:cs="仿宋_GB2312" w:hint="eastAsia"/>
          <w:b/>
          <w:bCs/>
          <w:kern w:val="0"/>
          <w:sz w:val="32"/>
          <w:szCs w:val="32"/>
        </w:rPr>
        <w:t>（四）支出控制</w:t>
      </w:r>
      <w:bookmarkEnd w:id="165"/>
      <w:bookmarkEnd w:id="166"/>
    </w:p>
    <w:p>
      <w:pPr>
        <w:spacing w:line="360" w:lineRule="auto"/>
        <w:ind w:firstLineChars="200" w:firstLine="640"/>
        <w:outlineLvl w:val="2"/>
        <w:rPr>
          <w:rFonts w:ascii="仿宋_GB2312" w:eastAsia="仿宋_GB2312" w:cs="仿宋_GB2312" w:hint="eastAsia"/>
          <w:sz w:val="32"/>
          <w:szCs w:val="32"/>
        </w:rPr>
      </w:pPr>
      <w:bookmarkStart w:id="167" w:name="_Toc4562"/>
      <w:r>
        <w:rPr>
          <w:rFonts w:ascii="仿宋_GB2312" w:eastAsia="仿宋_GB2312" w:cs="仿宋_GB2312" w:hint="eastAsia"/>
          <w:sz w:val="32"/>
          <w:szCs w:val="32"/>
          <w:lang w:val="en-US" w:eastAsia="zh-CN"/>
        </w:rPr>
        <w:t>1.</w:t>
      </w:r>
      <w:r>
        <w:rPr>
          <w:rFonts w:ascii="仿宋_GB2312" w:eastAsia="仿宋_GB2312" w:cs="仿宋_GB2312" w:hint="eastAsia"/>
          <w:sz w:val="32"/>
          <w:szCs w:val="32"/>
        </w:rPr>
        <w:t>财务管理以及资金使用合规性</w:t>
      </w:r>
      <w:bookmarkEnd w:id="167"/>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壤塘县科协本年度收到预算资金</w:t>
      </w:r>
      <w:r>
        <w:rPr>
          <w:rFonts w:ascii="仿宋_GB2312" w:eastAsia="仿宋_GB2312" w:cs="仿宋_GB2312" w:hint="eastAsia"/>
          <w:sz w:val="32"/>
          <w:szCs w:val="32"/>
          <w:lang w:val="en-US" w:eastAsia="zh-CN"/>
        </w:rPr>
        <w:t>160.69</w:t>
      </w:r>
      <w:r>
        <w:rPr>
          <w:rFonts w:ascii="仿宋_GB2312" w:eastAsia="仿宋_GB2312" w:cs="仿宋_GB2312" w:hint="eastAsia"/>
          <w:sz w:val="32"/>
          <w:szCs w:val="32"/>
        </w:rPr>
        <w:t>万元，实际使用</w:t>
      </w:r>
      <w:r>
        <w:rPr>
          <w:rFonts w:ascii="仿宋_GB2312" w:eastAsia="仿宋_GB2312" w:cs="仿宋_GB2312" w:hint="eastAsia"/>
          <w:color w:val="000000"/>
          <w:sz w:val="32"/>
          <w:szCs w:val="32"/>
          <w:lang w:val="en-US" w:eastAsia="zh-CN"/>
        </w:rPr>
        <w:t>166.43</w:t>
      </w:r>
      <w:r>
        <w:rPr>
          <w:rFonts w:ascii="仿宋_GB2312" w:eastAsia="仿宋_GB2312" w:cs="仿宋_GB2312" w:hint="eastAsia"/>
          <w:sz w:val="32"/>
          <w:szCs w:val="32"/>
        </w:rPr>
        <w:t>万元。资金使用过程中严格按照单位财务管理制度要求执行，资金使用的合规性体现在：</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1.所有经费开支坚持财务审批制度，重大资金支出（日常公用经费在2万元及以上）由党组会研究决定。</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2.在报销经费时，经办人使用统一规范的审批单，在审批单上写明用途、经办人员、证明人员、股室负责人、金额、报销日期、单据张数等内容。</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3.费用报销审批程序  </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经办人填写《支出审批单》→由办公室负责人确认签字→分管领导确认签字→</w:t>
      </w:r>
      <w:r>
        <w:rPr>
          <w:rFonts w:ascii="仿宋_GB2312" w:eastAsia="仿宋_GB2312" w:cs="仿宋_GB2312" w:hint="eastAsia"/>
          <w:sz w:val="32"/>
          <w:szCs w:val="32"/>
          <w:lang w:val="en-US" w:eastAsia="zh-CN"/>
        </w:rPr>
        <w:t>会</w:t>
      </w:r>
      <w:r>
        <w:rPr>
          <w:rFonts w:ascii="仿宋_GB2312" w:eastAsia="仿宋_GB2312" w:cs="仿宋_GB2312" w:hint="eastAsia"/>
          <w:sz w:val="32"/>
          <w:szCs w:val="32"/>
        </w:rPr>
        <w:t>长批准后，到办公室出纳处办理支付手续。</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各个审批环节的具体职责：</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办公室负责人及其分管领导对其发生的支出用途及金额的真实性、准确性负责，并对其股室填写的支出审批单内容、大小写金额、票据张数进行审核。经济业务发生后，原则上在15天之内报账完毕。不得将几个经济事项的票据合并填报。</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出纳、会计对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出纳、会计有权拒绝受理。</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领导审查财务收支的真实性、合法性、必要性，并在报销凭证上明确签署报销意见。</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所有费用报销实行主席“一支笔”签批制度。</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出纳人员对已经审批后的支出票据必须进行复核（复核票据张数、金额、审批程序），对不符合规定的票据有权拒绝支付并立即向机关领导报告。严格控制现金支付，原则上采用公务卡和转账结算。会计人员进行会计核算时，对不符合财经管理规定的票据有权拒绝接受并应立即报告。</w:t>
      </w:r>
    </w:p>
    <w:p>
      <w:pPr>
        <w:spacing w:line="360" w:lineRule="auto"/>
        <w:ind w:firstLineChars="200" w:firstLine="640"/>
        <w:outlineLvl w:val="2"/>
        <w:rPr>
          <w:rFonts w:ascii="仿宋_GB2312" w:eastAsia="仿宋_GB2312" w:cs="仿宋_GB2312"/>
          <w:b/>
          <w:bCs/>
          <w:kern w:val="0"/>
          <w:sz w:val="32"/>
          <w:szCs w:val="32"/>
        </w:rPr>
      </w:pPr>
      <w:bookmarkStart w:id="168" w:name="_Toc24542"/>
      <w:r>
        <w:rPr>
          <w:rFonts w:ascii="仿宋_GB2312" w:eastAsia="仿宋_GB2312" w:cs="仿宋_GB2312" w:hint="eastAsia"/>
          <w:b/>
          <w:bCs/>
          <w:kern w:val="0"/>
          <w:sz w:val="32"/>
          <w:szCs w:val="32"/>
          <w:lang w:val="en-US" w:eastAsia="zh-CN"/>
        </w:rPr>
        <w:t>2.</w:t>
      </w:r>
      <w:r>
        <w:rPr>
          <w:rFonts w:ascii="仿宋_GB2312" w:eastAsia="仿宋_GB2312" w:cs="仿宋_GB2312" w:hint="eastAsia"/>
          <w:b/>
          <w:bCs/>
          <w:kern w:val="0"/>
          <w:sz w:val="32"/>
          <w:szCs w:val="32"/>
        </w:rPr>
        <w:t>财务监控有效性</w:t>
      </w:r>
      <w:bookmarkEnd w:id="168"/>
    </w:p>
    <w:p>
      <w:pPr>
        <w:pStyle w:val="15"/>
        <w:spacing w:line="360" w:lineRule="auto"/>
        <w:rPr>
          <w:rFonts w:ascii="仿宋_GB2312" w:eastAsia="仿宋_GB2312" w:cs="仿宋_GB2312"/>
          <w:sz w:val="32"/>
          <w:szCs w:val="32"/>
        </w:rPr>
      </w:pPr>
      <w:r>
        <w:rPr>
          <w:rFonts w:ascii="仿宋_GB2312" w:eastAsia="仿宋_GB2312" w:cs="仿宋_GB2312" w:hint="eastAsia"/>
          <w:sz w:val="32"/>
          <w:szCs w:val="32"/>
        </w:rPr>
        <w:t>办公室负责单位内控评价与监督工作，具体职责如下：负责制定单位内部控制监督评价相关制度；负责制订内部控制评价方案；负责组织对单位年度内部控制工作自评工作；负责对本单位风险管理工作的实施情况和有效性进行监督和检查；负责对</w:t>
      </w:r>
      <w:r>
        <w:rPr>
          <w:rFonts w:ascii="仿宋_GB2312" w:eastAsia="仿宋_GB2312" w:cs="仿宋_GB2312" w:hint="eastAsia"/>
          <w:sz w:val="32"/>
          <w:szCs w:val="32"/>
          <w:lang w:eastAsia="zh-CN"/>
        </w:rPr>
        <w:t>各部门</w:t>
      </w:r>
      <w:r>
        <w:rPr>
          <w:rFonts w:ascii="仿宋_GB2312" w:eastAsia="仿宋_GB2312" w:cs="仿宋_GB2312" w:hint="eastAsia"/>
          <w:sz w:val="32"/>
          <w:szCs w:val="32"/>
        </w:rPr>
        <w:t>各业务流程的执行情况进行监督和检查</w:t>
      </w:r>
      <w:r>
        <w:rPr>
          <w:rFonts w:ascii="仿宋_GB2312" w:eastAsia="仿宋_GB2312" w:cs="仿宋_GB2312" w:hint="eastAsia"/>
          <w:sz w:val="32"/>
          <w:szCs w:val="32"/>
          <w:lang w:eastAsia="zh-CN"/>
        </w:rPr>
        <w:t>；</w:t>
      </w:r>
    </w:p>
    <w:p>
      <w:pPr>
        <w:pStyle w:val="15"/>
        <w:spacing w:line="360" w:lineRule="auto"/>
        <w:rPr>
          <w:rFonts w:ascii="仿宋_GB2312" w:eastAsia="仿宋_GB2312" w:cs="仿宋_GB2312"/>
          <w:kern w:val="0"/>
          <w:sz w:val="32"/>
          <w:szCs w:val="32"/>
        </w:rPr>
      </w:pPr>
      <w:r>
        <w:rPr>
          <w:rFonts w:ascii="仿宋_GB2312" w:eastAsia="仿宋_GB2312" w:cs="仿宋_GB2312" w:hint="eastAsia"/>
          <w:sz w:val="32"/>
          <w:szCs w:val="32"/>
        </w:rPr>
        <w:t>壤塘县科协制定的管理制度，</w:t>
      </w:r>
      <w:r>
        <w:rPr>
          <w:rFonts w:ascii="仿宋_GB2312" w:eastAsia="仿宋_GB2312" w:cs="仿宋_GB2312" w:hint="eastAsia"/>
          <w:sz w:val="32"/>
          <w:szCs w:val="32"/>
          <w:lang w:eastAsia="zh-CN"/>
        </w:rPr>
        <w:t>包括但不限于</w:t>
      </w:r>
      <w:r>
        <w:rPr>
          <w:rFonts w:ascii="仿宋_GB2312" w:eastAsia="仿宋_GB2312" w:cs="仿宋_GB2312" w:hint="eastAsia"/>
          <w:sz w:val="32"/>
          <w:szCs w:val="32"/>
        </w:rPr>
        <w:t>财务管理制度、采购管理制度，监控、监督措施执行有效，2019年度壤塘县科协财务人员按要求执行了监控职能。</w:t>
      </w:r>
    </w:p>
    <w:p>
      <w:pPr>
        <w:pStyle w:val="15"/>
        <w:spacing w:line="360" w:lineRule="auto"/>
        <w:outlineLvl w:val="1"/>
        <w:rPr>
          <w:rFonts w:ascii="仿宋_GB2312" w:eastAsia="仿宋_GB2312" w:cs="仿宋_GB2312" w:hint="eastAsia"/>
          <w:b/>
          <w:bCs/>
          <w:kern w:val="0"/>
          <w:sz w:val="32"/>
          <w:szCs w:val="32"/>
        </w:rPr>
      </w:pPr>
      <w:bookmarkStart w:id="169" w:name="_Toc25937"/>
      <w:bookmarkStart w:id="170" w:name="_Toc28937"/>
      <w:r>
        <w:rPr>
          <w:rFonts w:ascii="仿宋_GB2312" w:eastAsia="仿宋_GB2312" w:cs="仿宋_GB2312" w:hint="eastAsia"/>
          <w:b/>
          <w:bCs/>
          <w:kern w:val="0"/>
          <w:sz w:val="32"/>
          <w:szCs w:val="32"/>
        </w:rPr>
        <w:t>（五）重点项目执行完成进度</w:t>
      </w:r>
      <w:bookmarkEnd w:id="169"/>
      <w:bookmarkEnd w:id="170"/>
    </w:p>
    <w:p>
      <w:pPr>
        <w:pStyle w:val="15"/>
        <w:spacing w:line="360" w:lineRule="auto"/>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1.项目收入情况</w:t>
      </w:r>
    </w:p>
    <w:p>
      <w:pPr>
        <w:pStyle w:val="15"/>
        <w:spacing w:line="360" w:lineRule="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2020年科学技术协会重点项目主要为人均科普经费，全年预算收入8万元；2020年四川省科普专项资金，全年预算收入26万元；科协“天府科技云服务”中心建设配套资金14.60万元。</w:t>
      </w:r>
    </w:p>
    <w:p>
      <w:pPr>
        <w:pStyle w:val="15"/>
        <w:spacing w:line="360" w:lineRule="auto"/>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2.项目完成情况</w:t>
      </w:r>
    </w:p>
    <w:p>
      <w:pPr>
        <w:pStyle w:val="15"/>
        <w:spacing w:line="360" w:lineRule="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2020年12月31日，通过开展“科技下乡”“科普入农户”“科普大篷车”等活动已完成人均科普经费项目，涉及人数3000人以上，覆盖全县大部分乡镇，保证科学知识宣传覆盖率。</w:t>
      </w:r>
    </w:p>
    <w:p>
      <w:pPr>
        <w:pStyle w:val="15"/>
        <w:spacing w:line="360" w:lineRule="auto"/>
        <w:outlineLvl w:val="1"/>
        <w:rPr>
          <w:rFonts w:ascii="仿宋_GB2312" w:eastAsia="仿宋_GB2312" w:cs="仿宋_GB2312" w:hint="eastAsia"/>
          <w:sz w:val="32"/>
          <w:szCs w:val="32"/>
          <w:lang w:val="en-US" w:eastAsia="zh-CN"/>
        </w:rPr>
      </w:pPr>
      <w:bookmarkStart w:id="171" w:name="_Toc22760"/>
      <w:bookmarkStart w:id="172" w:name="_Toc31501"/>
      <w:r>
        <w:rPr>
          <w:rFonts w:ascii="仿宋_GB2312" w:eastAsia="仿宋_GB2312" w:cs="仿宋_GB2312" w:hint="eastAsia"/>
          <w:sz w:val="32"/>
          <w:szCs w:val="32"/>
          <w:lang w:val="en-US" w:eastAsia="zh-CN"/>
        </w:rPr>
        <w:t>根据上级要求，四川省科普专项资金主要用于新技术示范推广扶贫引种工程项目建设，惠民共享基地制作科普标识标牌建设以及云服务中心建设，2020年12月31日，已完成新技术示范推广扶贫引种工程和惠民共享基地制作科普标识标牌工程建设，运中心建设由于项目尚在施工还未完成。</w:t>
      </w:r>
      <w:bookmarkEnd w:id="171"/>
      <w:bookmarkEnd w:id="172"/>
    </w:p>
    <w:p>
      <w:pPr>
        <w:pStyle w:val="15"/>
        <w:spacing w:line="360" w:lineRule="auto"/>
        <w:outlineLvl w:val="1"/>
        <w:rPr>
          <w:rFonts w:ascii="仿宋_GB2312" w:eastAsia="仿宋_GB2312" w:cs="仿宋_GB2312"/>
          <w:sz w:val="32"/>
          <w:szCs w:val="32"/>
          <w:lang w:val="en-US" w:eastAsia="zh-CN"/>
        </w:rPr>
      </w:pPr>
      <w:bookmarkStart w:id="173" w:name="_Toc14911"/>
      <w:bookmarkStart w:id="174" w:name="_Toc16006"/>
      <w:r>
        <w:rPr>
          <w:rFonts w:ascii="仿宋_GB2312" w:eastAsia="仿宋_GB2312" w:cs="仿宋_GB2312" w:hint="eastAsia"/>
          <w:sz w:val="32"/>
          <w:szCs w:val="32"/>
          <w:lang w:val="en-US" w:eastAsia="zh-CN"/>
        </w:rPr>
        <w:t>天府科技云项目已经完工并投入使用。</w:t>
      </w:r>
      <w:bookmarkEnd w:id="173"/>
      <w:bookmarkEnd w:id="174"/>
    </w:p>
    <w:p>
      <w:pPr>
        <w:pStyle w:val="15"/>
        <w:spacing w:line="360" w:lineRule="auto"/>
        <w:outlineLvl w:val="1"/>
        <w:rPr>
          <w:rFonts w:ascii="仿宋_GB2312" w:eastAsia="仿宋_GB2312" w:cs="仿宋_GB2312" w:hint="eastAsia"/>
          <w:b/>
          <w:bCs/>
          <w:kern w:val="0"/>
          <w:sz w:val="32"/>
          <w:szCs w:val="32"/>
        </w:rPr>
      </w:pPr>
      <w:bookmarkStart w:id="175" w:name="_Toc19774"/>
      <w:bookmarkStart w:id="176" w:name="_Toc18964"/>
      <w:r>
        <w:rPr>
          <w:rFonts w:ascii="仿宋_GB2312" w:eastAsia="仿宋_GB2312" w:cs="仿宋_GB2312" w:hint="eastAsia"/>
          <w:b/>
          <w:bCs/>
          <w:kern w:val="0"/>
          <w:sz w:val="32"/>
          <w:szCs w:val="32"/>
        </w:rPr>
        <w:t>（</w:t>
      </w:r>
      <w:r>
        <w:rPr>
          <w:rFonts w:ascii="仿宋_GB2312" w:eastAsia="仿宋_GB2312" w:cs="仿宋_GB2312" w:hint="eastAsia"/>
          <w:b/>
          <w:bCs/>
          <w:kern w:val="0"/>
          <w:sz w:val="32"/>
          <w:szCs w:val="32"/>
          <w:lang w:val="en-US" w:eastAsia="zh-CN"/>
        </w:rPr>
        <w:t>六</w:t>
      </w:r>
      <w:r>
        <w:rPr>
          <w:rFonts w:ascii="仿宋_GB2312" w:eastAsia="仿宋_GB2312" w:cs="仿宋_GB2312" w:hint="eastAsia"/>
          <w:b/>
          <w:bCs/>
          <w:kern w:val="0"/>
          <w:sz w:val="32"/>
          <w:szCs w:val="32"/>
        </w:rPr>
        <w:t>）预算完成情况</w:t>
      </w:r>
      <w:bookmarkEnd w:id="175"/>
      <w:bookmarkEnd w:id="176"/>
      <w:r>
        <w:rPr>
          <w:rFonts w:ascii="仿宋_GB2312" w:eastAsia="仿宋_GB2312" w:cs="仿宋_GB2312" w:hint="eastAsia"/>
          <w:b/>
          <w:bCs/>
          <w:kern w:val="0"/>
          <w:sz w:val="32"/>
          <w:szCs w:val="32"/>
        </w:rPr>
        <w:t xml:space="preserve"> </w:t>
      </w:r>
    </w:p>
    <w:p>
      <w:pPr>
        <w:pStyle w:val="15"/>
        <w:rPr>
          <w:rFonts w:ascii="仿宋_GB2312" w:eastAsia="仿宋_GB2312" w:cs="仿宋_GB2312" w:hint="eastAsia"/>
          <w:sz w:val="32"/>
          <w:szCs w:val="32"/>
        </w:rPr>
      </w:pPr>
      <w:r>
        <w:rPr>
          <w:rFonts w:ascii="仿宋_GB2312" w:eastAsia="仿宋_GB2312" w:cs="仿宋_GB2312" w:hint="eastAsia"/>
          <w:sz w:val="32"/>
          <w:szCs w:val="32"/>
        </w:rPr>
        <w:t>2020年财政预算收入年末总额为</w:t>
      </w:r>
      <w:r>
        <w:rPr>
          <w:rFonts w:ascii="仿宋_GB2312" w:eastAsia="仿宋_GB2312" w:cs="仿宋_GB2312" w:hint="eastAsia"/>
          <w:sz w:val="32"/>
          <w:szCs w:val="32"/>
          <w:lang w:val="en-US" w:eastAsia="zh-CN"/>
        </w:rPr>
        <w:t>160.69</w:t>
      </w:r>
      <w:r>
        <w:rPr>
          <w:rFonts w:ascii="仿宋_GB2312" w:eastAsia="仿宋_GB2312" w:cs="仿宋_GB2312" w:hint="eastAsia"/>
          <w:sz w:val="32"/>
          <w:szCs w:val="32"/>
        </w:rPr>
        <w:t>万元，年末实际预算支出总额为</w:t>
      </w:r>
      <w:r>
        <w:rPr>
          <w:rFonts w:ascii="仿宋_GB2312" w:eastAsia="仿宋_GB2312" w:cs="仿宋_GB2312" w:hint="eastAsia"/>
          <w:sz w:val="32"/>
          <w:szCs w:val="32"/>
          <w:lang w:val="en-US" w:eastAsia="zh-CN"/>
        </w:rPr>
        <w:t>166.43</w:t>
      </w:r>
      <w:r>
        <w:rPr>
          <w:rFonts w:ascii="仿宋_GB2312" w:eastAsia="仿宋_GB2312" w:cs="仿宋_GB2312" w:hint="eastAsia"/>
          <w:sz w:val="32"/>
          <w:szCs w:val="32"/>
        </w:rPr>
        <w:t>万元，年末项目结转</w:t>
      </w:r>
      <w:r>
        <w:rPr>
          <w:rFonts w:ascii="仿宋_GB2312" w:eastAsia="仿宋_GB2312" w:cs="仿宋_GB2312" w:hint="eastAsia"/>
          <w:sz w:val="32"/>
          <w:szCs w:val="32"/>
          <w:lang w:val="en-US" w:eastAsia="zh-CN"/>
        </w:rPr>
        <w:t>4.25</w:t>
      </w:r>
      <w:r>
        <w:rPr>
          <w:rFonts w:ascii="仿宋_GB2312" w:eastAsia="仿宋_GB2312" w:cs="仿宋_GB2312" w:hint="eastAsia"/>
          <w:sz w:val="32"/>
          <w:szCs w:val="32"/>
        </w:rPr>
        <w:t>元，预算完成率为100%，总体完成率较高。</w:t>
      </w:r>
    </w:p>
    <w:p>
      <w:pPr>
        <w:pStyle w:val="15"/>
        <w:spacing w:line="360" w:lineRule="auto"/>
        <w:outlineLvl w:val="1"/>
        <w:rPr>
          <w:rFonts w:ascii="仿宋_GB2312" w:eastAsia="仿宋_GB2312" w:cs="仿宋_GB2312"/>
          <w:b/>
          <w:bCs/>
          <w:kern w:val="0"/>
          <w:sz w:val="32"/>
          <w:szCs w:val="32"/>
          <w:lang w:val="en-US" w:eastAsia="zh-CN"/>
        </w:rPr>
      </w:pPr>
      <w:bookmarkStart w:id="177" w:name="_Toc1654"/>
      <w:bookmarkStart w:id="178" w:name="_Toc23704"/>
      <w:r>
        <w:rPr>
          <w:rFonts w:ascii="仿宋_GB2312" w:eastAsia="仿宋_GB2312" w:cs="仿宋_GB2312" w:hint="eastAsia"/>
          <w:b/>
          <w:bCs/>
          <w:kern w:val="0"/>
          <w:sz w:val="32"/>
          <w:szCs w:val="32"/>
        </w:rPr>
        <w:t>（</w:t>
      </w:r>
      <w:r>
        <w:rPr>
          <w:rFonts w:ascii="仿宋_GB2312" w:eastAsia="仿宋_GB2312" w:cs="仿宋_GB2312" w:hint="eastAsia"/>
          <w:b/>
          <w:bCs/>
          <w:kern w:val="0"/>
          <w:sz w:val="32"/>
          <w:szCs w:val="32"/>
          <w:lang w:val="en-US" w:eastAsia="zh-CN"/>
        </w:rPr>
        <w:t>七</w:t>
      </w:r>
      <w:r>
        <w:rPr>
          <w:rFonts w:ascii="仿宋_GB2312" w:eastAsia="仿宋_GB2312" w:cs="仿宋_GB2312" w:hint="eastAsia"/>
          <w:b/>
          <w:bCs/>
          <w:kern w:val="0"/>
          <w:sz w:val="32"/>
          <w:szCs w:val="32"/>
        </w:rPr>
        <w:t>）信息公开</w:t>
      </w:r>
      <w:bookmarkEnd w:id="177"/>
      <w:bookmarkEnd w:id="178"/>
      <w:r>
        <w:rPr>
          <w:rFonts w:ascii="仿宋_GB2312" w:eastAsia="仿宋_GB2312" w:cs="仿宋_GB2312" w:hint="eastAsia"/>
          <w:b/>
          <w:bCs/>
          <w:kern w:val="0"/>
          <w:sz w:val="32"/>
          <w:szCs w:val="32"/>
          <w:lang w:val="en-US" w:eastAsia="zh-CN"/>
        </w:rPr>
        <w:t xml:space="preserve">  </w:t>
      </w:r>
    </w:p>
    <w:p>
      <w:pPr>
        <w:pStyle w:val="15"/>
        <w:spacing w:line="360" w:lineRule="auto"/>
        <w:rPr>
          <w:rFonts w:ascii="仿宋_GB2312" w:eastAsia="仿宋_GB2312" w:cs="仿宋_GB2312"/>
          <w:sz w:val="32"/>
          <w:szCs w:val="32"/>
        </w:rPr>
      </w:pPr>
      <w:r>
        <w:rPr>
          <w:rFonts w:ascii="仿宋_GB2312" w:eastAsia="仿宋_GB2312" w:cs="仿宋_GB2312" w:hint="eastAsia"/>
          <w:sz w:val="32"/>
          <w:szCs w:val="32"/>
        </w:rPr>
        <w:t>信息公开。壤塘县</w:t>
      </w:r>
      <w:r>
        <w:rPr>
          <w:rFonts w:ascii="仿宋_GB2312" w:eastAsia="仿宋_GB2312" w:cs="仿宋_GB2312" w:hint="eastAsia"/>
          <w:sz w:val="32"/>
          <w:szCs w:val="32"/>
          <w:lang w:val="en-US" w:eastAsia="zh-CN"/>
        </w:rPr>
        <w:t>科学技术协会</w:t>
      </w:r>
      <w:r>
        <w:rPr>
          <w:rFonts w:ascii="仿宋_GB2312" w:eastAsia="仿宋_GB2312" w:cs="仿宋_GB2312" w:hint="eastAsia"/>
          <w:sz w:val="32"/>
          <w:szCs w:val="32"/>
        </w:rPr>
        <w:t>已经按财政要求及时完成预算、决算、绩效等信息公开工作，信息公开在壤塘县人民政府门户网站中。</w:t>
      </w:r>
    </w:p>
    <w:p>
      <w:pPr>
        <w:pStyle w:val="15"/>
        <w:spacing w:line="360" w:lineRule="auto"/>
        <w:ind w:firstLineChars="0" w:firstLine="0"/>
        <w:outlineLvl w:val="0"/>
        <w:rPr>
          <w:rFonts w:ascii="仿宋_GB2312" w:eastAsia="仿宋_GB2312" w:cs="仿宋_GB2312"/>
          <w:b/>
          <w:bCs/>
          <w:kern w:val="0"/>
          <w:sz w:val="32"/>
          <w:szCs w:val="32"/>
        </w:rPr>
      </w:pPr>
      <w:bookmarkStart w:id="179" w:name="_Toc26425"/>
      <w:bookmarkStart w:id="180" w:name="_Toc14179"/>
      <w:r>
        <w:rPr>
          <w:rFonts w:ascii="仿宋_GB2312" w:eastAsia="仿宋_GB2312" w:cs="仿宋_GB2312" w:hint="eastAsia"/>
          <w:b/>
          <w:bCs/>
          <w:kern w:val="0"/>
          <w:sz w:val="32"/>
          <w:szCs w:val="32"/>
        </w:rPr>
        <w:t>五、评价结论及措施</w:t>
      </w:r>
      <w:bookmarkEnd w:id="179"/>
      <w:bookmarkEnd w:id="180"/>
    </w:p>
    <w:p>
      <w:pPr>
        <w:pStyle w:val="15"/>
        <w:spacing w:line="360" w:lineRule="auto"/>
        <w:ind w:firstLineChars="0" w:firstLine="0"/>
        <w:outlineLvl w:val="1"/>
        <w:rPr>
          <w:rFonts w:ascii="仿宋_GB2312" w:eastAsia="仿宋_GB2312" w:cs="仿宋_GB2312"/>
          <w:b/>
          <w:bCs/>
          <w:kern w:val="0"/>
          <w:sz w:val="32"/>
          <w:szCs w:val="32"/>
        </w:rPr>
      </w:pPr>
      <w:bookmarkStart w:id="181" w:name="_Toc7102"/>
      <w:bookmarkStart w:id="182" w:name="_Toc13647"/>
      <w:r>
        <w:rPr>
          <w:rFonts w:ascii="仿宋_GB2312" w:eastAsia="仿宋_GB2312" w:cs="仿宋_GB2312" w:hint="eastAsia"/>
          <w:b/>
          <w:bCs/>
          <w:sz w:val="32"/>
          <w:szCs w:val="32"/>
        </w:rPr>
        <w:t>（一）评价结论：见附表</w:t>
      </w:r>
      <w:bookmarkEnd w:id="181"/>
      <w:bookmarkEnd w:id="182"/>
    </w:p>
    <w:p>
      <w:pPr>
        <w:pStyle w:val="15"/>
        <w:spacing w:line="360" w:lineRule="auto"/>
        <w:ind w:firstLineChars="0" w:firstLine="0"/>
        <w:outlineLvl w:val="1"/>
        <w:rPr>
          <w:rFonts w:ascii="仿宋_GB2312" w:eastAsia="仿宋_GB2312" w:cs="仿宋_GB2312"/>
          <w:b/>
          <w:bCs/>
          <w:sz w:val="32"/>
          <w:szCs w:val="32"/>
        </w:rPr>
      </w:pPr>
      <w:bookmarkStart w:id="183" w:name="_Toc17826"/>
      <w:bookmarkStart w:id="184" w:name="_Toc161"/>
      <w:r>
        <w:rPr>
          <w:rFonts w:ascii="仿宋_GB2312" w:eastAsia="仿宋_GB2312" w:cs="仿宋_GB2312" w:hint="eastAsia"/>
          <w:b/>
          <w:bCs/>
          <w:sz w:val="32"/>
          <w:szCs w:val="32"/>
        </w:rPr>
        <w:t>（二）存在问题</w:t>
      </w:r>
      <w:bookmarkEnd w:id="183"/>
      <w:bookmarkEnd w:id="184"/>
    </w:p>
    <w:p>
      <w:pPr>
        <w:pStyle w:val="43"/>
        <w:rPr>
          <w:rFonts w:ascii="Times New Roman" w:cs="Times New Roman" w:hAnsi="Times New Roman" w:hint="eastAsia"/>
          <w:lang w:eastAsia="zh-CN"/>
        </w:rPr>
      </w:pPr>
      <w:r>
        <w:rPr>
          <w:rFonts w:ascii="楷体_GB2312" w:eastAsia="楷体_GB2312" w:cs="楷体_GB2312"/>
          <w:b/>
          <w:bCs/>
        </w:rPr>
        <w:t>一是</w:t>
      </w:r>
      <w:r>
        <w:rPr>
          <w:rFonts w:ascii="Times New Roman" w:cs="Times New Roman" w:hAnsi="Times New Roman"/>
        </w:rPr>
        <w:t>乡镇综合改革，从事科协工作的人员分流，影响到科协工作的正常开展。</w:t>
      </w:r>
      <w:r>
        <w:rPr>
          <w:rFonts w:ascii="楷体_GB2312" w:eastAsia="楷体_GB2312" w:cs="楷体_GB2312"/>
          <w:b/>
          <w:bCs/>
        </w:rPr>
        <w:t>二是</w:t>
      </w:r>
      <w:r>
        <w:rPr>
          <w:rFonts w:ascii="Times New Roman" w:cs="Times New Roman" w:hAnsi="Times New Roman"/>
        </w:rPr>
        <w:t>农村科普能力建设有待进一步加强。</w:t>
      </w:r>
      <w:r>
        <w:rPr>
          <w:rFonts w:ascii="楷体_GB2312" w:eastAsia="楷体_GB2312" w:cs="楷体_GB2312" w:hint="eastAsia"/>
          <w:b/>
          <w:bCs/>
          <w:lang w:eastAsia="zh-CN"/>
        </w:rPr>
        <w:t>三是</w:t>
      </w:r>
      <w:r>
        <w:rPr>
          <w:rFonts w:ascii="Times New Roman" w:cs="Times New Roman" w:hAnsi="Times New Roman" w:hint="eastAsia"/>
          <w:lang w:eastAsia="zh-CN"/>
        </w:rPr>
        <w:t>天府科技云中心建设完成，全省科协工作结合天府科技云开展，由于科协人员不足，致使全面开展工作难度加大。</w:t>
      </w:r>
    </w:p>
    <w:p>
      <w:pPr>
        <w:pStyle w:val="15"/>
        <w:spacing w:line="360" w:lineRule="auto"/>
        <w:ind w:firstLineChars="0" w:firstLine="0"/>
        <w:outlineLvl w:val="1"/>
        <w:rPr>
          <w:rFonts w:ascii="仿宋_GB2312" w:eastAsia="仿宋_GB2312" w:cs="仿宋_GB2312"/>
          <w:b/>
          <w:bCs/>
          <w:sz w:val="32"/>
          <w:szCs w:val="32"/>
        </w:rPr>
      </w:pPr>
      <w:bookmarkStart w:id="185" w:name="_Toc25484"/>
      <w:bookmarkStart w:id="186" w:name="_Toc10718"/>
      <w:r>
        <w:rPr>
          <w:rFonts w:ascii="仿宋_GB2312" w:eastAsia="仿宋_GB2312" w:cs="仿宋_GB2312" w:hint="eastAsia"/>
          <w:b/>
          <w:bCs/>
          <w:sz w:val="32"/>
          <w:szCs w:val="32"/>
        </w:rPr>
        <w:t>（三）改进措施</w:t>
      </w:r>
      <w:bookmarkEnd w:id="185"/>
      <w:bookmarkEnd w:id="186"/>
    </w:p>
    <w:p>
      <w:pPr>
        <w:pStyle w:val="43"/>
        <w:rPr>
          <w:rFonts w:ascii="Times New Roman" w:cs="Times New Roman" w:hAnsi="Times New Roman"/>
        </w:rPr>
      </w:pPr>
      <w:r>
        <w:rPr>
          <w:rFonts w:ascii="Times New Roman" w:cs="Times New Roman" w:hAnsi="Times New Roman"/>
          <w:b/>
          <w:bCs/>
        </w:rPr>
        <w:t>1</w:t>
      </w:r>
      <w:r>
        <w:rPr>
          <w:rFonts w:ascii="Times New Roman" w:cs="Times New Roman" w:hAnsi="Times New Roman" w:hint="eastAsia"/>
          <w:b/>
          <w:bCs/>
          <w:lang w:val="en-US" w:eastAsia="zh-CN"/>
        </w:rPr>
        <w:t>.</w:t>
      </w:r>
      <w:r>
        <w:rPr>
          <w:rFonts w:ascii="Times New Roman" w:cs="Times New Roman" w:hAnsi="Times New Roman"/>
        </w:rPr>
        <w:t>继续抓好科普宣传、科技培训和科技服务活动。</w:t>
      </w:r>
    </w:p>
    <w:p>
      <w:pPr>
        <w:pStyle w:val="43"/>
        <w:rPr>
          <w:rFonts w:ascii="Times New Roman" w:cs="Times New Roman" w:hAnsi="Times New Roman"/>
        </w:rPr>
      </w:pPr>
      <w:r>
        <w:rPr>
          <w:rFonts w:ascii="Times New Roman" w:cs="Times New Roman" w:hAnsi="Times New Roman"/>
          <w:b/>
          <w:bCs/>
        </w:rPr>
        <w:t>2</w:t>
      </w:r>
      <w:r>
        <w:rPr>
          <w:rFonts w:ascii="Times New Roman" w:cs="Times New Roman" w:hAnsi="Times New Roman" w:hint="eastAsia"/>
          <w:b/>
          <w:bCs/>
          <w:lang w:val="en-US" w:eastAsia="zh-CN"/>
        </w:rPr>
        <w:t>.</w:t>
      </w:r>
      <w:r>
        <w:rPr>
          <w:rFonts w:ascii="Times New Roman" w:cs="Times New Roman" w:hAnsi="Times New Roman"/>
        </w:rPr>
        <w:t>制定好全国科普日活动的实施方案。</w:t>
      </w:r>
    </w:p>
    <w:p>
      <w:pPr>
        <w:pStyle w:val="43"/>
        <w:rPr>
          <w:rFonts w:ascii="Times New Roman" w:cs="Times New Roman" w:hAnsi="Times New Roman"/>
        </w:rPr>
      </w:pPr>
      <w:r>
        <w:rPr>
          <w:rFonts w:ascii="Times New Roman" w:cs="Times New Roman" w:hAnsi="Times New Roman"/>
          <w:b/>
          <w:bCs/>
        </w:rPr>
        <w:t>3</w:t>
      </w:r>
      <w:r>
        <w:rPr>
          <w:rFonts w:ascii="Times New Roman" w:cs="Times New Roman" w:hAnsi="Times New Roman" w:hint="eastAsia"/>
          <w:b/>
          <w:bCs/>
          <w:lang w:val="en-US" w:eastAsia="zh-CN"/>
        </w:rPr>
        <w:t>.</w:t>
      </w:r>
      <w:r>
        <w:rPr>
          <w:rFonts w:ascii="Times New Roman" w:cs="Times New Roman" w:hAnsi="Times New Roman"/>
        </w:rPr>
        <w:t>认真实施“科普惠农兴村计划”工程，把科普示范基地和科普示范项目的建设作为科协系统服务“三农”和推进社会主义新农村建设的重要措施认真落实，抓出成效。</w:t>
      </w:r>
    </w:p>
    <w:p>
      <w:pPr>
        <w:pStyle w:val="43"/>
        <w:rPr>
          <w:rFonts w:ascii="Times New Roman" w:cs="Times New Roman" w:hAnsi="Times New Roman"/>
        </w:rPr>
      </w:pPr>
      <w:r>
        <w:rPr>
          <w:rFonts w:ascii="Times New Roman" w:cs="Times New Roman" w:hAnsi="Times New Roman"/>
          <w:b/>
          <w:bCs/>
          <w:lang w:val="en-US" w:eastAsia="zh-CN"/>
        </w:rPr>
        <w:t>4</w:t>
      </w:r>
      <w:r>
        <w:rPr>
          <w:rFonts w:ascii="Times New Roman" w:cs="Times New Roman" w:hAnsi="Times New Roman" w:hint="eastAsia"/>
          <w:b/>
          <w:bCs/>
          <w:lang w:val="en-US" w:eastAsia="zh-CN"/>
        </w:rPr>
        <w:t>.</w:t>
      </w:r>
      <w:r>
        <w:rPr>
          <w:rFonts w:ascii="Times New Roman" w:cs="Times New Roman" w:hAnsi="Times New Roman"/>
        </w:rPr>
        <w:t>完成好县委、县政府和上级主管部门交办的其他事项。</w:t>
      </w:r>
    </w:p>
    <w:p>
      <w:pPr>
        <w:pStyle w:val="43"/>
        <w:rPr>
          <w:rFonts w:ascii="仿宋_GB2312" w:eastAsia="仿宋_GB2312" w:cs="宋体" w:hint="eastAsia"/>
          <w:color w:val="000000"/>
          <w:kern w:val="0"/>
          <w:sz w:val="32"/>
          <w:szCs w:val="32"/>
          <w:shd w:val="clear" w:color="auto" w:fill="FFFFFF"/>
          <w:lang w:val="zh-CN"/>
        </w:rPr>
      </w:pPr>
      <w:r>
        <w:rPr>
          <w:rFonts w:ascii="Times New Roman" w:cs="Times New Roman" w:hAnsi="Times New Roman"/>
          <w:b/>
          <w:bCs/>
          <w:lang w:val="en-US" w:eastAsia="zh-CN"/>
        </w:rPr>
        <w:t>5</w:t>
      </w:r>
      <w:r>
        <w:rPr>
          <w:rFonts w:ascii="Times New Roman" w:cs="Times New Roman" w:hAnsi="Times New Roman" w:hint="eastAsia"/>
          <w:b/>
          <w:bCs/>
          <w:lang w:val="en-US" w:eastAsia="zh-CN"/>
        </w:rPr>
        <w:t>.</w:t>
      </w:r>
      <w:r>
        <w:rPr>
          <w:rFonts w:ascii="Times New Roman" w:cs="Times New Roman" w:hAnsi="Times New Roman" w:hint="eastAsia"/>
          <w:lang w:val="en-US" w:eastAsia="zh-CN"/>
        </w:rPr>
        <w:t>结合上级科协工作安排，积极开展</w:t>
      </w:r>
      <w:r>
        <w:rPr>
          <w:rFonts w:ascii="Times New Roman" w:cs="Times New Roman" w:hAnsi="Times New Roman" w:hint="eastAsia"/>
          <w:lang w:eastAsia="zh-CN"/>
        </w:rPr>
        <w:t>“天府科技云”工作</w:t>
      </w:r>
      <w:r>
        <w:rPr>
          <w:rFonts w:ascii="仿宋_GB2312" w:eastAsia="仿宋_GB2312" w:cs="宋体" w:hint="eastAsia"/>
          <w:color w:val="000000"/>
          <w:kern w:val="0"/>
          <w:sz w:val="32"/>
          <w:szCs w:val="32"/>
          <w:shd w:val="clear" w:color="auto" w:fill="FFFFFF"/>
          <w:lang w:val="zh-CN"/>
        </w:rPr>
        <w:t>。</w:t>
      </w:r>
    </w:p>
    <w:p>
      <w:pPr>
        <w:pStyle w:val="43"/>
        <w:rPr>
          <w:rFonts w:ascii="仿宋_GB2312" w:eastAsia="仿宋_GB2312" w:cs="宋体" w:hint="eastAsia"/>
          <w:color w:val="000000"/>
          <w:kern w:val="0"/>
          <w:sz w:val="32"/>
          <w:szCs w:val="32"/>
          <w:shd w:val="clear" w:color="auto" w:fill="FFFFFF"/>
          <w:lang w:val="zh-CN"/>
        </w:rPr>
      </w:pPr>
    </w:p>
    <w:p>
      <w:pPr>
        <w:pStyle w:val="43"/>
        <w:ind w:left="0" w:firstLineChars="0" w:firstLine="0"/>
        <w:outlineLvl w:val="0"/>
        <w:rPr>
          <w:rFonts w:ascii="仿宋_GB2312" w:cs="宋体" w:hint="eastAsia"/>
          <w:color w:val="000000"/>
          <w:kern w:val="0"/>
          <w:sz w:val="32"/>
          <w:szCs w:val="32"/>
          <w:shd w:val="clear" w:color="auto" w:fill="FFFFFF"/>
          <w:lang w:val="en-US" w:eastAsia="zh-CN"/>
        </w:rPr>
      </w:pPr>
      <w:bookmarkStart w:id="187" w:name="_Toc15674"/>
    </w:p>
    <w:p>
      <w:pPr>
        <w:pStyle w:val="43"/>
        <w:ind w:left="0" w:firstLineChars="0" w:firstLine="0"/>
        <w:outlineLvl w:val="0"/>
        <w:rPr>
          <w:rFonts w:ascii="仿宋_GB2312" w:cs="宋体" w:hint="eastAsia"/>
          <w:color w:val="000000"/>
          <w:kern w:val="0"/>
          <w:sz w:val="32"/>
          <w:szCs w:val="32"/>
          <w:shd w:val="clear" w:color="auto" w:fill="FFFFFF"/>
          <w:lang w:val="en-US" w:eastAsia="zh-CN"/>
        </w:rPr>
      </w:pPr>
    </w:p>
    <w:p>
      <w:pPr>
        <w:pStyle w:val="43"/>
        <w:ind w:left="0" w:firstLineChars="0" w:firstLine="0"/>
        <w:outlineLvl w:val="0"/>
        <w:rPr>
          <w:rFonts w:ascii="仿宋_GB2312" w:cs="宋体" w:hint="eastAsia"/>
          <w:color w:val="000000"/>
          <w:kern w:val="0"/>
          <w:sz w:val="32"/>
          <w:szCs w:val="32"/>
          <w:shd w:val="clear" w:color="auto" w:fill="FFFFFF"/>
          <w:lang w:val="en-US" w:eastAsia="zh-CN"/>
        </w:rPr>
      </w:pPr>
    </w:p>
    <w:p>
      <w:pPr>
        <w:pStyle w:val="43"/>
        <w:ind w:left="0" w:firstLineChars="0" w:firstLine="0"/>
        <w:outlineLvl w:val="0"/>
        <w:rPr>
          <w:rFonts w:ascii="仿宋_GB2312" w:cs="宋体" w:hint="eastAsia"/>
          <w:color w:val="000000"/>
          <w:kern w:val="0"/>
          <w:sz w:val="32"/>
          <w:szCs w:val="32"/>
          <w:shd w:val="clear" w:color="auto" w:fill="FFFFFF"/>
          <w:lang w:val="en-US" w:eastAsia="zh-CN"/>
        </w:rPr>
      </w:pPr>
    </w:p>
    <w:p>
      <w:pPr>
        <w:pStyle w:val="43"/>
        <w:ind w:left="0" w:firstLineChars="0" w:firstLine="0"/>
        <w:outlineLvl w:val="0"/>
        <w:rPr>
          <w:rFonts w:ascii="仿宋_GB2312" w:cs="宋体" w:hint="eastAsia"/>
          <w:color w:val="000000"/>
          <w:kern w:val="0"/>
          <w:sz w:val="32"/>
          <w:szCs w:val="32"/>
          <w:shd w:val="clear" w:color="auto" w:fill="FFFFFF"/>
          <w:lang w:val="en-US" w:eastAsia="zh-CN"/>
        </w:rPr>
      </w:pPr>
    </w:p>
    <w:p>
      <w:pPr>
        <w:pStyle w:val="43"/>
        <w:ind w:left="0" w:firstLineChars="0" w:firstLine="0"/>
        <w:outlineLvl w:val="0"/>
        <w:rPr>
          <w:rFonts w:ascii="仿宋_GB2312" w:cs="宋体" w:hint="eastAsia"/>
          <w:color w:val="000000"/>
          <w:kern w:val="0"/>
          <w:sz w:val="32"/>
          <w:szCs w:val="32"/>
          <w:shd w:val="clear" w:color="auto" w:fill="FFFFFF"/>
          <w:lang w:val="en-US" w:eastAsia="zh-CN"/>
        </w:rPr>
      </w:pPr>
    </w:p>
    <w:p>
      <w:pPr>
        <w:pStyle w:val="43"/>
        <w:ind w:left="0" w:firstLineChars="0" w:firstLine="0"/>
        <w:outlineLvl w:val="0"/>
        <w:rPr>
          <w:rFonts w:ascii="仿宋_GB2312" w:cs="宋体" w:hint="eastAsia"/>
          <w:color w:val="000000"/>
          <w:kern w:val="0"/>
          <w:sz w:val="32"/>
          <w:szCs w:val="32"/>
          <w:shd w:val="clear" w:color="auto" w:fill="FFFFFF"/>
          <w:lang w:val="en-US" w:eastAsia="zh-CN"/>
        </w:rPr>
      </w:pPr>
    </w:p>
    <w:p>
      <w:pPr>
        <w:pStyle w:val="43"/>
        <w:ind w:left="0" w:firstLineChars="0" w:firstLine="0"/>
        <w:outlineLvl w:val="0"/>
        <w:rPr>
          <w:rFonts w:ascii="仿宋_GB2312" w:cs="宋体" w:hint="eastAsia"/>
          <w:color w:val="000000"/>
          <w:kern w:val="0"/>
          <w:sz w:val="32"/>
          <w:szCs w:val="32"/>
          <w:shd w:val="clear" w:color="auto" w:fill="FFFFFF"/>
          <w:lang w:val="en-US" w:eastAsia="zh-CN"/>
        </w:rPr>
      </w:pPr>
    </w:p>
    <w:p>
      <w:pPr>
        <w:pStyle w:val="43"/>
        <w:ind w:left="0" w:firstLineChars="0" w:firstLine="0"/>
        <w:outlineLvl w:val="0"/>
        <w:rPr>
          <w:rFonts w:ascii="仿宋_GB2312" w:cs="宋体" w:hint="eastAsia"/>
          <w:color w:val="000000"/>
          <w:kern w:val="0"/>
          <w:sz w:val="32"/>
          <w:szCs w:val="32"/>
          <w:shd w:val="clear" w:color="auto" w:fill="FFFFFF"/>
          <w:lang w:val="en-US" w:eastAsia="zh-CN"/>
        </w:rPr>
      </w:pPr>
      <w:r>
        <w:rPr>
          <w:rFonts w:ascii="仿宋_GB2312" w:cs="宋体" w:hint="eastAsia"/>
          <w:color w:val="000000"/>
          <w:kern w:val="0"/>
          <w:sz w:val="32"/>
          <w:szCs w:val="32"/>
          <w:shd w:val="clear" w:color="auto" w:fill="FFFFFF"/>
          <w:lang w:val="en-US" w:eastAsia="zh-CN"/>
        </w:rPr>
        <w:t>附件二：</w:t>
      </w:r>
      <w:bookmarkEnd w:id="187"/>
    </w:p>
    <w:p>
      <w:pPr>
        <w:pStyle w:val="43"/>
        <w:ind w:left="0" w:firstLineChars="0" w:firstLine="0"/>
        <w:rPr>
          <w:rFonts w:ascii="仿宋_GB2312" w:cs="宋体" w:hint="eastAsia"/>
          <w:color w:val="000000"/>
          <w:kern w:val="0"/>
          <w:sz w:val="32"/>
          <w:szCs w:val="32"/>
          <w:shd w:val="clear" w:color="auto" w:fill="FFFFFF"/>
          <w:lang w:val="en-US" w:eastAsia="zh-CN"/>
        </w:rPr>
      </w:pPr>
    </w:p>
    <w:p>
      <w:pPr>
        <w:jc w:val="center"/>
        <w:outlineLvl w:val="0"/>
        <w:rPr>
          <w:rFonts w:ascii="宋体" w:eastAsia="宋体" w:cs="Times New Roman" w:hint="eastAsia"/>
          <w:b/>
          <w:sz w:val="44"/>
          <w:szCs w:val="44"/>
        </w:rPr>
      </w:pPr>
      <w:bookmarkStart w:id="188" w:name="_Toc989"/>
      <w:r>
        <w:rPr>
          <w:rFonts w:ascii="宋体" w:eastAsia="宋体" w:cs="Times New Roman" w:hint="eastAsia"/>
          <w:b/>
          <w:sz w:val="44"/>
          <w:szCs w:val="44"/>
          <w:lang w:val="en-US" w:eastAsia="zh-CN"/>
        </w:rPr>
        <w:t>2020年四川省科普专项资金</w:t>
      </w:r>
      <w:r>
        <w:rPr>
          <w:rFonts w:ascii="宋体" w:eastAsia="宋体" w:cs="Times New Roman" w:hint="eastAsia"/>
          <w:b/>
          <w:sz w:val="44"/>
          <w:szCs w:val="44"/>
        </w:rPr>
        <w:t>项目绩效自评报告</w:t>
      </w:r>
      <w:bookmarkEnd w:id="188"/>
    </w:p>
    <w:p>
      <w:pPr>
        <w:pStyle w:val="44"/>
        <w:spacing w:line="240" w:lineRule="auto"/>
        <w:jc w:val="center"/>
        <w:rPr>
          <w:rFonts w:ascii="宋体" w:cs="Times New Roman" w:hint="eastAsia"/>
          <w:color w:val="auto"/>
          <w:kern w:val="2"/>
          <w:sz w:val="32"/>
          <w:szCs w:val="32"/>
        </w:rPr>
      </w:pPr>
    </w:p>
    <w:p>
      <w:pPr>
        <w:numPr>
          <w:ilvl w:val="0"/>
          <w:numId w:val="6"/>
        </w:numPr>
        <w:adjustRightInd w:val="0"/>
        <w:snapToGrid w:val="0"/>
        <w:spacing w:line="560" w:lineRule="exact"/>
        <w:ind w:left="0" w:firstLine="720"/>
        <w:rPr>
          <w:rFonts w:ascii="黑体" w:eastAsia="黑体" w:cs="Times New Roman" w:hint="eastAsia"/>
          <w:sz w:val="32"/>
          <w:szCs w:val="32"/>
          <w:lang w:val="zh-CN"/>
        </w:rPr>
      </w:pPr>
      <w:r>
        <w:rPr>
          <w:rFonts w:ascii="黑体" w:eastAsia="黑体" w:cs="Times New Roman" w:hint="eastAsia"/>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outlineLvl w:val="1"/>
        <w:rPr>
          <w:rFonts w:ascii="楷体_GB2312" w:eastAsia="楷体_GB2312" w:cs="Times New Roman" w:hint="eastAsia"/>
          <w:b/>
          <w:sz w:val="32"/>
          <w:szCs w:val="32"/>
          <w:lang w:val="zh-CN"/>
        </w:rPr>
      </w:pPr>
      <w:bookmarkStart w:id="189" w:name="_Toc25597"/>
      <w:bookmarkStart w:id="190" w:name="_Toc10129"/>
      <w:r>
        <w:rPr>
          <w:rFonts w:ascii="楷体_GB2312" w:eastAsia="楷体_GB2312" w:cs="Times New Roman" w:hint="eastAsia"/>
          <w:b/>
          <w:sz w:val="32"/>
          <w:szCs w:val="32"/>
          <w:lang w:val="zh-CN"/>
        </w:rPr>
        <w:t>（一）项目资金申报及批复情况。</w:t>
      </w:r>
      <w:bookmarkEnd w:id="189"/>
      <w:bookmarkEnd w:id="190"/>
    </w:p>
    <w:p>
      <w:pPr>
        <w:ind w:left="0" w:firstLineChars="200" w:firstLine="640"/>
        <w:outlineLvl w:val="0"/>
        <w:rPr>
          <w:rFonts w:ascii="仿宋_GB2312" w:eastAsia="仿宋_GB2312" w:cs="仿宋_GB2312"/>
          <w:sz w:val="32"/>
          <w:szCs w:val="32"/>
          <w:lang w:val="en-US" w:eastAsia="zh-CN"/>
        </w:rPr>
      </w:pPr>
      <w:bookmarkStart w:id="191" w:name="_Toc17651"/>
      <w:bookmarkStart w:id="192" w:name="_Toc2173"/>
      <w:r>
        <w:rPr>
          <w:rFonts w:ascii="仿宋_GB2312" w:eastAsia="仿宋_GB2312" w:cs="仿宋_GB2312" w:hint="eastAsia"/>
          <w:sz w:val="32"/>
          <w:szCs w:val="32"/>
          <w:lang w:val="en-US" w:eastAsia="zh-CN"/>
        </w:rPr>
        <w:t>下达省级四川省科普专项资金共计26万元，其中包括新技术示范推广扶贫引种工程项目10万元，惠民共享基地制作科普标识标牌1万元，云服务中心建设15万元。</w:t>
      </w:r>
      <w:bookmarkEnd w:id="191"/>
      <w:bookmarkEnd w:id="192"/>
    </w:p>
    <w:p>
      <w:pPr>
        <w:ind w:left="0" w:firstLineChars="200" w:firstLine="640"/>
        <w:outlineLvl w:val="0"/>
        <w:rPr>
          <w:rFonts w:ascii="仿宋_GB2312" w:eastAsia="仿宋_GB2312" w:cs="Times New Roman" w:hint="eastAsia"/>
          <w:sz w:val="32"/>
          <w:szCs w:val="32"/>
          <w:lang w:val="zh-CN"/>
        </w:rPr>
      </w:pPr>
      <w:bookmarkStart w:id="193" w:name="_Toc13675"/>
      <w:bookmarkStart w:id="194" w:name="_Toc1471"/>
      <w:r>
        <w:rPr>
          <w:rFonts w:ascii="仿宋_GB2312" w:eastAsia="仿宋_GB2312" w:cs="仿宋_GB2312" w:hint="eastAsia"/>
          <w:sz w:val="32"/>
          <w:szCs w:val="32"/>
          <w:lang w:val="en-US" w:eastAsia="zh-CN"/>
        </w:rPr>
        <w:t>2020年全年，单位共收到市州级、省级、中央资金共计26万元。</w:t>
      </w:r>
      <w:bookmarkEnd w:id="193"/>
      <w:bookmarkEnd w:id="194"/>
    </w:p>
    <w:p>
      <w:pPr>
        <w:keepNext w:val="0"/>
        <w:keepLines w:val="0"/>
        <w:pageBreakBefore w:val="0"/>
        <w:widowControl w:val="0"/>
        <w:kinsoku/>
        <w:wordWrap/>
        <w:overflowPunct/>
        <w:topLinePunct w:val="0"/>
        <w:autoSpaceDE/>
        <w:autoSpaceDN/>
        <w:bidi w:val="0"/>
        <w:adjustRightInd/>
        <w:snapToGrid/>
        <w:ind w:left="0" w:firstLineChars="200" w:firstLine="640"/>
        <w:textAlignment w:val="auto"/>
        <w:outlineLvl w:val="1"/>
        <w:rPr>
          <w:rFonts w:ascii="楷体_GB2312" w:eastAsia="楷体_GB2312" w:cs="Times New Roman" w:hint="eastAsia"/>
          <w:b/>
          <w:sz w:val="32"/>
          <w:szCs w:val="32"/>
          <w:lang w:val="zh-CN"/>
        </w:rPr>
      </w:pPr>
      <w:bookmarkStart w:id="195" w:name="_Toc8514"/>
      <w:bookmarkStart w:id="196" w:name="_Toc13307"/>
      <w:r>
        <w:rPr>
          <w:rFonts w:ascii="楷体_GB2312" w:eastAsia="楷体_GB2312" w:cs="Times New Roman" w:hint="eastAsia"/>
          <w:b/>
          <w:sz w:val="32"/>
          <w:szCs w:val="32"/>
          <w:lang w:val="zh-CN"/>
        </w:rPr>
        <w:t>（</w:t>
      </w:r>
      <w:r>
        <w:rPr>
          <w:rFonts w:ascii="楷体_GB2312" w:eastAsia="楷体_GB2312" w:cs="Times New Roman" w:hint="eastAsia"/>
          <w:b/>
          <w:sz w:val="32"/>
          <w:szCs w:val="32"/>
          <w:lang w:val="en-US" w:eastAsia="zh-CN"/>
        </w:rPr>
        <w:t>二</w:t>
      </w:r>
      <w:r>
        <w:rPr>
          <w:rFonts w:ascii="楷体_GB2312" w:eastAsia="楷体_GB2312" w:cs="Times New Roman" w:hint="eastAsia"/>
          <w:b/>
          <w:sz w:val="32"/>
          <w:szCs w:val="32"/>
          <w:lang w:val="zh-CN"/>
        </w:rPr>
        <w:t>）项目绩效目标。</w:t>
      </w:r>
      <w:bookmarkEnd w:id="195"/>
      <w:bookmarkEnd w:id="196"/>
    </w:p>
    <w:p>
      <w:pPr>
        <w:ind w:left="0" w:firstLineChars="200" w:firstLine="640"/>
        <w:outlineLvl w:val="0"/>
        <w:rPr>
          <w:rFonts w:ascii="仿宋_GB2312" w:eastAsia="仿宋_GB2312" w:cs="仿宋_GB2312" w:hint="eastAsia"/>
          <w:sz w:val="32"/>
          <w:szCs w:val="32"/>
          <w:lang w:val="en-US" w:eastAsia="zh-CN"/>
        </w:rPr>
      </w:pPr>
      <w:bookmarkStart w:id="197" w:name="_Toc2801"/>
      <w:bookmarkStart w:id="198" w:name="_Toc23092"/>
      <w:r>
        <w:rPr>
          <w:rFonts w:ascii="仿宋_GB2312" w:eastAsia="仿宋_GB2312" w:cs="仿宋_GB2312" w:hint="eastAsia"/>
          <w:sz w:val="32"/>
          <w:szCs w:val="32"/>
          <w:lang w:val="en-US" w:eastAsia="zh-CN"/>
        </w:rPr>
        <w:t>“天府科技云”在改变科技交易方式、促进科技信息有效快速送达、降低科技交易成本等方面发挥了积极作用；四川省科协通过建设开放型的天府科技云服务中心，构建了创新服务科技工作者、服务企事业单位、服务城乡群众科学素质提升的新机制新手段。</w:t>
      </w:r>
      <w:bookmarkEnd w:id="197"/>
      <w:bookmarkEnd w:id="198"/>
    </w:p>
    <w:p>
      <w:pPr>
        <w:widowControl w:val="0"/>
        <w:ind w:firstLineChars="200" w:firstLine="640"/>
        <w:jc w:val="both"/>
        <w:rPr>
          <w:rFonts w:ascii="仿宋_GB2312" w:eastAsia="仿宋_GB2312" w:cs="仿宋_GB2312" w:hint="eastAsia"/>
          <w:kern w:val="2"/>
          <w:sz w:val="32"/>
          <w:szCs w:val="32"/>
          <w:lang w:val="en-US" w:eastAsia="zh-CN" w:bidi="ar-SA"/>
        </w:rPr>
      </w:pPr>
      <w:r>
        <w:rPr>
          <w:rFonts w:ascii="仿宋_GB2312" w:eastAsia="仿宋_GB2312" w:cs="仿宋_GB2312" w:hint="eastAsia"/>
          <w:kern w:val="2"/>
          <w:sz w:val="32"/>
          <w:szCs w:val="32"/>
          <w:lang w:val="en-US" w:eastAsia="zh-CN" w:bidi="ar-SA"/>
        </w:rPr>
        <w:t>大力推广扶贫引种工程，提升农民种植技能以及提升农民经济作物收入，有利于帮助当地农民脱贫致富。</w:t>
      </w:r>
    </w:p>
    <w:p>
      <w:pPr>
        <w:widowControl w:val="0"/>
        <w:ind w:firstLineChars="200" w:firstLine="640"/>
        <w:jc w:val="both"/>
        <w:rPr>
          <w:rFonts w:ascii="仿宋_GB2312" w:eastAsia="仿宋_GB2312" w:cs="仿宋_GB2312"/>
          <w:kern w:val="2"/>
          <w:sz w:val="32"/>
          <w:szCs w:val="32"/>
          <w:lang w:val="en-US" w:eastAsia="zh-CN" w:bidi="ar-SA"/>
        </w:rPr>
      </w:pPr>
      <w:r>
        <w:rPr>
          <w:rFonts w:ascii="仿宋_GB2312" w:eastAsia="仿宋_GB2312" w:cs="仿宋_GB2312" w:hint="eastAsia"/>
          <w:kern w:val="2"/>
          <w:sz w:val="32"/>
          <w:szCs w:val="32"/>
          <w:lang w:val="en-US" w:eastAsia="zh-CN" w:bidi="ar-SA"/>
        </w:rPr>
        <w:t>通过制作惠民共享基地制作科普标识牌，普及相应科学知识，提升当地群众综合素质，增强群众的幸福感和获得感。</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200" w:firstLine="640"/>
        <w:textAlignment w:val="auto"/>
        <w:outlineLvl w:val="1"/>
        <w:rPr>
          <w:rFonts w:ascii="楷体_GB2312" w:eastAsia="楷体_GB2312" w:cs="Times New Roman" w:hint="eastAsia"/>
          <w:b/>
          <w:sz w:val="32"/>
          <w:szCs w:val="32"/>
          <w:lang w:val="zh-CN"/>
        </w:rPr>
      </w:pPr>
      <w:bookmarkStart w:id="199" w:name="_Toc9742"/>
      <w:bookmarkStart w:id="200" w:name="_Toc23906"/>
      <w:r>
        <w:rPr>
          <w:rFonts w:ascii="楷体_GB2312" w:eastAsia="楷体_GB2312" w:cs="Times New Roman" w:hint="eastAsia"/>
          <w:b/>
          <w:sz w:val="32"/>
          <w:szCs w:val="32"/>
          <w:lang w:val="zh-CN"/>
        </w:rPr>
        <w:t>（</w:t>
      </w:r>
      <w:r>
        <w:rPr>
          <w:rFonts w:ascii="楷体_GB2312" w:eastAsia="楷体_GB2312" w:cs="Times New Roman" w:hint="eastAsia"/>
          <w:b/>
          <w:sz w:val="32"/>
          <w:szCs w:val="32"/>
          <w:lang w:val="en-US" w:eastAsia="zh-CN"/>
        </w:rPr>
        <w:t>三</w:t>
      </w:r>
      <w:r>
        <w:rPr>
          <w:rFonts w:ascii="楷体_GB2312" w:eastAsia="楷体_GB2312" w:cs="Times New Roman" w:hint="eastAsia"/>
          <w:b/>
          <w:sz w:val="32"/>
          <w:szCs w:val="32"/>
          <w:lang w:val="zh-CN"/>
        </w:rPr>
        <w:t>）项目资金申报相符性。</w:t>
      </w:r>
      <w:bookmarkEnd w:id="199"/>
      <w:bookmarkEnd w:id="200"/>
    </w:p>
    <w:p>
      <w:pPr>
        <w:widowControl w:val="0"/>
        <w:ind w:firstLineChars="200" w:firstLine="640"/>
        <w:jc w:val="both"/>
        <w:rPr>
          <w:rFonts w:ascii="仿宋_GB2312" w:eastAsia="仿宋_GB2312" w:cs="仿宋_GB2312"/>
          <w:kern w:val="2"/>
          <w:sz w:val="32"/>
          <w:szCs w:val="32"/>
          <w:lang w:val="en-US" w:eastAsia="zh-CN" w:bidi="ar-SA"/>
        </w:rPr>
      </w:pPr>
      <w:r>
        <w:rPr>
          <w:rFonts w:ascii="仿宋_GB2312" w:eastAsia="仿宋_GB2312" w:cs="仿宋_GB2312" w:hint="eastAsia"/>
          <w:kern w:val="2"/>
          <w:sz w:val="32"/>
          <w:szCs w:val="32"/>
          <w:lang w:val="en-US" w:eastAsia="zh-CN" w:bidi="ar-SA"/>
        </w:rPr>
        <w:t>县科协是全县性学会（协会）和乡镇科协、企业、学校科协组成的科技工作者的群众组织，是党委和政府联系科技工作者的纽带和发展科学技术事业的助手，主要的职能职责是普及科学知识，推广先进技术，促进科技成果向现实生产力转化。为科技、经济、社会协调发展献计献策，进行决策咨询和技术服务，兴办科技经济实体。四川科普专项资金的主要目的是提升当地群众的科学素养以及通过利用科技成果提升当地群众收入，该项目与协会职能职责相符合。</w:t>
      </w:r>
    </w:p>
    <w:p>
      <w:pPr>
        <w:adjustRightInd w:val="0"/>
        <w:snapToGrid w:val="0"/>
        <w:spacing w:line="560" w:lineRule="exact"/>
        <w:ind w:firstLine="720"/>
        <w:rPr>
          <w:rFonts w:ascii="黑体" w:eastAsia="黑体" w:cs="Times New Roman" w:hint="eastAsia"/>
          <w:sz w:val="32"/>
          <w:szCs w:val="32"/>
        </w:rPr>
      </w:pPr>
      <w:r>
        <w:rPr>
          <w:rFonts w:ascii="黑体" w:eastAsia="黑体" w:cs="Times New Roman" w:hint="eastAsia"/>
          <w:sz w:val="32"/>
          <w:szCs w:val="32"/>
        </w:rPr>
        <w:t>二、项目实施及管理情况</w:t>
      </w:r>
    </w:p>
    <w:p>
      <w:pPr>
        <w:adjustRightInd w:val="0"/>
        <w:snapToGrid w:val="0"/>
        <w:spacing w:line="560" w:lineRule="exact"/>
        <w:ind w:firstLine="720"/>
        <w:rPr>
          <w:rFonts w:ascii="楷体_GB2312" w:eastAsia="楷体_GB2312" w:cs="Times New Roman" w:hint="eastAsia"/>
          <w:b/>
          <w:sz w:val="32"/>
          <w:szCs w:val="32"/>
          <w:lang w:val="zh-CN"/>
        </w:rPr>
      </w:pPr>
      <w:r>
        <w:rPr>
          <w:rFonts w:ascii="仿宋_GB2312" w:eastAsia="仿宋_GB2312" w:cs="Times New Roman" w:hint="eastAsia"/>
          <w:sz w:val="32"/>
          <w:szCs w:val="32"/>
          <w:lang w:val="zh-CN"/>
        </w:rPr>
        <w:tab/>
      </w:r>
      <w:r>
        <w:rPr>
          <w:rFonts w:ascii="楷体_GB2312" w:eastAsia="楷体_GB2312" w:cs="Times New Roman" w:hint="eastAsia"/>
          <w:b/>
          <w:sz w:val="32"/>
          <w:szCs w:val="32"/>
          <w:lang w:val="zh-CN"/>
        </w:rPr>
        <w:t>（一）资金计划、到位及使用情况。</w:t>
      </w:r>
    </w:p>
    <w:p>
      <w:pPr>
        <w:adjustRightInd w:val="0"/>
        <w:snapToGrid w:val="0"/>
        <w:spacing w:line="560" w:lineRule="exact"/>
        <w:ind w:firstLine="720"/>
        <w:rPr>
          <w:rFonts w:ascii="楷体_GB2312" w:eastAsia="楷体_GB2312" w:cs="Times New Roman" w:hint="eastAsia"/>
          <w:sz w:val="32"/>
          <w:szCs w:val="32"/>
          <w:lang w:val="zh-CN"/>
        </w:rPr>
      </w:pPr>
      <w:r>
        <w:rPr>
          <w:rFonts w:ascii="楷体_GB2312" w:eastAsia="楷体_GB2312" w:cs="Times New Roman" w:hint="eastAsia"/>
          <w:sz w:val="32"/>
          <w:szCs w:val="32"/>
          <w:lang w:val="zh-CN"/>
        </w:rPr>
        <w:t>1.资金计划及到位。</w:t>
      </w:r>
    </w:p>
    <w:p>
      <w:pPr>
        <w:ind w:left="0" w:firstLineChars="200" w:firstLine="624"/>
        <w:outlineLvl w:val="0"/>
        <w:rPr>
          <w:rFonts w:ascii="楷体_GB2312" w:eastAsia="楷体_GB2312" w:cs="Times New Roman"/>
          <w:sz w:val="32"/>
          <w:szCs w:val="32"/>
          <w:lang w:val="en-US" w:eastAsia="zh-CN"/>
        </w:rPr>
      </w:pPr>
      <w:bookmarkStart w:id="201" w:name="_Toc27879"/>
      <w:bookmarkStart w:id="202" w:name="_Toc6268"/>
      <w:r>
        <w:rPr>
          <w:rFonts w:ascii="仿宋" w:eastAsia="仿宋" w:cs="仿宋" w:hint="eastAsia"/>
          <w:spacing w:val="-4"/>
          <w:kern w:val="2"/>
          <w:sz w:val="32"/>
          <w:szCs w:val="32"/>
          <w:lang w:val="en-US" w:eastAsia="zh-CN" w:bidi="ar-SA"/>
        </w:rPr>
        <w:t>2020年12月31日，共收到</w:t>
      </w:r>
      <w:r>
        <w:rPr>
          <w:rFonts w:ascii="仿宋_GB2312" w:eastAsia="仿宋_GB2312" w:cs="仿宋_GB2312" w:hint="eastAsia"/>
          <w:sz w:val="32"/>
          <w:szCs w:val="32"/>
          <w:lang w:val="en-US" w:eastAsia="zh-CN"/>
        </w:rPr>
        <w:t>省级四川省科普专项资金共计26万元，其中包括新技术示范推广扶贫引种工程项目10万元，惠民共享基地制作科普标识标牌1万元，云服务中心建设15万元。</w:t>
      </w:r>
      <w:bookmarkEnd w:id="201"/>
      <w:bookmarkEnd w:id="202"/>
    </w:p>
    <w:p>
      <w:pPr>
        <w:numPr>
          <w:ilvl w:val="0"/>
          <w:numId w:val="7"/>
        </w:numPr>
        <w:adjustRightInd w:val="0"/>
        <w:snapToGrid w:val="0"/>
        <w:spacing w:line="560" w:lineRule="exact"/>
        <w:ind w:left="0" w:firstLine="720"/>
        <w:rPr>
          <w:rFonts w:ascii="楷体_GB2312" w:eastAsia="楷体_GB2312" w:cs="Times New Roman" w:hint="eastAsia"/>
          <w:sz w:val="32"/>
          <w:szCs w:val="32"/>
          <w:lang w:val="zh-CN"/>
        </w:rPr>
      </w:pPr>
      <w:r>
        <w:rPr>
          <w:rFonts w:ascii="楷体_GB2312" w:eastAsia="楷体_GB2312" w:cs="Times New Roman" w:hint="eastAsia"/>
          <w:sz w:val="32"/>
          <w:szCs w:val="32"/>
          <w:lang w:val="zh-CN"/>
        </w:rPr>
        <w:t>资金使用。</w:t>
      </w:r>
    </w:p>
    <w:p>
      <w:pPr>
        <w:adjustRightInd w:val="0"/>
        <w:snapToGrid w:val="0"/>
        <w:spacing w:line="560" w:lineRule="exact"/>
        <w:ind w:left="0" w:firstLineChars="200" w:firstLine="640"/>
        <w:rPr>
          <w:rFonts w:ascii="楷体_GB2312" w:eastAsia="楷体_GB2312" w:cs="Times New Roman"/>
          <w:sz w:val="32"/>
          <w:szCs w:val="32"/>
          <w:lang w:val="en-US" w:eastAsia="zh-CN"/>
        </w:rPr>
      </w:pPr>
      <w:r>
        <w:rPr>
          <w:rFonts w:ascii="仿宋_GB2312" w:eastAsia="仿宋_GB2312" w:cs="仿宋_GB2312" w:hint="eastAsia"/>
          <w:sz w:val="32"/>
          <w:szCs w:val="32"/>
          <w:lang w:val="en-US" w:eastAsia="zh-CN"/>
        </w:rPr>
        <w:t>惠民共享基地制作科普标识标牌制作，该项目资金已按要求支付；新技术示范推广扶贫引种工程项目已在2020年底完成，项目款10万元已按照要求支付给相关合作方，云服务中心建设2020年12月31日已支付10.75万元，剩余固定资产质保金以及部分建设宣传资金尚未支付。</w:t>
      </w:r>
    </w:p>
    <w:p>
      <w:pPr>
        <w:adjustRightInd w:val="0"/>
        <w:snapToGrid w:val="0"/>
        <w:spacing w:line="560" w:lineRule="exact"/>
        <w:ind w:firstLine="720"/>
        <w:rPr>
          <w:rFonts w:ascii="楷体_GB2312" w:eastAsia="楷体_GB2312" w:cs="Times New Roman" w:hint="eastAsia"/>
          <w:b/>
          <w:sz w:val="32"/>
          <w:szCs w:val="32"/>
          <w:lang w:val="zh-CN"/>
        </w:rPr>
      </w:pPr>
      <w:r>
        <w:rPr>
          <w:rFonts w:ascii="楷体_GB2312" w:eastAsia="楷体_GB2312" w:cs="Times New Roman" w:hint="eastAsia"/>
          <w:b/>
          <w:sz w:val="32"/>
          <w:szCs w:val="32"/>
          <w:lang w:val="zh-CN"/>
        </w:rPr>
        <w:t>（二）项目财务管理情况。</w:t>
      </w:r>
    </w:p>
    <w:p>
      <w:pPr>
        <w:widowControl w:val="0"/>
        <w:spacing w:line="360" w:lineRule="auto"/>
        <w:ind w:firstLineChars="200" w:firstLine="640"/>
        <w:jc w:val="both"/>
        <w:rPr>
          <w:rFonts w:ascii="仿宋_GB2312" w:eastAsia="仿宋_GB2312" w:cs="仿宋_GB2312"/>
          <w:b/>
          <w:bCs/>
          <w:kern w:val="0"/>
          <w:sz w:val="32"/>
          <w:szCs w:val="32"/>
          <w:lang w:val="en-US" w:eastAsia="zh-CN" w:bidi="ar-SA"/>
        </w:rPr>
      </w:pPr>
      <w:r>
        <w:rPr>
          <w:rFonts w:ascii="仿宋_GB2312" w:eastAsia="仿宋_GB2312" w:cs="仿宋_GB2312" w:hint="eastAsia"/>
          <w:b/>
          <w:bCs/>
          <w:kern w:val="0"/>
          <w:sz w:val="32"/>
          <w:szCs w:val="32"/>
          <w:lang w:val="en-US" w:eastAsia="zh-CN" w:bidi="ar-SA"/>
        </w:rPr>
        <w:t>（一）基础管理</w:t>
      </w:r>
    </w:p>
    <w:p>
      <w:pPr>
        <w:widowControl w:val="0"/>
        <w:spacing w:line="360" w:lineRule="auto"/>
        <w:ind w:firstLineChars="200" w:firstLine="640"/>
        <w:jc w:val="both"/>
        <w:rPr>
          <w:rFonts w:ascii="仿宋_GB2312" w:eastAsia="仿宋_GB2312" w:cs="仿宋_GB2312"/>
          <w:kern w:val="0"/>
          <w:sz w:val="32"/>
          <w:szCs w:val="32"/>
          <w:lang w:val="en-US" w:eastAsia="zh-CN" w:bidi="ar-SA"/>
        </w:rPr>
      </w:pPr>
      <w:r>
        <w:rPr>
          <w:rFonts w:ascii="仿宋_GB2312" w:eastAsia="仿宋_GB2312" w:cs="仿宋_GB2312" w:hint="eastAsia"/>
          <w:b/>
          <w:bCs/>
          <w:kern w:val="0"/>
          <w:sz w:val="32"/>
          <w:szCs w:val="32"/>
          <w:lang w:val="en-US" w:eastAsia="zh-CN" w:bidi="ar-SA"/>
        </w:rPr>
        <w:t>1.管理制度健全性</w:t>
      </w:r>
    </w:p>
    <w:p>
      <w:pPr>
        <w:widowControl w:val="0"/>
        <w:spacing w:line="360" w:lineRule="auto"/>
        <w:ind w:firstLineChars="200" w:firstLine="640"/>
        <w:jc w:val="both"/>
        <w:rPr>
          <w:rFonts w:ascii="仿宋_GB2312" w:eastAsia="仿宋_GB2312" w:cs="仿宋_GB2312" w:hint="eastAsia"/>
          <w:kern w:val="2"/>
          <w:sz w:val="32"/>
          <w:szCs w:val="32"/>
          <w:lang w:val="en-US" w:eastAsia="zh-CN" w:bidi="ar-SA"/>
        </w:rPr>
      </w:pPr>
      <w:r>
        <w:rPr>
          <w:rFonts w:ascii="仿宋_GB2312" w:eastAsia="仿宋_GB2312" w:cs="仿宋_GB2312" w:hint="eastAsia"/>
          <w:kern w:val="2"/>
          <w:sz w:val="32"/>
          <w:szCs w:val="32"/>
          <w:lang w:val="en-US" w:eastAsia="zh-CN" w:bidi="ar-SA"/>
        </w:rPr>
        <w:t>壤塘县科学技术协会根据财政部颁布《行政单位内部控制规范》《关于全面推进行政单位内部控制建设的指导意见》等文件要求等法律法规及规章制度规定，结合单位实际情况，在对单位主要经济活动及业务流程梳理分析的基础上，初步建立覆盖本单位经济活动的内部控制体系，形成一系列的内部管理制度。主要包括有值班管理制度、档案管理制度、印章管理制度、会计核算管理制度、厉行节约管理措施、内部财务管理制度、预算资金管理办法等内部管理制度，另外还有公文管理制度、督查管理制度在建；以上相关管理制度合法、合规、完整，均得到了有效执行。</w:t>
      </w:r>
    </w:p>
    <w:p>
      <w:pPr>
        <w:widowControl w:val="0"/>
        <w:spacing w:line="360" w:lineRule="auto"/>
        <w:ind w:leftChars="200" w:left="420" w:firstLine="0"/>
        <w:jc w:val="both"/>
        <w:rPr>
          <w:rFonts w:ascii="仿宋_GB2312" w:eastAsia="仿宋_GB2312" w:cs="仿宋_GB2312"/>
          <w:b/>
          <w:bCs/>
          <w:kern w:val="0"/>
          <w:sz w:val="32"/>
          <w:szCs w:val="32"/>
          <w:lang w:val="en-US" w:eastAsia="zh-CN" w:bidi="ar-SA"/>
        </w:rPr>
      </w:pPr>
      <w:r>
        <w:rPr>
          <w:rFonts w:ascii="仿宋_GB2312" w:eastAsia="仿宋_GB2312" w:cs="仿宋_GB2312" w:hint="eastAsia"/>
          <w:b/>
          <w:bCs/>
          <w:kern w:val="0"/>
          <w:sz w:val="32"/>
          <w:szCs w:val="32"/>
          <w:lang w:val="en-US" w:eastAsia="zh-CN" w:bidi="ar-SA"/>
        </w:rPr>
        <w:t>2.财务管理以及资金使用合规性</w:t>
      </w:r>
    </w:p>
    <w:p>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壤塘县</w:t>
      </w:r>
      <w:r>
        <w:rPr>
          <w:rFonts w:ascii="仿宋_GB2312" w:eastAsia="仿宋_GB2312" w:cs="仿宋_GB2312" w:hint="eastAsia"/>
          <w:sz w:val="32"/>
          <w:szCs w:val="32"/>
          <w:lang w:val="en-US" w:eastAsia="zh-CN"/>
        </w:rPr>
        <w:t>科学技术协会</w:t>
      </w:r>
      <w:r>
        <w:rPr>
          <w:rFonts w:ascii="仿宋_GB2312" w:eastAsia="仿宋_GB2312" w:cs="仿宋_GB2312" w:hint="eastAsia"/>
          <w:sz w:val="32"/>
          <w:szCs w:val="32"/>
        </w:rPr>
        <w:t>本年度收到</w:t>
      </w:r>
      <w:r>
        <w:rPr>
          <w:rFonts w:ascii="仿宋_GB2312" w:eastAsia="仿宋_GB2312" w:cs="仿宋_GB2312" w:hint="eastAsia"/>
          <w:sz w:val="32"/>
          <w:szCs w:val="32"/>
          <w:lang w:val="en-US" w:eastAsia="zh-CN"/>
        </w:rPr>
        <w:t>四川省科普专项资金共计26万元，</w:t>
      </w:r>
      <w:r>
        <w:rPr>
          <w:rFonts w:ascii="仿宋_GB2312" w:eastAsia="仿宋_GB2312" w:cs="仿宋_GB2312" w:hint="eastAsia"/>
          <w:sz w:val="32"/>
          <w:szCs w:val="32"/>
        </w:rPr>
        <w:t>实际使用</w:t>
      </w:r>
      <w:r>
        <w:rPr>
          <w:rFonts w:ascii="仿宋_GB2312" w:eastAsia="仿宋_GB2312" w:cs="仿宋_GB2312" w:hint="eastAsia"/>
          <w:sz w:val="32"/>
          <w:szCs w:val="32"/>
          <w:lang w:val="en-US" w:eastAsia="zh-CN"/>
        </w:rPr>
        <w:t>21.75</w:t>
      </w:r>
      <w:r>
        <w:rPr>
          <w:rFonts w:ascii="仿宋_GB2312" w:eastAsia="仿宋_GB2312" w:cs="仿宋_GB2312" w:hint="eastAsia"/>
          <w:sz w:val="32"/>
          <w:szCs w:val="32"/>
        </w:rPr>
        <w:t>万元。资金使用过程中严格按照单位财务管理制度要求执行，资金使用的合规性体现在：</w:t>
      </w:r>
    </w:p>
    <w:p>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1.所有经费开支坚持财务审批制度，重大资金支出（日常公用经费在</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万元及以上）由党组会研究决定。</w:t>
      </w:r>
    </w:p>
    <w:p>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2.在报销经费时，经办人使用统一规范的审批单，在审批单上写明用途、经办人员、证明人员、股室负责人、金额、报销日期、单据张数等内容。</w:t>
      </w:r>
    </w:p>
    <w:p>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3.费用报销审批程序  </w:t>
      </w:r>
    </w:p>
    <w:p>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经办人填写《支出审批单》→由办公室负责人确认签字→分管领导确认签字→</w:t>
      </w:r>
      <w:r>
        <w:rPr>
          <w:rFonts w:ascii="仿宋_GB2312" w:eastAsia="仿宋_GB2312" w:cs="仿宋_GB2312" w:hint="eastAsia"/>
          <w:sz w:val="32"/>
          <w:szCs w:val="32"/>
          <w:lang w:val="en-US" w:eastAsia="zh-CN"/>
        </w:rPr>
        <w:t>主席</w:t>
      </w:r>
      <w:r>
        <w:rPr>
          <w:rFonts w:ascii="仿宋_GB2312" w:eastAsia="仿宋_GB2312" w:cs="仿宋_GB2312" w:hint="eastAsia"/>
          <w:sz w:val="32"/>
          <w:szCs w:val="32"/>
        </w:rPr>
        <w:t>批准后，到办公室出纳处办理支付手续。</w:t>
      </w:r>
    </w:p>
    <w:p>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各个审批环节的具体职责：</w:t>
      </w:r>
    </w:p>
    <w:p>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办公室负责人及其分管领导对其发生的支出用途及金额的真实性、准确性负责，并对其股室填写的支出审批单内容、大小写金额、票据张数进行审核。经济业务发生后，原则上在15天之内报账完毕。不得将几个经济事项的票据合并填报。</w:t>
      </w:r>
    </w:p>
    <w:p>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出纳、会计对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出纳、会计有权拒绝受理。</w:t>
      </w:r>
    </w:p>
    <w:p>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领导审查财务收支的真实性、合法性、必要性，并在报销凭证上明确签署报销意见。</w:t>
      </w:r>
    </w:p>
    <w:p>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所有费用报销实行</w:t>
      </w:r>
      <w:r>
        <w:rPr>
          <w:rFonts w:ascii="仿宋_GB2312" w:eastAsia="仿宋_GB2312" w:cs="仿宋_GB2312" w:hint="eastAsia"/>
          <w:sz w:val="32"/>
          <w:szCs w:val="32"/>
          <w:lang w:val="en-US" w:eastAsia="zh-CN"/>
        </w:rPr>
        <w:t>主席</w:t>
      </w:r>
      <w:r>
        <w:rPr>
          <w:rFonts w:ascii="仿宋_GB2312" w:eastAsia="仿宋_GB2312" w:cs="仿宋_GB2312" w:hint="eastAsia"/>
          <w:sz w:val="32"/>
          <w:szCs w:val="32"/>
        </w:rPr>
        <w:t>“一支笔”签批制度。</w:t>
      </w:r>
    </w:p>
    <w:p>
      <w:pPr>
        <w:spacing w:line="360"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严格控制现金支付，原则上采用公务卡和转账结算。会计人员进行会计核算时，对不符合财经管理规定的票据有权拒绝接受并应立即报告。</w:t>
      </w:r>
    </w:p>
    <w:p>
      <w:pPr>
        <w:adjustRightInd w:val="0"/>
        <w:snapToGrid w:val="0"/>
        <w:spacing w:line="560" w:lineRule="exact"/>
        <w:ind w:firstLine="720"/>
        <w:rPr>
          <w:rFonts w:ascii="楷体_GB2312" w:eastAsia="楷体_GB2312" w:cs="Times New Roman" w:hint="eastAsia"/>
          <w:b/>
          <w:sz w:val="32"/>
          <w:szCs w:val="32"/>
          <w:lang w:val="zh-CN"/>
        </w:rPr>
      </w:pPr>
      <w:r>
        <w:rPr>
          <w:rFonts w:ascii="楷体_GB2312" w:eastAsia="楷体_GB2312" w:cs="Times New Roman" w:hint="eastAsia"/>
          <w:b/>
          <w:sz w:val="32"/>
          <w:szCs w:val="32"/>
          <w:lang w:val="zh-CN"/>
        </w:rPr>
        <w:t>（三）项目组织实施情况。</w:t>
      </w:r>
    </w:p>
    <w:p>
      <w:pPr>
        <w:widowControl w:val="0"/>
        <w:spacing w:line="360" w:lineRule="auto"/>
        <w:ind w:firstLineChars="200" w:firstLine="640"/>
        <w:jc w:val="both"/>
        <w:rPr>
          <w:rFonts w:ascii="仿宋_GB2312" w:eastAsia="仿宋_GB2312" w:cs="仿宋_GB2312"/>
          <w:color w:val="auto"/>
          <w:kern w:val="2"/>
          <w:sz w:val="32"/>
          <w:szCs w:val="32"/>
          <w:lang w:val="en-US" w:eastAsia="zh-CN" w:bidi="ar-SA"/>
        </w:rPr>
      </w:pPr>
      <w:r>
        <w:rPr>
          <w:rFonts w:ascii="仿宋_GB2312" w:eastAsia="仿宋_GB2312" w:cs="仿宋_GB2312" w:hint="eastAsia"/>
          <w:color w:val="auto"/>
          <w:kern w:val="2"/>
          <w:sz w:val="32"/>
          <w:szCs w:val="32"/>
          <w:lang w:val="en-US" w:eastAsia="zh-CN" w:bidi="ar-SA"/>
        </w:rPr>
        <w:t>办公室负责单位内控评价与监督工作，具体职责如下：负责制定单位内部控制监督评价相关制度；负责制订内部控制评价方案；负责组织对单位年度内部控制工作自评工作；负责对本单位风险管理工作的实施情况和有效性进行监督和检查；负责对各部门各业务流程的执行情况进行监督和检查。</w:t>
      </w:r>
    </w:p>
    <w:p>
      <w:pPr>
        <w:adjustRightInd w:val="0"/>
        <w:snapToGrid w:val="0"/>
        <w:spacing w:line="560" w:lineRule="exact"/>
        <w:ind w:firstLine="720"/>
        <w:rPr>
          <w:rFonts w:ascii="仿宋_GB2312" w:eastAsia="仿宋_GB2312" w:cs="Times New Roman" w:hint="eastAsia"/>
          <w:sz w:val="32"/>
          <w:szCs w:val="32"/>
          <w:lang w:val="zh-CN"/>
        </w:rPr>
      </w:pPr>
      <w:r>
        <w:rPr>
          <w:rFonts w:ascii="黑体" w:eastAsia="黑体" w:cs="Times New Roman" w:hint="eastAsia"/>
          <w:sz w:val="32"/>
          <w:szCs w:val="32"/>
        </w:rPr>
        <w:t>三、目标完成情况</w:t>
      </w:r>
      <w:r>
        <w:rPr>
          <w:rFonts w:ascii="仿宋_GB2312" w:eastAsia="仿宋_GB2312" w:cs="Times New Roman" w:hint="eastAsia"/>
          <w:sz w:val="32"/>
          <w:szCs w:val="32"/>
          <w:lang w:val="zh-CN"/>
        </w:rPr>
        <w:tab/>
      </w:r>
    </w:p>
    <w:p>
      <w:pPr>
        <w:adjustRightInd w:val="0"/>
        <w:snapToGrid w:val="0"/>
        <w:spacing w:line="560" w:lineRule="exact"/>
        <w:ind w:firstLine="720"/>
        <w:rPr>
          <w:rFonts w:ascii="楷体_GB2312" w:eastAsia="楷体_GB2312" w:cs="Times New Roman" w:hint="eastAsia"/>
          <w:b/>
          <w:sz w:val="32"/>
          <w:szCs w:val="32"/>
          <w:lang w:val="zh-CN"/>
        </w:rPr>
      </w:pPr>
      <w:r>
        <w:rPr>
          <w:rFonts w:ascii="楷体_GB2312" w:eastAsia="楷体_GB2312" w:cs="Times New Roman" w:hint="eastAsia"/>
          <w:b/>
          <w:sz w:val="32"/>
          <w:szCs w:val="32"/>
          <w:lang w:val="zh-CN"/>
        </w:rPr>
        <w:t>（一）目标任务量完成情况。</w:t>
      </w:r>
    </w:p>
    <w:p>
      <w:pPr>
        <w:ind w:left="0" w:firstLineChars="200" w:firstLine="640"/>
        <w:outlineLvl w:val="0"/>
        <w:rPr>
          <w:rFonts w:ascii="楷体_GB2312" w:eastAsia="楷体_GB2312" w:cs="Times New Roman"/>
          <w:b/>
          <w:sz w:val="32"/>
          <w:szCs w:val="32"/>
          <w:lang w:val="en-US" w:eastAsia="zh-CN"/>
        </w:rPr>
      </w:pPr>
      <w:bookmarkStart w:id="203" w:name="_Toc27953"/>
      <w:bookmarkStart w:id="204" w:name="_Toc10046"/>
      <w:r>
        <w:rPr>
          <w:rFonts w:ascii="仿宋_GB2312" w:eastAsia="仿宋_GB2312" w:cs="仿宋_GB2312" w:hint="eastAsia"/>
          <w:sz w:val="32"/>
          <w:szCs w:val="32"/>
          <w:lang w:val="en-US" w:eastAsia="zh-CN"/>
        </w:rPr>
        <w:t>四川省科普专项资金共计26万元，该项目分为三部分，包括新技术示范推广扶贫引种工程项目10万元，惠民共享基地制作科普标识标牌1万元，云服务中心建设15万元。2020年12月31日，新技术示范推广扶贫引种工程已按要求完成推广引种，惠民共享基地制作科普标识标牌也已经制作完毕，目前云服务中心仍处于建设阶段。</w:t>
      </w:r>
      <w:bookmarkEnd w:id="203"/>
      <w:bookmarkEnd w:id="204"/>
    </w:p>
    <w:p>
      <w:pPr>
        <w:adjustRightInd w:val="0"/>
        <w:snapToGrid w:val="0"/>
        <w:spacing w:line="560" w:lineRule="exact"/>
        <w:ind w:firstLine="720"/>
        <w:rPr>
          <w:rFonts w:ascii="楷体_GB2312" w:eastAsia="楷体_GB2312" w:cs="Times New Roman" w:hint="eastAsia"/>
          <w:b/>
          <w:sz w:val="32"/>
          <w:szCs w:val="32"/>
          <w:lang w:val="zh-CN"/>
        </w:rPr>
      </w:pPr>
      <w:r>
        <w:rPr>
          <w:rFonts w:ascii="楷体_GB2312" w:eastAsia="楷体_GB2312" w:cs="Times New Roman" w:hint="eastAsia"/>
          <w:b/>
          <w:sz w:val="32"/>
          <w:szCs w:val="32"/>
          <w:lang w:val="zh-CN"/>
        </w:rPr>
        <w:t>（二）目标质量完成情况。</w:t>
      </w:r>
    </w:p>
    <w:p>
      <w:pPr>
        <w:adjustRightInd w:val="0"/>
        <w:snapToGrid w:val="0"/>
        <w:spacing w:line="560" w:lineRule="exact"/>
        <w:ind w:left="0" w:firstLineChars="200" w:firstLine="640"/>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当年申报资金总额为26万元，包括新技术示范推广扶贫引种工程项目10万元，惠民共享基地制作科普标识标牌1万元，云服务中心建设15万元。2020年12月31日，新技术示范推广扶贫引种工程已按要求完成推广引种，惠民共享基地制作科普标识标牌也已经制作完毕，目前云服务中心设备设施已经完成，目前剩余4万元为项目推广宣传资金。</w:t>
      </w:r>
    </w:p>
    <w:p>
      <w:pPr>
        <w:adjustRightInd w:val="0"/>
        <w:snapToGrid w:val="0"/>
        <w:spacing w:line="560" w:lineRule="exact"/>
        <w:ind w:firstLine="720"/>
        <w:rPr>
          <w:rFonts w:ascii="楷体_GB2312" w:eastAsia="楷体_GB2312" w:cs="Times New Roman" w:hint="eastAsia"/>
          <w:b/>
          <w:sz w:val="32"/>
          <w:szCs w:val="32"/>
          <w:lang w:val="zh-CN"/>
        </w:rPr>
      </w:pPr>
      <w:r>
        <w:rPr>
          <w:rFonts w:ascii="楷体_GB2312" w:eastAsia="楷体_GB2312" w:cs="Times New Roman" w:hint="eastAsia"/>
          <w:b/>
          <w:sz w:val="32"/>
          <w:szCs w:val="32"/>
          <w:lang w:val="zh-CN"/>
        </w:rPr>
        <w:t>（三）目标进度完成情况。</w:t>
      </w:r>
    </w:p>
    <w:p>
      <w:pPr>
        <w:adjustRightInd w:val="0"/>
        <w:snapToGrid w:val="0"/>
        <w:spacing w:line="560" w:lineRule="exact"/>
        <w:ind w:firstLineChars="250" w:firstLine="800"/>
        <w:rPr>
          <w:rFonts w:ascii="仿宋_GB2312" w:eastAsia="仿宋_GB2312" w:cs="Times New Roman"/>
          <w:sz w:val="32"/>
          <w:szCs w:val="32"/>
          <w:lang w:val="en-US"/>
        </w:rPr>
      </w:pPr>
      <w:r>
        <w:rPr>
          <w:rFonts w:ascii="仿宋_GB2312" w:eastAsia="仿宋_GB2312" w:cs="Times New Roman" w:hint="eastAsia"/>
          <w:sz w:val="32"/>
          <w:szCs w:val="32"/>
          <w:lang w:val="en-US" w:eastAsia="zh-CN"/>
        </w:rPr>
        <w:t>于2020年年初申报</w:t>
      </w:r>
      <w:r>
        <w:rPr>
          <w:rFonts w:ascii="仿宋_GB2312" w:eastAsia="仿宋_GB2312" w:cs="仿宋_GB2312" w:hint="eastAsia"/>
          <w:sz w:val="32"/>
          <w:szCs w:val="32"/>
          <w:lang w:val="en-US" w:eastAsia="zh-CN"/>
        </w:rPr>
        <w:t>新技术示范推广扶贫引种工程、惠民共享基地制作科普标识标牌以及天府科技云服务中心建设三项工程共计26万元</w:t>
      </w:r>
      <w:r>
        <w:rPr>
          <w:rFonts w:ascii="仿宋_GB2312" w:eastAsia="仿宋_GB2312" w:cs="Times New Roman" w:hint="eastAsia"/>
          <w:sz w:val="32"/>
          <w:szCs w:val="32"/>
          <w:lang w:val="en-US" w:eastAsia="zh-CN"/>
        </w:rPr>
        <w:t>，截至目前，已按要求完成</w:t>
      </w:r>
      <w:r>
        <w:rPr>
          <w:rFonts w:ascii="仿宋_GB2312" w:eastAsia="仿宋_GB2312" w:cs="仿宋_GB2312" w:hint="eastAsia"/>
          <w:sz w:val="32"/>
          <w:szCs w:val="32"/>
          <w:lang w:val="en-US" w:eastAsia="zh-CN"/>
        </w:rPr>
        <w:t>新技术示范推广扶贫引种以及惠民共享基地制作科普标识标牌的制作，天府科技云设施以及场地已按要求装修完毕，目前剩余4.25万元，天府科技云宣传费用尚未支付。目标进度完成较好。</w:t>
      </w:r>
    </w:p>
    <w:p>
      <w:pPr>
        <w:adjustRightInd w:val="0"/>
        <w:snapToGrid w:val="0"/>
        <w:spacing w:line="560" w:lineRule="exact"/>
        <w:ind w:firstLine="720"/>
        <w:rPr>
          <w:rFonts w:ascii="黑体" w:eastAsia="黑体" w:cs="Times New Roman" w:hint="eastAsia"/>
          <w:sz w:val="32"/>
          <w:szCs w:val="32"/>
        </w:rPr>
      </w:pPr>
      <w:r>
        <w:rPr>
          <w:rFonts w:ascii="黑体" w:eastAsia="黑体" w:cs="Times New Roman" w:hint="eastAsia"/>
          <w:sz w:val="32"/>
          <w:szCs w:val="32"/>
        </w:rPr>
        <w:t>四、项目效益情况</w:t>
      </w:r>
    </w:p>
    <w:p>
      <w:pPr>
        <w:adjustRightInd w:val="0"/>
        <w:snapToGrid w:val="0"/>
        <w:spacing w:line="560" w:lineRule="exact"/>
        <w:ind w:firstLine="720"/>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加大群众科普力度，传播人类文明的先进成果，以先进带后进，</w:t>
      </w:r>
      <w:bookmarkStart w:id="205" w:name="_GoBack"/>
      <w:bookmarkEnd w:id="205"/>
      <w:r>
        <w:rPr>
          <w:rFonts w:ascii="仿宋_GB2312" w:eastAsia="仿宋_GB2312" w:cs="仿宋_GB2312" w:hint="eastAsia"/>
          <w:sz w:val="32"/>
          <w:szCs w:val="32"/>
          <w:lang w:val="en-US" w:eastAsia="zh-CN"/>
        </w:rPr>
        <w:t>引导广大人民群众不断提高科学文化素质。</w:t>
      </w:r>
    </w:p>
    <w:p>
      <w:pPr>
        <w:keepNext w:val="0"/>
        <w:keepLines w:val="0"/>
        <w:pageBreakBefore w:val="0"/>
        <w:widowControl w:val="0"/>
        <w:numPr>
          <w:ilvl w:val="0"/>
          <w:numId w:val="8"/>
        </w:numPr>
        <w:kinsoku/>
        <w:wordWrap/>
        <w:overflowPunct/>
        <w:topLinePunct w:val="0"/>
        <w:autoSpaceDE/>
        <w:autoSpaceDN/>
        <w:bidi w:val="0"/>
        <w:adjustRightInd w:val="0"/>
        <w:snapToGrid w:val="0"/>
        <w:spacing w:line="576" w:lineRule="exact"/>
        <w:ind w:left="0" w:firstLine="720"/>
        <w:textAlignment w:val="auto"/>
        <w:rPr>
          <w:rFonts w:ascii="黑体" w:eastAsia="黑体" w:cs="Times New Roman" w:hint="eastAsia"/>
          <w:sz w:val="32"/>
          <w:szCs w:val="32"/>
          <w:lang w:val="zh-CN"/>
        </w:rPr>
      </w:pPr>
      <w:r>
        <w:rPr>
          <w:rFonts w:ascii="黑体" w:eastAsia="黑体" w:cs="Times New Roman" w:hint="eastAsia"/>
          <w:sz w:val="32"/>
          <w:szCs w:val="32"/>
          <w:lang w:val="zh-CN"/>
        </w:rPr>
        <w:t>问题及建议</w:t>
      </w:r>
    </w:p>
    <w:p>
      <w:pPr>
        <w:keepNext w:val="0"/>
        <w:keepLines w:val="0"/>
        <w:pageBreakBefore w:val="0"/>
        <w:widowControl w:val="0"/>
        <w:numPr>
          <w:ilvl w:val="0"/>
          <w:numId w:val="9"/>
        </w:numPr>
        <w:kinsoku/>
        <w:wordWrap/>
        <w:overflowPunct/>
        <w:topLinePunct w:val="0"/>
        <w:autoSpaceDE/>
        <w:autoSpaceDN/>
        <w:bidi w:val="0"/>
        <w:adjustRightInd w:val="0"/>
        <w:snapToGrid w:val="0"/>
        <w:spacing w:line="576" w:lineRule="exact"/>
        <w:ind w:left="0" w:firstLineChars="200" w:firstLine="640"/>
        <w:textAlignment w:val="auto"/>
        <w:rPr>
          <w:rFonts w:ascii="楷体_GB2312" w:eastAsia="楷体_GB2312" w:cs="Times New Roman" w:hint="eastAsia"/>
          <w:b/>
          <w:sz w:val="32"/>
          <w:szCs w:val="32"/>
          <w:lang w:val="zh-CN"/>
        </w:rPr>
      </w:pPr>
      <w:r>
        <w:rPr>
          <w:rFonts w:ascii="楷体_GB2312" w:eastAsia="楷体_GB2312" w:cs="Times New Roman" w:hint="eastAsia"/>
          <w:b/>
          <w:sz w:val="32"/>
          <w:szCs w:val="32"/>
          <w:lang w:val="zh-CN"/>
        </w:rPr>
        <w:t>评价结论</w:t>
      </w:r>
    </w:p>
    <w:p>
      <w:pPr>
        <w:widowControl w:val="0"/>
        <w:spacing w:line="360" w:lineRule="auto"/>
        <w:ind w:firstLine="0"/>
        <w:jc w:val="both"/>
        <w:rPr>
          <w:rFonts w:ascii="仿宋_GB2312" w:eastAsia="仿宋_GB2312" w:cs="Times New Roman" w:hint="eastAsia"/>
          <w:kern w:val="2"/>
          <w:sz w:val="32"/>
          <w:szCs w:val="32"/>
          <w:lang w:val="en-US" w:eastAsia="zh-CN" w:bidi="ar-SA"/>
        </w:rPr>
      </w:pPr>
      <w:r>
        <w:rPr>
          <w:rFonts w:ascii="仿宋_GB2312" w:eastAsia="仿宋_GB2312" w:cs="Times New Roman" w:hint="eastAsia"/>
          <w:kern w:val="2"/>
          <w:sz w:val="32"/>
          <w:szCs w:val="32"/>
          <w:lang w:val="en-US" w:eastAsia="zh-CN" w:bidi="ar-SA"/>
        </w:rPr>
        <w:t xml:space="preserve">    见附件：绩效目标自评表。</w:t>
      </w:r>
    </w:p>
    <w:p>
      <w:pPr>
        <w:keepNext w:val="0"/>
        <w:keepLines w:val="0"/>
        <w:pageBreakBefore w:val="0"/>
        <w:widowControl w:val="0"/>
        <w:kinsoku/>
        <w:wordWrap/>
        <w:overflowPunct/>
        <w:topLinePunct w:val="0"/>
        <w:autoSpaceDE/>
        <w:autoSpaceDN/>
        <w:bidi w:val="0"/>
        <w:adjustRightInd w:val="0"/>
        <w:snapToGrid w:val="0"/>
        <w:spacing w:line="576" w:lineRule="exact"/>
        <w:ind w:firstLineChars="200" w:firstLine="640"/>
        <w:textAlignment w:val="auto"/>
        <w:rPr>
          <w:rFonts w:ascii="楷体_GB2312" w:eastAsia="楷体_GB2312" w:cs="Times New Roman" w:hint="eastAsia"/>
          <w:b/>
          <w:sz w:val="32"/>
          <w:szCs w:val="32"/>
          <w:lang w:val="zh-CN"/>
        </w:rPr>
      </w:pPr>
      <w:r>
        <w:rPr>
          <w:rFonts w:ascii="楷体_GB2312" w:eastAsia="楷体_GB2312" w:cs="Times New Roman" w:hint="eastAsia"/>
          <w:b/>
          <w:sz w:val="32"/>
          <w:szCs w:val="32"/>
          <w:lang w:val="zh-CN"/>
        </w:rPr>
        <w:t>（</w:t>
      </w:r>
      <w:r>
        <w:rPr>
          <w:rFonts w:ascii="楷体_GB2312" w:eastAsia="楷体_GB2312" w:cs="Times New Roman" w:hint="eastAsia"/>
          <w:b/>
          <w:sz w:val="32"/>
          <w:szCs w:val="32"/>
          <w:lang w:val="en-US" w:eastAsia="zh-CN"/>
        </w:rPr>
        <w:t>二</w:t>
      </w:r>
      <w:r>
        <w:rPr>
          <w:rFonts w:ascii="楷体_GB2312" w:eastAsia="楷体_GB2312" w:cs="Times New Roman" w:hint="eastAsia"/>
          <w:b/>
          <w:sz w:val="32"/>
          <w:szCs w:val="32"/>
          <w:lang w:val="zh-CN"/>
        </w:rPr>
        <w:t>）存在的问题</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Chars="200" w:firstLine="640"/>
        <w:jc w:val="both"/>
        <w:textAlignment w:val="auto"/>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一是预算编制有待更加严格执行，预算编制与实际支出项目有的存在差异。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Chars="200" w:firstLine="640"/>
        <w:jc w:val="both"/>
        <w:textAlignment w:val="auto"/>
        <w:rPr>
          <w:rFonts w:ascii="Times New Roman" w:eastAsia="仿宋_GB2312" w:cs="Times New Roman" w:hAnsi="Times New Roman" w:hint="eastAsia"/>
          <w:sz w:val="32"/>
          <w:lang w:val="zh-CN"/>
        </w:rPr>
      </w:pPr>
      <w:r>
        <w:rPr>
          <w:rFonts w:ascii="仿宋_GB2312" w:eastAsia="仿宋_GB2312" w:cs="仿宋_GB2312" w:hint="eastAsia"/>
          <w:kern w:val="2"/>
          <w:sz w:val="32"/>
          <w:szCs w:val="32"/>
          <w:lang w:val="en-US" w:eastAsia="zh-CN"/>
        </w:rPr>
        <w:t>二是制度执行力度有待加强。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eastAsia="楷体_GB2312" w:cs="Times New Roman" w:hint="eastAsia"/>
          <w:b/>
          <w:sz w:val="32"/>
          <w:szCs w:val="32"/>
          <w:lang w:val="zh-CN"/>
        </w:rPr>
      </w:pPr>
      <w:r>
        <w:rPr>
          <w:rFonts w:ascii="楷体_GB2312" w:eastAsia="楷体_GB2312" w:cs="Times New Roman" w:hint="eastAsia"/>
          <w:b/>
          <w:sz w:val="32"/>
          <w:szCs w:val="32"/>
          <w:lang w:val="zh-CN"/>
        </w:rPr>
        <w:t>（</w:t>
      </w:r>
      <w:r>
        <w:rPr>
          <w:rFonts w:ascii="楷体_GB2312" w:eastAsia="楷体_GB2312" w:cs="Times New Roman" w:hint="eastAsia"/>
          <w:b/>
          <w:sz w:val="32"/>
          <w:szCs w:val="32"/>
          <w:lang w:val="en-US" w:eastAsia="zh-CN"/>
        </w:rPr>
        <w:t>三</w:t>
      </w:r>
      <w:r>
        <w:rPr>
          <w:rFonts w:ascii="楷体_GB2312" w:eastAsia="楷体_GB2312" w:cs="Times New Roman" w:hint="eastAsia"/>
          <w:b/>
          <w:sz w:val="32"/>
          <w:szCs w:val="32"/>
          <w:lang w:val="zh-CN"/>
        </w:rPr>
        <w:t>）相关建议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Chars="200" w:firstLine="640"/>
        <w:jc w:val="both"/>
        <w:textAlignment w:val="auto"/>
        <w:rPr>
          <w:rFonts w:ascii="仿宋_GB2312" w:eastAsia="仿宋_GB2312" w:cs="仿宋_GB2312" w:hint="eastAsia"/>
          <w:sz w:val="32"/>
          <w:szCs w:val="32"/>
          <w:lang w:val="en-US"/>
        </w:rPr>
      </w:pPr>
      <w:r>
        <w:rPr>
          <w:rFonts w:ascii="仿宋_GB2312" w:eastAsia="仿宋_GB2312" w:cs="Times New Roman" w:hint="eastAsia"/>
          <w:sz w:val="32"/>
          <w:szCs w:val="32"/>
          <w:lang w:val="en-US" w:eastAsia="zh-CN"/>
        </w:rPr>
        <w:t>一是按照预算规定的项目和用途严格财务审核，经费支出严格</w:t>
      </w:r>
      <w:r>
        <w:rPr>
          <w:rFonts w:ascii="仿宋_GB2312" w:eastAsia="仿宋_GB2312" w:cs="仿宋_GB2312" w:hint="eastAsia"/>
          <w:kern w:val="2"/>
          <w:sz w:val="32"/>
          <w:szCs w:val="32"/>
          <w:lang w:val="en-US" w:eastAsia="zh-CN"/>
        </w:rPr>
        <w:t>按预算规定项目的财务支出内容进行财务核算，在预算金额内严格控制费用的支出。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76" w:lineRule="exact"/>
        <w:ind w:left="0" w:right="0" w:firstLineChars="200" w:firstLine="640"/>
        <w:jc w:val="both"/>
        <w:textAlignment w:val="auto"/>
        <w:rPr>
          <w:rFonts w:ascii="仿宋_GB2312" w:eastAsia="仿宋_GB2312" w:cs="仿宋_GB2312" w:hint="eastAsia"/>
          <w:kern w:val="2"/>
          <w:sz w:val="32"/>
          <w:szCs w:val="32"/>
          <w:lang w:val="en-US" w:eastAsia="zh-CN"/>
        </w:rPr>
      </w:pPr>
      <w:r>
        <w:rPr>
          <w:rFonts w:ascii="仿宋_GB2312" w:eastAsia="仿宋_GB2312" w:cs="仿宋_GB2312" w:hint="eastAsia"/>
          <w:kern w:val="2"/>
          <w:sz w:val="32"/>
          <w:szCs w:val="32"/>
          <w:lang w:val="en-US" w:eastAsia="zh-CN"/>
        </w:rPr>
        <w:t>二是预算财务分析常态化，定期做好预算支出财务分析，做好部门整体支出预算评价工作，完善各项制度，提升执行力。</w:t>
      </w:r>
    </w:p>
    <w:p>
      <w:pPr>
        <w:rPr>
          <w:rStyle w:val="1Char"/>
          <w:rFonts w:ascii="黑体" w:eastAsia="黑体" w:hint="eastAsia"/>
          <w:b w:val="0"/>
        </w:rPr>
      </w:pPr>
      <w:r>
        <w:rPr>
          <w:rFonts w:ascii="Times New Roman" w:eastAsia="仿宋_GB2312" w:cs="Times New Roman" w:hAnsi="Times New Roman" w:hint="eastAsia"/>
          <w:sz w:val="32"/>
          <w:lang w:val="en-US" w:eastAsia="zh-CN"/>
        </w:rPr>
        <w:t xml:space="preserve">               </w:t>
      </w:r>
      <w:bookmarkStart w:id="206" w:name="_Toc15396618"/>
      <w:bookmarkStart w:id="207" w:name="_Toc8505"/>
      <w:bookmarkStart w:id="208" w:name="_Toc79163635"/>
      <w:bookmarkStart w:id="209" w:name="_Toc12241"/>
      <w:r>
        <w:rPr>
          <w:rStyle w:val="1Char"/>
          <w:rFonts w:ascii="黑体" w:eastAsia="黑体" w:hint="eastAsia"/>
          <w:b w:val="0"/>
          <w:lang w:eastAsia="zh-CN"/>
        </w:rPr>
        <w:t>第五部分</w:t>
      </w:r>
      <w:r>
        <w:rPr>
          <w:rStyle w:val="1Char"/>
          <w:rFonts w:ascii="黑体" w:eastAsia="黑体" w:hint="eastAsia"/>
          <w:b w:val="0"/>
          <w:lang w:val="en-US" w:eastAsia="zh-CN"/>
        </w:rPr>
        <w:t xml:space="preserve"> </w:t>
      </w:r>
      <w:r>
        <w:rPr>
          <w:rStyle w:val="1Char"/>
          <w:rFonts w:ascii="黑体" w:eastAsia="黑体" w:hint="eastAsia"/>
          <w:b w:val="0"/>
        </w:rPr>
        <w:t>附表</w:t>
      </w:r>
      <w:bookmarkEnd w:id="206"/>
      <w:bookmarkEnd w:id="207"/>
      <w:bookmarkEnd w:id="208"/>
      <w:bookmarkEnd w:id="209"/>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Style w:val="2Char"/>
          <w:rFonts w:ascii="仿宋" w:eastAsia="仿宋" w:cs="Times New Roman" w:hint="eastAsia"/>
          <w:b w:val="0"/>
          <w:bCs w:val="0"/>
        </w:rPr>
      </w:pPr>
      <w:bookmarkStart w:id="210" w:name="_Toc25118"/>
      <w:r>
        <w:rPr>
          <w:rStyle w:val="2Char"/>
          <w:rFonts w:ascii="仿宋" w:eastAsia="仿宋" w:cs="Times New Roman" w:hint="eastAsia"/>
          <w:b w:val="0"/>
          <w:bCs w:val="0"/>
        </w:rPr>
        <w:t>一、收入支出决算总表</w:t>
      </w:r>
      <w:bookmarkEnd w:id="210"/>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Style w:val="2Char"/>
          <w:rFonts w:ascii="仿宋" w:eastAsia="仿宋" w:cs="Times New Roman" w:hint="eastAsia"/>
          <w:b w:val="0"/>
          <w:bCs w:val="0"/>
        </w:rPr>
      </w:pPr>
      <w:bookmarkStart w:id="211" w:name="_Toc16353"/>
      <w:bookmarkStart w:id="212" w:name="_Toc79163637"/>
      <w:bookmarkStart w:id="213" w:name="_Toc28196"/>
      <w:bookmarkStart w:id="214" w:name="_Toc15396620"/>
      <w:r>
        <w:rPr>
          <w:rStyle w:val="2Char"/>
          <w:rFonts w:ascii="仿宋" w:eastAsia="仿宋" w:cs="Times New Roman" w:hint="eastAsia"/>
          <w:b w:val="0"/>
          <w:bCs w:val="0"/>
        </w:rPr>
        <w:t>二、收入决算表</w:t>
      </w:r>
      <w:bookmarkEnd w:id="211"/>
      <w:bookmarkEnd w:id="212"/>
      <w:bookmarkEnd w:id="213"/>
      <w:bookmarkEnd w:id="214"/>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Fonts w:ascii="仿宋" w:eastAsia="仿宋"/>
          <w:color w:val="000000"/>
        </w:rPr>
      </w:pPr>
      <w:bookmarkStart w:id="215" w:name="_Toc24584"/>
      <w:bookmarkStart w:id="216" w:name="_Toc79163638"/>
      <w:bookmarkStart w:id="217" w:name="_Toc27871"/>
      <w:bookmarkStart w:id="218" w:name="_Toc15396621"/>
      <w:r>
        <w:rPr>
          <w:rStyle w:val="2Char"/>
          <w:rFonts w:ascii="仿宋" w:eastAsia="仿宋" w:hint="eastAsia"/>
          <w:b w:val="0"/>
          <w:bCs w:val="0"/>
        </w:rPr>
        <w:t>三、</w:t>
      </w:r>
      <w:r>
        <w:rPr>
          <w:rFonts w:ascii="仿宋" w:eastAsia="仿宋" w:hint="eastAsia"/>
          <w:b w:val="0"/>
          <w:color w:val="000000"/>
        </w:rPr>
        <w:t>支</w:t>
      </w:r>
      <w:r>
        <w:rPr>
          <w:rStyle w:val="2Char"/>
          <w:rFonts w:ascii="仿宋" w:eastAsia="仿宋" w:hint="eastAsia"/>
          <w:b w:val="0"/>
          <w:bCs w:val="0"/>
        </w:rPr>
        <w:t>出决算表</w:t>
      </w:r>
      <w:bookmarkEnd w:id="215"/>
      <w:bookmarkEnd w:id="216"/>
      <w:bookmarkEnd w:id="217"/>
      <w:bookmarkEnd w:id="218"/>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Fonts w:ascii="仿宋" w:eastAsia="仿宋"/>
          <w:b w:val="0"/>
          <w:color w:val="000000"/>
        </w:rPr>
      </w:pPr>
      <w:bookmarkStart w:id="219" w:name="_Toc79163639"/>
      <w:bookmarkStart w:id="220" w:name="_Toc19691"/>
      <w:bookmarkStart w:id="221" w:name="_Toc15396622"/>
      <w:bookmarkStart w:id="222" w:name="_Toc7036"/>
      <w:r>
        <w:rPr>
          <w:rStyle w:val="2Char"/>
          <w:rFonts w:ascii="仿宋" w:eastAsia="仿宋" w:hint="eastAsia"/>
          <w:b w:val="0"/>
          <w:bCs w:val="0"/>
        </w:rPr>
        <w:t>四、</w:t>
      </w:r>
      <w:r>
        <w:rPr>
          <w:rFonts w:ascii="仿宋" w:eastAsia="仿宋" w:hint="eastAsia"/>
          <w:b w:val="0"/>
          <w:color w:val="000000"/>
        </w:rPr>
        <w:t>财</w:t>
      </w:r>
      <w:r>
        <w:rPr>
          <w:rStyle w:val="2Char"/>
          <w:rFonts w:ascii="仿宋" w:eastAsia="仿宋" w:hint="eastAsia"/>
          <w:b w:val="0"/>
          <w:bCs w:val="0"/>
        </w:rPr>
        <w:t>政拨款收入支出决算总表</w:t>
      </w:r>
      <w:bookmarkEnd w:id="219"/>
      <w:bookmarkEnd w:id="220"/>
      <w:bookmarkEnd w:id="221"/>
      <w:bookmarkEnd w:id="222"/>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Style w:val="2Char"/>
          <w:rFonts w:ascii="仿宋" w:eastAsia="仿宋"/>
          <w:b w:val="0"/>
          <w:bCs w:val="0"/>
        </w:rPr>
      </w:pPr>
      <w:bookmarkStart w:id="223" w:name="_Toc21611"/>
      <w:bookmarkStart w:id="224" w:name="_Toc15396623"/>
      <w:bookmarkStart w:id="225" w:name="_Toc5545"/>
      <w:bookmarkStart w:id="226" w:name="_Toc79163640"/>
      <w:r>
        <w:rPr>
          <w:rStyle w:val="2Char"/>
          <w:rFonts w:ascii="仿宋" w:eastAsia="仿宋" w:hint="eastAsia"/>
          <w:b w:val="0"/>
          <w:bCs w:val="0"/>
        </w:rPr>
        <w:t>五、</w:t>
      </w:r>
      <w:r>
        <w:rPr>
          <w:rFonts w:ascii="仿宋" w:eastAsia="仿宋" w:hint="eastAsia"/>
          <w:b w:val="0"/>
          <w:color w:val="000000"/>
        </w:rPr>
        <w:t>财</w:t>
      </w:r>
      <w:r>
        <w:rPr>
          <w:rStyle w:val="2Char"/>
          <w:rFonts w:ascii="仿宋" w:eastAsia="仿宋" w:hint="eastAsia"/>
          <w:b w:val="0"/>
          <w:bCs w:val="0"/>
        </w:rPr>
        <w:t>政拨款支出决算明细表</w:t>
      </w:r>
      <w:bookmarkStart w:id="227" w:name="_Toc15396624"/>
      <w:bookmarkEnd w:id="223"/>
      <w:bookmarkEnd w:id="224"/>
      <w:bookmarkEnd w:id="225"/>
      <w:bookmarkEnd w:id="226"/>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Fonts w:ascii="仿宋" w:eastAsia="仿宋"/>
          <w:color w:val="000000"/>
        </w:rPr>
      </w:pPr>
      <w:bookmarkStart w:id="228" w:name="_Toc79163641"/>
      <w:bookmarkStart w:id="229" w:name="_Toc16841"/>
      <w:bookmarkStart w:id="230" w:name="_Toc28897"/>
      <w:r>
        <w:rPr>
          <w:rStyle w:val="2Char"/>
          <w:rFonts w:ascii="仿宋" w:eastAsia="仿宋" w:hint="eastAsia"/>
          <w:b w:val="0"/>
          <w:bCs w:val="0"/>
        </w:rPr>
        <w:t>六、</w:t>
      </w:r>
      <w:r>
        <w:rPr>
          <w:rFonts w:ascii="仿宋" w:eastAsia="仿宋" w:hint="eastAsia"/>
          <w:b w:val="0"/>
          <w:color w:val="000000"/>
        </w:rPr>
        <w:t>一</w:t>
      </w:r>
      <w:r>
        <w:rPr>
          <w:rStyle w:val="2Char"/>
          <w:rFonts w:ascii="仿宋" w:eastAsia="仿宋" w:hint="eastAsia"/>
          <w:b w:val="0"/>
          <w:bCs w:val="0"/>
        </w:rPr>
        <w:t>般公共预算财政拨款支出决算表</w:t>
      </w:r>
      <w:bookmarkEnd w:id="227"/>
      <w:bookmarkEnd w:id="228"/>
      <w:bookmarkEnd w:id="229"/>
      <w:bookmarkEnd w:id="230"/>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Fonts w:ascii="仿宋" w:eastAsia="仿宋"/>
          <w:color w:val="000000"/>
        </w:rPr>
      </w:pPr>
      <w:bookmarkStart w:id="231" w:name="_Toc15396625"/>
      <w:bookmarkStart w:id="232" w:name="_Toc79163642"/>
      <w:bookmarkStart w:id="233" w:name="_Toc10087"/>
      <w:bookmarkStart w:id="234" w:name="_Toc27213"/>
      <w:r>
        <w:rPr>
          <w:rStyle w:val="2Char"/>
          <w:rFonts w:ascii="仿宋" w:eastAsia="仿宋" w:hint="eastAsia"/>
          <w:b w:val="0"/>
          <w:bCs w:val="0"/>
        </w:rPr>
        <w:t>七、</w:t>
      </w:r>
      <w:r>
        <w:rPr>
          <w:rFonts w:ascii="仿宋" w:eastAsia="仿宋" w:hint="eastAsia"/>
          <w:b w:val="0"/>
          <w:color w:val="000000"/>
        </w:rPr>
        <w:t>一</w:t>
      </w:r>
      <w:r>
        <w:rPr>
          <w:rStyle w:val="2Char"/>
          <w:rFonts w:ascii="仿宋" w:eastAsia="仿宋" w:hint="eastAsia"/>
          <w:b w:val="0"/>
          <w:bCs w:val="0"/>
        </w:rPr>
        <w:t>般公共预算财政拨款支出决算明细表</w:t>
      </w:r>
      <w:bookmarkEnd w:id="231"/>
      <w:bookmarkEnd w:id="232"/>
      <w:bookmarkEnd w:id="233"/>
      <w:bookmarkEnd w:id="234"/>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Fonts w:ascii="仿宋" w:eastAsia="仿宋"/>
          <w:color w:val="000000"/>
        </w:rPr>
      </w:pPr>
      <w:bookmarkStart w:id="235" w:name="_Toc19134"/>
      <w:bookmarkStart w:id="236" w:name="_Toc6802"/>
      <w:bookmarkStart w:id="237" w:name="_Toc15396626"/>
      <w:bookmarkStart w:id="238" w:name="_Toc79163643"/>
      <w:r>
        <w:rPr>
          <w:rStyle w:val="2Char"/>
          <w:rFonts w:ascii="仿宋" w:eastAsia="仿宋" w:hint="eastAsia"/>
          <w:b w:val="0"/>
          <w:bCs w:val="0"/>
        </w:rPr>
        <w:t>八、</w:t>
      </w:r>
      <w:r>
        <w:rPr>
          <w:rFonts w:ascii="仿宋" w:eastAsia="仿宋" w:hint="eastAsia"/>
          <w:b w:val="0"/>
          <w:color w:val="000000"/>
        </w:rPr>
        <w:t>一</w:t>
      </w:r>
      <w:r>
        <w:rPr>
          <w:rStyle w:val="2Char"/>
          <w:rFonts w:ascii="仿宋" w:eastAsia="仿宋" w:hint="eastAsia"/>
          <w:b w:val="0"/>
          <w:bCs w:val="0"/>
        </w:rPr>
        <w:t>般公共预算财政拨款基本支出决算表</w:t>
      </w:r>
      <w:bookmarkEnd w:id="235"/>
      <w:bookmarkEnd w:id="236"/>
      <w:bookmarkEnd w:id="237"/>
      <w:bookmarkEnd w:id="238"/>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Fonts w:ascii="仿宋" w:eastAsia="仿宋"/>
          <w:color w:val="000000"/>
        </w:rPr>
      </w:pPr>
      <w:bookmarkStart w:id="239" w:name="_Toc28047"/>
      <w:bookmarkStart w:id="240" w:name="_Toc15396627"/>
      <w:bookmarkStart w:id="241" w:name="_Toc22876"/>
      <w:bookmarkStart w:id="242" w:name="_Toc79163644"/>
      <w:r>
        <w:rPr>
          <w:rStyle w:val="2Char"/>
          <w:rFonts w:ascii="仿宋" w:eastAsia="仿宋" w:hint="eastAsia"/>
          <w:b w:val="0"/>
          <w:bCs w:val="0"/>
        </w:rPr>
        <w:t>九、</w:t>
      </w:r>
      <w:r>
        <w:rPr>
          <w:rFonts w:ascii="仿宋" w:eastAsia="仿宋" w:hint="eastAsia"/>
          <w:b w:val="0"/>
          <w:color w:val="000000"/>
        </w:rPr>
        <w:t>一</w:t>
      </w:r>
      <w:r>
        <w:rPr>
          <w:rStyle w:val="2Char"/>
          <w:rFonts w:ascii="仿宋" w:eastAsia="仿宋" w:hint="eastAsia"/>
          <w:b w:val="0"/>
          <w:bCs w:val="0"/>
        </w:rPr>
        <w:t>般公共预算财政拨款项目支出决算表</w:t>
      </w:r>
      <w:bookmarkEnd w:id="239"/>
      <w:bookmarkEnd w:id="240"/>
      <w:bookmarkEnd w:id="241"/>
      <w:bookmarkEnd w:id="242"/>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Fonts w:ascii="仿宋" w:eastAsia="仿宋"/>
          <w:color w:val="000000"/>
        </w:rPr>
      </w:pPr>
      <w:bookmarkStart w:id="243" w:name="_Toc590"/>
      <w:bookmarkStart w:id="244" w:name="_Toc32417"/>
      <w:bookmarkStart w:id="245" w:name="_Toc15396628"/>
      <w:bookmarkStart w:id="246" w:name="_Toc79163645"/>
      <w:r>
        <w:rPr>
          <w:rStyle w:val="2Char"/>
          <w:rFonts w:ascii="仿宋" w:eastAsia="仿宋" w:hint="eastAsia"/>
          <w:b w:val="0"/>
          <w:bCs w:val="0"/>
        </w:rPr>
        <w:t>十、</w:t>
      </w:r>
      <w:r>
        <w:rPr>
          <w:rFonts w:ascii="仿宋" w:eastAsia="仿宋" w:hint="eastAsia"/>
          <w:b w:val="0"/>
          <w:color w:val="000000"/>
        </w:rPr>
        <w:t>一</w:t>
      </w:r>
      <w:r>
        <w:rPr>
          <w:rStyle w:val="2Char"/>
          <w:rFonts w:ascii="仿宋" w:eastAsia="仿宋" w:hint="eastAsia"/>
          <w:b w:val="0"/>
          <w:bCs w:val="0"/>
        </w:rPr>
        <w:t>般公共预算财政拨款“三公”经费支出决算表</w:t>
      </w:r>
      <w:bookmarkEnd w:id="243"/>
      <w:bookmarkEnd w:id="244"/>
      <w:bookmarkEnd w:id="245"/>
      <w:bookmarkEnd w:id="246"/>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Fonts w:ascii="仿宋" w:eastAsia="仿宋"/>
          <w:color w:val="000000"/>
        </w:rPr>
      </w:pPr>
      <w:bookmarkStart w:id="247" w:name="_Toc15396629"/>
      <w:bookmarkStart w:id="248" w:name="_Toc79163646"/>
      <w:bookmarkStart w:id="249" w:name="_Toc14487"/>
      <w:bookmarkStart w:id="250" w:name="_Toc8558"/>
      <w:r>
        <w:rPr>
          <w:rStyle w:val="2Char"/>
          <w:rFonts w:ascii="仿宋" w:eastAsia="仿宋" w:hint="eastAsia"/>
          <w:b w:val="0"/>
          <w:bCs w:val="0"/>
        </w:rPr>
        <w:t>十一、</w:t>
      </w:r>
      <w:r>
        <w:rPr>
          <w:rFonts w:ascii="仿宋" w:eastAsia="仿宋" w:hint="eastAsia"/>
          <w:b w:val="0"/>
          <w:color w:val="000000"/>
        </w:rPr>
        <w:t>政</w:t>
      </w:r>
      <w:r>
        <w:rPr>
          <w:rStyle w:val="2Char"/>
          <w:rFonts w:ascii="仿宋" w:eastAsia="仿宋" w:hint="eastAsia"/>
          <w:b w:val="0"/>
          <w:bCs w:val="0"/>
        </w:rPr>
        <w:t>府性基金预算财政拨款收入支出决算表</w:t>
      </w:r>
      <w:bookmarkEnd w:id="247"/>
      <w:bookmarkEnd w:id="248"/>
      <w:bookmarkEnd w:id="249"/>
      <w:bookmarkEnd w:id="250"/>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Fonts w:ascii="仿宋" w:eastAsia="仿宋"/>
          <w:color w:val="000000"/>
        </w:rPr>
      </w:pPr>
      <w:bookmarkStart w:id="251" w:name="_Toc27940"/>
      <w:bookmarkStart w:id="252" w:name="_Toc15396630"/>
      <w:bookmarkStart w:id="253" w:name="_Toc24920"/>
      <w:bookmarkStart w:id="254" w:name="_Toc79163647"/>
      <w:r>
        <w:rPr>
          <w:rStyle w:val="2Char"/>
          <w:rFonts w:ascii="仿宋" w:eastAsia="仿宋" w:hint="eastAsia"/>
          <w:b w:val="0"/>
          <w:bCs w:val="0"/>
        </w:rPr>
        <w:t>十二、</w:t>
      </w:r>
      <w:r>
        <w:rPr>
          <w:rFonts w:ascii="仿宋" w:eastAsia="仿宋" w:hint="eastAsia"/>
          <w:b w:val="0"/>
          <w:color w:val="000000"/>
        </w:rPr>
        <w:t>政</w:t>
      </w:r>
      <w:r>
        <w:rPr>
          <w:rStyle w:val="2Char"/>
          <w:rFonts w:ascii="仿宋" w:eastAsia="仿宋" w:hint="eastAsia"/>
          <w:b w:val="0"/>
          <w:bCs w:val="0"/>
        </w:rPr>
        <w:t>府性基金预算财政拨款“三公”经费支出决算表</w:t>
      </w:r>
      <w:bookmarkEnd w:id="251"/>
      <w:bookmarkEnd w:id="252"/>
      <w:bookmarkEnd w:id="253"/>
      <w:bookmarkEnd w:id="254"/>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Style w:val="2Char"/>
          <w:rFonts w:ascii="仿宋" w:eastAsia="仿宋"/>
          <w:b w:val="0"/>
          <w:bCs w:val="0"/>
        </w:rPr>
      </w:pPr>
      <w:bookmarkStart w:id="255" w:name="_Toc79163648"/>
      <w:bookmarkStart w:id="256" w:name="_Toc10073"/>
      <w:bookmarkStart w:id="257" w:name="_Toc2867"/>
      <w:bookmarkStart w:id="258" w:name="_Toc15396631"/>
      <w:r>
        <w:rPr>
          <w:rStyle w:val="2Char"/>
          <w:rFonts w:ascii="仿宋" w:eastAsia="仿宋" w:hint="eastAsia"/>
          <w:b w:val="0"/>
          <w:bCs w:val="0"/>
        </w:rPr>
        <w:t>十三、</w:t>
      </w:r>
      <w:r>
        <w:rPr>
          <w:rFonts w:ascii="仿宋" w:eastAsia="仿宋" w:hint="eastAsia"/>
          <w:b w:val="0"/>
          <w:color w:val="000000"/>
        </w:rPr>
        <w:t>国</w:t>
      </w:r>
      <w:r>
        <w:rPr>
          <w:rStyle w:val="2Char"/>
          <w:rFonts w:ascii="仿宋" w:eastAsia="仿宋" w:hint="eastAsia"/>
          <w:b w:val="0"/>
          <w:bCs w:val="0"/>
        </w:rPr>
        <w:t>有资本经营预算财政拨款支出决算表</w:t>
      </w:r>
      <w:bookmarkEnd w:id="255"/>
      <w:bookmarkEnd w:id="256"/>
      <w:bookmarkEnd w:id="257"/>
      <w:bookmarkEnd w:id="258"/>
    </w:p>
    <w:p>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Style w:val="2Char"/>
          <w:rFonts w:ascii="仿宋" w:eastAsia="仿宋"/>
          <w:b w:val="0"/>
          <w:bCs w:val="0"/>
        </w:rPr>
      </w:pPr>
      <w:bookmarkStart w:id="259" w:name="_Toc79163649"/>
      <w:bookmarkStart w:id="260" w:name="_Toc30752"/>
      <w:bookmarkStart w:id="261" w:name="_Toc2036"/>
      <w:r>
        <w:rPr>
          <w:rStyle w:val="2Char"/>
          <w:rFonts w:ascii="仿宋" w:eastAsia="仿宋" w:hint="eastAsia"/>
          <w:b w:val="0"/>
          <w:bCs w:val="0"/>
        </w:rPr>
        <w:t>十四、国有资本经营预算财政拨款支出决算表</w:t>
      </w:r>
      <w:bookmarkEnd w:id="259"/>
      <w:bookmarkEnd w:id="260"/>
      <w:bookmarkEnd w:id="261"/>
    </w:p>
    <w:p>
      <w:pPr>
        <w:widowControl/>
        <w:jc w:val="left"/>
        <w:rPr>
          <w:rStyle w:val="1Char"/>
          <w:rFonts w:ascii="黑体" w:eastAsia="黑体"/>
          <w:b w:val="0"/>
        </w:rPr>
      </w:pPr>
      <w:bookmarkEnd w:id="133"/>
    </w:p>
    <w:sectPr>
      <w:footerReference w:type="default" r:id="rId3"/>
      <w:footerReference w:type="first" r:id="rId4"/>
      <w:pgSz w:w="11906" w:h="16838"/>
      <w:pgMar w:top="1440" w:right="1800" w:bottom="1440" w:left="180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0010101010101"/>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7A"/>
    <w:family w:val="auto"/>
    <w:pitch w:val="variable"/>
    <w:sig w:usb0="E0000AFF" w:usb1="00007843" w:usb2="00000001" w:usb3="00000000" w:csb0="400001BF" w:csb1="DFF7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等线">
    <w:altName w:val="宋体"/>
    <w:panose1 w:val="02010600030101010101"/>
    <w:charset w:val="86"/>
    <w:family w:val="auto"/>
    <w:pitch w:val="variable"/>
    <w:sig w:usb0="00000000" w:usb1="00000000" w:usb2="00000016" w:usb3="00000000" w:csb0="0004000F" w:csb1="00000000"/>
  </w:font>
  <w:font w:name="楷体_GB2312">
    <w:panose1 w:val="02010609030101010101"/>
    <w:charset w:val="86"/>
    <w:family w:val="modern"/>
    <w:pitch w:val="variable"/>
    <w:sig w:usb0="00000001" w:usb1="080E0000" w:usb2="00000000" w:usb3="00000000" w:csb0="00040000" w:csb1="00000000"/>
  </w:font>
  <w:font w:name="Cambria">
    <w:altName w:val="DejaVu Sans"/>
    <w:panose1 w:val="02040503050406030204"/>
    <w:charset w:val="00"/>
    <w:family w:val="roman"/>
    <w:pitch w:val="variable"/>
    <w:sig w:usb0="E00002FF" w:usb1="400004FF" w:usb2="00000000" w:usb3="00000000" w:csb0="2000019F" w:csb1="00000000"/>
  </w:font>
  <w:font w:name="Arial">
    <w:altName w:val="DejaVu Sans"/>
    <w:panose1 w:val="020B0604020202020204"/>
    <w:charset w:val="01"/>
    <w:family w:val="swiss"/>
    <w:pitch w:val="variable"/>
    <w:sig w:usb0="E0002AFF" w:usb1="C0007843" w:usb2="00000009" w:usb3="00000000" w:csb0="400001FF" w:csb1="FFFF0000"/>
  </w:font>
  <w:font w:name="Calibri">
    <w:altName w:val="Times New Roman"/>
    <w:panose1 w:val="020F0502020204030204"/>
    <w:charset w:val="00"/>
    <w:family w:val="swiss"/>
    <w:pitch w:val="variable"/>
    <w:sig w:usb0="E00002FF" w:usb1="4000ACFF" w:usb2="00000001" w:usb3="00000000" w:csb0="2000019F" w:csb1="00000000"/>
  </w:font>
  <w:font w:name="等线 Light">
    <w:altName w:val="宋体"/>
    <w:panose1 w:val="02010600030101010101"/>
    <w:charset w:val="86"/>
    <w:family w:val="auto"/>
    <w:pitch w:val="variable"/>
    <w:sig w:usb0="00000000" w:usb1="00000000" w:usb2="00000016" w:usb3="00000000" w:csb0="0004000F" w:csb1="00000000"/>
  </w:font>
  <w:font w:name="Arial Unicode MS">
    <w:altName w:val="宋体"/>
    <w:panose1 w:val="020B0604020202020204"/>
    <w:charset w:val="86"/>
    <w:family w:val="auto"/>
    <w:pitch w:val="variable"/>
    <w:sig w:usb0="00000000" w:usb1="00000000" w:usb2="0000003F" w:usb3="00000000" w:csb0="603F01FF" w:csb1="FFFF0000"/>
  </w:font>
  <w:font w:name="??">
    <w:altName w:val="Times New Roman"/>
    <w:panose1 w:val="00000000000000000000"/>
    <w:charset w:val="00"/>
    <w:family w:val="roman"/>
    <w:pitch w:val="variable"/>
    <w:sig w:usb0="00000000" w:usb1="0000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jc w:val="center"/>
    </w:pPr>
    <w:r>
      <w:fldChar w:fldCharType="begin"/>
    </w:r>
    <w:r>
      <w:instrText>PAGE   \* MERGEFORMAT</w:instrText>
    </w:r>
    <w:r>
      <w:fldChar w:fldCharType="separate"/>
    </w:r>
    <w:r>
      <w:rPr>
        <w:lang w:val="zh-CN"/>
      </w:rPr>
      <w:t>3</w:t>
    </w:r>
    <w:r>
      <w:fldChar w:fldCharType="end"/>
    </w:r>
  </w:p>
  <w:p>
    <w:pPr>
      <w:pStyle w:val="23"/>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4"/>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272550B"/>
    <w:multiLevelType w:val="multilevel"/>
    <w:tmpl w:val="1272550B"/>
    <w:lvl w:ilvl="0">
      <w:start w:val="1"/>
      <w:numFmt w:val="japaneseCounting"/>
      <w:lvlRestart w:val="0"/>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nsid w:val="CF652CEC"/>
    <w:multiLevelType w:val="singleLevel"/>
    <w:tmpl w:val="CF652CEC"/>
    <w:lvl w:ilvl="0">
      <w:start w:val="9"/>
      <w:numFmt w:val="chineseCounting"/>
      <w:lvlRestart w:val="0"/>
      <w:suff w:val="nothing"/>
      <w:lvlText w:val="%1、"/>
      <w:lvlJc w:val="left"/>
      <w:pPr>
        <w:ind w:left="0" w:hanging="0"/>
      </w:pPr>
      <w:rPr>
        <w:rFonts w:cs="Times New Roman" w:hint="eastAsia"/>
      </w:rPr>
    </w:lvl>
  </w:abstractNum>
  <w:abstractNum w:abstractNumId="2">
    <w:nsid w:val="E2FA047D"/>
    <w:multiLevelType w:val="singleLevel"/>
    <w:tmpl w:val="E2FA047D"/>
    <w:lvl w:ilvl="0">
      <w:start w:val="3"/>
      <w:numFmt w:val="chineseCounting"/>
      <w:lvlRestart w:val="0"/>
      <w:suff w:val="space"/>
      <w:lvlText w:val="第%1部分"/>
      <w:lvlJc w:val="left"/>
      <w:pPr>
        <w:ind w:left="0" w:hanging="0"/>
      </w:pPr>
      <w:rPr>
        <w:rFonts w:cs="Times New Roman" w:hint="eastAsia"/>
      </w:rPr>
    </w:lvl>
  </w:abstractNum>
  <w:abstractNum w:abstractNumId="3">
    <w:nsid w:val="9CC24C60"/>
    <w:multiLevelType w:val="singleLevel"/>
    <w:tmpl w:val="9CC24C60"/>
    <w:lvl w:ilvl="0">
      <w:start w:val="1"/>
      <w:numFmt w:val="chineseCounting"/>
      <w:lvlRestart w:val="0"/>
      <w:suff w:val="nothing"/>
      <w:lvlText w:val="%1、"/>
      <w:lvlJc w:val="left"/>
      <w:pPr>
        <w:ind w:left="0" w:hanging="0"/>
      </w:pPr>
      <w:rPr>
        <w:rFonts w:hint="eastAsia"/>
      </w:rPr>
    </w:lvl>
  </w:abstractNum>
  <w:abstractNum w:abstractNumId="4">
    <w:nsid w:val="27BE6324"/>
    <w:multiLevelType w:val="singleLevel"/>
    <w:tmpl w:val="27BE6324"/>
    <w:lvl w:ilvl="0">
      <w:start w:val="2"/>
      <w:numFmt w:val="chineseCounting"/>
      <w:lvlRestart w:val="0"/>
      <w:suff w:val="nothing"/>
      <w:lvlText w:val="（%1）"/>
      <w:lvlJc w:val="left"/>
      <w:pPr>
        <w:ind w:left="0" w:hanging="0"/>
      </w:pPr>
      <w:rPr>
        <w:rFonts w:hint="eastAsia"/>
      </w:rPr>
    </w:lvl>
  </w:abstractNum>
  <w:abstractNum w:abstractNumId="5">
    <w:nsid w:val="589BE1E3"/>
    <w:multiLevelType w:val="singleLevel"/>
    <w:tmpl w:val="589BE1E3"/>
    <w:lvl w:ilvl="0">
      <w:start w:val="1"/>
      <w:numFmt w:val="chineseCounting"/>
      <w:lvlRestart w:val="0"/>
      <w:suff w:val="nothing"/>
      <w:lvlText w:val="%1、"/>
      <w:lvlJc w:val="left"/>
      <w:pPr>
        <w:ind w:left="0" w:hanging="0"/>
      </w:pPr>
      <w:rPr>
        <w:rFonts w:hint="eastAsia"/>
      </w:rPr>
    </w:lvl>
  </w:abstractNum>
  <w:abstractNum w:abstractNumId="6">
    <w:nsid w:val="7CF291EF"/>
    <w:multiLevelType w:val="singleLevel"/>
    <w:tmpl w:val="7CF291EF"/>
    <w:lvl w:ilvl="0">
      <w:start w:val="2"/>
      <w:numFmt w:val="decimal"/>
      <w:lvlRestart w:val="0"/>
      <w:suff w:val="nothing"/>
      <w:lvlText w:val="%1、"/>
      <w:lvlJc w:val="left"/>
      <w:pPr>
        <w:ind w:left="0" w:hanging="0"/>
      </w:pPr>
    </w:lvl>
  </w:abstractNum>
  <w:abstractNum w:abstractNumId="7">
    <w:nsid w:val="00DD3D8C"/>
    <w:multiLevelType w:val="singleLevel"/>
    <w:tmpl w:val="00DD3D8C"/>
    <w:lvl w:ilvl="0">
      <w:start w:val="5"/>
      <w:numFmt w:val="chineseCounting"/>
      <w:lvlRestart w:val="0"/>
      <w:suff w:val="nothing"/>
      <w:lvlText w:val="%1、"/>
      <w:lvlJc w:val="left"/>
      <w:pPr>
        <w:ind w:left="0" w:hanging="0"/>
      </w:pPr>
      <w:rPr>
        <w:rFonts w:hint="eastAsia"/>
      </w:rPr>
    </w:lvl>
  </w:abstractNum>
  <w:abstractNum w:abstractNumId="8">
    <w:nsid w:val="41FE0403"/>
    <w:multiLevelType w:val="singleLevel"/>
    <w:tmpl w:val="41FE0403"/>
    <w:lvl w:ilvl="0">
      <w:start w:val="1"/>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2"/>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character" w:default="1" w:styleId="10">
    <w:name w:val="Default Paragraph Font"/>
  </w:style>
  <w:style w:type="paragraph" w:customStyle="1" w:styleId="15">
    <w:name w:val="列出段落1"/>
    <w:basedOn w:val="0"/>
    <w:pPr>
      <w:ind w:firstLineChars="200" w:firstLine="200"/>
    </w:pPr>
    <w:rPr>
      <w:rFonts w:ascii="Calibri" w:eastAsia="宋体" w:cs="Times New Roman" w:hAnsi="Calibri"/>
    </w:rPr>
  </w:style>
  <w:style w:type="paragraph" w:styleId="16">
    <w:name w:val="toc 7"/>
    <w:basedOn w:val="0"/>
    <w:next w:val="0"/>
    <w:pPr>
      <w:ind w:left="1260"/>
      <w:jc w:val="left"/>
    </w:pPr>
    <w:rPr>
      <w:rFonts w:ascii="等线" w:eastAsia="等线"/>
      <w:sz w:val="18"/>
      <w:szCs w:val="18"/>
    </w:rPr>
  </w:style>
  <w:style w:type="paragraph" w:styleId="17">
    <w:name w:val="Body Text"/>
    <w:basedOn w:val="0"/>
    <w:pPr>
      <w:spacing w:beforeLines="30" w:before="30"/>
    </w:pPr>
    <w:rPr>
      <w:rFonts w:ascii="仿宋_GB2312" w:eastAsia="仿宋_GB2312"/>
      <w:kern w:val="0"/>
      <w:sz w:val="24"/>
      <w:szCs w:val="20"/>
      <w:lang w:val="zh-CN" w:eastAsia="zh-CN"/>
    </w:rPr>
  </w:style>
  <w:style w:type="paragraph" w:styleId="18">
    <w:name w:val="Body Text Indent"/>
    <w:basedOn w:val="0"/>
    <w:pPr>
      <w:spacing w:after="120"/>
      <w:ind w:leftChars="200" w:left="200"/>
    </w:pPr>
  </w:style>
  <w:style w:type="paragraph" w:styleId="19">
    <w:name w:val="toc 5"/>
    <w:basedOn w:val="0"/>
    <w:next w:val="0"/>
    <w:pPr>
      <w:ind w:left="840"/>
      <w:jc w:val="left"/>
    </w:pPr>
    <w:rPr>
      <w:rFonts w:ascii="等线" w:eastAsia="等线"/>
      <w:sz w:val="18"/>
      <w:szCs w:val="18"/>
    </w:rPr>
  </w:style>
  <w:style w:type="paragraph" w:styleId="20">
    <w:name w:val="toc 3"/>
    <w:basedOn w:val="0"/>
    <w:next w:val="0"/>
    <w:pPr>
      <w:ind w:left="420"/>
      <w:jc w:val="left"/>
    </w:pPr>
    <w:rPr>
      <w:rFonts w:ascii="等线" w:eastAsia="等线"/>
      <w:i/>
      <w:iCs/>
      <w:sz w:val="20"/>
      <w:szCs w:val="20"/>
    </w:rPr>
  </w:style>
  <w:style w:type="paragraph" w:styleId="21">
    <w:name w:val="toc 8"/>
    <w:basedOn w:val="0"/>
    <w:next w:val="0"/>
    <w:pPr>
      <w:ind w:left="1470"/>
      <w:jc w:val="left"/>
    </w:pPr>
    <w:rPr>
      <w:rFonts w:ascii="等线" w:eastAsia="等线"/>
      <w:sz w:val="18"/>
      <w:szCs w:val="18"/>
    </w:rPr>
  </w:style>
  <w:style w:type="paragraph" w:styleId="22">
    <w:name w:val="Balloon Text"/>
    <w:basedOn w:val="0"/>
    <w:rPr>
      <w:sz w:val="18"/>
      <w:szCs w:val="18"/>
    </w:rPr>
  </w:style>
  <w:style w:type="paragraph" w:styleId="23">
    <w:name w:val="footer"/>
    <w:basedOn w:val="0"/>
    <w:pPr>
      <w:tabs>
        <w:tab w:val="center" w:pos="4153"/>
        <w:tab w:val="right" w:pos="8306"/>
      </w:tabs>
      <w:snapToGrid w:val="0"/>
      <w:jc w:val="left"/>
    </w:pPr>
    <w:rPr>
      <w:rFonts w:ascii="Calibri" w:hAnsi="Calibri"/>
      <w:kern w:val="0"/>
      <w:sz w:val="18"/>
      <w:szCs w:val="20"/>
      <w:lang w:val="zh-CN" w:eastAsia="zh-CN"/>
    </w:rPr>
  </w:style>
  <w:style w:type="paragraph" w:styleId="24">
    <w:name w:val="header"/>
    <w:basedOn w:val="0"/>
    <w:pPr>
      <w:pBdr>
        <w:bottom w:val="single" w:sz="6" w:space="1" w:color="auto"/>
      </w:pBdr>
      <w:tabs>
        <w:tab w:val="center" w:pos="4153"/>
        <w:tab w:val="right" w:pos="8306"/>
      </w:tabs>
      <w:snapToGrid w:val="0"/>
      <w:jc w:val="center"/>
    </w:pPr>
    <w:rPr>
      <w:rFonts w:ascii="Calibri" w:hAnsi="Calibri"/>
      <w:kern w:val="0"/>
      <w:sz w:val="18"/>
      <w:szCs w:val="20"/>
      <w:lang w:val="zh-CN" w:eastAsia="zh-CN"/>
    </w:rPr>
  </w:style>
  <w:style w:type="paragraph" w:styleId="25">
    <w:name w:val="toc 1"/>
    <w:basedOn w:val="0"/>
    <w:next w:val="0"/>
    <w:pPr>
      <w:spacing w:before="120" w:after="120"/>
      <w:jc w:val="left"/>
    </w:pPr>
    <w:rPr>
      <w:rFonts w:ascii="等线" w:eastAsia="等线"/>
      <w:b/>
      <w:bCs/>
      <w:caps/>
      <w:smallCaps w:val="0"/>
      <w:sz w:val="20"/>
      <w:szCs w:val="20"/>
    </w:rPr>
  </w:style>
  <w:style w:type="paragraph" w:styleId="26">
    <w:name w:val="toc 4"/>
    <w:basedOn w:val="0"/>
    <w:next w:val="0"/>
    <w:pPr>
      <w:ind w:left="630"/>
      <w:jc w:val="left"/>
    </w:pPr>
    <w:rPr>
      <w:rFonts w:ascii="等线" w:eastAsia="等线"/>
      <w:sz w:val="18"/>
      <w:szCs w:val="18"/>
    </w:rPr>
  </w:style>
  <w:style w:type="paragraph" w:styleId="27">
    <w:name w:val="toc 6"/>
    <w:basedOn w:val="0"/>
    <w:next w:val="0"/>
    <w:pPr>
      <w:ind w:left="1050"/>
      <w:jc w:val="left"/>
    </w:pPr>
    <w:rPr>
      <w:rFonts w:ascii="等线" w:eastAsia="等线"/>
      <w:sz w:val="18"/>
      <w:szCs w:val="18"/>
    </w:rPr>
  </w:style>
  <w:style w:type="paragraph" w:styleId="28">
    <w:name w:val="toc 2"/>
    <w:basedOn w:val="0"/>
    <w:next w:val="0"/>
    <w:pPr>
      <w:ind w:left="210"/>
      <w:jc w:val="left"/>
    </w:pPr>
    <w:rPr>
      <w:rFonts w:ascii="等线" w:eastAsia="等线"/>
      <w:caps w:val="0"/>
      <w:smallCaps/>
      <w:sz w:val="20"/>
      <w:szCs w:val="20"/>
    </w:rPr>
  </w:style>
  <w:style w:type="paragraph" w:styleId="29">
    <w:name w:val="toc 9"/>
    <w:basedOn w:val="0"/>
    <w:next w:val="0"/>
    <w:pPr>
      <w:ind w:left="1680"/>
      <w:jc w:val="left"/>
    </w:pPr>
    <w:rPr>
      <w:rFonts w:ascii="等线" w:eastAsia="等线"/>
      <w:sz w:val="18"/>
      <w:szCs w:val="18"/>
    </w:rPr>
  </w:style>
  <w:style w:type="paragraph" w:styleId="30">
    <w:name w:val="Body Text First Indent 2"/>
    <w:basedOn w:val="18"/>
    <w:pPr>
      <w:tabs>
        <w:tab w:val="left" w:pos="960"/>
      </w:tabs>
      <w:spacing w:after="0" w:line="540" w:lineRule="exact"/>
      <w:ind w:leftChars="0" w:left="0" w:firstLineChars="200" w:firstLine="200"/>
    </w:pPr>
    <w:rPr>
      <w:rFonts w:ascii="Calibri" w:eastAsia="宋体" w:cs="Times New Roman" w:hAnsi="Calibri"/>
      <w:sz w:val="32"/>
      <w:szCs w:val="32"/>
    </w:rPr>
  </w:style>
  <w:style w:type="character" w:styleId="31">
    <w:name w:val="Strong"/>
    <w:basedOn w:val="10"/>
    <w:rPr>
      <w:rFonts w:cs="Times New Roman"/>
      <w:b/>
    </w:rPr>
  </w:style>
  <w:style w:type="character" w:styleId="32">
    <w:name w:val="page number"/>
    <w:basedOn w:val="10"/>
  </w:style>
  <w:style w:type="character" w:styleId="33">
    <w:name w:val="Hyperlink"/>
    <w:basedOn w:val="10"/>
    <w:rPr>
      <w:rFonts w:cs="Times New Roman"/>
      <w:color w:val="0000FF"/>
      <w:u w:val="single"/>
    </w:rPr>
  </w:style>
  <w:style w:type="character" w:customStyle="1" w:styleId="34">
    <w:name w:val="Body Text Char"/>
    <w:basedOn w:val="10"/>
    <w:rPr>
      <w:rFonts w:ascii="Times New Roman" w:cs="Times New Roman" w:hAnsi="Times New Roman"/>
      <w:sz w:val="24"/>
      <w:szCs w:val="24"/>
    </w:rPr>
  </w:style>
  <w:style w:type="character" w:customStyle="1" w:styleId="35">
    <w:name w:val="Footer Char"/>
    <w:basedOn w:val="10"/>
    <w:rPr>
      <w:rFonts w:ascii="Times New Roman" w:cs="Times New Roman" w:hAnsi="Times New Roman"/>
      <w:sz w:val="18"/>
      <w:szCs w:val="18"/>
    </w:rPr>
  </w:style>
  <w:style w:type="character" w:customStyle="1" w:styleId="36">
    <w:name w:val="Header Char"/>
    <w:basedOn w:val="10"/>
    <w:rPr>
      <w:rFonts w:ascii="Times New Roman" w:cs="Times New Roman" w:hAnsi="Times New Roman"/>
      <w:sz w:val="18"/>
      <w:szCs w:val="18"/>
    </w:rPr>
  </w:style>
  <w:style w:type="paragraph" w:customStyle="1" w:styleId="37">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38">
    <w:name w:val="列表段落1"/>
    <w:basedOn w:val="0"/>
    <w:pPr>
      <w:ind w:firstLineChars="200" w:firstLine="200"/>
    </w:pPr>
  </w:style>
  <w:style w:type="paragraph" w:customStyle="1" w:styleId="39">
    <w:name w:val="TOC 标题1"/>
    <w:basedOn w:val="1"/>
    <w:next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40">
    <w:name w:val="TOC Heading1"/>
    <w:basedOn w:val="1"/>
    <w:next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41">
    <w:name w:val="TOC Heading"/>
    <w:basedOn w:val="1"/>
    <w:next w:val="0"/>
    <w:pPr>
      <w:keepNext/>
      <w:keepLines/>
      <w:widowControl/>
      <w:spacing w:before="240" w:after="0" w:line="259" w:lineRule="auto"/>
      <w:jc w:val="left"/>
      <w:outlineLvl w:val="9"/>
    </w:pPr>
    <w:rPr>
      <w:rFonts w:ascii="等线 Light" w:eastAsia="等线 Light" w:cs="Times New Roman"/>
      <w:b w:val="0"/>
      <w:bCs w:val="0"/>
      <w:color w:val="2F5597"/>
      <w:kern w:val="0"/>
      <w:sz w:val="32"/>
      <w:szCs w:val="32"/>
    </w:rPr>
  </w:style>
  <w:style w:type="paragraph" w:styleId="42">
    <w:name w:val="List Paragraph"/>
    <w:basedOn w:val="0"/>
    <w:pPr>
      <w:ind w:firstLineChars="200" w:firstLine="200"/>
    </w:pPr>
  </w:style>
  <w:style w:type="paragraph" w:customStyle="1" w:styleId="43">
    <w:name w:val="样式2"/>
    <w:basedOn w:val="0"/>
    <w:pPr>
      <w:spacing w:line="560" w:lineRule="exact"/>
      <w:ind w:firstLineChars="200" w:firstLine="200"/>
    </w:pPr>
    <w:rPr>
      <w:rFonts w:ascii="Calibri" w:eastAsia="仿宋_GB2312" w:cs="Arial Unicode MS" w:hAnsi="Calibri"/>
      <w:sz w:val="32"/>
      <w:szCs w:val="32"/>
      <w:lang w:bidi="bo-CN"/>
    </w:rPr>
  </w:style>
  <w:style w:type="paragraph" w:customStyle="1" w:styleId="44">
    <w:name w:val="四号正文"/>
    <w:basedOn w:val="0"/>
    <w:pPr>
      <w:spacing w:line="360" w:lineRule="auto"/>
    </w:pPr>
    <w:rPr>
      <w:rFonts w:ascii="??" w:eastAsia="宋体" w:cs="宋体" w:hAnsi="??"/>
      <w:color w:val="000000"/>
      <w:kern w:val="0"/>
      <w:sz w:val="28"/>
      <w:szCs w:val="21"/>
    </w:rPr>
  </w:style>
  <w:style w:type="paragraph" w:customStyle="1" w:styleId="45">
    <w:name w:val="WPSOffice手动目录 1"/>
    <w:rPr>
      <w:rFonts w:ascii="Calibri" w:eastAsia="宋体" w:cs="Times New Roman" w:hAnsi="Calibri"/>
      <w:sz w:val="20"/>
      <w:szCs w:val="20"/>
    </w:rPr>
  </w:style>
  <w:style w:type="paragraph" w:customStyle="1" w:styleId="46">
    <w:name w:val="WPSOffice手动目录 2"/>
    <w:pPr>
      <w:ind w:leftChars="200" w:left="200"/>
    </w:pPr>
    <w:rPr>
      <w:rFonts w:ascii="Calibri" w:eastAsia="宋体" w:cs="Times New Roman" w:hAnsi="Calibri"/>
      <w:sz w:val="20"/>
      <w:szCs w:val="20"/>
    </w:rPr>
  </w:style>
  <w:style w:type="paragraph" w:customStyle="1" w:styleId="47">
    <w:name w:val="WPSOffice手动目录 3"/>
    <w:pPr>
      <w:ind w:leftChars="400" w:left="400"/>
    </w:pPr>
    <w:rPr>
      <w:rFonts w:ascii="Calibri" w:eastAsia="宋体" w:cs="Times New Roman" w:hAnsi="Calibri"/>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chart" Target="charts/chart5.xml"/><Relationship Id="rId10" Type="http://schemas.openxmlformats.org/officeDocument/2006/relationships/chart" Target="charts/chart6.xml"/><Relationship Id="rId11" Type="http://schemas.openxmlformats.org/officeDocument/2006/relationships/chart" Target="charts/chart7.xml"/><Relationship Id="rId12" Type="http://schemas.openxmlformats.org/officeDocument/2006/relationships/chart" Target="charts/chart8.xml"/><Relationship Id="rId13" Type="http://schemas.openxmlformats.org/officeDocument/2006/relationships/chart" Target="charts/chart9.xml"/><Relationship Id="rId14" Type="http://schemas.openxmlformats.org/officeDocument/2006/relationships/styles" Target="styles.xml"/><Relationship Id="rId15" Type="http://schemas.openxmlformats.org/officeDocument/2006/relationships/numbering" Target="numbering.xml"/><Relationship Id="rId16"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char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char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收入决算总计变动情况图</a:t>
            </a:r>
          </a:p>
        </c:rich>
      </c:tx>
      <c:layout/>
      <c:overlay val="0"/>
      <c:spPr>
        <a:noFill/>
        <a:ln>
          <a:noFill/>
        </a:ln>
      </c:spPr>
    </c:title>
    <c:autoTitleDeleted val="1"/>
    <c:plotArea>
      <c:layout>
        <c:manualLayout>
          <c:layoutTarget val="inner"/>
          <c:xMode val="edge"/>
          <c:yMode val="edge"/>
          <c:x val="0.09883333"/>
          <c:y val="0.22037037"/>
          <c:w val="0.84422225"/>
          <c:h val="0.71166664"/>
        </c:manualLayout>
      </c:layout>
      <c:barChart>
        <c:barDir val="col"/>
        <c:grouping val="clustered"/>
        <c:varyColors val="0"/>
        <c:ser>
          <c:idx val="0"/>
          <c:order val="0"/>
          <c:spPr>
            <a:solidFill>
              <a:srgbClr val="4472C4"/>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0.00" sourceLinked="0"/>
            <c:showLegendKey val="0"/>
            <c:showVal val="0"/>
            <c:showCatName val="0"/>
            <c:showSerName val="0"/>
            <c:showPercent val="0"/>
            <c:showBubbleSize val="0"/>
            <c:showLeaderLines val="0"/>
          </c:dLbls>
          <c:cat>
            <c:strLit>
              <c:ptCount val="2"/>
              <c:pt idx="0">
                <c:v>2019年</c:v>
              </c:pt>
              <c:pt idx="1">
                <c:v>2020年</c:v>
              </c:pt>
            </c:strLit>
          </c:cat>
          <c:val>
            <c:numRef>
              <c:f/>
              <c:numCache>
                <c:formatCode>#,##0.00</c:formatCode>
                <c:ptCount val="2"/>
                <c:pt idx="0">
                  <c:v>133.91</c:v>
                </c:pt>
                <c:pt idx="1">
                  <c:v>160.69</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0.00"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支出决算总计变动情况图</a:t>
            </a:r>
          </a:p>
        </c:rich>
      </c:tx>
      <c:layout/>
      <c:overlay val="0"/>
      <c:spPr>
        <a:noFill/>
        <a:ln>
          <a:noFill/>
        </a:ln>
      </c:spPr>
    </c:title>
    <c:autoTitleDeleted val="1"/>
    <c:plotArea>
      <c:layout/>
      <c:barChart>
        <c:barDir val="col"/>
        <c:grouping val="clustered"/>
        <c:varyColors val="0"/>
        <c:ser>
          <c:idx val="0"/>
          <c:order val="0"/>
          <c:spPr>
            <a:solidFill>
              <a:srgbClr val="4472C4"/>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0"/>
            <c:showCatName val="0"/>
            <c:showSerName val="0"/>
            <c:showPercent val="0"/>
            <c:showBubbleSize val="0"/>
            <c:showLeaderLines val="0"/>
          </c:dLbls>
          <c:cat>
            <c:strLit>
              <c:ptCount val="2"/>
              <c:pt idx="0">
                <c:v>2019年</c:v>
              </c:pt>
              <c:pt idx="1">
                <c:v>2020年</c:v>
              </c:pt>
            </c:strLit>
          </c:cat>
          <c:val>
            <c:numRef>
              <c:f/>
              <c:numCache>
                <c:formatCode>General</c:formatCode>
                <c:ptCount val="2"/>
                <c:pt idx="0">
                  <c:v>125.21</c:v>
                </c:pt>
                <c:pt idx="1">
                  <c:v>166.43</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收入决算结构图</a:t>
            </a:r>
          </a:p>
        </c:rich>
      </c:tx>
      <c:layout/>
      <c:overlay val="0"/>
      <c:spPr>
        <a:noFill/>
        <a:ln>
          <a:noFill/>
        </a:ln>
      </c:spPr>
    </c:title>
    <c:autoTitleDeleted val="1"/>
    <c:plotArea>
      <c:layout/>
      <c:pieChart>
        <c:varyColors val="1"/>
        <c:ser>
          <c:idx val="0"/>
          <c:order val="0"/>
          <c:spPr>
            <a:ln>
              <a:noFill/>
            </a:ln>
          </c:spPr>
          <c:dPt>
            <c:idx val="0"/>
            <c:bubble3D val="0"/>
            <c:explosion val="0"/>
            <c:spPr>
              <a:solidFill>
                <a:srgbClr val="4472C4"/>
              </a:solidFill>
              <a:ln w="19050">
                <a:solidFill>
                  <a:srgbClr val="FFFFFF"/>
                </a:solidFill>
                <a:prstDash val="solid"/>
              </a:ln>
            </c:spPr>
          </c:dPt>
          <c:dPt>
            <c:idx val="1"/>
            <c:bubble3D val="0"/>
            <c:explosion val="0"/>
            <c:spPr>
              <a:solidFill>
                <a:srgbClr val="ED7D31"/>
              </a:solidFill>
              <a:ln w="19050">
                <a:solidFill>
                  <a:srgbClr val="FFFFFF"/>
                </a:solidFill>
                <a:prstDash val="solid"/>
              </a:ln>
            </c:spPr>
          </c:dPt>
          <c:dPt>
            <c:idx val="2"/>
            <c:bubble3D val="0"/>
            <c:explosion val="0"/>
            <c:spPr>
              <a:solidFill>
                <a:srgbClr val="A5A5A5"/>
              </a:solidFill>
              <a:ln w="19050">
                <a:solidFill>
                  <a:srgbClr val="FFFFFF"/>
                </a:solidFill>
                <a:prstDash val="solid"/>
              </a:ln>
            </c:spPr>
          </c:dPt>
          <c:dPt>
            <c:idx val="3"/>
            <c:bubble3D val="0"/>
            <c:explosion val="0"/>
            <c:spPr>
              <a:solidFill>
                <a:srgbClr val="FFC000"/>
              </a:solidFill>
              <a:ln w="19050">
                <a:solidFill>
                  <a:srgbClr val="FFFFFF"/>
                </a:solidFill>
                <a:prstDash val="solid"/>
              </a:ln>
            </c:spPr>
          </c:dPt>
          <c:dPt>
            <c:idx val="4"/>
            <c:bubble3D val="0"/>
            <c:explosion val="0"/>
            <c:spPr>
              <a:solidFill>
                <a:srgbClr val="5B9BD5"/>
              </a:solidFill>
              <a:ln w="19050">
                <a:solidFill>
                  <a:srgbClr val="FFFFFF"/>
                </a:solidFill>
                <a:prstDash val="solid"/>
              </a:ln>
            </c:spPr>
          </c:dPt>
          <c:dPt>
            <c:idx val="5"/>
            <c:bubble3D val="0"/>
            <c:explosion val="0"/>
            <c:spPr>
              <a:solidFill>
                <a:srgbClr val="70AD47"/>
              </a:solidFill>
              <a:ln w="19050">
                <a:solidFill>
                  <a:srgbClr val="FFFFFF"/>
                </a:solidFill>
                <a:prstDash val="solid"/>
              </a:ln>
            </c:spPr>
          </c:dPt>
          <c:dPt>
            <c:idx val="6"/>
            <c:bubble3D val="0"/>
            <c:explosion val="0"/>
            <c:spPr>
              <a:solidFill>
                <a:srgbClr val="264478"/>
              </a:solidFill>
              <a:ln w="19050">
                <a:solidFill>
                  <a:srgbClr val="FFFFFF"/>
                </a:solidFill>
                <a:prstDash val="solid"/>
              </a:ln>
            </c:spPr>
          </c:dPt>
          <c:dPt>
            <c:idx val="7"/>
            <c:bubble3D val="0"/>
            <c:explosion val="0"/>
            <c:spPr>
              <a:solidFill>
                <a:srgbClr val="9E480E"/>
              </a:solidFill>
              <a:ln w="19050">
                <a:solidFill>
                  <a:srgbClr val="FFFFFF"/>
                </a:solidFill>
                <a:prstDash val="solid"/>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0"/>
            <c:showCatName val="0"/>
            <c:showSerName val="0"/>
            <c:showPercent val="0"/>
            <c:showBubbleSize val="0"/>
            <c:showLeaderLines val="0"/>
          </c:dLbls>
          <c:cat>
            <c:strLit>
              <c:ptCount val="8"/>
              <c:pt idx="0">
                <c:v>一、一般公共预算财政拨款收入</c:v>
              </c:pt>
              <c:pt idx="1">
                <c:v>二、政府性基金预算财政拨款收入</c:v>
              </c:pt>
              <c:pt idx="2">
                <c:v>三、国有资本经营预算财政拨款收入</c:v>
              </c:pt>
              <c:pt idx="3">
                <c:v>四、上级补助收入</c:v>
              </c:pt>
              <c:pt idx="4">
                <c:v>五、事业收入</c:v>
              </c:pt>
              <c:pt idx="5">
                <c:v>六、经营收入</c:v>
              </c:pt>
              <c:pt idx="6">
                <c:v>七、附属单位上缴收入</c:v>
              </c:pt>
              <c:pt idx="7">
                <c:v>八、其他收入</c:v>
              </c:pt>
            </c:strLit>
          </c:cat>
          <c:val>
            <c:numRef>
              <c:f/>
              <c:numCache>
                <c:formatCode>General</c:formatCode>
                <c:ptCount val="8"/>
                <c:pt idx="0">
                  <c:v>845.163172</c:v>
                </c:pt>
                <c:pt idx="1">
                  <c:v>0.0</c:v>
                </c:pt>
                <c:pt idx="2">
                  <c:v>0.0</c:v>
                </c:pt>
                <c:pt idx="3">
                  <c:v>0.0</c:v>
                </c:pt>
                <c:pt idx="4">
                  <c:v>0.0</c:v>
                </c:pt>
                <c:pt idx="5">
                  <c:v>0.0</c:v>
                </c:pt>
                <c:pt idx="6">
                  <c:v>0.0</c:v>
                </c:pt>
                <c:pt idx="7">
                  <c:v>0.0</c:v>
                </c:pt>
              </c:numCache>
            </c:numRef>
          </c:val>
        </c:ser>
        <c:firstSliceAng val="0"/>
      </c:pieChart>
      <c:spPr>
        <a:noFill/>
        <a:ln>
          <a:noFill/>
        </a:ln>
      </c:spPr>
    </c:plotArea>
    <c:legend>
      <c:legendPos val="b"/>
      <c:layout>
        <c:manualLayout>
          <c:xMode val="edge"/>
          <c:yMode val="edge"/>
          <c:x val="0.065"/>
          <c:y val="0.76775"/>
          <c:w val="0.8695"/>
          <c:h val="0.20425"/>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支出决算结构图</a:t>
            </a:r>
          </a:p>
        </c:rich>
      </c:tx>
      <c:layout/>
      <c:overlay val="0"/>
      <c:spPr>
        <a:noFill/>
        <a:ln>
          <a:noFill/>
        </a:ln>
      </c:spPr>
    </c:title>
    <c:autoTitleDeleted val="1"/>
    <c:plotArea>
      <c:layout/>
      <c:pieChart>
        <c:varyColors val="1"/>
        <c:ser>
          <c:idx val="0"/>
          <c:order val="0"/>
          <c:spPr>
            <a:ln>
              <a:noFill/>
            </a:ln>
          </c:spPr>
          <c:dPt>
            <c:idx val="0"/>
            <c:bubble3D val="0"/>
            <c:explosion val="0"/>
            <c:spPr>
              <a:solidFill>
                <a:srgbClr val="4472C4"/>
              </a:solidFill>
              <a:ln w="19050">
                <a:solidFill>
                  <a:srgbClr val="FFFFFF"/>
                </a:solidFill>
                <a:prstDash val="solid"/>
              </a:ln>
            </c:spPr>
          </c:dPt>
          <c:dPt>
            <c:idx val="1"/>
            <c:bubble3D val="0"/>
            <c:explosion val="0"/>
            <c:spPr>
              <a:solidFill>
                <a:srgbClr val="ED7D31"/>
              </a:solidFill>
              <a:ln w="19050">
                <a:solidFill>
                  <a:srgbClr val="FFFFFF"/>
                </a:solidFill>
                <a:prstDash val="solid"/>
              </a:ln>
            </c:spPr>
          </c:dPt>
          <c:dPt>
            <c:idx val="2"/>
            <c:bubble3D val="0"/>
            <c:explosion val="0"/>
            <c:spPr>
              <a:solidFill>
                <a:srgbClr val="A5A5A5"/>
              </a:solidFill>
              <a:ln w="19050">
                <a:solidFill>
                  <a:srgbClr val="FFFFFF"/>
                </a:solidFill>
                <a:prstDash val="solid"/>
              </a:ln>
            </c:spPr>
          </c:dPt>
          <c:dPt>
            <c:idx val="3"/>
            <c:bubble3D val="0"/>
            <c:explosion val="0"/>
            <c:spPr>
              <a:solidFill>
                <a:srgbClr val="FFC000"/>
              </a:solidFill>
              <a:ln w="19050">
                <a:solidFill>
                  <a:srgbClr val="FFFFFF"/>
                </a:solidFill>
                <a:prstDash val="solid"/>
              </a:ln>
            </c:spPr>
          </c:dPt>
          <c:dPt>
            <c:idx val="4"/>
            <c:bubble3D val="0"/>
            <c:explosion val="0"/>
            <c:spPr>
              <a:solidFill>
                <a:srgbClr val="5B9BD5"/>
              </a:solidFill>
              <a:ln w="19050">
                <a:solidFill>
                  <a:srgbClr val="FFFFFF"/>
                </a:solidFill>
                <a:prstDash val="solid"/>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0"/>
            <c:showCatName val="0"/>
            <c:showSerName val="0"/>
            <c:showPercent val="0"/>
            <c:showBubbleSize val="0"/>
            <c:showLeaderLines val="0"/>
          </c:dLbls>
          <c:cat>
            <c:strLit>
              <c:ptCount val="5"/>
              <c:pt idx="0">
                <c:v>基本支出</c:v>
              </c:pt>
              <c:pt idx="1">
                <c:v>项目支出</c:v>
              </c:pt>
              <c:pt idx="2">
                <c:v>上缴上级支出</c:v>
              </c:pt>
              <c:pt idx="3">
                <c:v>经营支出</c:v>
              </c:pt>
              <c:pt idx="4">
                <c:v>对附属单位补助支出</c:v>
              </c:pt>
            </c:strLit>
          </c:cat>
          <c:val>
            <c:numRef>
              <c:f/>
              <c:numCache>
                <c:formatCode>General</c:formatCode>
                <c:ptCount val="5"/>
                <c:pt idx="0">
                  <c:v>112.08</c:v>
                </c:pt>
                <c:pt idx="1">
                  <c:v>54.35</c:v>
                </c:pt>
                <c:pt idx="2">
                  <c:v>0.0</c:v>
                </c:pt>
                <c:pt idx="3">
                  <c:v>0.0</c:v>
                </c:pt>
                <c:pt idx="4">
                  <c:v>0.0</c:v>
                </c:pt>
              </c:numCache>
            </c:numRef>
          </c:val>
        </c:ser>
        <c:firstSliceAng val="0"/>
      </c:pieChart>
      <c:spPr>
        <a:noFill/>
        <a:ln>
          <a:noFill/>
        </a:ln>
      </c:spPr>
    </c:plotArea>
    <c:legend>
      <c:legendPos val="b"/>
      <c:layout>
        <c:manualLayout>
          <c:xMode val="edge"/>
          <c:yMode val="edge"/>
          <c:x val="0.2125"/>
          <c:y val="0.895"/>
          <c:w val="0.5745"/>
          <c:h val="0.077"/>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财政拨款收入总计变动表</a:t>
            </a:r>
          </a:p>
        </c:rich>
      </c:tx>
      <c:layout/>
      <c:overlay val="0"/>
      <c:spPr>
        <a:noFill/>
        <a:ln>
          <a:noFill/>
        </a:ln>
      </c:spPr>
    </c:title>
    <c:autoTitleDeleted val="1"/>
    <c:plotArea>
      <c:layout/>
      <c:barChart>
        <c:barDir val="col"/>
        <c:grouping val="clustered"/>
        <c:varyColors val="0"/>
        <c:ser>
          <c:idx val="0"/>
          <c:order val="0"/>
          <c:spPr>
            <a:solidFill>
              <a:srgbClr val="4472C4"/>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0.00" sourceLinked="0"/>
            <c:showLegendKey val="0"/>
            <c:showVal val="0"/>
            <c:showCatName val="0"/>
            <c:showSerName val="0"/>
            <c:showPercent val="0"/>
            <c:showBubbleSize val="0"/>
            <c:showLeaderLines val="0"/>
          </c:dLbls>
          <c:cat>
            <c:strLit>
              <c:ptCount val="2"/>
              <c:pt idx="0">
                <c:v>2019年</c:v>
              </c:pt>
              <c:pt idx="1">
                <c:v>2020年</c:v>
              </c:pt>
            </c:strLit>
          </c:cat>
          <c:val>
            <c:numRef>
              <c:f/>
              <c:numCache>
                <c:formatCode>#,##0.00</c:formatCode>
                <c:ptCount val="2"/>
                <c:pt idx="0">
                  <c:v>133.91</c:v>
                </c:pt>
                <c:pt idx="1">
                  <c:v>160.69</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0.00"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财政拨款支出总计变动表</a:t>
            </a:r>
          </a:p>
        </c:rich>
      </c:tx>
      <c:layout/>
      <c:overlay val="0"/>
      <c:spPr>
        <a:noFill/>
        <a:ln>
          <a:noFill/>
        </a:ln>
      </c:spPr>
    </c:title>
    <c:autoTitleDeleted val="1"/>
    <c:plotArea>
      <c:layout/>
      <c:barChart>
        <c:barDir val="col"/>
        <c:grouping val="clustered"/>
        <c:varyColors val="0"/>
        <c:ser>
          <c:idx val="0"/>
          <c:order val="0"/>
          <c:spPr>
            <a:solidFill>
              <a:srgbClr val="4472C4"/>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0"/>
            <c:showCatName val="0"/>
            <c:showSerName val="0"/>
            <c:showPercent val="0"/>
            <c:showBubbleSize val="0"/>
            <c:showLeaderLines val="0"/>
          </c:dLbls>
          <c:cat>
            <c:strLit>
              <c:ptCount val="2"/>
              <c:pt idx="0">
                <c:v>2019年</c:v>
              </c:pt>
              <c:pt idx="1">
                <c:v>2020年</c:v>
              </c:pt>
            </c:strLit>
          </c:cat>
          <c:val>
            <c:numRef>
              <c:f/>
              <c:numCache>
                <c:formatCode>General</c:formatCode>
                <c:ptCount val="2"/>
                <c:pt idx="0">
                  <c:v>125.21</c:v>
                </c:pt>
                <c:pt idx="1">
                  <c:v>166.43</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一般公共预算财政拨款支出决算变动情况</a:t>
            </a:r>
          </a:p>
        </c:rich>
      </c:tx>
      <c:layout>
        <c:manualLayout>
          <c:xMode val="edge"/>
          <c:yMode val="edge"/>
          <c:x val="0.23825924"/>
          <c:y val="0.06160616"/>
        </c:manualLayout>
      </c:layout>
      <c:overlay val="0"/>
      <c:spPr>
        <a:noFill/>
        <a:ln>
          <a:noFill/>
        </a:ln>
      </c:spPr>
    </c:title>
    <c:autoTitleDeleted val="1"/>
    <c:plotArea>
      <c:layout/>
      <c:barChart>
        <c:barDir val="col"/>
        <c:grouping val="clustered"/>
        <c:varyColors val="0"/>
        <c:ser>
          <c:idx val="0"/>
          <c:order val="0"/>
          <c:spPr>
            <a:solidFill>
              <a:srgbClr val="4472C4"/>
            </a:solidFill>
            <a:ln>
              <a:noFill/>
            </a:ln>
          </c:spPr>
          <c:invertIfNegative val="0"/>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0"/>
            <c:showCatName val="0"/>
            <c:showSerName val="0"/>
            <c:showPercent val="0"/>
            <c:showBubbleSize val="0"/>
            <c:showLeaderLines val="0"/>
          </c:dLbls>
          <c:cat>
            <c:strLit>
              <c:ptCount val="2"/>
              <c:pt idx="0">
                <c:v>2019年</c:v>
              </c:pt>
              <c:pt idx="1">
                <c:v>2020年</c:v>
              </c:pt>
            </c:strLit>
          </c:cat>
          <c:val>
            <c:numRef>
              <c:f/>
              <c:numCache>
                <c:formatCode>General</c:formatCode>
                <c:ptCount val="2"/>
                <c:pt idx="0">
                  <c:v>125.21</c:v>
                </c:pt>
                <c:pt idx="1">
                  <c:v>166.43</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一般公共预算财政拨款支出决算结构</a:t>
            </a:r>
          </a:p>
        </c:rich>
      </c:tx>
      <c:layout/>
      <c:overlay val="0"/>
      <c:spPr>
        <a:noFill/>
        <a:ln>
          <a:noFill/>
        </a:ln>
      </c:spPr>
    </c:title>
    <c:autoTitleDeleted val="1"/>
    <c:plotArea>
      <c:layout/>
      <c:pieChart>
        <c:varyColors val="1"/>
        <c:ser>
          <c:idx val="0"/>
          <c:order val="0"/>
          <c:spPr>
            <a:ln>
              <a:noFill/>
            </a:ln>
          </c:spPr>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Pt>
            <c:idx val="3"/>
            <c:bubble3D val="0"/>
            <c:spPr>
              <a:solidFill>
                <a:srgbClr val="FFC000"/>
              </a:solidFill>
              <a:ln w="19050">
                <a:solidFill>
                  <a:srgbClr val="FFFFFF"/>
                </a:solidFill>
                <a:prstDash val="solid"/>
              </a:ln>
            </c:spPr>
          </c:dPt>
          <c:dPt>
            <c:idx val="4"/>
            <c:bubble3D val="0"/>
            <c:spPr>
              <a:solidFill>
                <a:srgbClr val="5B9BD5"/>
              </a:solidFill>
              <a:ln w="19050">
                <a:solidFill>
                  <a:srgbClr val="FFFFFF"/>
                </a:solidFill>
                <a:prstDash val="solid"/>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0.00" sourceLinked="0"/>
            <c:showLegendKey val="0"/>
            <c:showVal val="0"/>
            <c:showCatName val="0"/>
            <c:showSerName val="0"/>
            <c:showPercent val="0"/>
            <c:showBubbleSize val="0"/>
            <c:showLeaderLines val="0"/>
          </c:dLbls>
          <c:cat>
            <c:strLit>
              <c:ptCount val="5"/>
              <c:pt idx="0">
                <c:v>一般公共服务支出</c:v>
              </c:pt>
              <c:pt idx="1">
                <c:v>社会保障和就业支出</c:v>
              </c:pt>
              <c:pt idx="2">
                <c:v>卫生健康支出</c:v>
              </c:pt>
              <c:pt idx="3">
                <c:v>住房保障支出</c:v>
              </c:pt>
              <c:pt idx="4">
                <c:v>科学技术支出</c:v>
              </c:pt>
            </c:strLit>
          </c:cat>
          <c:val>
            <c:numRef>
              <c:f/>
              <c:numCache>
                <c:formatCode>General</c:formatCode>
                <c:ptCount val="5"/>
                <c:pt idx="0">
                  <c:v>82.96</c:v>
                </c:pt>
                <c:pt idx="1">
                  <c:v>15.94</c:v>
                </c:pt>
                <c:pt idx="2">
                  <c:v>4.72</c:v>
                </c:pt>
                <c:pt idx="3">
                  <c:v>8.46</c:v>
                </c:pt>
                <c:pt idx="4">
                  <c:v>54.35</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“三公”经费财政拨款支出结构</a:t>
            </a:r>
          </a:p>
        </c:rich>
      </c:tx>
      <c:layout/>
      <c:overlay val="0"/>
      <c:spPr>
        <a:noFill/>
        <a:ln>
          <a:noFill/>
        </a:ln>
      </c:spPr>
    </c:title>
    <c:autoTitleDeleted val="1"/>
    <c:plotArea>
      <c:layout/>
      <c:pieChart>
        <c:varyColors val="1"/>
        <c:ser>
          <c:idx val="0"/>
          <c:order val="0"/>
          <c:spPr>
            <a:ln>
              <a:noFill/>
            </a:ln>
          </c:spPr>
          <c:dPt>
            <c:idx val="0"/>
            <c:bubble3D val="0"/>
            <c:explosion val="0"/>
            <c:spPr>
              <a:solidFill>
                <a:srgbClr val="4472C4"/>
              </a:solidFill>
              <a:ln w="19050">
                <a:solidFill>
                  <a:srgbClr val="FFFFFF"/>
                </a:solidFill>
                <a:prstDash val="solid"/>
              </a:ln>
            </c:spPr>
          </c:dPt>
          <c:dPt>
            <c:idx val="1"/>
            <c:bubble3D val="0"/>
            <c:explosion val="0"/>
            <c:spPr>
              <a:solidFill>
                <a:srgbClr val="ED7D31"/>
              </a:solidFill>
              <a:ln w="19050">
                <a:solidFill>
                  <a:srgbClr val="FFFFFF"/>
                </a:solidFill>
                <a:prstDash val="solid"/>
              </a:ln>
            </c:spPr>
          </c:dPt>
          <c:dPt>
            <c:idx val="2"/>
            <c:bubble3D val="0"/>
            <c:explosion val="0"/>
            <c:spPr>
              <a:solidFill>
                <a:srgbClr val="A5A5A5"/>
              </a:solidFill>
              <a:ln w="19050">
                <a:solidFill>
                  <a:srgbClr val="FFFFFF"/>
                </a:solidFill>
                <a:prstDash val="solid"/>
              </a:ln>
            </c:spPr>
          </c:dPt>
          <c:dLbls>
            <c:txPr>
              <a:bodyPr/>
              <a:lstStyle/>
              <a:p>
                <a:pPr>
                  <a:defRPr sz="1000" b="0" i="0" u="none" strike="noStrike" baseline="0">
                    <a:solidFill>
                      <a:srgbClr val="000000"/>
                    </a:solidFill>
                    <a:latin typeface="Times New Roman"/>
                    <a:ea typeface="宋体"/>
                    <a:cs typeface="Lucida Sans"/>
                  </a:defRPr>
                </a:pPr>
                <a:endParaRPr lang="zh-CN"/>
              </a:p>
            </c:txPr>
            <c:numFmt formatCode="General" sourceLinked="0"/>
            <c:showLegendKey val="0"/>
            <c:showVal val="0"/>
            <c:showCatName val="0"/>
            <c:showSerName val="0"/>
            <c:showPercent val="0"/>
            <c:showBubbleSize val="0"/>
            <c:showLeaderLines val="0"/>
          </c:dLbls>
          <c:cat>
            <c:strLit>
              <c:ptCount val="3"/>
              <c:pt idx="0">
                <c:v>因公出国（境）费</c:v>
              </c:pt>
              <c:pt idx="1">
                <c:v>公务接待费</c:v>
              </c:pt>
              <c:pt idx="2">
                <c:v>公务用车购置及运行维护费</c:v>
              </c:pt>
            </c:strLit>
          </c:cat>
          <c:val>
            <c:numRef>
              <c:f/>
              <c:numCache>
                <c:formatCode>General</c:formatCode>
                <c:ptCount val="3"/>
                <c:pt idx="2">
                  <c:v>5.41</c:v>
                </c:pt>
              </c:numCache>
            </c:numRef>
          </c:val>
        </c:ser>
        <c:firstSliceAng val="0"/>
      </c:pieChart>
      <c:spPr>
        <a:noFill/>
        <a:ln>
          <a:noFill/>
        </a:ln>
      </c:spPr>
    </c:plotArea>
    <c:legend>
      <c:legendPos val="b"/>
      <c:layout>
        <c:manualLayout>
          <c:xMode val="edge"/>
          <c:yMode val="edge"/>
          <c:x val="0.03297156"/>
          <c:y val="0.8949939"/>
          <c:w val="0.928699"/>
          <c:h val="0.07753358"/>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33</TotalTime>
  <Application>Yozo_Office27021597764231179</Application>
  <Pages>35</Pages>
  <Words>12239</Words>
  <Characters>12971</Characters>
  <Lines>737</Lines>
  <Paragraphs>287</Paragraphs>
  <CharactersWithSpaces>13084</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阿坝州部门决算说明</dc:title>
  <dc:creator>曹颖</dc:creator>
  <cp:lastModifiedBy>user</cp:lastModifiedBy>
  <cp:revision>3</cp:revision>
  <cp:lastPrinted>2026-06-18T03:25:23Z</cp:lastPrinted>
  <dcterms:created xsi:type="dcterms:W3CDTF">2021-08-06T09:38:00Z</dcterms:created>
  <dcterms:modified xsi:type="dcterms:W3CDTF">2026-06-23T01:34:47Z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2052-12.1.0.26895</vt:lpwstr>
  </property>
  <property fmtid="{D5CDD505-2E9C-101B-9397-08002B2CF9AE}" pid="3" name="ICV">
    <vt:lpwstr>3075DF99D8704F86842B67984AC22897</vt:lpwstr>
  </property>
  <property fmtid="{D5CDD505-2E9C-101B-9397-08002B2CF9AE}" pid="4" name="KSOTemplateDocerSaveRecord">
    <vt:lpwstr>eyJoZGlkIjoiNTlkODM2YjJkNjIyMWEzZmFhMWUyMWE3NjAxODY1ZGIiLCJ1c2VySWQiOiI4OTI4MjUxNzgifQ==</vt:lpwstr>
  </property>
</Properties>
</file>