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597"/>
      <w:bookmarkStart w:id="2" w:name="_Toc15306267"/>
      <w:bookmarkStart w:id="3" w:name="_Toc15377425"/>
      <w:bookmarkStart w:id="4" w:name="_Toc15396475"/>
      <w:bookmarkStart w:id="5" w:name="_Toc15378441"/>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rPr>
          <w:rFonts w:ascii="Times New Roman" w:hAnsi="Times New Roman"/>
        </w:rPr>
      </w:pPr>
    </w:p>
    <w:bookmarkEnd w:id="0"/>
    <w:bookmarkEnd w:id="1"/>
    <w:bookmarkEnd w:id="2"/>
    <w:bookmarkEnd w:id="3"/>
    <w:bookmarkEnd w:id="4"/>
    <w:bookmarkEnd w:id="5"/>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壤塘县佛教协会</w:t>
      </w: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both"/>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pPr>
        <w:pStyle w:val="12"/>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20</w:t>
      </w:r>
      <w:r>
        <w:rPr>
          <w:rFonts w:hint="eastAsia" w:ascii="Times New Roman" w:hAnsi="Times New Roman" w:eastAsia="仿宋_GB2312" w:cs="仿宋_GB2312"/>
          <w:color w:val="auto"/>
          <w:sz w:val="32"/>
          <w:szCs w:val="32"/>
          <w:highlight w:val="none"/>
        </w:rPr>
        <w:t>日</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eastAsia="黑体"/>
          <w:color w:val="auto"/>
          <w:sz w:val="32"/>
          <w:szCs w:val="32"/>
          <w:highlight w:val="none"/>
          <w:lang w:eastAsia="zh-CN"/>
        </w:rPr>
        <w:t>一、</w:t>
      </w:r>
      <w:r>
        <w:rPr>
          <w:rFonts w:hint="eastAsia" w:ascii="Times New Roman" w:hAnsi="Times New Roman" w:eastAsia="黑体"/>
          <w:color w:val="auto"/>
          <w:sz w:val="32"/>
          <w:szCs w:val="32"/>
          <w:highlight w:val="none"/>
          <w:lang w:eastAsia="zh-CN"/>
        </w:rPr>
        <w:t>部门职责</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Times New Roman" w:eastAsia="仿宋_GB2312" w:cs="Times New Roman"/>
          <w:color w:val="000000"/>
          <w:kern w:val="2"/>
          <w:sz w:val="32"/>
          <w:szCs w:val="32"/>
          <w:lang w:val="en-US" w:eastAsia="zh-CN" w:bidi="ar-SA"/>
        </w:rPr>
      </w:pPr>
      <w:r>
        <w:rPr>
          <w:rFonts w:hint="eastAsia" w:ascii="仿宋_GB2312" w:hAnsi="Times New Roman" w:eastAsia="仿宋_GB2312" w:cs="Times New Roman"/>
          <w:color w:val="000000"/>
          <w:kern w:val="2"/>
          <w:sz w:val="32"/>
          <w:szCs w:val="32"/>
          <w:lang w:val="en-US" w:eastAsia="zh-CN" w:bidi="ar-SA"/>
        </w:rPr>
        <w:t>（1）团结、带领全县各民族佛教徒遵守宪法、法律、法规和国家政策。</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Times New Roman" w:eastAsia="仿宋_GB2312" w:cs="Times New Roman"/>
          <w:color w:val="000000"/>
          <w:kern w:val="2"/>
          <w:sz w:val="32"/>
          <w:szCs w:val="32"/>
          <w:lang w:val="en-US" w:eastAsia="zh-CN" w:bidi="ar-SA"/>
        </w:rPr>
      </w:pPr>
      <w:r>
        <w:rPr>
          <w:rFonts w:hint="eastAsia" w:ascii="仿宋_GB2312" w:hAnsi="Times New Roman" w:eastAsia="仿宋_GB2312" w:cs="Times New Roman"/>
          <w:color w:val="000000"/>
          <w:kern w:val="2"/>
          <w:sz w:val="32"/>
          <w:szCs w:val="32"/>
          <w:lang w:val="en-US" w:eastAsia="zh-CN" w:bidi="ar-SA"/>
        </w:rPr>
        <w:t>（2）协助政府贯彻落实宗教信仰自由政策和法律法规规章，维护佛教界的合法权益。深入调查研究，反映佛教组织和佛教界人士的意见和诉求，充分发挥桥梁纽带作用。</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textAlignment w:val="auto"/>
        <w:rPr>
          <w:rFonts w:hint="eastAsia"/>
          <w:lang w:eastAsia="zh-CN"/>
        </w:rPr>
      </w:pPr>
      <w:r>
        <w:rPr>
          <w:rFonts w:hint="eastAsia" w:ascii="仿宋_GB2312" w:hAnsi="Times New Roman" w:eastAsia="仿宋_GB2312" w:cs="Times New Roman"/>
          <w:color w:val="000000"/>
          <w:kern w:val="2"/>
          <w:sz w:val="32"/>
          <w:szCs w:val="32"/>
          <w:lang w:val="en-US" w:eastAsia="zh-CN" w:bidi="ar-SA"/>
        </w:rPr>
        <w:t>（3）密切联系全县各民族佛教徒，</w:t>
      </w:r>
      <w:r>
        <w:rPr>
          <w:rFonts w:hint="eastAsia" w:cs="Times New Roman"/>
          <w:color w:val="000000"/>
          <w:kern w:val="2"/>
          <w:sz w:val="32"/>
          <w:szCs w:val="32"/>
          <w:lang w:val="en-US" w:eastAsia="zh-CN" w:bidi="ar-SA"/>
        </w:rPr>
        <w:t>增进</w:t>
      </w:r>
      <w:r>
        <w:rPr>
          <w:rFonts w:hint="eastAsia" w:ascii="仿宋_GB2312" w:hAnsi="Times New Roman" w:eastAsia="仿宋_GB2312" w:cs="Times New Roman"/>
          <w:color w:val="000000"/>
          <w:kern w:val="2"/>
          <w:sz w:val="32"/>
          <w:szCs w:val="32"/>
          <w:lang w:val="en-US" w:eastAsia="zh-CN" w:bidi="ar-SA"/>
        </w:rPr>
        <w:t>民</w:t>
      </w:r>
      <w:r>
        <w:rPr>
          <w:rFonts w:hint="eastAsia"/>
          <w:sz w:val="32"/>
          <w:szCs w:val="32"/>
          <w:lang w:val="en-US" w:eastAsia="zh-CN"/>
        </w:rPr>
        <w:t>族团结。</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8" w:name="_Toc15377200"/>
      <w:bookmarkStart w:id="9" w:name="_Toc15396601"/>
      <w:r>
        <w:rPr>
          <w:rFonts w:hint="eastAsia" w:ascii="Times New Roman" w:hAnsi="Times New Roman" w:eastAsia="黑体"/>
          <w:color w:val="auto"/>
          <w:sz w:val="32"/>
          <w:szCs w:val="32"/>
          <w:highlight w:val="none"/>
          <w:lang w:eastAsia="zh-CN"/>
        </w:rPr>
        <w:t>二、机构设置</w:t>
      </w:r>
      <w:bookmarkEnd w:id="8"/>
      <w:bookmarkEnd w:id="9"/>
    </w:p>
    <w:p>
      <w:pPr>
        <w:pStyle w:val="5"/>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textAlignment w:val="auto"/>
        <w:rPr>
          <w:rFonts w:hint="eastAsia" w:ascii="仿宋_GB2312" w:hAnsi="Times New Roman" w:eastAsia="仿宋_GB2312" w:cs="Times New Roman"/>
          <w:color w:val="000000"/>
          <w:kern w:val="2"/>
          <w:sz w:val="32"/>
          <w:szCs w:val="32"/>
          <w:lang w:val="en-US" w:eastAsia="zh-CN" w:bidi="ar-SA"/>
        </w:rPr>
      </w:pPr>
      <w:bookmarkStart w:id="10" w:name="_Toc30939"/>
      <w:bookmarkStart w:id="11" w:name="_Toc10699"/>
      <w:bookmarkStart w:id="12" w:name="_Toc12356"/>
      <w:r>
        <w:rPr>
          <w:rFonts w:hint="eastAsia" w:ascii="仿宋_GB2312" w:hAnsi="Times New Roman" w:eastAsia="仿宋_GB2312" w:cs="Times New Roman"/>
          <w:color w:val="000000"/>
          <w:kern w:val="2"/>
          <w:sz w:val="32"/>
          <w:szCs w:val="32"/>
          <w:lang w:val="en-US" w:eastAsia="zh-CN" w:bidi="ar-SA"/>
        </w:rPr>
        <w:t>壤塘县佛教协会本级有两个下属二级单位</w:t>
      </w:r>
      <w:bookmarkEnd w:id="10"/>
      <w:bookmarkEnd w:id="11"/>
      <w:bookmarkEnd w:id="12"/>
      <w:r>
        <w:rPr>
          <w:rFonts w:hint="eastAsia" w:ascii="仿宋_GB2312" w:hAnsi="Times New Roman" w:eastAsia="仿宋_GB2312" w:cs="Times New Roman"/>
          <w:color w:val="000000"/>
          <w:kern w:val="2"/>
          <w:sz w:val="32"/>
          <w:szCs w:val="32"/>
          <w:lang w:val="en-US" w:eastAsia="zh-CN" w:bidi="ar-SA"/>
        </w:rPr>
        <w:t>。其中行政单位1个，参照公务员法管理的事业单位0个，其他事业单位1个。</w:t>
      </w:r>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纳入壤塘县佛教协会本级2025年度部门决算编制范围的二级预算单位包括：</w:t>
      </w:r>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1.壤塘县佛教协会</w:t>
      </w:r>
    </w:p>
    <w:p>
      <w:pPr>
        <w:spacing w:line="600" w:lineRule="exact"/>
        <w:ind w:firstLine="640"/>
        <w:rPr>
          <w:rFonts w:hint="eastAsia" w:ascii="仿宋_GB2312" w:eastAsia="仿宋_GB2312"/>
          <w:color w:val="000000"/>
          <w:sz w:val="32"/>
          <w:szCs w:val="32"/>
          <w:lang w:val="en-US" w:eastAsia="zh-CN"/>
        </w:rPr>
      </w:pPr>
      <w:bookmarkStart w:id="13" w:name="_Toc15306277"/>
      <w:bookmarkStart w:id="14" w:name="_Toc15378450"/>
      <w:bookmarkStart w:id="15" w:name="_Toc15377434"/>
      <w:bookmarkStart w:id="16" w:name="_Toc15377203"/>
      <w:r>
        <w:rPr>
          <w:rFonts w:hint="eastAsia" w:ascii="仿宋_GB2312" w:eastAsia="仿宋_GB2312"/>
          <w:color w:val="000000"/>
          <w:sz w:val="32"/>
          <w:szCs w:val="32"/>
          <w:lang w:val="en-US" w:eastAsia="zh-CN"/>
        </w:rPr>
        <w:t>2.壤塘县佛教协会事务服务中心</w:t>
      </w:r>
      <w:bookmarkEnd w:id="13"/>
      <w:bookmarkEnd w:id="14"/>
      <w:bookmarkEnd w:id="15"/>
      <w:bookmarkEnd w:id="16"/>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br w:type="page"/>
      </w:r>
    </w:p>
    <w:p>
      <w:pPr>
        <w:pStyle w:val="2"/>
        <w:jc w:val="center"/>
        <w:rPr>
          <w:rFonts w:ascii="Times New Roman" w:hAnsi="Times New Roman"/>
          <w:color w:val="auto"/>
          <w:highlight w:val="none"/>
        </w:rPr>
      </w:pPr>
      <w:bookmarkStart w:id="17" w:name="_Toc15377204"/>
      <w:bookmarkStart w:id="18"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7"/>
      <w:bookmarkEnd w:id="1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9" w:name="_Toc15377205"/>
      <w:bookmarkStart w:id="20"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9"/>
      <w:bookmarkEnd w:id="20"/>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2025年度收入、支出总计均为80.4万元。与上年度相比，收入、支出总计各增加2.12万元，增长2.71%。主要变动原因是公务用车使用率增加、支出增加等。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53305" cy="2328545"/>
            <wp:effectExtent l="4445" t="4445" r="19050" b="1016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77206"/>
      <w:bookmarkStart w:id="22" w:name="_Toc15396604"/>
      <w:r>
        <w:rPr>
          <w:rFonts w:hint="eastAsia" w:ascii="Times New Roman" w:hAnsi="Times New Roman" w:eastAsia="黑体"/>
          <w:color w:val="auto"/>
          <w:sz w:val="32"/>
          <w:szCs w:val="32"/>
          <w:highlight w:val="none"/>
          <w:lang w:eastAsia="zh-CN"/>
        </w:rPr>
        <w:t>二、收入决算情况说明</w:t>
      </w:r>
      <w:bookmarkEnd w:id="21"/>
      <w:bookmarkEnd w:id="22"/>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2025年度本年收入合计80.4万元，其中：一般公共预算财政拨款收入80.4万元，占100%；其他收入0万元，占0%；</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700905" cy="2226310"/>
            <wp:effectExtent l="4445" t="5080" r="19050" b="1651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3" w:name="_Toc15396605"/>
      <w:bookmarkStart w:id="24"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3"/>
      <w:bookmarkEnd w:id="24"/>
    </w:p>
    <w:p>
      <w:pPr>
        <w:spacing w:line="600" w:lineRule="exact"/>
        <w:ind w:firstLine="640"/>
        <w:rPr>
          <w:rFonts w:hint="eastAsia" w:ascii="Times New Roman" w:hAnsi="Times New Roman" w:eastAsia="仿宋_GB2312" w:cs="仿宋_GB2312"/>
          <w:b/>
          <w:bCs/>
          <w:color w:val="auto"/>
          <w:sz w:val="32"/>
          <w:szCs w:val="32"/>
          <w:highlight w:val="none"/>
          <w:lang w:eastAsia="zh-CN"/>
        </w:rPr>
      </w:pPr>
      <w:r>
        <w:rPr>
          <w:rFonts w:hint="eastAsia" w:ascii="仿宋_GB2312" w:eastAsia="仿宋_GB2312"/>
          <w:color w:val="000000"/>
          <w:sz w:val="32"/>
          <w:szCs w:val="32"/>
          <w:lang w:val="en-US" w:eastAsia="zh-CN"/>
        </w:rPr>
        <w:t>2025年度本年支出合计80.4万元，其中：基本支出80.4万元，占100%；项目支出0万元，占0%。</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773295" cy="2182495"/>
            <wp:effectExtent l="4445" t="4445" r="22860" b="2286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firstLineChars="200"/>
        <w:outlineLvl w:val="1"/>
        <w:rPr>
          <w:rStyle w:val="29"/>
          <w:rFonts w:ascii="Times New Roman" w:hAnsi="Times New Roman" w:eastAsia="黑体"/>
          <w:b w:val="0"/>
          <w:color w:val="auto"/>
          <w:highlight w:val="none"/>
        </w:rPr>
      </w:pPr>
      <w:bookmarkStart w:id="25" w:name="_Toc15396606"/>
      <w:bookmarkStart w:id="26"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5"/>
      <w:bookmarkEnd w:id="26"/>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drawing>
          <wp:anchor distT="0" distB="0" distL="114300" distR="114300" simplePos="0" relativeHeight="251660288" behindDoc="0" locked="0" layoutInCell="1" allowOverlap="1">
            <wp:simplePos x="0" y="0"/>
            <wp:positionH relativeFrom="column">
              <wp:posOffset>656590</wp:posOffset>
            </wp:positionH>
            <wp:positionV relativeFrom="paragraph">
              <wp:posOffset>1573530</wp:posOffset>
            </wp:positionV>
            <wp:extent cx="4136390" cy="2094865"/>
            <wp:effectExtent l="4445" t="4445" r="12065" b="1524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_GB2312" w:eastAsia="仿宋_GB2312"/>
          <w:color w:val="000000"/>
          <w:sz w:val="32"/>
          <w:szCs w:val="32"/>
          <w:lang w:val="en-US" w:eastAsia="zh-CN"/>
        </w:rPr>
        <w:t>2025年度财政拨款收入、支出总计均为80.4万元。与上年度相比，财政拨款收入、支出总计各增加2.12万元，增长2.71%。主要变动原因是公务用车使用率增加、支出增加等。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27" w:name="_Toc15377209"/>
      <w:bookmarkStart w:id="28"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7"/>
      <w:bookmarkEnd w:id="2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9"/>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drawing>
          <wp:anchor distT="0" distB="0" distL="114300" distR="114300" simplePos="0" relativeHeight="251659264" behindDoc="0" locked="0" layoutInCell="1" allowOverlap="1">
            <wp:simplePos x="0" y="0"/>
            <wp:positionH relativeFrom="column">
              <wp:posOffset>433705</wp:posOffset>
            </wp:positionH>
            <wp:positionV relativeFrom="paragraph">
              <wp:posOffset>1631950</wp:posOffset>
            </wp:positionV>
            <wp:extent cx="4406265" cy="2321560"/>
            <wp:effectExtent l="4445" t="4445" r="889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_GB2312" w:eastAsia="仿宋_GB2312"/>
          <w:color w:val="000000"/>
          <w:sz w:val="32"/>
          <w:szCs w:val="32"/>
          <w:lang w:val="en-US" w:eastAsia="zh-CN"/>
        </w:rPr>
        <w:t>2025年度一般公共预算财政拨款支出80.4万元，占本年支出合计的100%。与上年度相比，一般公共预算财政拨款支出增加2.12万元，增长2.71%。主要变动原因是公务用车使用率增加、支出增加等。</w:t>
      </w:r>
    </w:p>
    <w:p>
      <w:pPr>
        <w:spacing w:line="600" w:lineRule="exact"/>
        <w:ind w:firstLine="640"/>
        <w:rPr>
          <w:rFonts w:hint="eastAsia" w:ascii="仿宋_GB2312" w:eastAsia="仿宋_GB2312"/>
          <w:color w:val="000000"/>
          <w:sz w:val="32"/>
          <w:szCs w:val="32"/>
          <w:lang w:val="en-US" w:eastAsia="zh-CN"/>
        </w:rPr>
      </w:pPr>
      <w:bookmarkStart w:id="30" w:name="_Toc15377211"/>
      <w:r>
        <w:rPr>
          <w:rFonts w:hint="eastAsia" w:ascii="仿宋_GB2312" w:eastAsia="仿宋_GB2312"/>
          <w:color w:val="000000"/>
          <w:sz w:val="32"/>
          <w:szCs w:val="32"/>
          <w:lang w:val="en-US" w:eastAsia="zh-CN"/>
        </w:rPr>
        <w:t>（二）一般公共预算财政拨款支出决算结构情况</w:t>
      </w:r>
      <w:bookmarkEnd w:id="30"/>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2025年度一般公共预算财政拨款支出80.4万元，主要用于以下方面：一般公共服务支出60.56万元，占75.32%；社会保障和就业支出10.39万元，占12.92%；卫生健康支出3.93万元，占4.88%；住房保障支出5.53万元，占6.88%。</w:t>
      </w:r>
    </w:p>
    <w:p>
      <w:pPr>
        <w:spacing w:line="600" w:lineRule="exact"/>
        <w:ind w:firstLine="640"/>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424815</wp:posOffset>
            </wp:positionH>
            <wp:positionV relativeFrom="paragraph">
              <wp:posOffset>222885</wp:posOffset>
            </wp:positionV>
            <wp:extent cx="4187190" cy="2299970"/>
            <wp:effectExtent l="4445" t="4445" r="18415" b="1968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bookmarkStart w:id="31" w:name="_Toc1537721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1"/>
    </w:p>
    <w:p>
      <w:pPr>
        <w:spacing w:line="600" w:lineRule="exact"/>
        <w:ind w:firstLine="640"/>
        <w:rPr>
          <w:rFonts w:hint="eastAsia" w:ascii="仿宋_GB2312" w:eastAsia="仿宋_GB2312"/>
          <w:color w:val="000000"/>
          <w:sz w:val="32"/>
          <w:szCs w:val="32"/>
          <w:lang w:val="en-US" w:eastAsia="zh-CN"/>
        </w:rPr>
      </w:pPr>
      <w:bookmarkStart w:id="32" w:name="_Toc15377444"/>
      <w:bookmarkStart w:id="33" w:name="_Toc15378460"/>
      <w:bookmarkStart w:id="34" w:name="_Toc15377213"/>
      <w:r>
        <w:rPr>
          <w:rFonts w:hint="eastAsia" w:ascii="仿宋_GB2312" w:eastAsia="仿宋_GB2312"/>
          <w:color w:val="000000"/>
          <w:sz w:val="32"/>
          <w:szCs w:val="32"/>
          <w:lang w:val="en-US" w:eastAsia="zh-CN"/>
        </w:rPr>
        <w:t>2025年度一般公共预算支出决算数为80.4万元，完成预算100%。其中：</w:t>
      </w:r>
      <w:bookmarkEnd w:id="32"/>
      <w:bookmarkEnd w:id="33"/>
      <w:bookmarkEnd w:id="34"/>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 w:eastAsia="仿宋_GB2312" w:cs="Times New Roman"/>
          <w:b w:val="0"/>
          <w:bCs/>
          <w:color w:val="000000"/>
          <w:sz w:val="32"/>
          <w:szCs w:val="32"/>
          <w:lang w:eastAsia="zh-CN"/>
        </w:rPr>
      </w:pPr>
      <w:r>
        <w:rPr>
          <w:rFonts w:hint="eastAsia" w:ascii="仿宋" w:hAnsi="仿宋" w:eastAsia="仿宋" w:cs="Times New Roman"/>
          <w:b/>
          <w:bCs/>
          <w:color w:val="000000"/>
          <w:kern w:val="2"/>
          <w:sz w:val="32"/>
          <w:szCs w:val="32"/>
          <w:lang w:val="en-US" w:eastAsia="zh-CN" w:bidi="ar-SA"/>
        </w:rPr>
        <w:t>1.一般公共服务支出（类）群众团体事务（款)行政运行（项）:</w:t>
      </w:r>
      <w:r>
        <w:rPr>
          <w:rFonts w:ascii="仿宋" w:hAnsi="仿宋" w:eastAsia="仿宋" w:cs="Times New Roman"/>
          <w:b w:val="0"/>
          <w:bCs/>
          <w:color w:val="000000"/>
          <w:sz w:val="32"/>
          <w:szCs w:val="32"/>
        </w:rPr>
        <w:t xml:space="preserve"> </w:t>
      </w:r>
      <w:r>
        <w:rPr>
          <w:rFonts w:hint="eastAsia" w:ascii="仿宋" w:hAnsi="仿宋" w:eastAsia="仿宋" w:cs="Times New Roman"/>
          <w:b w:val="0"/>
          <w:bCs/>
          <w:color w:val="000000"/>
          <w:sz w:val="32"/>
          <w:szCs w:val="32"/>
        </w:rPr>
        <w:t>支出决算为</w:t>
      </w:r>
      <w:r>
        <w:rPr>
          <w:rFonts w:hint="eastAsia" w:ascii="仿宋" w:hAnsi="仿宋" w:eastAsia="仿宋" w:cs="Times New Roman"/>
          <w:b w:val="0"/>
          <w:bCs/>
          <w:color w:val="000000"/>
          <w:sz w:val="32"/>
          <w:szCs w:val="32"/>
          <w:lang w:val="en-US" w:eastAsia="zh-CN"/>
        </w:rPr>
        <w:t>31.6</w:t>
      </w:r>
      <w:r>
        <w:rPr>
          <w:rFonts w:hint="eastAsia" w:ascii="仿宋" w:hAnsi="仿宋" w:eastAsia="仿宋" w:cs="Times New Roman"/>
          <w:b w:val="0"/>
          <w:bCs/>
          <w:color w:val="000000"/>
          <w:sz w:val="32"/>
          <w:szCs w:val="32"/>
        </w:rPr>
        <w:t>万元，完成预算</w:t>
      </w:r>
      <w:r>
        <w:rPr>
          <w:rFonts w:hint="eastAsia" w:ascii="仿宋" w:hAnsi="仿宋" w:eastAsia="仿宋" w:cs="Times New Roman"/>
          <w:b w:val="0"/>
          <w:bCs/>
          <w:color w:val="000000"/>
          <w:sz w:val="32"/>
          <w:szCs w:val="32"/>
          <w:lang w:val="en-US" w:eastAsia="zh-CN"/>
        </w:rPr>
        <w:t>100</w:t>
      </w:r>
      <w:r>
        <w:rPr>
          <w:rFonts w:ascii="仿宋" w:hAnsi="仿宋" w:eastAsia="仿宋" w:cs="Times New Roman"/>
          <w:b w:val="0"/>
          <w:bCs/>
          <w:color w:val="000000"/>
          <w:sz w:val="32"/>
          <w:szCs w:val="32"/>
        </w:rPr>
        <w:t>%</w:t>
      </w:r>
      <w:r>
        <w:rPr>
          <w:rFonts w:hint="eastAsia" w:ascii="仿宋" w:hAnsi="仿宋" w:eastAsia="仿宋" w:cs="Times New Roman"/>
          <w:b w:val="0"/>
          <w:bCs/>
          <w:color w:val="000000"/>
          <w:sz w:val="32"/>
          <w:szCs w:val="32"/>
          <w:lang w:eastAsia="zh-CN"/>
        </w:rPr>
        <w:t>，</w:t>
      </w:r>
      <w:r>
        <w:rPr>
          <w:rFonts w:hint="eastAsia" w:ascii="仿宋_GB2312" w:hAnsi="仿宋" w:eastAsia="仿宋_GB2312" w:cs="Times New Roman"/>
          <w:b w:val="0"/>
          <w:bCs/>
          <w:color w:val="000000"/>
          <w:sz w:val="32"/>
          <w:szCs w:val="32"/>
        </w:rPr>
        <w:t>决算数等于预算数</w:t>
      </w:r>
      <w:r>
        <w:rPr>
          <w:rFonts w:hint="eastAsia" w:ascii="仿宋_GB2312" w:hAnsi="仿宋" w:eastAsia="仿宋_GB2312" w:cs="Times New Roman"/>
          <w:b w:val="0"/>
          <w:bCs/>
          <w:color w:val="000000"/>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ind w:firstLine="642" w:firstLineChars="200"/>
        <w:textAlignment w:val="auto"/>
        <w:rPr>
          <w:rFonts w:hint="eastAsia" w:eastAsia="仿宋_GB2312"/>
          <w:lang w:eastAsia="zh-CN"/>
        </w:rPr>
      </w:pPr>
      <w:r>
        <w:rPr>
          <w:rFonts w:hint="eastAsia" w:ascii="仿宋" w:hAnsi="仿宋" w:eastAsia="仿宋" w:cs="Times New Roman"/>
          <w:b/>
          <w:bCs/>
          <w:color w:val="000000"/>
          <w:kern w:val="2"/>
          <w:sz w:val="32"/>
          <w:szCs w:val="32"/>
          <w:lang w:val="en-US" w:eastAsia="zh-CN" w:bidi="ar-SA"/>
        </w:rPr>
        <w:t>2.一般公共服务支出（类）群众团体事务（款)事业运行（项）:</w:t>
      </w:r>
      <w:r>
        <w:rPr>
          <w:rFonts w:ascii="仿宋" w:hAnsi="仿宋" w:eastAsia="仿宋" w:cs="Times New Roman"/>
          <w:b w:val="0"/>
          <w:bCs/>
          <w:color w:val="000000"/>
          <w:sz w:val="32"/>
          <w:szCs w:val="32"/>
        </w:rPr>
        <w:t xml:space="preserve"> </w:t>
      </w:r>
      <w:r>
        <w:rPr>
          <w:rFonts w:hint="eastAsia" w:ascii="仿宋" w:hAnsi="仿宋" w:eastAsia="仿宋" w:cs="Times New Roman"/>
          <w:b w:val="0"/>
          <w:bCs/>
          <w:color w:val="000000"/>
          <w:sz w:val="32"/>
          <w:szCs w:val="32"/>
        </w:rPr>
        <w:t>支出决算为</w:t>
      </w:r>
      <w:r>
        <w:rPr>
          <w:rFonts w:hint="eastAsia" w:ascii="仿宋" w:hAnsi="仿宋" w:eastAsia="仿宋" w:cs="Times New Roman"/>
          <w:b w:val="0"/>
          <w:bCs/>
          <w:color w:val="000000"/>
          <w:sz w:val="32"/>
          <w:szCs w:val="32"/>
          <w:lang w:val="en-US" w:eastAsia="zh-CN"/>
        </w:rPr>
        <w:t>28.95</w:t>
      </w:r>
      <w:r>
        <w:rPr>
          <w:rFonts w:hint="eastAsia" w:ascii="仿宋" w:hAnsi="仿宋" w:eastAsia="仿宋" w:cs="Times New Roman"/>
          <w:b w:val="0"/>
          <w:bCs/>
          <w:color w:val="000000"/>
          <w:sz w:val="32"/>
          <w:szCs w:val="32"/>
        </w:rPr>
        <w:t>万元，完成预算</w:t>
      </w:r>
      <w:r>
        <w:rPr>
          <w:rFonts w:hint="eastAsia" w:ascii="仿宋" w:hAnsi="仿宋" w:eastAsia="仿宋" w:cs="Times New Roman"/>
          <w:b w:val="0"/>
          <w:bCs/>
          <w:color w:val="000000"/>
          <w:sz w:val="32"/>
          <w:szCs w:val="32"/>
          <w:lang w:val="en-US" w:eastAsia="zh-CN"/>
        </w:rPr>
        <w:t>100</w:t>
      </w:r>
      <w:r>
        <w:rPr>
          <w:rFonts w:ascii="仿宋" w:hAnsi="仿宋" w:eastAsia="仿宋" w:cs="Times New Roman"/>
          <w:b w:val="0"/>
          <w:bCs/>
          <w:color w:val="000000"/>
          <w:sz w:val="32"/>
          <w:szCs w:val="32"/>
        </w:rPr>
        <w:t>%</w:t>
      </w:r>
      <w:r>
        <w:rPr>
          <w:rFonts w:hint="eastAsia" w:ascii="仿宋" w:hAnsi="仿宋" w:eastAsia="仿宋" w:cs="Times New Roman"/>
          <w:b w:val="0"/>
          <w:bCs/>
          <w:color w:val="000000"/>
          <w:sz w:val="32"/>
          <w:szCs w:val="32"/>
          <w:lang w:eastAsia="zh-CN"/>
        </w:rPr>
        <w:t>，</w:t>
      </w:r>
      <w:r>
        <w:rPr>
          <w:rFonts w:hint="eastAsia" w:ascii="仿宋_GB2312" w:hAnsi="仿宋" w:eastAsia="仿宋_GB2312" w:cs="Times New Roman"/>
          <w:b w:val="0"/>
          <w:bCs/>
          <w:color w:val="000000"/>
          <w:sz w:val="32"/>
          <w:szCs w:val="32"/>
        </w:rPr>
        <w:t>决算数等于预算数</w:t>
      </w:r>
      <w:r>
        <w:rPr>
          <w:rFonts w:hint="eastAsia" w:hAnsi="仿宋" w:cs="Times New Roman"/>
          <w:b w:val="0"/>
          <w:bCs/>
          <w:color w:val="000000"/>
          <w:sz w:val="32"/>
          <w:szCs w:val="32"/>
          <w:lang w:eastAsia="zh-CN"/>
        </w:rPr>
        <w:t>。</w:t>
      </w:r>
    </w:p>
    <w:p>
      <w:pPr>
        <w:spacing w:line="600" w:lineRule="exact"/>
        <w:ind w:firstLine="642" w:firstLineChars="200"/>
        <w:rPr>
          <w:rFonts w:ascii="仿宋" w:hAnsi="仿宋" w:eastAsia="仿宋" w:cs="Times New Roman"/>
          <w:b/>
          <w:color w:val="000000"/>
          <w:sz w:val="32"/>
          <w:szCs w:val="32"/>
        </w:rPr>
      </w:pPr>
      <w:r>
        <w:rPr>
          <w:rFonts w:hint="eastAsia" w:ascii="仿宋" w:hAnsi="仿宋" w:eastAsia="仿宋" w:cs="Times New Roman"/>
          <w:b/>
          <w:bCs/>
          <w:color w:val="000000"/>
          <w:sz w:val="32"/>
          <w:szCs w:val="32"/>
          <w:lang w:val="en-US" w:eastAsia="zh-CN"/>
        </w:rPr>
        <w:t>3</w:t>
      </w:r>
      <w:r>
        <w:rPr>
          <w:rFonts w:ascii="仿宋" w:hAnsi="仿宋" w:eastAsia="仿宋" w:cs="Times New Roman"/>
          <w:b/>
          <w:bCs/>
          <w:color w:val="000000"/>
          <w:sz w:val="32"/>
          <w:szCs w:val="32"/>
        </w:rPr>
        <w:t>.</w:t>
      </w:r>
      <w:r>
        <w:rPr>
          <w:rFonts w:hint="eastAsia" w:ascii="仿宋" w:hAnsi="仿宋" w:eastAsia="仿宋" w:cs="Times New Roman"/>
          <w:b/>
          <w:bCs/>
          <w:color w:val="000000"/>
          <w:kern w:val="2"/>
          <w:sz w:val="32"/>
          <w:szCs w:val="32"/>
          <w:lang w:val="en-US" w:eastAsia="zh-CN" w:bidi="ar-SA"/>
        </w:rPr>
        <w:t>社会保障和就业（类）行政事业单位养老支出（款)  机关事业单位基本养老保险缴费支出（项）:</w:t>
      </w:r>
      <w:r>
        <w:rPr>
          <w:rFonts w:hint="eastAsia" w:ascii="仿宋" w:hAnsi="仿宋" w:eastAsia="仿宋" w:cs="Times New Roman"/>
          <w:b w:val="0"/>
          <w:bCs/>
          <w:color w:val="000000"/>
          <w:sz w:val="32"/>
          <w:szCs w:val="32"/>
        </w:rPr>
        <w:t>支出决算为</w:t>
      </w:r>
      <w:r>
        <w:rPr>
          <w:rFonts w:hint="eastAsia" w:ascii="仿宋" w:hAnsi="仿宋" w:eastAsia="仿宋" w:cs="Times New Roman"/>
          <w:b w:val="0"/>
          <w:bCs/>
          <w:color w:val="000000"/>
          <w:sz w:val="32"/>
          <w:szCs w:val="32"/>
          <w:lang w:val="en-US" w:eastAsia="zh-CN"/>
        </w:rPr>
        <w:t>6.92</w:t>
      </w:r>
      <w:r>
        <w:rPr>
          <w:rFonts w:hint="eastAsia" w:ascii="仿宋" w:hAnsi="仿宋" w:eastAsia="仿宋" w:cs="Times New Roman"/>
          <w:b w:val="0"/>
          <w:bCs/>
          <w:color w:val="000000"/>
          <w:sz w:val="32"/>
          <w:szCs w:val="32"/>
        </w:rPr>
        <w:t>万元，完成预算</w:t>
      </w:r>
      <w:r>
        <w:rPr>
          <w:rFonts w:hint="eastAsia" w:ascii="仿宋" w:hAnsi="仿宋" w:eastAsia="仿宋" w:cs="Times New Roman"/>
          <w:b w:val="0"/>
          <w:bCs/>
          <w:color w:val="000000"/>
          <w:sz w:val="32"/>
          <w:szCs w:val="32"/>
          <w:lang w:val="en-US" w:eastAsia="zh-CN"/>
        </w:rPr>
        <w:t>100</w:t>
      </w:r>
      <w:r>
        <w:rPr>
          <w:rFonts w:ascii="仿宋" w:hAnsi="仿宋" w:eastAsia="仿宋" w:cs="Times New Roman"/>
          <w:b w:val="0"/>
          <w:bCs/>
          <w:color w:val="000000"/>
          <w:sz w:val="32"/>
          <w:szCs w:val="32"/>
        </w:rPr>
        <w:t>%</w:t>
      </w:r>
      <w:r>
        <w:rPr>
          <w:rFonts w:hint="eastAsia" w:ascii="仿宋" w:hAnsi="仿宋" w:eastAsia="仿宋" w:cs="Times New Roman"/>
          <w:b w:val="0"/>
          <w:bCs/>
          <w:color w:val="000000"/>
          <w:sz w:val="32"/>
          <w:szCs w:val="32"/>
          <w:lang w:eastAsia="zh-CN"/>
        </w:rPr>
        <w:t>，</w:t>
      </w:r>
      <w:r>
        <w:rPr>
          <w:rFonts w:hint="eastAsia" w:ascii="仿宋" w:hAnsi="仿宋" w:eastAsia="仿宋" w:cs="Times New Roman"/>
          <w:b w:val="0"/>
          <w:bCs/>
          <w:color w:val="000000"/>
          <w:sz w:val="32"/>
          <w:szCs w:val="32"/>
        </w:rPr>
        <w:t>决算数等于预算数。</w:t>
      </w:r>
    </w:p>
    <w:p>
      <w:pPr>
        <w:spacing w:line="600" w:lineRule="exact"/>
        <w:ind w:firstLine="642" w:firstLineChars="200"/>
        <w:rPr>
          <w:rFonts w:ascii="仿宋" w:hAnsi="仿宋" w:eastAsia="仿宋" w:cs="Times New Roman"/>
          <w:b/>
          <w:color w:val="000000"/>
          <w:sz w:val="32"/>
          <w:szCs w:val="32"/>
        </w:rPr>
      </w:pPr>
      <w:r>
        <w:rPr>
          <w:rFonts w:hint="eastAsia" w:ascii="仿宋" w:hAnsi="仿宋" w:eastAsia="仿宋" w:cs="Times New Roman"/>
          <w:b/>
          <w:bCs/>
          <w:color w:val="000000"/>
          <w:sz w:val="32"/>
          <w:szCs w:val="32"/>
          <w:lang w:val="en-US" w:eastAsia="zh-CN"/>
        </w:rPr>
        <w:t>4</w:t>
      </w:r>
      <w:r>
        <w:rPr>
          <w:rFonts w:ascii="仿宋" w:hAnsi="仿宋" w:eastAsia="仿宋" w:cs="Times New Roman"/>
          <w:b/>
          <w:bCs/>
          <w:color w:val="000000"/>
          <w:sz w:val="32"/>
          <w:szCs w:val="32"/>
        </w:rPr>
        <w:t>.</w:t>
      </w:r>
      <w:r>
        <w:rPr>
          <w:rFonts w:hint="eastAsia" w:ascii="仿宋" w:hAnsi="仿宋" w:eastAsia="仿宋" w:cs="Times New Roman"/>
          <w:b/>
          <w:bCs/>
          <w:color w:val="000000"/>
          <w:kern w:val="2"/>
          <w:sz w:val="32"/>
          <w:szCs w:val="32"/>
          <w:lang w:val="en-US" w:eastAsia="zh-CN" w:bidi="ar-SA"/>
        </w:rPr>
        <w:t>社会保障和就业（类）行政事业单位养老支出（款)  机关事业单位职业年金缴费支出（项）:</w:t>
      </w:r>
      <w:r>
        <w:rPr>
          <w:rFonts w:ascii="仿宋" w:hAnsi="仿宋" w:eastAsia="仿宋" w:cs="Times New Roman"/>
          <w:b w:val="0"/>
          <w:bCs/>
          <w:color w:val="000000"/>
          <w:sz w:val="32"/>
          <w:szCs w:val="32"/>
        </w:rPr>
        <w:t xml:space="preserve"> </w:t>
      </w:r>
      <w:r>
        <w:rPr>
          <w:rFonts w:hint="eastAsia" w:ascii="仿宋" w:hAnsi="仿宋" w:eastAsia="仿宋" w:cs="Times New Roman"/>
          <w:b w:val="0"/>
          <w:bCs/>
          <w:color w:val="000000"/>
          <w:sz w:val="32"/>
          <w:szCs w:val="32"/>
        </w:rPr>
        <w:t>支出决算为</w:t>
      </w:r>
      <w:r>
        <w:rPr>
          <w:rFonts w:hint="eastAsia" w:ascii="仿宋" w:hAnsi="仿宋" w:eastAsia="仿宋" w:cs="Times New Roman"/>
          <w:b w:val="0"/>
          <w:bCs/>
          <w:color w:val="000000"/>
          <w:sz w:val="32"/>
          <w:szCs w:val="32"/>
          <w:lang w:val="en-US" w:eastAsia="zh-CN"/>
        </w:rPr>
        <w:t>3.46</w:t>
      </w:r>
      <w:r>
        <w:rPr>
          <w:rFonts w:hint="eastAsia" w:ascii="仿宋" w:hAnsi="仿宋" w:eastAsia="仿宋" w:cs="Times New Roman"/>
          <w:b w:val="0"/>
          <w:bCs/>
          <w:color w:val="000000"/>
          <w:sz w:val="32"/>
          <w:szCs w:val="32"/>
        </w:rPr>
        <w:t>万元，完成预算</w:t>
      </w:r>
      <w:r>
        <w:rPr>
          <w:rFonts w:hint="eastAsia" w:ascii="仿宋" w:hAnsi="仿宋" w:eastAsia="仿宋" w:cs="Times New Roman"/>
          <w:b w:val="0"/>
          <w:bCs/>
          <w:color w:val="000000"/>
          <w:sz w:val="32"/>
          <w:szCs w:val="32"/>
          <w:lang w:val="en-US" w:eastAsia="zh-CN"/>
        </w:rPr>
        <w:t>100</w:t>
      </w:r>
      <w:r>
        <w:rPr>
          <w:rFonts w:ascii="仿宋" w:hAnsi="仿宋" w:eastAsia="仿宋" w:cs="Times New Roman"/>
          <w:b w:val="0"/>
          <w:bCs/>
          <w:color w:val="000000"/>
          <w:sz w:val="32"/>
          <w:szCs w:val="32"/>
        </w:rPr>
        <w:t>%</w:t>
      </w:r>
      <w:r>
        <w:rPr>
          <w:rFonts w:hint="eastAsia" w:ascii="仿宋" w:hAnsi="仿宋" w:eastAsia="仿宋" w:cs="Times New Roman"/>
          <w:b w:val="0"/>
          <w:bCs/>
          <w:color w:val="000000"/>
          <w:sz w:val="32"/>
          <w:szCs w:val="32"/>
          <w:lang w:eastAsia="zh-CN"/>
        </w:rPr>
        <w:t>，</w:t>
      </w:r>
      <w:r>
        <w:rPr>
          <w:rFonts w:hint="eastAsia" w:ascii="仿宋_GB2312" w:hAnsi="仿宋" w:eastAsia="仿宋_GB2312" w:cs="Times New Roman"/>
          <w:b w:val="0"/>
          <w:bCs/>
          <w:color w:val="000000"/>
          <w:sz w:val="32"/>
          <w:szCs w:val="32"/>
        </w:rPr>
        <w:t>决算数等于预算数</w:t>
      </w:r>
      <w:r>
        <w:rPr>
          <w:rFonts w:hint="eastAsia" w:ascii="仿宋" w:hAnsi="仿宋" w:eastAsia="仿宋" w:cs="Times New Roman"/>
          <w:b w:val="0"/>
          <w:bCs/>
          <w:color w:val="000000"/>
          <w:sz w:val="32"/>
          <w:szCs w:val="32"/>
        </w:rPr>
        <w:t>。</w:t>
      </w:r>
    </w:p>
    <w:p>
      <w:pPr>
        <w:spacing w:line="600" w:lineRule="exact"/>
        <w:ind w:firstLine="642" w:firstLineChars="200"/>
        <w:rPr>
          <w:rFonts w:hint="eastAsia" w:ascii="仿宋" w:hAnsi="仿宋" w:eastAsia="仿宋" w:cs="Times New Roman"/>
          <w:b w:val="0"/>
          <w:bCs/>
          <w:color w:val="000000"/>
          <w:sz w:val="32"/>
          <w:szCs w:val="32"/>
          <w:lang w:eastAsia="zh-CN"/>
        </w:rPr>
      </w:pPr>
      <w:r>
        <w:rPr>
          <w:rFonts w:hint="eastAsia" w:ascii="仿宋" w:hAnsi="仿宋" w:eastAsia="仿宋" w:cs="Times New Roman"/>
          <w:b/>
          <w:bCs/>
          <w:color w:val="000000"/>
          <w:sz w:val="32"/>
          <w:szCs w:val="32"/>
          <w:lang w:val="en-US" w:eastAsia="zh-CN"/>
        </w:rPr>
        <w:t>5</w:t>
      </w:r>
      <w:r>
        <w:rPr>
          <w:rFonts w:ascii="仿宋" w:hAnsi="仿宋" w:eastAsia="仿宋" w:cs="Times New Roman"/>
          <w:b/>
          <w:bCs/>
          <w:color w:val="000000"/>
          <w:sz w:val="32"/>
          <w:szCs w:val="32"/>
        </w:rPr>
        <w:t>.</w:t>
      </w:r>
      <w:r>
        <w:rPr>
          <w:rFonts w:hint="eastAsia" w:ascii="仿宋" w:hAnsi="仿宋" w:eastAsia="仿宋" w:cs="Times New Roman"/>
          <w:b/>
          <w:bCs/>
          <w:color w:val="000000"/>
          <w:kern w:val="2"/>
          <w:sz w:val="32"/>
          <w:szCs w:val="32"/>
          <w:lang w:val="en-US" w:eastAsia="zh-CN" w:bidi="ar-SA"/>
        </w:rPr>
        <w:t>卫生健康支出（类）行政事业单位医疗（款)行政单位医疗（项）:</w:t>
      </w:r>
      <w:r>
        <w:rPr>
          <w:rFonts w:ascii="仿宋" w:hAnsi="仿宋" w:eastAsia="仿宋" w:cs="Times New Roman"/>
          <w:b w:val="0"/>
          <w:bCs/>
          <w:color w:val="000000"/>
          <w:sz w:val="32"/>
          <w:szCs w:val="32"/>
        </w:rPr>
        <w:t xml:space="preserve"> </w:t>
      </w:r>
      <w:r>
        <w:rPr>
          <w:rFonts w:hint="eastAsia" w:ascii="仿宋" w:hAnsi="仿宋" w:eastAsia="仿宋" w:cs="Times New Roman"/>
          <w:b w:val="0"/>
          <w:bCs/>
          <w:color w:val="000000"/>
          <w:sz w:val="32"/>
          <w:szCs w:val="32"/>
        </w:rPr>
        <w:t>支出决算为</w:t>
      </w:r>
      <w:r>
        <w:rPr>
          <w:rFonts w:hint="eastAsia" w:ascii="仿宋" w:hAnsi="仿宋" w:eastAsia="仿宋" w:cs="Times New Roman"/>
          <w:b w:val="0"/>
          <w:bCs/>
          <w:color w:val="000000"/>
          <w:sz w:val="32"/>
          <w:szCs w:val="32"/>
          <w:lang w:val="en-US" w:eastAsia="zh-CN"/>
        </w:rPr>
        <w:t>1.25</w:t>
      </w:r>
      <w:r>
        <w:rPr>
          <w:rFonts w:hint="eastAsia" w:ascii="仿宋" w:hAnsi="仿宋" w:eastAsia="仿宋" w:cs="Times New Roman"/>
          <w:b w:val="0"/>
          <w:bCs/>
          <w:color w:val="000000"/>
          <w:sz w:val="32"/>
          <w:szCs w:val="32"/>
        </w:rPr>
        <w:t>万元，完成预算</w:t>
      </w:r>
      <w:r>
        <w:rPr>
          <w:rFonts w:hint="eastAsia" w:ascii="仿宋" w:hAnsi="仿宋" w:eastAsia="仿宋" w:cs="Times New Roman"/>
          <w:b w:val="0"/>
          <w:bCs/>
          <w:color w:val="000000"/>
          <w:sz w:val="32"/>
          <w:szCs w:val="32"/>
          <w:lang w:val="en-US" w:eastAsia="zh-CN"/>
        </w:rPr>
        <w:t>100</w:t>
      </w:r>
      <w:r>
        <w:rPr>
          <w:rFonts w:ascii="仿宋" w:hAnsi="仿宋" w:eastAsia="仿宋" w:cs="Times New Roman"/>
          <w:b w:val="0"/>
          <w:bCs/>
          <w:color w:val="000000"/>
          <w:sz w:val="32"/>
          <w:szCs w:val="32"/>
        </w:rPr>
        <w:t>%</w:t>
      </w:r>
      <w:r>
        <w:rPr>
          <w:rFonts w:hint="eastAsia" w:ascii="仿宋" w:hAnsi="仿宋" w:eastAsia="仿宋" w:cs="Times New Roman"/>
          <w:b w:val="0"/>
          <w:bCs/>
          <w:color w:val="000000"/>
          <w:sz w:val="32"/>
          <w:szCs w:val="32"/>
          <w:lang w:eastAsia="zh-CN"/>
        </w:rPr>
        <w:t>，决算数等于预算数。</w:t>
      </w:r>
    </w:p>
    <w:p>
      <w:pPr>
        <w:spacing w:line="600" w:lineRule="exact"/>
        <w:ind w:firstLine="642" w:firstLineChars="200"/>
        <w:rPr>
          <w:rFonts w:hint="eastAsia" w:ascii="仿宋" w:hAnsi="仿宋" w:eastAsia="仿宋" w:cs="Times New Roman"/>
          <w:b w:val="0"/>
          <w:bCs/>
          <w:color w:val="000000"/>
          <w:sz w:val="32"/>
          <w:szCs w:val="32"/>
          <w:lang w:eastAsia="zh-CN"/>
        </w:rPr>
      </w:pPr>
      <w:r>
        <w:rPr>
          <w:rFonts w:hint="eastAsia" w:ascii="仿宋" w:hAnsi="仿宋" w:eastAsia="仿宋" w:cs="Times New Roman"/>
          <w:b/>
          <w:bCs/>
          <w:color w:val="000000"/>
          <w:sz w:val="32"/>
          <w:szCs w:val="32"/>
          <w:lang w:val="en-US" w:eastAsia="zh-CN"/>
        </w:rPr>
        <w:t>6</w:t>
      </w:r>
      <w:r>
        <w:rPr>
          <w:rFonts w:ascii="仿宋" w:hAnsi="仿宋" w:eastAsia="仿宋" w:cs="Times New Roman"/>
          <w:b/>
          <w:bCs/>
          <w:color w:val="000000"/>
          <w:sz w:val="32"/>
          <w:szCs w:val="32"/>
        </w:rPr>
        <w:t>.</w:t>
      </w:r>
      <w:r>
        <w:rPr>
          <w:rFonts w:hint="eastAsia" w:ascii="仿宋" w:hAnsi="仿宋" w:eastAsia="仿宋" w:cs="Times New Roman"/>
          <w:b/>
          <w:bCs/>
          <w:color w:val="000000"/>
          <w:kern w:val="2"/>
          <w:sz w:val="32"/>
          <w:szCs w:val="32"/>
          <w:lang w:val="en-US" w:eastAsia="zh-CN" w:bidi="ar-SA"/>
        </w:rPr>
        <w:t>卫生健康支出（类）行政事业单位医疗（款)事业单位医疗（项）:</w:t>
      </w:r>
      <w:r>
        <w:rPr>
          <w:rFonts w:ascii="仿宋" w:hAnsi="仿宋" w:eastAsia="仿宋" w:cs="Times New Roman"/>
          <w:b w:val="0"/>
          <w:bCs/>
          <w:color w:val="000000"/>
          <w:sz w:val="32"/>
          <w:szCs w:val="32"/>
        </w:rPr>
        <w:t xml:space="preserve"> </w:t>
      </w:r>
      <w:r>
        <w:rPr>
          <w:rFonts w:hint="eastAsia" w:ascii="仿宋" w:hAnsi="仿宋" w:eastAsia="仿宋" w:cs="Times New Roman"/>
          <w:b w:val="0"/>
          <w:bCs/>
          <w:color w:val="000000"/>
          <w:sz w:val="32"/>
          <w:szCs w:val="32"/>
        </w:rPr>
        <w:t>支出决算为</w:t>
      </w:r>
      <w:r>
        <w:rPr>
          <w:rFonts w:hint="eastAsia" w:ascii="仿宋" w:hAnsi="仿宋" w:eastAsia="仿宋" w:cs="Times New Roman"/>
          <w:b w:val="0"/>
          <w:bCs/>
          <w:color w:val="000000"/>
          <w:sz w:val="32"/>
          <w:szCs w:val="32"/>
          <w:lang w:val="en-US" w:eastAsia="zh-CN"/>
        </w:rPr>
        <w:t>1.78</w:t>
      </w:r>
      <w:r>
        <w:rPr>
          <w:rFonts w:hint="eastAsia" w:ascii="仿宋" w:hAnsi="仿宋" w:eastAsia="仿宋" w:cs="Times New Roman"/>
          <w:b w:val="0"/>
          <w:bCs/>
          <w:color w:val="000000"/>
          <w:sz w:val="32"/>
          <w:szCs w:val="32"/>
        </w:rPr>
        <w:t>万元，完成预算</w:t>
      </w:r>
      <w:r>
        <w:rPr>
          <w:rFonts w:hint="eastAsia" w:ascii="仿宋" w:hAnsi="仿宋" w:eastAsia="仿宋" w:cs="Times New Roman"/>
          <w:b w:val="0"/>
          <w:bCs/>
          <w:color w:val="000000"/>
          <w:sz w:val="32"/>
          <w:szCs w:val="32"/>
          <w:lang w:val="en-US" w:eastAsia="zh-CN"/>
        </w:rPr>
        <w:t>100</w:t>
      </w:r>
      <w:r>
        <w:rPr>
          <w:rFonts w:ascii="仿宋" w:hAnsi="仿宋" w:eastAsia="仿宋" w:cs="Times New Roman"/>
          <w:b w:val="0"/>
          <w:bCs/>
          <w:color w:val="000000"/>
          <w:sz w:val="32"/>
          <w:szCs w:val="32"/>
        </w:rPr>
        <w:t>%</w:t>
      </w:r>
      <w:r>
        <w:rPr>
          <w:rFonts w:hint="eastAsia" w:ascii="仿宋" w:hAnsi="仿宋" w:eastAsia="仿宋" w:cs="Times New Roman"/>
          <w:b w:val="0"/>
          <w:bCs/>
          <w:color w:val="000000"/>
          <w:sz w:val="32"/>
          <w:szCs w:val="32"/>
          <w:lang w:eastAsia="zh-CN"/>
        </w:rPr>
        <w:t>，决算数等于预算数。</w:t>
      </w:r>
    </w:p>
    <w:p>
      <w:pPr>
        <w:spacing w:line="600" w:lineRule="exact"/>
        <w:ind w:firstLine="642" w:firstLineChars="200"/>
        <w:rPr>
          <w:rFonts w:hint="eastAsia" w:ascii="仿宋" w:hAnsi="仿宋" w:eastAsia="仿宋" w:cs="Times New Roman"/>
          <w:b w:val="0"/>
          <w:bCs/>
          <w:color w:val="000000"/>
          <w:sz w:val="32"/>
          <w:szCs w:val="32"/>
          <w:lang w:eastAsia="zh-CN"/>
        </w:rPr>
      </w:pPr>
      <w:r>
        <w:rPr>
          <w:rFonts w:hint="eastAsia" w:ascii="仿宋" w:hAnsi="仿宋" w:eastAsia="仿宋" w:cs="Times New Roman"/>
          <w:b/>
          <w:bCs/>
          <w:color w:val="000000"/>
          <w:kern w:val="2"/>
          <w:sz w:val="32"/>
          <w:szCs w:val="32"/>
          <w:lang w:val="en-US" w:eastAsia="zh-CN" w:bidi="ar-SA"/>
        </w:rPr>
        <w:t>7.卫生健康支出（类）行政事业单位医疗（款)公务员医疗补助（项）:</w:t>
      </w:r>
      <w:r>
        <w:rPr>
          <w:rFonts w:ascii="仿宋" w:hAnsi="仿宋" w:eastAsia="仿宋" w:cs="Times New Roman"/>
          <w:b w:val="0"/>
          <w:bCs/>
          <w:color w:val="000000"/>
          <w:sz w:val="32"/>
          <w:szCs w:val="32"/>
        </w:rPr>
        <w:t xml:space="preserve"> </w:t>
      </w:r>
      <w:r>
        <w:rPr>
          <w:rFonts w:hint="eastAsia" w:ascii="仿宋" w:hAnsi="仿宋" w:eastAsia="仿宋" w:cs="Times New Roman"/>
          <w:b w:val="0"/>
          <w:bCs/>
          <w:color w:val="000000"/>
          <w:sz w:val="32"/>
          <w:szCs w:val="32"/>
        </w:rPr>
        <w:t>支出决算为</w:t>
      </w:r>
      <w:r>
        <w:rPr>
          <w:rFonts w:hint="eastAsia" w:ascii="仿宋" w:hAnsi="仿宋" w:eastAsia="仿宋" w:cs="Times New Roman"/>
          <w:b w:val="0"/>
          <w:bCs/>
          <w:color w:val="000000"/>
          <w:sz w:val="32"/>
          <w:szCs w:val="32"/>
          <w:lang w:val="en-US" w:eastAsia="zh-CN"/>
        </w:rPr>
        <w:t>0.57</w:t>
      </w:r>
      <w:r>
        <w:rPr>
          <w:rFonts w:hint="eastAsia" w:ascii="仿宋" w:hAnsi="仿宋" w:eastAsia="仿宋" w:cs="Times New Roman"/>
          <w:b w:val="0"/>
          <w:bCs/>
          <w:color w:val="000000"/>
          <w:sz w:val="32"/>
          <w:szCs w:val="32"/>
        </w:rPr>
        <w:t>万元，完成预算</w:t>
      </w:r>
      <w:r>
        <w:rPr>
          <w:rFonts w:hint="eastAsia" w:ascii="仿宋" w:hAnsi="仿宋" w:eastAsia="仿宋" w:cs="Times New Roman"/>
          <w:b w:val="0"/>
          <w:bCs/>
          <w:color w:val="000000"/>
          <w:sz w:val="32"/>
          <w:szCs w:val="32"/>
          <w:lang w:val="en-US" w:eastAsia="zh-CN"/>
        </w:rPr>
        <w:t>100</w:t>
      </w:r>
      <w:r>
        <w:rPr>
          <w:rFonts w:ascii="仿宋" w:hAnsi="仿宋" w:eastAsia="仿宋" w:cs="Times New Roman"/>
          <w:b w:val="0"/>
          <w:bCs/>
          <w:color w:val="000000"/>
          <w:sz w:val="32"/>
          <w:szCs w:val="32"/>
        </w:rPr>
        <w:t>%</w:t>
      </w:r>
      <w:r>
        <w:rPr>
          <w:rFonts w:hint="eastAsia" w:ascii="仿宋" w:hAnsi="仿宋" w:eastAsia="仿宋" w:cs="Times New Roman"/>
          <w:b w:val="0"/>
          <w:bCs/>
          <w:color w:val="000000"/>
          <w:sz w:val="32"/>
          <w:szCs w:val="32"/>
          <w:lang w:eastAsia="zh-CN"/>
        </w:rPr>
        <w:t>，决算数等于预算数。</w:t>
      </w:r>
    </w:p>
    <w:p>
      <w:pPr>
        <w:spacing w:line="600" w:lineRule="exact"/>
        <w:ind w:firstLine="642" w:firstLineChars="200"/>
        <w:rPr>
          <w:rFonts w:hint="default" w:ascii="仿宋" w:hAnsi="仿宋" w:eastAsia="仿宋" w:cs="Times New Roman"/>
          <w:b w:val="0"/>
          <w:bCs/>
          <w:color w:val="000000"/>
          <w:sz w:val="32"/>
          <w:szCs w:val="32"/>
          <w:lang w:val="en-US" w:eastAsia="zh-CN"/>
        </w:rPr>
      </w:pPr>
      <w:r>
        <w:rPr>
          <w:rFonts w:hint="eastAsia" w:ascii="仿宋" w:hAnsi="仿宋" w:eastAsia="仿宋" w:cs="Times New Roman"/>
          <w:b/>
          <w:bCs/>
          <w:color w:val="000000"/>
          <w:sz w:val="32"/>
          <w:szCs w:val="32"/>
          <w:lang w:val="en-US" w:eastAsia="zh-CN"/>
        </w:rPr>
        <w:t>8</w:t>
      </w:r>
      <w:r>
        <w:rPr>
          <w:rFonts w:ascii="仿宋" w:hAnsi="仿宋" w:eastAsia="仿宋" w:cs="Times New Roman"/>
          <w:b/>
          <w:bCs/>
          <w:color w:val="000000"/>
          <w:sz w:val="32"/>
          <w:szCs w:val="32"/>
        </w:rPr>
        <w:t>.</w:t>
      </w:r>
      <w:r>
        <w:rPr>
          <w:rFonts w:hint="eastAsia" w:ascii="仿宋" w:hAnsi="仿宋" w:eastAsia="仿宋" w:cs="Times New Roman"/>
          <w:b/>
          <w:bCs/>
          <w:color w:val="000000"/>
          <w:kern w:val="2"/>
          <w:sz w:val="32"/>
          <w:szCs w:val="32"/>
          <w:lang w:val="en-US" w:eastAsia="zh-CN" w:bidi="ar-SA"/>
        </w:rPr>
        <w:t>卫生健康支出（类）行政事业单位医疗（款)其他行政事业单位医疗支出（项）:</w:t>
      </w:r>
      <w:r>
        <w:rPr>
          <w:rFonts w:ascii="仿宋" w:hAnsi="仿宋" w:eastAsia="仿宋" w:cs="Times New Roman"/>
          <w:b w:val="0"/>
          <w:bCs/>
          <w:color w:val="000000"/>
          <w:sz w:val="32"/>
          <w:szCs w:val="32"/>
        </w:rPr>
        <w:t xml:space="preserve"> </w:t>
      </w:r>
      <w:r>
        <w:rPr>
          <w:rFonts w:hint="eastAsia" w:ascii="仿宋" w:hAnsi="仿宋" w:eastAsia="仿宋" w:cs="Times New Roman"/>
          <w:b w:val="0"/>
          <w:bCs/>
          <w:color w:val="000000"/>
          <w:sz w:val="32"/>
          <w:szCs w:val="32"/>
        </w:rPr>
        <w:t>支出决算为</w:t>
      </w:r>
      <w:r>
        <w:rPr>
          <w:rFonts w:hint="eastAsia" w:ascii="仿宋" w:hAnsi="仿宋" w:eastAsia="仿宋" w:cs="Times New Roman"/>
          <w:b w:val="0"/>
          <w:bCs/>
          <w:color w:val="000000"/>
          <w:sz w:val="32"/>
          <w:szCs w:val="32"/>
          <w:lang w:val="en-US" w:eastAsia="zh-CN"/>
        </w:rPr>
        <w:t>0.33</w:t>
      </w:r>
      <w:r>
        <w:rPr>
          <w:rFonts w:hint="eastAsia" w:ascii="仿宋" w:hAnsi="仿宋" w:eastAsia="仿宋" w:cs="Times New Roman"/>
          <w:b w:val="0"/>
          <w:bCs/>
          <w:color w:val="000000"/>
          <w:sz w:val="32"/>
          <w:szCs w:val="32"/>
        </w:rPr>
        <w:t>万元，完成预算</w:t>
      </w:r>
      <w:r>
        <w:rPr>
          <w:rFonts w:hint="eastAsia" w:ascii="仿宋" w:hAnsi="仿宋" w:eastAsia="仿宋" w:cs="Times New Roman"/>
          <w:b w:val="0"/>
          <w:bCs/>
          <w:color w:val="000000"/>
          <w:sz w:val="32"/>
          <w:szCs w:val="32"/>
          <w:lang w:val="en-US" w:eastAsia="zh-CN"/>
        </w:rPr>
        <w:t>100</w:t>
      </w:r>
      <w:r>
        <w:rPr>
          <w:rFonts w:ascii="仿宋" w:hAnsi="仿宋" w:eastAsia="仿宋" w:cs="Times New Roman"/>
          <w:b w:val="0"/>
          <w:bCs/>
          <w:color w:val="000000"/>
          <w:sz w:val="32"/>
          <w:szCs w:val="32"/>
        </w:rPr>
        <w:t>%</w:t>
      </w:r>
      <w:r>
        <w:rPr>
          <w:rFonts w:hint="eastAsia" w:ascii="仿宋" w:hAnsi="仿宋" w:eastAsia="仿宋" w:cs="Times New Roman"/>
          <w:b w:val="0"/>
          <w:bCs/>
          <w:color w:val="000000"/>
          <w:sz w:val="32"/>
          <w:szCs w:val="32"/>
          <w:lang w:eastAsia="zh-CN"/>
        </w:rPr>
        <w:t>，决算数等于预算数。</w:t>
      </w:r>
    </w:p>
    <w:p>
      <w:pPr>
        <w:pageBreakBefore w:val="0"/>
        <w:widowControl w:val="0"/>
        <w:kinsoku/>
        <w:wordWrap/>
        <w:overflowPunct/>
        <w:topLinePunct w:val="0"/>
        <w:bidi w:val="0"/>
        <w:spacing w:line="560" w:lineRule="exact"/>
        <w:ind w:firstLine="642" w:firstLineChars="200"/>
        <w:textAlignment w:val="auto"/>
        <w:rPr>
          <w:rFonts w:hint="eastAsia" w:ascii="仿宋" w:hAnsi="仿宋" w:eastAsia="仿宋" w:cs="仿宋"/>
          <w:b w:val="0"/>
          <w:color w:val="000000"/>
          <w:kern w:val="2"/>
          <w:sz w:val="32"/>
          <w:szCs w:val="32"/>
          <w:lang w:val="en-US" w:eastAsia="zh-CN" w:bidi="ar"/>
        </w:rPr>
      </w:pPr>
      <w:r>
        <w:rPr>
          <w:rFonts w:hint="eastAsia" w:ascii="仿宋" w:hAnsi="仿宋" w:eastAsia="仿宋" w:cs="Times New Roman"/>
          <w:b/>
          <w:bCs/>
          <w:color w:val="000000"/>
          <w:sz w:val="32"/>
          <w:szCs w:val="32"/>
          <w:lang w:val="en-US" w:eastAsia="zh-CN"/>
        </w:rPr>
        <w:t>9</w:t>
      </w:r>
      <w:r>
        <w:rPr>
          <w:rFonts w:ascii="仿宋" w:hAnsi="仿宋" w:eastAsia="仿宋" w:cs="Times New Roman"/>
          <w:b/>
          <w:bCs/>
          <w:color w:val="000000"/>
          <w:sz w:val="32"/>
          <w:szCs w:val="32"/>
        </w:rPr>
        <w:t>.</w:t>
      </w:r>
      <w:r>
        <w:rPr>
          <w:rFonts w:hint="eastAsia" w:ascii="仿宋" w:hAnsi="仿宋" w:eastAsia="仿宋" w:cs="Times New Roman"/>
          <w:b/>
          <w:bCs/>
          <w:color w:val="000000"/>
          <w:kern w:val="2"/>
          <w:sz w:val="32"/>
          <w:szCs w:val="32"/>
          <w:lang w:val="en-US" w:eastAsia="zh-CN" w:bidi="ar-SA"/>
        </w:rPr>
        <w:t>住房保障支出（类）住房改革支出（款）住房公积金（项）:</w:t>
      </w:r>
      <w:r>
        <w:rPr>
          <w:rFonts w:hint="eastAsia" w:ascii="仿宋" w:hAnsi="仿宋" w:eastAsia="仿宋" w:cs="Times New Roman"/>
          <w:b w:val="0"/>
          <w:bCs/>
          <w:color w:val="000000"/>
          <w:sz w:val="32"/>
          <w:szCs w:val="32"/>
        </w:rPr>
        <w:t>支出决算为</w:t>
      </w:r>
      <w:r>
        <w:rPr>
          <w:rFonts w:hint="eastAsia" w:ascii="仿宋" w:hAnsi="仿宋" w:eastAsia="仿宋" w:cs="Times New Roman"/>
          <w:b w:val="0"/>
          <w:bCs/>
          <w:color w:val="000000"/>
          <w:sz w:val="32"/>
          <w:szCs w:val="32"/>
          <w:lang w:val="en-US" w:eastAsia="zh-CN"/>
        </w:rPr>
        <w:t>5.53</w:t>
      </w:r>
      <w:r>
        <w:rPr>
          <w:rFonts w:hint="eastAsia" w:ascii="仿宋" w:hAnsi="仿宋" w:eastAsia="仿宋" w:cs="Times New Roman"/>
          <w:b w:val="0"/>
          <w:bCs/>
          <w:color w:val="000000"/>
          <w:sz w:val="32"/>
          <w:szCs w:val="32"/>
        </w:rPr>
        <w:t>万元，完成预算</w:t>
      </w:r>
      <w:r>
        <w:rPr>
          <w:rFonts w:hint="eastAsia" w:ascii="仿宋" w:hAnsi="仿宋" w:eastAsia="仿宋" w:cs="Times New Roman"/>
          <w:b w:val="0"/>
          <w:bCs/>
          <w:color w:val="000000"/>
          <w:sz w:val="32"/>
          <w:szCs w:val="32"/>
          <w:lang w:val="en-US" w:eastAsia="zh-CN"/>
        </w:rPr>
        <w:t>100</w:t>
      </w:r>
      <w:r>
        <w:rPr>
          <w:rFonts w:ascii="仿宋" w:hAnsi="仿宋" w:eastAsia="仿宋" w:cs="Times New Roman"/>
          <w:b w:val="0"/>
          <w:bCs/>
          <w:color w:val="000000"/>
          <w:sz w:val="32"/>
          <w:szCs w:val="32"/>
        </w:rPr>
        <w:t>%</w:t>
      </w:r>
      <w:r>
        <w:rPr>
          <w:rFonts w:hint="eastAsia" w:ascii="仿宋" w:hAnsi="仿宋" w:eastAsia="仿宋" w:cs="Times New Roman"/>
          <w:b w:val="0"/>
          <w:bCs/>
          <w:color w:val="000000"/>
          <w:sz w:val="32"/>
          <w:szCs w:val="32"/>
          <w:lang w:eastAsia="zh-CN"/>
        </w:rPr>
        <w:t>，</w:t>
      </w:r>
      <w:r>
        <w:rPr>
          <w:rFonts w:hint="eastAsia" w:ascii="仿宋" w:hAnsi="仿宋" w:eastAsia="仿宋" w:cs="Times New Roman"/>
          <w:b w:val="0"/>
          <w:bCs/>
          <w:color w:val="000000"/>
          <w:sz w:val="32"/>
          <w:szCs w:val="32"/>
        </w:rPr>
        <w:t>决算数等于预算数</w:t>
      </w:r>
      <w:r>
        <w:rPr>
          <w:rFonts w:hint="eastAsia" w:ascii="仿宋" w:hAnsi="仿宋" w:eastAsia="仿宋" w:cs="仿宋"/>
          <w:b w:val="0"/>
          <w:color w:val="000000"/>
          <w:kern w:val="2"/>
          <w:sz w:val="32"/>
          <w:szCs w:val="32"/>
          <w:lang w:val="en-US" w:eastAsia="zh-CN" w:bidi="ar"/>
        </w:rPr>
        <w:t>。</w:t>
      </w:r>
    </w:p>
    <w:p>
      <w:pPr>
        <w:tabs>
          <w:tab w:val="right" w:pos="8306"/>
        </w:tabs>
        <w:spacing w:line="600" w:lineRule="exact"/>
        <w:ind w:firstLine="640"/>
        <w:outlineLvl w:val="1"/>
        <w:rPr>
          <w:rStyle w:val="29"/>
          <w:rFonts w:ascii="Times New Roman" w:hAnsi="Times New Roman"/>
          <w:color w:val="auto"/>
          <w:highlight w:val="none"/>
        </w:rPr>
      </w:pPr>
      <w:bookmarkStart w:id="35" w:name="_Toc15377214"/>
      <w:bookmarkStart w:id="36"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5"/>
      <w:bookmarkEnd w:id="36"/>
      <w:r>
        <w:rPr>
          <w:rStyle w:val="29"/>
          <w:rFonts w:ascii="Times New Roman" w:hAnsi="Times New Roman" w:eastAsia="黑体"/>
          <w:b w:val="0"/>
          <w:color w:val="auto"/>
          <w:highlight w:val="none"/>
        </w:rPr>
        <w:tab/>
      </w:r>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2025年度一般公共预算财政拨款基本支出80.40万元，其中：</w:t>
      </w:r>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人员经费72.27万元，主要包括：基本工资、津贴补贴、奖金、绩效工资、机关事业单位基本养老保险费、职业年金缴费、职工基本医疗保险缴费、公务员医疗补助缴费、其他社会保障缴费、住房公积金、医疗费补助、生活补助。</w:t>
      </w:r>
      <w:r>
        <w:rPr>
          <w:rFonts w:hint="eastAsia" w:ascii="仿宋_GB2312" w:eastAsia="仿宋_GB2312"/>
          <w:color w:val="000000"/>
          <w:sz w:val="32"/>
          <w:szCs w:val="32"/>
          <w:lang w:val="en-US" w:eastAsia="zh-CN"/>
        </w:rPr>
        <w:br w:type="textWrapping"/>
      </w:r>
      <w:r>
        <w:rPr>
          <w:rFonts w:hint="eastAsia" w:ascii="仿宋_GB2312" w:eastAsia="仿宋_GB2312"/>
          <w:color w:val="000000"/>
          <w:sz w:val="32"/>
          <w:szCs w:val="32"/>
          <w:lang w:val="en-US" w:eastAsia="zh-CN"/>
        </w:rPr>
        <w:t>　　公用经费8.14万元，主要包括：办公费、印刷费、邮电费、差旅费、公务用车运行维护费、其他商品和服务支出。</w:t>
      </w:r>
    </w:p>
    <w:p>
      <w:pPr>
        <w:spacing w:line="600" w:lineRule="exact"/>
        <w:ind w:firstLine="640"/>
        <w:outlineLvl w:val="1"/>
        <w:rPr>
          <w:rStyle w:val="29"/>
          <w:rFonts w:ascii="Times New Roman" w:hAnsi="Times New Roman" w:eastAsia="黑体"/>
          <w:b w:val="0"/>
          <w:color w:val="auto"/>
          <w:highlight w:val="none"/>
        </w:rPr>
      </w:pPr>
      <w:bookmarkStart w:id="37" w:name="_Toc15377215"/>
      <w:bookmarkStart w:id="38"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7"/>
      <w:bookmarkEnd w:id="3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9"/>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color w:val="000000"/>
          <w:sz w:val="32"/>
          <w:szCs w:val="32"/>
          <w:lang w:val="en-US" w:eastAsia="zh-CN"/>
        </w:rPr>
        <w:t>2025年度财政拨款“三公”经费支出决算为3.96万元，完成预算99%，较上年度增加1.94万元，增长92.23%。</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0"/>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2025年度财政拨款“三公”经费支出决算中，因公出国（境）费支出决算0万元，占0%；公务用车购置及运行维护费支出决算3.96万元，占100%；公务接待费支出决算0万元，占0%。具体情况如下：</w:t>
      </w:r>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-74930</wp:posOffset>
            </wp:positionH>
            <wp:positionV relativeFrom="paragraph">
              <wp:posOffset>318135</wp:posOffset>
            </wp:positionV>
            <wp:extent cx="5256530" cy="2988310"/>
            <wp:effectExtent l="5080" t="4445" r="15240" b="17145"/>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1.公务用车购置及运行维护费支出3.96万元，完成预算100%。公务用车购置及运行维护费支出决算比上年度增加较上年度增加1.94万元，增长92.23%。主要原因公务用车使用率增加</w:t>
      </w:r>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其中：公务用车购置支出0万元。全年按规定更新购置公务用车0辆。截至2025年12月31日，单位共有公务用车1辆，其中：轿车0辆、越野车1辆、载客汽车0辆。</w:t>
      </w:r>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公务用车运行维护费支出3.96万元。主要用于单位日常活动所需的公务用车燃料费、维修费、过路过桥费、保险费等支出。</w:t>
      </w:r>
    </w:p>
    <w:p>
      <w:pPr>
        <w:spacing w:line="600" w:lineRule="exact"/>
        <w:ind w:firstLine="640"/>
        <w:outlineLvl w:val="1"/>
        <w:rPr>
          <w:rStyle w:val="29"/>
          <w:rFonts w:ascii="Times New Roman" w:hAnsi="Times New Roman" w:eastAsia="黑体"/>
          <w:color w:val="auto"/>
          <w:highlight w:val="none"/>
        </w:rPr>
      </w:pPr>
      <w:bookmarkStart w:id="41" w:name="_Toc15396610"/>
      <w:bookmarkStart w:id="42" w:name="_Toc1537721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1"/>
      <w:bookmarkEnd w:id="42"/>
    </w:p>
    <w:p>
      <w:pPr>
        <w:spacing w:line="600" w:lineRule="exact"/>
        <w:ind w:firstLine="640"/>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2025年度政府性基金预算财政拨款支出0万元。</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3" w:name="_Toc15396611"/>
      <w:bookmarkStart w:id="44"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3"/>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000000"/>
          <w:sz w:val="32"/>
          <w:szCs w:val="32"/>
          <w:lang w:val="en-US" w:eastAsia="zh-CN"/>
        </w:rPr>
        <w:t>2025年度国有资本经营预算财政拨款支出0万元</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5" w:name="_Toc15377221"/>
      <w:bookmarkStart w:id="46"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5"/>
      <w:bookmarkEnd w:id="4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7" w:name="_Toc15377222"/>
      <w:r>
        <w:rPr>
          <w:rFonts w:hint="eastAsia" w:ascii="Times New Roman" w:hAnsi="Times New Roman" w:eastAsia="楷体_GB2312" w:cs="楷体_GB2312"/>
          <w:b/>
          <w:color w:val="auto"/>
          <w:sz w:val="32"/>
          <w:szCs w:val="32"/>
          <w:highlight w:val="none"/>
        </w:rPr>
        <w:t>（一）机关运行经费支出情况</w:t>
      </w:r>
      <w:bookmarkEnd w:id="47"/>
    </w:p>
    <w:p>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2025年度，壤塘县佛教协会机关运行经费支出8.55万元，比上年度增加3.98万元，增长87.09%，主要原因是支出增加。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8" w:name="_Toc15377223"/>
      <w:r>
        <w:rPr>
          <w:rFonts w:hint="eastAsia" w:ascii="Times New Roman" w:hAnsi="Times New Roman" w:eastAsia="楷体_GB2312" w:cs="楷体_GB2312"/>
          <w:b/>
          <w:color w:val="auto"/>
          <w:sz w:val="32"/>
          <w:szCs w:val="32"/>
          <w:highlight w:val="none"/>
        </w:rPr>
        <w:t>（二）政府采购支出情况</w:t>
      </w:r>
      <w:bookmarkEnd w:id="48"/>
    </w:p>
    <w:p>
      <w:pPr>
        <w:spacing w:line="600" w:lineRule="exact"/>
        <w:ind w:firstLine="640" w:firstLineChars="200"/>
        <w:outlineLvl w:val="2"/>
        <w:rPr>
          <w:rFonts w:hint="eastAsia" w:ascii="仿宋_GB2312" w:eastAsia="仿宋_GB2312"/>
          <w:color w:val="000000"/>
          <w:sz w:val="32"/>
          <w:szCs w:val="32"/>
        </w:rPr>
      </w:pPr>
      <w:r>
        <w:rPr>
          <w:rFonts w:hint="eastAsia" w:ascii="仿宋_GB2312" w:eastAsia="仿宋_GB2312"/>
          <w:color w:val="000000"/>
          <w:sz w:val="32"/>
          <w:szCs w:val="32"/>
          <w:lang w:val="en-US" w:eastAsia="zh-CN"/>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w:t>
      </w:r>
      <w:bookmarkStart w:id="49" w:name="_Toc15377224"/>
      <w:r>
        <w:rPr>
          <w:rFonts w:hint="eastAsia" w:ascii="仿宋_GB2312" w:eastAsia="仿宋_GB2312"/>
          <w:color w:val="000000"/>
          <w:sz w:val="32"/>
          <w:szCs w:val="32"/>
          <w:lang w:eastAsia="zh-CN"/>
        </w:rPr>
        <w:t>壤塘县</w:t>
      </w:r>
      <w:r>
        <w:rPr>
          <w:rFonts w:hint="eastAsia" w:ascii="仿宋_GB2312" w:eastAsia="仿宋_GB2312"/>
          <w:color w:val="000000"/>
          <w:sz w:val="32"/>
          <w:szCs w:val="32"/>
          <w:lang w:val="en-US" w:eastAsia="zh-CN"/>
        </w:rPr>
        <w:t>佛教协会本级</w:t>
      </w:r>
      <w:r>
        <w:rPr>
          <w:rFonts w:hint="eastAsia" w:ascii="仿宋_GB2312" w:eastAsia="仿宋_GB2312"/>
          <w:color w:val="000000"/>
          <w:sz w:val="32"/>
          <w:szCs w:val="32"/>
          <w:lang w:eastAsia="zh-CN"/>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万元。授予中小企业合同金额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万元，占政府采购支出总额的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万元，占政府采购支出总额的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w:t>
      </w:r>
      <w:r>
        <w:rPr>
          <w:rFonts w:hint="eastAsia" w:ascii="仿宋_GB2312" w:eastAsia="仿宋_GB2312"/>
          <w:color w:val="000000"/>
          <w:sz w:val="32"/>
          <w:szCs w:val="32"/>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49"/>
    </w:p>
    <w:p>
      <w:pPr>
        <w:spacing w:line="600" w:lineRule="exact"/>
        <w:ind w:firstLine="640" w:firstLineChars="200"/>
        <w:outlineLvl w:val="2"/>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截至2025年12月31日，</w:t>
      </w:r>
      <w:r>
        <w:rPr>
          <w:rFonts w:hint="eastAsia" w:ascii="仿宋_GB2312" w:eastAsia="仿宋_GB2312"/>
          <w:color w:val="000000"/>
          <w:sz w:val="32"/>
          <w:szCs w:val="32"/>
          <w:lang w:eastAsia="zh-CN"/>
        </w:rPr>
        <w:t>壤塘县</w:t>
      </w:r>
      <w:r>
        <w:rPr>
          <w:rFonts w:hint="eastAsia" w:ascii="仿宋_GB2312" w:eastAsia="仿宋_GB2312"/>
          <w:color w:val="000000"/>
          <w:sz w:val="32"/>
          <w:szCs w:val="32"/>
          <w:lang w:val="en-US" w:eastAsia="zh-CN"/>
        </w:rPr>
        <w:t>佛教协会本级</w:t>
      </w:r>
      <w:r>
        <w:rPr>
          <w:rFonts w:hint="eastAsia" w:ascii="仿宋_GB2312" w:eastAsia="仿宋_GB2312"/>
          <w:color w:val="000000"/>
          <w:sz w:val="32"/>
          <w:szCs w:val="32"/>
          <w:lang w:eastAsia="zh-CN"/>
        </w:rPr>
        <w:t>共有车辆</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lang w:eastAsia="zh-CN"/>
        </w:rPr>
        <w:t>辆，其中：主要领导干部用车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辆、其他用车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lang w:eastAsia="zh-CN"/>
        </w:rPr>
        <w:t>辆，其他用车主要是用于</w:t>
      </w:r>
      <w:r>
        <w:rPr>
          <w:rFonts w:hint="eastAsia" w:ascii="仿宋_GB2312" w:eastAsia="仿宋_GB2312"/>
          <w:color w:val="000000"/>
          <w:sz w:val="32"/>
          <w:szCs w:val="32"/>
          <w:lang w:val="en-US" w:eastAsia="zh-CN"/>
        </w:rPr>
        <w:t>单位日常活动，</w:t>
      </w:r>
      <w:r>
        <w:rPr>
          <w:rFonts w:hint="eastAsia" w:ascii="仿宋_GB2312" w:eastAsia="仿宋_GB2312"/>
          <w:color w:val="000000"/>
          <w:sz w:val="32"/>
          <w:szCs w:val="32"/>
          <w:lang w:eastAsia="zh-CN"/>
        </w:rPr>
        <w:t>单价50万元以上通用设备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台（套），单价100万元以上专用设备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lang w:eastAsia="zh-CN"/>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firstLineChars="200"/>
        <w:outlineLvl w:val="2"/>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根据预算绩效管理要求，</w:t>
      </w:r>
      <w:r>
        <w:rPr>
          <w:rFonts w:hint="eastAsia" w:ascii="仿宋_GB2312" w:eastAsia="仿宋_GB2312"/>
          <w:color w:val="000000"/>
          <w:sz w:val="32"/>
          <w:szCs w:val="32"/>
          <w:lang w:eastAsia="zh-CN"/>
        </w:rPr>
        <w:t>壤塘县</w:t>
      </w:r>
      <w:r>
        <w:rPr>
          <w:rFonts w:hint="eastAsia" w:ascii="仿宋_GB2312" w:eastAsia="仿宋_GB2312"/>
          <w:color w:val="000000"/>
          <w:sz w:val="32"/>
          <w:szCs w:val="32"/>
          <w:lang w:val="en-US" w:eastAsia="zh-CN"/>
        </w:rPr>
        <w:t>佛教协会本级在2025年度，组织对0个项目涉及金额0万元开展了事前绩效评估，对0个项目编制了绩效目标，预算执行过程中，选取0个项目开展绩效监控。</w:t>
      </w:r>
    </w:p>
    <w:p>
      <w:pPr>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组织对</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年度一般公共预算、政府性基金预算、国有资本经营预算、社会保险基金预算以及资本资产、债券资金等全面开展绩效自评，形成</w:t>
      </w:r>
      <w:r>
        <w:rPr>
          <w:rFonts w:hint="eastAsia" w:ascii="仿宋" w:hAnsi="仿宋" w:eastAsia="仿宋" w:cs="仿宋"/>
          <w:b w:val="0"/>
          <w:bCs w:val="0"/>
          <w:kern w:val="2"/>
          <w:sz w:val="32"/>
          <w:szCs w:val="32"/>
          <w:highlight w:val="none"/>
          <w:lang w:val="en-US" w:eastAsia="zh-CN" w:bidi="ar-SA"/>
        </w:rPr>
        <w:t>壤塘县佛教协会</w:t>
      </w:r>
      <w:r>
        <w:rPr>
          <w:rFonts w:hint="eastAsia" w:ascii="仿宋" w:hAnsi="仿宋" w:eastAsia="仿宋" w:cs="仿宋"/>
          <w:sz w:val="32"/>
          <w:szCs w:val="32"/>
        </w:rPr>
        <w:t>部门整体（含部门预算项目）绩效自评报告</w:t>
      </w:r>
      <w:r>
        <w:rPr>
          <w:rFonts w:hint="eastAsia" w:ascii="仿宋" w:hAnsi="仿宋" w:eastAsia="仿宋" w:cs="仿宋"/>
          <w:sz w:val="32"/>
          <w:szCs w:val="32"/>
          <w:lang w:eastAsia="zh-CN"/>
        </w:rPr>
        <w:t>，</w:t>
      </w:r>
      <w:r>
        <w:rPr>
          <w:rFonts w:hint="eastAsia" w:ascii="仿宋" w:hAnsi="仿宋" w:eastAsia="仿宋" w:cs="仿宋"/>
          <w:sz w:val="32"/>
          <w:szCs w:val="32"/>
        </w:rPr>
        <w:t>其中，</w:t>
      </w:r>
      <w:r>
        <w:rPr>
          <w:rFonts w:hint="eastAsia" w:ascii="仿宋" w:hAnsi="仿宋" w:eastAsia="仿宋" w:cs="仿宋"/>
          <w:b w:val="0"/>
          <w:bCs w:val="0"/>
          <w:kern w:val="2"/>
          <w:sz w:val="32"/>
          <w:szCs w:val="32"/>
          <w:highlight w:val="none"/>
          <w:lang w:val="en-US" w:eastAsia="zh-CN" w:bidi="ar-SA"/>
        </w:rPr>
        <w:t>壤塘县佛教协会</w:t>
      </w:r>
      <w:r>
        <w:rPr>
          <w:rFonts w:hint="eastAsia" w:ascii="仿宋" w:hAnsi="仿宋" w:eastAsia="仿宋" w:cs="仿宋"/>
          <w:sz w:val="32"/>
          <w:szCs w:val="32"/>
        </w:rPr>
        <w:t>部门整体（含部门预算项目）绩效自评得分为</w:t>
      </w:r>
      <w:r>
        <w:rPr>
          <w:rFonts w:hint="eastAsia" w:ascii="仿宋" w:hAnsi="仿宋" w:eastAsia="仿宋" w:cs="仿宋"/>
          <w:sz w:val="32"/>
          <w:szCs w:val="32"/>
          <w:lang w:val="en-US" w:eastAsia="zh-CN"/>
        </w:rPr>
        <w:t>89</w:t>
      </w:r>
      <w:r>
        <w:rPr>
          <w:rFonts w:hint="eastAsia" w:ascii="仿宋" w:hAnsi="仿宋" w:eastAsia="仿宋" w:cs="仿宋"/>
          <w:sz w:val="32"/>
          <w:szCs w:val="32"/>
        </w:rPr>
        <w:t>分，绩效自评综述：本次部门整体支出绩效自评得分为</w:t>
      </w:r>
      <w:r>
        <w:rPr>
          <w:rFonts w:hint="eastAsia" w:ascii="仿宋" w:hAnsi="仿宋" w:eastAsia="仿宋" w:cs="仿宋"/>
          <w:sz w:val="32"/>
          <w:szCs w:val="32"/>
          <w:lang w:val="en-US" w:eastAsia="zh-CN"/>
        </w:rPr>
        <w:t>89</w:t>
      </w:r>
      <w:r>
        <w:rPr>
          <w:rFonts w:hint="eastAsia" w:ascii="仿宋" w:hAnsi="仿宋" w:eastAsia="仿宋" w:cs="仿宋"/>
          <w:sz w:val="32"/>
          <w:szCs w:val="32"/>
        </w:rPr>
        <w:t>分</w:t>
      </w:r>
      <w:r>
        <w:rPr>
          <w:rFonts w:hint="eastAsia" w:ascii="仿宋" w:hAnsi="仿宋" w:eastAsia="仿宋" w:cs="仿宋"/>
          <w:sz w:val="32"/>
          <w:szCs w:val="32"/>
          <w:lang w:eastAsia="zh-CN"/>
        </w:rPr>
        <w:t>，</w:t>
      </w:r>
      <w:r>
        <w:rPr>
          <w:rFonts w:hint="eastAsia" w:ascii="仿宋" w:hAnsi="仿宋" w:eastAsia="仿宋" w:cs="仿宋"/>
          <w:sz w:val="32"/>
          <w:szCs w:val="32"/>
        </w:rPr>
        <w:t>总体表现良好；本部门无专项预算项目，因此未组织开展项目支出绩效评价。绩效自评报告详见附件</w:t>
      </w:r>
      <w:r>
        <w:rPr>
          <w:rFonts w:hint="eastAsia" w:ascii="仿宋" w:hAnsi="仿宋" w:eastAsia="仿宋" w:cs="仿宋"/>
          <w:sz w:val="32"/>
          <w:szCs w:val="32"/>
          <w:lang w:eastAsia="zh-CN"/>
        </w:rPr>
        <w:t>。</w:t>
      </w:r>
    </w:p>
    <w:p>
      <w:pPr>
        <w:pStyle w:val="7"/>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0" w:name="_Toc15377225"/>
      <w:bookmarkStart w:id="5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0"/>
      <w:bookmarkEnd w:id="51"/>
    </w:p>
    <w:p>
      <w:pPr>
        <w:spacing w:line="600" w:lineRule="exact"/>
        <w:jc w:val="left"/>
        <w:rPr>
          <w:rFonts w:ascii="Times New Roman" w:hAnsi="Times New Roman"/>
          <w:b/>
          <w:color w:val="auto"/>
          <w:sz w:val="44"/>
          <w:szCs w:val="44"/>
          <w:highlight w:val="none"/>
        </w:rPr>
      </w:pPr>
    </w:p>
    <w:p>
      <w:pPr>
        <w:pStyle w:val="26"/>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26"/>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pPr>
        <w:pStyle w:val="26"/>
        <w:spacing w:line="560" w:lineRule="exact"/>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pPr>
        <w:pStyle w:val="26"/>
        <w:spacing w:line="560" w:lineRule="exact"/>
        <w:ind w:firstLine="640" w:firstLineChars="200"/>
        <w:rPr>
          <w:rFonts w:hint="eastAsia"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pPr>
        <w:pStyle w:val="26"/>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26"/>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26"/>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pPr>
        <w:pStyle w:val="26"/>
        <w:spacing w:line="560" w:lineRule="exact"/>
        <w:ind w:firstLine="640" w:firstLineChars="200"/>
        <w:rPr>
          <w:rFonts w:hint="eastAsia"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pStyle w:val="26"/>
        <w:spacing w:line="560" w:lineRule="exact"/>
        <w:ind w:firstLine="640" w:firstLineChars="200"/>
        <w:rPr>
          <w:rFonts w:hint="default" w:ascii="仿宋_GB2312" w:eastAsia="仿宋_GB2312"/>
          <w:sz w:val="32"/>
          <w:szCs w:val="32"/>
          <w:lang w:val="en-US"/>
        </w:rPr>
      </w:pPr>
      <w:r>
        <w:rPr>
          <w:rFonts w:hint="eastAsia" w:ascii="仿宋_GB2312" w:eastAsia="仿宋_GB2312"/>
          <w:sz w:val="32"/>
          <w:szCs w:val="32"/>
          <w:lang w:val="en-US" w:eastAsia="zh-CN"/>
        </w:rPr>
        <w:t>9.</w:t>
      </w:r>
      <w:r>
        <w:rPr>
          <w:rFonts w:hint="eastAsia" w:ascii="仿宋_GB2312" w:eastAsia="仿宋_GB2312"/>
          <w:sz w:val="32"/>
          <w:szCs w:val="32"/>
          <w:lang w:eastAsia="zh-CN"/>
        </w:rPr>
        <w:t>一般公共服务支出</w:t>
      </w:r>
      <w:r>
        <w:rPr>
          <w:rFonts w:hint="eastAsia" w:ascii="仿宋_GB2312" w:eastAsia="仿宋_GB2312"/>
          <w:sz w:val="32"/>
          <w:szCs w:val="32"/>
          <w:lang w:val="en-US" w:eastAsia="zh-CN"/>
        </w:rPr>
        <w:t>（类）群众团体事务（</w:t>
      </w:r>
      <w:r>
        <w:rPr>
          <w:rFonts w:hint="eastAsia" w:ascii="仿宋_GB2312" w:eastAsia="仿宋_GB2312"/>
          <w:sz w:val="32"/>
          <w:szCs w:val="32"/>
          <w:lang w:eastAsia="zh-CN"/>
        </w:rPr>
        <w:t>款）</w:t>
      </w:r>
      <w:r>
        <w:rPr>
          <w:rFonts w:hint="eastAsia" w:ascii="仿宋_GB2312" w:eastAsia="仿宋_GB2312"/>
          <w:sz w:val="32"/>
          <w:szCs w:val="32"/>
          <w:lang w:val="en-US" w:eastAsia="zh-CN"/>
        </w:rPr>
        <w:t>行政运行</w:t>
      </w:r>
      <w:r>
        <w:rPr>
          <w:rFonts w:hint="eastAsia" w:ascii="仿宋_GB2312" w:eastAsia="仿宋_GB2312"/>
          <w:sz w:val="32"/>
          <w:szCs w:val="32"/>
          <w:lang w:eastAsia="zh-CN"/>
        </w:rPr>
        <w:t>（项）：指</w:t>
      </w:r>
      <w:r>
        <w:rPr>
          <w:rFonts w:hint="eastAsia" w:ascii="仿宋_GB2312" w:eastAsia="仿宋_GB2312"/>
          <w:sz w:val="32"/>
          <w:szCs w:val="32"/>
          <w:lang w:val="en-US" w:eastAsia="zh-CN"/>
        </w:rPr>
        <w:t>行政单位（包括实行公务员管理的事业单位）的基本支出。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.社会保障和就业（类）行政事业单位养老支出（款）机关事业单位基本养老保险缴费支出（项）：指机关事业单位实施养老保险制度由单位缴纳的基本养老保险费支出。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 社会保障和就业（类）行政事业单位养老支出（款）机关事业单位职业年金缴费支出（项）：指机关事业单位养老保险制度由单位缴纳的职业年金支出。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.卫生健康支出（类）行政事业单位医疗（款）事业单位医疗（项）：指财政部门集中安排的事业单位基本医疗保险缴费。</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.住房保障（类）住房改革（款）住房公积金（项）：指行政事业单位按规定的标准和比例为职工缴纳的住房公积金。</w:t>
      </w:r>
    </w:p>
    <w:p>
      <w:pPr>
        <w:pStyle w:val="26"/>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.基本支出：指为保障机构正常运转、完成日常工作任务而发生的人员支出和公用支出。</w:t>
      </w:r>
    </w:p>
    <w:p>
      <w:pPr>
        <w:pStyle w:val="26"/>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.项目支出：指在基本支出之外为完成特定行政任务和事业发展目标所发生的支出。</w:t>
      </w:r>
    </w:p>
    <w:p>
      <w:pPr>
        <w:pStyle w:val="26"/>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.经营支出：指事业单位在专业业务活动及其辅助活动之外开展非独立核算经营活动发生的支出。</w:t>
      </w:r>
    </w:p>
    <w:p>
      <w:pPr>
        <w:pStyle w:val="26"/>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ascii="仿宋_GB2312" w:eastAsia="仿宋_GB2312"/>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8</w:t>
      </w:r>
      <w:r>
        <w:rPr>
          <w:rFonts w:hint="eastAsia" w:ascii="仿宋_GB2312" w:eastAsia="仿宋_GB2312"/>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pPr>
        <w:spacing w:line="600" w:lineRule="exact"/>
        <w:jc w:val="center"/>
        <w:rPr>
          <w:rFonts w:hint="eastAsia" w:ascii="Times New Roman" w:hAnsi="Times New Roman" w:eastAsia="黑体"/>
          <w:color w:val="auto"/>
          <w:sz w:val="44"/>
          <w:szCs w:val="44"/>
          <w:highlight w:val="none"/>
        </w:rPr>
      </w:pPr>
      <w:bookmarkStart w:id="52" w:name="_Toc15396614"/>
      <w:bookmarkStart w:id="53" w:name="_Toc15377226"/>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bookmarkStart w:id="69" w:name="_GoBack"/>
      <w:bookmarkEnd w:id="69"/>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spacing w:line="360" w:lineRule="auto"/>
        <w:ind w:firstLine="642" w:firstLineChars="200"/>
        <w:jc w:val="both"/>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（一）机构组成</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zh-CN" w:eastAsia="zh-CN"/>
        </w:rPr>
        <w:t>壤塘县佛教协会由办公室和财务股组成</w:t>
      </w:r>
      <w:r>
        <w:rPr>
          <w:rFonts w:hint="eastAsia" w:ascii="仿宋_GB2312" w:hAnsi="仿宋_GB2312" w:eastAsia="仿宋_GB2312" w:cs="仿宋_GB2312"/>
          <w:sz w:val="32"/>
          <w:szCs w:val="32"/>
        </w:rPr>
        <w:t>。</w:t>
      </w:r>
    </w:p>
    <w:p>
      <w:pPr>
        <w:numPr>
          <w:ilvl w:val="0"/>
          <w:numId w:val="1"/>
        </w:numPr>
        <w:spacing w:line="360" w:lineRule="auto"/>
        <w:ind w:firstLine="642"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rPr>
        <w:t>机构职能</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textAlignment w:val="auto"/>
        <w:rPr>
          <w:rFonts w:hint="eastAsia"/>
          <w:sz w:val="32"/>
          <w:szCs w:val="32"/>
          <w:lang w:val="en-US" w:eastAsia="zh-CN"/>
        </w:rPr>
      </w:pPr>
      <w:r>
        <w:rPr>
          <w:rFonts w:hint="eastAsia"/>
          <w:sz w:val="32"/>
          <w:szCs w:val="32"/>
          <w:lang w:val="en-US" w:eastAsia="zh-CN"/>
        </w:rPr>
        <w:t>（1）团结、带领全县各民族佛教徒遵守宪法、法律、法规和国家政策。</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textAlignment w:val="auto"/>
        <w:rPr>
          <w:rFonts w:hint="eastAsia"/>
          <w:sz w:val="32"/>
          <w:szCs w:val="32"/>
          <w:lang w:val="en-US" w:eastAsia="zh-CN"/>
        </w:rPr>
      </w:pPr>
      <w:r>
        <w:rPr>
          <w:rFonts w:hint="eastAsia"/>
          <w:sz w:val="32"/>
          <w:szCs w:val="32"/>
          <w:lang w:val="en-US" w:eastAsia="zh-CN"/>
        </w:rPr>
        <w:t>（2）协助政府贯彻落实宗教信仰自由政策和法律法规规章，维护佛教界的合法权益。深入调查研究，反映佛教组织和佛教界人士的意见和诉求，充分发挥桥梁纽带作用。</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textAlignment w:val="auto"/>
        <w:rPr>
          <w:rFonts w:hint="eastAsia"/>
          <w:sz w:val="32"/>
          <w:szCs w:val="32"/>
          <w:lang w:val="en-US" w:eastAsia="zh-CN"/>
        </w:rPr>
      </w:pPr>
      <w:r>
        <w:rPr>
          <w:rFonts w:hint="eastAsia"/>
          <w:sz w:val="32"/>
          <w:szCs w:val="32"/>
          <w:lang w:val="en-US" w:eastAsia="zh-CN"/>
        </w:rPr>
        <w:t>（3）密切联系全县各民族佛教徒，增进民族团结。</w:t>
      </w:r>
    </w:p>
    <w:p>
      <w:pPr>
        <w:numPr>
          <w:ilvl w:val="0"/>
          <w:numId w:val="1"/>
        </w:numPr>
        <w:spacing w:line="360" w:lineRule="auto"/>
        <w:ind w:firstLine="642" w:firstLineChars="200"/>
        <w:jc w:val="both"/>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人员概况</w:t>
      </w:r>
    </w:p>
    <w:p>
      <w:pPr>
        <w:pageBreakBefore w:val="0"/>
        <w:widowControl w:val="0"/>
        <w:kinsoku/>
        <w:wordWrap/>
        <w:overflowPunct/>
        <w:topLinePunct w:val="0"/>
        <w:bidi w:val="0"/>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截至202</w:t>
      </w:r>
      <w:r>
        <w:rPr>
          <w:rFonts w:hint="eastAsia" w:ascii="仿宋" w:hAnsi="仿宋" w:eastAsia="仿宋" w:cs="仿宋"/>
          <w:sz w:val="32"/>
          <w:szCs w:val="32"/>
          <w:lang w:val="en-US" w:eastAsia="zh-CN"/>
        </w:rPr>
        <w:t>5</w:t>
      </w:r>
      <w:r>
        <w:rPr>
          <w:rFonts w:hint="default" w:ascii="仿宋" w:hAnsi="仿宋" w:eastAsia="仿宋" w:cs="仿宋"/>
          <w:sz w:val="32"/>
          <w:szCs w:val="32"/>
          <w:lang w:val="en-US" w:eastAsia="zh-CN"/>
        </w:rPr>
        <w:t>年末，</w:t>
      </w:r>
      <w:r>
        <w:rPr>
          <w:rFonts w:hint="eastAsia" w:ascii="仿宋" w:hAnsi="仿宋" w:eastAsia="仿宋" w:cs="仿宋"/>
          <w:sz w:val="32"/>
          <w:szCs w:val="32"/>
          <w:lang w:eastAsia="zh-CN"/>
        </w:rPr>
        <w:t>人员情况：</w:t>
      </w:r>
      <w:r>
        <w:rPr>
          <w:rFonts w:hint="eastAsia" w:ascii="仿宋" w:hAnsi="仿宋" w:eastAsia="仿宋" w:cs="仿宋"/>
          <w:sz w:val="32"/>
          <w:szCs w:val="32"/>
          <w:lang w:val="en-US" w:eastAsia="zh-CN"/>
        </w:rPr>
        <w:t>在职</w:t>
      </w:r>
      <w:r>
        <w:rPr>
          <w:rFonts w:hint="eastAsia" w:ascii="仿宋" w:hAnsi="仿宋" w:eastAsia="仿宋" w:cs="仿宋"/>
          <w:sz w:val="32"/>
          <w:szCs w:val="32"/>
        </w:rPr>
        <w:t>总编制</w:t>
      </w:r>
      <w:r>
        <w:rPr>
          <w:rFonts w:hint="eastAsia" w:ascii="仿宋" w:hAnsi="仿宋" w:eastAsia="仿宋" w:cs="仿宋"/>
          <w:sz w:val="32"/>
          <w:szCs w:val="32"/>
          <w:lang w:val="en-US" w:eastAsia="zh-CN"/>
        </w:rPr>
        <w:t>3</w:t>
      </w:r>
      <w:r>
        <w:rPr>
          <w:rFonts w:hint="eastAsia" w:ascii="仿宋" w:hAnsi="仿宋" w:eastAsia="仿宋" w:cs="仿宋"/>
          <w:sz w:val="32"/>
          <w:szCs w:val="32"/>
        </w:rPr>
        <w:t>名,其中:</w:t>
      </w:r>
      <w:r>
        <w:rPr>
          <w:rFonts w:hint="eastAsia" w:ascii="仿宋" w:hAnsi="仿宋" w:eastAsia="仿宋" w:cs="仿宋"/>
          <w:sz w:val="32"/>
          <w:szCs w:val="32"/>
          <w:lang w:val="en-US" w:eastAsia="zh-CN"/>
        </w:rPr>
        <w:t>事业编制2人、行政工勤1人</w:t>
      </w:r>
      <w:r>
        <w:rPr>
          <w:rFonts w:hint="eastAsia" w:ascii="仿宋" w:hAnsi="仿宋" w:eastAsia="仿宋" w:cs="仿宋"/>
          <w:sz w:val="32"/>
          <w:szCs w:val="32"/>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pageBreakBefore w:val="0"/>
        <w:widowControl w:val="0"/>
        <w:kinsoku/>
        <w:wordWrap/>
        <w:overflowPunct/>
        <w:topLinePunct w:val="0"/>
        <w:bidi w:val="0"/>
        <w:spacing w:line="560" w:lineRule="exact"/>
        <w:ind w:firstLine="640" w:firstLineChars="200"/>
        <w:textAlignment w:val="auto"/>
        <w:rPr>
          <w:rFonts w:hint="default" w:ascii="仿宋" w:hAnsi="仿宋" w:eastAsia="仿宋" w:cs="仿宋"/>
          <w:sz w:val="32"/>
          <w:szCs w:val="32"/>
          <w:lang w:val="zh-CN" w:eastAsia="zh-CN"/>
        </w:rPr>
      </w:pPr>
      <w:r>
        <w:rPr>
          <w:rFonts w:hint="default" w:ascii="仿宋" w:hAnsi="仿宋" w:eastAsia="仿宋" w:cs="仿宋"/>
          <w:sz w:val="32"/>
          <w:szCs w:val="32"/>
          <w:lang w:val="zh-CN" w:eastAsia="zh-CN"/>
        </w:rPr>
        <w:t xml:space="preserve">（一）收入情况。壤塘县佛教协会2025年财政下达收入全年预算数共计80.40万元，其中年初预算收入73.19万元，执行期中追加收入7.21万元。 </w:t>
      </w:r>
    </w:p>
    <w:p>
      <w:pPr>
        <w:pageBreakBefore w:val="0"/>
        <w:widowControl w:val="0"/>
        <w:kinsoku/>
        <w:wordWrap/>
        <w:overflowPunct/>
        <w:topLinePunct w:val="0"/>
        <w:bidi w:val="0"/>
        <w:spacing w:line="560" w:lineRule="exact"/>
        <w:ind w:firstLine="640" w:firstLineChars="200"/>
        <w:textAlignment w:val="auto"/>
        <w:rPr>
          <w:rFonts w:hint="default" w:ascii="仿宋" w:hAnsi="仿宋" w:eastAsia="仿宋" w:cs="仿宋"/>
          <w:sz w:val="32"/>
          <w:szCs w:val="32"/>
          <w:lang w:val="zh-CN" w:eastAsia="zh-CN"/>
        </w:rPr>
      </w:pPr>
      <w:r>
        <w:rPr>
          <w:rFonts w:hint="default" w:ascii="仿宋" w:hAnsi="仿宋" w:eastAsia="仿宋" w:cs="仿宋"/>
          <w:sz w:val="32"/>
          <w:szCs w:val="32"/>
          <w:lang w:val="zh-CN" w:eastAsia="zh-CN"/>
        </w:rPr>
        <w:t>（二）支出情况。壤塘县佛教协会2025年支出全年预算数共计80.40万元，其中基本支出80.40万元，项目支出0万元。</w:t>
      </w:r>
    </w:p>
    <w:p>
      <w:pPr>
        <w:pageBreakBefore w:val="0"/>
        <w:widowControl w:val="0"/>
        <w:kinsoku/>
        <w:wordWrap/>
        <w:overflowPunct/>
        <w:topLinePunct w:val="0"/>
        <w:bidi w:val="0"/>
        <w:spacing w:line="560" w:lineRule="exact"/>
        <w:ind w:firstLine="640" w:firstLineChars="200"/>
        <w:textAlignment w:val="auto"/>
        <w:rPr>
          <w:rFonts w:hint="default" w:ascii="仿宋" w:hAnsi="仿宋" w:eastAsia="仿宋" w:cs="仿宋"/>
          <w:sz w:val="32"/>
          <w:szCs w:val="32"/>
          <w:lang w:val="zh-CN" w:eastAsia="zh-CN"/>
        </w:rPr>
      </w:pPr>
      <w:r>
        <w:rPr>
          <w:rFonts w:hint="default" w:ascii="仿宋" w:hAnsi="仿宋" w:eastAsia="仿宋" w:cs="仿宋"/>
          <w:sz w:val="32"/>
          <w:szCs w:val="32"/>
          <w:lang w:val="zh-CN" w:eastAsia="zh-CN"/>
        </w:rPr>
        <w:t>（三）结余分配和结转结余情况。壤塘县佛教协会2025年决算报表结转结余均为0万元。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pageBreakBefore w:val="0"/>
        <w:widowControl w:val="0"/>
        <w:kinsoku/>
        <w:wordWrap/>
        <w:overflowPunct/>
        <w:topLinePunct w:val="0"/>
        <w:bidi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default" w:ascii="仿宋" w:hAnsi="仿宋" w:eastAsia="仿宋" w:cs="仿宋"/>
          <w:sz w:val="32"/>
          <w:szCs w:val="32"/>
          <w:lang w:val="zh-CN" w:eastAsia="zh-CN"/>
        </w:rPr>
        <w:t>预算管理。</w:t>
      </w:r>
      <w:r>
        <w:rPr>
          <w:rFonts w:hint="eastAsia" w:ascii="仿宋" w:hAnsi="仿宋" w:eastAsia="仿宋" w:cs="仿宋"/>
          <w:sz w:val="32"/>
          <w:szCs w:val="32"/>
          <w:lang w:val="zh-CN" w:eastAsia="zh-CN"/>
        </w:rPr>
        <w:t>壤塘</w:t>
      </w:r>
      <w:r>
        <w:rPr>
          <w:rFonts w:hint="eastAsia" w:ascii="仿宋" w:hAnsi="仿宋" w:eastAsia="仿宋" w:cs="仿宋"/>
          <w:sz w:val="32"/>
          <w:szCs w:val="32"/>
          <w:lang w:val="en-US" w:eastAsia="zh-CN"/>
        </w:rPr>
        <w:t>县</w:t>
      </w:r>
      <w:r>
        <w:rPr>
          <w:rFonts w:hint="eastAsia" w:ascii="仿宋" w:hAnsi="仿宋" w:eastAsia="仿宋" w:cs="仿宋"/>
          <w:sz w:val="32"/>
          <w:szCs w:val="32"/>
          <w:lang w:val="zh-CN" w:eastAsia="zh-CN"/>
        </w:rPr>
        <w:t>佛教协会</w:t>
      </w:r>
      <w:r>
        <w:rPr>
          <w:rFonts w:hint="default" w:ascii="仿宋" w:hAnsi="仿宋" w:eastAsia="仿宋" w:cs="仿宋"/>
          <w:sz w:val="32"/>
          <w:szCs w:val="32"/>
          <w:lang w:val="en-US" w:eastAsia="zh-CN"/>
        </w:rPr>
        <w:t>年初预算数为</w:t>
      </w:r>
      <w:r>
        <w:rPr>
          <w:rFonts w:hint="eastAsia" w:ascii="仿宋" w:hAnsi="仿宋" w:eastAsia="仿宋" w:cs="仿宋"/>
          <w:sz w:val="32"/>
          <w:szCs w:val="32"/>
          <w:lang w:val="en-US" w:eastAsia="zh-CN"/>
        </w:rPr>
        <w:t>73.19</w:t>
      </w:r>
      <w:r>
        <w:rPr>
          <w:rFonts w:hint="default" w:ascii="仿宋" w:hAnsi="仿宋" w:eastAsia="仿宋" w:cs="仿宋"/>
          <w:sz w:val="32"/>
          <w:szCs w:val="32"/>
          <w:lang w:val="en-US" w:eastAsia="zh-CN"/>
        </w:rPr>
        <w:t>万元，</w:t>
      </w:r>
      <w:r>
        <w:rPr>
          <w:rFonts w:hint="eastAsia" w:ascii="仿宋" w:hAnsi="仿宋" w:eastAsia="仿宋" w:cs="仿宋"/>
          <w:sz w:val="32"/>
          <w:szCs w:val="32"/>
          <w:lang w:val="en-US" w:eastAsia="zh-CN"/>
        </w:rPr>
        <w:t>执行期间根据工作安排和开展情况追加收入7.21万元，</w:t>
      </w:r>
      <w:r>
        <w:rPr>
          <w:rFonts w:hint="default" w:ascii="仿宋" w:hAnsi="仿宋" w:eastAsia="仿宋" w:cs="仿宋"/>
          <w:sz w:val="32"/>
          <w:szCs w:val="32"/>
          <w:lang w:val="en-US" w:eastAsia="zh-CN"/>
        </w:rPr>
        <w:t>调整预算数为</w:t>
      </w:r>
      <w:r>
        <w:rPr>
          <w:rFonts w:hint="eastAsia" w:ascii="仿宋" w:hAnsi="仿宋" w:eastAsia="仿宋" w:cs="仿宋"/>
          <w:sz w:val="32"/>
          <w:szCs w:val="32"/>
          <w:lang w:val="en-US" w:eastAsia="zh-CN"/>
        </w:rPr>
        <w:t>80.40</w:t>
      </w:r>
      <w:r>
        <w:rPr>
          <w:rFonts w:hint="default" w:ascii="仿宋" w:hAnsi="仿宋" w:eastAsia="仿宋" w:cs="仿宋"/>
          <w:sz w:val="32"/>
          <w:szCs w:val="32"/>
          <w:lang w:val="en-US" w:eastAsia="zh-CN"/>
        </w:rPr>
        <w:t>万元</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预算安排较为准确</w:t>
      </w:r>
      <w:r>
        <w:rPr>
          <w:rFonts w:hint="eastAsia" w:ascii="仿宋" w:hAnsi="仿宋" w:eastAsia="仿宋" w:cs="仿宋"/>
          <w:sz w:val="32"/>
          <w:szCs w:val="32"/>
          <w:lang w:val="en-US" w:eastAsia="zh-CN"/>
        </w:rPr>
        <w:t>，此项共计得分24分。</w:t>
      </w:r>
    </w:p>
    <w:p>
      <w:pPr>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en-US" w:eastAsia="zh-CN"/>
        </w:rPr>
        <w:t>2</w:t>
      </w:r>
      <w:r>
        <w:rPr>
          <w:rFonts w:hint="default" w:ascii="仿宋" w:hAnsi="仿宋" w:eastAsia="仿宋" w:cs="仿宋"/>
          <w:sz w:val="32"/>
          <w:szCs w:val="32"/>
          <w:lang w:val="zh-CN" w:eastAsia="zh-CN"/>
        </w:rPr>
        <w:t>.财务管理</w:t>
      </w:r>
      <w:r>
        <w:rPr>
          <w:rFonts w:hint="eastAsia" w:ascii="仿宋" w:hAnsi="仿宋" w:eastAsia="仿宋" w:cs="仿宋"/>
          <w:sz w:val="32"/>
          <w:szCs w:val="32"/>
          <w:lang w:val="zh-CN" w:eastAsia="zh-CN"/>
        </w:rPr>
        <w:t>。壤塘县佛教协会财务制度体系框架完整，财务工作整体合规底线稳固，常严格严肃财经纪律，筑牢财务合规运行底线，各类资金拨付、使用流程规范严谨，账务处理依规有序，财务管理整体运行规范有序。</w:t>
      </w:r>
    </w:p>
    <w:p>
      <w:pPr>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val="zh-CN" w:eastAsia="zh-CN"/>
        </w:rPr>
        <w:t>资产管理。</w:t>
      </w:r>
      <w:r>
        <w:rPr>
          <w:rFonts w:hint="eastAsia" w:ascii="仿宋" w:hAnsi="仿宋" w:eastAsia="仿宋" w:cs="仿宋"/>
          <w:sz w:val="32"/>
          <w:szCs w:val="32"/>
          <w:lang w:val="en-US" w:eastAsia="zh-CN"/>
        </w:rPr>
        <w:t>截至2025年12月31日，我单位《行政单位资产管理系统》固定资产原值总计47.95万元，在用的固定资产总计47.95万元，固定资产在用率达100%。</w:t>
      </w:r>
    </w:p>
    <w:p>
      <w:pPr>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单位资产管理制度健全规范，常态化开展资产清查盘点工作，做到账账相符、账实相符。严格落实资产管理各项要求，统筹做好人均资产变化率、资产利用率、资产盘活率等指标管控，资产日常管理有序到位，后续将持续深挖资产使用潜力，进一步提升资产综合使用效益。</w:t>
      </w:r>
    </w:p>
    <w:p>
      <w:pPr>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5.采购管理。</w:t>
      </w:r>
      <w:r>
        <w:rPr>
          <w:rFonts w:hint="eastAsia" w:ascii="仿宋" w:hAnsi="仿宋" w:eastAsia="仿宋" w:cs="仿宋"/>
          <w:sz w:val="32"/>
          <w:szCs w:val="32"/>
          <w:lang w:val="en-US" w:eastAsia="zh-CN"/>
        </w:rPr>
        <w:t>壤塘县佛教协会2025年度政府采购货物支出0万元，政府采购工程支出0万元，政府采购服务支出0万元。单位严格恪守采购管理各项规定，依法依规落实采购纪律，未产生支持中小企业发展等情况。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壤塘县佛教协会</w:t>
      </w:r>
      <w:r>
        <w:rPr>
          <w:rFonts w:hint="eastAsia" w:ascii="仿宋" w:hAnsi="仿宋" w:eastAsia="仿宋" w:cs="仿宋"/>
          <w:sz w:val="32"/>
          <w:szCs w:val="32"/>
          <w:lang w:val="en-US" w:eastAsia="zh-CN"/>
        </w:rPr>
        <w:t>2025</w:t>
      </w:r>
      <w:r>
        <w:rPr>
          <w:rFonts w:hint="eastAsia" w:ascii="Times New Roman" w:hAnsi="Times New Roman" w:eastAsia="仿宋_GB2312" w:cs="仿宋_GB2312"/>
          <w:color w:val="auto"/>
          <w:kern w:val="2"/>
          <w:sz w:val="32"/>
          <w:szCs w:val="32"/>
          <w:highlight w:val="none"/>
          <w:lang w:val="en-US" w:eastAsia="zh-CN" w:bidi="ar-SA"/>
        </w:rPr>
        <w:t>年未有项目。但项目各项程序完整，采购制度全。</w:t>
      </w:r>
    </w:p>
    <w:p>
      <w:pPr>
        <w:numPr>
          <w:ilvl w:val="0"/>
          <w:numId w:val="0"/>
        </w:numPr>
        <w:adjustRightInd w:val="0"/>
        <w:snapToGrid w:val="0"/>
        <w:spacing w:line="578" w:lineRule="exact"/>
        <w:ind w:firstLine="642" w:firstLineChars="200"/>
        <w:contextualSpacing/>
        <w:jc w:val="left"/>
        <w:rPr>
          <w:rFonts w:hint="eastAsia" w:ascii="仿宋_GB2312" w:hAnsi="仿宋_GB2312" w:eastAsia="仿宋_GB2312" w:cs="仿宋_GB2312"/>
          <w:kern w:val="2"/>
          <w:sz w:val="32"/>
          <w:szCs w:val="32"/>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cs="仿宋_GB2312"/>
          <w:kern w:val="2"/>
          <w:sz w:val="32"/>
          <w:szCs w:val="32"/>
          <w:lang w:val="zh-CN" w:eastAsia="zh-CN" w:bidi="ar-SA"/>
        </w:rPr>
        <w:t>根据县财政局工作要求，我会专门成立绩效自评工作小组，有序组织开展2025年度绩效管理自评各项工作。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1.信息公开方面：严格按照财政相关规定，在预决算批复后</w:t>
      </w:r>
      <w:r>
        <w:rPr>
          <w:rFonts w:hint="eastAsia" w:ascii="仿宋" w:hAnsi="仿宋" w:eastAsia="仿宋" w:cs="仿宋"/>
          <w:sz w:val="32"/>
          <w:szCs w:val="32"/>
          <w:lang w:val="en-US" w:eastAsia="zh-CN"/>
        </w:rPr>
        <w:t>20</w:t>
      </w:r>
      <w:r>
        <w:rPr>
          <w:rFonts w:hint="eastAsia" w:ascii="仿宋" w:hAnsi="仿宋" w:eastAsia="仿宋" w:cs="仿宋"/>
          <w:sz w:val="32"/>
          <w:szCs w:val="32"/>
          <w:lang w:val="zh-CN" w:eastAsia="zh-CN"/>
        </w:rPr>
        <w:t>日内，按时在壤塘县人民政府门户网站完成信息公开，公开内容真实准确、要素完整规范。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sz w:val="32"/>
          <w:szCs w:val="32"/>
          <w:lang w:val="zh-CN" w:eastAsia="zh-CN"/>
        </w:rPr>
        <w:t>2.监督管理方面：自觉依法接受财政、审计、纪检监察、巡察等部门监督检查，严格遵守财经法律法规和财经纪律，按时保质上报各类财务及绩效资料。严格落实中央八项规定精神及省、市、县厉行勤俭节约相关要求，严格执行单位财务管理制度，紧扣年初预算合理统筹安排日常公用经费支出，坚持厉行节约、精打细算，精准高效统筹使用财政资金，切实把资金用在关键处、刀刃上，充分发挥财政资金社会效益与经济效益，保障单位各项工作平稳有序运转。</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spacing w:line="560" w:lineRule="exact"/>
        <w:ind w:firstLine="707" w:firstLineChars="221"/>
        <w:rPr>
          <w:rFonts w:hint="eastAsia" w:ascii="仿宋_GB2312" w:hAnsi="宋体" w:eastAsia="仿宋_GB2312" w:cs="宋体"/>
          <w:kern w:val="2"/>
          <w:sz w:val="32"/>
          <w:szCs w:val="32"/>
          <w:shd w:val="clear" w:color="auto" w:fill="FFFFFF"/>
          <w:lang w:val="en-US" w:eastAsia="zh-CN" w:bidi="ar-SA"/>
        </w:rPr>
      </w:pPr>
      <w:bookmarkStart w:id="54" w:name="_Hlk110546638"/>
      <w:r>
        <w:rPr>
          <w:rFonts w:hint="eastAsia" w:ascii="仿宋_GB2312" w:hAnsi="宋体" w:eastAsia="仿宋_GB2312" w:cs="宋体"/>
          <w:kern w:val="2"/>
          <w:sz w:val="32"/>
          <w:szCs w:val="32"/>
          <w:shd w:val="clear" w:color="auto" w:fill="FFFFFF"/>
          <w:lang w:val="zh-CN" w:eastAsia="zh-CN" w:bidi="ar-SA"/>
        </w:rPr>
        <w:t>我单位通过加强预算绩效管理，不断建立健全内部管理制度，强化内部管理流程，部门整体支出管理情况得到提升，较好完成部门决算的编制、送审、批复和公开工作。下一年将科学合理编制预决算，进行绩效评价，加强精细管理，完善不足</w:t>
      </w:r>
      <w:r>
        <w:rPr>
          <w:rFonts w:hint="eastAsia" w:ascii="仿宋_GB2312" w:hAnsi="宋体" w:eastAsia="仿宋_GB2312" w:cs="宋体"/>
          <w:kern w:val="2"/>
          <w:sz w:val="32"/>
          <w:szCs w:val="32"/>
          <w:shd w:val="clear" w:color="auto" w:fill="FFFFFF"/>
          <w:lang w:val="en-US" w:eastAsia="zh-CN" w:bidi="ar-SA"/>
        </w:rPr>
        <w:t>。</w:t>
      </w:r>
    </w:p>
    <w:p>
      <w:pPr>
        <w:spacing w:line="560" w:lineRule="exact"/>
        <w:ind w:firstLine="707" w:firstLineChars="221"/>
        <w:rPr>
          <w:rFonts w:hint="default" w:ascii="仿宋_GB2312" w:hAnsi="宋体" w:eastAsia="仿宋_GB2312" w:cs="宋体"/>
          <w:kern w:val="2"/>
          <w:sz w:val="32"/>
          <w:szCs w:val="32"/>
          <w:shd w:val="clear" w:color="auto" w:fill="FFFFFF"/>
          <w:lang w:val="en-US" w:eastAsia="zh-CN" w:bidi="ar-SA"/>
        </w:rPr>
      </w:pPr>
      <w:r>
        <w:rPr>
          <w:rFonts w:hint="eastAsia" w:ascii="仿宋_GB2312" w:hAnsi="宋体" w:eastAsia="仿宋_GB2312" w:cs="宋体"/>
          <w:kern w:val="2"/>
          <w:sz w:val="32"/>
          <w:szCs w:val="32"/>
          <w:shd w:val="clear" w:color="auto" w:fill="FFFFFF"/>
          <w:lang w:val="en-US" w:eastAsia="zh-CN" w:bidi="ar-SA"/>
        </w:rPr>
        <w:t>本部门整体预算绩效评价得分89分。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（二）存在问题。预算编制需要更严格执行，预算编制与实际支出有的存在差异。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（三）改进建议。</w:t>
      </w:r>
      <w:r>
        <w:rPr>
          <w:rFonts w:hint="eastAsia" w:ascii="仿宋_GB2312" w:hAnsi="仿宋_GB2312" w:eastAsia="仿宋_GB2312" w:cs="仿宋_GB2312"/>
          <w:kern w:val="2"/>
          <w:sz w:val="32"/>
          <w:szCs w:val="32"/>
          <w:lang w:val="en-US" w:eastAsia="zh-CN" w:bidi="ar-SA"/>
        </w:rPr>
        <w:t>加强学习，提高思想认识。组织单位财务人员认真学习《中华人民共和国预算法》、《项目支出绩效评价》等文件精神及相关法规、制度，提高单位领导对全面预算管理及绩效评价工作的重视程度，增强意识。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_GB2312" w:hAnsi="仿宋_GB2312" w:eastAsia="仿宋_GB2312" w:cs="仿宋_GB2312"/>
          <w:kern w:val="2"/>
          <w:sz w:val="32"/>
          <w:szCs w:val="32"/>
          <w:lang w:val="zh-CN" w:eastAsia="zh-CN" w:bidi="ar-SA"/>
        </w:rPr>
      </w:pP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p>
    <w:bookmarkEnd w:id="54"/>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bidi="ar"/>
        </w:rPr>
      </w:pP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5"/>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widowControl/>
        <w:spacing w:line="578" w:lineRule="exact"/>
        <w:jc w:val="center"/>
        <w:textAlignment w:val="center"/>
        <w:rPr>
          <w:rFonts w:eastAsia="方正小标宋简体"/>
          <w:color w:val="000000"/>
          <w:kern w:val="0"/>
          <w:sz w:val="44"/>
          <w:szCs w:val="44"/>
        </w:rPr>
      </w:pPr>
      <w:bookmarkStart w:id="55" w:name="_Toc15396618"/>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5"/>
        <w:tblW w:w="9658" w:type="dxa"/>
        <w:jc w:val="center"/>
        <w:tblLayout w:type="fixed"/>
        <w:tblCellMar>
          <w:top w:w="0" w:type="dxa"/>
          <w:left w:w="108" w:type="dxa"/>
          <w:bottom w:w="0" w:type="dxa"/>
          <w:right w:w="108" w:type="dxa"/>
        </w:tblCellMar>
      </w:tblPr>
      <w:tblGrid>
        <w:gridCol w:w="331"/>
        <w:gridCol w:w="593"/>
        <w:gridCol w:w="803"/>
        <w:gridCol w:w="1695"/>
        <w:gridCol w:w="489"/>
        <w:gridCol w:w="642"/>
        <w:gridCol w:w="1018"/>
        <w:gridCol w:w="1045"/>
        <w:gridCol w:w="1111"/>
        <w:gridCol w:w="1931"/>
      </w:tblGrid>
      <w:tr>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壤塘县佛教协会</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184"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660"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184"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80.4</w:t>
            </w:r>
          </w:p>
        </w:tc>
        <w:tc>
          <w:tcPr>
            <w:tcW w:w="1660"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80.4</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184"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80.4</w:t>
            </w:r>
          </w:p>
        </w:tc>
        <w:tc>
          <w:tcPr>
            <w:tcW w:w="1660"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80.4</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团结、带领全县各民族佛教徒遵守宪法、法律、法规和国家政策；协助政府贯彻落实宗教信仰自由政策和法律法规规章，维护佛教界的合法权益；宣传教规戒律；做好文物古迹和非物质文化遗产保护工作，弘扬中华优秀传统文化；开展社会公益慈善事业，造福社会；做好政府与佛教友好桥梁。</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69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89"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816"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69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48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642"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2</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3</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4</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48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34</w:t>
            </w:r>
            <w:r>
              <w:rPr>
                <w:rFonts w:hint="eastAsia" w:ascii="宋体" w:hAnsi="宋体" w:eastAsia="宋体" w:cs="宋体"/>
                <w:color w:val="000000"/>
                <w:kern w:val="0"/>
                <w:sz w:val="24"/>
              </w:rPr>
              <w:t>%</w:t>
            </w:r>
          </w:p>
        </w:tc>
        <w:tc>
          <w:tcPr>
            <w:tcW w:w="64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34.58</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5.55%</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64.2%</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 xml:space="preserve">16.1%  </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48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100</w:t>
            </w:r>
            <w:r>
              <w:rPr>
                <w:rFonts w:hint="eastAsia" w:ascii="宋体" w:hAnsi="宋体" w:eastAsia="宋体" w:cs="宋体"/>
                <w:color w:val="000000"/>
                <w:kern w:val="0"/>
                <w:sz w:val="24"/>
              </w:rPr>
              <w:t>%</w:t>
            </w:r>
          </w:p>
        </w:tc>
        <w:tc>
          <w:tcPr>
            <w:tcW w:w="64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48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3.7</w:t>
            </w:r>
            <w:r>
              <w:rPr>
                <w:rFonts w:hint="eastAsia" w:ascii="宋体" w:hAnsi="宋体" w:eastAsia="宋体" w:cs="宋体"/>
                <w:color w:val="000000"/>
                <w:kern w:val="0"/>
                <w:sz w:val="24"/>
              </w:rPr>
              <w:t>%</w:t>
            </w:r>
          </w:p>
        </w:tc>
        <w:tc>
          <w:tcPr>
            <w:tcW w:w="64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3.79</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3.79%</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5.38%</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48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4.8</w:t>
            </w:r>
            <w:r>
              <w:rPr>
                <w:rFonts w:ascii="宋体" w:hAnsi="宋体" w:eastAsia="宋体" w:cs="宋体"/>
                <w:color w:val="000000"/>
                <w:kern w:val="0"/>
                <w:sz w:val="24"/>
              </w:rPr>
              <w:t>万元</w:t>
            </w:r>
          </w:p>
        </w:tc>
        <w:tc>
          <w:tcPr>
            <w:tcW w:w="3816"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4.8万元</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48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优</w:t>
            </w:r>
          </w:p>
        </w:tc>
        <w:tc>
          <w:tcPr>
            <w:tcW w:w="3816"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优</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48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64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48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100</w:t>
            </w:r>
            <w:r>
              <w:rPr>
                <w:rFonts w:hint="eastAsia" w:ascii="宋体" w:hAnsi="宋体" w:eastAsia="宋体" w:cs="宋体"/>
                <w:color w:val="000000"/>
                <w:kern w:val="0"/>
                <w:sz w:val="24"/>
              </w:rPr>
              <w:t>%</w:t>
            </w:r>
          </w:p>
        </w:tc>
        <w:tc>
          <w:tcPr>
            <w:tcW w:w="64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305"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数量指标</w:t>
            </w: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协助政府贯彻落实宗教信仰自由政策和法律法规规章，维护佛教界的合法权益</w:t>
            </w:r>
          </w:p>
        </w:tc>
        <w:tc>
          <w:tcPr>
            <w:tcW w:w="4305"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协助政府贯彻落实宗教信仰自由政策和法律法规规章，维护佛教界的合法权益90</w:t>
            </w:r>
            <w:r>
              <w:rPr>
                <w:rFonts w:hint="eastAsia" w:ascii="宋体" w:hAnsi="宋体" w:eastAsia="宋体" w:cs="宋体"/>
                <w:color w:val="000000"/>
                <w:kern w:val="0"/>
                <w:sz w:val="24"/>
                <w:lang w:eastAsia="zh-CN"/>
              </w:rPr>
              <w:t>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100余次</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数量指标</w:t>
            </w: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做好文物古迹和非物质文化遗产保护工作</w:t>
            </w:r>
          </w:p>
        </w:tc>
        <w:tc>
          <w:tcPr>
            <w:tcW w:w="4305"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做好文物古迹和非物质文化遗产保护工作90</w:t>
            </w:r>
            <w:r>
              <w:rPr>
                <w:rFonts w:hint="eastAsia" w:ascii="宋体" w:hAnsi="宋体" w:eastAsia="宋体" w:cs="宋体"/>
                <w:color w:val="000000"/>
                <w:kern w:val="0"/>
                <w:sz w:val="24"/>
                <w:lang w:eastAsia="zh-CN"/>
              </w:rPr>
              <w:t>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70余次</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数量指标</w:t>
            </w: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团结、带领全县各民族佛教徒遵守宪法、法律、法规和国家政策。弘扬中华优秀传统文化</w:t>
            </w:r>
          </w:p>
        </w:tc>
        <w:tc>
          <w:tcPr>
            <w:tcW w:w="4305"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180</w:t>
            </w:r>
            <w:r>
              <w:rPr>
                <w:rFonts w:hint="eastAsia" w:ascii="宋体" w:hAnsi="宋体" w:eastAsia="宋体" w:cs="宋体"/>
                <w:color w:val="000000"/>
                <w:kern w:val="0"/>
                <w:sz w:val="24"/>
                <w:lang w:eastAsia="zh-CN"/>
              </w:rPr>
              <w:t>次（团结、带领全县各民族佛教徒遵守宪法、法律、法规和国家政策</w:t>
            </w:r>
            <w:r>
              <w:rPr>
                <w:rFonts w:hint="eastAsia" w:ascii="宋体" w:hAnsi="宋体" w:eastAsia="宋体" w:cs="宋体"/>
                <w:color w:val="000000"/>
                <w:kern w:val="0"/>
                <w:sz w:val="24"/>
                <w:lang w:val="en-US" w:eastAsia="zh-CN"/>
              </w:rPr>
              <w:t>90次，</w:t>
            </w:r>
            <w:r>
              <w:rPr>
                <w:rFonts w:hint="eastAsia" w:ascii="宋体" w:hAnsi="宋体" w:eastAsia="宋体" w:cs="宋体"/>
                <w:color w:val="000000"/>
                <w:kern w:val="0"/>
                <w:sz w:val="24"/>
              </w:rPr>
              <w:t>弘扬中华优秀传统文化</w:t>
            </w:r>
            <w:r>
              <w:rPr>
                <w:rFonts w:hint="eastAsia" w:ascii="宋体" w:hAnsi="宋体" w:eastAsia="宋体" w:cs="宋体"/>
                <w:color w:val="000000"/>
                <w:kern w:val="0"/>
                <w:sz w:val="24"/>
                <w:lang w:val="en-US" w:eastAsia="zh-CN"/>
              </w:rPr>
              <w:t>90次</w:t>
            </w:r>
            <w:r>
              <w:rPr>
                <w:rFonts w:hint="eastAsia" w:ascii="宋体" w:hAnsi="宋体" w:eastAsia="宋体" w:cs="宋体"/>
                <w:color w:val="000000"/>
                <w:kern w:val="0"/>
                <w:sz w:val="24"/>
                <w:lang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tabs>
                <w:tab w:val="left" w:pos="400"/>
              </w:tabs>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ab/>
            </w:r>
            <w:r>
              <w:rPr>
                <w:rFonts w:hint="eastAsia" w:ascii="宋体" w:hAnsi="宋体" w:eastAsia="宋体" w:cs="宋体"/>
                <w:color w:val="000000"/>
                <w:kern w:val="0"/>
                <w:sz w:val="24"/>
                <w:lang w:val="en-US" w:eastAsia="zh-CN"/>
              </w:rPr>
              <w:t>160余次</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社会效益指标</w:t>
            </w:r>
          </w:p>
        </w:tc>
        <w:tc>
          <w:tcPr>
            <w:tcW w:w="16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宣传教规戒律</w:t>
            </w:r>
          </w:p>
        </w:tc>
        <w:tc>
          <w:tcPr>
            <w:tcW w:w="4305"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rPr>
              <w:t>90</w:t>
            </w:r>
            <w:r>
              <w:rPr>
                <w:rFonts w:hint="eastAsia" w:ascii="宋体" w:hAnsi="宋体" w:eastAsia="宋体" w:cs="宋体"/>
                <w:color w:val="000000"/>
                <w:kern w:val="0"/>
                <w:sz w:val="24"/>
                <w:lang w:eastAsia="zh-CN"/>
              </w:rPr>
              <w:t>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100余次</w:t>
            </w:r>
          </w:p>
        </w:tc>
      </w:tr>
    </w:tbl>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3"/>
      <w:bookmarkEnd w:id="55"/>
      <w:bookmarkStart w:id="56"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0"/>
      <w:r>
        <w:rPr>
          <w:rFonts w:hint="eastAsia" w:ascii="Times New Roman" w:hAnsi="Times New Roman" w:eastAsia="仿宋_GB2312" w:cs="仿宋_GB2312"/>
          <w:color w:val="auto"/>
          <w:sz w:val="32"/>
          <w:szCs w:val="32"/>
          <w:highlight w:val="none"/>
        </w:rPr>
        <w:t>二、收入决算表</w:t>
      </w:r>
      <w:bookmarkEnd w:id="5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1"/>
      <w:r>
        <w:rPr>
          <w:rFonts w:hint="eastAsia" w:ascii="Times New Roman" w:hAnsi="Times New Roman" w:eastAsia="仿宋_GB2312" w:cs="仿宋_GB2312"/>
          <w:color w:val="auto"/>
          <w:sz w:val="32"/>
          <w:szCs w:val="32"/>
          <w:highlight w:val="none"/>
        </w:rPr>
        <w:t>三、支出决算表</w:t>
      </w:r>
      <w:bookmarkEnd w:id="5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2"/>
      <w:r>
        <w:rPr>
          <w:rFonts w:hint="eastAsia" w:ascii="Times New Roman" w:hAnsi="Times New Roman" w:eastAsia="仿宋_GB2312" w:cs="仿宋_GB2312"/>
          <w:color w:val="auto"/>
          <w:sz w:val="32"/>
          <w:szCs w:val="32"/>
          <w:highlight w:val="none"/>
        </w:rPr>
        <w:t>四、财政拨款收入支出决算总表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3"/>
      <w:r>
        <w:rPr>
          <w:rFonts w:hint="eastAsia" w:ascii="Times New Roman" w:hAnsi="Times New Roman" w:eastAsia="仿宋_GB2312" w:cs="仿宋_GB2312"/>
          <w:color w:val="auto"/>
          <w:sz w:val="32"/>
          <w:szCs w:val="32"/>
          <w:highlight w:val="none"/>
        </w:rPr>
        <w:t>五、财政拨款支出决算明细表</w:t>
      </w:r>
      <w:bookmarkEnd w:id="60"/>
      <w:bookmarkStart w:id="61"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5"/>
      <w:r>
        <w:rPr>
          <w:rFonts w:hint="eastAsia" w:ascii="Times New Roman" w:hAnsi="Times New Roman" w:eastAsia="仿宋_GB2312" w:cs="仿宋_GB2312"/>
          <w:color w:val="auto"/>
          <w:sz w:val="32"/>
          <w:szCs w:val="32"/>
          <w:highlight w:val="none"/>
        </w:rPr>
        <w:t>七、一般公共预算财政拨款支出决算明细表</w:t>
      </w:r>
      <w:bookmarkEnd w:id="6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6"/>
      <w:r>
        <w:rPr>
          <w:rFonts w:hint="eastAsia" w:ascii="Times New Roman" w:hAnsi="Times New Roman" w:eastAsia="仿宋_GB2312" w:cs="仿宋_GB2312"/>
          <w:color w:val="auto"/>
          <w:sz w:val="32"/>
          <w:szCs w:val="32"/>
          <w:highlight w:val="none"/>
        </w:rPr>
        <w:t>八、一般公共预算财政拨款基本支出决算表</w:t>
      </w:r>
      <w:bookmarkEnd w:id="6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7"/>
      <w:r>
        <w:rPr>
          <w:rFonts w:hint="eastAsia" w:ascii="Times New Roman" w:hAnsi="Times New Roman" w:eastAsia="仿宋_GB2312" w:cs="仿宋_GB2312"/>
          <w:color w:val="auto"/>
          <w:sz w:val="32"/>
          <w:szCs w:val="32"/>
          <w:highlight w:val="none"/>
        </w:rPr>
        <w:t>九、一般公共预算财政拨款项目支出决算表</w:t>
      </w:r>
      <w:bookmarkEnd w:id="6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8"/>
      <w:r>
        <w:rPr>
          <w:rFonts w:hint="eastAsia" w:ascii="Times New Roman" w:hAnsi="Times New Roman" w:eastAsia="仿宋_GB2312" w:cs="仿宋_GB2312"/>
          <w:color w:val="auto"/>
          <w:sz w:val="32"/>
          <w:szCs w:val="32"/>
          <w:highlight w:val="none"/>
        </w:rPr>
        <w:t>十、</w:t>
      </w:r>
      <w:bookmarkEnd w:id="65"/>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9"/>
      <w:r>
        <w:rPr>
          <w:rFonts w:hint="eastAsia" w:ascii="Times New Roman" w:hAnsi="Times New Roman" w:eastAsia="仿宋_GB2312" w:cs="仿宋_GB2312"/>
          <w:color w:val="auto"/>
          <w:sz w:val="32"/>
          <w:szCs w:val="32"/>
          <w:highlight w:val="none"/>
        </w:rPr>
        <w:t>十一、</w:t>
      </w:r>
      <w:bookmarkEnd w:id="6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30"/>
      <w:r>
        <w:rPr>
          <w:rFonts w:hint="eastAsia" w:ascii="Times New Roman" w:hAnsi="Times New Roman" w:eastAsia="仿宋_GB2312" w:cs="仿宋_GB2312"/>
          <w:color w:val="auto"/>
          <w:sz w:val="32"/>
          <w:szCs w:val="32"/>
          <w:highlight w:val="none"/>
        </w:rPr>
        <w:t>十二、</w:t>
      </w:r>
      <w:bookmarkEnd w:id="67"/>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8" w:name="_Toc15396631"/>
      <w:r>
        <w:rPr>
          <w:rFonts w:hint="eastAsia" w:ascii="Times New Roman" w:hAnsi="Times New Roman" w:eastAsia="仿宋_GB2312" w:cs="仿宋_GB2312"/>
          <w:color w:val="auto"/>
          <w:sz w:val="32"/>
          <w:szCs w:val="32"/>
          <w:highlight w:val="none"/>
        </w:rPr>
        <w:t>十三、</w:t>
      </w:r>
      <w:bookmarkEnd w:id="68"/>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BE6324"/>
    <w:multiLevelType w:val="singleLevel"/>
    <w:tmpl w:val="27BE632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5AD6DD1"/>
    <w:rsid w:val="165E0673"/>
    <w:rsid w:val="16BB723D"/>
    <w:rsid w:val="186504BB"/>
    <w:rsid w:val="1938089F"/>
    <w:rsid w:val="19A445FC"/>
    <w:rsid w:val="1B7D550C"/>
    <w:rsid w:val="1BE8440E"/>
    <w:rsid w:val="1C7DBB18"/>
    <w:rsid w:val="1D155CEE"/>
    <w:rsid w:val="1E740ACF"/>
    <w:rsid w:val="1EC752E2"/>
    <w:rsid w:val="1FF35744"/>
    <w:rsid w:val="1FF6BC77"/>
    <w:rsid w:val="21962A9E"/>
    <w:rsid w:val="21AE7C77"/>
    <w:rsid w:val="22BC3C41"/>
    <w:rsid w:val="23860B96"/>
    <w:rsid w:val="240371BF"/>
    <w:rsid w:val="260F557C"/>
    <w:rsid w:val="281408E2"/>
    <w:rsid w:val="28D7F789"/>
    <w:rsid w:val="29FD04D3"/>
    <w:rsid w:val="2B6D9445"/>
    <w:rsid w:val="2BFF7BC6"/>
    <w:rsid w:val="2C8A61B5"/>
    <w:rsid w:val="2D2E01CF"/>
    <w:rsid w:val="2DDF1B28"/>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AA31C1"/>
    <w:rsid w:val="3FF4CAE0"/>
    <w:rsid w:val="3FF7B227"/>
    <w:rsid w:val="3FFD2862"/>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BB44AC"/>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02FC"/>
    <w:rsid w:val="5FBF9FF3"/>
    <w:rsid w:val="5FCD4E2C"/>
    <w:rsid w:val="5FD15F49"/>
    <w:rsid w:val="5FEF394A"/>
    <w:rsid w:val="5FF67715"/>
    <w:rsid w:val="5FFCB610"/>
    <w:rsid w:val="62BF3928"/>
    <w:rsid w:val="647F5392"/>
    <w:rsid w:val="664B1D71"/>
    <w:rsid w:val="67AA3209"/>
    <w:rsid w:val="681C4F0D"/>
    <w:rsid w:val="69046D0F"/>
    <w:rsid w:val="698D0931"/>
    <w:rsid w:val="69DDAE0A"/>
    <w:rsid w:val="6A993CED"/>
    <w:rsid w:val="6B053271"/>
    <w:rsid w:val="6BCE6674"/>
    <w:rsid w:val="6C4A05C8"/>
    <w:rsid w:val="6C8742B8"/>
    <w:rsid w:val="6C8A170F"/>
    <w:rsid w:val="6CB54609"/>
    <w:rsid w:val="6DBF5E93"/>
    <w:rsid w:val="6DFF077E"/>
    <w:rsid w:val="6E7E3605"/>
    <w:rsid w:val="6E7FDCC7"/>
    <w:rsid w:val="6ED6A62E"/>
    <w:rsid w:val="6EE00B15"/>
    <w:rsid w:val="6EFF73A2"/>
    <w:rsid w:val="6F544B20"/>
    <w:rsid w:val="6F6FB3EB"/>
    <w:rsid w:val="6F784160"/>
    <w:rsid w:val="6F7CC357"/>
    <w:rsid w:val="6F8731EA"/>
    <w:rsid w:val="6FCE6052"/>
    <w:rsid w:val="6FD57C00"/>
    <w:rsid w:val="6FEFFFD8"/>
    <w:rsid w:val="6FF5CC65"/>
    <w:rsid w:val="6FFB47EC"/>
    <w:rsid w:val="6FFF034A"/>
    <w:rsid w:val="70496804"/>
    <w:rsid w:val="712A28F1"/>
    <w:rsid w:val="715C0E4B"/>
    <w:rsid w:val="72233669"/>
    <w:rsid w:val="72734D90"/>
    <w:rsid w:val="727FB6C1"/>
    <w:rsid w:val="7332FE48"/>
    <w:rsid w:val="73AB61DA"/>
    <w:rsid w:val="73AD73D5"/>
    <w:rsid w:val="73B6EB34"/>
    <w:rsid w:val="73FA497D"/>
    <w:rsid w:val="744731E5"/>
    <w:rsid w:val="74527205"/>
    <w:rsid w:val="74BBD01D"/>
    <w:rsid w:val="74ED5379"/>
    <w:rsid w:val="74FC2395"/>
    <w:rsid w:val="75DEEEC2"/>
    <w:rsid w:val="76E3355F"/>
    <w:rsid w:val="76FB477C"/>
    <w:rsid w:val="76FF5125"/>
    <w:rsid w:val="776F6FFA"/>
    <w:rsid w:val="7776C9E1"/>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F54522"/>
    <w:rsid w:val="7E6F0BB1"/>
    <w:rsid w:val="7E8ADEBF"/>
    <w:rsid w:val="7EEF11D3"/>
    <w:rsid w:val="7F0971A6"/>
    <w:rsid w:val="7F3F679B"/>
    <w:rsid w:val="7F4FC4EF"/>
    <w:rsid w:val="7F5E4D54"/>
    <w:rsid w:val="7F6E0135"/>
    <w:rsid w:val="7FA30C79"/>
    <w:rsid w:val="7FAF8ABF"/>
    <w:rsid w:val="7FB7269E"/>
    <w:rsid w:val="7FC96657"/>
    <w:rsid w:val="7FDA9588"/>
    <w:rsid w:val="7FDC53C8"/>
    <w:rsid w:val="7FDF220F"/>
    <w:rsid w:val="7FEDC5F7"/>
    <w:rsid w:val="7FEDD9DE"/>
    <w:rsid w:val="7FF5890D"/>
    <w:rsid w:val="7FF93490"/>
    <w:rsid w:val="87F9D5CE"/>
    <w:rsid w:val="99FF2014"/>
    <w:rsid w:val="A6DD0D7F"/>
    <w:rsid w:val="ADC6F725"/>
    <w:rsid w:val="AEFF650D"/>
    <w:rsid w:val="B77FCE9F"/>
    <w:rsid w:val="B7CF06AB"/>
    <w:rsid w:val="B7CFA926"/>
    <w:rsid w:val="B7F8786B"/>
    <w:rsid w:val="BA7BEA13"/>
    <w:rsid w:val="BABB6AA1"/>
    <w:rsid w:val="BB2F4199"/>
    <w:rsid w:val="BD079C78"/>
    <w:rsid w:val="BD733540"/>
    <w:rsid w:val="BF3735D5"/>
    <w:rsid w:val="BF7F09AC"/>
    <w:rsid w:val="BFD475C3"/>
    <w:rsid w:val="BFDE5EA6"/>
    <w:rsid w:val="C8B7D70F"/>
    <w:rsid w:val="CF6FC6F3"/>
    <w:rsid w:val="CF7F3AD3"/>
    <w:rsid w:val="CFD3D3D7"/>
    <w:rsid w:val="CFDF1009"/>
    <w:rsid w:val="D7D7B16A"/>
    <w:rsid w:val="D8D6DB89"/>
    <w:rsid w:val="DABB6DFF"/>
    <w:rsid w:val="DB6F4CAB"/>
    <w:rsid w:val="DB777682"/>
    <w:rsid w:val="DD1FB521"/>
    <w:rsid w:val="DD7B45C7"/>
    <w:rsid w:val="DDF64C91"/>
    <w:rsid w:val="DEFBFEAE"/>
    <w:rsid w:val="DF1F3B80"/>
    <w:rsid w:val="DF6F9789"/>
    <w:rsid w:val="DF7F83DE"/>
    <w:rsid w:val="DF8FE29A"/>
    <w:rsid w:val="DFFFA9E8"/>
    <w:rsid w:val="E5F4E9DC"/>
    <w:rsid w:val="E6EAECA6"/>
    <w:rsid w:val="E70FE695"/>
    <w:rsid w:val="ECFED1BC"/>
    <w:rsid w:val="ED1D69BB"/>
    <w:rsid w:val="ED7FD312"/>
    <w:rsid w:val="EF2F5467"/>
    <w:rsid w:val="EF53993F"/>
    <w:rsid w:val="EF6FD633"/>
    <w:rsid w:val="EFBFB2F4"/>
    <w:rsid w:val="EFBFFA21"/>
    <w:rsid w:val="EFEFF148"/>
    <w:rsid w:val="F2BEBCB8"/>
    <w:rsid w:val="F36FB518"/>
    <w:rsid w:val="F3DE1A04"/>
    <w:rsid w:val="F3F722E5"/>
    <w:rsid w:val="F5F67E32"/>
    <w:rsid w:val="F77BCBB1"/>
    <w:rsid w:val="F92FD2CF"/>
    <w:rsid w:val="FA5F1E70"/>
    <w:rsid w:val="FA5FDB97"/>
    <w:rsid w:val="FB6FBD7F"/>
    <w:rsid w:val="FB7F486A"/>
    <w:rsid w:val="FBFF5B2E"/>
    <w:rsid w:val="FD7FFE2B"/>
    <w:rsid w:val="FDEE196B"/>
    <w:rsid w:val="FDFE6575"/>
    <w:rsid w:val="FE67CFFD"/>
    <w:rsid w:val="FEB4E63F"/>
    <w:rsid w:val="FEBBFCC3"/>
    <w:rsid w:val="FEDFDDC2"/>
    <w:rsid w:val="FEED32F6"/>
    <w:rsid w:val="FEF781DD"/>
    <w:rsid w:val="FEFE67F8"/>
    <w:rsid w:val="FF3F7E3F"/>
    <w:rsid w:val="FF4F8AEF"/>
    <w:rsid w:val="FF7BBC27"/>
    <w:rsid w:val="FFBA12D7"/>
    <w:rsid w:val="FFDFFAEE"/>
    <w:rsid w:val="FFED4854"/>
    <w:rsid w:val="FFF9B57B"/>
    <w:rsid w:val="FFFA0DA9"/>
    <w:rsid w:val="FFFD61D9"/>
    <w:rsid w:val="FFFD8F59"/>
    <w:rsid w:val="FFFF2BB1"/>
    <w:rsid w:val="FFFFB04D"/>
    <w:rsid w:val="FFFFFDE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78.28</c:v>
                </c:pt>
                <c:pt idx="1">
                  <c:v>80.4</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78.28</c:v>
                </c:pt>
                <c:pt idx="1">
                  <c:v>80.4</c:v>
                </c:pt>
              </c:numCache>
            </c:numRef>
          </c:val>
        </c:ser>
        <c:dLbls>
          <c:showLegendKey val="0"/>
          <c:showVal val="0"/>
          <c:showCatName val="0"/>
          <c:showSerName val="0"/>
          <c:showPercent val="0"/>
          <c:showBubbleSize val="0"/>
        </c:dLbls>
        <c:gapWidth val="246"/>
        <c:overlap val="-28"/>
        <c:axId val="705844536"/>
        <c:axId val="554558249"/>
      </c:barChart>
      <c:catAx>
        <c:axId val="7058445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558249"/>
        <c:crosses val="autoZero"/>
        <c:auto val="1"/>
        <c:lblAlgn val="ctr"/>
        <c:lblOffset val="100"/>
        <c:noMultiLvlLbl val="0"/>
      </c:catAx>
      <c:valAx>
        <c:axId val="55455824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5844536"/>
        <c:crosses val="autoZero"/>
        <c:crossBetween val="between"/>
      </c:valAx>
      <c:spPr>
        <a:noFill/>
        <a:ln>
          <a:noFill/>
        </a:ln>
        <a:effectLst/>
      </c:spPr>
    </c:plotArea>
    <c:legend>
      <c:legendPos val="b"/>
      <c:layout>
        <c:manualLayout>
          <c:xMode val="edge"/>
          <c:yMode val="edge"/>
          <c:x val="0.381674317467987"/>
          <c:y val="0.90628984275393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一般公共预算财政拨款收入</c:v>
                </c:pt>
                <c:pt idx="1">
                  <c:v>其他收入</c:v>
                </c:pt>
              </c:strCache>
            </c:strRef>
          </c:cat>
          <c:val>
            <c:numRef>
              <c:f>Sheet1!$B$2:$B$3</c:f>
              <c:numCache>
                <c:formatCode>General</c:formatCode>
                <c:ptCount val="2"/>
                <c:pt idx="0">
                  <c:v>80.4</c:v>
                </c:pt>
                <c:pt idx="1">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80.4</c:v>
                </c:pt>
                <c:pt idx="1">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829904820386859"/>
          <c:y val="0.235753406710452"/>
          <c:w val="0.913553998550374"/>
          <c:h val="0.639481512962176"/>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elete val="1"/>
          </c:dLbls>
          <c:cat>
            <c:strRef>
              <c:extLst>
                <c:ext xmlns:c15="http://schemas.microsoft.com/office/drawing/2012/chart" uri="{02D57815-91ED-43cb-92C2-25804820EDAC}">
                  <c15:fullRef>
                    <c15:sqref>Sheet1!$A$2:$A$3</c15:sqref>
                  </c15:fullRef>
                </c:ext>
              </c:extLst>
              <c:f>Sheet1!$A$2:$A$3</c:f>
              <c:strCache>
                <c:ptCount val="2"/>
                <c:pt idx="0">
                  <c:v>一般公共预算财政拨款支出</c:v>
                </c:pt>
                <c:pt idx="1">
                  <c:v>其他支出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80.4</c:v>
                </c:pt>
                <c:pt idx="1">
                  <c:v>0</c:v>
                </c:pt>
              </c:numCache>
            </c:numRef>
          </c:val>
        </c:ser>
        <c:dLbls>
          <c:showLegendKey val="0"/>
          <c:showVal val="0"/>
          <c:showCatName val="0"/>
          <c:showSerName val="0"/>
          <c:showPercent val="0"/>
          <c:showBubbleSize val="0"/>
        </c:dLbls>
        <c:gapWidth val="246"/>
        <c:overlap val="-28"/>
        <c:axId val="210295991"/>
        <c:axId val="74469897"/>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0"/>
                <c:dLbls>
                  <c:delete val="1"/>
                </c:dLbls>
                <c:cat>
                  <c:strRef>
                    <c:extLst>
                      <c:ext uri="{02D57815-91ED-43cb-92C2-25804820EDAC}">
                        <c15:fullRef>
                          <c15:sqref>Sheet1!$A$2:$A$3</c15:sqref>
                        </c15:fullRef>
                        <c15:formulaRef>
                          <c15:sqref>Sheet1!$A$2:$A$3</c15:sqref>
                        </c15:formulaRef>
                      </c:ext>
                    </c:extLst>
                    <c:strCache>
                      <c:ptCount val="2"/>
                      <c:pt idx="0">
                        <c:v>一般公共预算财政拨款支出</c:v>
                      </c:pt>
                      <c:pt idx="1">
                        <c:v>其他支出</c:v>
                      </c:pt>
                    </c:strCache>
                  </c:strRef>
                </c:cat>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Sheet1!$A$2:$A$3</c15:sqref>
                        </c15:fullRef>
                        <c15:formulaRef>
                          <c15:sqref>Sheet1!$A$2:$A$3</c15:sqref>
                        </c15:formulaRef>
                      </c:ext>
                    </c:extLst>
                    <c:strCache>
                      <c:ptCount val="2"/>
                      <c:pt idx="0">
                        <c:v>一般公共预算财政拨款支出</c:v>
                      </c:pt>
                      <c:pt idx="1">
                        <c:v>其他支出</c:v>
                      </c:pt>
                    </c:strCache>
                  </c:strRef>
                </c:cat>
              </c15:ser>
            </c15:filteredBarSeries>
          </c:ext>
        </c:extLst>
      </c:barChart>
      <c:catAx>
        <c:axId val="2102959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469897"/>
        <c:crosses val="autoZero"/>
        <c:auto val="1"/>
        <c:lblAlgn val="ctr"/>
        <c:lblOffset val="100"/>
        <c:noMultiLvlLbl val="0"/>
      </c:catAx>
      <c:valAx>
        <c:axId val="7446989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02959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278811307079"/>
          <c:y val="0.00736919675755343"/>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910217610606716"/>
          <c:y val="0.247936430145045"/>
          <c:w val="0.892776032858178"/>
          <c:h val="0.639481512962176"/>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78.28</c:v>
                </c:pt>
                <c:pt idx="1">
                  <c:v>80.4</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78.28</c:v>
                </c:pt>
                <c:pt idx="1">
                  <c:v>80.4</c:v>
                </c:pt>
              </c:numCache>
            </c:numRef>
          </c:val>
        </c:ser>
        <c:dLbls>
          <c:showLegendKey val="0"/>
          <c:showVal val="0"/>
          <c:showCatName val="0"/>
          <c:showSerName val="0"/>
          <c:showPercent val="0"/>
          <c:showBubbleSize val="0"/>
        </c:dLbls>
        <c:gapWidth val="246"/>
        <c:overlap val="-28"/>
        <c:axId val="705844536"/>
        <c:axId val="554558249"/>
      </c:barChart>
      <c:catAx>
        <c:axId val="7058445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558249"/>
        <c:crosses val="autoZero"/>
        <c:auto val="1"/>
        <c:lblAlgn val="ctr"/>
        <c:lblOffset val="100"/>
        <c:noMultiLvlLbl val="0"/>
      </c:catAx>
      <c:valAx>
        <c:axId val="55455824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5844536"/>
        <c:crosses val="autoZero"/>
        <c:crossBetween val="between"/>
      </c:valAx>
      <c:spPr>
        <a:noFill/>
        <a:ln>
          <a:noFill/>
        </a:ln>
        <a:effectLst/>
      </c:spPr>
    </c:plotArea>
    <c:legend>
      <c:legendPos val="b"/>
      <c:layout>
        <c:manualLayout>
          <c:xMode val="edge"/>
          <c:yMode val="edge"/>
          <c:x val="0.381674317467987"/>
          <c:y val="0.90628984275393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60.56</c:v>
                </c:pt>
                <c:pt idx="1">
                  <c:v>10.39</c:v>
                </c:pt>
                <c:pt idx="2">
                  <c:v>3.93</c:v>
                </c:pt>
                <c:pt idx="3">
                  <c:v>5.53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公出国（境）费</c:v>
                </c:pt>
                <c:pt idx="1">
                  <c:v>公务用车购置及运行维护费</c:v>
                </c:pt>
                <c:pt idx="2">
                  <c:v>公务接待费</c:v>
                </c:pt>
              </c:strCache>
            </c:strRef>
          </c:cat>
          <c:val>
            <c:numRef>
              <c:f>Sheet1!$B$2:$B$4</c:f>
              <c:numCache>
                <c:formatCode>General</c:formatCode>
                <c:ptCount val="3"/>
                <c:pt idx="0">
                  <c:v>8.2</c:v>
                </c:pt>
                <c:pt idx="1">
                  <c:v>3.2</c:v>
                </c:pt>
                <c:pt idx="2">
                  <c:v>1.4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1299</Words>
  <Characters>7410</Characters>
  <Lines>61</Lines>
  <Paragraphs>17</Paragraphs>
  <TotalTime>33</TotalTime>
  <ScaleCrop>false</ScaleCrop>
  <LinksUpToDate>false</LinksUpToDate>
  <CharactersWithSpaces>8692</CharactersWithSpaces>
  <Application>WPS Office_11.8.2.1131_F1E327BC-269C-435d-A152-05C5408002CA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ransang</cp:lastModifiedBy>
  <cp:lastPrinted>2026-10-21T07:14:00Z</cp:lastPrinted>
  <dcterms:modified xsi:type="dcterms:W3CDTF">2026-10-20T16:49:47Z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2052-11.8.2.1131</vt:lpwstr>
  </property>
  <property fmtid="{D5CDD505-2E9C-101B-9397-08002B2CF9AE}" pid="3" name="ICV">
    <vt:lpwstr>9C20405CF3C44461A8C3AE6B975882EC_13</vt:lpwstr>
  </property>
</Properties>
</file>