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7425"/>
      <w:bookmarkStart w:id="2" w:name="_Toc15378441"/>
      <w:bookmarkStart w:id="3" w:name="_Toc15396597"/>
      <w:bookmarkStart w:id="4" w:name="_Toc15377193"/>
      <w:bookmarkStart w:id="5" w:name="_Toc15396475"/>
      <w:r>
        <w:rPr>
          <w:rFonts w:ascii="黑体" w:hAnsi="黑体" w:eastAsia="黑体"/>
          <w:sz w:val="72"/>
          <w:szCs w:val="72"/>
        </w:rPr>
        <w:t>202</w:t>
      </w:r>
      <w:r>
        <w:rPr>
          <w:rFonts w:hint="eastAsia" w:ascii="黑体" w:hAnsi="黑体" w:eastAsia="黑体"/>
          <w:sz w:val="72"/>
          <w:szCs w:val="72"/>
        </w:rPr>
        <w:t>1年度</w:t>
      </w:r>
      <w:bookmarkEnd w:id="1"/>
      <w:bookmarkEnd w:id="2"/>
      <w:bookmarkEnd w:id="3"/>
      <w:bookmarkEnd w:id="4"/>
      <w:bookmarkEnd w:id="5"/>
    </w:p>
    <w:bookmarkEnd w:id="0"/>
    <w:p>
      <w:pPr>
        <w:jc w:val="center"/>
        <w:rPr>
          <w:rFonts w:hint="eastAsia" w:ascii="方正小标宋简体" w:eastAsia="方正小标宋简体"/>
          <w:sz w:val="72"/>
          <w:szCs w:val="72"/>
          <w:lang w:eastAsia="zh-CN"/>
        </w:rPr>
      </w:pPr>
      <w:bookmarkStart w:id="6" w:name="_Toc15396476"/>
      <w:bookmarkStart w:id="7" w:name="_Toc15396598"/>
      <w:bookmarkStart w:id="8" w:name="_Toc15377194"/>
      <w:bookmarkStart w:id="9" w:name="_Toc15306268"/>
      <w:bookmarkStart w:id="10" w:name="_Toc15378442"/>
      <w:bookmarkStart w:id="11" w:name="_Toc15377426"/>
      <w:r>
        <w:rPr>
          <w:rFonts w:hint="eastAsia" w:ascii="方正小标宋简体" w:eastAsia="方正小标宋简体"/>
          <w:sz w:val="72"/>
          <w:szCs w:val="72"/>
          <w:lang w:eastAsia="zh-CN"/>
        </w:rPr>
        <w:t>阿坝州壤塘县佛教协会</w:t>
      </w:r>
    </w:p>
    <w:p>
      <w:pPr>
        <w:jc w:val="center"/>
        <w:rPr>
          <w:rFonts w:ascii="方正小标宋简体" w:eastAsia="方正小标宋简体"/>
          <w:sz w:val="72"/>
          <w:szCs w:val="72"/>
        </w:rPr>
      </w:pP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pStyle w:val="18"/>
        <w:rPr>
          <w:rFonts w:ascii="方正小标宋简体" w:hAnsi="宋体" w:eastAsia="方正小标宋简体"/>
          <w:sz w:val="36"/>
          <w:szCs w:val="36"/>
        </w:rPr>
      </w:pPr>
    </w:p>
    <w:p>
      <w:pPr>
        <w:rPr>
          <w:rFonts w:ascii="方正小标宋简体" w:hAnsi="宋体" w:eastAsia="方正小标宋简体"/>
          <w:sz w:val="36"/>
          <w:szCs w:val="36"/>
        </w:rPr>
      </w:pPr>
    </w:p>
    <w:p>
      <w:pPr>
        <w:pStyle w:val="18"/>
        <w:rPr>
          <w:rFonts w:ascii="方正小标宋简体" w:hAnsi="宋体" w:eastAsia="方正小标宋简体"/>
          <w:sz w:val="36"/>
          <w:szCs w:val="36"/>
        </w:rPr>
      </w:pPr>
    </w:p>
    <w:p/>
    <w:p>
      <w:pPr>
        <w:rPr>
          <w:rFonts w:ascii="方正小标宋简体" w:hAnsi="宋体" w:eastAsia="方正小标宋简体"/>
          <w:sz w:val="36"/>
          <w:szCs w:val="36"/>
        </w:rPr>
      </w:pPr>
    </w:p>
    <w:p>
      <w:pPr>
        <w:widowControl/>
        <w:jc w:val="center"/>
        <w:rPr>
          <w:rFonts w:ascii="方正小标宋简体" w:hAnsi="宋体" w:eastAsia="方正小标宋简体"/>
          <w:color w:val="000000"/>
          <w:sz w:val="36"/>
          <w:szCs w:val="36"/>
        </w:rPr>
      </w:pPr>
    </w:p>
    <w:p>
      <w:pPr>
        <w:pStyle w:val="2"/>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pStyle w:val="15"/>
        <w:jc w:val="center"/>
        <w:rPr>
          <w:rFonts w:hAnsiTheme="minorHAnsi"/>
          <w:b w:val="0"/>
          <w:bCs w:val="0"/>
          <w:sz w:val="24"/>
          <w:szCs w:val="24"/>
        </w:rPr>
      </w:pPr>
    </w:p>
    <w:p>
      <w:pPr>
        <w:pStyle w:val="15"/>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4</w:t>
      </w:r>
      <w:r>
        <w:fldChar w:fldCharType="end"/>
      </w:r>
    </w:p>
    <w:p>
      <w:pPr>
        <w:pStyle w:val="19"/>
        <w:tabs>
          <w:tab w:val="right" w:leader="dot" w:pos="8296"/>
        </w:tabs>
        <w:rPr>
          <w:rFonts w:hAnsiTheme="minorHAnsi" w:eastAsiaTheme="minorEastAsia" w:cstheme="minorBidi"/>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4</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Cs/>
          <w:color w:val="000000"/>
        </w:rPr>
        <w:t>（一）主要职能。</w:t>
      </w:r>
      <w:r>
        <w:tab/>
      </w:r>
      <w:r>
        <w:fldChar w:fldCharType="begin"/>
      </w:r>
      <w:r>
        <w:instrText xml:space="preserve"> PAGEREF _Toc79163853 \h </w:instrText>
      </w:r>
      <w:r>
        <w:fldChar w:fldCharType="separate"/>
      </w:r>
      <w:r>
        <w:t>4</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Cs/>
          <w:color w:val="000000"/>
        </w:rPr>
        <w:t>（二）202</w:t>
      </w:r>
      <w:r>
        <w:rPr>
          <w:rFonts w:hint="eastAsia" w:ascii="仿宋" w:hAnsi="仿宋" w:eastAsia="仿宋"/>
          <w:bCs/>
          <w:color w:val="000000"/>
        </w:rPr>
        <w:t>1</w:t>
      </w:r>
      <w:r>
        <w:rPr>
          <w:rFonts w:ascii="仿宋" w:hAnsi="仿宋" w:eastAsia="仿宋"/>
          <w:bCs/>
          <w:color w:val="000000"/>
        </w:rPr>
        <w:t>年重点工作完成情况。</w:t>
      </w:r>
      <w:r>
        <w:tab/>
      </w:r>
      <w:r>
        <w:fldChar w:fldCharType="begin"/>
      </w:r>
      <w:r>
        <w:instrText xml:space="preserve"> PAGEREF _Toc79163854 \h </w:instrText>
      </w:r>
      <w:r>
        <w:fldChar w:fldCharType="separate"/>
      </w:r>
      <w:r>
        <w:t>4</w:t>
      </w:r>
      <w:r>
        <w:fldChar w:fldCharType="end"/>
      </w:r>
    </w:p>
    <w:p>
      <w:pPr>
        <w:pStyle w:val="19"/>
        <w:tabs>
          <w:tab w:val="right" w:leader="dot" w:pos="8296"/>
        </w:tabs>
        <w:rPr>
          <w:rFonts w:hAnsiTheme="minorHAnsi" w:eastAsiaTheme="minorEastAsia" w:cstheme="minorBidi"/>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4</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rPr>
        <w:t>1</w:t>
      </w:r>
      <w:r>
        <w:rPr>
          <w:rFonts w:ascii="黑体" w:hAnsi="黑体" w:eastAsia="黑体"/>
          <w:b w:val="0"/>
          <w:bCs w:val="0"/>
        </w:rPr>
        <w:t>年度部门决算情况说明</w:t>
      </w:r>
      <w:r>
        <w:tab/>
      </w:r>
      <w:r>
        <w:fldChar w:fldCharType="begin"/>
      </w:r>
      <w:r>
        <w:instrText xml:space="preserve"> PAGEREF _Toc79163859 \h </w:instrText>
      </w:r>
      <w:r>
        <w:fldChar w:fldCharType="separate"/>
      </w:r>
      <w:r>
        <w:t>5</w:t>
      </w:r>
      <w:r>
        <w:fldChar w:fldCharType="end"/>
      </w:r>
    </w:p>
    <w:p>
      <w:pPr>
        <w:pStyle w:val="19"/>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rPr>
          <w:rFonts w:hint="eastAsia"/>
          <w:lang w:val="en-US" w:eastAsia="zh-CN"/>
        </w:rPr>
        <w:t xml:space="preserve">  </w:t>
      </w:r>
      <w:bookmarkStart w:id="150" w:name="_GoBack"/>
      <w:bookmarkEnd w:id="150"/>
      <w:r>
        <w:rPr>
          <w:rFonts w:hint="eastAsia"/>
          <w:lang w:val="en-US" w:eastAsia="zh-CN"/>
        </w:rPr>
        <w:t xml:space="preserve"> </w:t>
      </w:r>
      <w:r>
        <w:tab/>
      </w:r>
      <w:r>
        <w:rPr>
          <w:rFonts w:hint="eastAsia"/>
          <w:lang w:val="en-US" w:eastAsia="zh-CN"/>
        </w:rPr>
        <w:t xml:space="preserve"> 7</w:t>
      </w:r>
    </w:p>
    <w:p>
      <w:pPr>
        <w:pStyle w:val="19"/>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8</w:t>
      </w:r>
    </w:p>
    <w:p>
      <w:pPr>
        <w:pStyle w:val="19"/>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lang w:val="en-US" w:eastAsia="zh-CN"/>
        </w:rPr>
        <w:t>8</w:t>
      </w:r>
    </w:p>
    <w:p>
      <w:pPr>
        <w:pStyle w:val="19"/>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7</w:t>
      </w:r>
      <w:r>
        <w:fldChar w:fldCharType="end"/>
      </w:r>
    </w:p>
    <w:p>
      <w:pPr>
        <w:pStyle w:val="19"/>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8</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8</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9</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9</w:t>
      </w:r>
      <w:r>
        <w:fldChar w:fldCharType="end"/>
      </w:r>
    </w:p>
    <w:p>
      <w:pPr>
        <w:pStyle w:val="19"/>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10</w:t>
      </w:r>
      <w:r>
        <w:fldChar w:fldCharType="end"/>
      </w:r>
    </w:p>
    <w:p>
      <w:pPr>
        <w:pStyle w:val="19"/>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11</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11</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11</w:t>
      </w:r>
      <w:r>
        <w:fldChar w:fldCharType="end"/>
      </w:r>
    </w:p>
    <w:p>
      <w:pPr>
        <w:pStyle w:val="19"/>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12</w:t>
      </w:r>
      <w:r>
        <w:fldChar w:fldCharType="end"/>
      </w:r>
    </w:p>
    <w:p>
      <w:pPr>
        <w:pStyle w:val="19"/>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12</w:t>
      </w:r>
      <w:r>
        <w:fldChar w:fldCharType="end"/>
      </w:r>
    </w:p>
    <w:p>
      <w:pPr>
        <w:pStyle w:val="19"/>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13</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13</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13</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13</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13</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15</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18</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cs="黑体"/>
        </w:rPr>
        <w:t>附件1</w:t>
      </w:r>
      <w:r>
        <w:rPr>
          <w:rFonts w:hint="eastAsia" w:ascii="黑体" w:hAnsi="黑体" w:eastAsia="黑体" w:cs="黑体"/>
          <w:lang w:val="en-US" w:eastAsia="zh-CN"/>
        </w:rPr>
        <w:t>阿坝州壤塘县佛教协会</w:t>
      </w:r>
      <w:r>
        <w:rPr>
          <w:rFonts w:ascii="黑体" w:hAnsi="黑体" w:eastAsia="黑体" w:cs="黑体"/>
        </w:rPr>
        <w:t>202</w:t>
      </w:r>
      <w:r>
        <w:rPr>
          <w:rFonts w:hint="eastAsia" w:ascii="黑体" w:hAnsi="黑体" w:eastAsia="黑体" w:cs="黑体"/>
        </w:rPr>
        <w:t>1年部门整体支出绩效评价</w:t>
      </w:r>
      <w:r>
        <w:rPr>
          <w:rFonts w:hint="eastAsia" w:ascii="黑体" w:hAnsi="黑体" w:eastAsia="黑体" w:cs="黑体"/>
          <w:lang w:val="en-US" w:eastAsia="zh-CN"/>
        </w:rPr>
        <w:t>报告</w:t>
      </w:r>
      <w:r>
        <w:rPr>
          <w:rFonts w:hint="eastAsia" w:ascii="黑体" w:hAnsi="黑体" w:eastAsia="黑体" w:cs="黑体"/>
          <w:lang w:val="en-US" w:eastAsia="zh-CN"/>
        </w:rPr>
        <w:tab/>
      </w:r>
      <w:r>
        <w:fldChar w:fldCharType="begin"/>
      </w:r>
      <w:r>
        <w:instrText xml:space="preserve"> PAGEREF _Toc79163881 \h </w:instrText>
      </w:r>
      <w:r>
        <w:fldChar w:fldCharType="separate"/>
      </w:r>
      <w:r>
        <w:t>18</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fldChar w:fldCharType="begin"/>
      </w:r>
      <w:r>
        <w:instrText xml:space="preserve"> PAGEREF _Toc79163885 \h </w:instrText>
      </w:r>
      <w:r>
        <w:fldChar w:fldCharType="separate"/>
      </w:r>
      <w:r>
        <w:t>23</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23</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23</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23</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23</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23</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23</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23</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23</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23</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fldChar w:fldCharType="begin"/>
      </w:r>
      <w:r>
        <w:instrText xml:space="preserve"> PAGEREF _Toc79163895 \h </w:instrText>
      </w:r>
      <w:r>
        <w:fldChar w:fldCharType="separate"/>
      </w:r>
      <w:r>
        <w:t>23</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23</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fldChar w:fldCharType="begin"/>
      </w:r>
      <w:r>
        <w:instrText xml:space="preserve"> PAGEREF _Toc79163897 \h </w:instrText>
      </w:r>
      <w:r>
        <w:fldChar w:fldCharType="separate"/>
      </w:r>
      <w:r>
        <w:t>23</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rPr>
        <w:t>收入</w:t>
      </w:r>
      <w:r>
        <w:rPr>
          <w:rFonts w:ascii="仿宋" w:hAnsi="仿宋" w:eastAsia="仿宋"/>
        </w:rPr>
        <w:t>支出决算表</w:t>
      </w:r>
      <w:r>
        <w:tab/>
      </w:r>
      <w:r>
        <w:fldChar w:fldCharType="begin"/>
      </w:r>
      <w:r>
        <w:instrText xml:space="preserve"> PAGEREF _Toc79163898 \h </w:instrText>
      </w:r>
      <w:r>
        <w:fldChar w:fldCharType="separate"/>
      </w:r>
      <w:r>
        <w:t>23</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十四、国有资本经营预算财政拨款支出决算表</w:t>
      </w:r>
      <w:r>
        <w:tab/>
      </w:r>
      <w:r>
        <w:fldChar w:fldCharType="begin"/>
      </w:r>
      <w:r>
        <w:instrText xml:space="preserve"> PAGEREF _Toc79163899 \h </w:instrText>
      </w:r>
      <w:r>
        <w:fldChar w:fldCharType="separate"/>
      </w:r>
      <w:r>
        <w:t>23</w:t>
      </w:r>
      <w:r>
        <w:fldChar w:fldCharType="end"/>
      </w:r>
    </w:p>
    <w:p>
      <w:r>
        <w:rPr>
          <w:rFonts w:asciiTheme="minorHAnsi" w:eastAsiaTheme="minorHAnsi"/>
          <w:b/>
          <w:bCs/>
          <w:caps/>
          <w:sz w:val="20"/>
          <w:szCs w:val="20"/>
        </w:rPr>
        <w:fldChar w:fldCharType="end"/>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Fonts w:ascii="黑体" w:eastAsia="黑体"/>
          <w:color w:val="000000"/>
          <w:sz w:val="32"/>
          <w:szCs w:val="32"/>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8"/>
          <w:rFonts w:hint="eastAsia" w:ascii="黑体" w:hAnsi="黑体" w:eastAsia="黑体"/>
          <w:b w:val="0"/>
          <w:bCs w:val="0"/>
        </w:rPr>
        <w:t>部门概况</w:t>
      </w:r>
      <w:bookmarkEnd w:id="12"/>
      <w:bookmarkEnd w:id="13"/>
      <w:bookmarkEnd w:id="14"/>
      <w:bookmarkEnd w:id="15"/>
    </w:p>
    <w:p>
      <w:pPr>
        <w:pStyle w:val="4"/>
        <w:keepNext/>
        <w:keepLines/>
        <w:pageBreakBefore w:val="0"/>
        <w:widowControl w:val="0"/>
        <w:numPr>
          <w:ilvl w:val="0"/>
          <w:numId w:val="1"/>
        </w:numPr>
        <w:kinsoku/>
        <w:wordWrap/>
        <w:overflowPunct/>
        <w:topLinePunct w:val="0"/>
        <w:autoSpaceDE/>
        <w:autoSpaceDN/>
        <w:bidi w:val="0"/>
        <w:adjustRightInd/>
        <w:snapToGrid/>
        <w:spacing w:line="560" w:lineRule="exact"/>
        <w:textAlignment w:val="auto"/>
        <w:rPr>
          <w:rStyle w:val="29"/>
          <w:rFonts w:hint="eastAsia" w:ascii="黑体" w:hAnsi="黑体" w:eastAsia="黑体"/>
          <w:b w:val="0"/>
          <w:bCs w:val="0"/>
        </w:rPr>
      </w:pPr>
      <w:bookmarkStart w:id="16" w:name="_Toc15396600"/>
      <w:bookmarkStart w:id="17" w:name="_Toc79163602"/>
      <w:bookmarkStart w:id="18" w:name="_Toc79163852"/>
      <w:bookmarkStart w:id="19" w:name="_Toc15377197"/>
      <w:r>
        <w:rPr>
          <w:rFonts w:hint="eastAsia" w:ascii="黑体" w:hAnsi="黑体" w:eastAsia="黑体"/>
          <w:b w:val="0"/>
          <w:color w:val="000000"/>
        </w:rPr>
        <w:t>基</w:t>
      </w:r>
      <w:r>
        <w:rPr>
          <w:rStyle w:val="29"/>
          <w:rFonts w:hint="eastAsia" w:ascii="黑体" w:hAnsi="黑体" w:eastAsia="黑体"/>
          <w:b w:val="0"/>
          <w:bCs w:val="0"/>
        </w:rPr>
        <w:t>本职能及主要工作</w:t>
      </w:r>
      <w:bookmarkEnd w:id="16"/>
      <w:bookmarkEnd w:id="17"/>
      <w:bookmarkEnd w:id="18"/>
      <w:bookmarkEnd w:id="19"/>
      <w:bookmarkStart w:id="20" w:name="_Toc79163853"/>
      <w:bookmarkStart w:id="21" w:name="_Toc79163603"/>
      <w:bookmarkStart w:id="22" w:name="_Toc15377198"/>
      <w:bookmarkStart w:id="23" w:name="_Toc15378445"/>
    </w:p>
    <w:p>
      <w:pPr>
        <w:pStyle w:val="4"/>
        <w:keepNext/>
        <w:keepLines/>
        <w:pageBreakBefore w:val="0"/>
        <w:widowControl w:val="0"/>
        <w:numPr>
          <w:ilvl w:val="0"/>
          <w:numId w:val="0"/>
        </w:numPr>
        <w:kinsoku/>
        <w:wordWrap/>
        <w:overflowPunct/>
        <w:topLinePunct w:val="0"/>
        <w:autoSpaceDE/>
        <w:autoSpaceDN/>
        <w:bidi w:val="0"/>
        <w:adjustRightInd/>
        <w:snapToGrid/>
        <w:spacing w:line="560" w:lineRule="exact"/>
        <w:textAlignment w:val="auto"/>
        <w:rPr>
          <w:rFonts w:ascii="仿宋" w:hAnsi="仿宋" w:eastAsia="仿宋"/>
          <w:bCs/>
          <w:color w:val="000000"/>
          <w:sz w:val="32"/>
          <w:szCs w:val="32"/>
        </w:rPr>
      </w:pPr>
      <w:r>
        <w:rPr>
          <w:rFonts w:hint="eastAsia" w:ascii="仿宋" w:hAnsi="仿宋" w:eastAsia="仿宋"/>
          <w:bCs/>
          <w:color w:val="000000"/>
          <w:sz w:val="32"/>
          <w:szCs w:val="32"/>
        </w:rPr>
        <w:t>（一）主要职能。</w:t>
      </w:r>
      <w:bookmarkEnd w:id="20"/>
      <w:bookmarkEnd w:id="21"/>
    </w:p>
    <w:bookmarkEnd w:id="22"/>
    <w:bookmarkEnd w:id="23"/>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sz w:val="32"/>
          <w:szCs w:val="32"/>
          <w:lang w:val="en-US" w:eastAsia="zh-CN"/>
        </w:rPr>
      </w:pPr>
      <w:r>
        <w:rPr>
          <w:rFonts w:hint="eastAsia"/>
          <w:sz w:val="32"/>
          <w:szCs w:val="32"/>
          <w:lang w:val="en-US" w:eastAsia="zh-CN"/>
        </w:rPr>
        <w:t>（1）团结、带领全县各民族佛教徒遵守宪法、法律、法规和国家政策。</w:t>
      </w:r>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sz w:val="32"/>
          <w:szCs w:val="32"/>
          <w:lang w:val="en-US" w:eastAsia="zh-CN"/>
        </w:rPr>
      </w:pPr>
      <w:r>
        <w:rPr>
          <w:rFonts w:hint="eastAsia"/>
          <w:sz w:val="32"/>
          <w:szCs w:val="32"/>
          <w:lang w:val="en-US" w:eastAsia="zh-CN"/>
        </w:rPr>
        <w:t>（2）协助政府贯彻落实宗教信仰自由政策和法律法规规章，维护佛教界的合法权益。</w:t>
      </w:r>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sz w:val="32"/>
          <w:szCs w:val="32"/>
          <w:lang w:val="en-US" w:eastAsia="zh-CN"/>
        </w:rPr>
      </w:pPr>
      <w:r>
        <w:rPr>
          <w:rFonts w:hint="eastAsia"/>
          <w:sz w:val="32"/>
          <w:szCs w:val="32"/>
          <w:lang w:val="en-US" w:eastAsia="zh-CN"/>
        </w:rPr>
        <w:t>（3）建立健全佛教有关规章制度，加强信仰建设、道风建设、教制建设、人才建设和组织建设。</w:t>
      </w:r>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sz w:val="32"/>
          <w:szCs w:val="32"/>
          <w:lang w:val="en-US" w:eastAsia="zh-CN"/>
        </w:rPr>
      </w:pPr>
      <w:r>
        <w:rPr>
          <w:rFonts w:hint="eastAsia"/>
          <w:sz w:val="32"/>
          <w:szCs w:val="32"/>
          <w:lang w:val="en-US" w:eastAsia="zh-CN"/>
        </w:rPr>
        <w:t>（4）开展社会公益慈善事业，造福社会，利益人群。</w:t>
      </w:r>
    </w:p>
    <w:p>
      <w:pPr>
        <w:pStyle w:val="4"/>
        <w:bidi w:val="0"/>
        <w:rPr>
          <w:rFonts w:hint="eastAsia" w:ascii="宋体" w:hAnsi="宋体" w:eastAsia="宋体" w:cs="宋体"/>
        </w:rPr>
      </w:pPr>
      <w:bookmarkStart w:id="24" w:name="_Toc15378446"/>
      <w:bookmarkStart w:id="25" w:name="_Toc15377199"/>
      <w:bookmarkStart w:id="26" w:name="_Toc79163604"/>
      <w:bookmarkStart w:id="27" w:name="_Toc79163854"/>
      <w:r>
        <w:rPr>
          <w:rFonts w:hint="eastAsia" w:ascii="仿宋" w:hAnsi="仿宋" w:eastAsia="仿宋" w:cs="仿宋"/>
        </w:rPr>
        <w:t>（二）2021年重点工作完成情况</w:t>
      </w:r>
      <w:r>
        <w:rPr>
          <w:rFonts w:hint="eastAsia" w:ascii="宋体" w:hAnsi="宋体" w:eastAsia="宋体" w:cs="宋体"/>
        </w:rPr>
        <w:t>。</w:t>
      </w:r>
      <w:bookmarkEnd w:id="24"/>
      <w:bookmarkEnd w:id="25"/>
      <w:bookmarkEnd w:id="26"/>
      <w:bookmarkEnd w:id="27"/>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bCs/>
          <w:color w:val="000000"/>
          <w:sz w:val="32"/>
          <w:szCs w:val="32"/>
        </w:rPr>
      </w:pPr>
      <w:r>
        <w:rPr>
          <w:rFonts w:hint="eastAsia" w:ascii="仿宋_GB2312" w:hAnsi="Calibri" w:eastAsia="仿宋_GB2312" w:cs="仿宋_GB2312"/>
          <w:kern w:val="2"/>
          <w:sz w:val="32"/>
          <w:szCs w:val="32"/>
          <w:lang w:val="en-US" w:eastAsia="zh-CN" w:bidi="ar"/>
        </w:rPr>
        <w:t>本年度，我单位在县委、县政府的带领下，在省、州佛协的指导下，在疫情防控工作中，团结、带领僧侣攻坚克难，推进了疫情防控工作的高效开展，坚持藏传佛教中国化，团结各族人民群众，积极开展了公益慈善活动。</w:t>
      </w:r>
    </w:p>
    <w:p>
      <w:pPr>
        <w:pStyle w:val="4"/>
        <w:pageBreakBefore w:val="0"/>
        <w:widowControl w:val="0"/>
        <w:kinsoku/>
        <w:wordWrap/>
        <w:overflowPunct/>
        <w:topLinePunct w:val="0"/>
        <w:bidi w:val="0"/>
        <w:spacing w:line="560" w:lineRule="exact"/>
        <w:textAlignment w:val="auto"/>
        <w:rPr>
          <w:rStyle w:val="29"/>
          <w:b w:val="0"/>
          <w:bCs w:val="0"/>
        </w:rPr>
      </w:pPr>
      <w:bookmarkStart w:id="28" w:name="_Toc15377200"/>
      <w:bookmarkStart w:id="29" w:name="_Toc15396601"/>
      <w:bookmarkStart w:id="30" w:name="_Toc79163605"/>
      <w:bookmarkStart w:id="31" w:name="_Toc79163855"/>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28"/>
      <w:bookmarkEnd w:id="29"/>
      <w:bookmarkEnd w:id="30"/>
      <w:bookmarkEnd w:id="31"/>
    </w:p>
    <w:p>
      <w:pPr>
        <w:pStyle w:val="7"/>
        <w:pageBreakBefore w:val="0"/>
        <w:widowControl w:val="0"/>
        <w:kinsoku/>
        <w:wordWrap/>
        <w:overflowPunct/>
        <w:topLinePunct w:val="0"/>
        <w:bidi w:val="0"/>
        <w:adjustRightInd w:val="0"/>
        <w:snapToGrid w:val="0"/>
        <w:spacing w:before="93" w:line="560" w:lineRule="exact"/>
        <w:ind w:firstLine="672" w:firstLineChars="210"/>
        <w:textAlignment w:val="auto"/>
        <w:rPr>
          <w:rFonts w:ascii="仿宋" w:hAnsi="仿宋" w:eastAsia="仿宋"/>
          <w:color w:val="000000"/>
          <w:kern w:val="0"/>
          <w:sz w:val="32"/>
          <w:szCs w:val="32"/>
        </w:rPr>
      </w:pPr>
      <w:bookmarkStart w:id="32" w:name="_Toc10699"/>
      <w:bookmarkStart w:id="33" w:name="_Toc30939"/>
      <w:bookmarkStart w:id="34" w:name="_Toc12356"/>
      <w:r>
        <w:rPr>
          <w:rFonts w:hint="eastAsia" w:hAnsi="仿宋" w:cs="Times New Roman"/>
          <w:b w:val="0"/>
          <w:bCs w:val="0"/>
          <w:kern w:val="2"/>
          <w:sz w:val="32"/>
          <w:szCs w:val="32"/>
          <w:highlight w:val="none"/>
          <w:lang w:val="en-US" w:eastAsia="zh-CN" w:bidi="ar-SA"/>
        </w:rPr>
        <w:t>四川省阿坝州壤塘县佛教协会无下属二级单位，本单位属行政单位</w:t>
      </w:r>
      <w:r>
        <w:rPr>
          <w:rFonts w:hint="eastAsia" w:ascii="仿宋_GB2312" w:hAnsi="仿宋" w:eastAsia="仿宋_GB2312" w:cs="Times New Roman"/>
          <w:b w:val="0"/>
          <w:bCs w:val="0"/>
          <w:kern w:val="2"/>
          <w:sz w:val="32"/>
          <w:szCs w:val="32"/>
          <w:highlight w:val="none"/>
          <w:lang w:val="en-US" w:eastAsia="zh-CN" w:bidi="ar-SA"/>
        </w:rPr>
        <w:t>。</w:t>
      </w:r>
      <w:bookmarkEnd w:id="32"/>
      <w:bookmarkEnd w:id="33"/>
      <w:bookmarkEnd w:id="34"/>
      <w:r>
        <w:rPr>
          <w:rFonts w:ascii="仿宋" w:hAnsi="仿宋" w:eastAsia="仿宋"/>
          <w:color w:val="000000"/>
          <w:sz w:val="32"/>
          <w:szCs w:val="32"/>
        </w:rPr>
        <w:br w:type="page"/>
      </w:r>
    </w:p>
    <w:p>
      <w:pPr>
        <w:pStyle w:val="3"/>
        <w:pageBreakBefore w:val="0"/>
        <w:widowControl w:val="0"/>
        <w:kinsoku/>
        <w:wordWrap/>
        <w:overflowPunct/>
        <w:topLinePunct w:val="0"/>
        <w:bidi w:val="0"/>
        <w:spacing w:line="560" w:lineRule="exact"/>
        <w:ind w:right="440"/>
        <w:jc w:val="right"/>
        <w:textAlignment w:val="auto"/>
        <w:rPr>
          <w:rStyle w:val="28"/>
          <w:rFonts w:ascii="黑体" w:hAnsi="黑体" w:eastAsia="黑体"/>
          <w:b w:val="0"/>
          <w:bCs w:val="0"/>
        </w:rPr>
      </w:pPr>
      <w:bookmarkStart w:id="35" w:name="_Toc15396602"/>
      <w:bookmarkStart w:id="36" w:name="_Toc79163609"/>
      <w:bookmarkStart w:id="37" w:name="_Toc15377204"/>
      <w:bookmarkStart w:id="38" w:name="_Toc79163859"/>
      <w:r>
        <w:rPr>
          <w:rFonts w:hint="eastAsia" w:ascii="黑体" w:hAnsi="黑体" w:eastAsia="黑体"/>
          <w:b w:val="0"/>
          <w:color w:val="000000"/>
        </w:rPr>
        <w:t>第二部分</w:t>
      </w:r>
      <w:r>
        <w:rPr>
          <w:rFonts w:ascii="黑体" w:hAnsi="黑体" w:eastAsia="黑体"/>
          <w:color w:val="000000"/>
        </w:rPr>
        <w:t xml:space="preserve"> </w:t>
      </w:r>
      <w:r>
        <w:rPr>
          <w:rStyle w:val="28"/>
          <w:rFonts w:ascii="黑体" w:hAnsi="黑体" w:eastAsia="黑体"/>
          <w:b w:val="0"/>
          <w:bCs w:val="0"/>
        </w:rPr>
        <w:t>202</w:t>
      </w:r>
      <w:r>
        <w:rPr>
          <w:rStyle w:val="28"/>
          <w:rFonts w:hint="eastAsia" w:ascii="黑体" w:hAnsi="黑体" w:eastAsia="黑体"/>
          <w:b w:val="0"/>
          <w:bCs w:val="0"/>
        </w:rPr>
        <w:t>1年度部门决算情况说明</w:t>
      </w:r>
      <w:bookmarkEnd w:id="35"/>
      <w:bookmarkEnd w:id="36"/>
      <w:bookmarkEnd w:id="37"/>
      <w:bookmarkEnd w:id="38"/>
    </w:p>
    <w:p>
      <w:pPr>
        <w:pStyle w:val="4"/>
        <w:keepNext/>
        <w:keepLines/>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一、收入支出决算总体情况说明</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2021年度收入总计116.67万元，与2020年相比，增加37.15万元，增长46.72%。主要变动原因：本年度业务活动增加，相关经费增加; 支出总计133.45万元。与2020年相比，增加53.93万元，增长67.83%。主要变动原因:本年度业务活动增加，相关经费增加。</w:t>
      </w:r>
    </w:p>
    <w:p>
      <w:pPr>
        <w:pStyle w:val="21"/>
        <w:keepNext w:val="0"/>
        <w:keepLines w:val="0"/>
        <w:widowControl w:val="0"/>
        <w:suppressLineNumbers w:val="0"/>
        <w:spacing w:before="0" w:beforeAutospacing="1" w:after="0" w:afterAutospacing="0" w:line="360" w:lineRule="auto"/>
        <w:ind w:left="0" w:leftChars="0" w:right="0" w:firstLine="0" w:firstLineChars="0"/>
        <w:jc w:val="center"/>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drawing>
          <wp:inline distT="0" distB="0" distL="114300" distR="114300">
            <wp:extent cx="4705350" cy="2576195"/>
            <wp:effectExtent l="4445" t="4445" r="14605" b="10160"/>
            <wp:docPr id="134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eastAsia" w:ascii="Times New Roman" w:hAnsi="Times New Roman" w:eastAsia="宋体" w:cs="Times New Roman"/>
          <w:kern w:val="2"/>
          <w:sz w:val="21"/>
          <w:szCs w:val="21"/>
          <w:lang w:val="en-US" w:eastAsia="zh-CN" w:bidi="ar"/>
        </w:rPr>
        <w:drawing>
          <wp:inline distT="0" distB="0" distL="114300" distR="114300">
            <wp:extent cx="4617085" cy="2406015"/>
            <wp:effectExtent l="4445" t="4445" r="13970" b="15240"/>
            <wp:docPr id="133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Times New Roman" w:eastAsia="仿宋_GB2312" w:cs="Times New Roman"/>
          <w:color w:val="000000"/>
          <w:kern w:val="2"/>
          <w:sz w:val="32"/>
          <w:szCs w:val="32"/>
        </w:rPr>
      </w:pPr>
      <w:r>
        <w:rPr>
          <w:rFonts w:hint="eastAsia" w:ascii="仿宋" w:hAnsi="仿宋" w:eastAsia="仿宋" w:cs="仿宋"/>
          <w:color w:val="000000"/>
          <w:kern w:val="2"/>
          <w:sz w:val="32"/>
          <w:szCs w:val="32"/>
          <w:lang w:val="en-US" w:eastAsia="zh-CN" w:bidi="ar"/>
        </w:rPr>
        <w:t>（图</w:t>
      </w:r>
      <w:r>
        <w:rPr>
          <w:rFonts w:hint="eastAsia" w:ascii="仿宋" w:hAnsi="仿宋" w:eastAsia="仿宋" w:cs="Times New Roman"/>
          <w:color w:val="000000"/>
          <w:kern w:val="2"/>
          <w:sz w:val="32"/>
          <w:szCs w:val="32"/>
          <w:lang w:val="en-US" w:eastAsia="zh-CN" w:bidi="ar"/>
        </w:rPr>
        <w:t>1</w:t>
      </w:r>
      <w:r>
        <w:rPr>
          <w:rFonts w:hint="eastAsia" w:ascii="仿宋" w:hAnsi="仿宋" w:eastAsia="仿宋" w:cs="仿宋"/>
          <w:color w:val="000000"/>
          <w:kern w:val="2"/>
          <w:sz w:val="32"/>
          <w:szCs w:val="32"/>
          <w:lang w:val="en-US" w:eastAsia="zh-CN" w:bidi="ar"/>
        </w:rPr>
        <w:t>：收、支决算总计变动情况图）（柱状图）</w:t>
      </w:r>
    </w:p>
    <w:p>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黑体" w:hAnsi="黑体" w:eastAsia="黑体" w:cs="Times New Roman"/>
          <w:b w:val="0"/>
          <w:bCs w:val="0"/>
          <w:color w:val="000000"/>
          <w:kern w:val="2"/>
          <w:sz w:val="32"/>
          <w:szCs w:val="32"/>
          <w:lang w:val="en-US" w:eastAsia="zh-CN" w:bidi="ar-SA"/>
        </w:rPr>
        <w:t>二、收入决算情况说明</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Times New Roman"/>
          <w:color w:val="000000"/>
          <w:kern w:val="2"/>
          <w:sz w:val="32"/>
          <w:szCs w:val="32"/>
          <w:lang w:val="en-US" w:eastAsia="zh-CN" w:bidi="ar"/>
        </w:rPr>
        <w:t>202</w:t>
      </w:r>
      <w:r>
        <w:rPr>
          <w:rFonts w:hint="eastAsia" w:ascii="仿宋" w:hAnsi="仿宋" w:eastAsia="仿宋" w:cs="仿宋"/>
          <w:color w:val="000000"/>
          <w:kern w:val="2"/>
          <w:sz w:val="32"/>
          <w:szCs w:val="32"/>
          <w:lang w:val="en-US" w:eastAsia="zh-CN" w:bidi="ar"/>
        </w:rPr>
        <w:t>1年本年收入合计116.67万元，其中：一般公共预算财政拨款收入116.67万元，占100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；政府性基金预算财政拨款收入0万元，占0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；上级补助收入0万元，占0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；事业收入0万元，占0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；经营收入0万元，占0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；附属单位上缴收入0万元，占0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；其他收入0万元，占0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w:t>
      </w:r>
    </w:p>
    <w:p>
      <w:pPr>
        <w:pStyle w:val="21"/>
        <w:keepNext w:val="0"/>
        <w:keepLines w:val="0"/>
        <w:widowControl w:val="0"/>
        <w:suppressLineNumbers w:val="0"/>
        <w:spacing w:before="0" w:beforeAutospacing="1" w:after="120" w:afterAutospacing="0" w:line="360" w:lineRule="auto"/>
        <w:ind w:left="0" w:leftChars="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drawing>
          <wp:inline distT="0" distB="0" distL="114300" distR="114300">
            <wp:extent cx="4371975" cy="2468880"/>
            <wp:effectExtent l="0" t="0" r="9525" b="762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8"/>
                    <a:stretch>
                      <a:fillRect/>
                    </a:stretch>
                  </pic:blipFill>
                  <pic:spPr>
                    <a:xfrm>
                      <a:off x="0" y="0"/>
                      <a:ext cx="4371975" cy="2468880"/>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（图</w:t>
      </w:r>
      <w:r>
        <w:rPr>
          <w:rFonts w:hint="eastAsia" w:ascii="仿宋" w:hAnsi="仿宋" w:eastAsia="仿宋" w:cs="Times New Roman"/>
          <w:color w:val="000000"/>
          <w:kern w:val="2"/>
          <w:sz w:val="32"/>
          <w:szCs w:val="32"/>
          <w:lang w:val="en-US" w:eastAsia="zh-CN" w:bidi="ar"/>
        </w:rPr>
        <w:t>2</w:t>
      </w:r>
      <w:r>
        <w:rPr>
          <w:rFonts w:hint="eastAsia" w:ascii="仿宋" w:hAnsi="仿宋" w:eastAsia="仿宋" w:cs="仿宋"/>
          <w:color w:val="000000"/>
          <w:kern w:val="2"/>
          <w:sz w:val="32"/>
          <w:szCs w:val="32"/>
          <w:lang w:val="en-US" w:eastAsia="zh-CN" w:bidi="ar"/>
        </w:rPr>
        <w:t>：收入决算结构图）（饼状图）</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Times New Roman" w:eastAsia="仿宋_GB2312" w:cs="Times New Roman"/>
          <w:color w:val="FF0000"/>
          <w:kern w:val="2"/>
          <w:sz w:val="32"/>
          <w:szCs w:val="32"/>
        </w:rPr>
      </w:pPr>
      <w:r>
        <w:rPr>
          <w:rFonts w:hint="default" w:ascii="仿宋_GB2312" w:hAnsi="Times New Roman" w:eastAsia="仿宋_GB2312" w:cs="Times New Roman"/>
          <w:color w:val="FF0000"/>
          <w:kern w:val="2"/>
          <w:sz w:val="32"/>
          <w:szCs w:val="32"/>
          <w:lang w:val="en-US" w:eastAsia="zh-CN" w:bidi="ar"/>
        </w:rPr>
        <w:t xml:space="preserve"> </w:t>
      </w:r>
    </w:p>
    <w:p>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Times New Roman"/>
          <w:b w:val="0"/>
          <w:bCs w:val="0"/>
          <w:color w:val="000000"/>
          <w:kern w:val="2"/>
          <w:sz w:val="32"/>
          <w:szCs w:val="32"/>
          <w:lang w:val="en-US" w:eastAsia="zh-CN" w:bidi="ar-SA"/>
        </w:rPr>
        <w:t>三、支出决算情况说</w:t>
      </w:r>
      <w:r>
        <w:rPr>
          <w:rFonts w:hint="eastAsia"/>
          <w:lang w:val="en-US" w:eastAsia="zh-CN"/>
        </w:rPr>
        <w:t>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sz w:val="32"/>
          <w:szCs w:val="32"/>
        </w:rPr>
      </w:pPr>
      <w:r>
        <w:rPr>
          <w:rFonts w:hint="default" w:ascii="仿宋_GB2312" w:hAnsi="Times New Roman" w:eastAsia="仿宋_GB2312" w:cs="Times New Roman"/>
          <w:kern w:val="2"/>
          <w:sz w:val="32"/>
          <w:szCs w:val="32"/>
          <w:lang w:val="en-US" w:eastAsia="zh-CN" w:bidi="ar"/>
        </w:rPr>
        <w:t>202</w:t>
      </w:r>
      <w:r>
        <w:rPr>
          <w:rFonts w:hint="default" w:ascii="仿宋_GB2312" w:hAnsi="Times New Roman" w:eastAsia="仿宋_GB2312" w:cs="仿宋_GB2312"/>
          <w:kern w:val="2"/>
          <w:sz w:val="32"/>
          <w:szCs w:val="32"/>
          <w:lang w:val="en-US" w:eastAsia="zh-CN" w:bidi="ar"/>
        </w:rPr>
        <w:t>1年本年支出合计133.45万元</w:t>
      </w:r>
      <w:r>
        <w:rPr>
          <w:rFonts w:hint="eastAsia" w:ascii="仿宋_GB2312" w:eastAsia="仿宋_GB2312"/>
          <w:sz w:val="32"/>
          <w:szCs w:val="32"/>
        </w:rPr>
        <w:t>，其中：基本支出133.45万元，占</w:t>
      </w:r>
      <w:r>
        <w:rPr>
          <w:rFonts w:hint="eastAsia" w:ascii="仿宋_GB2312" w:eastAsia="仿宋_GB2312"/>
          <w:sz w:val="32"/>
          <w:szCs w:val="32"/>
          <w:lang w:val="en-US" w:eastAsia="zh-CN"/>
        </w:rPr>
        <w:t>100%</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rPr>
          <w:rFonts w:hint="eastAsia" w:ascii="仿宋_GB2312" w:eastAsia="仿宋_GB2312"/>
          <w:sz w:val="32"/>
          <w:szCs w:val="32"/>
        </w:rPr>
      </w:pPr>
    </w:p>
    <w:p>
      <w:pPr>
        <w:pStyle w:val="22"/>
        <w:jc w:val="center"/>
        <w:rPr>
          <w:rFonts w:ascii="仿宋" w:hAnsi="仿宋" w:eastAsia="仿宋"/>
          <w:color w:val="000000"/>
          <w:sz w:val="32"/>
          <w:szCs w:val="32"/>
          <w:shd w:val="pct10" w:color="auto" w:fill="FFFFFF"/>
        </w:rPr>
      </w:pPr>
      <w:r>
        <w:rPr>
          <w:rFonts w:ascii="仿宋" w:hAnsi="仿宋" w:eastAsia="仿宋"/>
          <w:color w:val="000000"/>
          <w:sz w:val="32"/>
          <w:szCs w:val="32"/>
          <w:shd w:val="pct10" w:color="auto" w:fill="FFFFFF"/>
        </w:rPr>
        <w:drawing>
          <wp:inline distT="0" distB="0" distL="114300" distR="114300">
            <wp:extent cx="4107180" cy="2176145"/>
            <wp:effectExtent l="4445" t="4445" r="15875" b="16510"/>
            <wp:docPr id="133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pageBreakBefore w:val="0"/>
        <w:widowControl w:val="0"/>
        <w:kinsoku/>
        <w:wordWrap/>
        <w:overflowPunct/>
        <w:topLinePunct w:val="0"/>
        <w:bidi w:val="0"/>
        <w:spacing w:line="560" w:lineRule="exact"/>
        <w:ind w:firstLine="640" w:firstLineChars="200"/>
        <w:textAlignment w:val="auto"/>
        <w:rPr>
          <w:rFonts w:ascii="仿宋_GB2312" w:eastAsia="仿宋_GB2312"/>
          <w:color w:val="FF0000"/>
          <w:sz w:val="32"/>
          <w:szCs w:val="32"/>
        </w:rPr>
      </w:pPr>
    </w:p>
    <w:p>
      <w:pPr>
        <w:pageBreakBefore w:val="0"/>
        <w:widowControl w:val="0"/>
        <w:kinsoku/>
        <w:wordWrap/>
        <w:overflowPunct/>
        <w:topLinePunct w:val="0"/>
        <w:bidi w:val="0"/>
        <w:spacing w:line="560" w:lineRule="exact"/>
        <w:ind w:firstLine="640" w:firstLineChars="200"/>
        <w:textAlignment w:val="auto"/>
        <w:outlineLvl w:val="1"/>
        <w:rPr>
          <w:rStyle w:val="29"/>
          <w:rFonts w:ascii="黑体" w:hAnsi="黑体" w:eastAsia="黑体"/>
          <w:b w:val="0"/>
        </w:rPr>
      </w:pPr>
      <w:bookmarkStart w:id="39" w:name="_Toc15396606"/>
      <w:bookmarkStart w:id="40" w:name="_Toc79163613"/>
      <w:bookmarkStart w:id="41" w:name="_Toc15377208"/>
      <w:bookmarkStart w:id="42" w:name="_Toc79163863"/>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39"/>
      <w:bookmarkEnd w:id="40"/>
      <w:bookmarkEnd w:id="41"/>
      <w:bookmarkEnd w:id="42"/>
    </w:p>
    <w:p>
      <w:pPr>
        <w:pageBreakBefore w:val="0"/>
        <w:widowControl w:val="0"/>
        <w:kinsoku/>
        <w:wordWrap/>
        <w:overflowPunct/>
        <w:topLinePunct w:val="0"/>
        <w:bidi w:val="0"/>
        <w:spacing w:line="560" w:lineRule="exact"/>
        <w:ind w:firstLine="64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年财政拨款</w:t>
      </w:r>
      <w:r>
        <w:rPr>
          <w:rFonts w:hint="eastAsia" w:ascii="仿宋" w:hAnsi="仿宋" w:eastAsia="仿宋"/>
          <w:color w:val="000000"/>
          <w:sz w:val="32"/>
          <w:szCs w:val="32"/>
          <w:lang w:eastAsia="zh-CN"/>
        </w:rPr>
        <w:t>收入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116.67万元，与2020年相比，增加37.15万元，增长46.72%。主要变动原因：本年度业务活动增加，相关经费增加;</w:t>
      </w: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年财政拨款支出总计</w:t>
      </w:r>
      <w:r>
        <w:rPr>
          <w:rFonts w:hint="eastAsia" w:ascii="仿宋" w:hAnsi="仿宋" w:eastAsia="仿宋"/>
          <w:color w:val="000000"/>
          <w:sz w:val="32"/>
          <w:szCs w:val="32"/>
          <w:lang w:val="en-US" w:eastAsia="zh-CN"/>
        </w:rPr>
        <w:t>133.45万元。与2020年相比，增加53.93万元，增长67.83%。主要变动原因:本年度业务活动增加，相关经费增加</w:t>
      </w:r>
      <w:r>
        <w:rPr>
          <w:rFonts w:hint="eastAsia" w:ascii="仿宋" w:hAnsi="仿宋" w:eastAsia="仿宋"/>
          <w:color w:val="000000"/>
          <w:sz w:val="32"/>
          <w:szCs w:val="32"/>
          <w:lang w:eastAsia="zh-CN"/>
        </w:rPr>
        <w:t>。</w:t>
      </w:r>
    </w:p>
    <w:p>
      <w:pPr>
        <w:pStyle w:val="22"/>
        <w:jc w:val="center"/>
        <w:rPr>
          <w:rFonts w:ascii="仿宋" w:hAnsi="仿宋" w:eastAsia="仿宋"/>
          <w:color w:val="000000"/>
          <w:sz w:val="32"/>
          <w:szCs w:val="32"/>
        </w:rPr>
      </w:pPr>
      <w:r>
        <w:rPr>
          <w:rFonts w:ascii="仿宋" w:hAnsi="仿宋" w:eastAsia="仿宋"/>
          <w:color w:val="000000"/>
          <w:sz w:val="32"/>
          <w:szCs w:val="32"/>
        </w:rPr>
        <w:drawing>
          <wp:inline distT="0" distB="0" distL="114300" distR="114300">
            <wp:extent cx="4208780" cy="2270760"/>
            <wp:effectExtent l="4445" t="4445" r="15875" b="10795"/>
            <wp:docPr id="133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仿宋" w:hAnsi="仿宋" w:eastAsia="仿宋"/>
          <w:color w:val="000000"/>
          <w:sz w:val="32"/>
          <w:szCs w:val="32"/>
        </w:rPr>
        <w:drawing>
          <wp:inline distT="0" distB="0" distL="114300" distR="114300">
            <wp:extent cx="4339590" cy="2130425"/>
            <wp:effectExtent l="4445" t="4445" r="12065" b="11430"/>
            <wp:docPr id="133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pageBreakBefore w:val="0"/>
        <w:widowControl w:val="0"/>
        <w:kinsoku/>
        <w:wordWrap/>
        <w:overflowPunct/>
        <w:topLinePunct w:val="0"/>
        <w:bidi w:val="0"/>
        <w:spacing w:line="560" w:lineRule="exact"/>
        <w:ind w:firstLine="640"/>
        <w:textAlignment w:val="auto"/>
        <w:rPr>
          <w:rFonts w:ascii="仿宋" w:hAnsi="仿宋" w:eastAsia="仿宋"/>
          <w:b/>
          <w:color w:val="00B050"/>
          <w:sz w:val="32"/>
          <w:szCs w:val="32"/>
        </w:rPr>
      </w:pPr>
    </w:p>
    <w:p>
      <w:pPr>
        <w:pageBreakBefore w:val="0"/>
        <w:widowControl w:val="0"/>
        <w:kinsoku/>
        <w:wordWrap/>
        <w:overflowPunct/>
        <w:topLinePunct w:val="0"/>
        <w:bidi w:val="0"/>
        <w:spacing w:line="560" w:lineRule="exact"/>
        <w:ind w:firstLine="640" w:firstLineChars="200"/>
        <w:textAlignment w:val="auto"/>
        <w:outlineLvl w:val="1"/>
        <w:rPr>
          <w:rStyle w:val="29"/>
          <w:rFonts w:ascii="黑体" w:hAnsi="黑体" w:eastAsia="黑体"/>
          <w:b w:val="0"/>
        </w:rPr>
      </w:pPr>
      <w:bookmarkStart w:id="43" w:name="_Toc15396607"/>
      <w:bookmarkStart w:id="44" w:name="_Toc79163864"/>
      <w:bookmarkStart w:id="45" w:name="_Toc79163614"/>
      <w:bookmarkStart w:id="46"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43"/>
      <w:bookmarkEnd w:id="44"/>
      <w:bookmarkEnd w:id="45"/>
      <w:bookmarkEnd w:id="46"/>
    </w:p>
    <w:p>
      <w:pPr>
        <w:pageBreakBefore w:val="0"/>
        <w:widowControl w:val="0"/>
        <w:kinsoku/>
        <w:wordWrap/>
        <w:overflowPunct/>
        <w:topLinePunct w:val="0"/>
        <w:bidi w:val="0"/>
        <w:spacing w:line="560" w:lineRule="exact"/>
        <w:ind w:firstLine="642" w:firstLineChars="200"/>
        <w:textAlignment w:val="auto"/>
        <w:outlineLvl w:val="2"/>
        <w:rPr>
          <w:rFonts w:ascii="仿宋" w:hAnsi="仿宋" w:eastAsia="仿宋"/>
          <w:b/>
          <w:color w:val="000000"/>
          <w:sz w:val="32"/>
          <w:szCs w:val="32"/>
        </w:rPr>
      </w:pPr>
      <w:bookmarkStart w:id="47" w:name="_Toc15377210"/>
      <w:bookmarkStart w:id="48" w:name="_Toc79163865"/>
      <w:bookmarkStart w:id="49" w:name="_Toc79163615"/>
      <w:r>
        <w:rPr>
          <w:rFonts w:hint="eastAsia" w:ascii="仿宋" w:hAnsi="仿宋" w:eastAsia="仿宋"/>
          <w:b/>
          <w:color w:val="000000"/>
          <w:sz w:val="32"/>
          <w:szCs w:val="32"/>
        </w:rPr>
        <w:t>（一）一般公共预算财政拨款支出决算总体情况</w:t>
      </w:r>
      <w:bookmarkEnd w:id="47"/>
      <w:bookmarkEnd w:id="48"/>
      <w:bookmarkEnd w:id="49"/>
    </w:p>
    <w:p>
      <w:pPr>
        <w:pageBreakBefore w:val="0"/>
        <w:widowControl w:val="0"/>
        <w:kinsoku/>
        <w:wordWrap/>
        <w:overflowPunct/>
        <w:topLinePunct w:val="0"/>
        <w:bidi w:val="0"/>
        <w:spacing w:line="560" w:lineRule="exact"/>
        <w:ind w:firstLine="640" w:firstLineChars="200"/>
        <w:textAlignment w:val="auto"/>
        <w:rPr>
          <w:rFonts w:hint="eastAsia" w:ascii="仿宋" w:hAnsi="仿宋" w:eastAsia="仿宋"/>
          <w:color w:val="000000"/>
          <w:sz w:val="32"/>
          <w:szCs w:val="32"/>
          <w:lang w:val="en-US" w:eastAsia="zh-CN"/>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1年一般公共预算财政拨款支出</w:t>
      </w:r>
      <w:r>
        <w:rPr>
          <w:rFonts w:hint="eastAsia" w:ascii="仿宋" w:hAnsi="仿宋" w:eastAsia="仿宋"/>
          <w:color w:val="000000"/>
          <w:sz w:val="32"/>
          <w:szCs w:val="32"/>
          <w:lang w:val="en-US" w:eastAsia="zh-CN"/>
        </w:rPr>
        <w:t>133.45</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20年相比，一般公共预算财政拨款</w:t>
      </w:r>
      <w:r>
        <w:rPr>
          <w:rFonts w:hint="eastAsia" w:ascii="仿宋" w:hAnsi="仿宋" w:eastAsia="仿宋"/>
          <w:color w:val="000000"/>
          <w:sz w:val="32"/>
          <w:szCs w:val="32"/>
          <w:lang w:val="en-US" w:eastAsia="zh-CN"/>
        </w:rPr>
        <w:t>增加53.93万元，增长67.83%。主要变动原因:本年度业务活动增加，相关经费增加。</w:t>
      </w:r>
    </w:p>
    <w:p>
      <w:pPr>
        <w:jc w:val="center"/>
        <w:rPr>
          <w:rFonts w:ascii="仿宋" w:hAnsi="仿宋" w:eastAsia="仿宋"/>
          <w:color w:val="000000"/>
          <w:sz w:val="32"/>
          <w:szCs w:val="32"/>
        </w:rPr>
      </w:pPr>
      <w:r>
        <w:rPr>
          <w:rFonts w:ascii="仿宋" w:hAnsi="仿宋" w:eastAsia="仿宋"/>
          <w:color w:val="000000"/>
          <w:sz w:val="32"/>
          <w:szCs w:val="32"/>
        </w:rPr>
        <w:drawing>
          <wp:inline distT="0" distB="0" distL="114300" distR="114300">
            <wp:extent cx="4451350" cy="2411095"/>
            <wp:effectExtent l="4445" t="4445" r="14605" b="10160"/>
            <wp:docPr id="134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widowControl w:val="0"/>
        <w:kinsoku/>
        <w:wordWrap/>
        <w:overflowPunct/>
        <w:topLinePunct w:val="0"/>
        <w:bidi w:val="0"/>
        <w:spacing w:line="560" w:lineRule="exact"/>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p>
    <w:p>
      <w:pPr>
        <w:pageBreakBefore w:val="0"/>
        <w:widowControl w:val="0"/>
        <w:kinsoku/>
        <w:wordWrap/>
        <w:overflowPunct/>
        <w:topLinePunct w:val="0"/>
        <w:bidi w:val="0"/>
        <w:spacing w:line="560" w:lineRule="exact"/>
        <w:ind w:firstLine="642" w:firstLineChars="200"/>
        <w:textAlignment w:val="auto"/>
        <w:outlineLvl w:val="2"/>
        <w:rPr>
          <w:rFonts w:ascii="仿宋" w:hAnsi="仿宋" w:eastAsia="仿宋"/>
          <w:b/>
          <w:color w:val="000000"/>
          <w:sz w:val="32"/>
          <w:szCs w:val="32"/>
        </w:rPr>
      </w:pPr>
      <w:bookmarkStart w:id="50" w:name="_Toc79163866"/>
      <w:bookmarkStart w:id="51" w:name="_Toc15377211"/>
      <w:bookmarkStart w:id="52" w:name="_Toc79163616"/>
      <w:r>
        <w:rPr>
          <w:rFonts w:hint="eastAsia" w:ascii="仿宋" w:hAnsi="仿宋" w:eastAsia="仿宋"/>
          <w:b/>
          <w:color w:val="000000"/>
          <w:sz w:val="32"/>
          <w:szCs w:val="32"/>
        </w:rPr>
        <w:t>（二）一般公共预算财政拨款支出决算结构情况</w:t>
      </w:r>
      <w:bookmarkEnd w:id="50"/>
      <w:bookmarkEnd w:id="51"/>
      <w:bookmarkEnd w:id="52"/>
    </w:p>
    <w:p>
      <w:pPr>
        <w:pageBreakBefore w:val="0"/>
        <w:widowControl w:val="0"/>
        <w:kinsoku/>
        <w:wordWrap/>
        <w:overflowPunct/>
        <w:topLinePunct w:val="0"/>
        <w:bidi w:val="0"/>
        <w:spacing w:line="560" w:lineRule="exact"/>
        <w:ind w:firstLine="640"/>
        <w:textAlignment w:val="auto"/>
        <w:rPr>
          <w:rFonts w:hint="eastAsia" w:ascii="仿宋" w:hAnsi="仿宋" w:eastAsia="仿宋"/>
          <w:b/>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1年一般公共预算财政拨款支出</w:t>
      </w:r>
      <w:r>
        <w:rPr>
          <w:rFonts w:hint="eastAsia" w:ascii="仿宋" w:hAnsi="仿宋" w:eastAsia="仿宋"/>
          <w:color w:val="000000"/>
          <w:sz w:val="32"/>
          <w:szCs w:val="32"/>
          <w:lang w:val="en-US" w:eastAsia="zh-CN"/>
        </w:rPr>
        <w:t>133.45</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bCs/>
          <w:color w:val="000000"/>
          <w:sz w:val="32"/>
          <w:szCs w:val="32"/>
        </w:rPr>
        <w:t>一般公共服务支出</w:t>
      </w:r>
      <w:r>
        <w:rPr>
          <w:rFonts w:hint="eastAsia" w:ascii="仿宋" w:hAnsi="仿宋" w:eastAsia="仿宋"/>
          <w:b/>
          <w:color w:val="000000"/>
          <w:sz w:val="32"/>
          <w:szCs w:val="32"/>
        </w:rPr>
        <w:t>（类）</w:t>
      </w:r>
      <w:r>
        <w:rPr>
          <w:rFonts w:hint="eastAsia" w:ascii="仿宋" w:hAnsi="仿宋" w:eastAsia="仿宋"/>
          <w:color w:val="000000"/>
          <w:sz w:val="32"/>
          <w:szCs w:val="32"/>
        </w:rPr>
        <w:t>支出109.84万元，占82.31%；</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支出11.20万元，占</w:t>
      </w:r>
      <w:r>
        <w:rPr>
          <w:rFonts w:hint="eastAsia" w:ascii="仿宋" w:hAnsi="仿宋" w:eastAsia="仿宋"/>
          <w:color w:val="000000"/>
          <w:sz w:val="32"/>
          <w:szCs w:val="32"/>
          <w:lang w:val="en-US" w:eastAsia="zh-CN"/>
        </w:rPr>
        <w:t>8.39%</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卫生健康支出（类）4.94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3.7%</w:t>
      </w:r>
      <w:r>
        <w:rPr>
          <w:rFonts w:hint="eastAsia" w:ascii="仿宋" w:hAnsi="仿宋" w:eastAsia="仿宋"/>
          <w:color w:val="000000"/>
          <w:sz w:val="32"/>
          <w:szCs w:val="32"/>
        </w:rPr>
        <w:t>；</w:t>
      </w:r>
      <w:r>
        <w:rPr>
          <w:rFonts w:hint="eastAsia" w:ascii="仿宋" w:hAnsi="仿宋" w:eastAsia="仿宋"/>
          <w:b/>
          <w:bCs/>
          <w:color w:val="000000"/>
          <w:sz w:val="32"/>
          <w:szCs w:val="32"/>
          <w:lang w:eastAsia="zh-CN"/>
        </w:rPr>
        <w:t>住房保障支出（类）7.46</w:t>
      </w:r>
      <w:r>
        <w:rPr>
          <w:rFonts w:hint="eastAsia" w:ascii="仿宋" w:hAnsi="仿宋" w:eastAsia="仿宋"/>
          <w:color w:val="000000"/>
          <w:sz w:val="32"/>
          <w:szCs w:val="32"/>
          <w:lang w:eastAsia="zh-CN"/>
        </w:rPr>
        <w:t>万元，占5.59%。</w:t>
      </w:r>
    </w:p>
    <w:p>
      <w:pPr>
        <w:jc w:val="center"/>
        <w:rPr>
          <w:rFonts w:ascii="仿宋" w:hAnsi="仿宋" w:eastAsia="仿宋"/>
          <w:color w:val="000000"/>
          <w:sz w:val="32"/>
          <w:szCs w:val="32"/>
        </w:rPr>
      </w:pPr>
      <w:r>
        <w:rPr>
          <w:rFonts w:ascii="仿宋" w:hAnsi="仿宋" w:eastAsia="仿宋"/>
          <w:color w:val="000000"/>
          <w:sz w:val="32"/>
          <w:szCs w:val="32"/>
        </w:rPr>
        <w:drawing>
          <wp:inline distT="0" distB="0" distL="114300" distR="114300">
            <wp:extent cx="4466590" cy="2393950"/>
            <wp:effectExtent l="4445" t="4445" r="12065" b="14605"/>
            <wp:docPr id="134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widowControl w:val="0"/>
        <w:kinsoku/>
        <w:wordWrap/>
        <w:overflowPunct/>
        <w:topLinePunct w:val="0"/>
        <w:bidi w:val="0"/>
        <w:spacing w:line="560" w:lineRule="exact"/>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p>
    <w:p>
      <w:pPr>
        <w:pageBreakBefore w:val="0"/>
        <w:widowControl w:val="0"/>
        <w:kinsoku/>
        <w:wordWrap/>
        <w:overflowPunct/>
        <w:topLinePunct w:val="0"/>
        <w:bidi w:val="0"/>
        <w:spacing w:line="560" w:lineRule="exact"/>
        <w:ind w:firstLine="642" w:firstLineChars="200"/>
        <w:textAlignment w:val="auto"/>
        <w:outlineLvl w:val="2"/>
        <w:rPr>
          <w:rFonts w:ascii="仿宋" w:hAnsi="仿宋" w:eastAsia="仿宋"/>
          <w:b/>
          <w:color w:val="000000"/>
          <w:sz w:val="32"/>
          <w:szCs w:val="32"/>
        </w:rPr>
      </w:pPr>
      <w:bookmarkStart w:id="53" w:name="_Toc79163617"/>
      <w:bookmarkStart w:id="54" w:name="_Toc15377212"/>
      <w:bookmarkStart w:id="55" w:name="_Toc79163867"/>
      <w:r>
        <w:rPr>
          <w:rFonts w:hint="eastAsia" w:ascii="仿宋" w:hAnsi="仿宋" w:eastAsia="仿宋"/>
          <w:b/>
          <w:color w:val="000000"/>
          <w:sz w:val="32"/>
          <w:szCs w:val="32"/>
        </w:rPr>
        <w:t>（三）一般公共预算财政拨款支出决算具体情况</w:t>
      </w:r>
      <w:bookmarkEnd w:id="53"/>
      <w:bookmarkEnd w:id="54"/>
      <w:bookmarkEnd w:id="55"/>
    </w:p>
    <w:p>
      <w:pPr>
        <w:keepNext w:val="0"/>
        <w:keepLines w:val="0"/>
        <w:widowControl w:val="0"/>
        <w:suppressLineNumbers w:val="0"/>
        <w:spacing w:before="0" w:beforeAutospacing="0" w:after="0" w:afterAutospacing="0" w:line="560" w:lineRule="exact"/>
        <w:ind w:left="0" w:right="0" w:firstLine="642" w:firstLineChars="200"/>
        <w:jc w:val="both"/>
        <w:rPr>
          <w:rFonts w:hint="eastAsia" w:ascii="仿宋_GB2312" w:eastAsia="仿宋_GB2312"/>
          <w:b/>
          <w:bCs/>
          <w:sz w:val="32"/>
          <w:szCs w:val="32"/>
        </w:rPr>
      </w:pPr>
      <w:bookmarkStart w:id="56" w:name="_Toc15377213"/>
      <w:bookmarkStart w:id="57" w:name="_Toc15377444"/>
      <w:bookmarkStart w:id="58" w:name="_Toc15378460"/>
      <w:r>
        <w:rPr>
          <w:rFonts w:ascii="仿宋_GB2312" w:eastAsia="仿宋_GB2312"/>
          <w:b/>
          <w:bCs/>
          <w:sz w:val="32"/>
          <w:szCs w:val="32"/>
        </w:rPr>
        <w:t>202</w:t>
      </w:r>
      <w:r>
        <w:rPr>
          <w:rFonts w:hint="eastAsia" w:ascii="仿宋_GB2312" w:eastAsia="仿宋_GB2312"/>
          <w:b/>
          <w:bCs/>
          <w:sz w:val="32"/>
          <w:szCs w:val="32"/>
        </w:rPr>
        <w:t>1年一般公共预算支出决算数为133.45</w:t>
      </w:r>
      <w:r>
        <w:rPr>
          <w:rFonts w:hint="eastAsia" w:ascii="仿宋_GB2312" w:eastAsia="仿宋_GB2312"/>
          <w:b/>
          <w:bCs/>
          <w:sz w:val="32"/>
          <w:szCs w:val="32"/>
          <w:lang w:val="en-US" w:eastAsia="zh-CN"/>
        </w:rPr>
        <w:t>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56"/>
      <w:bookmarkEnd w:id="57"/>
      <w:bookmarkEnd w:id="58"/>
    </w:p>
    <w:p>
      <w:pPr>
        <w:spacing w:line="600" w:lineRule="exact"/>
        <w:ind w:firstLine="642" w:firstLineChars="200"/>
        <w:rPr>
          <w:rFonts w:ascii="仿宋" w:hAnsi="仿宋" w:eastAsia="仿宋" w:cs="Times New Roman"/>
          <w:b/>
          <w:color w:val="000000"/>
          <w:sz w:val="32"/>
          <w:szCs w:val="32"/>
        </w:rPr>
      </w:pPr>
      <w:r>
        <w:rPr>
          <w:rFonts w:ascii="仿宋" w:hAnsi="仿宋" w:eastAsia="仿宋" w:cs="Times New Roman"/>
          <w:b/>
          <w:bCs/>
          <w:color w:val="000000"/>
          <w:sz w:val="32"/>
          <w:szCs w:val="32"/>
        </w:rPr>
        <w:t>1.</w:t>
      </w:r>
      <w:r>
        <w:rPr>
          <w:rFonts w:hint="eastAsia" w:ascii="仿宋" w:hAnsi="仿宋" w:eastAsia="仿宋" w:cs="Times New Roman"/>
          <w:b/>
          <w:bCs/>
          <w:color w:val="000000"/>
          <w:kern w:val="2"/>
          <w:sz w:val="32"/>
          <w:szCs w:val="32"/>
          <w:lang w:val="en-US" w:eastAsia="zh-CN" w:bidi="ar-SA"/>
        </w:rPr>
        <w:t>一般公共服务支出（类）群众团体事务（款)行政运行（项）:</w:t>
      </w:r>
      <w:r>
        <w:rPr>
          <w:rFonts w:ascii="仿宋" w:hAnsi="仿宋" w:eastAsia="仿宋" w:cs="Times New Roman"/>
          <w:b w:val="0"/>
          <w:bCs/>
          <w:color w:val="000000"/>
          <w:sz w:val="32"/>
          <w:szCs w:val="32"/>
        </w:rPr>
        <w:t xml:space="preserve"> </w:t>
      </w:r>
      <w:r>
        <w:rPr>
          <w:rFonts w:hint="eastAsia" w:ascii="仿宋" w:hAnsi="仿宋" w:eastAsia="仿宋" w:cs="Times New Roman"/>
          <w:b w:val="0"/>
          <w:bCs/>
          <w:color w:val="000000"/>
          <w:sz w:val="32"/>
          <w:szCs w:val="32"/>
        </w:rPr>
        <w:t>支出决算为109.84万元，完成预算</w:t>
      </w:r>
      <w:r>
        <w:rPr>
          <w:rFonts w:hint="eastAsia" w:ascii="仿宋" w:hAnsi="仿宋" w:eastAsia="仿宋" w:cs="Times New Roman"/>
          <w:b w:val="0"/>
          <w:bCs/>
          <w:color w:val="000000"/>
          <w:sz w:val="32"/>
          <w:szCs w:val="32"/>
          <w:lang w:val="en-US" w:eastAsia="zh-CN"/>
        </w:rPr>
        <w:t>100</w:t>
      </w:r>
      <w:r>
        <w:rPr>
          <w:rFonts w:ascii="仿宋" w:hAnsi="仿宋" w:eastAsia="仿宋" w:cs="Times New Roman"/>
          <w:b w:val="0"/>
          <w:bCs/>
          <w:color w:val="000000"/>
          <w:sz w:val="32"/>
          <w:szCs w:val="32"/>
        </w:rPr>
        <w:t>%</w:t>
      </w:r>
      <w:r>
        <w:rPr>
          <w:rFonts w:hint="eastAsia" w:ascii="仿宋" w:hAnsi="仿宋" w:eastAsia="仿宋" w:cs="Times New Roman"/>
          <w:b w:val="0"/>
          <w:bCs/>
          <w:color w:val="000000"/>
          <w:sz w:val="32"/>
          <w:szCs w:val="32"/>
          <w:lang w:eastAsia="zh-CN"/>
        </w:rPr>
        <w:t>，</w:t>
      </w:r>
      <w:r>
        <w:rPr>
          <w:rFonts w:hint="eastAsia" w:ascii="仿宋_GB2312" w:hAnsi="仿宋" w:eastAsia="仿宋_GB2312" w:cs="Times New Roman"/>
          <w:b w:val="0"/>
          <w:bCs/>
          <w:color w:val="000000"/>
          <w:sz w:val="32"/>
          <w:szCs w:val="32"/>
        </w:rPr>
        <w:t>决算数等于预算数</w:t>
      </w:r>
      <w:r>
        <w:rPr>
          <w:rFonts w:hint="eastAsia" w:ascii="仿宋_GB2312" w:hAnsi="仿宋" w:eastAsia="仿宋_GB2312" w:cs="Times New Roman"/>
          <w:b w:val="0"/>
          <w:bCs/>
          <w:color w:val="000000"/>
          <w:sz w:val="32"/>
          <w:szCs w:val="32"/>
          <w:lang w:eastAsia="zh-CN"/>
        </w:rPr>
        <w:t>。</w:t>
      </w:r>
    </w:p>
    <w:p>
      <w:pPr>
        <w:spacing w:line="600" w:lineRule="exact"/>
        <w:ind w:firstLine="642" w:firstLineChars="200"/>
        <w:rPr>
          <w:rFonts w:ascii="仿宋" w:hAnsi="仿宋" w:eastAsia="仿宋" w:cs="Times New Roman"/>
          <w:b/>
          <w:color w:val="000000"/>
          <w:sz w:val="32"/>
          <w:szCs w:val="32"/>
        </w:rPr>
      </w:pPr>
      <w:r>
        <w:rPr>
          <w:rFonts w:ascii="仿宋" w:hAnsi="仿宋" w:eastAsia="仿宋" w:cs="Times New Roman"/>
          <w:b/>
          <w:bCs/>
          <w:color w:val="000000"/>
          <w:sz w:val="32"/>
          <w:szCs w:val="32"/>
        </w:rPr>
        <w:t>2.</w:t>
      </w:r>
      <w:r>
        <w:rPr>
          <w:rFonts w:hint="eastAsia" w:ascii="仿宋" w:hAnsi="仿宋" w:eastAsia="仿宋" w:cs="Times New Roman"/>
          <w:b/>
          <w:bCs/>
          <w:color w:val="000000"/>
          <w:kern w:val="2"/>
          <w:sz w:val="32"/>
          <w:szCs w:val="32"/>
          <w:lang w:val="en-US" w:eastAsia="zh-CN" w:bidi="ar-SA"/>
        </w:rPr>
        <w:t>社会保障和就业（类）行政事业单位养老支出（款)  机关事业单位基本养老保险缴费支出（项）:</w:t>
      </w:r>
      <w:r>
        <w:rPr>
          <w:rFonts w:hint="eastAsia" w:ascii="仿宋" w:hAnsi="仿宋" w:eastAsia="仿宋" w:cs="Times New Roman"/>
          <w:b w:val="0"/>
          <w:bCs/>
          <w:color w:val="000000"/>
          <w:sz w:val="32"/>
          <w:szCs w:val="32"/>
        </w:rPr>
        <w:t>支出决算为7.47万元，完成预算</w:t>
      </w:r>
      <w:r>
        <w:rPr>
          <w:rFonts w:hint="eastAsia" w:ascii="仿宋" w:hAnsi="仿宋" w:eastAsia="仿宋" w:cs="Times New Roman"/>
          <w:b w:val="0"/>
          <w:bCs/>
          <w:color w:val="000000"/>
          <w:sz w:val="32"/>
          <w:szCs w:val="32"/>
          <w:lang w:val="en-US" w:eastAsia="zh-CN"/>
        </w:rPr>
        <w:t>100</w:t>
      </w:r>
      <w:r>
        <w:rPr>
          <w:rFonts w:ascii="仿宋" w:hAnsi="仿宋" w:eastAsia="仿宋" w:cs="Times New Roman"/>
          <w:b w:val="0"/>
          <w:bCs/>
          <w:color w:val="000000"/>
          <w:sz w:val="32"/>
          <w:szCs w:val="32"/>
        </w:rPr>
        <w:t>%</w:t>
      </w:r>
      <w:r>
        <w:rPr>
          <w:rFonts w:hint="eastAsia" w:ascii="仿宋" w:hAnsi="仿宋" w:eastAsia="仿宋" w:cs="Times New Roman"/>
          <w:b w:val="0"/>
          <w:bCs/>
          <w:color w:val="000000"/>
          <w:sz w:val="32"/>
          <w:szCs w:val="32"/>
          <w:lang w:eastAsia="zh-CN"/>
        </w:rPr>
        <w:t>，</w:t>
      </w:r>
      <w:r>
        <w:rPr>
          <w:rFonts w:hint="eastAsia" w:ascii="仿宋" w:hAnsi="仿宋" w:eastAsia="仿宋" w:cs="Times New Roman"/>
          <w:b w:val="0"/>
          <w:bCs/>
          <w:color w:val="000000"/>
          <w:sz w:val="32"/>
          <w:szCs w:val="32"/>
        </w:rPr>
        <w:t>决算数等于预算数。</w:t>
      </w:r>
    </w:p>
    <w:p>
      <w:pPr>
        <w:spacing w:line="600" w:lineRule="exact"/>
        <w:ind w:firstLine="642" w:firstLineChars="200"/>
        <w:rPr>
          <w:rFonts w:ascii="仿宋" w:hAnsi="仿宋" w:eastAsia="仿宋" w:cs="Times New Roman"/>
          <w:b/>
          <w:color w:val="000000"/>
          <w:sz w:val="32"/>
          <w:szCs w:val="32"/>
        </w:rPr>
      </w:pPr>
      <w:r>
        <w:rPr>
          <w:rFonts w:ascii="仿宋" w:hAnsi="仿宋" w:eastAsia="仿宋" w:cs="Times New Roman"/>
          <w:b/>
          <w:bCs/>
          <w:color w:val="000000"/>
          <w:sz w:val="32"/>
          <w:szCs w:val="32"/>
        </w:rPr>
        <w:t>3.</w:t>
      </w:r>
      <w:r>
        <w:rPr>
          <w:rFonts w:hint="eastAsia" w:ascii="仿宋" w:hAnsi="仿宋" w:eastAsia="仿宋" w:cs="Times New Roman"/>
          <w:b/>
          <w:bCs/>
          <w:color w:val="000000"/>
          <w:kern w:val="2"/>
          <w:sz w:val="32"/>
          <w:szCs w:val="32"/>
          <w:lang w:val="en-US" w:eastAsia="zh-CN" w:bidi="ar-SA"/>
        </w:rPr>
        <w:t>社会保障和就业（类）行政事业单位养老支出（款)  机关事业单位职业年金缴费支出（项）:</w:t>
      </w:r>
      <w:r>
        <w:rPr>
          <w:rFonts w:ascii="仿宋" w:hAnsi="仿宋" w:eastAsia="仿宋" w:cs="Times New Roman"/>
          <w:b w:val="0"/>
          <w:bCs/>
          <w:color w:val="000000"/>
          <w:sz w:val="32"/>
          <w:szCs w:val="32"/>
        </w:rPr>
        <w:t xml:space="preserve"> </w:t>
      </w:r>
      <w:r>
        <w:rPr>
          <w:rFonts w:hint="eastAsia" w:ascii="仿宋" w:hAnsi="仿宋" w:eastAsia="仿宋" w:cs="Times New Roman"/>
          <w:b w:val="0"/>
          <w:bCs/>
          <w:color w:val="000000"/>
          <w:sz w:val="32"/>
          <w:szCs w:val="32"/>
        </w:rPr>
        <w:t>支出决算为3.73万元，完成预算</w:t>
      </w:r>
      <w:r>
        <w:rPr>
          <w:rFonts w:hint="eastAsia" w:ascii="仿宋" w:hAnsi="仿宋" w:eastAsia="仿宋" w:cs="Times New Roman"/>
          <w:b w:val="0"/>
          <w:bCs/>
          <w:color w:val="000000"/>
          <w:sz w:val="32"/>
          <w:szCs w:val="32"/>
          <w:lang w:val="en-US" w:eastAsia="zh-CN"/>
        </w:rPr>
        <w:t>100</w:t>
      </w:r>
      <w:r>
        <w:rPr>
          <w:rFonts w:ascii="仿宋" w:hAnsi="仿宋" w:eastAsia="仿宋" w:cs="Times New Roman"/>
          <w:b w:val="0"/>
          <w:bCs/>
          <w:color w:val="000000"/>
          <w:sz w:val="32"/>
          <w:szCs w:val="32"/>
        </w:rPr>
        <w:t>%</w:t>
      </w:r>
      <w:r>
        <w:rPr>
          <w:rFonts w:hint="eastAsia" w:ascii="仿宋" w:hAnsi="仿宋" w:eastAsia="仿宋" w:cs="Times New Roman"/>
          <w:b w:val="0"/>
          <w:bCs/>
          <w:color w:val="000000"/>
          <w:sz w:val="32"/>
          <w:szCs w:val="32"/>
          <w:lang w:eastAsia="zh-CN"/>
        </w:rPr>
        <w:t>，</w:t>
      </w:r>
      <w:r>
        <w:rPr>
          <w:rFonts w:hint="eastAsia" w:ascii="仿宋_GB2312" w:hAnsi="仿宋" w:eastAsia="仿宋_GB2312" w:cs="Times New Roman"/>
          <w:b w:val="0"/>
          <w:bCs/>
          <w:color w:val="000000"/>
          <w:sz w:val="32"/>
          <w:szCs w:val="32"/>
        </w:rPr>
        <w:t>决算数等于预算数</w:t>
      </w:r>
      <w:r>
        <w:rPr>
          <w:rFonts w:hint="eastAsia" w:ascii="仿宋" w:hAnsi="仿宋" w:eastAsia="仿宋" w:cs="Times New Roman"/>
          <w:b w:val="0"/>
          <w:bCs/>
          <w:color w:val="000000"/>
          <w:sz w:val="32"/>
          <w:szCs w:val="32"/>
        </w:rPr>
        <w:t>。</w:t>
      </w:r>
    </w:p>
    <w:p>
      <w:pPr>
        <w:spacing w:line="600" w:lineRule="exact"/>
        <w:ind w:firstLine="642" w:firstLineChars="200"/>
        <w:rPr>
          <w:rFonts w:hint="eastAsia" w:ascii="仿宋" w:hAnsi="仿宋" w:eastAsia="仿宋" w:cs="Times New Roman"/>
          <w:b w:val="0"/>
          <w:bCs/>
          <w:color w:val="000000"/>
          <w:sz w:val="32"/>
          <w:szCs w:val="32"/>
          <w:lang w:eastAsia="zh-CN"/>
        </w:rPr>
      </w:pPr>
      <w:r>
        <w:rPr>
          <w:rFonts w:ascii="仿宋" w:hAnsi="仿宋" w:eastAsia="仿宋" w:cs="Times New Roman"/>
          <w:b/>
          <w:bCs/>
          <w:color w:val="000000"/>
          <w:sz w:val="32"/>
          <w:szCs w:val="32"/>
        </w:rPr>
        <w:t>4.</w:t>
      </w:r>
      <w:r>
        <w:rPr>
          <w:rFonts w:hint="eastAsia" w:ascii="仿宋" w:hAnsi="仿宋" w:eastAsia="仿宋" w:cs="Times New Roman"/>
          <w:b/>
          <w:bCs/>
          <w:color w:val="000000"/>
          <w:kern w:val="2"/>
          <w:sz w:val="32"/>
          <w:szCs w:val="32"/>
          <w:lang w:val="en-US" w:eastAsia="zh-CN" w:bidi="ar-SA"/>
        </w:rPr>
        <w:t>卫生健康支出（类）行政事业单位医疗（款)行政单位医疗（项）:</w:t>
      </w:r>
      <w:r>
        <w:rPr>
          <w:rFonts w:ascii="仿宋" w:hAnsi="仿宋" w:eastAsia="仿宋" w:cs="Times New Roman"/>
          <w:b w:val="0"/>
          <w:bCs/>
          <w:color w:val="000000"/>
          <w:sz w:val="32"/>
          <w:szCs w:val="32"/>
        </w:rPr>
        <w:t xml:space="preserve"> </w:t>
      </w:r>
      <w:r>
        <w:rPr>
          <w:rFonts w:hint="eastAsia" w:ascii="仿宋" w:hAnsi="仿宋" w:eastAsia="仿宋" w:cs="Times New Roman"/>
          <w:b w:val="0"/>
          <w:bCs/>
          <w:color w:val="000000"/>
          <w:sz w:val="32"/>
          <w:szCs w:val="32"/>
        </w:rPr>
        <w:t>支出决算为3.84万元，完成预算</w:t>
      </w:r>
      <w:r>
        <w:rPr>
          <w:rFonts w:hint="eastAsia" w:ascii="仿宋" w:hAnsi="仿宋" w:eastAsia="仿宋" w:cs="Times New Roman"/>
          <w:b w:val="0"/>
          <w:bCs/>
          <w:color w:val="000000"/>
          <w:sz w:val="32"/>
          <w:szCs w:val="32"/>
          <w:lang w:val="en-US" w:eastAsia="zh-CN"/>
        </w:rPr>
        <w:t>100</w:t>
      </w:r>
      <w:r>
        <w:rPr>
          <w:rFonts w:ascii="仿宋" w:hAnsi="仿宋" w:eastAsia="仿宋" w:cs="Times New Roman"/>
          <w:b w:val="0"/>
          <w:bCs/>
          <w:color w:val="000000"/>
          <w:sz w:val="32"/>
          <w:szCs w:val="32"/>
        </w:rPr>
        <w:t>%</w:t>
      </w:r>
      <w:r>
        <w:rPr>
          <w:rFonts w:hint="eastAsia" w:ascii="仿宋" w:hAnsi="仿宋" w:eastAsia="仿宋" w:cs="Times New Roman"/>
          <w:b w:val="0"/>
          <w:bCs/>
          <w:color w:val="000000"/>
          <w:sz w:val="32"/>
          <w:szCs w:val="32"/>
          <w:lang w:eastAsia="zh-CN"/>
        </w:rPr>
        <w:t>，决算数等于预算数。</w:t>
      </w:r>
    </w:p>
    <w:p>
      <w:pPr>
        <w:spacing w:line="600" w:lineRule="exact"/>
        <w:ind w:firstLine="642" w:firstLineChars="200"/>
        <w:rPr>
          <w:rFonts w:hint="eastAsia" w:ascii="仿宋" w:hAnsi="仿宋" w:eastAsia="仿宋" w:cs="Times New Roman"/>
          <w:b w:val="0"/>
          <w:bCs/>
          <w:color w:val="000000"/>
          <w:sz w:val="32"/>
          <w:szCs w:val="32"/>
          <w:lang w:eastAsia="zh-CN"/>
        </w:rPr>
      </w:pPr>
      <w:r>
        <w:rPr>
          <w:rFonts w:hint="eastAsia" w:ascii="仿宋" w:hAnsi="仿宋" w:eastAsia="仿宋" w:cs="Times New Roman"/>
          <w:b/>
          <w:bCs/>
          <w:color w:val="000000"/>
          <w:sz w:val="32"/>
          <w:szCs w:val="32"/>
          <w:lang w:val="en-US" w:eastAsia="zh-CN"/>
        </w:rPr>
        <w:t>5</w:t>
      </w:r>
      <w:r>
        <w:rPr>
          <w:rFonts w:ascii="仿宋" w:hAnsi="仿宋" w:eastAsia="仿宋" w:cs="Times New Roman"/>
          <w:b/>
          <w:bCs/>
          <w:color w:val="000000"/>
          <w:sz w:val="32"/>
          <w:szCs w:val="32"/>
        </w:rPr>
        <w:t>.</w:t>
      </w:r>
      <w:r>
        <w:rPr>
          <w:rFonts w:hint="eastAsia" w:ascii="仿宋" w:hAnsi="仿宋" w:eastAsia="仿宋" w:cs="Times New Roman"/>
          <w:b/>
          <w:bCs/>
          <w:color w:val="000000"/>
          <w:kern w:val="2"/>
          <w:sz w:val="32"/>
          <w:szCs w:val="32"/>
          <w:lang w:val="en-US" w:eastAsia="zh-CN" w:bidi="ar-SA"/>
        </w:rPr>
        <w:t>卫生健康支出（类）行政事业单位医疗（款)  公务员医疗补助（项）:</w:t>
      </w:r>
      <w:r>
        <w:rPr>
          <w:rFonts w:ascii="仿宋" w:hAnsi="仿宋" w:eastAsia="仿宋" w:cs="Times New Roman"/>
          <w:b w:val="0"/>
          <w:bCs/>
          <w:color w:val="000000"/>
          <w:sz w:val="32"/>
          <w:szCs w:val="32"/>
        </w:rPr>
        <w:t xml:space="preserve"> </w:t>
      </w:r>
      <w:r>
        <w:rPr>
          <w:rFonts w:hint="eastAsia" w:ascii="仿宋" w:hAnsi="仿宋" w:eastAsia="仿宋" w:cs="Times New Roman"/>
          <w:b w:val="0"/>
          <w:bCs/>
          <w:color w:val="000000"/>
          <w:sz w:val="32"/>
          <w:szCs w:val="32"/>
        </w:rPr>
        <w:t>支出决算为1.10万元，完成预算</w:t>
      </w:r>
      <w:r>
        <w:rPr>
          <w:rFonts w:hint="eastAsia" w:ascii="仿宋" w:hAnsi="仿宋" w:eastAsia="仿宋" w:cs="Times New Roman"/>
          <w:b w:val="0"/>
          <w:bCs/>
          <w:color w:val="000000"/>
          <w:sz w:val="32"/>
          <w:szCs w:val="32"/>
          <w:lang w:val="en-US" w:eastAsia="zh-CN"/>
        </w:rPr>
        <w:t>100</w:t>
      </w:r>
      <w:r>
        <w:rPr>
          <w:rFonts w:ascii="仿宋" w:hAnsi="仿宋" w:eastAsia="仿宋" w:cs="Times New Roman"/>
          <w:b w:val="0"/>
          <w:bCs/>
          <w:color w:val="000000"/>
          <w:sz w:val="32"/>
          <w:szCs w:val="32"/>
        </w:rPr>
        <w:t>%</w:t>
      </w:r>
      <w:r>
        <w:rPr>
          <w:rFonts w:hint="eastAsia" w:ascii="仿宋" w:hAnsi="仿宋" w:eastAsia="仿宋" w:cs="Times New Roman"/>
          <w:b w:val="0"/>
          <w:bCs/>
          <w:color w:val="000000"/>
          <w:sz w:val="32"/>
          <w:szCs w:val="32"/>
          <w:lang w:eastAsia="zh-CN"/>
        </w:rPr>
        <w:t>，决算数等于预算数</w:t>
      </w:r>
    </w:p>
    <w:p>
      <w:pPr>
        <w:pageBreakBefore w:val="0"/>
        <w:widowControl w:val="0"/>
        <w:kinsoku/>
        <w:wordWrap/>
        <w:overflowPunct/>
        <w:topLinePunct w:val="0"/>
        <w:bidi w:val="0"/>
        <w:spacing w:line="560" w:lineRule="exact"/>
        <w:ind w:firstLine="642" w:firstLineChars="200"/>
        <w:textAlignment w:val="auto"/>
        <w:rPr>
          <w:rFonts w:ascii="仿宋" w:hAnsi="仿宋" w:eastAsia="仿宋"/>
          <w:b/>
          <w:color w:val="FF0000"/>
          <w:sz w:val="32"/>
          <w:szCs w:val="32"/>
        </w:rPr>
      </w:pPr>
      <w:r>
        <w:rPr>
          <w:rFonts w:hint="eastAsia" w:ascii="仿宋" w:hAnsi="仿宋" w:eastAsia="仿宋" w:cs="Times New Roman"/>
          <w:b/>
          <w:bCs/>
          <w:color w:val="000000"/>
          <w:sz w:val="32"/>
          <w:szCs w:val="32"/>
          <w:lang w:val="en-US" w:eastAsia="zh-CN"/>
        </w:rPr>
        <w:t>6</w:t>
      </w:r>
      <w:r>
        <w:rPr>
          <w:rFonts w:ascii="仿宋" w:hAnsi="仿宋" w:eastAsia="仿宋" w:cs="Times New Roman"/>
          <w:b/>
          <w:bCs/>
          <w:color w:val="000000"/>
          <w:sz w:val="32"/>
          <w:szCs w:val="32"/>
        </w:rPr>
        <w:t>.</w:t>
      </w:r>
      <w:r>
        <w:rPr>
          <w:rFonts w:hint="eastAsia" w:ascii="仿宋" w:hAnsi="仿宋" w:eastAsia="仿宋" w:cs="Times New Roman"/>
          <w:b/>
          <w:bCs/>
          <w:color w:val="000000"/>
          <w:kern w:val="2"/>
          <w:sz w:val="32"/>
          <w:szCs w:val="32"/>
          <w:lang w:val="en-US" w:eastAsia="zh-CN" w:bidi="ar-SA"/>
        </w:rPr>
        <w:t>住房保障支出（类）住房改革支出（款）住房公积金（项）:</w:t>
      </w:r>
      <w:r>
        <w:rPr>
          <w:rFonts w:hint="eastAsia" w:ascii="仿宋" w:hAnsi="仿宋" w:eastAsia="仿宋" w:cs="Times New Roman"/>
          <w:b w:val="0"/>
          <w:bCs/>
          <w:color w:val="000000"/>
          <w:sz w:val="32"/>
          <w:szCs w:val="32"/>
        </w:rPr>
        <w:t>支出决算为7.46万元，完成预算</w:t>
      </w:r>
      <w:r>
        <w:rPr>
          <w:rFonts w:hint="eastAsia" w:ascii="仿宋" w:hAnsi="仿宋" w:eastAsia="仿宋" w:cs="Times New Roman"/>
          <w:b w:val="0"/>
          <w:bCs/>
          <w:color w:val="000000"/>
          <w:sz w:val="32"/>
          <w:szCs w:val="32"/>
          <w:lang w:val="en-US" w:eastAsia="zh-CN"/>
        </w:rPr>
        <w:t>100</w:t>
      </w:r>
      <w:r>
        <w:rPr>
          <w:rFonts w:ascii="仿宋" w:hAnsi="仿宋" w:eastAsia="仿宋" w:cs="Times New Roman"/>
          <w:b w:val="0"/>
          <w:bCs/>
          <w:color w:val="000000"/>
          <w:sz w:val="32"/>
          <w:szCs w:val="32"/>
        </w:rPr>
        <w:t>%</w:t>
      </w:r>
      <w:r>
        <w:rPr>
          <w:rFonts w:hint="eastAsia" w:ascii="仿宋" w:hAnsi="仿宋" w:eastAsia="仿宋" w:cs="Times New Roman"/>
          <w:b w:val="0"/>
          <w:bCs/>
          <w:color w:val="000000"/>
          <w:sz w:val="32"/>
          <w:szCs w:val="32"/>
          <w:lang w:eastAsia="zh-CN"/>
        </w:rPr>
        <w:t>，</w:t>
      </w:r>
      <w:r>
        <w:rPr>
          <w:rFonts w:hint="eastAsia" w:ascii="仿宋" w:hAnsi="仿宋" w:eastAsia="仿宋" w:cs="Times New Roman"/>
          <w:b w:val="0"/>
          <w:bCs/>
          <w:color w:val="000000"/>
          <w:sz w:val="32"/>
          <w:szCs w:val="32"/>
        </w:rPr>
        <w:t>决算数等于预算数</w:t>
      </w:r>
      <w:r>
        <w:rPr>
          <w:rFonts w:hint="eastAsia" w:ascii="仿宋" w:hAnsi="仿宋" w:eastAsia="仿宋" w:cs="仿宋"/>
          <w:b w:val="0"/>
          <w:color w:val="000000"/>
          <w:kern w:val="2"/>
          <w:sz w:val="32"/>
          <w:szCs w:val="32"/>
          <w:lang w:val="en-US" w:eastAsia="zh-CN" w:bidi="ar"/>
        </w:rPr>
        <w:t>。</w:t>
      </w:r>
    </w:p>
    <w:p>
      <w:pPr>
        <w:pageBreakBefore w:val="0"/>
        <w:widowControl w:val="0"/>
        <w:kinsoku/>
        <w:wordWrap/>
        <w:overflowPunct/>
        <w:topLinePunct w:val="0"/>
        <w:bidi w:val="0"/>
        <w:spacing w:line="560" w:lineRule="exact"/>
        <w:ind w:firstLine="640"/>
        <w:textAlignment w:val="auto"/>
        <w:rPr>
          <w:rFonts w:ascii="仿宋" w:hAnsi="仿宋" w:eastAsia="仿宋"/>
          <w:b/>
          <w:color w:val="000000"/>
          <w:sz w:val="32"/>
          <w:szCs w:val="32"/>
        </w:rPr>
      </w:pPr>
    </w:p>
    <w:p>
      <w:pPr>
        <w:pageBreakBefore w:val="0"/>
        <w:widowControl w:val="0"/>
        <w:tabs>
          <w:tab w:val="right" w:pos="8306"/>
        </w:tabs>
        <w:kinsoku/>
        <w:wordWrap/>
        <w:overflowPunct/>
        <w:topLinePunct w:val="0"/>
        <w:bidi w:val="0"/>
        <w:spacing w:line="560" w:lineRule="exact"/>
        <w:ind w:firstLine="640"/>
        <w:textAlignment w:val="auto"/>
        <w:outlineLvl w:val="1"/>
        <w:rPr>
          <w:rStyle w:val="29"/>
        </w:rPr>
      </w:pPr>
      <w:bookmarkStart w:id="59" w:name="_Toc15377214"/>
      <w:bookmarkStart w:id="60" w:name="_Toc79163868"/>
      <w:bookmarkStart w:id="61" w:name="_Toc15396608"/>
      <w:bookmarkStart w:id="62" w:name="_Toc7916361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59"/>
      <w:bookmarkEnd w:id="60"/>
      <w:bookmarkEnd w:id="61"/>
      <w:bookmarkEnd w:id="62"/>
      <w:r>
        <w:rPr>
          <w:rStyle w:val="29"/>
          <w:rFonts w:ascii="黑体" w:hAnsi="黑体" w:eastAsia="黑体"/>
          <w:b w:val="0"/>
        </w:rPr>
        <w:tab/>
      </w:r>
    </w:p>
    <w:p>
      <w:pPr>
        <w:pageBreakBefore w:val="0"/>
        <w:widowControl w:val="0"/>
        <w:kinsoku/>
        <w:wordWrap/>
        <w:overflowPunct/>
        <w:topLinePunct w:val="0"/>
        <w:bidi w:val="0"/>
        <w:spacing w:line="560" w:lineRule="exact"/>
        <w:ind w:firstLine="645"/>
        <w:textAlignment w:val="auto"/>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1年一般公共预算财政拨款基本支出133.45万元，其中：</w:t>
      </w:r>
    </w:p>
    <w:p>
      <w:pPr>
        <w:pageBreakBefore w:val="0"/>
        <w:widowControl w:val="0"/>
        <w:kinsoku/>
        <w:wordWrap/>
        <w:overflowPunct/>
        <w:topLinePunct w:val="0"/>
        <w:bidi w:val="0"/>
        <w:spacing w:line="560" w:lineRule="exact"/>
        <w:ind w:firstLine="645"/>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人员经费103.71万元，主要包括：基本工资、津贴补贴</w:t>
      </w:r>
      <w:r>
        <w:rPr>
          <w:rFonts w:hint="eastAsia" w:ascii="仿宋" w:hAnsi="仿宋" w:eastAsia="仿宋"/>
          <w:color w:val="000000"/>
          <w:sz w:val="32"/>
          <w:szCs w:val="32"/>
          <w:lang w:eastAsia="zh-CN"/>
        </w:rPr>
        <w:t>、奖金、</w:t>
      </w:r>
      <w:r>
        <w:rPr>
          <w:rFonts w:hint="eastAsia" w:ascii="仿宋" w:hAnsi="仿宋" w:eastAsia="仿宋"/>
          <w:color w:val="000000"/>
          <w:sz w:val="32"/>
          <w:szCs w:val="32"/>
          <w:lang w:val="en-US" w:eastAsia="zh-CN"/>
        </w:rPr>
        <w:t>绩效工资、</w:t>
      </w:r>
      <w:r>
        <w:rPr>
          <w:rFonts w:hint="eastAsia" w:ascii="仿宋" w:hAnsi="仿宋" w:eastAsia="仿宋"/>
          <w:color w:val="000000"/>
          <w:sz w:val="32"/>
          <w:szCs w:val="32"/>
          <w:lang w:eastAsia="zh-CN"/>
        </w:rPr>
        <w:t>机关事业单位基本养老保险费、职业年金缴费、职工基本医疗保险缴费、公务员医疗补助缴费、其他社会保障缴费、住房公积金、医疗费补助</w:t>
      </w:r>
      <w:r>
        <w:rPr>
          <w:rFonts w:hint="eastAsia" w:ascii="仿宋" w:hAnsi="仿宋" w:eastAsia="仿宋"/>
          <w:color w:val="000000"/>
          <w:sz w:val="32"/>
          <w:szCs w:val="32"/>
        </w:rPr>
        <w:t>。</w:t>
      </w:r>
    </w:p>
    <w:p>
      <w:pPr>
        <w:pageBreakBefore w:val="0"/>
        <w:widowControl w:val="0"/>
        <w:kinsoku/>
        <w:wordWrap/>
        <w:overflowPunct/>
        <w:topLinePunct w:val="0"/>
        <w:bidi w:val="0"/>
        <w:spacing w:line="560" w:lineRule="exact"/>
        <w:ind w:firstLine="645"/>
        <w:textAlignment w:val="auto"/>
        <w:rPr>
          <w:rFonts w:ascii="仿宋" w:hAnsi="仿宋" w:eastAsia="仿宋"/>
          <w:b/>
          <w:color w:val="FF0000"/>
          <w:sz w:val="32"/>
          <w:szCs w:val="32"/>
        </w:rPr>
      </w:pPr>
      <w:r>
        <w:rPr>
          <w:rFonts w:hint="eastAsia" w:ascii="仿宋" w:hAnsi="仿宋" w:eastAsia="仿宋"/>
          <w:color w:val="000000"/>
          <w:sz w:val="32"/>
          <w:szCs w:val="32"/>
        </w:rPr>
        <w:t>日常公用经费29.73万元，主要包括：办公费、</w:t>
      </w:r>
      <w:r>
        <w:rPr>
          <w:rFonts w:hint="eastAsia" w:ascii="仿宋" w:hAnsi="仿宋" w:eastAsia="仿宋"/>
          <w:color w:val="000000"/>
          <w:sz w:val="32"/>
          <w:szCs w:val="32"/>
          <w:lang w:eastAsia="zh-CN"/>
        </w:rPr>
        <w:t>印刷</w:t>
      </w:r>
      <w:r>
        <w:rPr>
          <w:rFonts w:hint="eastAsia" w:ascii="仿宋" w:hAnsi="仿宋" w:eastAsia="仿宋"/>
          <w:color w:val="000000"/>
          <w:sz w:val="32"/>
          <w:szCs w:val="32"/>
        </w:rPr>
        <w:t>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水费、</w:t>
      </w:r>
      <w:r>
        <w:rPr>
          <w:rFonts w:hint="eastAsia" w:ascii="仿宋" w:hAnsi="仿宋" w:eastAsia="仿宋"/>
          <w:color w:val="000000"/>
          <w:sz w:val="32"/>
          <w:szCs w:val="32"/>
          <w:lang w:eastAsia="zh-CN"/>
        </w:rPr>
        <w:t>电费、</w:t>
      </w:r>
      <w:r>
        <w:rPr>
          <w:rFonts w:hint="eastAsia" w:ascii="仿宋" w:hAnsi="仿宋" w:eastAsia="仿宋"/>
          <w:color w:val="000000"/>
          <w:sz w:val="32"/>
          <w:szCs w:val="32"/>
          <w:lang w:val="en-US" w:eastAsia="zh-CN"/>
        </w:rPr>
        <w:t>邮电费、</w:t>
      </w:r>
      <w:r>
        <w:rPr>
          <w:rFonts w:hint="eastAsia" w:ascii="仿宋" w:hAnsi="仿宋" w:eastAsia="仿宋"/>
          <w:color w:val="000000"/>
          <w:sz w:val="32"/>
          <w:szCs w:val="32"/>
          <w:lang w:eastAsia="zh-CN"/>
        </w:rPr>
        <w:t>差旅费、委托业务费、</w:t>
      </w:r>
      <w:r>
        <w:rPr>
          <w:rFonts w:hint="eastAsia" w:ascii="仿宋" w:hAnsi="仿宋" w:eastAsia="仿宋"/>
          <w:color w:val="000000"/>
          <w:sz w:val="32"/>
          <w:szCs w:val="32"/>
          <w:lang w:val="en-US" w:eastAsia="zh-CN"/>
        </w:rPr>
        <w:t>维修（护）费、</w:t>
      </w:r>
      <w:r>
        <w:rPr>
          <w:rFonts w:hint="eastAsia" w:ascii="仿宋" w:hAnsi="仿宋" w:eastAsia="仿宋"/>
          <w:color w:val="000000"/>
          <w:sz w:val="32"/>
          <w:szCs w:val="32"/>
          <w:lang w:eastAsia="zh-CN"/>
        </w:rPr>
        <w:t>劳务费、公务用车运行维护费</w:t>
      </w:r>
      <w:r>
        <w:rPr>
          <w:rFonts w:hint="eastAsia" w:ascii="仿宋" w:hAnsi="仿宋" w:eastAsia="仿宋"/>
          <w:color w:val="000000"/>
          <w:sz w:val="32"/>
          <w:szCs w:val="32"/>
        </w:rPr>
        <w:t>。</w:t>
      </w:r>
    </w:p>
    <w:p>
      <w:pPr>
        <w:pageBreakBefore w:val="0"/>
        <w:widowControl w:val="0"/>
        <w:kinsoku/>
        <w:wordWrap/>
        <w:overflowPunct/>
        <w:topLinePunct w:val="0"/>
        <w:bidi w:val="0"/>
        <w:spacing w:line="560" w:lineRule="exact"/>
        <w:ind w:firstLine="640"/>
        <w:textAlignment w:val="auto"/>
        <w:rPr>
          <w:rFonts w:ascii="仿宋" w:hAnsi="仿宋" w:eastAsia="仿宋"/>
          <w:b/>
          <w:color w:val="FF0000"/>
          <w:sz w:val="32"/>
          <w:szCs w:val="32"/>
        </w:rPr>
      </w:pPr>
    </w:p>
    <w:p>
      <w:pPr>
        <w:pageBreakBefore w:val="0"/>
        <w:widowControl w:val="0"/>
        <w:kinsoku/>
        <w:wordWrap/>
        <w:overflowPunct/>
        <w:topLinePunct w:val="0"/>
        <w:bidi w:val="0"/>
        <w:spacing w:line="560" w:lineRule="exact"/>
        <w:ind w:firstLine="640"/>
        <w:textAlignment w:val="auto"/>
        <w:outlineLvl w:val="1"/>
        <w:rPr>
          <w:rStyle w:val="29"/>
          <w:rFonts w:ascii="黑体" w:hAnsi="黑体" w:eastAsia="黑体"/>
          <w:b w:val="0"/>
        </w:rPr>
      </w:pPr>
      <w:bookmarkStart w:id="63" w:name="_Toc79163869"/>
      <w:bookmarkStart w:id="64" w:name="_Toc15377215"/>
      <w:bookmarkStart w:id="65" w:name="_Toc79163619"/>
      <w:bookmarkStart w:id="66" w:name="_Toc15396609"/>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63"/>
      <w:bookmarkEnd w:id="64"/>
      <w:bookmarkEnd w:id="65"/>
      <w:bookmarkEnd w:id="66"/>
    </w:p>
    <w:p>
      <w:pPr>
        <w:pageBreakBefore w:val="0"/>
        <w:widowControl w:val="0"/>
        <w:kinsoku/>
        <w:wordWrap/>
        <w:overflowPunct/>
        <w:topLinePunct w:val="0"/>
        <w:bidi w:val="0"/>
        <w:spacing w:line="560" w:lineRule="exact"/>
        <w:ind w:firstLine="640"/>
        <w:textAlignment w:val="auto"/>
        <w:outlineLvl w:val="2"/>
        <w:rPr>
          <w:rFonts w:ascii="仿宋" w:hAnsi="仿宋" w:eastAsia="仿宋"/>
          <w:b/>
          <w:color w:val="000000"/>
          <w:sz w:val="32"/>
          <w:szCs w:val="32"/>
        </w:rPr>
      </w:pPr>
      <w:bookmarkStart w:id="67" w:name="_Toc79163870"/>
      <w:bookmarkStart w:id="68" w:name="_Toc15377216"/>
      <w:bookmarkStart w:id="69" w:name="_Toc79163620"/>
      <w:r>
        <w:rPr>
          <w:rFonts w:hint="eastAsia" w:ascii="仿宋" w:hAnsi="仿宋" w:eastAsia="仿宋"/>
          <w:b/>
          <w:color w:val="000000"/>
          <w:sz w:val="32"/>
          <w:szCs w:val="32"/>
        </w:rPr>
        <w:t>（一）“三公”经费财政拨款支出决算总体情况说明</w:t>
      </w:r>
      <w:bookmarkEnd w:id="67"/>
      <w:bookmarkEnd w:id="68"/>
      <w:bookmarkEnd w:id="69"/>
    </w:p>
    <w:p>
      <w:pPr>
        <w:pageBreakBefore w:val="0"/>
        <w:widowControl w:val="0"/>
        <w:kinsoku/>
        <w:wordWrap/>
        <w:overflowPunct/>
        <w:topLinePunct w:val="0"/>
        <w:bidi w:val="0"/>
        <w:spacing w:line="560" w:lineRule="exact"/>
        <w:ind w:firstLine="640"/>
        <w:textAlignment w:val="auto"/>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1年“三公”经费财政拨款支出决算为2.83万元，完成预算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，决算数或与预算数持平的主要原因是</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按照预算数执行</w:t>
      </w:r>
      <w:r>
        <w:rPr>
          <w:rFonts w:hint="eastAsia" w:ascii="仿宋" w:hAnsi="仿宋" w:eastAsia="仿宋"/>
          <w:color w:val="000000"/>
          <w:sz w:val="32"/>
          <w:szCs w:val="32"/>
        </w:rPr>
        <w:t>。</w:t>
      </w:r>
    </w:p>
    <w:p>
      <w:pPr>
        <w:pageBreakBefore w:val="0"/>
        <w:widowControl w:val="0"/>
        <w:kinsoku/>
        <w:wordWrap/>
        <w:overflowPunct/>
        <w:topLinePunct w:val="0"/>
        <w:bidi w:val="0"/>
        <w:spacing w:line="560" w:lineRule="exact"/>
        <w:ind w:firstLine="640"/>
        <w:textAlignment w:val="auto"/>
        <w:outlineLvl w:val="2"/>
        <w:rPr>
          <w:rFonts w:ascii="仿宋" w:hAnsi="仿宋" w:eastAsia="仿宋"/>
          <w:b/>
          <w:color w:val="000000"/>
          <w:sz w:val="32"/>
          <w:szCs w:val="32"/>
        </w:rPr>
      </w:pPr>
      <w:bookmarkStart w:id="70" w:name="_Toc79163871"/>
      <w:bookmarkStart w:id="71" w:name="_Toc15377217"/>
      <w:bookmarkStart w:id="72" w:name="_Toc79163621"/>
      <w:r>
        <w:rPr>
          <w:rFonts w:hint="eastAsia" w:ascii="仿宋" w:hAnsi="仿宋" w:eastAsia="仿宋"/>
          <w:b/>
          <w:color w:val="000000"/>
          <w:sz w:val="32"/>
          <w:szCs w:val="32"/>
        </w:rPr>
        <w:t>（二）“三公”经费财政拨款支出决算具体情况说明</w:t>
      </w:r>
      <w:bookmarkEnd w:id="70"/>
      <w:bookmarkEnd w:id="71"/>
      <w:bookmarkEnd w:id="72"/>
    </w:p>
    <w:p>
      <w:pPr>
        <w:pageBreakBefore w:val="0"/>
        <w:widowControl w:val="0"/>
        <w:kinsoku/>
        <w:wordWrap/>
        <w:overflowPunct/>
        <w:topLinePunct w:val="0"/>
        <w:bidi w:val="0"/>
        <w:spacing w:line="560" w:lineRule="exact"/>
        <w:ind w:firstLine="640"/>
        <w:textAlignment w:val="auto"/>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；公务用车购置及运行维护费支出决算2.83万元，占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pStyle w:val="27"/>
        <w:rPr>
          <w:rFonts w:hint="eastAsia"/>
        </w:rPr>
      </w:pPr>
      <w:r>
        <w:rPr>
          <w:rFonts w:hint="eastAsia"/>
        </w:rPr>
        <w:drawing>
          <wp:inline distT="0" distB="0" distL="114300" distR="114300">
            <wp:extent cx="4623435" cy="2080895"/>
            <wp:effectExtent l="4445" t="4445" r="7620" b="10160"/>
            <wp:docPr id="134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ageBreakBefore w:val="0"/>
        <w:widowControl w:val="0"/>
        <w:kinsoku/>
        <w:wordWrap/>
        <w:overflowPunct/>
        <w:topLinePunct w:val="0"/>
        <w:bidi w:val="0"/>
        <w:spacing w:line="560"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pageBreakBefore w:val="0"/>
        <w:widowControl w:val="0"/>
        <w:kinsoku/>
        <w:wordWrap/>
        <w:overflowPunct/>
        <w:topLinePunct w:val="0"/>
        <w:bidi w:val="0"/>
        <w:spacing w:line="560" w:lineRule="exact"/>
        <w:ind w:firstLine="640"/>
        <w:textAlignment w:val="auto"/>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5"/>
          <w:rFonts w:hint="eastAsia" w:ascii="仿宋" w:hAnsi="仿宋" w:eastAsia="仿宋"/>
          <w:b w:val="0"/>
          <w:bCs/>
          <w:color w:val="000000"/>
          <w:sz w:val="32"/>
          <w:szCs w:val="32"/>
        </w:rPr>
        <w:t>完成预算</w:t>
      </w:r>
      <w:r>
        <w:rPr>
          <w:rStyle w:val="25"/>
          <w:rFonts w:hint="eastAsia" w:ascii="仿宋" w:hAnsi="仿宋" w:eastAsia="仿宋"/>
          <w:b w:val="0"/>
          <w:bCs/>
          <w:color w:val="000000"/>
          <w:sz w:val="32"/>
          <w:szCs w:val="32"/>
          <w:lang w:val="en-US" w:eastAsia="zh-CN"/>
        </w:rPr>
        <w:t>100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w:t>
      </w:r>
      <w:r>
        <w:rPr>
          <w:rFonts w:hint="eastAsia" w:ascii="仿宋_GB2312" w:eastAsia="仿宋_GB2312"/>
          <w:color w:val="000000"/>
          <w:sz w:val="32"/>
          <w:szCs w:val="32"/>
        </w:rPr>
        <w:t>20年增加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2020年与2021年均无因公出国（境）经费支出</w:t>
      </w:r>
      <w:r>
        <w:rPr>
          <w:rFonts w:hint="eastAsia" w:ascii="仿宋_GB2312" w:eastAsia="仿宋_GB2312"/>
          <w:color w:val="000000"/>
          <w:sz w:val="32"/>
          <w:szCs w:val="32"/>
        </w:rPr>
        <w:t>。</w:t>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color w:val="000000"/>
          <w:sz w:val="32"/>
          <w:szCs w:val="32"/>
        </w:rPr>
        <w:t>开支内容包括：</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（团组名称、出访地点、取得成效）等。</w:t>
      </w:r>
    </w:p>
    <w:p>
      <w:pPr>
        <w:pageBreakBefore w:val="0"/>
        <w:widowControl w:val="0"/>
        <w:kinsoku/>
        <w:wordWrap/>
        <w:overflowPunct/>
        <w:topLinePunct w:val="0"/>
        <w:bidi w:val="0"/>
        <w:spacing w:line="560" w:lineRule="exact"/>
        <w:ind w:firstLine="640"/>
        <w:textAlignment w:val="auto"/>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公务用车购置及运行维护费支出2.83</w:t>
      </w:r>
      <w:r>
        <w:rPr>
          <w:rFonts w:hint="eastAsia" w:ascii="仿宋_GB2312" w:eastAsia="仿宋_GB2312"/>
          <w:color w:val="000000"/>
          <w:sz w:val="32"/>
          <w:szCs w:val="32"/>
        </w:rPr>
        <w:t>万元</w:t>
      </w:r>
      <w:r>
        <w:rPr>
          <w:rFonts w:ascii="仿宋_GB2312" w:eastAsia="仿宋_GB2312"/>
          <w:color w:val="000000"/>
          <w:sz w:val="32"/>
          <w:szCs w:val="32"/>
        </w:rPr>
        <w:t>,</w:t>
      </w:r>
      <w:r>
        <w:rPr>
          <w:rStyle w:val="25"/>
          <w:rFonts w:hint="eastAsia" w:ascii="仿宋" w:hAnsi="仿宋" w:eastAsia="仿宋"/>
          <w:b w:val="0"/>
          <w:bCs/>
          <w:color w:val="000000"/>
          <w:sz w:val="32"/>
          <w:szCs w:val="32"/>
        </w:rPr>
        <w:t>完成预算</w:t>
      </w:r>
      <w:r>
        <w:rPr>
          <w:rStyle w:val="25"/>
          <w:rFonts w:hint="eastAsia" w:ascii="仿宋" w:hAnsi="仿宋" w:eastAsia="仿宋"/>
          <w:b w:val="0"/>
          <w:bCs/>
          <w:color w:val="000000"/>
          <w:sz w:val="32"/>
          <w:szCs w:val="32"/>
          <w:lang w:val="en-US" w:eastAsia="zh-CN"/>
        </w:rPr>
        <w:t>100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rPr>
        <w:t>20年增加1.41万元，增长98.79</w:t>
      </w:r>
      <w:r>
        <w:rPr>
          <w:rFonts w:ascii="仿宋_GB2312" w:eastAsia="仿宋_GB2312"/>
          <w:color w:val="000000"/>
          <w:sz w:val="32"/>
          <w:szCs w:val="32"/>
        </w:rPr>
        <w:t>%</w:t>
      </w:r>
      <w:r>
        <w:rPr>
          <w:rFonts w:hint="eastAsia" w:ascii="仿宋_GB2312" w:eastAsia="仿宋_GB2312"/>
          <w:color w:val="000000"/>
          <w:sz w:val="32"/>
          <w:szCs w:val="32"/>
        </w:rPr>
        <w:t>。主要原因是本年度业务活动增加，相关经费增加。</w:t>
      </w:r>
    </w:p>
    <w:p>
      <w:pPr>
        <w:pageBreakBefore w:val="0"/>
        <w:widowControl w:val="0"/>
        <w:kinsoku/>
        <w:wordWrap/>
        <w:overflowPunct/>
        <w:topLinePunct w:val="0"/>
        <w:bidi w:val="0"/>
        <w:spacing w:line="560" w:lineRule="exact"/>
        <w:ind w:firstLine="640" w:firstLineChars="200"/>
        <w:textAlignment w:val="auto"/>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其他用车1辆</w:t>
      </w:r>
      <w:r>
        <w:rPr>
          <w:rFonts w:hint="eastAsia" w:ascii="仿宋_GB2312" w:eastAsia="仿宋_GB2312"/>
          <w:color w:val="000000"/>
          <w:sz w:val="32"/>
          <w:szCs w:val="32"/>
        </w:rPr>
        <w:t>。</w:t>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2.83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主要用于单位日常活动所需的公务用车燃料费、维修费、过路过桥费、保险费等支出</w:t>
      </w:r>
      <w:r>
        <w:rPr>
          <w:rFonts w:hint="eastAsia" w:ascii="仿宋_GB2312" w:eastAsia="仿宋_GB2312"/>
          <w:color w:val="000000"/>
          <w:sz w:val="32"/>
          <w:szCs w:val="32"/>
        </w:rPr>
        <w:t>。</w:t>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5"/>
          <w:rFonts w:hint="eastAsia" w:ascii="仿宋" w:hAnsi="仿宋" w:eastAsia="仿宋"/>
          <w:b w:val="0"/>
          <w:bCs/>
          <w:color w:val="000000"/>
          <w:sz w:val="32"/>
          <w:szCs w:val="32"/>
        </w:rPr>
        <w:t>完成预算</w:t>
      </w:r>
      <w:r>
        <w:rPr>
          <w:rStyle w:val="25"/>
          <w:rFonts w:hint="eastAsia" w:ascii="仿宋" w:hAnsi="仿宋" w:eastAsia="仿宋"/>
          <w:b w:val="0"/>
          <w:bCs/>
          <w:color w:val="000000"/>
          <w:sz w:val="32"/>
          <w:szCs w:val="32"/>
          <w:lang w:val="en-US" w:eastAsia="zh-CN"/>
        </w:rPr>
        <w:t>100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rPr>
        <w:t>20年增加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2020年与2021年均无公务接待费支出</w:t>
      </w:r>
      <w:r>
        <w:rPr>
          <w:rFonts w:hint="eastAsia" w:ascii="仿宋_GB2312" w:eastAsia="仿宋_GB2312"/>
          <w:color w:val="000000"/>
          <w:sz w:val="32"/>
          <w:szCs w:val="32"/>
        </w:rPr>
        <w:t>。其中：</w:t>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60" w:lineRule="exact"/>
        <w:ind w:firstLine="642" w:firstLineChars="200"/>
        <w:textAlignment w:val="auto"/>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60" w:lineRule="exact"/>
        <w:ind w:firstLine="640" w:firstLineChars="200"/>
        <w:textAlignment w:val="auto"/>
        <w:rPr>
          <w:rFonts w:ascii="仿宋_GB2312" w:eastAsia="仿宋_GB2312"/>
          <w:color w:val="000000"/>
          <w:sz w:val="32"/>
          <w:szCs w:val="32"/>
        </w:rPr>
      </w:pPr>
    </w:p>
    <w:p>
      <w:pPr>
        <w:pageBreakBefore w:val="0"/>
        <w:widowControl w:val="0"/>
        <w:kinsoku/>
        <w:wordWrap/>
        <w:overflowPunct/>
        <w:topLinePunct w:val="0"/>
        <w:bidi w:val="0"/>
        <w:spacing w:line="560" w:lineRule="exact"/>
        <w:ind w:firstLine="640"/>
        <w:textAlignment w:val="auto"/>
        <w:outlineLvl w:val="1"/>
        <w:rPr>
          <w:rStyle w:val="29"/>
          <w:rFonts w:ascii="黑体" w:hAnsi="黑体" w:eastAsia="黑体"/>
        </w:rPr>
      </w:pPr>
      <w:bookmarkStart w:id="73" w:name="_Toc79163872"/>
      <w:bookmarkStart w:id="74" w:name="_Toc15396610"/>
      <w:bookmarkStart w:id="75" w:name="_Toc15377218"/>
      <w:bookmarkStart w:id="76" w:name="_Toc79163622"/>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73"/>
      <w:bookmarkEnd w:id="74"/>
      <w:bookmarkEnd w:id="75"/>
      <w:bookmarkEnd w:id="76"/>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p>
    <w:p>
      <w:pPr>
        <w:pageBreakBefore w:val="0"/>
        <w:widowControl w:val="0"/>
        <w:numPr>
          <w:ilvl w:val="0"/>
          <w:numId w:val="2"/>
        </w:numPr>
        <w:kinsoku/>
        <w:wordWrap/>
        <w:overflowPunct/>
        <w:topLinePunct w:val="0"/>
        <w:bidi w:val="0"/>
        <w:spacing w:line="560" w:lineRule="exact"/>
        <w:ind w:firstLine="640"/>
        <w:textAlignment w:val="auto"/>
        <w:outlineLvl w:val="1"/>
        <w:rPr>
          <w:rStyle w:val="29"/>
          <w:rFonts w:ascii="黑体" w:hAnsi="黑体" w:eastAsia="黑体"/>
          <w:b w:val="0"/>
        </w:rPr>
      </w:pPr>
      <w:bookmarkStart w:id="77" w:name="_Toc15396611"/>
      <w:bookmarkStart w:id="78" w:name="_Toc15377219"/>
      <w:bookmarkStart w:id="79" w:name="_Toc79163623"/>
      <w:bookmarkStart w:id="80" w:name="_Toc79163873"/>
      <w:r>
        <w:rPr>
          <w:rStyle w:val="29"/>
          <w:rFonts w:hint="eastAsia" w:ascii="黑体" w:hAnsi="黑体" w:eastAsia="黑体"/>
          <w:b w:val="0"/>
        </w:rPr>
        <w:t>国有资本经营预算支出决算情况说明</w:t>
      </w:r>
      <w:bookmarkEnd w:id="77"/>
      <w:bookmarkEnd w:id="78"/>
      <w:bookmarkEnd w:id="79"/>
      <w:bookmarkEnd w:id="80"/>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60" w:lineRule="exact"/>
        <w:jc w:val="center"/>
        <w:textAlignment w:val="auto"/>
        <w:rPr>
          <w:rFonts w:ascii="方正小标宋简体" w:hAnsi="方正小标宋简体" w:eastAsia="方正小标宋简体" w:cs="方正小标宋简体"/>
          <w:sz w:val="44"/>
          <w:szCs w:val="44"/>
        </w:rPr>
      </w:pPr>
    </w:p>
    <w:p>
      <w:pPr>
        <w:pageBreakBefore w:val="0"/>
        <w:widowControl w:val="0"/>
        <w:kinsoku/>
        <w:wordWrap/>
        <w:overflowPunct/>
        <w:topLinePunct w:val="0"/>
        <w:bidi w:val="0"/>
        <w:spacing w:line="560" w:lineRule="exact"/>
        <w:ind w:firstLine="800" w:firstLineChars="250"/>
        <w:textAlignment w:val="auto"/>
        <w:outlineLvl w:val="1"/>
        <w:rPr>
          <w:rStyle w:val="29"/>
          <w:rFonts w:ascii="黑体" w:hAnsi="黑体" w:eastAsia="黑体"/>
        </w:rPr>
      </w:pPr>
      <w:bookmarkStart w:id="81" w:name="_Toc15377221"/>
      <w:bookmarkStart w:id="82" w:name="_Toc79163624"/>
      <w:bookmarkStart w:id="83" w:name="_Toc15396612"/>
      <w:bookmarkStart w:id="84" w:name="_Toc79163874"/>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81"/>
      <w:bookmarkEnd w:id="82"/>
      <w:bookmarkEnd w:id="83"/>
      <w:bookmarkEnd w:id="84"/>
    </w:p>
    <w:p>
      <w:pPr>
        <w:pageBreakBefore w:val="0"/>
        <w:widowControl w:val="0"/>
        <w:kinsoku/>
        <w:wordWrap/>
        <w:overflowPunct/>
        <w:topLinePunct w:val="0"/>
        <w:bidi w:val="0"/>
        <w:spacing w:line="560" w:lineRule="exact"/>
        <w:ind w:firstLine="642" w:firstLineChars="200"/>
        <w:textAlignment w:val="auto"/>
        <w:outlineLvl w:val="2"/>
        <w:rPr>
          <w:rFonts w:ascii="仿宋" w:hAnsi="仿宋" w:eastAsia="仿宋"/>
          <w:color w:val="000000"/>
          <w:sz w:val="32"/>
          <w:szCs w:val="32"/>
        </w:rPr>
      </w:pPr>
      <w:bookmarkStart w:id="85" w:name="_Toc15377222"/>
      <w:bookmarkStart w:id="86" w:name="_Toc79163875"/>
      <w:bookmarkStart w:id="87" w:name="_Toc79163625"/>
      <w:r>
        <w:rPr>
          <w:rFonts w:hint="eastAsia" w:ascii="仿宋" w:hAnsi="仿宋" w:eastAsia="仿宋"/>
          <w:b/>
          <w:color w:val="000000"/>
          <w:sz w:val="32"/>
          <w:szCs w:val="32"/>
        </w:rPr>
        <w:t>（一）机关运行经费支出情况</w:t>
      </w:r>
      <w:bookmarkEnd w:id="85"/>
      <w:bookmarkEnd w:id="86"/>
      <w:bookmarkEnd w:id="87"/>
    </w:p>
    <w:p>
      <w:pPr>
        <w:pageBreakBefore w:val="0"/>
        <w:widowControl w:val="0"/>
        <w:kinsoku/>
        <w:wordWrap/>
        <w:overflowPunct/>
        <w:topLinePunct w:val="0"/>
        <w:bidi w:val="0"/>
        <w:spacing w:line="560" w:lineRule="exact"/>
        <w:ind w:firstLine="640" w:firstLineChars="200"/>
        <w:textAlignment w:val="auto"/>
        <w:rPr>
          <w:rFonts w:hint="eastAsia" w:ascii="仿宋_GB2312" w:eastAsia="仿宋_GB2312"/>
          <w:color w:val="000000"/>
          <w:sz w:val="32"/>
          <w:szCs w:val="32"/>
          <w:lang w:val="en-US" w:eastAsia="zh-CN"/>
        </w:rPr>
      </w:pPr>
      <w:r>
        <w:rPr>
          <w:rFonts w:ascii="仿宋_GB2312" w:eastAsia="仿宋_GB2312"/>
          <w:color w:val="000000"/>
          <w:sz w:val="32"/>
          <w:szCs w:val="32"/>
        </w:rPr>
        <w:t>202</w:t>
      </w:r>
      <w:r>
        <w:rPr>
          <w:rFonts w:hint="eastAsia" w:ascii="仿宋_GB2312" w:eastAsia="仿宋_GB2312"/>
          <w:color w:val="000000"/>
          <w:sz w:val="32"/>
          <w:szCs w:val="32"/>
        </w:rPr>
        <w:t>1年，</w:t>
      </w:r>
      <w:r>
        <w:rPr>
          <w:rFonts w:hint="eastAsia" w:ascii="仿宋_GB2312" w:eastAsia="仿宋_GB2312"/>
          <w:color w:val="000000"/>
          <w:sz w:val="32"/>
          <w:szCs w:val="32"/>
          <w:lang w:eastAsia="zh-CN"/>
        </w:rPr>
        <w:t>阿坝州壤塘县</w:t>
      </w:r>
      <w:r>
        <w:rPr>
          <w:rFonts w:hint="eastAsia" w:ascii="仿宋_GB2312" w:eastAsia="仿宋_GB2312"/>
          <w:color w:val="000000"/>
          <w:sz w:val="32"/>
          <w:szCs w:val="32"/>
          <w:lang w:val="en-US" w:eastAsia="zh-CN"/>
        </w:rPr>
        <w:t>佛教协会</w:t>
      </w:r>
      <w:r>
        <w:rPr>
          <w:rFonts w:hint="eastAsia" w:ascii="仿宋_GB2312" w:eastAsia="仿宋_GB2312"/>
          <w:color w:val="000000"/>
          <w:sz w:val="32"/>
          <w:szCs w:val="32"/>
        </w:rPr>
        <w:t>机关运行经费支出29.73万元，比</w:t>
      </w:r>
      <w:r>
        <w:rPr>
          <w:rFonts w:ascii="仿宋_GB2312" w:eastAsia="仿宋_GB2312"/>
          <w:color w:val="000000"/>
          <w:sz w:val="32"/>
          <w:szCs w:val="32"/>
        </w:rPr>
        <w:t>20</w:t>
      </w:r>
      <w:r>
        <w:rPr>
          <w:rFonts w:hint="eastAsia" w:ascii="仿宋_GB2312" w:eastAsia="仿宋_GB2312"/>
          <w:color w:val="000000"/>
          <w:sz w:val="32"/>
          <w:szCs w:val="32"/>
        </w:rPr>
        <w:t>20年增加26.21万元，增长743.61</w:t>
      </w:r>
      <w:r>
        <w:rPr>
          <w:rFonts w:ascii="仿宋_GB2312" w:eastAsia="仿宋_GB2312"/>
          <w:color w:val="000000"/>
          <w:sz w:val="32"/>
          <w:szCs w:val="32"/>
        </w:rPr>
        <w:t>%</w:t>
      </w:r>
      <w:r>
        <w:rPr>
          <w:rFonts w:hint="eastAsia" w:ascii="仿宋_GB2312" w:eastAsia="仿宋_GB2312"/>
          <w:color w:val="000000"/>
          <w:sz w:val="32"/>
          <w:szCs w:val="32"/>
        </w:rPr>
        <w:t>。主要原因是本年业务开展增加，相关经费增加</w:t>
      </w:r>
      <w:r>
        <w:rPr>
          <w:rFonts w:hint="eastAsia" w:ascii="仿宋_GB2312" w:eastAsia="仿宋_GB2312"/>
          <w:color w:val="000000"/>
          <w:sz w:val="32"/>
          <w:szCs w:val="32"/>
          <w:lang w:eastAsia="zh-CN"/>
        </w:rPr>
        <w:t>。</w:t>
      </w:r>
    </w:p>
    <w:p>
      <w:pPr>
        <w:pageBreakBefore w:val="0"/>
        <w:widowControl w:val="0"/>
        <w:kinsoku/>
        <w:wordWrap/>
        <w:overflowPunct/>
        <w:topLinePunct w:val="0"/>
        <w:autoSpaceDE w:val="0"/>
        <w:autoSpaceDN w:val="0"/>
        <w:bidi w:val="0"/>
        <w:adjustRightInd w:val="0"/>
        <w:spacing w:line="560" w:lineRule="exact"/>
        <w:ind w:firstLine="642" w:firstLineChars="200"/>
        <w:jc w:val="left"/>
        <w:textAlignment w:val="auto"/>
        <w:outlineLvl w:val="2"/>
        <w:rPr>
          <w:rFonts w:ascii="仿宋" w:hAnsi="仿宋" w:eastAsia="仿宋"/>
          <w:b/>
          <w:color w:val="000000"/>
          <w:sz w:val="32"/>
          <w:szCs w:val="32"/>
        </w:rPr>
      </w:pPr>
      <w:bookmarkStart w:id="88" w:name="_Toc15377223"/>
      <w:bookmarkStart w:id="89" w:name="_Toc79163876"/>
      <w:bookmarkStart w:id="90" w:name="_Toc79163626"/>
      <w:r>
        <w:rPr>
          <w:rFonts w:hint="eastAsia" w:ascii="仿宋" w:hAnsi="仿宋" w:eastAsia="仿宋"/>
          <w:b/>
          <w:color w:val="000000"/>
          <w:sz w:val="32"/>
          <w:szCs w:val="32"/>
        </w:rPr>
        <w:t>（二）政府采购支出情况</w:t>
      </w:r>
      <w:bookmarkEnd w:id="88"/>
      <w:bookmarkEnd w:id="89"/>
      <w:bookmarkEnd w:id="90"/>
    </w:p>
    <w:p>
      <w:pPr>
        <w:pageBreakBefore w:val="0"/>
        <w:widowControl w:val="0"/>
        <w:kinsoku/>
        <w:wordWrap/>
        <w:overflowPunct/>
        <w:topLinePunct w:val="0"/>
        <w:bidi w:val="0"/>
        <w:spacing w:line="56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w:t>
      </w:r>
      <w:r>
        <w:rPr>
          <w:rFonts w:hint="eastAsia" w:ascii="仿宋_GB2312" w:eastAsia="仿宋_GB2312"/>
          <w:color w:val="000000"/>
          <w:sz w:val="32"/>
          <w:szCs w:val="32"/>
          <w:lang w:eastAsia="zh-CN"/>
        </w:rPr>
        <w:t>阿坝州壤塘县</w:t>
      </w:r>
      <w:r>
        <w:rPr>
          <w:rFonts w:hint="eastAsia" w:ascii="仿宋_GB2312" w:eastAsia="仿宋_GB2312"/>
          <w:color w:val="000000"/>
          <w:sz w:val="32"/>
          <w:szCs w:val="32"/>
          <w:lang w:val="en-US" w:eastAsia="zh-CN"/>
        </w:rPr>
        <w:t>佛教协会</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7.71</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7.71</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日常办公用品的采购支出</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7.71</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pageBreakBefore w:val="0"/>
        <w:widowControl w:val="0"/>
        <w:kinsoku/>
        <w:wordWrap/>
        <w:overflowPunct/>
        <w:topLinePunct w:val="0"/>
        <w:autoSpaceDE w:val="0"/>
        <w:autoSpaceDN w:val="0"/>
        <w:bidi w:val="0"/>
        <w:adjustRightInd w:val="0"/>
        <w:spacing w:line="560" w:lineRule="exact"/>
        <w:ind w:firstLine="642" w:firstLineChars="200"/>
        <w:jc w:val="left"/>
        <w:textAlignment w:val="auto"/>
        <w:outlineLvl w:val="2"/>
        <w:rPr>
          <w:rFonts w:ascii="仿宋" w:hAnsi="仿宋" w:eastAsia="仿宋"/>
          <w:b/>
          <w:color w:val="000000"/>
          <w:sz w:val="32"/>
          <w:szCs w:val="32"/>
        </w:rPr>
      </w:pPr>
      <w:bookmarkStart w:id="91" w:name="_Toc79163877"/>
      <w:bookmarkStart w:id="92" w:name="_Toc79163627"/>
      <w:bookmarkStart w:id="93" w:name="_Toc15377224"/>
      <w:r>
        <w:rPr>
          <w:rFonts w:hint="eastAsia" w:ascii="仿宋" w:hAnsi="仿宋" w:eastAsia="仿宋"/>
          <w:b/>
          <w:color w:val="000000"/>
          <w:sz w:val="32"/>
          <w:szCs w:val="32"/>
        </w:rPr>
        <w:t>（三）国有资产占有使用情况</w:t>
      </w:r>
      <w:bookmarkEnd w:id="91"/>
      <w:bookmarkEnd w:id="92"/>
      <w:bookmarkEnd w:id="93"/>
    </w:p>
    <w:p>
      <w:pPr>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阿坝州壤塘县</w:t>
      </w:r>
      <w:r>
        <w:rPr>
          <w:rFonts w:hint="eastAsia" w:ascii="仿宋_GB2312" w:eastAsia="仿宋_GB2312"/>
          <w:color w:val="000000"/>
          <w:sz w:val="32"/>
          <w:szCs w:val="32"/>
          <w:lang w:val="en-US" w:eastAsia="zh-CN"/>
        </w:rPr>
        <w:t>佛教协会</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val="en-US" w:eastAsia="zh-CN"/>
        </w:rPr>
        <w:t>单位日常活动，</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pageBreakBefore w:val="0"/>
        <w:widowControl w:val="0"/>
        <w:kinsoku/>
        <w:wordWrap/>
        <w:overflowPunct/>
        <w:topLinePunct w:val="0"/>
        <w:autoSpaceDE w:val="0"/>
        <w:autoSpaceDN w:val="0"/>
        <w:bidi w:val="0"/>
        <w:adjustRightInd w:val="0"/>
        <w:spacing w:line="560" w:lineRule="exact"/>
        <w:ind w:firstLine="642" w:firstLineChars="200"/>
        <w:jc w:val="left"/>
        <w:textAlignment w:val="auto"/>
        <w:outlineLvl w:val="2"/>
        <w:rPr>
          <w:rFonts w:ascii="仿宋" w:hAnsi="仿宋" w:eastAsia="仿宋"/>
          <w:b/>
          <w:color w:val="000000"/>
          <w:sz w:val="32"/>
          <w:szCs w:val="32"/>
        </w:rPr>
      </w:pPr>
      <w:bookmarkStart w:id="94" w:name="_Toc79163628"/>
      <w:bookmarkStart w:id="95" w:name="_Toc79163878"/>
      <w:r>
        <w:rPr>
          <w:rFonts w:hint="eastAsia" w:ascii="仿宋" w:hAnsi="仿宋" w:eastAsia="仿宋"/>
          <w:b/>
          <w:color w:val="000000"/>
          <w:sz w:val="32"/>
          <w:szCs w:val="32"/>
        </w:rPr>
        <w:t>（四）预算绩效管理情况。</w:t>
      </w:r>
      <w:bookmarkEnd w:id="94"/>
      <w:bookmarkEnd w:id="95"/>
    </w:p>
    <w:p>
      <w:pPr>
        <w:pageBreakBefore w:val="0"/>
        <w:widowControl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val="en-US" w:eastAsia="zh-CN"/>
        </w:rPr>
        <w:t>0个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个项目开展了绩效目标完成情况自评。</w:t>
      </w:r>
    </w:p>
    <w:p>
      <w:pPr>
        <w:pageBreakBefore w:val="0"/>
        <w:widowControl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1年部门整体支出开展绩效自评，从评价情况来看我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整体支出情况良好，从预算到执行和收入、支出管理均严格按照相关要求进行，全年收支平衡，有效保障了单位正常运转，圆满完成了单位目标任务。本部门无专项预算项目，因此未组织开展项目支出绩效评价。</w:t>
      </w:r>
    </w:p>
    <w:p>
      <w:pPr>
        <w:pageBreakBefore w:val="0"/>
        <w:widowControl w:val="0"/>
        <w:kinsoku/>
        <w:wordWrap/>
        <w:overflowPunct/>
        <w:topLinePunct w:val="0"/>
        <w:bidi w:val="0"/>
        <w:spacing w:line="560" w:lineRule="exact"/>
        <w:ind w:firstLine="640" w:firstLineChars="200"/>
        <w:textAlignment w:val="auto"/>
        <w:rPr>
          <w:rFonts w:hint="eastAsia" w:ascii="楷体_GB2312" w:hAnsi="楷体_GB2312" w:eastAsia="楷体_GB2312" w:cs="楷体_GB2312"/>
          <w:sz w:val="32"/>
          <w:szCs w:val="32"/>
          <w:lang w:eastAsia="zh-CN"/>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1年度部门决算中反映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个项目绩效目标实际完成情况。（本单位部门项目绩效目标个数在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个以上的，选取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个项目进行公开，目标个数在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个以下的，全部进行公开，公开内容包括选取的全部项目完成情况综述和完成情况表）。</w:t>
      </w: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1年部门整体支出绩效评价情况开展自评，《</w:t>
      </w:r>
      <w:r>
        <w:rPr>
          <w:rFonts w:hint="eastAsia" w:ascii="仿宋_GB2312" w:hAnsi="仿宋_GB2312" w:eastAsia="仿宋_GB2312" w:cs="仿宋_GB2312"/>
          <w:sz w:val="32"/>
          <w:szCs w:val="32"/>
          <w:lang w:eastAsia="zh-CN"/>
        </w:rPr>
        <w:t>阿坝州壤塘县</w:t>
      </w:r>
      <w:r>
        <w:rPr>
          <w:rFonts w:hint="eastAsia" w:ascii="仿宋_GB2312" w:hAnsi="仿宋_GB2312" w:eastAsia="仿宋_GB2312" w:cs="仿宋_GB2312"/>
          <w:sz w:val="32"/>
          <w:szCs w:val="32"/>
          <w:lang w:val="en-US" w:eastAsia="zh-CN"/>
        </w:rPr>
        <w:t>佛教协会</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0个</w:t>
      </w:r>
      <w:r>
        <w:rPr>
          <w:rFonts w:hint="eastAsia" w:ascii="仿宋_GB2312" w:hAnsi="仿宋_GB2312" w:eastAsia="仿宋_GB2312" w:cs="仿宋_GB2312"/>
          <w:sz w:val="32"/>
          <w:szCs w:val="32"/>
        </w:rPr>
        <w:t>项目开展了绩效评价。</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8"/>
          <w:rFonts w:ascii="黑体" w:hAnsi="黑体" w:eastAsia="黑体"/>
          <w:b w:val="0"/>
        </w:rPr>
      </w:pPr>
      <w:bookmarkStart w:id="96" w:name="_Toc79163879"/>
      <w:bookmarkStart w:id="97" w:name="_Toc15377225"/>
      <w:bookmarkStart w:id="98" w:name="_Toc79163629"/>
      <w:bookmarkStart w:id="99" w:name="_Toc15396613"/>
      <w:r>
        <w:rPr>
          <w:rFonts w:hint="eastAsia" w:ascii="黑体" w:hAnsi="黑体" w:eastAsia="黑体"/>
          <w:color w:val="000000"/>
          <w:sz w:val="44"/>
          <w:szCs w:val="44"/>
        </w:rPr>
        <w:t>名</w:t>
      </w:r>
      <w:r>
        <w:rPr>
          <w:rStyle w:val="28"/>
          <w:rFonts w:hint="eastAsia" w:ascii="黑体" w:hAnsi="黑体" w:eastAsia="黑体"/>
          <w:b w:val="0"/>
        </w:rPr>
        <w:t>词解释</w:t>
      </w:r>
      <w:bookmarkEnd w:id="96"/>
      <w:bookmarkEnd w:id="97"/>
      <w:bookmarkEnd w:id="98"/>
      <w:bookmarkEnd w:id="99"/>
    </w:p>
    <w:p>
      <w:pPr>
        <w:spacing w:line="600" w:lineRule="exact"/>
        <w:jc w:val="left"/>
        <w:rPr>
          <w:rFonts w:ascii="宋体"/>
          <w:b/>
          <w:color w:val="000000"/>
          <w:sz w:val="44"/>
          <w:szCs w:val="44"/>
        </w:rPr>
      </w:pPr>
    </w:p>
    <w:p>
      <w:pPr>
        <w:pStyle w:val="3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事业收入：指事业单位开展专业业务活动及辅助活动取得的收入。（二级预算单位事业收入情况）等。</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经营收入：指事业单位在专业业务活动及其辅助活动之外开展非独立核算经营活动取得的收入。（二级预算单位经营收入情况）等。</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8"/>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Style w:val="38"/>
        <w:spacing w:line="560" w:lineRule="exact"/>
        <w:ind w:firstLine="640" w:firstLineChars="200"/>
        <w:rPr>
          <w:rFonts w:hint="default" w:ascii="仿宋_GB2312" w:eastAsia="仿宋_GB2312"/>
          <w:sz w:val="32"/>
          <w:szCs w:val="32"/>
          <w:lang w:val="en-US"/>
        </w:rPr>
      </w:pPr>
      <w:r>
        <w:rPr>
          <w:rFonts w:hint="eastAsia" w:ascii="仿宋_GB2312" w:eastAsia="仿宋_GB2312"/>
          <w:sz w:val="32"/>
          <w:szCs w:val="32"/>
          <w:lang w:val="en-US" w:eastAsia="zh-CN"/>
        </w:rPr>
        <w:t>9.</w:t>
      </w:r>
      <w:r>
        <w:rPr>
          <w:rFonts w:hint="eastAsia" w:ascii="仿宋_GB2312" w:eastAsia="仿宋_GB2312"/>
          <w:sz w:val="32"/>
          <w:szCs w:val="32"/>
          <w:lang w:eastAsia="zh-CN"/>
        </w:rPr>
        <w:t>一般公共服务支出</w:t>
      </w:r>
      <w:r>
        <w:rPr>
          <w:rFonts w:hint="eastAsia" w:ascii="仿宋_GB2312" w:eastAsia="仿宋_GB2312"/>
          <w:sz w:val="32"/>
          <w:szCs w:val="32"/>
          <w:lang w:val="en-US" w:eastAsia="zh-CN"/>
        </w:rPr>
        <w:t>（类）群众团体事务（</w:t>
      </w:r>
      <w:r>
        <w:rPr>
          <w:rFonts w:hint="eastAsia" w:ascii="仿宋_GB2312" w:eastAsia="仿宋_GB2312"/>
          <w:sz w:val="32"/>
          <w:szCs w:val="32"/>
          <w:lang w:eastAsia="zh-CN"/>
        </w:rPr>
        <w:t>款）</w:t>
      </w:r>
      <w:r>
        <w:rPr>
          <w:rFonts w:hint="eastAsia" w:ascii="仿宋_GB2312" w:eastAsia="仿宋_GB2312"/>
          <w:sz w:val="32"/>
          <w:szCs w:val="32"/>
          <w:lang w:val="en-US" w:eastAsia="zh-CN"/>
        </w:rPr>
        <w:t>行政运行</w:t>
      </w:r>
      <w:r>
        <w:rPr>
          <w:rFonts w:hint="eastAsia" w:ascii="仿宋_GB2312" w:eastAsia="仿宋_GB2312"/>
          <w:sz w:val="32"/>
          <w:szCs w:val="32"/>
          <w:lang w:eastAsia="zh-CN"/>
        </w:rPr>
        <w:t>（项）：指</w:t>
      </w:r>
      <w:r>
        <w:rPr>
          <w:rFonts w:hint="eastAsia" w:ascii="仿宋_GB2312" w:eastAsia="仿宋_GB2312"/>
          <w:sz w:val="32"/>
          <w:szCs w:val="32"/>
          <w:lang w:val="en-US" w:eastAsia="zh-CN"/>
        </w:rPr>
        <w:t>行政单位（包括实行公务员管理的事业单位）的基本支出。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.社会保障和就业（类）行政事业单位养老支出（款）机关事业单位基本养老保险缴费支出（项）：指机关事业单位实施养老保险制度由单位缴纳的基本养老保险费支出。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社会保障和就业（类）行政事业单位养老支出（款）机关事业单位职业年金缴费支出（项）：指机关事业单位养老保险制度由单位缴纳的职业年金支出。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.卫生健康支出（类）行政事业单位医疗（款）事业单位医疗（项）：指财政部门集中安排的事业单位基本医疗保险缴费。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.住房保障（类）住房改革（款）住房公积金（项）：指行政事业单位按规定的标准和比例为职工缴纳的住房公积金。</w:t>
      </w:r>
    </w:p>
    <w:p>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.基本支出：指为保障机构正常运转、完成日常工作任务而发生的人员支出和公用支出。</w:t>
      </w:r>
    </w:p>
    <w:p>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.项目支出：指在基本支出之外为完成特定行政任务和事业发展目标所发生的支出。</w:t>
      </w:r>
    </w:p>
    <w:p>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.经营支出：指事业单位在专业业务活动及其辅助活动之外开展非独立核算经营活动发生的支出。</w:t>
      </w:r>
    </w:p>
    <w:p>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8"/>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2"/>
          <w:szCs w:val="32"/>
        </w:rPr>
        <w:t>。</w:t>
      </w:r>
    </w:p>
    <w:p>
      <w:pPr>
        <w:spacing w:line="600" w:lineRule="exact"/>
        <w:jc w:val="center"/>
        <w:outlineLvl w:val="0"/>
        <w:rPr>
          <w:rStyle w:val="28"/>
          <w:rFonts w:ascii="黑体" w:hAnsi="黑体" w:eastAsia="黑体"/>
          <w:b w:val="0"/>
        </w:rPr>
      </w:pPr>
      <w:bookmarkStart w:id="100" w:name="_Toc15377226"/>
      <w:r>
        <w:rPr>
          <w:rFonts w:ascii="宋体"/>
          <w:b/>
          <w:color w:val="000000"/>
          <w:sz w:val="44"/>
          <w:szCs w:val="44"/>
        </w:rPr>
        <w:br w:type="page"/>
      </w:r>
      <w:bookmarkStart w:id="101" w:name="_Toc79163630"/>
      <w:bookmarkStart w:id="102" w:name="_Toc79163880"/>
      <w:bookmarkStart w:id="103" w:name="_Toc15396614"/>
      <w:r>
        <w:rPr>
          <w:rFonts w:hint="eastAsia" w:ascii="黑体" w:hAnsi="黑体" w:eastAsia="黑体"/>
          <w:color w:val="000000"/>
          <w:sz w:val="44"/>
          <w:szCs w:val="44"/>
        </w:rPr>
        <w:t>第</w:t>
      </w:r>
      <w:r>
        <w:rPr>
          <w:rStyle w:val="28"/>
          <w:rFonts w:hint="eastAsia" w:ascii="黑体" w:hAnsi="黑体" w:eastAsia="黑体"/>
          <w:b w:val="0"/>
        </w:rPr>
        <w:t>四部分</w:t>
      </w:r>
      <w:r>
        <w:rPr>
          <w:rStyle w:val="28"/>
          <w:rFonts w:ascii="黑体" w:hAnsi="黑体" w:eastAsia="黑体"/>
          <w:b w:val="0"/>
        </w:rPr>
        <w:t xml:space="preserve"> </w:t>
      </w:r>
      <w:r>
        <w:rPr>
          <w:rStyle w:val="28"/>
          <w:rFonts w:hint="eastAsia" w:ascii="黑体" w:hAnsi="黑体" w:eastAsia="黑体"/>
          <w:b w:val="0"/>
        </w:rPr>
        <w:t>附件</w:t>
      </w:r>
      <w:bookmarkEnd w:id="101"/>
      <w:bookmarkEnd w:id="102"/>
      <w:bookmarkEnd w:id="103"/>
    </w:p>
    <w:p>
      <w:pPr>
        <w:spacing w:line="600" w:lineRule="exact"/>
        <w:jc w:val="left"/>
        <w:outlineLvl w:val="0"/>
        <w:rPr>
          <w:rFonts w:ascii="方正小标宋简体" w:hAnsi="方正小标宋简体" w:eastAsia="方正小标宋简体" w:cs="方正小标宋简体"/>
          <w:sz w:val="32"/>
          <w:szCs w:val="32"/>
        </w:rPr>
      </w:pPr>
      <w:bookmarkStart w:id="104" w:name="_Toc79163881"/>
      <w:bookmarkStart w:id="105" w:name="_Toc79163631"/>
      <w:r>
        <w:rPr>
          <w:rFonts w:hint="eastAsia" w:ascii="黑体" w:hAnsi="黑体" w:eastAsia="黑体" w:cs="黑体"/>
          <w:sz w:val="32"/>
          <w:szCs w:val="32"/>
        </w:rPr>
        <w:t>附件</w:t>
      </w:r>
      <w:r>
        <w:rPr>
          <w:rFonts w:ascii="黑体" w:hAnsi="黑体" w:eastAsia="黑体" w:cs="黑体"/>
          <w:sz w:val="32"/>
          <w:szCs w:val="32"/>
        </w:rPr>
        <w:t>1</w:t>
      </w:r>
      <w:bookmarkEnd w:id="104"/>
      <w:bookmarkEnd w:id="105"/>
    </w:p>
    <w:p>
      <w:pPr>
        <w:spacing w:line="580" w:lineRule="exact"/>
        <w:jc w:val="center"/>
        <w:rPr>
          <w:rFonts w:ascii="方正小标宋简体" w:hAnsi="方正小标宋简体" w:eastAsia="方正小标宋简体" w:cs="方正小标宋简体"/>
          <w:sz w:val="44"/>
          <w:szCs w:val="44"/>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kern w:val="0"/>
          <w:sz w:val="44"/>
          <w:szCs w:val="44"/>
        </w:rPr>
      </w:pPr>
      <w:r>
        <w:rPr>
          <w:rFonts w:hint="eastAsia" w:ascii="宋体" w:hAnsi="宋体" w:eastAsia="宋体" w:cs="宋体"/>
          <w:b/>
          <w:bCs/>
          <w:kern w:val="0"/>
          <w:sz w:val="44"/>
          <w:szCs w:val="44"/>
          <w:lang w:val="en-US" w:eastAsia="zh-CN" w:bidi="ar"/>
        </w:rPr>
        <w:t>2021年度壤塘县佛教协会部门整体支出绩效评价自评报告</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firstLine="642" w:firstLineChars="200"/>
        <w:jc w:val="both"/>
        <w:rPr>
          <w:rFonts w:hint="default" w:ascii="仿宋_GB2312" w:eastAsia="仿宋_GB2312" w:cs="仿宋_GB2312"/>
          <w:b/>
          <w:bCs/>
          <w:kern w:val="2"/>
          <w:sz w:val="32"/>
          <w:szCs w:val="32"/>
        </w:rPr>
      </w:pPr>
      <w:r>
        <w:rPr>
          <w:rFonts w:hint="default" w:ascii="仿宋_GB2312" w:hAnsi="Calibri" w:eastAsia="仿宋_GB2312" w:cs="仿宋_GB2312"/>
          <w:b/>
          <w:bCs/>
          <w:kern w:val="0"/>
          <w:sz w:val="32"/>
          <w:szCs w:val="32"/>
          <w:lang w:val="en-US" w:eastAsia="zh-CN" w:bidi="ar"/>
        </w:rPr>
        <w:t>一、部门（单位）概况</w:t>
      </w:r>
    </w:p>
    <w:p>
      <w:pPr>
        <w:keepNext w:val="0"/>
        <w:keepLines w:val="0"/>
        <w:widowControl w:val="0"/>
        <w:suppressLineNumbers w:val="0"/>
        <w:spacing w:before="0" w:beforeAutospacing="0" w:after="0" w:afterAutospacing="0" w:line="360" w:lineRule="auto"/>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壤塘县佛教协会机构性质：机关，机构地址：四川省壤塘县罗吾塘康德巷3号，单位负责人：登德多吉。</w:t>
      </w:r>
    </w:p>
    <w:p>
      <w:pPr>
        <w:keepNext w:val="0"/>
        <w:keepLines w:val="0"/>
        <w:widowControl w:val="0"/>
        <w:suppressLineNumbers w:val="0"/>
        <w:spacing w:before="0" w:beforeAutospacing="0" w:after="0" w:afterAutospacing="0" w:line="360" w:lineRule="auto"/>
        <w:ind w:left="0" w:right="0" w:firstLine="642" w:firstLineChars="200"/>
        <w:jc w:val="both"/>
        <w:rPr>
          <w:rFonts w:hint="default" w:ascii="仿宋_GB2312" w:eastAsia="仿宋_GB2312" w:cs="仿宋_GB2312"/>
          <w:b/>
          <w:bCs/>
          <w:kern w:val="0"/>
          <w:sz w:val="32"/>
          <w:szCs w:val="32"/>
        </w:rPr>
      </w:pPr>
      <w:r>
        <w:rPr>
          <w:rFonts w:hint="default" w:ascii="仿宋_GB2312" w:hAnsi="Calibri" w:eastAsia="仿宋_GB2312" w:cs="仿宋_GB2312"/>
          <w:b/>
          <w:bCs/>
          <w:kern w:val="0"/>
          <w:sz w:val="32"/>
          <w:szCs w:val="32"/>
          <w:lang w:val="en-US" w:eastAsia="zh-CN" w:bidi="ar"/>
        </w:rPr>
        <w:t>（一）机构组成</w:t>
      </w:r>
    </w:p>
    <w:p>
      <w:pPr>
        <w:keepNext w:val="0"/>
        <w:keepLines w:val="0"/>
        <w:widowControl w:val="0"/>
        <w:suppressLineNumbers w:val="0"/>
        <w:spacing w:before="0" w:beforeAutospacing="0" w:after="0" w:afterAutospacing="0" w:line="360" w:lineRule="auto"/>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壤塘县佛教协会由办公室和财务股组成。</w:t>
      </w:r>
    </w:p>
    <w:p>
      <w:pPr>
        <w:keepNext w:val="0"/>
        <w:keepLines w:val="0"/>
        <w:widowControl w:val="0"/>
        <w:numPr>
          <w:ilvl w:val="0"/>
          <w:numId w:val="4"/>
        </w:numPr>
        <w:suppressLineNumbers w:val="0"/>
        <w:spacing w:before="0" w:beforeAutospacing="0" w:after="0" w:afterAutospacing="0" w:line="360" w:lineRule="auto"/>
        <w:ind w:left="0" w:right="0" w:firstLine="642" w:firstLineChars="200"/>
        <w:jc w:val="both"/>
        <w:rPr>
          <w:rFonts w:hint="default" w:ascii="仿宋_GB2312" w:eastAsia="仿宋_GB2312" w:cs="仿宋_GB2312"/>
          <w:b/>
          <w:bCs/>
          <w:kern w:val="2"/>
          <w:sz w:val="32"/>
          <w:szCs w:val="32"/>
        </w:rPr>
      </w:pPr>
      <w:r>
        <w:rPr>
          <w:rFonts w:hint="default" w:ascii="仿宋_GB2312" w:hAnsi="Calibri" w:eastAsia="仿宋_GB2312" w:cs="仿宋_GB2312"/>
          <w:b/>
          <w:bCs/>
          <w:kern w:val="0"/>
          <w:sz w:val="32"/>
          <w:szCs w:val="32"/>
          <w:lang w:val="en-US" w:eastAsia="zh-CN" w:bidi="ar"/>
        </w:rPr>
        <w:t>机构职能</w:t>
      </w:r>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sz w:val="32"/>
          <w:szCs w:val="32"/>
          <w:lang w:val="en-US" w:eastAsia="zh-CN"/>
        </w:rPr>
      </w:pPr>
      <w:r>
        <w:rPr>
          <w:rFonts w:hint="eastAsia"/>
          <w:sz w:val="32"/>
          <w:szCs w:val="32"/>
          <w:lang w:val="en-US" w:eastAsia="zh-CN"/>
        </w:rPr>
        <w:t>（1）团结、带领全县各民族佛教徒遵守宪法、法律、法规和国家政策。</w:t>
      </w:r>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sz w:val="32"/>
          <w:szCs w:val="32"/>
          <w:lang w:val="en-US" w:eastAsia="zh-CN"/>
        </w:rPr>
      </w:pPr>
      <w:r>
        <w:rPr>
          <w:rFonts w:hint="eastAsia"/>
          <w:sz w:val="32"/>
          <w:szCs w:val="32"/>
          <w:lang w:val="en-US" w:eastAsia="zh-CN"/>
        </w:rPr>
        <w:t>（2）协助政府贯彻落实宗教信仰自由政策和法律法规规章，维护佛教界的合法权益。</w:t>
      </w:r>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sz w:val="32"/>
          <w:szCs w:val="32"/>
          <w:lang w:val="en-US" w:eastAsia="zh-CN"/>
        </w:rPr>
      </w:pPr>
      <w:r>
        <w:rPr>
          <w:rFonts w:hint="eastAsia"/>
          <w:sz w:val="32"/>
          <w:szCs w:val="32"/>
          <w:lang w:val="en-US" w:eastAsia="zh-CN"/>
        </w:rPr>
        <w:t>（3）建立健全佛教有关规章制度，加强信仰建设、道风建设、教制建设、人才建设和组织建设。</w:t>
      </w:r>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sz w:val="32"/>
          <w:szCs w:val="32"/>
          <w:lang w:val="en-US" w:eastAsia="zh-CN"/>
        </w:rPr>
      </w:pPr>
      <w:r>
        <w:rPr>
          <w:rFonts w:hint="eastAsia"/>
          <w:sz w:val="32"/>
          <w:szCs w:val="32"/>
          <w:lang w:val="en-US" w:eastAsia="zh-CN"/>
        </w:rPr>
        <w:t>（4）开展社会公益慈善事业，造福社会，利益人群。</w:t>
      </w:r>
    </w:p>
    <w:p>
      <w:pPr>
        <w:keepNext w:val="0"/>
        <w:keepLines w:val="0"/>
        <w:widowControl w:val="0"/>
        <w:numPr>
          <w:ilvl w:val="0"/>
          <w:numId w:val="4"/>
        </w:numPr>
        <w:suppressLineNumbers w:val="0"/>
        <w:spacing w:before="0" w:beforeAutospacing="0" w:after="0" w:afterAutospacing="0" w:line="360" w:lineRule="auto"/>
        <w:ind w:left="0" w:right="0" w:firstLine="642" w:firstLineChars="200"/>
        <w:jc w:val="both"/>
        <w:rPr>
          <w:rFonts w:hint="default" w:ascii="仿宋_GB2312" w:eastAsia="仿宋_GB2312" w:cs="仿宋_GB2312"/>
          <w:b/>
          <w:bCs/>
          <w:kern w:val="0"/>
          <w:sz w:val="32"/>
          <w:szCs w:val="32"/>
        </w:rPr>
      </w:pPr>
      <w:r>
        <w:rPr>
          <w:rFonts w:hint="default" w:ascii="仿宋_GB2312" w:hAnsi="Calibri" w:eastAsia="仿宋_GB2312" w:cs="仿宋_GB2312"/>
          <w:b/>
          <w:bCs/>
          <w:kern w:val="0"/>
          <w:sz w:val="32"/>
          <w:szCs w:val="32"/>
          <w:lang w:val="en-US" w:eastAsia="zh-CN" w:bidi="ar"/>
        </w:rPr>
        <w:t>人员概况</w:t>
      </w:r>
    </w:p>
    <w:p>
      <w:pPr>
        <w:keepNext w:val="0"/>
        <w:keepLines w:val="0"/>
        <w:widowControl w:val="0"/>
        <w:suppressLineNumbers w:val="0"/>
        <w:spacing w:before="0" w:beforeAutospacing="0" w:after="0" w:afterAutospacing="0"/>
        <w:ind w:left="0" w:right="0" w:firstLine="800" w:firstLineChars="250"/>
        <w:jc w:val="both"/>
        <w:rPr>
          <w:rFonts w:hint="default" w:ascii="仿宋_GB2312" w:eastAsia="仿宋_GB2312" w:cs="仿宋_GB2312"/>
          <w:kern w:val="2"/>
          <w:sz w:val="32"/>
          <w:szCs w:val="32"/>
        </w:rPr>
      </w:pPr>
      <w:r>
        <w:rPr>
          <w:rFonts w:hint="default" w:ascii="仿宋_GB2312" w:hAnsi="宋体" w:eastAsia="仿宋_GB2312" w:cs="仿宋_GB2312"/>
          <w:kern w:val="0"/>
          <w:sz w:val="32"/>
          <w:szCs w:val="32"/>
          <w:lang w:val="en-US" w:eastAsia="zh-CN" w:bidi="ar"/>
        </w:rPr>
        <w:t>人员情况：总编制5名,其中:行政编制2人、事业编制1人、工勤2人</w:t>
      </w:r>
      <w:r>
        <w:rPr>
          <w:rFonts w:hint="default" w:ascii="仿宋_GB2312" w:hAnsi="Calibri"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360" w:lineRule="auto"/>
        <w:ind w:left="0" w:right="0" w:firstLine="642" w:firstLineChars="200"/>
        <w:jc w:val="both"/>
        <w:rPr>
          <w:rFonts w:hint="default" w:ascii="仿宋_GB2312" w:eastAsia="仿宋_GB2312" w:cs="仿宋_GB2312"/>
          <w:b/>
          <w:bCs/>
          <w:kern w:val="0"/>
          <w:sz w:val="32"/>
          <w:szCs w:val="32"/>
        </w:rPr>
      </w:pPr>
      <w:r>
        <w:rPr>
          <w:rFonts w:hint="default" w:ascii="仿宋_GB2312" w:hAnsi="Calibri" w:eastAsia="仿宋_GB2312" w:cs="仿宋_GB2312"/>
          <w:b/>
          <w:bCs/>
          <w:kern w:val="0"/>
          <w:sz w:val="32"/>
          <w:szCs w:val="32"/>
          <w:lang w:val="en-US" w:eastAsia="zh-CN" w:bidi="ar"/>
        </w:rPr>
        <w:t>二、预算管理情况</w:t>
      </w:r>
    </w:p>
    <w:p>
      <w:pPr>
        <w:keepNext w:val="0"/>
        <w:keepLines w:val="0"/>
        <w:widowControl w:val="0"/>
        <w:suppressLineNumbers w:val="0"/>
        <w:spacing w:before="0" w:beforeAutospacing="0" w:after="0" w:afterAutospacing="0" w:line="360" w:lineRule="auto"/>
        <w:ind w:left="0" w:right="0" w:firstLine="321" w:firstLineChars="100"/>
        <w:jc w:val="both"/>
        <w:rPr>
          <w:rFonts w:hint="default" w:ascii="仿宋_GB2312" w:eastAsia="仿宋_GB2312" w:cs="仿宋_GB2312"/>
          <w:b/>
          <w:bCs/>
          <w:kern w:val="0"/>
          <w:sz w:val="32"/>
          <w:szCs w:val="32"/>
        </w:rPr>
      </w:pPr>
      <w:r>
        <w:rPr>
          <w:rFonts w:hint="default" w:ascii="仿宋_GB2312" w:hAnsi="Calibri" w:eastAsia="仿宋_GB2312" w:cs="仿宋_GB2312"/>
          <w:b/>
          <w:bCs/>
          <w:kern w:val="0"/>
          <w:sz w:val="32"/>
          <w:szCs w:val="32"/>
          <w:lang w:val="en-US" w:eastAsia="zh-CN" w:bidi="ar"/>
        </w:rPr>
        <w:t>（一）预算编制情况</w:t>
      </w:r>
    </w:p>
    <w:p>
      <w:pPr>
        <w:keepNext w:val="0"/>
        <w:keepLines w:val="0"/>
        <w:widowControl w:val="0"/>
        <w:numPr>
          <w:numId w:val="0"/>
        </w:numPr>
        <w:suppressLineNumbers w:val="0"/>
        <w:spacing w:before="0" w:beforeAutospacing="0" w:after="0" w:afterAutospacing="0" w:line="360" w:lineRule="auto"/>
        <w:ind w:right="0" w:rightChars="0" w:firstLine="640" w:firstLineChars="200"/>
        <w:jc w:val="both"/>
        <w:rPr>
          <w:rFonts w:hint="default" w:ascii="仿宋_GB2312" w:eastAsia="仿宋_GB2312" w:cs="仿宋_GB2312"/>
          <w:b/>
          <w:bCs/>
          <w:kern w:val="0"/>
          <w:sz w:val="32"/>
          <w:szCs w:val="32"/>
        </w:rPr>
      </w:pPr>
      <w:r>
        <w:rPr>
          <w:rFonts w:hint="default" w:ascii="仿宋_GB2312" w:hAnsi="Calibri" w:eastAsia="仿宋_GB2312" w:cs="仿宋_GB2312"/>
          <w:kern w:val="2"/>
          <w:sz w:val="32"/>
          <w:szCs w:val="32"/>
          <w:lang w:eastAsia="zh-CN" w:bidi="ar"/>
        </w:rPr>
        <w:t>按照县财政要求，于2020年10月完成2021年度本单位财务预算编制工作。</w:t>
      </w:r>
    </w:p>
    <w:p>
      <w:pPr>
        <w:keepNext w:val="0"/>
        <w:keepLines w:val="0"/>
        <w:widowControl w:val="0"/>
        <w:numPr>
          <w:ilvl w:val="0"/>
          <w:numId w:val="5"/>
        </w:numPr>
        <w:suppressLineNumbers w:val="0"/>
        <w:spacing w:before="0" w:beforeAutospacing="0" w:after="0" w:afterAutospacing="0" w:line="360" w:lineRule="auto"/>
        <w:ind w:left="0" w:right="0" w:firstLine="642" w:firstLineChars="200"/>
        <w:jc w:val="both"/>
        <w:rPr>
          <w:rFonts w:hint="default" w:ascii="仿宋_GB2312" w:eastAsia="仿宋_GB2312" w:cs="仿宋_GB2312"/>
          <w:b/>
          <w:bCs/>
          <w:kern w:val="0"/>
          <w:sz w:val="32"/>
          <w:szCs w:val="32"/>
        </w:rPr>
      </w:pPr>
      <w:r>
        <w:rPr>
          <w:rFonts w:hint="default" w:ascii="仿宋_GB2312" w:hAnsi="Calibri" w:eastAsia="仿宋_GB2312" w:cs="仿宋_GB2312"/>
          <w:b/>
          <w:bCs/>
          <w:kern w:val="0"/>
          <w:sz w:val="32"/>
          <w:szCs w:val="32"/>
          <w:lang w:val="en-US" w:eastAsia="zh-CN" w:bidi="ar"/>
        </w:rPr>
        <w:t>预算执行情况</w:t>
      </w:r>
    </w:p>
    <w:p>
      <w:pPr>
        <w:pStyle w:val="21"/>
        <w:keepNext w:val="0"/>
        <w:keepLines w:val="0"/>
        <w:widowControl w:val="0"/>
        <w:suppressLineNumbers w:val="0"/>
        <w:spacing w:before="0" w:beforeAutospacing="0" w:after="0" w:afterAutospacing="0" w:line="360" w:lineRule="auto"/>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壤塘县佛教协会2021年财政拨款收入：共计116.67万元，2020年财政拨款79.51万元，比上年增加37.15万元，增长46.72%，主要变动原因是人员经费增加。</w:t>
      </w:r>
    </w:p>
    <w:p>
      <w:pPr>
        <w:keepNext w:val="0"/>
        <w:keepLines w:val="0"/>
        <w:widowControl w:val="0"/>
        <w:suppressLineNumbers w:val="0"/>
        <w:spacing w:before="0" w:beforeAutospacing="0" w:after="0" w:afterAutospacing="0" w:line="360" w:lineRule="auto"/>
        <w:ind w:left="0" w:right="0" w:firstLine="642" w:firstLineChars="200"/>
        <w:jc w:val="both"/>
        <w:rPr>
          <w:rFonts w:hint="default" w:ascii="仿宋_GB2312" w:eastAsia="仿宋_GB2312" w:cs="仿宋_GB2312"/>
          <w:b/>
          <w:bCs/>
          <w:kern w:val="0"/>
          <w:sz w:val="32"/>
          <w:szCs w:val="32"/>
        </w:rPr>
      </w:pPr>
      <w:r>
        <w:rPr>
          <w:rFonts w:hint="default" w:ascii="仿宋_GB2312" w:hAnsi="Calibri" w:eastAsia="仿宋_GB2312" w:cs="仿宋_GB2312"/>
          <w:b/>
          <w:bCs/>
          <w:kern w:val="0"/>
          <w:sz w:val="32"/>
          <w:szCs w:val="32"/>
          <w:lang w:val="en-US" w:eastAsia="zh-CN" w:bidi="ar"/>
        </w:rPr>
        <w:t>三、部门管理情况</w:t>
      </w:r>
    </w:p>
    <w:p>
      <w:pPr>
        <w:pStyle w:val="21"/>
        <w:keepNext w:val="0"/>
        <w:keepLines w:val="0"/>
        <w:widowControl w:val="0"/>
        <w:suppressLineNumbers w:val="0"/>
        <w:spacing w:before="0" w:beforeAutospacing="0" w:after="0" w:afterAutospacing="0" w:line="360" w:lineRule="auto"/>
        <w:ind w:left="0" w:right="0" w:firstLine="642" w:firstLineChars="200"/>
        <w:jc w:val="both"/>
        <w:rPr>
          <w:rFonts w:hint="default" w:ascii="仿宋_GB2312" w:eastAsia="仿宋_GB2312" w:cs="仿宋_GB2312"/>
          <w:b/>
          <w:bCs/>
          <w:kern w:val="0"/>
          <w:sz w:val="32"/>
          <w:szCs w:val="32"/>
        </w:rPr>
      </w:pPr>
      <w:r>
        <w:rPr>
          <w:rFonts w:hint="default" w:ascii="仿宋_GB2312" w:hAnsi="Calibri" w:eastAsia="仿宋_GB2312" w:cs="仿宋_GB2312"/>
          <w:b/>
          <w:bCs/>
          <w:kern w:val="0"/>
          <w:sz w:val="32"/>
          <w:szCs w:val="32"/>
          <w:lang w:val="en-US" w:eastAsia="zh-CN" w:bidi="ar"/>
        </w:rPr>
        <w:t>（一）基础管理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bCs/>
          <w:color w:val="000000"/>
          <w:sz w:val="32"/>
          <w:szCs w:val="32"/>
        </w:rPr>
      </w:pPr>
      <w:r>
        <w:rPr>
          <w:rFonts w:hint="eastAsia" w:ascii="仿宋_GB2312" w:hAnsi="Calibri" w:eastAsia="仿宋_GB2312" w:cs="仿宋_GB2312"/>
          <w:kern w:val="2"/>
          <w:sz w:val="32"/>
          <w:szCs w:val="32"/>
          <w:lang w:val="en-US" w:eastAsia="zh-CN" w:bidi="ar"/>
        </w:rPr>
        <w:t>本年度，我单位在县委、县政府的带领下，在省、州佛协的指导下，在疫情防控工作中，团结、带领僧侣攻坚克难，推进了疫情防控工作的高效开展，坚持藏传佛教中国化，团结各族人民群众，积极开展了公益慈善活动。</w:t>
      </w:r>
    </w:p>
    <w:p>
      <w:pPr>
        <w:pStyle w:val="21"/>
        <w:keepNext w:val="0"/>
        <w:keepLines w:val="0"/>
        <w:widowControl w:val="0"/>
        <w:suppressLineNumbers w:val="0"/>
        <w:spacing w:before="0" w:beforeAutospacing="0" w:after="0" w:afterAutospacing="0" w:line="360" w:lineRule="auto"/>
        <w:ind w:left="420" w:leftChars="200" w:right="0" w:firstLine="0" w:firstLineChars="0"/>
        <w:jc w:val="both"/>
        <w:rPr>
          <w:rFonts w:hint="default" w:ascii="仿宋_GB2312" w:eastAsia="仿宋_GB2312" w:cs="仿宋_GB2312"/>
          <w:b/>
          <w:bCs/>
          <w:kern w:val="0"/>
          <w:sz w:val="32"/>
          <w:szCs w:val="32"/>
        </w:rPr>
      </w:pPr>
      <w:r>
        <w:rPr>
          <w:rFonts w:hint="default" w:ascii="仿宋_GB2312" w:hAnsi="Calibri" w:eastAsia="仿宋_GB2312" w:cs="仿宋_GB2312"/>
          <w:b/>
          <w:bCs/>
          <w:kern w:val="0"/>
          <w:sz w:val="32"/>
          <w:szCs w:val="32"/>
          <w:lang w:val="en-US" w:eastAsia="zh-CN" w:bidi="ar"/>
        </w:rPr>
        <w:t>2、财务管理以及资金使用合规性</w:t>
      </w:r>
    </w:p>
    <w:p>
      <w:pPr>
        <w:keepNext w:val="0"/>
        <w:keepLines w:val="0"/>
        <w:widowControl w:val="0"/>
        <w:suppressLineNumbers w:val="0"/>
        <w:spacing w:before="0" w:beforeAutospacing="0" w:after="0" w:afterAutospacing="0" w:line="360" w:lineRule="auto"/>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壤塘佛教协会本年度资金使用过程中严格按照单位财务管理制度要求执行，资金使用的合规性体现在：</w:t>
      </w:r>
    </w:p>
    <w:p>
      <w:pPr>
        <w:keepNext w:val="0"/>
        <w:keepLines w:val="0"/>
        <w:widowControl w:val="0"/>
        <w:suppressLineNumbers w:val="0"/>
        <w:spacing w:before="0" w:beforeAutospacing="0" w:after="0" w:afterAutospacing="0" w:line="360" w:lineRule="auto"/>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1.所有经费开支坚持财务审批制度，重大资金支出由镇党组会、职工大会、村两委会议研究决定。</w:t>
      </w:r>
    </w:p>
    <w:p>
      <w:pPr>
        <w:keepNext w:val="0"/>
        <w:keepLines w:val="0"/>
        <w:widowControl w:val="0"/>
        <w:suppressLineNumbers w:val="0"/>
        <w:spacing w:before="0" w:beforeAutospacing="0" w:after="0" w:afterAutospacing="0" w:line="360" w:lineRule="auto"/>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2.在报销经费时，经办人使用统一规范的审批单，在审批单上写明用途、经办人员、股室负责人、财务负责人、单位领导、金额、报销日期等内容。</w:t>
      </w:r>
    </w:p>
    <w:p>
      <w:pPr>
        <w:keepNext w:val="0"/>
        <w:keepLines w:val="0"/>
        <w:widowControl w:val="0"/>
        <w:suppressLineNumbers w:val="0"/>
        <w:spacing w:before="0" w:beforeAutospacing="0" w:after="0" w:afterAutospacing="0" w:line="360" w:lineRule="auto"/>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3.费用报销审批程序  </w:t>
      </w:r>
    </w:p>
    <w:p>
      <w:pPr>
        <w:keepNext w:val="0"/>
        <w:keepLines w:val="0"/>
        <w:widowControl w:val="0"/>
        <w:suppressLineNumbers w:val="0"/>
        <w:spacing w:before="0" w:beforeAutospacing="0" w:after="0" w:afterAutospacing="0" w:line="360" w:lineRule="auto"/>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经办人填写报销单→由业务科室负责人确认签字→财务人员核签字→财务分管领导确认签字批准后，到财务出纳处办理支付手续。</w:t>
      </w:r>
    </w:p>
    <w:p>
      <w:pPr>
        <w:keepNext w:val="0"/>
        <w:keepLines w:val="0"/>
        <w:widowControl w:val="0"/>
        <w:suppressLineNumbers w:val="0"/>
        <w:spacing w:before="0" w:beforeAutospacing="0" w:after="0" w:afterAutospacing="0" w:line="360" w:lineRule="auto"/>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各个审批环节的具体职责：</w:t>
      </w:r>
    </w:p>
    <w:p>
      <w:pPr>
        <w:keepNext w:val="0"/>
        <w:keepLines w:val="0"/>
        <w:widowControl w:val="0"/>
        <w:suppressLineNumbers w:val="0"/>
        <w:spacing w:before="0" w:beforeAutospacing="0" w:after="0" w:afterAutospacing="0" w:line="360" w:lineRule="auto"/>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业务科室负责人及其分管领导对其发生的支出用途及金额的真实性、准确性负责，并对其科室填写的支出审批单内容、大小写金额、票据张数进行审核。经济业务发生后，原则上在30天之内报账完毕。不得将几个经济事项的票据合并填报。</w:t>
      </w:r>
    </w:p>
    <w:p>
      <w:pPr>
        <w:keepNext w:val="0"/>
        <w:keepLines w:val="0"/>
        <w:widowControl w:val="0"/>
        <w:suppressLineNumbers w:val="0"/>
        <w:spacing w:before="0" w:beforeAutospacing="0" w:after="0" w:afterAutospacing="0" w:line="360" w:lineRule="auto"/>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财务室对提供的原始票据的合法性进行审核监督。审核发票是否真实合法、填写是否规范、印章是否齐全、报销金额与原始票据是否相符；审核是否符合审批程序；审核是否在预算额度内、在审计金额内按进度、按比例、按范围付款。对不符合规定的票据，财务有权拒绝受理。</w:t>
      </w:r>
    </w:p>
    <w:p>
      <w:pPr>
        <w:keepNext w:val="0"/>
        <w:keepLines w:val="0"/>
        <w:widowControl w:val="0"/>
        <w:suppressLineNumbers w:val="0"/>
        <w:spacing w:before="0" w:beforeAutospacing="0" w:after="0" w:afterAutospacing="0" w:line="360" w:lineRule="auto"/>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各审批领导审查财务收支的真实性、合法性、必要性，并在报销凭证上明确签署报销意见。</w:t>
      </w:r>
    </w:p>
    <w:p>
      <w:pPr>
        <w:keepNext w:val="0"/>
        <w:keepLines w:val="0"/>
        <w:widowControl w:val="0"/>
        <w:suppressLineNumbers w:val="0"/>
        <w:spacing w:before="0" w:beforeAutospacing="0" w:after="0" w:afterAutospacing="0" w:line="360" w:lineRule="auto"/>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所有费用报销实行单位负责人“一支笔”签批制度。</w:t>
      </w:r>
    </w:p>
    <w:p>
      <w:pPr>
        <w:keepNext w:val="0"/>
        <w:keepLines w:val="0"/>
        <w:widowControl w:val="0"/>
        <w:suppressLineNumbers w:val="0"/>
        <w:spacing w:before="0" w:beforeAutospacing="0" w:after="0" w:afterAutospacing="0" w:line="360" w:lineRule="auto"/>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出纳人员对已经审批后的支出票据必须进行复核（复核票据张数、金额、审批程序），对不符合规定的票据有权拒绝支付并立即向机关领导报告。严格控制现金支付，原则上采用公务卡和转账结算。会计人员进行会计核算时，对不符合财经管理规定的票据有权拒绝接受并应立即报告。</w:t>
      </w:r>
    </w:p>
    <w:p>
      <w:pPr>
        <w:pStyle w:val="21"/>
        <w:keepNext w:val="0"/>
        <w:keepLines w:val="0"/>
        <w:widowControl w:val="0"/>
        <w:suppressLineNumbers w:val="0"/>
        <w:spacing w:before="0" w:beforeAutospacing="0" w:after="0" w:afterAutospacing="0" w:line="360" w:lineRule="auto"/>
        <w:ind w:left="0" w:right="0" w:firstLine="642" w:firstLineChars="200"/>
        <w:jc w:val="both"/>
        <w:rPr>
          <w:rFonts w:hint="default" w:ascii="仿宋_GB2312" w:eastAsia="仿宋_GB2312" w:cs="仿宋_GB2312"/>
          <w:b/>
          <w:bCs/>
          <w:kern w:val="2"/>
          <w:sz w:val="32"/>
          <w:szCs w:val="32"/>
        </w:rPr>
      </w:pPr>
      <w:r>
        <w:rPr>
          <w:rFonts w:hint="default" w:ascii="仿宋_GB2312" w:hAnsi="Calibri" w:eastAsia="仿宋_GB2312" w:cs="仿宋_GB2312"/>
          <w:b/>
          <w:bCs/>
          <w:kern w:val="0"/>
          <w:sz w:val="32"/>
          <w:szCs w:val="32"/>
          <w:lang w:val="en-US" w:eastAsia="zh-CN" w:bidi="ar"/>
        </w:rPr>
        <w:t>（二）行政成本</w:t>
      </w:r>
    </w:p>
    <w:p>
      <w:pPr>
        <w:pStyle w:val="21"/>
        <w:keepNext w:val="0"/>
        <w:keepLines w:val="0"/>
        <w:widowControl w:val="0"/>
        <w:suppressLineNumbers w:val="0"/>
        <w:spacing w:before="0" w:beforeAutospacing="0" w:after="0" w:afterAutospacing="0" w:line="360" w:lineRule="auto"/>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三公”经费控制。壤塘县佛教协会2021年“三公”经费预算2.83万元，决算支出2.83万元。其中公务用车购置及运行维护费预算2.83万元，决算支出2.83万元（其中公务用车运行维护费2.83万元）,未发生因公出国（境）费及公务接待费，2021年“三公”经费决算均未超过预算。</w:t>
      </w:r>
    </w:p>
    <w:p>
      <w:pPr>
        <w:pStyle w:val="21"/>
        <w:keepNext w:val="0"/>
        <w:keepLines w:val="0"/>
        <w:widowControl w:val="0"/>
        <w:suppressLineNumbers w:val="0"/>
        <w:spacing w:before="0" w:beforeAutospacing="0" w:after="0" w:afterAutospacing="0" w:line="360" w:lineRule="auto"/>
        <w:ind w:left="0" w:right="0" w:firstLine="642" w:firstLineChars="200"/>
        <w:jc w:val="both"/>
        <w:rPr>
          <w:rFonts w:hint="default" w:ascii="仿宋_GB2312" w:eastAsia="仿宋_GB2312" w:cs="仿宋_GB2312"/>
          <w:b/>
          <w:bCs/>
          <w:kern w:val="0"/>
          <w:sz w:val="32"/>
          <w:szCs w:val="32"/>
        </w:rPr>
      </w:pPr>
      <w:r>
        <w:rPr>
          <w:rFonts w:hint="default" w:ascii="仿宋_GB2312" w:hAnsi="Calibri" w:eastAsia="仿宋_GB2312" w:cs="仿宋_GB2312"/>
          <w:b/>
          <w:bCs/>
          <w:kern w:val="0"/>
          <w:sz w:val="32"/>
          <w:szCs w:val="32"/>
          <w:lang w:val="en-US" w:eastAsia="zh-CN" w:bidi="ar"/>
        </w:rPr>
        <w:t>（三）政府采购</w:t>
      </w:r>
    </w:p>
    <w:p>
      <w:pPr>
        <w:pStyle w:val="21"/>
        <w:keepNext w:val="0"/>
        <w:keepLines w:val="0"/>
        <w:widowControl w:val="0"/>
        <w:suppressLineNumbers w:val="0"/>
        <w:spacing w:before="0" w:beforeAutospacing="0" w:after="0" w:afterAutospacing="0" w:line="360" w:lineRule="auto"/>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采购规范性。壤塘县佛教协会2021年度政府采购货物支出7.71万元，政府采购工程支出0万元，政府采购服务支出0万元。</w:t>
      </w:r>
    </w:p>
    <w:p>
      <w:pPr>
        <w:keepNext w:val="0"/>
        <w:keepLines w:val="0"/>
        <w:widowControl w:val="0"/>
        <w:suppressLineNumbers w:val="0"/>
        <w:autoSpaceDE w:val="0"/>
        <w:autoSpaceDN/>
        <w:snapToGrid w:val="0"/>
        <w:spacing w:before="0" w:beforeAutospacing="0" w:after="0" w:afterAutospacing="0" w:line="360" w:lineRule="auto"/>
        <w:ind w:left="0" w:right="0" w:firstLine="642" w:firstLineChars="200"/>
        <w:jc w:val="both"/>
        <w:rPr>
          <w:rFonts w:hint="default" w:ascii="仿宋_GB2312" w:eastAsia="仿宋_GB2312" w:cs="仿宋_GB2312"/>
          <w:b/>
          <w:bCs/>
          <w:kern w:val="2"/>
          <w:sz w:val="32"/>
          <w:szCs w:val="32"/>
        </w:rPr>
      </w:pPr>
      <w:r>
        <w:rPr>
          <w:rFonts w:hint="default" w:ascii="仿宋_GB2312" w:hAnsi="Calibri" w:eastAsia="仿宋_GB2312" w:cs="仿宋_GB2312"/>
          <w:b/>
          <w:bCs/>
          <w:kern w:val="0"/>
          <w:sz w:val="32"/>
          <w:szCs w:val="32"/>
          <w:lang w:val="en-US" w:eastAsia="zh-CN" w:bidi="ar"/>
        </w:rPr>
        <w:t xml:space="preserve">（四）资产管理 </w:t>
      </w:r>
      <w:r>
        <w:rPr>
          <w:rFonts w:hint="default" w:ascii="仿宋_GB2312" w:hAnsi="Calibri" w:eastAsia="仿宋_GB2312" w:cs="仿宋_GB2312"/>
          <w:b/>
          <w:bCs/>
          <w:kern w:val="2"/>
          <w:sz w:val="32"/>
          <w:szCs w:val="32"/>
          <w:lang w:val="en-US" w:eastAsia="zh-CN" w:bidi="ar"/>
        </w:rPr>
        <w:t xml:space="preserve"> </w:t>
      </w:r>
    </w:p>
    <w:p>
      <w:pPr>
        <w:pStyle w:val="21"/>
        <w:keepNext w:val="0"/>
        <w:keepLines w:val="0"/>
        <w:widowControl w:val="0"/>
        <w:suppressLineNumbers w:val="0"/>
        <w:spacing w:before="0" w:beforeAutospacing="0" w:after="0" w:afterAutospacing="0" w:line="360" w:lineRule="auto"/>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固定资产在用率。2021年12月31日，壤塘县佛教协会《行政单位资产管理系统》固定资产总计31.88万元，在用的固定资产总计31.88万元，固定资产在用率达100%。</w:t>
      </w:r>
    </w:p>
    <w:p>
      <w:pPr>
        <w:pStyle w:val="21"/>
        <w:keepNext w:val="0"/>
        <w:keepLines w:val="0"/>
        <w:widowControl w:val="0"/>
        <w:suppressLineNumbers w:val="0"/>
        <w:spacing w:before="0" w:beforeAutospacing="0" w:after="0" w:afterAutospacing="0" w:line="360" w:lineRule="auto"/>
        <w:ind w:left="420" w:leftChars="200" w:right="0" w:firstLine="0" w:firstLineChars="0"/>
        <w:jc w:val="both"/>
        <w:rPr>
          <w:rFonts w:hint="default" w:ascii="仿宋_GB2312" w:eastAsia="仿宋_GB2312" w:cs="仿宋_GB2312"/>
          <w:b/>
          <w:bCs/>
          <w:kern w:val="0"/>
          <w:sz w:val="32"/>
          <w:szCs w:val="32"/>
        </w:rPr>
      </w:pPr>
      <w:r>
        <w:rPr>
          <w:rFonts w:hint="default" w:ascii="仿宋_GB2312" w:hAnsi="Calibri" w:eastAsia="仿宋_GB2312" w:cs="仿宋_GB2312"/>
          <w:b/>
          <w:bCs/>
          <w:kern w:val="0"/>
          <w:sz w:val="32"/>
          <w:szCs w:val="32"/>
          <w:lang w:val="en-US" w:eastAsia="zh-CN" w:bidi="ar"/>
        </w:rPr>
        <w:t>（五）信息公开</w:t>
      </w:r>
    </w:p>
    <w:p>
      <w:pPr>
        <w:pStyle w:val="21"/>
        <w:keepNext w:val="0"/>
        <w:keepLines w:val="0"/>
        <w:widowControl w:val="0"/>
        <w:suppressLineNumbers w:val="0"/>
        <w:spacing w:before="0" w:beforeAutospacing="0" w:after="0" w:afterAutospacing="0" w:line="360" w:lineRule="auto"/>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信息公开。壤塘县佛教协会已经按财政要求及时完成预算、决算、绩效等信息公开工作，信息公开在壤塘县门户网站中。</w:t>
      </w:r>
    </w:p>
    <w:p>
      <w:pPr>
        <w:pStyle w:val="21"/>
        <w:keepNext w:val="0"/>
        <w:keepLines w:val="0"/>
        <w:widowControl w:val="0"/>
        <w:suppressLineNumbers w:val="0"/>
        <w:spacing w:before="0" w:beforeAutospacing="0" w:after="0" w:afterAutospacing="0" w:line="360" w:lineRule="auto"/>
        <w:ind w:left="0" w:right="0" w:firstLine="642" w:firstLineChars="200"/>
        <w:jc w:val="both"/>
        <w:rPr>
          <w:rFonts w:hint="default" w:ascii="仿宋_GB2312" w:eastAsia="仿宋_GB2312" w:cs="仿宋_GB2312"/>
          <w:b/>
          <w:bCs/>
          <w:kern w:val="0"/>
          <w:sz w:val="32"/>
          <w:szCs w:val="32"/>
        </w:rPr>
      </w:pPr>
      <w:r>
        <w:rPr>
          <w:rFonts w:hint="default" w:ascii="仿宋_GB2312" w:hAnsi="Calibri" w:eastAsia="仿宋_GB2312" w:cs="仿宋_GB2312"/>
          <w:b/>
          <w:bCs/>
          <w:kern w:val="0"/>
          <w:sz w:val="32"/>
          <w:szCs w:val="32"/>
          <w:lang w:val="en-US" w:eastAsia="zh-CN" w:bidi="ar"/>
        </w:rPr>
        <w:t>四、部门履职效能</w:t>
      </w:r>
    </w:p>
    <w:p>
      <w:pPr>
        <w:pStyle w:val="21"/>
        <w:keepNext w:val="0"/>
        <w:keepLines w:val="0"/>
        <w:widowControl w:val="0"/>
        <w:suppressLineNumbers w:val="0"/>
        <w:spacing w:before="0" w:beforeAutospacing="0" w:after="0" w:afterAutospacing="0" w:line="360" w:lineRule="auto"/>
        <w:ind w:left="0" w:right="0" w:firstLine="0" w:firstLineChars="0"/>
        <w:jc w:val="both"/>
        <w:rPr>
          <w:rFonts w:hint="default" w:ascii="仿宋_GB2312" w:eastAsia="仿宋_GB2312" w:cs="仿宋_GB2312"/>
          <w:b/>
          <w:bCs/>
          <w:kern w:val="0"/>
          <w:sz w:val="32"/>
          <w:szCs w:val="32"/>
        </w:rPr>
      </w:pPr>
      <w:r>
        <w:rPr>
          <w:rFonts w:hint="default" w:ascii="仿宋_GB2312" w:hAnsi="Calibri" w:eastAsia="仿宋_GB2312" w:cs="仿宋_GB2312"/>
          <w:kern w:val="0"/>
          <w:sz w:val="32"/>
          <w:szCs w:val="32"/>
          <w:lang w:val="en-US" w:eastAsia="zh-CN" w:bidi="ar"/>
        </w:rPr>
        <w:t xml:space="preserve">   </w:t>
      </w:r>
      <w:r>
        <w:rPr>
          <w:rFonts w:hint="default" w:ascii="仿宋_GB2312" w:hAnsi="Calibri" w:eastAsia="仿宋_GB2312" w:cs="仿宋_GB2312"/>
          <w:b/>
          <w:bCs/>
          <w:kern w:val="0"/>
          <w:sz w:val="32"/>
          <w:szCs w:val="32"/>
          <w:lang w:val="en-US" w:eastAsia="zh-CN" w:bidi="ar"/>
        </w:rPr>
        <w:t>（一）部门履职的年度总体目标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bCs/>
          <w:color w:val="000000"/>
          <w:sz w:val="32"/>
          <w:szCs w:val="32"/>
        </w:rPr>
      </w:pPr>
      <w:r>
        <w:rPr>
          <w:rFonts w:hint="eastAsia" w:ascii="仿宋_GB2312" w:hAnsi="Calibri" w:eastAsia="仿宋_GB2312" w:cs="仿宋_GB2312"/>
          <w:kern w:val="2"/>
          <w:sz w:val="32"/>
          <w:szCs w:val="32"/>
          <w:lang w:val="en-US" w:eastAsia="zh-CN" w:bidi="ar"/>
        </w:rPr>
        <w:t>本年度，我单位</w:t>
      </w:r>
      <w:r>
        <w:rPr>
          <w:rFonts w:hint="default" w:ascii="仿宋_GB2312" w:hAnsi="Calibri" w:eastAsia="仿宋_GB2312" w:cs="仿宋_GB2312"/>
          <w:kern w:val="2"/>
          <w:sz w:val="32"/>
          <w:szCs w:val="32"/>
          <w:lang w:eastAsia="zh-CN" w:bidi="ar"/>
        </w:rPr>
        <w:t>将</w:t>
      </w:r>
      <w:r>
        <w:rPr>
          <w:rFonts w:hint="eastAsia" w:ascii="仿宋_GB2312" w:hAnsi="Calibri" w:eastAsia="仿宋_GB2312" w:cs="仿宋_GB2312"/>
          <w:kern w:val="2"/>
          <w:sz w:val="32"/>
          <w:szCs w:val="32"/>
          <w:lang w:val="en-US" w:eastAsia="zh-CN" w:bidi="ar"/>
        </w:rPr>
        <w:t>在县委、县政府的带领下，在省、州佛协的指导下，在疫情防控工作中，团结、带领僧侣攻坚克难，推进了疫情防控工作的高效开展，坚持藏传佛教中国化，团结各族人民群众，积极开展公益慈善活动。</w:t>
      </w:r>
    </w:p>
    <w:p>
      <w:pPr>
        <w:pStyle w:val="21"/>
        <w:keepNext w:val="0"/>
        <w:keepLines w:val="0"/>
        <w:widowControl w:val="0"/>
        <w:suppressLineNumbers w:val="0"/>
        <w:spacing w:before="0" w:beforeAutospacing="0" w:after="0" w:afterAutospacing="0" w:line="360" w:lineRule="auto"/>
        <w:ind w:left="0" w:right="0" w:firstLine="642" w:firstLineChars="200"/>
        <w:jc w:val="both"/>
        <w:rPr>
          <w:rFonts w:hint="default" w:ascii="仿宋_GB2312" w:eastAsia="仿宋_GB2312" w:cs="仿宋_GB2312"/>
          <w:b/>
          <w:bCs/>
          <w:kern w:val="0"/>
          <w:sz w:val="32"/>
          <w:szCs w:val="32"/>
        </w:rPr>
      </w:pPr>
      <w:r>
        <w:rPr>
          <w:rFonts w:hint="default" w:ascii="仿宋_GB2312" w:hAnsi="Calibri" w:eastAsia="仿宋_GB2312" w:cs="仿宋_GB2312"/>
          <w:b/>
          <w:bCs/>
          <w:kern w:val="0"/>
          <w:sz w:val="32"/>
          <w:szCs w:val="32"/>
          <w:lang w:val="en-US" w:eastAsia="zh-CN" w:bidi="ar"/>
        </w:rPr>
        <w:t>五、评价结论及措施</w:t>
      </w:r>
    </w:p>
    <w:p>
      <w:pPr>
        <w:pStyle w:val="21"/>
        <w:keepNext w:val="0"/>
        <w:keepLines w:val="0"/>
        <w:widowControl w:val="0"/>
        <w:suppressLineNumbers w:val="0"/>
        <w:spacing w:before="0" w:beforeAutospacing="0" w:after="0" w:afterAutospacing="0" w:line="360" w:lineRule="auto"/>
        <w:ind w:left="0" w:right="0" w:firstLine="642" w:firstLineChars="200"/>
        <w:jc w:val="both"/>
        <w:rPr>
          <w:rFonts w:hint="default" w:ascii="仿宋_GB2312" w:eastAsia="仿宋_GB2312" w:cs="仿宋_GB2312"/>
          <w:b/>
          <w:bCs/>
          <w:kern w:val="2"/>
          <w:sz w:val="32"/>
          <w:szCs w:val="32"/>
        </w:rPr>
      </w:pPr>
      <w:r>
        <w:rPr>
          <w:rFonts w:hint="default" w:ascii="仿宋_GB2312" w:hAnsi="Calibri" w:eastAsia="仿宋_GB2312" w:cs="仿宋_GB2312"/>
          <w:b/>
          <w:bCs/>
          <w:kern w:val="2"/>
          <w:sz w:val="32"/>
          <w:szCs w:val="32"/>
          <w:lang w:val="en-US" w:eastAsia="zh-CN" w:bidi="ar"/>
        </w:rPr>
        <w:t>（一）评价结论：见附表</w:t>
      </w:r>
    </w:p>
    <w:p>
      <w:pPr>
        <w:pStyle w:val="21"/>
        <w:keepNext w:val="0"/>
        <w:keepLines w:val="0"/>
        <w:widowControl w:val="0"/>
        <w:suppressLineNumbers w:val="0"/>
        <w:spacing w:before="0" w:beforeAutospacing="0" w:after="0" w:afterAutospacing="0" w:line="360" w:lineRule="auto"/>
        <w:ind w:left="0" w:right="0" w:firstLine="642" w:firstLineChars="200"/>
        <w:jc w:val="both"/>
        <w:rPr>
          <w:rFonts w:hint="default" w:ascii="仿宋_GB2312" w:eastAsia="仿宋_GB2312" w:cs="仿宋_GB2312"/>
          <w:b/>
          <w:bCs/>
          <w:kern w:val="2"/>
          <w:sz w:val="32"/>
          <w:szCs w:val="32"/>
        </w:rPr>
      </w:pPr>
      <w:r>
        <w:rPr>
          <w:rFonts w:hint="default" w:ascii="仿宋_GB2312" w:hAnsi="Calibri" w:eastAsia="仿宋_GB2312" w:cs="仿宋_GB2312"/>
          <w:b/>
          <w:bCs/>
          <w:kern w:val="2"/>
          <w:sz w:val="32"/>
          <w:szCs w:val="32"/>
          <w:lang w:val="en-US" w:eastAsia="zh-CN" w:bidi="ar"/>
        </w:rPr>
        <w:t>（二）存在问题</w:t>
      </w:r>
    </w:p>
    <w:p>
      <w:pPr>
        <w:pStyle w:val="21"/>
        <w:keepNext w:val="0"/>
        <w:keepLines w:val="0"/>
        <w:widowControl w:val="0"/>
        <w:suppressLineNumbers w:val="0"/>
        <w:spacing w:before="0" w:beforeAutospacing="0" w:after="0" w:afterAutospacing="0" w:line="360" w:lineRule="auto"/>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eastAsia="zh-CN" w:bidi="ar"/>
        </w:rPr>
        <w:t>人员较少，导致部分工作不够仔细。</w:t>
      </w:r>
    </w:p>
    <w:p>
      <w:pPr>
        <w:pStyle w:val="21"/>
        <w:keepNext w:val="0"/>
        <w:keepLines w:val="0"/>
        <w:widowControl w:val="0"/>
        <w:suppressLineNumbers w:val="0"/>
        <w:spacing w:before="0" w:beforeAutospacing="0" w:after="0" w:afterAutospacing="0" w:line="360" w:lineRule="auto"/>
        <w:ind w:left="0" w:right="0" w:firstLine="642" w:firstLineChars="200"/>
        <w:jc w:val="both"/>
        <w:rPr>
          <w:rFonts w:hint="default" w:ascii="仿宋_GB2312" w:eastAsia="仿宋_GB2312" w:cs="仿宋_GB2312"/>
          <w:b/>
          <w:bCs/>
          <w:kern w:val="2"/>
          <w:sz w:val="32"/>
          <w:szCs w:val="32"/>
        </w:rPr>
      </w:pPr>
      <w:r>
        <w:rPr>
          <w:rFonts w:hint="default" w:ascii="仿宋_GB2312" w:hAnsi="Calibri" w:eastAsia="仿宋_GB2312" w:cs="仿宋_GB2312"/>
          <w:b/>
          <w:bCs/>
          <w:kern w:val="2"/>
          <w:sz w:val="32"/>
          <w:szCs w:val="32"/>
          <w:lang w:val="en-US" w:eastAsia="zh-CN" w:bidi="ar"/>
        </w:rPr>
        <w:t>（三）改进措施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Times New Roman" w:eastAsia="仿宋_GB2312" w:cs="仿宋_GB2312"/>
          <w:kern w:val="2"/>
          <w:sz w:val="32"/>
          <w:szCs w:val="32"/>
          <w:lang w:val="en-US" w:eastAsia="zh-CN" w:bidi="ar"/>
        </w:rPr>
      </w:pPr>
      <w:r>
        <w:rPr>
          <w:rFonts w:hint="default" w:ascii="仿宋_GB2312" w:hAnsi="Calibri" w:eastAsia="仿宋_GB2312" w:cs="仿宋_GB2312"/>
          <w:kern w:val="2"/>
          <w:sz w:val="32"/>
          <w:szCs w:val="32"/>
          <w:lang w:eastAsia="zh-CN" w:bidi="ar"/>
        </w:rPr>
        <w:t>加强人才队伍建设，细化工作</w:t>
      </w:r>
      <w:r>
        <w:rPr>
          <w:rFonts w:hint="eastAsia" w:ascii="仿宋_GB2312" w:hAnsi="Times New Roman" w:eastAsia="仿宋_GB2312" w:cs="仿宋_GB2312"/>
          <w:kern w:val="2"/>
          <w:sz w:val="32"/>
          <w:szCs w:val="32"/>
          <w:lang w:val="en-US" w:eastAsia="zh-CN" w:bidi="ar"/>
        </w:rPr>
        <w:t>。</w:t>
      </w:r>
    </w:p>
    <w:p>
      <w:pPr>
        <w:pStyle w:val="2"/>
        <w:rPr>
          <w:rFonts w:hint="eastAsia" w:ascii="仿宋_GB2312" w:hAnsi="Times New Roman" w:eastAsia="仿宋_GB2312" w:cs="仿宋_GB2312"/>
          <w:kern w:val="2"/>
          <w:sz w:val="32"/>
          <w:szCs w:val="32"/>
          <w:lang w:val="en-US" w:eastAsia="zh-CN" w:bidi="ar"/>
        </w:rPr>
      </w:pPr>
    </w:p>
    <w:p>
      <w:pPr>
        <w:rPr>
          <w:rFonts w:hint="eastAsia" w:ascii="仿宋_GB2312" w:hAnsi="Times New Roman" w:eastAsia="仿宋_GB2312" w:cs="仿宋_GB2312"/>
          <w:kern w:val="2"/>
          <w:sz w:val="32"/>
          <w:szCs w:val="32"/>
          <w:lang w:val="en-US" w:eastAsia="zh-CN" w:bidi="ar"/>
        </w:rPr>
      </w:pPr>
    </w:p>
    <w:p>
      <w:pPr>
        <w:pStyle w:val="2"/>
        <w:rPr>
          <w:rFonts w:hint="eastAsia" w:ascii="仿宋_GB2312" w:hAnsi="Times New Roman" w:eastAsia="仿宋_GB2312" w:cs="仿宋_GB2312"/>
          <w:kern w:val="2"/>
          <w:sz w:val="32"/>
          <w:szCs w:val="32"/>
          <w:lang w:val="en-US" w:eastAsia="zh-CN" w:bidi="ar"/>
        </w:rPr>
      </w:pPr>
    </w:p>
    <w:p>
      <w:pPr>
        <w:rPr>
          <w:rFonts w:hint="eastAsia" w:ascii="仿宋_GB2312" w:hAnsi="Times New Roman" w:eastAsia="仿宋_GB2312" w:cs="仿宋_GB2312"/>
          <w:kern w:val="2"/>
          <w:sz w:val="32"/>
          <w:szCs w:val="32"/>
          <w:lang w:val="en-US" w:eastAsia="zh-CN" w:bidi="ar"/>
        </w:rPr>
      </w:pPr>
    </w:p>
    <w:p>
      <w:pPr>
        <w:pStyle w:val="2"/>
        <w:rPr>
          <w:rFonts w:hint="eastAsia" w:ascii="仿宋_GB2312" w:hAnsi="Times New Roman" w:eastAsia="仿宋_GB2312" w:cs="仿宋_GB2312"/>
          <w:kern w:val="2"/>
          <w:sz w:val="32"/>
          <w:szCs w:val="32"/>
          <w:lang w:val="en-US" w:eastAsia="zh-CN" w:bidi="ar"/>
        </w:rPr>
      </w:pPr>
    </w:p>
    <w:p>
      <w:pPr>
        <w:rPr>
          <w:rFonts w:hint="eastAsia" w:ascii="仿宋_GB2312" w:hAnsi="Times New Roman" w:eastAsia="仿宋_GB2312" w:cs="仿宋_GB2312"/>
          <w:kern w:val="2"/>
          <w:sz w:val="32"/>
          <w:szCs w:val="32"/>
          <w:lang w:val="en-US" w:eastAsia="zh-CN" w:bidi="ar"/>
        </w:rPr>
      </w:pPr>
    </w:p>
    <w:p>
      <w:pPr>
        <w:pStyle w:val="2"/>
        <w:rPr>
          <w:rFonts w:hint="eastAsia" w:ascii="仿宋_GB2312" w:hAnsi="Times New Roman" w:eastAsia="仿宋_GB2312" w:cs="仿宋_GB2312"/>
          <w:kern w:val="2"/>
          <w:sz w:val="32"/>
          <w:szCs w:val="32"/>
          <w:lang w:val="en-US" w:eastAsia="zh-CN" w:bidi="ar"/>
        </w:rPr>
      </w:pPr>
    </w:p>
    <w:p/>
    <w:p>
      <w:pPr>
        <w:pStyle w:val="18"/>
        <w:rPr>
          <w:rFonts w:ascii="仿宋_GB2312" w:hAnsi="仿宋_GB2312" w:eastAsia="仿宋_GB2312" w:cs="仿宋_GB2312"/>
          <w:sz w:val="32"/>
          <w:szCs w:val="32"/>
        </w:rPr>
      </w:pPr>
    </w:p>
    <w:p>
      <w:pPr>
        <w:pStyle w:val="18"/>
        <w:ind w:left="0" w:leftChars="0" w:firstLine="0" w:firstLineChars="0"/>
        <w:rPr>
          <w:rFonts w:ascii="仿宋_GB2312" w:hAnsi="仿宋_GB2312" w:eastAsia="仿宋_GB2312" w:cs="仿宋_GB2312"/>
          <w:sz w:val="32"/>
          <w:szCs w:val="32"/>
        </w:rPr>
      </w:pPr>
    </w:p>
    <w:p>
      <w:pPr>
        <w:pStyle w:val="18"/>
        <w:ind w:left="0" w:leftChars="0" w:firstLine="0" w:firstLineChars="0"/>
      </w:pPr>
    </w:p>
    <w:p>
      <w:pPr>
        <w:spacing w:line="600" w:lineRule="exact"/>
        <w:jc w:val="center"/>
        <w:outlineLvl w:val="0"/>
        <w:rPr>
          <w:rStyle w:val="28"/>
          <w:rFonts w:ascii="黑体" w:hAnsi="黑体" w:eastAsia="黑体"/>
          <w:b w:val="0"/>
        </w:rPr>
      </w:pPr>
      <w:bookmarkStart w:id="106" w:name="_Toc79163885"/>
      <w:bookmarkStart w:id="107" w:name="_Toc15396618"/>
      <w:bookmarkStart w:id="108" w:name="_Toc79163635"/>
      <w:r>
        <w:rPr>
          <w:rFonts w:hint="eastAsia" w:ascii="黑体" w:hAnsi="黑体" w:eastAsia="黑体"/>
          <w:color w:val="000000"/>
          <w:sz w:val="44"/>
          <w:szCs w:val="44"/>
        </w:rPr>
        <w:t>第</w:t>
      </w:r>
      <w:r>
        <w:rPr>
          <w:rStyle w:val="28"/>
          <w:rFonts w:hint="eastAsia" w:ascii="黑体" w:hAnsi="黑体" w:eastAsia="黑体"/>
          <w:b w:val="0"/>
        </w:rPr>
        <w:t>五部分</w:t>
      </w:r>
      <w:r>
        <w:rPr>
          <w:rStyle w:val="28"/>
          <w:rFonts w:ascii="黑体" w:hAnsi="黑体" w:eastAsia="黑体"/>
          <w:b w:val="0"/>
        </w:rPr>
        <w:t xml:space="preserve"> </w:t>
      </w:r>
      <w:r>
        <w:rPr>
          <w:rStyle w:val="28"/>
          <w:rFonts w:hint="eastAsia" w:ascii="黑体" w:hAnsi="黑体" w:eastAsia="黑体"/>
          <w:b w:val="0"/>
        </w:rPr>
        <w:t>附表</w:t>
      </w:r>
      <w:bookmarkEnd w:id="100"/>
      <w:bookmarkEnd w:id="106"/>
      <w:bookmarkEnd w:id="107"/>
      <w:bookmarkEnd w:id="108"/>
    </w:p>
    <w:p>
      <w:pPr>
        <w:pStyle w:val="4"/>
        <w:rPr>
          <w:rFonts w:ascii="仿宋" w:hAnsi="仿宋" w:eastAsia="仿宋"/>
          <w:color w:val="000000"/>
        </w:rPr>
      </w:pPr>
      <w:bookmarkStart w:id="109" w:name="_Toc79163636"/>
      <w:bookmarkStart w:id="110" w:name="_Toc79163886"/>
      <w:bookmarkStart w:id="111" w:name="_Toc15396619"/>
      <w:r>
        <w:rPr>
          <w:rFonts w:hint="eastAsia" w:ascii="仿宋" w:hAnsi="仿宋" w:eastAsia="仿宋"/>
          <w:b w:val="0"/>
          <w:color w:val="000000"/>
        </w:rPr>
        <w:t>一、收</w:t>
      </w:r>
      <w:r>
        <w:rPr>
          <w:rStyle w:val="29"/>
          <w:rFonts w:hint="eastAsia" w:ascii="仿宋" w:hAnsi="仿宋" w:eastAsia="仿宋"/>
          <w:b w:val="0"/>
          <w:bCs w:val="0"/>
        </w:rPr>
        <w:t>入支出决算总表</w:t>
      </w:r>
      <w:bookmarkEnd w:id="109"/>
      <w:bookmarkEnd w:id="110"/>
      <w:bookmarkEnd w:id="111"/>
    </w:p>
    <w:p>
      <w:pPr>
        <w:pStyle w:val="4"/>
        <w:rPr>
          <w:rFonts w:ascii="仿宋" w:hAnsi="仿宋" w:eastAsia="仿宋"/>
          <w:color w:val="000000"/>
        </w:rPr>
      </w:pPr>
      <w:bookmarkStart w:id="112" w:name="_Toc79163637"/>
      <w:bookmarkStart w:id="113" w:name="_Toc79163887"/>
      <w:bookmarkStart w:id="114" w:name="_Toc15396620"/>
      <w:r>
        <w:rPr>
          <w:rFonts w:hint="eastAsia" w:ascii="仿宋" w:hAnsi="仿宋" w:eastAsia="仿宋"/>
          <w:b w:val="0"/>
          <w:color w:val="000000"/>
        </w:rPr>
        <w:t>二、收</w:t>
      </w:r>
      <w:r>
        <w:rPr>
          <w:rStyle w:val="29"/>
          <w:rFonts w:hint="eastAsia" w:ascii="仿宋" w:hAnsi="仿宋" w:eastAsia="仿宋"/>
          <w:b w:val="0"/>
          <w:bCs w:val="0"/>
        </w:rPr>
        <w:t>入决算表</w:t>
      </w:r>
      <w:bookmarkEnd w:id="112"/>
      <w:bookmarkEnd w:id="113"/>
      <w:bookmarkEnd w:id="114"/>
    </w:p>
    <w:p>
      <w:pPr>
        <w:pStyle w:val="4"/>
        <w:rPr>
          <w:rFonts w:ascii="仿宋" w:hAnsi="仿宋" w:eastAsia="仿宋"/>
          <w:color w:val="000000"/>
        </w:rPr>
      </w:pPr>
      <w:bookmarkStart w:id="115" w:name="_Toc15396621"/>
      <w:bookmarkStart w:id="116" w:name="_Toc79163638"/>
      <w:bookmarkStart w:id="117" w:name="_Toc79163888"/>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115"/>
      <w:bookmarkEnd w:id="116"/>
      <w:bookmarkEnd w:id="117"/>
    </w:p>
    <w:p>
      <w:pPr>
        <w:pStyle w:val="4"/>
        <w:rPr>
          <w:rFonts w:ascii="仿宋" w:hAnsi="仿宋" w:eastAsia="仿宋"/>
          <w:b w:val="0"/>
          <w:color w:val="000000"/>
        </w:rPr>
      </w:pPr>
      <w:bookmarkStart w:id="118" w:name="_Toc15396622"/>
      <w:bookmarkStart w:id="119" w:name="_Toc79163889"/>
      <w:bookmarkStart w:id="120" w:name="_Toc79163639"/>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118"/>
      <w:bookmarkEnd w:id="119"/>
      <w:bookmarkEnd w:id="120"/>
    </w:p>
    <w:p>
      <w:pPr>
        <w:pStyle w:val="4"/>
        <w:rPr>
          <w:rStyle w:val="29"/>
          <w:rFonts w:ascii="仿宋" w:hAnsi="仿宋" w:eastAsia="仿宋"/>
          <w:b w:val="0"/>
          <w:bCs w:val="0"/>
        </w:rPr>
      </w:pPr>
      <w:bookmarkStart w:id="121" w:name="_Toc15396623"/>
      <w:bookmarkStart w:id="122" w:name="_Toc79163640"/>
      <w:bookmarkStart w:id="123" w:name="_Toc79163890"/>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121"/>
      <w:bookmarkEnd w:id="122"/>
      <w:bookmarkEnd w:id="123"/>
      <w:bookmarkStart w:id="124" w:name="_Toc15396624"/>
    </w:p>
    <w:p>
      <w:pPr>
        <w:pStyle w:val="4"/>
        <w:rPr>
          <w:rFonts w:ascii="仿宋" w:hAnsi="仿宋" w:eastAsia="仿宋"/>
          <w:color w:val="000000"/>
        </w:rPr>
      </w:pPr>
      <w:bookmarkStart w:id="125" w:name="_Toc79163641"/>
      <w:bookmarkStart w:id="126" w:name="_Toc79163891"/>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124"/>
      <w:bookmarkEnd w:id="125"/>
      <w:bookmarkEnd w:id="126"/>
    </w:p>
    <w:p>
      <w:pPr>
        <w:pStyle w:val="4"/>
        <w:rPr>
          <w:rFonts w:ascii="仿宋" w:hAnsi="仿宋" w:eastAsia="仿宋"/>
          <w:color w:val="000000"/>
        </w:rPr>
      </w:pPr>
      <w:bookmarkStart w:id="127" w:name="_Toc79163892"/>
      <w:bookmarkStart w:id="128" w:name="_Toc79163642"/>
      <w:bookmarkStart w:id="129" w:name="_Toc15396625"/>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127"/>
      <w:bookmarkEnd w:id="128"/>
      <w:bookmarkEnd w:id="129"/>
    </w:p>
    <w:p>
      <w:pPr>
        <w:pStyle w:val="4"/>
        <w:rPr>
          <w:rFonts w:ascii="仿宋" w:hAnsi="仿宋" w:eastAsia="仿宋"/>
          <w:color w:val="000000"/>
        </w:rPr>
      </w:pPr>
      <w:bookmarkStart w:id="130" w:name="_Toc15396626"/>
      <w:bookmarkStart w:id="131" w:name="_Toc79163643"/>
      <w:bookmarkStart w:id="132" w:name="_Toc79163893"/>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130"/>
      <w:bookmarkEnd w:id="131"/>
      <w:bookmarkEnd w:id="132"/>
    </w:p>
    <w:p>
      <w:pPr>
        <w:pStyle w:val="4"/>
        <w:rPr>
          <w:rFonts w:ascii="仿宋" w:hAnsi="仿宋" w:eastAsia="仿宋"/>
          <w:color w:val="000000"/>
        </w:rPr>
      </w:pPr>
      <w:bookmarkStart w:id="133" w:name="_Toc15396627"/>
      <w:bookmarkStart w:id="134" w:name="_Toc79163894"/>
      <w:bookmarkStart w:id="135" w:name="_Toc79163644"/>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133"/>
      <w:bookmarkEnd w:id="134"/>
      <w:bookmarkEnd w:id="135"/>
    </w:p>
    <w:p>
      <w:pPr>
        <w:pStyle w:val="4"/>
        <w:rPr>
          <w:rFonts w:ascii="仿宋" w:hAnsi="仿宋" w:eastAsia="仿宋"/>
          <w:color w:val="000000"/>
        </w:rPr>
      </w:pPr>
      <w:bookmarkStart w:id="136" w:name="_Toc79163645"/>
      <w:bookmarkStart w:id="137" w:name="_Toc15396628"/>
      <w:bookmarkStart w:id="138" w:name="_Toc79163895"/>
      <w:r>
        <w:rPr>
          <w:rStyle w:val="29"/>
          <w:rFonts w:hint="eastAsia" w:ascii="仿宋" w:hAnsi="仿宋" w:eastAsia="仿宋"/>
          <w:b w:val="0"/>
          <w:bCs w:val="0"/>
        </w:rPr>
        <w:t>十、</w:t>
      </w:r>
      <w:r>
        <w:rPr>
          <w:rFonts w:hint="eastAsia" w:ascii="仿宋" w:hAnsi="仿宋" w:eastAsia="仿宋"/>
          <w:b w:val="0"/>
          <w:color w:val="000000"/>
        </w:rPr>
        <w:t>一</w:t>
      </w:r>
      <w:r>
        <w:rPr>
          <w:rStyle w:val="29"/>
          <w:rFonts w:hint="eastAsia" w:ascii="仿宋" w:hAnsi="仿宋" w:eastAsia="仿宋"/>
          <w:b w:val="0"/>
          <w:bCs w:val="0"/>
        </w:rPr>
        <w:t>般公共预算财政拨款“三公”经费支出决算表</w:t>
      </w:r>
      <w:bookmarkEnd w:id="136"/>
      <w:bookmarkEnd w:id="137"/>
      <w:bookmarkEnd w:id="138"/>
    </w:p>
    <w:p>
      <w:pPr>
        <w:pStyle w:val="4"/>
        <w:rPr>
          <w:rFonts w:ascii="仿宋" w:hAnsi="仿宋" w:eastAsia="仿宋"/>
          <w:color w:val="000000"/>
        </w:rPr>
      </w:pPr>
      <w:bookmarkStart w:id="139" w:name="_Toc15396629"/>
      <w:bookmarkStart w:id="140" w:name="_Toc79163896"/>
      <w:bookmarkStart w:id="141" w:name="_Toc79163646"/>
      <w:r>
        <w:rPr>
          <w:rStyle w:val="29"/>
          <w:rFonts w:hint="eastAsia" w:ascii="仿宋" w:hAnsi="仿宋" w:eastAsia="仿宋"/>
          <w:b w:val="0"/>
          <w:bCs w:val="0"/>
        </w:rPr>
        <w:t>十一、</w:t>
      </w:r>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139"/>
      <w:bookmarkEnd w:id="140"/>
      <w:bookmarkEnd w:id="141"/>
    </w:p>
    <w:p>
      <w:pPr>
        <w:pStyle w:val="4"/>
        <w:rPr>
          <w:rFonts w:ascii="仿宋" w:hAnsi="仿宋" w:eastAsia="仿宋"/>
          <w:color w:val="000000"/>
        </w:rPr>
      </w:pPr>
      <w:bookmarkStart w:id="142" w:name="_Toc79163647"/>
      <w:bookmarkStart w:id="143" w:name="_Toc79163897"/>
      <w:bookmarkStart w:id="144" w:name="_Toc15396630"/>
      <w:r>
        <w:rPr>
          <w:rStyle w:val="29"/>
          <w:rFonts w:hint="eastAsia" w:ascii="仿宋" w:hAnsi="仿宋" w:eastAsia="仿宋"/>
          <w:b w:val="0"/>
          <w:bCs w:val="0"/>
        </w:rPr>
        <w:t>十二、</w:t>
      </w:r>
      <w:r>
        <w:rPr>
          <w:rFonts w:hint="eastAsia" w:ascii="仿宋" w:hAnsi="仿宋" w:eastAsia="仿宋"/>
          <w:b w:val="0"/>
          <w:color w:val="000000"/>
        </w:rPr>
        <w:t>政</w:t>
      </w:r>
      <w:r>
        <w:rPr>
          <w:rStyle w:val="29"/>
          <w:rFonts w:hint="eastAsia" w:ascii="仿宋" w:hAnsi="仿宋" w:eastAsia="仿宋"/>
          <w:b w:val="0"/>
          <w:bCs w:val="0"/>
        </w:rPr>
        <w:t>府性基金预算财政拨款“三公”经费支出决算表</w:t>
      </w:r>
      <w:bookmarkEnd w:id="142"/>
      <w:bookmarkEnd w:id="143"/>
      <w:bookmarkEnd w:id="144"/>
    </w:p>
    <w:p>
      <w:pPr>
        <w:pStyle w:val="4"/>
        <w:rPr>
          <w:rStyle w:val="29"/>
          <w:rFonts w:ascii="仿宋" w:hAnsi="仿宋" w:eastAsia="仿宋"/>
          <w:b w:val="0"/>
          <w:bCs w:val="0"/>
        </w:rPr>
      </w:pPr>
      <w:bookmarkStart w:id="145" w:name="_Toc15396631"/>
      <w:bookmarkStart w:id="146" w:name="_Toc79163898"/>
      <w:bookmarkStart w:id="147" w:name="_Toc79163648"/>
      <w:r>
        <w:rPr>
          <w:rStyle w:val="29"/>
          <w:rFonts w:hint="eastAsia" w:ascii="仿宋" w:hAnsi="仿宋" w:eastAsia="仿宋"/>
          <w:b w:val="0"/>
          <w:bCs w:val="0"/>
        </w:rPr>
        <w:t>十三、</w:t>
      </w:r>
      <w:r>
        <w:rPr>
          <w:rFonts w:hint="eastAsia" w:ascii="仿宋" w:hAnsi="仿宋" w:eastAsia="仿宋"/>
          <w:b w:val="0"/>
          <w:color w:val="000000"/>
        </w:rPr>
        <w:t>国</w:t>
      </w:r>
      <w:r>
        <w:rPr>
          <w:rStyle w:val="29"/>
          <w:rFonts w:hint="eastAsia" w:ascii="仿宋" w:hAnsi="仿宋" w:eastAsia="仿宋"/>
          <w:b w:val="0"/>
          <w:bCs w:val="0"/>
        </w:rPr>
        <w:t>有资本经营预算财政拨款支出决算表</w:t>
      </w:r>
      <w:bookmarkEnd w:id="145"/>
      <w:bookmarkEnd w:id="146"/>
      <w:bookmarkEnd w:id="147"/>
    </w:p>
    <w:p>
      <w:pPr>
        <w:pStyle w:val="4"/>
        <w:rPr>
          <w:rStyle w:val="29"/>
          <w:rFonts w:ascii="仿宋" w:hAnsi="仿宋" w:eastAsia="仿宋"/>
          <w:b w:val="0"/>
          <w:bCs w:val="0"/>
        </w:rPr>
      </w:pPr>
      <w:bookmarkStart w:id="148" w:name="_Toc79163899"/>
      <w:bookmarkStart w:id="149" w:name="_Toc79163649"/>
      <w:r>
        <w:rPr>
          <w:rStyle w:val="29"/>
          <w:rFonts w:hint="eastAsia" w:ascii="仿宋" w:hAnsi="仿宋" w:eastAsia="仿宋"/>
          <w:b w:val="0"/>
          <w:bCs w:val="0"/>
        </w:rPr>
        <w:t>十四、国有资本经营预算财政拨款支出决算表</w:t>
      </w:r>
      <w:bookmarkEnd w:id="148"/>
      <w:bookmarkEnd w:id="14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t>25</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26C50"/>
    <w:multiLevelType w:val="multilevel"/>
    <w:tmpl w:val="A7526C50"/>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7A9ED4BA"/>
    <w:multiLevelType w:val="multilevel"/>
    <w:tmpl w:val="7A9ED4BA"/>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7EED1195"/>
    <w:multiLevelType w:val="singleLevel"/>
    <w:tmpl w:val="7EED1195"/>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YzEyMGUyYjJlMDAwYTc5NTdlNzk1ZTAxYjcyNDM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05477"/>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14C4DA3"/>
    <w:rsid w:val="016D3530"/>
    <w:rsid w:val="01AF6C45"/>
    <w:rsid w:val="028D53EA"/>
    <w:rsid w:val="051200B1"/>
    <w:rsid w:val="05B747B5"/>
    <w:rsid w:val="061A2298"/>
    <w:rsid w:val="06FA704F"/>
    <w:rsid w:val="08674270"/>
    <w:rsid w:val="09844198"/>
    <w:rsid w:val="0A2032A3"/>
    <w:rsid w:val="0A5026DB"/>
    <w:rsid w:val="0B91295B"/>
    <w:rsid w:val="0C917B0E"/>
    <w:rsid w:val="0D1A52F9"/>
    <w:rsid w:val="10C055FF"/>
    <w:rsid w:val="114C04A7"/>
    <w:rsid w:val="118107EC"/>
    <w:rsid w:val="11BD58B2"/>
    <w:rsid w:val="12C30C3D"/>
    <w:rsid w:val="13D44FA7"/>
    <w:rsid w:val="169923E1"/>
    <w:rsid w:val="16BB723D"/>
    <w:rsid w:val="18D53478"/>
    <w:rsid w:val="19094ED0"/>
    <w:rsid w:val="1D0460DA"/>
    <w:rsid w:val="1D155CEE"/>
    <w:rsid w:val="210E5779"/>
    <w:rsid w:val="22BA200B"/>
    <w:rsid w:val="232C4F75"/>
    <w:rsid w:val="240371BF"/>
    <w:rsid w:val="29FD04D3"/>
    <w:rsid w:val="2B6F5066"/>
    <w:rsid w:val="2E67780F"/>
    <w:rsid w:val="2E6C3ADF"/>
    <w:rsid w:val="2F0401BB"/>
    <w:rsid w:val="2FC101D2"/>
    <w:rsid w:val="303D5733"/>
    <w:rsid w:val="319F7F4E"/>
    <w:rsid w:val="326B7F22"/>
    <w:rsid w:val="34AE30A3"/>
    <w:rsid w:val="361374D2"/>
    <w:rsid w:val="396D4B38"/>
    <w:rsid w:val="3B4E6126"/>
    <w:rsid w:val="3D0C62A9"/>
    <w:rsid w:val="3D477BF1"/>
    <w:rsid w:val="3D8047E5"/>
    <w:rsid w:val="3F47037C"/>
    <w:rsid w:val="3FEA2348"/>
    <w:rsid w:val="40F778EA"/>
    <w:rsid w:val="42755200"/>
    <w:rsid w:val="42864E7C"/>
    <w:rsid w:val="464A0752"/>
    <w:rsid w:val="47971775"/>
    <w:rsid w:val="48B85449"/>
    <w:rsid w:val="4A151212"/>
    <w:rsid w:val="4A235542"/>
    <w:rsid w:val="4C6365C5"/>
    <w:rsid w:val="4E606D65"/>
    <w:rsid w:val="4EBC7D13"/>
    <w:rsid w:val="4ECE2238"/>
    <w:rsid w:val="4F3F2E1E"/>
    <w:rsid w:val="50CC248F"/>
    <w:rsid w:val="52020AD7"/>
    <w:rsid w:val="52350508"/>
    <w:rsid w:val="529B480F"/>
    <w:rsid w:val="53AB0A82"/>
    <w:rsid w:val="595D1779"/>
    <w:rsid w:val="5B378876"/>
    <w:rsid w:val="5DC664B8"/>
    <w:rsid w:val="5E3E24F3"/>
    <w:rsid w:val="5F526256"/>
    <w:rsid w:val="5FC37F08"/>
    <w:rsid w:val="600734E4"/>
    <w:rsid w:val="61502C69"/>
    <w:rsid w:val="61F730E4"/>
    <w:rsid w:val="623600B0"/>
    <w:rsid w:val="626616D3"/>
    <w:rsid w:val="631A4274"/>
    <w:rsid w:val="66475ACA"/>
    <w:rsid w:val="67B37AAD"/>
    <w:rsid w:val="6850354E"/>
    <w:rsid w:val="69780FAF"/>
    <w:rsid w:val="6C4A05C8"/>
    <w:rsid w:val="6C845EBC"/>
    <w:rsid w:val="6F7D29C0"/>
    <w:rsid w:val="71724535"/>
    <w:rsid w:val="72020D13"/>
    <w:rsid w:val="72734D90"/>
    <w:rsid w:val="766F09B1"/>
    <w:rsid w:val="79725A1A"/>
    <w:rsid w:val="79BC6C95"/>
    <w:rsid w:val="79C773E8"/>
    <w:rsid w:val="7A6B246A"/>
    <w:rsid w:val="7B580C40"/>
    <w:rsid w:val="7D44147C"/>
    <w:rsid w:val="7E0429B9"/>
    <w:rsid w:val="7E3239CA"/>
    <w:rsid w:val="DFB736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0"/>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7"/>
    <w:qFormat/>
    <w:uiPriority w:val="99"/>
    <w:pPr>
      <w:spacing w:beforeLines="30"/>
    </w:pPr>
    <w:rPr>
      <w:rFonts w:ascii="仿宋_GB2312" w:eastAsia="仿宋_GB2312"/>
      <w:kern w:val="0"/>
      <w:sz w:val="24"/>
      <w:szCs w:val="20"/>
      <w:lang w:val="zh-CN"/>
    </w:rPr>
  </w:style>
  <w:style w:type="paragraph" w:styleId="8">
    <w:name w:val="Body Text Indent"/>
    <w:basedOn w:val="1"/>
    <w:next w:val="1"/>
    <w:qFormat/>
    <w:uiPriority w:val="0"/>
    <w:pPr>
      <w:spacing w:after="120"/>
      <w:ind w:left="420" w:leftChars="200"/>
    </w:pPr>
    <w:rPr>
      <w:rFonts w:ascii="Calibri" w:hAnsi="Calibri"/>
      <w:szCs w:val="22"/>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32"/>
    <w:semiHidden/>
    <w:unhideWhenUsed/>
    <w:qFormat/>
    <w:uiPriority w:val="99"/>
    <w:rPr>
      <w:sz w:val="18"/>
      <w:szCs w:val="18"/>
    </w:rPr>
  </w:style>
  <w:style w:type="paragraph" w:styleId="13">
    <w:name w:val="footer"/>
    <w:basedOn w:val="1"/>
    <w:link w:val="36"/>
    <w:qFormat/>
    <w:uiPriority w:val="99"/>
    <w:pPr>
      <w:tabs>
        <w:tab w:val="center" w:pos="4153"/>
        <w:tab w:val="right" w:pos="8306"/>
      </w:tabs>
      <w:snapToGrid w:val="0"/>
      <w:jc w:val="left"/>
    </w:pPr>
    <w:rPr>
      <w:rFonts w:ascii="Calibri" w:hAnsi="Calibri"/>
      <w:kern w:val="0"/>
      <w:sz w:val="18"/>
      <w:szCs w:val="20"/>
      <w:lang w:val="zh-CN"/>
    </w:rPr>
  </w:style>
  <w:style w:type="paragraph" w:styleId="14">
    <w:name w:val="header"/>
    <w:basedOn w:val="1"/>
    <w:link w:val="35"/>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19">
    <w:name w:val="toc 2"/>
    <w:basedOn w:val="1"/>
    <w:next w:val="1"/>
    <w:unhideWhenUsed/>
    <w:qFormat/>
    <w:uiPriority w:val="39"/>
    <w:pPr>
      <w:ind w:left="210"/>
      <w:jc w:val="left"/>
    </w:pPr>
    <w:rPr>
      <w:rFonts w:asciiTheme="minorHAnsi" w:eastAsiaTheme="minorHAnsi"/>
      <w:smallCaps/>
      <w:sz w:val="20"/>
      <w:szCs w:val="20"/>
    </w:rPr>
  </w:style>
  <w:style w:type="paragraph" w:styleId="20">
    <w:name w:val="toc 9"/>
    <w:basedOn w:val="1"/>
    <w:next w:val="1"/>
    <w:unhideWhenUsed/>
    <w:qFormat/>
    <w:uiPriority w:val="39"/>
    <w:pPr>
      <w:ind w:left="1680"/>
      <w:jc w:val="left"/>
    </w:pPr>
    <w:rPr>
      <w:rFonts w:asciiTheme="minorHAnsi" w:eastAsiaTheme="minorHAnsi"/>
      <w:sz w:val="18"/>
      <w:szCs w:val="18"/>
    </w:rPr>
  </w:style>
  <w:style w:type="paragraph" w:styleId="21">
    <w:name w:val="Normal (Web)"/>
    <w:basedOn w:val="1"/>
    <w:unhideWhenUsed/>
    <w:qFormat/>
    <w:uiPriority w:val="0"/>
    <w:pPr>
      <w:spacing w:before="100" w:beforeAutospacing="1" w:after="100" w:afterAutospacing="1"/>
    </w:pPr>
  </w:style>
  <w:style w:type="paragraph" w:styleId="22">
    <w:name w:val="Body Text First Indent 2"/>
    <w:basedOn w:val="8"/>
    <w:next w:val="1"/>
    <w:qFormat/>
    <w:uiPriority w:val="0"/>
    <w:pPr>
      <w:spacing w:line="360" w:lineRule="auto"/>
      <w:ind w:left="0" w:leftChars="0" w:firstLine="420" w:firstLineChars="200"/>
    </w:pPr>
    <w:rPr>
      <w:rFonts w:ascii="Times New Roman" w:hAnsi="Times New Roman" w:eastAsia="宋体"/>
    </w:rPr>
  </w:style>
  <w:style w:type="character" w:styleId="25">
    <w:name w:val="Strong"/>
    <w:basedOn w:val="24"/>
    <w:qFormat/>
    <w:uiPriority w:val="99"/>
    <w:rPr>
      <w:rFonts w:cs="Times New Roman"/>
      <w:b/>
    </w:rPr>
  </w:style>
  <w:style w:type="character" w:styleId="26">
    <w:name w:val="Hyperlink"/>
    <w:basedOn w:val="24"/>
    <w:unhideWhenUsed/>
    <w:qFormat/>
    <w:uiPriority w:val="99"/>
    <w:rPr>
      <w:rFonts w:cs="Times New Roman"/>
      <w:color w:val="0000FF"/>
      <w:u w:val="single"/>
    </w:rPr>
  </w:style>
  <w:style w:type="paragraph" w:customStyle="1" w:styleId="27">
    <w:name w:val="列出段落1"/>
    <w:basedOn w:val="1"/>
    <w:qFormat/>
    <w:uiPriority w:val="34"/>
    <w:pPr>
      <w:ind w:firstLine="420" w:firstLineChars="200"/>
    </w:pPr>
    <w:rPr>
      <w:rFonts w:ascii="Calibri" w:hAnsi="Calibri" w:eastAsia="宋体" w:cs="Times New Roman"/>
    </w:rPr>
  </w:style>
  <w:style w:type="character" w:customStyle="1" w:styleId="28">
    <w:name w:val="标题 1 Char"/>
    <w:basedOn w:val="24"/>
    <w:link w:val="3"/>
    <w:qFormat/>
    <w:locked/>
    <w:uiPriority w:val="9"/>
    <w:rPr>
      <w:rFonts w:ascii="Times New Roman" w:hAnsi="Times New Roman" w:cs="Times New Roman"/>
      <w:b/>
      <w:bCs/>
      <w:kern w:val="44"/>
      <w:sz w:val="44"/>
      <w:szCs w:val="44"/>
    </w:rPr>
  </w:style>
  <w:style w:type="character" w:customStyle="1" w:styleId="29">
    <w:name w:val="标题 2 Char"/>
    <w:basedOn w:val="24"/>
    <w:link w:val="4"/>
    <w:qFormat/>
    <w:locked/>
    <w:uiPriority w:val="9"/>
    <w:rPr>
      <w:rFonts w:ascii="Cambria" w:hAnsi="Cambria" w:eastAsia="宋体" w:cs="Times New Roman"/>
      <w:b/>
      <w:bCs/>
      <w:kern w:val="2"/>
      <w:sz w:val="32"/>
      <w:szCs w:val="32"/>
    </w:rPr>
  </w:style>
  <w:style w:type="character" w:customStyle="1" w:styleId="30">
    <w:name w:val="标题 3 Char"/>
    <w:basedOn w:val="24"/>
    <w:link w:val="5"/>
    <w:qFormat/>
    <w:locked/>
    <w:uiPriority w:val="9"/>
    <w:rPr>
      <w:rFonts w:ascii="Times New Roman" w:hAnsi="Times New Roman" w:cs="Times New Roman"/>
      <w:b/>
      <w:bCs/>
      <w:kern w:val="2"/>
      <w:sz w:val="32"/>
      <w:szCs w:val="32"/>
    </w:rPr>
  </w:style>
  <w:style w:type="character" w:customStyle="1" w:styleId="31">
    <w:name w:val="Body Text Char"/>
    <w:basedOn w:val="24"/>
    <w:semiHidden/>
    <w:qFormat/>
    <w:uiPriority w:val="99"/>
    <w:rPr>
      <w:rFonts w:ascii="Times New Roman" w:hAnsi="Times New Roman" w:cs="Times New Roman"/>
      <w:sz w:val="24"/>
      <w:szCs w:val="24"/>
    </w:rPr>
  </w:style>
  <w:style w:type="character" w:customStyle="1" w:styleId="32">
    <w:name w:val="批注框文本 Char"/>
    <w:basedOn w:val="24"/>
    <w:link w:val="12"/>
    <w:semiHidden/>
    <w:qFormat/>
    <w:locked/>
    <w:uiPriority w:val="99"/>
    <w:rPr>
      <w:rFonts w:ascii="Times New Roman" w:hAnsi="Times New Roman" w:cs="Times New Roman"/>
      <w:kern w:val="2"/>
      <w:sz w:val="18"/>
      <w:szCs w:val="18"/>
    </w:rPr>
  </w:style>
  <w:style w:type="character" w:customStyle="1" w:styleId="33">
    <w:name w:val="Footer Char"/>
    <w:basedOn w:val="24"/>
    <w:semiHidden/>
    <w:qFormat/>
    <w:uiPriority w:val="99"/>
    <w:rPr>
      <w:rFonts w:ascii="Times New Roman" w:hAnsi="Times New Roman" w:cs="Times New Roman"/>
      <w:sz w:val="18"/>
      <w:szCs w:val="18"/>
    </w:rPr>
  </w:style>
  <w:style w:type="character" w:customStyle="1" w:styleId="34">
    <w:name w:val="Header Char"/>
    <w:basedOn w:val="24"/>
    <w:semiHidden/>
    <w:qFormat/>
    <w:uiPriority w:val="99"/>
    <w:rPr>
      <w:rFonts w:ascii="Times New Roman" w:hAnsi="Times New Roman" w:cs="Times New Roman"/>
      <w:sz w:val="18"/>
      <w:szCs w:val="18"/>
    </w:rPr>
  </w:style>
  <w:style w:type="character" w:customStyle="1" w:styleId="35">
    <w:name w:val="页眉 Char"/>
    <w:link w:val="14"/>
    <w:semiHidden/>
    <w:qFormat/>
    <w:locked/>
    <w:uiPriority w:val="99"/>
    <w:rPr>
      <w:sz w:val="18"/>
    </w:rPr>
  </w:style>
  <w:style w:type="character" w:customStyle="1" w:styleId="36">
    <w:name w:val="页脚 Char"/>
    <w:link w:val="13"/>
    <w:qFormat/>
    <w:locked/>
    <w:uiPriority w:val="99"/>
    <w:rPr>
      <w:sz w:val="18"/>
    </w:rPr>
  </w:style>
  <w:style w:type="character" w:customStyle="1" w:styleId="37">
    <w:name w:val="正文文本 Char"/>
    <w:link w:val="7"/>
    <w:qFormat/>
    <w:locked/>
    <w:uiPriority w:val="99"/>
    <w:rPr>
      <w:rFonts w:ascii="仿宋_GB2312" w:hAnsi="Times New Roman" w:eastAsia="仿宋_GB2312"/>
      <w:sz w:val="24"/>
    </w:rPr>
  </w:style>
  <w:style w:type="paragraph" w:customStyle="1" w:styleId="3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9">
    <w:name w:val="列表段落1"/>
    <w:basedOn w:val="1"/>
    <w:qFormat/>
    <w:uiPriority w:val="34"/>
    <w:pPr>
      <w:ind w:firstLine="420" w:firstLineChars="200"/>
    </w:pPr>
  </w:style>
  <w:style w:type="paragraph" w:customStyle="1" w:styleId="40">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1">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3">
    <w:name w:val="NormalCharacter"/>
    <w:semiHidden/>
    <w:qFormat/>
    <w:uiPriority w:val="0"/>
    <w:rPr>
      <w:rFonts w:ascii="Calibri" w:hAnsi="Calibri" w:eastAsia="宋体" w:cs="Times New Roman"/>
      <w:kern w:val="2"/>
      <w:sz w:val="21"/>
      <w:szCs w:val="24"/>
      <w:lang w:val="en-US" w:eastAsia="zh-CN" w:bidi="ar-SA"/>
    </w:rPr>
  </w:style>
  <w:style w:type="character" w:customStyle="1" w:styleId="44">
    <w:name w:val="15"/>
    <w:basedOn w:val="24"/>
    <w:qFormat/>
    <w:uiPriority w:val="0"/>
    <w:rPr>
      <w:rFonts w:hint="default" w:ascii="Cambria" w:hAnsi="Cambria" w:eastAsia="宋体" w:cs="Times New Roman"/>
      <w:b/>
      <w:bCs/>
      <w:kern w:val="2"/>
      <w:sz w:val="32"/>
      <w:szCs w:val="32"/>
    </w:rPr>
  </w:style>
  <w:style w:type="character" w:customStyle="1" w:styleId="45">
    <w:name w:val="10"/>
    <w:basedOn w:val="2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image" Target="media/image1.jpeg"/><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88333333333333"/>
          <c:y val="0.22037037037037"/>
          <c:w val="0.844222222222222"/>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[2020年决算公开分析图表.xls]Sheet1!$A$3:$B$3</c:f>
              <c:strCache>
                <c:ptCount val="2"/>
                <c:pt idx="0">
                  <c:v>2020年</c:v>
                </c:pt>
                <c:pt idx="1">
                  <c:v>2021年</c:v>
                </c:pt>
              </c:strCache>
            </c:strRef>
          </c:cat>
          <c:val>
            <c:numRef>
              <c:f>[2020年决算公开分析图表.xls]Sheet1!$A$4:$B$4</c:f>
              <c:numCache>
                <c:formatCode>#,##0.00</c:formatCode>
                <c:ptCount val="2"/>
                <c:pt idx="0">
                  <c:v>79.51</c:v>
                </c:pt>
                <c:pt idx="1">
                  <c:v>116.67</c:v>
                </c:pt>
              </c:numCache>
            </c:numRef>
          </c:val>
        </c:ser>
        <c:dLbls>
          <c:showLegendKey val="0"/>
          <c:showVal val="0"/>
          <c:showCatName val="0"/>
          <c:showSerName val="0"/>
          <c:showPercent val="0"/>
          <c:showBubbleSize val="0"/>
        </c:dLbls>
        <c:gapWidth val="219"/>
        <c:overlap val="-27"/>
        <c:axId val="733362062"/>
        <c:axId val="508983918"/>
      </c:barChart>
      <c:catAx>
        <c:axId val="73336206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8983918"/>
        <c:crosses val="autoZero"/>
        <c:auto val="1"/>
        <c:lblAlgn val="ctr"/>
        <c:lblOffset val="100"/>
        <c:noMultiLvlLbl val="0"/>
      </c:catAx>
      <c:valAx>
        <c:axId val="50898391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336206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105222649807587"/>
          <c:y val="0.198469253101082"/>
          <c:w val="0.864540956569544"/>
          <c:h val="0.67125890736342"/>
        </c:manualLayout>
      </c:layout>
      <c:barChart>
        <c:barDir val="col"/>
        <c:grouping val="clustered"/>
        <c:varyColors val="0"/>
        <c:ser>
          <c:idx val="0"/>
          <c:order val="0"/>
          <c:spPr>
            <a:solidFill>
              <a:schemeClr val="accent1"/>
            </a:solidFill>
            <a:ln>
              <a:noFill/>
            </a:ln>
            <a:effectLst/>
          </c:spPr>
          <c:invertIfNegative val="0"/>
          <c:dLbls>
            <c:delete val="1"/>
          </c:dLbls>
          <c:cat>
            <c:strRef>
              <c:f>[2020年决算公开分析图表.xls]Sheet1!$A$24:$B$24</c:f>
              <c:strCache>
                <c:ptCount val="2"/>
                <c:pt idx="0">
                  <c:v>2020年</c:v>
                </c:pt>
                <c:pt idx="1">
                  <c:v>2021年</c:v>
                </c:pt>
              </c:strCache>
            </c:strRef>
          </c:cat>
          <c:val>
            <c:numRef>
              <c:f>[2020年决算公开分析图表.xls]Sheet1!$A$25:$B$25</c:f>
              <c:numCache>
                <c:formatCode>#,##0.00</c:formatCode>
                <c:ptCount val="2"/>
                <c:pt idx="0">
                  <c:v>79.51</c:v>
                </c:pt>
                <c:pt idx="1">
                  <c:v>133.45</c:v>
                </c:pt>
              </c:numCache>
            </c:numRef>
          </c:val>
        </c:ser>
        <c:dLbls>
          <c:showLegendKey val="0"/>
          <c:showVal val="0"/>
          <c:showCatName val="0"/>
          <c:showSerName val="0"/>
          <c:showPercent val="0"/>
          <c:showBubbleSize val="0"/>
        </c:dLbls>
        <c:gapWidth val="219"/>
        <c:overlap val="-27"/>
        <c:axId val="733652175"/>
        <c:axId val="397091179"/>
      </c:barChart>
      <c:catAx>
        <c:axId val="73365217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7091179"/>
        <c:crosses val="autoZero"/>
        <c:auto val="1"/>
        <c:lblAlgn val="ctr"/>
        <c:lblOffset val="100"/>
        <c:noMultiLvlLbl val="0"/>
      </c:catAx>
      <c:valAx>
        <c:axId val="39709117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36521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Lbls>
            <c:delete val="1"/>
          </c:dLbls>
          <c:cat>
            <c:strRef>
              <c:f>[2020年决算公开分析图表.xls]Sheet1!$C$58:$C$62</c:f>
              <c:strCache>
                <c:ptCount val="5"/>
                <c:pt idx="0">
                  <c:v>基本支出</c:v>
                </c:pt>
                <c:pt idx="1">
                  <c:v>项目支出</c:v>
                </c:pt>
                <c:pt idx="2">
                  <c:v>上缴上级支出</c:v>
                </c:pt>
                <c:pt idx="3">
                  <c:v>经营支出</c:v>
                </c:pt>
                <c:pt idx="4">
                  <c:v>对附属单位补助支出</c:v>
                </c:pt>
              </c:strCache>
            </c:strRef>
          </c:cat>
          <c:val>
            <c:numRef>
              <c:f>[2020年决算公开分析图表.xls]Sheet1!$D$58:$D$62</c:f>
              <c:numCache>
                <c:formatCode>#,##0.00</c:formatCode>
                <c:ptCount val="5"/>
                <c:pt idx="0">
                  <c:v>500.5</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220883534136546"/>
          <c:y val="0.894951852932594"/>
          <c:w val="0.928328699413037"/>
          <c:h val="0.096002334403268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[2020年决算公开分析图表.xls]Sheet1!$A$83:$B$83</c:f>
              <c:strCache>
                <c:ptCount val="2"/>
                <c:pt idx="0">
                  <c:v>2020年</c:v>
                </c:pt>
                <c:pt idx="1">
                  <c:v>2021年</c:v>
                </c:pt>
              </c:strCache>
            </c:strRef>
          </c:cat>
          <c:val>
            <c:numRef>
              <c:f>[2020年决算公开分析图表.xls]Sheet1!$A$84:$B$84</c:f>
              <c:numCache>
                <c:formatCode>#,##0.00</c:formatCode>
                <c:ptCount val="2"/>
                <c:pt idx="0">
                  <c:v>79.51</c:v>
                </c:pt>
                <c:pt idx="1">
                  <c:v>116.67</c:v>
                </c:pt>
              </c:numCache>
            </c:numRef>
          </c:val>
        </c:ser>
        <c:dLbls>
          <c:showLegendKey val="0"/>
          <c:showVal val="0"/>
          <c:showCatName val="0"/>
          <c:showSerName val="0"/>
          <c:showPercent val="0"/>
          <c:showBubbleSize val="0"/>
        </c:dLbls>
        <c:gapWidth val="219"/>
        <c:overlap val="-27"/>
        <c:axId val="689987558"/>
        <c:axId val="576658784"/>
      </c:barChart>
      <c:catAx>
        <c:axId val="68998755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6658784"/>
        <c:crosses val="autoZero"/>
        <c:auto val="1"/>
        <c:lblAlgn val="ctr"/>
        <c:lblOffset val="100"/>
        <c:noMultiLvlLbl val="0"/>
      </c:catAx>
      <c:valAx>
        <c:axId val="5766587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998755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[2020年决算公开分析图表.xls]Sheet1!$A$100:$B$100</c:f>
              <c:strCache>
                <c:ptCount val="2"/>
                <c:pt idx="0">
                  <c:v>2020年</c:v>
                </c:pt>
                <c:pt idx="1">
                  <c:v>2021年</c:v>
                </c:pt>
              </c:strCache>
            </c:strRef>
          </c:cat>
          <c:val>
            <c:numRef>
              <c:f>[2020年决算公开分析图表.xls]Sheet1!$A$101:$B$101</c:f>
              <c:numCache>
                <c:formatCode>#,##0.00</c:formatCode>
                <c:ptCount val="2"/>
                <c:pt idx="0">
                  <c:v>79.51</c:v>
                </c:pt>
                <c:pt idx="1">
                  <c:v>133.45</c:v>
                </c:pt>
              </c:numCache>
            </c:numRef>
          </c:val>
        </c:ser>
        <c:ser>
          <c:idx val="1"/>
          <c:order val="1"/>
          <c:invertIfNegative val="0"/>
          <c:dLbls>
            <c:delete val="1"/>
          </c:dLbls>
          <c:cat>
            <c:strRef>
              <c:f>[2020年决算公开分析图表.xls]Sheet1!$A$100:$B$100</c:f>
              <c:strCache>
                <c:ptCount val="2"/>
                <c:pt idx="0">
                  <c:v>2020年</c:v>
                </c:pt>
                <c:pt idx="1">
                  <c:v>2021年</c:v>
                </c:pt>
              </c:strCache>
            </c:strRef>
          </c:cat>
          <c:val>
            <c:numRef>
              <c:f>[2020年决算公开分析图表.xls]Sheet1!$A$102:$B$102</c:f>
              <c:numCache>
                <c:formatCode>General</c:formatCode>
                <c:ptCount val="2"/>
              </c:numCache>
            </c:numRef>
          </c:val>
        </c:ser>
        <c:dLbls>
          <c:showLegendKey val="0"/>
          <c:showVal val="0"/>
          <c:showCatName val="0"/>
          <c:showSerName val="0"/>
          <c:showPercent val="0"/>
          <c:showBubbleSize val="0"/>
        </c:dLbls>
        <c:gapWidth val="219"/>
        <c:overlap val="-27"/>
        <c:axId val="474853840"/>
        <c:axId val="307948106"/>
      </c:barChart>
      <c:catAx>
        <c:axId val="47485384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7948106"/>
        <c:crosses val="autoZero"/>
        <c:auto val="1"/>
        <c:lblAlgn val="ctr"/>
        <c:lblOffset val="100"/>
        <c:noMultiLvlLbl val="0"/>
      </c:catAx>
      <c:valAx>
        <c:axId val="30794810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4853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8259236067627"/>
          <c:y val="0.0616061606160616"/>
        </c:manualLayout>
      </c:layout>
      <c:overlay val="0"/>
      <c:spPr>
        <a:noFill/>
        <a:ln>
          <a:noFill/>
        </a:ln>
        <a:effectLst/>
      </c:spPr>
    </c:title>
    <c:autoTitleDeleted val="0"/>
    <c:plotArea>
      <c:layout>
        <c:manualLayout>
          <c:layoutTarget val="inner"/>
          <c:xMode val="edge"/>
          <c:yMode val="edge"/>
          <c:x val="0.058544689334367"/>
          <c:y val="0.255962378233121"/>
          <c:w val="0.915981836305239"/>
          <c:h val="0.581592206919718"/>
        </c:manualLayout>
      </c:layout>
      <c:barChart>
        <c:barDir val="col"/>
        <c:grouping val="clustered"/>
        <c:varyColors val="0"/>
        <c:ser>
          <c:idx val="0"/>
          <c:order val="0"/>
          <c:spPr>
            <a:solidFill>
              <a:schemeClr val="accent1"/>
            </a:solidFill>
            <a:ln>
              <a:noFill/>
            </a:ln>
            <a:effectLst/>
          </c:spPr>
          <c:invertIfNegative val="0"/>
          <c:dLbls>
            <c:delete val="1"/>
          </c:dLbls>
          <c:cat>
            <c:strRef>
              <c:f>[2020年决算公开分析图表.xls]Sheet1!$A$116:$B$116</c:f>
              <c:strCache>
                <c:ptCount val="2"/>
                <c:pt idx="0">
                  <c:v>2020年</c:v>
                </c:pt>
                <c:pt idx="1">
                  <c:v>2021年</c:v>
                </c:pt>
              </c:strCache>
            </c:strRef>
          </c:cat>
          <c:val>
            <c:numRef>
              <c:f>[2020年决算公开分析图表.xls]Sheet1!$A$117:$B$117</c:f>
              <c:numCache>
                <c:formatCode>#,##0.00</c:formatCode>
                <c:ptCount val="2"/>
                <c:pt idx="0">
                  <c:v>79.51</c:v>
                </c:pt>
                <c:pt idx="1">
                  <c:v>133.45</c:v>
                </c:pt>
              </c:numCache>
            </c:numRef>
          </c:val>
        </c:ser>
        <c:dLbls>
          <c:showLegendKey val="0"/>
          <c:showVal val="0"/>
          <c:showCatName val="0"/>
          <c:showSerName val="0"/>
          <c:showPercent val="0"/>
          <c:showBubbleSize val="0"/>
        </c:dLbls>
        <c:gapWidth val="219"/>
        <c:overlap val="-27"/>
        <c:axId val="364903791"/>
        <c:axId val="244645772"/>
      </c:barChart>
      <c:catAx>
        <c:axId val="36490379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4645772"/>
        <c:crosses val="autoZero"/>
        <c:auto val="1"/>
        <c:lblAlgn val="ctr"/>
        <c:lblOffset val="100"/>
        <c:noMultiLvlLbl val="0"/>
      </c:catAx>
      <c:valAx>
        <c:axId val="2446457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49037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elete val="1"/>
          </c:dLbls>
          <c:cat>
            <c:strRef>
              <c:f>[2020年决算公开分析图表.xls]Sheet1!$C$140:$C$143</c:f>
              <c:strCache>
                <c:ptCount val="4"/>
                <c:pt idx="0">
                  <c:v>一般公共服务支出</c:v>
                </c:pt>
                <c:pt idx="1">
                  <c:v>社会保障和就业支出</c:v>
                </c:pt>
                <c:pt idx="2">
                  <c:v>卫生健康支出</c:v>
                </c:pt>
                <c:pt idx="3">
                  <c:v>住房保障支出</c:v>
                </c:pt>
              </c:strCache>
            </c:strRef>
          </c:cat>
          <c:val>
            <c:numRef>
              <c:f>[2020年决算公开分析图表.xls]Sheet1!$D$140:$D$143</c:f>
              <c:numCache>
                <c:formatCode>#,##0.00</c:formatCode>
                <c:ptCount val="4"/>
                <c:pt idx="0">
                  <c:v>109.84</c:v>
                </c:pt>
                <c:pt idx="1">
                  <c:v>11.2</c:v>
                </c:pt>
                <c:pt idx="2">
                  <c:v>4.94</c:v>
                </c:pt>
                <c:pt idx="3">
                  <c:v>7.46</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delete val="1"/>
          </c:dLbls>
          <c:cat>
            <c:strRef>
              <c:f>[2020年决算公开分析图表.xls]Sheet1!$A$164:$A$166</c:f>
              <c:strCache>
                <c:ptCount val="3"/>
                <c:pt idx="0">
                  <c:v>因公出国（境）费</c:v>
                </c:pt>
                <c:pt idx="1">
                  <c:v>公务接待费</c:v>
                </c:pt>
                <c:pt idx="2">
                  <c:v>公务用车购置及运行维护费</c:v>
                </c:pt>
              </c:strCache>
            </c:strRef>
          </c:cat>
          <c:val>
            <c:numRef>
              <c:f>[2020年决算公开分析图表.xls]Sheet1!$B$164:$B$166</c:f>
              <c:numCache>
                <c:formatCode>General</c:formatCode>
                <c:ptCount val="3"/>
                <c:pt idx="0">
                  <c:v>0</c:v>
                </c:pt>
                <c:pt idx="1" c:formatCode="#,##0.00">
                  <c:v>0</c:v>
                </c:pt>
                <c:pt idx="2" c:formatCode="#,##0.00">
                  <c:v>43.93</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329715620277511"/>
          <c:y val="0.894993894993895"/>
          <c:w val="0.928698997114988"/>
          <c:h val="0.077533577533577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15845</Words>
  <Characters>16547</Characters>
  <Lines>1</Lines>
  <Paragraphs>1</Paragraphs>
  <TotalTime>0</TotalTime>
  <ScaleCrop>false</ScaleCrop>
  <LinksUpToDate>false</LinksUpToDate>
  <CharactersWithSpaces>20601</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2021-08-07T01:38:00Z</dcterms:created>
  <dc:creator>曹颖</dc:creator>
  <cp:lastModifiedBy>user</cp:lastModifiedBy>
  <cp:lastPrinted>2021-07-29T19:56:00Z</cp:lastPrinted>
  <dcterms:modified xsi:type="dcterms:W3CDTF">2023-09-14T17:52:20Z</dcterms:modified>
  <dc:title>阿坝州部门决算说明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413A9F0B227E4C52BE8B0F6B8C58F890_13</vt:lpwstr>
  </property>
</Properties>
</file>