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77193"/>
      <w:bookmarkStart w:id="2" w:name="_Toc15378441"/>
      <w:bookmarkStart w:id="3" w:name="_Toc15396475"/>
      <w:bookmarkStart w:id="4" w:name="_Toc15396597"/>
      <w:bookmarkStart w:id="5" w:name="_Toc15306267"/>
      <w:r>
        <w:rPr>
          <w:rFonts w:hint="eastAsia" w:ascii="黑体" w:hAnsi="黑体" w:eastAsia="黑体" w:cs="黑体"/>
          <w:color w:val="auto"/>
          <w:kern w:val="2"/>
          <w:sz w:val="32"/>
          <w:szCs w:val="32"/>
          <w:highlight w:val="none"/>
          <w:lang w:val="en-US" w:eastAsia="zh-CN" w:bidi="ar-SA"/>
        </w:rPr>
        <w:t>附件2</w:t>
      </w: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2025年度县级</w:t>
      </w:r>
      <w:r>
        <w:rPr>
          <w:rFonts w:hint="eastAsia" w:ascii="Times New Roman" w:hAnsi="Times New Roman" w:eastAsia="方正小标宋简体" w:cs="Times New Roman"/>
          <w:color w:val="auto"/>
          <w:kern w:val="2"/>
          <w:sz w:val="44"/>
          <w:szCs w:val="44"/>
          <w:highlight w:val="none"/>
          <w:lang w:val="en-US" w:eastAsia="zh-CN" w:bidi="ar-SA"/>
        </w:rPr>
        <w:t>部门</w:t>
      </w:r>
      <w:r>
        <w:rPr>
          <w:rFonts w:hint="eastAsia" w:ascii="Times New Roman" w:eastAsia="方正小标宋简体" w:cs="Times New Roman"/>
          <w:color w:val="auto"/>
          <w:kern w:val="2"/>
          <w:sz w:val="44"/>
          <w:szCs w:val="44"/>
          <w:highlight w:val="none"/>
          <w:lang w:val="en-US" w:eastAsia="zh-CN" w:bidi="ar-SA"/>
        </w:rPr>
        <w:t>壤塘县妇女联合会</w:t>
      </w:r>
      <w:r>
        <w:rPr>
          <w:rFonts w:hint="eastAsia" w:ascii="Times New Roman" w:hAnsi="Times New Roman" w:eastAsia="方正小标宋简体" w:cs="Times New Roman"/>
          <w:color w:val="auto"/>
          <w:kern w:val="2"/>
          <w:sz w:val="44"/>
          <w:szCs w:val="44"/>
          <w:highlight w:val="none"/>
          <w:lang w:val="en-US" w:eastAsia="zh-CN" w:bidi="ar-SA"/>
        </w:rPr>
        <w:t>决算</w:t>
      </w: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公开文字说明范本</w:t>
      </w:r>
      <w:r>
        <w:rPr>
          <w:rFonts w:hint="eastAsia" w:ascii="Times New Roman" w:eastAsia="方正小标宋简体" w:cs="Times New Roman"/>
          <w:color w:val="auto"/>
          <w:kern w:val="2"/>
          <w:sz w:val="44"/>
          <w:szCs w:val="44"/>
          <w:highlight w:val="none"/>
          <w:lang w:val="en-US" w:eastAsia="zh-CN" w:bidi="ar-SA"/>
        </w:rPr>
        <w:t>及样表</w:t>
      </w:r>
    </w:p>
    <w:p>
      <w:pPr>
        <w:spacing w:line="600" w:lineRule="exact"/>
        <w:jc w:val="center"/>
        <w:outlineLvl w:val="0"/>
        <w:rPr>
          <w:rFonts w:ascii="Times New Roman" w:hAnsi="Times New Roman" w:eastAsia="方正小标宋简体"/>
          <w:color w:val="auto"/>
          <w:sz w:val="72"/>
          <w:szCs w:val="72"/>
          <w:highlight w:val="none"/>
        </w:rPr>
      </w:pPr>
    </w:p>
    <w:p>
      <w:pPr>
        <w:pStyle w:val="22"/>
        <w:rPr>
          <w:rFonts w:hint="eastAsia" w:ascii="Times New Roman" w:hAnsi="Times New Roman"/>
          <w:lang w:val="en-US" w:eastAsia="zh-CN"/>
        </w:rPr>
      </w:pPr>
      <w:r>
        <w:rPr>
          <w:rFonts w:hint="eastAsia" w:ascii="Times New Roman" w:hAnsi="Times New Roman"/>
          <w:lang w:val="en-US" w:eastAsia="zh-CN"/>
        </w:rPr>
        <w:t xml:space="preserve">  </w:t>
      </w:r>
    </w:p>
    <w:p>
      <w:pPr>
        <w:rPr>
          <w:rFonts w:hint="eastAsia" w:ascii="Times New Roman" w:hAnsi="Times New Roman"/>
          <w:lang w:val="en-US" w:eastAsia="zh-CN"/>
        </w:rPr>
      </w:pPr>
      <w:bookmarkStart w:id="64" w:name="_GoBack"/>
      <w:bookmarkEnd w:id="64"/>
    </w:p>
    <w:p>
      <w:pPr>
        <w:pStyle w:val="22"/>
        <w:rPr>
          <w:rFonts w:hint="eastAsia" w:ascii="Times New Roman" w:hAnsi="Times New Roman"/>
          <w:lang w:val="en-US" w:eastAsia="zh-CN"/>
        </w:rPr>
      </w:pPr>
    </w:p>
    <w:p>
      <w:pPr>
        <w:rPr>
          <w:rFonts w:hint="eastAsia" w:ascii="Times New Roman" w:hAnsi="Times New Roman"/>
          <w:lang w:val="en-US" w:eastAsia="zh-CN"/>
        </w:rPr>
      </w:pPr>
    </w:p>
    <w:p>
      <w:pPr>
        <w:pStyle w:val="22"/>
        <w:rPr>
          <w:rFonts w:hint="eastAsia" w:ascii="Times New Roman" w:hAnsi="Times New Roman"/>
          <w:lang w:val="en-US" w:eastAsia="zh-CN"/>
        </w:rPr>
      </w:pPr>
    </w:p>
    <w:p>
      <w:pPr>
        <w:rPr>
          <w:rFonts w:hint="eastAsia" w:ascii="Times New Roman" w:hAnsi="Times New Roman"/>
          <w:lang w:val="en-US" w:eastAsia="zh-CN"/>
        </w:rPr>
      </w:pPr>
    </w:p>
    <w:p>
      <w:pPr>
        <w:pStyle w:val="22"/>
        <w:rPr>
          <w:rFonts w:hint="eastAsia" w:ascii="Times New Roman" w:hAnsi="Times New Roman"/>
          <w:lang w:val="en-US" w:eastAsia="zh-CN"/>
        </w:rPr>
      </w:pPr>
    </w:p>
    <w:p>
      <w:pPr>
        <w:rPr>
          <w:rFonts w:hint="eastAsia" w:ascii="Times New Roman" w:hAnsi="Times New Roman"/>
          <w:lang w:val="en-US" w:eastAsia="zh-CN"/>
        </w:rPr>
      </w:pPr>
    </w:p>
    <w:p>
      <w:pPr>
        <w:pStyle w:val="22"/>
        <w:rPr>
          <w:rFonts w:hint="default"/>
          <w:lang w:val="en-US" w:eastAsia="zh-CN"/>
        </w:rPr>
      </w:pPr>
    </w:p>
    <w:p>
      <w:pPr>
        <w:bidi w:val="0"/>
      </w:pPr>
    </w:p>
    <w:p>
      <w:pPr>
        <w:bidi w:val="0"/>
      </w:pPr>
    </w:p>
    <w:p>
      <w:pPr>
        <w:bidi w:val="0"/>
        <w:jc w:val="right"/>
        <w:rPr>
          <w:rFonts w:hint="default" w:eastAsia="宋体"/>
          <w:b/>
          <w:bCs/>
          <w:sz w:val="24"/>
          <w:szCs w:val="32"/>
          <w:lang w:val="en-US" w:eastAsia="zh-CN"/>
        </w:rPr>
      </w:pPr>
      <w:r>
        <w:rPr>
          <w:rFonts w:hint="eastAsia"/>
          <w:b/>
          <w:bCs/>
          <w:sz w:val="24"/>
          <w:szCs w:val="32"/>
          <w:lang w:val="en-US" w:eastAsia="zh-CN"/>
        </w:rPr>
        <w:t>2026年10月16日</w:t>
      </w:r>
    </w:p>
    <w:p>
      <w:pPr>
        <w:bidi w:val="0"/>
      </w:pPr>
    </w:p>
    <w:p>
      <w:pPr>
        <w:bidi w:val="0"/>
      </w:pPr>
    </w:p>
    <w:p>
      <w:pPr>
        <w:bidi w:val="0"/>
      </w:pPr>
    </w:p>
    <w:p>
      <w:pPr>
        <w:bidi w:val="0"/>
      </w:pPr>
    </w:p>
    <w:p>
      <w:pPr>
        <w:bidi w:val="0"/>
      </w:pPr>
    </w:p>
    <w:p>
      <w:pPr>
        <w:bidi w:val="0"/>
      </w:pPr>
    </w:p>
    <w:p>
      <w:pPr>
        <w:bidi w:val="0"/>
      </w:pPr>
    </w:p>
    <w:bookmarkEnd w:id="0"/>
    <w:bookmarkEnd w:id="1"/>
    <w:bookmarkEnd w:id="2"/>
    <w:bookmarkEnd w:id="3"/>
    <w:bookmarkEnd w:id="4"/>
    <w:bookmarkEnd w:id="5"/>
    <w:p>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r>
        <w:rPr>
          <w:rFonts w:hint="eastAsia" w:ascii="Times New Roman" w:eastAsia="方正小标宋简体" w:cs="Times New Roman"/>
          <w:color w:val="auto"/>
          <w:kern w:val="2"/>
          <w:sz w:val="44"/>
          <w:szCs w:val="44"/>
          <w:highlight w:val="none"/>
          <w:lang w:val="en-US" w:eastAsia="zh-CN" w:bidi="ar-SA"/>
        </w:rPr>
        <w:t>壤塘县妇女联合会</w:t>
      </w: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部门决算公开</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pPr>
        <w:widowControl/>
        <w:jc w:val="center"/>
        <w:rPr>
          <w:rFonts w:hint="eastAsia" w:ascii="Times New Roman" w:hAnsi="Times New Roman" w:eastAsia="黑体"/>
          <w:color w:val="auto"/>
          <w:sz w:val="48"/>
          <w:szCs w:val="48"/>
          <w:highlight w:val="none"/>
        </w:rPr>
      </w:pPr>
    </w:p>
    <w:p>
      <w:pPr>
        <w:bidi w:val="0"/>
        <w:rPr>
          <w:rFonts w:hint="eastAsia" w:ascii="Times New Roman" w:hAnsi="Times New Roman" w:eastAsia="宋体" w:cs="Times New Roman"/>
          <w:kern w:val="2"/>
          <w:sz w:val="21"/>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tabs>
          <w:tab w:val="left" w:pos="3568"/>
        </w:tabs>
        <w:bidi w:val="0"/>
        <w:jc w:val="left"/>
        <w:rPr>
          <w:rFonts w:hint="default"/>
          <w:lang w:val="en-US" w:eastAsia="zh-C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r>
        <w:rPr>
          <w:rFonts w:hint="eastAsia"/>
          <w:lang w:val="en-US" w:eastAsia="zh-CN"/>
        </w:rPr>
        <w:tab/>
      </w: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16</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 xml:space="preserve"> </w:t>
      </w:r>
    </w:p>
    <w:p>
      <w:pPr>
        <w:pStyle w:val="16"/>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kern w:val="2"/>
          <w:sz w:val="32"/>
          <w:szCs w:val="32"/>
          <w:lang w:val="en-US" w:eastAsia="zh-CN" w:bidi="ar-SA"/>
        </w:rPr>
        <w:t>二、</w:t>
      </w:r>
      <w:r>
        <w:rPr>
          <w:rFonts w:hint="eastAsia" w:ascii="Times New Roman" w:hAnsi="Times New Roman" w:eastAsia="仿宋_GB2312" w:cs="仿宋_GB2312"/>
          <w:color w:val="auto"/>
          <w:sz w:val="32"/>
          <w:szCs w:val="32"/>
          <w:highlight w:val="none"/>
        </w:rPr>
        <w:t>机构设置</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eastAsia="仿宋_GB2312" w:cs="仿宋_GB2312"/>
          <w:b/>
          <w:bCs/>
          <w:color w:val="auto"/>
          <w:sz w:val="32"/>
          <w:szCs w:val="32"/>
          <w:highlight w:val="none"/>
          <w:lang w:val="en-US" w:eastAsia="zh-CN"/>
        </w:rPr>
        <w:t xml:space="preserve"> </w:t>
      </w:r>
      <w:r>
        <w:rPr>
          <w:rFonts w:hint="eastAsia" w:ascii="Times New Roman" w:hAnsi="Times New Roman" w:eastAsia="仿宋_GB2312" w:cs="仿宋_GB2312"/>
          <w:b/>
          <w:color w:val="auto"/>
          <w:sz w:val="32"/>
          <w:szCs w:val="32"/>
          <w:highlight w:val="none"/>
        </w:rPr>
        <w:br w:type="page"/>
      </w:r>
    </w:p>
    <w:p>
      <w:pPr>
        <w:pStyle w:val="3"/>
        <w:jc w:val="center"/>
        <w:rPr>
          <w:rStyle w:val="31"/>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1"/>
          <w:rFonts w:hint="eastAsia" w:ascii="Times New Roman" w:hAnsi="Times New Roman" w:eastAsia="方正小标宋简体" w:cs="方正小标宋简体"/>
          <w:b w:val="0"/>
          <w:bCs w:val="0"/>
          <w:color w:val="auto"/>
          <w:highlight w:val="none"/>
        </w:rPr>
        <w:t>部门概况</w:t>
      </w:r>
      <w:bookmarkEnd w:id="6"/>
      <w:bookmarkEnd w:id="7"/>
    </w:p>
    <w:p>
      <w:pPr>
        <w:widowControl/>
        <w:jc w:val="left"/>
        <w:rPr>
          <w:rFonts w:ascii="Times New Roman" w:hAnsi="Times New Roman" w:eastAsia="黑体"/>
          <w:color w:val="auto"/>
          <w:sz w:val="32"/>
          <w:szCs w:val="32"/>
          <w:highlight w:val="none"/>
        </w:rPr>
      </w:pPr>
    </w:p>
    <w:p>
      <w:pPr>
        <w:pStyle w:val="4"/>
        <w:numPr>
          <w:ilvl w:val="0"/>
          <w:numId w:val="1"/>
        </w:numPr>
        <w:spacing w:after="0" w:afterAutospacing="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黑体"/>
          <w:b w:val="0"/>
          <w:color w:val="auto"/>
          <w:highlight w:val="none"/>
          <w:lang w:eastAsia="zh-CN"/>
        </w:rPr>
        <w:t>部门职责</w:t>
      </w:r>
    </w:p>
    <w:p>
      <w:pPr>
        <w:pStyle w:val="6"/>
        <w:keepNext w:val="0"/>
        <w:keepLines w:val="0"/>
        <w:pageBreakBefore w:val="0"/>
        <w:widowControl w:val="0"/>
        <w:kinsoku/>
        <w:wordWrap/>
        <w:overflowPunct/>
        <w:topLinePunct w:val="0"/>
        <w:autoSpaceDE/>
        <w:autoSpaceDN/>
        <w:bidi w:val="0"/>
        <w:adjustRightInd/>
        <w:snapToGrid/>
        <w:spacing w:before="30" w:beforeLines="0" w:line="560" w:lineRule="exact"/>
        <w:ind w:firstLine="640" w:firstLineChars="200"/>
        <w:textAlignment w:val="auto"/>
        <w:rPr>
          <w:rFonts w:hint="eastAsia"/>
          <w:sz w:val="32"/>
          <w:szCs w:val="32"/>
          <w:lang w:val="en-US" w:eastAsia="zh-CN"/>
        </w:rPr>
      </w:pPr>
      <w:bookmarkStart w:id="8" w:name="_Toc15396601"/>
      <w:bookmarkStart w:id="9" w:name="_Toc15377200"/>
      <w:r>
        <w:rPr>
          <w:rFonts w:hint="eastAsia"/>
          <w:sz w:val="32"/>
          <w:szCs w:val="32"/>
          <w:lang w:val="en-US" w:eastAsia="zh-CN"/>
        </w:rPr>
        <w:t>（一）负责推动《</w:t>
      </w:r>
      <w:r>
        <w:rPr>
          <w:sz w:val="32"/>
          <w:szCs w:val="32"/>
          <w:lang w:val="en-US" w:eastAsia="zh-CN"/>
        </w:rPr>
        <w:t>中华人民共和国</w:t>
      </w:r>
      <w:r>
        <w:rPr>
          <w:rFonts w:hint="eastAsia"/>
          <w:sz w:val="32"/>
          <w:szCs w:val="32"/>
          <w:lang w:val="en-US" w:eastAsia="zh-CN"/>
        </w:rPr>
        <w:t>民法典》贯彻实施工作;了解培养选拔女干部的工作情况，发现、考察、推荐各条战线优秀妇女人才，建立妇女人才档案库；了解妇女权益方面的呼声，切实维护妇女儿童的合法权益，处理日常群众来信和接待群众来访。对重大典型信访案件进行调查研究，配合有关部门予以解决，确保妇女合法权益得到保障，进一步促进男女平等。</w:t>
      </w:r>
    </w:p>
    <w:p>
      <w:pPr>
        <w:pStyle w:val="6"/>
        <w:keepNext w:val="0"/>
        <w:keepLines w:val="0"/>
        <w:pageBreakBefore w:val="0"/>
        <w:widowControl w:val="0"/>
        <w:kinsoku/>
        <w:wordWrap/>
        <w:overflowPunct/>
        <w:topLinePunct w:val="0"/>
        <w:autoSpaceDE/>
        <w:autoSpaceDN/>
        <w:bidi w:val="0"/>
        <w:adjustRightInd/>
        <w:snapToGrid/>
        <w:spacing w:before="30" w:beforeLines="0" w:line="560" w:lineRule="exact"/>
        <w:ind w:firstLine="640" w:firstLineChars="200"/>
        <w:textAlignment w:val="auto"/>
        <w:rPr>
          <w:rFonts w:hint="eastAsia" w:hAnsi="Times New Roman" w:cs="Times New Roman"/>
          <w:sz w:val="32"/>
          <w:szCs w:val="32"/>
        </w:rPr>
      </w:pPr>
      <w:r>
        <w:rPr>
          <w:rFonts w:hint="eastAsia"/>
          <w:sz w:val="32"/>
          <w:szCs w:val="32"/>
          <w:lang w:val="en-US" w:eastAsia="zh-CN"/>
        </w:rPr>
        <w:t>（二）负责推动《中国妇女发展纲要（2021-2030）》《中国儿童发展纲要（2021-2030）》《</w:t>
      </w:r>
      <w:r>
        <w:rPr>
          <w:sz w:val="32"/>
          <w:szCs w:val="32"/>
          <w:lang w:val="en-US" w:eastAsia="zh-CN"/>
        </w:rPr>
        <w:t>中华人民共和国</w:t>
      </w:r>
      <w:r>
        <w:rPr>
          <w:rFonts w:hint="eastAsia"/>
          <w:sz w:val="32"/>
          <w:szCs w:val="32"/>
          <w:lang w:val="en-US" w:eastAsia="zh-CN"/>
        </w:rPr>
        <w:t>妇女权益</w:t>
      </w:r>
      <w:r>
        <w:rPr>
          <w:sz w:val="32"/>
          <w:szCs w:val="32"/>
          <w:lang w:val="en-US" w:eastAsia="zh-CN"/>
        </w:rPr>
        <w:t>保障</w:t>
      </w:r>
      <w:r>
        <w:rPr>
          <w:rFonts w:hint="eastAsia"/>
          <w:sz w:val="32"/>
          <w:szCs w:val="32"/>
          <w:lang w:val="en-US" w:eastAsia="zh-CN"/>
        </w:rPr>
        <w:t>法》《</w:t>
      </w:r>
      <w:r>
        <w:rPr>
          <w:sz w:val="32"/>
          <w:szCs w:val="32"/>
          <w:lang w:val="en-US" w:eastAsia="zh-CN"/>
        </w:rPr>
        <w:t>中华人民共和国</w:t>
      </w:r>
      <w:r>
        <w:rPr>
          <w:rFonts w:hint="eastAsia"/>
          <w:sz w:val="32"/>
          <w:szCs w:val="32"/>
          <w:lang w:val="en-US" w:eastAsia="zh-CN"/>
        </w:rPr>
        <w:t>未成年人保护法》的贯彻实施，宣传普及家庭科学知识，开展家庭教育理论研究，培训家教骨干，提高家教水平。指导督促全县十一个乡（镇）妇联的宣传教育工作，加大妇女技能培训，配合农牧、文教部门推动全县妇女文化教育工作。促进女童入学，承担县政府妇女儿童工作中心日常工作</w:t>
      </w:r>
      <w:r>
        <w:rPr>
          <w:rFonts w:hint="eastAsia" w:hAnsi="Times New Roman" w:cs="Times New Roman"/>
          <w:sz w:val="32"/>
          <w:szCs w:val="32"/>
          <w:lang w:eastAsia="zh-CN"/>
        </w:rPr>
        <w:t>。</w:t>
      </w:r>
    </w:p>
    <w:p>
      <w:pPr>
        <w:pStyle w:val="4"/>
        <w:spacing w:before="0" w:beforeAutospacing="0" w:after="0" w:afterAutospacing="0"/>
        <w:rPr>
          <w:rStyle w:val="32"/>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2"/>
          <w:rFonts w:hint="eastAsia" w:ascii="Times New Roman" w:hAnsi="Times New Roman" w:eastAsia="黑体"/>
          <w:b w:val="0"/>
          <w:bCs w:val="0"/>
          <w:color w:val="auto"/>
          <w:highlight w:val="none"/>
        </w:rPr>
        <w:t>构设置</w:t>
      </w:r>
      <w:bookmarkEnd w:id="8"/>
      <w:bookmarkEnd w:id="9"/>
    </w:p>
    <w:p>
      <w:pPr>
        <w:widowControl/>
        <w:ind w:firstLine="640" w:firstLineChars="200"/>
        <w:jc w:val="left"/>
        <w:rPr>
          <w:rFonts w:ascii="Times New Roman" w:hAnsi="Times New Roman" w:eastAsia="仿宋"/>
          <w:color w:val="auto"/>
          <w:kern w:val="0"/>
          <w:sz w:val="32"/>
          <w:szCs w:val="32"/>
          <w:highlight w:val="none"/>
        </w:rPr>
      </w:pPr>
      <w:bookmarkStart w:id="10" w:name="_Toc10699"/>
      <w:bookmarkStart w:id="11" w:name="_Toc30939"/>
      <w:bookmarkStart w:id="12" w:name="_Toc12356"/>
      <w:r>
        <w:rPr>
          <w:rFonts w:hint="eastAsia" w:ascii="仿宋_GB2312" w:hAnsi="Times New Roman" w:eastAsia="仿宋_GB2312" w:cs="Times New Roman"/>
          <w:kern w:val="0"/>
          <w:sz w:val="32"/>
          <w:szCs w:val="32"/>
          <w:lang w:val="en-US" w:eastAsia="zh-CN" w:bidi="ar-SA"/>
        </w:rPr>
        <w:t>壤塘县妇女联合会本级有两个下属二级预算单位，</w:t>
      </w:r>
      <w:bookmarkEnd w:id="10"/>
      <w:bookmarkEnd w:id="11"/>
      <w:bookmarkEnd w:id="12"/>
      <w:r>
        <w:rPr>
          <w:rFonts w:hint="eastAsia" w:ascii="仿宋_GB2312" w:hAnsi="Times New Roman" w:eastAsia="仿宋_GB2312" w:cs="Times New Roman"/>
          <w:kern w:val="0"/>
          <w:sz w:val="32"/>
          <w:szCs w:val="32"/>
          <w:lang w:val="en-US" w:eastAsia="zh-CN" w:bidi="ar-SA"/>
        </w:rPr>
        <w:t>分别为壤塘县妇女联合会与壤塘县妇女儿童工作中心。</w:t>
      </w:r>
      <w:r>
        <w:rPr>
          <w:rFonts w:ascii="Times New Roman" w:hAnsi="Times New Roman" w:eastAsia="仿宋"/>
          <w:color w:val="auto"/>
          <w:sz w:val="32"/>
          <w:szCs w:val="32"/>
          <w:highlight w:val="none"/>
        </w:rPr>
        <w:br w:type="page"/>
      </w:r>
    </w:p>
    <w:p>
      <w:pPr>
        <w:pStyle w:val="3"/>
        <w:numPr>
          <w:ilvl w:val="0"/>
          <w:numId w:val="2"/>
        </w:numPr>
        <w:spacing w:after="0" w:afterAutospacing="0"/>
        <w:jc w:val="center"/>
        <w:rPr>
          <w:rFonts w:hint="eastAsia" w:ascii="Times New Roman" w:hAnsi="Times New Roman" w:eastAsia="方正小标宋简体" w:cs="方正小标宋简体"/>
          <w:b w:val="0"/>
          <w:color w:val="auto"/>
          <w:highlight w:val="none"/>
        </w:rPr>
      </w:pPr>
      <w:bookmarkStart w:id="13" w:name="_Toc15396602"/>
      <w:bookmarkStart w:id="14" w:name="_Toc15377204"/>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3"/>
      <w:bookmarkEnd w:id="14"/>
      <w:bookmarkStart w:id="15" w:name="_Toc15396603"/>
      <w:bookmarkStart w:id="16" w:name="_Toc15377205"/>
    </w:p>
    <w:p>
      <w:pPr>
        <w:pStyle w:val="3"/>
        <w:numPr>
          <w:ilvl w:val="0"/>
          <w:numId w:val="3"/>
        </w:numPr>
        <w:spacing w:before="0" w:beforeAutospacing="0" w:after="0" w:afterAutospacing="0"/>
        <w:jc w:val="both"/>
        <w:rPr>
          <w:rStyle w:val="32"/>
          <w:rFonts w:hint="eastAsia" w:ascii="Times New Roman" w:hAnsi="Times New Roman" w:eastAsia="黑体"/>
          <w:b w:val="0"/>
          <w:bCs/>
          <w:color w:val="auto"/>
          <w:highlight w:val="none"/>
        </w:rPr>
      </w:pPr>
      <w:r>
        <w:rPr>
          <w:rFonts w:hint="eastAsia" w:ascii="Times New Roman" w:hAnsi="Times New Roman" w:eastAsia="黑体"/>
          <w:color w:val="auto"/>
          <w:sz w:val="32"/>
          <w:szCs w:val="32"/>
          <w:highlight w:val="none"/>
        </w:rPr>
        <w:t>收</w:t>
      </w:r>
      <w:r>
        <w:rPr>
          <w:rStyle w:val="32"/>
          <w:rFonts w:hint="eastAsia" w:ascii="Times New Roman" w:hAnsi="Times New Roman" w:eastAsia="黑体"/>
          <w:b w:val="0"/>
          <w:bCs/>
          <w:color w:val="auto"/>
          <w:highlight w:val="none"/>
        </w:rPr>
        <w:t>入支出决算总体情况说明</w:t>
      </w:r>
      <w:bookmarkEnd w:id="15"/>
      <w:bookmarkEnd w:id="16"/>
    </w:p>
    <w:p>
      <w:pPr>
        <w:pStyle w:val="3"/>
        <w:numPr>
          <w:ilvl w:val="0"/>
          <w:numId w:val="0"/>
        </w:numPr>
        <w:spacing w:before="0" w:beforeAutospacing="0" w:after="0" w:afterAutospacing="0"/>
        <w:jc w:val="both"/>
        <w:rPr>
          <w:rFonts w:hint="default"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2025年度收入、支出总计均为228.54万元。2024年度收入、支出总计均为221.38万元。与上年度相比，收入、支出总计各增加7.16万元，增加3.23%。主要变动原因是2025年较2024年项目和在职人员增加。</w:t>
      </w:r>
    </w:p>
    <w:p>
      <w:pPr>
        <w:pStyle w:val="30"/>
        <w:keepNext w:val="0"/>
        <w:keepLines w:val="0"/>
        <w:pageBreakBefore w:val="0"/>
        <w:widowControl w:val="0"/>
        <w:numPr>
          <w:ilvl w:val="0"/>
          <w:numId w:val="0"/>
        </w:numPr>
        <w:kinsoku/>
        <w:wordWrap/>
        <w:overflowPunct/>
        <w:topLinePunct w:val="0"/>
        <w:autoSpaceDE/>
        <w:autoSpaceDN/>
        <w:bidi w:val="0"/>
        <w:adjustRightInd/>
        <w:snapToGrid/>
        <w:spacing w:beforeAutospacing="0"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黑体"/>
          <w:color w:val="auto"/>
          <w:sz w:val="32"/>
          <w:szCs w:val="32"/>
          <w:highlight w:val="none"/>
          <w:lang w:eastAsia="zh-CN"/>
        </w:rPr>
      </w:pPr>
      <w:r>
        <w:drawing>
          <wp:anchor distT="0" distB="0" distL="114300" distR="114300" simplePos="0" relativeHeight="251659264" behindDoc="0" locked="0" layoutInCell="1" allowOverlap="1">
            <wp:simplePos x="0" y="0"/>
            <wp:positionH relativeFrom="column">
              <wp:posOffset>128270</wp:posOffset>
            </wp:positionH>
            <wp:positionV relativeFrom="paragraph">
              <wp:posOffset>95885</wp:posOffset>
            </wp:positionV>
            <wp:extent cx="4826000" cy="2743200"/>
            <wp:effectExtent l="4445" t="4445" r="8255" b="14605"/>
            <wp:wrapTopAndBottom/>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bookmarkStart w:id="17" w:name="_Toc15396604"/>
      <w:bookmarkStart w:id="18" w:name="_Toc15377206"/>
      <w:r>
        <w:rPr>
          <w:rFonts w:hint="eastAsia" w:ascii="Times New Roman" w:hAnsi="Times New Roman" w:eastAsia="黑体"/>
          <w:color w:val="auto"/>
          <w:sz w:val="32"/>
          <w:szCs w:val="32"/>
          <w:highlight w:val="none"/>
          <w:lang w:eastAsia="zh-CN"/>
        </w:rPr>
        <w:t>二、收入决算情况说明</w:t>
      </w:r>
      <w:bookmarkEnd w:id="17"/>
      <w:bookmarkEnd w:id="18"/>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本年收入合计228.54万元，其中：一般公共预算财政拨款收入221.04万元，占96.72%；其他收入7.50万元，占3.28%；政府性基金预算财政拨款收入0万元，占0%；国有资本经营预算财政拨款收入0万元，占0%；上级补助收入0万元，占0%；事业收入0万元，占0%；经营收入0万元，占0%；附属单位上缴收入0万元，占0%；其他收入0万元，占0%。</w:t>
      </w:r>
    </w:p>
    <w:p>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pPr>
        <w:ind w:left="0" w:leftChars="0" w:right="0" w:rightChars="0" w:firstLine="525" w:firstLineChars="250"/>
        <w:rPr>
          <w:rFonts w:hint="eastAsia" w:ascii="Times New Roman" w:hAnsi="Times New Roman" w:eastAsia="黑体"/>
          <w:color w:val="auto"/>
          <w:sz w:val="32"/>
          <w:szCs w:val="32"/>
          <w:highlight w:val="none"/>
          <w:lang w:eastAsia="zh-CN"/>
        </w:rPr>
      </w:pPr>
      <w:bookmarkStart w:id="19" w:name="_Toc15396605"/>
      <w:bookmarkStart w:id="20" w:name="_Toc15377207"/>
      <w:r>
        <w:drawing>
          <wp:inline distT="0" distB="0" distL="114300" distR="114300">
            <wp:extent cx="4826000" cy="2743200"/>
            <wp:effectExtent l="4445" t="4445" r="8255" b="14605"/>
            <wp:docPr id="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30"/>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0" w:firstLineChars="0"/>
        <w:textAlignment w:val="auto"/>
        <w:outlineLvl w:val="1"/>
        <w:rPr>
          <w:rStyle w:val="32"/>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rPr>
        <w:t>支</w:t>
      </w:r>
      <w:r>
        <w:rPr>
          <w:rStyle w:val="32"/>
          <w:rFonts w:hint="eastAsia" w:ascii="Times New Roman" w:hAnsi="Times New Roman" w:eastAsia="黑体"/>
          <w:b w:val="0"/>
          <w:color w:val="auto"/>
          <w:highlight w:val="none"/>
        </w:rPr>
        <w:t>出决算情况说明</w:t>
      </w:r>
      <w:bookmarkEnd w:id="19"/>
      <w:bookmarkEnd w:id="20"/>
    </w:p>
    <w:p>
      <w:pPr>
        <w:snapToGrid w:val="0"/>
        <w:spacing w:line="520" w:lineRule="exact"/>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2025年收入、支出合计：228.53万元。</w:t>
      </w:r>
    </w:p>
    <w:p>
      <w:pPr>
        <w:snapToGrid w:val="0"/>
        <w:spacing w:line="520" w:lineRule="exact"/>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其中：一般公共服务支出:189.96万元，占83.12%；行政运行85.77万元，占37.53%；一般行政管理事务63.52万元，占27.80%；其他群众团体事务支出40.67万元，占17.80%；社会保障和就业支出16.96万元，占7.42%；行政事业单位养老支出16.96万元，占7.42%；机关事业单位基本养老保险缴费</w:t>
      </w:r>
      <w:r>
        <w:rPr>
          <w:rFonts w:hint="eastAsia"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lang w:eastAsia="zh-CN"/>
        </w:rPr>
        <w:t>11.36万元，占4.97%；机关事业单位职业年金缴费支出5.60万元，占2.45%；卫生健康支出12.36万元，占5.41%；公共卫生6.50万元，占2.84%；行政事业单位医疗5.86万元，占2.56%；行政单位医疗4.78万元，占2.09%；公务员医疗补助1.08万元，占0.47%；住房公积金8.26万元，占3.61%。</w:t>
      </w:r>
    </w:p>
    <w:p>
      <w:pPr>
        <w:snapToGrid w:val="0"/>
        <w:spacing w:line="520" w:lineRule="exact"/>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pPr>
        <w:ind w:firstLine="525" w:firstLineChars="250"/>
        <w:rPr>
          <w:rFonts w:hint="eastAsia" w:ascii="仿宋" w:hAnsi="仿宋" w:eastAsia="仿宋"/>
          <w:color w:val="000000"/>
          <w:sz w:val="32"/>
          <w:szCs w:val="32"/>
          <w:lang w:eastAsia="zh-CN"/>
        </w:rPr>
      </w:pPr>
      <w:r>
        <w:drawing>
          <wp:inline distT="0" distB="0" distL="114300" distR="114300">
            <wp:extent cx="4826000" cy="2743200"/>
            <wp:effectExtent l="4445" t="4445" r="8255" b="14605"/>
            <wp:docPr id="5" name="图表 1" descr="7b0a202020202263686172745265734964223a202234363130333534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napToGrid w:val="0"/>
        <w:spacing w:line="520" w:lineRule="exact"/>
        <w:ind w:firstLine="642" w:firstLineChars="200"/>
        <w:rPr>
          <w:rFonts w:hint="eastAsia" w:ascii="仿宋_GB2312" w:hAnsi="仿宋" w:eastAsia="仿宋_GB2312"/>
          <w:b/>
          <w:sz w:val="32"/>
          <w:szCs w:val="32"/>
        </w:rPr>
      </w:pPr>
      <w:r>
        <w:rPr>
          <w:rFonts w:hint="eastAsia" w:ascii="仿宋_GB2312" w:hAnsi="仿宋" w:eastAsia="仿宋_GB2312"/>
          <w:b/>
          <w:sz w:val="32"/>
          <w:szCs w:val="32"/>
        </w:rPr>
        <w:t>3．支出按经济分类科目分析。</w:t>
      </w:r>
    </w:p>
    <w:p>
      <w:pPr>
        <w:spacing w:line="600" w:lineRule="exact"/>
        <w:ind w:firstLine="640"/>
        <w:rPr>
          <w:rFonts w:hint="eastAsia" w:ascii="仿宋_GB2312" w:hAnsi="仿宋" w:eastAsia="仿宋_GB2312"/>
          <w:sz w:val="32"/>
          <w:szCs w:val="32"/>
        </w:rPr>
      </w:pPr>
      <w:r>
        <w:rPr>
          <w:rFonts w:hint="eastAsia" w:ascii="仿宋" w:hAnsi="仿宋" w:eastAsia="仿宋" w:cs="Times New Roman"/>
          <w:sz w:val="32"/>
          <w:szCs w:val="32"/>
          <w:lang w:val="en-US" w:eastAsia="zh-CN"/>
        </w:rPr>
        <w:t>2025年“三公”经费支出情况：2025年支出合计：0万元，其中：公务公车运行维护费：0万元，比上年度增加0万元，增加0%。原因是下乡以及其他业务活动增加，费用随之增加。经核实本单位车均运行维护费金额无误。</w:t>
      </w:r>
    </w:p>
    <w:p>
      <w:pPr>
        <w:pStyle w:val="14"/>
        <w:rPr>
          <w:rFonts w:hint="eastAsia"/>
          <w:lang w:eastAsia="zh-CN"/>
        </w:rPr>
      </w:pPr>
    </w:p>
    <w:p>
      <w:pPr>
        <w:spacing w:line="600" w:lineRule="exact"/>
        <w:outlineLvl w:val="1"/>
        <w:rPr>
          <w:rStyle w:val="32"/>
          <w:rFonts w:ascii="Times New Roman" w:hAnsi="Times New Roman" w:eastAsia="黑体"/>
          <w:b w:val="0"/>
          <w:color w:val="auto"/>
          <w:highlight w:val="none"/>
        </w:rPr>
      </w:pPr>
      <w:bookmarkStart w:id="21" w:name="_Toc15377208"/>
      <w:bookmarkStart w:id="22" w:name="_Toc15396606"/>
      <w:r>
        <w:rPr>
          <w:rFonts w:hint="eastAsia" w:ascii="Times New Roman" w:hAnsi="Times New Roman" w:eastAsia="黑体"/>
          <w:color w:val="auto"/>
          <w:sz w:val="32"/>
          <w:szCs w:val="32"/>
          <w:highlight w:val="none"/>
        </w:rPr>
        <w:t>四、财</w:t>
      </w:r>
      <w:r>
        <w:rPr>
          <w:rStyle w:val="32"/>
          <w:rFonts w:hint="eastAsia" w:ascii="Times New Roman" w:hAnsi="Times New Roman" w:eastAsia="黑体"/>
          <w:b w:val="0"/>
          <w:color w:val="auto"/>
          <w:highlight w:val="none"/>
        </w:rPr>
        <w:t>政拨款收入支出决算总体情况说明</w:t>
      </w:r>
      <w:bookmarkEnd w:id="21"/>
      <w:bookmarkEnd w:id="22"/>
    </w:p>
    <w:p>
      <w:pPr>
        <w:pStyle w:val="3"/>
        <w:numPr>
          <w:ilvl w:val="0"/>
          <w:numId w:val="0"/>
        </w:numPr>
        <w:spacing w:before="0" w:beforeAutospacing="0" w:after="0" w:afterAutospacing="0"/>
        <w:jc w:val="both"/>
        <w:rPr>
          <w:rFonts w:hint="default"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2025年度收入、支出总计均为228.54万元。2024年度收入、支出总计均为221.38万元。与上年度相比，收入、支出总计各增加7.16万元，增加3.23%。主要变动原因是2025年较2024年项目和在职人员增加。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sz w:val="32"/>
          <w:szCs w:val="32"/>
          <w:lang w:val="en-US" w:eastAsia="zh-CN"/>
        </w:rPr>
        <w:t>2025年财政拨款支出合计228.54万元。本年收入中：一般公共预算财政拨款收入189.96万元，占83.12%；其他收入7.50万元，占3.28%。支出构成：基本支出85.77万元，占37.53%；项目支出104.19万元，占45.59%。</w:t>
      </w:r>
    </w:p>
    <w:p>
      <w:pPr>
        <w:pStyle w:val="14"/>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000000"/>
          <w:sz w:val="32"/>
          <w:szCs w:val="32"/>
          <w:lang w:eastAsia="zh-CN"/>
        </w:rPr>
        <w:object>
          <v:shape id="_x0000_i1025" o:spt="75" type="#_x0000_t75" style="height:244.55pt;width:412.15pt;" o:ole="t" filled="f" o:preferrelative="t" stroked="f" coordsize="21600,21600">
            <v:path/>
            <v:fill on="f" focussize="0,0"/>
            <v:stroke on="f"/>
            <v:imagedata r:id="rId13" o:title=""/>
            <o:lock v:ext="edit" aspectratio="t"/>
            <w10:wrap type="none"/>
            <w10:anchorlock/>
          </v:shape>
          <o:OLEObject Type="Embed" ProgID="Excel.Chart.8" ShapeID="_x0000_i1025" DrawAspect="Content" ObjectID="_1468075725" r:id="rId12">
            <o:LockedField>false</o:LockedField>
          </o:OLEObject>
        </w:object>
      </w:r>
    </w:p>
    <w:p>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outlineLvl w:val="1"/>
        <w:rPr>
          <w:rStyle w:val="32"/>
          <w:rFonts w:ascii="Times New Roman" w:hAnsi="Times New Roman" w:eastAsia="黑体"/>
          <w:b w:val="0"/>
          <w:color w:val="auto"/>
          <w:highlight w:val="none"/>
        </w:rPr>
      </w:pPr>
      <w:bookmarkStart w:id="23" w:name="_Toc15396607"/>
      <w:bookmarkStart w:id="24"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般公共预算财政拨款支出决算情况说明</w:t>
      </w:r>
      <w:bookmarkEnd w:id="23"/>
      <w:bookmarkEnd w:id="24"/>
    </w:p>
    <w:p>
      <w:pPr>
        <w:spacing w:line="600" w:lineRule="exact"/>
        <w:ind w:firstLine="642" w:firstLineChars="200"/>
        <w:outlineLvl w:val="2"/>
        <w:rPr>
          <w:rFonts w:hint="eastAsia" w:ascii="Times New Roman" w:hAnsi="Times New Roman" w:eastAsia="仿宋_GB2312" w:cs="仿宋_GB2312"/>
          <w:b w:val="0"/>
          <w:bCs w:val="0"/>
          <w:color w:val="auto"/>
          <w:kern w:val="2"/>
          <w:sz w:val="32"/>
          <w:szCs w:val="32"/>
          <w:highlight w:val="none"/>
          <w:lang w:val="en-US" w:eastAsia="zh-CN" w:bidi="ar-SA"/>
        </w:rPr>
      </w:pPr>
      <w:bookmarkStart w:id="25" w:name="_Toc15377210"/>
      <w:r>
        <w:rPr>
          <w:rFonts w:hint="eastAsia" w:ascii="Times New Roman" w:hAnsi="Times New Roman" w:eastAsia="楷体_GB2312" w:cs="楷体_GB2312"/>
          <w:b/>
          <w:color w:val="auto"/>
          <w:sz w:val="32"/>
          <w:szCs w:val="32"/>
          <w:highlight w:val="none"/>
        </w:rPr>
        <w:t>（</w:t>
      </w:r>
      <w:r>
        <w:rPr>
          <w:rFonts w:hint="eastAsia" w:ascii="Times New Roman" w:hAnsi="Times New Roman" w:eastAsia="仿宋_GB2312" w:cs="仿宋_GB2312"/>
          <w:b w:val="0"/>
          <w:bCs w:val="0"/>
          <w:color w:val="auto"/>
          <w:kern w:val="2"/>
          <w:sz w:val="32"/>
          <w:szCs w:val="32"/>
          <w:highlight w:val="none"/>
          <w:lang w:val="en-US" w:eastAsia="zh-CN" w:bidi="ar-SA"/>
        </w:rPr>
        <w:t>一）一般公共预算财政拨款支出决算总体情况</w:t>
      </w:r>
      <w:bookmarkEnd w:id="25"/>
    </w:p>
    <w:p>
      <w:pPr>
        <w:pStyle w:val="3"/>
        <w:numPr>
          <w:ilvl w:val="0"/>
          <w:numId w:val="0"/>
        </w:numPr>
        <w:spacing w:before="0" w:beforeAutospacing="0" w:after="0" w:afterAutospacing="0"/>
        <w:jc w:val="both"/>
        <w:rPr>
          <w:rFonts w:hint="default"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2025年度一般公共预算财政拨款支出</w:t>
      </w:r>
      <w:r>
        <w:rPr>
          <w:rFonts w:hint="eastAsia" w:eastAsia="仿宋_GB2312" w:cs="仿宋_GB2312"/>
          <w:b w:val="0"/>
          <w:bCs w:val="0"/>
          <w:color w:val="auto"/>
          <w:kern w:val="2"/>
          <w:sz w:val="32"/>
          <w:szCs w:val="32"/>
          <w:highlight w:val="none"/>
          <w:lang w:val="en-US" w:eastAsia="zh-CN" w:bidi="ar-SA"/>
        </w:rPr>
        <w:t>228.54</w:t>
      </w:r>
      <w:r>
        <w:rPr>
          <w:rFonts w:hint="eastAsia" w:ascii="Times New Roman" w:hAnsi="Times New Roman" w:eastAsia="仿宋_GB2312" w:cs="仿宋_GB2312"/>
          <w:b w:val="0"/>
          <w:bCs w:val="0"/>
          <w:color w:val="auto"/>
          <w:kern w:val="2"/>
          <w:sz w:val="32"/>
          <w:szCs w:val="32"/>
          <w:highlight w:val="none"/>
          <w:lang w:val="en-US" w:eastAsia="zh-CN" w:bidi="ar-SA"/>
        </w:rPr>
        <w:t>万元，占本年支出合计的100%。2024年度收入、支出总计均为221.38万元。与上年度相比，收入、支出总计各增加7.16万元，增加3.23%。主要变动原因是2025年较2024年项目和在职人员增加。</w:t>
      </w:r>
    </w:p>
    <w:p>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pStyle w:val="14"/>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000000"/>
          <w:sz w:val="32"/>
          <w:szCs w:val="32"/>
          <w:lang w:eastAsia="zh-CN"/>
        </w:rPr>
        <w:object>
          <v:shape id="_x0000_i1026" o:spt="75" type="#_x0000_t75" style="height:244.5pt;width:391.7pt;" o:ole="t" filled="f" o:preferrelative="t" stroked="f" coordsize="21600,21600">
            <v:path/>
            <v:fill on="f" focussize="0,0"/>
            <v:stroke on="f"/>
            <v:imagedata r:id="rId15" o:title=""/>
            <o:lock v:ext="edit" aspectratio="t"/>
            <w10:wrap type="none"/>
            <w10:anchorlock/>
          </v:shape>
          <o:OLEObject Type="Embed" ProgID="Excel.Chart.8" ShapeID="_x0000_i1026" DrawAspect="Content" ObjectID="_1468075726" r:id="rId14">
            <o:LockedField>false</o:LockedField>
          </o:OLEObject>
        </w:object>
      </w:r>
    </w:p>
    <w:p>
      <w:pPr>
        <w:spacing w:line="600" w:lineRule="exact"/>
        <w:outlineLvl w:val="2"/>
        <w:rPr>
          <w:rFonts w:hint="eastAsia" w:ascii="Times New Roman" w:hAnsi="Times New Roman" w:eastAsia="楷体_GB2312" w:cs="楷体_GB2312"/>
          <w:b/>
          <w:color w:val="auto"/>
          <w:sz w:val="32"/>
          <w:szCs w:val="32"/>
          <w:highlight w:val="none"/>
        </w:rPr>
      </w:pPr>
      <w:bookmarkStart w:id="26"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一般公共预算财政拨款支出228.54万元，主要用于以下方面：一般公共服务支出189.96万元，占83.12%；教育支出0万元，占0%；科学技术支出0万元，占0%；文化旅游体育与传媒支出0万元，占0%；社会保障和就业支出16.96万元，占7.42%；卫生健康支出12.36万元，占5.41%；住房保障支出8.26万元，占3.61%。</w:t>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spacing w:line="600" w:lineRule="exact"/>
        <w:ind w:firstLine="640"/>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 xml:space="preserve"> </w:t>
      </w:r>
    </w:p>
    <w:p>
      <w:pPr>
        <w:pStyle w:val="14"/>
        <w:rPr>
          <w:rFonts w:hint="eastAsia" w:ascii="仿宋" w:hAnsi="仿宋" w:eastAsia="仿宋"/>
          <w:color w:val="000000"/>
          <w:sz w:val="32"/>
          <w:szCs w:val="32"/>
          <w:lang w:eastAsia="zh-CN"/>
        </w:rPr>
      </w:pPr>
      <w:bookmarkStart w:id="27" w:name="_Toc15377212"/>
      <w:r>
        <w:rPr>
          <w:rFonts w:hint="eastAsia" w:ascii="仿宋" w:hAnsi="仿宋" w:eastAsia="仿宋"/>
          <w:color w:val="000000"/>
          <w:sz w:val="32"/>
          <w:szCs w:val="32"/>
          <w:lang w:eastAsia="zh-CN"/>
        </w:rPr>
        <w:object>
          <v:shape id="_x0000_i1027" o:spt="75" type="#_x0000_t75" style="height:176.5pt;width:374.75pt;" o:ole="t" filled="f" o:preferrelative="t" stroked="f" coordsize="21600,21600">
            <v:path/>
            <v:fill on="f" focussize="0,0"/>
            <v:stroke on="f"/>
            <v:imagedata r:id="rId17" o:title=""/>
            <o:lock v:ext="edit" aspectratio="t"/>
            <w10:wrap type="none"/>
            <w10:anchorlock/>
          </v:shape>
          <o:OLEObject Type="Embed" ProgID="Excel.Chart.8" ShapeID="_x0000_i1027" DrawAspect="Content" ObjectID="_1468075727" r:id="rId16">
            <o:LockedField>false</o:LockedField>
          </o:OLEObject>
        </w:object>
      </w:r>
    </w:p>
    <w:p>
      <w:pPr>
        <w:pStyle w:val="14"/>
        <w:ind w:firstLine="642" w:firstLineChars="200"/>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27"/>
    </w:p>
    <w:p>
      <w:pPr>
        <w:snapToGrid w:val="0"/>
        <w:spacing w:line="520" w:lineRule="exact"/>
        <w:ind w:firstLine="640" w:firstLineChars="200"/>
        <w:rPr>
          <w:rFonts w:hint="eastAsia" w:ascii="仿宋" w:hAnsi="仿宋" w:eastAsia="仿宋" w:cs="Times New Roman"/>
          <w:b/>
          <w:color w:val="auto"/>
          <w:sz w:val="32"/>
          <w:szCs w:val="32"/>
          <w:lang w:val="en-US" w:eastAsia="zh-CN"/>
        </w:rPr>
      </w:pPr>
      <w:bookmarkStart w:id="28" w:name="_Toc15377444"/>
      <w:bookmarkStart w:id="29" w:name="_Toc15378460"/>
      <w:bookmarkStart w:id="30"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228.54</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8"/>
      <w:bookmarkEnd w:id="29"/>
      <w:bookmarkEnd w:id="30"/>
      <w:r>
        <w:rPr>
          <w:rFonts w:hint="eastAsia" w:ascii="仿宋" w:hAnsi="仿宋" w:eastAsia="仿宋" w:cs="Times New Roman"/>
          <w:b/>
          <w:color w:val="auto"/>
          <w:sz w:val="32"/>
          <w:szCs w:val="32"/>
          <w:lang w:val="en-US" w:eastAsia="zh-CN"/>
        </w:rPr>
        <w:t>一般公共服务支出（类）群众团体事务（款）行政运行（项）：189.96 万元，占 83.12%</w:t>
      </w:r>
    </w:p>
    <w:p>
      <w:pPr>
        <w:snapToGrid w:val="0"/>
        <w:spacing w:line="520" w:lineRule="exact"/>
        <w:ind w:firstLine="642" w:firstLineChars="200"/>
        <w:rPr>
          <w:rFonts w:hint="eastAsia" w:ascii="仿宋" w:hAnsi="仿宋" w:eastAsia="仿宋" w:cs="Times New Roman"/>
          <w:b/>
          <w:color w:val="auto"/>
          <w:sz w:val="32"/>
          <w:szCs w:val="32"/>
          <w:lang w:val="en-US" w:eastAsia="zh-CN"/>
        </w:rPr>
      </w:pPr>
      <w:r>
        <w:rPr>
          <w:rFonts w:hint="eastAsia" w:ascii="仿宋" w:hAnsi="仿宋" w:eastAsia="仿宋" w:cs="Times New Roman"/>
          <w:b/>
          <w:color w:val="auto"/>
          <w:sz w:val="32"/>
          <w:szCs w:val="32"/>
          <w:lang w:val="en-US" w:eastAsia="zh-CN"/>
        </w:rPr>
        <w:t>一般公共服务支出（类）群众团体事务（款）事业运行（项）：0 万元，占 0%</w:t>
      </w:r>
    </w:p>
    <w:p>
      <w:pPr>
        <w:snapToGrid w:val="0"/>
        <w:spacing w:line="520" w:lineRule="exact"/>
        <w:ind w:firstLine="642" w:firstLineChars="200"/>
        <w:rPr>
          <w:rFonts w:hint="eastAsia" w:ascii="仿宋" w:hAnsi="仿宋" w:eastAsia="仿宋" w:cs="Times New Roman"/>
          <w:b/>
          <w:color w:val="auto"/>
          <w:sz w:val="32"/>
          <w:szCs w:val="32"/>
          <w:lang w:val="en-US" w:eastAsia="zh-CN"/>
        </w:rPr>
      </w:pPr>
      <w:r>
        <w:rPr>
          <w:rFonts w:hint="eastAsia" w:ascii="仿宋" w:hAnsi="仿宋" w:eastAsia="仿宋" w:cs="Times New Roman"/>
          <w:b/>
          <w:color w:val="auto"/>
          <w:sz w:val="32"/>
          <w:szCs w:val="32"/>
          <w:lang w:val="en-US" w:eastAsia="zh-CN"/>
        </w:rPr>
        <w:t>一般公共服务支出（类）群众团体事务（款）其他群众团体事务支出（项）：40.67 万元，占 17.80%</w:t>
      </w:r>
    </w:p>
    <w:p>
      <w:pPr>
        <w:snapToGrid w:val="0"/>
        <w:spacing w:line="520" w:lineRule="exact"/>
        <w:ind w:firstLine="642" w:firstLineChars="200"/>
        <w:rPr>
          <w:rFonts w:hint="eastAsia" w:ascii="仿宋" w:hAnsi="仿宋" w:eastAsia="仿宋" w:cs="Times New Roman"/>
          <w:b/>
          <w:color w:val="auto"/>
          <w:sz w:val="32"/>
          <w:szCs w:val="32"/>
          <w:lang w:val="en-US" w:eastAsia="zh-CN"/>
        </w:rPr>
      </w:pPr>
      <w:r>
        <w:rPr>
          <w:rFonts w:hint="eastAsia" w:ascii="仿宋" w:hAnsi="仿宋" w:eastAsia="仿宋" w:cs="Times New Roman"/>
          <w:b/>
          <w:color w:val="auto"/>
          <w:sz w:val="32"/>
          <w:szCs w:val="32"/>
          <w:lang w:val="en-US" w:eastAsia="zh-CN"/>
        </w:rPr>
        <w:t>社会保障和就业支出（类）行政事业单位养老支出（款）机关事业单位基本养老保险缴费支出（项）：11.36 万元，占 4.97%</w:t>
      </w:r>
    </w:p>
    <w:p>
      <w:pPr>
        <w:snapToGrid w:val="0"/>
        <w:spacing w:line="520" w:lineRule="exact"/>
        <w:ind w:firstLine="642" w:firstLineChars="200"/>
        <w:rPr>
          <w:rFonts w:hint="eastAsia" w:ascii="仿宋" w:hAnsi="仿宋" w:eastAsia="仿宋" w:cs="Times New Roman"/>
          <w:b/>
          <w:color w:val="auto"/>
          <w:sz w:val="32"/>
          <w:szCs w:val="32"/>
          <w:lang w:val="en-US" w:eastAsia="zh-CN"/>
        </w:rPr>
      </w:pPr>
      <w:r>
        <w:rPr>
          <w:rFonts w:hint="eastAsia" w:ascii="仿宋" w:hAnsi="仿宋" w:eastAsia="仿宋" w:cs="Times New Roman"/>
          <w:b/>
          <w:color w:val="auto"/>
          <w:sz w:val="32"/>
          <w:szCs w:val="32"/>
          <w:lang w:val="en-US" w:eastAsia="zh-CN"/>
        </w:rPr>
        <w:t>社会保障和就业支出（类）行政事业单位养老支出（款）机关事业单位职业年金缴费支出（项）：5.6 万元，占 2.45%</w:t>
      </w:r>
    </w:p>
    <w:p>
      <w:pPr>
        <w:snapToGrid w:val="0"/>
        <w:spacing w:line="520" w:lineRule="exact"/>
        <w:ind w:firstLine="642" w:firstLineChars="200"/>
        <w:rPr>
          <w:rFonts w:hint="eastAsia" w:ascii="仿宋" w:hAnsi="仿宋" w:eastAsia="仿宋" w:cs="Times New Roman"/>
          <w:b/>
          <w:color w:val="auto"/>
          <w:sz w:val="32"/>
          <w:szCs w:val="32"/>
          <w:lang w:val="en-US" w:eastAsia="zh-CN"/>
        </w:rPr>
      </w:pPr>
      <w:r>
        <w:rPr>
          <w:rFonts w:hint="eastAsia" w:ascii="仿宋" w:hAnsi="仿宋" w:eastAsia="仿宋" w:cs="Times New Roman"/>
          <w:b/>
          <w:color w:val="auto"/>
          <w:sz w:val="32"/>
          <w:szCs w:val="32"/>
          <w:lang w:val="en-US" w:eastAsia="zh-CN"/>
        </w:rPr>
        <w:t>卫生健康支出（类）行政事业单位医疗（款）行政单位医疗（项）：4.78 万元，占 2.09%</w:t>
      </w:r>
    </w:p>
    <w:p>
      <w:pPr>
        <w:snapToGrid w:val="0"/>
        <w:spacing w:line="520" w:lineRule="exact"/>
        <w:ind w:firstLine="642" w:firstLineChars="200"/>
        <w:rPr>
          <w:rFonts w:hint="eastAsia" w:ascii="仿宋" w:hAnsi="仿宋" w:eastAsia="仿宋" w:cs="Times New Roman"/>
          <w:b/>
          <w:color w:val="auto"/>
          <w:sz w:val="32"/>
          <w:szCs w:val="32"/>
          <w:lang w:val="en-US" w:eastAsia="zh-CN"/>
        </w:rPr>
      </w:pPr>
      <w:r>
        <w:rPr>
          <w:rFonts w:hint="eastAsia" w:ascii="仿宋" w:hAnsi="仿宋" w:eastAsia="仿宋" w:cs="Times New Roman"/>
          <w:b/>
          <w:color w:val="auto"/>
          <w:sz w:val="32"/>
          <w:szCs w:val="32"/>
          <w:lang w:val="en-US" w:eastAsia="zh-CN"/>
        </w:rPr>
        <w:t>卫生健康支出（类）行政事业单位医疗（款）公务员医疗补助（项）：1.08 万元，占 0.47%</w:t>
      </w:r>
    </w:p>
    <w:p>
      <w:pPr>
        <w:snapToGrid w:val="0"/>
        <w:spacing w:line="520" w:lineRule="exact"/>
        <w:ind w:firstLine="642" w:firstLineChars="200"/>
        <w:rPr>
          <w:rFonts w:hint="eastAsia" w:ascii="仿宋" w:hAnsi="仿宋" w:eastAsia="仿宋" w:cs="Times New Roman"/>
          <w:b/>
          <w:color w:val="auto"/>
          <w:sz w:val="32"/>
          <w:szCs w:val="32"/>
          <w:lang w:val="en-US" w:eastAsia="zh-CN"/>
        </w:rPr>
      </w:pPr>
      <w:r>
        <w:rPr>
          <w:rFonts w:hint="eastAsia" w:ascii="仿宋" w:hAnsi="仿宋" w:eastAsia="仿宋" w:cs="Times New Roman"/>
          <w:b/>
          <w:color w:val="auto"/>
          <w:sz w:val="32"/>
          <w:szCs w:val="32"/>
          <w:lang w:val="en-US" w:eastAsia="zh-CN"/>
        </w:rPr>
        <w:t>卫生健康支出（类）行政事业单位医疗（款）其他行政事业单位医疗支出（项）：5.86 万元，占 2.56%</w:t>
      </w:r>
    </w:p>
    <w:p>
      <w:pPr>
        <w:snapToGrid w:val="0"/>
        <w:spacing w:line="520" w:lineRule="exact"/>
        <w:ind w:firstLine="642" w:firstLineChars="200"/>
        <w:rPr>
          <w:rFonts w:hint="eastAsia" w:ascii="仿宋" w:hAnsi="仿宋" w:eastAsia="仿宋" w:cs="Times New Roman"/>
          <w:b/>
          <w:color w:val="auto"/>
          <w:sz w:val="32"/>
          <w:szCs w:val="32"/>
          <w:lang w:val="en-US" w:eastAsia="zh-CN"/>
        </w:rPr>
      </w:pPr>
      <w:r>
        <w:rPr>
          <w:rFonts w:hint="eastAsia" w:ascii="仿宋" w:hAnsi="仿宋" w:eastAsia="仿宋" w:cs="Times New Roman"/>
          <w:b/>
          <w:color w:val="auto"/>
          <w:sz w:val="32"/>
          <w:szCs w:val="32"/>
          <w:lang w:val="en-US" w:eastAsia="zh-CN"/>
        </w:rPr>
        <w:t>住房保障支出（类）住房改革支出（款）住房公积金（项）：8.26 万元，占 3.61%</w:t>
      </w:r>
    </w:p>
    <w:p>
      <w:pPr>
        <w:snapToGrid w:val="0"/>
        <w:spacing w:line="520" w:lineRule="exact"/>
        <w:ind w:firstLine="642" w:firstLineChars="200"/>
        <w:rPr>
          <w:rFonts w:hint="eastAsia" w:ascii="仿宋" w:hAnsi="仿宋" w:eastAsia="仿宋" w:cs="Times New Roman"/>
          <w:b/>
          <w:color w:val="auto"/>
          <w:sz w:val="32"/>
          <w:szCs w:val="32"/>
          <w:lang w:val="en-US" w:eastAsia="zh-CN"/>
        </w:rPr>
      </w:pPr>
      <w:r>
        <w:rPr>
          <w:rFonts w:hint="eastAsia" w:ascii="仿宋" w:hAnsi="仿宋" w:eastAsia="仿宋" w:cs="Times New Roman"/>
          <w:b/>
          <w:color w:val="auto"/>
          <w:sz w:val="32"/>
          <w:szCs w:val="32"/>
          <w:lang w:val="en-US" w:eastAsia="zh-CN"/>
        </w:rPr>
        <w:t>住房保障支出（类）住房改革支出（款）住房保障支出（项）：8.26 万元，占 3.61%</w:t>
      </w:r>
    </w:p>
    <w:p>
      <w:pPr>
        <w:tabs>
          <w:tab w:val="right" w:pos="8306"/>
        </w:tabs>
        <w:spacing w:line="600" w:lineRule="exact"/>
        <w:outlineLvl w:val="1"/>
        <w:rPr>
          <w:rStyle w:val="32"/>
          <w:rFonts w:ascii="Times New Roman" w:hAnsi="Times New Roman"/>
          <w:color w:val="auto"/>
          <w:highlight w:val="none"/>
        </w:rPr>
      </w:pPr>
      <w:bookmarkStart w:id="31" w:name="_Toc15377214"/>
      <w:bookmarkStart w:id="32"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般公共预算财政拨款基本支出决算情况说明</w:t>
      </w:r>
      <w:bookmarkEnd w:id="31"/>
      <w:bookmarkEnd w:id="32"/>
      <w:r>
        <w:rPr>
          <w:rStyle w:val="32"/>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228.54</w:t>
      </w:r>
      <w:r>
        <w:rPr>
          <w:rFonts w:hint="eastAsia" w:ascii="Times New Roman" w:hAnsi="Times New Roman" w:eastAsia="仿宋_GB2312" w:cs="仿宋_GB2312"/>
          <w:color w:val="auto"/>
          <w:kern w:val="2"/>
          <w:sz w:val="32"/>
          <w:szCs w:val="32"/>
          <w:highlight w:val="none"/>
          <w:lang w:val="en-US" w:eastAsia="zh-CN" w:bidi="ar-SA"/>
        </w:rPr>
        <w:t>万元，其中：</w:t>
      </w:r>
    </w:p>
    <w:p>
      <w:pPr>
        <w:spacing w:afterAutospacing="0"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109.68</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7.17</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r>
        <w:rPr>
          <w:rFonts w:hint="eastAsia" w:eastAsia="仿宋_GB2312" w:cs="仿宋_GB2312"/>
          <w:color w:val="auto"/>
          <w:kern w:val="2"/>
          <w:sz w:val="32"/>
          <w:szCs w:val="32"/>
          <w:highlight w:val="none"/>
          <w:lang w:val="en-US" w:eastAsia="zh-CN" w:bidi="ar-SA"/>
        </w:rPr>
        <w:t>。</w:t>
      </w:r>
    </w:p>
    <w:p>
      <w:pPr>
        <w:pStyle w:val="22"/>
        <w:spacing w:before="0" w:beforeAutospacing="0" w:after="0" w:afterAutospacing="0"/>
        <w:ind w:firstLine="640" w:firstLineChars="200"/>
        <w:rPr>
          <w:rFonts w:hint="default" w:ascii="Times New Roman" w:hAnsi="Times New Roman" w:eastAsia="仿宋_GB2312" w:cs="仿宋_GB2312"/>
          <w:b w:val="0"/>
          <w:color w:val="auto"/>
          <w:kern w:val="2"/>
          <w:sz w:val="32"/>
          <w:szCs w:val="32"/>
          <w:highlight w:val="none"/>
          <w:lang w:val="en-US" w:eastAsia="zh-CN" w:bidi="ar-SA"/>
        </w:rPr>
      </w:pPr>
      <w:r>
        <w:rPr>
          <w:rFonts w:hint="eastAsia" w:ascii="Times New Roman" w:hAnsi="Times New Roman" w:eastAsia="仿宋_GB2312" w:cs="仿宋_GB2312"/>
          <w:b w:val="0"/>
          <w:color w:val="auto"/>
          <w:kern w:val="2"/>
          <w:sz w:val="32"/>
          <w:szCs w:val="32"/>
          <w:highlight w:val="none"/>
          <w:lang w:val="en-US" w:eastAsia="zh-CN" w:bidi="ar-SA"/>
        </w:rPr>
        <w:t>项目支出111.69万元，主要专项项目。</w:t>
      </w:r>
    </w:p>
    <w:p>
      <w:pPr>
        <w:spacing w:beforeAutospacing="0" w:line="600" w:lineRule="exact"/>
        <w:ind w:firstLine="640"/>
        <w:outlineLvl w:val="1"/>
        <w:rPr>
          <w:rStyle w:val="32"/>
          <w:rFonts w:ascii="Times New Roman" w:hAnsi="Times New Roman" w:eastAsia="黑体"/>
          <w:b w:val="0"/>
          <w:color w:val="auto"/>
          <w:highlight w:val="none"/>
        </w:rPr>
      </w:pPr>
      <w:bookmarkStart w:id="33" w:name="_Toc15377215"/>
      <w:bookmarkStart w:id="34" w:name="_Toc15396609"/>
      <w:r>
        <w:rPr>
          <w:rFonts w:hint="eastAsia" w:ascii="Times New Roman" w:hAnsi="Times New Roman" w:eastAsia="黑体"/>
          <w:color w:val="auto"/>
          <w:sz w:val="32"/>
          <w:szCs w:val="32"/>
          <w:highlight w:val="none"/>
        </w:rPr>
        <w:t>七、</w:t>
      </w:r>
      <w:r>
        <w:rPr>
          <w:rStyle w:val="32"/>
          <w:rFonts w:hint="eastAsia" w:ascii="Times New Roman" w:hAnsi="Times New Roman" w:eastAsia="黑体"/>
          <w:b w:val="0"/>
          <w:color w:val="auto"/>
          <w:highlight w:val="none"/>
        </w:rPr>
        <w:t>财政拨款</w:t>
      </w:r>
      <w:r>
        <w:rPr>
          <w:rStyle w:val="32"/>
          <w:rFonts w:hint="eastAsia" w:ascii="Times New Roman" w:hAnsi="Times New Roman" w:eastAsia="黑体"/>
          <w:color w:val="auto"/>
          <w:highlight w:val="none"/>
        </w:rPr>
        <w:t>“</w:t>
      </w:r>
      <w:r>
        <w:rPr>
          <w:rStyle w:val="32"/>
          <w:rFonts w:hint="eastAsia" w:ascii="Times New Roman" w:hAnsi="Times New Roman" w:eastAsia="黑体"/>
          <w:b w:val="0"/>
          <w:color w:val="auto"/>
          <w:highlight w:val="none"/>
        </w:rPr>
        <w:t>三公”经费支出决算情况说明</w:t>
      </w:r>
      <w:bookmarkEnd w:id="33"/>
      <w:bookmarkEnd w:id="34"/>
    </w:p>
    <w:p>
      <w:pPr>
        <w:spacing w:line="600" w:lineRule="exact"/>
        <w:ind w:firstLine="640"/>
        <w:outlineLvl w:val="1"/>
        <w:rPr>
          <w:rStyle w:val="32"/>
          <w:rFonts w:hint="eastAsia" w:ascii="Times New Roman" w:hAnsi="Times New Roman" w:eastAsia="黑体"/>
          <w:b w:val="0"/>
          <w:color w:val="auto"/>
          <w:highlight w:val="none"/>
          <w:lang w:val="en-US" w:eastAsia="zh-CN"/>
        </w:rPr>
      </w:pPr>
      <w:bookmarkStart w:id="35" w:name="_Toc15377216"/>
      <w:r>
        <w:rPr>
          <w:rStyle w:val="32"/>
          <w:rFonts w:hint="eastAsia" w:ascii="Times New Roman" w:hAnsi="Times New Roman" w:eastAsia="黑体"/>
          <w:b w:val="0"/>
          <w:color w:val="auto"/>
          <w:highlight w:val="none"/>
          <w:lang w:val="en-US" w:eastAsia="zh-CN"/>
        </w:rPr>
        <w:t>（一）财政拨款“三公”经费支出决算总体情况说明</w:t>
      </w:r>
      <w:bookmarkEnd w:id="35"/>
    </w:p>
    <w:p>
      <w:pPr>
        <w:spacing w:line="600" w:lineRule="exact"/>
        <w:ind w:firstLine="640"/>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2025年度财政拨款“三公”经费支出决算为0万元，完成预算0%，较上年度增加0万元，增长0%。决算数小于预算数主要原因是下乡以及其他业务活动增加，费用随之增加。经核实本单位车均运行维护费金额无误。</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6"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无工作需求。</w:t>
      </w:r>
    </w:p>
    <w:p>
      <w:pPr>
        <w:spacing w:line="600" w:lineRule="exact"/>
        <w:ind w:firstLine="640"/>
        <w:rPr>
          <w:rFonts w:hint="eastAsia" w:ascii="仿宋" w:hAnsi="仿宋" w:eastAsia="仿宋" w:cs="Times New Roman"/>
          <w:sz w:val="32"/>
          <w:szCs w:val="32"/>
          <w:lang w:val="en-US" w:eastAsia="zh-CN"/>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ascii="仿宋" w:hAnsi="仿宋" w:eastAsia="仿宋" w:cs="Times New Roman"/>
          <w:sz w:val="32"/>
          <w:szCs w:val="32"/>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ascii="仿宋" w:hAnsi="仿宋" w:eastAsia="仿宋" w:cs="Times New Roman"/>
          <w:sz w:val="32"/>
          <w:szCs w:val="32"/>
          <w:lang w:val="en-US" w:eastAsia="zh-CN"/>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无，</w:t>
      </w:r>
      <w:r>
        <w:rPr>
          <w:rFonts w:hint="eastAsia" w:ascii="仿宋" w:hAnsi="仿宋" w:eastAsia="仿宋" w:cs="Times New Roman"/>
          <w:sz w:val="32"/>
          <w:szCs w:val="32"/>
          <w:lang w:val="en-US" w:eastAsia="zh-CN"/>
        </w:rPr>
        <w:t>经核实本单位车均运行维护费金额无误。</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 w:hAnsi="仿宋" w:eastAsia="仿宋" w:cs="Times New Roman"/>
          <w:sz w:val="32"/>
          <w:szCs w:val="32"/>
          <w:lang w:val="en-US" w:eastAsia="zh-CN"/>
        </w:rPr>
        <w:t>无</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 w:hAnsi="仿宋" w:eastAsia="仿宋" w:cs="Times New Roman"/>
          <w:sz w:val="32"/>
          <w:szCs w:val="32"/>
          <w:lang w:val="en-US" w:eastAsia="zh-CN"/>
        </w:rPr>
        <w:t>下乡以及其他业务活动和</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320" w:firstLineChars="100"/>
        <w:outlineLvl w:val="1"/>
        <w:rPr>
          <w:rStyle w:val="32"/>
          <w:rFonts w:ascii="Times New Roman" w:hAnsi="Times New Roman" w:eastAsia="黑体"/>
          <w:color w:val="auto"/>
          <w:highlight w:val="none"/>
        </w:rPr>
      </w:pPr>
      <w:bookmarkStart w:id="37" w:name="_Toc15396610"/>
      <w:bookmarkStart w:id="38" w:name="_Toc15377218"/>
      <w:r>
        <w:rPr>
          <w:rFonts w:hint="eastAsia" w:ascii="Times New Roman" w:hAnsi="Times New Roman" w:eastAsia="黑体"/>
          <w:color w:val="auto"/>
          <w:sz w:val="32"/>
          <w:szCs w:val="32"/>
          <w:highlight w:val="none"/>
        </w:rPr>
        <w:t>八、</w:t>
      </w:r>
      <w:r>
        <w:rPr>
          <w:rStyle w:val="32"/>
          <w:rFonts w:hint="eastAsia" w:ascii="Times New Roman" w:hAnsi="Times New Roman" w:eastAsia="黑体"/>
          <w:b w:val="0"/>
          <w:color w:val="auto"/>
          <w:highlight w:val="none"/>
        </w:rPr>
        <w:t>政府性基金预算支出决算情况说明</w:t>
      </w:r>
      <w:bookmarkEnd w:id="37"/>
      <w:bookmarkEnd w:id="38"/>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无</w:t>
      </w:r>
    </w:p>
    <w:p>
      <w:pPr>
        <w:numPr>
          <w:ilvl w:val="0"/>
          <w:numId w:val="0"/>
        </w:numPr>
        <w:spacing w:line="600" w:lineRule="exact"/>
        <w:ind w:left="630" w:leftChars="0"/>
        <w:outlineLvl w:val="1"/>
        <w:rPr>
          <w:rStyle w:val="32"/>
          <w:rFonts w:ascii="Times New Roman" w:hAnsi="Times New Roman" w:eastAsia="黑体"/>
          <w:b w:val="0"/>
          <w:color w:val="auto"/>
          <w:highlight w:val="none"/>
        </w:rPr>
      </w:pPr>
      <w:bookmarkStart w:id="39" w:name="_Toc15377219"/>
      <w:bookmarkStart w:id="40" w:name="_Toc15396611"/>
      <w:r>
        <w:rPr>
          <w:rStyle w:val="32"/>
          <w:rFonts w:hint="eastAsia" w:ascii="Times New Roman" w:hAnsi="Times New Roman" w:eastAsia="黑体"/>
          <w:b w:val="0"/>
          <w:color w:val="auto"/>
          <w:highlight w:val="none"/>
          <w:lang w:eastAsia="zh-CN"/>
        </w:rPr>
        <w:t>九、</w:t>
      </w:r>
      <w:r>
        <w:rPr>
          <w:rStyle w:val="32"/>
          <w:rFonts w:hint="eastAsia" w:ascii="Times New Roman" w:hAnsi="Times New Roman" w:eastAsia="黑体"/>
          <w:b w:val="0"/>
          <w:color w:val="auto"/>
          <w:highlight w:val="none"/>
        </w:rPr>
        <w:t>国有资本经营预算支出决算情况说明</w:t>
      </w:r>
      <w:bookmarkEnd w:id="39"/>
      <w:bookmarkEnd w:id="4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无</w:t>
      </w:r>
    </w:p>
    <w:p>
      <w:pPr>
        <w:numPr>
          <w:ilvl w:val="0"/>
          <w:numId w:val="0"/>
        </w:numPr>
        <w:spacing w:line="600" w:lineRule="exact"/>
        <w:ind w:left="630" w:leftChars="0"/>
        <w:outlineLvl w:val="1"/>
        <w:rPr>
          <w:rStyle w:val="32"/>
          <w:rFonts w:hint="eastAsia" w:ascii="Times New Roman" w:hAnsi="Times New Roman" w:eastAsia="黑体"/>
          <w:b w:val="0"/>
          <w:color w:val="auto"/>
          <w:highlight w:val="none"/>
        </w:rPr>
      </w:pPr>
      <w:bookmarkStart w:id="41" w:name="_Toc15377221"/>
      <w:bookmarkStart w:id="42" w:name="_Toc15396612"/>
      <w:r>
        <w:rPr>
          <w:rStyle w:val="32"/>
          <w:rFonts w:hint="eastAsia" w:ascii="Times New Roman" w:hAnsi="Times New Roman" w:eastAsia="黑体"/>
          <w:b w:val="0"/>
          <w:color w:val="auto"/>
          <w:highlight w:val="none"/>
          <w:lang w:eastAsia="zh-CN"/>
        </w:rPr>
        <w:t>十、</w:t>
      </w:r>
      <w:r>
        <w:rPr>
          <w:rStyle w:val="32"/>
          <w:rFonts w:hint="eastAsia" w:ascii="Times New Roman" w:hAnsi="Times New Roman" w:eastAsia="黑体"/>
          <w:b w:val="0"/>
          <w:color w:val="auto"/>
          <w:highlight w:val="none"/>
        </w:rPr>
        <w:t>其他重要事项的情况说明</w:t>
      </w:r>
      <w:bookmarkEnd w:id="41"/>
      <w:bookmarkEnd w:id="42"/>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3" w:name="_Toc15377222"/>
      <w:r>
        <w:rPr>
          <w:rFonts w:hint="eastAsia" w:ascii="Times New Roman" w:hAnsi="Times New Roman" w:eastAsia="楷体_GB2312" w:cs="楷体_GB2312"/>
          <w:b/>
          <w:color w:val="auto"/>
          <w:sz w:val="32"/>
          <w:szCs w:val="32"/>
          <w:highlight w:val="none"/>
        </w:rPr>
        <w:t>（一）机关运行经费支出情况</w:t>
      </w:r>
      <w:bookmarkEnd w:id="43"/>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 年度壤塘县妇女联合会机关运行经费支出 7.17 万元，2024 年度壤塘县妇女联合会机关运行经费支出 6.31 万元，比上年度增加 0.86 万元，增长 13.63%。主要原因是人员经费、公用经费标准调整，保障妇联日常履职、职工活动开展等刚性支出增加。</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4" w:name="_Toc15377223"/>
      <w:r>
        <w:rPr>
          <w:rFonts w:hint="eastAsia" w:ascii="Times New Roman" w:hAnsi="Times New Roman" w:eastAsia="楷体_GB2312" w:cs="楷体_GB2312"/>
          <w:b/>
          <w:color w:val="auto"/>
          <w:sz w:val="32"/>
          <w:szCs w:val="32"/>
          <w:highlight w:val="none"/>
        </w:rPr>
        <w:t>（二）政府采购支出情况</w:t>
      </w:r>
      <w:bookmarkEnd w:id="4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壤塘县妇女联合会</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321" w:firstLineChars="100"/>
        <w:outlineLvl w:val="2"/>
        <w:rPr>
          <w:rFonts w:hint="eastAsia" w:ascii="Times New Roman" w:hAnsi="Times New Roman" w:eastAsia="楷体_GB2312" w:cs="楷体_GB2312"/>
          <w:b/>
          <w:color w:val="auto"/>
          <w:sz w:val="32"/>
          <w:szCs w:val="32"/>
          <w:highlight w:val="none"/>
        </w:rPr>
      </w:pPr>
      <w:bookmarkStart w:id="45" w:name="_Toc15377224"/>
      <w:r>
        <w:rPr>
          <w:rFonts w:hint="eastAsia" w:ascii="Times New Roman" w:hAnsi="Times New Roman" w:eastAsia="楷体_GB2312" w:cs="楷体_GB2312"/>
          <w:b/>
          <w:color w:val="auto"/>
          <w:sz w:val="32"/>
          <w:szCs w:val="32"/>
          <w:highlight w:val="none"/>
        </w:rPr>
        <w:t>（三）国有资产占有使用情况</w:t>
      </w:r>
      <w:bookmarkEnd w:id="4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截至</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壤塘县妇女联合会</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下乡及开展活动</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321" w:firstLineChars="1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pStyle w:val="17"/>
        <w:keepNext w:val="0"/>
        <w:keepLines w:val="0"/>
        <w:widowControl/>
        <w:suppressLineNumbers w:val="0"/>
        <w:spacing w:after="0" w:afterAutospacing="0"/>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 年，壤塘县</w:t>
      </w:r>
      <w:r>
        <w:rPr>
          <w:rFonts w:hint="eastAsia" w:eastAsia="仿宋_GB2312" w:cs="仿宋_GB2312"/>
          <w:color w:val="auto"/>
          <w:kern w:val="2"/>
          <w:sz w:val="32"/>
          <w:szCs w:val="32"/>
          <w:highlight w:val="none"/>
          <w:lang w:val="en-US" w:eastAsia="zh-CN" w:bidi="ar-SA"/>
        </w:rPr>
        <w:t>妇女联合会</w:t>
      </w:r>
      <w:r>
        <w:rPr>
          <w:rFonts w:hint="eastAsia" w:ascii="Times New Roman" w:hAnsi="Times New Roman" w:eastAsia="仿宋_GB2312" w:cs="仿宋_GB2312"/>
          <w:color w:val="auto"/>
          <w:kern w:val="2"/>
          <w:sz w:val="32"/>
          <w:szCs w:val="32"/>
          <w:highlight w:val="none"/>
          <w:lang w:val="en-US" w:eastAsia="zh-CN" w:bidi="ar-SA"/>
        </w:rPr>
        <w:t>严格落实预算绩效管理各项规定，全面推进预算绩效管理工作，坚持绩效目标前置、过程监控、绩效自评闭环管理，切实提</w:t>
      </w:r>
      <w:r>
        <w:rPr>
          <w:rFonts w:hint="eastAsia" w:eastAsia="仿宋_GB2312" w:cs="仿宋_GB2312"/>
          <w:color w:val="auto"/>
          <w:kern w:val="2"/>
          <w:sz w:val="32"/>
          <w:szCs w:val="32"/>
          <w:highlight w:val="none"/>
          <w:lang w:val="en-US" w:eastAsia="zh-CN" w:bidi="ar-SA"/>
        </w:rPr>
        <w:t>高</w:t>
      </w:r>
      <w:r>
        <w:rPr>
          <w:rFonts w:hint="eastAsia" w:ascii="Times New Roman" w:hAnsi="Times New Roman" w:eastAsia="仿宋_GB2312" w:cs="仿宋_GB2312"/>
          <w:color w:val="auto"/>
          <w:kern w:val="2"/>
          <w:sz w:val="32"/>
          <w:szCs w:val="32"/>
          <w:highlight w:val="none"/>
          <w:lang w:val="en-US" w:eastAsia="zh-CN" w:bidi="ar-SA"/>
        </w:rPr>
        <w:t>财政资金使用效益。</w:t>
      </w:r>
    </w:p>
    <w:p>
      <w:pPr>
        <w:pStyle w:val="17"/>
        <w:keepNext w:val="0"/>
        <w:keepLines w:val="0"/>
        <w:widowControl/>
        <w:suppressLineNumbers w:val="0"/>
        <w:spacing w:before="0" w:beforeAutospacing="0" w:after="0" w:afterAutospacing="0"/>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是强化绩效目标管理。所有纳入预算的项目资金均按要求编制绩效目标，做到绩效目标与预算同步申报、同步审核、同步批复，细化量化绩效指标，明确产出指标、效益指标、满意度指标，确保绩效目标可衡量、可考核。</w:t>
      </w:r>
    </w:p>
    <w:p>
      <w:pPr>
        <w:pStyle w:val="17"/>
        <w:keepNext w:val="0"/>
        <w:keepLines w:val="0"/>
        <w:widowControl/>
        <w:suppressLineNumbers w:val="0"/>
        <w:spacing w:before="0" w:beforeAutospacing="0" w:after="0" w:afterAutospacing="0"/>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二是做实绩效运行监控。在预算执行过程中，定期对项目绩效目标完成情况、资金支出进度开展跟踪监控，及时掌握项目实施进度和绩效实现情况，对执行偏差及时分析研判，督促加快资金拨付，防范资金闲置低效问题。</w:t>
      </w:r>
    </w:p>
    <w:p>
      <w:pPr>
        <w:pStyle w:val="17"/>
        <w:keepNext w:val="0"/>
        <w:keepLines w:val="0"/>
        <w:widowControl/>
        <w:suppressLineNumbers w:val="0"/>
        <w:spacing w:after="0" w:afterAutospacing="0"/>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三是开展绩效自评工作。年度终了，对预算安排的项目资金开展绩效自评，客观评价项目产出成效、社会效益，形成绩效自评报告。自评结果作为下一年度预算编制、资金安排的重要依据，做到绩效评价结果与预算安排挂钩。</w:t>
      </w:r>
    </w:p>
    <w:p>
      <w:pPr>
        <w:pStyle w:val="17"/>
        <w:keepNext w:val="0"/>
        <w:keepLines w:val="0"/>
        <w:widowControl/>
        <w:suppressLineNumbers w:val="0"/>
        <w:spacing w:before="0" w:beforeAutospacing="0" w:after="0" w:afterAutospacing="0"/>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四是健全绩效结果应用。针对绩效自评发现的薄弱环节，逐项落实整改措施，优化项目实施方案，完善管理制度，不断提升工会经费保障水平，保障职工维权、普惠服务、劳模慰问、基层工会建设等重点工作落地见效，切实发挥工会服务职工、服务基层职能作用。</w:t>
      </w:r>
    </w:p>
    <w:p>
      <w:pPr>
        <w:numPr>
          <w:ilvl w:val="0"/>
          <w:numId w:val="0"/>
        </w:numPr>
        <w:spacing w:line="600" w:lineRule="exact"/>
        <w:ind w:firstLine="1760" w:firstLineChars="400"/>
        <w:jc w:val="both"/>
        <w:outlineLvl w:val="0"/>
        <w:rPr>
          <w:rFonts w:hint="eastAsia" w:ascii="Times New Roman" w:hAnsi="Times New Roman" w:eastAsia="黑体"/>
          <w:color w:val="auto"/>
          <w:sz w:val="44"/>
          <w:szCs w:val="44"/>
          <w:highlight w:val="none"/>
        </w:rPr>
      </w:pPr>
      <w:bookmarkStart w:id="46" w:name="_Toc15396613"/>
      <w:bookmarkStart w:id="47"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6"/>
      <w:bookmarkEnd w:id="47"/>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1.财政拨款收入：指单位从同级财政部门取得的财政预算资金。</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2.事业收入：指事业单位开展专业业务活动及辅助活动取得的收入。</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3.经营收入：指事业单位在专业业务活动及其辅助活动之外开展非独立核算经营活动取得的收入。</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4.其他收入：指单位取得的除上述收入以外的各项收入。 </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6.年初结转和结余：指以前年度尚未完成、结转到本年按有关规定继续使用的资金。 </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7.结余分配：指事业单位按照事业单位会计制度的规定从非财政补助结余中分配的事业基金和职工福利基金等。</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8.年末结转和结余：指单位按有关规定结转到下年或以后年度继续使用的资金。</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bookmarkStart w:id="48" w:name="_Toc15396614"/>
      <w:bookmarkStart w:id="49" w:name="_Toc15377226"/>
      <w:r>
        <w:rPr>
          <w:rFonts w:hint="eastAsia" w:ascii="仿宋_GB2312" w:hAnsi="仿宋_GB2312" w:eastAsia="仿宋_GB2312" w:cs="仿宋_GB2312"/>
          <w:kern w:val="2"/>
          <w:sz w:val="32"/>
          <w:szCs w:val="32"/>
          <w:lang w:val="en-US" w:eastAsia="zh-CN" w:bidi="ar-SA"/>
        </w:rPr>
        <w:t>9.一般公共服务：指反映政府提供一般公共服务的支出。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10.外交：指反映政府外交事务支出。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11.公共安全：指反映政府维护社会公共安全方面的支出。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12.教育：指反映政府教育事务支出。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13.科学技术：指反映科学技术方面的支出。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14.文化体育与传媒 ：指反映政府在文化、体育、文物、广播影视、新闻出版等方面的支出。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15.社会保障和就业：指反映政府在社会保障与就业方面的支出。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16.医疗卫生与计划生育：指反映医疗卫生与计划生育、中医等管理事务方面的支出。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17.节能环保：指反映政府节能环保支出。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18.城乡社区（类）：指反映政府城乡管理事务支出。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19.农林水：指反映政府农林水支出。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20.交通运输：指反映交通运输和邮政业务相关的支出。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21.资源勘探信息等：指反映用于资源勘探、制造业、建筑业、工业信息等方面的支出。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22.商业服务业：指反映商业服务等方面的支出。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23.金融：指反映金融方面的支出。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24.国土海洋气象：指反映政府用于国土资源、海洋、测绘、地震、气象等公益服务事业方面的支出。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25.住房保障：指集中反映政府用于住房方面的支出。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26.粮油物资储备：指反映政府用于粮油物资储备方面的支出。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27.基本支出：指为保障机构正常运转、完成日常工作任务而发生的人员支出和公用支出。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28.项目支出：指在基本支出之外为完成特定行政任务和事业发展目标所发生的支出。 </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29.经营支出：指事业单位在专业业务活动及其辅助活动之外开展非独立核算经营活动发生的支出。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15"/>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both"/>
        <w:rPr>
          <w:rStyle w:val="31"/>
          <w:rFonts w:hint="eastAsia" w:ascii="Times New Roman" w:hAnsi="Times New Roman" w:eastAsia="黑体"/>
          <w:b w:val="0"/>
          <w:color w:val="auto"/>
          <w:sz w:val="36"/>
          <w:szCs w:val="36"/>
          <w:highlight w:val="none"/>
          <w:lang w:val="en-US" w:eastAsia="zh-CN"/>
        </w:rPr>
      </w:pPr>
      <w:r>
        <w:rPr>
          <w:rFonts w:hint="eastAsia" w:ascii="Times New Roman" w:hAnsi="Times New Roman" w:eastAsia="黑体"/>
          <w:color w:val="auto"/>
          <w:sz w:val="36"/>
          <w:szCs w:val="36"/>
          <w:highlight w:val="none"/>
        </w:rPr>
        <w:t>第四部分</w:t>
      </w:r>
      <w:r>
        <w:rPr>
          <w:rFonts w:hint="eastAsia" w:ascii="Times New Roman" w:hAnsi="Times New Roman" w:eastAsia="黑体"/>
          <w:color w:val="auto"/>
          <w:sz w:val="36"/>
          <w:szCs w:val="36"/>
          <w:highlight w:val="none"/>
          <w:lang w:val="en-US" w:eastAsia="zh-CN"/>
        </w:rPr>
        <w:t xml:space="preserve"> </w:t>
      </w:r>
      <w:r>
        <w:rPr>
          <w:rFonts w:hint="eastAsia" w:ascii="Times New Roman" w:hAnsi="Times New Roman" w:eastAsia="黑体"/>
          <w:color w:val="auto"/>
          <w:sz w:val="36"/>
          <w:szCs w:val="36"/>
          <w:highlight w:val="none"/>
        </w:rPr>
        <w:t xml:space="preserve"> 附件</w:t>
      </w:r>
      <w:bookmarkEnd w:id="48"/>
      <w:r>
        <w:rPr>
          <w:rFonts w:hint="eastAsia" w:eastAsia="黑体"/>
          <w:color w:val="auto"/>
          <w:sz w:val="36"/>
          <w:szCs w:val="36"/>
          <w:highlight w:val="none"/>
          <w:lang w:val="en-US" w:eastAsia="zh-CN"/>
        </w:rPr>
        <w:t>1</w:t>
      </w:r>
    </w:p>
    <w:p>
      <w:pPr>
        <w:spacing w:line="360" w:lineRule="auto"/>
        <w:jc w:val="center"/>
        <w:rPr>
          <w:rFonts w:hint="eastAsia" w:ascii="宋体" w:hAnsi="宋体" w:cs="宋体"/>
          <w:b/>
          <w:bCs/>
          <w:kern w:val="0"/>
          <w:sz w:val="44"/>
          <w:szCs w:val="44"/>
        </w:rPr>
      </w:pPr>
    </w:p>
    <w:p>
      <w:pPr>
        <w:spacing w:line="360" w:lineRule="auto"/>
        <w:jc w:val="center"/>
        <w:rPr>
          <w:rFonts w:hint="eastAsia" w:ascii="宋体" w:hAnsi="宋体" w:cs="宋体"/>
          <w:b/>
          <w:bCs/>
          <w:kern w:val="0"/>
          <w:sz w:val="44"/>
          <w:szCs w:val="44"/>
        </w:rPr>
      </w:pPr>
      <w:r>
        <w:rPr>
          <w:rFonts w:hint="eastAsia" w:ascii="宋体" w:hAnsi="宋体" w:cs="宋体"/>
          <w:b/>
          <w:bCs/>
          <w:kern w:val="0"/>
          <w:sz w:val="44"/>
          <w:szCs w:val="44"/>
        </w:rPr>
        <w:t>壤塘县妇女联合会</w:t>
      </w:r>
    </w:p>
    <w:p>
      <w:pPr>
        <w:spacing w:line="360" w:lineRule="auto"/>
        <w:jc w:val="center"/>
        <w:rPr>
          <w:rFonts w:ascii="宋体" w:hAnsi="宋体" w:cs="宋体"/>
          <w:b/>
          <w:bCs/>
          <w:kern w:val="0"/>
          <w:sz w:val="44"/>
          <w:szCs w:val="44"/>
        </w:rPr>
      </w:pPr>
      <w:r>
        <w:rPr>
          <w:rFonts w:hint="eastAsia" w:ascii="宋体" w:hAnsi="宋体" w:cs="宋体"/>
          <w:b/>
          <w:bCs/>
          <w:kern w:val="0"/>
          <w:sz w:val="44"/>
          <w:szCs w:val="44"/>
          <w:lang w:eastAsia="zh-CN"/>
        </w:rPr>
        <w:t>202</w:t>
      </w:r>
      <w:r>
        <w:rPr>
          <w:rFonts w:hint="eastAsia" w:ascii="宋体" w:hAnsi="宋体" w:cs="宋体"/>
          <w:b/>
          <w:bCs/>
          <w:kern w:val="0"/>
          <w:sz w:val="44"/>
          <w:szCs w:val="44"/>
          <w:lang w:val="en-US" w:eastAsia="zh-CN"/>
        </w:rPr>
        <w:t>5</w:t>
      </w:r>
      <w:r>
        <w:rPr>
          <w:rFonts w:hint="eastAsia" w:ascii="宋体" w:hAnsi="宋体" w:cs="宋体"/>
          <w:b/>
          <w:bCs/>
          <w:kern w:val="0"/>
          <w:sz w:val="44"/>
          <w:szCs w:val="44"/>
          <w:lang w:eastAsia="zh-CN"/>
        </w:rPr>
        <w:t>年</w:t>
      </w:r>
      <w:r>
        <w:rPr>
          <w:rFonts w:hint="eastAsia" w:ascii="宋体" w:hAnsi="宋体" w:cs="宋体"/>
          <w:b/>
          <w:bCs/>
          <w:kern w:val="0"/>
          <w:sz w:val="44"/>
          <w:szCs w:val="44"/>
        </w:rPr>
        <w:t>度部门整体支出绩效评价自评报告</w:t>
      </w: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widowControl/>
        <w:adjustRightInd w:val="0"/>
        <w:snapToGrid w:val="0"/>
        <w:spacing w:line="578" w:lineRule="exact"/>
        <w:ind w:firstLine="480" w:firstLineChars="200"/>
        <w:contextualSpacing/>
        <w:jc w:val="left"/>
        <w:rPr>
          <w:rFonts w:hint="eastAsia" w:ascii="Times New Roman" w:hAnsi="Times New Roman" w:eastAsia="黑体" w:cs="Times New Roman"/>
          <w:color w:val="000000"/>
          <w:kern w:val="0"/>
          <w:sz w:val="36"/>
          <w:szCs w:val="52"/>
          <w:shd w:val="clear" w:color="auto" w:fill="FFFFFF"/>
          <w:lang w:val="zh-CN" w:eastAsia="zh-CN"/>
        </w:rPr>
      </w:pPr>
      <w:r>
        <w:rPr>
          <w:rFonts w:eastAsia="黑体"/>
          <w:color w:val="000000"/>
          <w:kern w:val="0"/>
          <w:sz w:val="24"/>
          <w:szCs w:val="40"/>
          <w:shd w:val="clear" w:color="auto" w:fill="FFFFFF"/>
          <w:lang w:val="zh-CN"/>
        </w:rPr>
        <w:t>一、部门（单位）基本情况</w:t>
      </w:r>
    </w:p>
    <w:p>
      <w:pPr>
        <w:widowControl/>
        <w:adjustRightInd w:val="0"/>
        <w:snapToGrid w:val="0"/>
        <w:spacing w:line="578" w:lineRule="exact"/>
        <w:ind w:firstLine="560" w:firstLineChars="200"/>
        <w:contextualSpacing/>
        <w:jc w:val="left"/>
        <w:rPr>
          <w:rFonts w:hint="eastAsia" w:ascii="仿宋_GB2312" w:hAnsi="仿宋_GB2312" w:eastAsia="仿宋_GB2312" w:cs="仿宋_GB2312"/>
          <w:color w:val="auto"/>
          <w:kern w:val="2"/>
          <w:sz w:val="32"/>
          <w:szCs w:val="32"/>
          <w:lang w:val="en-US" w:eastAsia="zh-CN" w:bidi="ar-SA"/>
        </w:rPr>
      </w:pPr>
      <w:r>
        <w:rPr>
          <w:rFonts w:hint="eastAsia" w:ascii="Times New Roman" w:hAnsi="Times New Roman" w:eastAsia="黑体" w:cs="Times New Roman"/>
          <w:color w:val="000000"/>
          <w:kern w:val="0"/>
          <w:sz w:val="28"/>
          <w:szCs w:val="44"/>
          <w:shd w:val="clear" w:color="auto" w:fill="FFFFFF"/>
          <w:lang w:val="zh-CN" w:eastAsia="zh-CN"/>
        </w:rPr>
        <w:t>（一）机构组成。</w:t>
      </w:r>
      <w:r>
        <w:rPr>
          <w:rFonts w:hint="eastAsia" w:ascii="仿宋_GB2312" w:hAnsi="仿宋_GB2312" w:eastAsia="仿宋_GB2312" w:cs="仿宋_GB2312"/>
          <w:sz w:val="32"/>
          <w:szCs w:val="32"/>
        </w:rPr>
        <w:t>壤塘妇女联合会共有</w:t>
      </w:r>
      <w:r>
        <w:rPr>
          <w:rFonts w:hint="eastAsia" w:ascii="仿宋_GB2312" w:hAnsi="仿宋_GB2312" w:eastAsia="仿宋_GB2312" w:cs="仿宋_GB2312"/>
          <w:color w:val="auto"/>
          <w:sz w:val="32"/>
          <w:szCs w:val="32"/>
        </w:rPr>
        <w:t>3个股室，办公室、维权部、妇女儿童工作部</w:t>
      </w:r>
    </w:p>
    <w:p>
      <w:pPr>
        <w:spacing w:line="360" w:lineRule="auto"/>
        <w:ind w:firstLine="642" w:firstLineChars="200"/>
        <w:rPr>
          <w:rFonts w:hint="eastAsia" w:ascii="仿宋_GB2312" w:hAnsi="仿宋_GB2312" w:eastAsia="仿宋_GB2312" w:cs="仿宋_GB2312"/>
          <w:kern w:val="10"/>
          <w:sz w:val="32"/>
          <w:szCs w:val="32"/>
        </w:rPr>
      </w:pPr>
      <w:r>
        <w:rPr>
          <w:rFonts w:ascii="Times New Roman" w:hAnsi="Times New Roman" w:eastAsia="楷体_GB2312" w:cs="Times New Roman"/>
          <w:b/>
          <w:bCs/>
          <w:color w:val="000000"/>
          <w:kern w:val="0"/>
          <w:sz w:val="32"/>
          <w:szCs w:val="32"/>
          <w:shd w:val="clear" w:color="auto" w:fill="FFFFFF"/>
          <w:lang w:val="zh-CN" w:eastAsia="zh-CN" w:bidi="ar-SA"/>
        </w:rPr>
        <w:t>（二）机构职能。</w:t>
      </w:r>
      <w:r>
        <w:rPr>
          <w:rFonts w:hint="eastAsia" w:ascii="仿宋_GB2312" w:hAnsi="仿宋_GB2312" w:eastAsia="仿宋_GB2312" w:cs="仿宋_GB2312"/>
          <w:kern w:val="10"/>
          <w:sz w:val="32"/>
          <w:szCs w:val="32"/>
        </w:rPr>
        <w:t>1.办公室。负责全会的秘书、档案、资料、保密、统计工作;协调、组织开展妇女工作的调查研究:负责文件讲话稿的起草、编写简报、信息，上情下达、下情上报:负责机关职工的政治学习和请假事宜等行政管理工作。</w:t>
      </w:r>
    </w:p>
    <w:p>
      <w:pPr>
        <w:spacing w:line="360" w:lineRule="auto"/>
        <w:ind w:firstLine="640" w:firstLineChars="200"/>
        <w:rPr>
          <w:rFonts w:hint="eastAsia" w:ascii="仿宋_GB2312" w:hAnsi="仿宋_GB2312" w:eastAsia="仿宋_GB2312" w:cs="仿宋_GB2312"/>
          <w:kern w:val="10"/>
          <w:sz w:val="32"/>
          <w:szCs w:val="32"/>
        </w:rPr>
      </w:pPr>
      <w:r>
        <w:rPr>
          <w:rFonts w:hint="eastAsia" w:ascii="仿宋_GB2312" w:hAnsi="仿宋_GB2312" w:eastAsia="仿宋_GB2312" w:cs="仿宋_GB2312"/>
          <w:kern w:val="10"/>
          <w:sz w:val="32"/>
          <w:szCs w:val="32"/>
        </w:rPr>
        <w:t>2.维权部。负责推动《妇女法》和新《</w:t>
      </w:r>
      <w:r>
        <w:rPr>
          <w:rFonts w:hint="eastAsia" w:ascii="仿宋_GB2312" w:hAnsi="仿宋_GB2312" w:eastAsia="仿宋_GB2312" w:cs="仿宋_GB2312"/>
          <w:kern w:val="10"/>
          <w:sz w:val="32"/>
          <w:szCs w:val="32"/>
          <w:lang w:eastAsia="zh-CN"/>
        </w:rPr>
        <w:t>中华人民共和国</w:t>
      </w:r>
      <w:r>
        <w:rPr>
          <w:rFonts w:hint="eastAsia" w:ascii="仿宋_GB2312" w:hAnsi="仿宋_GB2312" w:eastAsia="仿宋_GB2312" w:cs="仿宋_GB2312"/>
          <w:kern w:val="10"/>
          <w:sz w:val="32"/>
          <w:szCs w:val="32"/>
        </w:rPr>
        <w:t>婚姻法》宣传，贯彻实施工作;了解培养选拔女干部的工作情况，发现考察、推荐各条战线优秀妇女人才，建立妇女人才档案库；了解妇女权益方面的呼声，切实维护妇女儿童的合法权益，处理日常群众来信和接待群众来访。对重大典型信访案件进行调查研究，配合有关部门干部予以解决，为受害妇女伸张正义，排忧解难，进一步促进男女平等。</w:t>
      </w:r>
    </w:p>
    <w:p>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10"/>
          <w:sz w:val="32"/>
          <w:szCs w:val="32"/>
        </w:rPr>
        <w:t>3.妇女儿童工作部(挂县政府妇儿工委办公室牌子）负责推动《中国妇女发展</w:t>
      </w:r>
      <w:r>
        <w:rPr>
          <w:rFonts w:hint="eastAsia" w:ascii="仿宋_GB2312" w:hAnsi="仿宋_GB2312" w:eastAsia="仿宋_GB2312" w:cs="仿宋_GB2312"/>
          <w:kern w:val="10"/>
          <w:sz w:val="32"/>
          <w:szCs w:val="32"/>
          <w:lang w:eastAsia="zh-CN"/>
        </w:rPr>
        <w:t>纲</w:t>
      </w:r>
      <w:r>
        <w:rPr>
          <w:rFonts w:hint="eastAsia" w:ascii="仿宋_GB2312" w:hAnsi="仿宋_GB2312" w:eastAsia="仿宋_GB2312" w:cs="仿宋_GB2312"/>
          <w:kern w:val="10"/>
          <w:sz w:val="32"/>
          <w:szCs w:val="32"/>
        </w:rPr>
        <w:t>要(2001-2010）》、《中国儿童发展纲要(2001-2010)》和《两法》(</w:t>
      </w:r>
      <w:r>
        <w:rPr>
          <w:rFonts w:hint="eastAsia" w:ascii="仿宋_GB2312" w:hAnsi="仿宋_GB2312" w:eastAsia="仿宋_GB2312" w:cs="仿宋_GB2312"/>
          <w:kern w:val="10"/>
          <w:sz w:val="32"/>
          <w:szCs w:val="32"/>
          <w:lang w:eastAsia="zh-CN"/>
        </w:rPr>
        <w:t>《中华人民共和国妇女权益保障法》</w:t>
      </w:r>
      <w:r>
        <w:rPr>
          <w:rFonts w:hint="eastAsia" w:ascii="仿宋_GB2312" w:hAnsi="仿宋_GB2312" w:eastAsia="仿宋_GB2312" w:cs="仿宋_GB2312"/>
          <w:kern w:val="10"/>
          <w:sz w:val="32"/>
          <w:szCs w:val="32"/>
        </w:rPr>
        <w:t>、《</w:t>
      </w:r>
      <w:r>
        <w:rPr>
          <w:rFonts w:hint="eastAsia" w:ascii="仿宋_GB2312" w:hAnsi="仿宋_GB2312" w:eastAsia="仿宋_GB2312" w:cs="仿宋_GB2312"/>
          <w:kern w:val="10"/>
          <w:sz w:val="32"/>
          <w:szCs w:val="32"/>
          <w:lang w:eastAsia="zh-CN"/>
        </w:rPr>
        <w:t>中华人民共和国</w:t>
      </w:r>
      <w:r>
        <w:rPr>
          <w:rFonts w:hint="eastAsia" w:ascii="仿宋_GB2312" w:hAnsi="仿宋_GB2312" w:eastAsia="仿宋_GB2312" w:cs="仿宋_GB2312"/>
          <w:kern w:val="10"/>
          <w:sz w:val="32"/>
          <w:szCs w:val="32"/>
        </w:rPr>
        <w:t>未成年人保护法》)的贯彻实施，宣传普及家庭科学知识、开展谅教宵理论研究，开展家庭教育理论研究，培训家教骨干，提高家教水平。指导督促全县十二个乡(镇)妇联的宣传救育工作，领导全具妇女开展“巾帼建功”、“双学双赛”、“家庭文化建设”、“巾帼系列活动”，加强“四自”、“四有”救育，配合农牧、文教部门推动全县妇女扫盲工作。促进女童入学，承担县政府妇女儿童工作委员会日常工作</w:t>
      </w:r>
      <w:r>
        <w:rPr>
          <w:rFonts w:hint="eastAsia" w:ascii="仿宋_GB2312" w:hAnsi="仿宋_GB2312" w:eastAsia="仿宋_GB2312" w:cs="仿宋_GB2312"/>
          <w:sz w:val="32"/>
          <w:szCs w:val="32"/>
        </w:rPr>
        <w:t>。</w:t>
      </w:r>
    </w:p>
    <w:p>
      <w:pPr>
        <w:ind w:firstLine="700" w:firstLineChars="250"/>
        <w:rPr>
          <w:rFonts w:hint="default" w:ascii="仿宋_GB2312" w:hAnsi="仿宋_GB2312" w:eastAsia="仿宋_GB2312" w:cs="仿宋_GB2312"/>
          <w:color w:val="auto"/>
          <w:kern w:val="2"/>
          <w:sz w:val="32"/>
          <w:szCs w:val="32"/>
          <w:lang w:val="en-US" w:eastAsia="zh-CN" w:bidi="ar-SA"/>
        </w:rPr>
      </w:pPr>
      <w:r>
        <w:rPr>
          <w:rFonts w:hint="eastAsia" w:ascii="Times New Roman" w:hAnsi="Times New Roman" w:eastAsia="黑体" w:cs="Times New Roman"/>
          <w:color w:val="000000"/>
          <w:kern w:val="0"/>
          <w:sz w:val="28"/>
          <w:szCs w:val="44"/>
          <w:shd w:val="clear" w:color="auto" w:fill="FFFFFF"/>
          <w:lang w:val="zh-CN" w:eastAsia="zh-CN"/>
        </w:rPr>
        <w:t>（三）人员概况。</w:t>
      </w:r>
      <w:r>
        <w:rPr>
          <w:rFonts w:hint="eastAsia" w:ascii="仿宋_GB2312" w:hAnsi="宋体" w:eastAsia="仿宋_GB2312" w:cs="仿宋_GB2312"/>
          <w:kern w:val="0"/>
          <w:sz w:val="32"/>
          <w:szCs w:val="32"/>
          <w:lang w:val="en-US" w:eastAsia="zh-CN"/>
        </w:rPr>
        <w:t xml:space="preserve">截至2025年12月31日在职人员共6人，其中:行政编制3人；行政工勤1人；事业编制  2人 </w:t>
      </w:r>
      <w:r>
        <w:rPr>
          <w:rFonts w:hint="eastAsia" w:ascii="仿宋_GB2312" w:hAnsi="仿宋_GB2312" w:eastAsia="仿宋_GB2312" w:cs="仿宋_GB2312"/>
          <w:sz w:val="32"/>
          <w:szCs w:val="32"/>
        </w:rPr>
        <w:t>。</w:t>
      </w:r>
    </w:p>
    <w:p>
      <w:pPr>
        <w:widowControl/>
        <w:adjustRightInd w:val="0"/>
        <w:snapToGrid w:val="0"/>
        <w:spacing w:line="578" w:lineRule="exact"/>
        <w:contextualSpacing/>
        <w:jc w:val="left"/>
        <w:rPr>
          <w:rFonts w:eastAsia="黑体"/>
          <w:color w:val="000000"/>
          <w:kern w:val="0"/>
          <w:szCs w:val="32"/>
          <w:shd w:val="clear" w:color="auto" w:fill="FFFFFF"/>
        </w:rPr>
      </w:pPr>
      <w:r>
        <w:rPr>
          <w:rFonts w:eastAsia="黑体"/>
          <w:color w:val="000000"/>
          <w:kern w:val="0"/>
          <w:szCs w:val="32"/>
          <w:shd w:val="clear" w:color="auto" w:fill="FFFFFF"/>
        </w:rPr>
        <w:t>二、部门资金收支情况</w:t>
      </w:r>
    </w:p>
    <w:p>
      <w:pPr>
        <w:pStyle w:val="38"/>
        <w:spacing w:line="360" w:lineRule="auto"/>
        <w:ind w:firstLine="640"/>
        <w:rPr>
          <w:rFonts w:hint="eastAsia" w:ascii="仿宋_GB2312" w:hAnsi="仿宋_GB2312" w:eastAsia="仿宋_GB2312" w:cs="仿宋_GB2312"/>
          <w:color w:val="auto"/>
          <w:sz w:val="32"/>
          <w:szCs w:val="32"/>
          <w:lang w:eastAsia="zh-CN"/>
        </w:rPr>
      </w:pPr>
      <w:r>
        <w:rPr>
          <w:rFonts w:hint="eastAsia" w:ascii="Times New Roman" w:hAnsi="Times New Roman" w:eastAsia="黑体" w:cs="Times New Roman"/>
          <w:color w:val="000000"/>
          <w:kern w:val="0"/>
          <w:sz w:val="28"/>
          <w:szCs w:val="44"/>
          <w:shd w:val="clear" w:color="auto" w:fill="FFFFFF"/>
          <w:lang w:val="zh-CN" w:eastAsia="zh-CN" w:bidi="ar-SA"/>
        </w:rPr>
        <w:t>（一）收入情况。</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财政下达壤塘县妇女联合会年初预算收入</w:t>
      </w:r>
      <w:r>
        <w:rPr>
          <w:rFonts w:hint="eastAsia" w:ascii="仿宋_GB2312" w:hAnsi="仿宋_GB2312" w:eastAsia="仿宋_GB2312" w:cs="仿宋_GB2312"/>
          <w:sz w:val="32"/>
          <w:szCs w:val="32"/>
          <w:lang w:val="en-US" w:eastAsia="zh-CN"/>
        </w:rPr>
        <w:t>221.04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其他收入7.5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全年实际收入合计为228.54万元，本年度无财政应返还额度</w:t>
      </w:r>
      <w:r>
        <w:rPr>
          <w:rFonts w:hint="eastAsia" w:ascii="仿宋_GB2312" w:hAnsi="仿宋_GB2312" w:eastAsia="仿宋_GB2312" w:cs="仿宋_GB2312"/>
          <w:sz w:val="32"/>
          <w:szCs w:val="32"/>
        </w:rPr>
        <w:t xml:space="preserve">。 </w:t>
      </w:r>
    </w:p>
    <w:p>
      <w:pPr>
        <w:pStyle w:val="38"/>
        <w:keepNext w:val="0"/>
        <w:keepLines w:val="0"/>
        <w:pageBreakBefore w:val="0"/>
        <w:kinsoku/>
        <w:wordWrap/>
        <w:overflowPunct/>
        <w:topLinePunct w:val="0"/>
        <w:autoSpaceDE/>
        <w:autoSpaceDN/>
        <w:bidi w:val="0"/>
        <w:spacing w:beforeAutospacing="0" w:afterAutospacing="0" w:line="560" w:lineRule="exact"/>
        <w:ind w:left="0" w:leftChars="0"/>
        <w:jc w:val="both"/>
        <w:textAlignment w:val="auto"/>
        <w:rPr>
          <w:rFonts w:hint="eastAsia" w:ascii="仿宋_GB2312" w:hAnsi="仿宋_GB2312" w:eastAsia="仿宋_GB2312" w:cs="仿宋_GB2312"/>
          <w:sz w:val="32"/>
          <w:szCs w:val="32"/>
        </w:rPr>
      </w:pPr>
      <w:r>
        <w:rPr>
          <w:rFonts w:hint="eastAsia" w:ascii="Times New Roman" w:hAnsi="Times New Roman" w:eastAsia="黑体" w:cs="Times New Roman"/>
          <w:color w:val="000000"/>
          <w:kern w:val="0"/>
          <w:sz w:val="28"/>
          <w:szCs w:val="44"/>
          <w:shd w:val="clear" w:color="auto" w:fill="FFFFFF"/>
          <w:lang w:val="zh-CN" w:eastAsia="zh-CN" w:bidi="ar-SA"/>
        </w:rPr>
        <w:t>（二）支出情况</w:t>
      </w:r>
      <w:r>
        <w:rPr>
          <w:rFonts w:eastAsia="楷体_GB2312"/>
          <w:b/>
          <w:bCs/>
          <w:color w:val="000000"/>
          <w:kern w:val="0"/>
          <w:szCs w:val="32"/>
          <w:shd w:val="clear" w:color="auto" w:fill="FFFFFF"/>
          <w:lang w:val="zh-CN"/>
        </w:rPr>
        <w:t>。</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壤塘县妇女联合会支出全年预算数共计</w:t>
      </w:r>
      <w:r>
        <w:rPr>
          <w:rFonts w:hint="eastAsia" w:ascii="仿宋_GB2312" w:hAnsi="仿宋_GB2312" w:eastAsia="仿宋_GB2312" w:cs="仿宋_GB2312"/>
          <w:sz w:val="32"/>
          <w:szCs w:val="32"/>
          <w:lang w:val="en-US" w:eastAsia="zh-CN"/>
        </w:rPr>
        <w:t>228.54</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116.85</w:t>
      </w:r>
      <w:r>
        <w:rPr>
          <w:rFonts w:hint="eastAsia" w:ascii="仿宋_GB2312" w:hAnsi="仿宋_GB2312" w:eastAsia="仿宋_GB2312" w:cs="仿宋_GB2312"/>
          <w:sz w:val="32"/>
          <w:szCs w:val="32"/>
        </w:rPr>
        <w:t>万元，项目支出</w:t>
      </w:r>
      <w:r>
        <w:rPr>
          <w:rFonts w:hint="eastAsia" w:ascii="仿宋_GB2312" w:hAnsi="仿宋_GB2312" w:eastAsia="仿宋_GB2312" w:cs="仿宋_GB2312"/>
          <w:sz w:val="32"/>
          <w:szCs w:val="32"/>
          <w:lang w:val="en-US" w:eastAsia="zh-CN"/>
        </w:rPr>
        <w:t>110.69</w:t>
      </w:r>
      <w:r>
        <w:rPr>
          <w:rFonts w:hint="eastAsia" w:ascii="仿宋_GB2312" w:hAnsi="仿宋_GB2312" w:eastAsia="仿宋_GB2312" w:cs="仿宋_GB2312"/>
          <w:sz w:val="32"/>
          <w:szCs w:val="32"/>
        </w:rPr>
        <w:t>万元。</w:t>
      </w:r>
    </w:p>
    <w:p>
      <w:pPr>
        <w:pStyle w:val="38"/>
        <w:keepNext w:val="0"/>
        <w:keepLines w:val="0"/>
        <w:pageBreakBefore w:val="0"/>
        <w:kinsoku/>
        <w:wordWrap/>
        <w:overflowPunct/>
        <w:topLinePunct w:val="0"/>
        <w:autoSpaceDE/>
        <w:autoSpaceDN/>
        <w:bidi w:val="0"/>
        <w:spacing w:beforeAutospacing="0" w:afterAutospacing="0" w:line="560" w:lineRule="exact"/>
        <w:ind w:left="0" w:leftChars="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Times New Roman" w:hAnsi="Times New Roman" w:eastAsia="黑体" w:cs="Times New Roman"/>
          <w:color w:val="000000"/>
          <w:kern w:val="0"/>
          <w:sz w:val="28"/>
          <w:szCs w:val="44"/>
          <w:shd w:val="clear" w:color="auto" w:fill="FFFFFF"/>
          <w:lang w:val="zh-CN" w:eastAsia="zh-CN" w:bidi="ar-SA"/>
        </w:rPr>
        <w:t>（三）结余分配和结转结余情况。</w:t>
      </w:r>
      <w:r>
        <w:rPr>
          <w:rFonts w:hint="eastAsia" w:ascii="仿宋_GB2312" w:hAnsi="仿宋_GB2312" w:eastAsia="仿宋_GB2312" w:cs="仿宋_GB2312"/>
          <w:color w:val="auto"/>
          <w:kern w:val="0"/>
          <w:sz w:val="32"/>
          <w:szCs w:val="32"/>
          <w:lang w:val="en-US" w:eastAsia="zh-CN" w:bidi="ar"/>
        </w:rPr>
        <w:t>2025年财政下达</w:t>
      </w:r>
      <w:r>
        <w:rPr>
          <w:rFonts w:hint="eastAsia" w:ascii="仿宋_GB2312" w:hAnsi="仿宋_GB2312" w:eastAsia="仿宋_GB2312" w:cs="仿宋_GB2312"/>
          <w:sz w:val="32"/>
          <w:szCs w:val="32"/>
        </w:rPr>
        <w:t>壤塘县妇女联合会</w:t>
      </w:r>
      <w:r>
        <w:rPr>
          <w:rFonts w:hint="eastAsia" w:ascii="仿宋_GB2312" w:hAnsi="仿宋_GB2312" w:eastAsia="仿宋_GB2312" w:cs="仿宋_GB2312"/>
          <w:color w:val="auto"/>
          <w:kern w:val="0"/>
          <w:sz w:val="32"/>
          <w:szCs w:val="32"/>
          <w:lang w:val="en-US" w:eastAsia="zh-CN" w:bidi="ar"/>
        </w:rPr>
        <w:t>年初预算收入</w:t>
      </w:r>
      <w:r>
        <w:rPr>
          <w:rFonts w:hint="eastAsia" w:ascii="仿宋_GB2312" w:hAnsi="仿宋_GB2312" w:eastAsia="仿宋_GB2312" w:cs="仿宋_GB2312"/>
          <w:sz w:val="32"/>
          <w:szCs w:val="32"/>
          <w:lang w:val="en-US" w:eastAsia="zh-CN"/>
        </w:rPr>
        <w:t>221.04</w:t>
      </w:r>
      <w:r>
        <w:rPr>
          <w:rFonts w:hint="eastAsia" w:ascii="仿宋_GB2312" w:hAnsi="仿宋_GB2312" w:eastAsia="仿宋_GB2312" w:cs="仿宋_GB2312"/>
          <w:color w:val="auto"/>
          <w:kern w:val="0"/>
          <w:sz w:val="32"/>
          <w:szCs w:val="32"/>
          <w:lang w:val="en-US" w:eastAsia="zh-CN" w:bidi="ar"/>
        </w:rPr>
        <w:t>万元，执行期中追加收入</w:t>
      </w:r>
      <w:r>
        <w:rPr>
          <w:rFonts w:hint="eastAsia" w:ascii="仿宋_GB2312" w:hAnsi="仿宋_GB2312" w:eastAsia="仿宋_GB2312" w:cs="仿宋_GB2312"/>
          <w:sz w:val="32"/>
          <w:szCs w:val="32"/>
          <w:lang w:val="en-US" w:eastAsia="zh-CN"/>
        </w:rPr>
        <w:t>7.5</w:t>
      </w:r>
      <w:r>
        <w:rPr>
          <w:rFonts w:hint="eastAsia" w:ascii="仿宋_GB2312" w:hAnsi="仿宋_GB2312" w:eastAsia="仿宋_GB2312" w:cs="仿宋_GB2312"/>
          <w:color w:val="auto"/>
          <w:kern w:val="0"/>
          <w:sz w:val="32"/>
          <w:szCs w:val="32"/>
          <w:lang w:val="en-US" w:eastAsia="zh-CN" w:bidi="ar"/>
        </w:rPr>
        <w:t>万元。年末无结转结余，单位执行进度为100%，达到预期目标。</w:t>
      </w:r>
    </w:p>
    <w:p>
      <w:pPr>
        <w:keepNext w:val="0"/>
        <w:keepLines w:val="0"/>
        <w:pageBreakBefore w:val="0"/>
        <w:widowControl/>
        <w:numPr>
          <w:ilvl w:val="0"/>
          <w:numId w:val="0"/>
        </w:numPr>
        <w:pBdr>
          <w:bottom w:val="single" w:color="FFFFFF" w:sz="4" w:space="28"/>
        </w:pBdr>
        <w:tabs>
          <w:tab w:val="left" w:pos="1440"/>
        </w:tabs>
        <w:kinsoku/>
        <w:wordWrap/>
        <w:overflowPunct/>
        <w:topLinePunct w:val="0"/>
        <w:autoSpaceDE/>
        <w:autoSpaceDN/>
        <w:bidi w:val="0"/>
        <w:adjustRightInd/>
        <w:snapToGrid/>
        <w:spacing w:line="560" w:lineRule="exact"/>
        <w:ind w:left="420" w:leftChars="0" w:firstLine="280" w:firstLineChars="100"/>
        <w:jc w:val="left"/>
        <w:textAlignment w:val="auto"/>
        <w:rPr>
          <w:rFonts w:hint="eastAsia" w:ascii="Times New Roman" w:hAnsi="Times New Roman" w:eastAsia="黑体" w:cs="Times New Roman"/>
          <w:color w:val="000000"/>
          <w:kern w:val="0"/>
          <w:sz w:val="28"/>
          <w:szCs w:val="44"/>
          <w:shd w:val="clear" w:color="auto" w:fill="FFFFFF"/>
          <w:lang w:val="zh-CN" w:eastAsia="zh-CN"/>
        </w:rPr>
      </w:pPr>
      <w:r>
        <w:rPr>
          <w:rFonts w:hint="eastAsia" w:ascii="Times New Roman" w:hAnsi="Times New Roman" w:eastAsia="黑体" w:cs="Times New Roman"/>
          <w:color w:val="000000"/>
          <w:kern w:val="0"/>
          <w:sz w:val="28"/>
          <w:szCs w:val="44"/>
          <w:shd w:val="clear" w:color="auto" w:fill="FFFFFF"/>
          <w:lang w:val="zh-CN" w:eastAsia="zh-CN"/>
        </w:rPr>
        <w:t>三、部门预算绩效分析</w:t>
      </w:r>
    </w:p>
    <w:p>
      <w:pPr>
        <w:keepNext w:val="0"/>
        <w:keepLines w:val="0"/>
        <w:pageBreakBefore w:val="0"/>
        <w:widowControl/>
        <w:numPr>
          <w:ilvl w:val="0"/>
          <w:numId w:val="0"/>
        </w:numPr>
        <w:pBdr>
          <w:bottom w:val="single" w:color="FFFFFF" w:sz="4" w:space="28"/>
        </w:pBdr>
        <w:tabs>
          <w:tab w:val="left" w:pos="1440"/>
        </w:tabs>
        <w:kinsoku/>
        <w:wordWrap/>
        <w:overflowPunct/>
        <w:topLinePunct w:val="0"/>
        <w:autoSpaceDE/>
        <w:autoSpaceDN/>
        <w:bidi w:val="0"/>
        <w:adjustRightInd/>
        <w:snapToGrid/>
        <w:spacing w:line="560" w:lineRule="exact"/>
        <w:ind w:left="420" w:leftChars="0" w:firstLine="280" w:firstLineChars="100"/>
        <w:jc w:val="left"/>
        <w:textAlignment w:val="auto"/>
        <w:rPr>
          <w:rFonts w:hint="eastAsia" w:ascii="Times New Roman" w:hAnsi="Times New Roman" w:eastAsia="黑体" w:cs="Times New Roman"/>
          <w:color w:val="000000"/>
          <w:kern w:val="0"/>
          <w:sz w:val="28"/>
          <w:szCs w:val="44"/>
          <w:shd w:val="clear" w:color="auto" w:fill="FFFFFF"/>
          <w:lang w:val="zh-CN" w:eastAsia="zh-CN"/>
        </w:rPr>
      </w:pPr>
      <w:r>
        <w:rPr>
          <w:rFonts w:hint="eastAsia" w:ascii="Times New Roman" w:hAnsi="Times New Roman" w:eastAsia="黑体" w:cs="Times New Roman"/>
          <w:color w:val="000000"/>
          <w:kern w:val="0"/>
          <w:sz w:val="28"/>
          <w:szCs w:val="44"/>
          <w:shd w:val="clear" w:color="auto" w:fill="FFFFFF"/>
          <w:lang w:val="zh-CN" w:eastAsia="zh-CN"/>
        </w:rPr>
        <w:t>（一）部门预算总体绩效分析。</w:t>
      </w:r>
    </w:p>
    <w:p>
      <w:pPr>
        <w:keepNext w:val="0"/>
        <w:keepLines w:val="0"/>
        <w:pageBreakBefore w:val="0"/>
        <w:widowControl/>
        <w:numPr>
          <w:ilvl w:val="0"/>
          <w:numId w:val="0"/>
        </w:numPr>
        <w:pBdr>
          <w:bottom w:val="single" w:color="FFFFFF" w:sz="4" w:space="28"/>
        </w:pBdr>
        <w:tabs>
          <w:tab w:val="left" w:pos="1440"/>
        </w:tabs>
        <w:kinsoku/>
        <w:wordWrap/>
        <w:overflowPunct/>
        <w:topLinePunct w:val="0"/>
        <w:autoSpaceDE/>
        <w:autoSpaceDN/>
        <w:bidi w:val="0"/>
        <w:adjustRightInd/>
        <w:snapToGrid/>
        <w:spacing w:line="560" w:lineRule="exact"/>
        <w:ind w:left="420" w:leftChars="0" w:firstLine="280" w:firstLineChars="100"/>
        <w:jc w:val="left"/>
        <w:textAlignment w:val="auto"/>
        <w:rPr>
          <w:rFonts w:hint="eastAsia" w:ascii="仿宋_GB2312" w:hAnsi="仿宋_GB2312" w:eastAsia="仿宋_GB2312" w:cs="仿宋_GB2312"/>
          <w:sz w:val="32"/>
          <w:szCs w:val="32"/>
        </w:rPr>
      </w:pPr>
      <w:r>
        <w:rPr>
          <w:rFonts w:hint="eastAsia" w:ascii="Times New Roman" w:hAnsi="Times New Roman" w:eastAsia="黑体" w:cs="Times New Roman"/>
          <w:color w:val="000000"/>
          <w:kern w:val="0"/>
          <w:sz w:val="28"/>
          <w:szCs w:val="44"/>
          <w:shd w:val="clear" w:color="auto" w:fill="FFFFFF"/>
          <w:lang w:val="zh-CN" w:eastAsia="zh-CN"/>
        </w:rPr>
        <w:t>1.履职效能。</w:t>
      </w:r>
      <w:r>
        <w:rPr>
          <w:rFonts w:hint="eastAsia" w:ascii="仿宋_GB2312" w:hAnsi="仿宋_GB2312" w:eastAsia="仿宋_GB2312" w:cs="仿宋_GB2312"/>
          <w:sz w:val="32"/>
          <w:szCs w:val="32"/>
        </w:rPr>
        <w:t>壤塘县妇女联合会紧紧围绕县委、县政府中心工作，在州妇联悉心指导与大力支持下，立足主责主业、聚焦妇女儿童急难愁盼，扎实推进权益维护、家庭建设、关爱帮扶、基层妇联组织建设等重点工作，用心用情做好联系服务妇女儿童工作，切实当好妇女“娘家人”、儿童“守护人”。稳步抓实巾帼建功行动、家庭文明建设、普法宣传教育、关爱慰问帮扶等工作，高标准推进妇女儿童普惠服务提质增效，全力抓好妇联阵地建设，以实干实效服务民生大局。</w:t>
      </w:r>
    </w:p>
    <w:p>
      <w:pPr>
        <w:keepNext w:val="0"/>
        <w:keepLines w:val="0"/>
        <w:pageBreakBefore w:val="0"/>
        <w:widowControl/>
        <w:numPr>
          <w:ilvl w:val="0"/>
          <w:numId w:val="0"/>
        </w:numPr>
        <w:pBdr>
          <w:bottom w:val="single" w:color="FFFFFF" w:sz="4" w:space="28"/>
        </w:pBdr>
        <w:tabs>
          <w:tab w:val="left" w:pos="1440"/>
        </w:tabs>
        <w:kinsoku/>
        <w:wordWrap/>
        <w:overflowPunct/>
        <w:topLinePunct w:val="0"/>
        <w:autoSpaceDE/>
        <w:autoSpaceDN/>
        <w:bidi w:val="0"/>
        <w:adjustRightInd/>
        <w:snapToGrid/>
        <w:spacing w:line="560" w:lineRule="exact"/>
        <w:ind w:left="420" w:leftChars="0" w:firstLine="280" w:firstLineChars="100"/>
        <w:jc w:val="left"/>
        <w:textAlignment w:val="auto"/>
        <w:rPr>
          <w:rFonts w:hint="eastAsia" w:ascii="仿宋_GB2312" w:hAnsi="仿宋_GB2312" w:eastAsia="仿宋_GB2312" w:cs="仿宋_GB2312"/>
          <w:sz w:val="32"/>
          <w:szCs w:val="32"/>
        </w:rPr>
      </w:pPr>
      <w:r>
        <w:rPr>
          <w:rFonts w:hint="eastAsia" w:ascii="Times New Roman" w:hAnsi="Times New Roman" w:eastAsia="黑体" w:cs="Times New Roman"/>
          <w:color w:val="000000"/>
          <w:kern w:val="0"/>
          <w:sz w:val="28"/>
          <w:szCs w:val="44"/>
          <w:shd w:val="clear" w:color="auto" w:fill="FFFFFF"/>
          <w:lang w:val="zh-CN" w:eastAsia="zh-CN"/>
        </w:rPr>
        <w:t>2.预算管理。</w:t>
      </w:r>
      <w:r>
        <w:rPr>
          <w:rFonts w:hint="eastAsia" w:ascii="仿宋_GB2312" w:hAnsi="仿宋_GB2312" w:eastAsia="仿宋_GB2312" w:cs="仿宋_GB2312"/>
          <w:sz w:val="32"/>
          <w:szCs w:val="32"/>
        </w:rPr>
        <w:t>2025年，壤塘县妇女联合会严格规范开展预算管理工作，本年度年初核定预算</w:t>
      </w:r>
      <w:r>
        <w:rPr>
          <w:rFonts w:hint="eastAsia" w:ascii="仿宋_GB2312" w:hAnsi="仿宋_GB2312" w:eastAsia="仿宋_GB2312" w:cs="仿宋_GB2312"/>
          <w:sz w:val="32"/>
          <w:szCs w:val="32"/>
          <w:lang w:val="en-US" w:eastAsia="zh-CN"/>
        </w:rPr>
        <w:t>221.4</w:t>
      </w:r>
      <w:r>
        <w:rPr>
          <w:rFonts w:hint="eastAsia" w:ascii="仿宋_GB2312" w:hAnsi="仿宋_GB2312" w:eastAsia="仿宋_GB2312" w:cs="仿宋_GB2312"/>
          <w:sz w:val="32"/>
          <w:szCs w:val="32"/>
        </w:rPr>
        <w:t>万元。工作推进期间结合实际业务开展需求与工作部署，</w:t>
      </w:r>
      <w:r>
        <w:rPr>
          <w:rFonts w:hint="eastAsia" w:ascii="仿宋_GB2312" w:hAnsi="仿宋_GB2312" w:eastAsia="仿宋_GB2312" w:cs="仿宋_GB2312"/>
          <w:sz w:val="32"/>
          <w:szCs w:val="32"/>
          <w:lang w:val="en-US" w:eastAsia="zh-CN"/>
        </w:rPr>
        <w:t>其他收入7.5全年实际收入合计为228.54万元</w:t>
      </w:r>
      <w:r>
        <w:rPr>
          <w:rFonts w:hint="eastAsia" w:ascii="仿宋_GB2312" w:hAnsi="仿宋_GB2312" w:eastAsia="仿宋_GB2312" w:cs="仿宋_GB2312"/>
          <w:sz w:val="32"/>
          <w:szCs w:val="32"/>
        </w:rPr>
        <w:t>。单位预算编制贴合实际、统筹科学，资金测算精准合理，预算安排科学性与实用性较强。</w:t>
      </w:r>
      <w:r>
        <w:rPr>
          <w:rFonts w:hint="eastAsia" w:ascii="仿宋_GB2312" w:hAnsi="仿宋_GB2312" w:eastAsia="仿宋_GB2312" w:cs="仿宋_GB2312"/>
          <w:sz w:val="32"/>
          <w:szCs w:val="32"/>
          <w:lang w:val="en-US" w:eastAsia="zh-CN"/>
        </w:rPr>
        <w:t xml:space="preserve">   </w:t>
      </w:r>
      <w:r>
        <w:rPr>
          <w:rFonts w:hint="eastAsia" w:ascii="仿宋_GB2312" w:hAnsi="仿宋_GB2312" w:cs="仿宋_GB2312"/>
          <w:color w:val="FF0000"/>
          <w:sz w:val="32"/>
          <w:szCs w:val="32"/>
          <w:lang w:val="en-US" w:eastAsia="zh-CN"/>
        </w:rPr>
        <w:t xml:space="preserve">                                               </w:t>
      </w:r>
      <w:r>
        <w:rPr>
          <w:rFonts w:hint="eastAsia" w:ascii="Times New Roman" w:hAnsi="Times New Roman" w:eastAsia="黑体" w:cs="Times New Roman"/>
          <w:color w:val="000000"/>
          <w:kern w:val="0"/>
          <w:sz w:val="28"/>
          <w:szCs w:val="44"/>
          <w:shd w:val="clear" w:color="auto" w:fill="FFFFFF"/>
          <w:lang w:val="zh-CN" w:eastAsia="zh-CN"/>
        </w:rPr>
        <w:t>3.财务管理。</w:t>
      </w:r>
      <w:r>
        <w:rPr>
          <w:rFonts w:hint="eastAsia" w:ascii="仿宋_GB2312" w:hAnsi="仿宋_GB2312" w:eastAsia="仿宋_GB2312" w:cs="仿宋_GB2312"/>
          <w:sz w:val="32"/>
          <w:szCs w:val="32"/>
        </w:rPr>
        <w:t>壤塘县妇女联合会财务制度体系架构完整</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制度执行规范：严格执行财经法规与内控制度，资金审批、支付流程合规，无违规使用、超范围支出问题</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 xml:space="preserve"> 预算管控到位：年度预算执行率达标，资金拨付及时，重点项目资金保障有力，使用效益良好</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监管全程闭环：财务核算规范，资产台账清晰，审计整改落实到位，财务风险防控有效。</w:t>
      </w:r>
    </w:p>
    <w:p>
      <w:pPr>
        <w:keepNext w:val="0"/>
        <w:keepLines w:val="0"/>
        <w:pageBreakBefore w:val="0"/>
        <w:widowControl/>
        <w:numPr>
          <w:ilvl w:val="0"/>
          <w:numId w:val="0"/>
        </w:numPr>
        <w:pBdr>
          <w:bottom w:val="single" w:color="FFFFFF" w:sz="4" w:space="28"/>
        </w:pBdr>
        <w:tabs>
          <w:tab w:val="left" w:pos="1440"/>
        </w:tabs>
        <w:kinsoku/>
        <w:wordWrap/>
        <w:overflowPunct/>
        <w:topLinePunct w:val="0"/>
        <w:autoSpaceDE/>
        <w:autoSpaceDN/>
        <w:bidi w:val="0"/>
        <w:adjustRightInd/>
        <w:snapToGrid/>
        <w:spacing w:line="560" w:lineRule="exact"/>
        <w:ind w:left="420" w:leftChars="0" w:firstLine="280" w:firstLineChars="100"/>
        <w:jc w:val="left"/>
        <w:textAlignment w:val="auto"/>
        <w:rPr>
          <w:rFonts w:hint="eastAsia" w:ascii="仿宋_GB2312" w:hAnsi="仿宋_GB2312" w:cs="仿宋_GB2312"/>
          <w:sz w:val="32"/>
          <w:szCs w:val="32"/>
          <w:lang w:val="en-US" w:eastAsia="zh-CN"/>
        </w:rPr>
      </w:pPr>
      <w:r>
        <w:rPr>
          <w:rFonts w:hint="eastAsia" w:ascii="Times New Roman" w:hAnsi="Times New Roman" w:eastAsia="黑体" w:cs="Times New Roman"/>
          <w:color w:val="000000"/>
          <w:kern w:val="0"/>
          <w:sz w:val="28"/>
          <w:szCs w:val="44"/>
          <w:shd w:val="clear" w:color="auto" w:fill="FFFFFF"/>
          <w:lang w:val="zh-CN" w:eastAsia="zh-CN"/>
        </w:rPr>
        <w:t>4.资产管理。</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固定资产在用率。截至2025年12月31日，壤塘县妇女联合会《行政单位资产管理系统》固定资产总计4.41万元，在用的固定资产总计4.41万元，固定资产在用率达100%。</w:t>
      </w:r>
      <w:r>
        <w:rPr>
          <w:rFonts w:hint="eastAsia" w:ascii="仿宋_GB2312" w:hAnsi="仿宋_GB2312" w:cs="仿宋_GB2312"/>
          <w:color w:val="000000" w:themeColor="text1"/>
          <w:sz w:val="32"/>
          <w:szCs w:val="32"/>
          <w:lang w:val="en-US" w:eastAsia="zh-CN"/>
          <w14:textFill>
            <w14:solidFill>
              <w14:schemeClr w14:val="tx1"/>
            </w14:solidFill>
          </w14:textFill>
        </w:rPr>
        <w:t xml:space="preserve">                                              </w:t>
      </w:r>
      <w:r>
        <w:rPr>
          <w:rFonts w:hint="eastAsia" w:ascii="Times New Roman" w:hAnsi="Times New Roman" w:eastAsia="黑体" w:cs="Times New Roman"/>
          <w:color w:val="000000"/>
          <w:kern w:val="0"/>
          <w:sz w:val="28"/>
          <w:szCs w:val="44"/>
          <w:shd w:val="clear" w:color="auto" w:fill="FFFFFF"/>
          <w:lang w:val="zh-CN" w:eastAsia="zh-CN"/>
        </w:rPr>
        <w:t>5.采购管理。</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采购规范性。壤塘县妇女联合会2025年度政府采购货物支出0万元，政府采购工程支出0万元，政府采购服务支出0万元。</w:t>
      </w:r>
      <w:r>
        <w:rPr>
          <w:rFonts w:hint="eastAsia" w:ascii="仿宋_GB2312" w:hAnsi="仿宋_GB2312" w:cs="仿宋_GB2312"/>
          <w:color w:val="000000" w:themeColor="text1"/>
          <w:sz w:val="32"/>
          <w:szCs w:val="32"/>
          <w:lang w:val="en-US" w:eastAsia="zh-CN"/>
          <w14:textFill>
            <w14:solidFill>
              <w14:schemeClr w14:val="tx1"/>
            </w14:solidFill>
          </w14:textFill>
        </w:rPr>
        <w:t xml:space="preserve">                                      </w:t>
      </w:r>
      <w:r>
        <w:rPr>
          <w:rFonts w:hint="eastAsia" w:ascii="Times New Roman" w:hAnsi="Times New Roman" w:eastAsia="黑体" w:cs="Times New Roman"/>
          <w:color w:val="000000"/>
          <w:kern w:val="0"/>
          <w:sz w:val="28"/>
          <w:szCs w:val="44"/>
          <w:shd w:val="clear" w:color="auto" w:fill="FFFFFF"/>
          <w:lang w:val="zh-CN" w:eastAsia="zh-CN"/>
        </w:rPr>
        <w:t>（二）部门预算项目绩效分析。</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2025年，县妇联共实施9个专项资金项目，分别为两纲活动经费、妇联专项工作经费、壤巴拉妇女居家灵活就业基地、元旦春节慰问经费、民生实事妇女关爱服务项目专项资金、“爱润阿坝”群众工作主题晚会、川护壤巴拉志愿队县域妇女健康护理知识培训、妇女儿童事业发展专项资金、妇女“两癌”筛查和救助金，内容全面覆盖妇女儿童两纲建设、居家灵活就业、妇女关爱服务、节日暖心慰问、妇女健康宣教、“两癌”筛查救助、妇女儿童事业发展等重点领域，全面落实妇女关爱帮扶、健康保障和就业扶持各项惠民工作。项目各环节推进规范有序，9个项目绩效评价总分均在81分以上，其中1个项目获满分100分，1个项目因顺延未开展实施绩效得0分，整体实施效果良，具体情况如下：</w:t>
      </w:r>
      <w:r>
        <w:rPr>
          <w:rFonts w:hint="eastAsia" w:ascii="仿宋_GB2312" w:hAnsi="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cs="仿宋_GB2312"/>
          <w:color w:val="FF0000"/>
          <w:kern w:val="0"/>
          <w:sz w:val="32"/>
          <w:szCs w:val="32"/>
          <w:lang w:val="en-US" w:eastAsia="zh-CN" w:bidi="ar"/>
        </w:rPr>
        <w:t xml:space="preserve"> </w:t>
      </w:r>
      <w:r>
        <w:rPr>
          <w:rFonts w:hint="eastAsia" w:ascii="Times New Roman" w:hAnsi="Times New Roman" w:eastAsia="黑体" w:cs="Times New Roman"/>
          <w:color w:val="000000"/>
          <w:kern w:val="0"/>
          <w:sz w:val="28"/>
          <w:szCs w:val="44"/>
          <w:shd w:val="clear" w:color="auto" w:fill="FFFFFF"/>
          <w:lang w:val="en-US" w:eastAsia="zh-CN"/>
        </w:rPr>
        <w:t>1.</w:t>
      </w:r>
      <w:r>
        <w:rPr>
          <w:rFonts w:hint="eastAsia" w:ascii="Times New Roman" w:hAnsi="Times New Roman" w:eastAsia="黑体" w:cs="Times New Roman"/>
          <w:color w:val="000000"/>
          <w:kern w:val="0"/>
          <w:sz w:val="28"/>
          <w:szCs w:val="44"/>
          <w:shd w:val="clear" w:color="auto" w:fill="FFFFFF"/>
          <w:lang w:val="zh-CN" w:eastAsia="zh-CN"/>
        </w:rPr>
        <w:t>项目决策。</w:t>
      </w:r>
      <w:r>
        <w:rPr>
          <w:rFonts w:hint="eastAsia" w:ascii="仿宋_GB2312" w:hAnsi="仿宋_GB2312" w:eastAsia="仿宋_GB2312" w:cs="仿宋_GB2312"/>
          <w:sz w:val="32"/>
          <w:szCs w:val="32"/>
        </w:rPr>
        <w:t>9个项目严格遵照标准化决策流程开展，完整落实审批、公示等关键环节，全程程序合规。项目前期均经过充分调研研判，结合壤塘县妇女儿童工作实际及各领域现实需求开展规划论证，绩效目标设定贴合实施实际，按标准完成项目储备入库流程，保障立项有据可依。资金使用紧扣妇女儿童发展、乡村振兴、民族团结、民生保障等要求，契合财政资金管理政策条例，此项共计得分10分。</w:t>
      </w:r>
      <w:r>
        <w:rPr>
          <w:rFonts w:hint="eastAsia" w:ascii="仿宋_GB2312" w:hAnsi="仿宋_GB2312" w:cs="仿宋_GB2312"/>
          <w:sz w:val="32"/>
          <w:szCs w:val="32"/>
          <w:lang w:val="en-US" w:eastAsia="zh-CN"/>
        </w:rPr>
        <w:t xml:space="preserve">                                      </w:t>
      </w:r>
    </w:p>
    <w:p>
      <w:pPr>
        <w:keepNext w:val="0"/>
        <w:keepLines w:val="0"/>
        <w:pageBreakBefore w:val="0"/>
        <w:widowControl/>
        <w:numPr>
          <w:ilvl w:val="0"/>
          <w:numId w:val="0"/>
        </w:numPr>
        <w:pBdr>
          <w:bottom w:val="single" w:color="FFFFFF" w:sz="4" w:space="28"/>
        </w:pBdr>
        <w:tabs>
          <w:tab w:val="left" w:pos="1440"/>
        </w:tabs>
        <w:kinsoku/>
        <w:wordWrap/>
        <w:overflowPunct/>
        <w:topLinePunct w:val="0"/>
        <w:autoSpaceDE/>
        <w:autoSpaceDN/>
        <w:bidi w:val="0"/>
        <w:adjustRightInd/>
        <w:snapToGrid/>
        <w:spacing w:line="560" w:lineRule="exact"/>
        <w:ind w:left="420" w:leftChars="0" w:firstLine="320" w:firstLineChars="100"/>
        <w:jc w:val="left"/>
        <w:textAlignment w:val="auto"/>
        <w:rPr>
          <w:rFonts w:hint="eastAsia" w:ascii="仿宋_GB2312" w:hAnsi="仿宋_GB2312" w:cs="仿宋_GB2312"/>
          <w:color w:val="auto"/>
          <w:kern w:val="0"/>
          <w:sz w:val="32"/>
          <w:szCs w:val="32"/>
          <w:lang w:val="en-US" w:eastAsia="zh-CN" w:bidi="ar"/>
        </w:rPr>
      </w:pPr>
      <w:r>
        <w:rPr>
          <w:rFonts w:hint="eastAsia" w:ascii="仿宋_GB2312" w:hAnsi="仿宋_GB2312" w:cs="仿宋_GB2312"/>
          <w:sz w:val="32"/>
          <w:szCs w:val="32"/>
          <w:lang w:val="en-US" w:eastAsia="zh-CN"/>
        </w:rPr>
        <w:t xml:space="preserve"> </w:t>
      </w:r>
      <w:r>
        <w:rPr>
          <w:rFonts w:hint="eastAsia" w:ascii="Times New Roman" w:hAnsi="Times New Roman" w:eastAsia="黑体" w:cs="Times New Roman"/>
          <w:color w:val="000000"/>
          <w:kern w:val="0"/>
          <w:sz w:val="28"/>
          <w:szCs w:val="44"/>
          <w:shd w:val="clear" w:color="auto" w:fill="FFFFFF"/>
          <w:lang w:val="en-US" w:eastAsia="zh-CN"/>
        </w:rPr>
        <w:t>2.项目执行</w:t>
      </w:r>
      <w:r>
        <w:rPr>
          <w:rFonts w:hint="eastAsia" w:ascii="Times New Roman" w:hAnsi="Times New Roman" w:eastAsia="黑体" w:cs="Times New Roman"/>
          <w:color w:val="000000"/>
          <w:kern w:val="0"/>
          <w:sz w:val="28"/>
          <w:szCs w:val="44"/>
          <w:shd w:val="clear" w:color="auto" w:fill="FFFFFF"/>
          <w:lang w:val="zh-CN" w:eastAsia="zh-CN"/>
        </w:rPr>
        <w:t>。</w:t>
      </w:r>
      <w:r>
        <w:rPr>
          <w:rFonts w:hint="eastAsia" w:ascii="仿宋_GB2312" w:hAnsi="仿宋_GB2312" w:eastAsia="仿宋_GB2312" w:cs="仿宋_GB2312"/>
          <w:sz w:val="32"/>
          <w:szCs w:val="32"/>
        </w:rPr>
        <w:t>9个专项资金项目整体预算执行率达85.99%，其中8个项目实现资金全额100%执行，通过优化工作流程顺利完成既定目标任务。工作开展全过程严格恪守财政资金管理各项制度，资金拨付、账务结算流程规范严谨，不存在违规使用、挤占挪用等情况。项目日常运营管理有序规范，物资采购、劳务统筹、志愿服务保障等各项工作均按制度依规落实，全程运转平稳顺畅，未出现物资短缺、进度滞后等各类问题。其中1个项目因年度工作统筹规划调整，原定2025年12月完成的实施计划顺延至2026年推进实施，此项考核得分9.5分。</w:t>
      </w:r>
      <w:r>
        <w:rPr>
          <w:rFonts w:hint="eastAsia" w:ascii="仿宋_GB2312" w:hAnsi="仿宋_GB2312" w:cs="仿宋_GB2312"/>
          <w:sz w:val="32"/>
          <w:szCs w:val="32"/>
          <w:lang w:val="en-US" w:eastAsia="zh-CN"/>
        </w:rPr>
        <w:t xml:space="preserve">                                            </w:t>
      </w:r>
      <w:r>
        <w:rPr>
          <w:rFonts w:hint="eastAsia" w:ascii="仿宋_GB2312" w:hAnsi="仿宋_GB2312" w:cs="仿宋_GB2312"/>
          <w:color w:val="FF0000"/>
          <w:kern w:val="0"/>
          <w:sz w:val="32"/>
          <w:szCs w:val="32"/>
          <w:lang w:val="en-US" w:eastAsia="zh-CN" w:bidi="ar"/>
        </w:rPr>
        <w:t xml:space="preserve"> </w:t>
      </w:r>
      <w:r>
        <w:rPr>
          <w:rFonts w:hint="eastAsia" w:ascii="Times New Roman" w:hAnsi="Times New Roman" w:eastAsia="黑体" w:cs="Times New Roman"/>
          <w:color w:val="000000"/>
          <w:kern w:val="0"/>
          <w:sz w:val="28"/>
          <w:szCs w:val="44"/>
          <w:shd w:val="clear" w:color="auto" w:fill="FFFFFF"/>
          <w:lang w:val="en-US" w:eastAsia="zh-CN"/>
        </w:rPr>
        <w:t>3.</w:t>
      </w:r>
      <w:r>
        <w:rPr>
          <w:rFonts w:hint="eastAsia" w:ascii="Times New Roman" w:hAnsi="Times New Roman" w:eastAsia="黑体" w:cs="Times New Roman"/>
          <w:color w:val="000000"/>
          <w:kern w:val="0"/>
          <w:sz w:val="28"/>
          <w:szCs w:val="44"/>
          <w:shd w:val="clear" w:color="auto" w:fill="FFFFFF"/>
          <w:lang w:val="zh-CN" w:eastAsia="zh-CN"/>
        </w:rPr>
        <w:t>目标实现。</w:t>
      </w:r>
      <w:r>
        <w:rPr>
          <w:rFonts w:hint="eastAsia" w:ascii="仿宋_GB2312" w:hAnsi="仿宋_GB2312" w:eastAsia="仿宋_GB2312" w:cs="仿宋_GB2312"/>
          <w:sz w:val="32"/>
          <w:szCs w:val="32"/>
        </w:rPr>
        <w:t>全年9个专项资金项目有序推进实施，8个项目全面完成年度既定工作任务，1个项目顺延至2026年开展落实，项目整体完成率达87.5%。整体服务成效贴合工作预期，各项业务开展井然有序，除顺延实施项目外，其余项目均严格对照既定方案与工作安排落地见效。项目办结后及时完成资料整理与工作总结，充分彰显妇联履职效能，扎实开展妇女儿童关爱帮扶、民生便民服务等重点工作，用心用情回应群众诉求、保障群众切身利益，此项共计得分9.5分。</w:t>
      </w:r>
      <w:r>
        <w:rPr>
          <w:rFonts w:hint="eastAsia" w:ascii="仿宋_GB2312" w:hAnsi="仿宋_GB2312" w:cs="仿宋_GB2312"/>
          <w:sz w:val="32"/>
          <w:szCs w:val="32"/>
          <w:lang w:val="en-US" w:eastAsia="zh-CN"/>
        </w:rPr>
        <w:t xml:space="preserve">     </w:t>
      </w:r>
      <w:r>
        <w:rPr>
          <w:rFonts w:hint="eastAsia" w:ascii="仿宋_GB2312" w:hAnsi="仿宋_GB2312" w:cs="仿宋_GB2312"/>
          <w:color w:val="auto"/>
          <w:kern w:val="0"/>
          <w:sz w:val="32"/>
          <w:szCs w:val="32"/>
          <w:lang w:val="en-US" w:eastAsia="zh-CN" w:bidi="ar"/>
        </w:rPr>
        <w:t xml:space="preserve"> </w:t>
      </w:r>
    </w:p>
    <w:p>
      <w:pPr>
        <w:keepNext w:val="0"/>
        <w:keepLines w:val="0"/>
        <w:pageBreakBefore w:val="0"/>
        <w:widowControl/>
        <w:numPr>
          <w:ilvl w:val="0"/>
          <w:numId w:val="0"/>
        </w:numPr>
        <w:pBdr>
          <w:bottom w:val="single" w:color="FFFFFF" w:sz="4" w:space="28"/>
        </w:pBdr>
        <w:tabs>
          <w:tab w:val="left" w:pos="1440"/>
        </w:tabs>
        <w:kinsoku/>
        <w:wordWrap/>
        <w:overflowPunct/>
        <w:topLinePunct w:val="0"/>
        <w:autoSpaceDE/>
        <w:autoSpaceDN/>
        <w:bidi w:val="0"/>
        <w:adjustRightInd/>
        <w:snapToGrid/>
        <w:spacing w:line="560" w:lineRule="exact"/>
        <w:ind w:left="420" w:leftChars="0" w:firstLine="280" w:firstLineChars="100"/>
        <w:jc w:val="left"/>
        <w:textAlignment w:val="auto"/>
        <w:rPr>
          <w:rFonts w:hint="eastAsia" w:ascii="仿宋_GB2312" w:hAnsi="仿宋_GB2312" w:eastAsia="仿宋_GB2312" w:cs="仿宋_GB2312"/>
          <w:sz w:val="32"/>
          <w:szCs w:val="32"/>
        </w:rPr>
      </w:pPr>
      <w:r>
        <w:rPr>
          <w:rFonts w:hint="eastAsia" w:ascii="Times New Roman" w:hAnsi="Times New Roman" w:eastAsia="黑体" w:cs="Times New Roman"/>
          <w:color w:val="000000"/>
          <w:kern w:val="0"/>
          <w:sz w:val="28"/>
          <w:szCs w:val="44"/>
          <w:shd w:val="clear" w:color="auto" w:fill="FFFFFF"/>
          <w:lang w:val="en-US" w:eastAsia="zh-CN"/>
        </w:rPr>
        <w:t>（三）</w:t>
      </w:r>
      <w:r>
        <w:rPr>
          <w:rFonts w:hint="eastAsia" w:ascii="Times New Roman" w:hAnsi="Times New Roman" w:eastAsia="黑体" w:cs="Times New Roman"/>
          <w:color w:val="000000"/>
          <w:kern w:val="0"/>
          <w:sz w:val="28"/>
          <w:szCs w:val="44"/>
          <w:shd w:val="clear" w:color="auto" w:fill="FFFFFF"/>
          <w:lang w:val="zh-CN" w:eastAsia="zh-CN"/>
        </w:rPr>
        <w:t>绩效结果应用情况。</w:t>
      </w:r>
      <w:r>
        <w:rPr>
          <w:rFonts w:hint="eastAsia" w:ascii="仿宋_GB2312" w:hAnsi="仿宋_GB2312" w:eastAsia="仿宋_GB2312" w:cs="仿宋_GB2312"/>
          <w:sz w:val="32"/>
          <w:szCs w:val="32"/>
        </w:rPr>
        <w:t>根据县财政局要求，我会成立自评工作小组，组织实施本单位</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绩效管理自评工作。信息公开情况：按照财政要求，及时在预决算批复后20日内，在壤塘县人民</w:t>
      </w:r>
      <w:r>
        <w:rPr>
          <w:rFonts w:hint="eastAsia" w:ascii="仿宋_GB2312" w:hAnsi="仿宋_GB2312" w:eastAsia="仿宋_GB2312" w:cs="仿宋_GB2312"/>
          <w:sz w:val="32"/>
          <w:szCs w:val="32"/>
          <w:lang w:eastAsia="zh-CN"/>
        </w:rPr>
        <w:t>政府网站</w:t>
      </w:r>
      <w:r>
        <w:rPr>
          <w:rFonts w:hint="eastAsia" w:ascii="仿宋_GB2312" w:hAnsi="仿宋_GB2312" w:eastAsia="仿宋_GB2312" w:cs="仿宋_GB2312"/>
          <w:sz w:val="32"/>
          <w:szCs w:val="32"/>
        </w:rPr>
        <w:t>进行了信息公开，公开内容真实、完整。依法接受财政、审计、</w:t>
      </w:r>
      <w:r>
        <w:rPr>
          <w:rFonts w:hint="eastAsia" w:ascii="仿宋_GB2312" w:hAnsi="仿宋_GB2312" w:eastAsia="仿宋_GB2312" w:cs="仿宋_GB2312"/>
          <w:sz w:val="32"/>
          <w:szCs w:val="32"/>
          <w:lang w:eastAsia="zh-CN"/>
        </w:rPr>
        <w:t>纪检监察</w:t>
      </w:r>
      <w:r>
        <w:rPr>
          <w:rFonts w:hint="eastAsia" w:ascii="仿宋_GB2312" w:hAnsi="仿宋_GB2312" w:eastAsia="仿宋_GB2312" w:cs="仿宋_GB2312"/>
          <w:sz w:val="32"/>
          <w:szCs w:val="32"/>
        </w:rPr>
        <w:t>、巡查等部门的监督检查。严守财经法规，严格财经纪律，依法接受财政、审计、巡察、派驻</w:t>
      </w:r>
      <w:r>
        <w:rPr>
          <w:rFonts w:hint="eastAsia" w:ascii="仿宋_GB2312" w:hAnsi="仿宋_GB2312" w:eastAsia="仿宋_GB2312" w:cs="仿宋_GB2312"/>
          <w:sz w:val="32"/>
          <w:szCs w:val="32"/>
          <w:lang w:eastAsia="zh-CN"/>
        </w:rPr>
        <w:t>纪检监察</w:t>
      </w:r>
      <w:r>
        <w:rPr>
          <w:rFonts w:hint="eastAsia" w:ascii="仿宋_GB2312" w:hAnsi="仿宋_GB2312" w:eastAsia="仿宋_GB2312" w:cs="仿宋_GB2312"/>
          <w:sz w:val="32"/>
          <w:szCs w:val="32"/>
        </w:rPr>
        <w:t>，按时上报各类资料。严格遵守中央八项规定及省市县有关厉行勤俭节约相关规定，严格执行财务管理制度，根据年初预算合理安排日常公用经费资金，做到厉行节约、精打细算，把有效的资金用到刀刃上，让财政资金发挥最大的社会及经济效益并保证全局各项工作的正常运转。</w:t>
      </w:r>
    </w:p>
    <w:p>
      <w:pPr>
        <w:keepNext w:val="0"/>
        <w:keepLines w:val="0"/>
        <w:pageBreakBefore w:val="0"/>
        <w:widowControl/>
        <w:numPr>
          <w:ilvl w:val="0"/>
          <w:numId w:val="0"/>
        </w:numPr>
        <w:pBdr>
          <w:bottom w:val="single" w:color="FFFFFF" w:sz="4" w:space="28"/>
        </w:pBdr>
        <w:tabs>
          <w:tab w:val="left" w:pos="1440"/>
        </w:tabs>
        <w:kinsoku/>
        <w:wordWrap/>
        <w:overflowPunct/>
        <w:topLinePunct w:val="0"/>
        <w:autoSpaceDE/>
        <w:autoSpaceDN/>
        <w:bidi w:val="0"/>
        <w:adjustRightInd/>
        <w:snapToGrid/>
        <w:spacing w:line="560" w:lineRule="exact"/>
        <w:ind w:left="420" w:leftChars="0" w:firstLine="320" w:firstLineChars="100"/>
        <w:jc w:val="left"/>
        <w:textAlignment w:val="auto"/>
        <w:rPr>
          <w:rFonts w:eastAsia="黑体"/>
          <w:color w:val="000000"/>
          <w:kern w:val="0"/>
          <w:sz w:val="32"/>
          <w:szCs w:val="48"/>
          <w:shd w:val="clear" w:color="auto" w:fill="FFFFFF"/>
        </w:rPr>
      </w:pPr>
      <w:r>
        <w:rPr>
          <w:rFonts w:hint="eastAsia" w:eastAsia="黑体"/>
          <w:color w:val="000000"/>
          <w:kern w:val="0"/>
          <w:sz w:val="32"/>
          <w:szCs w:val="48"/>
          <w:shd w:val="clear" w:color="auto" w:fill="FFFFFF"/>
          <w:lang w:val="en-US" w:eastAsia="zh-CN"/>
        </w:rPr>
        <w:t xml:space="preserve"> (三)</w:t>
      </w:r>
      <w:r>
        <w:rPr>
          <w:rFonts w:eastAsia="黑体"/>
          <w:color w:val="000000"/>
          <w:kern w:val="0"/>
          <w:sz w:val="32"/>
          <w:szCs w:val="48"/>
          <w:shd w:val="clear" w:color="auto" w:fill="FFFFFF"/>
        </w:rPr>
        <w:t>评价结论及建议</w:t>
      </w:r>
    </w:p>
    <w:p>
      <w:pPr>
        <w:keepNext w:val="0"/>
        <w:keepLines w:val="0"/>
        <w:pageBreakBefore w:val="0"/>
        <w:widowControl/>
        <w:numPr>
          <w:ilvl w:val="0"/>
          <w:numId w:val="0"/>
        </w:numPr>
        <w:pBdr>
          <w:bottom w:val="single" w:color="FFFFFF" w:sz="4" w:space="28"/>
        </w:pBdr>
        <w:tabs>
          <w:tab w:val="left" w:pos="1440"/>
        </w:tabs>
        <w:kinsoku/>
        <w:wordWrap/>
        <w:overflowPunct/>
        <w:topLinePunct w:val="0"/>
        <w:autoSpaceDE/>
        <w:autoSpaceDN/>
        <w:bidi w:val="0"/>
        <w:adjustRightInd/>
        <w:snapToGrid/>
        <w:spacing w:line="560" w:lineRule="exact"/>
        <w:ind w:left="420" w:leftChars="0" w:firstLine="280" w:firstLineChars="100"/>
        <w:jc w:val="left"/>
        <w:textAlignment w:val="auto"/>
        <w:rPr>
          <w:rFonts w:hint="eastAsia" w:ascii="仿宋_GB2312" w:hAnsi="仿宋_GB2312" w:eastAsia="仿宋_GB2312" w:cs="仿宋_GB2312"/>
          <w:b/>
          <w:bCs/>
          <w:sz w:val="32"/>
          <w:szCs w:val="32"/>
        </w:rPr>
      </w:pPr>
      <w:r>
        <w:rPr>
          <w:rFonts w:hint="eastAsia" w:eastAsia="黑体"/>
          <w:color w:val="000000"/>
          <w:kern w:val="0"/>
          <w:sz w:val="28"/>
          <w:szCs w:val="44"/>
          <w:shd w:val="clear" w:color="auto" w:fill="FFFFFF"/>
          <w:lang w:val="en-US" w:eastAsia="zh-CN"/>
        </w:rPr>
        <w:t xml:space="preserve">  </w:t>
      </w:r>
      <w:r>
        <w:rPr>
          <w:rFonts w:eastAsia="楷体_GB2312"/>
          <w:b/>
          <w:bCs/>
          <w:color w:val="000000"/>
          <w:kern w:val="0"/>
          <w:sz w:val="28"/>
          <w:szCs w:val="44"/>
          <w:shd w:val="clear" w:color="auto" w:fill="FFFFFF"/>
          <w:lang w:val="zh-CN"/>
        </w:rPr>
        <w:t>（一）评价结论。</w:t>
      </w:r>
      <w:r>
        <w:rPr>
          <w:rFonts w:hint="eastAsia" w:ascii="仿宋_GB2312" w:hAnsi="仿宋_GB2312" w:eastAsia="仿宋_GB2312" w:cs="仿宋_GB2312"/>
          <w:color w:val="auto"/>
          <w:kern w:val="0"/>
          <w:sz w:val="32"/>
          <w:szCs w:val="32"/>
          <w:lang w:val="zh-CN" w:eastAsia="zh-CN" w:bidi="ar"/>
        </w:rPr>
        <w:t>我</w:t>
      </w:r>
      <w:r>
        <w:rPr>
          <w:rFonts w:hint="eastAsia" w:ascii="仿宋_GB2312" w:hAnsi="仿宋_GB2312" w:eastAsia="仿宋_GB2312" w:cs="仿宋_GB2312"/>
          <w:color w:val="auto"/>
          <w:kern w:val="0"/>
          <w:sz w:val="32"/>
          <w:szCs w:val="32"/>
          <w:lang w:val="en-US" w:eastAsia="zh-CN" w:bidi="ar"/>
        </w:rPr>
        <w:t>单位</w:t>
      </w:r>
      <w:r>
        <w:rPr>
          <w:rFonts w:hint="eastAsia" w:ascii="仿宋_GB2312" w:hAnsi="仿宋_GB2312" w:eastAsia="仿宋_GB2312" w:cs="仿宋_GB2312"/>
          <w:color w:val="auto"/>
          <w:kern w:val="0"/>
          <w:sz w:val="32"/>
          <w:szCs w:val="32"/>
          <w:lang w:val="zh-CN" w:eastAsia="zh-CN" w:bidi="ar"/>
        </w:rPr>
        <w:t>通过加强预算绩效管理，不断建立健全内部管理制度，强化内部管理流程，部门整体支出管理情况得到提升，也能较好完成部门决算的编制、送审、批复和公开工作。同时也认识到在编制决算过程中存在项目分类不够精细、功能科目分类不够准确等不足。在下一年度的部门预算编制、执行决算中，我</w:t>
      </w:r>
      <w:r>
        <w:rPr>
          <w:rFonts w:hint="eastAsia" w:ascii="仿宋_GB2312" w:hAnsi="仿宋_GB2312" w:eastAsia="仿宋_GB2312" w:cs="仿宋_GB2312"/>
          <w:color w:val="auto"/>
          <w:kern w:val="0"/>
          <w:sz w:val="32"/>
          <w:szCs w:val="32"/>
          <w:lang w:val="en-US" w:eastAsia="zh-CN" w:bidi="ar"/>
        </w:rPr>
        <w:t>单位</w:t>
      </w:r>
      <w:r>
        <w:rPr>
          <w:rFonts w:hint="eastAsia" w:ascii="仿宋_GB2312" w:hAnsi="仿宋_GB2312" w:eastAsia="仿宋_GB2312" w:cs="仿宋_GB2312"/>
          <w:color w:val="auto"/>
          <w:kern w:val="0"/>
          <w:sz w:val="32"/>
          <w:szCs w:val="32"/>
          <w:lang w:val="zh-CN" w:eastAsia="zh-CN" w:bidi="ar"/>
        </w:rPr>
        <w:t>将继续努力，科学合理编制预决算，进行绩效评价，加强精细管理，完善不足。</w:t>
      </w:r>
      <w:r>
        <w:rPr>
          <w:rFonts w:hint="eastAsia" w:ascii="仿宋_GB2312" w:hAnsi="仿宋_GB2312" w:eastAsia="仿宋_GB2312" w:cs="仿宋_GB2312"/>
          <w:color w:val="auto"/>
          <w:kern w:val="0"/>
          <w:sz w:val="32"/>
          <w:szCs w:val="32"/>
          <w:lang w:val="en-US" w:eastAsia="zh-CN" w:bidi="ar"/>
        </w:rPr>
        <w:t>根据《壤塘县2025</w:t>
      </w:r>
      <w:r>
        <w:rPr>
          <w:rFonts w:hint="default" w:ascii="仿宋_GB2312" w:hAnsi="仿宋_GB2312" w:eastAsia="仿宋_GB2312" w:cs="仿宋_GB2312"/>
          <w:color w:val="auto"/>
          <w:kern w:val="0"/>
          <w:sz w:val="32"/>
          <w:szCs w:val="32"/>
          <w:lang w:val="en-US" w:eastAsia="zh-CN" w:bidi="ar"/>
        </w:rPr>
        <w:t>年部门整体支出绩效评价指标体系》评分，得分</w:t>
      </w:r>
      <w:r>
        <w:rPr>
          <w:rFonts w:hint="eastAsia" w:ascii="仿宋_GB2312" w:hAnsi="仿宋_GB2312" w:eastAsia="仿宋_GB2312" w:cs="仿宋_GB2312"/>
          <w:color w:val="auto"/>
          <w:kern w:val="0"/>
          <w:sz w:val="32"/>
          <w:szCs w:val="32"/>
          <w:lang w:val="en-US" w:eastAsia="zh-CN" w:bidi="ar"/>
        </w:rPr>
        <w:t>9</w:t>
      </w:r>
      <w:r>
        <w:rPr>
          <w:rFonts w:hint="eastAsia" w:ascii="仿宋_GB2312" w:hAnsi="仿宋_GB2312" w:cs="仿宋_GB2312"/>
          <w:color w:val="auto"/>
          <w:kern w:val="0"/>
          <w:sz w:val="32"/>
          <w:szCs w:val="32"/>
          <w:lang w:val="en-US" w:eastAsia="zh-CN" w:bidi="ar"/>
        </w:rPr>
        <w:t>5</w:t>
      </w:r>
      <w:r>
        <w:rPr>
          <w:rFonts w:hint="default" w:ascii="仿宋_GB2312" w:hAnsi="仿宋_GB2312" w:eastAsia="仿宋_GB2312" w:cs="仿宋_GB2312"/>
          <w:color w:val="auto"/>
          <w:kern w:val="0"/>
          <w:sz w:val="32"/>
          <w:szCs w:val="32"/>
          <w:lang w:val="en-US" w:eastAsia="zh-CN" w:bidi="ar"/>
        </w:rPr>
        <w:t>分，绩效评价结果优秀。</w:t>
      </w:r>
      <w:r>
        <w:rPr>
          <w:rFonts w:hint="eastAsia" w:ascii="仿宋_GB2312" w:hAnsi="仿宋_GB2312" w:cs="仿宋_GB2312"/>
          <w:color w:val="auto"/>
          <w:kern w:val="0"/>
          <w:sz w:val="32"/>
          <w:szCs w:val="32"/>
          <w:lang w:val="en-US" w:eastAsia="zh-CN" w:bidi="ar"/>
        </w:rPr>
        <w:t xml:space="preserve">                                  </w:t>
      </w:r>
      <w:r>
        <w:rPr>
          <w:rFonts w:hint="eastAsia" w:ascii="仿宋_GB2312" w:hAnsi="仿宋_GB2312" w:eastAsia="仿宋_GB2312" w:cs="仿宋_GB2312"/>
          <w:b/>
          <w:bCs/>
          <w:sz w:val="32"/>
          <w:szCs w:val="32"/>
        </w:rPr>
        <w:t>（二）存在问题</w:t>
      </w:r>
    </w:p>
    <w:p>
      <w:pPr>
        <w:keepNext w:val="0"/>
        <w:keepLines w:val="0"/>
        <w:pageBreakBefore w:val="0"/>
        <w:widowControl/>
        <w:numPr>
          <w:ilvl w:val="0"/>
          <w:numId w:val="0"/>
        </w:numPr>
        <w:pBdr>
          <w:bottom w:val="single" w:color="FFFFFF" w:sz="4" w:space="28"/>
        </w:pBdr>
        <w:tabs>
          <w:tab w:val="left" w:pos="1440"/>
        </w:tabs>
        <w:kinsoku/>
        <w:wordWrap/>
        <w:overflowPunct/>
        <w:topLinePunct w:val="0"/>
        <w:autoSpaceDE/>
        <w:autoSpaceDN/>
        <w:bidi w:val="0"/>
        <w:adjustRightInd/>
        <w:snapToGrid/>
        <w:spacing w:line="560" w:lineRule="exact"/>
        <w:ind w:left="420" w:leftChars="0" w:firstLine="320" w:firstLineChars="100"/>
        <w:jc w:val="lef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1.执行期间根据工作安排和开展情况追加收入较多，年初预算数与调整预算数差别较大，预算安排不为准确</w:t>
      </w:r>
      <w:r>
        <w:rPr>
          <w:rFonts w:hint="eastAsia" w:ascii="仿宋_GB2312" w:hAnsi="仿宋_GB2312" w:eastAsia="仿宋_GB2312" w:cs="仿宋_GB2312"/>
          <w:sz w:val="32"/>
          <w:szCs w:val="32"/>
          <w:lang w:val="zh-CN"/>
        </w:rPr>
        <w:t>。</w:t>
      </w:r>
    </w:p>
    <w:p>
      <w:pPr>
        <w:keepNext w:val="0"/>
        <w:keepLines w:val="0"/>
        <w:pageBreakBefore w:val="0"/>
        <w:widowControl/>
        <w:numPr>
          <w:ilvl w:val="0"/>
          <w:numId w:val="0"/>
        </w:numPr>
        <w:pBdr>
          <w:bottom w:val="single" w:color="FFFFFF" w:sz="4" w:space="28"/>
        </w:pBdr>
        <w:tabs>
          <w:tab w:val="left" w:pos="1440"/>
        </w:tabs>
        <w:kinsoku/>
        <w:wordWrap/>
        <w:overflowPunct/>
        <w:topLinePunct w:val="0"/>
        <w:autoSpaceDE/>
        <w:autoSpaceDN/>
        <w:bidi w:val="0"/>
        <w:adjustRightInd/>
        <w:snapToGrid/>
        <w:spacing w:line="560" w:lineRule="exact"/>
        <w:ind w:left="420" w:leftChars="0" w:firstLine="321" w:firstLineChars="100"/>
        <w:jc w:val="left"/>
        <w:textAlignment w:val="auto"/>
        <w:rPr>
          <w:rFonts w:hint="eastAsia"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lang w:val="zh-CN"/>
        </w:rPr>
        <w:t>（三）改进建议</w:t>
      </w:r>
    </w:p>
    <w:p>
      <w:pPr>
        <w:keepNext w:val="0"/>
        <w:keepLines w:val="0"/>
        <w:pageBreakBefore w:val="0"/>
        <w:widowControl/>
        <w:numPr>
          <w:ilvl w:val="0"/>
          <w:numId w:val="0"/>
        </w:numPr>
        <w:pBdr>
          <w:bottom w:val="single" w:color="FFFFFF" w:sz="4" w:space="28"/>
        </w:pBdr>
        <w:tabs>
          <w:tab w:val="left" w:pos="1440"/>
        </w:tabs>
        <w:kinsoku/>
        <w:wordWrap/>
        <w:overflowPunct/>
        <w:topLinePunct w:val="0"/>
        <w:autoSpaceDE/>
        <w:autoSpaceDN/>
        <w:bidi w:val="0"/>
        <w:adjustRightInd/>
        <w:snapToGrid/>
        <w:spacing w:line="560" w:lineRule="exact"/>
        <w:ind w:left="420" w:leftChars="0" w:firstLine="320" w:firstLineChars="100"/>
        <w:jc w:val="left"/>
        <w:textAlignment w:val="auto"/>
        <w:rPr>
          <w:color w:val="000000"/>
          <w:kern w:val="0"/>
          <w:szCs w:val="32"/>
          <w:shd w:val="clear" w:color="auto" w:fill="FFFFFF"/>
        </w:rPr>
      </w:pPr>
      <w:r>
        <w:rPr>
          <w:rFonts w:hint="eastAsia" w:ascii="仿宋_GB2312" w:hAnsi="仿宋_GB2312" w:eastAsia="仿宋_GB2312" w:cs="仿宋_GB2312"/>
          <w:sz w:val="32"/>
          <w:szCs w:val="32"/>
          <w:lang w:val="en-US" w:eastAsia="zh-CN"/>
        </w:rPr>
        <w:t>1.加强预算安排准确性，尽量减少执行中期追加数。</w:t>
      </w:r>
      <w:r>
        <w:rPr>
          <w:color w:val="000000"/>
          <w:kern w:val="0"/>
          <w:szCs w:val="32"/>
          <w:shd w:val="clear" w:color="auto" w:fill="FFFFFF"/>
        </w:rPr>
        <w:t>附</w:t>
      </w:r>
      <w:r>
        <w:rPr>
          <w:b/>
          <w:bCs/>
          <w:color w:val="000000"/>
          <w:kern w:val="0"/>
          <w:sz w:val="24"/>
          <w:szCs w:val="40"/>
          <w:shd w:val="clear" w:color="auto" w:fill="FFFFFF"/>
        </w:rPr>
        <w:t>表：</w:t>
      </w:r>
      <w:r>
        <w:rPr>
          <w:rFonts w:hint="eastAsia"/>
          <w:b/>
          <w:bCs/>
          <w:color w:val="000000"/>
          <w:kern w:val="0"/>
          <w:sz w:val="24"/>
          <w:szCs w:val="40"/>
          <w:shd w:val="clear" w:color="auto" w:fill="FFFFFF"/>
        </w:rPr>
        <w:t>1.</w:t>
      </w:r>
      <w:r>
        <w:rPr>
          <w:rFonts w:hint="eastAsia"/>
          <w:b/>
          <w:bCs/>
          <w:color w:val="000000"/>
          <w:kern w:val="0"/>
          <w:sz w:val="24"/>
          <w:szCs w:val="40"/>
          <w:shd w:val="clear" w:color="auto" w:fill="FFFFFF"/>
          <w:lang w:val="en-US" w:eastAsia="zh-CN"/>
        </w:rPr>
        <w:t xml:space="preserve">  </w:t>
      </w:r>
      <w:r>
        <w:rPr>
          <w:rFonts w:hint="eastAsia"/>
          <w:b/>
          <w:bCs/>
          <w:sz w:val="24"/>
          <w:szCs w:val="40"/>
        </w:rPr>
        <w:t>部门预算绩效自评打分表</w:t>
      </w:r>
      <w:r>
        <w:rPr>
          <w:rFonts w:hint="eastAsia"/>
          <w:b/>
          <w:bCs/>
          <w:sz w:val="24"/>
          <w:szCs w:val="40"/>
          <w:lang w:val="en-US" w:eastAsia="zh-CN"/>
        </w:rPr>
        <w:t>2.</w:t>
      </w:r>
      <w:r>
        <w:rPr>
          <w:b/>
          <w:bCs/>
          <w:color w:val="000000"/>
          <w:kern w:val="0"/>
          <w:sz w:val="24"/>
          <w:szCs w:val="40"/>
          <w:shd w:val="clear" w:color="auto" w:fill="FFFFFF"/>
        </w:rPr>
        <w:t>部门整体</w:t>
      </w:r>
      <w:r>
        <w:rPr>
          <w:rFonts w:hint="eastAsia"/>
          <w:b/>
          <w:bCs/>
          <w:color w:val="000000"/>
          <w:kern w:val="0"/>
          <w:sz w:val="24"/>
          <w:szCs w:val="40"/>
          <w:shd w:val="clear" w:color="auto" w:fill="FFFFFF"/>
        </w:rPr>
        <w:t>支出</w:t>
      </w:r>
      <w:r>
        <w:rPr>
          <w:b/>
          <w:bCs/>
          <w:color w:val="000000"/>
          <w:kern w:val="0"/>
          <w:sz w:val="24"/>
          <w:szCs w:val="40"/>
          <w:shd w:val="clear" w:color="auto" w:fill="FFFFFF"/>
        </w:rPr>
        <w:t>绩效目标完成情况自评表</w:t>
      </w:r>
    </w:p>
    <w:p>
      <w:pPr>
        <w:spacing w:line="578" w:lineRule="exact"/>
        <w:jc w:val="left"/>
        <w:rPr>
          <w:rFonts w:eastAsia="黑体"/>
        </w:rPr>
      </w:pPr>
      <w:r>
        <w:rPr>
          <w:color w:val="000000"/>
          <w:kern w:val="0"/>
          <w:szCs w:val="32"/>
          <w:shd w:val="clear" w:color="auto" w:fill="FFFFFF"/>
        </w:rPr>
        <w:br w:type="page"/>
      </w:r>
      <w:r>
        <w:rPr>
          <w:rFonts w:eastAsia="黑体"/>
        </w:rPr>
        <w:t>附表</w:t>
      </w:r>
      <w:r>
        <w:rPr>
          <w:rFonts w:hint="eastAsia" w:eastAsia="黑体"/>
        </w:rPr>
        <w:t>1</w:t>
      </w:r>
    </w:p>
    <w:p>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8"/>
        <w:tblW w:w="10912" w:type="dxa"/>
        <w:jc w:val="center"/>
        <w:tblLayout w:type="fixed"/>
        <w:tblCellMar>
          <w:top w:w="0" w:type="dxa"/>
          <w:left w:w="108" w:type="dxa"/>
          <w:bottom w:w="0" w:type="dxa"/>
          <w:right w:w="108" w:type="dxa"/>
        </w:tblCellMar>
      </w:tblPr>
      <w:tblGrid>
        <w:gridCol w:w="1097"/>
        <w:gridCol w:w="1201"/>
        <w:gridCol w:w="2127"/>
        <w:gridCol w:w="519"/>
        <w:gridCol w:w="4760"/>
        <w:gridCol w:w="730"/>
        <w:gridCol w:w="478"/>
      </w:tblGrid>
      <w:tr>
        <w:tblPrEx>
          <w:tblCellMar>
            <w:top w:w="0" w:type="dxa"/>
            <w:left w:w="108" w:type="dxa"/>
            <w:bottom w:w="0" w:type="dxa"/>
            <w:right w:w="108" w:type="dxa"/>
          </w:tblCellMar>
        </w:tblPrEx>
        <w:trPr>
          <w:trHeight w:val="405"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r>
      <w:tr>
        <w:tblPrEx>
          <w:tblCellMar>
            <w:top w:w="0" w:type="dxa"/>
            <w:left w:w="108" w:type="dxa"/>
            <w:bottom w:w="0" w:type="dxa"/>
            <w:right w:w="108" w:type="dxa"/>
          </w:tblCellMar>
        </w:tblPrEx>
        <w:trPr>
          <w:trHeight w:val="1245"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ascii="宋体" w:hAnsi="宋体" w:eastAsia="宋体" w:cs="宋体"/>
                <w:sz w:val="24"/>
                <w:szCs w:val="24"/>
              </w:rPr>
              <w:t>巾帼宣传队伍，妇女儿童全覆盖</w:t>
            </w:r>
          </w:p>
        </w:tc>
        <w:tc>
          <w:tcPr>
            <w:tcW w:w="519" w:type="dxa"/>
            <w:tcBorders>
              <w:top w:val="nil"/>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预算编制质量</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7</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70"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单位收入统筹</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00"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支出执行管理</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6</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90"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预算年终结余</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1</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550"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财务管理制度</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财务岗位设置</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资金使用规范</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15"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人均资产变化率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385"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资产利用率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资产盘活率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655"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支持中小企业发展</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ind w:firstLine="201" w:firstLineChars="0"/>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390"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采购执行率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决策程序</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目标设置</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项目入库</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执行同向</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525"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项目调整</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65"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执行结果</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500"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目标完成</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590"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目标偏离</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335"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实现效果</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3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被评价部门配合度</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96</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bl>
    <w:p>
      <w:pPr>
        <w:pStyle w:val="22"/>
        <w:spacing w:line="20" w:lineRule="exact"/>
      </w:pPr>
    </w:p>
    <w:p>
      <w:pPr>
        <w:spacing w:line="20" w:lineRule="exact"/>
        <w:rPr>
          <w:rFonts w:eastAsia="黑体"/>
        </w:rPr>
      </w:pPr>
      <w:r>
        <w:rPr>
          <w:rFonts w:eastAsia="黑体"/>
        </w:rPr>
        <w:br w:type="page"/>
      </w:r>
    </w:p>
    <w:p>
      <w:pPr>
        <w:spacing w:line="578" w:lineRule="exact"/>
        <w:jc w:val="left"/>
        <w:rPr>
          <w:rFonts w:eastAsia="黑体"/>
        </w:rPr>
      </w:pPr>
      <w:r>
        <w:rPr>
          <w:rFonts w:eastAsia="黑体"/>
        </w:rPr>
        <w:t>附表</w:t>
      </w:r>
      <w:r>
        <w:rPr>
          <w:rFonts w:hint="eastAsia" w:eastAsia="黑体"/>
        </w:rPr>
        <w:t>2</w:t>
      </w:r>
    </w:p>
    <w:p>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8"/>
        <w:tblW w:w="10357" w:type="dxa"/>
        <w:jc w:val="center"/>
        <w:tblLayout w:type="fixed"/>
        <w:tblCellMar>
          <w:top w:w="0" w:type="dxa"/>
          <w:left w:w="108" w:type="dxa"/>
          <w:bottom w:w="0" w:type="dxa"/>
          <w:right w:w="108" w:type="dxa"/>
        </w:tblCellMar>
      </w:tblPr>
      <w:tblGrid>
        <w:gridCol w:w="507"/>
        <w:gridCol w:w="593"/>
        <w:gridCol w:w="1059"/>
        <w:gridCol w:w="1082"/>
        <w:gridCol w:w="855"/>
        <w:gridCol w:w="930"/>
        <w:gridCol w:w="1080"/>
        <w:gridCol w:w="963"/>
        <w:gridCol w:w="870"/>
        <w:gridCol w:w="2418"/>
      </w:tblGrid>
      <w:tr>
        <w:tblPrEx>
          <w:tblCellMar>
            <w:top w:w="0" w:type="dxa"/>
            <w:left w:w="108" w:type="dxa"/>
            <w:bottom w:w="0" w:type="dxa"/>
            <w:right w:w="108" w:type="dxa"/>
          </w:tblCellMar>
        </w:tblPrEx>
        <w:trPr>
          <w:trHeight w:val="465" w:hRule="atLeast"/>
          <w:jc w:val="center"/>
        </w:trPr>
        <w:tc>
          <w:tcPr>
            <w:tcW w:w="2159" w:type="dxa"/>
            <w:gridSpan w:val="3"/>
            <w:tcBorders>
              <w:top w:val="single" w:color="000000" w:sz="4" w:space="0"/>
              <w:left w:val="single" w:color="000000" w:sz="4" w:space="0"/>
              <w:bottom w:val="single" w:color="auto" w:sz="4" w:space="0"/>
              <w:right w:val="single" w:color="000000" w:sz="4" w:space="0"/>
            </w:tcBorders>
            <w:vAlign w:val="center"/>
          </w:tcPr>
          <w:p>
            <w:pPr>
              <w:ind w:firstLine="240" w:firstLineChars="100"/>
              <w:rPr>
                <w:rFonts w:ascii="宋体" w:hAnsi="宋体" w:eastAsia="宋体" w:cs="宋体"/>
                <w:color w:val="000000"/>
                <w:kern w:val="0"/>
                <w:sz w:val="24"/>
              </w:rPr>
            </w:pPr>
            <w:r>
              <w:rPr>
                <w:rFonts w:eastAsia="黑体"/>
                <w:sz w:val="24"/>
              </w:rPr>
              <w:br w:type="page"/>
            </w:r>
            <w:r>
              <w:rPr>
                <w:rFonts w:hint="eastAsia" w:ascii="宋体" w:hAnsi="宋体" w:eastAsia="宋体" w:cs="宋体"/>
                <w:color w:val="000000"/>
                <w:kern w:val="0"/>
                <w:sz w:val="24"/>
              </w:rPr>
              <w:t>部门名称</w:t>
            </w:r>
          </w:p>
        </w:tc>
        <w:tc>
          <w:tcPr>
            <w:tcW w:w="8198" w:type="dxa"/>
            <w:gridSpan w:val="7"/>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阿坝州</w:t>
            </w:r>
            <w:r>
              <w:rPr>
                <w:rFonts w:hint="eastAsia" w:ascii="宋体" w:hAnsi="宋体" w:eastAsia="宋体" w:cs="宋体"/>
                <w:color w:val="000000"/>
                <w:kern w:val="0"/>
                <w:sz w:val="24"/>
                <w:lang w:val="en-US" w:eastAsia="zh-CN"/>
              </w:rPr>
              <w:t>壤塘县总工会</w:t>
            </w:r>
          </w:p>
        </w:tc>
      </w:tr>
      <w:tr>
        <w:tblPrEx>
          <w:tblCellMar>
            <w:top w:w="0" w:type="dxa"/>
            <w:left w:w="108" w:type="dxa"/>
            <w:bottom w:w="0" w:type="dxa"/>
            <w:right w:w="108" w:type="dxa"/>
          </w:tblCellMar>
        </w:tblPrEx>
        <w:trPr>
          <w:trHeight w:val="505" w:hRule="atLeast"/>
          <w:jc w:val="center"/>
        </w:trPr>
        <w:tc>
          <w:tcPr>
            <w:tcW w:w="2159"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1937" w:type="dxa"/>
            <w:gridSpan w:val="2"/>
            <w:tcBorders>
              <w:top w:val="single" w:color="000000" w:sz="4" w:space="0"/>
              <w:left w:val="single" w:color="auto" w:sz="4" w:space="0"/>
              <w:bottom w:val="single" w:color="000000"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资金总额</w:t>
            </w:r>
          </w:p>
        </w:tc>
        <w:tc>
          <w:tcPr>
            <w:tcW w:w="2010"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p>
        </w:tc>
        <w:tc>
          <w:tcPr>
            <w:tcW w:w="4251"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其他资金</w:t>
            </w:r>
          </w:p>
        </w:tc>
      </w:tr>
      <w:tr>
        <w:tblPrEx>
          <w:tblCellMar>
            <w:top w:w="0" w:type="dxa"/>
            <w:left w:w="108" w:type="dxa"/>
            <w:bottom w:w="0" w:type="dxa"/>
            <w:right w:w="108" w:type="dxa"/>
          </w:tblCellMar>
        </w:tblPrEx>
        <w:trPr>
          <w:trHeight w:val="505" w:hRule="atLeast"/>
          <w:jc w:val="center"/>
        </w:trPr>
        <w:tc>
          <w:tcPr>
            <w:tcW w:w="2159"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收入预算</w:t>
            </w:r>
          </w:p>
        </w:tc>
        <w:tc>
          <w:tcPr>
            <w:tcW w:w="1937" w:type="dxa"/>
            <w:gridSpan w:val="2"/>
            <w:tcBorders>
              <w:top w:val="single" w:color="000000" w:sz="4" w:space="0"/>
              <w:left w:val="single" w:color="auto" w:sz="4" w:space="0"/>
              <w:bottom w:val="single" w:color="000000" w:sz="4" w:space="0"/>
              <w:right w:val="single" w:color="auto"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221.4</w:t>
            </w:r>
          </w:p>
        </w:tc>
        <w:tc>
          <w:tcPr>
            <w:tcW w:w="2010"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228.54</w:t>
            </w:r>
          </w:p>
        </w:tc>
        <w:tc>
          <w:tcPr>
            <w:tcW w:w="4251"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7.5</w:t>
            </w:r>
          </w:p>
        </w:tc>
      </w:tr>
      <w:tr>
        <w:tblPrEx>
          <w:tblCellMar>
            <w:top w:w="0" w:type="dxa"/>
            <w:left w:w="108" w:type="dxa"/>
            <w:bottom w:w="0" w:type="dxa"/>
            <w:right w:w="108" w:type="dxa"/>
          </w:tblCellMar>
        </w:tblPrEx>
        <w:trPr>
          <w:trHeight w:val="471" w:hRule="atLeast"/>
          <w:jc w:val="center"/>
        </w:trPr>
        <w:tc>
          <w:tcPr>
            <w:tcW w:w="2159"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支出预算</w:t>
            </w:r>
          </w:p>
        </w:tc>
        <w:tc>
          <w:tcPr>
            <w:tcW w:w="1937" w:type="dxa"/>
            <w:gridSpan w:val="2"/>
            <w:tcBorders>
              <w:top w:val="single" w:color="000000" w:sz="4" w:space="0"/>
              <w:left w:val="single" w:color="auto"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228.54</w:t>
            </w:r>
          </w:p>
        </w:tc>
        <w:tc>
          <w:tcPr>
            <w:tcW w:w="2010" w:type="dxa"/>
            <w:gridSpan w:val="2"/>
            <w:tcBorders>
              <w:top w:val="single" w:color="auto"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228.54</w:t>
            </w:r>
          </w:p>
        </w:tc>
        <w:tc>
          <w:tcPr>
            <w:tcW w:w="4251" w:type="dxa"/>
            <w:gridSpan w:val="3"/>
            <w:tcBorders>
              <w:top w:val="single" w:color="auto"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p>
        </w:tc>
      </w:tr>
      <w:tr>
        <w:tblPrEx>
          <w:tblCellMar>
            <w:top w:w="0" w:type="dxa"/>
            <w:left w:w="108" w:type="dxa"/>
            <w:bottom w:w="0" w:type="dxa"/>
            <w:right w:w="108" w:type="dxa"/>
          </w:tblCellMar>
        </w:tblPrEx>
        <w:trPr>
          <w:trHeight w:val="296" w:hRule="atLeast"/>
          <w:jc w:val="center"/>
        </w:trPr>
        <w:tc>
          <w:tcPr>
            <w:tcW w:w="2159" w:type="dxa"/>
            <w:gridSpan w:val="3"/>
            <w:tcBorders>
              <w:top w:val="single" w:color="auto"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8198" w:type="dxa"/>
            <w:gridSpan w:val="7"/>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zh-CN" w:eastAsia="zh-CN"/>
              </w:rPr>
            </w:pPr>
            <w:r>
              <w:rPr>
                <w:rFonts w:hint="eastAsia" w:ascii="宋体" w:hAnsi="宋体" w:eastAsia="宋体" w:cs="宋体"/>
                <w:color w:val="000000"/>
                <w:kern w:val="0"/>
                <w:sz w:val="24"/>
                <w:lang w:val="en-US" w:eastAsia="zh-CN"/>
              </w:rPr>
              <w:t xml:space="preserve">  </w:t>
            </w:r>
            <w:r>
              <w:rPr>
                <w:rFonts w:hint="eastAsia" w:ascii="宋体" w:hAnsi="宋体" w:eastAsia="宋体" w:cs="宋体"/>
                <w:color w:val="000000"/>
                <w:kern w:val="0"/>
                <w:sz w:val="24"/>
                <w:lang w:val="zh-CN" w:eastAsia="zh-CN"/>
              </w:rPr>
              <w:t>全力雅进农牧立县、文旅兴县、能源富县、开放活县“战略，加快构建一城三副</w:t>
            </w:r>
            <w:r>
              <w:rPr>
                <w:rFonts w:hint="eastAsia" w:ascii="宋体" w:hAnsi="宋体" w:cs="宋体"/>
                <w:color w:val="000000"/>
                <w:kern w:val="0"/>
                <w:sz w:val="24"/>
                <w:lang w:val="zh-CN" w:eastAsia="zh-CN"/>
              </w:rPr>
              <w:t>城乡融合</w:t>
            </w:r>
            <w:r>
              <w:rPr>
                <w:rFonts w:hint="eastAsia" w:ascii="宋体" w:hAnsi="宋体" w:eastAsia="宋体" w:cs="宋体"/>
                <w:color w:val="000000"/>
                <w:kern w:val="0"/>
                <w:sz w:val="24"/>
                <w:lang w:val="zh-CN" w:eastAsia="zh-CN"/>
              </w:rPr>
              <w:t>高质量发展体系，认真落实县委”146目标任务，加强妇联组织白身建设，</w:t>
            </w:r>
            <w:r>
              <w:rPr>
                <w:rFonts w:hint="eastAsia" w:ascii="宋体" w:hAnsi="宋体" w:cs="宋体"/>
                <w:color w:val="000000"/>
                <w:kern w:val="0"/>
                <w:sz w:val="24"/>
                <w:lang w:val="zh-CN" w:eastAsia="zh-CN"/>
              </w:rPr>
              <w:t>建立健全</w:t>
            </w:r>
            <w:r>
              <w:rPr>
                <w:rFonts w:hint="eastAsia" w:ascii="宋体" w:hAnsi="宋体" w:eastAsia="宋体" w:cs="宋体"/>
                <w:color w:val="000000"/>
                <w:kern w:val="0"/>
                <w:sz w:val="24"/>
                <w:lang w:val="zh-CN" w:eastAsia="zh-CN"/>
              </w:rPr>
              <w:t>各级妇联和基层组织，指导各级妇女组织按照章程独立自主的开展工作，加强干部队伍建设，提高妇联干部的整体素质</w:t>
            </w:r>
          </w:p>
          <w:p>
            <w:pPr>
              <w:widowControl/>
              <w:spacing w:line="24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96" w:hRule="atLeast"/>
          <w:jc w:val="center"/>
        </w:trPr>
        <w:tc>
          <w:tcPr>
            <w:tcW w:w="507"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105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08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855"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2418" w:type="dxa"/>
            <w:vMerge w:val="restart"/>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指标实际完成值</w:t>
            </w:r>
          </w:p>
        </w:tc>
      </w:tr>
      <w:tr>
        <w:tblPrEx>
          <w:tblCellMar>
            <w:top w:w="0" w:type="dxa"/>
            <w:left w:w="108" w:type="dxa"/>
            <w:bottom w:w="0" w:type="dxa"/>
            <w:right w:w="108" w:type="dxa"/>
          </w:tblCellMar>
        </w:tblPrEx>
        <w:trPr>
          <w:trHeight w:val="296" w:hRule="atLeast"/>
          <w:jc w:val="center"/>
        </w:trPr>
        <w:tc>
          <w:tcPr>
            <w:tcW w:w="50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5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82"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85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930" w:type="dxa"/>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三年</w:t>
            </w:r>
          </w:p>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均值</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2023</w:t>
            </w:r>
            <w:r>
              <w:rPr>
                <w:rFonts w:ascii="宋体" w:hAnsi="宋体" w:eastAsia="宋体" w:cs="宋体"/>
                <w:color w:val="000000"/>
                <w:kern w:val="0"/>
                <w:sz w:val="24"/>
              </w:rPr>
              <w:t>年</w:t>
            </w:r>
          </w:p>
        </w:tc>
        <w:tc>
          <w:tcPr>
            <w:tcW w:w="9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2024</w:t>
            </w:r>
            <w:r>
              <w:rPr>
                <w:rFonts w:ascii="宋体" w:hAnsi="宋体" w:eastAsia="宋体" w:cs="宋体"/>
                <w:color w:val="000000"/>
                <w:kern w:val="0"/>
                <w:sz w:val="24"/>
              </w:rPr>
              <w:t>年</w:t>
            </w:r>
          </w:p>
        </w:tc>
        <w:tc>
          <w:tcPr>
            <w:tcW w:w="87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2025</w:t>
            </w:r>
            <w:r>
              <w:rPr>
                <w:rFonts w:ascii="宋体" w:hAnsi="宋体" w:eastAsia="宋体" w:cs="宋体"/>
                <w:color w:val="000000"/>
                <w:kern w:val="0"/>
                <w:sz w:val="24"/>
              </w:rPr>
              <w:t>年</w:t>
            </w:r>
          </w:p>
        </w:tc>
        <w:tc>
          <w:tcPr>
            <w:tcW w:w="2418" w:type="dxa"/>
            <w:vMerge w:val="continue"/>
            <w:tcBorders>
              <w:left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90" w:hRule="atLeast"/>
          <w:jc w:val="center"/>
        </w:trPr>
        <w:tc>
          <w:tcPr>
            <w:tcW w:w="50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成本指标</w:t>
            </w:r>
          </w:p>
        </w:tc>
        <w:tc>
          <w:tcPr>
            <w:tcW w:w="105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预算管理</w:t>
            </w: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r>
              <w:rPr>
                <w:rFonts w:ascii="宋体" w:hAnsi="宋体" w:eastAsia="宋体" w:cs="宋体"/>
                <w:color w:val="000000"/>
                <w:kern w:val="0"/>
                <w:sz w:val="24"/>
              </w:rPr>
              <w:t>预算编制偏离度</w:t>
            </w:r>
          </w:p>
        </w:tc>
        <w:tc>
          <w:tcPr>
            <w:tcW w:w="85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179.29</w:t>
            </w:r>
            <w:r>
              <w:rPr>
                <w:rFonts w:hint="eastAsia" w:ascii="宋体" w:hAnsi="宋体" w:eastAsia="宋体" w:cs="宋体"/>
                <w:color w:val="000000"/>
                <w:kern w:val="0"/>
                <w:sz w:val="24"/>
              </w:rPr>
              <w:t>%</w:t>
            </w:r>
          </w:p>
        </w:tc>
        <w:tc>
          <w:tcPr>
            <w:tcW w:w="9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179.29</w:t>
            </w:r>
            <w:r>
              <w:rPr>
                <w:rFonts w:ascii="宋体" w:hAnsi="宋体" w:eastAsia="宋体" w:cs="宋体"/>
                <w:color w:val="000000"/>
                <w:kern w:val="0"/>
                <w:sz w:val="24"/>
              </w:rPr>
              <w:t>%</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353.46</w:t>
            </w:r>
            <w:r>
              <w:rPr>
                <w:rFonts w:ascii="宋体" w:hAnsi="宋体" w:eastAsia="宋体" w:cs="宋体"/>
                <w:color w:val="000000"/>
                <w:kern w:val="0"/>
                <w:sz w:val="24"/>
              </w:rPr>
              <w:t>%</w:t>
            </w:r>
          </w:p>
        </w:tc>
        <w:tc>
          <w:tcPr>
            <w:tcW w:w="9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95.95</w:t>
            </w:r>
            <w:r>
              <w:rPr>
                <w:rFonts w:ascii="宋体" w:hAnsi="宋体" w:eastAsia="宋体" w:cs="宋体"/>
                <w:color w:val="000000"/>
                <w:kern w:val="0"/>
                <w:sz w:val="24"/>
              </w:rPr>
              <w:t>%</w:t>
            </w:r>
          </w:p>
        </w:tc>
        <w:tc>
          <w:tcPr>
            <w:tcW w:w="87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88.47</w:t>
            </w:r>
            <w:r>
              <w:rPr>
                <w:rFonts w:ascii="宋体" w:hAnsi="宋体" w:eastAsia="宋体" w:cs="宋体"/>
                <w:color w:val="000000"/>
                <w:kern w:val="0"/>
                <w:sz w:val="24"/>
              </w:rPr>
              <w:t>%</w:t>
            </w:r>
          </w:p>
        </w:tc>
        <w:tc>
          <w:tcPr>
            <w:tcW w:w="241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86.12%</w:t>
            </w:r>
          </w:p>
        </w:tc>
      </w:tr>
      <w:tr>
        <w:tblPrEx>
          <w:tblCellMar>
            <w:top w:w="0" w:type="dxa"/>
            <w:left w:w="108" w:type="dxa"/>
            <w:bottom w:w="0" w:type="dxa"/>
            <w:right w:w="108" w:type="dxa"/>
          </w:tblCellMar>
        </w:tblPrEx>
        <w:trPr>
          <w:trHeight w:val="445" w:hRule="atLeast"/>
          <w:jc w:val="center"/>
        </w:trPr>
        <w:tc>
          <w:tcPr>
            <w:tcW w:w="50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5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0</w:t>
            </w:r>
            <w:r>
              <w:rPr>
                <w:rFonts w:hint="eastAsia" w:ascii="宋体" w:hAnsi="宋体" w:eastAsia="宋体" w:cs="宋体"/>
                <w:color w:val="000000"/>
                <w:kern w:val="0"/>
                <w:sz w:val="21"/>
                <w:szCs w:val="21"/>
              </w:rPr>
              <w:t>%</w:t>
            </w:r>
          </w:p>
        </w:tc>
        <w:tc>
          <w:tcPr>
            <w:tcW w:w="85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lang w:val="en-US" w:eastAsia="zh-CN"/>
              </w:rPr>
              <w:t>0</w:t>
            </w:r>
            <w:r>
              <w:rPr>
                <w:rFonts w:ascii="宋体" w:hAnsi="宋体" w:eastAsia="宋体" w:cs="宋体"/>
                <w:color w:val="000000"/>
                <w:kern w:val="0"/>
                <w:sz w:val="21"/>
                <w:szCs w:val="21"/>
              </w:rPr>
              <w:t>%</w:t>
            </w:r>
          </w:p>
        </w:tc>
        <w:tc>
          <w:tcPr>
            <w:tcW w:w="9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lang w:val="en-US" w:eastAsia="zh-CN"/>
              </w:rPr>
              <w:t>0</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lang w:val="en-US" w:eastAsia="zh-CN"/>
              </w:rPr>
              <w:t>0</w:t>
            </w:r>
          </w:p>
        </w:tc>
        <w:tc>
          <w:tcPr>
            <w:tcW w:w="9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lang w:val="en-US" w:eastAsia="zh-CN"/>
              </w:rPr>
              <w:t>0</w:t>
            </w:r>
          </w:p>
        </w:tc>
        <w:tc>
          <w:tcPr>
            <w:tcW w:w="87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lang w:val="en-US" w:eastAsia="zh-CN"/>
              </w:rPr>
              <w:t>0</w:t>
            </w:r>
          </w:p>
        </w:tc>
        <w:tc>
          <w:tcPr>
            <w:tcW w:w="241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0</w:t>
            </w:r>
            <w:r>
              <w:rPr>
                <w:rFonts w:hint="eastAsia" w:ascii="宋体" w:hAnsi="宋体" w:eastAsia="宋体" w:cs="宋体"/>
                <w:color w:val="000000"/>
                <w:kern w:val="0"/>
                <w:sz w:val="21"/>
                <w:szCs w:val="21"/>
              </w:rPr>
              <w:t>%</w:t>
            </w:r>
          </w:p>
        </w:tc>
      </w:tr>
      <w:tr>
        <w:tblPrEx>
          <w:tblCellMar>
            <w:top w:w="0" w:type="dxa"/>
            <w:left w:w="108" w:type="dxa"/>
            <w:bottom w:w="0" w:type="dxa"/>
            <w:right w:w="108" w:type="dxa"/>
          </w:tblCellMar>
        </w:tblPrEx>
        <w:trPr>
          <w:trHeight w:val="90" w:hRule="atLeast"/>
          <w:jc w:val="center"/>
        </w:trPr>
        <w:tc>
          <w:tcPr>
            <w:tcW w:w="50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5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预算年终结余</w:t>
            </w:r>
            <w:r>
              <w:rPr>
                <w:rFonts w:ascii="宋体" w:hAnsi="宋体" w:eastAsia="宋体" w:cs="宋体"/>
                <w:color w:val="000000"/>
                <w:kern w:val="0"/>
                <w:sz w:val="24"/>
              </w:rPr>
              <w:t>率</w:t>
            </w:r>
          </w:p>
        </w:tc>
        <w:tc>
          <w:tcPr>
            <w:tcW w:w="85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ascii="宋体" w:hAnsi="宋体" w:eastAsia="宋体" w:cs="宋体"/>
                <w:sz w:val="24"/>
                <w:szCs w:val="24"/>
              </w:rPr>
              <w:t>≤0.35%</w:t>
            </w:r>
          </w:p>
        </w:tc>
        <w:tc>
          <w:tcPr>
            <w:tcW w:w="9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4.32</w:t>
            </w:r>
            <w:r>
              <w:rPr>
                <w:rFonts w:ascii="宋体" w:hAnsi="宋体" w:eastAsia="宋体" w:cs="宋体"/>
                <w:color w:val="000000"/>
                <w:kern w:val="0"/>
                <w:sz w:val="24"/>
              </w:rPr>
              <w:t>%</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7.75</w:t>
            </w:r>
            <w:r>
              <w:rPr>
                <w:rFonts w:ascii="宋体" w:hAnsi="宋体" w:eastAsia="宋体" w:cs="宋体"/>
                <w:color w:val="000000"/>
                <w:kern w:val="0"/>
                <w:sz w:val="24"/>
              </w:rPr>
              <w:t>%</w:t>
            </w:r>
          </w:p>
        </w:tc>
        <w:tc>
          <w:tcPr>
            <w:tcW w:w="9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3.34</w:t>
            </w:r>
            <w:r>
              <w:rPr>
                <w:rFonts w:ascii="宋体" w:hAnsi="宋体" w:eastAsia="宋体" w:cs="宋体"/>
                <w:color w:val="000000"/>
                <w:kern w:val="0"/>
                <w:sz w:val="24"/>
              </w:rPr>
              <w:t>%</w:t>
            </w:r>
          </w:p>
        </w:tc>
        <w:tc>
          <w:tcPr>
            <w:tcW w:w="87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1.87</w:t>
            </w:r>
            <w:r>
              <w:rPr>
                <w:rFonts w:ascii="宋体" w:hAnsi="宋体" w:eastAsia="宋体" w:cs="宋体"/>
                <w:color w:val="000000"/>
                <w:kern w:val="0"/>
                <w:sz w:val="24"/>
              </w:rPr>
              <w:t>%</w:t>
            </w:r>
          </w:p>
        </w:tc>
        <w:tc>
          <w:tcPr>
            <w:tcW w:w="241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1.87%</w:t>
            </w:r>
          </w:p>
        </w:tc>
      </w:tr>
      <w:tr>
        <w:tblPrEx>
          <w:tblCellMar>
            <w:top w:w="0" w:type="dxa"/>
            <w:left w:w="108" w:type="dxa"/>
            <w:bottom w:w="0" w:type="dxa"/>
            <w:right w:w="108" w:type="dxa"/>
          </w:tblCellMar>
        </w:tblPrEx>
        <w:trPr>
          <w:trHeight w:val="90" w:hRule="atLeast"/>
          <w:jc w:val="center"/>
        </w:trPr>
        <w:tc>
          <w:tcPr>
            <w:tcW w:w="50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5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一般性支出</w:t>
            </w:r>
            <w:r>
              <w:rPr>
                <w:rFonts w:ascii="宋体" w:hAnsi="宋体" w:eastAsia="宋体" w:cs="宋体"/>
                <w:color w:val="000000"/>
                <w:kern w:val="0"/>
                <w:sz w:val="24"/>
              </w:rPr>
              <w:t>金额</w:t>
            </w:r>
          </w:p>
        </w:tc>
        <w:tc>
          <w:tcPr>
            <w:tcW w:w="85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ascii="宋体" w:hAnsi="宋体" w:eastAsia="宋体" w:cs="宋体"/>
                <w:sz w:val="24"/>
                <w:szCs w:val="24"/>
              </w:rPr>
              <w:t>≤</w:t>
            </w:r>
            <w:r>
              <w:rPr>
                <w:rFonts w:hint="eastAsia" w:ascii="宋体" w:hAnsi="宋体" w:eastAsia="宋体" w:cs="宋体"/>
                <w:sz w:val="24"/>
                <w:szCs w:val="24"/>
                <w:lang w:val="en-US" w:eastAsia="zh-CN"/>
              </w:rPr>
              <w:t>1.5</w:t>
            </w:r>
            <w:r>
              <w:rPr>
                <w:rFonts w:ascii="宋体" w:hAnsi="宋体" w:eastAsia="宋体" w:cs="宋体"/>
                <w:sz w:val="24"/>
                <w:szCs w:val="24"/>
              </w:rPr>
              <w:t>万元</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15000元</w:t>
            </w:r>
          </w:p>
        </w:tc>
        <w:tc>
          <w:tcPr>
            <w:tcW w:w="241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1.5万元</w:t>
            </w:r>
          </w:p>
        </w:tc>
      </w:tr>
      <w:tr>
        <w:tblPrEx>
          <w:tblCellMar>
            <w:top w:w="0" w:type="dxa"/>
            <w:left w:w="108" w:type="dxa"/>
            <w:bottom w:w="0" w:type="dxa"/>
            <w:right w:w="108" w:type="dxa"/>
          </w:tblCellMar>
        </w:tblPrEx>
        <w:trPr>
          <w:trHeight w:val="90" w:hRule="atLeast"/>
          <w:jc w:val="center"/>
        </w:trPr>
        <w:tc>
          <w:tcPr>
            <w:tcW w:w="50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w:t>
            </w: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85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ascii="宋体" w:hAnsi="宋体" w:eastAsia="宋体" w:cs="宋体"/>
                <w:color w:val="000000"/>
                <w:kern w:val="0"/>
                <w:sz w:val="24"/>
              </w:rPr>
              <w:t>优</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为“优”“良”“中”或“差”</w:t>
            </w:r>
          </w:p>
        </w:tc>
        <w:tc>
          <w:tcPr>
            <w:tcW w:w="241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ascii="宋体" w:hAnsi="宋体" w:eastAsia="宋体" w:cs="宋体"/>
                <w:color w:val="000000"/>
                <w:kern w:val="0"/>
                <w:sz w:val="24"/>
              </w:rPr>
              <w:t>优</w:t>
            </w:r>
          </w:p>
        </w:tc>
      </w:tr>
      <w:tr>
        <w:tblPrEx>
          <w:tblCellMar>
            <w:top w:w="0" w:type="dxa"/>
            <w:left w:w="108" w:type="dxa"/>
            <w:bottom w:w="0" w:type="dxa"/>
            <w:right w:w="108" w:type="dxa"/>
          </w:tblCellMar>
        </w:tblPrEx>
        <w:trPr>
          <w:trHeight w:val="90" w:hRule="atLeast"/>
          <w:jc w:val="center"/>
        </w:trPr>
        <w:tc>
          <w:tcPr>
            <w:tcW w:w="50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资产管理</w:t>
            </w: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85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0</w:t>
            </w:r>
            <w:r>
              <w:rPr>
                <w:rFonts w:ascii="宋体" w:hAnsi="宋体" w:eastAsia="宋体" w:cs="宋体"/>
                <w:color w:val="000000"/>
                <w:kern w:val="0"/>
                <w:sz w:val="21"/>
                <w:szCs w:val="21"/>
              </w:rPr>
              <w:t>%</w:t>
            </w:r>
          </w:p>
        </w:tc>
        <w:tc>
          <w:tcPr>
            <w:tcW w:w="9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lang w:val="en-US" w:eastAsia="zh-CN"/>
              </w:rPr>
              <w:t>0</w:t>
            </w:r>
            <w:r>
              <w:rPr>
                <w:rFonts w:ascii="宋体" w:hAnsi="宋体" w:eastAsia="宋体" w:cs="宋体"/>
                <w:color w:val="000000"/>
                <w:kern w:val="0"/>
                <w:sz w:val="21"/>
                <w:szCs w:val="21"/>
              </w:rPr>
              <w:t>%</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lang w:val="en-US" w:eastAsia="zh-CN"/>
              </w:rPr>
              <w:t>0</w:t>
            </w:r>
          </w:p>
        </w:tc>
        <w:tc>
          <w:tcPr>
            <w:tcW w:w="9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lang w:val="en-US" w:eastAsia="zh-CN"/>
              </w:rPr>
              <w:t>0</w:t>
            </w:r>
          </w:p>
        </w:tc>
        <w:tc>
          <w:tcPr>
            <w:tcW w:w="87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lang w:val="en-US" w:eastAsia="zh-CN"/>
              </w:rPr>
              <w:t>0</w:t>
            </w:r>
          </w:p>
        </w:tc>
        <w:tc>
          <w:tcPr>
            <w:tcW w:w="241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rPr>
            </w:pPr>
            <w:r>
              <w:rPr>
                <w:rFonts w:hint="eastAsia" w:ascii="宋体" w:hAnsi="宋体" w:eastAsia="宋体" w:cs="宋体"/>
                <w:color w:val="000000"/>
                <w:kern w:val="0"/>
                <w:sz w:val="21"/>
                <w:szCs w:val="21"/>
                <w:lang w:val="en-US" w:eastAsia="zh-CN"/>
              </w:rPr>
              <w:t>0%</w:t>
            </w:r>
          </w:p>
        </w:tc>
      </w:tr>
      <w:tr>
        <w:tblPrEx>
          <w:tblCellMar>
            <w:top w:w="0" w:type="dxa"/>
            <w:left w:w="108" w:type="dxa"/>
            <w:bottom w:w="0" w:type="dxa"/>
            <w:right w:w="108" w:type="dxa"/>
          </w:tblCellMar>
        </w:tblPrEx>
        <w:trPr>
          <w:trHeight w:val="90" w:hRule="atLeast"/>
          <w:jc w:val="center"/>
        </w:trPr>
        <w:tc>
          <w:tcPr>
            <w:tcW w:w="50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采购管理</w:t>
            </w: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采购执行率</w:t>
            </w:r>
          </w:p>
        </w:tc>
        <w:tc>
          <w:tcPr>
            <w:tcW w:w="85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0</w:t>
            </w:r>
            <w:r>
              <w:rPr>
                <w:rFonts w:hint="eastAsia" w:ascii="宋体" w:hAnsi="宋体" w:eastAsia="宋体" w:cs="宋体"/>
                <w:color w:val="000000"/>
                <w:kern w:val="0"/>
                <w:sz w:val="21"/>
                <w:szCs w:val="21"/>
              </w:rPr>
              <w:t>%</w:t>
            </w:r>
          </w:p>
        </w:tc>
        <w:tc>
          <w:tcPr>
            <w:tcW w:w="9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lang w:val="en-US" w:eastAsia="zh-CN"/>
              </w:rPr>
              <w:t>0</w:t>
            </w:r>
            <w:r>
              <w:rPr>
                <w:rFonts w:ascii="宋体" w:hAnsi="宋体" w:eastAsia="宋体" w:cs="宋体"/>
                <w:color w:val="000000"/>
                <w:kern w:val="0"/>
                <w:sz w:val="21"/>
                <w:szCs w:val="21"/>
              </w:rPr>
              <w:t>%</w:t>
            </w:r>
          </w:p>
        </w:tc>
        <w:tc>
          <w:tcPr>
            <w:tcW w:w="108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lang w:val="en-US" w:eastAsia="zh-CN"/>
              </w:rPr>
              <w:t>0</w:t>
            </w:r>
          </w:p>
        </w:tc>
        <w:tc>
          <w:tcPr>
            <w:tcW w:w="9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lang w:val="en-US" w:eastAsia="zh-CN"/>
              </w:rPr>
              <w:t>0</w:t>
            </w:r>
          </w:p>
        </w:tc>
        <w:tc>
          <w:tcPr>
            <w:tcW w:w="87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1"/>
                <w:szCs w:val="21"/>
                <w:lang w:val="en-US" w:eastAsia="zh-CN"/>
              </w:rPr>
              <w:t>0</w:t>
            </w:r>
          </w:p>
        </w:tc>
        <w:tc>
          <w:tcPr>
            <w:tcW w:w="241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rPr>
            </w:pPr>
            <w:r>
              <w:rPr>
                <w:rFonts w:hint="eastAsia" w:ascii="宋体" w:hAnsi="宋体" w:eastAsia="宋体" w:cs="宋体"/>
                <w:color w:val="000000"/>
                <w:kern w:val="0"/>
                <w:sz w:val="21"/>
                <w:szCs w:val="21"/>
                <w:lang w:val="en-US" w:eastAsia="zh-CN"/>
              </w:rPr>
              <w:t>0%</w:t>
            </w:r>
          </w:p>
        </w:tc>
      </w:tr>
      <w:tr>
        <w:tblPrEx>
          <w:tblCellMar>
            <w:top w:w="0" w:type="dxa"/>
            <w:left w:w="108" w:type="dxa"/>
            <w:bottom w:w="0" w:type="dxa"/>
            <w:right w:w="108" w:type="dxa"/>
          </w:tblCellMar>
        </w:tblPrEx>
        <w:trPr>
          <w:trHeight w:val="468" w:hRule="atLeast"/>
          <w:jc w:val="center"/>
        </w:trPr>
        <w:tc>
          <w:tcPr>
            <w:tcW w:w="507"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4698"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241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1510" w:hRule="atLeast"/>
          <w:jc w:val="center"/>
        </w:trPr>
        <w:tc>
          <w:tcPr>
            <w:tcW w:w="50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产出指标</w:t>
            </w: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ascii="宋体" w:hAnsi="宋体" w:eastAsia="宋体" w:cs="宋体"/>
                <w:sz w:val="24"/>
                <w:szCs w:val="24"/>
              </w:rPr>
              <w:t>巾帼宣传队伍，妇女儿童全覆盖</w:t>
            </w:r>
          </w:p>
        </w:tc>
        <w:tc>
          <w:tcPr>
            <w:tcW w:w="4698"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年组建巾帼宣讲队≥1支，累计开展巾帼大宣讲、“石榴籽”工程宣传教育等线上线下宣讲活动≥44场，年度覆盖妇女儿童群众≥2000人次，切实筑牢全县妇女儿童民族团结思想根基。</w:t>
            </w:r>
          </w:p>
        </w:tc>
        <w:tc>
          <w:tcPr>
            <w:tcW w:w="241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开展“石榴籽”工程宣传教育线上线下宣讲活动46场，年度覆盖妇女儿童群众2200余人次，筑牢全县妇女儿童民族团结思想根基。</w:t>
            </w:r>
          </w:p>
        </w:tc>
      </w:tr>
      <w:tr>
        <w:tblPrEx>
          <w:tblCellMar>
            <w:top w:w="0" w:type="dxa"/>
            <w:left w:w="108" w:type="dxa"/>
            <w:bottom w:w="0" w:type="dxa"/>
            <w:right w:w="108" w:type="dxa"/>
          </w:tblCellMar>
        </w:tblPrEx>
        <w:trPr>
          <w:trHeight w:val="296" w:hRule="atLeast"/>
          <w:jc w:val="center"/>
        </w:trPr>
        <w:tc>
          <w:tcPr>
            <w:tcW w:w="50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ascii="宋体" w:hAnsi="宋体" w:eastAsia="宋体" w:cs="宋体"/>
                <w:sz w:val="24"/>
                <w:szCs w:val="24"/>
              </w:rPr>
              <w:t>全县巾帼志愿服务次数</w:t>
            </w:r>
          </w:p>
        </w:tc>
        <w:tc>
          <w:tcPr>
            <w:tcW w:w="4698"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sz w:val="24"/>
                <w:szCs w:val="24"/>
              </w:rPr>
              <w:t>年度开展巾帼志愿服务≥1780人次（以1700名“爱心爸妈”结对帮扶1780名困境儿童为主要载体，常态化开展生活照料、情感陪伴、成长引导等关爱服务</w:t>
            </w:r>
          </w:p>
        </w:tc>
        <w:tc>
          <w:tcPr>
            <w:tcW w:w="241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全年开展巾帼志愿服务1820人次，以1720名“爱心爸妈”结对帮扶困境儿童为载体，常态化开展生活照料、情感陪伴、成长引导等关爱服务，服务质量达标。</w:t>
            </w:r>
          </w:p>
        </w:tc>
      </w:tr>
      <w:tr>
        <w:tblPrEx>
          <w:tblCellMar>
            <w:top w:w="0" w:type="dxa"/>
            <w:left w:w="108" w:type="dxa"/>
            <w:bottom w:w="0" w:type="dxa"/>
            <w:right w:w="108" w:type="dxa"/>
          </w:tblCellMar>
        </w:tblPrEx>
        <w:trPr>
          <w:trHeight w:val="296" w:hRule="atLeast"/>
          <w:jc w:val="center"/>
        </w:trPr>
        <w:tc>
          <w:tcPr>
            <w:tcW w:w="50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ascii="宋体" w:hAnsi="宋体" w:eastAsia="宋体" w:cs="宋体"/>
                <w:sz w:val="24"/>
                <w:szCs w:val="24"/>
              </w:rPr>
              <w:t>服务活动持续开展时间</w:t>
            </w:r>
          </w:p>
        </w:tc>
        <w:tc>
          <w:tcPr>
            <w:tcW w:w="4698"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sz w:val="24"/>
                <w:szCs w:val="24"/>
              </w:rPr>
              <w:t>全年常态化开展，紧急维权需求响应时长≤2小时</w:t>
            </w:r>
          </w:p>
        </w:tc>
        <w:tc>
          <w:tcPr>
            <w:tcW w:w="241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巾帼关爱与维权服务全年常态化不间断开展，针对妇女儿童紧急维权需求，响应时长≤2小时，及时处置各类诉求。</w:t>
            </w:r>
          </w:p>
        </w:tc>
      </w:tr>
      <w:tr>
        <w:tblPrEx>
          <w:tblCellMar>
            <w:top w:w="0" w:type="dxa"/>
            <w:left w:w="108" w:type="dxa"/>
            <w:bottom w:w="0" w:type="dxa"/>
            <w:right w:w="108" w:type="dxa"/>
          </w:tblCellMar>
        </w:tblPrEx>
        <w:trPr>
          <w:trHeight w:val="90" w:hRule="atLeast"/>
          <w:jc w:val="center"/>
        </w:trPr>
        <w:tc>
          <w:tcPr>
            <w:tcW w:w="50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效益指标</w:t>
            </w: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both"/>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ascii="宋体" w:hAnsi="宋体" w:eastAsia="宋体" w:cs="宋体"/>
                <w:sz w:val="24"/>
                <w:szCs w:val="24"/>
              </w:rPr>
              <w:t>聚焦巾帼服务，助推妇女儿童权益保护</w:t>
            </w:r>
          </w:p>
        </w:tc>
        <w:tc>
          <w:tcPr>
            <w:tcW w:w="4698"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sz w:val="24"/>
                <w:szCs w:val="24"/>
              </w:rPr>
              <w:t>帮扶困帮扶困境妇女儿童≥1780人次，政策知晓率≥90%，化解维权纠纷≥5起。</w:t>
            </w:r>
          </w:p>
        </w:tc>
        <w:tc>
          <w:tcPr>
            <w:tcW w:w="241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全年帮扶困境妇女儿童1820人次，政策知晓率93%；化解婚姻家庭、妇女维权纠纷6起，有效维护妇女儿童合法权益，促进家庭与社会和谐稳定。</w:t>
            </w:r>
          </w:p>
        </w:tc>
      </w:tr>
      <w:tr>
        <w:tblPrEx>
          <w:tblCellMar>
            <w:top w:w="0" w:type="dxa"/>
            <w:left w:w="108" w:type="dxa"/>
            <w:bottom w:w="0" w:type="dxa"/>
            <w:right w:w="108" w:type="dxa"/>
          </w:tblCellMar>
        </w:tblPrEx>
        <w:trPr>
          <w:trHeight w:val="1505" w:hRule="atLeast"/>
          <w:jc w:val="center"/>
        </w:trPr>
        <w:tc>
          <w:tcPr>
            <w:tcW w:w="50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vAlign w:val="center"/>
          </w:tcPr>
          <w:p>
            <w:pPr>
              <w:rPr>
                <w:rFonts w:hint="default" w:eastAsia="仿宋_GB2312"/>
                <w:lang w:val="en-US" w:eastAsia="zh-CN"/>
              </w:rPr>
            </w:pPr>
            <w:r>
              <w:rPr>
                <w:rFonts w:hint="eastAsia" w:ascii="宋体" w:hAnsi="宋体" w:eastAsia="宋体" w:cs="宋体"/>
                <w:color w:val="000000"/>
                <w:kern w:val="0"/>
                <w:sz w:val="24"/>
                <w:lang w:val="en-US" w:eastAsia="zh-CN"/>
              </w:rPr>
              <w:t>满意度指标</w:t>
            </w: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服务对象满意度度指标</w:t>
            </w: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ascii="宋体" w:hAnsi="宋体" w:eastAsia="宋体" w:cs="宋体"/>
                <w:sz w:val="24"/>
                <w:szCs w:val="24"/>
              </w:rPr>
              <w:t>妇女群众对妇联服务的满意度</w:t>
            </w:r>
          </w:p>
        </w:tc>
        <w:tc>
          <w:tcPr>
            <w:tcW w:w="4698"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sz w:val="24"/>
                <w:szCs w:val="24"/>
              </w:rPr>
              <w:t>调研覆盖≥2000人，整体满意度≥95%，服务投诉为0</w:t>
            </w:r>
          </w:p>
        </w:tc>
        <w:tc>
          <w:tcPr>
            <w:tcW w:w="241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开展满意度调研，覆盖2200人，整体满意度96.8%，妇女群众对帮扶、维权、宣讲服务认可度高，全年服务投诉为0。</w:t>
            </w:r>
          </w:p>
        </w:tc>
      </w:tr>
      <w:tr>
        <w:tblPrEx>
          <w:tblCellMar>
            <w:top w:w="0" w:type="dxa"/>
            <w:left w:w="108" w:type="dxa"/>
            <w:bottom w:w="0" w:type="dxa"/>
            <w:right w:w="108" w:type="dxa"/>
          </w:tblCellMar>
        </w:tblPrEx>
        <w:trPr>
          <w:trHeight w:val="306" w:hRule="atLeast"/>
          <w:jc w:val="center"/>
        </w:trPr>
        <w:tc>
          <w:tcPr>
            <w:tcW w:w="50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vAlign w:val="center"/>
          </w:tcPr>
          <w:p>
            <w:pPr>
              <w:rPr>
                <w:rFonts w:hint="default" w:eastAsia="仿宋_GB2312"/>
                <w:lang w:val="en-US" w:eastAsia="zh-CN"/>
              </w:rPr>
            </w:pPr>
            <w:r>
              <w:rPr>
                <w:rFonts w:hint="eastAsia" w:ascii="宋体" w:hAnsi="宋体" w:eastAsia="宋体" w:cs="宋体"/>
                <w:color w:val="000000"/>
                <w:kern w:val="0"/>
                <w:sz w:val="24"/>
                <w:lang w:val="en-US" w:eastAsia="zh-CN"/>
              </w:rPr>
              <w:t>成本指标</w:t>
            </w:r>
          </w:p>
        </w:tc>
        <w:tc>
          <w:tcPr>
            <w:tcW w:w="105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ascii="宋体" w:hAnsi="宋体" w:eastAsia="宋体" w:cs="宋体"/>
                <w:sz w:val="24"/>
                <w:szCs w:val="24"/>
              </w:rPr>
              <w:t>可持续影响指标</w:t>
            </w:r>
          </w:p>
        </w:tc>
        <w:tc>
          <w:tcPr>
            <w:tcW w:w="108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ascii="宋体" w:hAnsi="宋体" w:eastAsia="宋体" w:cs="宋体"/>
                <w:sz w:val="24"/>
                <w:szCs w:val="24"/>
              </w:rPr>
              <w:t>巾帼服务深化家庭家教家风建设</w:t>
            </w:r>
          </w:p>
        </w:tc>
        <w:tc>
          <w:tcPr>
            <w:tcW w:w="4698"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sz w:val="24"/>
                <w:szCs w:val="24"/>
              </w:rPr>
              <w:t>打造巾帼服务品牌，建立常态化培训机制，推动家庭文明建设长效化</w:t>
            </w:r>
          </w:p>
        </w:tc>
        <w:tc>
          <w:tcPr>
            <w:tcW w:w="241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cs="宋体"/>
                <w:color w:val="000000"/>
                <w:kern w:val="0"/>
                <w:sz w:val="24"/>
                <w:lang w:eastAsia="zh-CN"/>
              </w:rPr>
              <w:t>打造</w:t>
            </w:r>
            <w:r>
              <w:rPr>
                <w:rFonts w:hint="eastAsia" w:ascii="宋体" w:hAnsi="宋体" w:eastAsia="宋体" w:cs="宋体"/>
                <w:color w:val="000000"/>
                <w:kern w:val="0"/>
                <w:sz w:val="24"/>
              </w:rPr>
              <w:t>县级巾帼志愿服务特色品牌，建立志愿者常态化培训、家庭文明建设督导长效机制，持续深化家庭家教家风建设，推动巾帼服务长效化、规范化开展。</w:t>
            </w:r>
          </w:p>
          <w:p>
            <w:pPr>
              <w:widowControl/>
              <w:spacing w:line="240" w:lineRule="exact"/>
              <w:jc w:val="center"/>
              <w:textAlignment w:val="center"/>
              <w:rPr>
                <w:rFonts w:ascii="宋体" w:hAnsi="宋体" w:eastAsia="宋体" w:cs="宋体"/>
                <w:color w:val="000000"/>
                <w:kern w:val="0"/>
                <w:sz w:val="24"/>
              </w:rPr>
            </w:pPr>
          </w:p>
        </w:tc>
      </w:tr>
    </w:tbl>
    <w:p>
      <w:pPr>
        <w:tabs>
          <w:tab w:val="left" w:pos="676"/>
        </w:tabs>
        <w:rPr>
          <w:rFonts w:hint="eastAsia" w:eastAsia="黑体"/>
          <w:sz w:val="24"/>
          <w:lang w:eastAsia="zh-CN"/>
        </w:rPr>
      </w:pPr>
      <w:r>
        <w:rPr>
          <w:rFonts w:hint="eastAsia" w:eastAsia="黑体"/>
          <w:sz w:val="24"/>
          <w:lang w:eastAsia="zh-CN"/>
        </w:rPr>
        <w:tab/>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pStyle w:val="6"/>
        <w:rPr>
          <w:rFonts w:hint="eastAsia" w:ascii="Times New Roman" w:hAnsi="Times New Roman" w:eastAsia="黑体" w:cs="黑体"/>
          <w:color w:val="auto"/>
          <w:kern w:val="0"/>
          <w:sz w:val="32"/>
          <w:szCs w:val="32"/>
          <w:highlight w:val="none"/>
          <w:shd w:val="clear" w:color="auto" w:fill="FFFFFF"/>
          <w:lang w:val="zh-CN"/>
        </w:rPr>
      </w:pPr>
    </w:p>
    <w:p>
      <w:pPr>
        <w:pStyle w:val="6"/>
        <w:rPr>
          <w:rFonts w:hint="eastAsia" w:ascii="Times New Roman" w:hAnsi="Times New Roman" w:eastAsia="黑体" w:cs="黑体"/>
          <w:color w:val="auto"/>
          <w:kern w:val="0"/>
          <w:sz w:val="32"/>
          <w:szCs w:val="32"/>
          <w:highlight w:val="none"/>
          <w:shd w:val="clear" w:color="auto" w:fill="FFFFFF"/>
          <w:lang w:val="zh-CN"/>
        </w:rPr>
      </w:pPr>
    </w:p>
    <w:p>
      <w:pPr>
        <w:pStyle w:val="6"/>
        <w:rPr>
          <w:rFonts w:hint="eastAsia" w:ascii="Times New Roman" w:hAnsi="Times New Roman" w:eastAsia="黑体" w:cs="黑体"/>
          <w:color w:val="auto"/>
          <w:kern w:val="0"/>
          <w:sz w:val="32"/>
          <w:szCs w:val="32"/>
          <w:highlight w:val="none"/>
          <w:shd w:val="clear" w:color="auto" w:fill="FFFFFF"/>
          <w:lang w:val="zh-CN"/>
        </w:rPr>
      </w:pPr>
    </w:p>
    <w:p>
      <w:pPr>
        <w:pStyle w:val="6"/>
        <w:rPr>
          <w:rFonts w:hint="eastAsia" w:ascii="Times New Roman" w:hAnsi="Times New Roman" w:eastAsia="黑体" w:cs="黑体"/>
          <w:color w:val="auto"/>
          <w:kern w:val="0"/>
          <w:sz w:val="32"/>
          <w:szCs w:val="32"/>
          <w:highlight w:val="none"/>
          <w:shd w:val="clear" w:color="auto" w:fill="FFFFFF"/>
          <w:lang w:val="zh-CN"/>
        </w:rPr>
      </w:pPr>
    </w:p>
    <w:p>
      <w:pPr>
        <w:pStyle w:val="6"/>
        <w:rPr>
          <w:rFonts w:hint="eastAsia" w:ascii="Times New Roman" w:hAnsi="Times New Roman" w:eastAsia="黑体" w:cs="黑体"/>
          <w:color w:val="auto"/>
          <w:kern w:val="0"/>
          <w:sz w:val="32"/>
          <w:szCs w:val="32"/>
          <w:highlight w:val="none"/>
          <w:shd w:val="clear" w:color="auto" w:fill="FFFFFF"/>
          <w:lang w:val="zh-CN"/>
        </w:rPr>
      </w:pPr>
    </w:p>
    <w:p>
      <w:pPr>
        <w:keepNext w:val="0"/>
        <w:keepLines w:val="0"/>
        <w:pageBreakBefore w:val="0"/>
        <w:widowControl w:val="0"/>
        <w:kinsoku/>
        <w:wordWrap/>
        <w:overflowPunct/>
        <w:topLinePunct w:val="0"/>
        <w:autoSpaceDE/>
        <w:autoSpaceDN/>
        <w:bidi w:val="0"/>
        <w:spacing w:beforeAutospacing="0"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0"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1"/>
          <w:rFonts w:hint="eastAsia" w:ascii="Times New Roman" w:hAnsi="Times New Roman" w:eastAsia="黑体"/>
          <w:b w:val="0"/>
          <w:color w:val="auto"/>
          <w:highlight w:val="none"/>
        </w:rPr>
        <w:t>五部分 附表</w:t>
      </w:r>
      <w:bookmarkEnd w:id="49"/>
      <w:bookmarkEnd w:id="50"/>
      <w:bookmarkStart w:id="51" w:name="_Toc1539661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1"/>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0"/>
      <w:r>
        <w:rPr>
          <w:rFonts w:hint="eastAsia" w:ascii="Times New Roman" w:hAnsi="Times New Roman" w:eastAsia="仿宋_GB2312" w:cs="仿宋_GB2312"/>
          <w:color w:val="auto"/>
          <w:sz w:val="32"/>
          <w:szCs w:val="32"/>
          <w:highlight w:val="none"/>
        </w:rPr>
        <w:t>二、收入决算表</w:t>
      </w:r>
      <w:bookmarkEnd w:id="52"/>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1"/>
      <w:r>
        <w:rPr>
          <w:rFonts w:hint="eastAsia" w:ascii="Times New Roman" w:hAnsi="Times New Roman" w:eastAsia="仿宋_GB2312" w:cs="仿宋_GB2312"/>
          <w:color w:val="auto"/>
          <w:sz w:val="32"/>
          <w:szCs w:val="32"/>
          <w:highlight w:val="none"/>
        </w:rPr>
        <w:t>三、支出决算表</w:t>
      </w:r>
      <w:bookmarkEnd w:id="53"/>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2"/>
      <w:r>
        <w:rPr>
          <w:rFonts w:hint="eastAsia" w:ascii="Times New Roman" w:hAnsi="Times New Roman" w:eastAsia="仿宋_GB2312" w:cs="仿宋_GB2312"/>
          <w:color w:val="auto"/>
          <w:sz w:val="32"/>
          <w:szCs w:val="32"/>
          <w:highlight w:val="none"/>
        </w:rPr>
        <w:t>四、财政拨款收入支出决算总表</w:t>
      </w:r>
      <w:bookmarkEnd w:id="54"/>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3"/>
      <w:r>
        <w:rPr>
          <w:rFonts w:hint="eastAsia" w:ascii="Times New Roman" w:hAnsi="Times New Roman" w:eastAsia="仿宋_GB2312" w:cs="仿宋_GB2312"/>
          <w:color w:val="auto"/>
          <w:sz w:val="32"/>
          <w:szCs w:val="32"/>
          <w:highlight w:val="none"/>
        </w:rPr>
        <w:t>五、财政拨款支出决算明细表</w:t>
      </w:r>
      <w:bookmarkEnd w:id="55"/>
      <w:bookmarkStart w:id="56" w:name="_Toc15396624"/>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6"/>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5"/>
      <w:r>
        <w:rPr>
          <w:rFonts w:hint="eastAsia" w:ascii="Times New Roman" w:hAnsi="Times New Roman" w:eastAsia="仿宋_GB2312" w:cs="仿宋_GB2312"/>
          <w:color w:val="auto"/>
          <w:sz w:val="32"/>
          <w:szCs w:val="32"/>
          <w:highlight w:val="none"/>
        </w:rPr>
        <w:t>七、一般公共预算财政拨款支出决算明细表</w:t>
      </w:r>
      <w:bookmarkEnd w:id="57"/>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6"/>
      <w:r>
        <w:rPr>
          <w:rFonts w:hint="eastAsia" w:ascii="Times New Roman" w:hAnsi="Times New Roman" w:eastAsia="仿宋_GB2312" w:cs="仿宋_GB2312"/>
          <w:color w:val="auto"/>
          <w:sz w:val="32"/>
          <w:szCs w:val="32"/>
          <w:highlight w:val="none"/>
        </w:rPr>
        <w:t>八、一般公共预算财政拨款基本支出决算表</w:t>
      </w:r>
      <w:bookmarkEnd w:id="58"/>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7"/>
      <w:r>
        <w:rPr>
          <w:rFonts w:hint="eastAsia" w:ascii="Times New Roman" w:hAnsi="Times New Roman" w:eastAsia="仿宋_GB2312" w:cs="仿宋_GB2312"/>
          <w:color w:val="auto"/>
          <w:sz w:val="32"/>
          <w:szCs w:val="32"/>
          <w:highlight w:val="none"/>
        </w:rPr>
        <w:t>九、一般公共预算财政拨款项目支出决算表</w:t>
      </w:r>
      <w:bookmarkEnd w:id="5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8"/>
      <w:r>
        <w:rPr>
          <w:rFonts w:hint="eastAsia" w:ascii="Times New Roman" w:hAnsi="Times New Roman" w:eastAsia="仿宋_GB2312" w:cs="仿宋_GB2312"/>
          <w:color w:val="auto"/>
          <w:sz w:val="32"/>
          <w:szCs w:val="32"/>
          <w:highlight w:val="none"/>
        </w:rPr>
        <w:t>十、</w:t>
      </w:r>
      <w:bookmarkEnd w:id="60"/>
      <w:r>
        <w:rPr>
          <w:rFonts w:hint="eastAsia" w:ascii="Times New Roman" w:hAnsi="Times New Roman" w:eastAsia="仿宋_GB2312" w:cs="仿宋_GB2312"/>
          <w:color w:val="auto"/>
          <w:sz w:val="32"/>
          <w:szCs w:val="32"/>
          <w:highlight w:val="none"/>
        </w:rPr>
        <w:t>政府性基金预算财政拨款收入支出决算表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9"/>
      <w:r>
        <w:rPr>
          <w:rFonts w:hint="eastAsia" w:ascii="Times New Roman" w:hAnsi="Times New Roman" w:eastAsia="仿宋_GB2312" w:cs="仿宋_GB2312"/>
          <w:color w:val="auto"/>
          <w:sz w:val="32"/>
          <w:szCs w:val="32"/>
          <w:highlight w:val="none"/>
        </w:rPr>
        <w:t>十一、</w:t>
      </w:r>
      <w:bookmarkEnd w:id="61"/>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30"/>
      <w:r>
        <w:rPr>
          <w:rFonts w:hint="eastAsia" w:ascii="Times New Roman" w:hAnsi="Times New Roman" w:eastAsia="仿宋_GB2312" w:cs="仿宋_GB2312"/>
          <w:color w:val="auto"/>
          <w:sz w:val="32"/>
          <w:szCs w:val="32"/>
          <w:highlight w:val="none"/>
        </w:rPr>
        <w:t>十二、</w:t>
      </w:r>
      <w:bookmarkEnd w:id="62"/>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3" w:name="_Toc15396631"/>
      <w:r>
        <w:rPr>
          <w:rFonts w:hint="eastAsia" w:ascii="Times New Roman" w:hAnsi="Times New Roman" w:eastAsia="仿宋_GB2312" w:cs="仿宋_GB2312"/>
          <w:color w:val="auto"/>
          <w:sz w:val="32"/>
          <w:szCs w:val="32"/>
          <w:highlight w:val="none"/>
        </w:rPr>
        <w:t>十三、</w:t>
      </w:r>
      <w:bookmarkEnd w:id="63"/>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2</w:t>
                    </w:r>
                    <w:r>
                      <w:fldChar w:fldCharType="end"/>
                    </w:r>
                  </w:p>
                </w:txbxContent>
              </v:textbox>
            </v:shape>
          </w:pict>
        </mc:Fallback>
      </mc:AlternateContent>
    </w: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hint="eastAsia"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OGA044yAgAAYQQAAA4AAAAAAAAAAQAgAAAA&#10;NQEAAGRycy9lMm9Eb2MueG1sUEsFBgAAAAAGAAYAWQEAANk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p>
    <w:pPr>
      <w:pStyle w:val="11"/>
      <w:ind w:firstLine="3600" w:firstLineChars="2000"/>
      <w:rPr>
        <w:rFonts w:hint="eastAsia" w:eastAsia="宋体"/>
        <w:lang w:val="en-US" w:eastAsia="zh-C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A7E5DD"/>
    <w:multiLevelType w:val="singleLevel"/>
    <w:tmpl w:val="D3A7E5DD"/>
    <w:lvl w:ilvl="0" w:tentative="0">
      <w:start w:val="2"/>
      <w:numFmt w:val="chineseCounting"/>
      <w:suff w:val="space"/>
      <w:lvlText w:val="第%1部分"/>
      <w:lvlJc w:val="left"/>
      <w:rPr>
        <w:rFonts w:hint="eastAsia"/>
      </w:rPr>
    </w:lvl>
  </w:abstractNum>
  <w:abstractNum w:abstractNumId="1">
    <w:nsid w:val="0DF2F626"/>
    <w:multiLevelType w:val="singleLevel"/>
    <w:tmpl w:val="0DF2F626"/>
    <w:lvl w:ilvl="0" w:tentative="0">
      <w:start w:val="1"/>
      <w:numFmt w:val="chineseCounting"/>
      <w:suff w:val="nothing"/>
      <w:lvlText w:val="%1、"/>
      <w:lvlJc w:val="left"/>
      <w:rPr>
        <w:rFonts w:hint="eastAsia"/>
      </w:rPr>
    </w:lvl>
  </w:abstractNum>
  <w:abstractNum w:abstractNumId="2">
    <w:nsid w:val="40C4C0E1"/>
    <w:multiLevelType w:val="singleLevel"/>
    <w:tmpl w:val="40C4C0E1"/>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CF7D23"/>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D5606E"/>
    <w:rsid w:val="02317B1B"/>
    <w:rsid w:val="02B86A83"/>
    <w:rsid w:val="02FEBE30"/>
    <w:rsid w:val="03514610"/>
    <w:rsid w:val="04A24CDA"/>
    <w:rsid w:val="04BE5FB8"/>
    <w:rsid w:val="061E35DE"/>
    <w:rsid w:val="064F2C3F"/>
    <w:rsid w:val="066E0107"/>
    <w:rsid w:val="06AC1E40"/>
    <w:rsid w:val="077A3A10"/>
    <w:rsid w:val="07996F6E"/>
    <w:rsid w:val="07C66F31"/>
    <w:rsid w:val="07DFD8BA"/>
    <w:rsid w:val="08187CC0"/>
    <w:rsid w:val="082F683F"/>
    <w:rsid w:val="0885361F"/>
    <w:rsid w:val="08DB07E4"/>
    <w:rsid w:val="09344859"/>
    <w:rsid w:val="09531D27"/>
    <w:rsid w:val="09534F93"/>
    <w:rsid w:val="09867E8F"/>
    <w:rsid w:val="0A2032A3"/>
    <w:rsid w:val="0A762E91"/>
    <w:rsid w:val="0AAE6186"/>
    <w:rsid w:val="0AE55920"/>
    <w:rsid w:val="0AEC64A7"/>
    <w:rsid w:val="0B4A640A"/>
    <w:rsid w:val="0B8B64C8"/>
    <w:rsid w:val="0C6C4794"/>
    <w:rsid w:val="0CA8290A"/>
    <w:rsid w:val="0D35B1ED"/>
    <w:rsid w:val="0D54204B"/>
    <w:rsid w:val="0DE07E2B"/>
    <w:rsid w:val="0DF21B32"/>
    <w:rsid w:val="0E0830D6"/>
    <w:rsid w:val="0E3B1187"/>
    <w:rsid w:val="0E4F7062"/>
    <w:rsid w:val="0E871C30"/>
    <w:rsid w:val="0E982C22"/>
    <w:rsid w:val="0F98263C"/>
    <w:rsid w:val="0FCC02E3"/>
    <w:rsid w:val="101860EC"/>
    <w:rsid w:val="10C055FF"/>
    <w:rsid w:val="111807FE"/>
    <w:rsid w:val="11772AA4"/>
    <w:rsid w:val="118107EC"/>
    <w:rsid w:val="12070D49"/>
    <w:rsid w:val="12076395"/>
    <w:rsid w:val="126377AE"/>
    <w:rsid w:val="12733C7A"/>
    <w:rsid w:val="12D26396"/>
    <w:rsid w:val="13D50BC4"/>
    <w:rsid w:val="14022904"/>
    <w:rsid w:val="14FC0436"/>
    <w:rsid w:val="152F2A07"/>
    <w:rsid w:val="165E0673"/>
    <w:rsid w:val="16921052"/>
    <w:rsid w:val="16BB723D"/>
    <w:rsid w:val="172D4EF5"/>
    <w:rsid w:val="18144F9D"/>
    <w:rsid w:val="186504BB"/>
    <w:rsid w:val="186D55EC"/>
    <w:rsid w:val="1938089F"/>
    <w:rsid w:val="19991ECB"/>
    <w:rsid w:val="19A445FC"/>
    <w:rsid w:val="1A037B71"/>
    <w:rsid w:val="1A555B45"/>
    <w:rsid w:val="1AF7062E"/>
    <w:rsid w:val="1B4D719A"/>
    <w:rsid w:val="1B734CD8"/>
    <w:rsid w:val="1B7D550C"/>
    <w:rsid w:val="1BE8440E"/>
    <w:rsid w:val="1C976791"/>
    <w:rsid w:val="1D05623F"/>
    <w:rsid w:val="1D155CEE"/>
    <w:rsid w:val="1D2E3839"/>
    <w:rsid w:val="1DAAD6D5"/>
    <w:rsid w:val="1E740ACF"/>
    <w:rsid w:val="1F8020B9"/>
    <w:rsid w:val="1FF35744"/>
    <w:rsid w:val="1FF6BC77"/>
    <w:rsid w:val="20DE2D03"/>
    <w:rsid w:val="21962A9E"/>
    <w:rsid w:val="21AE7C77"/>
    <w:rsid w:val="22603F42"/>
    <w:rsid w:val="22BC3C41"/>
    <w:rsid w:val="2322469F"/>
    <w:rsid w:val="23474F72"/>
    <w:rsid w:val="23860B96"/>
    <w:rsid w:val="23F0560A"/>
    <w:rsid w:val="23F70B0A"/>
    <w:rsid w:val="240371BF"/>
    <w:rsid w:val="260F557C"/>
    <w:rsid w:val="277E4F11"/>
    <w:rsid w:val="27E65810"/>
    <w:rsid w:val="281408E2"/>
    <w:rsid w:val="29051F39"/>
    <w:rsid w:val="29276A27"/>
    <w:rsid w:val="29283150"/>
    <w:rsid w:val="292E5B75"/>
    <w:rsid w:val="29FD04D3"/>
    <w:rsid w:val="2AC944BF"/>
    <w:rsid w:val="2B057BED"/>
    <w:rsid w:val="2B732DA8"/>
    <w:rsid w:val="2BB71725"/>
    <w:rsid w:val="2BFC5015"/>
    <w:rsid w:val="2BFF7BC6"/>
    <w:rsid w:val="2C1374B2"/>
    <w:rsid w:val="2C2316FC"/>
    <w:rsid w:val="2C560AA7"/>
    <w:rsid w:val="2C8A61B5"/>
    <w:rsid w:val="2D2E01CF"/>
    <w:rsid w:val="2D9B3372"/>
    <w:rsid w:val="2DF04E50"/>
    <w:rsid w:val="2E9545B0"/>
    <w:rsid w:val="2EC1207D"/>
    <w:rsid w:val="2F040D46"/>
    <w:rsid w:val="2F546A4D"/>
    <w:rsid w:val="2F997F1F"/>
    <w:rsid w:val="2FAE5751"/>
    <w:rsid w:val="2FB1A395"/>
    <w:rsid w:val="2FD9A7D8"/>
    <w:rsid w:val="302369A0"/>
    <w:rsid w:val="30F82350"/>
    <w:rsid w:val="319F7F4E"/>
    <w:rsid w:val="321B2544"/>
    <w:rsid w:val="3304709D"/>
    <w:rsid w:val="33953AD8"/>
    <w:rsid w:val="33F96941"/>
    <w:rsid w:val="34281836"/>
    <w:rsid w:val="344905A0"/>
    <w:rsid w:val="349D6851"/>
    <w:rsid w:val="34C30DDC"/>
    <w:rsid w:val="35BA6CAF"/>
    <w:rsid w:val="35F7165A"/>
    <w:rsid w:val="364D14C1"/>
    <w:rsid w:val="36774AD1"/>
    <w:rsid w:val="36AA5135"/>
    <w:rsid w:val="36BE0DA7"/>
    <w:rsid w:val="36EE59D9"/>
    <w:rsid w:val="376B6AA6"/>
    <w:rsid w:val="376D39B2"/>
    <w:rsid w:val="37E16F03"/>
    <w:rsid w:val="37F53A3B"/>
    <w:rsid w:val="381607AA"/>
    <w:rsid w:val="38367638"/>
    <w:rsid w:val="384220F2"/>
    <w:rsid w:val="389B6C89"/>
    <w:rsid w:val="38CF7268"/>
    <w:rsid w:val="38D2334A"/>
    <w:rsid w:val="38D469F0"/>
    <w:rsid w:val="39627CCD"/>
    <w:rsid w:val="397BAF1F"/>
    <w:rsid w:val="3AB79AF3"/>
    <w:rsid w:val="3B7EF35A"/>
    <w:rsid w:val="3B9FDB6C"/>
    <w:rsid w:val="3BA55463"/>
    <w:rsid w:val="3BF5BC2F"/>
    <w:rsid w:val="3C683B38"/>
    <w:rsid w:val="3C9D7FFE"/>
    <w:rsid w:val="3CEBA265"/>
    <w:rsid w:val="3D98207C"/>
    <w:rsid w:val="3D9B0D99"/>
    <w:rsid w:val="3DDD134C"/>
    <w:rsid w:val="3DEE7CF3"/>
    <w:rsid w:val="3DF02244"/>
    <w:rsid w:val="3DF97B88"/>
    <w:rsid w:val="3E030004"/>
    <w:rsid w:val="3E78745D"/>
    <w:rsid w:val="3EA46B45"/>
    <w:rsid w:val="3F136AE8"/>
    <w:rsid w:val="3FB6105E"/>
    <w:rsid w:val="3FF4CAE0"/>
    <w:rsid w:val="3FF7B227"/>
    <w:rsid w:val="40583EC3"/>
    <w:rsid w:val="405A6811"/>
    <w:rsid w:val="40A37834"/>
    <w:rsid w:val="40E54C45"/>
    <w:rsid w:val="42773E30"/>
    <w:rsid w:val="42944ABD"/>
    <w:rsid w:val="42E22233"/>
    <w:rsid w:val="43A407DF"/>
    <w:rsid w:val="44515BEA"/>
    <w:rsid w:val="44E268DA"/>
    <w:rsid w:val="453F7E5B"/>
    <w:rsid w:val="466778DC"/>
    <w:rsid w:val="47B464F3"/>
    <w:rsid w:val="481C5317"/>
    <w:rsid w:val="4848504C"/>
    <w:rsid w:val="485823E2"/>
    <w:rsid w:val="486A6C7A"/>
    <w:rsid w:val="49176D9B"/>
    <w:rsid w:val="492E6109"/>
    <w:rsid w:val="4A627F82"/>
    <w:rsid w:val="4AE667C1"/>
    <w:rsid w:val="4B0233A9"/>
    <w:rsid w:val="4B0A3EE1"/>
    <w:rsid w:val="4B0E749A"/>
    <w:rsid w:val="4B4F25DA"/>
    <w:rsid w:val="4BDA0CFB"/>
    <w:rsid w:val="4BE068DB"/>
    <w:rsid w:val="4CA605AB"/>
    <w:rsid w:val="4D3C0CCC"/>
    <w:rsid w:val="4D5519EA"/>
    <w:rsid w:val="4D577224"/>
    <w:rsid w:val="4DBF1CEB"/>
    <w:rsid w:val="4DF97BE7"/>
    <w:rsid w:val="4E027201"/>
    <w:rsid w:val="4E616263"/>
    <w:rsid w:val="4EAB630A"/>
    <w:rsid w:val="4ECE2238"/>
    <w:rsid w:val="4ED92673"/>
    <w:rsid w:val="4F833267"/>
    <w:rsid w:val="4FE9BD67"/>
    <w:rsid w:val="4FFB052F"/>
    <w:rsid w:val="509951CC"/>
    <w:rsid w:val="509F155E"/>
    <w:rsid w:val="50E10D65"/>
    <w:rsid w:val="50FA4DB3"/>
    <w:rsid w:val="5111450B"/>
    <w:rsid w:val="514D6450"/>
    <w:rsid w:val="51D92F1D"/>
    <w:rsid w:val="522855DF"/>
    <w:rsid w:val="52D010B4"/>
    <w:rsid w:val="53083A92"/>
    <w:rsid w:val="53206AC2"/>
    <w:rsid w:val="537E6D0A"/>
    <w:rsid w:val="53AF27A2"/>
    <w:rsid w:val="53B34D96"/>
    <w:rsid w:val="53F74C96"/>
    <w:rsid w:val="556A4428"/>
    <w:rsid w:val="56AD768C"/>
    <w:rsid w:val="56C27BFF"/>
    <w:rsid w:val="56C9121F"/>
    <w:rsid w:val="56E47B74"/>
    <w:rsid w:val="573945F7"/>
    <w:rsid w:val="57BD3DD4"/>
    <w:rsid w:val="57DC6A79"/>
    <w:rsid w:val="586D2DFD"/>
    <w:rsid w:val="5A416278"/>
    <w:rsid w:val="5A4222C5"/>
    <w:rsid w:val="5A807902"/>
    <w:rsid w:val="5AF92295"/>
    <w:rsid w:val="5B113E9E"/>
    <w:rsid w:val="5BDD79E6"/>
    <w:rsid w:val="5BF561CA"/>
    <w:rsid w:val="5BFF5DFC"/>
    <w:rsid w:val="5CD71FC4"/>
    <w:rsid w:val="5D1F11B5"/>
    <w:rsid w:val="5DAE1B18"/>
    <w:rsid w:val="5DE7D9E5"/>
    <w:rsid w:val="5DF36DA1"/>
    <w:rsid w:val="5E323A67"/>
    <w:rsid w:val="5E8333B4"/>
    <w:rsid w:val="5E8E7BB3"/>
    <w:rsid w:val="5ECEC941"/>
    <w:rsid w:val="5F493CB7"/>
    <w:rsid w:val="5F8E3006"/>
    <w:rsid w:val="5F920D48"/>
    <w:rsid w:val="5FBF9FF3"/>
    <w:rsid w:val="5FCD4E2C"/>
    <w:rsid w:val="5FD15F49"/>
    <w:rsid w:val="5FEF394A"/>
    <w:rsid w:val="5FF67715"/>
    <w:rsid w:val="61FC06FB"/>
    <w:rsid w:val="6232236E"/>
    <w:rsid w:val="627004FF"/>
    <w:rsid w:val="62BF3928"/>
    <w:rsid w:val="62C16532"/>
    <w:rsid w:val="63414F5F"/>
    <w:rsid w:val="647F5392"/>
    <w:rsid w:val="64BB664B"/>
    <w:rsid w:val="664B1D71"/>
    <w:rsid w:val="664C4128"/>
    <w:rsid w:val="66905B41"/>
    <w:rsid w:val="66B47A3D"/>
    <w:rsid w:val="67AA3209"/>
    <w:rsid w:val="681C4F0D"/>
    <w:rsid w:val="69046D0F"/>
    <w:rsid w:val="698D0931"/>
    <w:rsid w:val="6A2F1733"/>
    <w:rsid w:val="6A993CED"/>
    <w:rsid w:val="6B053271"/>
    <w:rsid w:val="6BCE6674"/>
    <w:rsid w:val="6C3C753D"/>
    <w:rsid w:val="6C4A05C8"/>
    <w:rsid w:val="6C8742B8"/>
    <w:rsid w:val="6C8A170F"/>
    <w:rsid w:val="6CA16A6E"/>
    <w:rsid w:val="6CB54609"/>
    <w:rsid w:val="6DBF5E93"/>
    <w:rsid w:val="6DE8350C"/>
    <w:rsid w:val="6DFF077E"/>
    <w:rsid w:val="6E351949"/>
    <w:rsid w:val="6E7E3605"/>
    <w:rsid w:val="6E7FDCC7"/>
    <w:rsid w:val="6E9B3FD1"/>
    <w:rsid w:val="6EBA5814"/>
    <w:rsid w:val="6ED6A62E"/>
    <w:rsid w:val="6EE00B15"/>
    <w:rsid w:val="6F544B20"/>
    <w:rsid w:val="6F6FB3EB"/>
    <w:rsid w:val="6F784160"/>
    <w:rsid w:val="6F8731EA"/>
    <w:rsid w:val="6FB71234"/>
    <w:rsid w:val="6FCE6052"/>
    <w:rsid w:val="6FD57C00"/>
    <w:rsid w:val="6FEFFFD8"/>
    <w:rsid w:val="6FF5CC65"/>
    <w:rsid w:val="6FFB47EC"/>
    <w:rsid w:val="6FFF034A"/>
    <w:rsid w:val="70496804"/>
    <w:rsid w:val="708E0527"/>
    <w:rsid w:val="70FC67DE"/>
    <w:rsid w:val="712A28F1"/>
    <w:rsid w:val="715C0E4B"/>
    <w:rsid w:val="71A010A2"/>
    <w:rsid w:val="72233669"/>
    <w:rsid w:val="72734D90"/>
    <w:rsid w:val="7332FE48"/>
    <w:rsid w:val="733E1093"/>
    <w:rsid w:val="73AB61DA"/>
    <w:rsid w:val="73AD73D5"/>
    <w:rsid w:val="73B6EB34"/>
    <w:rsid w:val="73BF600B"/>
    <w:rsid w:val="73FA497D"/>
    <w:rsid w:val="74416322"/>
    <w:rsid w:val="744731E5"/>
    <w:rsid w:val="74527205"/>
    <w:rsid w:val="74BBD01D"/>
    <w:rsid w:val="74ED5379"/>
    <w:rsid w:val="74FC2395"/>
    <w:rsid w:val="755E4517"/>
    <w:rsid w:val="75947A9A"/>
    <w:rsid w:val="75DEEEC2"/>
    <w:rsid w:val="76E3355F"/>
    <w:rsid w:val="76FF5125"/>
    <w:rsid w:val="776F6FFA"/>
    <w:rsid w:val="778769C8"/>
    <w:rsid w:val="77BF5FFA"/>
    <w:rsid w:val="77DB110C"/>
    <w:rsid w:val="77DC22F5"/>
    <w:rsid w:val="78322234"/>
    <w:rsid w:val="78A44DCD"/>
    <w:rsid w:val="79086DAD"/>
    <w:rsid w:val="79974F09"/>
    <w:rsid w:val="79D7FD79"/>
    <w:rsid w:val="79EE5BA4"/>
    <w:rsid w:val="7A347CA2"/>
    <w:rsid w:val="7A894339"/>
    <w:rsid w:val="7ABB5863"/>
    <w:rsid w:val="7ACD62A7"/>
    <w:rsid w:val="7AFF7572"/>
    <w:rsid w:val="7B6C7DFB"/>
    <w:rsid w:val="7BBFBED0"/>
    <w:rsid w:val="7BC3E394"/>
    <w:rsid w:val="7BFF2E69"/>
    <w:rsid w:val="7C1F3737"/>
    <w:rsid w:val="7CBFC87B"/>
    <w:rsid w:val="7CD24477"/>
    <w:rsid w:val="7CFE0F48"/>
    <w:rsid w:val="7D7EC23E"/>
    <w:rsid w:val="7D913A5E"/>
    <w:rsid w:val="7D916348"/>
    <w:rsid w:val="7DAD0355"/>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widowControl w:val="0"/>
      <w:ind w:left="400" w:leftChars="200" w:hanging="200" w:hangingChars="200"/>
      <w:jc w:val="both"/>
    </w:pPr>
    <w:rPr>
      <w:rFonts w:ascii="Calibri" w:hAnsi="Calibri" w:eastAsia="宋体" w:cs="Times New Roman"/>
      <w:kern w:val="2"/>
      <w:sz w:val="21"/>
      <w:szCs w:val="24"/>
      <w:lang w:val="en-US" w:eastAsia="zh-CN" w:bidi="ar-SA"/>
    </w:rPr>
  </w:style>
  <w:style w:type="paragraph" w:styleId="6">
    <w:name w:val="Body Text"/>
    <w:basedOn w:val="1"/>
    <w:next w:val="7"/>
    <w:link w:val="28"/>
    <w:qFormat/>
    <w:uiPriority w:val="99"/>
    <w:pPr>
      <w:spacing w:beforeLines="30"/>
    </w:pPr>
    <w:rPr>
      <w:rFonts w:ascii="仿宋_GB2312" w:eastAsia="仿宋_GB2312"/>
      <w:kern w:val="0"/>
      <w:sz w:val="30"/>
    </w:rPr>
  </w:style>
  <w:style w:type="paragraph" w:customStyle="1" w:styleId="7">
    <w:name w:val="Body Text First Indent1"/>
    <w:basedOn w:val="6"/>
    <w:qFormat/>
    <w:uiPriority w:val="0"/>
    <w:pPr>
      <w:ind w:firstLine="100" w:firstLineChars="100"/>
    </w:pPr>
  </w:style>
  <w:style w:type="paragraph" w:styleId="8">
    <w:name w:val="Body Text Indent"/>
    <w:basedOn w:val="1"/>
    <w:qFormat/>
    <w:uiPriority w:val="0"/>
    <w:pPr>
      <w:spacing w:after="120"/>
      <w:ind w:leftChars="200"/>
    </w:pPr>
    <w:rPr>
      <w:rFonts w:ascii="仿宋_GB2312"/>
      <w:szCs w:val="32"/>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4"/>
    <w:semiHidden/>
    <w:unhideWhenUsed/>
    <w:qFormat/>
    <w:uiPriority w:val="99"/>
    <w:rPr>
      <w:sz w:val="18"/>
      <w:szCs w:val="18"/>
    </w:rPr>
  </w:style>
  <w:style w:type="paragraph" w:styleId="11">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15"/>
    <w:semiHidden/>
    <w:qFormat/>
    <w:uiPriority w:val="0"/>
    <w:pPr>
      <w:snapToGrid w:val="0"/>
      <w:jc w:val="left"/>
    </w:pPr>
    <w:rPr>
      <w:sz w:val="18"/>
      <w:szCs w:val="18"/>
    </w:rPr>
  </w:style>
  <w:style w:type="paragraph" w:styleId="15">
    <w:name w:val="Body Text First Indent 2"/>
    <w:basedOn w:val="8"/>
    <w:unhideWhenUsed/>
    <w:qFormat/>
    <w:uiPriority w:val="99"/>
    <w:pPr>
      <w:ind w:firstLine="420" w:firstLineChars="200"/>
    </w:p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Char"/>
    <w:link w:val="12"/>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Char"/>
    <w:link w:val="11"/>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Char"/>
    <w:link w:val="6"/>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9"/>
    <w:link w:val="3"/>
    <w:qFormat/>
    <w:uiPriority w:val="9"/>
    <w:rPr>
      <w:rFonts w:ascii="Times New Roman" w:hAnsi="Times New Roman"/>
      <w:b/>
      <w:bCs/>
      <w:kern w:val="44"/>
      <w:sz w:val="44"/>
      <w:szCs w:val="44"/>
    </w:rPr>
  </w:style>
  <w:style w:type="character" w:customStyle="1" w:styleId="32">
    <w:name w:val="标题 2 Char"/>
    <w:basedOn w:val="19"/>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9"/>
    <w:link w:val="10"/>
    <w:semiHidden/>
    <w:qFormat/>
    <w:uiPriority w:val="99"/>
    <w:rPr>
      <w:rFonts w:ascii="Times New Roman" w:hAnsi="Times New Roman"/>
      <w:kern w:val="2"/>
      <w:sz w:val="18"/>
      <w:szCs w:val="18"/>
    </w:rPr>
  </w:style>
  <w:style w:type="character" w:customStyle="1" w:styleId="35">
    <w:name w:val="标题 3 Char"/>
    <w:basedOn w:val="19"/>
    <w:link w:val="5"/>
    <w:qFormat/>
    <w:uiPriority w:val="9"/>
    <w:rPr>
      <w:rFonts w:ascii="Times New Roman" w:hAnsi="Times New Roman"/>
      <w:b/>
      <w:bCs/>
      <w:kern w:val="2"/>
      <w:sz w:val="32"/>
      <w:szCs w:val="32"/>
    </w:rPr>
  </w:style>
  <w:style w:type="paragraph" w:customStyle="1" w:styleId="36">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8">
    <w:name w:val="列出段落1"/>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3.emf"/><Relationship Id="rId16" Type="http://schemas.openxmlformats.org/officeDocument/2006/relationships/oleObject" Target="embeddings/oleObject3.bin"/><Relationship Id="rId15" Type="http://schemas.openxmlformats.org/officeDocument/2006/relationships/image" Target="media/image2.emf"/><Relationship Id="rId14" Type="http://schemas.openxmlformats.org/officeDocument/2006/relationships/oleObject" Target="embeddings/oleObject2.bin"/><Relationship Id="rId13" Type="http://schemas.openxmlformats.org/officeDocument/2006/relationships/image" Target="media/image1.emf"/><Relationship Id="rId12" Type="http://schemas.openxmlformats.org/officeDocument/2006/relationships/oleObject" Target="embeddings/oleObject1.bin"/><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4\Documents\xwechat_files\wxid_0lqrjbzl20wi21_ad74\msg\file\2026-10\code_20261015(1).csv"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4\Documents\xwechat_files\wxid_0lqrjbzl20wi21_ad74\msg\file\2026-10\code_20261015(2).csv"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4\Documents\xwechat_files\wxid_0lqrjbzl20wi21_ad74\msg\file\2026-10\code_20261015(3).csv"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a:t>
            </a:r>
          </a:p>
        </c:rich>
      </c:tx>
      <c:layout/>
      <c:overlay val="0"/>
      <c:spPr>
        <a:noFill/>
        <a:ln>
          <a:noFill/>
        </a:ln>
        <a:effectLst/>
      </c:spPr>
    </c:title>
    <c:autoTitleDeleted val="0"/>
    <c:plotArea>
      <c:layout>
        <c:manualLayout>
          <c:layoutTarget val="inner"/>
          <c:xMode val="edge"/>
          <c:yMode val="edge"/>
          <c:x val="0.0688947368421053"/>
          <c:y val="0.172916666666667"/>
          <c:w val="0.900184210526316"/>
          <c:h val="0.606342592592593"/>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'code_20261015(1).csv'!$A$1:$A$3</c:f>
              <c:strCache>
                <c:ptCount val="3"/>
                <c:pt idx="0">
                  <c:v>决算总计（万元）</c:v>
                </c:pt>
                <c:pt idx="1">
                  <c:v>2024年</c:v>
                </c:pt>
                <c:pt idx="2">
                  <c:v>2025年</c:v>
                </c:pt>
              </c:strCache>
            </c:strRef>
          </c:cat>
          <c:val>
            <c:numRef>
              <c:f>'code_20261015(1).csv'!$B$1:$B$3</c:f>
              <c:numCache>
                <c:formatCode>General</c:formatCode>
                <c:ptCount val="3"/>
                <c:pt idx="1">
                  <c:v>221.38</c:v>
                </c:pt>
                <c:pt idx="2">
                  <c:v>228.54</c:v>
                </c:pt>
              </c:numCache>
            </c:numRef>
          </c:val>
        </c:ser>
        <c:dLbls>
          <c:showLegendKey val="0"/>
          <c:showVal val="1"/>
          <c:showCatName val="0"/>
          <c:showSerName val="0"/>
          <c:showPercent val="0"/>
          <c:showBubbleSize val="0"/>
        </c:dLbls>
        <c:gapWidth val="246"/>
        <c:overlap val="-28"/>
        <c:axId val="385217394"/>
        <c:axId val="528037193"/>
      </c:barChart>
      <c:catAx>
        <c:axId val="38521739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8037193"/>
        <c:crosses val="autoZero"/>
        <c:auto val="1"/>
        <c:lblAlgn val="ctr"/>
        <c:lblOffset val="100"/>
        <c:noMultiLvlLbl val="0"/>
      </c:catAx>
      <c:valAx>
        <c:axId val="52803719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521739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barChart>
        <c:barDir val="col"/>
        <c:grouping val="clustered"/>
        <c:varyColors val="0"/>
        <c:ser>
          <c:idx val="0"/>
          <c:order val="0"/>
          <c:tx>
            <c:strRef>
              <c:f>'code_20261015(2).csv'!$B$1</c:f>
              <c:strCache>
                <c:ptCount val="1"/>
                <c:pt idx="0">
                  <c:v>金额（万元）</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'code_20261015(2).csv'!$A$2:$A$3</c:f>
              <c:strCache>
                <c:ptCount val="2"/>
                <c:pt idx="0">
                  <c:v>一般公共预算财政拨款收入</c:v>
                </c:pt>
                <c:pt idx="1">
                  <c:v>其他收入</c:v>
                </c:pt>
              </c:strCache>
            </c:strRef>
          </c:cat>
          <c:val>
            <c:numRef>
              <c:f>'code_20261015(2).csv'!$B$2:$B$3</c:f>
              <c:numCache>
                <c:formatCode>General</c:formatCode>
                <c:ptCount val="2"/>
                <c:pt idx="0">
                  <c:v>221.04</c:v>
                </c:pt>
                <c:pt idx="1">
                  <c:v>7.5</c:v>
                </c:pt>
              </c:numCache>
            </c:numRef>
          </c:val>
        </c:ser>
        <c:dLbls>
          <c:showLegendKey val="0"/>
          <c:showVal val="1"/>
          <c:showCatName val="0"/>
          <c:showSerName val="0"/>
          <c:showPercent val="0"/>
          <c:showBubbleSize val="0"/>
        </c:dLbls>
        <c:gapWidth val="246"/>
        <c:overlap val="-28"/>
        <c:axId val="336981048"/>
        <c:axId val="940136867"/>
      </c:barChart>
      <c:catAx>
        <c:axId val="33698104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0136867"/>
        <c:crosses val="autoZero"/>
        <c:auto val="1"/>
        <c:lblAlgn val="ctr"/>
        <c:lblOffset val="100"/>
        <c:noMultiLvlLbl val="0"/>
      </c:catAx>
      <c:valAx>
        <c:axId val="94013686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698104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t>标题</a:t>
            </a:r>
          </a:p>
        </c:rich>
      </c:tx>
      <c:layout/>
      <c:overlay val="0"/>
      <c:spPr>
        <a:noFill/>
        <a:ln>
          <a:noFill/>
        </a:ln>
        <a:effectLst/>
      </c:spPr>
    </c:title>
    <c:autoTitleDeleted val="0"/>
    <c:plotArea>
      <c:layout>
        <c:manualLayout>
          <c:layoutTarget val="inner"/>
          <c:xMode val="edge"/>
          <c:yMode val="edge"/>
          <c:x val="0.0616578947368421"/>
          <c:y val="0.207638888888889"/>
          <c:w val="0.900184210526316"/>
          <c:h val="0.607268518518518"/>
        </c:manualLayout>
      </c:layout>
      <c:barChart>
        <c:barDir val="col"/>
        <c:grouping val="clustered"/>
        <c:varyColors val="0"/>
        <c:ser>
          <c:idx val="0"/>
          <c:order val="0"/>
          <c:tx>
            <c:strRef>
              <c:f>'code_20261015(3).csv'!$B$1</c:f>
              <c:strCache>
                <c:ptCount val="1"/>
                <c:pt idx="0">
                  <c:v>金额（万元）</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'code_20261015(3).csv'!$A$2:$A$5</c:f>
              <c:strCache>
                <c:ptCount val="4"/>
                <c:pt idx="0">
                  <c:v>一般公共服务支出</c:v>
                </c:pt>
                <c:pt idx="1">
                  <c:v>社会保障和就业支出</c:v>
                </c:pt>
                <c:pt idx="2">
                  <c:v>卫生健康支出</c:v>
                </c:pt>
                <c:pt idx="3">
                  <c:v>住房公积金</c:v>
                </c:pt>
              </c:strCache>
            </c:strRef>
          </c:cat>
          <c:val>
            <c:numRef>
              <c:f>'code_20261015(3).csv'!$B$2:$B$5</c:f>
              <c:numCache>
                <c:formatCode>General</c:formatCode>
                <c:ptCount val="4"/>
                <c:pt idx="0">
                  <c:v>189.96</c:v>
                </c:pt>
                <c:pt idx="1">
                  <c:v>16.96</c:v>
                </c:pt>
                <c:pt idx="2">
                  <c:v>12.36</c:v>
                </c:pt>
                <c:pt idx="3">
                  <c:v>8.26</c:v>
                </c:pt>
              </c:numCache>
            </c:numRef>
          </c:val>
        </c:ser>
        <c:dLbls>
          <c:showLegendKey val="0"/>
          <c:showVal val="1"/>
          <c:showCatName val="0"/>
          <c:showSerName val="0"/>
          <c:showPercent val="0"/>
          <c:showBubbleSize val="0"/>
        </c:dLbls>
        <c:gapWidth val="246"/>
        <c:overlap val="-28"/>
        <c:axId val="653165832"/>
        <c:axId val="287066309"/>
      </c:barChart>
      <c:catAx>
        <c:axId val="6531658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7066309"/>
        <c:crosses val="autoZero"/>
        <c:auto val="1"/>
        <c:lblAlgn val="ctr"/>
        <c:lblOffset val="100"/>
        <c:noMultiLvlLbl val="0"/>
      </c:catAx>
      <c:valAx>
        <c:axId val="28706630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31658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30</Pages>
  <Words>5420</Words>
  <Characters>6042</Characters>
  <Lines>61</Lines>
  <Paragraphs>17</Paragraphs>
  <TotalTime>9</TotalTime>
  <ScaleCrop>false</ScaleCrop>
  <LinksUpToDate>false</LinksUpToDate>
  <CharactersWithSpaces>6067</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user</cp:lastModifiedBy>
  <cp:lastPrinted>2026-10-16T22:04:00Z</cp:lastPrinted>
  <dcterms:modified xsi:type="dcterms:W3CDTF">2026-10-16T16:27:41Z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9C20405CF3C44461A8C3AE6B975882EC_13</vt:lpwstr>
  </property>
  <property fmtid="{D5CDD505-2E9C-101B-9397-08002B2CF9AE}" pid="4" name="KSOTemplateDocerSaveRecord">
    <vt:lpwstr>eyJoZGlkIjoiZDgxNjZkNjdlMmYwYjIxMGJlOGJkZDhlYWU5NzY2ZTgiLCJ1c2VySWQiOiI0Nzg1NDExODcifQ==</vt:lpwstr>
  </property>
</Properties>
</file>