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7193"/>
      <w:bookmarkStart w:id="2" w:name="_Toc15396597"/>
      <w:bookmarkStart w:id="3" w:name="_Toc15378441"/>
      <w:bookmarkStart w:id="4" w:name="_Toc15306267"/>
      <w:bookmarkStart w:id="5" w:name="_Toc15396475"/>
      <w:r>
        <w:rPr>
          <w:rFonts w:hint="eastAsia" w:ascii="黑体" w:hAnsi="黑体" w:eastAsia="黑体" w:cs="黑体"/>
          <w:color w:val="auto"/>
          <w:kern w:val="2"/>
          <w:sz w:val="32"/>
          <w:szCs w:val="32"/>
          <w:highlight w:val="none"/>
          <w:lang w:val="en-US" w:eastAsia="zh-CN" w:bidi="ar-SA"/>
        </w:rPr>
        <w:t>附件2</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2025年度县级</w:t>
      </w:r>
      <w:r>
        <w:rPr>
          <w:rFonts w:hint="eastAsia" w:ascii="Times New Roman" w:hAnsi="Times New Roman" w:eastAsia="方正小标宋简体" w:cs="Times New Roman"/>
          <w:color w:val="auto"/>
          <w:kern w:val="2"/>
          <w:sz w:val="44"/>
          <w:szCs w:val="44"/>
          <w:highlight w:val="none"/>
          <w:lang w:val="en-US" w:eastAsia="zh-CN" w:bidi="ar-SA"/>
        </w:rPr>
        <w:t>部门</w:t>
      </w:r>
      <w:r>
        <w:rPr>
          <w:rFonts w:hint="eastAsia" w:ascii="Times New Roman" w:eastAsia="方正小标宋简体" w:cs="Times New Roman"/>
          <w:color w:val="auto"/>
          <w:kern w:val="2"/>
          <w:sz w:val="44"/>
          <w:szCs w:val="44"/>
          <w:highlight w:val="none"/>
          <w:lang w:val="en-US" w:eastAsia="zh-CN" w:bidi="ar-SA"/>
        </w:rPr>
        <w:t>壤塘县总工会</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pPr>
        <w:spacing w:line="600" w:lineRule="exact"/>
        <w:jc w:val="center"/>
        <w:outlineLvl w:val="0"/>
        <w:rPr>
          <w:rFonts w:ascii="Times New Roman" w:hAnsi="Times New Roman" w:eastAsia="方正小标宋简体"/>
          <w:color w:val="auto"/>
          <w:sz w:val="72"/>
          <w:szCs w:val="72"/>
          <w:highlight w:val="none"/>
        </w:rPr>
      </w:pPr>
    </w:p>
    <w:p>
      <w:pPr>
        <w:pStyle w:val="22"/>
        <w:rPr>
          <w:rFonts w:ascii="Times New Roman" w:hAnsi="Times New Roman"/>
        </w:rPr>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tabs>
          <w:tab w:val="center" w:pos="4153"/>
        </w:tabs>
        <w:bidi w:val="0"/>
        <w:jc w:val="left"/>
        <w:rPr>
          <w:rFonts w:hint="default" w:eastAsia="宋体"/>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壤塘县总工会</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pP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3643"/>
        </w:tabs>
        <w:bidi w:val="0"/>
        <w:jc w:val="left"/>
        <w:rPr>
          <w:rFonts w:hint="default"/>
          <w:lang w:val="en-US" w:eastAsia="zh-CN"/>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r>
        <w:rPr>
          <w:rFonts w:hint="eastAsia"/>
          <w:lang w:val="en-US" w:eastAsia="zh-CN"/>
        </w:rPr>
        <w:tab/>
      </w:r>
      <w:r>
        <w:rPr>
          <w:rFonts w:hint="eastAsia"/>
          <w:lang w:val="en-US" w:eastAsia="zh-CN"/>
        </w:rPr>
        <w:t>2</w:t>
      </w: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 xml:space="preserve"> </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2"/>
          <w:sz w:val="32"/>
          <w:szCs w:val="32"/>
          <w:lang w:val="en-US" w:eastAsia="zh-CN" w:bidi="ar-SA"/>
        </w:rPr>
        <w:t>二、</w:t>
      </w:r>
      <w:r>
        <w:rPr>
          <w:rFonts w:hint="eastAsia" w:ascii="Times New Roman" w:hAnsi="Times New Roman" w:eastAsia="仿宋_GB2312" w:cs="仿宋_GB2312"/>
          <w:color w:val="auto"/>
          <w:sz w:val="32"/>
          <w:szCs w:val="32"/>
          <w:highlight w:val="none"/>
        </w:rPr>
        <w:t>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rPr>
          <w:rFonts w:hint="eastAsia" w:eastAsia="仿宋_GB2312"/>
          <w:lang w:val="en-US" w:eastAsia="zh-CN"/>
        </w:rPr>
      </w:pP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color w:val="auto"/>
          <w:sz w:val="32"/>
          <w:szCs w:val="32"/>
          <w:highlight w:val="none"/>
        </w:rPr>
        <w:br w:type="page"/>
      </w:r>
    </w:p>
    <w:p>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spacing w:after="0" w:afterAutospacing="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黑体"/>
          <w:b w:val="0"/>
          <w:color w:val="auto"/>
          <w:highlight w:val="none"/>
          <w:lang w:eastAsia="zh-CN"/>
        </w:rPr>
        <w:t>部门职责</w:t>
      </w:r>
    </w:p>
    <w:p>
      <w:pPr>
        <w:pStyle w:val="6"/>
        <w:keepNext w:val="0"/>
        <w:keepLines w:val="0"/>
        <w:pageBreakBefore w:val="0"/>
        <w:widowControl w:val="0"/>
        <w:kinsoku/>
        <w:wordWrap/>
        <w:overflowPunct/>
        <w:topLinePunct w:val="0"/>
        <w:autoSpaceDE/>
        <w:autoSpaceDN/>
        <w:bidi w:val="0"/>
        <w:adjustRightInd/>
        <w:snapToGrid/>
        <w:spacing w:before="30" w:beforeLines="0" w:line="560" w:lineRule="exact"/>
        <w:ind w:firstLine="640" w:firstLineChars="200"/>
        <w:textAlignment w:val="auto"/>
        <w:rPr>
          <w:rFonts w:hint="eastAsia"/>
          <w:sz w:val="32"/>
          <w:szCs w:val="32"/>
          <w:lang w:val="en-US" w:eastAsia="zh-CN"/>
        </w:rPr>
      </w:pPr>
      <w:bookmarkStart w:id="8" w:name="_Toc15377200"/>
      <w:bookmarkStart w:id="9" w:name="_Toc15396601"/>
      <w:r>
        <w:rPr>
          <w:rFonts w:hint="eastAsia"/>
          <w:sz w:val="32"/>
          <w:szCs w:val="32"/>
          <w:lang w:val="en-US" w:eastAsia="zh-CN"/>
        </w:rPr>
        <w:t>（一）负责推动《</w:t>
      </w:r>
      <w:r>
        <w:rPr>
          <w:sz w:val="32"/>
          <w:szCs w:val="32"/>
          <w:lang w:val="en-US" w:eastAsia="zh-CN"/>
        </w:rPr>
        <w:t>中华人民共和国</w:t>
      </w:r>
      <w:r>
        <w:rPr>
          <w:rFonts w:hint="eastAsia"/>
          <w:sz w:val="32"/>
          <w:szCs w:val="32"/>
          <w:lang w:val="en-US" w:eastAsia="zh-CN"/>
        </w:rPr>
        <w:t>民法典》贯彻实施工作;了解培养选拔女干部的工作情况，发现、考察、推荐各条战线优秀妇女人才，建立妇女人才档案库；了解妇女权益方面的呼声，切实维护妇女儿童的合法权益，处理日常群众来信和接待群众来访。对重大典型信访案件进行调查研究，配合有关部门予以解决，确保妇女合法权益得到保障，进一步促进男女平等。</w:t>
      </w:r>
    </w:p>
    <w:p>
      <w:pPr>
        <w:pStyle w:val="6"/>
        <w:keepNext w:val="0"/>
        <w:keepLines w:val="0"/>
        <w:pageBreakBefore w:val="0"/>
        <w:widowControl w:val="0"/>
        <w:kinsoku/>
        <w:wordWrap/>
        <w:overflowPunct/>
        <w:topLinePunct w:val="0"/>
        <w:autoSpaceDE/>
        <w:autoSpaceDN/>
        <w:bidi w:val="0"/>
        <w:adjustRightInd/>
        <w:snapToGrid/>
        <w:spacing w:before="30" w:beforeLines="0" w:line="560" w:lineRule="exact"/>
        <w:ind w:firstLine="640" w:firstLineChars="200"/>
        <w:textAlignment w:val="auto"/>
        <w:rPr>
          <w:rFonts w:hint="eastAsia" w:hAnsi="Times New Roman" w:cs="Times New Roman"/>
          <w:sz w:val="32"/>
          <w:szCs w:val="32"/>
        </w:rPr>
      </w:pPr>
      <w:r>
        <w:rPr>
          <w:rFonts w:hint="eastAsia"/>
          <w:sz w:val="32"/>
          <w:szCs w:val="32"/>
          <w:lang w:val="en-US" w:eastAsia="zh-CN"/>
        </w:rPr>
        <w:t>（二）负责推动《中国妇女发展纲要（2021-2030）》《中国儿童发展纲要（2021-2030）》《</w:t>
      </w:r>
      <w:r>
        <w:rPr>
          <w:sz w:val="32"/>
          <w:szCs w:val="32"/>
          <w:lang w:val="en-US" w:eastAsia="zh-CN"/>
        </w:rPr>
        <w:t>中华人民共和国</w:t>
      </w:r>
      <w:r>
        <w:rPr>
          <w:rFonts w:hint="eastAsia"/>
          <w:sz w:val="32"/>
          <w:szCs w:val="32"/>
          <w:lang w:val="en-US" w:eastAsia="zh-CN"/>
        </w:rPr>
        <w:t>妇女权益</w:t>
      </w:r>
      <w:r>
        <w:rPr>
          <w:sz w:val="32"/>
          <w:szCs w:val="32"/>
          <w:lang w:val="en-US" w:eastAsia="zh-CN"/>
        </w:rPr>
        <w:t>保障</w:t>
      </w:r>
      <w:r>
        <w:rPr>
          <w:rFonts w:hint="eastAsia"/>
          <w:sz w:val="32"/>
          <w:szCs w:val="32"/>
          <w:lang w:val="en-US" w:eastAsia="zh-CN"/>
        </w:rPr>
        <w:t>法》《</w:t>
      </w:r>
      <w:r>
        <w:rPr>
          <w:sz w:val="32"/>
          <w:szCs w:val="32"/>
          <w:lang w:val="en-US" w:eastAsia="zh-CN"/>
        </w:rPr>
        <w:t>中华人民共和国</w:t>
      </w:r>
      <w:r>
        <w:rPr>
          <w:rFonts w:hint="eastAsia"/>
          <w:sz w:val="32"/>
          <w:szCs w:val="32"/>
          <w:lang w:val="en-US" w:eastAsia="zh-CN"/>
        </w:rPr>
        <w:t>未成年人保护法》的贯彻实施，宣传普及家庭科学知识，开展家庭教育理论研究，培训家教骨干，提高家教水平。指导督促全县十一个乡（镇）妇联的宣传教育工作，加大妇女技能培训，配合农牧、文教部门推动全县妇女文化教育工作。促进女童入学，承担县政府妇女儿童工作中心日常工作</w:t>
      </w:r>
      <w:r>
        <w:rPr>
          <w:rFonts w:hint="eastAsia" w:hAnsi="Times New Roman" w:cs="Times New Roman"/>
          <w:sz w:val="32"/>
          <w:szCs w:val="32"/>
          <w:lang w:eastAsia="zh-CN"/>
        </w:rPr>
        <w:t>。</w:t>
      </w:r>
    </w:p>
    <w:p>
      <w:pPr>
        <w:pStyle w:val="4"/>
        <w:spacing w:before="0" w:beforeAutospacing="0" w:after="0" w:afterAutospacing="0"/>
        <w:rPr>
          <w:rStyle w:val="32"/>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pPr>
        <w:widowControl/>
        <w:ind w:firstLine="640" w:firstLineChars="200"/>
        <w:jc w:val="left"/>
        <w:rPr>
          <w:rFonts w:ascii="Times New Roman" w:hAnsi="Times New Roman" w:eastAsia="仿宋"/>
          <w:color w:val="auto"/>
          <w:kern w:val="0"/>
          <w:sz w:val="32"/>
          <w:szCs w:val="32"/>
          <w:highlight w:val="none"/>
        </w:rPr>
      </w:pPr>
      <w:bookmarkStart w:id="10" w:name="_Toc30939"/>
      <w:bookmarkStart w:id="11" w:name="_Toc10699"/>
      <w:bookmarkStart w:id="12" w:name="_Toc12356"/>
      <w:r>
        <w:rPr>
          <w:rFonts w:hint="eastAsia" w:ascii="仿宋_GB2312" w:hAnsi="Times New Roman" w:eastAsia="仿宋_GB2312" w:cs="Times New Roman"/>
          <w:kern w:val="0"/>
          <w:sz w:val="32"/>
          <w:szCs w:val="32"/>
          <w:lang w:val="en-US" w:eastAsia="zh-CN" w:bidi="ar-SA"/>
        </w:rPr>
        <w:t>壤塘县妇女联合会本级有两个下属二级预算单位，</w:t>
      </w:r>
      <w:bookmarkEnd w:id="10"/>
      <w:bookmarkEnd w:id="11"/>
      <w:bookmarkEnd w:id="12"/>
      <w:r>
        <w:rPr>
          <w:rFonts w:hint="eastAsia" w:ascii="仿宋_GB2312" w:hAnsi="Times New Roman" w:eastAsia="仿宋_GB2312" w:cs="Times New Roman"/>
          <w:kern w:val="0"/>
          <w:sz w:val="32"/>
          <w:szCs w:val="32"/>
          <w:lang w:val="en-US" w:eastAsia="zh-CN" w:bidi="ar-SA"/>
        </w:rPr>
        <w:t>分别为壤塘县妇女联合会与壤塘县妇女儿童工作中心。</w:t>
      </w:r>
      <w:r>
        <w:rPr>
          <w:rFonts w:ascii="Times New Roman" w:hAnsi="Times New Roman" w:eastAsia="仿宋"/>
          <w:color w:val="auto"/>
          <w:sz w:val="32"/>
          <w:szCs w:val="32"/>
          <w:highlight w:val="none"/>
        </w:rPr>
        <w:br w:type="page"/>
      </w:r>
    </w:p>
    <w:p>
      <w:pPr>
        <w:pStyle w:val="3"/>
        <w:numPr>
          <w:ilvl w:val="0"/>
          <w:numId w:val="2"/>
        </w:numPr>
        <w:spacing w:after="0" w:afterAutospacing="0"/>
        <w:jc w:val="center"/>
        <w:rPr>
          <w:rFonts w:hint="eastAsia" w:ascii="Times New Roman" w:hAnsi="Times New Roman" w:eastAsia="方正小标宋简体" w:cs="方正小标宋简体"/>
          <w:b w:val="0"/>
          <w:color w:val="auto"/>
          <w:highlight w:val="none"/>
        </w:rPr>
      </w:pPr>
      <w:bookmarkStart w:id="13" w:name="_Toc15377204"/>
      <w:bookmarkStart w:id="14" w:name="_Toc15396602"/>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Start w:id="15" w:name="_Toc15396603"/>
      <w:bookmarkStart w:id="16" w:name="_Toc15377205"/>
    </w:p>
    <w:p>
      <w:pPr>
        <w:pStyle w:val="3"/>
        <w:numPr>
          <w:ilvl w:val="0"/>
          <w:numId w:val="3"/>
        </w:numPr>
        <w:spacing w:before="0" w:beforeAutospacing="0" w:after="0" w:afterAutospacing="0"/>
        <w:jc w:val="both"/>
        <w:rPr>
          <w:rStyle w:val="32"/>
          <w:rFonts w:hint="eastAsia" w:ascii="Times New Roman" w:hAnsi="Times New Roman" w:eastAsia="黑体"/>
          <w:b w:val="0"/>
          <w:bCs/>
          <w:color w:val="auto"/>
          <w:highlight w:val="none"/>
        </w:rPr>
      </w:pP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bCs/>
          <w:color w:val="auto"/>
          <w:highlight w:val="none"/>
        </w:rPr>
        <w:t>入支出决算总体情况说明</w:t>
      </w:r>
      <w:bookmarkEnd w:id="15"/>
      <w:bookmarkEnd w:id="16"/>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2025年度收入、支出总计均为228.54万元。2024年度收入、支出总计均为221.38万元。与上年度相比，收入、支出总计各增加7.16万元，增加3.23%。主要变动原因是2025年较2024年项目和在职人员增加。</w:t>
      </w:r>
    </w:p>
    <w:p>
      <w:pPr>
        <w:pStyle w:val="30"/>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黑体"/>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385445</wp:posOffset>
            </wp:positionH>
            <wp:positionV relativeFrom="paragraph">
              <wp:posOffset>76835</wp:posOffset>
            </wp:positionV>
            <wp:extent cx="4645025" cy="2504440"/>
            <wp:effectExtent l="4445" t="4445" r="17780" b="5715"/>
            <wp:wrapTopAndBottom/>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17" w:name="_Toc15377206"/>
      <w:bookmarkStart w:id="18" w:name="_Toc15396604"/>
      <w:r>
        <w:rPr>
          <w:rFonts w:hint="eastAsia" w:ascii="Times New Roman" w:hAnsi="Times New Roman" w:eastAsia="黑体"/>
          <w:color w:val="auto"/>
          <w:sz w:val="32"/>
          <w:szCs w:val="32"/>
          <w:highlight w:val="none"/>
          <w:lang w:eastAsia="zh-CN"/>
        </w:rPr>
        <w:t>二、收入决算情况说明</w:t>
      </w:r>
      <w:bookmarkEnd w:id="17"/>
      <w:bookmarkEnd w:id="18"/>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本年收入合计228.54万元，其中：一般公共预算财政拨款收入221.04万元，占96.72%；其他收入7.50万元，占3.28%；政府性基金预算财政拨款收入0万元，占0%；国有资本经营预算财政拨款收入0万元，占0%；上级补助收入0万元，占0%；事业收入0万元，占0%；经营收入0万元，占0%；附属单位上缴收入0万元，占0%；其他收入0万元，占0%。</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left="0" w:leftChars="0" w:right="0" w:rightChars="0" w:firstLine="525" w:firstLineChars="250"/>
        <w:rPr>
          <w:rFonts w:hint="eastAsia" w:ascii="Times New Roman" w:hAnsi="Times New Roman" w:eastAsia="黑体"/>
          <w:color w:val="auto"/>
          <w:sz w:val="32"/>
          <w:szCs w:val="32"/>
          <w:highlight w:val="none"/>
          <w:lang w:eastAsia="zh-CN"/>
        </w:rPr>
      </w:pPr>
      <w:bookmarkStart w:id="19" w:name="_Toc15396605"/>
      <w:bookmarkStart w:id="20" w:name="_Toc15377207"/>
      <w:r>
        <w:drawing>
          <wp:inline distT="0" distB="0" distL="114300" distR="114300">
            <wp:extent cx="4826000" cy="2743200"/>
            <wp:effectExtent l="4445" t="4445" r="8255" b="14605"/>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0"/>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0" w:firstLineChars="0"/>
        <w:textAlignment w:val="auto"/>
        <w:outlineLvl w:val="1"/>
        <w:rPr>
          <w:rStyle w:val="32"/>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9"/>
      <w:bookmarkEnd w:id="20"/>
    </w:p>
    <w:p>
      <w:pPr>
        <w:snapToGrid w:val="0"/>
        <w:spacing w:line="520" w:lineRule="exact"/>
        <w:ind w:firstLine="640" w:firstLineChars="200"/>
        <w:rPr>
          <w:rStyle w:val="32"/>
          <w:rFonts w:hint="eastAsia" w:ascii="Times New Roman" w:hAnsi="Times New Roman" w:eastAsia="黑体"/>
          <w:b w:val="0"/>
          <w:color w:val="auto"/>
          <w:highlight w:val="none"/>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收入、支出合计：228.54万元。</w:t>
      </w:r>
    </w:p>
    <w:p>
      <w:pPr>
        <w:snapToGrid w:val="0"/>
        <w:spacing w:line="52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其中</w:t>
      </w:r>
      <w:r>
        <w:rPr>
          <w:rFonts w:hint="eastAsia" w:ascii="仿宋" w:hAnsi="仿宋" w:eastAsia="仿宋"/>
          <w:color w:val="000000"/>
          <w:sz w:val="32"/>
          <w:szCs w:val="32"/>
          <w:lang w:eastAsia="zh-CN"/>
        </w:rPr>
        <w:t>:行政运行：</w:t>
      </w:r>
      <w:r>
        <w:rPr>
          <w:rFonts w:hint="eastAsia" w:ascii="仿宋" w:hAnsi="仿宋" w:eastAsia="仿宋"/>
          <w:color w:val="000000"/>
          <w:sz w:val="32"/>
          <w:szCs w:val="32"/>
          <w:lang w:val="en-US" w:eastAsia="zh-CN"/>
        </w:rPr>
        <w:t>85.77万元，</w:t>
      </w:r>
      <w:r>
        <w:rPr>
          <w:rFonts w:hint="eastAsia" w:ascii="Times New Roman" w:hAnsi="Times New Roman" w:eastAsia="仿宋_GB2312" w:cs="仿宋_GB2312"/>
          <w:sz w:val="32"/>
          <w:szCs w:val="32"/>
          <w:lang w:val="en-US" w:eastAsia="zh-CN"/>
        </w:rPr>
        <w:t>占</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w:t>
      </w:r>
    </w:p>
    <w:p>
      <w:pPr>
        <w:snapToGrid w:val="0"/>
        <w:spacing w:line="520" w:lineRule="exact"/>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仿宋" w:hAnsi="仿宋" w:eastAsia="仿宋"/>
          <w:color w:val="000000"/>
          <w:sz w:val="32"/>
          <w:szCs w:val="32"/>
          <w:lang w:eastAsia="zh-CN"/>
        </w:rPr>
      </w:pPr>
    </w:p>
    <w:p>
      <w:pPr>
        <w:snapToGrid w:val="0"/>
        <w:spacing w:line="520" w:lineRule="exact"/>
        <w:ind w:firstLine="642" w:firstLineChars="200"/>
        <w:rPr>
          <w:rFonts w:hint="eastAsia" w:ascii="仿宋_GB2312" w:hAnsi="仿宋" w:eastAsia="仿宋_GB2312"/>
          <w:b/>
          <w:sz w:val="32"/>
          <w:szCs w:val="32"/>
        </w:rPr>
      </w:pPr>
      <w:r>
        <w:rPr>
          <w:rFonts w:hint="eastAsia" w:ascii="仿宋_GB2312" w:hAnsi="仿宋" w:eastAsia="仿宋_GB2312"/>
          <w:b/>
          <w:sz w:val="32"/>
          <w:szCs w:val="32"/>
        </w:rPr>
        <w:t>3．支出按经济分类科目分析。</w:t>
      </w:r>
    </w:p>
    <w:p>
      <w:pPr>
        <w:spacing w:line="600" w:lineRule="exact"/>
        <w:ind w:firstLine="640"/>
        <w:rPr>
          <w:rFonts w:hint="eastAsia" w:ascii="仿宋_GB2312" w:hAnsi="仿宋" w:eastAsia="仿宋_GB2312"/>
          <w:sz w:val="32"/>
          <w:szCs w:val="32"/>
        </w:rPr>
      </w:pPr>
      <w:r>
        <w:rPr>
          <w:rFonts w:hint="eastAsia" w:ascii="仿宋" w:hAnsi="仿宋" w:eastAsia="仿宋" w:cs="Times New Roman"/>
          <w:sz w:val="32"/>
          <w:szCs w:val="32"/>
          <w:lang w:val="en-US" w:eastAsia="zh-CN"/>
        </w:rPr>
        <w:t>2025年“三公”经费支出情况：2025年支出合计：13.16万元，其中：公务公车运行维护费：10.22万元，比上年度增加2.94万元，增加40.38%。原因是下乡以及其他业务活动增加，费用随之增加。经核实本单位车均运行维护费金额无误。</w:t>
      </w:r>
    </w:p>
    <w:p>
      <w:pPr>
        <w:pStyle w:val="14"/>
        <w:rPr>
          <w:rFonts w:hint="eastAsia"/>
          <w:lang w:eastAsia="zh-CN"/>
        </w:rPr>
      </w:pPr>
    </w:p>
    <w:p>
      <w:pPr>
        <w:spacing w:line="600" w:lineRule="exact"/>
        <w:outlineLvl w:val="1"/>
        <w:rPr>
          <w:rStyle w:val="32"/>
          <w:rFonts w:ascii="Times New Roman" w:hAnsi="Times New Roman" w:eastAsia="黑体"/>
          <w:b w:val="0"/>
          <w:color w:val="auto"/>
          <w:highlight w:val="none"/>
        </w:rPr>
      </w:pPr>
      <w:bookmarkStart w:id="21" w:name="_Toc15396606"/>
      <w:bookmarkStart w:id="22"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1"/>
      <w:bookmarkEnd w:id="22"/>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2025年财政拨款收入合计：1237.46万元，2024年财政拨款收入合计：1319.51万元，比去年减少102.05万元，下降7.6%。主要变动原因是2025年较2024年项目减少，</w:t>
      </w:r>
    </w:p>
    <w:p>
      <w:pPr>
        <w:snapToGrid w:val="0"/>
        <w:spacing w:line="520" w:lineRule="exact"/>
        <w:ind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2025年财政拨款支出合计：</w:t>
      </w:r>
      <w:r>
        <w:rPr>
          <w:rFonts w:hint="eastAsia" w:ascii="仿宋" w:hAnsi="仿宋" w:eastAsia="仿宋"/>
          <w:sz w:val="32"/>
          <w:szCs w:val="32"/>
          <w:lang w:val="en-US" w:eastAsia="zh-CN"/>
        </w:rPr>
        <w:t>1237.46</w:t>
      </w:r>
      <w:r>
        <w:rPr>
          <w:rFonts w:hint="eastAsia" w:ascii="Times New Roman" w:hAnsi="Times New Roman" w:eastAsia="仿宋_GB2312" w:cs="仿宋_GB2312"/>
          <w:sz w:val="32"/>
          <w:szCs w:val="32"/>
          <w:lang w:val="en-US" w:eastAsia="zh-CN"/>
        </w:rPr>
        <w:t>万元，其中：基本支出：</w:t>
      </w:r>
      <w:r>
        <w:rPr>
          <w:rFonts w:hint="eastAsia" w:eastAsia="仿宋_GB2312" w:cs="仿宋_GB2312"/>
          <w:sz w:val="32"/>
          <w:szCs w:val="32"/>
          <w:lang w:val="en-US" w:eastAsia="zh-CN"/>
        </w:rPr>
        <w:t>940.74</w:t>
      </w:r>
      <w:r>
        <w:rPr>
          <w:rFonts w:hint="eastAsia" w:ascii="Times New Roman" w:hAnsi="Times New Roman" w:eastAsia="仿宋_GB2312" w:cs="仿宋_GB2312"/>
          <w:sz w:val="32"/>
          <w:szCs w:val="32"/>
          <w:lang w:val="en-US" w:eastAsia="zh-CN"/>
        </w:rPr>
        <w:t>万元，占</w:t>
      </w:r>
      <w:r>
        <w:rPr>
          <w:rFonts w:hint="eastAsia" w:eastAsia="仿宋_GB2312" w:cs="仿宋_GB2312"/>
          <w:sz w:val="32"/>
          <w:szCs w:val="32"/>
          <w:lang w:val="en-US" w:eastAsia="zh-CN"/>
        </w:rPr>
        <w:t>76.02</w:t>
      </w:r>
      <w:r>
        <w:rPr>
          <w:rFonts w:hint="eastAsia" w:ascii="Times New Roman" w:hAnsi="Times New Roman" w:eastAsia="仿宋_GB2312" w:cs="仿宋_GB2312"/>
          <w:sz w:val="32"/>
          <w:szCs w:val="32"/>
          <w:lang w:val="en-US" w:eastAsia="zh-CN"/>
        </w:rPr>
        <w:t>%；项目支出：</w:t>
      </w:r>
      <w:r>
        <w:rPr>
          <w:rFonts w:hint="eastAsia" w:eastAsia="仿宋_GB2312" w:cs="仿宋_GB2312"/>
          <w:sz w:val="32"/>
          <w:szCs w:val="32"/>
          <w:lang w:val="en-US" w:eastAsia="zh-CN"/>
        </w:rPr>
        <w:t>296.73</w:t>
      </w:r>
      <w:r>
        <w:rPr>
          <w:rFonts w:hint="eastAsia" w:ascii="Times New Roman" w:hAnsi="Times New Roman" w:eastAsia="仿宋_GB2312" w:cs="仿宋_GB2312"/>
          <w:sz w:val="32"/>
          <w:szCs w:val="32"/>
          <w:lang w:val="en-US" w:eastAsia="zh-CN"/>
        </w:rPr>
        <w:t>万元，占</w:t>
      </w:r>
      <w:r>
        <w:rPr>
          <w:rFonts w:hint="eastAsia" w:eastAsia="仿宋_GB2312" w:cs="仿宋_GB2312"/>
          <w:sz w:val="32"/>
          <w:szCs w:val="32"/>
          <w:lang w:val="en-US" w:eastAsia="zh-CN"/>
        </w:rPr>
        <w:t>24</w:t>
      </w:r>
      <w:r>
        <w:rPr>
          <w:rFonts w:hint="eastAsia" w:ascii="Times New Roman" w:hAnsi="Times New Roman" w:eastAsia="仿宋_GB2312" w:cs="仿宋_GB2312"/>
          <w:sz w:val="32"/>
          <w:szCs w:val="32"/>
          <w:lang w:val="en-US"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object>
          <v:shape id="_x0000_i1025" o:spt="75" type="#_x0000_t75" style="height:263.25pt;width:412.15pt;" o:ole="t" filled="f" o:preferrelative="t" stroked="f" coordsize="21600,21600">
            <v:path/>
            <v:fill on="f" focussize="0,0"/>
            <v:stroke on="f"/>
            <v:imagedata r:id="rId14" o:title=""/>
            <o:lock v:ext="edit" aspectratio="t"/>
            <w10:wrap type="none"/>
            <w10:anchorlock/>
          </v:shape>
          <o:OLEObject Type="Embed" ProgID="Excel.Chart.8" ShapeID="_x0000_i1025" DrawAspect="Content" ObjectID="_1468075725" r:id="rId13">
            <o:LockedField>false</o:LockedField>
          </o:OLEObject>
        </w:objec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outlineLvl w:val="1"/>
        <w:rPr>
          <w:rStyle w:val="32"/>
          <w:rFonts w:ascii="Times New Roman" w:hAnsi="Times New Roman" w:eastAsia="黑体"/>
          <w:b w:val="0"/>
          <w:color w:val="auto"/>
          <w:highlight w:val="none"/>
        </w:rPr>
      </w:pPr>
      <w:bookmarkStart w:id="23" w:name="_Toc15396607"/>
      <w:bookmarkStart w:id="24"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3"/>
      <w:bookmarkEnd w:id="24"/>
    </w:p>
    <w:p>
      <w:pPr>
        <w:spacing w:line="600" w:lineRule="exact"/>
        <w:ind w:firstLine="642" w:firstLineChars="200"/>
        <w:outlineLvl w:val="2"/>
        <w:rPr>
          <w:rFonts w:hint="eastAsia" w:ascii="Times New Roman" w:hAnsi="Times New Roman" w:eastAsia="仿宋_GB2312" w:cs="仿宋_GB2312"/>
          <w:b w:val="0"/>
          <w:bCs w:val="0"/>
          <w:color w:val="auto"/>
          <w:kern w:val="2"/>
          <w:sz w:val="32"/>
          <w:szCs w:val="32"/>
          <w:highlight w:val="none"/>
          <w:lang w:val="en-US" w:eastAsia="zh-CN" w:bidi="ar-SA"/>
        </w:rPr>
      </w:pPr>
      <w:bookmarkStart w:id="25" w:name="_Toc15377210"/>
      <w:r>
        <w:rPr>
          <w:rFonts w:hint="eastAsia" w:ascii="Times New Roman" w:hAnsi="Times New Roman" w:eastAsia="楷体_GB2312" w:cs="楷体_GB2312"/>
          <w:b/>
          <w:color w:val="auto"/>
          <w:sz w:val="32"/>
          <w:szCs w:val="32"/>
          <w:highlight w:val="none"/>
        </w:rPr>
        <w:t>（</w:t>
      </w:r>
      <w:r>
        <w:rPr>
          <w:rFonts w:hint="eastAsia" w:ascii="Times New Roman" w:hAnsi="Times New Roman" w:eastAsia="仿宋_GB2312" w:cs="仿宋_GB2312"/>
          <w:b w:val="0"/>
          <w:bCs w:val="0"/>
          <w:color w:val="auto"/>
          <w:kern w:val="2"/>
          <w:sz w:val="32"/>
          <w:szCs w:val="32"/>
          <w:highlight w:val="none"/>
          <w:lang w:val="en-US" w:eastAsia="zh-CN" w:bidi="ar-SA"/>
        </w:rPr>
        <w:t>一）一般公共预算财政拨款支出决算总体情况</w:t>
      </w:r>
      <w:bookmarkEnd w:id="25"/>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2025年度一般公共预算财政拨款支出</w:t>
      </w:r>
      <w:r>
        <w:rPr>
          <w:rFonts w:hint="eastAsia" w:eastAsia="仿宋_GB2312" w:cs="仿宋_GB2312"/>
          <w:b w:val="0"/>
          <w:bCs w:val="0"/>
          <w:color w:val="auto"/>
          <w:kern w:val="2"/>
          <w:sz w:val="32"/>
          <w:szCs w:val="32"/>
          <w:highlight w:val="none"/>
          <w:lang w:val="en-US" w:eastAsia="zh-CN" w:bidi="ar-SA"/>
        </w:rPr>
        <w:t>1237.46</w:t>
      </w:r>
      <w:r>
        <w:rPr>
          <w:rFonts w:hint="eastAsia" w:ascii="Times New Roman" w:hAnsi="Times New Roman" w:eastAsia="仿宋_GB2312" w:cs="仿宋_GB2312"/>
          <w:b w:val="0"/>
          <w:bCs w:val="0"/>
          <w:color w:val="auto"/>
          <w:kern w:val="2"/>
          <w:sz w:val="32"/>
          <w:szCs w:val="32"/>
          <w:highlight w:val="none"/>
          <w:lang w:val="en-US" w:eastAsia="zh-CN" w:bidi="ar-SA"/>
        </w:rPr>
        <w:t>万元，占本年支出合计的100%。与上年度相比，一般公共预算财政拨款支出减少102.05万元，下降7.6%。主要变动原因是2025年较2024年项目减少，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object>
          <v:shape id="_x0000_i1026" o:spt="75" type="#_x0000_t75" style="height:244.5pt;width:391.7pt;" o:ole="t" filled="f" o:preferrelative="t" stroked="f" coordsize="21600,21600">
            <v:path/>
            <v:fill on="f" focussize="0,0"/>
            <v:stroke on="f"/>
            <v:imagedata r:id="rId16" o:title=""/>
            <o:lock v:ext="edit" aspectratio="t"/>
            <w10:wrap type="none"/>
            <w10:anchorlock/>
          </v:shape>
          <o:OLEObject Type="Embed" ProgID="Excel.Chart.8" ShapeID="_x0000_i1026" DrawAspect="Content" ObjectID="_1468075726" r:id="rId15">
            <o:LockedField>false</o:LockedField>
          </o:OLEObject>
        </w:object>
      </w:r>
    </w:p>
    <w:p>
      <w:pPr>
        <w:spacing w:line="600" w:lineRule="exact"/>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b w:val="0"/>
          <w:bCs w:val="0"/>
          <w:color w:val="auto"/>
          <w:kern w:val="2"/>
          <w:sz w:val="32"/>
          <w:szCs w:val="32"/>
          <w:highlight w:val="none"/>
          <w:lang w:val="en-US" w:eastAsia="zh-CN" w:bidi="ar-SA"/>
        </w:rPr>
        <w:t>1237.46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1169.88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88.66</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35.75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2.70</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19.44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1.36</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仿宋" w:hAnsi="仿宋" w:eastAsia="仿宋"/>
          <w:color w:val="000000"/>
          <w:sz w:val="32"/>
          <w:szCs w:val="32"/>
          <w:lang w:eastAsia="zh-CN"/>
        </w:rPr>
      </w:pPr>
    </w:p>
    <w:p>
      <w:pPr>
        <w:pStyle w:val="14"/>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object>
          <v:shape id="_x0000_i1027" o:spt="75" type="#_x0000_t75" style="height:176.5pt;width:374.75pt;" o:ole="t" filled="f" o:preferrelative="t" stroked="f" coordsize="21600,21600">
            <v:path/>
            <v:fill on="f" focussize="0,0"/>
            <v:stroke on="f"/>
            <v:imagedata r:id="rId18" o:title=""/>
            <o:lock v:ext="edit" aspectratio="t"/>
            <w10:wrap type="none"/>
            <w10:anchorlock/>
          </v:shape>
          <o:OLEObject Type="Embed" ProgID="Excel.Chart.8" ShapeID="_x0000_i1027" DrawAspect="Content" ObjectID="_1468075727" r:id="rId17">
            <o:LockedField>false</o:LockedField>
          </o:OLEObject>
        </w:object>
      </w:r>
      <w:bookmarkStart w:id="27" w:name="_Toc15377212"/>
    </w:p>
    <w:p>
      <w:pPr>
        <w:pStyle w:val="14"/>
        <w:ind w:firstLine="642"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8" w:name="_Toc15378460"/>
      <w:bookmarkStart w:id="29" w:name="_Toc15377444"/>
      <w:bookmarkStart w:id="30"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1237.46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lang w:val="en-US" w:eastAsia="zh-CN"/>
        </w:rPr>
        <w:t>其中</w:t>
      </w:r>
      <w:r>
        <w:rPr>
          <w:rFonts w:hint="eastAsia" w:ascii="仿宋" w:hAnsi="仿宋" w:eastAsia="仿宋" w:cs="Times New Roman"/>
          <w:b/>
          <w:color w:val="000000"/>
          <w:sz w:val="32"/>
          <w:szCs w:val="32"/>
        </w:rPr>
        <w:t>:一</w:t>
      </w:r>
      <w:r>
        <w:rPr>
          <w:rFonts w:hint="eastAsia" w:ascii="仿宋" w:hAnsi="仿宋" w:eastAsia="仿宋"/>
          <w:b/>
          <w:color w:val="000000"/>
          <w:sz w:val="32"/>
          <w:szCs w:val="32"/>
        </w:rPr>
        <w:t>般公共服务支出（类）</w:t>
      </w:r>
      <w:r>
        <w:rPr>
          <w:rFonts w:hint="eastAsia" w:ascii="仿宋" w:hAnsi="仿宋" w:eastAsia="仿宋"/>
          <w:b/>
          <w:color w:val="000000"/>
          <w:sz w:val="32"/>
          <w:szCs w:val="32"/>
          <w:lang w:val="en-US" w:eastAsia="zh-CN"/>
        </w:rPr>
        <w:t>群众团体事务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）行政运行（</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813.29万元</w:t>
      </w:r>
      <w:r>
        <w:rPr>
          <w:rFonts w:hint="eastAsia" w:ascii="仿宋" w:hAnsi="仿宋" w:eastAsia="仿宋"/>
          <w:color w:val="000000"/>
          <w:sz w:val="32"/>
          <w:szCs w:val="32"/>
        </w:rPr>
        <w:t>，占</w:t>
      </w:r>
      <w:r>
        <w:rPr>
          <w:rFonts w:hint="eastAsia" w:eastAsia="仿宋_GB2312" w:cs="仿宋_GB2312"/>
          <w:sz w:val="32"/>
          <w:szCs w:val="32"/>
          <w:lang w:val="en-US" w:eastAsia="zh-CN"/>
        </w:rPr>
        <w:t>65.72</w:t>
      </w:r>
      <w:r>
        <w:rPr>
          <w:rFonts w:hint="eastAsia" w:ascii="Times New Roman" w:hAnsi="Times New Roman" w:eastAsia="仿宋_GB2312" w:cs="仿宋_GB2312"/>
          <w:sz w:val="32"/>
          <w:szCs w:val="32"/>
          <w:lang w:val="en-US" w:eastAsia="zh-CN"/>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w:t>
      </w:r>
      <w:r>
        <w:rPr>
          <w:rFonts w:hint="eastAsia" w:ascii="仿宋" w:hAnsi="仿宋" w:eastAsia="仿宋"/>
          <w:b/>
          <w:color w:val="000000"/>
          <w:sz w:val="32"/>
          <w:szCs w:val="32"/>
        </w:rPr>
        <w:t>般公共服务支出（类）</w:t>
      </w:r>
      <w:r>
        <w:rPr>
          <w:rFonts w:hint="eastAsia" w:ascii="仿宋" w:hAnsi="仿宋" w:eastAsia="仿宋"/>
          <w:b/>
          <w:color w:val="000000"/>
          <w:sz w:val="32"/>
          <w:szCs w:val="32"/>
          <w:lang w:val="en-US" w:eastAsia="zh-CN"/>
        </w:rPr>
        <w:t>群众团体事务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事业</w:t>
      </w:r>
      <w:r>
        <w:rPr>
          <w:rFonts w:hint="eastAsia" w:ascii="仿宋" w:hAnsi="仿宋" w:eastAsia="仿宋"/>
          <w:b/>
          <w:color w:val="000000"/>
          <w:sz w:val="32"/>
          <w:szCs w:val="32"/>
          <w:lang w:eastAsia="zh-CN"/>
        </w:rPr>
        <w:t>运行（</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59.86万元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4.83</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default" w:ascii="仿宋" w:hAnsi="仿宋" w:eastAsia="仿宋"/>
          <w:color w:val="000000"/>
          <w:sz w:val="32"/>
          <w:szCs w:val="32"/>
          <w:lang w:val="en-US" w:eastAsia="zh-CN"/>
        </w:rPr>
      </w:pPr>
      <w:r>
        <w:rPr>
          <w:rFonts w:hint="eastAsia" w:ascii="仿宋" w:hAnsi="仿宋" w:eastAsia="仿宋" w:cs="Times New Roman"/>
          <w:b/>
          <w:color w:val="000000"/>
          <w:sz w:val="32"/>
          <w:szCs w:val="32"/>
        </w:rPr>
        <w:t>一</w:t>
      </w:r>
      <w:r>
        <w:rPr>
          <w:rFonts w:hint="eastAsia" w:ascii="仿宋" w:hAnsi="仿宋" w:eastAsia="仿宋"/>
          <w:b/>
          <w:color w:val="000000"/>
          <w:sz w:val="32"/>
          <w:szCs w:val="32"/>
        </w:rPr>
        <w:t>般公共服务支出（类）</w:t>
      </w:r>
      <w:r>
        <w:rPr>
          <w:rFonts w:hint="eastAsia" w:ascii="仿宋" w:hAnsi="仿宋" w:eastAsia="仿宋"/>
          <w:b/>
          <w:color w:val="000000"/>
          <w:sz w:val="32"/>
          <w:szCs w:val="32"/>
          <w:lang w:val="en-US" w:eastAsia="zh-CN"/>
        </w:rPr>
        <w:t>群众团体事务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olor w:val="000000"/>
          <w:sz w:val="32"/>
          <w:szCs w:val="32"/>
          <w:lang w:val="en-US" w:eastAsia="zh-CN"/>
        </w:rPr>
        <w:t>其他群众团体事务支出（项）：296.73万元，占23.98%。</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社会保障和就业支出（类）行政事业单位养老支出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）机关事业单位基本养老保险缴费支出（</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23.84万元，占1.92%。</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社会保障和就业支出（类）行政事业单位养老支出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）机关事业单位职业年金缴费支出（</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11.92万元，占0.96%。</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卫生健康支出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）行政事业单位医疗</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）行政单位医疗（</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6.51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0.52</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卫生健康支出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）行政事业单位医疗</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事业</w:t>
      </w:r>
      <w:r>
        <w:rPr>
          <w:rFonts w:hint="eastAsia" w:ascii="仿宋" w:hAnsi="仿宋" w:eastAsia="仿宋"/>
          <w:b/>
          <w:color w:val="000000"/>
          <w:sz w:val="32"/>
          <w:szCs w:val="32"/>
          <w:lang w:eastAsia="zh-CN"/>
        </w:rPr>
        <w:t>单位医疗（</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4.02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0.32</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卫生健康支出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）行政事业单位医疗</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）公务员医疗补助（</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1.14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0.09</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卫生健康支出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）行政事业单位医疗</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其他行政事业单位医疗支出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0.72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0.07</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住房保障支出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）住房改革支出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）住房公积金（</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18.44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1.5</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Times New Roman" w:hAnsi="Times New Roman" w:eastAsia="黑体"/>
          <w:color w:val="auto"/>
          <w:sz w:val="32"/>
          <w:szCs w:val="32"/>
          <w:highlight w:val="none"/>
          <w:lang w:eastAsia="zh-CN"/>
        </w:rPr>
      </w:pPr>
      <w:r>
        <w:rPr>
          <w:rFonts w:hint="eastAsia" w:ascii="仿宋" w:hAnsi="仿宋" w:eastAsia="仿宋" w:cs="Times New Roman"/>
          <w:b/>
          <w:bCs/>
          <w:color w:val="000000"/>
          <w:sz w:val="32"/>
          <w:szCs w:val="32"/>
        </w:rPr>
        <w:t>住房保障支出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）住房改革支出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住房保障支出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19.44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1.6</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420" w:firstLineChars="200"/>
        <w:rPr>
          <w:rFonts w:hint="eastAsia"/>
          <w:lang w:eastAsia="zh-CN"/>
        </w:rPr>
      </w:pPr>
    </w:p>
    <w:p>
      <w:pPr>
        <w:tabs>
          <w:tab w:val="right" w:pos="8306"/>
        </w:tabs>
        <w:spacing w:line="600" w:lineRule="exact"/>
        <w:outlineLvl w:val="1"/>
        <w:rPr>
          <w:rStyle w:val="32"/>
          <w:rFonts w:ascii="Times New Roman" w:hAnsi="Times New Roman"/>
          <w:color w:val="auto"/>
          <w:highlight w:val="none"/>
        </w:rPr>
      </w:pPr>
      <w:bookmarkStart w:id="31" w:name="_Toc15396608"/>
      <w:bookmarkStart w:id="32"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1"/>
      <w:bookmarkEnd w:id="32"/>
      <w:r>
        <w:rPr>
          <w:rStyle w:val="32"/>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1237.46</w:t>
      </w:r>
      <w:r>
        <w:rPr>
          <w:rFonts w:hint="eastAsia" w:ascii="Times New Roman" w:hAnsi="Times New Roman" w:eastAsia="仿宋_GB2312" w:cs="仿宋_GB2312"/>
          <w:color w:val="auto"/>
          <w:kern w:val="2"/>
          <w:sz w:val="32"/>
          <w:szCs w:val="32"/>
          <w:highlight w:val="none"/>
          <w:lang w:val="en-US" w:eastAsia="zh-CN" w:bidi="ar-SA"/>
        </w:rPr>
        <w:t>万元，其中：</w:t>
      </w:r>
    </w:p>
    <w:p>
      <w:pPr>
        <w:spacing w:afterAutospacing="0"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229.25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711.48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eastAsia" w:eastAsia="仿宋_GB2312" w:cs="仿宋_GB2312"/>
          <w:color w:val="auto"/>
          <w:kern w:val="2"/>
          <w:sz w:val="32"/>
          <w:szCs w:val="32"/>
          <w:highlight w:val="none"/>
          <w:lang w:val="en-US" w:eastAsia="zh-CN" w:bidi="ar-SA"/>
        </w:rPr>
        <w:t>。</w:t>
      </w:r>
    </w:p>
    <w:p>
      <w:pPr>
        <w:pStyle w:val="22"/>
        <w:spacing w:before="0" w:beforeAutospacing="0" w:after="0" w:afterAutospacing="0"/>
        <w:ind w:firstLine="640" w:firstLineChars="200"/>
        <w:rPr>
          <w:rFonts w:hint="default" w:ascii="Times New Roman" w:hAnsi="Times New Roman" w:eastAsia="仿宋_GB2312" w:cs="仿宋_GB2312"/>
          <w:b w:val="0"/>
          <w:color w:val="auto"/>
          <w:kern w:val="2"/>
          <w:sz w:val="32"/>
          <w:szCs w:val="32"/>
          <w:highlight w:val="none"/>
          <w:lang w:val="en-US" w:eastAsia="zh-CN" w:bidi="ar-SA"/>
        </w:rPr>
      </w:pPr>
      <w:r>
        <w:rPr>
          <w:rFonts w:hint="eastAsia" w:ascii="Times New Roman" w:hAnsi="Times New Roman" w:eastAsia="仿宋_GB2312" w:cs="仿宋_GB2312"/>
          <w:b w:val="0"/>
          <w:color w:val="auto"/>
          <w:kern w:val="2"/>
          <w:sz w:val="32"/>
          <w:szCs w:val="32"/>
          <w:highlight w:val="none"/>
          <w:lang w:val="en-US" w:eastAsia="zh-CN" w:bidi="ar-SA"/>
        </w:rPr>
        <w:t>项目支出296.73万元，主要专项项目。</w:t>
      </w:r>
    </w:p>
    <w:p>
      <w:pPr>
        <w:spacing w:beforeAutospacing="0" w:line="600" w:lineRule="exact"/>
        <w:ind w:firstLine="640"/>
        <w:outlineLvl w:val="1"/>
        <w:rPr>
          <w:rStyle w:val="32"/>
          <w:rFonts w:ascii="Times New Roman" w:hAnsi="Times New Roman" w:eastAsia="黑体"/>
          <w:b w:val="0"/>
          <w:color w:val="auto"/>
          <w:highlight w:val="none"/>
        </w:rPr>
      </w:pPr>
      <w:bookmarkStart w:id="33" w:name="_Toc15377215"/>
      <w:bookmarkStart w:id="34"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3"/>
      <w:bookmarkEnd w:id="34"/>
    </w:p>
    <w:p>
      <w:pPr>
        <w:spacing w:line="600" w:lineRule="exact"/>
        <w:ind w:firstLine="640"/>
        <w:outlineLvl w:val="1"/>
        <w:rPr>
          <w:rStyle w:val="32"/>
          <w:rFonts w:hint="eastAsia" w:ascii="Times New Roman" w:hAnsi="Times New Roman" w:eastAsia="黑体"/>
          <w:b w:val="0"/>
          <w:color w:val="auto"/>
          <w:highlight w:val="none"/>
          <w:lang w:val="en-US" w:eastAsia="zh-CN"/>
        </w:rPr>
      </w:pPr>
      <w:bookmarkStart w:id="35" w:name="_Toc15377216"/>
      <w:r>
        <w:rPr>
          <w:rStyle w:val="32"/>
          <w:rFonts w:hint="eastAsia" w:ascii="Times New Roman" w:hAnsi="Times New Roman" w:eastAsia="黑体"/>
          <w:b w:val="0"/>
          <w:color w:val="auto"/>
          <w:highlight w:val="none"/>
          <w:lang w:val="en-US" w:eastAsia="zh-CN"/>
        </w:rPr>
        <w:t>（一）财政拨款“三公”经费支出决算总体情况说明</w:t>
      </w:r>
      <w:bookmarkEnd w:id="35"/>
    </w:p>
    <w:p>
      <w:pPr>
        <w:spacing w:line="600" w:lineRule="exact"/>
        <w:ind w:firstLine="64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2025年度财政拨款“三公”经费支出决算为13.16万元，完成预算94%，较上年度增加2.94万元，增长28.77%。决算数小于预算数主要原因是下乡以及其他业务活动增加，费用随之增加。经核实本单位车均运行维护费金额无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无工作需求。</w:t>
      </w:r>
    </w:p>
    <w:p>
      <w:pPr>
        <w:spacing w:line="600" w:lineRule="exact"/>
        <w:ind w:firstLine="640"/>
        <w:rPr>
          <w:rFonts w:hint="eastAsia" w:ascii="仿宋" w:hAnsi="仿宋" w:eastAsia="仿宋" w:cs="Times New Roman"/>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13.16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94</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ascii="仿宋" w:hAnsi="仿宋" w:eastAsia="仿宋" w:cs="Times New Roman"/>
          <w:sz w:val="32"/>
          <w:szCs w:val="32"/>
          <w:lang w:val="en-US" w:eastAsia="zh-CN"/>
        </w:rPr>
        <w:t>2.94</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ascii="仿宋" w:hAnsi="仿宋" w:eastAsia="仿宋" w:cs="Times New Roman"/>
          <w:sz w:val="32"/>
          <w:szCs w:val="32"/>
          <w:lang w:val="en-US" w:eastAsia="zh-CN"/>
        </w:rPr>
        <w:t>28.77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Times New Roman"/>
          <w:sz w:val="32"/>
          <w:szCs w:val="32"/>
          <w:lang w:val="en-US" w:eastAsia="zh-CN"/>
        </w:rPr>
        <w:t>下乡以及其他业务活动增加，费用随之增加。经核实本单位车均运行维护费金额无误。</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39.80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Times New Roman"/>
          <w:sz w:val="32"/>
          <w:szCs w:val="32"/>
          <w:lang w:val="en-US" w:eastAsia="zh-CN"/>
        </w:rPr>
        <w:t>下乡以及其他业务活动</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13.16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Times New Roman"/>
          <w:sz w:val="32"/>
          <w:szCs w:val="32"/>
          <w:lang w:val="en-US" w:eastAsia="zh-CN"/>
        </w:rPr>
        <w:t>下乡以及其他业务活动和</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320" w:firstLineChars="100"/>
        <w:outlineLvl w:val="1"/>
        <w:rPr>
          <w:rStyle w:val="32"/>
          <w:rFonts w:ascii="Times New Roman" w:hAnsi="Times New Roman" w:eastAsia="黑体"/>
          <w:color w:val="auto"/>
          <w:highlight w:val="none"/>
        </w:rPr>
      </w:pPr>
      <w:bookmarkStart w:id="37" w:name="_Toc15377218"/>
      <w:bookmarkStart w:id="38" w:name="_Toc15396610"/>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7"/>
      <w:bookmarkEnd w:id="38"/>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9" w:name="_Toc15396611"/>
      <w:bookmarkStart w:id="40"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9"/>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1" w:name="_Toc15377221"/>
      <w:bookmarkStart w:id="42"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1"/>
      <w:bookmarkEnd w:id="4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2025年度壤塘县总工会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707.92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28.88</w:t>
      </w:r>
      <w:r>
        <w:rPr>
          <w:rFonts w:hint="eastAsia" w:ascii="Times New Roman" w:hAnsi="Times New Roman" w:eastAsia="仿宋_GB2312" w:cs="仿宋_GB2312"/>
          <w:color w:val="auto"/>
          <w:kern w:val="2"/>
          <w:sz w:val="32"/>
          <w:szCs w:val="32"/>
          <w:highlight w:val="none"/>
          <w:lang w:val="en-US" w:eastAsia="zh-CN" w:bidi="ar-SA"/>
        </w:rPr>
        <w:t>万元，增长 4.25%。主要原因是人员经费、公用经费标准调整，保障工会日常履职、职工活动开展等刚性支出增加。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壤塘县总工会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壤塘县总工会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下乡及开展活动</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Style w:val="17"/>
        <w:keepNext w:val="0"/>
        <w:keepLines w:val="0"/>
        <w:widowControl/>
        <w:suppressLineNumbers w:val="0"/>
        <w:spacing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 年，壤塘县总工会严格落实预算绩效管理各项规定，全面推进预算绩效管理工作，坚持绩效目标前置、过程监控、绩效自评闭环管理，切实提</w:t>
      </w:r>
      <w:r>
        <w:rPr>
          <w:rFonts w:hint="eastAsia" w:eastAsia="仿宋_GB2312" w:cs="仿宋_GB2312"/>
          <w:color w:val="auto"/>
          <w:kern w:val="2"/>
          <w:sz w:val="32"/>
          <w:szCs w:val="32"/>
          <w:highlight w:val="none"/>
          <w:lang w:val="en-US" w:eastAsia="zh-CN" w:bidi="ar-SA"/>
        </w:rPr>
        <w:t>高</w:t>
      </w:r>
      <w:r>
        <w:rPr>
          <w:rFonts w:hint="eastAsia" w:ascii="Times New Roman" w:hAnsi="Times New Roman" w:eastAsia="仿宋_GB2312" w:cs="仿宋_GB2312"/>
          <w:color w:val="auto"/>
          <w:kern w:val="2"/>
          <w:sz w:val="32"/>
          <w:szCs w:val="32"/>
          <w:highlight w:val="none"/>
          <w:lang w:val="en-US" w:eastAsia="zh-CN" w:bidi="ar-SA"/>
        </w:rPr>
        <w:t>财政资金使用效益。</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是强化绩效目标管理。所有纳入预算的项目资金均按要求编制绩效目标，做到绩效目标与预算同步申报、同步审核、同步批复，细化量化绩效指标，明确产出指标、效益指标、满意度指标，确保绩效目标可衡量、可考核。</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是做实绩效运行监控。在预算执行过程中，定期对项目绩效目标完成情况、资金支出进度开展跟踪监控，及时掌握项目实施进度和绩效实现情况，对执行偏差及时分析研判，督促加快资金拨付，规范资金使用，防范资金闲置低效问题。</w:t>
      </w:r>
    </w:p>
    <w:p>
      <w:pPr>
        <w:pStyle w:val="17"/>
        <w:keepNext w:val="0"/>
        <w:keepLines w:val="0"/>
        <w:widowControl/>
        <w:suppressLineNumbers w:val="0"/>
        <w:spacing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是开展绩效自评工作。年度终了，对预算安排的项目资金开展绩效自评，客观评价项目产出成效、社会效益，形成绩效自评报告。自评结果作为下一年度预算编制、资金安排的重要依据，做到绩效评价结果与预算安排挂钩。</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是健全绩效结果应用。针对绩效自评发现的薄弱环节，逐项落实整改措施，优化项目实施方案，完善管理制度，不断提升工会经费保障水平，保障职工维权、普惠服务、劳模慰问、基层工会建设等重点工作落地见效，切实发挥工会服务职工、服务基层职能作用。</w:t>
      </w:r>
    </w:p>
    <w:p>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bookmarkStart w:id="46" w:name="_Toc15377225"/>
      <w:bookmarkStart w:id="47"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1.财政拨款收入：指单位从同级财政部门取得的财政预算资金。</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4.其他收入：指单位取得的除上述收入以外的各项收入。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6.年初结转和结余：指以前年度尚未完成、结转到本年按有关规定继续使用的资金。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bookmarkStart w:id="48" w:name="_Toc15396614"/>
      <w:bookmarkStart w:id="49" w:name="_Toc15377226"/>
      <w:r>
        <w:rPr>
          <w:rFonts w:hint="eastAsia" w:ascii="仿宋_GB2312" w:hAnsi="仿宋_GB2312" w:eastAsia="仿宋_GB2312" w:cs="仿宋_GB2312"/>
          <w:kern w:val="2"/>
          <w:sz w:val="32"/>
          <w:szCs w:val="32"/>
          <w:lang w:val="en-US" w:eastAsia="zh-CN" w:bidi="ar-SA"/>
        </w:rPr>
        <w:t>9.一般公共服务：指反映政府提供一般公共服务的支出。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10.外交：指反映政府外交事务支出。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11.公共安全：指反映政府维护社会公共安全方面的支出。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12.教育：指反映政府教育事务支出。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13.科学技术：指反映科学技术方面的支出。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14.文化体育与传媒 ：指反映政府在文化、体育、文物、广播影视、新闻出版等方面的支出。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15.社会保障和就业：指反映政府在社会保障与就业方面的支出。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16.医疗卫生与计划生育：指反映医疗卫生与计划生育、中医等管理事务方面的支出。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17.节能环保：指反映政府节能环保支出。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18.城乡社区（类）：指反映政府城乡管理事务支出。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19.农林水：指反映政府农林水支出。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20.交通运输：指反映交通运输和邮政业务相关的支出。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21.资源勘探信息等：指反映用于资源勘探、制造业、建筑业、工业信息等方面的支出。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22.商业服务业：指反映商业服务等方面的支出。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23.金融：指反映金融方面的支出。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24.国土海洋气象：指反映政府用于国土资源、海洋、测绘、地震、气象等公益服务事业方面的支出。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25.住房保障：指集中反映政府用于住房方面的支出。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26.粮油物资储备：指反映政府用于粮油物资储备方面的支出。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27.基本支出：指为保障机构正常运转、完成日常工作任务而发生的人员支出和公用支出。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28.项目支出：指在基本支出之外为完成特定行政任务和事业发展目标所发生的支出。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29.经营支出：指事业单位在专业业务活动及其辅助活动之外开展非独立核算经营活动发生的支出。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ind w:firstLine="2640" w:firstLineChars="600"/>
        <w:jc w:val="both"/>
        <w:rPr>
          <w:rStyle w:val="31"/>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8"/>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60" w:lineRule="exact"/>
        <w:contextualSpacing/>
        <w:jc w:val="center"/>
        <w:rPr>
          <w:rFonts w:hint="default" w:ascii="方正小标宋_GBK" w:hAnsi="方正小标宋_GBK" w:eastAsia="方正小标宋_GBK" w:cs="方正小标宋_GBK"/>
          <w:b w:val="0"/>
          <w:bCs/>
          <w:sz w:val="44"/>
          <w:szCs w:val="44"/>
          <w:shd w:val="clear" w:color="auto" w:fill="FFFFFF"/>
          <w:lang w:val="en-US" w:eastAsia="zh-CN"/>
        </w:rPr>
      </w:pPr>
      <w:r>
        <w:rPr>
          <w:rFonts w:hint="eastAsia" w:ascii="方正小标宋_GBK" w:hAnsi="方正小标宋_GBK" w:eastAsia="方正小标宋_GBK" w:cs="方正小标宋_GBK"/>
          <w:b w:val="0"/>
          <w:bCs/>
          <w:sz w:val="44"/>
          <w:szCs w:val="44"/>
          <w:shd w:val="clear" w:color="auto" w:fill="FFFFFF"/>
          <w:lang w:eastAsia="zh-CN"/>
        </w:rPr>
        <w:t>壤塘县</w:t>
      </w:r>
      <w:r>
        <w:rPr>
          <w:rFonts w:hint="eastAsia" w:ascii="方正小标宋_GBK" w:hAnsi="方正小标宋_GBK" w:eastAsia="方正小标宋_GBK" w:cs="方正小标宋_GBK"/>
          <w:b w:val="0"/>
          <w:bCs/>
          <w:sz w:val="44"/>
          <w:szCs w:val="44"/>
          <w:shd w:val="clear" w:color="auto" w:fill="FFFFFF"/>
          <w:lang w:val="en-US" w:eastAsia="zh-CN"/>
        </w:rPr>
        <w:t>总工会</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eastAsia" w:ascii="方正小标宋_GBK" w:hAnsi="方正小标宋_GBK" w:eastAsia="方正小标宋_GBK" w:cs="方正小标宋_GBK"/>
          <w:b w:val="0"/>
          <w:bCs/>
          <w:sz w:val="44"/>
          <w:szCs w:val="44"/>
          <w:shd w:val="clear" w:color="auto" w:fill="FFFFFF"/>
        </w:rPr>
        <w:t>2</w:t>
      </w:r>
      <w:r>
        <w:rPr>
          <w:rFonts w:hint="eastAsia" w:ascii="方正小标宋_GBK" w:hAnsi="方正小标宋_GBK" w:eastAsia="方正小标宋_GBK" w:cs="方正小标宋_GBK"/>
          <w:b w:val="0"/>
          <w:bCs/>
          <w:sz w:val="44"/>
          <w:szCs w:val="44"/>
          <w:shd w:val="clear" w:color="auto" w:fill="FFFFFF"/>
          <w:lang w:val="en-US" w:eastAsia="zh-CN"/>
        </w:rPr>
        <w:t>025</w:t>
      </w:r>
      <w:r>
        <w:rPr>
          <w:rFonts w:hint="eastAsia" w:ascii="方正小标宋_GBK" w:hAnsi="方正小标宋_GBK" w:eastAsia="方正小标宋_GBK" w:cs="方正小标宋_GBK"/>
          <w:b w:val="0"/>
          <w:bCs/>
          <w:sz w:val="44"/>
          <w:szCs w:val="44"/>
          <w:shd w:val="clear" w:color="auto" w:fill="FFFFFF"/>
        </w:rPr>
        <w:t>年</w:t>
      </w:r>
      <w:r>
        <w:rPr>
          <w:rFonts w:hint="eastAsia" w:ascii="方正小标宋_GBK" w:hAnsi="方正小标宋_GBK" w:eastAsia="方正小标宋_GBK" w:cs="方正小标宋_GBK"/>
          <w:b w:val="0"/>
          <w:bCs/>
          <w:sz w:val="44"/>
          <w:szCs w:val="44"/>
          <w:shd w:val="clear" w:color="auto" w:fill="FFFFFF"/>
          <w:lang w:eastAsia="zh-CN"/>
        </w:rPr>
        <w:t>度</w:t>
      </w:r>
      <w:r>
        <w:rPr>
          <w:rFonts w:hint="eastAsia" w:ascii="方正小标宋_GBK" w:hAnsi="方正小标宋_GBK" w:eastAsia="方正小标宋_GBK" w:cs="方正小标宋_GBK"/>
          <w:b w:val="0"/>
          <w:bCs/>
          <w:sz w:val="44"/>
          <w:szCs w:val="44"/>
          <w:shd w:val="clear" w:color="auto" w:fill="FFFFFF"/>
        </w:rPr>
        <w:t>部门</w:t>
      </w:r>
      <w:r>
        <w:rPr>
          <w:rFonts w:hint="default" w:ascii="Times New Roman" w:hAnsi="Times New Roman" w:eastAsia="微软雅黑" w:cs="Times New Roman"/>
          <w:b w:val="0"/>
          <w:bCs/>
          <w:sz w:val="44"/>
          <w:szCs w:val="44"/>
          <w:highlight w:val="none"/>
          <w:shd w:val="clear" w:color="auto" w:fill="FFFFFF"/>
        </w:rPr>
        <w:t>部门</w:t>
      </w:r>
      <w:r>
        <w:rPr>
          <w:rFonts w:hint="default" w:ascii="Times New Roman" w:hAnsi="Times New Roman" w:eastAsia="微软雅黑" w:cs="Times New Roman"/>
          <w:b w:val="0"/>
          <w:bCs/>
          <w:sz w:val="44"/>
          <w:szCs w:val="44"/>
          <w:highlight w:val="none"/>
          <w:shd w:val="clear" w:color="auto" w:fill="FFFFFF"/>
          <w:lang w:eastAsia="zh-CN"/>
        </w:rPr>
        <w:t>预算</w:t>
      </w:r>
      <w:r>
        <w:rPr>
          <w:rFonts w:hint="default" w:ascii="Times New Roman" w:hAnsi="Times New Roman" w:eastAsia="微软雅黑" w:cs="Times New Roman"/>
          <w:b w:val="0"/>
          <w:bCs/>
          <w:sz w:val="44"/>
          <w:szCs w:val="44"/>
          <w:highlight w:val="none"/>
          <w:shd w:val="clear" w:color="auto" w:fill="FFFFFF"/>
        </w:rPr>
        <w:t>绩效</w:t>
      </w:r>
      <w:r>
        <w:rPr>
          <w:rFonts w:hint="eastAsia" w:ascii="Times New Roman" w:hAnsi="Times New Roman" w:eastAsia="微软雅黑" w:cs="Times New Roman"/>
          <w:b w:val="0"/>
          <w:bCs/>
          <w:sz w:val="44"/>
          <w:szCs w:val="44"/>
          <w:highlight w:val="none"/>
          <w:shd w:val="clear" w:color="auto" w:fill="FFFFFF"/>
          <w:lang w:eastAsia="zh-CN"/>
        </w:rPr>
        <w:t>评价</w:t>
      </w:r>
      <w:r>
        <w:rPr>
          <w:rFonts w:hint="default" w:ascii="Times New Roman" w:hAnsi="Times New Roman" w:eastAsia="微软雅黑"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widowControl/>
        <w:adjustRightInd w:val="0"/>
        <w:snapToGrid w:val="0"/>
        <w:spacing w:line="578" w:lineRule="exact"/>
        <w:ind w:firstLine="642" w:firstLineChars="200"/>
        <w:contextualSpacing/>
        <w:jc w:val="left"/>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一、部门（单位）基本情况</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color w:val="auto"/>
          <w:kern w:val="2"/>
          <w:sz w:val="32"/>
          <w:szCs w:val="32"/>
          <w:lang w:val="en-US"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bidi="ar-SA"/>
        </w:rPr>
        <w:t>（一）机构组成。</w:t>
      </w:r>
      <w:r>
        <w:rPr>
          <w:rFonts w:hint="eastAsia" w:ascii="仿宋_GB2312" w:hAnsi="仿宋_GB2312" w:eastAsia="仿宋_GB2312" w:cs="仿宋_GB2312"/>
          <w:color w:val="auto"/>
          <w:kern w:val="2"/>
          <w:sz w:val="32"/>
          <w:szCs w:val="32"/>
          <w:lang w:val="en-US" w:eastAsia="zh-CN" w:bidi="ar-SA"/>
        </w:rPr>
        <w:t>壤塘县总工会共有4个股室，办公室、保障股、女工委、事业股。</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（二）机构职能。</w:t>
      </w:r>
      <w:r>
        <w:rPr>
          <w:rFonts w:hint="eastAsia" w:ascii="仿宋_GB2312" w:hAnsi="仿宋_GB2312" w:eastAsia="仿宋_GB2312" w:cs="仿宋_GB2312"/>
          <w:color w:val="auto"/>
          <w:kern w:val="2"/>
          <w:sz w:val="32"/>
          <w:szCs w:val="32"/>
          <w:lang w:val="en-US" w:eastAsia="zh-CN" w:bidi="ar-SA"/>
        </w:rPr>
        <w:t>根据中国工会的性质和特点，维护职工权益是工会的基本职能。壤塘县总工会是全县各级工会的领导机关。县总工会机关的主要工作任务是:</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1.执行党的路线、方针、政策，根据州委、州总工会的部署，结合我县实际，确定工会工作的指导思想，目标和任务，领导全县工会工作，为基层工会开展工作营造外部环境。</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执行上级工会确定的工作目标要求，依照法律和章程，组织和指导各工会坚定不移地推动党的全心全意依靠工人阶级根本指导方针的贯彻落实，进一步突出和履行维护职能。通过维护，最大限度地保护、调动和调查处理。</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搞好调查研究和协调工作，为各级工会，提供理论政策服务;督促各级党政有关工会方面的政策的贯彻落实。贯彻执行工会的组织制度和民主制度，监督检查《中国工会章程》的贯彻执行;建立健全劳动关系，维护劳动权益的平等协商、集体合同制度和监督保证机制;指导基层工会协助党政不断提高职工思想道德和科学文化技术素质。</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4.协助党组织管理基层工会班子建设，监督、检查基层工会干部党风廉政建设情况。</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5.协助县委、县政府做好劳动模范的推荐评选和管理工作</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24" w:lineRule="atLeast"/>
        <w:ind w:left="0" w:right="0" w:firstLine="42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en-US" w:eastAsia="zh-CN" w:bidi="ar-SA"/>
        </w:rPr>
        <w:t>6.负责全县工会经费和资产的管理、审计工作，研究负责对全县职工劳动事业的指导与协调工作。</w:t>
      </w:r>
    </w:p>
    <w:p>
      <w:pPr>
        <w:keepNext w:val="0"/>
        <w:keepLines w:val="0"/>
        <w:pageBreakBefore w:val="0"/>
        <w:kinsoku/>
        <w:wordWrap/>
        <w:overflowPunct/>
        <w:topLinePunct w:val="0"/>
        <w:autoSpaceDE/>
        <w:autoSpaceDN/>
        <w:bidi w:val="0"/>
        <w:spacing w:beforeAutospacing="0" w:afterAutospacing="0" w:line="560" w:lineRule="exact"/>
        <w:ind w:left="0" w:leftChars="0" w:firstLine="803" w:firstLineChars="250"/>
        <w:jc w:val="both"/>
        <w:textAlignment w:val="auto"/>
        <w:rPr>
          <w:rFonts w:hint="default" w:ascii="仿宋_GB2312" w:hAnsi="仿宋_GB2312" w:eastAsia="仿宋_GB2312" w:cs="仿宋_GB2312"/>
          <w:color w:val="auto"/>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（三）人员概况。</w:t>
      </w:r>
      <w:r>
        <w:rPr>
          <w:rFonts w:hint="eastAsia" w:ascii="仿宋_GB2312" w:hAnsi="仿宋_GB2312" w:eastAsia="仿宋_GB2312" w:cs="仿宋_GB2312"/>
          <w:color w:val="auto"/>
          <w:kern w:val="2"/>
          <w:sz w:val="32"/>
          <w:szCs w:val="32"/>
          <w:lang w:val="en-US" w:eastAsia="zh-CN" w:bidi="ar-SA"/>
        </w:rPr>
        <w:t>截至2025年末，人员情况：总编制11名,其中:行政编制4人、事业编制6 人，专技1人。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pStyle w:val="38"/>
        <w:keepNext w:val="0"/>
        <w:keepLines w:val="0"/>
        <w:pageBreakBefore w:val="0"/>
        <w:kinsoku/>
        <w:wordWrap/>
        <w:overflowPunct/>
        <w:topLinePunct w:val="0"/>
        <w:autoSpaceDE/>
        <w:autoSpaceDN/>
        <w:bidi w:val="0"/>
        <w:spacing w:beforeAutospacing="0" w:afterAutospacing="0" w:line="560" w:lineRule="exact"/>
        <w:ind w:left="0" w:leftChars="0"/>
        <w:jc w:val="both"/>
        <w:textAlignment w:val="auto"/>
        <w:rPr>
          <w:rFonts w:hint="eastAsia" w:ascii="仿宋_GB2312" w:hAnsi="仿宋_GB2312" w:eastAsia="仿宋_GB2312" w:cs="仿宋_GB2312"/>
          <w:color w:val="auto"/>
          <w:sz w:val="32"/>
          <w:szCs w:val="32"/>
          <w:lang w:eastAsia="zh-CN"/>
        </w:rPr>
      </w:pPr>
      <w:r>
        <w:rPr>
          <w:rFonts w:ascii="Times New Roman" w:hAnsi="Times New Roman" w:eastAsia="楷体_GB2312" w:cs="Times New Roman"/>
          <w:b/>
          <w:bCs/>
          <w:color w:val="000000"/>
          <w:kern w:val="0"/>
          <w:sz w:val="32"/>
          <w:szCs w:val="32"/>
          <w:shd w:val="clear" w:color="auto" w:fill="FFFFFF"/>
          <w:lang w:val="zh-CN" w:eastAsia="zh-CN" w:bidi="ar-SA"/>
        </w:rPr>
        <w:t>（一）收入情况。</w:t>
      </w:r>
      <w:r>
        <w:rPr>
          <w:rFonts w:hint="eastAsia" w:ascii="仿宋_GB2312" w:hAnsi="仿宋_GB2312" w:eastAsia="仿宋_GB2312" w:cs="仿宋_GB2312"/>
          <w:color w:val="auto"/>
          <w:sz w:val="32"/>
          <w:szCs w:val="32"/>
          <w:lang w:eastAsia="zh-CN"/>
        </w:rPr>
        <w:t>2025年财政下达</w:t>
      </w:r>
      <w:r>
        <w:rPr>
          <w:rFonts w:hint="eastAsia" w:ascii="仿宋_GB2312" w:hAnsi="仿宋_GB2312" w:eastAsia="仿宋_GB2312" w:cs="仿宋_GB2312"/>
          <w:color w:val="auto"/>
          <w:sz w:val="32"/>
          <w:szCs w:val="32"/>
          <w:lang w:val="en-US" w:eastAsia="zh-CN"/>
        </w:rPr>
        <w:t>壤塘县总工会</w:t>
      </w:r>
      <w:r>
        <w:rPr>
          <w:rFonts w:hint="eastAsia" w:ascii="仿宋_GB2312" w:hAnsi="仿宋_GB2312" w:eastAsia="仿宋_GB2312" w:cs="仿宋_GB2312"/>
          <w:color w:val="auto"/>
          <w:sz w:val="32"/>
          <w:szCs w:val="32"/>
          <w:lang w:eastAsia="zh-CN"/>
        </w:rPr>
        <w:t>年初预算收入</w:t>
      </w:r>
      <w:r>
        <w:rPr>
          <w:rFonts w:hint="eastAsia" w:ascii="仿宋_GB2312" w:hAnsi="仿宋_GB2312" w:eastAsia="仿宋_GB2312" w:cs="仿宋_GB2312"/>
          <w:color w:val="auto"/>
          <w:sz w:val="32"/>
          <w:szCs w:val="32"/>
          <w:lang w:val="en-US" w:eastAsia="zh-CN"/>
        </w:rPr>
        <w:t>238.76</w:t>
      </w:r>
      <w:r>
        <w:rPr>
          <w:rFonts w:hint="eastAsia" w:ascii="仿宋_GB2312" w:hAnsi="仿宋_GB2312" w:eastAsia="仿宋_GB2312" w:cs="仿宋_GB2312"/>
          <w:color w:val="auto"/>
          <w:sz w:val="32"/>
          <w:szCs w:val="32"/>
          <w:lang w:eastAsia="zh-CN"/>
        </w:rPr>
        <w:t>万元，执行期中追加收入</w:t>
      </w:r>
      <w:r>
        <w:rPr>
          <w:rFonts w:hint="eastAsia" w:ascii="仿宋_GB2312" w:hAnsi="仿宋_GB2312" w:eastAsia="仿宋_GB2312" w:cs="仿宋_GB2312"/>
          <w:color w:val="auto"/>
          <w:sz w:val="32"/>
          <w:szCs w:val="32"/>
          <w:lang w:val="en-US" w:eastAsia="zh-CN"/>
        </w:rPr>
        <w:t>998.7</w:t>
      </w:r>
      <w:r>
        <w:rPr>
          <w:rFonts w:hint="eastAsia" w:ascii="仿宋_GB2312" w:hAnsi="仿宋_GB2312" w:eastAsia="仿宋_GB2312" w:cs="仿宋_GB2312"/>
          <w:color w:val="auto"/>
          <w:sz w:val="32"/>
          <w:szCs w:val="32"/>
          <w:lang w:eastAsia="zh-CN"/>
        </w:rPr>
        <w:t>万元，</w:t>
      </w:r>
      <w:r>
        <w:rPr>
          <w:rFonts w:hint="eastAsia" w:ascii="仿宋_GB2312" w:hAnsi="仿宋_GB2312" w:eastAsia="仿宋_GB2312" w:cs="仿宋_GB2312"/>
          <w:color w:val="auto"/>
          <w:sz w:val="32"/>
          <w:szCs w:val="32"/>
          <w:lang w:val="en-US" w:eastAsia="zh-CN"/>
        </w:rPr>
        <w:t>本年度总收入合计1237.46万元，本年度无结转结余</w:t>
      </w:r>
      <w:r>
        <w:rPr>
          <w:rFonts w:hint="eastAsia" w:ascii="仿宋_GB2312" w:hAnsi="仿宋_GB2312" w:eastAsia="仿宋_GB2312" w:cs="仿宋_GB2312"/>
          <w:color w:val="auto"/>
          <w:sz w:val="32"/>
          <w:szCs w:val="32"/>
          <w:lang w:eastAsia="zh-CN"/>
        </w:rPr>
        <w:t>。</w:t>
      </w:r>
    </w:p>
    <w:p>
      <w:pPr>
        <w:pStyle w:val="38"/>
        <w:keepNext w:val="0"/>
        <w:keepLines w:val="0"/>
        <w:pageBreakBefore w:val="0"/>
        <w:kinsoku/>
        <w:wordWrap/>
        <w:overflowPunct/>
        <w:topLinePunct w:val="0"/>
        <w:autoSpaceDE/>
        <w:autoSpaceDN/>
        <w:bidi w:val="0"/>
        <w:spacing w:beforeAutospacing="0" w:afterAutospacing="0" w:line="560" w:lineRule="exact"/>
        <w:ind w:left="0" w:leftChars="0"/>
        <w:jc w:val="both"/>
        <w:textAlignment w:val="auto"/>
        <w:rPr>
          <w:rFonts w:hint="default" w:ascii="仿宋_GB2312" w:hAnsi="仿宋_GB2312" w:eastAsia="仿宋_GB2312" w:cs="仿宋_GB2312"/>
          <w:b/>
          <w:bCs/>
          <w:color w:val="auto"/>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eastAsia="zh-CN" w:bidi="ar-SA"/>
        </w:rPr>
        <w:t>（二）支出情况</w:t>
      </w:r>
      <w:r>
        <w:rPr>
          <w:rFonts w:eastAsia="楷体_GB2312"/>
          <w:b/>
          <w:bCs/>
          <w:color w:val="000000"/>
          <w:kern w:val="0"/>
          <w:szCs w:val="32"/>
          <w:shd w:val="clear" w:color="auto" w:fill="FFFFFF"/>
          <w:lang w:val="zh-CN"/>
        </w:rPr>
        <w:t>。</w:t>
      </w:r>
      <w:r>
        <w:rPr>
          <w:rFonts w:hint="eastAsia" w:ascii="仿宋_GB2312" w:hAnsi="仿宋_GB2312" w:eastAsia="仿宋_GB2312" w:cs="仿宋_GB2312"/>
          <w:color w:val="auto"/>
          <w:sz w:val="32"/>
          <w:szCs w:val="32"/>
          <w:lang w:eastAsia="zh-CN"/>
        </w:rPr>
        <w:t>2025年壤塘县总工会共计</w:t>
      </w:r>
      <w:r>
        <w:rPr>
          <w:rFonts w:hint="eastAsia" w:ascii="仿宋_GB2312" w:hAnsi="仿宋_GB2312" w:eastAsia="仿宋_GB2312" w:cs="仿宋_GB2312"/>
          <w:color w:val="auto"/>
          <w:sz w:val="32"/>
          <w:szCs w:val="32"/>
          <w:lang w:val="en-US" w:eastAsia="zh-CN"/>
        </w:rPr>
        <w:t>预</w:t>
      </w:r>
      <w:r>
        <w:rPr>
          <w:rFonts w:hint="eastAsia" w:ascii="仿宋_GB2312" w:hAnsi="仿宋_GB2312" w:eastAsia="仿宋_GB2312" w:cs="仿宋_GB2312"/>
          <w:color w:val="auto"/>
          <w:sz w:val="32"/>
          <w:szCs w:val="32"/>
          <w:lang w:eastAsia="zh-CN"/>
        </w:rPr>
        <w:t>算支出</w:t>
      </w:r>
      <w:r>
        <w:rPr>
          <w:rFonts w:hint="eastAsia" w:ascii="仿宋_GB2312" w:hAnsi="仿宋_GB2312" w:eastAsia="仿宋_GB2312" w:cs="仿宋_GB2312"/>
          <w:color w:val="auto"/>
          <w:sz w:val="32"/>
          <w:szCs w:val="32"/>
          <w:lang w:val="en-US" w:eastAsia="zh-CN"/>
        </w:rPr>
        <w:t>1237.46</w:t>
      </w:r>
      <w:r>
        <w:rPr>
          <w:rFonts w:hint="eastAsia" w:ascii="仿宋_GB2312" w:hAnsi="仿宋_GB2312" w:eastAsia="仿宋_GB2312" w:cs="仿宋_GB2312"/>
          <w:color w:val="auto"/>
          <w:sz w:val="32"/>
          <w:szCs w:val="32"/>
          <w:lang w:eastAsia="zh-CN"/>
        </w:rPr>
        <w:t>万元，基本支出</w:t>
      </w:r>
      <w:r>
        <w:rPr>
          <w:rFonts w:hint="eastAsia" w:ascii="仿宋_GB2312" w:hAnsi="仿宋_GB2312" w:eastAsia="仿宋_GB2312" w:cs="仿宋_GB2312"/>
          <w:color w:val="auto"/>
          <w:sz w:val="32"/>
          <w:szCs w:val="32"/>
          <w:lang w:val="en-US" w:eastAsia="zh-CN"/>
        </w:rPr>
        <w:t>940.74</w:t>
      </w:r>
      <w:r>
        <w:rPr>
          <w:rFonts w:hint="eastAsia" w:ascii="仿宋_GB2312" w:hAnsi="仿宋_GB2312" w:eastAsia="仿宋_GB2312" w:cs="仿宋_GB2312"/>
          <w:color w:val="auto"/>
          <w:sz w:val="32"/>
          <w:szCs w:val="32"/>
          <w:lang w:eastAsia="zh-CN"/>
        </w:rPr>
        <w:t>万元，项目支出</w:t>
      </w:r>
      <w:r>
        <w:rPr>
          <w:rFonts w:hint="eastAsia" w:ascii="仿宋_GB2312" w:hAnsi="仿宋_GB2312" w:eastAsia="仿宋_GB2312" w:cs="仿宋_GB2312"/>
          <w:color w:val="auto"/>
          <w:sz w:val="32"/>
          <w:szCs w:val="32"/>
          <w:lang w:val="en-US" w:eastAsia="zh-CN"/>
        </w:rPr>
        <w:t>296.25</w:t>
      </w:r>
      <w:r>
        <w:rPr>
          <w:rFonts w:hint="eastAsia" w:ascii="仿宋_GB2312" w:hAnsi="仿宋_GB2312" w:eastAsia="仿宋_GB2312" w:cs="仿宋_GB2312"/>
          <w:color w:val="auto"/>
          <w:sz w:val="32"/>
          <w:szCs w:val="32"/>
          <w:lang w:eastAsia="zh-CN"/>
        </w:rPr>
        <w:t>万</w:t>
      </w:r>
      <w:r>
        <w:rPr>
          <w:rFonts w:hint="eastAsia" w:ascii="仿宋_GB2312" w:hAnsi="仿宋_GB2312" w:eastAsia="仿宋_GB2312" w:cs="仿宋_GB2312"/>
          <w:color w:val="auto"/>
          <w:sz w:val="32"/>
          <w:szCs w:val="32"/>
          <w:lang w:val="en-US" w:eastAsia="zh-CN"/>
        </w:rPr>
        <w:t>元。</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hint="eastAsia" w:ascii="仿宋_GB2312" w:hAnsi="仿宋_GB2312" w:eastAsia="仿宋_GB2312" w:cs="仿宋_GB2312"/>
          <w:color w:val="auto"/>
          <w:kern w:val="0"/>
          <w:sz w:val="32"/>
          <w:szCs w:val="32"/>
          <w:lang w:val="en-US" w:eastAsia="zh-CN" w:bidi="ar"/>
        </w:rPr>
      </w:pPr>
      <w:r>
        <w:rPr>
          <w:rFonts w:ascii="Times New Roman" w:hAnsi="Times New Roman" w:eastAsia="楷体_GB2312" w:cs="Times New Roman"/>
          <w:b/>
          <w:bCs/>
          <w:color w:val="000000"/>
          <w:kern w:val="0"/>
          <w:sz w:val="32"/>
          <w:szCs w:val="32"/>
          <w:shd w:val="clear" w:color="auto" w:fill="FFFFFF"/>
          <w:lang w:val="zh-CN" w:eastAsia="zh-CN" w:bidi="ar-SA"/>
        </w:rPr>
        <w:t>（三）结余分配和结转结余情况。</w:t>
      </w:r>
      <w:r>
        <w:rPr>
          <w:rFonts w:hint="eastAsia" w:ascii="仿宋_GB2312" w:hAnsi="仿宋_GB2312" w:eastAsia="仿宋_GB2312" w:cs="仿宋_GB2312"/>
          <w:color w:val="auto"/>
          <w:kern w:val="0"/>
          <w:sz w:val="32"/>
          <w:szCs w:val="32"/>
          <w:lang w:val="en-US" w:eastAsia="zh-CN" w:bidi="ar"/>
        </w:rPr>
        <w:t>2025年财政下达壤塘县总工会年初预算收入</w:t>
      </w:r>
      <w:r>
        <w:rPr>
          <w:rFonts w:hint="eastAsia" w:ascii="仿宋_GB2312" w:hAnsi="仿宋_GB2312" w:eastAsia="仿宋_GB2312" w:cs="仿宋_GB2312"/>
          <w:color w:val="auto"/>
          <w:sz w:val="32"/>
          <w:szCs w:val="32"/>
          <w:lang w:val="en-US" w:eastAsia="zh-CN"/>
        </w:rPr>
        <w:t>238.76</w:t>
      </w:r>
      <w:r>
        <w:rPr>
          <w:rFonts w:hint="eastAsia" w:ascii="仿宋_GB2312" w:hAnsi="仿宋_GB2312" w:eastAsia="仿宋_GB2312" w:cs="仿宋_GB2312"/>
          <w:color w:val="auto"/>
          <w:kern w:val="0"/>
          <w:sz w:val="32"/>
          <w:szCs w:val="32"/>
          <w:lang w:val="en-US" w:eastAsia="zh-CN" w:bidi="ar"/>
        </w:rPr>
        <w:t>万元，执行期中追加收入</w:t>
      </w:r>
      <w:r>
        <w:rPr>
          <w:rFonts w:hint="eastAsia" w:ascii="仿宋_GB2312" w:hAnsi="仿宋_GB2312" w:eastAsia="仿宋_GB2312" w:cs="仿宋_GB2312"/>
          <w:color w:val="auto"/>
          <w:sz w:val="32"/>
          <w:szCs w:val="32"/>
          <w:lang w:val="en-US" w:eastAsia="zh-CN"/>
        </w:rPr>
        <w:t>998.7</w:t>
      </w:r>
      <w:r>
        <w:rPr>
          <w:rFonts w:hint="eastAsia" w:ascii="仿宋_GB2312" w:hAnsi="仿宋_GB2312" w:eastAsia="仿宋_GB2312" w:cs="仿宋_GB2312"/>
          <w:color w:val="auto"/>
          <w:kern w:val="0"/>
          <w:sz w:val="32"/>
          <w:szCs w:val="32"/>
          <w:lang w:val="en-US" w:eastAsia="zh-CN" w:bidi="ar"/>
        </w:rPr>
        <w:t>万元。年末无结转结余，单位执行进度为100%，达到预期目标。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（一）部门预算总体绩效分析。</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hint="eastAsia" w:ascii="仿宋_GB2312" w:hAnsi="仿宋_GB2312" w:eastAsia="仿宋_GB2312" w:cs="仿宋_GB2312"/>
          <w:sz w:val="32"/>
          <w:szCs w:val="32"/>
        </w:rPr>
      </w:pPr>
      <w:r>
        <w:rPr>
          <w:rFonts w:ascii="Times New Roman" w:hAnsi="Times New Roman" w:eastAsia="楷体_GB2312" w:cs="Times New Roman"/>
          <w:b/>
          <w:bCs/>
          <w:color w:val="000000"/>
          <w:kern w:val="0"/>
          <w:sz w:val="32"/>
          <w:szCs w:val="32"/>
          <w:shd w:val="clear" w:color="auto" w:fill="FFFFFF"/>
          <w:lang w:val="zh-CN" w:eastAsia="zh-CN" w:bidi="ar-SA"/>
        </w:rPr>
        <w:t>1.履职效能</w:t>
      </w:r>
      <w:r>
        <w:rPr>
          <w:rFonts w:hint="eastAsia" w:ascii="Times New Roman" w:hAnsi="Times New Roman" w:eastAsia="楷体_GB2312" w:cs="Times New Roman"/>
          <w:b/>
          <w:bCs/>
          <w:color w:val="000000"/>
          <w:kern w:val="0"/>
          <w:sz w:val="32"/>
          <w:szCs w:val="32"/>
          <w:shd w:val="clear" w:color="auto" w:fill="FFFFFF"/>
          <w:lang w:val="zh-CN" w:eastAsia="zh-CN" w:bidi="ar-SA"/>
        </w:rPr>
        <w:t>。</w:t>
      </w:r>
      <w:r>
        <w:rPr>
          <w:rFonts w:hint="eastAsia" w:ascii="仿宋_GB2312" w:hAnsi="仿宋_GB2312" w:eastAsia="仿宋_GB2312" w:cs="仿宋_GB2312"/>
          <w:sz w:val="32"/>
          <w:szCs w:val="32"/>
        </w:rPr>
        <w:t>壤塘县</w:t>
      </w:r>
      <w:r>
        <w:rPr>
          <w:rFonts w:hint="eastAsia" w:ascii="仿宋_GB2312" w:hAnsi="仿宋_GB2312" w:eastAsia="仿宋_GB2312" w:cs="仿宋_GB2312"/>
          <w:color w:val="auto"/>
          <w:kern w:val="0"/>
          <w:sz w:val="32"/>
          <w:szCs w:val="32"/>
          <w:lang w:val="zh-CN" w:eastAsia="zh-CN" w:bidi="ar"/>
        </w:rPr>
        <w:t>总工会紧紧围绕县委、县政府中心工作，在州总工会悉心指导与大力支持下，立足职能职责、聚焦职工急难愁盼，扎实推进维权服务、困难帮扶、普惠保障、基层工会建设等重点工作，用心用情做好联系服务职工工作，切实当好职工“娘家人”。稳步抓实职工文体活动、劳动技能竞赛、劳模宣传等工作，高标准推进普惠服务提质增效，全力抓好工会阵地建设，切实以实干实效服务民生大局</w:t>
      </w:r>
      <w:r>
        <w:rPr>
          <w:rFonts w:hint="eastAsia" w:ascii="仿宋_GB2312" w:hAnsi="仿宋_GB2312" w:eastAsia="仿宋_GB2312" w:cs="仿宋_GB2312"/>
          <w:sz w:val="32"/>
          <w:szCs w:val="32"/>
        </w:rPr>
        <w:t>。</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hint="eastAsia" w:ascii="仿宋_GB2312" w:hAnsi="仿宋_GB2312" w:eastAsia="仿宋_GB2312" w:cs="仿宋_GB2312"/>
          <w:sz w:val="32"/>
          <w:szCs w:val="32"/>
        </w:rPr>
      </w:pPr>
      <w:r>
        <w:rPr>
          <w:rFonts w:ascii="Times New Roman" w:hAnsi="Times New Roman" w:eastAsia="楷体_GB2312" w:cs="Times New Roman"/>
          <w:b/>
          <w:bCs/>
          <w:color w:val="000000"/>
          <w:kern w:val="0"/>
          <w:sz w:val="32"/>
          <w:szCs w:val="32"/>
          <w:shd w:val="clear" w:color="auto" w:fill="FFFFFF"/>
          <w:lang w:val="zh-CN" w:eastAsia="zh-CN" w:bidi="ar-SA"/>
        </w:rPr>
        <w:t>2.预算管理。</w:t>
      </w:r>
      <w:r>
        <w:rPr>
          <w:rFonts w:hint="eastAsia" w:ascii="仿宋_GB2312" w:hAnsi="仿宋_GB2312" w:eastAsia="仿宋_GB2312" w:cs="仿宋_GB2312"/>
          <w:sz w:val="32"/>
          <w:szCs w:val="32"/>
        </w:rPr>
        <w:t>2025年，壤塘县</w:t>
      </w:r>
      <w:r>
        <w:rPr>
          <w:rFonts w:hint="eastAsia" w:ascii="仿宋_GB2312" w:hAnsi="仿宋_GB2312" w:eastAsia="仿宋_GB2312" w:cs="仿宋_GB2312"/>
          <w:color w:val="auto"/>
          <w:kern w:val="0"/>
          <w:sz w:val="32"/>
          <w:szCs w:val="32"/>
          <w:lang w:val="zh-CN" w:eastAsia="zh-CN" w:bidi="ar"/>
        </w:rPr>
        <w:t>总工会</w:t>
      </w:r>
      <w:r>
        <w:rPr>
          <w:rFonts w:hint="eastAsia" w:ascii="仿宋_GB2312" w:hAnsi="仿宋_GB2312" w:eastAsia="仿宋_GB2312" w:cs="仿宋_GB2312"/>
          <w:sz w:val="32"/>
          <w:szCs w:val="32"/>
        </w:rPr>
        <w:t>严格规范开展预算管理工作，本年度年初核定预算</w:t>
      </w:r>
      <w:r>
        <w:rPr>
          <w:rFonts w:hint="eastAsia" w:ascii="仿宋_GB2312" w:hAnsi="仿宋_GB2312" w:eastAsia="仿宋_GB2312" w:cs="仿宋_GB2312"/>
          <w:color w:val="auto"/>
          <w:sz w:val="32"/>
          <w:szCs w:val="32"/>
          <w:lang w:val="en-US" w:eastAsia="zh-CN"/>
        </w:rPr>
        <w:t>238.76</w:t>
      </w:r>
      <w:r>
        <w:rPr>
          <w:rFonts w:hint="eastAsia" w:ascii="仿宋_GB2312" w:hAnsi="仿宋_GB2312" w:eastAsia="仿宋_GB2312" w:cs="仿宋_GB2312"/>
          <w:sz w:val="32"/>
          <w:szCs w:val="32"/>
        </w:rPr>
        <w:t>万元。工作推进期间结合实际业务开展需求与工作部署，依规追加收入</w:t>
      </w:r>
      <w:r>
        <w:rPr>
          <w:rFonts w:hint="eastAsia" w:ascii="仿宋_GB2312" w:hAnsi="仿宋_GB2312" w:eastAsia="仿宋_GB2312" w:cs="仿宋_GB2312"/>
          <w:color w:val="auto"/>
          <w:sz w:val="32"/>
          <w:szCs w:val="32"/>
          <w:lang w:val="en-US" w:eastAsia="zh-CN"/>
        </w:rPr>
        <w:t>998.7</w:t>
      </w:r>
      <w:r>
        <w:rPr>
          <w:rFonts w:hint="eastAsia" w:ascii="仿宋_GB2312" w:hAnsi="仿宋_GB2312" w:eastAsia="仿宋_GB2312" w:cs="仿宋_GB2312"/>
          <w:sz w:val="32"/>
          <w:szCs w:val="32"/>
        </w:rPr>
        <w:t>万元，调整后全年预算共计</w:t>
      </w:r>
      <w:r>
        <w:rPr>
          <w:rFonts w:hint="eastAsia" w:ascii="仿宋_GB2312" w:hAnsi="仿宋_GB2312" w:eastAsia="仿宋_GB2312" w:cs="仿宋_GB2312"/>
          <w:color w:val="auto"/>
          <w:sz w:val="32"/>
          <w:szCs w:val="32"/>
          <w:lang w:val="en-US" w:eastAsia="zh-CN"/>
        </w:rPr>
        <w:t>1237.46</w:t>
      </w:r>
      <w:r>
        <w:rPr>
          <w:rFonts w:hint="eastAsia" w:ascii="仿宋_GB2312" w:hAnsi="仿宋_GB2312" w:eastAsia="仿宋_GB2312" w:cs="仿宋_GB2312"/>
          <w:sz w:val="32"/>
          <w:szCs w:val="32"/>
        </w:rPr>
        <w:t>万元。单位预算编制贴合实际、统筹科学，资金测算精准合理，预算安排科学性与实用性较强。</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eastAsia="楷体_GB2312"/>
          <w:color w:val="FF0000"/>
          <w:kern w:val="0"/>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eastAsia="zh-CN" w:bidi="ar-SA"/>
        </w:rPr>
        <w:t>3.财务管理。</w:t>
      </w:r>
      <w:r>
        <w:rPr>
          <w:rFonts w:hint="eastAsia" w:ascii="仿宋_GB2312" w:hAnsi="仿宋_GB2312" w:eastAsia="仿宋_GB2312" w:cs="仿宋_GB2312"/>
          <w:sz w:val="32"/>
          <w:szCs w:val="32"/>
        </w:rPr>
        <w:t>壤塘县</w:t>
      </w:r>
      <w:r>
        <w:rPr>
          <w:rFonts w:hint="eastAsia" w:ascii="仿宋_GB2312" w:hAnsi="仿宋_GB2312" w:eastAsia="仿宋_GB2312" w:cs="仿宋_GB2312"/>
          <w:color w:val="auto"/>
          <w:kern w:val="0"/>
          <w:sz w:val="32"/>
          <w:szCs w:val="32"/>
          <w:lang w:val="zh-CN" w:eastAsia="zh-CN" w:bidi="ar"/>
        </w:rPr>
        <w:t>总工会</w:t>
      </w:r>
      <w:r>
        <w:rPr>
          <w:rFonts w:hint="eastAsia" w:ascii="仿宋_GB2312" w:hAnsi="仿宋_GB2312" w:eastAsia="仿宋_GB2312" w:cs="仿宋_GB2312"/>
          <w:sz w:val="32"/>
          <w:szCs w:val="32"/>
        </w:rPr>
        <w:t>财务制度体系架构完整、各项管理制度健全完善，财务岗位设置科学合理、权责划分清晰。日常严格</w:t>
      </w:r>
      <w:r>
        <w:rPr>
          <w:rFonts w:hint="eastAsia" w:ascii="仿宋_GB2312" w:hAnsi="仿宋_GB2312" w:eastAsia="仿宋_GB2312" w:cs="仿宋_GB2312"/>
          <w:sz w:val="32"/>
          <w:szCs w:val="32"/>
          <w:lang w:val="en-US" w:eastAsia="zh-CN"/>
        </w:rPr>
        <w:t>严肃</w:t>
      </w:r>
      <w:r>
        <w:rPr>
          <w:rFonts w:hint="eastAsia" w:ascii="仿宋_GB2312" w:hAnsi="仿宋_GB2312" w:eastAsia="仿宋_GB2312" w:cs="仿宋_GB2312"/>
          <w:sz w:val="32"/>
          <w:szCs w:val="32"/>
        </w:rPr>
        <w:t>财经纪律，筑牢财务合规运行底线，各类资金拨付、使用流程规范严谨，账务处理依规有序，财务管理整体运行规范有序，</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ascii="Times New Roman" w:hAnsi="Times New Roman" w:eastAsia="楷体_GB2312" w:cs="Times New Roman"/>
          <w:b/>
          <w:bCs/>
          <w:color w:val="000000"/>
          <w:kern w:val="0"/>
          <w:sz w:val="32"/>
          <w:szCs w:val="32"/>
          <w:shd w:val="clear" w:color="auto" w:fill="FFFFFF"/>
          <w:lang w:val="zh-CN" w:eastAsia="zh-CN" w:bidi="ar-SA"/>
        </w:rPr>
        <w:t>4.资产管理。</w:t>
      </w:r>
      <w:r>
        <w:rPr>
          <w:rFonts w:hint="eastAsia" w:ascii="仿宋_GB2312" w:hAnsi="仿宋_GB2312" w:eastAsia="仿宋_GB2312" w:cs="仿宋_GB2312"/>
          <w:color w:val="auto"/>
          <w:kern w:val="0"/>
          <w:sz w:val="32"/>
          <w:szCs w:val="32"/>
          <w:lang w:val="en-US" w:eastAsia="zh-CN" w:bidi="ar"/>
        </w:rPr>
        <w:t>固定资产在用率。截至2025年12月31日，壤塘县总工会《行政单位资产管理系统》固定资产总计39.8万元，在用的固定资产总计39.8万元，固定资产在用率达100%。</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ascii="Times New Roman" w:hAnsi="Times New Roman" w:eastAsia="楷体_GB2312" w:cs="Times New Roman"/>
          <w:b/>
          <w:bCs/>
          <w:color w:val="000000"/>
          <w:kern w:val="0"/>
          <w:sz w:val="32"/>
          <w:szCs w:val="32"/>
          <w:shd w:val="clear" w:color="auto" w:fill="FFFFFF"/>
          <w:lang w:val="zh-CN" w:eastAsia="zh-CN" w:bidi="ar-SA"/>
        </w:rPr>
        <w:t>5.采购管理。</w:t>
      </w:r>
      <w:r>
        <w:rPr>
          <w:rFonts w:hint="eastAsia" w:ascii="仿宋_GB2312" w:hAnsi="仿宋_GB2312" w:eastAsia="仿宋_GB2312" w:cs="仿宋_GB2312"/>
          <w:color w:val="auto"/>
          <w:kern w:val="0"/>
          <w:sz w:val="32"/>
          <w:szCs w:val="32"/>
          <w:lang w:val="en-US" w:eastAsia="zh-CN" w:bidi="ar"/>
        </w:rPr>
        <w:t>采购规范性。壤塘县总工会2025年度“政府采购”经费支出为0.00万元。</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eastAsia="仿宋_GB2312" w:cs="仿宋_GB2312"/>
          <w:color w:val="auto"/>
          <w:kern w:val="0"/>
          <w:sz w:val="32"/>
          <w:szCs w:val="32"/>
          <w:lang w:val="zh-C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仿宋_GB2312" w:hAnsi="仿宋_GB2312" w:eastAsia="仿宋_GB2312" w:cs="仿宋_GB2312"/>
          <w:color w:val="auto"/>
          <w:kern w:val="0"/>
          <w:sz w:val="32"/>
          <w:szCs w:val="32"/>
          <w:lang w:val="zh-CN" w:eastAsia="zh-CN" w:bidi="ar"/>
        </w:rPr>
        <w:t>2025年，职工一、二食堂食材采购及劳务服务项目为单位重点实施项目，主要用于保障职工一、二食堂日常食材供应与劳务人员薪酬支出。项目各环节推进规范有序、各项工作落实到位，具体情况如下：</w:t>
      </w:r>
      <w:r>
        <w:rPr>
          <w:rFonts w:hint="eastAsia" w:ascii="仿宋_GB2312" w:hAnsi="仿宋_GB2312" w:cs="仿宋_GB2312"/>
          <w:color w:val="auto"/>
          <w:kern w:val="0"/>
          <w:sz w:val="32"/>
          <w:szCs w:val="32"/>
          <w:lang w:val="en-US" w:eastAsia="zh-CN" w:bidi="ar"/>
        </w:rPr>
        <w:t xml:space="preserve">  </w:t>
      </w:r>
      <w:r>
        <w:rPr>
          <w:rFonts w:hint="default" w:ascii="Times New Roman" w:hAnsi="Times New Roman" w:eastAsia="楷体_GB2312" w:cs="Times New Roman"/>
          <w:b/>
          <w:bCs/>
          <w:color w:val="000000"/>
          <w:kern w:val="0"/>
          <w:sz w:val="32"/>
          <w:szCs w:val="32"/>
          <w:highlight w:val="none"/>
          <w:shd w:val="clear" w:color="auto" w:fill="FFFFFF"/>
          <w:lang w:val="zh-CN"/>
        </w:rPr>
        <w:t>1.项目决策。</w:t>
      </w:r>
      <w:r>
        <w:rPr>
          <w:rFonts w:hint="eastAsia" w:ascii="仿宋_GB2312" w:hAnsi="仿宋_GB2312" w:eastAsia="仿宋_GB2312" w:cs="仿宋_GB2312"/>
          <w:color w:val="auto"/>
          <w:kern w:val="0"/>
          <w:sz w:val="32"/>
          <w:szCs w:val="32"/>
          <w:lang w:val="zh-CN" w:eastAsia="zh-CN" w:bidi="ar"/>
        </w:rPr>
        <w:t>职工食堂相关项目严格遵照标准化决策流程开展工作，完整落实审批、公示等关键流程，全程程序合规、操作流程规范。项目前期经过充分调研研判，结合职工就餐人数、日常用餐标准、市场物价行情开展规划论证，绩效目标设定贴合食堂运营实际情况，按标准完成项目储备入库流程，保障项目立项有据可依、后续开展方向清晰</w:t>
      </w:r>
      <w:r>
        <w:rPr>
          <w:rFonts w:hint="eastAsia" w:ascii="仿宋_GB2312" w:hAnsi="仿宋_GB2312" w:cs="仿宋_GB2312"/>
          <w:color w:val="auto"/>
          <w:kern w:val="0"/>
          <w:sz w:val="32"/>
          <w:szCs w:val="32"/>
          <w:lang w:val="zh-CN" w:eastAsia="zh-CN" w:bidi="ar"/>
        </w:rPr>
        <w:t>，</w:t>
      </w:r>
      <w:r>
        <w:rPr>
          <w:rFonts w:hint="eastAsia" w:ascii="仿宋_GB2312" w:hAnsi="仿宋_GB2312" w:eastAsia="仿宋_GB2312" w:cs="仿宋_GB2312"/>
          <w:color w:val="auto"/>
          <w:kern w:val="0"/>
          <w:sz w:val="32"/>
          <w:szCs w:val="32"/>
          <w:lang w:val="zh-CN" w:eastAsia="zh-CN" w:bidi="ar"/>
        </w:rPr>
        <w:t>资金使用方向紧扣后勤保障、职工福利提升的工作要求，既契合财政资金使用管理相关政策条例，又充分匹配全县职工日常就餐的现实需求，为项目平稳高效推进筑牢基础，此项共计得分</w:t>
      </w:r>
      <w:r>
        <w:rPr>
          <w:rFonts w:hint="eastAsia" w:ascii="仿宋_GB2312" w:hAnsi="仿宋_GB2312" w:cs="仿宋_GB2312"/>
          <w:color w:val="auto"/>
          <w:kern w:val="0"/>
          <w:sz w:val="32"/>
          <w:szCs w:val="32"/>
          <w:lang w:val="en-US" w:eastAsia="zh-CN" w:bidi="ar"/>
        </w:rPr>
        <w:t>11</w:t>
      </w:r>
      <w:r>
        <w:rPr>
          <w:rFonts w:hint="eastAsia" w:ascii="仿宋_GB2312" w:hAnsi="仿宋_GB2312" w:eastAsia="仿宋_GB2312" w:cs="仿宋_GB2312"/>
          <w:color w:val="auto"/>
          <w:kern w:val="0"/>
          <w:sz w:val="32"/>
          <w:szCs w:val="32"/>
          <w:lang w:val="zh-CN" w:eastAsia="zh-CN" w:bidi="ar"/>
        </w:rPr>
        <w:t>分</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 xml:space="preserve"> </w:t>
      </w:r>
      <w:r>
        <w:rPr>
          <w:rFonts w:hint="default" w:ascii="Times New Roman" w:hAnsi="Times New Roman" w:eastAsia="楷体_GB2312" w:cs="Times New Roman"/>
          <w:b/>
          <w:bCs/>
          <w:color w:val="000000"/>
          <w:kern w:val="0"/>
          <w:sz w:val="32"/>
          <w:szCs w:val="32"/>
          <w:highlight w:val="none"/>
          <w:shd w:val="clear" w:color="auto" w:fill="FFFFFF"/>
          <w:lang w:val="zh-CN"/>
        </w:rPr>
        <w:t>2.项目执行。</w:t>
      </w:r>
      <w:r>
        <w:rPr>
          <w:rFonts w:hint="eastAsia" w:ascii="仿宋_GB2312" w:hAnsi="仿宋_GB2312" w:eastAsia="仿宋_GB2312" w:cs="仿宋_GB2312"/>
          <w:color w:val="auto"/>
          <w:kern w:val="0"/>
          <w:sz w:val="32"/>
          <w:szCs w:val="32"/>
          <w:lang w:val="zh-CN" w:eastAsia="zh-CN" w:bidi="ar"/>
        </w:rPr>
        <w:t>本项目预算执行率达100%，统筹推进食材采购供应与劳务服务各项工作。严格执行财政资金管理规章，资金拨付、结算使用全程合规标准，未出现违规开支、不合理支出等问题</w:t>
      </w:r>
      <w:r>
        <w:rPr>
          <w:rFonts w:hint="eastAsia" w:ascii="仿宋_GB2312" w:hAnsi="仿宋_GB2312" w:cs="仿宋_GB2312"/>
          <w:color w:val="auto"/>
          <w:kern w:val="0"/>
          <w:sz w:val="32"/>
          <w:szCs w:val="32"/>
          <w:lang w:val="zh-CN" w:eastAsia="zh-CN" w:bidi="ar"/>
        </w:rPr>
        <w:t>，</w:t>
      </w:r>
      <w:r>
        <w:rPr>
          <w:rFonts w:hint="eastAsia" w:ascii="仿宋_GB2312" w:hAnsi="仿宋_GB2312" w:eastAsia="仿宋_GB2312" w:cs="仿宋_GB2312"/>
          <w:color w:val="auto"/>
          <w:kern w:val="0"/>
          <w:sz w:val="32"/>
          <w:szCs w:val="32"/>
          <w:lang w:val="zh-CN" w:eastAsia="zh-CN" w:bidi="ar"/>
        </w:rPr>
        <w:t>项目日常管理严谨规范，食材采购方案、人员调配调整均按要求完成报备审核。米面粮油、生鲜菜品等食材采购全程公开透明，甄选优质供货渠道，把控食材品质；食堂劳务人员用工管理、薪酬核算发放依规执行。项目紧盯后勤服务时序要求，稳定保障食堂日常运转，保质保量完成食材供给、餐饮服务、人员管理等各项任务，项目整体依照既定方案稳步推进，未出现供应中断、工期延误、服务停滞等问题，此项共计得分</w:t>
      </w:r>
      <w:r>
        <w:rPr>
          <w:rFonts w:hint="eastAsia" w:ascii="仿宋_GB2312" w:hAnsi="仿宋_GB2312" w:cs="仿宋_GB2312"/>
          <w:color w:val="auto"/>
          <w:kern w:val="0"/>
          <w:sz w:val="32"/>
          <w:szCs w:val="32"/>
          <w:lang w:val="en-US" w:eastAsia="zh-CN" w:bidi="ar"/>
        </w:rPr>
        <w:t>10</w:t>
      </w:r>
      <w:r>
        <w:rPr>
          <w:rFonts w:hint="eastAsia" w:ascii="仿宋_GB2312" w:hAnsi="仿宋_GB2312" w:eastAsia="仿宋_GB2312" w:cs="仿宋_GB2312"/>
          <w:color w:val="auto"/>
          <w:kern w:val="0"/>
          <w:sz w:val="32"/>
          <w:szCs w:val="32"/>
          <w:lang w:val="zh-CN" w:eastAsia="zh-CN" w:bidi="ar"/>
        </w:rPr>
        <w:t>分。</w:t>
      </w:r>
      <w:r>
        <w:rPr>
          <w:rFonts w:hint="eastAsia" w:ascii="仿宋_GB2312" w:hAnsi="仿宋_GB2312" w:cs="仿宋_GB2312"/>
          <w:color w:val="auto"/>
          <w:kern w:val="0"/>
          <w:sz w:val="32"/>
          <w:szCs w:val="32"/>
          <w:lang w:val="en-US" w:eastAsia="zh-CN" w:bidi="ar"/>
        </w:rPr>
        <w:t xml:space="preserve">                            </w:t>
      </w:r>
      <w:r>
        <w:rPr>
          <w:rFonts w:hint="eastAsia" w:ascii="Times New Roman" w:hAnsi="Times New Roman" w:eastAsia="楷体_GB2312" w:cs="Times New Roman"/>
          <w:b/>
          <w:bCs/>
          <w:color w:val="000000"/>
          <w:kern w:val="0"/>
          <w:sz w:val="32"/>
          <w:szCs w:val="32"/>
          <w:highlight w:val="none"/>
          <w:shd w:val="clear" w:color="auto" w:fill="FFFFFF"/>
          <w:lang w:val="zh-CN" w:eastAsia="zh-CN"/>
        </w:rPr>
        <w:t>3.目标实现。</w:t>
      </w:r>
      <w:r>
        <w:rPr>
          <w:rFonts w:hint="eastAsia" w:ascii="仿宋_GB2312" w:hAnsi="仿宋_GB2312" w:eastAsia="仿宋_GB2312" w:cs="仿宋_GB2312"/>
          <w:color w:val="auto"/>
          <w:kern w:val="0"/>
          <w:sz w:val="32"/>
          <w:szCs w:val="32"/>
          <w:lang w:val="zh-CN" w:eastAsia="zh-CN" w:bidi="ar"/>
        </w:rPr>
        <w:t>现阶段项目已依照年度计划圆满完成全部工作任务，涵盖职工一食堂、二食堂各类食材常态化采购配送、食堂劳务人员日常用工保障、就餐服务保障、食品安全管控、食堂日常运维等重点工作</w:t>
      </w:r>
      <w:r>
        <w:rPr>
          <w:rFonts w:hint="eastAsia" w:ascii="仿宋_GB2312" w:hAnsi="仿宋_GB2312" w:cs="仿宋_GB2312"/>
          <w:color w:val="auto"/>
          <w:kern w:val="0"/>
          <w:sz w:val="32"/>
          <w:szCs w:val="32"/>
          <w:lang w:val="zh-CN" w:eastAsia="zh-CN" w:bidi="ar"/>
        </w:rPr>
        <w:t>，</w:t>
      </w:r>
      <w:r>
        <w:rPr>
          <w:rFonts w:hint="eastAsia" w:ascii="仿宋_GB2312" w:hAnsi="仿宋_GB2312" w:eastAsia="仿宋_GB2312" w:cs="仿宋_GB2312"/>
          <w:color w:val="auto"/>
          <w:kern w:val="0"/>
          <w:sz w:val="32"/>
          <w:szCs w:val="32"/>
          <w:lang w:val="zh-CN" w:eastAsia="zh-CN" w:bidi="ar"/>
        </w:rPr>
        <w:t>项目各项指标完成质量良好，绩效目标完成率达100%，各项工作无目标偏差问题，全流程按照预设时间节点落地实施，服务时效满足日常运营要求。项目完成后同步开展成效复盘与工作总结，充分发挥后勤保障作用，持续优化职工就餐体验，切实改善职工就餐条件，有效保障干部职工日常后勤需求，此项共计得分</w:t>
      </w:r>
      <w:r>
        <w:rPr>
          <w:rFonts w:hint="eastAsia" w:ascii="仿宋_GB2312" w:hAnsi="仿宋_GB2312" w:cs="仿宋_GB2312"/>
          <w:color w:val="auto"/>
          <w:kern w:val="0"/>
          <w:sz w:val="32"/>
          <w:szCs w:val="32"/>
          <w:lang w:val="en-US" w:eastAsia="zh-CN" w:bidi="ar"/>
        </w:rPr>
        <w:t>10</w:t>
      </w:r>
      <w:r>
        <w:rPr>
          <w:rFonts w:hint="eastAsia" w:ascii="仿宋_GB2312" w:hAnsi="仿宋_GB2312" w:eastAsia="仿宋_GB2312" w:cs="仿宋_GB2312"/>
          <w:color w:val="auto"/>
          <w:kern w:val="0"/>
          <w:sz w:val="32"/>
          <w:szCs w:val="32"/>
          <w:lang w:val="zh-CN" w:eastAsia="zh-CN" w:bidi="ar"/>
        </w:rPr>
        <w:t>分。</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eastAsia"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仿宋_GB2312" w:hAnsi="仿宋_GB2312" w:eastAsia="仿宋_GB2312" w:cs="仿宋_GB2312"/>
          <w:color w:val="auto"/>
          <w:kern w:val="0"/>
          <w:sz w:val="32"/>
          <w:szCs w:val="32"/>
          <w:lang w:val="en-US" w:eastAsia="zh-CN" w:bidi="ar"/>
        </w:rPr>
        <w:t>绩效目标填报执行了《四川省省级财政专项资金绩效分配管理暂行办法》，实施绩效分配。在项目资金管理方面，单位建立和健全项目资金管理制度和管理办法。严格资金的使用和划拨流程，确保资金使用安全、公平、合理。项目资金做到了专款专用，及时支付。资金的支付均通过对公账户，直接支付到供应商,切实保障了资金使用的准确性和安全性。在绩效目标评价方面，根据县财政局要求，我单位成立自评工作小组，组织实施本单位2025年绩效管理自评工作。信息公开情况。按照财政要求，及时在预决算批复后20日内，在壤塘县人民政府网站进行了信息公开，公开内容真实、完整。依法接受财政、审计、纪检监察、巡查等部门的监督检查。严肃财经纪律，依法接受财政、审计、巡察、派驻纪检监察，按时上报各类资料。严格遵守中央八项规定及省州县有关厉行勤俭节约相关规定，严格执行财务管理制度，根据年初预算合理安排日常公用经费资金，做到厉行节约、精打细算，把有效的资金用到刀刃上，让财政资金发挥最大的社会及经济效益并保证我单位各项工作的正常运转。</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cs="仿宋_GB2312"/>
          <w:color w:val="auto"/>
          <w:kern w:val="0"/>
          <w:sz w:val="32"/>
          <w:szCs w:val="32"/>
          <w:lang w:val="en-US" w:eastAsia="zh-CN" w:bidi="ar"/>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（一）评价结论。</w:t>
      </w:r>
      <w:r>
        <w:rPr>
          <w:rFonts w:hint="eastAsia" w:ascii="仿宋_GB2312" w:hAnsi="仿宋_GB2312" w:eastAsia="仿宋_GB2312" w:cs="仿宋_GB2312"/>
          <w:color w:val="auto"/>
          <w:kern w:val="0"/>
          <w:sz w:val="32"/>
          <w:szCs w:val="32"/>
          <w:lang w:val="zh-CN" w:eastAsia="zh-CN" w:bidi="ar"/>
        </w:rPr>
        <w:t>我</w:t>
      </w:r>
      <w:r>
        <w:rPr>
          <w:rFonts w:hint="eastAsia" w:ascii="仿宋_GB2312" w:hAnsi="仿宋_GB2312" w:eastAsia="仿宋_GB2312" w:cs="仿宋_GB2312"/>
          <w:color w:val="auto"/>
          <w:kern w:val="0"/>
          <w:sz w:val="32"/>
          <w:szCs w:val="32"/>
          <w:lang w:val="en-US" w:eastAsia="zh-CN" w:bidi="ar"/>
        </w:rPr>
        <w:t>单位</w:t>
      </w:r>
      <w:r>
        <w:rPr>
          <w:rFonts w:hint="eastAsia" w:ascii="仿宋_GB2312" w:hAnsi="仿宋_GB2312" w:eastAsia="仿宋_GB2312" w:cs="仿宋_GB2312"/>
          <w:color w:val="auto"/>
          <w:kern w:val="0"/>
          <w:sz w:val="32"/>
          <w:szCs w:val="32"/>
          <w:lang w:val="zh-CN" w:eastAsia="zh-CN" w:bidi="ar"/>
        </w:rPr>
        <w:t>通过加强预算</w:t>
      </w:r>
      <w:r>
        <w:rPr>
          <w:rFonts w:hint="eastAsia" w:ascii="仿宋_GB2312" w:hAnsi="仿宋_GB2312" w:eastAsia="仿宋_GB2312" w:cs="仿宋_GB2312"/>
          <w:color w:val="auto"/>
          <w:kern w:val="0"/>
          <w:sz w:val="32"/>
          <w:szCs w:val="32"/>
          <w:lang w:val="en-US" w:eastAsia="zh-CN" w:bidi="ar"/>
        </w:rPr>
        <w:t>绩效</w:t>
      </w:r>
      <w:r>
        <w:rPr>
          <w:rFonts w:hint="eastAsia" w:ascii="仿宋_GB2312" w:hAnsi="仿宋_GB2312" w:eastAsia="仿宋_GB2312" w:cs="仿宋_GB2312"/>
          <w:color w:val="auto"/>
          <w:kern w:val="0"/>
          <w:sz w:val="32"/>
          <w:szCs w:val="32"/>
          <w:lang w:val="zh-CN" w:eastAsia="zh-CN" w:bidi="ar"/>
        </w:rPr>
        <w:t>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eastAsia" w:ascii="仿宋_GB2312" w:hAnsi="仿宋_GB2312" w:eastAsia="仿宋_GB2312" w:cs="仿宋_GB2312"/>
          <w:color w:val="auto"/>
          <w:kern w:val="0"/>
          <w:sz w:val="32"/>
          <w:szCs w:val="32"/>
          <w:lang w:val="en-US" w:eastAsia="zh-CN" w:bidi="ar"/>
        </w:rPr>
        <w:t>单位</w:t>
      </w:r>
      <w:r>
        <w:rPr>
          <w:rFonts w:hint="eastAsia" w:ascii="仿宋_GB2312" w:hAnsi="仿宋_GB2312" w:eastAsia="仿宋_GB2312" w:cs="仿宋_GB2312"/>
          <w:color w:val="auto"/>
          <w:kern w:val="0"/>
          <w:sz w:val="32"/>
          <w:szCs w:val="32"/>
          <w:lang w:val="zh-CN" w:eastAsia="zh-CN" w:bidi="ar"/>
        </w:rPr>
        <w:t>将继续努力，科学合理编制预决算，进行绩效评价，加强精细管理，完善不足。</w:t>
      </w:r>
      <w:r>
        <w:rPr>
          <w:rFonts w:hint="eastAsia" w:ascii="仿宋_GB2312" w:hAnsi="仿宋_GB2312" w:eastAsia="仿宋_GB2312" w:cs="仿宋_GB2312"/>
          <w:color w:val="auto"/>
          <w:kern w:val="0"/>
          <w:sz w:val="32"/>
          <w:szCs w:val="32"/>
          <w:lang w:val="en-US" w:eastAsia="zh-CN" w:bidi="ar"/>
        </w:rPr>
        <w:t>根据《壤塘县2025</w:t>
      </w:r>
      <w:r>
        <w:rPr>
          <w:rFonts w:hint="default" w:ascii="仿宋_GB2312" w:hAnsi="仿宋_GB2312" w:eastAsia="仿宋_GB2312" w:cs="仿宋_GB2312"/>
          <w:color w:val="auto"/>
          <w:kern w:val="0"/>
          <w:sz w:val="32"/>
          <w:szCs w:val="32"/>
          <w:lang w:val="en-US" w:eastAsia="zh-CN" w:bidi="ar"/>
        </w:rPr>
        <w:t>年部门整体支出绩效评价指标体系》评分，得分</w:t>
      </w:r>
      <w:r>
        <w:rPr>
          <w:rFonts w:hint="eastAsia" w:ascii="仿宋_GB2312" w:hAnsi="仿宋_GB2312" w:eastAsia="仿宋_GB2312" w:cs="仿宋_GB2312"/>
          <w:color w:val="auto"/>
          <w:kern w:val="0"/>
          <w:sz w:val="32"/>
          <w:szCs w:val="32"/>
          <w:lang w:val="en-US" w:eastAsia="zh-CN" w:bidi="ar"/>
        </w:rPr>
        <w:t>9</w:t>
      </w:r>
      <w:r>
        <w:rPr>
          <w:rFonts w:hint="eastAsia" w:ascii="仿宋_GB2312" w:hAnsi="仿宋_GB2312" w:cs="仿宋_GB2312"/>
          <w:color w:val="auto"/>
          <w:kern w:val="0"/>
          <w:sz w:val="32"/>
          <w:szCs w:val="32"/>
          <w:lang w:val="en-US" w:eastAsia="zh-CN" w:bidi="ar"/>
        </w:rPr>
        <w:t>5</w:t>
      </w:r>
      <w:r>
        <w:rPr>
          <w:rFonts w:hint="default" w:ascii="仿宋_GB2312" w:hAnsi="仿宋_GB2312" w:eastAsia="仿宋_GB2312" w:cs="仿宋_GB2312"/>
          <w:color w:val="auto"/>
          <w:kern w:val="0"/>
          <w:sz w:val="32"/>
          <w:szCs w:val="32"/>
          <w:lang w:val="en-US" w:eastAsia="zh-CN" w:bidi="ar"/>
        </w:rPr>
        <w:t>分，绩效评价结果优秀。</w:t>
      </w:r>
      <w:r>
        <w:rPr>
          <w:rFonts w:hint="eastAsia" w:ascii="仿宋_GB2312" w:hAnsi="仿宋_GB2312" w:cs="仿宋_GB2312"/>
          <w:color w:val="auto"/>
          <w:kern w:val="0"/>
          <w:sz w:val="32"/>
          <w:szCs w:val="32"/>
          <w:lang w:val="en-US" w:eastAsia="zh-CN" w:bidi="ar"/>
        </w:rPr>
        <w:t xml:space="preserve">  </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642"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（二）存在问题。</w:t>
      </w:r>
      <w:r>
        <w:rPr>
          <w:rFonts w:hint="eastAsia" w:ascii="仿宋_GB2312" w:hAnsi="仿宋_GB2312" w:eastAsia="仿宋_GB2312" w:cs="仿宋_GB2312"/>
          <w:color w:val="auto"/>
          <w:kern w:val="0"/>
          <w:sz w:val="32"/>
          <w:szCs w:val="32"/>
          <w:lang w:val="en-US" w:eastAsia="zh-CN" w:bidi="ar"/>
        </w:rPr>
        <w:t>1.预算编制前根据年度内单位可预见的工作任务，确定了单位年度预算目标，细化了预算指标，但预算编制的精准性有待进一步提高。</w:t>
      </w:r>
    </w:p>
    <w:p>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仿宋_GB2312" w:hAnsi="仿宋_GB2312" w:eastAsia="仿宋_GB2312" w:cs="仿宋_GB2312"/>
          <w:color w:val="auto"/>
          <w:kern w:val="0"/>
          <w:sz w:val="32"/>
          <w:szCs w:val="32"/>
          <w:lang w:val="en-US" w:eastAsia="zh-CN" w:bidi="ar"/>
        </w:rPr>
        <w:t>2、是对部门整体支出预算评价工作不够重视，没有把预算财务分析作为常态化工作。</w:t>
      </w:r>
      <w:r>
        <w:rPr>
          <w:rFonts w:hint="eastAsia" w:ascii="仿宋_GB2312" w:hAnsi="仿宋_GB2312" w:cs="仿宋_GB2312"/>
          <w:color w:val="auto"/>
          <w:kern w:val="0"/>
          <w:sz w:val="32"/>
          <w:szCs w:val="32"/>
          <w:lang w:val="en-US" w:eastAsia="zh-CN" w:bidi="ar"/>
        </w:rPr>
        <w:t xml:space="preserve">                         </w:t>
      </w: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（三）改进建议。</w:t>
      </w:r>
      <w:bookmarkStart w:id="50" w:name="_Hlk110546638"/>
      <w:r>
        <w:rPr>
          <w:rFonts w:hint="eastAsia" w:ascii="仿宋_GB2312" w:hAnsi="仿宋_GB2312" w:eastAsia="仿宋_GB2312" w:cs="仿宋_GB2312"/>
          <w:color w:val="auto"/>
          <w:kern w:val="0"/>
          <w:sz w:val="32"/>
          <w:szCs w:val="32"/>
          <w:lang w:val="en-US" w:eastAsia="zh-CN" w:bidi="ar"/>
        </w:rPr>
        <w:t>加强学习，提高思想认识。组织单位财务人员认真学习《</w:t>
      </w:r>
      <w:r>
        <w:rPr>
          <w:rFonts w:hint="eastAsia" w:hAnsi="仿宋_GB2312" w:eastAsia="仿宋_GB2312" w:cs="仿宋_GB2312"/>
          <w:color w:val="auto"/>
          <w:kern w:val="0"/>
          <w:sz w:val="32"/>
          <w:szCs w:val="32"/>
          <w:lang w:val="en-US" w:eastAsia="zh-CN" w:bidi="ar"/>
        </w:rPr>
        <w:t>中华人民共和国</w:t>
      </w:r>
      <w:r>
        <w:rPr>
          <w:rFonts w:hint="eastAsia" w:ascii="仿宋_GB2312" w:hAnsi="仿宋_GB2312" w:eastAsia="仿宋_GB2312" w:cs="仿宋_GB2312"/>
          <w:color w:val="auto"/>
          <w:kern w:val="0"/>
          <w:sz w:val="32"/>
          <w:szCs w:val="32"/>
          <w:lang w:val="en-US" w:eastAsia="zh-CN" w:bidi="ar"/>
        </w:rPr>
        <w:t>预算法》、《项目支出绩效评价》等文件精神及相关法规、制度，提高单位领导对全面预算管理及绩效评价工作的重视程度，增强意识</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提高预算编制的可操作性，强化预算执行约束力，尽量减少预算调整。</w:t>
      </w:r>
      <w:bookmarkEnd w:id="50"/>
    </w:p>
    <w:p>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15"/>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hint="eastAsia" w:eastAsia="方正小标宋简体"/>
          <w:color w:val="000000"/>
          <w:kern w:val="0"/>
          <w:sz w:val="44"/>
          <w:szCs w:val="44"/>
        </w:rPr>
      </w:pPr>
    </w:p>
    <w:p>
      <w:pPr>
        <w:widowControl/>
        <w:spacing w:line="600" w:lineRule="exact"/>
        <w:jc w:val="center"/>
        <w:textAlignment w:val="center"/>
        <w:rPr>
          <w:rFonts w:hint="eastAsia" w:eastAsia="方正小标宋简体"/>
          <w:color w:val="000000"/>
          <w:kern w:val="0"/>
          <w:sz w:val="44"/>
          <w:szCs w:val="44"/>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8"/>
        <w:tblW w:w="10912" w:type="dxa"/>
        <w:jc w:val="center"/>
        <w:tblLayout w:type="fixed"/>
        <w:tblCellMar>
          <w:top w:w="0" w:type="dxa"/>
          <w:left w:w="108" w:type="dxa"/>
          <w:bottom w:w="0" w:type="dxa"/>
          <w:right w:w="108" w:type="dxa"/>
        </w:tblCellMar>
      </w:tblPr>
      <w:tblGrid>
        <w:gridCol w:w="1097"/>
        <w:gridCol w:w="1201"/>
        <w:gridCol w:w="2127"/>
        <w:gridCol w:w="519"/>
        <w:gridCol w:w="4760"/>
        <w:gridCol w:w="730"/>
        <w:gridCol w:w="478"/>
      </w:tblGrid>
      <w:tr>
        <w:tblPrEx>
          <w:tblCellMar>
            <w:top w:w="0" w:type="dxa"/>
            <w:left w:w="108" w:type="dxa"/>
            <w:bottom w:w="0" w:type="dxa"/>
            <w:right w:w="108" w:type="dxa"/>
          </w:tblCellMar>
        </w:tblPrEx>
        <w:trPr>
          <w:trHeight w:val="405"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1245"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val="zh-CN" w:eastAsia="zh-CN"/>
              </w:rPr>
              <w:t>困难帮扶、普惠保障、基层工会建设</w:t>
            </w:r>
          </w:p>
        </w:tc>
        <w:tc>
          <w:tcPr>
            <w:tcW w:w="519"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0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9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5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1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8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65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ind w:firstLine="201" w:firstLineChars="0"/>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90"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2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0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9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3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pStyle w:val="22"/>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8"/>
        <w:tblW w:w="10677" w:type="dxa"/>
        <w:jc w:val="center"/>
        <w:tblLayout w:type="fixed"/>
        <w:tblCellMar>
          <w:top w:w="0" w:type="dxa"/>
          <w:left w:w="108" w:type="dxa"/>
          <w:bottom w:w="0" w:type="dxa"/>
          <w:right w:w="108" w:type="dxa"/>
        </w:tblCellMar>
      </w:tblPr>
      <w:tblGrid>
        <w:gridCol w:w="507"/>
        <w:gridCol w:w="593"/>
        <w:gridCol w:w="1059"/>
        <w:gridCol w:w="1082"/>
        <w:gridCol w:w="855"/>
        <w:gridCol w:w="930"/>
        <w:gridCol w:w="1080"/>
        <w:gridCol w:w="1125"/>
        <w:gridCol w:w="1125"/>
        <w:gridCol w:w="2321"/>
      </w:tblGrid>
      <w:tr>
        <w:tblPrEx>
          <w:tblCellMar>
            <w:top w:w="0" w:type="dxa"/>
            <w:left w:w="108" w:type="dxa"/>
            <w:bottom w:w="0" w:type="dxa"/>
            <w:right w:w="108" w:type="dxa"/>
          </w:tblCellMar>
        </w:tblPrEx>
        <w:trPr>
          <w:trHeight w:val="465" w:hRule="atLeast"/>
          <w:jc w:val="center"/>
        </w:trPr>
        <w:tc>
          <w:tcPr>
            <w:tcW w:w="2159" w:type="dxa"/>
            <w:gridSpan w:val="3"/>
            <w:tcBorders>
              <w:top w:val="single" w:color="000000" w:sz="4" w:space="0"/>
              <w:left w:val="single" w:color="000000" w:sz="4" w:space="0"/>
              <w:bottom w:val="single" w:color="auto" w:sz="4" w:space="0"/>
              <w:right w:val="single" w:color="000000" w:sz="4" w:space="0"/>
            </w:tcBorders>
            <w:vAlign w:val="center"/>
          </w:tcPr>
          <w:p>
            <w:pPr>
              <w:ind w:firstLine="240" w:firstLineChars="100"/>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851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val="en-US" w:eastAsia="zh-CN"/>
              </w:rPr>
              <w:t>壤塘县总工会</w:t>
            </w:r>
          </w:p>
        </w:tc>
      </w:tr>
      <w:tr>
        <w:tblPrEx>
          <w:tblCellMar>
            <w:top w:w="0" w:type="dxa"/>
            <w:left w:w="108" w:type="dxa"/>
            <w:bottom w:w="0" w:type="dxa"/>
            <w:right w:w="108" w:type="dxa"/>
          </w:tblCellMar>
        </w:tblPrEx>
        <w:trPr>
          <w:trHeight w:val="505"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1937"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57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505"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1937"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238.76</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238.76</w:t>
            </w:r>
          </w:p>
        </w:tc>
        <w:tc>
          <w:tcPr>
            <w:tcW w:w="457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1"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1937"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1237.46</w:t>
            </w:r>
          </w:p>
        </w:tc>
        <w:tc>
          <w:tcPr>
            <w:tcW w:w="2010"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1237.46</w:t>
            </w:r>
          </w:p>
        </w:tc>
        <w:tc>
          <w:tcPr>
            <w:tcW w:w="4571"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96" w:hRule="atLeast"/>
          <w:jc w:val="center"/>
        </w:trPr>
        <w:tc>
          <w:tcPr>
            <w:tcW w:w="2159"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851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zh-CN" w:eastAsia="zh-CN"/>
              </w:rPr>
            </w:pP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eastAsia="zh-CN"/>
              </w:rPr>
              <w:t xml:space="preserve">壤塘县总工会在县委和州总工会的坚强领导下，以增强政治性、先进性、群众性为导向，以推动高质量发展为主题，以提高职工群众生活品质为目的，以改革创新为动力，紧紧围绕县委“4332”发展战略，以“县级工会加强年”为抓手，坚持常规工作出特色、重点工作求突破，完成工会各项工作任务。 </w:t>
            </w:r>
          </w:p>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50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8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5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4260"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2321"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5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0"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232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500</w:t>
            </w:r>
            <w:r>
              <w:rPr>
                <w:rFonts w:hint="eastAsia" w:ascii="宋体" w:hAnsi="宋体" w:eastAsia="宋体" w:cs="宋体"/>
                <w:color w:val="000000"/>
                <w:kern w:val="0"/>
                <w:sz w:val="24"/>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501.87</w:t>
            </w:r>
            <w:r>
              <w:rPr>
                <w:rFonts w:ascii="宋体" w:hAnsi="宋体" w:eastAsia="宋体" w:cs="宋体"/>
                <w:color w:val="000000"/>
                <w:kern w:val="0"/>
                <w:sz w:val="24"/>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505.26</w:t>
            </w:r>
            <w:r>
              <w:rPr>
                <w:rFonts w:ascii="宋体" w:hAnsi="宋体" w:eastAsia="宋体" w:cs="宋体"/>
                <w:color w:val="000000"/>
                <w:kern w:val="0"/>
                <w:sz w:val="24"/>
              </w:rPr>
              <w:t>%</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580.67</w:t>
            </w:r>
            <w:r>
              <w:rPr>
                <w:rFonts w:ascii="宋体" w:hAnsi="宋体" w:eastAsia="宋体" w:cs="宋体"/>
                <w:color w:val="000000"/>
                <w:kern w:val="0"/>
                <w:sz w:val="24"/>
              </w:rPr>
              <w:t>%</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419.69</w:t>
            </w:r>
            <w:r>
              <w:rPr>
                <w:rFonts w:ascii="宋体" w:hAnsi="宋体" w:eastAsia="宋体" w:cs="宋体"/>
                <w:color w:val="000000"/>
                <w:kern w:val="0"/>
                <w:sz w:val="24"/>
              </w:rPr>
              <w:t>%</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418.29%</w:t>
            </w:r>
          </w:p>
        </w:tc>
      </w:tr>
      <w:tr>
        <w:tblPrEx>
          <w:tblCellMar>
            <w:top w:w="0" w:type="dxa"/>
            <w:left w:w="108" w:type="dxa"/>
            <w:bottom w:w="0" w:type="dxa"/>
            <w:right w:w="108" w:type="dxa"/>
          </w:tblCellMar>
        </w:tblPrEx>
        <w:trPr>
          <w:trHeight w:val="445"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≤0.35%</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0.31</w:t>
            </w:r>
            <w:r>
              <w:rPr>
                <w:rFonts w:ascii="宋体" w:hAnsi="宋体" w:eastAsia="宋体" w:cs="宋体"/>
                <w:color w:val="000000"/>
                <w:kern w:val="0"/>
                <w:sz w:val="24"/>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0.35</w:t>
            </w:r>
            <w:r>
              <w:rPr>
                <w:rFonts w:ascii="宋体" w:hAnsi="宋体" w:eastAsia="宋体" w:cs="宋体"/>
                <w:color w:val="000000"/>
                <w:kern w:val="0"/>
                <w:sz w:val="24"/>
              </w:rPr>
              <w:t>%</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0.27</w:t>
            </w:r>
            <w:r>
              <w:rPr>
                <w:rFonts w:ascii="宋体" w:hAnsi="宋体" w:eastAsia="宋体" w:cs="宋体"/>
                <w:color w:val="000000"/>
                <w:kern w:val="0"/>
                <w:sz w:val="24"/>
              </w:rPr>
              <w:t>%</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≤17.25 万元</w:t>
            </w:r>
          </w:p>
        </w:tc>
        <w:tc>
          <w:tcPr>
            <w:tcW w:w="4260"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172500元</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17.25万元</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优</w:t>
            </w:r>
          </w:p>
        </w:tc>
        <w:tc>
          <w:tcPr>
            <w:tcW w:w="4260"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468" w:hRule="atLeast"/>
          <w:jc w:val="center"/>
        </w:trPr>
        <w:tc>
          <w:tcPr>
            <w:tcW w:w="50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7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职工食堂科容纳就餐人数</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650人</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650人</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职工食堂年度停电次数</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计划内检修停电全年</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3次</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2次</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时效指标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食堂正常供电时间</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ascii="宋体" w:hAnsi="宋体" w:eastAsia="宋体" w:cs="宋体"/>
                <w:sz w:val="24"/>
                <w:szCs w:val="24"/>
                <w:highlight w:val="yellow"/>
              </w:rPr>
              <w:t>年度食堂累计正常供电时长</w:t>
            </w:r>
            <w:r>
              <w:rPr>
                <w:rFonts w:hint="eastAsia" w:ascii="宋体" w:hAnsi="宋体" w:eastAsia="宋体" w:cs="宋体"/>
                <w:sz w:val="24"/>
                <w:szCs w:val="24"/>
                <w:highlight w:val="yellow"/>
                <w:lang w:val="en-US" w:eastAsia="zh-CN"/>
              </w:rPr>
              <w:t>8736小时</w:t>
            </w:r>
            <w:r>
              <w:rPr>
                <w:rFonts w:ascii="宋体" w:hAnsi="宋体" w:eastAsia="宋体" w:cs="宋体"/>
                <w:sz w:val="24"/>
                <w:szCs w:val="24"/>
                <w:highlight w:val="yellow"/>
              </w:rPr>
              <w:t>，供电覆盖率</w:t>
            </w:r>
            <w:r>
              <w:rPr>
                <w:rFonts w:hint="eastAsia" w:ascii="宋体" w:hAnsi="宋体" w:eastAsia="宋体" w:cs="宋体"/>
                <w:sz w:val="24"/>
                <w:szCs w:val="24"/>
                <w:highlight w:val="yellow"/>
              </w:rPr>
              <w:t>100%</w:t>
            </w:r>
            <w:r>
              <w:rPr>
                <w:rFonts w:ascii="宋体" w:hAnsi="宋体" w:eastAsia="宋体" w:cs="宋体"/>
                <w:sz w:val="24"/>
                <w:szCs w:val="24"/>
                <w:highlight w:val="yellow"/>
              </w:rPr>
              <w:t>；每日早、中、晚三个就餐时段（早餐 6:30-8:30、午餐 11:30-13:30、晚餐 17:</w:t>
            </w:r>
            <w:r>
              <w:rPr>
                <w:rFonts w:hint="eastAsia" w:ascii="宋体" w:hAnsi="宋体" w:eastAsia="宋体" w:cs="宋体"/>
                <w:sz w:val="24"/>
                <w:szCs w:val="24"/>
                <w:highlight w:val="yellow"/>
                <w:lang w:val="en-US" w:eastAsia="zh-CN"/>
              </w:rPr>
              <w:t>5</w:t>
            </w:r>
            <w:r>
              <w:rPr>
                <w:rFonts w:ascii="宋体" w:hAnsi="宋体" w:eastAsia="宋体" w:cs="宋体"/>
                <w:sz w:val="24"/>
                <w:szCs w:val="24"/>
                <w:highlight w:val="yellow"/>
              </w:rPr>
              <w:t>0-1</w:t>
            </w:r>
            <w:r>
              <w:rPr>
                <w:rFonts w:hint="eastAsia" w:ascii="宋体" w:hAnsi="宋体" w:eastAsia="宋体" w:cs="宋体"/>
                <w:sz w:val="24"/>
                <w:szCs w:val="24"/>
                <w:highlight w:val="yellow"/>
                <w:lang w:val="en-US" w:eastAsia="zh-CN"/>
              </w:rPr>
              <w:t>8</w:t>
            </w:r>
            <w:r>
              <w:rPr>
                <w:rFonts w:ascii="宋体" w:hAnsi="宋体" w:eastAsia="宋体" w:cs="宋体"/>
                <w:sz w:val="24"/>
                <w:szCs w:val="24"/>
                <w:highlight w:val="yellow"/>
              </w:rPr>
              <w:t>:30）供电零中断，满足全时段就餐保障需求。</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highlight w:val="yellow"/>
              </w:rPr>
            </w:pPr>
            <w:r>
              <w:rPr>
                <w:rFonts w:hint="eastAsia" w:ascii="宋体" w:hAnsi="宋体" w:eastAsia="宋体" w:cs="宋体"/>
                <w:color w:val="000000"/>
                <w:kern w:val="0"/>
                <w:sz w:val="24"/>
                <w:highlight w:val="yellow"/>
              </w:rPr>
              <w:t>食堂正常供电时间</w:t>
            </w:r>
          </w:p>
          <w:p>
            <w:pPr>
              <w:widowControl/>
              <w:spacing w:line="240" w:lineRule="exact"/>
              <w:jc w:val="center"/>
              <w:textAlignment w:val="center"/>
              <w:rPr>
                <w:rFonts w:ascii="宋体" w:hAnsi="宋体" w:eastAsia="宋体" w:cs="宋体"/>
                <w:color w:val="000000"/>
                <w:kern w:val="0"/>
                <w:sz w:val="24"/>
                <w:highlight w:val="yellow"/>
              </w:rPr>
            </w:pPr>
            <w:r>
              <w:rPr>
                <w:rFonts w:hint="eastAsia" w:ascii="宋体" w:hAnsi="宋体" w:eastAsia="宋体" w:cs="宋体"/>
                <w:color w:val="000000"/>
                <w:kern w:val="0"/>
                <w:sz w:val="24"/>
                <w:highlight w:val="yellow"/>
              </w:rPr>
              <w:t>年度食堂累计正常供电时长8736小时，供电覆盖率100%；早、中、晚餐就餐时段供电零中断，全时段保障就餐需求。</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社会效益指标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保障食堂正常运行</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ascii="宋体" w:hAnsi="宋体" w:eastAsia="宋体" w:cs="宋体"/>
                <w:sz w:val="24"/>
                <w:szCs w:val="24"/>
                <w:highlight w:val="yellow"/>
              </w:rPr>
              <w:t>全年食堂供电系统稳定运行，供电保障达标率</w:t>
            </w:r>
            <w:r>
              <w:rPr>
                <w:rFonts w:hint="eastAsia" w:ascii="宋体" w:hAnsi="宋体" w:eastAsia="宋体" w:cs="宋体"/>
                <w:sz w:val="24"/>
                <w:szCs w:val="24"/>
                <w:highlight w:val="yellow"/>
              </w:rPr>
              <w:t>100%</w:t>
            </w:r>
            <w:r>
              <w:rPr>
                <w:rFonts w:ascii="宋体" w:hAnsi="宋体" w:eastAsia="宋体" w:cs="宋体"/>
                <w:sz w:val="24"/>
                <w:szCs w:val="24"/>
                <w:highlight w:val="yellow"/>
              </w:rPr>
              <w:t>，未发生因供电问题导致的食堂停餐、设备损坏、食品安全等事故，有效保障了单位职工日常就餐与单位后勤秩序稳定。</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hint="eastAsia" w:ascii="宋体" w:hAnsi="宋体" w:eastAsia="宋体" w:cs="宋体"/>
                <w:color w:val="000000"/>
                <w:kern w:val="0"/>
                <w:sz w:val="24"/>
                <w:highlight w:val="yellow"/>
              </w:rPr>
              <w:t>全年食堂供电系统稳定运行，供电保障达标率100%，未发生供电故障、设备损坏、食品安全等事故，保障职工就餐与单位后勤秩序稳定。</w:t>
            </w:r>
          </w:p>
        </w:tc>
      </w:tr>
      <w:tr>
        <w:tblPrEx>
          <w:tblCellMar>
            <w:top w:w="0" w:type="dxa"/>
            <w:left w:w="108" w:type="dxa"/>
            <w:bottom w:w="0" w:type="dxa"/>
            <w:right w:w="108" w:type="dxa"/>
          </w:tblCellMar>
        </w:tblPrEx>
        <w:trPr>
          <w:trHeight w:val="1355"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rPr>
                <w:rFonts w:hint="default" w:eastAsia="仿宋_GB2312"/>
                <w:lang w:val="en-US" w:eastAsia="zh-CN"/>
              </w:rPr>
            </w:pPr>
            <w:r>
              <w:rPr>
                <w:rFonts w:hint="eastAsia" w:ascii="宋体" w:hAnsi="宋体" w:eastAsia="宋体" w:cs="宋体"/>
                <w:color w:val="000000"/>
                <w:kern w:val="0"/>
                <w:sz w:val="24"/>
                <w:lang w:val="en-US" w:eastAsia="zh-CN"/>
              </w:rPr>
              <w:t>满意度指标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服务对象满意度度指标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职工满意度</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ascii="宋体" w:hAnsi="宋体" w:eastAsia="宋体" w:cs="宋体"/>
                <w:sz w:val="24"/>
                <w:szCs w:val="24"/>
                <w:highlight w:val="yellow"/>
              </w:rPr>
              <w:t>年度职工食堂供电保障满意度测评得分</w:t>
            </w:r>
            <w:r>
              <w:rPr>
                <w:rFonts w:hint="eastAsia" w:ascii="宋体" w:hAnsi="宋体" w:eastAsia="宋体" w:cs="宋体"/>
                <w:sz w:val="24"/>
                <w:szCs w:val="24"/>
                <w:highlight w:val="yellow"/>
                <w:lang w:val="en-US" w:eastAsia="zh-CN"/>
              </w:rPr>
              <w:t>96.3分</w:t>
            </w:r>
            <w:r>
              <w:rPr>
                <w:rFonts w:ascii="宋体" w:hAnsi="宋体" w:eastAsia="宋体" w:cs="宋体"/>
                <w:sz w:val="24"/>
                <w:szCs w:val="24"/>
                <w:highlight w:val="yellow"/>
              </w:rPr>
              <w:t>，满意度达</w:t>
            </w:r>
            <w:r>
              <w:rPr>
                <w:rFonts w:hint="eastAsia" w:ascii="宋体" w:hAnsi="宋体" w:eastAsia="宋体" w:cs="宋体"/>
                <w:sz w:val="24"/>
                <w:szCs w:val="24"/>
                <w:highlight w:val="yellow"/>
                <w:lang w:val="en-US" w:eastAsia="zh-CN"/>
              </w:rPr>
              <w:t>96.2</w:t>
            </w:r>
            <w:r>
              <w:rPr>
                <w:rFonts w:hint="eastAsia" w:ascii="宋体" w:hAnsi="宋体" w:eastAsia="宋体" w:cs="宋体"/>
                <w:sz w:val="24"/>
                <w:szCs w:val="24"/>
                <w:highlight w:val="yellow"/>
              </w:rPr>
              <w:t>%</w:t>
            </w:r>
            <w:r>
              <w:rPr>
                <w:rFonts w:ascii="宋体" w:hAnsi="宋体" w:eastAsia="宋体" w:cs="宋体"/>
                <w:sz w:val="24"/>
                <w:szCs w:val="24"/>
                <w:highlight w:val="yellow"/>
              </w:rPr>
              <w:t>，职工对食堂就餐时段供电稳定性、就餐环境照明等方面反馈良好，无相关有效投诉。</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hint="eastAsia" w:ascii="宋体" w:hAnsi="宋体" w:eastAsia="宋体" w:cs="宋体"/>
                <w:color w:val="000000"/>
                <w:kern w:val="0"/>
                <w:sz w:val="24"/>
                <w:highlight w:val="yellow"/>
              </w:rPr>
              <w:t>职工食堂供电保障满意度测评得分96.3分，整体满意度96.2%；职工对就餐时段供电稳定性、就餐环境照明反馈良好，无有效投诉。</w:t>
            </w:r>
          </w:p>
        </w:tc>
      </w:tr>
      <w:tr>
        <w:tblPrEx>
          <w:tblCellMar>
            <w:top w:w="0" w:type="dxa"/>
            <w:left w:w="108" w:type="dxa"/>
            <w:bottom w:w="0" w:type="dxa"/>
            <w:right w:w="108" w:type="dxa"/>
          </w:tblCellMar>
        </w:tblPrEx>
        <w:trPr>
          <w:trHeight w:val="306"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rPr>
                <w:rFonts w:hint="default" w:eastAsia="仿宋_GB2312"/>
                <w:lang w:val="en-US" w:eastAsia="zh-CN"/>
              </w:rPr>
            </w:pPr>
            <w:r>
              <w:rPr>
                <w:rFonts w:hint="eastAsia" w:ascii="宋体" w:hAnsi="宋体" w:eastAsia="宋体" w:cs="宋体"/>
                <w:color w:val="000000"/>
                <w:kern w:val="0"/>
                <w:sz w:val="24"/>
                <w:lang w:val="en-US" w:eastAsia="zh-CN"/>
              </w:rPr>
              <w:t>成本指标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经济成本指标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highlight w:val="yellow"/>
                <w:lang w:val="en-US" w:eastAsia="zh-CN"/>
              </w:rPr>
            </w:pPr>
            <w:r>
              <w:rPr>
                <w:rFonts w:hint="eastAsia" w:ascii="宋体" w:hAnsi="宋体" w:eastAsia="宋体" w:cs="宋体"/>
                <w:color w:val="000000"/>
                <w:kern w:val="0"/>
                <w:sz w:val="24"/>
                <w:highlight w:val="yellow"/>
                <w:lang w:val="en-US" w:eastAsia="zh-CN"/>
              </w:rPr>
              <w:t>食堂供电所需成本</w:t>
            </w:r>
          </w:p>
        </w:tc>
        <w:tc>
          <w:tcPr>
            <w:tcW w:w="5115"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hint="eastAsia" w:ascii="宋体" w:hAnsi="宋体" w:eastAsia="宋体" w:cs="宋体"/>
                <w:sz w:val="24"/>
                <w:szCs w:val="24"/>
                <w:highlight w:val="yellow"/>
              </w:rPr>
              <w:t>年度食堂供电实际总成本为10万元，严格控制在年度预算额度10万元以内，预算执行率达100%；单位就餐人次供电成本控制在0.70元/人次，较上年度同比下降8%，在保障食堂全时段稳定供电的前提下，实现了供电成本的合理节约与高效管控。</w:t>
            </w:r>
          </w:p>
        </w:tc>
        <w:tc>
          <w:tcPr>
            <w:tcW w:w="23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highlight w:val="yellow"/>
              </w:rPr>
            </w:pPr>
            <w:r>
              <w:rPr>
                <w:rFonts w:hint="eastAsia" w:ascii="宋体" w:hAnsi="宋体" w:eastAsia="宋体" w:cs="宋体"/>
                <w:color w:val="000000"/>
                <w:kern w:val="0"/>
                <w:sz w:val="24"/>
                <w:highlight w:val="yellow"/>
              </w:rPr>
              <w:t>年度食堂供电实际总成本10万元，预算执行率100%；单位就餐人次供电成本0.70元/人次，较上年度下降8%，供电成本管控合理。</w:t>
            </w:r>
          </w:p>
        </w:tc>
      </w:tr>
    </w:tbl>
    <w:p>
      <w:pPr>
        <w:tabs>
          <w:tab w:val="left" w:pos="676"/>
        </w:tabs>
        <w:rPr>
          <w:rFonts w:hint="eastAsia" w:eastAsia="黑体"/>
          <w:sz w:val="24"/>
          <w:lang w:eastAsia="zh-CN"/>
        </w:rPr>
      </w:pPr>
      <w:r>
        <w:rPr>
          <w:rFonts w:hint="eastAsia" w:eastAsia="黑体"/>
          <w:sz w:val="24"/>
          <w:lang w:eastAsia="zh-CN"/>
        </w:rPr>
        <w:tab/>
      </w:r>
    </w:p>
    <w:p>
      <w:pPr>
        <w:rPr>
          <w:rFonts w:hint="eastAsia" w:ascii="Times New Roman" w:hAnsi="Times New Roman" w:eastAsia="宋体" w:cs="Times New Roman"/>
          <w:kern w:val="2"/>
          <w:sz w:val="21"/>
          <w:szCs w:val="24"/>
          <w:lang w:val="zh-CN" w:eastAsia="zh-CN" w:bidi="ar-SA"/>
        </w:rPr>
      </w:pPr>
      <w:r>
        <w:rPr>
          <w:rFonts w:eastAsia="黑体"/>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7"/>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2025年，职工一、二食堂食材采购及劳务服务项目为单位重点实施项目，主要用于保障职工一、二食堂日常食材供应与劳务人员薪酬支出。项目各环节推进规范有序、各项工作落实到位</w:t>
      </w:r>
      <w:r>
        <w:rPr>
          <w:rFonts w:hint="eastAsia" w:ascii="Times New Roman" w:hAnsi="Times New Roman"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职工食堂相关项目严格遵照标准化决策流程开展工作，完整落实审批、公示等关键流程，全程程序合规、操作流程规范。项目前期经过充分调研研判，结合职工就餐人数、日常用餐标准、市场物价行情开展规划论证，绩效目标设定贴合食堂运营实际情况，按标准完成项目储备入库流程，保障项目立项有据可依、后续开展方向</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资金使用方向紧扣后勤保障、职工福利提升的工作要求，既契合财政资金使用管理相关政策条例，又充分匹配全县职工日常就餐的现实需求，为项目平稳高效推进筑牢基础。</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现阶段项目已依照年度计划圆满完成全部工作任务，涵盖职工一食堂、二食堂各类食材常态化采购配送、食堂劳务人员日常用工保障、就餐服务保障、食品安全管控、食堂日常运维等重点工作。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本项目预算执行率达100%，统筹推进食材采购供应与劳务服务各项工作。严格执行财政资金管理规章，资金拨付、结算使用全程合规标准，未出现违规开支、不合理支出等问题。</w:t>
      </w:r>
    </w:p>
    <w:p>
      <w:pPr>
        <w:keepNext w:val="0"/>
        <w:keepLines w:val="0"/>
        <w:pageBreakBefore w:val="0"/>
        <w:widowControl w:val="0"/>
        <w:kinsoku/>
        <w:wordWrap/>
        <w:overflowPunct/>
        <w:topLinePunct w:val="0"/>
        <w:autoSpaceDE/>
        <w:autoSpaceDN/>
        <w:bidi w:val="0"/>
        <w:adjustRightInd w:val="0"/>
        <w:snapToGrid w:val="0"/>
        <w:spacing w:afterAutospacing="0" w:line="578" w:lineRule="exact"/>
        <w:ind w:left="0" w:leftChars="0" w:firstLine="642"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日常管理严谨规范，食材采购方案、人员调配调整均按要求完成报备审核。米面粮油、生鲜菜品等食材采购全程公开透明，甄选优质供货渠道，把控食材品质；食堂劳务人员用工管理、薪酬核算发放依规执行。项目紧盯后勤服务时序要求，稳定保障食堂日常运转，保质保量完成食材供给、餐饮服务、人员管理等各项任务，项目整体依照既定方案稳步推进，未出现供应中断、工期延误、服务停滞等问题。</w:t>
      </w:r>
    </w:p>
    <w:p>
      <w:pPr>
        <w:pStyle w:val="17"/>
        <w:keepNext w:val="0"/>
        <w:keepLines w:val="0"/>
        <w:widowControl/>
        <w:suppressLineNumbers w:val="0"/>
        <w:spacing w:before="0" w:beforeAutospacing="0" w:after="0" w:afterAutospacing="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本次绩效评价主要采用成本效益分析法、比较法、因素分析法、公众评判法相结合的方式开展。</w:t>
      </w:r>
    </w:p>
    <w:p>
      <w:pPr>
        <w:keepNext w:val="0"/>
        <w:keepLines w:val="0"/>
        <w:widowControl/>
        <w:numPr>
          <w:ilvl w:val="0"/>
          <w:numId w:val="4"/>
        </w:numPr>
        <w:suppressLineNumbers w:val="0"/>
        <w:spacing w:beforeAutospacing="0"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成本效益分析法：对比项目投入成本与实施产生的社会效益，分析资金投入产出匹配程度，评价财政资金使用经济性。</w:t>
      </w:r>
    </w:p>
    <w:p>
      <w:pPr>
        <w:keepNext w:val="0"/>
        <w:keepLines w:val="0"/>
        <w:widowControl/>
        <w:numPr>
          <w:ilvl w:val="0"/>
          <w:numId w:val="4"/>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比较法：将项目绩效目标、年度实际完成情况、历史同期水平进行对比，核查产出指标完成进度，判断项目实施成效。</w:t>
      </w:r>
    </w:p>
    <w:p>
      <w:pPr>
        <w:keepNext w:val="0"/>
        <w:keepLines w:val="0"/>
        <w:widowControl/>
        <w:numPr>
          <w:ilvl w:val="0"/>
          <w:numId w:val="4"/>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因素分析法：梳理影响项目实施的人员、经费、环境等因素，分析绩效目标未达标或发生偏差的</w:t>
      </w:r>
      <w:r>
        <w:rPr>
          <w:rFonts w:hint="eastAsia" w:eastAsia="仿宋_GB2312" w:cs="仿宋_GB2312"/>
          <w:b w:val="0"/>
          <w:bCs w:val="0"/>
          <w:kern w:val="0"/>
          <w:position w:val="0"/>
          <w:sz w:val="32"/>
          <w:szCs w:val="32"/>
          <w:highlight w:val="none"/>
          <w:lang w:val="zh-CN" w:eastAsia="zh-CN" w:bidi="ar-SA"/>
        </w:rPr>
        <w:t>原</w:t>
      </w:r>
      <w:bookmarkStart w:id="65" w:name="_GoBack"/>
      <w:bookmarkEnd w:id="65"/>
      <w:r>
        <w:rPr>
          <w:rFonts w:hint="eastAsia" w:ascii="Times New Roman" w:hAnsi="Times New Roman" w:eastAsia="仿宋_GB2312" w:cs="仿宋_GB2312"/>
          <w:b w:val="0"/>
          <w:bCs w:val="0"/>
          <w:kern w:val="0"/>
          <w:position w:val="0"/>
          <w:sz w:val="32"/>
          <w:szCs w:val="32"/>
          <w:highlight w:val="none"/>
          <w:lang w:val="zh-CN" w:eastAsia="zh-CN" w:bidi="ar-SA"/>
        </w:rPr>
        <w:t>因。</w:t>
      </w:r>
    </w:p>
    <w:p>
      <w:pPr>
        <w:keepNext w:val="0"/>
        <w:keepLines w:val="0"/>
        <w:widowControl/>
        <w:numPr>
          <w:ilvl w:val="0"/>
          <w:numId w:val="4"/>
        </w:numPr>
        <w:suppressLineNumbers w:val="0"/>
        <w:spacing w:before="0" w:beforeAutospacing="1" w:afterAutospacing="0"/>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公众评判法：通过问卷调查、座谈走访等方式，面向职工、基层工会干部收集意见，评价职工满意度、普惠服务成效。</w:t>
      </w:r>
    </w:p>
    <w:p>
      <w:pPr>
        <w:pStyle w:val="17"/>
        <w:keepNext w:val="0"/>
        <w:keepLines w:val="0"/>
        <w:widowControl/>
        <w:suppressLineNumbers w:val="0"/>
        <w:spacing w:before="0" w:beforeAutospacing="0" w:after="0" w:afterAutospacing="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评价工作按照资料核查、实地调研、指标打分、综合评议的流程实施，对照设定的绩效指标逐项量化评分，客观形成评价结论，并针对存在问题提出改进措施。</w:t>
      </w:r>
    </w:p>
    <w:p>
      <w:pPr>
        <w:keepNext w:val="0"/>
        <w:keepLines w:val="0"/>
        <w:pageBreakBefore w:val="0"/>
        <w:widowControl w:val="0"/>
        <w:kinsoku/>
        <w:wordWrap/>
        <w:overflowPunct/>
        <w:topLinePunct w:val="0"/>
        <w:autoSpaceDE/>
        <w:autoSpaceDN/>
        <w:bidi w:val="0"/>
        <w:spacing w:beforeAutospacing="0"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本次项目绩效评价由壤塘县总工会组织实施，成立绩效评价工作小组，负责本次绩效评价工作的统筹安排、资料收集、指标核对、现场核查、综合评议及绩效评价报告编制等工作。评价工作严格按照预算绩效管理相关制度规定开展，独立客观开展评价，确保评价结果真实、准确。</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2025 年度壤塘县总工会项目资金总体执行较好，项目实施基本完成预设绩效目标。项目聚焦职工维权帮扶、普惠服务、劳模宣传慰问、基层工会阵地建设、职工文体活动等重点工作，切实维护职工合法权益，丰富职工精神文化生活，提升基层工会组织活力，服务职工群众社会效益明显，职工满意度达到预期水平。</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从产出情况看，各项活动开展、慰问帮扶、基层工会建设等产出任务按计划推进，资金支出基本匹配项目实施进度。但受地域条件、人员统筹等因素影响，部分项目实施节奏存在波动，个别指标完成质量仍有提升空间</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项目管理。从效益层面分析，项目资金保障了工会主责主业落地，有效发挥工会桥梁纽带作用，增强职工归属感与凝聚力。同时在预算执行、项目前期谋划方面仍存在短板，绩效精细化管理有待持续加强</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项目各项指标完成质量良好，绩效目标完成率达100%，各项工作无目标偏差问题，全流程按照预设时间节点落地实施，服务时效满足日常运营要求。项目完成后同步开展成效复盘与工作总结，充分发挥后勤保障作用，持续优化职工就餐体验，切实改善职工就餐条件，有效保障干部职工日常后勤需求。</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下一步，将以绩效评价结果为导向，优化项目立项谋划，细化绩效指标设置，强化预算执行动态监控，加快资金拨付使用，补齐管理薄弱环节，持续提升财政资金配置效率和使用效益。</w:t>
      </w:r>
    </w:p>
    <w:p>
      <w:pPr>
        <w:pStyle w:val="17"/>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根据专项预算项目资金支持对象选择所属指标进行绩效分析。本年度壤塘县总工会专项预算资金支持对象主要为行政运转、民生保障两类，具体分析如下：</w:t>
      </w:r>
    </w:p>
    <w:p>
      <w:pPr>
        <w:keepNext w:val="0"/>
        <w:keepLines w:val="0"/>
        <w:widowControl/>
        <w:numPr>
          <w:ilvl w:val="0"/>
          <w:numId w:val="5"/>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kern w:val="0"/>
          <w:sz w:val="32"/>
          <w:szCs w:val="32"/>
          <w:highlight w:val="none"/>
          <w:u w:val="none"/>
          <w:lang w:val="zh-CN" w:eastAsia="zh-CN" w:bidi="ar"/>
        </w:rPr>
        <w:t>产业发展：</w:t>
      </w:r>
      <w:r>
        <w:rPr>
          <w:rFonts w:hint="eastAsia" w:ascii="Times New Roman" w:hAnsi="Times New Roman" w:eastAsia="仿宋_GB2312" w:cs="仿宋_GB2312"/>
          <w:b w:val="0"/>
          <w:bCs w:val="0"/>
          <w:kern w:val="0"/>
          <w:position w:val="0"/>
          <w:sz w:val="32"/>
          <w:szCs w:val="32"/>
          <w:highlight w:val="none"/>
          <w:lang w:val="zh-CN" w:eastAsia="zh-CN" w:bidi="ar-SA"/>
        </w:rPr>
        <w:t>本年度无产业发展类专项项目，不作相关分析。</w:t>
      </w:r>
    </w:p>
    <w:p>
      <w:pPr>
        <w:keepNext w:val="0"/>
        <w:keepLines w:val="0"/>
        <w:widowControl/>
        <w:numPr>
          <w:ilvl w:val="0"/>
          <w:numId w:val="5"/>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kern w:val="0"/>
          <w:sz w:val="32"/>
          <w:szCs w:val="32"/>
          <w:highlight w:val="none"/>
          <w:u w:val="none"/>
          <w:lang w:val="zh-CN" w:eastAsia="zh-CN" w:bidi="ar"/>
        </w:rPr>
        <w:t>民生保障：</w:t>
      </w:r>
      <w:r>
        <w:rPr>
          <w:rFonts w:hint="eastAsia" w:ascii="Times New Roman" w:hAnsi="Times New Roman" w:eastAsia="仿宋_GB2312" w:cs="仿宋_GB2312"/>
          <w:b w:val="0"/>
          <w:bCs w:val="0"/>
          <w:kern w:val="0"/>
          <w:position w:val="0"/>
          <w:sz w:val="32"/>
          <w:szCs w:val="32"/>
          <w:highlight w:val="none"/>
          <w:lang w:val="zh-CN" w:eastAsia="zh-CN" w:bidi="ar-SA"/>
        </w:rPr>
        <w:t>围绕区域均衡性、对象精准性、标准合理性、群众满意度开展分析。项目资金重点用于困难职工帮扶、劳模慰问、职工普惠服务、基层工会服务等</w:t>
      </w:r>
      <w:r>
        <w:rPr>
          <w:rFonts w:hint="eastAsia" w:eastAsia="仿宋_GB2312" w:cs="仿宋_GB2312"/>
          <w:b w:val="0"/>
          <w:bCs w:val="0"/>
          <w:kern w:val="0"/>
          <w:position w:val="0"/>
          <w:sz w:val="32"/>
          <w:szCs w:val="32"/>
          <w:highlight w:val="none"/>
          <w:lang w:val="zh-CN" w:eastAsia="zh-CN" w:bidi="ar-SA"/>
        </w:rPr>
        <w:t>民生事项</w:t>
      </w:r>
      <w:r>
        <w:rPr>
          <w:rFonts w:hint="eastAsia" w:ascii="Times New Roman" w:hAnsi="Times New Roman" w:eastAsia="仿宋_GB2312" w:cs="仿宋_GB2312"/>
          <w:b w:val="0"/>
          <w:bCs w:val="0"/>
          <w:kern w:val="0"/>
          <w:position w:val="0"/>
          <w:sz w:val="32"/>
          <w:szCs w:val="32"/>
          <w:highlight w:val="none"/>
          <w:lang w:val="zh-CN" w:eastAsia="zh-CN" w:bidi="ar-SA"/>
        </w:rPr>
        <w:t>。项目实施统筹兼顾县域不同乡镇基层工会及职工群体，资源投放兼顾区域均衡；帮扶慰问对象严格按条件筛选审核，做到对象精准识别；慰问、帮扶标准参照相关政策合理制定；通过走访、座谈等方式收集职工反馈，职工满意度达到预期目标。</w:t>
      </w:r>
    </w:p>
    <w:p>
      <w:pPr>
        <w:keepNext w:val="0"/>
        <w:keepLines w:val="0"/>
        <w:widowControl/>
        <w:numPr>
          <w:ilvl w:val="0"/>
          <w:numId w:val="5"/>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kern w:val="0"/>
          <w:sz w:val="32"/>
          <w:szCs w:val="32"/>
          <w:highlight w:val="none"/>
          <w:u w:val="none"/>
          <w:lang w:val="zh-CN" w:eastAsia="zh-CN" w:bidi="ar"/>
        </w:rPr>
        <w:t>基础设施：</w:t>
      </w:r>
      <w:r>
        <w:rPr>
          <w:rFonts w:hint="eastAsia" w:ascii="Times New Roman" w:hAnsi="Times New Roman" w:eastAsia="仿宋_GB2312" w:cs="仿宋_GB2312"/>
          <w:b w:val="0"/>
          <w:bCs w:val="0"/>
          <w:kern w:val="0"/>
          <w:position w:val="0"/>
          <w:sz w:val="32"/>
          <w:szCs w:val="32"/>
          <w:highlight w:val="none"/>
          <w:lang w:val="zh-CN" w:eastAsia="zh-CN" w:bidi="ar-SA"/>
        </w:rPr>
        <w:t>本年度无基础设施类专项项目，不作相关分析。</w:t>
      </w:r>
    </w:p>
    <w:p>
      <w:pPr>
        <w:keepNext w:val="0"/>
        <w:keepLines w:val="0"/>
        <w:widowControl/>
        <w:numPr>
          <w:ilvl w:val="0"/>
          <w:numId w:val="5"/>
        </w:numPr>
        <w:suppressLineNumbers w:val="0"/>
        <w:spacing w:before="0" w:beforeAutospacing="1" w:after="0" w:afterAutospacing="1"/>
        <w:ind w:left="720" w:hanging="36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0"/>
          <w:sz w:val="32"/>
          <w:szCs w:val="32"/>
          <w:highlight w:val="none"/>
          <w:u w:val="none"/>
          <w:lang w:val="zh-CN" w:eastAsia="zh-CN" w:bidi="ar"/>
        </w:rPr>
        <w:t>行政运转：</w:t>
      </w:r>
      <w:r>
        <w:rPr>
          <w:rFonts w:hint="eastAsia" w:ascii="Times New Roman" w:hAnsi="Times New Roman" w:eastAsia="仿宋_GB2312" w:cs="仿宋_GB2312"/>
          <w:b w:val="0"/>
          <w:bCs w:val="0"/>
          <w:kern w:val="0"/>
          <w:position w:val="0"/>
          <w:sz w:val="32"/>
          <w:szCs w:val="32"/>
          <w:highlight w:val="none"/>
          <w:lang w:val="zh-CN" w:eastAsia="zh-CN" w:bidi="ar-SA"/>
        </w:rPr>
        <w:t>围绕用途合规性、程序合规性、标准合规性开展分析。资金严格按照工会机关运行保障相关规定使用，资金用途符合预算批复范围，主要用于工会日常办公、人员保障、业务开展等。经费支出审批流程完整，严格执行国库集中支付、经费报销内控管理程序。各项支出执行现行财政及工会经费开支标准，未发生超标准开支情况，保障机关正常履职运转。</w:t>
      </w:r>
    </w:p>
    <w:p>
      <w:pPr>
        <w:pStyle w:val="17"/>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结合壤塘县总工会职能职责及年度专项项目实施内容，对照项目设定的个性绩效指标开展分析。本年度个性指标主要包含困难职工帮扶、劳模服务、基层工会建设、职工文体活动、工会维权服务等产出与效益指标。</w:t>
      </w:r>
    </w:p>
    <w:p>
      <w:pPr>
        <w:pStyle w:val="17"/>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从指标完成情况看，各项个性指标总体完成较好。困难职工走访慰问、普惠服务、政策宣传等产出任务按计划落实，切实把工会服务送到基层职工身边；基层工会组织规范化建设持续推进，基层工会活力得到提升；通过开展职工文体活动，丰富职工精神文化生活，维护职工队伍稳定。</w:t>
      </w:r>
    </w:p>
    <w:p>
      <w:pPr>
        <w:pStyle w:val="17"/>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部分个性指标受县域地域广、人员分散等客观因素影响，指标完成时效存在一定偏差。后续将进一步细化个性指标设置，指标设定更加贴合工会工作实际，加强项目实施过程管控，紧盯个性指标完成进度，强化动态跟踪，确保各项个性绩效指标全面落地，更好发挥工会服务职工群众职能。</w:t>
      </w:r>
    </w:p>
    <w:p>
      <w:pPr>
        <w:pStyle w:val="17"/>
        <w:keepNext w:val="0"/>
        <w:keepLines w:val="0"/>
        <w:widowControl/>
        <w:suppressLineNumbers w:val="0"/>
        <w:ind w:firstLine="320" w:firstLineChars="100"/>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pStyle w:val="17"/>
        <w:keepNext w:val="0"/>
        <w:keepLines w:val="0"/>
        <w:widowControl/>
        <w:suppressLineNumbers w:val="0"/>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2025 年度壤塘县总工会预算项目整体绩效评价结论为良好。项目资金管理规范，资金使用符合预算批复及工会经费管理相关规定，预算资金基本足额执行。项目围绕工会维权服务、困难职工帮扶、劳模慰问、基层工会建设、机关运转保障等职能开展实施，较好完成年度既定绩效目标，有效发挥工会桥梁纽带作用，切实维护职工合法权益，提升职工普惠服务水平，取得良好社会效益。</w:t>
      </w:r>
    </w:p>
    <w:p>
      <w:pPr>
        <w:pStyle w:val="17"/>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同时，绩效实施过程中仍存在不足：一是部分项目前期谋划不够精细，个性绩效指标设置的量化程度有待提升；二是受县域地理条件限制，个别项目实施进度统筹有待加强</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一是绩效指标精细化程度不足。部分个性绩效指标量化不够，指标设置偏笼统，对项目成效的衡量不够精准，绩效目标前瞻性有待加强。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 xml:space="preserve"> 二是项目实施统筹难度较大。县域地域广、职工分布分散，部分职工服务、基层走访类项目推进节奏不均衡，项目实施进度管控有待加强。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三是绩效过程监控深度不够。绩效运行监控多侧重于资金支出进度核查，对项目产出、效益实现情况跟踪分析不够全面，绩效动态纠偏能力有待提升。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 xml:space="preserve"> 四是项目成果转化有待深化。部分普惠服务、文体活动项目重实施开展，后续成效跟踪总结不足，绩效结果应用还需进一步做实</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afterAutospacing="0"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一是优化绩效指标设置，提升指标精细化水平。针对部分个性指标量化不足问题，在下年度预算编制阶段，结合工会项目实际，科学设计可量化、可考核的绩效指标，细化指标值，增强绩效目标针对性与前瞻性，提高绩效指标可衡量性。</w:t>
      </w:r>
    </w:p>
    <w:p>
      <w:pPr>
        <w:pStyle w:val="17"/>
        <w:keepNext w:val="0"/>
        <w:keepLines w:val="0"/>
        <w:widowControl/>
        <w:suppressLineNumbers w:val="0"/>
        <w:spacing w:after="0" w:afterAutospacing="0"/>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二是强化项目统筹谋划，有序推进项目实施。针对县域地域广、职工分散、项目进度不均衡问题，提前制定年度项目实施方案，合理安排项目实施时序，分阶段谋划开展帮扶慰问、基层走访、职工活动，加强事前统筹调度，保障项目均衡推进。</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三是做实绩效运行监控，健全动态纠偏机制。针对绩效监控偏重资金进度、对产出效益跟踪不全面问题，完善绩效监控内容，同步跟踪资金支出、项目产出、社会效益，定期开展绩效分析，发现绩效偏差及时采取纠偏措施。</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四是深化绩效结果运用，做好项目成效跟踪。针对项目重实施、轻后续成效总结问题，建立项目实施后的成效回访机制，及时收集职工反馈，总结项目经验做法，将绩效自评结果作为下一年度项目立项、预算安排的重要依据，提升资金配置效益。</w:t>
      </w:r>
    </w:p>
    <w:p>
      <w:pPr>
        <w:keepNext w:val="0"/>
        <w:keepLines w:val="0"/>
        <w:pageBreakBefore w:val="0"/>
        <w:widowControl w:val="0"/>
        <w:kinsoku/>
        <w:wordWrap/>
        <w:overflowPunct/>
        <w:topLinePunct w:val="0"/>
        <w:autoSpaceDE/>
        <w:autoSpaceDN/>
        <w:bidi w:val="0"/>
        <w:spacing w:beforeAutospacing="0"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9"/>
      <w:bookmarkEnd w:id="51"/>
      <w:bookmarkStart w:id="52"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483072"/>
    <w:multiLevelType w:val="multilevel"/>
    <w:tmpl w:val="C94830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3A7E5DD"/>
    <w:multiLevelType w:val="singleLevel"/>
    <w:tmpl w:val="D3A7E5DD"/>
    <w:lvl w:ilvl="0" w:tentative="0">
      <w:start w:val="2"/>
      <w:numFmt w:val="chineseCounting"/>
      <w:suff w:val="space"/>
      <w:lvlText w:val="第%1部分"/>
      <w:lvlJc w:val="left"/>
      <w:rPr>
        <w:rFonts w:hint="eastAsia"/>
      </w:rPr>
    </w:lvl>
  </w:abstractNum>
  <w:abstractNum w:abstractNumId="2">
    <w:nsid w:val="0DF2F626"/>
    <w:multiLevelType w:val="singleLevel"/>
    <w:tmpl w:val="0DF2F626"/>
    <w:lvl w:ilvl="0" w:tentative="0">
      <w:start w:val="1"/>
      <w:numFmt w:val="chineseCounting"/>
      <w:suff w:val="nothing"/>
      <w:lvlText w:val="%1、"/>
      <w:lvlJc w:val="left"/>
      <w:rPr>
        <w:rFonts w:hint="eastAsia"/>
      </w:rPr>
    </w:lvl>
  </w:abstractNum>
  <w:abstractNum w:abstractNumId="3">
    <w:nsid w:val="3F38D5E7"/>
    <w:multiLevelType w:val="multilevel"/>
    <w:tmpl w:val="3F38D5E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40C4C0E1"/>
    <w:multiLevelType w:val="singleLevel"/>
    <w:tmpl w:val="40C4C0E1"/>
    <w:lvl w:ilvl="0" w:tentative="0">
      <w:start w:val="1"/>
      <w:numFmt w:val="chineseCounting"/>
      <w:suff w:val="nothing"/>
      <w:lvlText w:val="%1、"/>
      <w:lvlJc w:val="left"/>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514610"/>
    <w:rsid w:val="04497264"/>
    <w:rsid w:val="061E35DE"/>
    <w:rsid w:val="064F2C3F"/>
    <w:rsid w:val="066E0107"/>
    <w:rsid w:val="06AC1E40"/>
    <w:rsid w:val="07996F6E"/>
    <w:rsid w:val="07C66F31"/>
    <w:rsid w:val="07DFD8BA"/>
    <w:rsid w:val="082F683F"/>
    <w:rsid w:val="0885361F"/>
    <w:rsid w:val="08DB07E4"/>
    <w:rsid w:val="09344859"/>
    <w:rsid w:val="09534F93"/>
    <w:rsid w:val="09867E8F"/>
    <w:rsid w:val="0A2032A3"/>
    <w:rsid w:val="0AE55920"/>
    <w:rsid w:val="0AEC64A7"/>
    <w:rsid w:val="0B4A640A"/>
    <w:rsid w:val="0C6C4794"/>
    <w:rsid w:val="0CA8290A"/>
    <w:rsid w:val="0D35B1ED"/>
    <w:rsid w:val="0D54204B"/>
    <w:rsid w:val="0DE07E2B"/>
    <w:rsid w:val="0DF21B32"/>
    <w:rsid w:val="0E0830D6"/>
    <w:rsid w:val="0E982C22"/>
    <w:rsid w:val="0F98263C"/>
    <w:rsid w:val="101860EC"/>
    <w:rsid w:val="10505F32"/>
    <w:rsid w:val="10C055FF"/>
    <w:rsid w:val="111807FE"/>
    <w:rsid w:val="11772AA4"/>
    <w:rsid w:val="118107EC"/>
    <w:rsid w:val="12070D49"/>
    <w:rsid w:val="125D4F01"/>
    <w:rsid w:val="12D26396"/>
    <w:rsid w:val="13D50BC4"/>
    <w:rsid w:val="14022904"/>
    <w:rsid w:val="152F2A07"/>
    <w:rsid w:val="15565D98"/>
    <w:rsid w:val="165E0673"/>
    <w:rsid w:val="16BB723D"/>
    <w:rsid w:val="17072AF7"/>
    <w:rsid w:val="172D4EF5"/>
    <w:rsid w:val="1760327D"/>
    <w:rsid w:val="18144F9D"/>
    <w:rsid w:val="186504BB"/>
    <w:rsid w:val="186D55EC"/>
    <w:rsid w:val="1938089F"/>
    <w:rsid w:val="19991ECB"/>
    <w:rsid w:val="19A445FC"/>
    <w:rsid w:val="1A037B71"/>
    <w:rsid w:val="1A555B45"/>
    <w:rsid w:val="1A8C6714"/>
    <w:rsid w:val="1AF7062E"/>
    <w:rsid w:val="1B4D719A"/>
    <w:rsid w:val="1B7D550C"/>
    <w:rsid w:val="1BE8440E"/>
    <w:rsid w:val="1D155CEE"/>
    <w:rsid w:val="1D2E3839"/>
    <w:rsid w:val="1E0F5117"/>
    <w:rsid w:val="1E740ACF"/>
    <w:rsid w:val="1F8020B9"/>
    <w:rsid w:val="1FF35744"/>
    <w:rsid w:val="1FF6BC77"/>
    <w:rsid w:val="209C21C0"/>
    <w:rsid w:val="21962A9E"/>
    <w:rsid w:val="21AE7C77"/>
    <w:rsid w:val="22603F42"/>
    <w:rsid w:val="22BC3C41"/>
    <w:rsid w:val="237F2B6C"/>
    <w:rsid w:val="23860B96"/>
    <w:rsid w:val="240371BF"/>
    <w:rsid w:val="260F557C"/>
    <w:rsid w:val="27E65810"/>
    <w:rsid w:val="281408E2"/>
    <w:rsid w:val="292E5B75"/>
    <w:rsid w:val="29FD04D3"/>
    <w:rsid w:val="2AE62058"/>
    <w:rsid w:val="2B732DA8"/>
    <w:rsid w:val="2BFF7BC6"/>
    <w:rsid w:val="2C1374B2"/>
    <w:rsid w:val="2C2316FC"/>
    <w:rsid w:val="2C560AA7"/>
    <w:rsid w:val="2C8A61B5"/>
    <w:rsid w:val="2D2E01CF"/>
    <w:rsid w:val="2D9B3372"/>
    <w:rsid w:val="2DF04E50"/>
    <w:rsid w:val="2E9545B0"/>
    <w:rsid w:val="2EC1207D"/>
    <w:rsid w:val="2F040D46"/>
    <w:rsid w:val="2F997F1F"/>
    <w:rsid w:val="2FAE5751"/>
    <w:rsid w:val="2FB1A395"/>
    <w:rsid w:val="2FD9A7D8"/>
    <w:rsid w:val="319F7F4E"/>
    <w:rsid w:val="321B2544"/>
    <w:rsid w:val="3304709D"/>
    <w:rsid w:val="34281836"/>
    <w:rsid w:val="349D6851"/>
    <w:rsid w:val="35BA6CAF"/>
    <w:rsid w:val="364D14C1"/>
    <w:rsid w:val="36AA5135"/>
    <w:rsid w:val="36BE0DA7"/>
    <w:rsid w:val="36EE59D9"/>
    <w:rsid w:val="376B6AA6"/>
    <w:rsid w:val="376D39B2"/>
    <w:rsid w:val="37E16F03"/>
    <w:rsid w:val="37F53A3B"/>
    <w:rsid w:val="38367638"/>
    <w:rsid w:val="384220F2"/>
    <w:rsid w:val="389B6C89"/>
    <w:rsid w:val="38B33626"/>
    <w:rsid w:val="38D2334A"/>
    <w:rsid w:val="38D469F0"/>
    <w:rsid w:val="39627CCD"/>
    <w:rsid w:val="396975AB"/>
    <w:rsid w:val="397BAF1F"/>
    <w:rsid w:val="39BE24C9"/>
    <w:rsid w:val="39C46EC5"/>
    <w:rsid w:val="3AB79AF3"/>
    <w:rsid w:val="3B7EF35A"/>
    <w:rsid w:val="3B9FDB6C"/>
    <w:rsid w:val="3BF5BC2F"/>
    <w:rsid w:val="3C683B38"/>
    <w:rsid w:val="3C9D7FFE"/>
    <w:rsid w:val="3CEBA265"/>
    <w:rsid w:val="3D65451B"/>
    <w:rsid w:val="3D98207C"/>
    <w:rsid w:val="3D9B0D99"/>
    <w:rsid w:val="3DDD134C"/>
    <w:rsid w:val="3DEE7CF3"/>
    <w:rsid w:val="3DF02244"/>
    <w:rsid w:val="3DF97B88"/>
    <w:rsid w:val="3E78745D"/>
    <w:rsid w:val="3F32667F"/>
    <w:rsid w:val="3FB6105E"/>
    <w:rsid w:val="3FF4CAE0"/>
    <w:rsid w:val="3FF7B227"/>
    <w:rsid w:val="405A6811"/>
    <w:rsid w:val="40C90E69"/>
    <w:rsid w:val="40E54C45"/>
    <w:rsid w:val="42773E30"/>
    <w:rsid w:val="42944ABD"/>
    <w:rsid w:val="43A407DF"/>
    <w:rsid w:val="44515BEA"/>
    <w:rsid w:val="44E268DA"/>
    <w:rsid w:val="453F7E5B"/>
    <w:rsid w:val="481C5317"/>
    <w:rsid w:val="4848504C"/>
    <w:rsid w:val="485823E2"/>
    <w:rsid w:val="486A6C7A"/>
    <w:rsid w:val="49176D9B"/>
    <w:rsid w:val="492E6109"/>
    <w:rsid w:val="4A627F82"/>
    <w:rsid w:val="4AE667C1"/>
    <w:rsid w:val="4B0233A9"/>
    <w:rsid w:val="4B0A3EE1"/>
    <w:rsid w:val="4B0E749A"/>
    <w:rsid w:val="4B4F25DA"/>
    <w:rsid w:val="4BDA0CFB"/>
    <w:rsid w:val="4BE068DB"/>
    <w:rsid w:val="4D3C0CCC"/>
    <w:rsid w:val="4D5519EA"/>
    <w:rsid w:val="4D577224"/>
    <w:rsid w:val="4DBF1CEB"/>
    <w:rsid w:val="4DF97BE7"/>
    <w:rsid w:val="4E027201"/>
    <w:rsid w:val="4E616263"/>
    <w:rsid w:val="4EAB630A"/>
    <w:rsid w:val="4ECE2238"/>
    <w:rsid w:val="4ED92673"/>
    <w:rsid w:val="4F833267"/>
    <w:rsid w:val="4FE9BD67"/>
    <w:rsid w:val="4FFB052F"/>
    <w:rsid w:val="509951CC"/>
    <w:rsid w:val="50FA4DB3"/>
    <w:rsid w:val="5111450B"/>
    <w:rsid w:val="514F5E63"/>
    <w:rsid w:val="51D92F1D"/>
    <w:rsid w:val="52D010B4"/>
    <w:rsid w:val="53083A92"/>
    <w:rsid w:val="537E6D0A"/>
    <w:rsid w:val="53AF27A2"/>
    <w:rsid w:val="53F74C96"/>
    <w:rsid w:val="56C9121F"/>
    <w:rsid w:val="56E47B74"/>
    <w:rsid w:val="57BD3DD4"/>
    <w:rsid w:val="57DC6A79"/>
    <w:rsid w:val="5A416278"/>
    <w:rsid w:val="5A4222C5"/>
    <w:rsid w:val="5A807902"/>
    <w:rsid w:val="5AF92295"/>
    <w:rsid w:val="5B170624"/>
    <w:rsid w:val="5BD112A2"/>
    <w:rsid w:val="5BDD79E6"/>
    <w:rsid w:val="5BF561CA"/>
    <w:rsid w:val="5BFF5DFC"/>
    <w:rsid w:val="5C474130"/>
    <w:rsid w:val="5CD71FC4"/>
    <w:rsid w:val="5D1F11B5"/>
    <w:rsid w:val="5DAE1B18"/>
    <w:rsid w:val="5DE7D9E5"/>
    <w:rsid w:val="5DF36DA1"/>
    <w:rsid w:val="5E323A67"/>
    <w:rsid w:val="5E8E7BB3"/>
    <w:rsid w:val="5ECEC941"/>
    <w:rsid w:val="5F493CB7"/>
    <w:rsid w:val="5F8E3006"/>
    <w:rsid w:val="5F920D48"/>
    <w:rsid w:val="5FBF9FF3"/>
    <w:rsid w:val="5FCD4E2C"/>
    <w:rsid w:val="5FD15F49"/>
    <w:rsid w:val="5FEF394A"/>
    <w:rsid w:val="5FF67715"/>
    <w:rsid w:val="61FC06FB"/>
    <w:rsid w:val="6232236E"/>
    <w:rsid w:val="6246767E"/>
    <w:rsid w:val="62BF3928"/>
    <w:rsid w:val="62C16532"/>
    <w:rsid w:val="63725D0D"/>
    <w:rsid w:val="647F5392"/>
    <w:rsid w:val="64BB664B"/>
    <w:rsid w:val="664B1D71"/>
    <w:rsid w:val="665A1AAA"/>
    <w:rsid w:val="66B47A3D"/>
    <w:rsid w:val="67AA3209"/>
    <w:rsid w:val="681C4F0D"/>
    <w:rsid w:val="68F42274"/>
    <w:rsid w:val="69046D0F"/>
    <w:rsid w:val="698D0931"/>
    <w:rsid w:val="6A993CED"/>
    <w:rsid w:val="6B053271"/>
    <w:rsid w:val="6BCE6674"/>
    <w:rsid w:val="6C4A05C8"/>
    <w:rsid w:val="6C8742B8"/>
    <w:rsid w:val="6C8A170F"/>
    <w:rsid w:val="6CB54609"/>
    <w:rsid w:val="6DBF5E93"/>
    <w:rsid w:val="6DE8350C"/>
    <w:rsid w:val="6DFF077E"/>
    <w:rsid w:val="6E7E3605"/>
    <w:rsid w:val="6E7FDCC7"/>
    <w:rsid w:val="6EBA5814"/>
    <w:rsid w:val="6ED6A62E"/>
    <w:rsid w:val="6EE00B15"/>
    <w:rsid w:val="6F544B20"/>
    <w:rsid w:val="6F602CB4"/>
    <w:rsid w:val="6F6FB3EB"/>
    <w:rsid w:val="6F784160"/>
    <w:rsid w:val="6F8731EA"/>
    <w:rsid w:val="6FCE6052"/>
    <w:rsid w:val="6FD57C00"/>
    <w:rsid w:val="6FEFFFD8"/>
    <w:rsid w:val="6FF5CC65"/>
    <w:rsid w:val="6FFB47EC"/>
    <w:rsid w:val="6FFF034A"/>
    <w:rsid w:val="70496804"/>
    <w:rsid w:val="712A28F1"/>
    <w:rsid w:val="715C0E4B"/>
    <w:rsid w:val="72233669"/>
    <w:rsid w:val="72273572"/>
    <w:rsid w:val="72734D90"/>
    <w:rsid w:val="7332FE48"/>
    <w:rsid w:val="73AB61DA"/>
    <w:rsid w:val="73AD73D5"/>
    <w:rsid w:val="73B6EB34"/>
    <w:rsid w:val="73BF600B"/>
    <w:rsid w:val="73FA497D"/>
    <w:rsid w:val="74416322"/>
    <w:rsid w:val="744731E5"/>
    <w:rsid w:val="74527205"/>
    <w:rsid w:val="74BBD01D"/>
    <w:rsid w:val="74ED5379"/>
    <w:rsid w:val="74FC2395"/>
    <w:rsid w:val="75947A9A"/>
    <w:rsid w:val="75DEEEC2"/>
    <w:rsid w:val="76E3355F"/>
    <w:rsid w:val="76FF5125"/>
    <w:rsid w:val="772B01CB"/>
    <w:rsid w:val="776F6FFA"/>
    <w:rsid w:val="778769C8"/>
    <w:rsid w:val="77BF5FFA"/>
    <w:rsid w:val="77DB110C"/>
    <w:rsid w:val="77DC22F5"/>
    <w:rsid w:val="78322234"/>
    <w:rsid w:val="78A44DCD"/>
    <w:rsid w:val="79086DAD"/>
    <w:rsid w:val="79974F09"/>
    <w:rsid w:val="79D7FD79"/>
    <w:rsid w:val="79EE5BA4"/>
    <w:rsid w:val="7A347CA2"/>
    <w:rsid w:val="7A894339"/>
    <w:rsid w:val="7ACD62A7"/>
    <w:rsid w:val="7AFF7572"/>
    <w:rsid w:val="7B6C7DFB"/>
    <w:rsid w:val="7BBFBED0"/>
    <w:rsid w:val="7BC3E394"/>
    <w:rsid w:val="7BD429E9"/>
    <w:rsid w:val="7C1F3737"/>
    <w:rsid w:val="7CBFC87B"/>
    <w:rsid w:val="7CFE0F48"/>
    <w:rsid w:val="7D056BA5"/>
    <w:rsid w:val="7D7EC23E"/>
    <w:rsid w:val="7D916348"/>
    <w:rsid w:val="7E2C39AD"/>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496AF"/>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Body Text"/>
    <w:basedOn w:val="1"/>
    <w:next w:val="7"/>
    <w:link w:val="28"/>
    <w:qFormat/>
    <w:uiPriority w:val="99"/>
    <w:pPr>
      <w:spacing w:beforeLines="30"/>
    </w:pPr>
    <w:rPr>
      <w:rFonts w:ascii="仿宋_GB2312" w:eastAsia="仿宋_GB2312"/>
      <w:kern w:val="0"/>
      <w:sz w:val="30"/>
    </w:rPr>
  </w:style>
  <w:style w:type="paragraph" w:customStyle="1" w:styleId="7">
    <w:name w:val="Body Text First Indent1"/>
    <w:basedOn w:val="6"/>
    <w:qFormat/>
    <w:uiPriority w:val="0"/>
    <w:pPr>
      <w:ind w:firstLine="100" w:firstLineChars="100"/>
    </w:p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4\Documents\xwechat_files\wxid_0lqrjbzl20wi21_ad74\msg\file\2026-10\code_20261015(1).csv"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4\Documents\xwechat_files\wxid_0lqrjbzl20wi21_ad74\msg\file\2026-10\code_20261015(2).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manualLayout>
          <c:layoutTarget val="inner"/>
          <c:xMode val="edge"/>
          <c:yMode val="edge"/>
          <c:x val="0.138323574475134"/>
          <c:y val="0.190846560846561"/>
          <c:w val="0.79771052631579"/>
          <c:h val="0.638796296296296"/>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errBars>
            <c:errBarType val="both"/>
            <c:errValType val="stdErr"/>
            <c:noEndCap val="0"/>
            <c:spPr>
              <a:noFill/>
              <a:ln w="9525" cap="flat" cmpd="sng" algn="ctr">
                <a:solidFill>
                  <a:schemeClr val="tx1">
                    <a:lumMod val="65000"/>
                    <a:lumOff val="35000"/>
                  </a:schemeClr>
                </a:solidFill>
                <a:round/>
              </a:ln>
              <a:effectLst/>
            </c:spPr>
          </c:errBars>
          <c:cat>
            <c:strRef>
              <c:f>'code_20261015(1).csv'!$A$1:$A$3</c:f>
              <c:strCache>
                <c:ptCount val="3"/>
                <c:pt idx="0">
                  <c:v>决算总计（万元）</c:v>
                </c:pt>
                <c:pt idx="1">
                  <c:v>2024年</c:v>
                </c:pt>
                <c:pt idx="2">
                  <c:v>2025年</c:v>
                </c:pt>
              </c:strCache>
            </c:strRef>
          </c:cat>
          <c:val>
            <c:numRef>
              <c:f>'code_20261015(1).csv'!$B$1:$B$3</c:f>
              <c:numCache>
                <c:formatCode>General</c:formatCode>
                <c:ptCount val="3"/>
                <c:pt idx="1">
                  <c:v>221.38</c:v>
                </c:pt>
                <c:pt idx="2">
                  <c:v>228.54</c:v>
                </c:pt>
              </c:numCache>
            </c:numRef>
          </c:val>
        </c:ser>
        <c:dLbls>
          <c:showLegendKey val="0"/>
          <c:showVal val="1"/>
          <c:showCatName val="0"/>
          <c:showSerName val="0"/>
          <c:showPercent val="0"/>
          <c:showBubbleSize val="0"/>
        </c:dLbls>
        <c:gapWidth val="216"/>
        <c:overlap val="-32"/>
        <c:axId val="922917896"/>
        <c:axId val="17267270"/>
      </c:barChart>
      <c:catAx>
        <c:axId val="92291789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67270"/>
        <c:crosses val="autoZero"/>
        <c:auto val="1"/>
        <c:lblAlgn val="ctr"/>
        <c:lblOffset val="100"/>
        <c:noMultiLvlLbl val="0"/>
      </c:catAx>
      <c:valAx>
        <c:axId val="1726727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9178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收入决算情况图</a:t>
            </a:r>
          </a:p>
        </c:rich>
      </c:tx>
      <c:layout/>
      <c:overlay val="0"/>
      <c:spPr>
        <a:noFill/>
        <a:ln>
          <a:noFill/>
        </a:ln>
        <a:effectLst/>
      </c:spPr>
    </c:title>
    <c:autoTitleDeleted val="0"/>
    <c:plotArea>
      <c:layout/>
      <c:barChart>
        <c:barDir val="col"/>
        <c:grouping val="clustered"/>
        <c:varyColors val="0"/>
        <c:ser>
          <c:idx val="0"/>
          <c:order val="0"/>
          <c:tx>
            <c:strRef>
              <c:f>'code_20261015(2).csv'!$B$1</c:f>
              <c:strCache>
                <c:ptCount val="1"/>
                <c:pt idx="0">
                  <c:v>金额（万元）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'code_20261015(2).csv'!$A$2:$A$3</c:f>
              <c:strCache>
                <c:ptCount val="2"/>
                <c:pt idx="0">
                  <c:v>一般公共预算财政拨款收入</c:v>
                </c:pt>
                <c:pt idx="1">
                  <c:v>其他收入</c:v>
                </c:pt>
              </c:strCache>
            </c:strRef>
          </c:cat>
          <c:val>
            <c:numRef>
              <c:f>'code_20261015(2).csv'!$B$2:$B$3</c:f>
              <c:numCache>
                <c:formatCode>General</c:formatCode>
                <c:ptCount val="2"/>
                <c:pt idx="0">
                  <c:v>221.04</c:v>
                </c:pt>
                <c:pt idx="1">
                  <c:v>7.5</c:v>
                </c:pt>
              </c:numCache>
            </c:numRef>
          </c:val>
        </c:ser>
        <c:dLbls>
          <c:showLegendKey val="0"/>
          <c:showVal val="1"/>
          <c:showCatName val="0"/>
          <c:showSerName val="0"/>
          <c:showPercent val="0"/>
          <c:showBubbleSize val="0"/>
        </c:dLbls>
        <c:gapWidth val="246"/>
        <c:overlap val="-28"/>
        <c:axId val="539439710"/>
        <c:axId val="561697791"/>
      </c:barChart>
      <c:catAx>
        <c:axId val="53943971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697791"/>
        <c:crosses val="autoZero"/>
        <c:auto val="1"/>
        <c:lblAlgn val="ctr"/>
        <c:lblOffset val="100"/>
        <c:noMultiLvlLbl val="0"/>
      </c:catAx>
      <c:valAx>
        <c:axId val="56169779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43971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13283</Words>
  <Characters>14228</Characters>
  <Lines>61</Lines>
  <Paragraphs>17</Paragraphs>
  <TotalTime>17</TotalTime>
  <ScaleCrop>false</ScaleCrop>
  <LinksUpToDate>false</LinksUpToDate>
  <CharactersWithSpaces>14323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2026-10-16T16:37:46Z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eyJoZGlkIjoiZDgxNjZkNjdlMmYwYjIxMGJlOGJkZDhlYWU5NzY2ZTgiLCJ1c2VySWQiOiI0Nzg1NDExODcifQ==</vt:lpwstr>
  </property>
</Properties>
</file>