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4" w:line="238" w:lineRule="auto"/>
        <w:ind w:left="1433" w:right="671" w:hanging="1400"/>
        <w:outlineLvl w:val="0"/>
        <w:rPr>
          <w:rFonts w:ascii="黑体" w:hAnsi="黑体" w:eastAsia="黑体" w:cs="黑体"/>
          <w:spacing w:val="51"/>
          <w:sz w:val="66"/>
          <w:szCs w:val="66"/>
        </w:rPr>
      </w:pPr>
      <w:r>
        <w:rPr>
          <w:rFonts w:ascii="黑体" w:hAnsi="黑体" w:eastAsia="黑体" w:cs="黑体"/>
          <w:spacing w:val="73"/>
          <w:sz w:val="66"/>
          <w:szCs w:val="66"/>
        </w:rPr>
        <w:t>中共壤塘县委政法委员会</w:t>
      </w:r>
      <w:r>
        <w:rPr>
          <w:rFonts w:hint="eastAsia" w:ascii="黑体" w:hAnsi="黑体" w:eastAsia="黑体" w:cs="黑体"/>
          <w:spacing w:val="51"/>
          <w:sz w:val="66"/>
          <w:szCs w:val="66"/>
          <w:lang w:eastAsia="zh-CN"/>
        </w:rPr>
        <w:t>2025年</w:t>
      </w:r>
      <w:r>
        <w:rPr>
          <w:rFonts w:ascii="黑体" w:hAnsi="黑体" w:eastAsia="黑体" w:cs="黑体"/>
          <w:spacing w:val="51"/>
          <w:sz w:val="66"/>
          <w:szCs w:val="66"/>
        </w:rPr>
        <w:t>部门预算</w:t>
      </w:r>
    </w:p>
    <w:p>
      <w:pPr>
        <w:spacing w:before="214" w:line="238" w:lineRule="auto"/>
        <w:ind w:left="1433" w:right="671" w:hanging="1400"/>
        <w:outlineLvl w:val="0"/>
        <w:rPr>
          <w:rFonts w:ascii="黑体" w:hAnsi="黑体" w:eastAsia="黑体" w:cs="黑体"/>
          <w:spacing w:val="51"/>
          <w:sz w:val="66"/>
          <w:szCs w:val="66"/>
        </w:rPr>
      </w:pPr>
    </w:p>
    <w:p>
      <w:pPr>
        <w:spacing w:before="214" w:line="238" w:lineRule="auto"/>
        <w:ind w:left="1433" w:right="671" w:hanging="1400"/>
        <w:outlineLvl w:val="0"/>
        <w:rPr>
          <w:rFonts w:ascii="黑体" w:hAnsi="黑体" w:eastAsia="黑体" w:cs="黑体"/>
          <w:spacing w:val="51"/>
          <w:sz w:val="66"/>
          <w:szCs w:val="66"/>
        </w:rPr>
      </w:pPr>
    </w:p>
    <w:p>
      <w:pPr>
        <w:spacing w:before="214" w:line="238" w:lineRule="auto"/>
        <w:ind w:left="1433" w:right="671" w:hanging="1400"/>
        <w:outlineLvl w:val="0"/>
        <w:rPr>
          <w:rFonts w:ascii="黑体" w:hAnsi="黑体" w:eastAsia="黑体" w:cs="黑体"/>
          <w:spacing w:val="51"/>
          <w:sz w:val="66"/>
          <w:szCs w:val="66"/>
        </w:rPr>
      </w:pPr>
    </w:p>
    <w:p>
      <w:pPr>
        <w:spacing w:before="214" w:line="238" w:lineRule="auto"/>
        <w:ind w:left="1433" w:right="671" w:hanging="1400"/>
        <w:outlineLvl w:val="0"/>
        <w:rPr>
          <w:rFonts w:ascii="黑体" w:hAnsi="黑体" w:eastAsia="黑体" w:cs="黑体"/>
          <w:spacing w:val="51"/>
          <w:sz w:val="66"/>
          <w:szCs w:val="66"/>
        </w:rPr>
      </w:pPr>
    </w:p>
    <w:p>
      <w:pPr>
        <w:spacing w:before="214" w:line="238" w:lineRule="auto"/>
        <w:ind w:left="1433" w:right="671" w:hanging="1400"/>
        <w:outlineLvl w:val="0"/>
        <w:rPr>
          <w:rFonts w:ascii="黑体" w:hAnsi="黑体" w:eastAsia="黑体" w:cs="黑体"/>
          <w:spacing w:val="51"/>
          <w:sz w:val="66"/>
          <w:szCs w:val="66"/>
        </w:rPr>
      </w:pPr>
    </w:p>
    <w:p>
      <w:pPr>
        <w:spacing w:before="214" w:line="238" w:lineRule="auto"/>
        <w:ind w:left="1433" w:right="671" w:hanging="1400"/>
        <w:outlineLvl w:val="0"/>
        <w:rPr>
          <w:rFonts w:ascii="黑体" w:hAnsi="黑体" w:eastAsia="黑体" w:cs="黑体"/>
          <w:spacing w:val="51"/>
          <w:sz w:val="66"/>
          <w:szCs w:val="66"/>
          <w:lang w:eastAsia="zh-CN"/>
        </w:rPr>
      </w:pPr>
    </w:p>
    <w:p>
      <w:pPr>
        <w:spacing w:before="214" w:line="238" w:lineRule="auto"/>
        <w:ind w:left="1433" w:right="671" w:hanging="1400"/>
        <w:outlineLvl w:val="0"/>
        <w:rPr>
          <w:rFonts w:ascii="黑体" w:hAnsi="黑体" w:eastAsia="黑体" w:cs="黑体"/>
          <w:spacing w:val="51"/>
          <w:sz w:val="66"/>
          <w:szCs w:val="66"/>
          <w:lang w:eastAsia="zh-CN"/>
        </w:rPr>
      </w:pPr>
    </w:p>
    <w:p>
      <w:pPr>
        <w:spacing w:before="214" w:line="238" w:lineRule="auto"/>
        <w:ind w:left="1433" w:right="671" w:hanging="1400"/>
        <w:outlineLvl w:val="0"/>
        <w:rPr>
          <w:rFonts w:ascii="黑体" w:hAnsi="黑体" w:eastAsia="黑体" w:cs="黑体"/>
          <w:spacing w:val="51"/>
          <w:sz w:val="66"/>
          <w:szCs w:val="66"/>
          <w:lang w:eastAsia="zh-CN"/>
        </w:rPr>
      </w:pPr>
    </w:p>
    <w:p>
      <w:pPr>
        <w:spacing w:before="214" w:line="238" w:lineRule="auto"/>
        <w:ind w:left="105" w:leftChars="50" w:right="671" w:firstLine="1626" w:firstLineChars="300"/>
        <w:outlineLvl w:val="0"/>
        <w:rPr>
          <w:rFonts w:ascii="黑体" w:hAnsi="黑体" w:eastAsia="黑体" w:cs="黑体"/>
          <w:sz w:val="44"/>
          <w:szCs w:val="44"/>
          <w:lang w:eastAsia="zh-CN"/>
        </w:rPr>
      </w:pPr>
      <w:r>
        <w:rPr>
          <w:rFonts w:hint="eastAsia" w:ascii="黑体" w:hAnsi="黑体" w:eastAsia="黑体" w:cs="黑体"/>
          <w:spacing w:val="51"/>
          <w:sz w:val="44"/>
          <w:szCs w:val="44"/>
          <w:lang w:eastAsia="zh-CN"/>
        </w:rPr>
        <w:t>公开时间2025年3月7日</w:t>
      </w: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rPr>
          <w:rFonts w:eastAsiaTheme="minorEastAsia"/>
          <w:lang w:eastAsia="zh-CN"/>
        </w:rPr>
      </w:pPr>
    </w:p>
    <w:p>
      <w:pPr>
        <w:spacing w:line="610" w:lineRule="exact"/>
        <w:rPr>
          <w:rFonts w:eastAsiaTheme="minorEastAsia"/>
          <w:lang w:eastAsia="zh-CN"/>
        </w:rPr>
        <w:sectPr>
          <w:pgSz w:w="11910" w:h="16840"/>
          <w:pgMar w:top="1431" w:right="1350" w:bottom="227" w:left="1786" w:header="0" w:footer="0" w:gutter="0"/>
          <w:cols w:space="720" w:num="1"/>
        </w:sectPr>
      </w:pPr>
    </w:p>
    <w:p>
      <w:pPr>
        <w:spacing w:before="143" w:line="222" w:lineRule="auto"/>
        <w:jc w:val="center"/>
        <w:rPr>
          <w:rFonts w:ascii="黑体" w:hAnsi="黑体" w:eastAsia="黑体" w:cs="黑体"/>
          <w:b/>
          <w:sz w:val="44"/>
          <w:szCs w:val="44"/>
        </w:rPr>
      </w:pPr>
      <w:r>
        <w:rPr>
          <w:rFonts w:ascii="黑体" w:hAnsi="黑体" w:eastAsia="黑体" w:cs="黑体"/>
          <w:b/>
          <w:bCs/>
          <w:spacing w:val="-41"/>
          <w:sz w:val="44"/>
          <w:szCs w:val="44"/>
        </w:rPr>
        <w:t>目录</w:t>
      </w:r>
    </w:p>
    <w:p>
      <w:pPr>
        <w:pStyle w:val="2"/>
        <w:spacing w:line="280" w:lineRule="auto"/>
      </w:pPr>
    </w:p>
    <w:p>
      <w:pPr>
        <w:pStyle w:val="2"/>
        <w:spacing w:line="281" w:lineRule="auto"/>
      </w:pPr>
    </w:p>
    <w:p>
      <w:pPr>
        <w:pStyle w:val="2"/>
        <w:spacing w:line="281" w:lineRule="auto"/>
      </w:pPr>
    </w:p>
    <w:p>
      <w:pPr>
        <w:spacing w:before="101" w:line="222" w:lineRule="auto"/>
        <w:outlineLvl w:val="0"/>
        <w:rPr>
          <w:rFonts w:ascii="黑体" w:hAnsi="黑体" w:eastAsia="黑体" w:cs="黑体"/>
          <w:sz w:val="32"/>
          <w:szCs w:val="32"/>
        </w:rPr>
      </w:pPr>
      <w:r>
        <w:rPr>
          <w:rFonts w:ascii="黑体" w:hAnsi="黑体" w:eastAsia="黑体" w:cs="黑体"/>
          <w:bCs/>
          <w:spacing w:val="-7"/>
          <w:sz w:val="32"/>
          <w:szCs w:val="32"/>
        </w:rPr>
        <w:t>一、基本职能及主要工作</w:t>
      </w:r>
    </w:p>
    <w:p>
      <w:pPr>
        <w:spacing w:before="251" w:line="219" w:lineRule="auto"/>
        <w:rPr>
          <w:rFonts w:ascii="楷体_GB2312" w:hAnsi="宋体" w:eastAsia="楷体_GB2312" w:cs="宋体"/>
          <w:b/>
          <w:sz w:val="31"/>
          <w:szCs w:val="31"/>
        </w:rPr>
      </w:pPr>
      <w:r>
        <w:rPr>
          <w:rFonts w:hint="eastAsia" w:ascii="楷体_GB2312" w:hAnsi="宋体" w:eastAsia="楷体_GB2312" w:cs="宋体"/>
          <w:b/>
          <w:spacing w:val="23"/>
          <w:sz w:val="31"/>
          <w:szCs w:val="31"/>
        </w:rPr>
        <w:t>(一)部门职能简介</w:t>
      </w:r>
    </w:p>
    <w:p>
      <w:pPr>
        <w:spacing w:before="101" w:line="222" w:lineRule="auto"/>
        <w:outlineLvl w:val="0"/>
        <w:rPr>
          <w:rFonts w:ascii="楷体_GB2312" w:hAnsi="仿宋" w:eastAsia="楷体_GB2312" w:cs="仿宋"/>
          <w:b/>
          <w:sz w:val="31"/>
          <w:szCs w:val="31"/>
        </w:rPr>
      </w:pPr>
      <w:r>
        <w:rPr>
          <w:rFonts w:hint="eastAsia" w:ascii="楷体_GB2312" w:hAnsi="仿宋" w:eastAsia="楷体_GB2312" w:cs="仿宋"/>
          <w:b/>
          <w:spacing w:val="21"/>
          <w:position w:val="22"/>
          <w:sz w:val="31"/>
          <w:szCs w:val="31"/>
        </w:rPr>
        <w:t>(二)</w:t>
      </w:r>
      <w:r>
        <w:rPr>
          <w:rFonts w:hint="eastAsia" w:ascii="楷体_GB2312" w:hAnsi="仿宋" w:eastAsia="楷体_GB2312" w:cs="仿宋"/>
          <w:b/>
          <w:spacing w:val="21"/>
          <w:position w:val="22"/>
          <w:sz w:val="31"/>
          <w:szCs w:val="31"/>
          <w:lang w:eastAsia="zh-CN"/>
        </w:rPr>
        <w:t>2025年</w:t>
      </w:r>
      <w:r>
        <w:rPr>
          <w:rFonts w:hint="eastAsia" w:ascii="楷体_GB2312" w:hAnsi="仿宋" w:eastAsia="楷体_GB2312" w:cs="仿宋"/>
          <w:b/>
          <w:spacing w:val="21"/>
          <w:position w:val="22"/>
          <w:sz w:val="31"/>
          <w:szCs w:val="31"/>
        </w:rPr>
        <w:t>重点工作</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二、部门预算单位构成</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三、收支预算情况说明</w:t>
      </w:r>
    </w:p>
    <w:p>
      <w:pPr>
        <w:spacing w:before="101" w:line="222" w:lineRule="auto"/>
        <w:outlineLvl w:val="0"/>
        <w:rPr>
          <w:rFonts w:ascii="楷体_GB2312" w:hAnsi="仿宋" w:eastAsia="楷体_GB2312" w:cs="仿宋"/>
          <w:b/>
          <w:spacing w:val="21"/>
          <w:position w:val="22"/>
          <w:sz w:val="31"/>
          <w:szCs w:val="31"/>
        </w:rPr>
      </w:pPr>
      <w:r>
        <w:rPr>
          <w:rFonts w:ascii="楷体_GB2312" w:hAnsi="仿宋" w:eastAsia="楷体_GB2312" w:cs="仿宋"/>
          <w:b/>
          <w:spacing w:val="21"/>
          <w:position w:val="22"/>
          <w:sz w:val="31"/>
          <w:szCs w:val="31"/>
        </w:rPr>
        <w:t>(一)收入预算情况</w:t>
      </w:r>
    </w:p>
    <w:p>
      <w:pPr>
        <w:spacing w:before="101" w:line="222" w:lineRule="auto"/>
        <w:outlineLvl w:val="0"/>
        <w:rPr>
          <w:rFonts w:ascii="楷体_GB2312" w:hAnsi="仿宋" w:eastAsia="楷体_GB2312" w:cs="仿宋"/>
          <w:b/>
          <w:spacing w:val="21"/>
          <w:position w:val="22"/>
          <w:sz w:val="31"/>
          <w:szCs w:val="31"/>
        </w:rPr>
      </w:pPr>
      <w:r>
        <w:rPr>
          <w:rFonts w:ascii="楷体_GB2312" w:hAnsi="仿宋" w:eastAsia="楷体_GB2312" w:cs="仿宋"/>
          <w:b/>
          <w:spacing w:val="21"/>
          <w:position w:val="22"/>
          <w:sz w:val="31"/>
          <w:szCs w:val="31"/>
        </w:rPr>
        <w:t>(二)支出预算情况</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四、财政拨款收支预算情况说明</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五、一般公共预算当年拨款情况说明</w:t>
      </w:r>
    </w:p>
    <w:p>
      <w:pPr>
        <w:spacing w:before="101" w:line="222" w:lineRule="auto"/>
        <w:outlineLvl w:val="0"/>
        <w:rPr>
          <w:rFonts w:ascii="楷体_GB2312" w:hAnsi="仿宋" w:eastAsia="楷体_GB2312" w:cs="仿宋"/>
          <w:b/>
          <w:spacing w:val="21"/>
          <w:position w:val="22"/>
          <w:sz w:val="31"/>
          <w:szCs w:val="31"/>
        </w:rPr>
      </w:pPr>
      <w:r>
        <w:rPr>
          <w:rFonts w:ascii="楷体_GB2312" w:hAnsi="仿宋" w:eastAsia="楷体_GB2312" w:cs="仿宋"/>
          <w:b/>
          <w:spacing w:val="21"/>
          <w:position w:val="22"/>
          <w:sz w:val="31"/>
          <w:szCs w:val="31"/>
        </w:rPr>
        <w:t>(一)一般公共预算当年拨款规模变化情况</w:t>
      </w:r>
    </w:p>
    <w:p>
      <w:pPr>
        <w:spacing w:before="101" w:line="222" w:lineRule="auto"/>
        <w:outlineLvl w:val="0"/>
        <w:rPr>
          <w:rFonts w:ascii="楷体_GB2312" w:hAnsi="仿宋" w:eastAsia="楷体_GB2312" w:cs="仿宋"/>
          <w:b/>
          <w:spacing w:val="21"/>
          <w:position w:val="22"/>
          <w:sz w:val="31"/>
          <w:szCs w:val="31"/>
        </w:rPr>
      </w:pPr>
      <w:r>
        <w:rPr>
          <w:rFonts w:ascii="楷体_GB2312" w:hAnsi="仿宋" w:eastAsia="楷体_GB2312" w:cs="仿宋"/>
          <w:b/>
          <w:spacing w:val="21"/>
          <w:position w:val="22"/>
          <w:sz w:val="31"/>
          <w:szCs w:val="31"/>
        </w:rPr>
        <w:t>(二)一般公共预算当年拨款结构情况</w:t>
      </w:r>
    </w:p>
    <w:p>
      <w:pPr>
        <w:spacing w:before="101" w:line="222" w:lineRule="auto"/>
        <w:outlineLvl w:val="0"/>
        <w:rPr>
          <w:rFonts w:ascii="楷体_GB2312" w:hAnsi="仿宋" w:eastAsia="楷体_GB2312" w:cs="仿宋"/>
          <w:b/>
          <w:spacing w:val="21"/>
          <w:position w:val="22"/>
          <w:sz w:val="31"/>
          <w:szCs w:val="31"/>
        </w:rPr>
      </w:pPr>
      <w:r>
        <w:rPr>
          <w:rFonts w:ascii="楷体_GB2312" w:hAnsi="仿宋" w:eastAsia="楷体_GB2312" w:cs="仿宋"/>
          <w:b/>
          <w:spacing w:val="21"/>
          <w:position w:val="22"/>
          <w:sz w:val="31"/>
          <w:szCs w:val="31"/>
        </w:rPr>
        <w:t>(三)一般公共预算当年拨款具体使用情况</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六、一般公共预算基本支出情况说明</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七、“三公”经费财政拨款预算安排情况说明</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八、政府性基金预算支出情况说明</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九、其他重要事项的情况说明</w:t>
      </w:r>
    </w:p>
    <w:p>
      <w:pPr>
        <w:spacing w:before="101" w:line="222" w:lineRule="auto"/>
        <w:outlineLvl w:val="0"/>
        <w:rPr>
          <w:rFonts w:ascii="黑体" w:hAnsi="黑体" w:eastAsia="黑体" w:cs="黑体"/>
          <w:bCs/>
          <w:spacing w:val="-7"/>
          <w:sz w:val="32"/>
          <w:szCs w:val="32"/>
        </w:rPr>
      </w:pPr>
      <w:r>
        <w:rPr>
          <w:rFonts w:ascii="黑体" w:hAnsi="黑体" w:eastAsia="黑体" w:cs="黑体"/>
          <w:bCs/>
          <w:spacing w:val="-7"/>
          <w:sz w:val="32"/>
          <w:szCs w:val="32"/>
        </w:rPr>
        <w:t>十、名称解释</w:t>
      </w:r>
    </w:p>
    <w:p>
      <w:pPr>
        <w:spacing w:line="221" w:lineRule="auto"/>
        <w:rPr>
          <w:rFonts w:ascii="黑体" w:hAnsi="黑体" w:eastAsia="黑体" w:cs="黑体"/>
          <w:sz w:val="31"/>
          <w:szCs w:val="31"/>
        </w:rPr>
        <w:sectPr>
          <w:pgSz w:w="12250" w:h="17080"/>
          <w:pgMar w:top="1451" w:right="1837" w:bottom="0" w:left="1794"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(一)政法委职能简介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县委政法委员会是中共壤塘县委领导政法工作的职能部门，县社会治安综合治理工作的常设议事机构。县委政法委员会机关与县社会治安综合治理委员会办公室合署办公。</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组织、指导、协调全县维护社会稳定的工作和组织、工作。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定政法部门的建设规划，研究部门领导班子建设和政法队伍以及纪律作风整顿等工作职能。三是负责机关内外工作联系与综合协调、协助委领导组织政法系统及委机关重大活动，负责机关办公事务，负责党的政法工作方针、政策和各项工作部署的贯彻落实，依法监督政法各部门的政法活动定职能。</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(二)2025年重点工作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一是强化理论武装。</w:t>
      </w:r>
      <w:r>
        <w:rPr>
          <w:rFonts w:hint="eastAsia" w:ascii="仿宋_GB2312" w:hAnsi="仿宋_GB2312" w:eastAsia="仿宋_GB2312" w:cs="仿宋_GB2312"/>
          <w:sz w:val="32"/>
          <w:szCs w:val="32"/>
        </w:rPr>
        <w:t>坚持服务为民，深耕主业提质效。组织干部200余人次深入乡（镇）、村（社区）收集社情民意30余件，解决群众急难愁盼问题35件，发放慰问物资11000元。开展“爱心爸妈”助学结对志愿服务行动，常态化帮助解决结对儿童生活、学习等方面的问题。深入11个乡（镇）对政法力量配备、阵地建设、“微网实格”等基层社会治理开展了综合性调研，提出工作意见建议18条。</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二是强化能力强警。</w:t>
      </w:r>
      <w:r>
        <w:rPr>
          <w:rFonts w:hint="eastAsia" w:ascii="仿宋_GB2312" w:hAnsi="仿宋_GB2312" w:eastAsia="仿宋_GB2312" w:cs="仿宋_GB2312"/>
          <w:sz w:val="32"/>
          <w:szCs w:val="32"/>
        </w:rPr>
        <w:t>举办政法微论坛3期，11名工作人员结合工作职能，谈工作收获、感受、成效及工作短板不足，大家借鉴学习，不断提升工作能力。开展壤塘县“微网实格”工作培训7期，组织各部门、各乡镇前往郫都区综治中心、阿坝州综治中心、小金县等地考察学习</w:t>
      </w:r>
      <w:r>
        <w:rPr>
          <w:rFonts w:hint="eastAsia" w:ascii="仿宋_GB2312" w:hAnsi="仿宋_GB2312" w:eastAsia="仿宋_GB2312" w:cs="仿宋_GB2312"/>
          <w:sz w:val="32"/>
          <w:szCs w:val="32"/>
          <w:lang w:eastAsia="zh-CN"/>
        </w:rPr>
        <w:t>先进经验</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三是精准划分网格。</w:t>
      </w:r>
      <w:r>
        <w:rPr>
          <w:rFonts w:hint="eastAsia" w:ascii="仿宋_GB2312" w:hAnsi="仿宋_GB2312" w:eastAsia="仿宋_GB2312" w:cs="仿宋_GB2312"/>
          <w:sz w:val="32"/>
          <w:szCs w:val="32"/>
        </w:rPr>
        <w:t>坚持“全域覆盖、分类划分、规模适度、动态调整”原则，按照城镇、农村、寺庙、专属四种类型，精准划分网格132个、微网格479个，选优配齐网格力量1596人。</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四是构建网格化服务管理体系。</w:t>
      </w:r>
      <w:r>
        <w:rPr>
          <w:rFonts w:hint="eastAsia" w:ascii="仿宋_GB2312" w:hAnsi="仿宋_GB2312" w:eastAsia="仿宋_GB2312" w:cs="仿宋_GB2312"/>
          <w:sz w:val="32"/>
          <w:szCs w:val="32"/>
        </w:rPr>
        <w:t xml:space="preserve">建立“网格长+微网格长+网格员+网格管理员”服务管理体系，配备网格长120人、微网格长359人、网格管理员171人、网格员1596人，建立网格党支部55个，网格党小组409个，开展全覆盖业务培训7次，推动党政力量和社会力量下沉参与微网实格治理，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五是深化矛盾纠纷多元解纷攻坚。</w:t>
      </w:r>
      <w:r>
        <w:rPr>
          <w:rFonts w:hint="eastAsia" w:ascii="仿宋_GB2312" w:hAnsi="仿宋_GB2312" w:eastAsia="仿宋_GB2312" w:cs="仿宋_GB2312"/>
          <w:sz w:val="32"/>
          <w:szCs w:val="32"/>
        </w:rPr>
        <w:t>常态化开展矛盾纠纷专项行动，充分发挥县多元化解矛盾纠纷协调中心的作用，每月安排几天时间在各乡镇召开当月矛盾纠纷分析研判会，并指派化解任务。</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二、部门预算单位构成</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属一级预算单位，无下属二级预算单位，其中：行政单位1个；参照公务员法管理的事业单位0个；其他事业</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单位0个。</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所有收入和支出均纳入部门预算管理。收入包括：一般公共预算拨款收入579.97万元，事业收入0万元，其他收入0万元，上年结转0万元；支出包括：一般公共服务支出417.04万元，社会保障和就业支82.09万元，卫生健康支出32.11万元，住房保障支出43.74万元。</w:t>
      </w:r>
      <w:bookmarkStart w:id="0" w:name="_GoBack"/>
      <w:bookmarkEnd w:id="0"/>
      <w:r>
        <w:rPr>
          <w:rFonts w:hint="eastAsia" w:ascii="仿宋_GB2312" w:hAnsi="仿宋_GB2312" w:eastAsia="仿宋_GB2312" w:cs="仿宋_GB2312"/>
          <w:sz w:val="32"/>
          <w:szCs w:val="32"/>
        </w:rPr>
        <w:t>2025年收支总预算579.97万元，比2024年收支预算总数增加71.45万元，主要原因：单位人员工资福利政策变动。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2025年收入预算579.97万元，其中：上年结转0万元；一般公共预算拨款收入579.97万元，占100%;事业收入0万元；其他收入0万元。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2025年支出预算579.97万元，其中：基本支出579.97万元，占100%，项目支出0万元，占0%。</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四、财政拨款收支预算情况说明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2025年财政拨款收支总预算579.97万元，比2024年财政拨款收支总预算增加71.45万元，主要原因：单位人员工资福利政策变动。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收入包括：本年一般公共预算拨款收入579.97万元，上年结转一般公共预算收入0万元，上年结转财政拨款资金0万元。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支出包括：一般公共服务支出417.04万元，社会保障和就业支82.09万元，卫生健康支出32.11万元，住房保障支出43.74万元。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2025年一般公共预算当年拨款579.97万元，比2024年预算数增加71.45万元，主要原因：单位人员工资福利政策变动。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_GB2312" w:hAnsi="楷体_GB2312" w:eastAsia="楷体_GB2312" w:cs="楷体_GB2312"/>
          <w:b/>
          <w:bCs/>
          <w:sz w:val="32"/>
          <w:szCs w:val="32"/>
        </w:rPr>
        <w:t>二)一般公共预算当年拨款结构情况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一般公共服务支出417.04万元，占71.91%；社会保障和就业支82.09万元，占14.15%；卫生健康支出32.11万元，占5.54%；住房保障支出43.74万元，占7.5%</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行政运行2025年预算数为188.79万元，主要用于：平时办公日常开支；事业运行2025年预算数为228.25万元，主要用于事业人员保险支出；机关事业单位基本养老保险缴费支出2025年预算数为58.06万元，主要用于支付职工养老保险；机关事业单位职业年金缴费支出2024年预算数为29.03万元，主要支付职工职业年金；行政单位医疗2025年预算数为11.38万元，主要用于支付职工医疗保险；事业单位医疗2025年预算数为14.02万元，主要支付事业人员医疗保险；公务员医疗补助2025年预算数为3.68万元，主要用于支付公务员医疗保险；住房公积金2025年预算数43.74万元，主要支付职工单位部分公积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基本支出579.97万元，其中：人员经费518.1万元，主要包括：基本工资、津贴补贴、奖金、其他社会保障缴费、绩效工资、机关事业单位基本养老保险缴费、职业年金缴费、其他工资福利支出、离休费、奖励金、住房公积金、其他对个人和家庭的补助支出。公用经费61.88万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2025年“三公”经费财政拨款预算数12万元，其中：因公出国(境)经费0万元，公务接待费0万元，公务用车购置及运行维护费12万元。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(一)2025年因公出国(境)经费0万元。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(二)2025年公务接待费0万元。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八、政府性基金预算支出情况说明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2025年政府性基金预算拨款安排的支出0万元。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2025年机关运行经费财政拨款预算为61.88万元，比2024年预算增加2.38万元，增长4%。</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2025年安排政府采购预算0万元。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(四)绩效目标设置情况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2025年通用项目和专用项目均按要求实行绩效目标管理，涉及一般公共预算当年拨款579.97万元。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十、名词解释</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(一)财政拨款收入：</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(二)事业收入：</w:t>
      </w:r>
      <w:r>
        <w:rPr>
          <w:rFonts w:hint="eastAsia" w:ascii="仿宋_GB2312" w:hAnsi="仿宋_GB2312" w:eastAsia="仿宋_GB2312" w:cs="仿宋_GB2312"/>
          <w:sz w:val="32"/>
          <w:szCs w:val="32"/>
        </w:rPr>
        <w:t>指所属事业单位开展专业业务活动及辅助活动所取得的收入。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(三)事业单位经营收入：</w:t>
      </w:r>
      <w:r>
        <w:rPr>
          <w:rFonts w:hint="eastAsia" w:ascii="仿宋_GB2312" w:hAnsi="仿宋_GB2312" w:eastAsia="仿宋_GB2312" w:cs="仿宋_GB2312"/>
          <w:sz w:val="32"/>
          <w:szCs w:val="32"/>
        </w:rPr>
        <w:t>指所属事业单位在专业业务活动及其辅助活动之外开展非独立核算经营活动取得的收入。</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(四)其他收入：</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(五)用事业基金弥补收支差额：</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(六)上年结转：</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sectPr>
      <w:pgSz w:w="11910" w:h="16840"/>
      <w:pgMar w:top="2098" w:right="1474" w:bottom="1984"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WZmODA1MTFmZWY3MmNiMWM1MjFiYTI2ZjNlOTcifQ=="/>
  </w:docVars>
  <w:rsids>
    <w:rsidRoot w:val="475F0D01"/>
    <w:rsid w:val="0E364E11"/>
    <w:rsid w:val="1060779A"/>
    <w:rsid w:val="11A1268D"/>
    <w:rsid w:val="12810624"/>
    <w:rsid w:val="17AC04B0"/>
    <w:rsid w:val="1BF65BDF"/>
    <w:rsid w:val="2B3D0A73"/>
    <w:rsid w:val="2DAC25A2"/>
    <w:rsid w:val="34CA4BD4"/>
    <w:rsid w:val="35B52706"/>
    <w:rsid w:val="36154372"/>
    <w:rsid w:val="3DB01BF7"/>
    <w:rsid w:val="3F055FB6"/>
    <w:rsid w:val="438020AF"/>
    <w:rsid w:val="475F0D01"/>
    <w:rsid w:val="4C5C1437"/>
    <w:rsid w:val="587754F3"/>
    <w:rsid w:val="5A5438D2"/>
    <w:rsid w:val="65656C09"/>
    <w:rsid w:val="6AC536A3"/>
    <w:rsid w:val="6F8C7562"/>
    <w:rsid w:val="6F9C5852"/>
    <w:rsid w:val="7C3F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2026-07-07T03:12:00Z</dcterms:created>
  <dc:creator>Administrator</dc:creator>
  <cp:lastModifiedBy>Administrator</cp:lastModifiedBy>
  <cp:lastPrinted>2026-07-07T03:32:00Z</cp:lastPrinted>
  <dcterms:modified xsi:type="dcterms:W3CDTF">2026-07-07T09:14:43Z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E380DCF278AC457CB9398BB8ED80D6CC_11</vt:lpwstr>
  </property>
</Properties>
</file>